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charts/chart3.xml" ContentType="application/vnd.openxmlformats-officedocument.drawingml.chart+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9505F" w:rsidRPr="004F3AB8" w:rsidTr="00F9505F">
        <w:trPr>
          <w:trHeight w:val="1760"/>
        </w:trPr>
        <w:tc>
          <w:tcPr>
            <w:tcW w:w="4243" w:type="dxa"/>
          </w:tcPr>
          <w:p w:rsidR="00F9505F" w:rsidRPr="004F3AB8" w:rsidRDefault="00F9505F" w:rsidP="00F9505F"/>
        </w:tc>
        <w:tc>
          <w:tcPr>
            <w:tcW w:w="1646" w:type="dxa"/>
            <w:vAlign w:val="center"/>
          </w:tcPr>
          <w:p w:rsidR="00F9505F" w:rsidRPr="004F3AB8" w:rsidRDefault="008F403F" w:rsidP="00F9505F">
            <w:pPr>
              <w:pStyle w:val="LogoUPOV"/>
            </w:pPr>
            <w:r w:rsidRPr="004F3AB8">
              <w:rPr>
                <w:noProof/>
                <w:lang w:val="en-US"/>
              </w:rPr>
              <w:drawing>
                <wp:inline distT="0" distB="0" distL="0" distR="0" wp14:anchorId="1472D233" wp14:editId="13F6A4EE">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F9505F" w:rsidRPr="001430DB" w:rsidRDefault="00F9505F" w:rsidP="00F9505F">
            <w:pPr>
              <w:pStyle w:val="Lettrine"/>
            </w:pPr>
            <w:r w:rsidRPr="001430DB">
              <w:t>F</w:t>
            </w:r>
          </w:p>
          <w:p w:rsidR="00534C11" w:rsidRPr="001430DB" w:rsidRDefault="00534C11" w:rsidP="00534C11">
            <w:pPr>
              <w:pStyle w:val="Docoriginal"/>
              <w:ind w:left="313"/>
            </w:pPr>
            <w:r w:rsidRPr="001430DB">
              <w:t>C/49/</w:t>
            </w:r>
            <w:bookmarkStart w:id="0" w:name="Code"/>
            <w:bookmarkEnd w:id="0"/>
            <w:r w:rsidRPr="001430DB">
              <w:t>15</w:t>
            </w:r>
          </w:p>
          <w:p w:rsidR="00534C11" w:rsidRPr="001430DB" w:rsidRDefault="00534C11" w:rsidP="00534C11">
            <w:pPr>
              <w:pStyle w:val="Docoriginal"/>
              <w:ind w:left="313"/>
              <w:rPr>
                <w:b w:val="0"/>
                <w:spacing w:val="0"/>
              </w:rPr>
            </w:pPr>
            <w:r w:rsidRPr="001430DB">
              <w:rPr>
                <w:rStyle w:val="StyleDoclangBold"/>
                <w:b/>
                <w:bCs/>
                <w:spacing w:val="0"/>
                <w:lang w:val="fr-FR"/>
              </w:rPr>
              <w:t>ORIGINAL:</w:t>
            </w:r>
            <w:r w:rsidRPr="001430DB">
              <w:rPr>
                <w:rStyle w:val="StyleDocoriginalNotBold1"/>
                <w:spacing w:val="0"/>
                <w:lang w:val="fr-FR"/>
              </w:rPr>
              <w:t xml:space="preserve"> </w:t>
            </w:r>
            <w:r w:rsidRPr="001430DB">
              <w:t xml:space="preserve"> </w:t>
            </w:r>
            <w:bookmarkStart w:id="1" w:name="Original"/>
            <w:bookmarkEnd w:id="1"/>
            <w:r w:rsidRPr="001430DB">
              <w:rPr>
                <w:b w:val="0"/>
                <w:spacing w:val="0"/>
                <w:sz w:val="18"/>
                <w:szCs w:val="18"/>
              </w:rPr>
              <w:t>English/français/</w:t>
            </w:r>
            <w:proofErr w:type="spellStart"/>
            <w:r w:rsidRPr="001430DB">
              <w:rPr>
                <w:b w:val="0"/>
                <w:spacing w:val="0"/>
                <w:sz w:val="18"/>
                <w:szCs w:val="18"/>
              </w:rPr>
              <w:t>deutsch</w:t>
            </w:r>
            <w:proofErr w:type="spellEnd"/>
            <w:r w:rsidRPr="001430DB">
              <w:rPr>
                <w:b w:val="0"/>
                <w:spacing w:val="0"/>
                <w:sz w:val="18"/>
                <w:szCs w:val="18"/>
              </w:rPr>
              <w:t>/</w:t>
            </w:r>
            <w:proofErr w:type="spellStart"/>
            <w:r w:rsidRPr="001430DB">
              <w:rPr>
                <w:b w:val="0"/>
                <w:spacing w:val="0"/>
                <w:sz w:val="18"/>
                <w:szCs w:val="18"/>
              </w:rPr>
              <w:t>español</w:t>
            </w:r>
            <w:proofErr w:type="spellEnd"/>
          </w:p>
          <w:p w:rsidR="00F9505F" w:rsidRPr="001430DB" w:rsidRDefault="00534C11" w:rsidP="001430DB">
            <w:pPr>
              <w:pStyle w:val="Docoriginal"/>
              <w:ind w:left="313"/>
            </w:pPr>
            <w:r w:rsidRPr="001430DB">
              <w:t xml:space="preserve">DATE: </w:t>
            </w:r>
            <w:r w:rsidRPr="001430DB">
              <w:rPr>
                <w:rStyle w:val="StyleDocoriginalNotBold1"/>
                <w:spacing w:val="0"/>
                <w:lang w:val="fr-FR"/>
              </w:rPr>
              <w:t xml:space="preserve"> </w:t>
            </w:r>
            <w:bookmarkStart w:id="2" w:name="Date"/>
            <w:bookmarkEnd w:id="2"/>
            <w:r w:rsidRPr="001430DB">
              <w:rPr>
                <w:rStyle w:val="StyleDocoriginalNotBold1"/>
                <w:spacing w:val="0"/>
                <w:lang w:val="fr-FR"/>
              </w:rPr>
              <w:t>1</w:t>
            </w:r>
            <w:r w:rsidR="001430DB" w:rsidRPr="001430DB">
              <w:rPr>
                <w:rStyle w:val="StyleDocoriginalNotBold1"/>
                <w:spacing w:val="0"/>
                <w:lang w:val="fr-FR"/>
              </w:rPr>
              <w:t>6</w:t>
            </w:r>
            <w:r w:rsidRPr="001430DB">
              <w:rPr>
                <w:rStyle w:val="StyleDocoriginalNotBold1"/>
                <w:spacing w:val="0"/>
                <w:lang w:val="fr-FR"/>
              </w:rPr>
              <w:t xml:space="preserve"> octobre </w:t>
            </w:r>
            <w:r w:rsidRPr="001430DB">
              <w:rPr>
                <w:b w:val="0"/>
                <w:spacing w:val="0"/>
              </w:rPr>
              <w:t>2015</w:t>
            </w:r>
          </w:p>
        </w:tc>
      </w:tr>
      <w:tr w:rsidR="00F9505F" w:rsidRPr="004F3AB8" w:rsidTr="00F9505F">
        <w:tc>
          <w:tcPr>
            <w:tcW w:w="10131" w:type="dxa"/>
            <w:gridSpan w:val="3"/>
          </w:tcPr>
          <w:p w:rsidR="00F9505F" w:rsidRPr="004F3AB8" w:rsidRDefault="00F9505F" w:rsidP="00F9505F">
            <w:pPr>
              <w:pStyle w:val="upove"/>
              <w:rPr>
                <w:sz w:val="28"/>
              </w:rPr>
            </w:pPr>
            <w:r w:rsidRPr="004F3AB8">
              <w:rPr>
                <w:spacing w:val="6"/>
              </w:rPr>
              <w:t>UNION INTERNATIONALE POUR LA PROTECTION DES OBTENTIONS VÉGÉTALES</w:t>
            </w:r>
          </w:p>
        </w:tc>
      </w:tr>
      <w:tr w:rsidR="00F9505F" w:rsidRPr="004F3AB8" w:rsidTr="00F9505F">
        <w:tc>
          <w:tcPr>
            <w:tcW w:w="10131" w:type="dxa"/>
            <w:gridSpan w:val="3"/>
          </w:tcPr>
          <w:p w:rsidR="00F9505F" w:rsidRPr="004F3AB8" w:rsidRDefault="00F9505F" w:rsidP="00F9505F">
            <w:pPr>
              <w:pStyle w:val="Country"/>
            </w:pPr>
            <w:r w:rsidRPr="004F3AB8">
              <w:t>Genève</w:t>
            </w:r>
          </w:p>
        </w:tc>
      </w:tr>
    </w:tbl>
    <w:p w:rsidR="00F9505F" w:rsidRPr="004F3AB8" w:rsidRDefault="00F9505F" w:rsidP="00F9505F">
      <w:pPr>
        <w:pStyle w:val="Sessiontc"/>
      </w:pPr>
      <w:r w:rsidRPr="004F3AB8">
        <w:t>CONSEIL</w:t>
      </w:r>
    </w:p>
    <w:p w:rsidR="009D655A" w:rsidRPr="004F3AB8" w:rsidRDefault="009D655A" w:rsidP="009D655A">
      <w:pPr>
        <w:pStyle w:val="Sessiontcplacedate"/>
      </w:pPr>
      <w:bookmarkStart w:id="3" w:name="TitleOfDoc"/>
      <w:bookmarkEnd w:id="3"/>
      <w:r w:rsidRPr="004F3AB8">
        <w:t>Quarante-neuvième session ordinaire</w:t>
      </w:r>
      <w:r w:rsidRPr="004F3AB8">
        <w:br/>
        <w:t>Genève, 29 octobre 2015</w:t>
      </w:r>
    </w:p>
    <w:p w:rsidR="00534C11" w:rsidRPr="004F3AB8" w:rsidRDefault="00534C11" w:rsidP="00534C11">
      <w:pPr>
        <w:pStyle w:val="Titleofdoc0"/>
      </w:pPr>
      <w:r w:rsidRPr="004F3AB8">
        <w:t>RAPPORTS DES REPRÉSENTANTS DES MEMBRES ET DES OBSERVATEURS SUR LA SITUATION DANS LES DOMAINES LÉGISLATIF, ADMINISTRATIF ET TECHNIQUE</w:t>
      </w:r>
    </w:p>
    <w:p w:rsidR="00534C11" w:rsidRPr="004F3AB8" w:rsidRDefault="00534C11" w:rsidP="00534C11">
      <w:pPr>
        <w:pStyle w:val="preparedby1"/>
        <w:rPr>
          <w:color w:val="A6A6A6" w:themeColor="background1" w:themeShade="A6"/>
        </w:rPr>
      </w:pPr>
      <w:bookmarkStart w:id="4" w:name="Prepared"/>
      <w:bookmarkEnd w:id="4"/>
      <w:r w:rsidRPr="004F3AB8">
        <w:t>Document établi par le Bureau de l’Union</w:t>
      </w:r>
      <w:r w:rsidRPr="004F3AB8">
        <w:br/>
      </w:r>
      <w:r w:rsidRPr="004F3AB8">
        <w:br/>
      </w:r>
      <w:r w:rsidRPr="004F3AB8">
        <w:rPr>
          <w:color w:val="A6A6A6" w:themeColor="background1" w:themeShade="A6"/>
        </w:rPr>
        <w:t>Avertissement : le présent document ne représente pas les principes ou les orientations de l’UPOV</w:t>
      </w:r>
    </w:p>
    <w:p w:rsidR="00534C11" w:rsidRPr="004F3AB8" w:rsidRDefault="00534C11" w:rsidP="00534C11">
      <w:pPr>
        <w:rPr>
          <w:snapToGrid w:val="0"/>
        </w:rPr>
      </w:pPr>
      <w:r w:rsidRPr="004F3AB8">
        <w:rPr>
          <w:snapToGrid w:val="0"/>
        </w:rPr>
        <w:t>1.</w:t>
      </w:r>
      <w:r w:rsidRPr="004F3AB8">
        <w:rPr>
          <w:snapToGrid w:val="0"/>
        </w:rPr>
        <w:tab/>
        <w:t>Selon la procédure introduite à l’occasion de la vingt-sixième session ordinaire du Conseil, il est demandé que les rapports des représentants des membres et des observateurs sur la situation dans les domaines législatif, administratif et technique de la protection des obtentions végétales et des domaines connexes soient fournis par écrit à l’avance, afin d’accroître l’efficacité du Conseil dans l’accomplissement des tâches qui lui sont confiées.</w:t>
      </w:r>
    </w:p>
    <w:p w:rsidR="00534C11" w:rsidRPr="004F3AB8" w:rsidRDefault="00534C11" w:rsidP="00534C11">
      <w:pPr>
        <w:rPr>
          <w:snapToGrid w:val="0"/>
        </w:rPr>
      </w:pPr>
    </w:p>
    <w:p w:rsidR="00534C11" w:rsidRPr="004F3AB8" w:rsidRDefault="00534C11" w:rsidP="00534C11">
      <w:pPr>
        <w:rPr>
          <w:snapToGrid w:val="0"/>
        </w:rPr>
      </w:pPr>
      <w:r w:rsidRPr="004F3AB8">
        <w:rPr>
          <w:snapToGrid w:val="0"/>
        </w:rPr>
        <w:t>2.</w:t>
      </w:r>
      <w:r w:rsidRPr="004F3AB8">
        <w:rPr>
          <w:snapToGrid w:val="0"/>
        </w:rPr>
        <w:tab/>
        <w:t xml:space="preserve">Des rapports écrits ont été sollicités par le Bureau de l’Union dans la circulaire d’invitation à la présente session et un modèle type a été proposé.  Les rapports suivants ont été soumis (dans l’ordre alphabétique des noms en français): </w:t>
      </w:r>
    </w:p>
    <w:p w:rsidR="00534C11" w:rsidRPr="004F3AB8" w:rsidRDefault="00534C11" w:rsidP="00534C11">
      <w:pPr>
        <w:rPr>
          <w:snapToGrid w:val="0"/>
        </w:rPr>
      </w:pPr>
    </w:p>
    <w:p w:rsidR="00534C11" w:rsidRPr="004F3AB8" w:rsidRDefault="00534C11" w:rsidP="00534C11">
      <w:pPr>
        <w:ind w:left="567"/>
        <w:rPr>
          <w:szCs w:val="24"/>
        </w:rPr>
      </w:pPr>
      <w:r w:rsidRPr="004F3AB8">
        <w:rPr>
          <w:snapToGrid w:val="0"/>
          <w:u w:val="single"/>
        </w:rPr>
        <w:t>Membres</w:t>
      </w:r>
      <w:r w:rsidRPr="004F3AB8">
        <w:rPr>
          <w:snapToGrid w:val="0"/>
        </w:rPr>
        <w:t xml:space="preserve"> : annexes I à XVII : </w:t>
      </w:r>
      <w:r w:rsidRPr="004F3AB8">
        <w:rPr>
          <w:szCs w:val="24"/>
        </w:rPr>
        <w:t xml:space="preserve">Allemagne, Chili, Colombie, Croatie, Danemark, Lettonie, </w:t>
      </w:r>
      <w:proofErr w:type="spellStart"/>
      <w:r w:rsidRPr="004F3AB8">
        <w:rPr>
          <w:szCs w:val="24"/>
        </w:rPr>
        <w:t>Lithuanie</w:t>
      </w:r>
      <w:proofErr w:type="spellEnd"/>
      <w:r w:rsidRPr="004F3AB8">
        <w:rPr>
          <w:szCs w:val="24"/>
        </w:rPr>
        <w:t xml:space="preserve">, Maroc, Nouvelle-Zélande, Pologne, </w:t>
      </w:r>
      <w:r w:rsidRPr="004F3AB8">
        <w:t>République de Corée,</w:t>
      </w:r>
      <w:r w:rsidRPr="004F3AB8">
        <w:rPr>
          <w:szCs w:val="24"/>
        </w:rPr>
        <w:t xml:space="preserve"> République de Moldova, République tchèque, Serbie, Suisse, Tunisie et Union européenne</w:t>
      </w:r>
    </w:p>
    <w:p w:rsidR="00534C11" w:rsidRPr="004F3AB8" w:rsidRDefault="00534C11" w:rsidP="00534C11">
      <w:pPr>
        <w:ind w:left="567"/>
        <w:rPr>
          <w:szCs w:val="24"/>
        </w:rPr>
      </w:pPr>
    </w:p>
    <w:p w:rsidR="00534C11" w:rsidRPr="004F3AB8" w:rsidRDefault="00534C11" w:rsidP="00534C11">
      <w:pPr>
        <w:ind w:left="567"/>
        <w:rPr>
          <w:snapToGrid w:val="0"/>
        </w:rPr>
      </w:pPr>
      <w:r w:rsidRPr="004F3AB8">
        <w:rPr>
          <w:szCs w:val="24"/>
          <w:u w:val="single"/>
        </w:rPr>
        <w:t>Observateur</w:t>
      </w:r>
      <w:r w:rsidRPr="004F3AB8">
        <w:rPr>
          <w:szCs w:val="24"/>
        </w:rPr>
        <w:t> : annexe XVIII :  ARIPO</w:t>
      </w:r>
    </w:p>
    <w:p w:rsidR="00534C11" w:rsidRPr="004F3AB8" w:rsidRDefault="00534C11" w:rsidP="00534C11">
      <w:pPr>
        <w:rPr>
          <w:snapToGrid w:val="0"/>
        </w:rPr>
      </w:pPr>
    </w:p>
    <w:p w:rsidR="00534C11" w:rsidRPr="004F3AB8" w:rsidRDefault="00534C11" w:rsidP="00534C11">
      <w:pPr>
        <w:rPr>
          <w:snapToGrid w:val="0"/>
        </w:rPr>
      </w:pPr>
      <w:r w:rsidRPr="004F3AB8">
        <w:rPr>
          <w:snapToGrid w:val="0"/>
        </w:rPr>
        <w:t>3.</w:t>
      </w:r>
      <w:r w:rsidRPr="004F3AB8">
        <w:rPr>
          <w:snapToGrid w:val="0"/>
        </w:rPr>
        <w:tab/>
        <w:t>Les rapports reçus après le 9 octobre 2015 seront inclus dans un additif à ce document, qui sera publié après la session du Conseil.</w:t>
      </w:r>
    </w:p>
    <w:p w:rsidR="00534C11" w:rsidRPr="004F3AB8" w:rsidRDefault="00534C11" w:rsidP="00534C11">
      <w:pPr>
        <w:pStyle w:val="endofdoc"/>
        <w:rPr>
          <w:snapToGrid w:val="0"/>
          <w:lang w:val="fr-FR"/>
        </w:rPr>
      </w:pPr>
      <w:r w:rsidRPr="004F3AB8">
        <w:rPr>
          <w:snapToGrid w:val="0"/>
          <w:lang w:val="fr-FR"/>
        </w:rPr>
        <w:t>[Les annexes suivent]</w:t>
      </w:r>
    </w:p>
    <w:p w:rsidR="00E4565F" w:rsidRPr="004F3AB8" w:rsidRDefault="00E4565F">
      <w:pPr>
        <w:jc w:val="left"/>
        <w:rPr>
          <w:caps/>
          <w:noProof/>
          <w:snapToGrid w:val="0"/>
        </w:rPr>
      </w:pPr>
    </w:p>
    <w:p w:rsidR="00944AEF" w:rsidRPr="004F3AB8" w:rsidRDefault="00944AEF">
      <w:pPr>
        <w:jc w:val="left"/>
        <w:rPr>
          <w:caps/>
          <w:noProof/>
          <w:snapToGrid w:val="0"/>
        </w:rPr>
        <w:sectPr w:rsidR="00944AEF" w:rsidRPr="004F3AB8" w:rsidSect="00906DDC">
          <w:headerReference w:type="default" r:id="rId10"/>
          <w:pgSz w:w="11907" w:h="16840" w:code="9"/>
          <w:pgMar w:top="510" w:right="1134" w:bottom="1134" w:left="1134" w:header="510" w:footer="680" w:gutter="0"/>
          <w:cols w:space="720"/>
          <w:titlePg/>
        </w:sectPr>
      </w:pPr>
    </w:p>
    <w:p w:rsidR="00944AEF" w:rsidRPr="004F3AB8" w:rsidRDefault="00944AEF" w:rsidP="00944AEF">
      <w:pPr>
        <w:jc w:val="center"/>
      </w:pPr>
      <w:r w:rsidRPr="004F3AB8">
        <w:lastRenderedPageBreak/>
        <w:t>C/49/15</w:t>
      </w:r>
    </w:p>
    <w:p w:rsidR="00944AEF" w:rsidRPr="004F3AB8" w:rsidRDefault="00944AEF" w:rsidP="00944AEF">
      <w:pPr>
        <w:jc w:val="center"/>
      </w:pPr>
    </w:p>
    <w:p w:rsidR="00944AEF" w:rsidRPr="004F3AB8" w:rsidRDefault="00944AEF" w:rsidP="00944AEF">
      <w:pPr>
        <w:jc w:val="center"/>
      </w:pPr>
      <w:r w:rsidRPr="004F3AB8">
        <w:t>ANNEXE I</w:t>
      </w:r>
    </w:p>
    <w:p w:rsidR="00944AEF" w:rsidRPr="004F3AB8" w:rsidRDefault="00944AEF" w:rsidP="00944AEF">
      <w:pPr>
        <w:jc w:val="center"/>
      </w:pPr>
    </w:p>
    <w:p w:rsidR="00944AEF" w:rsidRPr="004F3AB8" w:rsidRDefault="00944AEF" w:rsidP="00944AEF">
      <w:pPr>
        <w:jc w:val="center"/>
      </w:pPr>
    </w:p>
    <w:p w:rsidR="00944AEF" w:rsidRPr="004F3AB8" w:rsidRDefault="00944AEF" w:rsidP="00944AEF">
      <w:pPr>
        <w:jc w:val="center"/>
      </w:pPr>
      <w:r w:rsidRPr="004F3AB8">
        <w:t>ALLEMAGNE</w:t>
      </w:r>
    </w:p>
    <w:p w:rsidR="00944AEF" w:rsidRPr="004F3AB8" w:rsidRDefault="00944AEF" w:rsidP="00944AEF">
      <w:pPr>
        <w:jc w:val="left"/>
      </w:pPr>
    </w:p>
    <w:p w:rsidR="00944AEF" w:rsidRPr="004F3AB8" w:rsidRDefault="00944AEF" w:rsidP="00944AEF">
      <w:pPr>
        <w:jc w:val="left"/>
      </w:pPr>
    </w:p>
    <w:p w:rsidR="00435FF1" w:rsidRPr="004F3AB8" w:rsidRDefault="00435FF1" w:rsidP="00435FF1">
      <w:r w:rsidRPr="004F3AB8">
        <w:t>PROTECTION DES OBTENTIONS VÉGÉTALES</w:t>
      </w:r>
    </w:p>
    <w:p w:rsidR="00435FF1" w:rsidRPr="004F3AB8" w:rsidRDefault="00435FF1" w:rsidP="00435FF1"/>
    <w:p w:rsidR="00435FF1" w:rsidRPr="004F3AB8" w:rsidRDefault="00435FF1" w:rsidP="00435FF1">
      <w:pPr>
        <w:rPr>
          <w:u w:val="single"/>
        </w:rPr>
      </w:pPr>
      <w:r w:rsidRPr="004F3AB8">
        <w:rPr>
          <w:u w:val="single"/>
        </w:rPr>
        <w:t>Activités de promotion de la protection des obtentions végétales</w:t>
      </w:r>
    </w:p>
    <w:p w:rsidR="00435FF1" w:rsidRPr="004F3AB8" w:rsidRDefault="00435FF1" w:rsidP="00435FF1"/>
    <w:p w:rsidR="00435FF1" w:rsidRPr="004F3AB8" w:rsidRDefault="00435FF1" w:rsidP="00435FF1">
      <w:r w:rsidRPr="004F3AB8">
        <w:t>Au cours de la période considérée, des représentants du Bureau fédéral pour la protection des obtentions végétales et des dirigeants d’entreprises se sont rendus en Mongolie où un atelier sur le droit relatif aux obtentions végétales et aux semences était organisé.</w:t>
      </w:r>
    </w:p>
    <w:p w:rsidR="00435FF1" w:rsidRPr="004F3AB8" w:rsidRDefault="00435FF1" w:rsidP="00435FF1"/>
    <w:p w:rsidR="00435FF1" w:rsidRPr="004F3AB8" w:rsidRDefault="00435FF1" w:rsidP="00435FF1">
      <w:r w:rsidRPr="004F3AB8">
        <w:t>Une autre visite a été réalisée en Inde en décembre 2014, dans le cadre d’un projet de coopération auquel participe le Ministère fédéral de l’agriculture.  Des représentants locaux du secteur des semences et des fonctionnaires du ministère, ainsi que des représentants du service d’examen, ont échangé leurs points de vue, notamment sur les particularités du système indien de protection des obtentions végétales (y compris sur la question des droits des agriculteurs).  L’échange a été approfondi au cours de la visite au Bureau fédéral pour la protection des obtentions végétales de représentants du Bureau indien pour la protection des obtentions végétales.  Ces derniers ont également rencontré à cette occasion des représentants d’entreprises du secteur des semences allemand.</w:t>
      </w:r>
    </w:p>
    <w:p w:rsidR="00944AEF" w:rsidRPr="004F3AB8" w:rsidRDefault="00944AEF" w:rsidP="00944AEF"/>
    <w:p w:rsidR="00944AEF" w:rsidRPr="004F3AB8" w:rsidRDefault="00944AEF" w:rsidP="00944AEF">
      <w:pPr>
        <w:jc w:val="left"/>
      </w:pPr>
    </w:p>
    <w:p w:rsidR="00944AEF" w:rsidRPr="004F3AB8" w:rsidRDefault="00944AEF" w:rsidP="00944AEF"/>
    <w:p w:rsidR="00944AEF" w:rsidRPr="004F3AB8" w:rsidRDefault="00944AEF" w:rsidP="00944AEF">
      <w:pPr>
        <w:jc w:val="right"/>
      </w:pPr>
      <w:r w:rsidRPr="004F3AB8">
        <w:t>[L’annexe II suit]</w:t>
      </w:r>
    </w:p>
    <w:p w:rsidR="00944AEF" w:rsidRPr="004F3AB8" w:rsidRDefault="00944AEF" w:rsidP="00944AEF">
      <w:pPr>
        <w:jc w:val="left"/>
      </w:pPr>
    </w:p>
    <w:p w:rsidR="00944AEF" w:rsidRPr="004F3AB8" w:rsidRDefault="00944AEF" w:rsidP="00944AEF">
      <w:pPr>
        <w:jc w:val="left"/>
        <w:sectPr w:rsidR="00944AEF" w:rsidRPr="004F3AB8" w:rsidSect="004F3AB8">
          <w:headerReference w:type="default" r:id="rId11"/>
          <w:pgSz w:w="11907" w:h="16840" w:code="9"/>
          <w:pgMar w:top="510" w:right="1134" w:bottom="1134" w:left="1134" w:header="510" w:footer="680" w:gutter="0"/>
          <w:pgNumType w:start="1"/>
          <w:cols w:space="720"/>
          <w:titlePg/>
        </w:sectPr>
      </w:pPr>
    </w:p>
    <w:p w:rsidR="00944AEF" w:rsidRPr="004F3AB8" w:rsidRDefault="00944AEF" w:rsidP="00944AEF">
      <w:pPr>
        <w:jc w:val="center"/>
      </w:pPr>
      <w:r w:rsidRPr="004F3AB8">
        <w:lastRenderedPageBreak/>
        <w:t>C/49/15</w:t>
      </w:r>
    </w:p>
    <w:p w:rsidR="00944AEF" w:rsidRPr="004F3AB8" w:rsidRDefault="00944AEF" w:rsidP="00944AEF">
      <w:pPr>
        <w:jc w:val="center"/>
      </w:pPr>
    </w:p>
    <w:p w:rsidR="00944AEF" w:rsidRPr="004F3AB8" w:rsidRDefault="00944AEF" w:rsidP="00944AEF">
      <w:pPr>
        <w:jc w:val="center"/>
      </w:pPr>
      <w:r w:rsidRPr="004F3AB8">
        <w:t>ANNEXE II</w:t>
      </w:r>
    </w:p>
    <w:p w:rsidR="00944AEF" w:rsidRPr="004F3AB8" w:rsidRDefault="00944AEF" w:rsidP="00944AEF">
      <w:pPr>
        <w:jc w:val="center"/>
      </w:pPr>
    </w:p>
    <w:p w:rsidR="00944AEF" w:rsidRPr="004F3AB8" w:rsidRDefault="00944AEF" w:rsidP="00944AEF">
      <w:pPr>
        <w:jc w:val="center"/>
      </w:pPr>
    </w:p>
    <w:p w:rsidR="00944AEF" w:rsidRPr="004F3AB8" w:rsidRDefault="00944AEF" w:rsidP="00944AEF">
      <w:pPr>
        <w:jc w:val="center"/>
      </w:pPr>
      <w:r w:rsidRPr="004F3AB8">
        <w:t>CHILI</w:t>
      </w:r>
    </w:p>
    <w:p w:rsidR="00944AEF" w:rsidRPr="004F3AB8" w:rsidRDefault="00944AEF" w:rsidP="00944AEF">
      <w:pPr>
        <w:jc w:val="left"/>
      </w:pPr>
    </w:p>
    <w:p w:rsidR="00944AEF" w:rsidRPr="004F3AB8" w:rsidRDefault="00944AEF" w:rsidP="00944AEF">
      <w:pPr>
        <w:jc w:val="left"/>
      </w:pPr>
    </w:p>
    <w:p w:rsidR="00435FF1" w:rsidRPr="004F3AB8" w:rsidRDefault="00435FF1" w:rsidP="00435FF1">
      <w:r w:rsidRPr="004F3AB8">
        <w:t>PROTECTION DES OBTENTIONS VÉGÉTALES</w:t>
      </w:r>
    </w:p>
    <w:p w:rsidR="00435FF1" w:rsidRPr="004F3AB8" w:rsidRDefault="00435FF1" w:rsidP="00435FF1"/>
    <w:p w:rsidR="00435FF1" w:rsidRPr="004F3AB8" w:rsidRDefault="00435FF1" w:rsidP="00435FF1">
      <w:pPr>
        <w:rPr>
          <w:u w:val="single"/>
        </w:rPr>
      </w:pPr>
      <w:r w:rsidRPr="004F3AB8">
        <w:t>1.</w:t>
      </w:r>
      <w:r w:rsidRPr="004F3AB8">
        <w:tab/>
      </w:r>
      <w:r w:rsidRPr="004F3AB8">
        <w:rPr>
          <w:u w:val="single"/>
        </w:rPr>
        <w:t>Situation dans le domaine législatif</w:t>
      </w:r>
    </w:p>
    <w:p w:rsidR="00435FF1" w:rsidRPr="004F3AB8" w:rsidRDefault="00435FF1" w:rsidP="00435FF1"/>
    <w:p w:rsidR="00435FF1" w:rsidRPr="004F3AB8" w:rsidRDefault="00435FF1" w:rsidP="00435FF1">
      <w:r w:rsidRPr="004F3AB8">
        <w:tab/>
        <w:t>1.1</w:t>
      </w:r>
      <w:r w:rsidRPr="004F3AB8">
        <w:tab/>
        <w:t>Modifications de la loi et des textes d’application</w:t>
      </w:r>
    </w:p>
    <w:p w:rsidR="00435FF1" w:rsidRPr="004F3AB8" w:rsidRDefault="00435FF1" w:rsidP="00435FF1">
      <w:pPr>
        <w:ind w:left="851"/>
      </w:pPr>
      <w:r w:rsidRPr="004F3AB8">
        <w:noBreakHyphen/>
      </w:r>
      <w:r w:rsidRPr="004F3AB8">
        <w:tab/>
        <w:t>adaptation à l’Acte de 1991 de la Convention</w:t>
      </w:r>
    </w:p>
    <w:p w:rsidR="00435FF1" w:rsidRPr="004F3AB8" w:rsidRDefault="00435FF1" w:rsidP="00435FF1">
      <w:pPr>
        <w:ind w:left="851"/>
      </w:pPr>
      <w:r w:rsidRPr="004F3AB8">
        <w:noBreakHyphen/>
      </w:r>
      <w:r w:rsidRPr="004F3AB8">
        <w:tab/>
        <w:t>autres modifications, y compris pour les taxes</w:t>
      </w:r>
    </w:p>
    <w:p w:rsidR="00435FF1" w:rsidRPr="004F3AB8" w:rsidRDefault="00435FF1" w:rsidP="00435FF1">
      <w:pPr>
        <w:ind w:left="851"/>
      </w:pPr>
    </w:p>
    <w:p w:rsidR="00435FF1" w:rsidRPr="004F3AB8" w:rsidRDefault="00435FF1" w:rsidP="00435FF1">
      <w:pPr>
        <w:ind w:left="851"/>
      </w:pPr>
      <w:r w:rsidRPr="004F3AB8">
        <w:t>À partir du 1</w:t>
      </w:r>
      <w:r w:rsidRPr="004F3AB8">
        <w:rPr>
          <w:vertAlign w:val="superscript"/>
        </w:rPr>
        <w:t>er</w:t>
      </w:r>
      <w:r w:rsidRPr="004F3AB8">
        <w:t> août 2015, les montants des taxes d’inscription et de renouvellement ont été modifiés.  Les décisions qui établissent les nouveaux montants sont annexées au présent document.</w:t>
      </w:r>
    </w:p>
    <w:p w:rsidR="00435FF1" w:rsidRPr="004F3AB8" w:rsidRDefault="00435FF1" w:rsidP="00435FF1"/>
    <w:p w:rsidR="00435FF1" w:rsidRPr="004F3AB8" w:rsidRDefault="00435FF1" w:rsidP="00435FF1"/>
    <w:p w:rsidR="00435FF1" w:rsidRPr="004F3AB8" w:rsidRDefault="00435FF1" w:rsidP="00435FF1">
      <w:pPr>
        <w:rPr>
          <w:u w:val="single"/>
        </w:rPr>
      </w:pPr>
      <w:r w:rsidRPr="004F3AB8">
        <w:t>2.</w:t>
      </w:r>
      <w:r w:rsidRPr="004F3AB8">
        <w:tab/>
      </w:r>
      <w:r w:rsidRPr="004F3AB8">
        <w:rPr>
          <w:u w:val="single"/>
        </w:rPr>
        <w:t>Coopération en matière d’examen</w:t>
      </w:r>
    </w:p>
    <w:p w:rsidR="00435FF1" w:rsidRPr="004F3AB8" w:rsidRDefault="00435FF1" w:rsidP="00435FF1">
      <w:pPr>
        <w:rPr>
          <w:u w:val="single"/>
        </w:rPr>
      </w:pPr>
    </w:p>
    <w:p w:rsidR="00435FF1" w:rsidRPr="004F3AB8" w:rsidRDefault="00435FF1" w:rsidP="00435FF1">
      <w:pPr>
        <w:tabs>
          <w:tab w:val="left" w:pos="851"/>
          <w:tab w:val="left" w:pos="4111"/>
        </w:tabs>
        <w:ind w:left="426"/>
      </w:pPr>
      <w:r w:rsidRPr="004F3AB8">
        <w:noBreakHyphen/>
      </w:r>
      <w:r w:rsidRPr="004F3AB8">
        <w:tab/>
        <w:t>Conclusion de nouveaux accords (réalisés, en cours ou envisagés)</w:t>
      </w:r>
    </w:p>
    <w:p w:rsidR="00435FF1" w:rsidRPr="004F3AB8" w:rsidRDefault="00435FF1" w:rsidP="00435FF1">
      <w:pPr>
        <w:tabs>
          <w:tab w:val="left" w:pos="851"/>
          <w:tab w:val="left" w:pos="4111"/>
        </w:tabs>
        <w:ind w:left="426"/>
      </w:pPr>
      <w:r w:rsidRPr="004F3AB8">
        <w:noBreakHyphen/>
      </w:r>
      <w:r w:rsidRPr="004F3AB8">
        <w:tab/>
        <w:t>Modification d’accords existants (réalisés, en cours ou envisagés)</w:t>
      </w:r>
    </w:p>
    <w:p w:rsidR="00435FF1" w:rsidRPr="004F3AB8" w:rsidRDefault="00435FF1" w:rsidP="00435FF1">
      <w:pPr>
        <w:tabs>
          <w:tab w:val="left" w:pos="851"/>
        </w:tabs>
        <w:ind w:left="426"/>
      </w:pPr>
    </w:p>
    <w:p w:rsidR="00435FF1" w:rsidRPr="004F3AB8" w:rsidRDefault="00435FF1" w:rsidP="00435FF1">
      <w:pPr>
        <w:tabs>
          <w:tab w:val="left" w:pos="851"/>
        </w:tabs>
        <w:ind w:left="426"/>
      </w:pPr>
      <w:r w:rsidRPr="004F3AB8">
        <w:t>Aucun nouvel accord n’a été élaboré ou conclu, mais des rapports ont été vendus au Pérou, à l’Équateur, au Maroc et à la Colombie, conformément aux éléments exposés dans le document TGP/5.</w:t>
      </w:r>
    </w:p>
    <w:p w:rsidR="00435FF1" w:rsidRPr="004F3AB8" w:rsidRDefault="00435FF1" w:rsidP="00435FF1"/>
    <w:p w:rsidR="00435FF1" w:rsidRPr="004F3AB8" w:rsidRDefault="00435FF1" w:rsidP="00435FF1"/>
    <w:p w:rsidR="00435FF1" w:rsidRPr="004F3AB8" w:rsidRDefault="00435FF1" w:rsidP="00435FF1">
      <w:pPr>
        <w:rPr>
          <w:u w:val="single"/>
        </w:rPr>
      </w:pPr>
      <w:r w:rsidRPr="004F3AB8">
        <w:t>3.</w:t>
      </w:r>
      <w:r w:rsidRPr="004F3AB8">
        <w:tab/>
      </w:r>
      <w:r w:rsidRPr="004F3AB8">
        <w:rPr>
          <w:u w:val="single"/>
        </w:rPr>
        <w:t>Situation dans le domaine administratif</w:t>
      </w:r>
    </w:p>
    <w:p w:rsidR="00435FF1" w:rsidRPr="004F3AB8" w:rsidRDefault="00435FF1" w:rsidP="00435FF1">
      <w:pPr>
        <w:rPr>
          <w:u w:val="single"/>
        </w:rPr>
      </w:pPr>
    </w:p>
    <w:p w:rsidR="00435FF1" w:rsidRPr="004F3AB8" w:rsidRDefault="00435FF1" w:rsidP="00435FF1">
      <w:pPr>
        <w:ind w:left="851" w:hanging="425"/>
      </w:pPr>
      <w:r w:rsidRPr="004F3AB8">
        <w:noBreakHyphen/>
      </w:r>
      <w:r w:rsidRPr="004F3AB8">
        <w:tab/>
        <w:t>Modifications dans la structure administrative : pas de modification</w:t>
      </w:r>
    </w:p>
    <w:p w:rsidR="00435FF1" w:rsidRPr="004F3AB8" w:rsidRDefault="00435FF1" w:rsidP="00435FF1">
      <w:pPr>
        <w:ind w:left="851" w:hanging="425"/>
      </w:pPr>
      <w:r w:rsidRPr="004F3AB8">
        <w:noBreakHyphen/>
      </w:r>
      <w:r w:rsidRPr="004F3AB8">
        <w:tab/>
        <w:t>Modification des procédures et des systèmes : pas de modification (d’ordre administratif)</w:t>
      </w:r>
    </w:p>
    <w:p w:rsidR="00435FF1" w:rsidRPr="004F3AB8" w:rsidRDefault="00435FF1" w:rsidP="00435FF1"/>
    <w:p w:rsidR="00435FF1" w:rsidRPr="004F3AB8" w:rsidRDefault="00435FF1" w:rsidP="00435FF1"/>
    <w:p w:rsidR="00435FF1" w:rsidRPr="004F3AB8" w:rsidRDefault="00435FF1" w:rsidP="00435FF1">
      <w:r w:rsidRPr="004F3AB8">
        <w:t>4.</w:t>
      </w:r>
      <w:r w:rsidRPr="004F3AB8">
        <w:tab/>
      </w:r>
      <w:r w:rsidRPr="004F3AB8">
        <w:rPr>
          <w:u w:val="single"/>
        </w:rPr>
        <w:t>Situation dans le domaine technique</w:t>
      </w:r>
      <w:r w:rsidRPr="004F3AB8">
        <w:t xml:space="preserve"> (voir le point 3)</w:t>
      </w:r>
    </w:p>
    <w:p w:rsidR="00435FF1" w:rsidRPr="004F3AB8" w:rsidRDefault="00435FF1" w:rsidP="00435FF1"/>
    <w:p w:rsidR="00435FF1" w:rsidRPr="004F3AB8" w:rsidRDefault="00435FF1" w:rsidP="00435FF1"/>
    <w:p w:rsidR="00435FF1" w:rsidRPr="004F3AB8" w:rsidRDefault="00435FF1" w:rsidP="00435FF1">
      <w:pPr>
        <w:rPr>
          <w:u w:val="single"/>
        </w:rPr>
      </w:pPr>
      <w:r w:rsidRPr="004F3AB8">
        <w:t>5.</w:t>
      </w:r>
      <w:r w:rsidRPr="004F3AB8">
        <w:tab/>
      </w:r>
      <w:r w:rsidRPr="004F3AB8">
        <w:rPr>
          <w:u w:val="single"/>
        </w:rPr>
        <w:t>Activités de promotion de la protection des obtentions végétales</w:t>
      </w:r>
    </w:p>
    <w:p w:rsidR="00435FF1" w:rsidRPr="004F3AB8" w:rsidRDefault="00435FF1" w:rsidP="00435FF1"/>
    <w:tbl>
      <w:tblPr>
        <w:tblStyle w:val="TableGrid"/>
        <w:tblW w:w="9747" w:type="dxa"/>
        <w:tblLayout w:type="fixed"/>
        <w:tblCellMar>
          <w:left w:w="57" w:type="dxa"/>
          <w:right w:w="57" w:type="dxa"/>
        </w:tblCellMar>
        <w:tblLook w:val="01E0" w:firstRow="1" w:lastRow="1" w:firstColumn="1" w:lastColumn="1" w:noHBand="0" w:noVBand="0"/>
      </w:tblPr>
      <w:tblGrid>
        <w:gridCol w:w="1101"/>
        <w:gridCol w:w="1224"/>
        <w:gridCol w:w="1134"/>
        <w:gridCol w:w="1418"/>
        <w:gridCol w:w="1134"/>
        <w:gridCol w:w="1843"/>
        <w:gridCol w:w="1893"/>
      </w:tblGrid>
      <w:tr w:rsidR="00435FF1" w:rsidRPr="004F3AB8" w:rsidTr="00435FF1">
        <w:trPr>
          <w:cantSplit/>
          <w:tblHeader/>
        </w:trPr>
        <w:tc>
          <w:tcPr>
            <w:tcW w:w="1101" w:type="dxa"/>
          </w:tcPr>
          <w:p w:rsidR="00435FF1" w:rsidRPr="004F3AB8" w:rsidRDefault="00435FF1" w:rsidP="004F3AB8">
            <w:pPr>
              <w:jc w:val="left"/>
              <w:rPr>
                <w:sz w:val="18"/>
                <w:szCs w:val="18"/>
              </w:rPr>
            </w:pPr>
            <w:r w:rsidRPr="004F3AB8">
              <w:rPr>
                <w:sz w:val="18"/>
              </w:rPr>
              <w:t>Titre de l’activité</w:t>
            </w:r>
          </w:p>
        </w:tc>
        <w:tc>
          <w:tcPr>
            <w:tcW w:w="1224" w:type="dxa"/>
          </w:tcPr>
          <w:p w:rsidR="00435FF1" w:rsidRPr="004F3AB8" w:rsidRDefault="00435FF1" w:rsidP="004F3AB8">
            <w:pPr>
              <w:jc w:val="left"/>
              <w:rPr>
                <w:sz w:val="18"/>
                <w:szCs w:val="18"/>
              </w:rPr>
            </w:pPr>
            <w:r w:rsidRPr="004F3AB8">
              <w:rPr>
                <w:sz w:val="18"/>
                <w:szCs w:val="18"/>
              </w:rPr>
              <w:t>Date</w:t>
            </w:r>
          </w:p>
        </w:tc>
        <w:tc>
          <w:tcPr>
            <w:tcW w:w="1134" w:type="dxa"/>
          </w:tcPr>
          <w:p w:rsidR="00435FF1" w:rsidRPr="004F3AB8" w:rsidRDefault="00435FF1" w:rsidP="004F3AB8">
            <w:pPr>
              <w:jc w:val="left"/>
              <w:rPr>
                <w:sz w:val="18"/>
                <w:szCs w:val="18"/>
              </w:rPr>
            </w:pPr>
            <w:r w:rsidRPr="004F3AB8">
              <w:rPr>
                <w:sz w:val="18"/>
                <w:szCs w:val="18"/>
              </w:rPr>
              <w:t>Lieu</w:t>
            </w:r>
          </w:p>
        </w:tc>
        <w:tc>
          <w:tcPr>
            <w:tcW w:w="1418" w:type="dxa"/>
          </w:tcPr>
          <w:p w:rsidR="00435FF1" w:rsidRPr="004F3AB8" w:rsidRDefault="00435FF1" w:rsidP="004F3AB8">
            <w:pPr>
              <w:jc w:val="left"/>
              <w:rPr>
                <w:sz w:val="18"/>
                <w:szCs w:val="18"/>
              </w:rPr>
            </w:pPr>
            <w:r w:rsidRPr="004F3AB8">
              <w:rPr>
                <w:sz w:val="18"/>
                <w:szCs w:val="18"/>
              </w:rPr>
              <w:t>Organisateur(s)</w:t>
            </w:r>
          </w:p>
        </w:tc>
        <w:tc>
          <w:tcPr>
            <w:tcW w:w="1134" w:type="dxa"/>
          </w:tcPr>
          <w:p w:rsidR="00435FF1" w:rsidRPr="004F3AB8" w:rsidRDefault="00435FF1" w:rsidP="004F3AB8">
            <w:pPr>
              <w:jc w:val="left"/>
              <w:rPr>
                <w:sz w:val="18"/>
                <w:szCs w:val="18"/>
              </w:rPr>
            </w:pPr>
            <w:r w:rsidRPr="004F3AB8">
              <w:rPr>
                <w:sz w:val="18"/>
                <w:szCs w:val="18"/>
              </w:rPr>
              <w:t>But de l’activité</w:t>
            </w:r>
          </w:p>
        </w:tc>
        <w:tc>
          <w:tcPr>
            <w:tcW w:w="1843" w:type="dxa"/>
          </w:tcPr>
          <w:p w:rsidR="00435FF1" w:rsidRPr="004F3AB8" w:rsidRDefault="00435FF1" w:rsidP="004F3AB8">
            <w:pPr>
              <w:jc w:val="left"/>
              <w:rPr>
                <w:sz w:val="18"/>
                <w:szCs w:val="18"/>
              </w:rPr>
            </w:pPr>
            <w:r w:rsidRPr="004F3AB8">
              <w:rPr>
                <w:sz w:val="18"/>
              </w:rPr>
              <w:t>Pays/organisations participants (nombre de participants de chacun d’eux)</w:t>
            </w:r>
          </w:p>
        </w:tc>
        <w:tc>
          <w:tcPr>
            <w:tcW w:w="1893" w:type="dxa"/>
          </w:tcPr>
          <w:p w:rsidR="00435FF1" w:rsidRPr="004F3AB8" w:rsidRDefault="00435FF1" w:rsidP="004F3AB8">
            <w:pPr>
              <w:jc w:val="left"/>
              <w:rPr>
                <w:sz w:val="18"/>
                <w:szCs w:val="18"/>
              </w:rPr>
            </w:pPr>
            <w:r w:rsidRPr="004F3AB8">
              <w:rPr>
                <w:sz w:val="18"/>
                <w:szCs w:val="18"/>
              </w:rPr>
              <w:t>Observations</w:t>
            </w:r>
          </w:p>
        </w:tc>
      </w:tr>
      <w:tr w:rsidR="00435FF1" w:rsidRPr="004F3AB8" w:rsidTr="00435FF1">
        <w:trPr>
          <w:cantSplit/>
        </w:trPr>
        <w:tc>
          <w:tcPr>
            <w:tcW w:w="1101" w:type="dxa"/>
          </w:tcPr>
          <w:p w:rsidR="00435FF1" w:rsidRPr="004F3AB8" w:rsidRDefault="00435FF1" w:rsidP="004F3AB8">
            <w:pPr>
              <w:jc w:val="left"/>
              <w:rPr>
                <w:sz w:val="18"/>
                <w:szCs w:val="18"/>
              </w:rPr>
            </w:pPr>
            <w:r w:rsidRPr="004F3AB8">
              <w:rPr>
                <w:sz w:val="18"/>
                <w:szCs w:val="18"/>
              </w:rPr>
              <w:t>1.</w:t>
            </w:r>
          </w:p>
          <w:p w:rsidR="00435FF1" w:rsidRPr="004F3AB8" w:rsidRDefault="00435FF1" w:rsidP="004F3AB8">
            <w:pPr>
              <w:jc w:val="left"/>
              <w:rPr>
                <w:sz w:val="18"/>
                <w:szCs w:val="18"/>
              </w:rPr>
            </w:pPr>
          </w:p>
        </w:tc>
        <w:tc>
          <w:tcPr>
            <w:tcW w:w="1224" w:type="dxa"/>
          </w:tcPr>
          <w:p w:rsidR="00435FF1" w:rsidRPr="004F3AB8" w:rsidRDefault="00435FF1" w:rsidP="004F3AB8">
            <w:pPr>
              <w:jc w:val="left"/>
              <w:rPr>
                <w:sz w:val="18"/>
                <w:szCs w:val="18"/>
              </w:rPr>
            </w:pPr>
            <w:r w:rsidRPr="004F3AB8">
              <w:rPr>
                <w:sz w:val="18"/>
                <w:szCs w:val="18"/>
              </w:rPr>
              <w:t>21/10/2014</w:t>
            </w:r>
          </w:p>
        </w:tc>
        <w:tc>
          <w:tcPr>
            <w:tcW w:w="1134" w:type="dxa"/>
          </w:tcPr>
          <w:p w:rsidR="00435FF1" w:rsidRPr="004F3AB8" w:rsidRDefault="00435FF1" w:rsidP="004F3AB8">
            <w:pPr>
              <w:jc w:val="left"/>
              <w:rPr>
                <w:sz w:val="18"/>
                <w:szCs w:val="18"/>
              </w:rPr>
            </w:pPr>
            <w:r w:rsidRPr="004F3AB8">
              <w:rPr>
                <w:sz w:val="18"/>
                <w:szCs w:val="18"/>
              </w:rPr>
              <w:t>Hôtel Neruda, Santiago</w:t>
            </w:r>
          </w:p>
        </w:tc>
        <w:tc>
          <w:tcPr>
            <w:tcW w:w="1418" w:type="dxa"/>
          </w:tcPr>
          <w:p w:rsidR="00435FF1" w:rsidRPr="004F3AB8" w:rsidRDefault="00435FF1" w:rsidP="004F3AB8">
            <w:pPr>
              <w:jc w:val="left"/>
              <w:rPr>
                <w:sz w:val="18"/>
                <w:szCs w:val="18"/>
              </w:rPr>
            </w:pPr>
            <w:r w:rsidRPr="004F3AB8">
              <w:rPr>
                <w:sz w:val="18"/>
                <w:szCs w:val="18"/>
              </w:rPr>
              <w:t>Service de l’agriculture et de l’élevage / UPOV</w:t>
            </w:r>
          </w:p>
        </w:tc>
        <w:tc>
          <w:tcPr>
            <w:tcW w:w="1134" w:type="dxa"/>
          </w:tcPr>
          <w:p w:rsidR="00435FF1" w:rsidRPr="004F3AB8" w:rsidRDefault="00435FF1" w:rsidP="004F3AB8">
            <w:pPr>
              <w:jc w:val="left"/>
              <w:rPr>
                <w:sz w:val="18"/>
                <w:szCs w:val="18"/>
              </w:rPr>
            </w:pPr>
            <w:r w:rsidRPr="004F3AB8">
              <w:rPr>
                <w:sz w:val="18"/>
                <w:szCs w:val="18"/>
              </w:rPr>
              <w:t>Atelier international sur le droit d’obtenteur</w:t>
            </w:r>
          </w:p>
        </w:tc>
        <w:tc>
          <w:tcPr>
            <w:tcW w:w="1843" w:type="dxa"/>
          </w:tcPr>
          <w:p w:rsidR="00435FF1" w:rsidRPr="004F3AB8" w:rsidRDefault="00435FF1" w:rsidP="004F3AB8">
            <w:pPr>
              <w:jc w:val="left"/>
              <w:rPr>
                <w:sz w:val="18"/>
                <w:szCs w:val="18"/>
              </w:rPr>
            </w:pPr>
            <w:r w:rsidRPr="004F3AB8">
              <w:rPr>
                <w:sz w:val="18"/>
                <w:szCs w:val="18"/>
              </w:rPr>
              <w:t>Chili</w:t>
            </w:r>
          </w:p>
        </w:tc>
        <w:tc>
          <w:tcPr>
            <w:tcW w:w="1893" w:type="dxa"/>
          </w:tcPr>
          <w:p w:rsidR="00435FF1" w:rsidRPr="004F3AB8" w:rsidRDefault="00435FF1" w:rsidP="004F3AB8">
            <w:pPr>
              <w:jc w:val="left"/>
              <w:rPr>
                <w:sz w:val="18"/>
                <w:szCs w:val="18"/>
              </w:rPr>
            </w:pPr>
            <w:r w:rsidRPr="004F3AB8">
              <w:rPr>
                <w:sz w:val="18"/>
                <w:szCs w:val="18"/>
              </w:rPr>
              <w:t>50 participants : obtenteurs, représentants, association de producteurs de semences, association de pépiniéristes, cabinets d’avocats, professionnels de la sélection végétale, universités</w:t>
            </w:r>
          </w:p>
        </w:tc>
      </w:tr>
      <w:tr w:rsidR="00435FF1" w:rsidRPr="004F3AB8" w:rsidTr="00435FF1">
        <w:trPr>
          <w:cantSplit/>
        </w:trPr>
        <w:tc>
          <w:tcPr>
            <w:tcW w:w="1101" w:type="dxa"/>
          </w:tcPr>
          <w:p w:rsidR="00435FF1" w:rsidRPr="004F3AB8" w:rsidRDefault="00435FF1" w:rsidP="004F3AB8">
            <w:pPr>
              <w:jc w:val="left"/>
              <w:rPr>
                <w:sz w:val="18"/>
                <w:szCs w:val="18"/>
              </w:rPr>
            </w:pPr>
            <w:r w:rsidRPr="004F3AB8">
              <w:rPr>
                <w:sz w:val="18"/>
                <w:szCs w:val="18"/>
              </w:rPr>
              <w:t>2.</w:t>
            </w:r>
          </w:p>
          <w:p w:rsidR="00435FF1" w:rsidRPr="004F3AB8" w:rsidRDefault="00435FF1" w:rsidP="004F3AB8">
            <w:pPr>
              <w:jc w:val="left"/>
              <w:rPr>
                <w:sz w:val="18"/>
                <w:szCs w:val="18"/>
              </w:rPr>
            </w:pPr>
          </w:p>
        </w:tc>
        <w:tc>
          <w:tcPr>
            <w:tcW w:w="1224" w:type="dxa"/>
          </w:tcPr>
          <w:p w:rsidR="00435FF1" w:rsidRPr="004F3AB8" w:rsidRDefault="00435FF1" w:rsidP="004F3AB8">
            <w:pPr>
              <w:jc w:val="left"/>
              <w:rPr>
                <w:sz w:val="18"/>
                <w:szCs w:val="18"/>
              </w:rPr>
            </w:pPr>
            <w:r w:rsidRPr="004F3AB8">
              <w:rPr>
                <w:sz w:val="18"/>
                <w:szCs w:val="18"/>
              </w:rPr>
              <w:t>23/01/2015</w:t>
            </w:r>
          </w:p>
        </w:tc>
        <w:tc>
          <w:tcPr>
            <w:tcW w:w="1134" w:type="dxa"/>
          </w:tcPr>
          <w:p w:rsidR="00435FF1" w:rsidRPr="004F3AB8" w:rsidRDefault="00435FF1" w:rsidP="004F3AB8">
            <w:pPr>
              <w:jc w:val="left"/>
              <w:rPr>
                <w:sz w:val="18"/>
                <w:szCs w:val="18"/>
                <w:highlight w:val="red"/>
              </w:rPr>
            </w:pPr>
            <w:r w:rsidRPr="004F3AB8">
              <w:rPr>
                <w:sz w:val="18"/>
                <w:szCs w:val="18"/>
              </w:rPr>
              <w:t>Institut national de la propriété industrielle, Santiago</w:t>
            </w:r>
          </w:p>
        </w:tc>
        <w:tc>
          <w:tcPr>
            <w:tcW w:w="1418" w:type="dxa"/>
          </w:tcPr>
          <w:p w:rsidR="00435FF1" w:rsidRPr="004F3AB8" w:rsidRDefault="00435FF1" w:rsidP="004F3AB8">
            <w:pPr>
              <w:jc w:val="left"/>
              <w:rPr>
                <w:sz w:val="18"/>
                <w:szCs w:val="18"/>
              </w:rPr>
            </w:pPr>
            <w:r w:rsidRPr="004F3AB8">
              <w:rPr>
                <w:sz w:val="18"/>
                <w:szCs w:val="18"/>
              </w:rPr>
              <w:t>Institut national de propriété industrielle, OMPI</w:t>
            </w:r>
          </w:p>
        </w:tc>
        <w:tc>
          <w:tcPr>
            <w:tcW w:w="1134" w:type="dxa"/>
          </w:tcPr>
          <w:p w:rsidR="00435FF1" w:rsidRPr="004F3AB8" w:rsidRDefault="00435FF1" w:rsidP="004F3AB8">
            <w:pPr>
              <w:jc w:val="left"/>
              <w:rPr>
                <w:sz w:val="18"/>
                <w:szCs w:val="18"/>
                <w:highlight w:val="red"/>
              </w:rPr>
            </w:pPr>
            <w:r w:rsidRPr="004F3AB8">
              <w:rPr>
                <w:sz w:val="18"/>
                <w:szCs w:val="18"/>
              </w:rPr>
              <w:t>Cours d’été de l’OMPI</w:t>
            </w:r>
          </w:p>
        </w:tc>
        <w:tc>
          <w:tcPr>
            <w:tcW w:w="1843" w:type="dxa"/>
          </w:tcPr>
          <w:p w:rsidR="00435FF1" w:rsidRPr="004F3AB8" w:rsidRDefault="00435FF1" w:rsidP="004F3AB8">
            <w:pPr>
              <w:jc w:val="left"/>
              <w:rPr>
                <w:sz w:val="18"/>
                <w:szCs w:val="18"/>
              </w:rPr>
            </w:pPr>
            <w:r w:rsidRPr="004F3AB8">
              <w:rPr>
                <w:sz w:val="18"/>
                <w:szCs w:val="18"/>
              </w:rPr>
              <w:t>Chili, Colombie, Paraguay, Pérou, Équateur, Argentine, Uruguay, Brésil</w:t>
            </w:r>
          </w:p>
        </w:tc>
        <w:tc>
          <w:tcPr>
            <w:tcW w:w="1893" w:type="dxa"/>
          </w:tcPr>
          <w:p w:rsidR="00435FF1" w:rsidRPr="004F3AB8" w:rsidRDefault="00435FF1" w:rsidP="004F3AB8">
            <w:pPr>
              <w:jc w:val="left"/>
              <w:rPr>
                <w:sz w:val="18"/>
                <w:szCs w:val="18"/>
                <w:highlight w:val="yellow"/>
              </w:rPr>
            </w:pPr>
            <w:r w:rsidRPr="004F3AB8">
              <w:rPr>
                <w:sz w:val="18"/>
                <w:szCs w:val="18"/>
              </w:rPr>
              <w:t>Thème de la manifestation : “Protection des variétés végétales, Convention de l’Union internationale pour la protection des obtentions végétales (UPOV)”</w:t>
            </w:r>
          </w:p>
        </w:tc>
      </w:tr>
      <w:tr w:rsidR="00435FF1" w:rsidRPr="004F3AB8" w:rsidTr="00435FF1">
        <w:trPr>
          <w:cantSplit/>
          <w:trHeight w:val="2173"/>
        </w:trPr>
        <w:tc>
          <w:tcPr>
            <w:tcW w:w="1101" w:type="dxa"/>
          </w:tcPr>
          <w:p w:rsidR="00435FF1" w:rsidRPr="004F3AB8" w:rsidRDefault="00435FF1" w:rsidP="004F3AB8">
            <w:pPr>
              <w:jc w:val="left"/>
              <w:rPr>
                <w:sz w:val="18"/>
                <w:szCs w:val="18"/>
              </w:rPr>
            </w:pPr>
            <w:r w:rsidRPr="004F3AB8">
              <w:rPr>
                <w:sz w:val="18"/>
                <w:szCs w:val="18"/>
              </w:rPr>
              <w:t>3.</w:t>
            </w:r>
          </w:p>
          <w:p w:rsidR="00435FF1" w:rsidRPr="004F3AB8" w:rsidRDefault="00435FF1" w:rsidP="004F3AB8">
            <w:pPr>
              <w:jc w:val="left"/>
              <w:rPr>
                <w:sz w:val="18"/>
                <w:szCs w:val="18"/>
              </w:rPr>
            </w:pPr>
          </w:p>
        </w:tc>
        <w:tc>
          <w:tcPr>
            <w:tcW w:w="1224" w:type="dxa"/>
          </w:tcPr>
          <w:p w:rsidR="00435FF1" w:rsidRPr="004F3AB8" w:rsidRDefault="00435FF1" w:rsidP="004F3AB8">
            <w:pPr>
              <w:jc w:val="left"/>
              <w:rPr>
                <w:sz w:val="18"/>
                <w:szCs w:val="18"/>
              </w:rPr>
            </w:pPr>
            <w:r w:rsidRPr="004F3AB8">
              <w:rPr>
                <w:sz w:val="18"/>
                <w:szCs w:val="18"/>
              </w:rPr>
              <w:t>Mai 2015</w:t>
            </w:r>
          </w:p>
        </w:tc>
        <w:tc>
          <w:tcPr>
            <w:tcW w:w="1134" w:type="dxa"/>
          </w:tcPr>
          <w:p w:rsidR="00435FF1" w:rsidRPr="004F3AB8" w:rsidRDefault="00435FF1" w:rsidP="004F3AB8">
            <w:pPr>
              <w:jc w:val="left"/>
              <w:rPr>
                <w:sz w:val="18"/>
                <w:szCs w:val="18"/>
              </w:rPr>
            </w:pPr>
            <w:r w:rsidRPr="004F3AB8">
              <w:rPr>
                <w:sz w:val="18"/>
                <w:szCs w:val="18"/>
              </w:rPr>
              <w:t>Santiago</w:t>
            </w:r>
          </w:p>
        </w:tc>
        <w:tc>
          <w:tcPr>
            <w:tcW w:w="1418" w:type="dxa"/>
          </w:tcPr>
          <w:p w:rsidR="00435FF1" w:rsidRPr="004F3AB8" w:rsidRDefault="00435FF1" w:rsidP="004F3AB8">
            <w:pPr>
              <w:jc w:val="left"/>
              <w:rPr>
                <w:sz w:val="18"/>
                <w:szCs w:val="18"/>
              </w:rPr>
            </w:pPr>
            <w:r w:rsidRPr="004F3AB8">
              <w:rPr>
                <w:sz w:val="18"/>
                <w:szCs w:val="18"/>
              </w:rPr>
              <w:t>Service de l’agriculture et de l’élevage / UPOV</w:t>
            </w:r>
          </w:p>
        </w:tc>
        <w:tc>
          <w:tcPr>
            <w:tcW w:w="1134" w:type="dxa"/>
          </w:tcPr>
          <w:p w:rsidR="00435FF1" w:rsidRPr="004F3AB8" w:rsidRDefault="00435FF1" w:rsidP="004F3AB8">
            <w:pPr>
              <w:jc w:val="left"/>
              <w:rPr>
                <w:sz w:val="18"/>
                <w:szCs w:val="18"/>
              </w:rPr>
            </w:pPr>
            <w:r w:rsidRPr="004F3AB8">
              <w:rPr>
                <w:sz w:val="18"/>
                <w:szCs w:val="18"/>
              </w:rPr>
              <w:t xml:space="preserve">Session spéciale Cours DL 205 </w:t>
            </w:r>
          </w:p>
        </w:tc>
        <w:tc>
          <w:tcPr>
            <w:tcW w:w="1843" w:type="dxa"/>
          </w:tcPr>
          <w:p w:rsidR="00435FF1" w:rsidRPr="004F3AB8" w:rsidRDefault="00435FF1" w:rsidP="004F3AB8">
            <w:pPr>
              <w:jc w:val="left"/>
              <w:rPr>
                <w:sz w:val="18"/>
                <w:szCs w:val="18"/>
              </w:rPr>
            </w:pPr>
            <w:r w:rsidRPr="004F3AB8">
              <w:rPr>
                <w:sz w:val="18"/>
                <w:szCs w:val="18"/>
              </w:rPr>
              <w:t xml:space="preserve">Chili </w:t>
            </w:r>
          </w:p>
        </w:tc>
        <w:tc>
          <w:tcPr>
            <w:tcW w:w="1893" w:type="dxa"/>
          </w:tcPr>
          <w:p w:rsidR="00435FF1" w:rsidRPr="004F3AB8" w:rsidRDefault="00435FF1" w:rsidP="004F3AB8">
            <w:pPr>
              <w:jc w:val="left"/>
              <w:rPr>
                <w:sz w:val="18"/>
                <w:szCs w:val="18"/>
              </w:rPr>
            </w:pPr>
            <w:r w:rsidRPr="004F3AB8">
              <w:rPr>
                <w:sz w:val="18"/>
                <w:szCs w:val="18"/>
              </w:rPr>
              <w:t>35 participants : obtenteurs, représentants, association de producteurs de semences, association de pépiniéristes, cabinets d’avocats, professionnels de la sélection végétale, universités</w:t>
            </w:r>
          </w:p>
        </w:tc>
      </w:tr>
      <w:tr w:rsidR="00435FF1" w:rsidRPr="004F3AB8" w:rsidTr="00435FF1">
        <w:trPr>
          <w:cantSplit/>
          <w:trHeight w:val="2173"/>
        </w:trPr>
        <w:tc>
          <w:tcPr>
            <w:tcW w:w="1101" w:type="dxa"/>
          </w:tcPr>
          <w:p w:rsidR="00435FF1" w:rsidRPr="004F3AB8" w:rsidRDefault="00435FF1" w:rsidP="00435FF1">
            <w:pPr>
              <w:jc w:val="left"/>
              <w:rPr>
                <w:sz w:val="18"/>
                <w:szCs w:val="18"/>
              </w:rPr>
            </w:pPr>
            <w:r w:rsidRPr="004F3AB8">
              <w:rPr>
                <w:sz w:val="18"/>
                <w:szCs w:val="18"/>
              </w:rPr>
              <w:t>4.</w:t>
            </w:r>
          </w:p>
        </w:tc>
        <w:tc>
          <w:tcPr>
            <w:tcW w:w="1224" w:type="dxa"/>
          </w:tcPr>
          <w:p w:rsidR="00435FF1" w:rsidRPr="004F3AB8" w:rsidRDefault="00435FF1" w:rsidP="004F3AB8">
            <w:pPr>
              <w:jc w:val="left"/>
              <w:rPr>
                <w:sz w:val="18"/>
                <w:szCs w:val="18"/>
              </w:rPr>
            </w:pPr>
            <w:r w:rsidRPr="004F3AB8">
              <w:rPr>
                <w:sz w:val="18"/>
                <w:szCs w:val="18"/>
              </w:rPr>
              <w:t>25 août 2015</w:t>
            </w:r>
          </w:p>
        </w:tc>
        <w:tc>
          <w:tcPr>
            <w:tcW w:w="1134" w:type="dxa"/>
          </w:tcPr>
          <w:p w:rsidR="00435FF1" w:rsidRPr="004F3AB8" w:rsidRDefault="00435FF1" w:rsidP="004F3AB8">
            <w:pPr>
              <w:jc w:val="left"/>
              <w:rPr>
                <w:sz w:val="18"/>
                <w:szCs w:val="18"/>
              </w:rPr>
            </w:pPr>
            <w:r w:rsidRPr="004F3AB8">
              <w:rPr>
                <w:sz w:val="18"/>
                <w:szCs w:val="18"/>
              </w:rPr>
              <w:t xml:space="preserve">Hôtel </w:t>
            </w:r>
            <w:proofErr w:type="spellStart"/>
            <w:r w:rsidRPr="004F3AB8">
              <w:rPr>
                <w:sz w:val="18"/>
                <w:szCs w:val="18"/>
              </w:rPr>
              <w:t>Fundador</w:t>
            </w:r>
            <w:proofErr w:type="spellEnd"/>
            <w:r w:rsidRPr="004F3AB8">
              <w:rPr>
                <w:sz w:val="18"/>
                <w:szCs w:val="18"/>
              </w:rPr>
              <w:t>, Santiago</w:t>
            </w:r>
          </w:p>
        </w:tc>
        <w:tc>
          <w:tcPr>
            <w:tcW w:w="1418" w:type="dxa"/>
          </w:tcPr>
          <w:p w:rsidR="00435FF1" w:rsidRPr="004F3AB8" w:rsidRDefault="00435FF1" w:rsidP="004F3AB8">
            <w:pPr>
              <w:jc w:val="left"/>
              <w:rPr>
                <w:sz w:val="18"/>
                <w:szCs w:val="18"/>
                <w:highlight w:val="red"/>
              </w:rPr>
            </w:pPr>
            <w:r w:rsidRPr="004F3AB8">
              <w:rPr>
                <w:sz w:val="18"/>
                <w:szCs w:val="18"/>
              </w:rPr>
              <w:t>Service de l’agriculture et de l’élevage</w:t>
            </w:r>
          </w:p>
        </w:tc>
        <w:tc>
          <w:tcPr>
            <w:tcW w:w="1134" w:type="dxa"/>
          </w:tcPr>
          <w:p w:rsidR="00435FF1" w:rsidRPr="004F3AB8" w:rsidRDefault="00435FF1" w:rsidP="004F3AB8">
            <w:pPr>
              <w:jc w:val="left"/>
              <w:rPr>
                <w:sz w:val="18"/>
                <w:szCs w:val="18"/>
              </w:rPr>
            </w:pPr>
            <w:r w:rsidRPr="004F3AB8">
              <w:rPr>
                <w:sz w:val="18"/>
                <w:szCs w:val="18"/>
              </w:rPr>
              <w:t>Atelier sur le droit d’obtenteur</w:t>
            </w:r>
          </w:p>
        </w:tc>
        <w:tc>
          <w:tcPr>
            <w:tcW w:w="1843" w:type="dxa"/>
          </w:tcPr>
          <w:p w:rsidR="00435FF1" w:rsidRPr="004F3AB8" w:rsidRDefault="00435FF1" w:rsidP="004F3AB8">
            <w:pPr>
              <w:jc w:val="left"/>
              <w:rPr>
                <w:sz w:val="18"/>
                <w:szCs w:val="18"/>
              </w:rPr>
            </w:pPr>
            <w:r w:rsidRPr="004F3AB8">
              <w:rPr>
                <w:sz w:val="18"/>
                <w:szCs w:val="18"/>
              </w:rPr>
              <w:t>Chili</w:t>
            </w:r>
          </w:p>
        </w:tc>
        <w:tc>
          <w:tcPr>
            <w:tcW w:w="1893" w:type="dxa"/>
          </w:tcPr>
          <w:p w:rsidR="00435FF1" w:rsidRPr="004F3AB8" w:rsidRDefault="00435FF1" w:rsidP="004F3AB8">
            <w:pPr>
              <w:jc w:val="left"/>
              <w:rPr>
                <w:sz w:val="18"/>
                <w:szCs w:val="18"/>
              </w:rPr>
            </w:pPr>
            <w:r w:rsidRPr="004F3AB8">
              <w:rPr>
                <w:sz w:val="18"/>
                <w:szCs w:val="18"/>
              </w:rPr>
              <w:t>50 participants : obtenteurs, représentants, association de producteurs de semences, association de pépiniéristes, cabinets d’avocats, professionnels de la sélection végétale, universités</w:t>
            </w:r>
          </w:p>
        </w:tc>
      </w:tr>
    </w:tbl>
    <w:p w:rsidR="00435FF1" w:rsidRPr="004F3AB8" w:rsidRDefault="00435FF1" w:rsidP="00435FF1"/>
    <w:p w:rsidR="00944AEF" w:rsidRPr="004F3AB8" w:rsidRDefault="00944AEF" w:rsidP="00944AEF"/>
    <w:p w:rsidR="00944AEF" w:rsidRPr="004F3AB8" w:rsidRDefault="00944AEF" w:rsidP="00944AEF"/>
    <w:p w:rsidR="00944AEF" w:rsidRPr="004F3AB8" w:rsidRDefault="00944AEF" w:rsidP="00944AEF">
      <w:pPr>
        <w:jc w:val="right"/>
      </w:pPr>
      <w:r w:rsidRPr="004F3AB8">
        <w:t>[L’annexe III suit]</w:t>
      </w:r>
    </w:p>
    <w:p w:rsidR="00944AEF" w:rsidRPr="004F3AB8" w:rsidRDefault="00944AEF" w:rsidP="00944AEF">
      <w:pPr>
        <w:jc w:val="left"/>
      </w:pPr>
    </w:p>
    <w:p w:rsidR="00944AEF" w:rsidRPr="004F3AB8" w:rsidRDefault="00944AEF" w:rsidP="00944AEF">
      <w:pPr>
        <w:jc w:val="left"/>
        <w:sectPr w:rsidR="00944AEF" w:rsidRPr="004F3AB8" w:rsidSect="004F3AB8">
          <w:headerReference w:type="default" r:id="rId12"/>
          <w:pgSz w:w="11907" w:h="16840" w:code="9"/>
          <w:pgMar w:top="510" w:right="1134" w:bottom="1134" w:left="1134" w:header="510" w:footer="680" w:gutter="0"/>
          <w:pgNumType w:start="1"/>
          <w:cols w:space="720"/>
          <w:titlePg/>
        </w:sectPr>
      </w:pPr>
    </w:p>
    <w:p w:rsidR="00944AEF" w:rsidRPr="004F3AB8" w:rsidRDefault="00944AEF" w:rsidP="00944AEF">
      <w:pPr>
        <w:jc w:val="center"/>
      </w:pPr>
      <w:r w:rsidRPr="004F3AB8">
        <w:t>C/49/15</w:t>
      </w:r>
    </w:p>
    <w:p w:rsidR="00944AEF" w:rsidRPr="004F3AB8" w:rsidRDefault="00944AEF" w:rsidP="00944AEF">
      <w:pPr>
        <w:jc w:val="center"/>
      </w:pPr>
    </w:p>
    <w:p w:rsidR="00944AEF" w:rsidRPr="004F3AB8" w:rsidRDefault="00944AEF" w:rsidP="00944AEF">
      <w:pPr>
        <w:jc w:val="center"/>
      </w:pPr>
      <w:r w:rsidRPr="004F3AB8">
        <w:t>ANNEXE III</w:t>
      </w:r>
    </w:p>
    <w:p w:rsidR="00944AEF" w:rsidRPr="004F3AB8" w:rsidRDefault="00944AEF" w:rsidP="00944AEF">
      <w:pPr>
        <w:jc w:val="center"/>
      </w:pPr>
    </w:p>
    <w:p w:rsidR="00944AEF" w:rsidRPr="004F3AB8" w:rsidRDefault="00944AEF" w:rsidP="00944AEF">
      <w:pPr>
        <w:jc w:val="center"/>
      </w:pPr>
    </w:p>
    <w:p w:rsidR="00944AEF" w:rsidRPr="004F3AB8" w:rsidRDefault="00944AEF" w:rsidP="00944AEF">
      <w:pPr>
        <w:jc w:val="center"/>
      </w:pPr>
      <w:r w:rsidRPr="004F3AB8">
        <w:t>COLOMBIE</w:t>
      </w:r>
    </w:p>
    <w:p w:rsidR="008474F4" w:rsidRPr="004F3AB8" w:rsidRDefault="008474F4" w:rsidP="008474F4">
      <w:pPr>
        <w:jc w:val="center"/>
      </w:pPr>
      <w:r w:rsidRPr="004F3AB8">
        <w:t>Période : octobre 2014 – septembre 2015</w:t>
      </w:r>
    </w:p>
    <w:p w:rsidR="008474F4" w:rsidRPr="004F3AB8" w:rsidRDefault="008474F4" w:rsidP="008474F4"/>
    <w:p w:rsidR="008474F4" w:rsidRPr="004F3AB8" w:rsidRDefault="008474F4" w:rsidP="008474F4"/>
    <w:p w:rsidR="008474F4" w:rsidRPr="004F3AB8" w:rsidRDefault="008474F4" w:rsidP="008474F4">
      <w:r w:rsidRPr="004F3AB8">
        <w:t>PROTECTION DES OBTENTIONS VÉGÉTALES</w:t>
      </w:r>
    </w:p>
    <w:p w:rsidR="008474F4" w:rsidRPr="004F3AB8" w:rsidRDefault="008474F4" w:rsidP="008474F4"/>
    <w:p w:rsidR="008474F4" w:rsidRPr="004F3AB8" w:rsidRDefault="008474F4" w:rsidP="008474F4">
      <w:pPr>
        <w:rPr>
          <w:u w:val="single"/>
        </w:rPr>
      </w:pPr>
      <w:r w:rsidRPr="004F3AB8">
        <w:rPr>
          <w:u w:val="single"/>
        </w:rPr>
        <w:t>Situation dans le domaine législatif</w:t>
      </w:r>
    </w:p>
    <w:p w:rsidR="008474F4" w:rsidRPr="004F3AB8" w:rsidRDefault="008474F4" w:rsidP="008474F4"/>
    <w:p w:rsidR="008474F4" w:rsidRPr="004F3AB8" w:rsidRDefault="008474F4" w:rsidP="008474F4">
      <w:r w:rsidRPr="004F3AB8">
        <w:t>La législation relative au droit d’obtenteur n’a pas été modifiée pendant la période considérée.  La Colombie continue d’appliquer la législation en vigueur pour la protection des droits des obtenteurs de variétés végétales, sur la base de la décision n° 345 de 1993, elle fait partie de la Convention UPOV (Acte de 1978) et, dans la pratique, elle applique les règles figurant dans l’Acte de 1991 puisqu’elle dispose d’un ensemble de normes qui fait reposer son régime des droits d’obtenteur sur les mêmes dispositions fondamentales que celles de l’Acte de 1991.</w:t>
      </w:r>
    </w:p>
    <w:p w:rsidR="008474F4" w:rsidRPr="004F3AB8" w:rsidRDefault="008474F4" w:rsidP="008474F4"/>
    <w:p w:rsidR="008474F4" w:rsidRPr="004F3AB8" w:rsidRDefault="008474F4" w:rsidP="008474F4">
      <w:r w:rsidRPr="004F3AB8">
        <w:t>En Colombie, le droit d’obtenteur s’étend aux variétés de tous les genres et espèces botaniques dès lors que leur culture, leur possession ou leur utilisation ne sont pas interdites pour des raisons touchant à la santé des êtres humains, des animaux ou des végétaux.</w:t>
      </w:r>
    </w:p>
    <w:p w:rsidR="008474F4" w:rsidRPr="004F3AB8" w:rsidRDefault="008474F4" w:rsidP="008474F4"/>
    <w:p w:rsidR="008474F4" w:rsidRPr="004F3AB8" w:rsidRDefault="008474F4" w:rsidP="008474F4"/>
    <w:p w:rsidR="008474F4" w:rsidRPr="004F3AB8" w:rsidRDefault="008474F4" w:rsidP="008474F4">
      <w:pPr>
        <w:rPr>
          <w:u w:val="single"/>
        </w:rPr>
      </w:pPr>
      <w:r w:rsidRPr="004F3AB8">
        <w:rPr>
          <w:u w:val="single"/>
        </w:rPr>
        <w:t>Situation dans le domaine administratif et technique</w:t>
      </w:r>
    </w:p>
    <w:p w:rsidR="008474F4" w:rsidRPr="004F3AB8" w:rsidRDefault="008474F4" w:rsidP="008474F4"/>
    <w:p w:rsidR="008474F4" w:rsidRPr="004F3AB8" w:rsidRDefault="008474F4" w:rsidP="008474F4">
      <w:r w:rsidRPr="004F3AB8">
        <w:t>À la Direction technique des semences de l’</w:t>
      </w:r>
      <w:proofErr w:type="spellStart"/>
      <w:r w:rsidRPr="004F3AB8">
        <w:t>Instituto</w:t>
      </w:r>
      <w:proofErr w:type="spellEnd"/>
      <w:r w:rsidRPr="004F3AB8">
        <w:t xml:space="preserve"> </w:t>
      </w:r>
      <w:proofErr w:type="spellStart"/>
      <w:r w:rsidRPr="004F3AB8">
        <w:t>Colombiano</w:t>
      </w:r>
      <w:proofErr w:type="spellEnd"/>
      <w:r w:rsidRPr="004F3AB8">
        <w:t xml:space="preserve"> </w:t>
      </w:r>
      <w:proofErr w:type="spellStart"/>
      <w:r w:rsidRPr="004F3AB8">
        <w:t>Agropecuario</w:t>
      </w:r>
      <w:proofErr w:type="spellEnd"/>
      <w:r w:rsidRPr="004F3AB8">
        <w:t xml:space="preserve"> (ICA), aucune modification n’a été apportée à la structure administrative, pas plus qu’aux procédures et systèmes administratifs.  Des liens de coopération en matière d’examen technique sont maintenus avec plusieurs pays membres de l’Union.  Comme on peut le voir dans le graphique 1, pendant la période considérée (octobre 2014 – septembre 2015), 214 demandes émanant de différents pays, notamment les Pays</w:t>
      </w:r>
      <w:r w:rsidRPr="004F3AB8">
        <w:noBreakHyphen/>
        <w:t xml:space="preserve">Bas, l’Allemagne, l’Italie, les </w:t>
      </w:r>
      <w:r w:rsidRPr="004F3AB8">
        <w:rPr>
          <w:rFonts w:cs="Arial"/>
        </w:rPr>
        <w:t>É</w:t>
      </w:r>
      <w:r w:rsidRPr="004F3AB8">
        <w:t>tats</w:t>
      </w:r>
      <w:r w:rsidRPr="004F3AB8">
        <w:noBreakHyphen/>
        <w:t>Unis d’Amérique et la Colombie, ont été reçues, analysées et traitées.</w:t>
      </w:r>
    </w:p>
    <w:p w:rsidR="008474F4" w:rsidRPr="004F3AB8" w:rsidRDefault="008474F4" w:rsidP="008474F4"/>
    <w:p w:rsidR="008474F4" w:rsidRPr="004F3AB8" w:rsidRDefault="008474F4" w:rsidP="008474F4">
      <w:r w:rsidRPr="004F3AB8">
        <w:t>Les espèces qui ont fait l’objet de demandes ont été, entre autres, la rose, le chrysanthème, l’œillet, le café, l’</w:t>
      </w:r>
      <w:proofErr w:type="spellStart"/>
      <w:r w:rsidRPr="004F3AB8">
        <w:t>alstrœmère</w:t>
      </w:r>
      <w:proofErr w:type="spellEnd"/>
      <w:r w:rsidRPr="004F3AB8">
        <w:t xml:space="preserve"> et la tomate.  Des tests de distinction, d’homogénéité et de stabilité (DHS) ont été effectués sur 29 variétés candidates de différentes espèces, comme le soja, le riz et le coton, et sont en cours de réalisation pour le café.  170 certificats d’obtenteur ont été délivrés (graphique 2).</w:t>
      </w:r>
    </w:p>
    <w:p w:rsidR="008474F4" w:rsidRPr="004F3AB8" w:rsidRDefault="008474F4" w:rsidP="008474F4"/>
    <w:p w:rsidR="008474F4" w:rsidRPr="004F3AB8" w:rsidRDefault="008474F4" w:rsidP="008474F4">
      <w:r w:rsidRPr="004F3AB8">
        <w:t>L’ICA élabore et publie le Bulletin des variétés végétales protégées, qui contient des informations détaillées sur la protection des droits d’obtenteur en Colombie.  Durant la période considérée, le Bulletin n° 17 a été publié.</w:t>
      </w:r>
    </w:p>
    <w:p w:rsidR="008474F4" w:rsidRPr="004F3AB8" w:rsidRDefault="008474F4" w:rsidP="008474F4"/>
    <w:p w:rsidR="008474F4" w:rsidRPr="004F3AB8" w:rsidRDefault="008474F4" w:rsidP="008474F4">
      <w:r w:rsidRPr="004F3AB8">
        <w:t>Toujours dans le domaine administratif, l’ICA a été reconnu comme l’autorité nationale compétente en matière de droits d’obtenteur et en qualité d’expert technique désigné pour l’identification de variétés végétales protégées lors des procédures judiciaires qui traitent de l’infraction aux droits d’obtenteur.  Ainsi, l’ICA, en sa qualité d’expert technique, a exercé une activité d’appui judiciaire qui lui a permis d’émettre divers principes et avis sur l’infraction aux droits d’obtenteur.</w:t>
      </w:r>
    </w:p>
    <w:p w:rsidR="008474F4" w:rsidRPr="004F3AB8" w:rsidRDefault="008474F4" w:rsidP="008474F4"/>
    <w:p w:rsidR="008474F4" w:rsidRPr="004F3AB8" w:rsidRDefault="008474F4" w:rsidP="008474F4">
      <w:pPr>
        <w:jc w:val="left"/>
      </w:pPr>
      <w:r w:rsidRPr="004F3AB8">
        <w:br w:type="page"/>
      </w:r>
    </w:p>
    <w:p w:rsidR="008474F4" w:rsidRPr="004F3AB8" w:rsidRDefault="008474F4" w:rsidP="008474F4">
      <w:pPr>
        <w:keepNext/>
      </w:pPr>
      <w:r w:rsidRPr="004F3AB8">
        <w:t>Graphique 1 :</w:t>
      </w:r>
    </w:p>
    <w:p w:rsidR="008474F4" w:rsidRPr="004F3AB8" w:rsidRDefault="008474F4" w:rsidP="008474F4">
      <w:pPr>
        <w:keepNext/>
      </w:pPr>
    </w:p>
    <w:p w:rsidR="008474F4" w:rsidRPr="004F3AB8" w:rsidRDefault="008474F4" w:rsidP="008474F4">
      <w:pPr>
        <w:rPr>
          <w:rFonts w:cs="Arial"/>
        </w:rPr>
      </w:pPr>
      <w:r w:rsidRPr="004F3AB8">
        <w:rPr>
          <w:rFonts w:cs="Arial"/>
          <w:noProof/>
          <w:lang w:val="en-US"/>
        </w:rPr>
        <mc:AlternateContent>
          <mc:Choice Requires="wps">
            <w:drawing>
              <wp:anchor distT="0" distB="0" distL="114300" distR="114300" simplePos="0" relativeHeight="251659264" behindDoc="0" locked="0" layoutInCell="1" allowOverlap="1" wp14:anchorId="7821ECFD" wp14:editId="488D9E65">
                <wp:simplePos x="0" y="0"/>
                <wp:positionH relativeFrom="column">
                  <wp:posOffset>265144</wp:posOffset>
                </wp:positionH>
                <wp:positionV relativeFrom="paragraph">
                  <wp:posOffset>2303172</wp:posOffset>
                </wp:positionV>
                <wp:extent cx="5312535" cy="1068946"/>
                <wp:effectExtent l="0" t="0" r="254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2535" cy="1068946"/>
                        </a:xfrm>
                        <a:prstGeom prst="rect">
                          <a:avLst/>
                        </a:prstGeom>
                        <a:solidFill>
                          <a:srgbClr val="FFFFFF"/>
                        </a:solidFill>
                        <a:ln w="9525">
                          <a:noFill/>
                          <a:miter lim="800000"/>
                          <a:headEnd/>
                          <a:tailEnd/>
                        </a:ln>
                      </wps:spPr>
                      <wps:txbx>
                        <w:txbxContent>
                          <w:tbl>
                            <w:tblPr>
                              <w:tblStyle w:val="TableGrid"/>
                              <w:tblW w:w="8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tblGrid>
                            <w:tr w:rsidR="00023109" w:rsidRPr="00CA6986" w:rsidTr="004F3AB8">
                              <w:trPr>
                                <w:cantSplit/>
                                <w:trHeight w:val="1814"/>
                              </w:trPr>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AVOCAT</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ABSINTHE</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COTON</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ALSTRŒMÈRE</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MYRTILLE</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RIZ</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BRACHIARIA</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CACAO</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CAFÉ</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CALA</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 xml:space="preserve">CANNE </w:t>
                                  </w:r>
                                  <w:r>
                                    <w:rPr>
                                      <w:rFonts w:cs="Arial"/>
                                      <w:sz w:val="16"/>
                                    </w:rPr>
                                    <w:t>À</w:t>
                                  </w:r>
                                  <w:r w:rsidRPr="00CA6986">
                                    <w:rPr>
                                      <w:rFonts w:cs="Arial"/>
                                      <w:sz w:val="16"/>
                                    </w:rPr>
                                    <w:t xml:space="preserve"> SUCRE</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CAPIM COLONIÃO</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OIGNON</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ŒILLET</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CHRYSANTHÈME</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FRAISE</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GYPSOPHILE</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MILLEPERTUIS</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LIMONIUM</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MELON</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PALMIER À HUILE</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PASSERAGE</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ROSE</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PASTÈQUE</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VERGE D’OR</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TOMATE</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VIGNE</w:t>
                                  </w:r>
                                </w:p>
                              </w:tc>
                            </w:tr>
                          </w:tbl>
                          <w:p w:rsidR="00023109" w:rsidRDefault="00023109" w:rsidP="008474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9pt;margin-top:181.35pt;width:418.3pt;height:8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E0IwIAAB4EAAAOAAAAZHJzL2Uyb0RvYy54bWysU9uO2yAQfa/Uf0C8N77ksokVZ7XNNlWl&#10;7UXa7QdgjGNUYFwgsdOv3wFns2n7VpUHxDAzhzNnhvXtoBU5CuskmJJmk5QSYTjU0uxL+v1p925J&#10;ifPM1EyBESU9CUdvN2/frPuuEDm0oGphCYIYV/RdSVvvuyJJHG+FZm4CnTDobMBq5tG0+6S2rEd0&#10;rZI8TRdJD7buLHDhHN7ej066ifhNI7j/2jROeKJKitx83G3cq7AnmzUr9pZ1reRnGuwfWGgmDT56&#10;gbpnnpGDlX9BacktOGj8hINOoGkkF7EGrCZL/6jmsWWdiLWgOK67yOT+Hyz/cvxmiaxLOk1vKDFM&#10;Y5OexODJexhIHvTpO1dg2GOHgX7Aa+xzrNV1D8B/OGJg2zKzF3fWQt8KViO/LGQmV6kjjgsgVf8Z&#10;anyGHTxEoKGxOoiHchBExz6dLr0JVDhezqdZPp/OKeHoy9LFcjVbxDdY8ZLeWec/CtAkHEpqsfkR&#10;nh0fnA90WPESEl5zoGS9k0pFw+6rrbLkyHBQdnGd0X8LU4b0JV3N83lENhDy4wxp6XGQldQlXaZh&#10;hXRWBDk+mDqePZNqPCMTZc76BElGcfxQDRgYRKugPqFSFsaBxQ+GhxbsL0p6HNaSup8HZgUl6pNB&#10;tVfZbBamOxqz+U2Ohr32VNceZjhCldRTMh63Pv6IwNfAHXalkVGvVyZnrjiEUcbzhwlTfm3HqNdv&#10;vXkGAAD//wMAUEsDBBQABgAIAAAAIQC8mLSZ3wAAAAoBAAAPAAAAZHJzL2Rvd25yZXYueG1sTI9B&#10;T4NAFITvJv6HzTPxYuxCSwGRR6MmGq+t/QEP9hWI7C5ht4X+e9eTHiczmfmm3C16EBeeXG8NQryK&#10;QLBprOpNi3D8en/MQThPRtFgDSNc2cGuur0pqVB2Nnu+HHwrQolxBSF03o+FlK7pWJNb2ZFN8E52&#10;0uSDnFqpJppDuR7kOopSqak3YaGjkd86br4PZ41w+pwftk9z/eGP2T5JX6nPantFvL9bXp5BeF78&#10;Xxh+8QM6VIGptmejnBgQkjiQe4RNus5AhECe5QmIGmG7iSOQVSn/X6h+AAAA//8DAFBLAQItABQA&#10;BgAIAAAAIQC2gziS/gAAAOEBAAATAAAAAAAAAAAAAAAAAAAAAABbQ29udGVudF9UeXBlc10ueG1s&#10;UEsBAi0AFAAGAAgAAAAhADj9If/WAAAAlAEAAAsAAAAAAAAAAAAAAAAALwEAAF9yZWxzLy5yZWxz&#10;UEsBAi0AFAAGAAgAAAAhAD/hMTQjAgAAHgQAAA4AAAAAAAAAAAAAAAAALgIAAGRycy9lMm9Eb2Mu&#10;eG1sUEsBAi0AFAAGAAgAAAAhALyYtJnfAAAACgEAAA8AAAAAAAAAAAAAAAAAfQQAAGRycy9kb3du&#10;cmV2LnhtbFBLBQYAAAAABAAEAPMAAACJBQAAAAA=&#10;" stroked="f">
                <v:textbox>
                  <w:txbxContent>
                    <w:tbl>
                      <w:tblPr>
                        <w:tblStyle w:val="TableGrid"/>
                        <w:tblW w:w="8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tblGrid>
                      <w:tr w:rsidR="00023109" w:rsidRPr="00CA6986" w:rsidTr="004F3AB8">
                        <w:trPr>
                          <w:cantSplit/>
                          <w:trHeight w:val="1814"/>
                        </w:trPr>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AVOCAT</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ABSINTHE</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COTON</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ALSTRŒMÈRE</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MYRTILLE</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RIZ</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BRACHIARIA</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CACAO</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CAFÉ</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CALA</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 xml:space="preserve">CANNE </w:t>
                            </w:r>
                            <w:r>
                              <w:rPr>
                                <w:rFonts w:cs="Arial"/>
                                <w:sz w:val="16"/>
                              </w:rPr>
                              <w:t>À</w:t>
                            </w:r>
                            <w:r w:rsidRPr="00CA6986">
                              <w:rPr>
                                <w:rFonts w:cs="Arial"/>
                                <w:sz w:val="16"/>
                              </w:rPr>
                              <w:t xml:space="preserve"> SUCRE</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CAPIM COLONIÃO</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OIGNON</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ŒILLET</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CHRYSANTHÈME</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FRAISE</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GYPSOPHILE</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MILLEPERTUIS</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LIMONIUM</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MELON</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PALMIER À HUILE</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PASSERAGE</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ROSE</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PASTÈQUE</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VERGE D’OR</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TOMATE</w:t>
                            </w:r>
                          </w:p>
                        </w:tc>
                        <w:tc>
                          <w:tcPr>
                            <w:tcW w:w="300" w:type="dxa"/>
                            <w:tcMar>
                              <w:left w:w="0" w:type="dxa"/>
                              <w:right w:w="0" w:type="dxa"/>
                            </w:tcMar>
                            <w:textDirection w:val="btLr"/>
                          </w:tcPr>
                          <w:p w:rsidR="00023109" w:rsidRPr="00CA6986" w:rsidRDefault="00023109" w:rsidP="004F3AB8">
                            <w:pPr>
                              <w:ind w:left="113" w:right="113"/>
                              <w:jc w:val="right"/>
                              <w:rPr>
                                <w:rFonts w:cs="Arial"/>
                                <w:sz w:val="16"/>
                              </w:rPr>
                            </w:pPr>
                            <w:r w:rsidRPr="00CA6986">
                              <w:rPr>
                                <w:rFonts w:cs="Arial"/>
                                <w:sz w:val="16"/>
                              </w:rPr>
                              <w:t>VIGNE</w:t>
                            </w:r>
                          </w:p>
                        </w:tc>
                      </w:tr>
                    </w:tbl>
                    <w:p w:rsidR="00023109" w:rsidRDefault="00023109" w:rsidP="008474F4"/>
                  </w:txbxContent>
                </v:textbox>
              </v:shape>
            </w:pict>
          </mc:Fallback>
        </mc:AlternateContent>
      </w:r>
      <w:r w:rsidRPr="004F3AB8">
        <w:rPr>
          <w:noProof/>
          <w:lang w:val="en-US"/>
        </w:rPr>
        <w:drawing>
          <wp:inline distT="0" distB="0" distL="0" distR="0" wp14:anchorId="7C026586" wp14:editId="02FDC7E9">
            <wp:extent cx="5615940" cy="3409950"/>
            <wp:effectExtent l="0" t="0" r="22860" b="190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474F4" w:rsidRPr="004F3AB8" w:rsidRDefault="008474F4" w:rsidP="008474F4">
      <w:pPr>
        <w:rPr>
          <w:rFonts w:cs="Arial"/>
        </w:rPr>
      </w:pPr>
    </w:p>
    <w:p w:rsidR="008474F4" w:rsidRPr="004F3AB8" w:rsidRDefault="008474F4" w:rsidP="008474F4">
      <w:pPr>
        <w:rPr>
          <w:rFonts w:cs="Arial"/>
        </w:rPr>
      </w:pPr>
    </w:p>
    <w:p w:rsidR="008474F4" w:rsidRPr="004F3AB8" w:rsidRDefault="008474F4" w:rsidP="008474F4">
      <w:pPr>
        <w:rPr>
          <w:rFonts w:cs="Arial"/>
        </w:rPr>
      </w:pPr>
      <w:r w:rsidRPr="004F3AB8">
        <w:rPr>
          <w:rFonts w:cs="Arial"/>
        </w:rPr>
        <w:t>Graphique 2 :</w:t>
      </w:r>
    </w:p>
    <w:p w:rsidR="008474F4" w:rsidRPr="004F3AB8" w:rsidRDefault="008474F4" w:rsidP="008474F4">
      <w:pPr>
        <w:rPr>
          <w:rFonts w:cs="Arial"/>
        </w:rPr>
      </w:pPr>
    </w:p>
    <w:p w:rsidR="008474F4" w:rsidRPr="004F3AB8" w:rsidRDefault="00280CB7" w:rsidP="008474F4">
      <w:pPr>
        <w:tabs>
          <w:tab w:val="left" w:pos="4962"/>
        </w:tabs>
        <w:rPr>
          <w:rFonts w:cs="Arial"/>
        </w:rPr>
      </w:pPr>
      <w:r w:rsidRPr="004F3AB8">
        <w:rPr>
          <w:noProof/>
          <w:lang w:val="en-US"/>
        </w:rPr>
        <w:drawing>
          <wp:inline distT="0" distB="0" distL="0" distR="0" wp14:anchorId="5CEADD48" wp14:editId="3937F05F">
            <wp:extent cx="5943600" cy="36576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474F4" w:rsidRPr="004F3AB8" w:rsidRDefault="008474F4" w:rsidP="008474F4">
      <w:pPr>
        <w:jc w:val="right"/>
      </w:pPr>
    </w:p>
    <w:p w:rsidR="00944AEF" w:rsidRPr="004F3AB8" w:rsidRDefault="00944AEF" w:rsidP="00944AEF"/>
    <w:p w:rsidR="00944AEF" w:rsidRPr="004F3AB8" w:rsidRDefault="00944AEF" w:rsidP="00944AEF"/>
    <w:p w:rsidR="00944AEF" w:rsidRPr="004F3AB8" w:rsidRDefault="00944AEF" w:rsidP="00944AEF">
      <w:pPr>
        <w:jc w:val="right"/>
      </w:pPr>
      <w:r w:rsidRPr="004F3AB8">
        <w:t>[L’annexe IV suit]</w:t>
      </w:r>
    </w:p>
    <w:p w:rsidR="00944AEF" w:rsidRPr="004F3AB8" w:rsidRDefault="00944AEF" w:rsidP="00944AEF">
      <w:pPr>
        <w:jc w:val="left"/>
      </w:pPr>
    </w:p>
    <w:p w:rsidR="00944AEF" w:rsidRPr="004F3AB8" w:rsidRDefault="00944AEF" w:rsidP="00944AEF">
      <w:pPr>
        <w:jc w:val="left"/>
        <w:sectPr w:rsidR="00944AEF" w:rsidRPr="004F3AB8" w:rsidSect="004F3AB8">
          <w:headerReference w:type="default" r:id="rId15"/>
          <w:pgSz w:w="11907" w:h="16840" w:code="9"/>
          <w:pgMar w:top="510" w:right="1134" w:bottom="1134" w:left="1134" w:header="510" w:footer="680" w:gutter="0"/>
          <w:pgNumType w:start="1"/>
          <w:cols w:space="720"/>
          <w:titlePg/>
        </w:sectPr>
      </w:pPr>
    </w:p>
    <w:p w:rsidR="00944AEF" w:rsidRPr="004F3AB8" w:rsidRDefault="00944AEF" w:rsidP="00944AEF">
      <w:pPr>
        <w:jc w:val="center"/>
      </w:pPr>
      <w:r w:rsidRPr="004F3AB8">
        <w:t>C/49/15</w:t>
      </w:r>
    </w:p>
    <w:p w:rsidR="00944AEF" w:rsidRPr="004F3AB8" w:rsidRDefault="00944AEF" w:rsidP="00944AEF">
      <w:pPr>
        <w:jc w:val="center"/>
      </w:pPr>
    </w:p>
    <w:p w:rsidR="00944AEF" w:rsidRPr="004F3AB8" w:rsidRDefault="00944AEF" w:rsidP="00944AEF">
      <w:pPr>
        <w:jc w:val="center"/>
      </w:pPr>
      <w:r w:rsidRPr="004F3AB8">
        <w:t>ANNEXE IV</w:t>
      </w:r>
    </w:p>
    <w:p w:rsidR="00944AEF" w:rsidRPr="004F3AB8" w:rsidRDefault="00944AEF" w:rsidP="00944AEF">
      <w:pPr>
        <w:jc w:val="center"/>
      </w:pPr>
    </w:p>
    <w:p w:rsidR="00944AEF" w:rsidRPr="004F3AB8" w:rsidRDefault="00944AEF" w:rsidP="00944AEF">
      <w:pPr>
        <w:jc w:val="center"/>
      </w:pPr>
    </w:p>
    <w:p w:rsidR="00944AEF" w:rsidRPr="004F3AB8" w:rsidRDefault="00944AEF" w:rsidP="00944AEF">
      <w:pPr>
        <w:jc w:val="center"/>
      </w:pPr>
      <w:r w:rsidRPr="004F3AB8">
        <w:t>CROATIE</w:t>
      </w:r>
    </w:p>
    <w:p w:rsidR="00944AEF" w:rsidRPr="004F3AB8" w:rsidRDefault="00944AEF" w:rsidP="00944AEF"/>
    <w:p w:rsidR="00944AEF" w:rsidRPr="004F3AB8" w:rsidRDefault="00944AEF" w:rsidP="00944AEF"/>
    <w:p w:rsidR="004F3AB8" w:rsidRPr="004F3AB8" w:rsidRDefault="004F3AB8" w:rsidP="004F3AB8">
      <w:r w:rsidRPr="004F3AB8">
        <w:t>PROTECTION DES OBTENTIONS VÉGÉTALES</w:t>
      </w:r>
    </w:p>
    <w:p w:rsidR="004F3AB8" w:rsidRPr="004F3AB8" w:rsidRDefault="004F3AB8" w:rsidP="004F3AB8"/>
    <w:p w:rsidR="004F3AB8" w:rsidRPr="004F3AB8" w:rsidRDefault="004F3AB8" w:rsidP="004F3AB8">
      <w:pPr>
        <w:tabs>
          <w:tab w:val="left" w:pos="426"/>
          <w:tab w:val="left" w:pos="1276"/>
        </w:tabs>
        <w:rPr>
          <w:u w:val="single"/>
        </w:rPr>
      </w:pPr>
      <w:r w:rsidRPr="004F3AB8">
        <w:t xml:space="preserve">1.  </w:t>
      </w:r>
      <w:r w:rsidRPr="004F3AB8">
        <w:tab/>
      </w:r>
      <w:r w:rsidRPr="004F3AB8">
        <w:rPr>
          <w:u w:val="single"/>
        </w:rPr>
        <w:t>Situation dans le domaine législatif</w:t>
      </w:r>
    </w:p>
    <w:p w:rsidR="004F3AB8" w:rsidRPr="004F3AB8" w:rsidRDefault="004F3AB8" w:rsidP="004F3AB8">
      <w:pPr>
        <w:tabs>
          <w:tab w:val="left" w:pos="426"/>
          <w:tab w:val="left" w:pos="1276"/>
        </w:tabs>
      </w:pPr>
    </w:p>
    <w:p w:rsidR="004F3AB8" w:rsidRPr="004F3AB8" w:rsidRDefault="004F3AB8" w:rsidP="004F3AB8">
      <w:r w:rsidRPr="004F3AB8">
        <w:t>1.1</w:t>
      </w:r>
      <w:r w:rsidRPr="004F3AB8">
        <w:tab/>
        <w:t>La Croatie a déposé l’instrument d’adhésion à l’Acte de 1991 de la Convention UPOV le 1</w:t>
      </w:r>
      <w:r w:rsidRPr="004F3AB8">
        <w:rPr>
          <w:vertAlign w:val="superscript"/>
        </w:rPr>
        <w:t>er</w:t>
      </w:r>
      <w:r w:rsidRPr="004F3AB8">
        <w:t> août 2001.  La Croatie est devenue membre de l’UPOV le 1</w:t>
      </w:r>
      <w:r w:rsidRPr="004F3AB8">
        <w:rPr>
          <w:vertAlign w:val="superscript"/>
        </w:rPr>
        <w:t>er</w:t>
      </w:r>
      <w:r w:rsidRPr="004F3AB8">
        <w:t> septembre 2001.</w:t>
      </w:r>
    </w:p>
    <w:p w:rsidR="004F3AB8" w:rsidRPr="004F3AB8" w:rsidRDefault="004F3AB8" w:rsidP="004F3AB8"/>
    <w:p w:rsidR="004F3AB8" w:rsidRPr="004F3AB8" w:rsidRDefault="004F3AB8" w:rsidP="004F3AB8">
      <w:pPr>
        <w:ind w:left="567"/>
      </w:pPr>
      <w:r w:rsidRPr="004F3AB8">
        <w:t>Loi sur la protection des obtentions végétales (avec modifications et amendements) (Journal officiel n° 131/1997, n° 62/2000, n° 67/2008, n° 124/2011).</w:t>
      </w:r>
    </w:p>
    <w:p w:rsidR="004F3AB8" w:rsidRPr="004F3AB8" w:rsidRDefault="004F3AB8" w:rsidP="004F3AB8">
      <w:pPr>
        <w:ind w:left="567"/>
      </w:pPr>
    </w:p>
    <w:p w:rsidR="004F3AB8" w:rsidRPr="004F3AB8" w:rsidRDefault="004F3AB8" w:rsidP="004F3AB8">
      <w:pPr>
        <w:ind w:left="567"/>
      </w:pPr>
      <w:r w:rsidRPr="004F3AB8">
        <w:t>Règlement sur l’examen de la distinction, de l’homogénéité et de la stabilité des nouvelles variétés végétales aux fins de l’octroi de droits d’obtenteur et de l’enregistrement des variétés (Journal officiel n° 61/2011).</w:t>
      </w:r>
    </w:p>
    <w:p w:rsidR="004F3AB8" w:rsidRPr="004F3AB8" w:rsidRDefault="004F3AB8" w:rsidP="004F3AB8">
      <w:pPr>
        <w:ind w:left="567"/>
      </w:pPr>
    </w:p>
    <w:p w:rsidR="004F3AB8" w:rsidRPr="004F3AB8" w:rsidRDefault="004F3AB8" w:rsidP="004F3AB8">
      <w:pPr>
        <w:ind w:left="567"/>
      </w:pPr>
      <w:r w:rsidRPr="004F3AB8">
        <w:t>Règlement sur les registres pour la protection des obtentions végétales (Journal officiel n° 58/2011).</w:t>
      </w:r>
    </w:p>
    <w:p w:rsidR="004F3AB8" w:rsidRPr="004F3AB8" w:rsidRDefault="004F3AB8" w:rsidP="004F3AB8">
      <w:pPr>
        <w:ind w:left="567"/>
      </w:pPr>
    </w:p>
    <w:p w:rsidR="004F3AB8" w:rsidRPr="004F3AB8" w:rsidRDefault="004F3AB8" w:rsidP="004F3AB8">
      <w:pPr>
        <w:ind w:left="567"/>
      </w:pPr>
      <w:r w:rsidRPr="004F3AB8">
        <w:t>Règlement relatif aux prescriptions concernant l’utilisation du produit de la récolte de variétés végétales sur sa propre exploitation, ainsi qu’aux critères définissant les petites exploitations agricoles (Journal officiel n° 145/2011).</w:t>
      </w:r>
    </w:p>
    <w:p w:rsidR="004F3AB8" w:rsidRPr="004F3AB8" w:rsidRDefault="004F3AB8" w:rsidP="004F3AB8"/>
    <w:p w:rsidR="004F3AB8" w:rsidRPr="004F3AB8" w:rsidRDefault="004F3AB8" w:rsidP="004F3AB8">
      <w:r w:rsidRPr="004F3AB8">
        <w:t>1.2</w:t>
      </w:r>
      <w:r w:rsidRPr="004F3AB8">
        <w:tab/>
        <w:t>Depuis le 1</w:t>
      </w:r>
      <w:r w:rsidRPr="004F3AB8">
        <w:rPr>
          <w:vertAlign w:val="superscript"/>
        </w:rPr>
        <w:t>er</w:t>
      </w:r>
      <w:r w:rsidRPr="004F3AB8">
        <w:t> septembre 2011, la protection des obtentions végétales est disponible pour tous les genres et espèces.</w:t>
      </w:r>
    </w:p>
    <w:p w:rsidR="004F3AB8" w:rsidRPr="004F3AB8" w:rsidRDefault="004F3AB8" w:rsidP="004F3AB8"/>
    <w:p w:rsidR="004F3AB8" w:rsidRPr="004F3AB8" w:rsidRDefault="004F3AB8" w:rsidP="004F3AB8"/>
    <w:p w:rsidR="004F3AB8" w:rsidRPr="004F3AB8" w:rsidRDefault="004F3AB8" w:rsidP="004F3AB8">
      <w:pPr>
        <w:rPr>
          <w:u w:val="single"/>
        </w:rPr>
      </w:pPr>
      <w:r w:rsidRPr="004F3AB8">
        <w:t>2.</w:t>
      </w:r>
      <w:r w:rsidRPr="004F3AB8">
        <w:tab/>
      </w:r>
      <w:r w:rsidRPr="004F3AB8">
        <w:rPr>
          <w:u w:val="single"/>
        </w:rPr>
        <w:t>Coopération en matière d’examen</w:t>
      </w:r>
    </w:p>
    <w:p w:rsidR="004F3AB8" w:rsidRPr="004F3AB8" w:rsidRDefault="004F3AB8" w:rsidP="004F3AB8">
      <w:pPr>
        <w:tabs>
          <w:tab w:val="left" w:pos="426"/>
          <w:tab w:val="left" w:pos="851"/>
        </w:tabs>
      </w:pPr>
    </w:p>
    <w:p w:rsidR="004F3AB8" w:rsidRPr="004F3AB8" w:rsidRDefault="004F3AB8" w:rsidP="004F3AB8">
      <w:r w:rsidRPr="004F3AB8">
        <w:t>La Croatie procède à des examens DHS pour le compte de la Slovénie (blé, orge et maïs) et pour celui de la Roumanie (blé).</w:t>
      </w:r>
    </w:p>
    <w:p w:rsidR="004F3AB8" w:rsidRPr="004F3AB8" w:rsidRDefault="004F3AB8" w:rsidP="004F3AB8"/>
    <w:p w:rsidR="004F3AB8" w:rsidRPr="004F3AB8" w:rsidRDefault="004F3AB8" w:rsidP="004F3AB8">
      <w:r w:rsidRPr="004F3AB8">
        <w:t>Amendement n° 3 de l’accord existant avec l’AFSVSPP (SLOVÉNIE) (achevé le 22 septembre 2014).</w:t>
      </w:r>
    </w:p>
    <w:p w:rsidR="004F3AB8" w:rsidRPr="004F3AB8" w:rsidRDefault="004F3AB8" w:rsidP="004F3AB8"/>
    <w:p w:rsidR="004F3AB8" w:rsidRPr="004F3AB8" w:rsidRDefault="004F3AB8" w:rsidP="004F3AB8">
      <w:r w:rsidRPr="004F3AB8">
        <w:t>L’Autriche, la Hongrie, la Pologne, la République tchèque et la Slovaquie effectuent des examens DHS pour certaines espèces pour le compte de la Croatie.</w:t>
      </w:r>
    </w:p>
    <w:p w:rsidR="004F3AB8" w:rsidRPr="004F3AB8" w:rsidRDefault="004F3AB8" w:rsidP="004F3AB8"/>
    <w:p w:rsidR="004F3AB8" w:rsidRPr="004F3AB8" w:rsidRDefault="004F3AB8" w:rsidP="004F3AB8">
      <w:r w:rsidRPr="004F3AB8">
        <w:t>Jusqu’à présent, la Croatie a communiqué les rapports d’examen DHS existants à la Fédération de Russie, la Roumanie, la Serbie, la Slovénie, la Turquie et l’Union européenne (OCVV).</w:t>
      </w:r>
    </w:p>
    <w:p w:rsidR="004F3AB8" w:rsidRPr="004F3AB8" w:rsidRDefault="004F3AB8" w:rsidP="004F3AB8"/>
    <w:p w:rsidR="004F3AB8" w:rsidRPr="004F3AB8" w:rsidRDefault="004F3AB8" w:rsidP="004F3AB8">
      <w:r w:rsidRPr="004F3AB8">
        <w:t>La Croatie accepte généralement les rapports DHS d’autres membres de l’Union pour toutes les espèces.</w:t>
      </w:r>
    </w:p>
    <w:p w:rsidR="004F3AB8" w:rsidRPr="004F3AB8" w:rsidRDefault="004F3AB8" w:rsidP="004F3AB8"/>
    <w:p w:rsidR="004F3AB8" w:rsidRPr="004F3AB8" w:rsidRDefault="004F3AB8" w:rsidP="004F3AB8"/>
    <w:p w:rsidR="004F3AB8" w:rsidRPr="004F3AB8" w:rsidRDefault="004F3AB8" w:rsidP="004F3AB8">
      <w:pPr>
        <w:rPr>
          <w:u w:val="single"/>
        </w:rPr>
      </w:pPr>
      <w:r w:rsidRPr="004F3AB8">
        <w:t>3.</w:t>
      </w:r>
      <w:r w:rsidRPr="004F3AB8">
        <w:tab/>
      </w:r>
      <w:r w:rsidRPr="004F3AB8">
        <w:rPr>
          <w:u w:val="single"/>
        </w:rPr>
        <w:t>Situation dans le domaine administratif</w:t>
      </w:r>
    </w:p>
    <w:p w:rsidR="004F3AB8" w:rsidRPr="004F3AB8" w:rsidRDefault="004F3AB8" w:rsidP="004F3AB8">
      <w:pPr>
        <w:rPr>
          <w:u w:val="single"/>
        </w:rPr>
      </w:pPr>
    </w:p>
    <w:p w:rsidR="004F3AB8" w:rsidRPr="004F3AB8" w:rsidRDefault="004F3AB8" w:rsidP="004F3AB8">
      <w:r w:rsidRPr="004F3AB8">
        <w:t>Administration nationale : Ministère de l’agriculture et le Centre croate pour l’agriculture, les produits alimentaires et les affaires rurales de l’Institut des semences et des plants (Département de la protection et de l’enregistrement des obtentions végétales).</w:t>
      </w:r>
    </w:p>
    <w:p w:rsidR="004F3AB8" w:rsidRPr="004F3AB8" w:rsidRDefault="004F3AB8" w:rsidP="004F3AB8"/>
    <w:p w:rsidR="004F3AB8" w:rsidRPr="004F3AB8" w:rsidRDefault="004F3AB8" w:rsidP="004F3AB8">
      <w:r w:rsidRPr="004F3AB8">
        <w:t>L’organe décisionnaire est le comité chargé de la protection des obtentions végétales.</w:t>
      </w:r>
    </w:p>
    <w:p w:rsidR="004F3AB8" w:rsidRPr="004F3AB8" w:rsidRDefault="004F3AB8" w:rsidP="004F3AB8"/>
    <w:p w:rsidR="004F3AB8" w:rsidRPr="004F3AB8" w:rsidRDefault="004F3AB8" w:rsidP="004F3AB8"/>
    <w:p w:rsidR="004F3AB8" w:rsidRPr="004F3AB8" w:rsidRDefault="004F3AB8" w:rsidP="004F3AB8">
      <w:pPr>
        <w:rPr>
          <w:u w:val="single"/>
        </w:rPr>
      </w:pPr>
      <w:r w:rsidRPr="004F3AB8">
        <w:t>4.</w:t>
      </w:r>
      <w:r w:rsidRPr="004F3AB8">
        <w:tab/>
      </w:r>
      <w:r w:rsidRPr="004F3AB8">
        <w:rPr>
          <w:u w:val="single"/>
        </w:rPr>
        <w:t>Situation dans le domaine technique</w:t>
      </w:r>
    </w:p>
    <w:p w:rsidR="004F3AB8" w:rsidRPr="004F3AB8" w:rsidRDefault="004F3AB8" w:rsidP="004F3AB8"/>
    <w:p w:rsidR="004F3AB8" w:rsidRPr="004F3AB8" w:rsidRDefault="004F3AB8" w:rsidP="004F3AB8">
      <w:r w:rsidRPr="004F3AB8">
        <w:t>Des examens DHS sont effectués par Centre croate pour l’agriculture, les produits alimentaires et les affaires rurales de l’Institut des semences et des plants pour les céréales (blé, blé dur, orge, seigle, avoine, triticale), le maïs et le soja.</w:t>
      </w:r>
    </w:p>
    <w:p w:rsidR="004F3AB8" w:rsidRPr="004F3AB8" w:rsidRDefault="004F3AB8" w:rsidP="00944AEF"/>
    <w:p w:rsidR="004F3AB8" w:rsidRPr="004F3AB8" w:rsidRDefault="004F3AB8" w:rsidP="00944AEF"/>
    <w:p w:rsidR="00944AEF" w:rsidRPr="004F3AB8" w:rsidRDefault="00944AEF" w:rsidP="004F3AB8">
      <w:pPr>
        <w:jc w:val="right"/>
      </w:pPr>
      <w:r w:rsidRPr="004F3AB8">
        <w:t>[L’annexe V suit]</w:t>
      </w:r>
    </w:p>
    <w:p w:rsidR="00944AEF" w:rsidRPr="004F3AB8" w:rsidRDefault="00944AEF" w:rsidP="00944AEF">
      <w:pPr>
        <w:jc w:val="left"/>
        <w:sectPr w:rsidR="00944AEF" w:rsidRPr="004F3AB8" w:rsidSect="004F3AB8">
          <w:headerReference w:type="default" r:id="rId16"/>
          <w:pgSz w:w="11907" w:h="16840" w:code="9"/>
          <w:pgMar w:top="510" w:right="1134" w:bottom="1134" w:left="1134" w:header="510" w:footer="680" w:gutter="0"/>
          <w:pgNumType w:start="1"/>
          <w:cols w:space="720"/>
          <w:titlePg/>
        </w:sectPr>
      </w:pPr>
    </w:p>
    <w:p w:rsidR="00944AEF" w:rsidRPr="004F3AB8" w:rsidRDefault="00944AEF" w:rsidP="00944AEF">
      <w:pPr>
        <w:jc w:val="center"/>
      </w:pPr>
      <w:r w:rsidRPr="004F3AB8">
        <w:t>C/49/15</w:t>
      </w:r>
    </w:p>
    <w:p w:rsidR="00944AEF" w:rsidRPr="004F3AB8" w:rsidRDefault="00944AEF" w:rsidP="00944AEF">
      <w:pPr>
        <w:jc w:val="center"/>
      </w:pPr>
    </w:p>
    <w:p w:rsidR="00944AEF" w:rsidRPr="004F3AB8" w:rsidRDefault="00944AEF" w:rsidP="00944AEF">
      <w:pPr>
        <w:jc w:val="center"/>
      </w:pPr>
      <w:r w:rsidRPr="004F3AB8">
        <w:t>ANNEXE V</w:t>
      </w:r>
    </w:p>
    <w:p w:rsidR="00944AEF" w:rsidRPr="004F3AB8" w:rsidRDefault="00944AEF" w:rsidP="00944AEF">
      <w:pPr>
        <w:jc w:val="center"/>
      </w:pPr>
    </w:p>
    <w:p w:rsidR="00944AEF" w:rsidRPr="004F3AB8" w:rsidRDefault="00944AEF" w:rsidP="00944AEF">
      <w:pPr>
        <w:jc w:val="center"/>
      </w:pPr>
    </w:p>
    <w:p w:rsidR="00944AEF" w:rsidRPr="004F3AB8" w:rsidRDefault="00944AEF" w:rsidP="00944AEF">
      <w:pPr>
        <w:jc w:val="center"/>
      </w:pPr>
      <w:r w:rsidRPr="004F3AB8">
        <w:t>DANEMARK</w:t>
      </w:r>
    </w:p>
    <w:p w:rsidR="00944AEF" w:rsidRPr="004F3AB8" w:rsidRDefault="00944AEF" w:rsidP="00944AEF"/>
    <w:p w:rsidR="00944AEF" w:rsidRPr="004F3AB8" w:rsidRDefault="00944AEF" w:rsidP="00944AEF"/>
    <w:p w:rsidR="004F3AB8" w:rsidRPr="004F3AB8" w:rsidRDefault="004F3AB8" w:rsidP="004F3AB8">
      <w:r w:rsidRPr="004F3AB8">
        <w:t>PROTECTION DES OBTENTIONS VÉGÉTALES</w:t>
      </w:r>
    </w:p>
    <w:p w:rsidR="004F3AB8" w:rsidRPr="004F3AB8" w:rsidRDefault="004F3AB8" w:rsidP="004F3AB8"/>
    <w:p w:rsidR="004F3AB8" w:rsidRPr="004F3AB8" w:rsidRDefault="004F3AB8" w:rsidP="004F3AB8">
      <w:r w:rsidRPr="004F3AB8">
        <w:t>1.</w:t>
      </w:r>
      <w:r w:rsidRPr="004F3AB8">
        <w:tab/>
      </w:r>
      <w:r w:rsidRPr="004F3AB8">
        <w:rPr>
          <w:u w:val="single"/>
        </w:rPr>
        <w:t>Situation dans le domaine législatif</w:t>
      </w:r>
    </w:p>
    <w:p w:rsidR="004F3AB8" w:rsidRPr="004F3AB8" w:rsidRDefault="004F3AB8" w:rsidP="004F3AB8"/>
    <w:p w:rsidR="004F3AB8" w:rsidRPr="004F3AB8" w:rsidRDefault="004F3AB8" w:rsidP="004F3AB8">
      <w:r w:rsidRPr="004F3AB8">
        <w:t>1.1</w:t>
      </w:r>
      <w:r w:rsidRPr="004F3AB8">
        <w:tab/>
        <w:t>Modifications de la loi et des textes d’application</w:t>
      </w:r>
    </w:p>
    <w:p w:rsidR="004F3AB8" w:rsidRPr="004F3AB8" w:rsidRDefault="004F3AB8" w:rsidP="004F3AB8"/>
    <w:p w:rsidR="004F3AB8" w:rsidRPr="004F3AB8" w:rsidRDefault="004F3AB8" w:rsidP="004F3AB8">
      <w:r w:rsidRPr="004F3AB8">
        <w:tab/>
        <w:t>–</w:t>
      </w:r>
      <w:r w:rsidRPr="004F3AB8">
        <w:tab/>
        <w:t>adaptation à l’Acte de 1991 de la Convention</w:t>
      </w:r>
    </w:p>
    <w:p w:rsidR="004F3AB8" w:rsidRPr="004F3AB8" w:rsidRDefault="004F3AB8" w:rsidP="004F3AB8"/>
    <w:p w:rsidR="004F3AB8" w:rsidRPr="004F3AB8" w:rsidRDefault="004F3AB8" w:rsidP="004F3AB8">
      <w:r w:rsidRPr="004F3AB8">
        <w:t xml:space="preserve">La loi danoise n° 190, intitulée </w:t>
      </w:r>
      <w:r w:rsidRPr="004F3AB8">
        <w:rPr>
          <w:i/>
        </w:rPr>
        <w:t>Loi codifiée relative à la protection des obtentions végétales</w:t>
      </w:r>
      <w:r w:rsidRPr="004F3AB8">
        <w:t>, est entrée en vigueur le 1</w:t>
      </w:r>
      <w:r w:rsidRPr="004F3AB8">
        <w:rPr>
          <w:vertAlign w:val="superscript"/>
        </w:rPr>
        <w:t>er</w:t>
      </w:r>
      <w:r w:rsidRPr="004F3AB8">
        <w:t xml:space="preserve"> janvier 2009 (en danois : </w:t>
      </w:r>
      <w:proofErr w:type="spellStart"/>
      <w:r w:rsidRPr="004F3AB8">
        <w:rPr>
          <w:i/>
        </w:rPr>
        <w:t>Bekendtgørelse</w:t>
      </w:r>
      <w:proofErr w:type="spellEnd"/>
      <w:r w:rsidRPr="004F3AB8">
        <w:rPr>
          <w:i/>
        </w:rPr>
        <w:t xml:space="preserve"> </w:t>
      </w:r>
      <w:proofErr w:type="spellStart"/>
      <w:r w:rsidRPr="004F3AB8">
        <w:rPr>
          <w:i/>
        </w:rPr>
        <w:t>af</w:t>
      </w:r>
      <w:proofErr w:type="spellEnd"/>
      <w:r w:rsidRPr="004F3AB8">
        <w:rPr>
          <w:i/>
        </w:rPr>
        <w:t xml:space="preserve"> </w:t>
      </w:r>
      <w:proofErr w:type="spellStart"/>
      <w:r w:rsidRPr="004F3AB8">
        <w:rPr>
          <w:i/>
        </w:rPr>
        <w:t>lov</w:t>
      </w:r>
      <w:proofErr w:type="spellEnd"/>
      <w:r w:rsidRPr="004F3AB8">
        <w:rPr>
          <w:i/>
        </w:rPr>
        <w:t xml:space="preserve"> om </w:t>
      </w:r>
      <w:proofErr w:type="spellStart"/>
      <w:r w:rsidRPr="004F3AB8">
        <w:rPr>
          <w:i/>
        </w:rPr>
        <w:t>plantenyheder</w:t>
      </w:r>
      <w:proofErr w:type="spellEnd"/>
      <w:r w:rsidRPr="004F3AB8">
        <w:t xml:space="preserve">).  Cette loi remplace la loi n° 51 du 5 février 1996 qui figure actuellement dans WIPO </w:t>
      </w:r>
      <w:proofErr w:type="spellStart"/>
      <w:r w:rsidRPr="004F3AB8">
        <w:t>Lex</w:t>
      </w:r>
      <w:proofErr w:type="spellEnd"/>
      <w:r w:rsidRPr="004F3AB8">
        <w:t>, qui devrait donc être remplacée par le texte de la loi actuellement en vigueur.</w:t>
      </w:r>
    </w:p>
    <w:p w:rsidR="004F3AB8" w:rsidRPr="004F3AB8" w:rsidRDefault="004F3AB8" w:rsidP="004F3AB8"/>
    <w:p w:rsidR="004F3AB8" w:rsidRPr="004F3AB8" w:rsidRDefault="004F3AB8" w:rsidP="004F3AB8">
      <w:r w:rsidRPr="004F3AB8">
        <w:t xml:space="preserve">Conformément au document UPOV/INF/15/3, nous fournirons à l’UPOV une traduction officielle en anglais de la version actualisée de la </w:t>
      </w:r>
      <w:r w:rsidRPr="004F3AB8">
        <w:rPr>
          <w:i/>
        </w:rPr>
        <w:t>Loi codifiée relative à la protection des obtentions végétales</w:t>
      </w:r>
      <w:r w:rsidRPr="004F3AB8">
        <w:t xml:space="preserve">, aux fins de publication dans UPOV </w:t>
      </w:r>
      <w:proofErr w:type="spellStart"/>
      <w:r w:rsidRPr="004F3AB8">
        <w:t>Lex</w:t>
      </w:r>
      <w:proofErr w:type="spellEnd"/>
      <w:r w:rsidRPr="004F3AB8">
        <w:t xml:space="preserve">, la </w:t>
      </w:r>
      <w:r w:rsidRPr="004F3AB8">
        <w:rPr>
          <w:i/>
        </w:rPr>
        <w:t>Gazette</w:t>
      </w:r>
      <w:r w:rsidRPr="004F3AB8">
        <w:t xml:space="preserve"> et </w:t>
      </w:r>
      <w:r>
        <w:t xml:space="preserve">la </w:t>
      </w:r>
      <w:r w:rsidRPr="004F3AB8">
        <w:rPr>
          <w:i/>
        </w:rPr>
        <w:t>Newsletter</w:t>
      </w:r>
      <w:r w:rsidRPr="004F3AB8">
        <w:t xml:space="preserve"> de l’UPOV.</w:t>
      </w:r>
    </w:p>
    <w:p w:rsidR="004F3AB8" w:rsidRPr="004F3AB8" w:rsidRDefault="004F3AB8" w:rsidP="004F3AB8"/>
    <w:p w:rsidR="004F3AB8" w:rsidRPr="004F3AB8" w:rsidRDefault="004F3AB8" w:rsidP="004F3AB8">
      <w:r w:rsidRPr="004F3AB8">
        <w:t>À cette fin, nous sommes en contact avec le Secrétariat de l’UPOV au sujet des modalités de ladite traduction, et nous attendons des renseignements complémentaires.</w:t>
      </w:r>
    </w:p>
    <w:p w:rsidR="004F3AB8" w:rsidRPr="004F3AB8" w:rsidRDefault="004F3AB8" w:rsidP="004F3AB8"/>
    <w:p w:rsidR="004F3AB8" w:rsidRPr="004F3AB8" w:rsidRDefault="004F3AB8" w:rsidP="004F3AB8">
      <w:r w:rsidRPr="004F3AB8">
        <w:t xml:space="preserve">Le texte en danois de la loi n° 190 intitulée </w:t>
      </w:r>
      <w:r w:rsidRPr="004F3AB8">
        <w:rPr>
          <w:i/>
        </w:rPr>
        <w:t>Loi codifiée relative à la protection des obtentions végétales</w:t>
      </w:r>
      <w:r w:rsidRPr="004F3AB8">
        <w:t xml:space="preserve"> est disponible dans la base de données juridique publique du Danemark à l’adresse suivante : </w:t>
      </w:r>
      <w:hyperlink r:id="rId17" w:history="1">
        <w:r w:rsidRPr="004F3AB8">
          <w:rPr>
            <w:rStyle w:val="Hyperlink"/>
          </w:rPr>
          <w:t>https://www.retsinformation.dk/Forms/R0710.aspx?id=123418</w:t>
        </w:r>
      </w:hyperlink>
      <w:r w:rsidRPr="004F3AB8">
        <w:t>.</w:t>
      </w:r>
    </w:p>
    <w:p w:rsidR="004F3AB8" w:rsidRPr="004F3AB8" w:rsidRDefault="004F3AB8" w:rsidP="004F3AB8"/>
    <w:p w:rsidR="004F3AB8" w:rsidRPr="004F3AB8" w:rsidRDefault="004F3AB8" w:rsidP="004F3AB8">
      <w:r w:rsidRPr="004F3AB8">
        <w:tab/>
        <w:t>–</w:t>
      </w:r>
      <w:r w:rsidRPr="004F3AB8">
        <w:tab/>
        <w:t>autres modifications, y compris pour les taxes</w:t>
      </w:r>
    </w:p>
    <w:p w:rsidR="004F3AB8" w:rsidRPr="004F3AB8" w:rsidRDefault="004F3AB8" w:rsidP="004F3AB8"/>
    <w:p w:rsidR="004F3AB8" w:rsidRPr="004F3AB8" w:rsidRDefault="004F3AB8" w:rsidP="004F3AB8">
      <w:r w:rsidRPr="004F3AB8">
        <w:t xml:space="preserve">L’Ordonnance danoise n° 941 du 11 août 2015, intitulée </w:t>
      </w:r>
      <w:r w:rsidRPr="004F3AB8">
        <w:rPr>
          <w:i/>
        </w:rPr>
        <w:t>Ordonnance relative au paiement pour la réglementation, etc., des semences et semis,</w:t>
      </w:r>
      <w:r w:rsidRPr="004F3AB8">
        <w:t xml:space="preserve"> est entrée en vigueur le 15 août 2015 (en danois : </w:t>
      </w:r>
      <w:proofErr w:type="spellStart"/>
      <w:r w:rsidRPr="004F3AB8">
        <w:rPr>
          <w:i/>
        </w:rPr>
        <w:t>Bekendtgørelse</w:t>
      </w:r>
      <w:proofErr w:type="spellEnd"/>
      <w:r w:rsidRPr="004F3AB8">
        <w:rPr>
          <w:i/>
        </w:rPr>
        <w:t xml:space="preserve"> om </w:t>
      </w:r>
      <w:proofErr w:type="spellStart"/>
      <w:r w:rsidRPr="004F3AB8">
        <w:rPr>
          <w:i/>
        </w:rPr>
        <w:t>betaling</w:t>
      </w:r>
      <w:proofErr w:type="spellEnd"/>
      <w:r w:rsidRPr="004F3AB8">
        <w:rPr>
          <w:i/>
        </w:rPr>
        <w:t xml:space="preserve"> for </w:t>
      </w:r>
      <w:proofErr w:type="spellStart"/>
      <w:r w:rsidRPr="004F3AB8">
        <w:rPr>
          <w:i/>
        </w:rPr>
        <w:t>kontrol</w:t>
      </w:r>
      <w:proofErr w:type="spellEnd"/>
      <w:r w:rsidRPr="004F3AB8">
        <w:rPr>
          <w:i/>
        </w:rPr>
        <w:t xml:space="preserve"> </w:t>
      </w:r>
      <w:proofErr w:type="spellStart"/>
      <w:r w:rsidRPr="004F3AB8">
        <w:rPr>
          <w:i/>
        </w:rPr>
        <w:t>m.m</w:t>
      </w:r>
      <w:proofErr w:type="spellEnd"/>
      <w:r w:rsidRPr="004F3AB8">
        <w:rPr>
          <w:i/>
        </w:rPr>
        <w:t xml:space="preserve">. </w:t>
      </w:r>
      <w:proofErr w:type="spellStart"/>
      <w:r w:rsidRPr="004F3AB8">
        <w:rPr>
          <w:i/>
        </w:rPr>
        <w:t>med</w:t>
      </w:r>
      <w:proofErr w:type="spellEnd"/>
      <w:r w:rsidRPr="004F3AB8">
        <w:rPr>
          <w:i/>
        </w:rPr>
        <w:t xml:space="preserve"> </w:t>
      </w:r>
      <w:proofErr w:type="spellStart"/>
      <w:r w:rsidRPr="004F3AB8">
        <w:rPr>
          <w:i/>
        </w:rPr>
        <w:t>frø</w:t>
      </w:r>
      <w:proofErr w:type="spellEnd"/>
      <w:r w:rsidRPr="004F3AB8">
        <w:rPr>
          <w:i/>
        </w:rPr>
        <w:t xml:space="preserve"> </w:t>
      </w:r>
      <w:proofErr w:type="spellStart"/>
      <w:r w:rsidRPr="004F3AB8">
        <w:rPr>
          <w:i/>
        </w:rPr>
        <w:t>og</w:t>
      </w:r>
      <w:proofErr w:type="spellEnd"/>
      <w:r w:rsidRPr="004F3AB8">
        <w:rPr>
          <w:i/>
        </w:rPr>
        <w:t xml:space="preserve"> </w:t>
      </w:r>
      <w:proofErr w:type="spellStart"/>
      <w:r w:rsidRPr="004F3AB8">
        <w:rPr>
          <w:i/>
        </w:rPr>
        <w:t>sædekorn</w:t>
      </w:r>
      <w:proofErr w:type="spellEnd"/>
      <w:r w:rsidRPr="004F3AB8">
        <w:t>).  Cette ordonnance n’est ni traduite en anglais ni publiée dans les bases de données susmentionnées.</w:t>
      </w:r>
    </w:p>
    <w:p w:rsidR="004F3AB8" w:rsidRPr="004F3AB8" w:rsidRDefault="004F3AB8" w:rsidP="004F3AB8"/>
    <w:p w:rsidR="004F3AB8" w:rsidRPr="004F3AB8" w:rsidRDefault="004F3AB8" w:rsidP="004F3AB8">
      <w:r w:rsidRPr="004F3AB8">
        <w:t xml:space="preserve">Conformément à l’article 17 de l’ordonnance, le Danemark a introduit une taxe de demande d’autorisation pour figurer au </w:t>
      </w:r>
      <w:proofErr w:type="spellStart"/>
      <w:r w:rsidRPr="004F3AB8">
        <w:rPr>
          <w:i/>
        </w:rPr>
        <w:t>Variety</w:t>
      </w:r>
      <w:proofErr w:type="spellEnd"/>
      <w:r w:rsidRPr="004F3AB8">
        <w:rPr>
          <w:i/>
        </w:rPr>
        <w:t xml:space="preserve"> Catalogue </w:t>
      </w:r>
      <w:r w:rsidRPr="004F3AB8">
        <w:t xml:space="preserve">(le catalogue national des variétés) et pour la protection des obtentions végétales.  Le montant de cette taxe est de </w:t>
      </w:r>
      <w:r w:rsidRPr="004F3AB8">
        <w:rPr>
          <w:u w:val="single"/>
        </w:rPr>
        <w:t>700 DKK</w:t>
      </w:r>
      <w:r w:rsidRPr="004F3AB8">
        <w:t xml:space="preserve"> (voir l’annexe 1 de l’ordonnance).</w:t>
      </w:r>
    </w:p>
    <w:p w:rsidR="004F3AB8" w:rsidRPr="004F3AB8" w:rsidRDefault="004F3AB8" w:rsidP="004F3AB8"/>
    <w:p w:rsidR="004F3AB8" w:rsidRPr="004F3AB8" w:rsidRDefault="004F3AB8" w:rsidP="004F3AB8">
      <w:r w:rsidRPr="004F3AB8">
        <w:t xml:space="preserve">La version en danois de l’Ordonnance n° 941 du 11 août 2015, intitulée </w:t>
      </w:r>
      <w:r w:rsidRPr="004F3AB8">
        <w:rPr>
          <w:i/>
        </w:rPr>
        <w:t>Ordonnance relative au paiement pour la réglementation, etc., des semences et semis,</w:t>
      </w:r>
      <w:r w:rsidRPr="004F3AB8">
        <w:t xml:space="preserve"> est disponible dans la base de données juridique publique du Danemark à l’adresse suivante :</w:t>
      </w:r>
    </w:p>
    <w:p w:rsidR="004F3AB8" w:rsidRPr="004F3AB8" w:rsidRDefault="00D447DD" w:rsidP="004F3AB8">
      <w:hyperlink r:id="rId18" w:history="1">
        <w:r w:rsidR="004F3AB8" w:rsidRPr="004F3AB8">
          <w:rPr>
            <w:rStyle w:val="Hyperlink"/>
          </w:rPr>
          <w:t>https://www.retsinformation.dk/Forms/R0710.aspx?id=173645</w:t>
        </w:r>
      </w:hyperlink>
    </w:p>
    <w:p w:rsidR="004F3AB8" w:rsidRPr="004F3AB8" w:rsidRDefault="004F3AB8" w:rsidP="004F3AB8"/>
    <w:p w:rsidR="004F3AB8" w:rsidRPr="004F3AB8" w:rsidRDefault="004F3AB8" w:rsidP="004F3AB8">
      <w:r w:rsidRPr="004F3AB8">
        <w:t>À partir du 1</w:t>
      </w:r>
      <w:r w:rsidRPr="004F3AB8">
        <w:rPr>
          <w:vertAlign w:val="superscript"/>
        </w:rPr>
        <w:t>er</w:t>
      </w:r>
      <w:r w:rsidRPr="004F3AB8">
        <w:t xml:space="preserve"> juillet 2015, l’établissement principal d’examen pour les variétés végétales au Danemark est l’organisme privé </w:t>
      </w:r>
      <w:proofErr w:type="spellStart"/>
      <w:r w:rsidRPr="004F3AB8">
        <w:rPr>
          <w:i/>
        </w:rPr>
        <w:t>TystofteFoundation</w:t>
      </w:r>
      <w:proofErr w:type="spellEnd"/>
      <w:r w:rsidRPr="004F3AB8">
        <w:t xml:space="preserve">.  Vous trouverez des informations concernant le paiement (annuel) des frais relatifs à l’administration, aux analyses, aux examens DHS et VCU ou aux parcelles de contrôle, entre autres, sur le site Web de la </w:t>
      </w:r>
      <w:proofErr w:type="spellStart"/>
      <w:r w:rsidRPr="004F3AB8">
        <w:rPr>
          <w:i/>
        </w:rPr>
        <w:t>TystofteFoundation</w:t>
      </w:r>
      <w:proofErr w:type="spellEnd"/>
      <w:r w:rsidRPr="004F3AB8">
        <w:t> :</w:t>
      </w:r>
    </w:p>
    <w:p w:rsidR="004F3AB8" w:rsidRPr="004F3AB8" w:rsidRDefault="004F3AB8" w:rsidP="004F3AB8"/>
    <w:p w:rsidR="004F3AB8" w:rsidRPr="004F3AB8" w:rsidRDefault="004F3AB8" w:rsidP="004F3AB8">
      <w:r w:rsidRPr="004F3AB8">
        <w:t>Tarifs 2015 :</w:t>
      </w:r>
    </w:p>
    <w:p w:rsidR="004F3AB8" w:rsidRPr="004F3AB8" w:rsidRDefault="00D447DD" w:rsidP="004F3AB8">
      <w:hyperlink r:id="rId19" w:history="1">
        <w:r w:rsidR="004F3AB8" w:rsidRPr="004F3AB8">
          <w:rPr>
            <w:rStyle w:val="Hyperlink"/>
          </w:rPr>
          <w:t>http://www.tystofte.dk/wp</w:t>
        </w:r>
        <w:r w:rsidR="004F3AB8" w:rsidRPr="004F3AB8">
          <w:rPr>
            <w:rStyle w:val="Hyperlink"/>
          </w:rPr>
          <w:noBreakHyphen/>
          <w:t>content/uploads/2015/06/prisliste</w:t>
        </w:r>
        <w:r w:rsidR="004F3AB8" w:rsidRPr="004F3AB8">
          <w:rPr>
            <w:rStyle w:val="Hyperlink"/>
          </w:rPr>
          <w:noBreakHyphen/>
          <w:t>2015</w:t>
        </w:r>
        <w:r w:rsidR="004F3AB8" w:rsidRPr="004F3AB8">
          <w:rPr>
            <w:rStyle w:val="Hyperlink"/>
          </w:rPr>
          <w:noBreakHyphen/>
          <w:t>pricelist</w:t>
        </w:r>
        <w:r w:rsidR="004F3AB8" w:rsidRPr="004F3AB8">
          <w:rPr>
            <w:rStyle w:val="Hyperlink"/>
          </w:rPr>
          <w:noBreakHyphen/>
          <w:t>2015.pdf</w:t>
        </w:r>
      </w:hyperlink>
    </w:p>
    <w:p w:rsidR="004F3AB8" w:rsidRPr="004F3AB8" w:rsidRDefault="004F3AB8" w:rsidP="004F3AB8"/>
    <w:p w:rsidR="004F3AB8" w:rsidRPr="004F3AB8" w:rsidRDefault="004F3AB8" w:rsidP="004F3AB8">
      <w:r w:rsidRPr="004F3AB8">
        <w:t>Tarifs 2016 :</w:t>
      </w:r>
    </w:p>
    <w:p w:rsidR="004F3AB8" w:rsidRPr="004F3AB8" w:rsidRDefault="00D447DD" w:rsidP="004F3AB8">
      <w:hyperlink r:id="rId20" w:history="1">
        <w:r w:rsidR="004F3AB8" w:rsidRPr="004F3AB8">
          <w:rPr>
            <w:rStyle w:val="Hyperlink"/>
          </w:rPr>
          <w:t>http://www.tystofte.dk/wp</w:t>
        </w:r>
        <w:r w:rsidR="004F3AB8" w:rsidRPr="004F3AB8">
          <w:rPr>
            <w:rStyle w:val="Hyperlink"/>
          </w:rPr>
          <w:noBreakHyphen/>
          <w:t>content/uploads/2015/08/prisliste</w:t>
        </w:r>
        <w:r w:rsidR="004F3AB8" w:rsidRPr="004F3AB8">
          <w:rPr>
            <w:rStyle w:val="Hyperlink"/>
          </w:rPr>
          <w:noBreakHyphen/>
          <w:t>2016</w:t>
        </w:r>
        <w:r w:rsidR="004F3AB8" w:rsidRPr="004F3AB8">
          <w:rPr>
            <w:rStyle w:val="Hyperlink"/>
          </w:rPr>
          <w:noBreakHyphen/>
          <w:t>pricelist</w:t>
        </w:r>
        <w:r w:rsidR="004F3AB8" w:rsidRPr="004F3AB8">
          <w:rPr>
            <w:rStyle w:val="Hyperlink"/>
          </w:rPr>
          <w:noBreakHyphen/>
          <w:t>2016.pdf</w:t>
        </w:r>
      </w:hyperlink>
    </w:p>
    <w:p w:rsidR="004F3AB8" w:rsidRPr="004F3AB8" w:rsidRDefault="004F3AB8" w:rsidP="004F3AB8"/>
    <w:p w:rsidR="004F3AB8" w:rsidRPr="004F3AB8" w:rsidRDefault="004F3AB8" w:rsidP="004F3AB8"/>
    <w:p w:rsidR="004F3AB8" w:rsidRPr="004F3AB8" w:rsidRDefault="004F3AB8" w:rsidP="004F3AB8">
      <w:pPr>
        <w:rPr>
          <w:u w:val="single"/>
        </w:rPr>
      </w:pPr>
      <w:r w:rsidRPr="004F3AB8">
        <w:t>2.</w:t>
      </w:r>
      <w:r w:rsidRPr="004F3AB8">
        <w:tab/>
      </w:r>
      <w:r w:rsidRPr="004F3AB8">
        <w:rPr>
          <w:u w:val="single"/>
        </w:rPr>
        <w:t>Situation dans le domaine administratif</w:t>
      </w:r>
    </w:p>
    <w:p w:rsidR="004F3AB8" w:rsidRPr="004F3AB8" w:rsidRDefault="004F3AB8" w:rsidP="004F3AB8"/>
    <w:p w:rsidR="004F3AB8" w:rsidRPr="004F3AB8" w:rsidRDefault="004F3AB8" w:rsidP="004F3AB8">
      <w:r w:rsidRPr="004F3AB8">
        <w:tab/>
        <w:t>–</w:t>
      </w:r>
      <w:r w:rsidRPr="004F3AB8">
        <w:tab/>
        <w:t>Modifications de la structure administrative</w:t>
      </w:r>
    </w:p>
    <w:p w:rsidR="004F3AB8" w:rsidRPr="004F3AB8" w:rsidRDefault="004F3AB8" w:rsidP="004F3AB8"/>
    <w:p w:rsidR="004F3AB8" w:rsidRPr="004F3AB8" w:rsidRDefault="004F3AB8" w:rsidP="004F3AB8">
      <w:r w:rsidRPr="004F3AB8">
        <w:t>Le 17 août 2015, nous avons adressé à l’UPOV (</w:t>
      </w:r>
      <w:hyperlink r:id="rId21" w:history="1">
        <w:r w:rsidRPr="004F3AB8">
          <w:rPr>
            <w:rStyle w:val="Hyperlink"/>
          </w:rPr>
          <w:t>upov.mail@upov.int</w:t>
        </w:r>
      </w:hyperlink>
      <w:r w:rsidRPr="004F3AB8">
        <w:t>) un courrier électronique accompagné de lettres jointes en annexe, à l’attention de M. Peter Button, aux fins de notification de la nouvelle représentation au sein des organes de l’UPOV.  Nous prions le Conseil de bien vouloir prendre connaissance des documents en question qui sont également joints au présent rapport</w:t>
      </w:r>
      <w:r w:rsidRPr="004F3AB8">
        <w:rPr>
          <w:rStyle w:val="FootnoteReference"/>
        </w:rPr>
        <w:footnoteReference w:id="2"/>
      </w:r>
      <w:r w:rsidRPr="004F3AB8">
        <w:t> :</w:t>
      </w:r>
    </w:p>
    <w:p w:rsidR="004F3AB8" w:rsidRPr="004F3AB8" w:rsidRDefault="004F3AB8" w:rsidP="004F3AB8"/>
    <w:p w:rsidR="004F3AB8" w:rsidRPr="004F3AB8" w:rsidRDefault="004F3AB8" w:rsidP="004F3AB8">
      <w:pPr>
        <w:ind w:left="567"/>
      </w:pPr>
      <w:r w:rsidRPr="004F3AB8">
        <w:t>–</w:t>
      </w:r>
      <w:r w:rsidRPr="004F3AB8">
        <w:tab/>
        <w:t>Lettre adressée à l’UPOV concernant la nomination du représentant du Danemark</w:t>
      </w:r>
    </w:p>
    <w:p w:rsidR="004F3AB8" w:rsidRPr="004F3AB8" w:rsidRDefault="004F3AB8" w:rsidP="004F3AB8">
      <w:pPr>
        <w:ind w:left="567"/>
      </w:pPr>
      <w:r w:rsidRPr="004F3AB8">
        <w:t>–</w:t>
      </w:r>
      <w:r w:rsidRPr="004F3AB8">
        <w:tab/>
        <w:t>Organigramme</w:t>
      </w:r>
    </w:p>
    <w:p w:rsidR="004F3AB8" w:rsidRPr="004F3AB8" w:rsidRDefault="004F3AB8" w:rsidP="004F3AB8"/>
    <w:p w:rsidR="004F3AB8" w:rsidRPr="004F3AB8" w:rsidRDefault="004F3AB8" w:rsidP="004F3AB8">
      <w:r w:rsidRPr="004F3AB8">
        <w:tab/>
        <w:t>–</w:t>
      </w:r>
      <w:r w:rsidRPr="004F3AB8">
        <w:tab/>
        <w:t>Modifications des procédures et systèmes</w:t>
      </w:r>
    </w:p>
    <w:p w:rsidR="004F3AB8" w:rsidRPr="004F3AB8" w:rsidRDefault="004F3AB8" w:rsidP="004F3AB8"/>
    <w:p w:rsidR="004F3AB8" w:rsidRPr="004F3AB8" w:rsidRDefault="004F3AB8" w:rsidP="004F3AB8">
      <w:r w:rsidRPr="004F3AB8">
        <w:t>Voir les observations ci</w:t>
      </w:r>
      <w:r w:rsidRPr="004F3AB8">
        <w:noBreakHyphen/>
        <w:t>dessus concernant les modifications de la structure administrative.</w:t>
      </w:r>
    </w:p>
    <w:p w:rsidR="004F3AB8" w:rsidRPr="004F3AB8" w:rsidRDefault="004F3AB8" w:rsidP="004F3AB8"/>
    <w:p w:rsidR="004F3AB8" w:rsidRPr="004F3AB8" w:rsidRDefault="004F3AB8" w:rsidP="004F3AB8"/>
    <w:p w:rsidR="004F3AB8" w:rsidRPr="004F3AB8" w:rsidRDefault="004F3AB8" w:rsidP="004F3AB8">
      <w:pPr>
        <w:rPr>
          <w:u w:val="single"/>
        </w:rPr>
      </w:pPr>
      <w:r w:rsidRPr="004F3AB8">
        <w:t>3.</w:t>
      </w:r>
      <w:r w:rsidRPr="004F3AB8">
        <w:tab/>
      </w:r>
      <w:r w:rsidRPr="004F3AB8">
        <w:rPr>
          <w:u w:val="single"/>
        </w:rPr>
        <w:t>Situation dans le domaine technique</w:t>
      </w:r>
    </w:p>
    <w:p w:rsidR="004F3AB8" w:rsidRPr="004F3AB8" w:rsidRDefault="004F3AB8" w:rsidP="004F3AB8"/>
    <w:p w:rsidR="004F3AB8" w:rsidRPr="004F3AB8" w:rsidRDefault="004F3AB8" w:rsidP="004F3AB8">
      <w:r w:rsidRPr="004F3AB8">
        <w:t xml:space="preserve">Comme mentionné plus haut, en ce qui concerne le domaine technique, la </w:t>
      </w:r>
      <w:proofErr w:type="spellStart"/>
      <w:r w:rsidRPr="004F3AB8">
        <w:rPr>
          <w:i/>
        </w:rPr>
        <w:t>Danish</w:t>
      </w:r>
      <w:proofErr w:type="spellEnd"/>
      <w:r w:rsidRPr="004F3AB8">
        <w:rPr>
          <w:i/>
        </w:rPr>
        <w:t xml:space="preserve"> </w:t>
      </w:r>
      <w:proofErr w:type="spellStart"/>
      <w:r w:rsidRPr="004F3AB8">
        <w:rPr>
          <w:i/>
        </w:rPr>
        <w:t>AgriFish</w:t>
      </w:r>
      <w:proofErr w:type="spellEnd"/>
      <w:r w:rsidRPr="004F3AB8">
        <w:rPr>
          <w:i/>
        </w:rPr>
        <w:t xml:space="preserve"> Agency</w:t>
      </w:r>
      <w:r w:rsidRPr="004F3AB8">
        <w:t xml:space="preserve"> collabore avec la </w:t>
      </w:r>
      <w:proofErr w:type="spellStart"/>
      <w:r w:rsidRPr="004F3AB8">
        <w:rPr>
          <w:i/>
        </w:rPr>
        <w:t>TystofteFoundation</w:t>
      </w:r>
      <w:proofErr w:type="spellEnd"/>
      <w:r w:rsidRPr="004F3AB8">
        <w:t xml:space="preserve">.  M. Gerhard </w:t>
      </w:r>
      <w:proofErr w:type="spellStart"/>
      <w:r w:rsidRPr="004F3AB8">
        <w:t>Deneken</w:t>
      </w:r>
      <w:proofErr w:type="spellEnd"/>
      <w:r w:rsidRPr="004F3AB8">
        <w:t xml:space="preserve">, directeur général de la </w:t>
      </w:r>
      <w:proofErr w:type="spellStart"/>
      <w:r w:rsidRPr="004F3AB8">
        <w:rPr>
          <w:i/>
        </w:rPr>
        <w:t>TystofteFoundation</w:t>
      </w:r>
      <w:proofErr w:type="spellEnd"/>
      <w:r w:rsidRPr="004F3AB8">
        <w:t>, fait part de ses observations sur la situation dans le domaine technique :</w:t>
      </w:r>
    </w:p>
    <w:p w:rsidR="004F3AB8" w:rsidRPr="004F3AB8" w:rsidRDefault="004F3AB8" w:rsidP="004F3AB8"/>
    <w:p w:rsidR="004F3AB8" w:rsidRPr="004F3AB8" w:rsidRDefault="004F3AB8" w:rsidP="004F3AB8">
      <w:r w:rsidRPr="004F3AB8">
        <w:t>“Au Danemark, nous avons créé une fondation portée par le secteur des entreprises qui prend en charge l’examen des variétés depuis le 1</w:t>
      </w:r>
      <w:r w:rsidRPr="004F3AB8">
        <w:rPr>
          <w:vertAlign w:val="superscript"/>
        </w:rPr>
        <w:t>er</w:t>
      </w:r>
      <w:r w:rsidRPr="004F3AB8">
        <w:t xml:space="preserve"> juillet 2015.  Les demandes sont désormais adressées directement à la </w:t>
      </w:r>
      <w:proofErr w:type="spellStart"/>
      <w:r w:rsidRPr="004F3AB8">
        <w:rPr>
          <w:i/>
        </w:rPr>
        <w:t>TystofteFoundation</w:t>
      </w:r>
      <w:proofErr w:type="spellEnd"/>
      <w:r w:rsidRPr="004F3AB8">
        <w:t xml:space="preserve"> qui est dirigée par Gerhard </w:t>
      </w:r>
      <w:proofErr w:type="spellStart"/>
      <w:r w:rsidRPr="004F3AB8">
        <w:t>Deneken</w:t>
      </w:r>
      <w:proofErr w:type="spellEnd"/>
      <w:r w:rsidRPr="004F3AB8">
        <w:t xml:space="preserve">, sous la surveillance de la </w:t>
      </w:r>
      <w:proofErr w:type="spellStart"/>
      <w:r w:rsidRPr="004F3AB8">
        <w:rPr>
          <w:i/>
        </w:rPr>
        <w:t>Danish</w:t>
      </w:r>
      <w:proofErr w:type="spellEnd"/>
      <w:r w:rsidRPr="004F3AB8">
        <w:rPr>
          <w:i/>
        </w:rPr>
        <w:t xml:space="preserve"> </w:t>
      </w:r>
      <w:proofErr w:type="spellStart"/>
      <w:r w:rsidRPr="004F3AB8">
        <w:rPr>
          <w:i/>
        </w:rPr>
        <w:t>AgriFish</w:t>
      </w:r>
      <w:proofErr w:type="spellEnd"/>
      <w:r w:rsidRPr="004F3AB8">
        <w:rPr>
          <w:i/>
        </w:rPr>
        <w:t xml:space="preserve"> Agency</w:t>
      </w:r>
      <w:r w:rsidRPr="004F3AB8">
        <w:t xml:space="preserve">.  La </w:t>
      </w:r>
      <w:proofErr w:type="spellStart"/>
      <w:r w:rsidRPr="004F3AB8">
        <w:rPr>
          <w:i/>
        </w:rPr>
        <w:t>TystofteFoundation</w:t>
      </w:r>
      <w:proofErr w:type="spellEnd"/>
      <w:r w:rsidRPr="004F3AB8">
        <w:t xml:space="preserve"> effectue toutes les tâches techniques et administratives qui aboutissent à l’approbation de nouvelles variétés végétales par l’</w:t>
      </w:r>
      <w:proofErr w:type="spellStart"/>
      <w:r w:rsidRPr="004F3AB8">
        <w:rPr>
          <w:i/>
        </w:rPr>
        <w:t>Agrifish</w:t>
      </w:r>
      <w:proofErr w:type="spellEnd"/>
      <w:r w:rsidRPr="004F3AB8">
        <w:rPr>
          <w:i/>
        </w:rPr>
        <w:t xml:space="preserve"> Agency</w:t>
      </w:r>
      <w:r w:rsidRPr="004F3AB8">
        <w:t>.”</w:t>
      </w:r>
    </w:p>
    <w:p w:rsidR="004F3AB8" w:rsidRPr="004F3AB8" w:rsidRDefault="004F3AB8" w:rsidP="004F3AB8"/>
    <w:p w:rsidR="004F3AB8" w:rsidRPr="004F3AB8" w:rsidRDefault="004F3AB8" w:rsidP="004F3AB8">
      <w:r w:rsidRPr="004F3AB8">
        <w:t>Veuillez noter que l’organigramme ci</w:t>
      </w:r>
      <w:r w:rsidRPr="004F3AB8">
        <w:noBreakHyphen/>
        <w:t xml:space="preserve">dessous indique la relation entre la </w:t>
      </w:r>
      <w:proofErr w:type="spellStart"/>
      <w:r w:rsidRPr="004F3AB8">
        <w:t>TystofteFoundation</w:t>
      </w:r>
      <w:proofErr w:type="spellEnd"/>
      <w:r w:rsidRPr="004F3AB8">
        <w:t xml:space="preserve"> et la </w:t>
      </w:r>
      <w:proofErr w:type="spellStart"/>
      <w:r w:rsidRPr="004F3AB8">
        <w:t>Danish</w:t>
      </w:r>
      <w:proofErr w:type="spellEnd"/>
      <w:r w:rsidRPr="004F3AB8">
        <w:t xml:space="preserve"> </w:t>
      </w:r>
      <w:proofErr w:type="spellStart"/>
      <w:r w:rsidRPr="004F3AB8">
        <w:t>AgriFish</w:t>
      </w:r>
      <w:proofErr w:type="spellEnd"/>
      <w:r w:rsidRPr="004F3AB8">
        <w:t xml:space="preserve"> Agency.</w:t>
      </w:r>
    </w:p>
    <w:p w:rsidR="004F3AB8" w:rsidRPr="004F3AB8" w:rsidRDefault="004F3AB8" w:rsidP="004F3AB8"/>
    <w:p w:rsidR="004F3AB8" w:rsidRPr="004F3AB8" w:rsidRDefault="004F3AB8" w:rsidP="004F3AB8">
      <w:r w:rsidRPr="004F3AB8">
        <w:rPr>
          <w:noProof/>
          <w:lang w:val="en-US"/>
        </w:rPr>
        <w:drawing>
          <wp:inline distT="0" distB="0" distL="0" distR="0" wp14:anchorId="320D357E" wp14:editId="3FC9F977">
            <wp:extent cx="6120765" cy="45788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0765" cy="4578893"/>
                    </a:xfrm>
                    <a:prstGeom prst="rect">
                      <a:avLst/>
                    </a:prstGeom>
                    <a:noFill/>
                    <a:ln>
                      <a:noFill/>
                    </a:ln>
                  </pic:spPr>
                </pic:pic>
              </a:graphicData>
            </a:graphic>
          </wp:inline>
        </w:drawing>
      </w:r>
    </w:p>
    <w:p w:rsidR="004F3AB8" w:rsidRPr="004F3AB8" w:rsidRDefault="004F3AB8" w:rsidP="004F3AB8"/>
    <w:p w:rsidR="004F3AB8" w:rsidRPr="004F3AB8" w:rsidRDefault="004F3AB8" w:rsidP="004F3AB8">
      <w:pPr>
        <w:keepNext/>
        <w:rPr>
          <w:u w:val="single"/>
        </w:rPr>
      </w:pPr>
      <w:r w:rsidRPr="004F3AB8">
        <w:t>4.</w:t>
      </w:r>
      <w:r w:rsidRPr="004F3AB8">
        <w:tab/>
      </w:r>
      <w:r w:rsidRPr="004F3AB8">
        <w:rPr>
          <w:u w:val="single"/>
        </w:rPr>
        <w:t>Activités de promotion de la protection des obtentions végétales</w:t>
      </w:r>
    </w:p>
    <w:p w:rsidR="004F3AB8" w:rsidRPr="004F3AB8" w:rsidRDefault="004F3AB8" w:rsidP="004F3AB8">
      <w:pPr>
        <w:keepNext/>
      </w:pPr>
    </w:p>
    <w:p w:rsidR="004F3AB8" w:rsidRPr="004F3AB8" w:rsidRDefault="004F3AB8" w:rsidP="004F3AB8">
      <w:r w:rsidRPr="004F3AB8">
        <w:t xml:space="preserve">À l’heure actuelle, la </w:t>
      </w:r>
      <w:proofErr w:type="spellStart"/>
      <w:r w:rsidRPr="004F3AB8">
        <w:rPr>
          <w:i/>
        </w:rPr>
        <w:t>Danish</w:t>
      </w:r>
      <w:proofErr w:type="spellEnd"/>
      <w:r w:rsidRPr="004F3AB8">
        <w:rPr>
          <w:i/>
        </w:rPr>
        <w:t xml:space="preserve"> </w:t>
      </w:r>
      <w:proofErr w:type="spellStart"/>
      <w:r w:rsidRPr="004F3AB8">
        <w:rPr>
          <w:i/>
        </w:rPr>
        <w:t>AgriFish</w:t>
      </w:r>
      <w:proofErr w:type="spellEnd"/>
      <w:r w:rsidRPr="004F3AB8">
        <w:rPr>
          <w:i/>
        </w:rPr>
        <w:t xml:space="preserve"> Agency</w:t>
      </w:r>
      <w:r w:rsidRPr="004F3AB8">
        <w:t xml:space="preserve"> n’a pas effectué et ne prévoit pas d’effectuer d’activités de promotion directe en faveur de la protection des obtentions végétales au Danemark, mais nous pensons toutefois que la nouvelle structure organisationnelle et la coopération avec la </w:t>
      </w:r>
      <w:proofErr w:type="spellStart"/>
      <w:r w:rsidRPr="004F3AB8">
        <w:rPr>
          <w:i/>
        </w:rPr>
        <w:t>TystofteFoundation</w:t>
      </w:r>
      <w:proofErr w:type="spellEnd"/>
      <w:r w:rsidRPr="004F3AB8">
        <w:t xml:space="preserve"> seront avantageuses pour les obtenteurs danois en général.  Étant donné que ces changements dans l’administration de la protection des obtentions végétales et l’examen des variétés au Danemark viennent seulement d’être mis en place, nous sommes actuellement dans la phase de planification des changements.  Pour cette raison et à ce stade, il est trop tôt pour se prononcer au sujet de nos futures activités concernant la protection des obtentions végétales.</w:t>
      </w:r>
    </w:p>
    <w:p w:rsidR="004F3AB8" w:rsidRPr="004F3AB8" w:rsidRDefault="004F3AB8" w:rsidP="004F3AB8"/>
    <w:p w:rsidR="004F3AB8" w:rsidRDefault="004F3AB8" w:rsidP="00944AEF"/>
    <w:p w:rsidR="0093785F" w:rsidRPr="004F3AB8" w:rsidRDefault="0093785F" w:rsidP="00944AEF"/>
    <w:p w:rsidR="00944AEF" w:rsidRPr="004F3AB8" w:rsidRDefault="00944AEF" w:rsidP="00944AEF">
      <w:pPr>
        <w:jc w:val="right"/>
      </w:pPr>
      <w:r w:rsidRPr="004F3AB8">
        <w:t>[L’annexe VI suit]</w:t>
      </w:r>
    </w:p>
    <w:p w:rsidR="00944AEF" w:rsidRPr="004F3AB8" w:rsidRDefault="00944AEF" w:rsidP="00944AEF">
      <w:pPr>
        <w:jc w:val="left"/>
      </w:pPr>
    </w:p>
    <w:p w:rsidR="00944AEF" w:rsidRPr="004F3AB8" w:rsidRDefault="00944AEF" w:rsidP="00944AEF">
      <w:pPr>
        <w:jc w:val="left"/>
        <w:sectPr w:rsidR="00944AEF" w:rsidRPr="004F3AB8" w:rsidSect="004F3AB8">
          <w:headerReference w:type="default" r:id="rId23"/>
          <w:pgSz w:w="11907" w:h="16840" w:code="9"/>
          <w:pgMar w:top="510" w:right="1134" w:bottom="1134" w:left="1134" w:header="510" w:footer="680" w:gutter="0"/>
          <w:pgNumType w:start="1"/>
          <w:cols w:space="720"/>
          <w:titlePg/>
        </w:sectPr>
      </w:pPr>
    </w:p>
    <w:p w:rsidR="00944AEF" w:rsidRPr="004F3AB8" w:rsidRDefault="00944AEF" w:rsidP="00944AEF">
      <w:pPr>
        <w:jc w:val="center"/>
      </w:pPr>
      <w:r w:rsidRPr="004F3AB8">
        <w:t>C/49/15</w:t>
      </w:r>
    </w:p>
    <w:p w:rsidR="00944AEF" w:rsidRPr="004F3AB8" w:rsidRDefault="00944AEF" w:rsidP="00944AEF">
      <w:pPr>
        <w:jc w:val="center"/>
      </w:pPr>
    </w:p>
    <w:p w:rsidR="00944AEF" w:rsidRPr="004F3AB8" w:rsidRDefault="00944AEF" w:rsidP="00944AEF">
      <w:pPr>
        <w:jc w:val="center"/>
      </w:pPr>
      <w:r w:rsidRPr="004F3AB8">
        <w:t>ANNEXE VI</w:t>
      </w:r>
    </w:p>
    <w:p w:rsidR="00944AEF" w:rsidRPr="004F3AB8" w:rsidRDefault="00944AEF" w:rsidP="00944AEF">
      <w:pPr>
        <w:jc w:val="center"/>
      </w:pPr>
    </w:p>
    <w:p w:rsidR="00944AEF" w:rsidRPr="004F3AB8" w:rsidRDefault="00944AEF" w:rsidP="00944AEF">
      <w:pPr>
        <w:jc w:val="center"/>
      </w:pPr>
    </w:p>
    <w:p w:rsidR="00944AEF" w:rsidRPr="004F3AB8" w:rsidRDefault="00944AEF" w:rsidP="00944AEF">
      <w:pPr>
        <w:jc w:val="center"/>
      </w:pPr>
      <w:r w:rsidRPr="004F3AB8">
        <w:t>LETTONIE</w:t>
      </w:r>
    </w:p>
    <w:p w:rsidR="00944AEF" w:rsidRPr="004F3AB8" w:rsidRDefault="00944AEF" w:rsidP="00944AEF"/>
    <w:p w:rsidR="00944AEF" w:rsidRDefault="00944AEF" w:rsidP="00944AEF"/>
    <w:p w:rsidR="00C92C60" w:rsidRPr="00C92C60" w:rsidRDefault="00C92C60" w:rsidP="00C92C60">
      <w:pPr>
        <w:rPr>
          <w:rFonts w:cs="Arial"/>
        </w:rPr>
      </w:pPr>
      <w:r w:rsidRPr="00C92C60">
        <w:rPr>
          <w:rFonts w:cs="Arial"/>
        </w:rPr>
        <w:t>PROTECTION DES OBTENTIONS VÉGÉTALES</w:t>
      </w:r>
    </w:p>
    <w:p w:rsidR="00C92C60" w:rsidRPr="00C92C60" w:rsidRDefault="00C92C60" w:rsidP="00C92C60">
      <w:pPr>
        <w:rPr>
          <w:rFonts w:cs="Arial"/>
        </w:rPr>
      </w:pPr>
    </w:p>
    <w:p w:rsidR="00C92C60" w:rsidRPr="00C92C60" w:rsidRDefault="00C92C60" w:rsidP="00C92C60">
      <w:pPr>
        <w:tabs>
          <w:tab w:val="left" w:pos="426"/>
          <w:tab w:val="left" w:pos="1276"/>
        </w:tabs>
      </w:pPr>
      <w:r w:rsidRPr="00C92C60">
        <w:t xml:space="preserve">1.  </w:t>
      </w:r>
      <w:r w:rsidRPr="00C92C60">
        <w:tab/>
      </w:r>
      <w:r w:rsidRPr="00C92C60">
        <w:rPr>
          <w:u w:val="single"/>
        </w:rPr>
        <w:t>Situation dans le domaine législatif</w:t>
      </w:r>
    </w:p>
    <w:p w:rsidR="00C92C60" w:rsidRPr="00C92C60" w:rsidRDefault="00C92C60" w:rsidP="00C92C60"/>
    <w:p w:rsidR="00C92C60" w:rsidRPr="00C92C60" w:rsidRDefault="00C92C60" w:rsidP="00C92C60">
      <w:r w:rsidRPr="00C92C60">
        <w:tab/>
        <w:t>1.1</w:t>
      </w:r>
      <w:r w:rsidRPr="00C92C60">
        <w:tab/>
        <w:t>Modifications de la loi et des textes d’application</w:t>
      </w:r>
    </w:p>
    <w:p w:rsidR="00C92C60" w:rsidRPr="00C92C60" w:rsidRDefault="00C92C60" w:rsidP="00C92C60">
      <w:pPr>
        <w:ind w:left="851"/>
      </w:pPr>
      <w:r w:rsidRPr="00C92C60">
        <w:noBreakHyphen/>
      </w:r>
      <w:r w:rsidRPr="00C92C60">
        <w:tab/>
        <w:t>adaptation à l’Acte de 1991 de la Convention : sans changement.</w:t>
      </w:r>
    </w:p>
    <w:p w:rsidR="00C92C60" w:rsidRPr="00C92C60" w:rsidRDefault="00C92C60" w:rsidP="00C92C60">
      <w:pPr>
        <w:ind w:left="851"/>
      </w:pPr>
      <w:r w:rsidRPr="00C92C60">
        <w:noBreakHyphen/>
      </w:r>
      <w:r w:rsidRPr="00C92C60">
        <w:tab/>
        <w:t>autres modifications, y compris pour les taxes : aucun élément nouveau.</w:t>
      </w:r>
    </w:p>
    <w:p w:rsidR="00C92C60" w:rsidRPr="00C92C60" w:rsidRDefault="00C92C60" w:rsidP="00C92C60"/>
    <w:p w:rsidR="00C92C60" w:rsidRPr="00C92C60" w:rsidRDefault="00C92C60" w:rsidP="00C92C60">
      <w:r w:rsidRPr="00C92C60">
        <w:tab/>
        <w:t>1.2</w:t>
      </w:r>
      <w:r w:rsidRPr="00C92C60">
        <w:tab/>
        <w:t>Extension de la protection à d’autres genres et espèces (effectuée ou prévue) :</w:t>
      </w:r>
    </w:p>
    <w:p w:rsidR="00C92C60" w:rsidRPr="00C92C60" w:rsidRDefault="00C92C60" w:rsidP="00C92C60">
      <w:r w:rsidRPr="00C92C60">
        <w:tab/>
      </w:r>
      <w:r w:rsidRPr="00C92C60">
        <w:tab/>
        <w:t>aucun élément nouveau.</w:t>
      </w:r>
    </w:p>
    <w:p w:rsidR="00C92C60" w:rsidRPr="00C92C60" w:rsidRDefault="00C92C60" w:rsidP="00C92C60"/>
    <w:p w:rsidR="00C92C60" w:rsidRPr="00C92C60" w:rsidRDefault="00C92C60" w:rsidP="00C92C60">
      <w:r w:rsidRPr="00C92C60">
        <w:tab/>
        <w:t>1.3</w:t>
      </w:r>
      <w:r w:rsidRPr="00C92C60">
        <w:tab/>
        <w:t>Jurisprudence : aucun élément nouveau.</w:t>
      </w:r>
    </w:p>
    <w:p w:rsidR="00C92C60" w:rsidRPr="00C92C60" w:rsidRDefault="00C92C60" w:rsidP="00C92C60"/>
    <w:p w:rsidR="00C92C60" w:rsidRPr="00C92C60" w:rsidRDefault="00C92C60" w:rsidP="00C92C60">
      <w:r w:rsidRPr="00C92C60">
        <w:t>2.</w:t>
      </w:r>
      <w:r w:rsidRPr="00C92C60">
        <w:tab/>
      </w:r>
      <w:r w:rsidRPr="00C92C60">
        <w:rPr>
          <w:u w:val="single"/>
        </w:rPr>
        <w:t>Coopération en matière d’examen</w:t>
      </w:r>
    </w:p>
    <w:p w:rsidR="00C92C60" w:rsidRPr="00C92C60" w:rsidRDefault="00C92C60" w:rsidP="00C92C60">
      <w:pPr>
        <w:tabs>
          <w:tab w:val="left" w:pos="426"/>
          <w:tab w:val="left" w:pos="851"/>
        </w:tabs>
      </w:pPr>
    </w:p>
    <w:p w:rsidR="00C92C60" w:rsidRPr="00C92C60" w:rsidRDefault="00C92C60" w:rsidP="00C92C60">
      <w:pPr>
        <w:tabs>
          <w:tab w:val="left" w:pos="426"/>
          <w:tab w:val="left" w:pos="851"/>
        </w:tabs>
        <w:rPr>
          <w:b/>
        </w:rPr>
      </w:pPr>
      <w:r w:rsidRPr="00C92C60">
        <w:tab/>
        <w:t>–</w:t>
      </w:r>
      <w:r w:rsidRPr="00C92C60">
        <w:tab/>
        <w:t>Conclusion de nouveaux accords (réalisée, en cours ou envisagée) : aucun élément nouveau.</w:t>
      </w:r>
    </w:p>
    <w:p w:rsidR="00C92C60" w:rsidRPr="00C92C60" w:rsidRDefault="00C92C60" w:rsidP="00C92C60">
      <w:pPr>
        <w:tabs>
          <w:tab w:val="left" w:pos="426"/>
          <w:tab w:val="left" w:pos="851"/>
        </w:tabs>
      </w:pPr>
    </w:p>
    <w:p w:rsidR="00C92C60" w:rsidRPr="00C92C60" w:rsidRDefault="00C92C60" w:rsidP="00C92C60">
      <w:pPr>
        <w:tabs>
          <w:tab w:val="left" w:pos="426"/>
          <w:tab w:val="left" w:pos="851"/>
        </w:tabs>
      </w:pPr>
      <w:r w:rsidRPr="00C92C60">
        <w:tab/>
        <w:t>–</w:t>
      </w:r>
      <w:r w:rsidRPr="00C92C60">
        <w:tab/>
        <w:t>Modification d’accords existants (réalisée, en cours ou envisagée) :</w:t>
      </w:r>
    </w:p>
    <w:p w:rsidR="00C92C60" w:rsidRPr="00C92C60" w:rsidRDefault="00C92C60" w:rsidP="00C92C60">
      <w:pPr>
        <w:tabs>
          <w:tab w:val="left" w:pos="851"/>
        </w:tabs>
        <w:ind w:left="851"/>
      </w:pPr>
      <w:r w:rsidRPr="00C92C60">
        <w:t>le service compétent en Lettonie ne propose plus de procéder à des examens DHS pour le compte d’autres services.</w:t>
      </w:r>
    </w:p>
    <w:p w:rsidR="00C92C60" w:rsidRPr="00C92C60" w:rsidRDefault="00C92C60" w:rsidP="00C92C60"/>
    <w:p w:rsidR="00C92C60" w:rsidRPr="00C92C60" w:rsidRDefault="00C92C60" w:rsidP="00C92C60">
      <w:pPr>
        <w:rPr>
          <w:u w:val="single"/>
        </w:rPr>
      </w:pPr>
      <w:r w:rsidRPr="00C92C60">
        <w:t>3.</w:t>
      </w:r>
      <w:r w:rsidRPr="00C92C60">
        <w:tab/>
      </w:r>
      <w:r w:rsidRPr="00C92C60">
        <w:rPr>
          <w:u w:val="single"/>
        </w:rPr>
        <w:t>Situation dans le domaine administratif</w:t>
      </w:r>
    </w:p>
    <w:p w:rsidR="00C92C60" w:rsidRPr="00C92C60" w:rsidRDefault="00C92C60" w:rsidP="00C92C60"/>
    <w:p w:rsidR="00C92C60" w:rsidRPr="00C92C60" w:rsidRDefault="00C92C60" w:rsidP="00C92C60">
      <w:pPr>
        <w:ind w:left="851" w:hanging="425"/>
      </w:pPr>
      <w:r w:rsidRPr="00C92C60">
        <w:noBreakHyphen/>
      </w:r>
      <w:r w:rsidRPr="00C92C60">
        <w:tab/>
        <w:t>Modifications de la structure administrative : aucun élément nouveau.</w:t>
      </w:r>
    </w:p>
    <w:p w:rsidR="00C92C60" w:rsidRPr="00C92C60" w:rsidRDefault="00C92C60" w:rsidP="00C92C60">
      <w:pPr>
        <w:ind w:left="851" w:hanging="425"/>
      </w:pPr>
      <w:r w:rsidRPr="00C92C60">
        <w:noBreakHyphen/>
      </w:r>
      <w:r w:rsidRPr="00C92C60">
        <w:tab/>
        <w:t>Modifications des procédures et systèmes : aucun élément nouveau.</w:t>
      </w:r>
    </w:p>
    <w:p w:rsidR="00C92C60" w:rsidRPr="00C92C60" w:rsidRDefault="00C92C60" w:rsidP="00C92C60"/>
    <w:p w:rsidR="00C92C60" w:rsidRPr="00C92C60" w:rsidRDefault="00C92C60" w:rsidP="00C92C60">
      <w:pPr>
        <w:spacing w:line="360" w:lineRule="auto"/>
        <w:rPr>
          <w:u w:val="single"/>
        </w:rPr>
      </w:pPr>
      <w:r w:rsidRPr="00C92C60">
        <w:t>4.</w:t>
      </w:r>
      <w:r w:rsidRPr="00C92C60">
        <w:tab/>
      </w:r>
      <w:r w:rsidRPr="00C92C60">
        <w:rPr>
          <w:u w:val="single"/>
        </w:rPr>
        <w:t>Situation dans le domaine technique</w:t>
      </w:r>
    </w:p>
    <w:p w:rsidR="00C92C60" w:rsidRPr="00C92C60" w:rsidRDefault="00C92C60" w:rsidP="00C92C60">
      <w:pPr>
        <w:spacing w:line="360" w:lineRule="auto"/>
      </w:pPr>
      <w:r w:rsidRPr="00C92C60">
        <w:t>Un examen DHS a été effectué pour :</w:t>
      </w:r>
    </w:p>
    <w:p w:rsidR="00C92C60" w:rsidRPr="00C92C60" w:rsidRDefault="00C92C60" w:rsidP="00BD634F">
      <w:pPr>
        <w:pStyle w:val="ListParagraph"/>
        <w:numPr>
          <w:ilvl w:val="0"/>
          <w:numId w:val="2"/>
        </w:numPr>
        <w:spacing w:line="360" w:lineRule="auto"/>
        <w:contextualSpacing/>
        <w:jc w:val="both"/>
        <w:rPr>
          <w:szCs w:val="20"/>
        </w:rPr>
      </w:pPr>
      <w:r w:rsidRPr="00C92C60">
        <w:rPr>
          <w:i/>
          <w:szCs w:val="20"/>
        </w:rPr>
        <w:t xml:space="preserve">Vitis </w:t>
      </w:r>
      <w:proofErr w:type="spellStart"/>
      <w:r w:rsidRPr="00C92C60">
        <w:rPr>
          <w:i/>
          <w:szCs w:val="20"/>
        </w:rPr>
        <w:t>vinifera</w:t>
      </w:r>
      <w:proofErr w:type="spellEnd"/>
      <w:r w:rsidRPr="00C92C60">
        <w:rPr>
          <w:szCs w:val="20"/>
        </w:rPr>
        <w:t xml:space="preserve"> L. – 1 variété</w:t>
      </w:r>
    </w:p>
    <w:p w:rsidR="00C92C60" w:rsidRPr="00C92C60" w:rsidRDefault="00C92C60" w:rsidP="00C92C60"/>
    <w:p w:rsidR="00C92C60" w:rsidRPr="00C92C60" w:rsidRDefault="00C92C60" w:rsidP="00C92C60">
      <w:pPr>
        <w:rPr>
          <w:u w:val="single"/>
        </w:rPr>
      </w:pPr>
      <w:r w:rsidRPr="00C92C60">
        <w:t>5.</w:t>
      </w:r>
      <w:r w:rsidRPr="00C92C60">
        <w:tab/>
      </w:r>
      <w:r w:rsidRPr="00C92C60">
        <w:rPr>
          <w:u w:val="single"/>
        </w:rPr>
        <w:t>Activités de promotion de la protection des obtentions végétales</w:t>
      </w:r>
    </w:p>
    <w:p w:rsidR="00C92C60" w:rsidRPr="00C92C60" w:rsidRDefault="00C92C60" w:rsidP="00C92C60"/>
    <w:tbl>
      <w:tblPr>
        <w:tblStyle w:val="TableGrid"/>
        <w:tblW w:w="9747" w:type="dxa"/>
        <w:tblLayout w:type="fixed"/>
        <w:tblCellMar>
          <w:left w:w="57" w:type="dxa"/>
          <w:right w:w="57" w:type="dxa"/>
        </w:tblCellMar>
        <w:tblLook w:val="01E0" w:firstRow="1" w:lastRow="1" w:firstColumn="1" w:lastColumn="1" w:noHBand="0" w:noVBand="0"/>
      </w:tblPr>
      <w:tblGrid>
        <w:gridCol w:w="766"/>
        <w:gridCol w:w="851"/>
        <w:gridCol w:w="1134"/>
        <w:gridCol w:w="1417"/>
        <w:gridCol w:w="2268"/>
        <w:gridCol w:w="2126"/>
        <w:gridCol w:w="1185"/>
      </w:tblGrid>
      <w:tr w:rsidR="00C92C60" w:rsidRPr="00C92C60" w:rsidTr="00C92C60">
        <w:trPr>
          <w:cantSplit/>
          <w:tblHeader/>
        </w:trPr>
        <w:tc>
          <w:tcPr>
            <w:tcW w:w="766" w:type="dxa"/>
          </w:tcPr>
          <w:p w:rsidR="00C92C60" w:rsidRPr="00C92C60" w:rsidRDefault="00C92C60" w:rsidP="00EA781B">
            <w:pPr>
              <w:jc w:val="left"/>
              <w:rPr>
                <w:rFonts w:cs="Arial"/>
                <w:sz w:val="18"/>
                <w:szCs w:val="18"/>
              </w:rPr>
            </w:pPr>
            <w:r w:rsidRPr="00C92C60">
              <w:rPr>
                <w:rFonts w:cs="Arial"/>
                <w:sz w:val="18"/>
                <w:szCs w:val="18"/>
              </w:rPr>
              <w:t>Titre de l’activité</w:t>
            </w:r>
          </w:p>
        </w:tc>
        <w:tc>
          <w:tcPr>
            <w:tcW w:w="851" w:type="dxa"/>
          </w:tcPr>
          <w:p w:rsidR="00C92C60" w:rsidRPr="00C92C60" w:rsidRDefault="00C92C60" w:rsidP="00EA781B">
            <w:pPr>
              <w:jc w:val="left"/>
              <w:rPr>
                <w:rFonts w:cs="Arial"/>
                <w:sz w:val="18"/>
                <w:szCs w:val="18"/>
              </w:rPr>
            </w:pPr>
            <w:r w:rsidRPr="00C92C60">
              <w:rPr>
                <w:rFonts w:cs="Arial"/>
                <w:sz w:val="18"/>
                <w:szCs w:val="18"/>
              </w:rPr>
              <w:t>Date</w:t>
            </w:r>
          </w:p>
        </w:tc>
        <w:tc>
          <w:tcPr>
            <w:tcW w:w="1134" w:type="dxa"/>
          </w:tcPr>
          <w:p w:rsidR="00C92C60" w:rsidRPr="00C92C60" w:rsidRDefault="00C92C60" w:rsidP="00EA781B">
            <w:pPr>
              <w:jc w:val="left"/>
              <w:rPr>
                <w:rFonts w:cs="Arial"/>
                <w:sz w:val="18"/>
                <w:szCs w:val="18"/>
              </w:rPr>
            </w:pPr>
            <w:r w:rsidRPr="00C92C60">
              <w:rPr>
                <w:rFonts w:cs="Arial"/>
                <w:sz w:val="18"/>
                <w:szCs w:val="18"/>
              </w:rPr>
              <w:t>Lieu</w:t>
            </w:r>
          </w:p>
        </w:tc>
        <w:tc>
          <w:tcPr>
            <w:tcW w:w="1417" w:type="dxa"/>
          </w:tcPr>
          <w:p w:rsidR="00C92C60" w:rsidRPr="00C92C60" w:rsidRDefault="00C92C60" w:rsidP="00EA781B">
            <w:pPr>
              <w:jc w:val="left"/>
              <w:rPr>
                <w:rFonts w:cs="Arial"/>
                <w:sz w:val="18"/>
                <w:szCs w:val="18"/>
              </w:rPr>
            </w:pPr>
            <w:r w:rsidRPr="00C92C60">
              <w:rPr>
                <w:rFonts w:cs="Arial"/>
                <w:sz w:val="18"/>
                <w:szCs w:val="18"/>
              </w:rPr>
              <w:t>Organisateur(s)</w:t>
            </w:r>
          </w:p>
        </w:tc>
        <w:tc>
          <w:tcPr>
            <w:tcW w:w="2268" w:type="dxa"/>
          </w:tcPr>
          <w:p w:rsidR="00C92C60" w:rsidRPr="00C92C60" w:rsidRDefault="00C92C60" w:rsidP="00EA781B">
            <w:pPr>
              <w:jc w:val="left"/>
              <w:rPr>
                <w:rFonts w:cs="Arial"/>
                <w:sz w:val="18"/>
                <w:szCs w:val="18"/>
              </w:rPr>
            </w:pPr>
            <w:r w:rsidRPr="00C92C60">
              <w:rPr>
                <w:rFonts w:cs="Arial"/>
                <w:sz w:val="18"/>
                <w:szCs w:val="18"/>
              </w:rPr>
              <w:t>But de l’activité</w:t>
            </w:r>
          </w:p>
        </w:tc>
        <w:tc>
          <w:tcPr>
            <w:tcW w:w="2126" w:type="dxa"/>
          </w:tcPr>
          <w:p w:rsidR="00C92C60" w:rsidRPr="00C92C60" w:rsidRDefault="00C92C60" w:rsidP="00EA781B">
            <w:pPr>
              <w:jc w:val="left"/>
              <w:rPr>
                <w:rFonts w:cs="Arial"/>
                <w:sz w:val="18"/>
                <w:szCs w:val="18"/>
              </w:rPr>
            </w:pPr>
            <w:r w:rsidRPr="00C92C60">
              <w:rPr>
                <w:rFonts w:cs="Arial"/>
                <w:sz w:val="18"/>
                <w:szCs w:val="18"/>
              </w:rPr>
              <w:t>Pays/organisations participants (nombre de participants pour chaque)</w:t>
            </w:r>
          </w:p>
        </w:tc>
        <w:tc>
          <w:tcPr>
            <w:tcW w:w="1185" w:type="dxa"/>
          </w:tcPr>
          <w:p w:rsidR="00C92C60" w:rsidRPr="00C92C60" w:rsidRDefault="00C92C60" w:rsidP="00EA781B">
            <w:pPr>
              <w:jc w:val="left"/>
              <w:rPr>
                <w:rFonts w:cs="Arial"/>
                <w:sz w:val="18"/>
                <w:szCs w:val="18"/>
              </w:rPr>
            </w:pPr>
            <w:r w:rsidRPr="00C92C60">
              <w:rPr>
                <w:rFonts w:cs="Arial"/>
                <w:sz w:val="18"/>
                <w:szCs w:val="18"/>
              </w:rPr>
              <w:t>Observations</w:t>
            </w:r>
          </w:p>
        </w:tc>
      </w:tr>
      <w:tr w:rsidR="00C92C60" w:rsidRPr="00C92C60" w:rsidTr="00C92C60">
        <w:trPr>
          <w:cantSplit/>
        </w:trPr>
        <w:tc>
          <w:tcPr>
            <w:tcW w:w="766" w:type="dxa"/>
          </w:tcPr>
          <w:p w:rsidR="00C92C60" w:rsidRPr="00C92C60" w:rsidRDefault="00C92C60" w:rsidP="00EA781B">
            <w:pPr>
              <w:jc w:val="left"/>
              <w:rPr>
                <w:rFonts w:cs="Arial"/>
                <w:sz w:val="18"/>
                <w:szCs w:val="18"/>
              </w:rPr>
            </w:pPr>
            <w:r w:rsidRPr="00C92C60">
              <w:rPr>
                <w:rFonts w:cs="Arial"/>
                <w:sz w:val="18"/>
                <w:szCs w:val="18"/>
              </w:rPr>
              <w:t>1.</w:t>
            </w:r>
          </w:p>
          <w:p w:rsidR="00C92C60" w:rsidRPr="00C92C60" w:rsidRDefault="00C92C60" w:rsidP="00EA781B">
            <w:pPr>
              <w:jc w:val="left"/>
              <w:rPr>
                <w:rFonts w:cs="Arial"/>
                <w:sz w:val="18"/>
                <w:szCs w:val="18"/>
              </w:rPr>
            </w:pPr>
          </w:p>
        </w:tc>
        <w:tc>
          <w:tcPr>
            <w:tcW w:w="851" w:type="dxa"/>
          </w:tcPr>
          <w:p w:rsidR="00C92C60" w:rsidRPr="00C92C60" w:rsidRDefault="00C92C60" w:rsidP="00EA781B">
            <w:pPr>
              <w:jc w:val="left"/>
              <w:rPr>
                <w:rFonts w:cs="Arial"/>
                <w:sz w:val="18"/>
                <w:szCs w:val="18"/>
              </w:rPr>
            </w:pPr>
            <w:r w:rsidRPr="00C92C60">
              <w:rPr>
                <w:rFonts w:cs="Arial"/>
                <w:sz w:val="18"/>
                <w:szCs w:val="18"/>
              </w:rPr>
              <w:t xml:space="preserve">18 </w:t>
            </w:r>
            <w:r w:rsidRPr="00C92C60">
              <w:rPr>
                <w:rFonts w:cs="Arial"/>
                <w:sz w:val="18"/>
                <w:szCs w:val="18"/>
              </w:rPr>
              <w:noBreakHyphen/>
              <w:t>19 mars 2014</w:t>
            </w:r>
          </w:p>
        </w:tc>
        <w:tc>
          <w:tcPr>
            <w:tcW w:w="1134" w:type="dxa"/>
          </w:tcPr>
          <w:p w:rsidR="00C92C60" w:rsidRPr="00C92C60" w:rsidRDefault="00C92C60" w:rsidP="00EA781B">
            <w:pPr>
              <w:jc w:val="left"/>
              <w:rPr>
                <w:rFonts w:cs="Arial"/>
                <w:sz w:val="18"/>
                <w:szCs w:val="18"/>
              </w:rPr>
            </w:pPr>
            <w:r w:rsidRPr="00C92C60">
              <w:rPr>
                <w:rFonts w:cs="Arial"/>
                <w:sz w:val="18"/>
                <w:szCs w:val="18"/>
              </w:rPr>
              <w:t>Nitra (Slovaquie)</w:t>
            </w:r>
          </w:p>
        </w:tc>
        <w:tc>
          <w:tcPr>
            <w:tcW w:w="1417" w:type="dxa"/>
          </w:tcPr>
          <w:p w:rsidR="00C92C60" w:rsidRPr="00C92C60" w:rsidRDefault="00C92C60" w:rsidP="00EA781B">
            <w:pPr>
              <w:jc w:val="left"/>
              <w:rPr>
                <w:rFonts w:cs="Arial"/>
                <w:sz w:val="18"/>
                <w:szCs w:val="18"/>
              </w:rPr>
            </w:pPr>
            <w:r w:rsidRPr="00C92C60">
              <w:rPr>
                <w:rFonts w:cs="Arial"/>
                <w:sz w:val="18"/>
                <w:szCs w:val="18"/>
              </w:rPr>
              <w:t>OCVV</w:t>
            </w:r>
          </w:p>
        </w:tc>
        <w:tc>
          <w:tcPr>
            <w:tcW w:w="2268" w:type="dxa"/>
          </w:tcPr>
          <w:p w:rsidR="00C92C60" w:rsidRPr="00C92C60" w:rsidRDefault="00C92C60" w:rsidP="00EA781B">
            <w:pPr>
              <w:jc w:val="left"/>
              <w:rPr>
                <w:rFonts w:cs="Arial"/>
                <w:sz w:val="18"/>
                <w:szCs w:val="18"/>
              </w:rPr>
            </w:pPr>
            <w:r w:rsidRPr="00C92C60">
              <w:rPr>
                <w:rFonts w:cs="Arial"/>
                <w:sz w:val="18"/>
                <w:szCs w:val="18"/>
              </w:rPr>
              <w:t>Réunion du Conseil d’administration de l’Office communautaire des variétés végétales (OCVV)</w:t>
            </w:r>
          </w:p>
        </w:tc>
        <w:tc>
          <w:tcPr>
            <w:tcW w:w="2126" w:type="dxa"/>
          </w:tcPr>
          <w:p w:rsidR="00C92C60" w:rsidRPr="00C92C60" w:rsidRDefault="00C92C60" w:rsidP="00EA781B">
            <w:pPr>
              <w:jc w:val="left"/>
              <w:rPr>
                <w:rFonts w:cs="Arial"/>
                <w:sz w:val="18"/>
                <w:szCs w:val="18"/>
              </w:rPr>
            </w:pPr>
            <w:r w:rsidRPr="00C92C60">
              <w:rPr>
                <w:rFonts w:cs="Arial"/>
                <w:sz w:val="18"/>
                <w:szCs w:val="18"/>
              </w:rPr>
              <w:t>1</w:t>
            </w:r>
          </w:p>
        </w:tc>
        <w:tc>
          <w:tcPr>
            <w:tcW w:w="1185" w:type="dxa"/>
          </w:tcPr>
          <w:p w:rsidR="00C92C60" w:rsidRPr="00C92C60" w:rsidRDefault="00C92C60" w:rsidP="00EA781B">
            <w:pPr>
              <w:jc w:val="left"/>
              <w:rPr>
                <w:rFonts w:cs="Arial"/>
                <w:sz w:val="18"/>
                <w:szCs w:val="18"/>
              </w:rPr>
            </w:pPr>
          </w:p>
        </w:tc>
      </w:tr>
      <w:tr w:rsidR="00C92C60" w:rsidRPr="00C92C60" w:rsidTr="00C92C60">
        <w:trPr>
          <w:cantSplit/>
        </w:trPr>
        <w:tc>
          <w:tcPr>
            <w:tcW w:w="766" w:type="dxa"/>
          </w:tcPr>
          <w:p w:rsidR="00C92C60" w:rsidRPr="00C92C60" w:rsidRDefault="00C92C60" w:rsidP="00EA781B">
            <w:pPr>
              <w:jc w:val="left"/>
              <w:rPr>
                <w:rFonts w:cs="Arial"/>
                <w:sz w:val="18"/>
                <w:szCs w:val="18"/>
              </w:rPr>
            </w:pPr>
            <w:r w:rsidRPr="00C92C60">
              <w:rPr>
                <w:rFonts w:cs="Arial"/>
                <w:sz w:val="18"/>
                <w:szCs w:val="18"/>
              </w:rPr>
              <w:t>2.</w:t>
            </w:r>
          </w:p>
          <w:p w:rsidR="00C92C60" w:rsidRPr="00C92C60" w:rsidRDefault="00C92C60" w:rsidP="00EA781B">
            <w:pPr>
              <w:jc w:val="left"/>
              <w:rPr>
                <w:rFonts w:cs="Arial"/>
                <w:sz w:val="18"/>
                <w:szCs w:val="18"/>
              </w:rPr>
            </w:pPr>
          </w:p>
        </w:tc>
        <w:tc>
          <w:tcPr>
            <w:tcW w:w="851" w:type="dxa"/>
          </w:tcPr>
          <w:p w:rsidR="00C92C60" w:rsidRPr="00C92C60" w:rsidRDefault="00C92C60" w:rsidP="00EA781B">
            <w:pPr>
              <w:jc w:val="left"/>
              <w:rPr>
                <w:rFonts w:cs="Arial"/>
                <w:sz w:val="18"/>
                <w:szCs w:val="18"/>
              </w:rPr>
            </w:pPr>
            <w:r w:rsidRPr="00C92C60">
              <w:rPr>
                <w:rFonts w:cs="Arial"/>
                <w:sz w:val="18"/>
                <w:szCs w:val="18"/>
              </w:rPr>
              <w:t>7</w:t>
            </w:r>
            <w:r w:rsidRPr="00C92C60">
              <w:rPr>
                <w:rFonts w:cs="Arial"/>
                <w:sz w:val="18"/>
                <w:szCs w:val="18"/>
              </w:rPr>
              <w:noBreakHyphen/>
              <w:t>11 avril 2014</w:t>
            </w:r>
          </w:p>
        </w:tc>
        <w:tc>
          <w:tcPr>
            <w:tcW w:w="1134" w:type="dxa"/>
          </w:tcPr>
          <w:p w:rsidR="00C92C60" w:rsidRPr="00C92C60" w:rsidRDefault="00C92C60" w:rsidP="00EA781B">
            <w:pPr>
              <w:jc w:val="left"/>
              <w:rPr>
                <w:rFonts w:cs="Arial"/>
                <w:sz w:val="18"/>
                <w:szCs w:val="18"/>
              </w:rPr>
            </w:pPr>
            <w:r w:rsidRPr="00C92C60">
              <w:rPr>
                <w:rFonts w:cs="Arial"/>
                <w:sz w:val="18"/>
                <w:szCs w:val="18"/>
              </w:rPr>
              <w:t>Genève (Suisse)</w:t>
            </w:r>
          </w:p>
        </w:tc>
        <w:tc>
          <w:tcPr>
            <w:tcW w:w="1417" w:type="dxa"/>
          </w:tcPr>
          <w:p w:rsidR="00C92C60" w:rsidRPr="00C92C60" w:rsidRDefault="00C92C60" w:rsidP="00EA781B">
            <w:pPr>
              <w:jc w:val="left"/>
              <w:rPr>
                <w:rFonts w:cs="Arial"/>
                <w:sz w:val="18"/>
                <w:szCs w:val="18"/>
              </w:rPr>
            </w:pPr>
            <w:r w:rsidRPr="00C92C60">
              <w:rPr>
                <w:rFonts w:cs="Arial"/>
                <w:sz w:val="18"/>
                <w:szCs w:val="18"/>
              </w:rPr>
              <w:t>UPOV</w:t>
            </w:r>
          </w:p>
        </w:tc>
        <w:tc>
          <w:tcPr>
            <w:tcW w:w="2268" w:type="dxa"/>
          </w:tcPr>
          <w:p w:rsidR="00C92C60" w:rsidRPr="00C92C60" w:rsidRDefault="00C92C60" w:rsidP="00EA781B">
            <w:pPr>
              <w:jc w:val="left"/>
              <w:rPr>
                <w:rFonts w:cs="Arial"/>
                <w:sz w:val="18"/>
                <w:szCs w:val="18"/>
              </w:rPr>
            </w:pPr>
            <w:r w:rsidRPr="00C92C60">
              <w:rPr>
                <w:rFonts w:cs="Arial"/>
                <w:sz w:val="18"/>
                <w:szCs w:val="18"/>
              </w:rPr>
              <w:t>Sessions de l’UPOV : TC/50, CAJ/69, C(</w:t>
            </w:r>
            <w:proofErr w:type="spellStart"/>
            <w:r w:rsidRPr="00C92C60">
              <w:rPr>
                <w:rFonts w:cs="Arial"/>
                <w:sz w:val="18"/>
                <w:szCs w:val="18"/>
              </w:rPr>
              <w:t>Extr</w:t>
            </w:r>
            <w:proofErr w:type="spellEnd"/>
            <w:r w:rsidRPr="00C92C60">
              <w:rPr>
                <w:rFonts w:cs="Arial"/>
                <w:sz w:val="18"/>
                <w:szCs w:val="18"/>
              </w:rPr>
              <w:t>.)/31, CC/87</w:t>
            </w:r>
          </w:p>
        </w:tc>
        <w:tc>
          <w:tcPr>
            <w:tcW w:w="2126" w:type="dxa"/>
          </w:tcPr>
          <w:p w:rsidR="00C92C60" w:rsidRPr="00C92C60" w:rsidRDefault="00C92C60" w:rsidP="00EA781B">
            <w:pPr>
              <w:jc w:val="left"/>
              <w:rPr>
                <w:rFonts w:cs="Arial"/>
                <w:sz w:val="18"/>
                <w:szCs w:val="18"/>
              </w:rPr>
            </w:pPr>
            <w:r w:rsidRPr="00C92C60">
              <w:rPr>
                <w:rFonts w:cs="Arial"/>
                <w:sz w:val="18"/>
                <w:szCs w:val="18"/>
              </w:rPr>
              <w:t>1</w:t>
            </w:r>
          </w:p>
        </w:tc>
        <w:tc>
          <w:tcPr>
            <w:tcW w:w="1185" w:type="dxa"/>
          </w:tcPr>
          <w:p w:rsidR="00C92C60" w:rsidRPr="00C92C60" w:rsidRDefault="00C92C60" w:rsidP="00EA781B">
            <w:pPr>
              <w:jc w:val="left"/>
              <w:rPr>
                <w:rFonts w:cs="Arial"/>
                <w:sz w:val="18"/>
                <w:szCs w:val="18"/>
              </w:rPr>
            </w:pPr>
          </w:p>
        </w:tc>
      </w:tr>
      <w:tr w:rsidR="00C92C60" w:rsidRPr="00C92C60" w:rsidTr="00C92C60">
        <w:trPr>
          <w:cantSplit/>
        </w:trPr>
        <w:tc>
          <w:tcPr>
            <w:tcW w:w="766" w:type="dxa"/>
          </w:tcPr>
          <w:p w:rsidR="00C92C60" w:rsidRPr="00C92C60" w:rsidRDefault="00C92C60" w:rsidP="00EA781B">
            <w:pPr>
              <w:jc w:val="left"/>
              <w:rPr>
                <w:rFonts w:cs="Arial"/>
                <w:sz w:val="18"/>
                <w:szCs w:val="18"/>
              </w:rPr>
            </w:pPr>
            <w:r w:rsidRPr="00C92C60">
              <w:rPr>
                <w:rFonts w:cs="Arial"/>
                <w:sz w:val="18"/>
                <w:szCs w:val="18"/>
              </w:rPr>
              <w:t>3.</w:t>
            </w:r>
          </w:p>
        </w:tc>
        <w:tc>
          <w:tcPr>
            <w:tcW w:w="851" w:type="dxa"/>
          </w:tcPr>
          <w:p w:rsidR="00C92C60" w:rsidRPr="00C92C60" w:rsidRDefault="00C92C60" w:rsidP="00EA781B">
            <w:pPr>
              <w:jc w:val="left"/>
              <w:rPr>
                <w:rFonts w:cs="Arial"/>
                <w:sz w:val="18"/>
                <w:szCs w:val="18"/>
              </w:rPr>
            </w:pPr>
            <w:r w:rsidRPr="00C92C60">
              <w:rPr>
                <w:rFonts w:cs="Arial"/>
                <w:sz w:val="18"/>
                <w:szCs w:val="18"/>
              </w:rPr>
              <w:t>9 octobre 2014</w:t>
            </w:r>
          </w:p>
        </w:tc>
        <w:tc>
          <w:tcPr>
            <w:tcW w:w="1134" w:type="dxa"/>
          </w:tcPr>
          <w:p w:rsidR="00C92C60" w:rsidRPr="00C92C60" w:rsidRDefault="00C92C60" w:rsidP="00EA781B">
            <w:pPr>
              <w:jc w:val="left"/>
              <w:rPr>
                <w:rFonts w:cs="Arial"/>
                <w:sz w:val="18"/>
                <w:szCs w:val="18"/>
              </w:rPr>
            </w:pPr>
            <w:r w:rsidRPr="00C92C60">
              <w:rPr>
                <w:rFonts w:cs="Arial"/>
                <w:sz w:val="18"/>
                <w:szCs w:val="18"/>
              </w:rPr>
              <w:t>Bruxelles (Belgique)</w:t>
            </w:r>
          </w:p>
        </w:tc>
        <w:tc>
          <w:tcPr>
            <w:tcW w:w="1417" w:type="dxa"/>
          </w:tcPr>
          <w:p w:rsidR="00C92C60" w:rsidRPr="00C92C60" w:rsidRDefault="00C92C60" w:rsidP="00EA781B">
            <w:pPr>
              <w:jc w:val="left"/>
              <w:rPr>
                <w:rFonts w:cs="Arial"/>
                <w:sz w:val="18"/>
                <w:szCs w:val="18"/>
              </w:rPr>
            </w:pPr>
            <w:r w:rsidRPr="00C92C60">
              <w:rPr>
                <w:rFonts w:cs="Arial"/>
                <w:sz w:val="18"/>
                <w:szCs w:val="18"/>
              </w:rPr>
              <w:t>OCVV</w:t>
            </w:r>
          </w:p>
        </w:tc>
        <w:tc>
          <w:tcPr>
            <w:tcW w:w="2268" w:type="dxa"/>
          </w:tcPr>
          <w:p w:rsidR="00C92C60" w:rsidRPr="00C92C60" w:rsidRDefault="00C92C60" w:rsidP="00EA781B">
            <w:pPr>
              <w:jc w:val="left"/>
              <w:rPr>
                <w:rFonts w:cs="Arial"/>
                <w:sz w:val="18"/>
                <w:szCs w:val="18"/>
              </w:rPr>
            </w:pPr>
            <w:r w:rsidRPr="00C92C60">
              <w:rPr>
                <w:rFonts w:cs="Arial"/>
                <w:sz w:val="18"/>
                <w:szCs w:val="18"/>
              </w:rPr>
              <w:t>Réunion du Conseil d’administration</w:t>
            </w:r>
          </w:p>
          <w:p w:rsidR="00C92C60" w:rsidRPr="00C92C60" w:rsidRDefault="00C92C60" w:rsidP="00EA781B">
            <w:pPr>
              <w:jc w:val="left"/>
              <w:rPr>
                <w:rFonts w:cs="Arial"/>
                <w:sz w:val="18"/>
                <w:szCs w:val="18"/>
              </w:rPr>
            </w:pPr>
            <w:r w:rsidRPr="00C92C60">
              <w:rPr>
                <w:rFonts w:cs="Arial"/>
                <w:sz w:val="18"/>
                <w:szCs w:val="18"/>
              </w:rPr>
              <w:t>de l’OCVV</w:t>
            </w:r>
          </w:p>
        </w:tc>
        <w:tc>
          <w:tcPr>
            <w:tcW w:w="2126" w:type="dxa"/>
          </w:tcPr>
          <w:p w:rsidR="00C92C60" w:rsidRPr="00C92C60" w:rsidRDefault="00C92C60" w:rsidP="00EA781B">
            <w:pPr>
              <w:jc w:val="left"/>
              <w:rPr>
                <w:rFonts w:cs="Arial"/>
                <w:sz w:val="18"/>
                <w:szCs w:val="18"/>
              </w:rPr>
            </w:pPr>
            <w:r w:rsidRPr="00C92C60">
              <w:rPr>
                <w:rFonts w:cs="Arial"/>
                <w:sz w:val="18"/>
                <w:szCs w:val="18"/>
              </w:rPr>
              <w:t>1</w:t>
            </w:r>
          </w:p>
        </w:tc>
        <w:tc>
          <w:tcPr>
            <w:tcW w:w="1185" w:type="dxa"/>
          </w:tcPr>
          <w:p w:rsidR="00C92C60" w:rsidRPr="00C92C60" w:rsidRDefault="00C92C60" w:rsidP="00EA781B">
            <w:pPr>
              <w:jc w:val="left"/>
              <w:rPr>
                <w:rFonts w:cs="Arial"/>
                <w:sz w:val="18"/>
                <w:szCs w:val="18"/>
              </w:rPr>
            </w:pPr>
          </w:p>
        </w:tc>
      </w:tr>
      <w:tr w:rsidR="00C92C60" w:rsidRPr="00C92C60" w:rsidTr="00C92C60">
        <w:trPr>
          <w:cantSplit/>
        </w:trPr>
        <w:tc>
          <w:tcPr>
            <w:tcW w:w="766" w:type="dxa"/>
          </w:tcPr>
          <w:p w:rsidR="00C92C60" w:rsidRPr="00C92C60" w:rsidRDefault="00C92C60" w:rsidP="00EA781B">
            <w:pPr>
              <w:jc w:val="left"/>
              <w:rPr>
                <w:rFonts w:cs="Arial"/>
                <w:sz w:val="18"/>
                <w:szCs w:val="18"/>
              </w:rPr>
            </w:pPr>
            <w:r w:rsidRPr="00C92C60">
              <w:rPr>
                <w:rFonts w:cs="Arial"/>
                <w:sz w:val="18"/>
                <w:szCs w:val="18"/>
              </w:rPr>
              <w:t>4.</w:t>
            </w:r>
          </w:p>
        </w:tc>
        <w:tc>
          <w:tcPr>
            <w:tcW w:w="851" w:type="dxa"/>
          </w:tcPr>
          <w:p w:rsidR="00C92C60" w:rsidRPr="00C92C60" w:rsidRDefault="00C92C60" w:rsidP="00EA781B">
            <w:pPr>
              <w:jc w:val="left"/>
              <w:rPr>
                <w:rFonts w:cs="Arial"/>
                <w:sz w:val="18"/>
                <w:szCs w:val="18"/>
              </w:rPr>
            </w:pPr>
            <w:r w:rsidRPr="00C92C60">
              <w:rPr>
                <w:rFonts w:cs="Arial"/>
                <w:sz w:val="18"/>
                <w:szCs w:val="18"/>
              </w:rPr>
              <w:t>13</w:t>
            </w:r>
            <w:r w:rsidRPr="00C92C60">
              <w:rPr>
                <w:rFonts w:cs="Arial"/>
                <w:sz w:val="18"/>
                <w:szCs w:val="18"/>
              </w:rPr>
              <w:noBreakHyphen/>
              <w:t>15 octobre</w:t>
            </w:r>
          </w:p>
        </w:tc>
        <w:tc>
          <w:tcPr>
            <w:tcW w:w="1134" w:type="dxa"/>
          </w:tcPr>
          <w:p w:rsidR="00C92C60" w:rsidRPr="00C92C60" w:rsidRDefault="00C92C60" w:rsidP="00EA781B">
            <w:pPr>
              <w:jc w:val="left"/>
              <w:rPr>
                <w:rFonts w:cs="Arial"/>
                <w:sz w:val="18"/>
                <w:szCs w:val="18"/>
              </w:rPr>
            </w:pPr>
            <w:r w:rsidRPr="00C92C60">
              <w:rPr>
                <w:rFonts w:cs="Arial"/>
                <w:sz w:val="18"/>
                <w:szCs w:val="18"/>
              </w:rPr>
              <w:t>Genève (Suisse)</w:t>
            </w:r>
          </w:p>
        </w:tc>
        <w:tc>
          <w:tcPr>
            <w:tcW w:w="1417" w:type="dxa"/>
          </w:tcPr>
          <w:p w:rsidR="00C92C60" w:rsidRPr="00C92C60" w:rsidRDefault="00C92C60" w:rsidP="00EA781B">
            <w:pPr>
              <w:jc w:val="left"/>
              <w:rPr>
                <w:rFonts w:cs="Arial"/>
                <w:sz w:val="18"/>
                <w:szCs w:val="18"/>
              </w:rPr>
            </w:pPr>
            <w:r w:rsidRPr="00C92C60">
              <w:rPr>
                <w:rFonts w:cs="Arial"/>
                <w:sz w:val="18"/>
                <w:szCs w:val="18"/>
              </w:rPr>
              <w:t>UPOV</w:t>
            </w:r>
          </w:p>
        </w:tc>
        <w:tc>
          <w:tcPr>
            <w:tcW w:w="2268" w:type="dxa"/>
          </w:tcPr>
          <w:p w:rsidR="00C92C60" w:rsidRPr="00C92C60" w:rsidRDefault="00C92C60" w:rsidP="00EA781B">
            <w:pPr>
              <w:jc w:val="left"/>
              <w:rPr>
                <w:rFonts w:cs="Arial"/>
                <w:sz w:val="18"/>
                <w:szCs w:val="18"/>
              </w:rPr>
            </w:pPr>
            <w:r w:rsidRPr="00C92C60">
              <w:rPr>
                <w:rFonts w:cs="Arial"/>
                <w:sz w:val="18"/>
                <w:szCs w:val="18"/>
              </w:rPr>
              <w:t>Sessions de l’UPOV : CAJ/70, CAJ</w:t>
            </w:r>
            <w:r w:rsidRPr="00C92C60">
              <w:rPr>
                <w:rFonts w:cs="Arial"/>
                <w:sz w:val="18"/>
                <w:szCs w:val="18"/>
              </w:rPr>
              <w:noBreakHyphen/>
              <w:t>AG/9, CC/88</w:t>
            </w:r>
          </w:p>
        </w:tc>
        <w:tc>
          <w:tcPr>
            <w:tcW w:w="2126" w:type="dxa"/>
          </w:tcPr>
          <w:p w:rsidR="00C92C60" w:rsidRPr="00C92C60" w:rsidRDefault="00C92C60" w:rsidP="00EA781B">
            <w:pPr>
              <w:jc w:val="left"/>
              <w:rPr>
                <w:rFonts w:cs="Arial"/>
                <w:sz w:val="18"/>
                <w:szCs w:val="18"/>
              </w:rPr>
            </w:pPr>
            <w:r w:rsidRPr="00C92C60">
              <w:rPr>
                <w:rFonts w:cs="Arial"/>
                <w:sz w:val="18"/>
                <w:szCs w:val="18"/>
              </w:rPr>
              <w:t>1</w:t>
            </w:r>
          </w:p>
        </w:tc>
        <w:tc>
          <w:tcPr>
            <w:tcW w:w="1185" w:type="dxa"/>
          </w:tcPr>
          <w:p w:rsidR="00C92C60" w:rsidRPr="00C92C60" w:rsidRDefault="00C92C60" w:rsidP="00EA781B">
            <w:pPr>
              <w:jc w:val="left"/>
              <w:rPr>
                <w:rFonts w:cs="Arial"/>
                <w:sz w:val="18"/>
                <w:szCs w:val="18"/>
              </w:rPr>
            </w:pPr>
          </w:p>
        </w:tc>
      </w:tr>
      <w:tr w:rsidR="00C92C60" w:rsidRPr="00C92C60" w:rsidTr="00C92C60">
        <w:trPr>
          <w:cantSplit/>
        </w:trPr>
        <w:tc>
          <w:tcPr>
            <w:tcW w:w="766" w:type="dxa"/>
          </w:tcPr>
          <w:p w:rsidR="00C92C60" w:rsidRPr="00C92C60" w:rsidRDefault="00C92C60" w:rsidP="00EA781B">
            <w:pPr>
              <w:jc w:val="left"/>
              <w:rPr>
                <w:rFonts w:cs="Arial"/>
                <w:sz w:val="18"/>
                <w:szCs w:val="18"/>
              </w:rPr>
            </w:pPr>
            <w:r w:rsidRPr="00C92C60">
              <w:rPr>
                <w:rFonts w:cs="Arial"/>
                <w:sz w:val="18"/>
                <w:szCs w:val="18"/>
              </w:rPr>
              <w:t>5.</w:t>
            </w:r>
          </w:p>
        </w:tc>
        <w:tc>
          <w:tcPr>
            <w:tcW w:w="851" w:type="dxa"/>
          </w:tcPr>
          <w:p w:rsidR="00C92C60" w:rsidRPr="00C92C60" w:rsidRDefault="00C92C60" w:rsidP="00EA781B">
            <w:pPr>
              <w:jc w:val="left"/>
              <w:rPr>
                <w:rFonts w:cs="Arial"/>
                <w:sz w:val="18"/>
                <w:szCs w:val="18"/>
              </w:rPr>
            </w:pPr>
            <w:r w:rsidRPr="00C92C60">
              <w:rPr>
                <w:rFonts w:cs="Arial"/>
                <w:sz w:val="18"/>
                <w:szCs w:val="18"/>
              </w:rPr>
              <w:t>31 mars – 11 mai 2014</w:t>
            </w:r>
          </w:p>
        </w:tc>
        <w:tc>
          <w:tcPr>
            <w:tcW w:w="1134" w:type="dxa"/>
          </w:tcPr>
          <w:p w:rsidR="00C92C60" w:rsidRPr="00C92C60" w:rsidRDefault="00C92C60" w:rsidP="00EA781B">
            <w:pPr>
              <w:jc w:val="left"/>
              <w:rPr>
                <w:rFonts w:cs="Arial"/>
                <w:sz w:val="18"/>
                <w:szCs w:val="18"/>
              </w:rPr>
            </w:pPr>
            <w:r w:rsidRPr="00C92C60">
              <w:rPr>
                <w:rFonts w:cs="Arial"/>
                <w:sz w:val="18"/>
                <w:szCs w:val="18"/>
              </w:rPr>
              <w:t>Cours à distance</w:t>
            </w:r>
          </w:p>
        </w:tc>
        <w:tc>
          <w:tcPr>
            <w:tcW w:w="1417" w:type="dxa"/>
          </w:tcPr>
          <w:p w:rsidR="00C92C60" w:rsidRPr="00C92C60" w:rsidRDefault="00C92C60" w:rsidP="00EA781B">
            <w:pPr>
              <w:jc w:val="left"/>
              <w:rPr>
                <w:rFonts w:cs="Arial"/>
                <w:sz w:val="18"/>
                <w:szCs w:val="18"/>
              </w:rPr>
            </w:pPr>
            <w:r w:rsidRPr="00C92C60">
              <w:rPr>
                <w:rFonts w:cs="Arial"/>
                <w:sz w:val="18"/>
                <w:szCs w:val="18"/>
              </w:rPr>
              <w:t>UPOV/OMPI</w:t>
            </w:r>
          </w:p>
        </w:tc>
        <w:tc>
          <w:tcPr>
            <w:tcW w:w="2268" w:type="dxa"/>
          </w:tcPr>
          <w:p w:rsidR="00C92C60" w:rsidRPr="00C92C60" w:rsidRDefault="00C92C60" w:rsidP="00EA781B">
            <w:pPr>
              <w:jc w:val="left"/>
              <w:rPr>
                <w:rFonts w:cs="Arial"/>
                <w:sz w:val="18"/>
                <w:szCs w:val="18"/>
              </w:rPr>
            </w:pPr>
            <w:r w:rsidRPr="00C92C60">
              <w:rPr>
                <w:rFonts w:cs="Arial"/>
                <w:sz w:val="18"/>
                <w:szCs w:val="18"/>
              </w:rPr>
              <w:t>DL – 305</w:t>
            </w:r>
          </w:p>
          <w:p w:rsidR="00C92C60" w:rsidRPr="00C92C60" w:rsidRDefault="00C92C60" w:rsidP="00EA781B">
            <w:pPr>
              <w:jc w:val="left"/>
              <w:rPr>
                <w:rFonts w:cs="Arial"/>
                <w:sz w:val="18"/>
                <w:szCs w:val="18"/>
              </w:rPr>
            </w:pPr>
            <w:r w:rsidRPr="00C92C60">
              <w:rPr>
                <w:rFonts w:cs="Arial"/>
                <w:sz w:val="18"/>
                <w:szCs w:val="18"/>
              </w:rPr>
              <w:t>Examen des demandes de droits d’obtenteur</w:t>
            </w:r>
          </w:p>
        </w:tc>
        <w:tc>
          <w:tcPr>
            <w:tcW w:w="2126" w:type="dxa"/>
          </w:tcPr>
          <w:p w:rsidR="00C92C60" w:rsidRPr="00C92C60" w:rsidRDefault="00C92C60" w:rsidP="00EA781B">
            <w:pPr>
              <w:jc w:val="left"/>
              <w:rPr>
                <w:rFonts w:cs="Arial"/>
                <w:sz w:val="18"/>
                <w:szCs w:val="18"/>
              </w:rPr>
            </w:pPr>
            <w:r w:rsidRPr="00C92C60">
              <w:rPr>
                <w:rFonts w:cs="Arial"/>
                <w:sz w:val="18"/>
                <w:szCs w:val="18"/>
              </w:rPr>
              <w:t>1</w:t>
            </w:r>
          </w:p>
        </w:tc>
        <w:tc>
          <w:tcPr>
            <w:tcW w:w="1185" w:type="dxa"/>
          </w:tcPr>
          <w:p w:rsidR="00C92C60" w:rsidRPr="00C92C60" w:rsidRDefault="00C92C60" w:rsidP="00EA781B">
            <w:pPr>
              <w:jc w:val="left"/>
              <w:rPr>
                <w:rFonts w:cs="Arial"/>
                <w:sz w:val="18"/>
                <w:szCs w:val="18"/>
              </w:rPr>
            </w:pPr>
          </w:p>
        </w:tc>
      </w:tr>
    </w:tbl>
    <w:p w:rsidR="00C92C60" w:rsidRPr="00C92C60" w:rsidRDefault="00C92C60" w:rsidP="00C92C60"/>
    <w:p w:rsidR="00C92C60" w:rsidRPr="00C92C60" w:rsidRDefault="00C92C60" w:rsidP="00C92C60"/>
    <w:p w:rsidR="00C92C60" w:rsidRPr="00C92C60" w:rsidRDefault="00C92C60" w:rsidP="00C92C60">
      <w:r w:rsidRPr="00C92C60">
        <w:t>II.</w:t>
      </w:r>
      <w:r w:rsidRPr="00C92C60">
        <w:tab/>
        <w:t>AUTRES ÉLÉMENTS NOUVEAUX PRÉSENTANT UN INTÉRÊT POUR L’UPOV</w:t>
      </w:r>
    </w:p>
    <w:p w:rsidR="00C92C60" w:rsidRPr="00C92C60" w:rsidRDefault="00C92C60" w:rsidP="00C92C60"/>
    <w:p w:rsidR="00C92C60" w:rsidRPr="00C92C60" w:rsidRDefault="00C92C60" w:rsidP="00C92C60">
      <w:pPr>
        <w:jc w:val="left"/>
      </w:pPr>
      <w:r w:rsidRPr="00C92C60">
        <w:t>Aucun élément nouveau.</w:t>
      </w:r>
    </w:p>
    <w:p w:rsidR="00C92C60" w:rsidRPr="00C92C60" w:rsidRDefault="00C92C60" w:rsidP="00C92C60">
      <w:pPr>
        <w:jc w:val="left"/>
      </w:pPr>
    </w:p>
    <w:p w:rsidR="00944AEF" w:rsidRPr="004F3AB8" w:rsidRDefault="00944AEF" w:rsidP="00944AEF">
      <w:pPr>
        <w:jc w:val="right"/>
      </w:pPr>
      <w:r w:rsidRPr="004F3AB8">
        <w:t>[L’annexe VII suit]</w:t>
      </w:r>
    </w:p>
    <w:p w:rsidR="00944AEF" w:rsidRPr="004F3AB8" w:rsidRDefault="00944AEF" w:rsidP="00944AEF">
      <w:pPr>
        <w:jc w:val="left"/>
        <w:sectPr w:rsidR="00944AEF" w:rsidRPr="004F3AB8" w:rsidSect="004F3AB8">
          <w:headerReference w:type="default" r:id="rId24"/>
          <w:pgSz w:w="11907" w:h="16840" w:code="9"/>
          <w:pgMar w:top="510" w:right="1134" w:bottom="1134" w:left="1134" w:header="510" w:footer="680" w:gutter="0"/>
          <w:pgNumType w:start="1"/>
          <w:cols w:space="720"/>
          <w:titlePg/>
        </w:sectPr>
      </w:pPr>
    </w:p>
    <w:p w:rsidR="00944AEF" w:rsidRPr="004F3AB8" w:rsidRDefault="00944AEF" w:rsidP="00944AEF">
      <w:pPr>
        <w:jc w:val="center"/>
      </w:pPr>
      <w:r w:rsidRPr="004F3AB8">
        <w:t>C/49/15</w:t>
      </w:r>
    </w:p>
    <w:p w:rsidR="00944AEF" w:rsidRPr="004F3AB8" w:rsidRDefault="00944AEF" w:rsidP="00944AEF">
      <w:pPr>
        <w:jc w:val="center"/>
      </w:pPr>
    </w:p>
    <w:p w:rsidR="00944AEF" w:rsidRPr="004F3AB8" w:rsidRDefault="00944AEF" w:rsidP="00944AEF">
      <w:pPr>
        <w:jc w:val="center"/>
      </w:pPr>
      <w:r w:rsidRPr="004F3AB8">
        <w:t>ANNEXE VII</w:t>
      </w:r>
    </w:p>
    <w:p w:rsidR="00944AEF" w:rsidRPr="004F3AB8" w:rsidRDefault="00944AEF" w:rsidP="00944AEF">
      <w:pPr>
        <w:jc w:val="center"/>
      </w:pPr>
    </w:p>
    <w:p w:rsidR="00944AEF" w:rsidRPr="004F3AB8" w:rsidRDefault="00944AEF" w:rsidP="00944AEF">
      <w:pPr>
        <w:jc w:val="center"/>
      </w:pPr>
    </w:p>
    <w:p w:rsidR="00944AEF" w:rsidRPr="004F3AB8" w:rsidRDefault="00944AEF" w:rsidP="00944AEF">
      <w:pPr>
        <w:jc w:val="center"/>
      </w:pPr>
      <w:r w:rsidRPr="004F3AB8">
        <w:t>LITHUANIE</w:t>
      </w:r>
    </w:p>
    <w:p w:rsidR="00944AEF" w:rsidRPr="004F3AB8" w:rsidRDefault="00944AEF" w:rsidP="00944AEF"/>
    <w:p w:rsidR="00944AEF" w:rsidRDefault="00944AEF" w:rsidP="00944AEF"/>
    <w:p w:rsidR="00FF498E" w:rsidRPr="00D61FC4" w:rsidRDefault="00FF498E" w:rsidP="00FF498E">
      <w:r w:rsidRPr="00D61FC4">
        <w:t>I.</w:t>
      </w:r>
      <w:r w:rsidRPr="00D61FC4">
        <w:tab/>
        <w:t>PROTECTION DES OBTENTIONS VÉGÉTALES</w:t>
      </w:r>
    </w:p>
    <w:p w:rsidR="00FF498E" w:rsidRPr="00D61FC4" w:rsidRDefault="00FF498E" w:rsidP="00FF498E"/>
    <w:p w:rsidR="00FF498E" w:rsidRPr="00D61FC4" w:rsidRDefault="00FF498E" w:rsidP="00FF498E">
      <w:pPr>
        <w:rPr>
          <w:u w:val="single"/>
        </w:rPr>
      </w:pPr>
      <w:r w:rsidRPr="00D61FC4">
        <w:t>1.</w:t>
      </w:r>
      <w:r w:rsidRPr="00D61FC4">
        <w:tab/>
      </w:r>
      <w:r w:rsidRPr="00D61FC4">
        <w:rPr>
          <w:u w:val="single"/>
        </w:rPr>
        <w:t>Situation dans le domaine législatif</w:t>
      </w:r>
    </w:p>
    <w:p w:rsidR="00FF498E" w:rsidRPr="00D61FC4" w:rsidRDefault="00FF498E" w:rsidP="00FF498E">
      <w:pPr>
        <w:rPr>
          <w:rFonts w:cs="Arial"/>
        </w:rPr>
      </w:pPr>
    </w:p>
    <w:p w:rsidR="00FF498E" w:rsidRPr="00D61FC4" w:rsidRDefault="00FF498E" w:rsidP="00FF498E">
      <w:pPr>
        <w:rPr>
          <w:rFonts w:cs="Arial"/>
        </w:rPr>
      </w:pPr>
      <w:r w:rsidRPr="00D61FC4">
        <w:rPr>
          <w:rFonts w:cs="Arial"/>
        </w:rPr>
        <w:t>1.1</w:t>
      </w:r>
      <w:r w:rsidRPr="00D61FC4">
        <w:rPr>
          <w:rFonts w:cs="Arial"/>
        </w:rPr>
        <w:tab/>
        <w:t>Modifications de la loi et des textes d’application :</w:t>
      </w:r>
    </w:p>
    <w:p w:rsidR="00FF498E" w:rsidRPr="00D61FC4" w:rsidRDefault="00FF498E" w:rsidP="00FF498E">
      <w:pPr>
        <w:rPr>
          <w:rFonts w:cs="Arial"/>
        </w:rPr>
      </w:pPr>
    </w:p>
    <w:p w:rsidR="00FF498E" w:rsidRPr="00D61FC4" w:rsidRDefault="00FF498E" w:rsidP="00FF498E">
      <w:pPr>
        <w:ind w:left="567" w:hanging="567"/>
        <w:rPr>
          <w:rFonts w:cs="Arial"/>
        </w:rPr>
      </w:pPr>
      <w:r w:rsidRPr="00D61FC4">
        <w:rPr>
          <w:rFonts w:cs="Arial"/>
        </w:rPr>
        <w:t>–</w:t>
      </w:r>
      <w:r w:rsidRPr="00D61FC4">
        <w:rPr>
          <w:rFonts w:cs="Arial"/>
        </w:rPr>
        <w:tab/>
        <w:t>Loi sur la protection des obtentions végétales de la République de Lituanie modifiée le 19 octobre 2006 et modifiée en dernier lieu le 26 avril 2012.</w:t>
      </w:r>
    </w:p>
    <w:p w:rsidR="00FF498E" w:rsidRPr="00D61FC4" w:rsidRDefault="00FF498E" w:rsidP="00FF498E">
      <w:pPr>
        <w:ind w:left="567" w:hanging="567"/>
        <w:rPr>
          <w:rFonts w:cs="Arial"/>
        </w:rPr>
      </w:pPr>
    </w:p>
    <w:p w:rsidR="00FF498E" w:rsidRPr="00D61FC4" w:rsidRDefault="00FF498E" w:rsidP="00FF498E">
      <w:pPr>
        <w:ind w:left="567" w:hanging="567"/>
        <w:rPr>
          <w:rFonts w:cs="Arial"/>
        </w:rPr>
      </w:pPr>
      <w:r w:rsidRPr="00D61FC4">
        <w:rPr>
          <w:rFonts w:cs="Arial"/>
        </w:rPr>
        <w:t>–</w:t>
      </w:r>
      <w:r w:rsidRPr="00D61FC4">
        <w:rPr>
          <w:rFonts w:cs="Arial"/>
        </w:rPr>
        <w:tab/>
        <w:t>Règlement n° 1458 du Gouvernement de la République de Lituanie du 15 décembre 2000 relatif au montant des taxes.</w:t>
      </w:r>
    </w:p>
    <w:p w:rsidR="00FF498E" w:rsidRPr="00D61FC4" w:rsidRDefault="00FF498E" w:rsidP="00FF498E">
      <w:pPr>
        <w:ind w:left="567" w:hanging="567"/>
        <w:rPr>
          <w:rFonts w:cs="Arial"/>
        </w:rPr>
      </w:pPr>
    </w:p>
    <w:p w:rsidR="00FF498E" w:rsidRPr="00D61FC4" w:rsidRDefault="00FF498E" w:rsidP="00FF498E">
      <w:pPr>
        <w:ind w:left="567" w:hanging="567"/>
        <w:rPr>
          <w:rFonts w:cs="Arial"/>
        </w:rPr>
      </w:pPr>
      <w:r w:rsidRPr="00D61FC4">
        <w:rPr>
          <w:rFonts w:cs="Arial"/>
        </w:rPr>
        <w:t>–</w:t>
      </w:r>
      <w:r w:rsidRPr="00D61FC4">
        <w:rPr>
          <w:rFonts w:cs="Arial"/>
        </w:rPr>
        <w:tab/>
        <w:t>Décision n° A1 50 du directeur du Service des obtentions végétales du Ministère de l’agriculture du 8 août 2010, relative à l’approbation du formulaire de demande de protection des obtentions végétales (formulaire ci</w:t>
      </w:r>
      <w:r w:rsidRPr="00D61FC4">
        <w:rPr>
          <w:rFonts w:cs="Arial"/>
        </w:rPr>
        <w:noBreakHyphen/>
        <w:t>joint).</w:t>
      </w:r>
    </w:p>
    <w:p w:rsidR="00FF498E" w:rsidRPr="00D61FC4" w:rsidRDefault="00FF498E" w:rsidP="00FF498E">
      <w:pPr>
        <w:ind w:left="567" w:hanging="567"/>
        <w:rPr>
          <w:rFonts w:cs="Arial"/>
        </w:rPr>
      </w:pPr>
    </w:p>
    <w:p w:rsidR="00FF498E" w:rsidRPr="00D61FC4" w:rsidRDefault="00FF498E" w:rsidP="00FF498E">
      <w:pPr>
        <w:ind w:left="567" w:hanging="567"/>
        <w:rPr>
          <w:rFonts w:cs="Arial"/>
        </w:rPr>
      </w:pPr>
      <w:r w:rsidRPr="00D61FC4">
        <w:rPr>
          <w:rFonts w:cs="Arial"/>
        </w:rPr>
        <w:t>–</w:t>
      </w:r>
      <w:r w:rsidRPr="00D61FC4">
        <w:rPr>
          <w:rFonts w:cs="Arial"/>
        </w:rPr>
        <w:tab/>
        <w:t>Décret n° 3 D 371 du ministre de l’agriculture de la République de Lituanie du 23 juin 2004 relatif à la rémunération.</w:t>
      </w:r>
    </w:p>
    <w:p w:rsidR="00FF498E" w:rsidRPr="00D61FC4" w:rsidRDefault="00FF498E" w:rsidP="00FF498E">
      <w:pPr>
        <w:tabs>
          <w:tab w:val="left" w:pos="2328"/>
        </w:tabs>
        <w:rPr>
          <w:rFonts w:cs="Arial"/>
        </w:rPr>
      </w:pPr>
    </w:p>
    <w:p w:rsidR="00FF498E" w:rsidRPr="00D61FC4" w:rsidRDefault="00FF498E" w:rsidP="00FF498E">
      <w:pPr>
        <w:rPr>
          <w:rFonts w:cs="Arial"/>
        </w:rPr>
      </w:pPr>
      <w:r w:rsidRPr="00D61FC4">
        <w:rPr>
          <w:rFonts w:cs="Arial"/>
        </w:rPr>
        <w:t>1.2</w:t>
      </w:r>
      <w:r w:rsidRPr="00D61FC4">
        <w:rPr>
          <w:rFonts w:cs="Arial"/>
        </w:rPr>
        <w:tab/>
        <w:t>Extension de la protection à d’autres genres et espèces (effectuée ou prévue) :</w:t>
      </w:r>
    </w:p>
    <w:p w:rsidR="00FF498E" w:rsidRPr="00D61FC4" w:rsidRDefault="00FF498E" w:rsidP="00FF498E">
      <w:pPr>
        <w:rPr>
          <w:rFonts w:cs="Arial"/>
        </w:rPr>
      </w:pPr>
    </w:p>
    <w:p w:rsidR="00FF498E" w:rsidRPr="00D61FC4" w:rsidRDefault="00FF498E" w:rsidP="00FF498E">
      <w:pPr>
        <w:rPr>
          <w:rFonts w:cs="Arial"/>
        </w:rPr>
      </w:pPr>
      <w:r w:rsidRPr="00D61FC4">
        <w:rPr>
          <w:rFonts w:cs="Arial"/>
        </w:rPr>
        <w:t>Conformément aux modifications de la loi sur la protection des obtentions végétales de la République de Lituanie en date du 26 avril 2012, les variétés de tous les genres et espèces pourraient être protégées en République de Lituanie.</w:t>
      </w:r>
    </w:p>
    <w:p w:rsidR="00FF498E" w:rsidRPr="00D61FC4" w:rsidRDefault="00FF498E" w:rsidP="00FF498E">
      <w:pPr>
        <w:rPr>
          <w:rFonts w:cs="Arial"/>
        </w:rPr>
      </w:pPr>
    </w:p>
    <w:p w:rsidR="00FF498E" w:rsidRPr="00D61FC4" w:rsidRDefault="00FF498E" w:rsidP="00FF498E">
      <w:pPr>
        <w:rPr>
          <w:rFonts w:cs="Arial"/>
        </w:rPr>
      </w:pPr>
      <w:r w:rsidRPr="00D61FC4">
        <w:rPr>
          <w:rFonts w:cs="Arial"/>
        </w:rPr>
        <w:t>1.3</w:t>
      </w:r>
      <w:r w:rsidRPr="00D61FC4">
        <w:rPr>
          <w:rFonts w:cs="Arial"/>
        </w:rPr>
        <w:tab/>
        <w:t>Jurisprudence :</w:t>
      </w:r>
    </w:p>
    <w:p w:rsidR="00FF498E" w:rsidRPr="00D61FC4" w:rsidRDefault="00FF498E" w:rsidP="00FF498E">
      <w:pPr>
        <w:rPr>
          <w:rFonts w:cs="Arial"/>
        </w:rPr>
      </w:pPr>
    </w:p>
    <w:p w:rsidR="00FF498E" w:rsidRPr="00D61FC4" w:rsidRDefault="00FF498E" w:rsidP="00FF498E">
      <w:pPr>
        <w:rPr>
          <w:rFonts w:cs="Arial"/>
        </w:rPr>
      </w:pPr>
      <w:r w:rsidRPr="00D61FC4">
        <w:rPr>
          <w:rFonts w:cs="Arial"/>
        </w:rPr>
        <w:t>Il existe une jurisprudence relative à la protection des obtentions végétales en Lituanie pour 2014.</w:t>
      </w:r>
    </w:p>
    <w:p w:rsidR="00FF498E" w:rsidRPr="00D61FC4" w:rsidRDefault="00FF498E" w:rsidP="00FF498E">
      <w:pPr>
        <w:rPr>
          <w:rFonts w:cs="Arial"/>
        </w:rPr>
      </w:pPr>
    </w:p>
    <w:p w:rsidR="00FF498E" w:rsidRPr="00D61FC4" w:rsidRDefault="00FF498E" w:rsidP="00FF498E">
      <w:pPr>
        <w:rPr>
          <w:rFonts w:cs="Arial"/>
        </w:rPr>
      </w:pPr>
    </w:p>
    <w:p w:rsidR="00FF498E" w:rsidRPr="00D61FC4" w:rsidRDefault="00FF498E" w:rsidP="00FF498E">
      <w:pPr>
        <w:rPr>
          <w:rFonts w:cs="Arial"/>
          <w:u w:val="single"/>
        </w:rPr>
      </w:pPr>
      <w:r w:rsidRPr="00D61FC4">
        <w:rPr>
          <w:rFonts w:cs="Arial"/>
        </w:rPr>
        <w:t>2.</w:t>
      </w:r>
      <w:r w:rsidRPr="00D61FC4">
        <w:rPr>
          <w:rFonts w:cs="Arial"/>
        </w:rPr>
        <w:tab/>
      </w:r>
      <w:r w:rsidRPr="00D61FC4">
        <w:rPr>
          <w:rFonts w:cs="Arial"/>
          <w:u w:val="single"/>
        </w:rPr>
        <w:t>Coopération en matière d’examen</w:t>
      </w:r>
    </w:p>
    <w:p w:rsidR="00FF498E" w:rsidRPr="00D61FC4" w:rsidRDefault="00FF498E" w:rsidP="00FF498E">
      <w:pPr>
        <w:rPr>
          <w:rFonts w:cs="Arial"/>
        </w:rPr>
      </w:pPr>
    </w:p>
    <w:p w:rsidR="00FF498E" w:rsidRPr="00D61FC4" w:rsidRDefault="00FF498E" w:rsidP="00FF498E">
      <w:pPr>
        <w:rPr>
          <w:rFonts w:cs="Arial"/>
        </w:rPr>
      </w:pPr>
      <w:r w:rsidRPr="00D61FC4">
        <w:rPr>
          <w:rFonts w:cs="Arial"/>
        </w:rPr>
        <w:t>Deux accords de coopération en matière d’examen ont été signés en Lituanie :</w:t>
      </w:r>
    </w:p>
    <w:p w:rsidR="00FF498E" w:rsidRPr="00D61FC4" w:rsidRDefault="00FF498E" w:rsidP="00FF498E">
      <w:pPr>
        <w:rPr>
          <w:rFonts w:cs="Arial"/>
        </w:rPr>
      </w:pPr>
    </w:p>
    <w:p w:rsidR="00FF498E" w:rsidRPr="00D61FC4" w:rsidRDefault="00FF498E" w:rsidP="00FF498E">
      <w:pPr>
        <w:ind w:left="567" w:hanging="567"/>
        <w:rPr>
          <w:rFonts w:cs="Arial"/>
        </w:rPr>
      </w:pPr>
      <w:r w:rsidRPr="00D61FC4">
        <w:rPr>
          <w:rFonts w:cs="Arial"/>
        </w:rPr>
        <w:t>–</w:t>
      </w:r>
      <w:r w:rsidRPr="00D61FC4">
        <w:rPr>
          <w:rFonts w:cs="Arial"/>
        </w:rPr>
        <w:tab/>
        <w:t>L’accord bilatéral du 11 août 2000 avec le Centre de recherche polonais pour les essais de cultivars (COBORU), relatif aux essais DHS, a été modifié le 14 novembre 2012 par l’accord d’administration n° 1/2012/19T 247.</w:t>
      </w:r>
    </w:p>
    <w:p w:rsidR="00FF498E" w:rsidRPr="00D61FC4" w:rsidRDefault="00FF498E" w:rsidP="00FF498E">
      <w:pPr>
        <w:ind w:left="567" w:hanging="567"/>
        <w:rPr>
          <w:rFonts w:cs="Arial"/>
        </w:rPr>
      </w:pPr>
    </w:p>
    <w:p w:rsidR="00FF498E" w:rsidRPr="00D61FC4" w:rsidRDefault="00FF498E" w:rsidP="00FF498E">
      <w:pPr>
        <w:ind w:left="567" w:hanging="567"/>
        <w:rPr>
          <w:rFonts w:cs="Arial"/>
        </w:rPr>
      </w:pPr>
      <w:r w:rsidRPr="00D61FC4">
        <w:rPr>
          <w:rFonts w:cs="Arial"/>
        </w:rPr>
        <w:t>–</w:t>
      </w:r>
      <w:r w:rsidRPr="00D61FC4">
        <w:rPr>
          <w:rFonts w:cs="Arial"/>
        </w:rPr>
        <w:tab/>
        <w:t xml:space="preserve">L’accord n° 10 signé le 30 juin 2006 avec le </w:t>
      </w:r>
      <w:proofErr w:type="spellStart"/>
      <w:r w:rsidRPr="00FF498E">
        <w:rPr>
          <w:rFonts w:cs="Arial"/>
          <w:i/>
        </w:rPr>
        <w:t>Bundessortenamt</w:t>
      </w:r>
      <w:proofErr w:type="spellEnd"/>
      <w:r w:rsidRPr="00D61FC4">
        <w:rPr>
          <w:rFonts w:cs="Arial"/>
        </w:rPr>
        <w:t xml:space="preserve"> (Office fédéral des variétés végétales), Allemagne, relatif à la transmission des résultats d’examens techniques pour ce qui est des examens DHS a été modifié le 18 octobre 2010 par l’accord n° 19T 98.</w:t>
      </w:r>
    </w:p>
    <w:p w:rsidR="00FF498E" w:rsidRPr="00D61FC4" w:rsidRDefault="00FF498E" w:rsidP="00FF498E">
      <w:pPr>
        <w:rPr>
          <w:rFonts w:cs="Arial"/>
        </w:rPr>
      </w:pPr>
    </w:p>
    <w:p w:rsidR="00FF498E" w:rsidRPr="00D61FC4" w:rsidRDefault="00FF498E" w:rsidP="00FF498E">
      <w:pPr>
        <w:rPr>
          <w:rFonts w:cs="Arial"/>
        </w:rPr>
      </w:pPr>
    </w:p>
    <w:p w:rsidR="00FF498E" w:rsidRPr="00D61FC4" w:rsidRDefault="00FF498E" w:rsidP="00FF498E">
      <w:pPr>
        <w:rPr>
          <w:rFonts w:cs="Arial"/>
          <w:u w:val="single"/>
        </w:rPr>
      </w:pPr>
      <w:r w:rsidRPr="00D61FC4">
        <w:rPr>
          <w:rFonts w:cs="Arial"/>
        </w:rPr>
        <w:t>3.</w:t>
      </w:r>
      <w:r w:rsidRPr="00D61FC4">
        <w:rPr>
          <w:rFonts w:cs="Arial"/>
        </w:rPr>
        <w:tab/>
      </w:r>
      <w:r w:rsidRPr="00D61FC4">
        <w:rPr>
          <w:rFonts w:cs="Arial"/>
          <w:u w:val="single"/>
        </w:rPr>
        <w:t>Situation dans le domaine administratif</w:t>
      </w:r>
    </w:p>
    <w:p w:rsidR="00FF498E" w:rsidRPr="00D61FC4" w:rsidRDefault="00FF498E" w:rsidP="00FF498E">
      <w:pPr>
        <w:rPr>
          <w:rFonts w:cs="Arial"/>
        </w:rPr>
      </w:pPr>
    </w:p>
    <w:p w:rsidR="00FF498E" w:rsidRPr="00D61FC4" w:rsidRDefault="00FF498E" w:rsidP="00FF498E">
      <w:pPr>
        <w:ind w:left="567" w:hanging="567"/>
        <w:rPr>
          <w:rFonts w:cs="Arial"/>
        </w:rPr>
      </w:pPr>
      <w:r w:rsidRPr="00D61FC4">
        <w:rPr>
          <w:rFonts w:cs="Arial"/>
        </w:rPr>
        <w:t>–</w:t>
      </w:r>
      <w:r w:rsidRPr="00D61FC4">
        <w:rPr>
          <w:rFonts w:cs="Arial"/>
        </w:rPr>
        <w:tab/>
        <w:t>La Division des obtentions végétales relevant du Service des obtentions végétales du Ministère de l’agriculture de la République de Lituanie est responsable des essais, de l’établissement de la liste et de la protection juridique des variétés végétales.</w:t>
      </w:r>
    </w:p>
    <w:p w:rsidR="00FF498E" w:rsidRPr="00D61FC4" w:rsidRDefault="00FF498E" w:rsidP="00FF498E">
      <w:pPr>
        <w:ind w:left="567" w:hanging="567"/>
        <w:rPr>
          <w:rFonts w:cs="Arial"/>
        </w:rPr>
      </w:pPr>
    </w:p>
    <w:p w:rsidR="00FF498E" w:rsidRPr="00D61FC4" w:rsidRDefault="00FF498E" w:rsidP="00FF498E">
      <w:pPr>
        <w:ind w:left="567" w:hanging="567"/>
        <w:rPr>
          <w:rFonts w:cs="Arial"/>
        </w:rPr>
      </w:pPr>
      <w:r w:rsidRPr="00D61FC4">
        <w:rPr>
          <w:rFonts w:cs="Arial"/>
        </w:rPr>
        <w:t>–</w:t>
      </w:r>
      <w:r w:rsidRPr="00D61FC4">
        <w:rPr>
          <w:rFonts w:cs="Arial"/>
        </w:rPr>
        <w:tab/>
        <w:t>La Commission pour l’évaluation des demandes de protection des obtentions, approuvée le 6 mai 2011 par décision n° A1 141 du directeur du Service des obtentions végétales du Ministère de l’agriculture de la République de Lituanie, a été modifiée le 17 juin 2013 par décision n° A1 217 du directeur du Service des obtentions végétales du Ministère de l’agriculture de la République de Lituanie.</w:t>
      </w:r>
    </w:p>
    <w:p w:rsidR="00FF498E" w:rsidRPr="00D61FC4" w:rsidRDefault="00FF498E" w:rsidP="00FF498E">
      <w:pPr>
        <w:ind w:left="567" w:hanging="567"/>
        <w:rPr>
          <w:rFonts w:cs="Arial"/>
        </w:rPr>
      </w:pPr>
    </w:p>
    <w:p w:rsidR="00FF498E" w:rsidRPr="00D61FC4" w:rsidRDefault="00FF498E" w:rsidP="00FF498E">
      <w:pPr>
        <w:ind w:left="567" w:hanging="567"/>
        <w:rPr>
          <w:rFonts w:cs="Arial"/>
        </w:rPr>
      </w:pPr>
      <w:r w:rsidRPr="00D61FC4">
        <w:rPr>
          <w:rFonts w:cs="Arial"/>
        </w:rPr>
        <w:t>–</w:t>
      </w:r>
      <w:r w:rsidRPr="00D61FC4">
        <w:rPr>
          <w:rFonts w:cs="Arial"/>
        </w:rPr>
        <w:tab/>
        <w:t>L’octroi de la protection des obtentions végétales doit être approuvé par décision du directeur du Service des obtentions végétales du Ministère de l’agriculture de la République de Lituanie.</w:t>
      </w:r>
    </w:p>
    <w:p w:rsidR="00FF498E" w:rsidRPr="00D61FC4" w:rsidRDefault="00FF498E" w:rsidP="00FF498E">
      <w:pPr>
        <w:ind w:left="567" w:hanging="567"/>
        <w:rPr>
          <w:rFonts w:cs="Arial"/>
        </w:rPr>
      </w:pPr>
    </w:p>
    <w:p w:rsidR="00FF498E" w:rsidRPr="00D61FC4" w:rsidRDefault="00FF498E" w:rsidP="00FF498E">
      <w:pPr>
        <w:ind w:left="567" w:hanging="567"/>
        <w:rPr>
          <w:rFonts w:cs="Arial"/>
        </w:rPr>
      </w:pPr>
      <w:r w:rsidRPr="00D61FC4">
        <w:rPr>
          <w:rFonts w:cs="Arial"/>
        </w:rPr>
        <w:t>–</w:t>
      </w:r>
      <w:r w:rsidRPr="00D61FC4">
        <w:rPr>
          <w:rFonts w:cs="Arial"/>
        </w:rPr>
        <w:tab/>
        <w:t>Les procédures et le système de protection des obtentions végétales sont définis par la loi sur la protection des obtentions végétales de la République de Lituanie.</w:t>
      </w:r>
    </w:p>
    <w:p w:rsidR="00FF498E" w:rsidRDefault="00FF498E" w:rsidP="00FF498E">
      <w:pPr>
        <w:rPr>
          <w:rFonts w:cs="Arial"/>
        </w:rPr>
      </w:pPr>
    </w:p>
    <w:p w:rsidR="00FF498E" w:rsidRPr="00D61FC4" w:rsidRDefault="00FF498E" w:rsidP="00FF498E">
      <w:pPr>
        <w:rPr>
          <w:rFonts w:cs="Arial"/>
        </w:rPr>
      </w:pPr>
    </w:p>
    <w:p w:rsidR="00FF498E" w:rsidRPr="00D61FC4" w:rsidRDefault="00FF498E" w:rsidP="00FF498E">
      <w:pPr>
        <w:rPr>
          <w:rFonts w:cs="Arial"/>
        </w:rPr>
      </w:pPr>
      <w:r w:rsidRPr="00D61FC4">
        <w:rPr>
          <w:rFonts w:cs="Arial"/>
        </w:rPr>
        <w:t>4.</w:t>
      </w:r>
      <w:r w:rsidRPr="00D61FC4">
        <w:rPr>
          <w:rFonts w:cs="Arial"/>
        </w:rPr>
        <w:tab/>
      </w:r>
      <w:r w:rsidRPr="00D61FC4">
        <w:rPr>
          <w:rFonts w:cs="Arial"/>
          <w:u w:val="single"/>
        </w:rPr>
        <w:t>Situation dans le domaine technique</w:t>
      </w:r>
    </w:p>
    <w:p w:rsidR="00FF498E" w:rsidRPr="00D61FC4" w:rsidRDefault="00FF498E" w:rsidP="00FF498E">
      <w:pPr>
        <w:rPr>
          <w:rFonts w:cs="Arial"/>
        </w:rPr>
      </w:pPr>
    </w:p>
    <w:p w:rsidR="00FF498E" w:rsidRPr="00D61FC4" w:rsidRDefault="00FF498E" w:rsidP="00FF498E">
      <w:pPr>
        <w:ind w:left="567" w:hanging="567"/>
        <w:rPr>
          <w:rFonts w:cs="Arial"/>
        </w:rPr>
      </w:pPr>
      <w:r w:rsidRPr="00D61FC4">
        <w:rPr>
          <w:rFonts w:cs="Arial"/>
        </w:rPr>
        <w:t>–</w:t>
      </w:r>
      <w:r w:rsidRPr="00D61FC4">
        <w:rPr>
          <w:rFonts w:cs="Arial"/>
        </w:rPr>
        <w:tab/>
        <w:t>Les examens DHS sont effectués par le Centre de recherche polonais pour les essais de cultivars (COBORU), conformément à l’accord d’administration n° 1/2012/19T 247, modifié le 14 novembre 2012, ou par l’autre autorité compétente de l’Union européenne à la demande des obtenteurs.</w:t>
      </w:r>
    </w:p>
    <w:p w:rsidR="00FF498E" w:rsidRPr="00D61FC4" w:rsidRDefault="00FF498E" w:rsidP="00FF498E">
      <w:pPr>
        <w:rPr>
          <w:rFonts w:cs="Arial"/>
        </w:rPr>
      </w:pPr>
    </w:p>
    <w:p w:rsidR="00FF498E" w:rsidRPr="00D61FC4" w:rsidRDefault="00FF498E" w:rsidP="00FF498E">
      <w:pPr>
        <w:rPr>
          <w:rFonts w:cs="Arial"/>
        </w:rPr>
      </w:pPr>
    </w:p>
    <w:p w:rsidR="00FF498E" w:rsidRPr="00D61FC4" w:rsidRDefault="00FF498E" w:rsidP="00FF498E">
      <w:pPr>
        <w:rPr>
          <w:rFonts w:cs="Arial"/>
          <w:u w:val="single"/>
        </w:rPr>
      </w:pPr>
      <w:r w:rsidRPr="00D61FC4">
        <w:rPr>
          <w:rFonts w:cs="Arial"/>
        </w:rPr>
        <w:t>5.</w:t>
      </w:r>
      <w:r w:rsidRPr="00D61FC4">
        <w:rPr>
          <w:rFonts w:cs="Arial"/>
        </w:rPr>
        <w:tab/>
      </w:r>
      <w:r w:rsidRPr="00D61FC4">
        <w:rPr>
          <w:rFonts w:cs="Arial"/>
          <w:u w:val="single"/>
        </w:rPr>
        <w:t>Activités de promotion de la protection des obtentions végétales</w:t>
      </w:r>
    </w:p>
    <w:p w:rsidR="00FF498E" w:rsidRPr="00D61FC4" w:rsidRDefault="00FF498E" w:rsidP="00FF498E">
      <w:pPr>
        <w:rPr>
          <w:rFonts w:cs="Arial"/>
          <w:u w:val="single"/>
        </w:rPr>
      </w:pPr>
    </w:p>
    <w:tbl>
      <w:tblPr>
        <w:tblW w:w="9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09"/>
        <w:gridCol w:w="1083"/>
        <w:gridCol w:w="1134"/>
        <w:gridCol w:w="1366"/>
        <w:gridCol w:w="1753"/>
        <w:gridCol w:w="1843"/>
        <w:gridCol w:w="749"/>
      </w:tblGrid>
      <w:tr w:rsidR="00FF498E" w:rsidRPr="00D61FC4" w:rsidTr="00FF498E">
        <w:trPr>
          <w:cantSplit/>
          <w:tblHeader/>
        </w:trPr>
        <w:tc>
          <w:tcPr>
            <w:tcW w:w="1809"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Titre de l’activité</w:t>
            </w:r>
          </w:p>
        </w:tc>
        <w:tc>
          <w:tcPr>
            <w:tcW w:w="1083"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Date</w:t>
            </w:r>
          </w:p>
        </w:tc>
        <w:tc>
          <w:tcPr>
            <w:tcW w:w="1134"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Lieu</w:t>
            </w:r>
          </w:p>
        </w:tc>
        <w:tc>
          <w:tcPr>
            <w:tcW w:w="1366"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Organisateur(s)</w:t>
            </w:r>
          </w:p>
        </w:tc>
        <w:tc>
          <w:tcPr>
            <w:tcW w:w="1753"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But de l’activité</w:t>
            </w:r>
          </w:p>
        </w:tc>
        <w:tc>
          <w:tcPr>
            <w:tcW w:w="1843"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Pays/ organisations participants (nombre de participants pour chaque pays/ organisation)</w:t>
            </w:r>
          </w:p>
        </w:tc>
        <w:tc>
          <w:tcPr>
            <w:tcW w:w="749" w:type="dxa"/>
            <w:shd w:val="clear" w:color="auto" w:fill="auto"/>
            <w:tcMar>
              <w:left w:w="57" w:type="dxa"/>
              <w:right w:w="57" w:type="dxa"/>
            </w:tcMar>
          </w:tcPr>
          <w:p w:rsidR="00FF498E" w:rsidRPr="00D61FC4" w:rsidRDefault="00FF498E" w:rsidP="00EA781B">
            <w:pPr>
              <w:jc w:val="left"/>
              <w:rPr>
                <w:rFonts w:cs="Arial"/>
                <w:sz w:val="18"/>
                <w:szCs w:val="18"/>
              </w:rPr>
            </w:pPr>
            <w:proofErr w:type="spellStart"/>
            <w:r w:rsidRPr="00D61FC4">
              <w:rPr>
                <w:rFonts w:cs="Arial"/>
                <w:sz w:val="18"/>
                <w:szCs w:val="18"/>
              </w:rPr>
              <w:t>Obser-vations</w:t>
            </w:r>
            <w:proofErr w:type="spellEnd"/>
          </w:p>
        </w:tc>
      </w:tr>
      <w:tr w:rsidR="00FF498E" w:rsidRPr="00D61FC4" w:rsidTr="00FF498E">
        <w:trPr>
          <w:cantSplit/>
        </w:trPr>
        <w:tc>
          <w:tcPr>
            <w:tcW w:w="1809"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1.  Réunion de la Commission européenne</w:t>
            </w:r>
          </w:p>
        </w:tc>
        <w:tc>
          <w:tcPr>
            <w:tcW w:w="1083"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4 février 2014</w:t>
            </w:r>
          </w:p>
        </w:tc>
        <w:tc>
          <w:tcPr>
            <w:tcW w:w="1134"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Bruxelles (Belgique)</w:t>
            </w:r>
          </w:p>
        </w:tc>
        <w:tc>
          <w:tcPr>
            <w:tcW w:w="1366"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Commission européenne</w:t>
            </w:r>
          </w:p>
        </w:tc>
        <w:tc>
          <w:tcPr>
            <w:tcW w:w="1753"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Examiner les principales questions concernant la protection des obtentions végétales</w:t>
            </w:r>
          </w:p>
        </w:tc>
        <w:tc>
          <w:tcPr>
            <w:tcW w:w="1843"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La Commission européenne, l’OCVV et les États membres – 20 au total</w:t>
            </w:r>
          </w:p>
        </w:tc>
        <w:tc>
          <w:tcPr>
            <w:tcW w:w="749" w:type="dxa"/>
            <w:shd w:val="clear" w:color="auto" w:fill="auto"/>
            <w:tcMar>
              <w:left w:w="57" w:type="dxa"/>
              <w:right w:w="57" w:type="dxa"/>
            </w:tcMar>
          </w:tcPr>
          <w:p w:rsidR="00FF498E" w:rsidRPr="00D61FC4" w:rsidRDefault="00FF498E" w:rsidP="00EA781B">
            <w:pPr>
              <w:jc w:val="left"/>
              <w:rPr>
                <w:rFonts w:cs="Arial"/>
                <w:sz w:val="18"/>
                <w:szCs w:val="18"/>
              </w:rPr>
            </w:pPr>
          </w:p>
        </w:tc>
      </w:tr>
      <w:tr w:rsidR="00FF498E" w:rsidRPr="00D61FC4" w:rsidTr="00FF498E">
        <w:trPr>
          <w:cantSplit/>
          <w:trHeight w:val="1656"/>
        </w:trPr>
        <w:tc>
          <w:tcPr>
            <w:tcW w:w="1809"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2.  Réunion du Conseil d’administration de l’OCVV</w:t>
            </w:r>
          </w:p>
        </w:tc>
        <w:tc>
          <w:tcPr>
            <w:tcW w:w="1083"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18-19 mars 2014</w:t>
            </w:r>
          </w:p>
        </w:tc>
        <w:tc>
          <w:tcPr>
            <w:tcW w:w="1134"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Nitra (Slovaquie)</w:t>
            </w:r>
          </w:p>
        </w:tc>
        <w:tc>
          <w:tcPr>
            <w:tcW w:w="1366"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OCVV</w:t>
            </w:r>
          </w:p>
        </w:tc>
        <w:tc>
          <w:tcPr>
            <w:tcW w:w="1753"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Examiner les principales questions concernant la protection des obtentions végétales</w:t>
            </w:r>
          </w:p>
        </w:tc>
        <w:tc>
          <w:tcPr>
            <w:tcW w:w="1843"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La Commission européenne, l’OCVV, l’UPOV et les États membres – 41 au total</w:t>
            </w:r>
          </w:p>
        </w:tc>
        <w:tc>
          <w:tcPr>
            <w:tcW w:w="749" w:type="dxa"/>
            <w:shd w:val="clear" w:color="auto" w:fill="auto"/>
            <w:tcMar>
              <w:left w:w="57" w:type="dxa"/>
              <w:right w:w="57" w:type="dxa"/>
            </w:tcMar>
          </w:tcPr>
          <w:p w:rsidR="00FF498E" w:rsidRPr="00D61FC4" w:rsidRDefault="00FF498E" w:rsidP="00EA781B">
            <w:pPr>
              <w:jc w:val="left"/>
              <w:rPr>
                <w:rFonts w:cs="Arial"/>
                <w:sz w:val="18"/>
                <w:szCs w:val="18"/>
              </w:rPr>
            </w:pPr>
          </w:p>
        </w:tc>
      </w:tr>
      <w:tr w:rsidR="00FF498E" w:rsidRPr="00D61FC4" w:rsidTr="00FF498E">
        <w:trPr>
          <w:cantSplit/>
          <w:trHeight w:val="1656"/>
        </w:trPr>
        <w:tc>
          <w:tcPr>
            <w:tcW w:w="1809"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 xml:space="preserve">3.  Séminaire à l’intention des obtenteurs slovaques concernant les semences de ferme </w:t>
            </w:r>
          </w:p>
        </w:tc>
        <w:tc>
          <w:tcPr>
            <w:tcW w:w="1083"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19 mars 2014</w:t>
            </w:r>
          </w:p>
        </w:tc>
        <w:tc>
          <w:tcPr>
            <w:tcW w:w="1134"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Nitra (Slovaquie)</w:t>
            </w:r>
          </w:p>
        </w:tc>
        <w:tc>
          <w:tcPr>
            <w:tcW w:w="1366"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OCVV</w:t>
            </w:r>
          </w:p>
        </w:tc>
        <w:tc>
          <w:tcPr>
            <w:tcW w:w="1753"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Examiner les principales questions concernant les semences de ferme et la perception de la rémunération qui en résulte</w:t>
            </w:r>
          </w:p>
        </w:tc>
        <w:tc>
          <w:tcPr>
            <w:tcW w:w="1843"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L’OCVV, l’UPOV, les États membres et les obtenteurs slovaques – 40 au total</w:t>
            </w:r>
          </w:p>
        </w:tc>
        <w:tc>
          <w:tcPr>
            <w:tcW w:w="749" w:type="dxa"/>
            <w:shd w:val="clear" w:color="auto" w:fill="auto"/>
            <w:tcMar>
              <w:left w:w="57" w:type="dxa"/>
              <w:right w:w="57" w:type="dxa"/>
            </w:tcMar>
          </w:tcPr>
          <w:p w:rsidR="00FF498E" w:rsidRPr="00D61FC4" w:rsidRDefault="00FF498E" w:rsidP="00EA781B">
            <w:pPr>
              <w:jc w:val="left"/>
              <w:rPr>
                <w:rFonts w:cs="Arial"/>
                <w:sz w:val="18"/>
                <w:szCs w:val="18"/>
              </w:rPr>
            </w:pPr>
          </w:p>
        </w:tc>
      </w:tr>
      <w:tr w:rsidR="00FF498E" w:rsidRPr="00D61FC4" w:rsidTr="00FF498E">
        <w:trPr>
          <w:cantSplit/>
          <w:trHeight w:val="1656"/>
        </w:trPr>
        <w:tc>
          <w:tcPr>
            <w:tcW w:w="1809"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4.  Réunion du Conseil de l’Europe</w:t>
            </w:r>
          </w:p>
        </w:tc>
        <w:tc>
          <w:tcPr>
            <w:tcW w:w="1083"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8 octobre 2014</w:t>
            </w:r>
          </w:p>
        </w:tc>
        <w:tc>
          <w:tcPr>
            <w:tcW w:w="1134"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Bruxelles (Belgique)</w:t>
            </w:r>
          </w:p>
        </w:tc>
        <w:tc>
          <w:tcPr>
            <w:tcW w:w="1366"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Conseil de l’Europe</w:t>
            </w:r>
          </w:p>
        </w:tc>
        <w:tc>
          <w:tcPr>
            <w:tcW w:w="1753"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Coordonner les activités avant les réunions de l’UPOV</w:t>
            </w:r>
          </w:p>
        </w:tc>
        <w:tc>
          <w:tcPr>
            <w:tcW w:w="1843"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La Commission, l’OCVV et les États membres – 37 au total</w:t>
            </w:r>
          </w:p>
        </w:tc>
        <w:tc>
          <w:tcPr>
            <w:tcW w:w="749" w:type="dxa"/>
            <w:shd w:val="clear" w:color="auto" w:fill="auto"/>
            <w:tcMar>
              <w:left w:w="57" w:type="dxa"/>
              <w:right w:w="57" w:type="dxa"/>
            </w:tcMar>
          </w:tcPr>
          <w:p w:rsidR="00FF498E" w:rsidRPr="00D61FC4" w:rsidRDefault="00FF498E" w:rsidP="00EA781B">
            <w:pPr>
              <w:jc w:val="left"/>
              <w:rPr>
                <w:rFonts w:cs="Arial"/>
                <w:sz w:val="18"/>
                <w:szCs w:val="18"/>
              </w:rPr>
            </w:pPr>
          </w:p>
        </w:tc>
      </w:tr>
      <w:tr w:rsidR="00FF498E" w:rsidRPr="00D61FC4" w:rsidTr="00FF498E">
        <w:trPr>
          <w:cantSplit/>
          <w:trHeight w:val="1656"/>
        </w:trPr>
        <w:tc>
          <w:tcPr>
            <w:tcW w:w="1809"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5.  Réunion du Conseil d’administration de l’OCVV</w:t>
            </w:r>
          </w:p>
        </w:tc>
        <w:tc>
          <w:tcPr>
            <w:tcW w:w="1083"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9 octobre 2014</w:t>
            </w:r>
          </w:p>
        </w:tc>
        <w:tc>
          <w:tcPr>
            <w:tcW w:w="1134"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Bruxelles (Belgique)</w:t>
            </w:r>
          </w:p>
        </w:tc>
        <w:tc>
          <w:tcPr>
            <w:tcW w:w="1366"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OCVV</w:t>
            </w:r>
          </w:p>
        </w:tc>
        <w:tc>
          <w:tcPr>
            <w:tcW w:w="1753"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Examiner les principales questions concernant la protection des obtentions végétales</w:t>
            </w:r>
          </w:p>
        </w:tc>
        <w:tc>
          <w:tcPr>
            <w:tcW w:w="1843"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La Commission européenne, l’OCVV, l’UPOV et les États membres – 40 au total</w:t>
            </w:r>
          </w:p>
        </w:tc>
        <w:tc>
          <w:tcPr>
            <w:tcW w:w="749" w:type="dxa"/>
            <w:shd w:val="clear" w:color="auto" w:fill="auto"/>
            <w:tcMar>
              <w:left w:w="57" w:type="dxa"/>
              <w:right w:w="57" w:type="dxa"/>
            </w:tcMar>
          </w:tcPr>
          <w:p w:rsidR="00FF498E" w:rsidRPr="00D61FC4" w:rsidRDefault="00FF498E" w:rsidP="00EA781B">
            <w:pPr>
              <w:jc w:val="left"/>
              <w:rPr>
                <w:rFonts w:cs="Arial"/>
                <w:sz w:val="18"/>
                <w:szCs w:val="18"/>
              </w:rPr>
            </w:pPr>
          </w:p>
        </w:tc>
      </w:tr>
      <w:tr w:rsidR="00FF498E" w:rsidRPr="00D61FC4" w:rsidTr="00FF498E">
        <w:trPr>
          <w:cantSplit/>
        </w:trPr>
        <w:tc>
          <w:tcPr>
            <w:tcW w:w="1809"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6.  Réunion du Comité administratif et juridique de l’UPOV</w:t>
            </w:r>
          </w:p>
        </w:tc>
        <w:tc>
          <w:tcPr>
            <w:tcW w:w="1083"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13 octobre 2014</w:t>
            </w:r>
          </w:p>
        </w:tc>
        <w:tc>
          <w:tcPr>
            <w:tcW w:w="1134"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Genève (Suisse)</w:t>
            </w:r>
          </w:p>
        </w:tc>
        <w:tc>
          <w:tcPr>
            <w:tcW w:w="1366"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UPOV</w:t>
            </w:r>
          </w:p>
        </w:tc>
        <w:tc>
          <w:tcPr>
            <w:tcW w:w="1753" w:type="dxa"/>
            <w:shd w:val="clear" w:color="auto" w:fill="auto"/>
            <w:tcMar>
              <w:left w:w="57" w:type="dxa"/>
              <w:right w:w="57" w:type="dxa"/>
            </w:tcMar>
          </w:tcPr>
          <w:p w:rsidR="00FF498E" w:rsidRPr="00D61FC4" w:rsidRDefault="00FF498E" w:rsidP="00EA781B">
            <w:pPr>
              <w:jc w:val="left"/>
              <w:rPr>
                <w:rFonts w:cs="Arial"/>
                <w:sz w:val="18"/>
                <w:szCs w:val="18"/>
                <w:u w:val="single"/>
              </w:rPr>
            </w:pPr>
            <w:r w:rsidRPr="00D61FC4">
              <w:rPr>
                <w:rFonts w:cs="Arial"/>
                <w:sz w:val="18"/>
                <w:szCs w:val="18"/>
              </w:rPr>
              <w:t>Examiner les principales questions concernant la protection des obtentions végétales dans les domaines administratif et juridique</w:t>
            </w:r>
          </w:p>
        </w:tc>
        <w:tc>
          <w:tcPr>
            <w:tcW w:w="1843"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Membres (71), observateurs (6), organisations (9), l’UPOV (6) – 92 au total</w:t>
            </w:r>
          </w:p>
        </w:tc>
        <w:tc>
          <w:tcPr>
            <w:tcW w:w="749" w:type="dxa"/>
            <w:shd w:val="clear" w:color="auto" w:fill="auto"/>
            <w:tcMar>
              <w:left w:w="57" w:type="dxa"/>
              <w:right w:w="57" w:type="dxa"/>
            </w:tcMar>
          </w:tcPr>
          <w:p w:rsidR="00FF498E" w:rsidRPr="00D61FC4" w:rsidRDefault="00FF498E" w:rsidP="00EA781B">
            <w:pPr>
              <w:jc w:val="left"/>
              <w:rPr>
                <w:rFonts w:cs="Arial"/>
                <w:sz w:val="18"/>
                <w:szCs w:val="18"/>
                <w:u w:val="single"/>
              </w:rPr>
            </w:pPr>
          </w:p>
        </w:tc>
      </w:tr>
      <w:tr w:rsidR="00FF498E" w:rsidRPr="00D61FC4" w:rsidTr="00FF498E">
        <w:trPr>
          <w:cantSplit/>
        </w:trPr>
        <w:tc>
          <w:tcPr>
            <w:tcW w:w="1809"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7.  Réunion du Groupe consultatif du Comité administratif et juridique de l’UPOV</w:t>
            </w:r>
          </w:p>
        </w:tc>
        <w:tc>
          <w:tcPr>
            <w:tcW w:w="1083"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14 octobre 2014</w:t>
            </w:r>
          </w:p>
        </w:tc>
        <w:tc>
          <w:tcPr>
            <w:tcW w:w="1134"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Genève (Suisse)</w:t>
            </w:r>
          </w:p>
        </w:tc>
        <w:tc>
          <w:tcPr>
            <w:tcW w:w="1366"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UPOV</w:t>
            </w:r>
          </w:p>
        </w:tc>
        <w:tc>
          <w:tcPr>
            <w:tcW w:w="1753" w:type="dxa"/>
            <w:shd w:val="clear" w:color="auto" w:fill="auto"/>
            <w:tcMar>
              <w:left w:w="57" w:type="dxa"/>
              <w:right w:w="57" w:type="dxa"/>
            </w:tcMar>
          </w:tcPr>
          <w:p w:rsidR="00FF498E" w:rsidRPr="00D61FC4" w:rsidRDefault="00FF498E" w:rsidP="00EA781B">
            <w:pPr>
              <w:jc w:val="left"/>
              <w:rPr>
                <w:rFonts w:cs="Arial"/>
                <w:sz w:val="18"/>
                <w:szCs w:val="18"/>
                <w:u w:val="single"/>
              </w:rPr>
            </w:pPr>
            <w:r w:rsidRPr="00D61FC4">
              <w:rPr>
                <w:rFonts w:cs="Arial"/>
                <w:sz w:val="18"/>
                <w:szCs w:val="18"/>
              </w:rPr>
              <w:t>Examiner les principales questions concernant la protection des obtentions végétales dans les domaines administratif et juridique</w:t>
            </w:r>
          </w:p>
        </w:tc>
        <w:tc>
          <w:tcPr>
            <w:tcW w:w="1843"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Membres (71), observateurs (6), organisations (9), l’UPOV (6) – 92 au total</w:t>
            </w:r>
          </w:p>
        </w:tc>
        <w:tc>
          <w:tcPr>
            <w:tcW w:w="749" w:type="dxa"/>
            <w:shd w:val="clear" w:color="auto" w:fill="auto"/>
            <w:tcMar>
              <w:left w:w="57" w:type="dxa"/>
              <w:right w:w="57" w:type="dxa"/>
            </w:tcMar>
          </w:tcPr>
          <w:p w:rsidR="00FF498E" w:rsidRPr="00D61FC4" w:rsidRDefault="00FF498E" w:rsidP="00EA781B">
            <w:pPr>
              <w:jc w:val="left"/>
              <w:rPr>
                <w:rFonts w:cs="Arial"/>
                <w:sz w:val="18"/>
                <w:szCs w:val="18"/>
                <w:u w:val="single"/>
              </w:rPr>
            </w:pPr>
          </w:p>
        </w:tc>
      </w:tr>
      <w:tr w:rsidR="00FF498E" w:rsidRPr="00D61FC4" w:rsidTr="00FF498E">
        <w:trPr>
          <w:cantSplit/>
        </w:trPr>
        <w:tc>
          <w:tcPr>
            <w:tcW w:w="1809"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8.  Réunion du Comité consultatif de l’UPOV</w:t>
            </w:r>
          </w:p>
        </w:tc>
        <w:tc>
          <w:tcPr>
            <w:tcW w:w="1083"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15 octobre 2014</w:t>
            </w:r>
          </w:p>
        </w:tc>
        <w:tc>
          <w:tcPr>
            <w:tcW w:w="1134"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Genève (Suisse)</w:t>
            </w:r>
          </w:p>
        </w:tc>
        <w:tc>
          <w:tcPr>
            <w:tcW w:w="1366"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UPOV</w:t>
            </w:r>
          </w:p>
        </w:tc>
        <w:tc>
          <w:tcPr>
            <w:tcW w:w="1753" w:type="dxa"/>
            <w:shd w:val="clear" w:color="auto" w:fill="auto"/>
            <w:tcMar>
              <w:left w:w="57" w:type="dxa"/>
              <w:right w:w="57" w:type="dxa"/>
            </w:tcMar>
          </w:tcPr>
          <w:p w:rsidR="00FF498E" w:rsidRPr="00D61FC4" w:rsidRDefault="00FF498E" w:rsidP="00EA781B">
            <w:pPr>
              <w:jc w:val="left"/>
              <w:rPr>
                <w:rFonts w:cs="Arial"/>
                <w:sz w:val="18"/>
                <w:szCs w:val="18"/>
                <w:u w:val="single"/>
              </w:rPr>
            </w:pPr>
            <w:r w:rsidRPr="00D61FC4">
              <w:rPr>
                <w:rFonts w:cs="Arial"/>
                <w:sz w:val="18"/>
                <w:szCs w:val="18"/>
              </w:rPr>
              <w:t>Examiner les principales questions concernant la protection des obtentions végétales dans le domaine consultatif</w:t>
            </w:r>
          </w:p>
        </w:tc>
        <w:tc>
          <w:tcPr>
            <w:tcW w:w="1843"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Membres (71), observateurs (6), organisations (9), l’UPOV (6) – 92 au total</w:t>
            </w:r>
          </w:p>
        </w:tc>
        <w:tc>
          <w:tcPr>
            <w:tcW w:w="749" w:type="dxa"/>
            <w:shd w:val="clear" w:color="auto" w:fill="auto"/>
            <w:tcMar>
              <w:left w:w="57" w:type="dxa"/>
              <w:right w:w="57" w:type="dxa"/>
            </w:tcMar>
          </w:tcPr>
          <w:p w:rsidR="00FF498E" w:rsidRPr="00D61FC4" w:rsidRDefault="00FF498E" w:rsidP="00EA781B">
            <w:pPr>
              <w:jc w:val="left"/>
              <w:rPr>
                <w:rFonts w:cs="Arial"/>
                <w:sz w:val="18"/>
                <w:szCs w:val="18"/>
                <w:u w:val="single"/>
              </w:rPr>
            </w:pPr>
          </w:p>
        </w:tc>
      </w:tr>
      <w:tr w:rsidR="00FF498E" w:rsidRPr="00D61FC4" w:rsidTr="00FF498E">
        <w:trPr>
          <w:cantSplit/>
        </w:trPr>
        <w:tc>
          <w:tcPr>
            <w:tcW w:w="1809"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9.  Réunion du Conseil de l’UPOV</w:t>
            </w:r>
          </w:p>
        </w:tc>
        <w:tc>
          <w:tcPr>
            <w:tcW w:w="1083"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16 octobre 2014</w:t>
            </w:r>
          </w:p>
        </w:tc>
        <w:tc>
          <w:tcPr>
            <w:tcW w:w="1134"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Genève (Suisse)</w:t>
            </w:r>
          </w:p>
        </w:tc>
        <w:tc>
          <w:tcPr>
            <w:tcW w:w="1366"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UPOV</w:t>
            </w:r>
          </w:p>
        </w:tc>
        <w:tc>
          <w:tcPr>
            <w:tcW w:w="1753"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Examiner les principales questions concernant la protection des obtentions végétales au niveau du Conseil</w:t>
            </w:r>
          </w:p>
        </w:tc>
        <w:tc>
          <w:tcPr>
            <w:tcW w:w="1843"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Membres (71), observateurs (6), organisations (9), l’UPOV (6) – 92 au total</w:t>
            </w:r>
          </w:p>
        </w:tc>
        <w:tc>
          <w:tcPr>
            <w:tcW w:w="749" w:type="dxa"/>
            <w:shd w:val="clear" w:color="auto" w:fill="auto"/>
            <w:tcMar>
              <w:left w:w="57" w:type="dxa"/>
              <w:right w:w="57" w:type="dxa"/>
            </w:tcMar>
          </w:tcPr>
          <w:p w:rsidR="00FF498E" w:rsidRPr="00D61FC4" w:rsidRDefault="00FF498E" w:rsidP="00EA781B">
            <w:pPr>
              <w:jc w:val="left"/>
              <w:rPr>
                <w:rFonts w:cs="Arial"/>
                <w:sz w:val="18"/>
                <w:szCs w:val="18"/>
              </w:rPr>
            </w:pPr>
          </w:p>
        </w:tc>
      </w:tr>
      <w:tr w:rsidR="00FF498E" w:rsidRPr="00D61FC4" w:rsidTr="00FF498E">
        <w:trPr>
          <w:cantSplit/>
        </w:trPr>
        <w:tc>
          <w:tcPr>
            <w:tcW w:w="1809"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10.  Réunion de l’OCVV avec les institutions d’examen</w:t>
            </w:r>
          </w:p>
        </w:tc>
        <w:tc>
          <w:tcPr>
            <w:tcW w:w="1083" w:type="dxa"/>
            <w:shd w:val="clear" w:color="auto" w:fill="auto"/>
            <w:tcMar>
              <w:left w:w="57" w:type="dxa"/>
              <w:right w:w="57" w:type="dxa"/>
            </w:tcMar>
          </w:tcPr>
          <w:p w:rsidR="00FF498E" w:rsidRPr="00D61FC4" w:rsidRDefault="00FF498E" w:rsidP="00EA781B">
            <w:pPr>
              <w:jc w:val="left"/>
              <w:rPr>
                <w:rFonts w:cs="Arial"/>
                <w:sz w:val="18"/>
                <w:szCs w:val="18"/>
              </w:rPr>
            </w:pPr>
          </w:p>
        </w:tc>
        <w:tc>
          <w:tcPr>
            <w:tcW w:w="1134" w:type="dxa"/>
            <w:shd w:val="clear" w:color="auto" w:fill="auto"/>
            <w:tcMar>
              <w:left w:w="57" w:type="dxa"/>
              <w:right w:w="57" w:type="dxa"/>
            </w:tcMar>
          </w:tcPr>
          <w:p w:rsidR="00FF498E" w:rsidRPr="00D61FC4" w:rsidRDefault="00FF498E" w:rsidP="00EA781B">
            <w:pPr>
              <w:jc w:val="left"/>
              <w:rPr>
                <w:rFonts w:cs="Arial"/>
                <w:sz w:val="18"/>
                <w:szCs w:val="18"/>
              </w:rPr>
            </w:pPr>
          </w:p>
        </w:tc>
        <w:tc>
          <w:tcPr>
            <w:tcW w:w="1366" w:type="dxa"/>
            <w:shd w:val="clear" w:color="auto" w:fill="auto"/>
            <w:tcMar>
              <w:left w:w="57" w:type="dxa"/>
              <w:right w:w="57" w:type="dxa"/>
            </w:tcMar>
          </w:tcPr>
          <w:p w:rsidR="00FF498E" w:rsidRPr="00D61FC4" w:rsidRDefault="00FF498E" w:rsidP="00EA781B">
            <w:pPr>
              <w:jc w:val="left"/>
              <w:rPr>
                <w:rFonts w:cs="Arial"/>
                <w:sz w:val="18"/>
                <w:szCs w:val="18"/>
              </w:rPr>
            </w:pPr>
          </w:p>
        </w:tc>
        <w:tc>
          <w:tcPr>
            <w:tcW w:w="1753" w:type="dxa"/>
            <w:shd w:val="clear" w:color="auto" w:fill="auto"/>
            <w:tcMar>
              <w:left w:w="57" w:type="dxa"/>
              <w:right w:w="57" w:type="dxa"/>
            </w:tcMar>
          </w:tcPr>
          <w:p w:rsidR="00FF498E" w:rsidRPr="00D61FC4" w:rsidRDefault="00FF498E" w:rsidP="00EA781B">
            <w:pPr>
              <w:jc w:val="left"/>
              <w:rPr>
                <w:rFonts w:cs="Arial"/>
                <w:sz w:val="18"/>
                <w:szCs w:val="18"/>
              </w:rPr>
            </w:pPr>
            <w:r w:rsidRPr="00D61FC4">
              <w:rPr>
                <w:rFonts w:cs="Arial"/>
                <w:sz w:val="18"/>
                <w:szCs w:val="18"/>
              </w:rPr>
              <w:t>Examiner les principales questions concernant l’examen DHS et la protection des obtentions végétales</w:t>
            </w:r>
          </w:p>
        </w:tc>
        <w:tc>
          <w:tcPr>
            <w:tcW w:w="1843" w:type="dxa"/>
            <w:shd w:val="clear" w:color="auto" w:fill="auto"/>
            <w:tcMar>
              <w:left w:w="57" w:type="dxa"/>
              <w:right w:w="57" w:type="dxa"/>
            </w:tcMar>
          </w:tcPr>
          <w:p w:rsidR="00FF498E" w:rsidRPr="00D61FC4" w:rsidRDefault="00FF498E" w:rsidP="00EA781B">
            <w:pPr>
              <w:jc w:val="left"/>
              <w:rPr>
                <w:rFonts w:cs="Arial"/>
                <w:sz w:val="18"/>
                <w:szCs w:val="18"/>
              </w:rPr>
            </w:pPr>
          </w:p>
        </w:tc>
        <w:tc>
          <w:tcPr>
            <w:tcW w:w="749" w:type="dxa"/>
            <w:shd w:val="clear" w:color="auto" w:fill="auto"/>
            <w:tcMar>
              <w:left w:w="57" w:type="dxa"/>
              <w:right w:w="57" w:type="dxa"/>
            </w:tcMar>
          </w:tcPr>
          <w:p w:rsidR="00FF498E" w:rsidRPr="00D61FC4" w:rsidRDefault="00FF498E" w:rsidP="00EA781B">
            <w:pPr>
              <w:jc w:val="left"/>
              <w:rPr>
                <w:rFonts w:cs="Arial"/>
                <w:sz w:val="18"/>
                <w:szCs w:val="18"/>
                <w:u w:val="single"/>
              </w:rPr>
            </w:pPr>
          </w:p>
        </w:tc>
      </w:tr>
    </w:tbl>
    <w:p w:rsidR="00FF498E" w:rsidRPr="00D61FC4" w:rsidRDefault="00FF498E" w:rsidP="00FF498E">
      <w:pPr>
        <w:rPr>
          <w:rFonts w:cs="Arial"/>
        </w:rPr>
      </w:pPr>
    </w:p>
    <w:p w:rsidR="00FF498E" w:rsidRPr="00D61FC4" w:rsidRDefault="00FF498E" w:rsidP="00FF498E">
      <w:pPr>
        <w:ind w:left="567" w:hanging="567"/>
        <w:rPr>
          <w:rFonts w:cs="Arial"/>
        </w:rPr>
      </w:pPr>
      <w:r w:rsidRPr="00D61FC4">
        <w:rPr>
          <w:rFonts w:cs="Arial"/>
        </w:rPr>
        <w:t>–</w:t>
      </w:r>
      <w:r w:rsidRPr="00D61FC4">
        <w:rPr>
          <w:rFonts w:cs="Arial"/>
        </w:rPr>
        <w:tab/>
        <w:t>Le Bulletin d’information sur les droits d’obtenteur et la liste nationale des obtentions végétales n° 1 (21) relevant du Service des obtentions végétales du Ministère de l’agriculture de la République de Lituanie a été publié le 23 janvier 2014, et le n° 2.22) le 12 juin 2014.</w:t>
      </w:r>
    </w:p>
    <w:p w:rsidR="00FF498E" w:rsidRPr="00D61FC4" w:rsidRDefault="00FF498E" w:rsidP="00FF498E">
      <w:pPr>
        <w:rPr>
          <w:rFonts w:cs="Arial"/>
        </w:rPr>
      </w:pPr>
    </w:p>
    <w:p w:rsidR="00FF498E" w:rsidRPr="00D61FC4" w:rsidRDefault="00FF498E" w:rsidP="00FF498E">
      <w:pPr>
        <w:rPr>
          <w:rFonts w:cs="Arial"/>
        </w:rPr>
      </w:pPr>
    </w:p>
    <w:p w:rsidR="00FF498E" w:rsidRPr="00FF498E" w:rsidRDefault="00FF498E" w:rsidP="00FF498E">
      <w:pPr>
        <w:rPr>
          <w:rFonts w:cs="Arial"/>
        </w:rPr>
      </w:pPr>
      <w:r w:rsidRPr="00FF498E">
        <w:rPr>
          <w:rFonts w:cs="Arial"/>
        </w:rPr>
        <w:t>II.</w:t>
      </w:r>
      <w:r w:rsidRPr="00FF498E">
        <w:rPr>
          <w:rFonts w:cs="Arial"/>
        </w:rPr>
        <w:tab/>
        <w:t>AUTRES ÉLÉMENTS NOUVEAUX PRÉSENTANT UN INTÉRÊT POUR L’UPOV</w:t>
      </w:r>
    </w:p>
    <w:p w:rsidR="00FF498E" w:rsidRPr="00D61FC4" w:rsidRDefault="00FF498E" w:rsidP="00FF498E">
      <w:pPr>
        <w:rPr>
          <w:rFonts w:cs="Arial"/>
          <w:b/>
        </w:rPr>
      </w:pPr>
    </w:p>
    <w:p w:rsidR="00FF498E" w:rsidRPr="00D61FC4" w:rsidRDefault="00FF498E" w:rsidP="00FF498E">
      <w:pPr>
        <w:ind w:left="567" w:hanging="567"/>
        <w:rPr>
          <w:rFonts w:cs="Arial"/>
        </w:rPr>
      </w:pPr>
      <w:r w:rsidRPr="00D61FC4">
        <w:rPr>
          <w:rFonts w:cs="Arial"/>
        </w:rPr>
        <w:t>–</w:t>
      </w:r>
      <w:r w:rsidRPr="00D61FC4">
        <w:rPr>
          <w:rFonts w:cs="Arial"/>
        </w:rPr>
        <w:tab/>
        <w:t>La liste nationale des variétés végétales 2013 a été approuvée le 31 janvier 2014 par décision n° A1 31 du directeur du Service des obtentions végétales du Ministère de l’agriculture de la République de Lituanie.  Le matériel de reproduction ou de multiplication de chaque variété enregistrée d’espèce végétale peut être certifié conformément aux normes obligatoires établies en application des directives européennes pertinentes.</w:t>
      </w:r>
    </w:p>
    <w:p w:rsidR="00FF498E" w:rsidRPr="00D61FC4" w:rsidRDefault="00FF498E" w:rsidP="00FF498E"/>
    <w:p w:rsidR="00FF498E" w:rsidRDefault="00FF498E" w:rsidP="00944AEF"/>
    <w:p w:rsidR="00FF498E" w:rsidRPr="004F3AB8" w:rsidRDefault="00FF498E" w:rsidP="00944AEF"/>
    <w:p w:rsidR="00944AEF" w:rsidRPr="004F3AB8" w:rsidRDefault="00944AEF" w:rsidP="00944AEF">
      <w:pPr>
        <w:jc w:val="right"/>
      </w:pPr>
      <w:r w:rsidRPr="004F3AB8">
        <w:t>[L’annexe VIII suit]</w:t>
      </w:r>
    </w:p>
    <w:p w:rsidR="00944AEF" w:rsidRPr="004F3AB8" w:rsidRDefault="00944AEF" w:rsidP="00944AEF">
      <w:pPr>
        <w:jc w:val="left"/>
      </w:pPr>
    </w:p>
    <w:p w:rsidR="00944AEF" w:rsidRPr="004F3AB8" w:rsidRDefault="00944AEF" w:rsidP="00944AEF">
      <w:pPr>
        <w:jc w:val="left"/>
        <w:sectPr w:rsidR="00944AEF" w:rsidRPr="004F3AB8" w:rsidSect="004F3AB8">
          <w:headerReference w:type="default" r:id="rId25"/>
          <w:pgSz w:w="11907" w:h="16840" w:code="9"/>
          <w:pgMar w:top="510" w:right="1134" w:bottom="1134" w:left="1134" w:header="510" w:footer="680" w:gutter="0"/>
          <w:pgNumType w:start="1"/>
          <w:cols w:space="720"/>
          <w:titlePg/>
        </w:sectPr>
      </w:pPr>
    </w:p>
    <w:p w:rsidR="00944AEF" w:rsidRPr="004F3AB8" w:rsidRDefault="00944AEF" w:rsidP="00944AEF">
      <w:pPr>
        <w:jc w:val="center"/>
      </w:pPr>
      <w:r w:rsidRPr="004F3AB8">
        <w:t>C/49/15</w:t>
      </w:r>
    </w:p>
    <w:p w:rsidR="00944AEF" w:rsidRPr="004F3AB8" w:rsidRDefault="00944AEF" w:rsidP="00944AEF">
      <w:pPr>
        <w:jc w:val="center"/>
      </w:pPr>
    </w:p>
    <w:p w:rsidR="00944AEF" w:rsidRPr="004F3AB8" w:rsidRDefault="00944AEF" w:rsidP="00944AEF">
      <w:pPr>
        <w:jc w:val="center"/>
      </w:pPr>
      <w:r w:rsidRPr="004F3AB8">
        <w:t>ANNEXE VIII</w:t>
      </w:r>
    </w:p>
    <w:p w:rsidR="00944AEF" w:rsidRPr="004F3AB8" w:rsidRDefault="00944AEF" w:rsidP="00944AEF">
      <w:pPr>
        <w:jc w:val="center"/>
      </w:pPr>
    </w:p>
    <w:p w:rsidR="00944AEF" w:rsidRPr="004F3AB8" w:rsidRDefault="00944AEF" w:rsidP="00944AEF">
      <w:pPr>
        <w:jc w:val="center"/>
      </w:pPr>
    </w:p>
    <w:p w:rsidR="00944AEF" w:rsidRPr="004F3AB8" w:rsidRDefault="00944AEF" w:rsidP="00944AEF">
      <w:pPr>
        <w:jc w:val="center"/>
      </w:pPr>
      <w:r w:rsidRPr="004F3AB8">
        <w:t>MAROC</w:t>
      </w:r>
    </w:p>
    <w:p w:rsidR="00944AEF" w:rsidRPr="004F3AB8" w:rsidRDefault="00944AEF" w:rsidP="00944AEF"/>
    <w:p w:rsidR="00944AEF" w:rsidRDefault="00944AEF" w:rsidP="00944AEF">
      <w:pPr>
        <w:jc w:val="left"/>
      </w:pPr>
    </w:p>
    <w:p w:rsidR="002C10E5" w:rsidRPr="0087603D" w:rsidRDefault="002C10E5" w:rsidP="002C10E5">
      <w:pPr>
        <w:rPr>
          <w:rFonts w:cs="Arial"/>
          <w:lang w:bidi="ne-NP"/>
        </w:rPr>
      </w:pPr>
      <w:r w:rsidRPr="0087603D">
        <w:rPr>
          <w:rFonts w:cs="Arial"/>
          <w:lang w:bidi="ne-NP"/>
        </w:rPr>
        <w:t>PROTECTION DES OBTENTIONS VÉGÉTALES</w:t>
      </w:r>
    </w:p>
    <w:p w:rsidR="002C10E5" w:rsidRPr="0087603D" w:rsidRDefault="002C10E5" w:rsidP="002C10E5">
      <w:pPr>
        <w:rPr>
          <w:rFonts w:cs="Arial"/>
          <w:lang w:bidi="ne-NP"/>
        </w:rPr>
      </w:pPr>
    </w:p>
    <w:p w:rsidR="002C10E5" w:rsidRPr="0087603D" w:rsidRDefault="002C10E5" w:rsidP="002C10E5">
      <w:pPr>
        <w:rPr>
          <w:rFonts w:cs="Arial"/>
          <w:lang w:bidi="ne-NP"/>
        </w:rPr>
      </w:pPr>
      <w:r w:rsidRPr="0087603D">
        <w:rPr>
          <w:rFonts w:cs="Arial"/>
          <w:lang w:bidi="ne-NP"/>
        </w:rPr>
        <w:t>1.</w:t>
      </w:r>
      <w:r w:rsidRPr="0087603D">
        <w:rPr>
          <w:rFonts w:cs="Arial"/>
          <w:lang w:bidi="ne-NP"/>
        </w:rPr>
        <w:tab/>
      </w:r>
      <w:r w:rsidRPr="0087603D">
        <w:rPr>
          <w:rFonts w:cs="Arial"/>
          <w:u w:val="single"/>
          <w:lang w:bidi="ne-NP"/>
        </w:rPr>
        <w:t>Situation dans le domaine législatif</w:t>
      </w:r>
    </w:p>
    <w:p w:rsidR="002C10E5" w:rsidRPr="0087603D" w:rsidRDefault="002C10E5" w:rsidP="002C10E5">
      <w:pPr>
        <w:rPr>
          <w:rFonts w:cs="Arial"/>
          <w:lang w:bidi="ne-NP"/>
        </w:rPr>
      </w:pPr>
    </w:p>
    <w:p w:rsidR="002C10E5" w:rsidRPr="00A67586" w:rsidRDefault="002C10E5" w:rsidP="002C10E5">
      <w:r w:rsidRPr="00A67586">
        <w:tab/>
        <w:t>1.1</w:t>
      </w:r>
      <w:r w:rsidRPr="00A67586">
        <w:tab/>
        <w:t>Modifications de la loi et des textes d’application</w:t>
      </w:r>
    </w:p>
    <w:p w:rsidR="002C10E5" w:rsidRDefault="002C10E5" w:rsidP="002C10E5">
      <w:pPr>
        <w:ind w:left="851"/>
      </w:pPr>
    </w:p>
    <w:p w:rsidR="002C10E5" w:rsidRDefault="002C10E5" w:rsidP="002C10E5">
      <w:pPr>
        <w:ind w:left="851"/>
      </w:pPr>
      <w:r>
        <w:t>Rien à signaler.</w:t>
      </w:r>
    </w:p>
    <w:p w:rsidR="002C10E5" w:rsidRPr="00A67586" w:rsidRDefault="002C10E5" w:rsidP="002C10E5">
      <w:pPr>
        <w:ind w:left="851"/>
      </w:pPr>
    </w:p>
    <w:p w:rsidR="002C10E5" w:rsidRPr="00CC0F21" w:rsidRDefault="002C10E5" w:rsidP="002C10E5">
      <w:pPr>
        <w:ind w:firstLine="425"/>
      </w:pPr>
      <w:r w:rsidRPr="00CC0F21">
        <w:t>1.2</w:t>
      </w:r>
      <w:r w:rsidRPr="00CC0F21">
        <w:tab/>
        <w:t>Extension de la protection à d’autres genres et espèces (effectuée ou prévue)</w:t>
      </w:r>
    </w:p>
    <w:p w:rsidR="002C10E5" w:rsidRPr="00CC0F21" w:rsidRDefault="002C10E5" w:rsidP="002C10E5"/>
    <w:tbl>
      <w:tblPr>
        <w:tblStyle w:val="TableGrid"/>
        <w:tblW w:w="0" w:type="auto"/>
        <w:tblInd w:w="1101" w:type="dxa"/>
        <w:tblLook w:val="04A0" w:firstRow="1" w:lastRow="0" w:firstColumn="1" w:lastColumn="0" w:noHBand="0" w:noVBand="1"/>
      </w:tblPr>
      <w:tblGrid>
        <w:gridCol w:w="2409"/>
        <w:gridCol w:w="3544"/>
      </w:tblGrid>
      <w:tr w:rsidR="002C10E5" w:rsidRPr="00CC0F21" w:rsidTr="00EA781B">
        <w:tc>
          <w:tcPr>
            <w:tcW w:w="2409" w:type="dxa"/>
          </w:tcPr>
          <w:p w:rsidR="002C10E5" w:rsidRPr="00CC0F21" w:rsidRDefault="002C10E5" w:rsidP="00EA781B">
            <w:pPr>
              <w:rPr>
                <w:b/>
                <w:bCs/>
              </w:rPr>
            </w:pPr>
            <w:r w:rsidRPr="00CC0F21">
              <w:rPr>
                <w:b/>
                <w:bCs/>
              </w:rPr>
              <w:t>Espèces</w:t>
            </w:r>
          </w:p>
        </w:tc>
        <w:tc>
          <w:tcPr>
            <w:tcW w:w="3544" w:type="dxa"/>
          </w:tcPr>
          <w:p w:rsidR="002C10E5" w:rsidRPr="00CC0F21" w:rsidRDefault="002C10E5" w:rsidP="00EA781B">
            <w:pPr>
              <w:rPr>
                <w:b/>
                <w:bCs/>
              </w:rPr>
            </w:pPr>
            <w:r w:rsidRPr="00CC0F21">
              <w:rPr>
                <w:b/>
                <w:bCs/>
              </w:rPr>
              <w:t>Nom latin</w:t>
            </w:r>
          </w:p>
        </w:tc>
      </w:tr>
      <w:tr w:rsidR="002C10E5" w:rsidRPr="00CC0F21" w:rsidTr="00EA781B">
        <w:tc>
          <w:tcPr>
            <w:tcW w:w="2409" w:type="dxa"/>
          </w:tcPr>
          <w:p w:rsidR="002C10E5" w:rsidRPr="00CC0F21" w:rsidRDefault="002C10E5" w:rsidP="00EA781B">
            <w:pPr>
              <w:rPr>
                <w:bCs/>
              </w:rPr>
            </w:pPr>
            <w:r w:rsidRPr="00CC0F21">
              <w:rPr>
                <w:bCs/>
              </w:rPr>
              <w:t>Arganier</w:t>
            </w:r>
          </w:p>
        </w:tc>
        <w:tc>
          <w:tcPr>
            <w:tcW w:w="3544" w:type="dxa"/>
          </w:tcPr>
          <w:p w:rsidR="002C10E5" w:rsidRPr="00CC0F21" w:rsidRDefault="002C10E5" w:rsidP="00EA781B">
            <w:r w:rsidRPr="00CC0F21">
              <w:rPr>
                <w:noProof/>
              </w:rPr>
              <w:t>Argania spinosa (L.) Skeels</w:t>
            </w:r>
          </w:p>
        </w:tc>
      </w:tr>
      <w:tr w:rsidR="002C10E5" w:rsidRPr="00CC0F21" w:rsidTr="00EA781B">
        <w:tc>
          <w:tcPr>
            <w:tcW w:w="2409" w:type="dxa"/>
          </w:tcPr>
          <w:p w:rsidR="002C10E5" w:rsidRPr="00CC0F21" w:rsidRDefault="002C10E5" w:rsidP="00EA781B">
            <w:pPr>
              <w:rPr>
                <w:bCs/>
              </w:rPr>
            </w:pPr>
            <w:r w:rsidRPr="00CC0F21">
              <w:rPr>
                <w:bCs/>
              </w:rPr>
              <w:t>Figuier</w:t>
            </w:r>
          </w:p>
        </w:tc>
        <w:tc>
          <w:tcPr>
            <w:tcW w:w="3544" w:type="dxa"/>
          </w:tcPr>
          <w:p w:rsidR="002C10E5" w:rsidRPr="00CC0F21" w:rsidRDefault="002C10E5" w:rsidP="00EA781B">
            <w:r w:rsidRPr="00CC0F21">
              <w:t>Ficus L</w:t>
            </w:r>
          </w:p>
        </w:tc>
      </w:tr>
      <w:tr w:rsidR="002C10E5" w:rsidRPr="00D447DD" w:rsidTr="00EA781B">
        <w:tc>
          <w:tcPr>
            <w:tcW w:w="2409" w:type="dxa"/>
          </w:tcPr>
          <w:p w:rsidR="002C10E5" w:rsidRPr="00CC0F21" w:rsidRDefault="002C10E5" w:rsidP="00EA781B">
            <w:pPr>
              <w:rPr>
                <w:bCs/>
              </w:rPr>
            </w:pPr>
            <w:r w:rsidRPr="00CC0F21">
              <w:rPr>
                <w:bCs/>
              </w:rPr>
              <w:t>Grenadier</w:t>
            </w:r>
          </w:p>
        </w:tc>
        <w:tc>
          <w:tcPr>
            <w:tcW w:w="3544" w:type="dxa"/>
          </w:tcPr>
          <w:p w:rsidR="002C10E5" w:rsidRPr="00CC0F21" w:rsidRDefault="002C10E5" w:rsidP="00EA781B">
            <w:pPr>
              <w:rPr>
                <w:lang w:val="es-AR"/>
              </w:rPr>
            </w:pPr>
            <w:proofErr w:type="spellStart"/>
            <w:r w:rsidRPr="00CC0F21">
              <w:rPr>
                <w:lang w:val="es-AR"/>
              </w:rPr>
              <w:t>Punica</w:t>
            </w:r>
            <w:proofErr w:type="spellEnd"/>
            <w:r w:rsidRPr="00CC0F21">
              <w:rPr>
                <w:lang w:val="es-AR"/>
              </w:rPr>
              <w:t xml:space="preserve"> L.</w:t>
            </w:r>
          </w:p>
          <w:p w:rsidR="002C10E5" w:rsidRPr="00245BB7" w:rsidRDefault="002C10E5" w:rsidP="00EA781B">
            <w:pPr>
              <w:rPr>
                <w:lang w:val="es-ES_tradnl"/>
              </w:rPr>
            </w:pPr>
            <w:proofErr w:type="spellStart"/>
            <w:r w:rsidRPr="00CC0F21">
              <w:rPr>
                <w:lang w:val="es-AR"/>
              </w:rPr>
              <w:t>Punica</w:t>
            </w:r>
            <w:proofErr w:type="spellEnd"/>
            <w:r w:rsidRPr="00CC0F21">
              <w:rPr>
                <w:lang w:val="es-AR"/>
              </w:rPr>
              <w:t xml:space="preserve"> </w:t>
            </w:r>
            <w:proofErr w:type="spellStart"/>
            <w:r w:rsidRPr="00CC0F21">
              <w:rPr>
                <w:lang w:val="es-AR"/>
              </w:rPr>
              <w:t>granatum</w:t>
            </w:r>
            <w:proofErr w:type="spellEnd"/>
            <w:r w:rsidRPr="00CC0F21">
              <w:rPr>
                <w:lang w:val="es-AR"/>
              </w:rPr>
              <w:t xml:space="preserve"> L.</w:t>
            </w:r>
          </w:p>
        </w:tc>
      </w:tr>
      <w:tr w:rsidR="002C10E5" w:rsidRPr="00CC0F21" w:rsidTr="00EA781B">
        <w:tc>
          <w:tcPr>
            <w:tcW w:w="2409" w:type="dxa"/>
          </w:tcPr>
          <w:p w:rsidR="002C10E5" w:rsidRPr="00CC0F21" w:rsidRDefault="002C10E5" w:rsidP="00EA781B">
            <w:r w:rsidRPr="00CC0F21">
              <w:t>Safran</w:t>
            </w:r>
          </w:p>
        </w:tc>
        <w:tc>
          <w:tcPr>
            <w:tcW w:w="3544" w:type="dxa"/>
          </w:tcPr>
          <w:p w:rsidR="002C10E5" w:rsidRPr="00CC0F21" w:rsidRDefault="002C10E5" w:rsidP="00EA781B">
            <w:proofErr w:type="spellStart"/>
            <w:r w:rsidRPr="00CC0F21">
              <w:t>Corcus</w:t>
            </w:r>
            <w:proofErr w:type="spellEnd"/>
            <w:r w:rsidRPr="00CC0F21">
              <w:t xml:space="preserve"> </w:t>
            </w:r>
            <w:proofErr w:type="spellStart"/>
            <w:r w:rsidRPr="00CC0F21">
              <w:t>sativus</w:t>
            </w:r>
            <w:proofErr w:type="spellEnd"/>
            <w:r w:rsidRPr="00CC0F21">
              <w:t xml:space="preserve"> L.</w:t>
            </w:r>
          </w:p>
        </w:tc>
      </w:tr>
    </w:tbl>
    <w:p w:rsidR="002C10E5" w:rsidRPr="00A67586" w:rsidRDefault="002C10E5" w:rsidP="002C10E5"/>
    <w:p w:rsidR="002C10E5" w:rsidRPr="00A67586" w:rsidRDefault="002C10E5" w:rsidP="002C10E5"/>
    <w:p w:rsidR="002C10E5" w:rsidRPr="00A67586" w:rsidRDefault="002C10E5" w:rsidP="002C10E5">
      <w:pPr>
        <w:rPr>
          <w:u w:val="single"/>
        </w:rPr>
      </w:pPr>
      <w:r w:rsidRPr="00A67586">
        <w:t>2.</w:t>
      </w:r>
      <w:r w:rsidRPr="00A67586">
        <w:tab/>
      </w:r>
      <w:r w:rsidRPr="00A67586">
        <w:rPr>
          <w:u w:val="single"/>
        </w:rPr>
        <w:t>Coopération en matière d’examen</w:t>
      </w:r>
    </w:p>
    <w:p w:rsidR="002C10E5" w:rsidRPr="00A67586" w:rsidRDefault="002C10E5" w:rsidP="002C10E5">
      <w:pPr>
        <w:rPr>
          <w:u w:val="single"/>
        </w:rPr>
      </w:pPr>
    </w:p>
    <w:p w:rsidR="002C10E5" w:rsidRDefault="002C10E5" w:rsidP="002C10E5">
      <w:pPr>
        <w:tabs>
          <w:tab w:val="left" w:pos="851"/>
          <w:tab w:val="left" w:pos="4111"/>
        </w:tabs>
        <w:ind w:left="425"/>
      </w:pPr>
      <w:r w:rsidRPr="00A67586">
        <w:t>-</w:t>
      </w:r>
      <w:r w:rsidRPr="00A67586">
        <w:tab/>
        <w:t>Conclusion de nouveaux accords (réalisés, en cours ou envisagés)</w:t>
      </w:r>
      <w:r>
        <w:t xml:space="preserve">  </w:t>
      </w:r>
    </w:p>
    <w:p w:rsidR="002C10E5" w:rsidRDefault="002C10E5" w:rsidP="002C10E5"/>
    <w:p w:rsidR="002C10E5" w:rsidRPr="00A67586" w:rsidRDefault="002C10E5" w:rsidP="002C10E5">
      <w:pPr>
        <w:ind w:left="425"/>
      </w:pPr>
      <w:r w:rsidRPr="00CC0F21">
        <w:t xml:space="preserve">Transfert des rapports d’examen DHS par  le CPVO, l’Espagne, la France, les Pays-Bas, l’Australie, le Chili et la République Tchèque. </w:t>
      </w:r>
    </w:p>
    <w:p w:rsidR="002C10E5" w:rsidRDefault="002C10E5" w:rsidP="00944AEF">
      <w:pPr>
        <w:jc w:val="left"/>
      </w:pPr>
    </w:p>
    <w:p w:rsidR="002C10E5" w:rsidRDefault="002C10E5" w:rsidP="00944AEF">
      <w:pPr>
        <w:jc w:val="left"/>
      </w:pPr>
    </w:p>
    <w:p w:rsidR="002C10E5" w:rsidRPr="004F3AB8" w:rsidRDefault="002C10E5" w:rsidP="00944AEF">
      <w:pPr>
        <w:jc w:val="left"/>
      </w:pPr>
    </w:p>
    <w:p w:rsidR="00944AEF" w:rsidRPr="004F3AB8" w:rsidRDefault="00944AEF" w:rsidP="00944AEF">
      <w:pPr>
        <w:jc w:val="right"/>
      </w:pPr>
      <w:r w:rsidRPr="004F3AB8">
        <w:t>[L’annexe IX suit]</w:t>
      </w:r>
    </w:p>
    <w:p w:rsidR="00944AEF" w:rsidRPr="004F3AB8" w:rsidRDefault="00944AEF" w:rsidP="00944AEF">
      <w:pPr>
        <w:jc w:val="left"/>
      </w:pPr>
    </w:p>
    <w:p w:rsidR="00944AEF" w:rsidRPr="004F3AB8" w:rsidRDefault="00944AEF" w:rsidP="00944AEF">
      <w:pPr>
        <w:jc w:val="left"/>
        <w:sectPr w:rsidR="00944AEF" w:rsidRPr="004F3AB8" w:rsidSect="004F3AB8">
          <w:headerReference w:type="default" r:id="rId26"/>
          <w:pgSz w:w="11907" w:h="16840" w:code="9"/>
          <w:pgMar w:top="510" w:right="1134" w:bottom="1134" w:left="1134" w:header="510" w:footer="680" w:gutter="0"/>
          <w:pgNumType w:start="1"/>
          <w:cols w:space="720"/>
          <w:titlePg/>
        </w:sectPr>
      </w:pPr>
    </w:p>
    <w:p w:rsidR="00944AEF" w:rsidRPr="004F3AB8" w:rsidRDefault="00944AEF" w:rsidP="00944AEF">
      <w:pPr>
        <w:jc w:val="center"/>
      </w:pPr>
      <w:r w:rsidRPr="004F3AB8">
        <w:t>C/49/15</w:t>
      </w:r>
    </w:p>
    <w:p w:rsidR="00944AEF" w:rsidRPr="004F3AB8" w:rsidRDefault="00944AEF" w:rsidP="00944AEF">
      <w:pPr>
        <w:jc w:val="center"/>
      </w:pPr>
    </w:p>
    <w:p w:rsidR="00944AEF" w:rsidRPr="004F3AB8" w:rsidRDefault="00944AEF" w:rsidP="00944AEF">
      <w:pPr>
        <w:jc w:val="center"/>
      </w:pPr>
      <w:r w:rsidRPr="004F3AB8">
        <w:t>ANNEXE IX</w:t>
      </w:r>
    </w:p>
    <w:p w:rsidR="00944AEF" w:rsidRPr="004F3AB8" w:rsidRDefault="00944AEF" w:rsidP="00944AEF">
      <w:pPr>
        <w:jc w:val="center"/>
      </w:pPr>
    </w:p>
    <w:p w:rsidR="00944AEF" w:rsidRPr="004F3AB8" w:rsidRDefault="00944AEF" w:rsidP="00944AEF">
      <w:pPr>
        <w:jc w:val="center"/>
      </w:pPr>
    </w:p>
    <w:p w:rsidR="00944AEF" w:rsidRPr="004F3AB8" w:rsidRDefault="00944AEF" w:rsidP="00944AEF">
      <w:pPr>
        <w:jc w:val="center"/>
      </w:pPr>
      <w:r w:rsidRPr="004F3AB8">
        <w:t>NOUVELLE-ZÉLANDE</w:t>
      </w:r>
    </w:p>
    <w:p w:rsidR="00944AEF" w:rsidRPr="004F3AB8" w:rsidRDefault="00944AEF" w:rsidP="00944AEF"/>
    <w:p w:rsidR="00944AEF" w:rsidRPr="004F3AB8" w:rsidRDefault="00944AEF" w:rsidP="00944AEF"/>
    <w:p w:rsidR="004E580E" w:rsidRPr="00D61FC4" w:rsidRDefault="004E580E" w:rsidP="004E580E">
      <w:r w:rsidRPr="00D61FC4">
        <w:t>PROTECTION DES OBTENTIONS VÉGÉTALES</w:t>
      </w:r>
    </w:p>
    <w:p w:rsidR="004E580E" w:rsidRPr="00D61FC4" w:rsidRDefault="004E580E" w:rsidP="004E580E"/>
    <w:p w:rsidR="004E580E" w:rsidRPr="00D61FC4" w:rsidRDefault="004E580E" w:rsidP="004E580E">
      <w:r w:rsidRPr="00D61FC4">
        <w:t>1.</w:t>
      </w:r>
      <w:r w:rsidRPr="00D61FC4">
        <w:tab/>
      </w:r>
      <w:r w:rsidRPr="00D61FC4">
        <w:rPr>
          <w:u w:val="single"/>
        </w:rPr>
        <w:t>Situation dans le domaine législatif</w:t>
      </w:r>
    </w:p>
    <w:p w:rsidR="004E580E" w:rsidRPr="00D61FC4" w:rsidRDefault="004E580E" w:rsidP="004E580E"/>
    <w:p w:rsidR="004E580E" w:rsidRPr="00D61FC4" w:rsidRDefault="004E580E" w:rsidP="004E580E">
      <w:r w:rsidRPr="00D61FC4">
        <w:t>La loi de 1987 sur la protection des obtentions végétales reste en vigueur et est conforme à l’Acte de 1978 de la convention.  Un nouvel examen de la loi, y compris de la question de l’adhésion à l’Acte de 1991 de la convention, aura probablement lieu d’ici un ou deux ans.</w:t>
      </w:r>
    </w:p>
    <w:p w:rsidR="004E580E" w:rsidRPr="00D61FC4" w:rsidRDefault="004E580E" w:rsidP="004E580E">
      <w:pPr>
        <w:rPr>
          <w:rFonts w:cs="Calibri"/>
        </w:rPr>
      </w:pPr>
    </w:p>
    <w:p w:rsidR="004E580E" w:rsidRPr="00D61FC4" w:rsidRDefault="004E580E" w:rsidP="004E580E">
      <w:pPr>
        <w:rPr>
          <w:rFonts w:cs="Calibri"/>
        </w:rPr>
      </w:pPr>
    </w:p>
    <w:p w:rsidR="004E580E" w:rsidRPr="00D61FC4" w:rsidRDefault="004E580E" w:rsidP="004E580E">
      <w:pPr>
        <w:rPr>
          <w:rFonts w:cs="Calibri"/>
          <w:u w:val="single"/>
        </w:rPr>
      </w:pPr>
      <w:r w:rsidRPr="00D61FC4">
        <w:rPr>
          <w:rFonts w:cs="Calibri"/>
        </w:rPr>
        <w:t>2.</w:t>
      </w:r>
      <w:r w:rsidRPr="00D61FC4">
        <w:rPr>
          <w:rFonts w:cs="Calibri"/>
        </w:rPr>
        <w:tab/>
      </w:r>
      <w:r w:rsidRPr="00D61FC4">
        <w:rPr>
          <w:rFonts w:cs="Calibri"/>
          <w:u w:val="single"/>
        </w:rPr>
        <w:t>Coopération en matière d’examen</w:t>
      </w:r>
    </w:p>
    <w:p w:rsidR="004E580E" w:rsidRPr="00D61FC4" w:rsidRDefault="004E580E" w:rsidP="004E580E">
      <w:pPr>
        <w:rPr>
          <w:rFonts w:cs="Calibri"/>
          <w:u w:val="single"/>
        </w:rPr>
      </w:pPr>
    </w:p>
    <w:p w:rsidR="004E580E" w:rsidRPr="00D61FC4" w:rsidRDefault="004E580E" w:rsidP="004E580E">
      <w:pPr>
        <w:rPr>
          <w:rFonts w:cs="Calibri"/>
        </w:rPr>
      </w:pPr>
      <w:r w:rsidRPr="00D61FC4">
        <w:rPr>
          <w:rFonts w:cs="Calibri"/>
        </w:rPr>
        <w:t>La Nouvelle</w:t>
      </w:r>
      <w:r w:rsidRPr="00D61FC4">
        <w:rPr>
          <w:rFonts w:cs="Calibri"/>
        </w:rPr>
        <w:noBreakHyphen/>
        <w:t>Zélande continue de se procurer des rapports d’examen auprès d’États membres, pour certaines espèces et sur demande, conformément aux dispositions générales de la convention.  Depuis la fin 2012, la Nouvelle</w:t>
      </w:r>
      <w:r w:rsidRPr="00D61FC4">
        <w:rPr>
          <w:rFonts w:cs="Calibri"/>
        </w:rPr>
        <w:noBreakHyphen/>
        <w:t>Zélande ne fait plus payer l’utilisation de ses rapports d’examen, ce qui a engendré une augmentation du nombre de demandes.</w:t>
      </w:r>
    </w:p>
    <w:p w:rsidR="004E580E" w:rsidRPr="00D61FC4" w:rsidRDefault="004E580E" w:rsidP="004E580E">
      <w:pPr>
        <w:rPr>
          <w:rFonts w:cs="Calibri"/>
        </w:rPr>
      </w:pPr>
    </w:p>
    <w:p w:rsidR="004E580E" w:rsidRPr="00D61FC4" w:rsidRDefault="004E580E" w:rsidP="004E580E">
      <w:pPr>
        <w:rPr>
          <w:rFonts w:cs="Calibri"/>
        </w:rPr>
      </w:pPr>
      <w:r w:rsidRPr="00D61FC4">
        <w:rPr>
          <w:rFonts w:cs="Calibri"/>
        </w:rPr>
        <w:t>Le Service de protection des obtentions végétales (ci</w:t>
      </w:r>
      <w:r w:rsidRPr="00D61FC4">
        <w:rPr>
          <w:rFonts w:cs="Calibri"/>
        </w:rPr>
        <w:noBreakHyphen/>
        <w:t xml:space="preserve">après dénommé “le service”) et PBR </w:t>
      </w:r>
      <w:proofErr w:type="spellStart"/>
      <w:r w:rsidRPr="00D61FC4">
        <w:rPr>
          <w:rFonts w:cs="Calibri"/>
        </w:rPr>
        <w:t>Australia</w:t>
      </w:r>
      <w:proofErr w:type="spellEnd"/>
      <w:r w:rsidRPr="00D61FC4">
        <w:rPr>
          <w:rFonts w:cs="Calibri"/>
        </w:rPr>
        <w:t xml:space="preserve"> continuent de coopérer pour ce qui est des variétés qui revêtent un intérêt mutuel.  Ce sont des variétés faisant l’objet de demandes dans les deux juridictions qui ont des questions concernant un ou plusieurs des critères régissant l’octroi de droits.  La coopération technique a été améliorée grâce à la possibilité de se procurer gratuitement un rapport d’examen australien utilisé dans le cadre d’un examen effectué en Nouvelle</w:t>
      </w:r>
      <w:r w:rsidRPr="00D61FC4">
        <w:rPr>
          <w:rFonts w:cs="Calibri"/>
        </w:rPr>
        <w:noBreakHyphen/>
        <w:t>Zélande.</w:t>
      </w:r>
    </w:p>
    <w:p w:rsidR="004E580E" w:rsidRPr="00D61FC4" w:rsidRDefault="004E580E" w:rsidP="004E580E">
      <w:pPr>
        <w:rPr>
          <w:rFonts w:cs="Calibri"/>
        </w:rPr>
      </w:pPr>
    </w:p>
    <w:p w:rsidR="004E580E" w:rsidRPr="00D61FC4" w:rsidRDefault="004E580E" w:rsidP="004E580E">
      <w:pPr>
        <w:rPr>
          <w:rFonts w:cs="Calibri"/>
        </w:rPr>
      </w:pPr>
    </w:p>
    <w:p w:rsidR="004E580E" w:rsidRPr="00D61FC4" w:rsidRDefault="004E580E" w:rsidP="004E580E">
      <w:pPr>
        <w:rPr>
          <w:rFonts w:cs="Calibri"/>
          <w:u w:val="single"/>
        </w:rPr>
      </w:pPr>
      <w:r w:rsidRPr="00D61FC4">
        <w:rPr>
          <w:rFonts w:cs="Calibri"/>
        </w:rPr>
        <w:t>3.</w:t>
      </w:r>
      <w:r w:rsidRPr="00D61FC4">
        <w:rPr>
          <w:rFonts w:cs="Calibri"/>
        </w:rPr>
        <w:tab/>
      </w:r>
      <w:r w:rsidRPr="00D61FC4">
        <w:rPr>
          <w:rFonts w:cs="Calibri"/>
          <w:u w:val="single"/>
        </w:rPr>
        <w:t>Situation dans le domaine administratif</w:t>
      </w:r>
    </w:p>
    <w:p w:rsidR="004E580E" w:rsidRPr="00D61FC4" w:rsidRDefault="004E580E" w:rsidP="004E580E">
      <w:pPr>
        <w:rPr>
          <w:rFonts w:cs="Calibri"/>
          <w:b/>
        </w:rPr>
      </w:pPr>
    </w:p>
    <w:p w:rsidR="004E580E" w:rsidRPr="00D61FC4" w:rsidRDefault="004E580E" w:rsidP="004E580E">
      <w:pPr>
        <w:rPr>
          <w:rFonts w:cs="Calibri"/>
        </w:rPr>
      </w:pPr>
      <w:r w:rsidRPr="00D61FC4">
        <w:rPr>
          <w:rFonts w:cs="Calibri"/>
        </w:rPr>
        <w:t>Durant l’exercice financier clos au 30 juin 2015, 136 demandes de droits d’obtenteur ont été acceptées (20% de moins que l’année précédente), 133 titres ont été délivrés (15% de moins que l’année précédente) et 78 titres ont expiré (30% de moins que l’année précédente).  Au 30 juin 2015, 1295 titres étaient en vigueur (2% de plus que l’année précédente).  Le nombre de demandes pour l’année précédente était anormalement élevé et le nombre plus modeste de cette année est un retour à un niveau similaire à celui enregistré ces dernières années.</w:t>
      </w:r>
    </w:p>
    <w:p w:rsidR="004E580E" w:rsidRPr="00D61FC4" w:rsidRDefault="004E580E" w:rsidP="004E580E">
      <w:pPr>
        <w:rPr>
          <w:rFonts w:cs="Calibri"/>
        </w:rPr>
      </w:pPr>
    </w:p>
    <w:p w:rsidR="004E580E" w:rsidRPr="00D61FC4" w:rsidRDefault="004E580E" w:rsidP="004E580E">
      <w:pPr>
        <w:rPr>
          <w:rFonts w:cs="Calibri"/>
        </w:rPr>
      </w:pPr>
      <w:r w:rsidRPr="00D61FC4">
        <w:rPr>
          <w:rFonts w:cs="Calibri"/>
        </w:rPr>
        <w:t>Le service a vu sa certification ISO renouvelée en août 2015.  Dans le cadre d’une activité connexe, le service poursuit l’amélioration des travaux de documentation concernant les pratiques et procédures applicables afin de disposer de registres et d’orientations clairs en ce qui concerne toutes les fonctions essentielles.  En outre, le service suit un programme d’amélioration continue du système de gestion des dossiers.  Environ 95% des demandes sont désormais déposées en ligne.</w:t>
      </w:r>
    </w:p>
    <w:p w:rsidR="004E580E" w:rsidRPr="00D61FC4" w:rsidRDefault="004E580E" w:rsidP="004E580E">
      <w:pPr>
        <w:rPr>
          <w:rFonts w:cs="Calibri"/>
        </w:rPr>
      </w:pPr>
    </w:p>
    <w:p w:rsidR="004E580E" w:rsidRPr="00D61FC4" w:rsidRDefault="004E580E" w:rsidP="004E580E">
      <w:pPr>
        <w:rPr>
          <w:rFonts w:cs="Calibri"/>
        </w:rPr>
      </w:pPr>
    </w:p>
    <w:p w:rsidR="004E580E" w:rsidRPr="00D61FC4" w:rsidRDefault="004E580E" w:rsidP="004E580E">
      <w:pPr>
        <w:rPr>
          <w:rFonts w:cs="Calibri"/>
        </w:rPr>
      </w:pPr>
      <w:r w:rsidRPr="00D61FC4">
        <w:rPr>
          <w:rFonts w:cs="Calibri"/>
        </w:rPr>
        <w:t>4.</w:t>
      </w:r>
      <w:r w:rsidRPr="00D61FC4">
        <w:rPr>
          <w:rFonts w:cs="Calibri"/>
        </w:rPr>
        <w:tab/>
      </w:r>
      <w:r w:rsidRPr="00D61FC4">
        <w:rPr>
          <w:rFonts w:cs="Calibri"/>
          <w:u w:val="single"/>
        </w:rPr>
        <w:t>Situation dans le domaine technique</w:t>
      </w:r>
    </w:p>
    <w:p w:rsidR="004E580E" w:rsidRPr="00D61FC4" w:rsidRDefault="004E580E" w:rsidP="004E580E">
      <w:pPr>
        <w:rPr>
          <w:rFonts w:cs="Calibri"/>
        </w:rPr>
      </w:pPr>
    </w:p>
    <w:p w:rsidR="004E580E" w:rsidRPr="00D61FC4" w:rsidRDefault="004E580E" w:rsidP="004E580E">
      <w:pPr>
        <w:rPr>
          <w:rFonts w:cs="Calibri"/>
        </w:rPr>
      </w:pPr>
      <w:r w:rsidRPr="00D61FC4">
        <w:rPr>
          <w:rFonts w:cs="Calibri"/>
        </w:rPr>
        <w:t>La Nouvelle</w:t>
      </w:r>
      <w:r w:rsidRPr="00D61FC4">
        <w:rPr>
          <w:rFonts w:cs="Calibri"/>
        </w:rPr>
        <w:noBreakHyphen/>
        <w:t xml:space="preserve">Zélande a terminé la rédaction des principes directeurs d’examen pour </w:t>
      </w:r>
      <w:proofErr w:type="spellStart"/>
      <w:r w:rsidRPr="00D61FC4">
        <w:rPr>
          <w:rFonts w:cs="Calibri"/>
        </w:rPr>
        <w:t>Acca</w:t>
      </w:r>
      <w:proofErr w:type="spellEnd"/>
      <w:r w:rsidRPr="00D61FC4">
        <w:rPr>
          <w:rFonts w:cs="Calibri"/>
        </w:rPr>
        <w:t xml:space="preserve"> au sein du TWF et est actuellement le rédacteur principal des principes directeurs pour Cordyline au sein du TWO, et pour la poire hybride au sein du TWF.</w:t>
      </w:r>
    </w:p>
    <w:p w:rsidR="004E580E" w:rsidRPr="00D61FC4" w:rsidRDefault="004E580E" w:rsidP="004E580E">
      <w:pPr>
        <w:rPr>
          <w:rFonts w:cs="Calibri"/>
        </w:rPr>
      </w:pPr>
    </w:p>
    <w:p w:rsidR="004E580E" w:rsidRPr="00D61FC4" w:rsidRDefault="004E580E" w:rsidP="004E580E">
      <w:pPr>
        <w:rPr>
          <w:rFonts w:cs="Calibri"/>
        </w:rPr>
      </w:pPr>
      <w:r w:rsidRPr="00D61FC4">
        <w:t>À la demande d’une organisation d’obtenteurs, certaines informations techniques concernant les caractères</w:t>
      </w:r>
      <w:r w:rsidRPr="00D61FC4">
        <w:rPr>
          <w:rFonts w:cs="Calibri"/>
        </w:rPr>
        <w:t xml:space="preserve"> du ray</w:t>
      </w:r>
      <w:r w:rsidRPr="00D61FC4">
        <w:rPr>
          <w:rFonts w:cs="Calibri"/>
        </w:rPr>
        <w:noBreakHyphen/>
        <w:t>grass ont été publiées sur le site Web : l’époque d’épiaison et la longueur de la tige la plus longue.  Le but est d’améliorer la qualité des renseignements fournis dans les formulaires techniques remplis par les obtenteurs lors de la demande.  Les obtenteurs éprouvent des difficultés à définir le niveau d’expression de leurs nouvelles variétés et peuvent désormais consulter les données du Service de protection des obtentions végétales afin de mieux déterminer où se positionnent leurs variétés.</w:t>
      </w:r>
    </w:p>
    <w:p w:rsidR="004E580E" w:rsidRPr="00D61FC4" w:rsidRDefault="004E580E" w:rsidP="004E580E">
      <w:pPr>
        <w:rPr>
          <w:rFonts w:cs="Calibri"/>
        </w:rPr>
      </w:pPr>
    </w:p>
    <w:p w:rsidR="004E580E" w:rsidRPr="00D61FC4" w:rsidRDefault="004E580E" w:rsidP="004E580E">
      <w:pPr>
        <w:rPr>
          <w:rFonts w:cs="Calibri"/>
        </w:rPr>
      </w:pPr>
    </w:p>
    <w:p w:rsidR="004E580E" w:rsidRPr="00D61FC4" w:rsidRDefault="004E580E" w:rsidP="004E580E">
      <w:pPr>
        <w:jc w:val="left"/>
        <w:rPr>
          <w:rFonts w:cs="Calibri"/>
        </w:rPr>
      </w:pPr>
      <w:r w:rsidRPr="00D61FC4">
        <w:rPr>
          <w:rFonts w:cs="Calibri"/>
        </w:rPr>
        <w:br w:type="page"/>
      </w:r>
    </w:p>
    <w:p w:rsidR="004E580E" w:rsidRPr="00D61FC4" w:rsidRDefault="004E580E" w:rsidP="004E580E">
      <w:pPr>
        <w:rPr>
          <w:rFonts w:cs="Calibri"/>
          <w:u w:val="single"/>
        </w:rPr>
      </w:pPr>
      <w:r w:rsidRPr="00D61FC4">
        <w:rPr>
          <w:rFonts w:cs="Calibri"/>
        </w:rPr>
        <w:t>5.</w:t>
      </w:r>
      <w:r w:rsidRPr="00D61FC4">
        <w:rPr>
          <w:rFonts w:cs="Calibri"/>
        </w:rPr>
        <w:tab/>
      </w:r>
      <w:r w:rsidRPr="00D61FC4">
        <w:rPr>
          <w:rFonts w:cs="Calibri"/>
          <w:u w:val="single"/>
        </w:rPr>
        <w:t>Activités de promotion de la protection des obtentions végétales</w:t>
      </w:r>
    </w:p>
    <w:p w:rsidR="004E580E" w:rsidRPr="00D61FC4" w:rsidRDefault="004E580E" w:rsidP="004E580E">
      <w:pPr>
        <w:rPr>
          <w:rFonts w:cs="Calibri"/>
        </w:rPr>
      </w:pPr>
    </w:p>
    <w:tbl>
      <w:tblPr>
        <w:tblW w:w="100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91"/>
        <w:gridCol w:w="993"/>
        <w:gridCol w:w="1077"/>
        <w:gridCol w:w="1379"/>
        <w:gridCol w:w="1295"/>
        <w:gridCol w:w="2304"/>
        <w:gridCol w:w="1826"/>
      </w:tblGrid>
      <w:tr w:rsidR="004E580E" w:rsidRPr="00D61FC4" w:rsidTr="004E580E">
        <w:tc>
          <w:tcPr>
            <w:tcW w:w="1191" w:type="dxa"/>
            <w:shd w:val="clear" w:color="auto" w:fill="auto"/>
          </w:tcPr>
          <w:p w:rsidR="004E580E" w:rsidRPr="00D61FC4" w:rsidRDefault="004E580E" w:rsidP="00EA781B">
            <w:pPr>
              <w:jc w:val="left"/>
              <w:rPr>
                <w:sz w:val="18"/>
              </w:rPr>
            </w:pPr>
            <w:r w:rsidRPr="00D61FC4">
              <w:rPr>
                <w:sz w:val="18"/>
              </w:rPr>
              <w:t>Titre de l’activité</w:t>
            </w:r>
          </w:p>
        </w:tc>
        <w:tc>
          <w:tcPr>
            <w:tcW w:w="993" w:type="dxa"/>
            <w:shd w:val="clear" w:color="auto" w:fill="auto"/>
          </w:tcPr>
          <w:p w:rsidR="004E580E" w:rsidRPr="00D61FC4" w:rsidRDefault="004E580E" w:rsidP="00EA781B">
            <w:pPr>
              <w:jc w:val="left"/>
              <w:rPr>
                <w:sz w:val="18"/>
              </w:rPr>
            </w:pPr>
            <w:r w:rsidRPr="00D61FC4">
              <w:rPr>
                <w:sz w:val="18"/>
              </w:rPr>
              <w:t>Date</w:t>
            </w:r>
          </w:p>
        </w:tc>
        <w:tc>
          <w:tcPr>
            <w:tcW w:w="1077" w:type="dxa"/>
            <w:shd w:val="clear" w:color="auto" w:fill="auto"/>
          </w:tcPr>
          <w:p w:rsidR="004E580E" w:rsidRPr="00D61FC4" w:rsidRDefault="004E580E" w:rsidP="00EA781B">
            <w:pPr>
              <w:jc w:val="left"/>
              <w:rPr>
                <w:sz w:val="18"/>
              </w:rPr>
            </w:pPr>
            <w:r w:rsidRPr="00D61FC4">
              <w:rPr>
                <w:sz w:val="18"/>
              </w:rPr>
              <w:t>Lieu</w:t>
            </w:r>
          </w:p>
        </w:tc>
        <w:tc>
          <w:tcPr>
            <w:tcW w:w="1379" w:type="dxa"/>
            <w:shd w:val="clear" w:color="auto" w:fill="auto"/>
          </w:tcPr>
          <w:p w:rsidR="004E580E" w:rsidRPr="00D61FC4" w:rsidRDefault="004E580E" w:rsidP="00EA781B">
            <w:pPr>
              <w:jc w:val="left"/>
              <w:rPr>
                <w:sz w:val="18"/>
              </w:rPr>
            </w:pPr>
            <w:r w:rsidRPr="00D61FC4">
              <w:rPr>
                <w:sz w:val="18"/>
              </w:rPr>
              <w:t>Organisateur(s)</w:t>
            </w:r>
          </w:p>
        </w:tc>
        <w:tc>
          <w:tcPr>
            <w:tcW w:w="1295" w:type="dxa"/>
            <w:shd w:val="clear" w:color="auto" w:fill="auto"/>
          </w:tcPr>
          <w:p w:rsidR="004E580E" w:rsidRPr="00D61FC4" w:rsidRDefault="004E580E" w:rsidP="00EA781B">
            <w:pPr>
              <w:jc w:val="left"/>
              <w:rPr>
                <w:sz w:val="18"/>
              </w:rPr>
            </w:pPr>
            <w:r w:rsidRPr="00D61FC4">
              <w:rPr>
                <w:sz w:val="18"/>
              </w:rPr>
              <w:t>But de l’activité</w:t>
            </w:r>
          </w:p>
        </w:tc>
        <w:tc>
          <w:tcPr>
            <w:tcW w:w="2304" w:type="dxa"/>
            <w:shd w:val="clear" w:color="auto" w:fill="auto"/>
          </w:tcPr>
          <w:p w:rsidR="004E580E" w:rsidRPr="00D61FC4" w:rsidRDefault="004E580E" w:rsidP="00EA781B">
            <w:pPr>
              <w:jc w:val="left"/>
              <w:rPr>
                <w:sz w:val="18"/>
              </w:rPr>
            </w:pPr>
            <w:r w:rsidRPr="00D61FC4">
              <w:rPr>
                <w:sz w:val="18"/>
              </w:rPr>
              <w:t>Pays/organisations participants (nombre de participants pour chaque pays/organisation)</w:t>
            </w:r>
          </w:p>
        </w:tc>
        <w:tc>
          <w:tcPr>
            <w:tcW w:w="1826" w:type="dxa"/>
            <w:shd w:val="clear" w:color="auto" w:fill="auto"/>
          </w:tcPr>
          <w:p w:rsidR="004E580E" w:rsidRPr="00D61FC4" w:rsidRDefault="004E580E" w:rsidP="00EA781B">
            <w:pPr>
              <w:jc w:val="left"/>
              <w:rPr>
                <w:sz w:val="18"/>
              </w:rPr>
            </w:pPr>
            <w:r w:rsidRPr="00D61FC4">
              <w:rPr>
                <w:sz w:val="18"/>
              </w:rPr>
              <w:t>Observations</w:t>
            </w:r>
          </w:p>
        </w:tc>
      </w:tr>
      <w:tr w:rsidR="004E580E" w:rsidRPr="00D61FC4" w:rsidTr="004E580E">
        <w:tc>
          <w:tcPr>
            <w:tcW w:w="1191" w:type="dxa"/>
            <w:shd w:val="clear" w:color="auto" w:fill="auto"/>
          </w:tcPr>
          <w:p w:rsidR="004E580E" w:rsidRPr="00D61FC4" w:rsidRDefault="004E580E" w:rsidP="00EA781B">
            <w:pPr>
              <w:jc w:val="left"/>
              <w:rPr>
                <w:rFonts w:cs="Mangal"/>
                <w:sz w:val="18"/>
                <w:szCs w:val="26"/>
                <w:lang w:bidi="ne-NP"/>
              </w:rPr>
            </w:pPr>
            <w:r w:rsidRPr="00D61FC4">
              <w:rPr>
                <w:rFonts w:cs="Mangal"/>
                <w:sz w:val="18"/>
                <w:szCs w:val="26"/>
                <w:lang w:bidi="ne-NP"/>
              </w:rPr>
              <w:t>1. Assistance technique et formation</w:t>
            </w:r>
          </w:p>
        </w:tc>
        <w:tc>
          <w:tcPr>
            <w:tcW w:w="993" w:type="dxa"/>
            <w:shd w:val="clear" w:color="auto" w:fill="auto"/>
          </w:tcPr>
          <w:p w:rsidR="004E580E" w:rsidRPr="00D61FC4" w:rsidRDefault="004E580E" w:rsidP="00EA781B">
            <w:pPr>
              <w:jc w:val="left"/>
              <w:rPr>
                <w:rFonts w:cs="Mangal"/>
                <w:sz w:val="18"/>
                <w:szCs w:val="26"/>
                <w:lang w:bidi="ne-NP"/>
              </w:rPr>
            </w:pPr>
            <w:r w:rsidRPr="00D61FC4">
              <w:rPr>
                <w:rFonts w:cs="Mangal"/>
                <w:sz w:val="18"/>
                <w:szCs w:val="26"/>
                <w:lang w:bidi="ne-NP"/>
              </w:rPr>
              <w:t>3 – 6 novembre 2014</w:t>
            </w:r>
          </w:p>
        </w:tc>
        <w:tc>
          <w:tcPr>
            <w:tcW w:w="1077" w:type="dxa"/>
            <w:shd w:val="clear" w:color="auto" w:fill="auto"/>
          </w:tcPr>
          <w:p w:rsidR="004E580E" w:rsidRPr="00D61FC4" w:rsidRDefault="004E580E" w:rsidP="00EA781B">
            <w:pPr>
              <w:jc w:val="left"/>
              <w:rPr>
                <w:rFonts w:cs="Mangal"/>
                <w:sz w:val="18"/>
                <w:szCs w:val="26"/>
                <w:lang w:bidi="ne-NP"/>
              </w:rPr>
            </w:pPr>
            <w:r w:rsidRPr="00D61FC4">
              <w:rPr>
                <w:rFonts w:cs="Mangal"/>
                <w:sz w:val="18"/>
                <w:szCs w:val="26"/>
                <w:lang w:bidi="ne-NP"/>
              </w:rPr>
              <w:t>Malaisie</w:t>
            </w:r>
          </w:p>
        </w:tc>
        <w:tc>
          <w:tcPr>
            <w:tcW w:w="1379" w:type="dxa"/>
            <w:shd w:val="clear" w:color="auto" w:fill="auto"/>
          </w:tcPr>
          <w:p w:rsidR="004E580E" w:rsidRPr="00D61FC4" w:rsidRDefault="004E580E" w:rsidP="00EA781B">
            <w:pPr>
              <w:jc w:val="left"/>
              <w:rPr>
                <w:rFonts w:cs="Mangal"/>
                <w:sz w:val="18"/>
                <w:szCs w:val="26"/>
                <w:lang w:bidi="ne-NP"/>
              </w:rPr>
            </w:pPr>
            <w:r w:rsidRPr="00D61FC4">
              <w:rPr>
                <w:rFonts w:cs="Mangal"/>
                <w:sz w:val="18"/>
                <w:szCs w:val="26"/>
                <w:lang w:bidi="ne-NP"/>
              </w:rPr>
              <w:t>Forum sur la protection des obtentions végétales en Asie de l’Est</w:t>
            </w:r>
          </w:p>
        </w:tc>
        <w:tc>
          <w:tcPr>
            <w:tcW w:w="1295" w:type="dxa"/>
            <w:shd w:val="clear" w:color="auto" w:fill="auto"/>
          </w:tcPr>
          <w:p w:rsidR="004E580E" w:rsidRPr="00D61FC4" w:rsidRDefault="004E580E" w:rsidP="00EA781B">
            <w:pPr>
              <w:jc w:val="left"/>
              <w:rPr>
                <w:rFonts w:cs="Mangal"/>
                <w:sz w:val="18"/>
                <w:szCs w:val="26"/>
                <w:lang w:bidi="ne-NP"/>
              </w:rPr>
            </w:pPr>
            <w:r w:rsidRPr="00D61FC4">
              <w:rPr>
                <w:rFonts w:cs="Mangal"/>
                <w:sz w:val="18"/>
                <w:szCs w:val="26"/>
                <w:lang w:bidi="ne-NP"/>
              </w:rPr>
              <w:t>Rédaction des principes directeurs d’examen pour la carambole et le ramboutan</w:t>
            </w:r>
          </w:p>
        </w:tc>
        <w:tc>
          <w:tcPr>
            <w:tcW w:w="2304" w:type="dxa"/>
            <w:shd w:val="clear" w:color="auto" w:fill="auto"/>
          </w:tcPr>
          <w:p w:rsidR="004E580E" w:rsidRPr="00D61FC4" w:rsidRDefault="004E580E" w:rsidP="00EA781B">
            <w:pPr>
              <w:jc w:val="left"/>
              <w:rPr>
                <w:rFonts w:cs="Mangal"/>
                <w:sz w:val="18"/>
                <w:szCs w:val="26"/>
                <w:lang w:bidi="ne-NP"/>
              </w:rPr>
            </w:pPr>
            <w:r w:rsidRPr="00D61FC4">
              <w:rPr>
                <w:rFonts w:cs="Mangal"/>
                <w:sz w:val="18"/>
                <w:szCs w:val="26"/>
                <w:lang w:bidi="ne-NP"/>
              </w:rPr>
              <w:t xml:space="preserve">Le Cambodge, l’Indonésie, la Malaisie, la Thaïlande et le Secrétariat du forum </w:t>
            </w:r>
          </w:p>
        </w:tc>
        <w:tc>
          <w:tcPr>
            <w:tcW w:w="1826" w:type="dxa"/>
            <w:shd w:val="clear" w:color="auto" w:fill="auto"/>
          </w:tcPr>
          <w:p w:rsidR="004E580E" w:rsidRPr="00D61FC4" w:rsidRDefault="004E580E" w:rsidP="00EA781B">
            <w:pPr>
              <w:jc w:val="left"/>
              <w:rPr>
                <w:rFonts w:cs="Mangal"/>
                <w:sz w:val="18"/>
                <w:szCs w:val="26"/>
                <w:lang w:bidi="ne-NP"/>
              </w:rPr>
            </w:pPr>
            <w:r w:rsidRPr="00D61FC4">
              <w:rPr>
                <w:rFonts w:cs="Mangal"/>
                <w:sz w:val="18"/>
                <w:szCs w:val="26"/>
                <w:lang w:bidi="ne-NP"/>
              </w:rPr>
              <w:t>La Nouvelle</w:t>
            </w:r>
            <w:r w:rsidRPr="00D61FC4">
              <w:rPr>
                <w:rFonts w:cs="Mangal"/>
                <w:sz w:val="18"/>
                <w:szCs w:val="26"/>
                <w:lang w:bidi="ne-NP"/>
              </w:rPr>
              <w:noBreakHyphen/>
              <w:t>Zélande a fait participer un conseiller technique en matière d’essais DHS et expert de l’UPOV</w:t>
            </w:r>
          </w:p>
        </w:tc>
      </w:tr>
      <w:tr w:rsidR="004E580E" w:rsidRPr="00D61FC4" w:rsidTr="004E580E">
        <w:tc>
          <w:tcPr>
            <w:tcW w:w="1191" w:type="dxa"/>
            <w:shd w:val="clear" w:color="auto" w:fill="auto"/>
          </w:tcPr>
          <w:p w:rsidR="004E580E" w:rsidRPr="00D61FC4" w:rsidRDefault="004E580E" w:rsidP="00EA781B">
            <w:pPr>
              <w:jc w:val="left"/>
              <w:rPr>
                <w:rFonts w:cs="Mangal"/>
                <w:sz w:val="18"/>
                <w:szCs w:val="26"/>
                <w:lang w:bidi="ne-NP"/>
              </w:rPr>
            </w:pPr>
            <w:r w:rsidRPr="00D61FC4">
              <w:rPr>
                <w:rFonts w:cs="Mangal"/>
                <w:sz w:val="18"/>
                <w:szCs w:val="26"/>
                <w:lang w:bidi="ne-NP"/>
              </w:rPr>
              <w:t>2. Assistance technique et formation</w:t>
            </w:r>
          </w:p>
        </w:tc>
        <w:tc>
          <w:tcPr>
            <w:tcW w:w="993" w:type="dxa"/>
            <w:shd w:val="clear" w:color="auto" w:fill="auto"/>
          </w:tcPr>
          <w:p w:rsidR="004E580E" w:rsidRPr="00D61FC4" w:rsidRDefault="004E580E" w:rsidP="00EA781B">
            <w:pPr>
              <w:jc w:val="left"/>
              <w:rPr>
                <w:rFonts w:cs="Mangal"/>
                <w:sz w:val="18"/>
                <w:szCs w:val="26"/>
                <w:lang w:bidi="ne-NP"/>
              </w:rPr>
            </w:pPr>
            <w:r w:rsidRPr="00D61FC4">
              <w:rPr>
                <w:rFonts w:cs="Mangal"/>
                <w:sz w:val="18"/>
                <w:szCs w:val="26"/>
                <w:lang w:bidi="ne-NP"/>
              </w:rPr>
              <w:t>1</w:t>
            </w:r>
            <w:r w:rsidRPr="00D61FC4">
              <w:rPr>
                <w:rFonts w:cs="Mangal"/>
                <w:sz w:val="18"/>
                <w:szCs w:val="26"/>
                <w:vertAlign w:val="superscript"/>
                <w:lang w:bidi="ne-NP"/>
              </w:rPr>
              <w:t>er</w:t>
            </w:r>
            <w:r w:rsidRPr="00D61FC4">
              <w:rPr>
                <w:rFonts w:cs="Mangal"/>
                <w:sz w:val="18"/>
                <w:szCs w:val="26"/>
                <w:lang w:bidi="ne-NP"/>
              </w:rPr>
              <w:t xml:space="preserve"> – 4 juin 2015</w:t>
            </w:r>
          </w:p>
        </w:tc>
        <w:tc>
          <w:tcPr>
            <w:tcW w:w="1077" w:type="dxa"/>
            <w:shd w:val="clear" w:color="auto" w:fill="auto"/>
          </w:tcPr>
          <w:p w:rsidR="004E580E" w:rsidRPr="00D61FC4" w:rsidRDefault="004E580E" w:rsidP="004E580E">
            <w:pPr>
              <w:jc w:val="left"/>
              <w:rPr>
                <w:rFonts w:cs="Mangal"/>
                <w:sz w:val="18"/>
                <w:szCs w:val="26"/>
                <w:lang w:bidi="ne-NP"/>
              </w:rPr>
            </w:pPr>
            <w:r w:rsidRPr="00D61FC4">
              <w:rPr>
                <w:rFonts w:cs="Mangal"/>
                <w:sz w:val="18"/>
                <w:szCs w:val="26"/>
                <w:lang w:bidi="ne-NP"/>
              </w:rPr>
              <w:t>Rép</w:t>
            </w:r>
            <w:r>
              <w:rPr>
                <w:rFonts w:cs="Mangal"/>
                <w:sz w:val="18"/>
                <w:szCs w:val="26"/>
                <w:lang w:bidi="ne-NP"/>
              </w:rPr>
              <w:t>ublique</w:t>
            </w:r>
            <w:r w:rsidRPr="00D61FC4">
              <w:rPr>
                <w:rFonts w:cs="Mangal"/>
                <w:sz w:val="18"/>
                <w:szCs w:val="26"/>
                <w:lang w:bidi="ne-NP"/>
              </w:rPr>
              <w:t xml:space="preserve"> de Corée</w:t>
            </w:r>
          </w:p>
        </w:tc>
        <w:tc>
          <w:tcPr>
            <w:tcW w:w="1379" w:type="dxa"/>
            <w:shd w:val="clear" w:color="auto" w:fill="auto"/>
          </w:tcPr>
          <w:p w:rsidR="004E580E" w:rsidRPr="00D61FC4" w:rsidRDefault="004E580E" w:rsidP="00EA781B">
            <w:pPr>
              <w:jc w:val="left"/>
              <w:rPr>
                <w:rFonts w:cs="Mangal"/>
                <w:sz w:val="18"/>
                <w:szCs w:val="26"/>
                <w:lang w:bidi="ne-NP"/>
              </w:rPr>
            </w:pPr>
            <w:r w:rsidRPr="00D61FC4">
              <w:rPr>
                <w:rFonts w:cs="Mangal"/>
                <w:sz w:val="18"/>
                <w:szCs w:val="26"/>
                <w:lang w:bidi="ne-NP"/>
              </w:rPr>
              <w:t>Agence coréenne de coopération internationale/ Service coréen des semences et des variétés</w:t>
            </w:r>
          </w:p>
        </w:tc>
        <w:tc>
          <w:tcPr>
            <w:tcW w:w="1295" w:type="dxa"/>
            <w:shd w:val="clear" w:color="auto" w:fill="auto"/>
          </w:tcPr>
          <w:p w:rsidR="004E580E" w:rsidRPr="00D61FC4" w:rsidRDefault="004E580E" w:rsidP="00EA781B">
            <w:pPr>
              <w:jc w:val="left"/>
              <w:rPr>
                <w:rFonts w:cs="Mangal"/>
                <w:sz w:val="18"/>
                <w:szCs w:val="26"/>
                <w:lang w:bidi="ne-NP"/>
              </w:rPr>
            </w:pPr>
            <w:r w:rsidRPr="00D61FC4">
              <w:rPr>
                <w:rFonts w:cs="Mangal"/>
                <w:sz w:val="18"/>
                <w:szCs w:val="26"/>
                <w:lang w:bidi="ne-NP"/>
              </w:rPr>
              <w:t>Cours international de formation sur la protection des obtentions végétales</w:t>
            </w:r>
          </w:p>
        </w:tc>
        <w:tc>
          <w:tcPr>
            <w:tcW w:w="2304" w:type="dxa"/>
            <w:shd w:val="clear" w:color="auto" w:fill="auto"/>
          </w:tcPr>
          <w:p w:rsidR="004E580E" w:rsidRPr="00D61FC4" w:rsidRDefault="004E580E" w:rsidP="00EA781B">
            <w:pPr>
              <w:jc w:val="left"/>
              <w:rPr>
                <w:rFonts w:cs="Mangal"/>
                <w:sz w:val="18"/>
                <w:szCs w:val="26"/>
                <w:lang w:bidi="ne-NP"/>
              </w:rPr>
            </w:pPr>
            <w:r w:rsidRPr="00D61FC4">
              <w:rPr>
                <w:rFonts w:cs="Mangal"/>
                <w:sz w:val="18"/>
                <w:szCs w:val="26"/>
                <w:lang w:bidi="ne-NP"/>
              </w:rPr>
              <w:t>Le Cambodge, l’Égypte, l’Indonésie, le Kenya, le Myanmar, l’Ouganda, les Philippines et la République</w:t>
            </w:r>
            <w:r w:rsidRPr="00D61FC4">
              <w:rPr>
                <w:rFonts w:cs="Mangal"/>
                <w:sz w:val="18"/>
                <w:szCs w:val="26"/>
                <w:lang w:bidi="ne-NP"/>
              </w:rPr>
              <w:noBreakHyphen/>
              <w:t>Unie de Tanzanie</w:t>
            </w:r>
          </w:p>
        </w:tc>
        <w:tc>
          <w:tcPr>
            <w:tcW w:w="1826" w:type="dxa"/>
            <w:shd w:val="clear" w:color="auto" w:fill="auto"/>
          </w:tcPr>
          <w:p w:rsidR="004E580E" w:rsidRPr="00D61FC4" w:rsidRDefault="004E580E" w:rsidP="00EA781B">
            <w:pPr>
              <w:jc w:val="left"/>
              <w:rPr>
                <w:rFonts w:cs="Mangal"/>
                <w:sz w:val="18"/>
                <w:szCs w:val="26"/>
                <w:lang w:bidi="ne-NP"/>
              </w:rPr>
            </w:pPr>
            <w:r w:rsidRPr="00D61FC4">
              <w:rPr>
                <w:rFonts w:cs="Mangal"/>
                <w:sz w:val="18"/>
                <w:szCs w:val="26"/>
                <w:lang w:bidi="ne-NP"/>
              </w:rPr>
              <w:t>La Nouvelle</w:t>
            </w:r>
            <w:r w:rsidRPr="00D61FC4">
              <w:rPr>
                <w:rFonts w:cs="Mangal"/>
                <w:sz w:val="18"/>
                <w:szCs w:val="26"/>
                <w:lang w:bidi="ne-NP"/>
              </w:rPr>
              <w:noBreakHyphen/>
              <w:t>Zélande a fait participer un expert</w:t>
            </w:r>
            <w:r w:rsidRPr="00D61FC4">
              <w:rPr>
                <w:rFonts w:cs="Mangal"/>
                <w:sz w:val="18"/>
                <w:szCs w:val="26"/>
                <w:lang w:bidi="ne-NP"/>
              </w:rPr>
              <w:noBreakHyphen/>
              <w:t>conseil en matière de rédaction de principes directeurs d’examen</w:t>
            </w:r>
          </w:p>
        </w:tc>
      </w:tr>
    </w:tbl>
    <w:p w:rsidR="004E580E" w:rsidRPr="00D61FC4" w:rsidRDefault="004E580E" w:rsidP="004E580E">
      <w:pPr>
        <w:rPr>
          <w:rFonts w:cs="Mangal"/>
          <w:lang w:bidi="ne-NP"/>
        </w:rPr>
      </w:pPr>
    </w:p>
    <w:p w:rsidR="00944AEF" w:rsidRDefault="00944AEF" w:rsidP="00944AEF"/>
    <w:p w:rsidR="004E580E" w:rsidRPr="004F3AB8" w:rsidRDefault="004E580E" w:rsidP="00944AEF"/>
    <w:p w:rsidR="00944AEF" w:rsidRPr="004F3AB8" w:rsidRDefault="00944AEF" w:rsidP="00944AEF">
      <w:pPr>
        <w:jc w:val="right"/>
      </w:pPr>
      <w:r w:rsidRPr="004F3AB8">
        <w:t>[L’annexe X suit]</w:t>
      </w:r>
    </w:p>
    <w:p w:rsidR="00944AEF" w:rsidRPr="004F3AB8" w:rsidRDefault="00944AEF" w:rsidP="00944AEF">
      <w:pPr>
        <w:jc w:val="left"/>
        <w:sectPr w:rsidR="00944AEF" w:rsidRPr="004F3AB8" w:rsidSect="004F3AB8">
          <w:headerReference w:type="default" r:id="rId27"/>
          <w:pgSz w:w="11907" w:h="16840" w:code="9"/>
          <w:pgMar w:top="510" w:right="1134" w:bottom="1134" w:left="1134" w:header="510" w:footer="680" w:gutter="0"/>
          <w:pgNumType w:start="1"/>
          <w:cols w:space="720"/>
          <w:titlePg/>
        </w:sectPr>
      </w:pPr>
    </w:p>
    <w:p w:rsidR="00944AEF" w:rsidRPr="004F3AB8" w:rsidRDefault="00944AEF" w:rsidP="00944AEF">
      <w:pPr>
        <w:jc w:val="center"/>
      </w:pPr>
      <w:r w:rsidRPr="004F3AB8">
        <w:t>C/49/15</w:t>
      </w:r>
    </w:p>
    <w:p w:rsidR="00944AEF" w:rsidRPr="004F3AB8" w:rsidRDefault="00944AEF" w:rsidP="00944AEF">
      <w:pPr>
        <w:jc w:val="center"/>
      </w:pPr>
    </w:p>
    <w:p w:rsidR="00944AEF" w:rsidRPr="004F3AB8" w:rsidRDefault="00944AEF" w:rsidP="00944AEF">
      <w:pPr>
        <w:jc w:val="center"/>
      </w:pPr>
      <w:r w:rsidRPr="004F3AB8">
        <w:t>ANNEXE X</w:t>
      </w:r>
    </w:p>
    <w:p w:rsidR="00944AEF" w:rsidRPr="004F3AB8" w:rsidRDefault="00944AEF" w:rsidP="00944AEF">
      <w:pPr>
        <w:jc w:val="center"/>
      </w:pPr>
    </w:p>
    <w:p w:rsidR="00944AEF" w:rsidRPr="004F3AB8" w:rsidRDefault="00944AEF" w:rsidP="00944AEF">
      <w:pPr>
        <w:jc w:val="center"/>
      </w:pPr>
    </w:p>
    <w:p w:rsidR="00944AEF" w:rsidRPr="004F3AB8" w:rsidRDefault="00944AEF" w:rsidP="00944AEF">
      <w:pPr>
        <w:jc w:val="center"/>
      </w:pPr>
      <w:r w:rsidRPr="004F3AB8">
        <w:t>POLOGNE</w:t>
      </w:r>
    </w:p>
    <w:p w:rsidR="0011211E" w:rsidRPr="00D61FC4" w:rsidRDefault="0011211E" w:rsidP="0011211E">
      <w:pPr>
        <w:tabs>
          <w:tab w:val="left" w:pos="4962"/>
        </w:tabs>
        <w:jc w:val="center"/>
        <w:rPr>
          <w:rFonts w:cs="Arial"/>
        </w:rPr>
      </w:pPr>
      <w:r w:rsidRPr="00D61FC4">
        <w:rPr>
          <w:rFonts w:cs="Arial"/>
        </w:rPr>
        <w:t>(Période : 1</w:t>
      </w:r>
      <w:r w:rsidRPr="00D61FC4">
        <w:rPr>
          <w:rFonts w:cs="Arial"/>
          <w:vertAlign w:val="superscript"/>
        </w:rPr>
        <w:t>er</w:t>
      </w:r>
      <w:r w:rsidRPr="00D61FC4">
        <w:rPr>
          <w:rFonts w:cs="Arial"/>
        </w:rPr>
        <w:t> septembre 2014 – 31 août 2015)</w:t>
      </w:r>
    </w:p>
    <w:p w:rsidR="0011211E" w:rsidRPr="00D61FC4" w:rsidRDefault="0011211E" w:rsidP="0011211E"/>
    <w:p w:rsidR="0011211E" w:rsidRPr="00D61FC4" w:rsidRDefault="0011211E" w:rsidP="0011211E"/>
    <w:p w:rsidR="0011211E" w:rsidRPr="00D61FC4" w:rsidRDefault="0011211E" w:rsidP="0011211E">
      <w:r w:rsidRPr="00D61FC4">
        <w:t>I</w:t>
      </w:r>
      <w:r>
        <w:t>.</w:t>
      </w:r>
      <w:r w:rsidRPr="00D61FC4">
        <w:tab/>
        <w:t>PROTECTION DES OBTENTIONS VÉGÉTALES</w:t>
      </w:r>
    </w:p>
    <w:p w:rsidR="0011211E" w:rsidRPr="00D61FC4" w:rsidRDefault="0011211E" w:rsidP="0011211E">
      <w:pPr>
        <w:tabs>
          <w:tab w:val="left" w:pos="4962"/>
        </w:tabs>
        <w:rPr>
          <w:rFonts w:cs="Arial"/>
          <w:u w:val="single"/>
        </w:rPr>
      </w:pPr>
    </w:p>
    <w:p w:rsidR="0011211E" w:rsidRPr="00D61FC4" w:rsidRDefault="0011211E" w:rsidP="0011211E">
      <w:pPr>
        <w:tabs>
          <w:tab w:val="left" w:pos="567"/>
          <w:tab w:val="left" w:pos="4962"/>
        </w:tabs>
        <w:rPr>
          <w:rFonts w:cs="Arial"/>
          <w:u w:val="single"/>
        </w:rPr>
      </w:pPr>
      <w:r w:rsidRPr="00D61FC4">
        <w:rPr>
          <w:rFonts w:cs="Arial"/>
        </w:rPr>
        <w:t>1.</w:t>
      </w:r>
      <w:r w:rsidRPr="00D61FC4">
        <w:rPr>
          <w:rFonts w:cs="Arial"/>
        </w:rPr>
        <w:tab/>
      </w:r>
      <w:r w:rsidRPr="00D61FC4">
        <w:rPr>
          <w:rFonts w:cs="Arial"/>
          <w:u w:val="single"/>
        </w:rPr>
        <w:t>Situation dans le domaine législatif</w:t>
      </w:r>
    </w:p>
    <w:p w:rsidR="0011211E" w:rsidRPr="00D61FC4" w:rsidRDefault="0011211E" w:rsidP="0011211E">
      <w:pPr>
        <w:tabs>
          <w:tab w:val="left" w:pos="4962"/>
        </w:tabs>
        <w:rPr>
          <w:rFonts w:cs="Arial"/>
        </w:rPr>
      </w:pPr>
    </w:p>
    <w:p w:rsidR="0011211E" w:rsidRPr="00D61FC4" w:rsidRDefault="0011211E" w:rsidP="0011211E">
      <w:pPr>
        <w:tabs>
          <w:tab w:val="left" w:pos="4962"/>
        </w:tabs>
        <w:rPr>
          <w:rFonts w:cs="Arial"/>
        </w:rPr>
      </w:pPr>
      <w:r w:rsidRPr="00D61FC4">
        <w:rPr>
          <w:rFonts w:cs="Arial"/>
        </w:rPr>
        <w:t>La législation relative au droit d’obtenteur n’a pas été modifiée pendant la période considérée.</w:t>
      </w:r>
    </w:p>
    <w:p w:rsidR="0011211E" w:rsidRPr="00D61FC4" w:rsidRDefault="0011211E" w:rsidP="0011211E">
      <w:pPr>
        <w:tabs>
          <w:tab w:val="left" w:pos="4962"/>
        </w:tabs>
        <w:rPr>
          <w:rFonts w:cs="Arial"/>
        </w:rPr>
      </w:pPr>
    </w:p>
    <w:p w:rsidR="0011211E" w:rsidRPr="00D61FC4" w:rsidRDefault="0011211E" w:rsidP="0011211E">
      <w:pPr>
        <w:tabs>
          <w:tab w:val="left" w:pos="4962"/>
        </w:tabs>
        <w:rPr>
          <w:rFonts w:cs="Arial"/>
        </w:rPr>
      </w:pPr>
      <w:r w:rsidRPr="00D61FC4">
        <w:rPr>
          <w:rFonts w:cs="Arial"/>
        </w:rPr>
        <w:t>La loi du 26 juin 2003 sur la protection juridique des variétés végétales (POJ n° 137/2003, rubrique 1300;  telle que modifiée) constitue la base juridique du système de protection du droit d’obtenteur en Pologne.</w:t>
      </w:r>
    </w:p>
    <w:p w:rsidR="0011211E" w:rsidRPr="00D61FC4" w:rsidRDefault="0011211E" w:rsidP="0011211E">
      <w:pPr>
        <w:tabs>
          <w:tab w:val="left" w:pos="4962"/>
        </w:tabs>
        <w:rPr>
          <w:rFonts w:cs="Arial"/>
        </w:rPr>
      </w:pPr>
    </w:p>
    <w:p w:rsidR="0011211E" w:rsidRPr="00D61FC4" w:rsidRDefault="0011211E" w:rsidP="0011211E">
      <w:pPr>
        <w:tabs>
          <w:tab w:val="left" w:pos="4962"/>
        </w:tabs>
        <w:rPr>
          <w:rFonts w:cs="Arial"/>
        </w:rPr>
      </w:pPr>
      <w:r w:rsidRPr="00D61FC4">
        <w:rPr>
          <w:rFonts w:cs="Arial"/>
        </w:rPr>
        <w:t>La loi polonaise sur la protection des obtentions végétales est fondée sur l’Acte de 1991 de la Convention UPOV, auquel la Pologne a été le vingt</w:t>
      </w:r>
      <w:r w:rsidRPr="00D61FC4">
        <w:rPr>
          <w:rFonts w:cs="Arial"/>
        </w:rPr>
        <w:noBreakHyphen/>
        <w:t>quatrième État à adhérer, le 15 août 2003.</w:t>
      </w:r>
    </w:p>
    <w:p w:rsidR="0011211E" w:rsidRPr="00D61FC4" w:rsidRDefault="0011211E" w:rsidP="0011211E">
      <w:pPr>
        <w:tabs>
          <w:tab w:val="left" w:pos="4962"/>
        </w:tabs>
        <w:rPr>
          <w:rFonts w:cs="Arial"/>
        </w:rPr>
      </w:pPr>
    </w:p>
    <w:p w:rsidR="0011211E" w:rsidRPr="00D61FC4" w:rsidRDefault="0011211E" w:rsidP="0011211E">
      <w:pPr>
        <w:tabs>
          <w:tab w:val="left" w:pos="4962"/>
        </w:tabs>
        <w:rPr>
          <w:rFonts w:cs="Arial"/>
        </w:rPr>
      </w:pPr>
      <w:r w:rsidRPr="00D61FC4">
        <w:rPr>
          <w:rFonts w:cs="Arial"/>
        </w:rPr>
        <w:t>Depuis le 1</w:t>
      </w:r>
      <w:r w:rsidRPr="00D61FC4">
        <w:rPr>
          <w:rFonts w:cs="Arial"/>
          <w:vertAlign w:val="superscript"/>
        </w:rPr>
        <w:t>er</w:t>
      </w:r>
      <w:r w:rsidRPr="00D61FC4">
        <w:rPr>
          <w:rFonts w:cs="Arial"/>
        </w:rPr>
        <w:t> novembre 2000, tous les genres et espèces peuvent bénéficier de la protection prévue au titre des droits d’obtenteur en Pologne.</w:t>
      </w:r>
    </w:p>
    <w:p w:rsidR="0011211E" w:rsidRPr="00D61FC4" w:rsidRDefault="0011211E" w:rsidP="0011211E">
      <w:pPr>
        <w:tabs>
          <w:tab w:val="left" w:pos="4962"/>
        </w:tabs>
        <w:rPr>
          <w:rFonts w:cs="Arial"/>
        </w:rPr>
      </w:pPr>
    </w:p>
    <w:p w:rsidR="0011211E" w:rsidRPr="00D61FC4" w:rsidRDefault="0011211E" w:rsidP="0011211E">
      <w:pPr>
        <w:tabs>
          <w:tab w:val="left" w:pos="4962"/>
        </w:tabs>
        <w:rPr>
          <w:rFonts w:cs="Arial"/>
        </w:rPr>
      </w:pPr>
    </w:p>
    <w:p w:rsidR="0011211E" w:rsidRPr="00D61FC4" w:rsidRDefault="0011211E" w:rsidP="0011211E">
      <w:pPr>
        <w:tabs>
          <w:tab w:val="left" w:pos="567"/>
          <w:tab w:val="left" w:pos="4962"/>
        </w:tabs>
        <w:rPr>
          <w:rFonts w:cs="Arial"/>
          <w:u w:val="single"/>
        </w:rPr>
      </w:pPr>
      <w:r w:rsidRPr="00D61FC4">
        <w:rPr>
          <w:rFonts w:cs="Arial"/>
        </w:rPr>
        <w:t>2.</w:t>
      </w:r>
      <w:r w:rsidRPr="00D61FC4">
        <w:rPr>
          <w:rFonts w:cs="Arial"/>
        </w:rPr>
        <w:tab/>
      </w:r>
      <w:r w:rsidRPr="00D61FC4">
        <w:rPr>
          <w:rFonts w:cs="Arial"/>
          <w:u w:val="single"/>
        </w:rPr>
        <w:t>Coopération en matière d’examen</w:t>
      </w:r>
    </w:p>
    <w:p w:rsidR="0011211E" w:rsidRPr="00D61FC4" w:rsidRDefault="0011211E" w:rsidP="0011211E">
      <w:pPr>
        <w:tabs>
          <w:tab w:val="left" w:pos="4962"/>
        </w:tabs>
        <w:rPr>
          <w:rFonts w:cs="Arial"/>
          <w:color w:val="000000"/>
        </w:rPr>
      </w:pPr>
    </w:p>
    <w:p w:rsidR="0011211E" w:rsidRPr="00D61FC4" w:rsidRDefault="0011211E" w:rsidP="0011211E">
      <w:pPr>
        <w:tabs>
          <w:tab w:val="left" w:pos="4962"/>
        </w:tabs>
        <w:rPr>
          <w:rFonts w:cs="Arial"/>
          <w:color w:val="000000"/>
        </w:rPr>
      </w:pPr>
      <w:r w:rsidRPr="00D61FC4">
        <w:rPr>
          <w:rFonts w:cs="Arial"/>
          <w:color w:val="000000"/>
        </w:rPr>
        <w:t xml:space="preserve">Le Centre de recherche pour l’examen des cultivars (COBORU) de </w:t>
      </w:r>
      <w:proofErr w:type="spellStart"/>
      <w:r w:rsidRPr="00D61FC4">
        <w:rPr>
          <w:rFonts w:cs="Arial"/>
          <w:color w:val="000000"/>
        </w:rPr>
        <w:t>Słupia</w:t>
      </w:r>
      <w:proofErr w:type="spellEnd"/>
      <w:r w:rsidRPr="00D61FC4">
        <w:rPr>
          <w:rFonts w:cs="Arial"/>
          <w:color w:val="000000"/>
        </w:rPr>
        <w:t xml:space="preserve"> </w:t>
      </w:r>
      <w:proofErr w:type="spellStart"/>
      <w:r w:rsidRPr="00D61FC4">
        <w:rPr>
          <w:rFonts w:cs="Arial"/>
          <w:color w:val="000000"/>
        </w:rPr>
        <w:t>Wielka</w:t>
      </w:r>
      <w:proofErr w:type="spellEnd"/>
      <w:r w:rsidRPr="00D61FC4">
        <w:rPr>
          <w:rFonts w:cs="Arial"/>
          <w:color w:val="000000"/>
        </w:rPr>
        <w:t xml:space="preserve"> continue de collaborer avec différents pays dans le domaine de l’examen DHS.</w:t>
      </w:r>
    </w:p>
    <w:p w:rsidR="0011211E" w:rsidRPr="00D61FC4" w:rsidRDefault="0011211E" w:rsidP="0011211E">
      <w:pPr>
        <w:tabs>
          <w:tab w:val="left" w:pos="4962"/>
        </w:tabs>
        <w:rPr>
          <w:rFonts w:cs="Arial"/>
        </w:rPr>
      </w:pPr>
    </w:p>
    <w:p w:rsidR="0011211E" w:rsidRPr="00D61FC4" w:rsidRDefault="0011211E" w:rsidP="0011211E">
      <w:pPr>
        <w:tabs>
          <w:tab w:val="left" w:pos="4962"/>
        </w:tabs>
        <w:rPr>
          <w:rFonts w:cs="Arial"/>
        </w:rPr>
      </w:pPr>
      <w:r w:rsidRPr="00D61FC4">
        <w:rPr>
          <w:rFonts w:cs="Arial"/>
        </w:rPr>
        <w:t>La Pologne a conclu des accords bilatéraux en matière d’examen DHS avec la République tchèque, la Hongrie et la Slovaquie.  Des accords unilatéraux avec la Lettonie, la Lituanie, l’Estonie, la Roumanie, le Belarus, la Slovénie, la Fédération de Russie et l’Ukraine sont en vigueur.</w:t>
      </w:r>
    </w:p>
    <w:p w:rsidR="0011211E" w:rsidRPr="00D61FC4" w:rsidRDefault="0011211E" w:rsidP="0011211E">
      <w:pPr>
        <w:tabs>
          <w:tab w:val="left" w:pos="4962"/>
        </w:tabs>
        <w:rPr>
          <w:rFonts w:cs="Arial"/>
        </w:rPr>
      </w:pPr>
    </w:p>
    <w:p w:rsidR="0011211E" w:rsidRPr="00D61FC4" w:rsidRDefault="0011211E" w:rsidP="0011211E">
      <w:pPr>
        <w:tabs>
          <w:tab w:val="left" w:pos="4962"/>
        </w:tabs>
        <w:rPr>
          <w:rFonts w:cs="Arial"/>
        </w:rPr>
      </w:pPr>
      <w:r w:rsidRPr="00D61FC4">
        <w:rPr>
          <w:rFonts w:cs="Arial"/>
        </w:rPr>
        <w:t>Pendant la période considérée, la Pologne a procédé à des examens DHS pour le compte des services de la Lituanie (56 variétés), de la République tchèque (33 variétés), de l’Estonie (33 variétés), de la Hongrie (19 variétés), de la Lettonie (10 variétés), de la Croatie (4 variétés), de la Suède (4 variétés), de la Finlande (2 variétés), de l’Autriche (1 variété) et de la Slovaquie (1 variété), ainsi que pour l’OCVV (21 variétés).</w:t>
      </w:r>
    </w:p>
    <w:p w:rsidR="0011211E" w:rsidRPr="00D61FC4" w:rsidRDefault="0011211E" w:rsidP="0011211E">
      <w:pPr>
        <w:tabs>
          <w:tab w:val="left" w:pos="4962"/>
        </w:tabs>
        <w:rPr>
          <w:rFonts w:cs="Arial"/>
        </w:rPr>
      </w:pPr>
    </w:p>
    <w:p w:rsidR="0011211E" w:rsidRPr="00D61FC4" w:rsidRDefault="0011211E" w:rsidP="0011211E">
      <w:pPr>
        <w:tabs>
          <w:tab w:val="left" w:pos="4962"/>
        </w:tabs>
        <w:rPr>
          <w:rFonts w:cs="Arial"/>
        </w:rPr>
      </w:pPr>
      <w:r w:rsidRPr="00D61FC4">
        <w:rPr>
          <w:rFonts w:cs="Arial"/>
        </w:rPr>
        <w:t>Ces examens portaient sur différentes espèces de plantes agricoles (107 variétés), potagères (20 variétés), ornementales (16 variétés) et fruitières (41 variétés).  Au total, 184 variétés ont fait l’objet d’un examen à la demande de ces services.</w:t>
      </w:r>
    </w:p>
    <w:p w:rsidR="0011211E" w:rsidRPr="00D61FC4" w:rsidRDefault="0011211E" w:rsidP="0011211E">
      <w:pPr>
        <w:tabs>
          <w:tab w:val="left" w:pos="4962"/>
        </w:tabs>
        <w:rPr>
          <w:rFonts w:cs="Arial"/>
        </w:rPr>
      </w:pPr>
    </w:p>
    <w:p w:rsidR="0011211E" w:rsidRPr="00D61FC4" w:rsidRDefault="0011211E" w:rsidP="0011211E">
      <w:pPr>
        <w:tabs>
          <w:tab w:val="left" w:pos="4962"/>
        </w:tabs>
        <w:rPr>
          <w:rFonts w:cs="Arial"/>
          <w:color w:val="000000"/>
        </w:rPr>
      </w:pPr>
      <w:r w:rsidRPr="00D61FC4">
        <w:rPr>
          <w:rFonts w:cs="Arial"/>
          <w:color w:val="000000"/>
        </w:rPr>
        <w:t>Comme les années précédentes, certains services (l’OCVV, l’Autriche, la Croatie, le Danemark, l’Estonie, la Lettonie, la Lituanie, les Pays</w:t>
      </w:r>
      <w:r w:rsidRPr="00D61FC4">
        <w:rPr>
          <w:rFonts w:cs="Arial"/>
          <w:color w:val="000000"/>
        </w:rPr>
        <w:noBreakHyphen/>
        <w:t>Bas, la Fédération de Russie, la Serbie, la Slovénie, la Suède et la Turquie) ont utilisé les résultats d’examens techniques du COBORU pour fonder leurs décisions dans le cadre de leurs procédures nationales.</w:t>
      </w:r>
    </w:p>
    <w:p w:rsidR="0011211E" w:rsidRPr="00D61FC4" w:rsidRDefault="0011211E" w:rsidP="0011211E">
      <w:pPr>
        <w:tabs>
          <w:tab w:val="left" w:pos="4962"/>
        </w:tabs>
        <w:rPr>
          <w:rFonts w:cs="Arial"/>
        </w:rPr>
      </w:pPr>
    </w:p>
    <w:p w:rsidR="0011211E" w:rsidRPr="00D61FC4" w:rsidRDefault="0011211E" w:rsidP="0011211E">
      <w:pPr>
        <w:tabs>
          <w:tab w:val="left" w:pos="4962"/>
        </w:tabs>
        <w:rPr>
          <w:rFonts w:cs="Arial"/>
        </w:rPr>
      </w:pPr>
      <w:r w:rsidRPr="00D61FC4">
        <w:rPr>
          <w:rFonts w:cs="Arial"/>
        </w:rPr>
        <w:t>La Pologne a participé activement aux travaux relatifs à l’élaboration des protocoles techniques lors des réunions organisées par l’OCVV.</w:t>
      </w:r>
    </w:p>
    <w:p w:rsidR="0011211E" w:rsidRPr="00245BB7" w:rsidRDefault="0011211E" w:rsidP="0011211E">
      <w:pPr>
        <w:tabs>
          <w:tab w:val="left" w:pos="4962"/>
        </w:tabs>
        <w:rPr>
          <w:rFonts w:cs="Arial"/>
        </w:rPr>
      </w:pPr>
    </w:p>
    <w:p w:rsidR="0011211E" w:rsidRPr="00D61FC4" w:rsidRDefault="0011211E" w:rsidP="0011211E">
      <w:pPr>
        <w:tabs>
          <w:tab w:val="left" w:pos="4962"/>
        </w:tabs>
        <w:rPr>
          <w:rFonts w:cs="Arial"/>
          <w:u w:val="single"/>
        </w:rPr>
      </w:pPr>
    </w:p>
    <w:p w:rsidR="0011211E" w:rsidRPr="00D61FC4" w:rsidRDefault="0011211E" w:rsidP="0011211E">
      <w:pPr>
        <w:tabs>
          <w:tab w:val="left" w:pos="567"/>
        </w:tabs>
        <w:rPr>
          <w:rFonts w:cs="Arial"/>
          <w:u w:val="single"/>
        </w:rPr>
      </w:pPr>
      <w:r w:rsidRPr="00D61FC4">
        <w:rPr>
          <w:rFonts w:cs="Arial"/>
        </w:rPr>
        <w:t>3. et 4.</w:t>
      </w:r>
      <w:r w:rsidRPr="00D61FC4">
        <w:rPr>
          <w:rFonts w:cs="Arial"/>
        </w:rPr>
        <w:tab/>
      </w:r>
      <w:r w:rsidRPr="00D61FC4">
        <w:rPr>
          <w:rFonts w:cs="Arial"/>
          <w:u w:val="single"/>
        </w:rPr>
        <w:t>Situation dans les domaines administratif et technique</w:t>
      </w:r>
    </w:p>
    <w:p w:rsidR="0011211E" w:rsidRPr="00D61FC4" w:rsidRDefault="0011211E" w:rsidP="0011211E">
      <w:pPr>
        <w:tabs>
          <w:tab w:val="left" w:pos="567"/>
          <w:tab w:val="left" w:pos="4962"/>
        </w:tabs>
        <w:rPr>
          <w:rFonts w:cs="Arial"/>
          <w:u w:val="single"/>
        </w:rPr>
      </w:pPr>
    </w:p>
    <w:p w:rsidR="0011211E" w:rsidRPr="00D61FC4" w:rsidRDefault="0011211E" w:rsidP="0011211E">
      <w:pPr>
        <w:rPr>
          <w:rFonts w:cs="Arial"/>
        </w:rPr>
      </w:pPr>
      <w:r w:rsidRPr="00D61FC4">
        <w:rPr>
          <w:rFonts w:cs="Arial"/>
        </w:rPr>
        <w:t>Le COBORU procède aux essais aux fins de l’examen DHS des variétés dans 13 stations d’essais expérimentales qui sont réparties dans l’ensemble du pays.  Dans le cas des variétés fruitières, des essais sont également menés à l’Institut de recherche sur l’horticulture à Skierniewice.</w:t>
      </w:r>
    </w:p>
    <w:p w:rsidR="0011211E" w:rsidRPr="00D61FC4" w:rsidRDefault="0011211E" w:rsidP="0011211E">
      <w:pPr>
        <w:rPr>
          <w:rFonts w:cs="Arial"/>
        </w:rPr>
      </w:pPr>
    </w:p>
    <w:p w:rsidR="0011211E" w:rsidRPr="00D61FC4" w:rsidRDefault="0011211E" w:rsidP="0011211E">
      <w:pPr>
        <w:tabs>
          <w:tab w:val="left" w:pos="567"/>
          <w:tab w:val="left" w:pos="4962"/>
        </w:tabs>
        <w:rPr>
          <w:rFonts w:cs="Arial"/>
        </w:rPr>
      </w:pPr>
      <w:r w:rsidRPr="00D61FC4">
        <w:rPr>
          <w:rFonts w:cs="Arial"/>
        </w:rPr>
        <w:t>En 2014, 9221 variétés relevant de 180 espèces végétales ont fait l’objet d’un examen (dont 8261 variétés répertoriées dans des collections de référence vivantes et 960 variétés candidates).</w:t>
      </w:r>
    </w:p>
    <w:p w:rsidR="0011211E" w:rsidRPr="00D61FC4" w:rsidRDefault="0011211E" w:rsidP="0011211E">
      <w:pPr>
        <w:tabs>
          <w:tab w:val="left" w:pos="567"/>
          <w:tab w:val="left" w:pos="4962"/>
        </w:tabs>
        <w:rPr>
          <w:rFonts w:cs="Arial"/>
        </w:rPr>
      </w:pPr>
    </w:p>
    <w:p w:rsidR="0011211E" w:rsidRPr="00D61FC4" w:rsidRDefault="0011211E" w:rsidP="0011211E">
      <w:pPr>
        <w:tabs>
          <w:tab w:val="left" w:pos="567"/>
          <w:tab w:val="left" w:pos="4962"/>
        </w:tabs>
        <w:rPr>
          <w:rFonts w:cs="Arial"/>
        </w:rPr>
      </w:pPr>
      <w:r w:rsidRPr="00D61FC4">
        <w:rPr>
          <w:rFonts w:cs="Arial"/>
        </w:rPr>
        <w:t>Le nombre de variétés ayant fait l’objet d’un examen DHS en Pologne est indiqué dans le graphique ci</w:t>
      </w:r>
      <w:r w:rsidRPr="00D61FC4">
        <w:rPr>
          <w:rFonts w:cs="Arial"/>
        </w:rPr>
        <w:noBreakHyphen/>
        <w:t>dessous.</w:t>
      </w:r>
    </w:p>
    <w:p w:rsidR="0011211E" w:rsidRPr="0011211E" w:rsidRDefault="0011211E" w:rsidP="0011211E"/>
    <w:p w:rsidR="0011211E" w:rsidRDefault="0011211E">
      <w:pPr>
        <w:jc w:val="left"/>
        <w:rPr>
          <w:rFonts w:cs="Arial"/>
          <w:u w:val="single"/>
          <w:lang w:eastAsia="pl-PL"/>
        </w:rPr>
      </w:pPr>
      <w:r>
        <w:rPr>
          <w:rFonts w:cs="Arial"/>
        </w:rPr>
        <w:br w:type="page"/>
      </w:r>
    </w:p>
    <w:p w:rsidR="0011211E" w:rsidRPr="00D61FC4" w:rsidRDefault="0011211E" w:rsidP="0011211E">
      <w:pPr>
        <w:pStyle w:val="Heading8"/>
        <w:rPr>
          <w:rFonts w:cs="Arial"/>
          <w:lang w:val="fr-FR"/>
        </w:rPr>
      </w:pPr>
      <w:r w:rsidRPr="00D61FC4">
        <w:rPr>
          <w:rFonts w:cs="Arial"/>
          <w:lang w:val="fr-FR"/>
        </w:rPr>
        <w:t>Nombre de variétés ayant fait l’objet d’un examen DHS en 2014</w:t>
      </w:r>
    </w:p>
    <w:p w:rsidR="0011211E" w:rsidRPr="00D61FC4" w:rsidRDefault="0011211E" w:rsidP="0011211E">
      <w:pPr>
        <w:rPr>
          <w:rFonts w:cs="Arial"/>
        </w:rPr>
      </w:pPr>
    </w:p>
    <w:p w:rsidR="0011211E" w:rsidRPr="00D61FC4" w:rsidRDefault="0011211E" w:rsidP="0011211E">
      <w:pPr>
        <w:jc w:val="center"/>
        <w:rPr>
          <w:rFonts w:cs="Arial"/>
        </w:rPr>
      </w:pPr>
      <w:r w:rsidRPr="00D61FC4">
        <w:rPr>
          <w:noProof/>
          <w:lang w:val="en-US"/>
        </w:rPr>
        <w:drawing>
          <wp:inline distT="0" distB="0" distL="0" distR="0" wp14:anchorId="248A0014" wp14:editId="5D31B6A3">
            <wp:extent cx="5526000" cy="4149750"/>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526000" cy="4149750"/>
                    </a:xfrm>
                    <a:prstGeom prst="rect">
                      <a:avLst/>
                    </a:prstGeom>
                    <a:noFill/>
                    <a:ln>
                      <a:noFill/>
                    </a:ln>
                  </pic:spPr>
                </pic:pic>
              </a:graphicData>
            </a:graphic>
          </wp:inline>
        </w:drawing>
      </w:r>
    </w:p>
    <w:p w:rsidR="0011211E" w:rsidRPr="00D61FC4" w:rsidRDefault="0011211E" w:rsidP="0011211E">
      <w:pPr>
        <w:rPr>
          <w:rFonts w:cs="Arial"/>
        </w:rPr>
      </w:pPr>
    </w:p>
    <w:p w:rsidR="0011211E" w:rsidRPr="00D61FC4" w:rsidRDefault="0011211E" w:rsidP="0011211E">
      <w:pPr>
        <w:pStyle w:val="BodyText"/>
        <w:rPr>
          <w:rFonts w:cs="Arial"/>
        </w:rPr>
      </w:pPr>
      <w:r w:rsidRPr="00D61FC4">
        <w:rPr>
          <w:rFonts w:cs="Arial"/>
        </w:rPr>
        <w:t>En 2014, le COBORU a reçu au total 75 demandes de protection nationale du droit d’obtenteur, soit 13 demandes de moins que l’année précédente.</w:t>
      </w:r>
    </w:p>
    <w:p w:rsidR="0011211E" w:rsidRPr="00D61FC4" w:rsidRDefault="0011211E" w:rsidP="0011211E">
      <w:pPr>
        <w:pStyle w:val="BodyText"/>
        <w:rPr>
          <w:rFonts w:cs="Arial"/>
        </w:rPr>
      </w:pPr>
    </w:p>
    <w:p w:rsidR="0011211E" w:rsidRPr="00D61FC4" w:rsidRDefault="0011211E" w:rsidP="0011211E">
      <w:pPr>
        <w:pStyle w:val="BodyText"/>
        <w:rPr>
          <w:rFonts w:cs="Arial"/>
        </w:rPr>
      </w:pPr>
      <w:r w:rsidRPr="00D61FC4">
        <w:rPr>
          <w:rFonts w:cs="Arial"/>
        </w:rPr>
        <w:t>Du 1</w:t>
      </w:r>
      <w:r w:rsidRPr="00D61FC4">
        <w:rPr>
          <w:rFonts w:cs="Arial"/>
          <w:vertAlign w:val="superscript"/>
        </w:rPr>
        <w:t>er</w:t>
      </w:r>
      <w:r w:rsidRPr="00D61FC4">
        <w:rPr>
          <w:rFonts w:cs="Arial"/>
        </w:rPr>
        <w:t> janvier au 1</w:t>
      </w:r>
      <w:r w:rsidRPr="00D61FC4">
        <w:rPr>
          <w:rFonts w:cs="Arial"/>
          <w:vertAlign w:val="superscript"/>
        </w:rPr>
        <w:t>er</w:t>
      </w:r>
      <w:r w:rsidRPr="00D61FC4">
        <w:rPr>
          <w:rFonts w:cs="Arial"/>
        </w:rPr>
        <w:t> septembre 2015, 68 nouvelles demandes, dont 39 nationales et 29 étrangères, ont été déposées en vue de l’obtention du droit d’obtenteur au niveau national.  Ce nombre est supérieur de 14 par rapport à celui constaté pendant la période visée par le précédent rapport (54).</w:t>
      </w:r>
    </w:p>
    <w:p w:rsidR="0011211E" w:rsidRPr="00245BB7" w:rsidRDefault="0011211E" w:rsidP="0011211E">
      <w:pPr>
        <w:pStyle w:val="BodyText"/>
        <w:rPr>
          <w:rFonts w:cs="Arial"/>
        </w:rPr>
      </w:pPr>
    </w:p>
    <w:p w:rsidR="0011211E" w:rsidRPr="00D61FC4" w:rsidRDefault="0011211E" w:rsidP="0011211E">
      <w:pPr>
        <w:pStyle w:val="BodyText"/>
        <w:rPr>
          <w:rFonts w:cs="Arial"/>
        </w:rPr>
      </w:pPr>
      <w:r w:rsidRPr="00D61FC4">
        <w:rPr>
          <w:rFonts w:cs="Arial"/>
        </w:rPr>
        <w:t>En 2014, le COBORU a octroyé 57 titres de protection nationale.  À la fin de 2014, 1147 titres nationaux étaient en vigueur, soit une diminution de 91 variétés (7,4%) par rapport à l’année précédente.</w:t>
      </w:r>
    </w:p>
    <w:p w:rsidR="0011211E" w:rsidRPr="00D61FC4" w:rsidRDefault="0011211E" w:rsidP="0011211E">
      <w:pPr>
        <w:pStyle w:val="BodyText"/>
        <w:rPr>
          <w:rFonts w:cs="Arial"/>
        </w:rPr>
      </w:pPr>
    </w:p>
    <w:p w:rsidR="0011211E" w:rsidRPr="00D61FC4" w:rsidRDefault="0011211E" w:rsidP="0011211E">
      <w:pPr>
        <w:pStyle w:val="BodyText"/>
        <w:rPr>
          <w:rFonts w:cs="Arial"/>
        </w:rPr>
      </w:pPr>
      <w:r w:rsidRPr="00D61FC4">
        <w:rPr>
          <w:rFonts w:cs="Arial"/>
        </w:rPr>
        <w:t>Du 1</w:t>
      </w:r>
      <w:r w:rsidRPr="00D61FC4">
        <w:rPr>
          <w:rFonts w:cs="Arial"/>
          <w:vertAlign w:val="superscript"/>
        </w:rPr>
        <w:t>er</w:t>
      </w:r>
      <w:r w:rsidRPr="00D61FC4">
        <w:rPr>
          <w:rFonts w:cs="Arial"/>
        </w:rPr>
        <w:t> janvier au 1</w:t>
      </w:r>
      <w:r w:rsidRPr="00D61FC4">
        <w:rPr>
          <w:rFonts w:cs="Arial"/>
          <w:vertAlign w:val="superscript"/>
        </w:rPr>
        <w:t>er</w:t>
      </w:r>
      <w:r w:rsidRPr="00D61FC4">
        <w:rPr>
          <w:rFonts w:cs="Arial"/>
        </w:rPr>
        <w:t> septembre 2015, 61 titres de protection du droit d’obtenteur ont été octroyés.  Au total, 1154 variétés sont protégées en Pologne (au 1</w:t>
      </w:r>
      <w:r w:rsidRPr="00D61FC4">
        <w:rPr>
          <w:rFonts w:cs="Arial"/>
          <w:vertAlign w:val="superscript"/>
        </w:rPr>
        <w:t>er</w:t>
      </w:r>
      <w:r w:rsidRPr="00D61FC4">
        <w:rPr>
          <w:rFonts w:cs="Arial"/>
        </w:rPr>
        <w:t> septembre 2015).</w:t>
      </w:r>
    </w:p>
    <w:p w:rsidR="0011211E" w:rsidRPr="00245BB7" w:rsidRDefault="0011211E" w:rsidP="0011211E">
      <w:pPr>
        <w:pStyle w:val="BodyText"/>
        <w:rPr>
          <w:rFonts w:cs="Arial"/>
        </w:rPr>
      </w:pPr>
    </w:p>
    <w:p w:rsidR="0011211E" w:rsidRPr="00D61FC4" w:rsidRDefault="0011211E" w:rsidP="0011211E">
      <w:pPr>
        <w:pStyle w:val="BodyText"/>
        <w:rPr>
          <w:rFonts w:cs="Arial"/>
        </w:rPr>
      </w:pPr>
      <w:r w:rsidRPr="00D61FC4">
        <w:rPr>
          <w:rFonts w:cs="Arial"/>
        </w:rPr>
        <w:t>On trouvera des statistiques détaillées dans le tableau ci</w:t>
      </w:r>
      <w:r w:rsidRPr="00D61FC4">
        <w:rPr>
          <w:rFonts w:cs="Arial"/>
        </w:rPr>
        <w:noBreakHyphen/>
        <w:t>après.</w:t>
      </w:r>
    </w:p>
    <w:p w:rsidR="0011211E" w:rsidRPr="00245BB7" w:rsidRDefault="0011211E" w:rsidP="0011211E">
      <w:pPr>
        <w:pStyle w:val="BodyText"/>
        <w:rPr>
          <w:rFonts w:cs="Arial"/>
        </w:rPr>
      </w:pPr>
    </w:p>
    <w:p w:rsidR="0011211E" w:rsidRPr="00D61FC4" w:rsidRDefault="0011211E" w:rsidP="0011211E">
      <w:pPr>
        <w:pStyle w:val="BodyText2"/>
        <w:jc w:val="both"/>
        <w:rPr>
          <w:rFonts w:ascii="Arial" w:hAnsi="Arial" w:cs="Arial"/>
          <w:sz w:val="20"/>
          <w:lang w:val="fr-FR"/>
        </w:rPr>
      </w:pPr>
      <w:r w:rsidRPr="00D61FC4">
        <w:rPr>
          <w:rFonts w:ascii="Arial" w:hAnsi="Arial" w:cs="Arial"/>
          <w:sz w:val="20"/>
          <w:lang w:val="fr-FR"/>
        </w:rPr>
        <w:t>Douze variétés pour lesquelles – pendant la période considérée – des titres nationaux d’obtenteur ont expiré ont également été portées dans la colonne “Titres ayant expiré”.</w:t>
      </w:r>
    </w:p>
    <w:p w:rsidR="0011211E" w:rsidRPr="00D61FC4" w:rsidRDefault="0011211E" w:rsidP="0011211E">
      <w:pPr>
        <w:pStyle w:val="BodyText2"/>
        <w:jc w:val="both"/>
        <w:rPr>
          <w:rFonts w:ascii="Arial" w:hAnsi="Arial" w:cs="Arial"/>
          <w:sz w:val="20"/>
          <w:lang w:val="fr-FR"/>
        </w:rPr>
      </w:pPr>
    </w:p>
    <w:tbl>
      <w:tblPr>
        <w:tblW w:w="9600" w:type="dxa"/>
        <w:tblInd w:w="70" w:type="dxa"/>
        <w:tblLayout w:type="fixed"/>
        <w:tblCellMar>
          <w:left w:w="70" w:type="dxa"/>
          <w:right w:w="70" w:type="dxa"/>
        </w:tblCellMar>
        <w:tblLook w:val="0000" w:firstRow="0" w:lastRow="0" w:firstColumn="0" w:lastColumn="0" w:noHBand="0" w:noVBand="0"/>
      </w:tblPr>
      <w:tblGrid>
        <w:gridCol w:w="1630"/>
        <w:gridCol w:w="974"/>
        <w:gridCol w:w="1022"/>
        <w:gridCol w:w="844"/>
        <w:gridCol w:w="990"/>
        <w:gridCol w:w="1061"/>
        <w:gridCol w:w="789"/>
        <w:gridCol w:w="894"/>
        <w:gridCol w:w="1396"/>
      </w:tblGrid>
      <w:tr w:rsidR="0011211E" w:rsidRPr="00D61FC4" w:rsidTr="00EA781B">
        <w:trPr>
          <w:cantSplit/>
        </w:trPr>
        <w:tc>
          <w:tcPr>
            <w:tcW w:w="1630" w:type="dxa"/>
            <w:tcBorders>
              <w:top w:val="single" w:sz="4" w:space="0" w:color="auto"/>
              <w:left w:val="single" w:sz="6" w:space="0" w:color="auto"/>
            </w:tcBorders>
          </w:tcPr>
          <w:p w:rsidR="0011211E" w:rsidRPr="00D61FC4" w:rsidRDefault="0011211E" w:rsidP="00EA781B">
            <w:pPr>
              <w:jc w:val="center"/>
              <w:rPr>
                <w:rFonts w:cs="Arial"/>
                <w:sz w:val="18"/>
                <w:szCs w:val="18"/>
              </w:rPr>
            </w:pPr>
          </w:p>
          <w:p w:rsidR="0011211E" w:rsidRPr="00D61FC4" w:rsidRDefault="0011211E" w:rsidP="00EA781B">
            <w:pPr>
              <w:jc w:val="center"/>
              <w:rPr>
                <w:rFonts w:cs="Arial"/>
                <w:sz w:val="18"/>
                <w:szCs w:val="18"/>
              </w:rPr>
            </w:pPr>
            <w:r w:rsidRPr="00D61FC4">
              <w:rPr>
                <w:rFonts w:cs="Arial"/>
                <w:sz w:val="18"/>
                <w:szCs w:val="18"/>
              </w:rPr>
              <w:t>Espèce</w:t>
            </w:r>
          </w:p>
          <w:p w:rsidR="0011211E" w:rsidRPr="00D61FC4" w:rsidRDefault="0011211E" w:rsidP="00EA781B">
            <w:pPr>
              <w:jc w:val="center"/>
              <w:rPr>
                <w:rFonts w:cs="Arial"/>
                <w:sz w:val="18"/>
                <w:szCs w:val="18"/>
              </w:rPr>
            </w:pPr>
            <w:r w:rsidRPr="00D61FC4">
              <w:rPr>
                <w:rFonts w:cs="Arial"/>
                <w:sz w:val="18"/>
                <w:szCs w:val="18"/>
              </w:rPr>
              <w:t>végétale</w:t>
            </w:r>
          </w:p>
        </w:tc>
        <w:tc>
          <w:tcPr>
            <w:tcW w:w="2840" w:type="dxa"/>
            <w:gridSpan w:val="3"/>
            <w:tcBorders>
              <w:top w:val="single" w:sz="4" w:space="0" w:color="auto"/>
              <w:left w:val="single" w:sz="12" w:space="0" w:color="auto"/>
              <w:right w:val="single" w:sz="12" w:space="0" w:color="auto"/>
            </w:tcBorders>
          </w:tcPr>
          <w:p w:rsidR="0011211E" w:rsidRPr="00D61FC4" w:rsidRDefault="0011211E" w:rsidP="00EA781B">
            <w:pPr>
              <w:jc w:val="center"/>
              <w:rPr>
                <w:rFonts w:cs="Arial"/>
                <w:sz w:val="18"/>
                <w:szCs w:val="18"/>
              </w:rPr>
            </w:pPr>
            <w:r w:rsidRPr="00D61FC4">
              <w:rPr>
                <w:rFonts w:cs="Arial"/>
                <w:sz w:val="18"/>
                <w:szCs w:val="18"/>
              </w:rPr>
              <w:t>Demandes de droits d’obtenteur</w:t>
            </w:r>
          </w:p>
          <w:p w:rsidR="0011211E" w:rsidRPr="00D61FC4" w:rsidRDefault="0011211E" w:rsidP="00EA781B">
            <w:pPr>
              <w:jc w:val="center"/>
              <w:rPr>
                <w:rFonts w:cs="Arial"/>
                <w:sz w:val="18"/>
                <w:szCs w:val="18"/>
              </w:rPr>
            </w:pPr>
            <w:r w:rsidRPr="00D61FC4">
              <w:rPr>
                <w:rFonts w:cs="Arial"/>
                <w:sz w:val="18"/>
                <w:szCs w:val="18"/>
              </w:rPr>
              <w:t>1</w:t>
            </w:r>
            <w:r w:rsidRPr="00D61FC4">
              <w:rPr>
                <w:rFonts w:cs="Arial"/>
                <w:sz w:val="18"/>
                <w:szCs w:val="18"/>
                <w:vertAlign w:val="superscript"/>
              </w:rPr>
              <w:t>er</w:t>
            </w:r>
            <w:r w:rsidRPr="00D61FC4">
              <w:rPr>
                <w:rFonts w:cs="Arial"/>
                <w:sz w:val="18"/>
                <w:szCs w:val="18"/>
              </w:rPr>
              <w:t> janv. – 1</w:t>
            </w:r>
            <w:r w:rsidRPr="00D61FC4">
              <w:rPr>
                <w:rFonts w:cs="Arial"/>
                <w:sz w:val="18"/>
                <w:szCs w:val="18"/>
                <w:vertAlign w:val="superscript"/>
              </w:rPr>
              <w:t>er</w:t>
            </w:r>
            <w:r w:rsidRPr="00D61FC4">
              <w:rPr>
                <w:rFonts w:cs="Arial"/>
                <w:sz w:val="18"/>
                <w:szCs w:val="18"/>
              </w:rPr>
              <w:t> sept. 2015</w:t>
            </w:r>
          </w:p>
        </w:tc>
        <w:tc>
          <w:tcPr>
            <w:tcW w:w="2840" w:type="dxa"/>
            <w:gridSpan w:val="3"/>
            <w:tcBorders>
              <w:top w:val="single" w:sz="4" w:space="0" w:color="auto"/>
              <w:left w:val="nil"/>
              <w:right w:val="single" w:sz="12" w:space="0" w:color="auto"/>
            </w:tcBorders>
            <w:shd w:val="clear" w:color="auto" w:fill="FFFFFF"/>
          </w:tcPr>
          <w:p w:rsidR="0011211E" w:rsidRPr="00D61FC4" w:rsidRDefault="0011211E" w:rsidP="00EA781B">
            <w:pPr>
              <w:shd w:val="clear" w:color="auto" w:fill="FFFFFF"/>
              <w:jc w:val="center"/>
              <w:rPr>
                <w:rFonts w:cs="Arial"/>
                <w:sz w:val="18"/>
                <w:szCs w:val="18"/>
              </w:rPr>
            </w:pPr>
            <w:r w:rsidRPr="00D61FC4">
              <w:rPr>
                <w:rFonts w:cs="Arial"/>
                <w:sz w:val="18"/>
                <w:szCs w:val="18"/>
              </w:rPr>
              <w:t>Droits d’obtenteur délivrés</w:t>
            </w:r>
          </w:p>
          <w:p w:rsidR="0011211E" w:rsidRPr="00D61FC4" w:rsidRDefault="0011211E" w:rsidP="00EA781B">
            <w:pPr>
              <w:shd w:val="clear" w:color="auto" w:fill="FFFFFF"/>
              <w:jc w:val="center"/>
              <w:rPr>
                <w:rFonts w:cs="Arial"/>
                <w:sz w:val="18"/>
                <w:szCs w:val="18"/>
              </w:rPr>
            </w:pPr>
            <w:r w:rsidRPr="00D61FC4">
              <w:rPr>
                <w:rFonts w:cs="Arial"/>
                <w:sz w:val="18"/>
                <w:szCs w:val="18"/>
              </w:rPr>
              <w:t>1</w:t>
            </w:r>
            <w:r w:rsidRPr="00D61FC4">
              <w:rPr>
                <w:rFonts w:cs="Arial"/>
                <w:sz w:val="18"/>
                <w:szCs w:val="18"/>
                <w:vertAlign w:val="superscript"/>
              </w:rPr>
              <w:t>er</w:t>
            </w:r>
            <w:r w:rsidRPr="00D61FC4">
              <w:rPr>
                <w:rFonts w:cs="Arial"/>
                <w:sz w:val="18"/>
                <w:szCs w:val="18"/>
              </w:rPr>
              <w:t> janv. – 1</w:t>
            </w:r>
            <w:r w:rsidRPr="00D61FC4">
              <w:rPr>
                <w:rFonts w:cs="Arial"/>
                <w:sz w:val="18"/>
                <w:szCs w:val="18"/>
                <w:vertAlign w:val="superscript"/>
              </w:rPr>
              <w:t>er</w:t>
            </w:r>
            <w:r w:rsidRPr="00D61FC4">
              <w:rPr>
                <w:rFonts w:cs="Arial"/>
                <w:sz w:val="18"/>
                <w:szCs w:val="18"/>
              </w:rPr>
              <w:t> sept. 2015</w:t>
            </w:r>
          </w:p>
        </w:tc>
        <w:tc>
          <w:tcPr>
            <w:tcW w:w="894" w:type="dxa"/>
            <w:tcBorders>
              <w:top w:val="single" w:sz="4" w:space="0" w:color="auto"/>
              <w:left w:val="nil"/>
              <w:right w:val="single" w:sz="12" w:space="0" w:color="auto"/>
            </w:tcBorders>
          </w:tcPr>
          <w:p w:rsidR="0011211E" w:rsidRPr="00D61FC4" w:rsidRDefault="0011211E" w:rsidP="00EA781B">
            <w:pPr>
              <w:jc w:val="center"/>
              <w:rPr>
                <w:rFonts w:cs="Arial"/>
                <w:sz w:val="18"/>
                <w:szCs w:val="18"/>
              </w:rPr>
            </w:pPr>
            <w:r w:rsidRPr="00D61FC4">
              <w:rPr>
                <w:rFonts w:cs="Arial"/>
                <w:sz w:val="18"/>
                <w:szCs w:val="18"/>
              </w:rPr>
              <w:t>Titres</w:t>
            </w:r>
          </w:p>
          <w:p w:rsidR="0011211E" w:rsidRPr="00D61FC4" w:rsidRDefault="0011211E" w:rsidP="00EA781B">
            <w:pPr>
              <w:jc w:val="center"/>
              <w:rPr>
                <w:rFonts w:cs="Arial"/>
                <w:sz w:val="18"/>
                <w:szCs w:val="18"/>
              </w:rPr>
            </w:pPr>
            <w:r w:rsidRPr="00D61FC4">
              <w:rPr>
                <w:rFonts w:cs="Arial"/>
                <w:sz w:val="18"/>
                <w:szCs w:val="18"/>
              </w:rPr>
              <w:t>ayant expiré</w:t>
            </w:r>
          </w:p>
        </w:tc>
        <w:tc>
          <w:tcPr>
            <w:tcW w:w="1396" w:type="dxa"/>
            <w:tcBorders>
              <w:top w:val="single" w:sz="4" w:space="0" w:color="auto"/>
              <w:left w:val="nil"/>
              <w:right w:val="single" w:sz="6" w:space="0" w:color="auto"/>
            </w:tcBorders>
            <w:shd w:val="clear" w:color="auto" w:fill="FFFFFF"/>
          </w:tcPr>
          <w:p w:rsidR="0011211E" w:rsidRPr="00D61FC4" w:rsidRDefault="0011211E" w:rsidP="00EA781B">
            <w:pPr>
              <w:ind w:right="-6"/>
              <w:jc w:val="center"/>
              <w:rPr>
                <w:rFonts w:cs="Arial"/>
                <w:sz w:val="18"/>
                <w:szCs w:val="18"/>
              </w:rPr>
            </w:pPr>
            <w:r w:rsidRPr="00D61FC4">
              <w:rPr>
                <w:rFonts w:cs="Arial"/>
                <w:sz w:val="18"/>
                <w:szCs w:val="18"/>
              </w:rPr>
              <w:t>Titres en vigueur au 1</w:t>
            </w:r>
            <w:r w:rsidRPr="00D61FC4">
              <w:rPr>
                <w:rFonts w:cs="Arial"/>
                <w:sz w:val="18"/>
                <w:szCs w:val="18"/>
                <w:vertAlign w:val="superscript"/>
              </w:rPr>
              <w:t>er</w:t>
            </w:r>
            <w:r w:rsidRPr="00D61FC4">
              <w:rPr>
                <w:rFonts w:cs="Arial"/>
                <w:sz w:val="18"/>
                <w:szCs w:val="18"/>
              </w:rPr>
              <w:t> sept. 2015</w:t>
            </w:r>
          </w:p>
        </w:tc>
      </w:tr>
      <w:tr w:rsidR="0011211E" w:rsidRPr="00D61FC4" w:rsidTr="00EA781B">
        <w:trPr>
          <w:cantSplit/>
        </w:trPr>
        <w:tc>
          <w:tcPr>
            <w:tcW w:w="1630" w:type="dxa"/>
            <w:tcBorders>
              <w:left w:val="single" w:sz="6" w:space="0" w:color="auto"/>
              <w:right w:val="single" w:sz="12" w:space="0" w:color="auto"/>
            </w:tcBorders>
          </w:tcPr>
          <w:p w:rsidR="0011211E" w:rsidRPr="00D61FC4" w:rsidRDefault="0011211E" w:rsidP="00EA781B">
            <w:pPr>
              <w:rPr>
                <w:rFonts w:cs="Arial"/>
                <w:sz w:val="18"/>
                <w:szCs w:val="18"/>
              </w:rPr>
            </w:pPr>
          </w:p>
        </w:tc>
        <w:tc>
          <w:tcPr>
            <w:tcW w:w="974" w:type="dxa"/>
            <w:tcBorders>
              <w:top w:val="single" w:sz="6" w:space="0" w:color="auto"/>
              <w:left w:val="nil"/>
              <w:right w:val="single" w:sz="6" w:space="0" w:color="auto"/>
            </w:tcBorders>
          </w:tcPr>
          <w:p w:rsidR="0011211E" w:rsidRPr="00D61FC4" w:rsidRDefault="0011211E" w:rsidP="00EA781B">
            <w:pPr>
              <w:jc w:val="center"/>
              <w:rPr>
                <w:rFonts w:cs="Arial"/>
                <w:sz w:val="18"/>
                <w:szCs w:val="18"/>
              </w:rPr>
            </w:pPr>
            <w:r w:rsidRPr="00D61FC4">
              <w:rPr>
                <w:rFonts w:cs="Arial"/>
                <w:sz w:val="18"/>
                <w:szCs w:val="18"/>
              </w:rPr>
              <w:t>nationales</w:t>
            </w:r>
          </w:p>
        </w:tc>
        <w:tc>
          <w:tcPr>
            <w:tcW w:w="1022" w:type="dxa"/>
            <w:tcBorders>
              <w:top w:val="single" w:sz="6" w:space="0" w:color="auto"/>
              <w:left w:val="nil"/>
              <w:right w:val="single" w:sz="6" w:space="0" w:color="auto"/>
            </w:tcBorders>
          </w:tcPr>
          <w:p w:rsidR="0011211E" w:rsidRPr="00D61FC4" w:rsidRDefault="0011211E" w:rsidP="00EA781B">
            <w:pPr>
              <w:jc w:val="center"/>
              <w:rPr>
                <w:rFonts w:cs="Arial"/>
                <w:sz w:val="18"/>
                <w:szCs w:val="18"/>
              </w:rPr>
            </w:pPr>
            <w:r w:rsidRPr="00D61FC4">
              <w:rPr>
                <w:rFonts w:cs="Arial"/>
                <w:sz w:val="18"/>
                <w:szCs w:val="18"/>
              </w:rPr>
              <w:t>étrangères</w:t>
            </w:r>
          </w:p>
        </w:tc>
        <w:tc>
          <w:tcPr>
            <w:tcW w:w="844" w:type="dxa"/>
            <w:tcBorders>
              <w:top w:val="single" w:sz="6" w:space="0" w:color="auto"/>
              <w:left w:val="nil"/>
              <w:right w:val="single" w:sz="12" w:space="0" w:color="auto"/>
            </w:tcBorders>
          </w:tcPr>
          <w:p w:rsidR="0011211E" w:rsidRPr="00D61FC4" w:rsidRDefault="0011211E" w:rsidP="00EA781B">
            <w:pPr>
              <w:jc w:val="center"/>
              <w:rPr>
                <w:rFonts w:cs="Arial"/>
                <w:sz w:val="18"/>
                <w:szCs w:val="18"/>
              </w:rPr>
            </w:pPr>
            <w:r w:rsidRPr="00D61FC4">
              <w:rPr>
                <w:rFonts w:cs="Arial"/>
                <w:sz w:val="18"/>
                <w:szCs w:val="18"/>
              </w:rPr>
              <w:t>total</w:t>
            </w:r>
          </w:p>
        </w:tc>
        <w:tc>
          <w:tcPr>
            <w:tcW w:w="990" w:type="dxa"/>
            <w:tcBorders>
              <w:top w:val="single" w:sz="6" w:space="0" w:color="auto"/>
              <w:left w:val="nil"/>
              <w:right w:val="single" w:sz="6" w:space="0" w:color="auto"/>
            </w:tcBorders>
          </w:tcPr>
          <w:p w:rsidR="0011211E" w:rsidRPr="00D61FC4" w:rsidRDefault="0011211E" w:rsidP="00EA781B">
            <w:pPr>
              <w:jc w:val="center"/>
              <w:rPr>
                <w:rFonts w:cs="Arial"/>
                <w:sz w:val="18"/>
                <w:szCs w:val="18"/>
              </w:rPr>
            </w:pPr>
            <w:r w:rsidRPr="00D61FC4">
              <w:rPr>
                <w:rFonts w:cs="Arial"/>
                <w:sz w:val="18"/>
                <w:szCs w:val="18"/>
              </w:rPr>
              <w:t>nationaux</w:t>
            </w:r>
          </w:p>
        </w:tc>
        <w:tc>
          <w:tcPr>
            <w:tcW w:w="1061" w:type="dxa"/>
            <w:tcBorders>
              <w:top w:val="single" w:sz="6" w:space="0" w:color="auto"/>
              <w:left w:val="nil"/>
              <w:right w:val="single" w:sz="6" w:space="0" w:color="auto"/>
            </w:tcBorders>
          </w:tcPr>
          <w:p w:rsidR="0011211E" w:rsidRPr="00D61FC4" w:rsidRDefault="0011211E" w:rsidP="00EA781B">
            <w:pPr>
              <w:jc w:val="center"/>
              <w:rPr>
                <w:rFonts w:cs="Arial"/>
                <w:sz w:val="18"/>
                <w:szCs w:val="18"/>
              </w:rPr>
            </w:pPr>
            <w:r w:rsidRPr="00D61FC4">
              <w:rPr>
                <w:rFonts w:cs="Arial"/>
                <w:sz w:val="18"/>
                <w:szCs w:val="18"/>
              </w:rPr>
              <w:t>étrangers</w:t>
            </w:r>
          </w:p>
        </w:tc>
        <w:tc>
          <w:tcPr>
            <w:tcW w:w="789" w:type="dxa"/>
            <w:tcBorders>
              <w:top w:val="single" w:sz="6" w:space="0" w:color="auto"/>
              <w:left w:val="nil"/>
              <w:right w:val="single" w:sz="12" w:space="0" w:color="auto"/>
            </w:tcBorders>
          </w:tcPr>
          <w:p w:rsidR="0011211E" w:rsidRPr="00D61FC4" w:rsidRDefault="0011211E" w:rsidP="00EA781B">
            <w:pPr>
              <w:jc w:val="center"/>
              <w:rPr>
                <w:rFonts w:cs="Arial"/>
                <w:sz w:val="18"/>
                <w:szCs w:val="18"/>
              </w:rPr>
            </w:pPr>
            <w:r w:rsidRPr="00D61FC4">
              <w:rPr>
                <w:rFonts w:cs="Arial"/>
                <w:sz w:val="18"/>
                <w:szCs w:val="18"/>
              </w:rPr>
              <w:t>total</w:t>
            </w:r>
          </w:p>
        </w:tc>
        <w:tc>
          <w:tcPr>
            <w:tcW w:w="894" w:type="dxa"/>
            <w:tcBorders>
              <w:left w:val="nil"/>
              <w:right w:val="single" w:sz="12" w:space="0" w:color="auto"/>
            </w:tcBorders>
          </w:tcPr>
          <w:p w:rsidR="0011211E" w:rsidRPr="00D61FC4" w:rsidRDefault="0011211E" w:rsidP="00EA781B">
            <w:pPr>
              <w:jc w:val="center"/>
              <w:rPr>
                <w:rFonts w:cs="Arial"/>
                <w:sz w:val="18"/>
                <w:szCs w:val="18"/>
              </w:rPr>
            </w:pPr>
          </w:p>
        </w:tc>
        <w:tc>
          <w:tcPr>
            <w:tcW w:w="1396" w:type="dxa"/>
            <w:tcBorders>
              <w:left w:val="nil"/>
              <w:right w:val="single" w:sz="6" w:space="0" w:color="auto"/>
            </w:tcBorders>
            <w:shd w:val="clear" w:color="auto" w:fill="FFFFFF"/>
          </w:tcPr>
          <w:p w:rsidR="0011211E" w:rsidRPr="00D61FC4" w:rsidRDefault="0011211E" w:rsidP="00EA781B">
            <w:pPr>
              <w:jc w:val="center"/>
              <w:rPr>
                <w:rFonts w:cs="Arial"/>
                <w:sz w:val="18"/>
                <w:szCs w:val="18"/>
              </w:rPr>
            </w:pPr>
          </w:p>
        </w:tc>
      </w:tr>
      <w:tr w:rsidR="0011211E" w:rsidRPr="00D61FC4" w:rsidTr="00EA781B">
        <w:trPr>
          <w:cantSplit/>
        </w:trPr>
        <w:tc>
          <w:tcPr>
            <w:tcW w:w="1630" w:type="dxa"/>
            <w:tcBorders>
              <w:top w:val="single" w:sz="12" w:space="0" w:color="auto"/>
              <w:left w:val="single" w:sz="6" w:space="0" w:color="auto"/>
              <w:bottom w:val="single" w:sz="6" w:space="0" w:color="auto"/>
              <w:right w:val="single" w:sz="12" w:space="0" w:color="auto"/>
            </w:tcBorders>
          </w:tcPr>
          <w:p w:rsidR="0011211E" w:rsidRPr="00D61FC4" w:rsidRDefault="0011211E" w:rsidP="00EA781B">
            <w:pPr>
              <w:spacing w:before="120"/>
              <w:jc w:val="center"/>
              <w:rPr>
                <w:rFonts w:cs="Arial"/>
                <w:sz w:val="18"/>
                <w:szCs w:val="18"/>
              </w:rPr>
            </w:pPr>
            <w:r w:rsidRPr="00D61FC4">
              <w:rPr>
                <w:rFonts w:cs="Arial"/>
                <w:sz w:val="18"/>
                <w:szCs w:val="18"/>
              </w:rPr>
              <w:t>Plantes agricoles</w:t>
            </w:r>
          </w:p>
        </w:tc>
        <w:tc>
          <w:tcPr>
            <w:tcW w:w="974" w:type="dxa"/>
            <w:tcBorders>
              <w:top w:val="single" w:sz="12" w:space="0" w:color="auto"/>
              <w:left w:val="nil"/>
              <w:bottom w:val="single" w:sz="6" w:space="0" w:color="auto"/>
              <w:right w:val="single" w:sz="6" w:space="0" w:color="auto"/>
            </w:tcBorders>
          </w:tcPr>
          <w:p w:rsidR="0011211E" w:rsidRPr="00D61FC4" w:rsidRDefault="0011211E" w:rsidP="00EA781B">
            <w:pPr>
              <w:spacing w:before="120"/>
              <w:jc w:val="center"/>
              <w:rPr>
                <w:rFonts w:cs="Arial"/>
                <w:sz w:val="18"/>
                <w:szCs w:val="18"/>
              </w:rPr>
            </w:pPr>
            <w:r w:rsidRPr="00D61FC4">
              <w:rPr>
                <w:rFonts w:cs="Arial"/>
                <w:sz w:val="18"/>
                <w:szCs w:val="18"/>
              </w:rPr>
              <w:t>23</w:t>
            </w:r>
          </w:p>
        </w:tc>
        <w:tc>
          <w:tcPr>
            <w:tcW w:w="1022" w:type="dxa"/>
            <w:tcBorders>
              <w:top w:val="single" w:sz="12" w:space="0" w:color="auto"/>
              <w:left w:val="single" w:sz="6" w:space="0" w:color="auto"/>
              <w:bottom w:val="single" w:sz="6" w:space="0" w:color="auto"/>
              <w:right w:val="single" w:sz="6" w:space="0" w:color="auto"/>
            </w:tcBorders>
          </w:tcPr>
          <w:p w:rsidR="0011211E" w:rsidRPr="00D61FC4" w:rsidRDefault="0011211E" w:rsidP="00EA781B">
            <w:pPr>
              <w:spacing w:before="120"/>
              <w:jc w:val="center"/>
              <w:rPr>
                <w:rFonts w:cs="Arial"/>
                <w:sz w:val="18"/>
                <w:szCs w:val="18"/>
              </w:rPr>
            </w:pPr>
            <w:r w:rsidRPr="00D61FC4">
              <w:rPr>
                <w:rFonts w:cs="Arial"/>
                <w:sz w:val="18"/>
                <w:szCs w:val="18"/>
              </w:rPr>
              <w:t>3</w:t>
            </w:r>
          </w:p>
        </w:tc>
        <w:tc>
          <w:tcPr>
            <w:tcW w:w="844" w:type="dxa"/>
            <w:tcBorders>
              <w:top w:val="single" w:sz="12" w:space="0" w:color="auto"/>
              <w:left w:val="single" w:sz="6" w:space="0" w:color="auto"/>
              <w:bottom w:val="single" w:sz="6" w:space="0" w:color="auto"/>
              <w:right w:val="single" w:sz="12" w:space="0" w:color="auto"/>
            </w:tcBorders>
            <w:shd w:val="clear" w:color="auto" w:fill="D9D9D9"/>
          </w:tcPr>
          <w:p w:rsidR="0011211E" w:rsidRPr="00D61FC4" w:rsidRDefault="0011211E" w:rsidP="00EA781B">
            <w:pPr>
              <w:spacing w:before="120"/>
              <w:jc w:val="center"/>
              <w:rPr>
                <w:rFonts w:cs="Arial"/>
                <w:sz w:val="18"/>
                <w:szCs w:val="18"/>
              </w:rPr>
            </w:pPr>
            <w:r w:rsidRPr="00D61FC4">
              <w:rPr>
                <w:rFonts w:cs="Arial"/>
                <w:sz w:val="18"/>
                <w:szCs w:val="18"/>
              </w:rPr>
              <w:t>26</w:t>
            </w:r>
          </w:p>
        </w:tc>
        <w:tc>
          <w:tcPr>
            <w:tcW w:w="990" w:type="dxa"/>
            <w:tcBorders>
              <w:top w:val="single" w:sz="12" w:space="0" w:color="auto"/>
              <w:left w:val="nil"/>
              <w:bottom w:val="single" w:sz="6" w:space="0" w:color="auto"/>
              <w:right w:val="single" w:sz="6" w:space="0" w:color="auto"/>
            </w:tcBorders>
          </w:tcPr>
          <w:p w:rsidR="0011211E" w:rsidRPr="00D61FC4" w:rsidRDefault="0011211E" w:rsidP="00EA781B">
            <w:pPr>
              <w:spacing w:before="120"/>
              <w:jc w:val="center"/>
              <w:rPr>
                <w:rFonts w:cs="Arial"/>
                <w:sz w:val="18"/>
                <w:szCs w:val="18"/>
              </w:rPr>
            </w:pPr>
            <w:r w:rsidRPr="00D61FC4">
              <w:rPr>
                <w:rFonts w:cs="Arial"/>
                <w:sz w:val="18"/>
                <w:szCs w:val="18"/>
              </w:rPr>
              <w:t>29</w:t>
            </w:r>
          </w:p>
        </w:tc>
        <w:tc>
          <w:tcPr>
            <w:tcW w:w="1061" w:type="dxa"/>
            <w:tcBorders>
              <w:top w:val="single" w:sz="12" w:space="0" w:color="auto"/>
              <w:left w:val="single" w:sz="6" w:space="0" w:color="auto"/>
              <w:bottom w:val="single" w:sz="6" w:space="0" w:color="auto"/>
              <w:right w:val="single" w:sz="6" w:space="0" w:color="auto"/>
            </w:tcBorders>
          </w:tcPr>
          <w:p w:rsidR="0011211E" w:rsidRPr="00D61FC4" w:rsidRDefault="0011211E" w:rsidP="00EA781B">
            <w:pPr>
              <w:spacing w:before="120"/>
              <w:jc w:val="center"/>
              <w:rPr>
                <w:rFonts w:cs="Arial"/>
                <w:sz w:val="18"/>
                <w:szCs w:val="18"/>
              </w:rPr>
            </w:pPr>
            <w:r w:rsidRPr="00D61FC4">
              <w:rPr>
                <w:rFonts w:cs="Arial"/>
                <w:sz w:val="18"/>
                <w:szCs w:val="18"/>
              </w:rPr>
              <w:noBreakHyphen/>
            </w:r>
          </w:p>
        </w:tc>
        <w:tc>
          <w:tcPr>
            <w:tcW w:w="789" w:type="dxa"/>
            <w:tcBorders>
              <w:top w:val="single" w:sz="12" w:space="0" w:color="auto"/>
              <w:left w:val="single" w:sz="6" w:space="0" w:color="auto"/>
              <w:bottom w:val="single" w:sz="6" w:space="0" w:color="auto"/>
              <w:right w:val="single" w:sz="12" w:space="0" w:color="auto"/>
            </w:tcBorders>
            <w:shd w:val="clear" w:color="auto" w:fill="D9D9D9"/>
          </w:tcPr>
          <w:p w:rsidR="0011211E" w:rsidRPr="00D61FC4" w:rsidRDefault="0011211E" w:rsidP="00EA781B">
            <w:pPr>
              <w:spacing w:before="120"/>
              <w:jc w:val="center"/>
              <w:rPr>
                <w:rFonts w:cs="Arial"/>
                <w:sz w:val="18"/>
                <w:szCs w:val="18"/>
              </w:rPr>
            </w:pPr>
            <w:r w:rsidRPr="00D61FC4">
              <w:rPr>
                <w:rFonts w:cs="Arial"/>
                <w:sz w:val="18"/>
                <w:szCs w:val="18"/>
              </w:rPr>
              <w:t>29</w:t>
            </w:r>
          </w:p>
        </w:tc>
        <w:tc>
          <w:tcPr>
            <w:tcW w:w="894" w:type="dxa"/>
            <w:tcBorders>
              <w:top w:val="single" w:sz="12" w:space="0" w:color="auto"/>
              <w:left w:val="nil"/>
              <w:bottom w:val="single" w:sz="6" w:space="0" w:color="auto"/>
              <w:right w:val="single" w:sz="12" w:space="0" w:color="auto"/>
            </w:tcBorders>
          </w:tcPr>
          <w:p w:rsidR="0011211E" w:rsidRPr="00D61FC4" w:rsidRDefault="0011211E" w:rsidP="00EA781B">
            <w:pPr>
              <w:spacing w:before="120"/>
              <w:jc w:val="center"/>
              <w:rPr>
                <w:rFonts w:cs="Arial"/>
                <w:sz w:val="18"/>
                <w:szCs w:val="18"/>
              </w:rPr>
            </w:pPr>
            <w:r w:rsidRPr="00D61FC4">
              <w:rPr>
                <w:rFonts w:cs="Arial"/>
                <w:sz w:val="18"/>
                <w:szCs w:val="18"/>
              </w:rPr>
              <w:t>21</w:t>
            </w:r>
          </w:p>
        </w:tc>
        <w:tc>
          <w:tcPr>
            <w:tcW w:w="1396" w:type="dxa"/>
            <w:tcBorders>
              <w:top w:val="single" w:sz="12" w:space="0" w:color="auto"/>
              <w:left w:val="nil"/>
              <w:bottom w:val="single" w:sz="6" w:space="0" w:color="auto"/>
              <w:right w:val="single" w:sz="6" w:space="0" w:color="auto"/>
            </w:tcBorders>
            <w:shd w:val="clear" w:color="auto" w:fill="D9D9D9"/>
          </w:tcPr>
          <w:p w:rsidR="0011211E" w:rsidRPr="00D61FC4" w:rsidRDefault="0011211E" w:rsidP="00EA781B">
            <w:pPr>
              <w:spacing w:before="120"/>
              <w:jc w:val="center"/>
              <w:rPr>
                <w:rFonts w:cs="Arial"/>
                <w:sz w:val="18"/>
                <w:szCs w:val="18"/>
              </w:rPr>
            </w:pPr>
            <w:r w:rsidRPr="00D61FC4">
              <w:rPr>
                <w:rFonts w:cs="Arial"/>
                <w:sz w:val="18"/>
                <w:szCs w:val="18"/>
              </w:rPr>
              <w:t>624</w:t>
            </w:r>
          </w:p>
        </w:tc>
      </w:tr>
      <w:tr w:rsidR="0011211E" w:rsidRPr="00D61FC4" w:rsidTr="00EA781B">
        <w:trPr>
          <w:cantSplit/>
        </w:trPr>
        <w:tc>
          <w:tcPr>
            <w:tcW w:w="1630" w:type="dxa"/>
            <w:tcBorders>
              <w:top w:val="single" w:sz="6" w:space="0" w:color="auto"/>
              <w:left w:val="single" w:sz="6" w:space="0" w:color="auto"/>
              <w:bottom w:val="single" w:sz="6" w:space="0" w:color="auto"/>
              <w:right w:val="single" w:sz="12" w:space="0" w:color="auto"/>
            </w:tcBorders>
          </w:tcPr>
          <w:p w:rsidR="0011211E" w:rsidRPr="00D61FC4" w:rsidRDefault="0011211E" w:rsidP="00EA781B">
            <w:pPr>
              <w:spacing w:before="120"/>
              <w:jc w:val="center"/>
              <w:rPr>
                <w:rFonts w:cs="Arial"/>
                <w:sz w:val="18"/>
                <w:szCs w:val="18"/>
              </w:rPr>
            </w:pPr>
            <w:r w:rsidRPr="00D61FC4">
              <w:rPr>
                <w:rFonts w:cs="Arial"/>
                <w:sz w:val="18"/>
                <w:szCs w:val="18"/>
              </w:rPr>
              <w:t>Plantes potagères</w:t>
            </w:r>
          </w:p>
        </w:tc>
        <w:tc>
          <w:tcPr>
            <w:tcW w:w="974" w:type="dxa"/>
            <w:tcBorders>
              <w:top w:val="single" w:sz="6" w:space="0" w:color="auto"/>
              <w:left w:val="nil"/>
              <w:bottom w:val="single" w:sz="6" w:space="0" w:color="auto"/>
              <w:right w:val="single" w:sz="6" w:space="0" w:color="auto"/>
            </w:tcBorders>
          </w:tcPr>
          <w:p w:rsidR="0011211E" w:rsidRPr="00D61FC4" w:rsidRDefault="0011211E" w:rsidP="00EA781B">
            <w:pPr>
              <w:spacing w:before="120"/>
              <w:jc w:val="center"/>
              <w:rPr>
                <w:rFonts w:cs="Arial"/>
                <w:sz w:val="18"/>
                <w:szCs w:val="18"/>
              </w:rPr>
            </w:pPr>
            <w:r w:rsidRPr="00D61FC4">
              <w:rPr>
                <w:rFonts w:cs="Arial"/>
                <w:sz w:val="18"/>
                <w:szCs w:val="18"/>
              </w:rPr>
              <w:noBreakHyphen/>
            </w:r>
          </w:p>
        </w:tc>
        <w:tc>
          <w:tcPr>
            <w:tcW w:w="1022" w:type="dxa"/>
            <w:tcBorders>
              <w:top w:val="single" w:sz="6" w:space="0" w:color="auto"/>
              <w:left w:val="single" w:sz="6" w:space="0" w:color="auto"/>
              <w:bottom w:val="single" w:sz="6" w:space="0" w:color="auto"/>
              <w:right w:val="single" w:sz="6" w:space="0" w:color="auto"/>
            </w:tcBorders>
          </w:tcPr>
          <w:p w:rsidR="0011211E" w:rsidRPr="00D61FC4" w:rsidRDefault="0011211E" w:rsidP="00EA781B">
            <w:pPr>
              <w:spacing w:before="120"/>
              <w:jc w:val="center"/>
              <w:rPr>
                <w:rFonts w:cs="Arial"/>
                <w:sz w:val="18"/>
                <w:szCs w:val="18"/>
              </w:rPr>
            </w:pPr>
            <w:r w:rsidRPr="00D61FC4">
              <w:rPr>
                <w:rFonts w:cs="Arial"/>
                <w:sz w:val="18"/>
                <w:szCs w:val="18"/>
              </w:rPr>
              <w:t>1</w:t>
            </w:r>
          </w:p>
        </w:tc>
        <w:tc>
          <w:tcPr>
            <w:tcW w:w="844" w:type="dxa"/>
            <w:tcBorders>
              <w:top w:val="single" w:sz="6" w:space="0" w:color="auto"/>
              <w:left w:val="single" w:sz="6" w:space="0" w:color="auto"/>
              <w:bottom w:val="single" w:sz="6" w:space="0" w:color="auto"/>
              <w:right w:val="single" w:sz="12" w:space="0" w:color="auto"/>
            </w:tcBorders>
            <w:shd w:val="clear" w:color="auto" w:fill="D9D9D9"/>
          </w:tcPr>
          <w:p w:rsidR="0011211E" w:rsidRPr="00D61FC4" w:rsidRDefault="0011211E" w:rsidP="00EA781B">
            <w:pPr>
              <w:spacing w:before="120"/>
              <w:jc w:val="center"/>
              <w:rPr>
                <w:rFonts w:cs="Arial"/>
                <w:sz w:val="18"/>
                <w:szCs w:val="18"/>
              </w:rPr>
            </w:pPr>
            <w:r w:rsidRPr="00D61FC4">
              <w:rPr>
                <w:rFonts w:cs="Arial"/>
                <w:sz w:val="18"/>
                <w:szCs w:val="18"/>
              </w:rPr>
              <w:t>1</w:t>
            </w:r>
          </w:p>
        </w:tc>
        <w:tc>
          <w:tcPr>
            <w:tcW w:w="990" w:type="dxa"/>
            <w:tcBorders>
              <w:top w:val="single" w:sz="6" w:space="0" w:color="auto"/>
              <w:left w:val="nil"/>
              <w:bottom w:val="single" w:sz="6" w:space="0" w:color="auto"/>
              <w:right w:val="single" w:sz="6" w:space="0" w:color="auto"/>
            </w:tcBorders>
          </w:tcPr>
          <w:p w:rsidR="0011211E" w:rsidRPr="00D61FC4" w:rsidRDefault="0011211E" w:rsidP="00EA781B">
            <w:pPr>
              <w:spacing w:before="120"/>
              <w:jc w:val="center"/>
              <w:rPr>
                <w:rFonts w:cs="Arial"/>
                <w:sz w:val="18"/>
                <w:szCs w:val="18"/>
              </w:rPr>
            </w:pPr>
            <w:r w:rsidRPr="00D61FC4">
              <w:rPr>
                <w:rFonts w:cs="Arial"/>
                <w:sz w:val="18"/>
                <w:szCs w:val="18"/>
              </w:rPr>
              <w:t>3</w:t>
            </w:r>
          </w:p>
        </w:tc>
        <w:tc>
          <w:tcPr>
            <w:tcW w:w="1061" w:type="dxa"/>
            <w:tcBorders>
              <w:top w:val="single" w:sz="6" w:space="0" w:color="auto"/>
              <w:left w:val="single" w:sz="6" w:space="0" w:color="auto"/>
              <w:bottom w:val="single" w:sz="6" w:space="0" w:color="auto"/>
              <w:right w:val="single" w:sz="6" w:space="0" w:color="auto"/>
            </w:tcBorders>
          </w:tcPr>
          <w:p w:rsidR="0011211E" w:rsidRPr="00D61FC4" w:rsidRDefault="0011211E" w:rsidP="00EA781B">
            <w:pPr>
              <w:spacing w:before="120"/>
              <w:jc w:val="center"/>
              <w:rPr>
                <w:rFonts w:cs="Arial"/>
                <w:sz w:val="18"/>
                <w:szCs w:val="18"/>
              </w:rPr>
            </w:pPr>
            <w:r w:rsidRPr="00D61FC4">
              <w:rPr>
                <w:rFonts w:cs="Arial"/>
                <w:sz w:val="18"/>
                <w:szCs w:val="18"/>
              </w:rPr>
              <w:noBreakHyphen/>
            </w:r>
          </w:p>
        </w:tc>
        <w:tc>
          <w:tcPr>
            <w:tcW w:w="789" w:type="dxa"/>
            <w:tcBorders>
              <w:top w:val="single" w:sz="6" w:space="0" w:color="auto"/>
              <w:left w:val="single" w:sz="6" w:space="0" w:color="auto"/>
              <w:bottom w:val="single" w:sz="6" w:space="0" w:color="auto"/>
              <w:right w:val="single" w:sz="12" w:space="0" w:color="auto"/>
            </w:tcBorders>
            <w:shd w:val="clear" w:color="auto" w:fill="D9D9D9"/>
          </w:tcPr>
          <w:p w:rsidR="0011211E" w:rsidRPr="00D61FC4" w:rsidRDefault="0011211E" w:rsidP="00EA781B">
            <w:pPr>
              <w:spacing w:before="120"/>
              <w:jc w:val="center"/>
              <w:rPr>
                <w:rFonts w:cs="Arial"/>
                <w:sz w:val="18"/>
                <w:szCs w:val="18"/>
              </w:rPr>
            </w:pPr>
            <w:r w:rsidRPr="00D61FC4">
              <w:rPr>
                <w:rFonts w:cs="Arial"/>
                <w:sz w:val="18"/>
                <w:szCs w:val="18"/>
              </w:rPr>
              <w:t>3</w:t>
            </w:r>
          </w:p>
        </w:tc>
        <w:tc>
          <w:tcPr>
            <w:tcW w:w="894" w:type="dxa"/>
            <w:tcBorders>
              <w:top w:val="single" w:sz="6" w:space="0" w:color="auto"/>
              <w:left w:val="nil"/>
              <w:bottom w:val="single" w:sz="6" w:space="0" w:color="auto"/>
              <w:right w:val="single" w:sz="12" w:space="0" w:color="auto"/>
            </w:tcBorders>
          </w:tcPr>
          <w:p w:rsidR="0011211E" w:rsidRPr="00D61FC4" w:rsidRDefault="0011211E" w:rsidP="00EA781B">
            <w:pPr>
              <w:spacing w:before="120"/>
              <w:jc w:val="center"/>
              <w:rPr>
                <w:rFonts w:cs="Arial"/>
                <w:sz w:val="18"/>
                <w:szCs w:val="18"/>
              </w:rPr>
            </w:pPr>
            <w:r w:rsidRPr="00D61FC4">
              <w:rPr>
                <w:rFonts w:cs="Arial"/>
                <w:sz w:val="18"/>
                <w:szCs w:val="18"/>
              </w:rPr>
              <w:t>13</w:t>
            </w:r>
          </w:p>
        </w:tc>
        <w:tc>
          <w:tcPr>
            <w:tcW w:w="1396" w:type="dxa"/>
            <w:tcBorders>
              <w:top w:val="single" w:sz="6" w:space="0" w:color="auto"/>
              <w:left w:val="nil"/>
              <w:bottom w:val="single" w:sz="6" w:space="0" w:color="auto"/>
              <w:right w:val="single" w:sz="6" w:space="0" w:color="auto"/>
            </w:tcBorders>
            <w:shd w:val="clear" w:color="auto" w:fill="D9D9D9"/>
          </w:tcPr>
          <w:p w:rsidR="0011211E" w:rsidRPr="00D61FC4" w:rsidRDefault="0011211E" w:rsidP="00EA781B">
            <w:pPr>
              <w:spacing w:before="120"/>
              <w:jc w:val="center"/>
              <w:rPr>
                <w:rFonts w:cs="Arial"/>
                <w:sz w:val="18"/>
                <w:szCs w:val="18"/>
              </w:rPr>
            </w:pPr>
            <w:r w:rsidRPr="00D61FC4">
              <w:rPr>
                <w:rFonts w:cs="Arial"/>
                <w:sz w:val="18"/>
                <w:szCs w:val="18"/>
              </w:rPr>
              <w:t>207</w:t>
            </w:r>
          </w:p>
        </w:tc>
      </w:tr>
      <w:tr w:rsidR="0011211E" w:rsidRPr="00D61FC4" w:rsidTr="00EA781B">
        <w:trPr>
          <w:cantSplit/>
        </w:trPr>
        <w:tc>
          <w:tcPr>
            <w:tcW w:w="1630" w:type="dxa"/>
            <w:tcBorders>
              <w:top w:val="single" w:sz="6" w:space="0" w:color="auto"/>
              <w:left w:val="single" w:sz="6" w:space="0" w:color="auto"/>
              <w:right w:val="single" w:sz="12" w:space="0" w:color="auto"/>
            </w:tcBorders>
          </w:tcPr>
          <w:p w:rsidR="0011211E" w:rsidRPr="00D61FC4" w:rsidRDefault="0011211E" w:rsidP="00EA781B">
            <w:pPr>
              <w:spacing w:before="120"/>
              <w:jc w:val="center"/>
              <w:rPr>
                <w:rFonts w:cs="Arial"/>
                <w:sz w:val="18"/>
                <w:szCs w:val="18"/>
              </w:rPr>
            </w:pPr>
            <w:r w:rsidRPr="00D61FC4">
              <w:rPr>
                <w:rFonts w:cs="Arial"/>
                <w:sz w:val="18"/>
                <w:szCs w:val="18"/>
              </w:rPr>
              <w:t>Plantes ornementales</w:t>
            </w:r>
          </w:p>
        </w:tc>
        <w:tc>
          <w:tcPr>
            <w:tcW w:w="974" w:type="dxa"/>
            <w:tcBorders>
              <w:top w:val="single" w:sz="6" w:space="0" w:color="auto"/>
              <w:left w:val="nil"/>
              <w:right w:val="single" w:sz="6" w:space="0" w:color="auto"/>
            </w:tcBorders>
          </w:tcPr>
          <w:p w:rsidR="0011211E" w:rsidRPr="00D61FC4" w:rsidRDefault="0011211E" w:rsidP="00EA781B">
            <w:pPr>
              <w:spacing w:before="120"/>
              <w:jc w:val="center"/>
              <w:rPr>
                <w:rFonts w:cs="Arial"/>
                <w:sz w:val="18"/>
                <w:szCs w:val="18"/>
              </w:rPr>
            </w:pPr>
            <w:r w:rsidRPr="00D61FC4">
              <w:rPr>
                <w:rFonts w:cs="Arial"/>
                <w:sz w:val="18"/>
                <w:szCs w:val="18"/>
              </w:rPr>
              <w:t>13</w:t>
            </w:r>
          </w:p>
        </w:tc>
        <w:tc>
          <w:tcPr>
            <w:tcW w:w="1022" w:type="dxa"/>
            <w:tcBorders>
              <w:top w:val="single" w:sz="6" w:space="0" w:color="auto"/>
              <w:left w:val="single" w:sz="6" w:space="0" w:color="auto"/>
              <w:right w:val="single" w:sz="6" w:space="0" w:color="auto"/>
            </w:tcBorders>
          </w:tcPr>
          <w:p w:rsidR="0011211E" w:rsidRPr="00D61FC4" w:rsidRDefault="0011211E" w:rsidP="00EA781B">
            <w:pPr>
              <w:spacing w:before="120"/>
              <w:jc w:val="center"/>
              <w:rPr>
                <w:rFonts w:cs="Arial"/>
                <w:sz w:val="18"/>
                <w:szCs w:val="18"/>
              </w:rPr>
            </w:pPr>
            <w:r w:rsidRPr="00D61FC4">
              <w:rPr>
                <w:rFonts w:cs="Arial"/>
                <w:sz w:val="18"/>
                <w:szCs w:val="18"/>
              </w:rPr>
              <w:t>25</w:t>
            </w:r>
          </w:p>
        </w:tc>
        <w:tc>
          <w:tcPr>
            <w:tcW w:w="844" w:type="dxa"/>
            <w:tcBorders>
              <w:top w:val="single" w:sz="6" w:space="0" w:color="auto"/>
              <w:left w:val="single" w:sz="6" w:space="0" w:color="auto"/>
              <w:right w:val="single" w:sz="12" w:space="0" w:color="auto"/>
            </w:tcBorders>
            <w:shd w:val="clear" w:color="auto" w:fill="D9D9D9"/>
          </w:tcPr>
          <w:p w:rsidR="0011211E" w:rsidRPr="00D61FC4" w:rsidRDefault="0011211E" w:rsidP="00EA781B">
            <w:pPr>
              <w:spacing w:before="120"/>
              <w:jc w:val="center"/>
              <w:rPr>
                <w:rFonts w:cs="Arial"/>
                <w:sz w:val="18"/>
                <w:szCs w:val="18"/>
              </w:rPr>
            </w:pPr>
            <w:r w:rsidRPr="00D61FC4">
              <w:rPr>
                <w:rFonts w:cs="Arial"/>
                <w:sz w:val="18"/>
                <w:szCs w:val="18"/>
              </w:rPr>
              <w:t>38</w:t>
            </w:r>
          </w:p>
        </w:tc>
        <w:tc>
          <w:tcPr>
            <w:tcW w:w="990" w:type="dxa"/>
            <w:tcBorders>
              <w:top w:val="single" w:sz="6" w:space="0" w:color="auto"/>
              <w:left w:val="nil"/>
              <w:right w:val="single" w:sz="6" w:space="0" w:color="auto"/>
            </w:tcBorders>
          </w:tcPr>
          <w:p w:rsidR="0011211E" w:rsidRPr="00D61FC4" w:rsidRDefault="0011211E" w:rsidP="00EA781B">
            <w:pPr>
              <w:spacing w:before="120"/>
              <w:jc w:val="center"/>
              <w:rPr>
                <w:rFonts w:cs="Arial"/>
                <w:sz w:val="18"/>
                <w:szCs w:val="18"/>
              </w:rPr>
            </w:pPr>
            <w:r w:rsidRPr="00D61FC4">
              <w:rPr>
                <w:rFonts w:cs="Arial"/>
                <w:sz w:val="18"/>
                <w:szCs w:val="18"/>
              </w:rPr>
              <w:t>15</w:t>
            </w:r>
          </w:p>
        </w:tc>
        <w:tc>
          <w:tcPr>
            <w:tcW w:w="1061" w:type="dxa"/>
            <w:tcBorders>
              <w:top w:val="single" w:sz="6" w:space="0" w:color="auto"/>
              <w:left w:val="single" w:sz="6" w:space="0" w:color="auto"/>
              <w:right w:val="single" w:sz="6" w:space="0" w:color="auto"/>
            </w:tcBorders>
          </w:tcPr>
          <w:p w:rsidR="0011211E" w:rsidRPr="00D61FC4" w:rsidRDefault="0011211E" w:rsidP="00EA781B">
            <w:pPr>
              <w:spacing w:before="120"/>
              <w:jc w:val="center"/>
              <w:rPr>
                <w:rFonts w:cs="Arial"/>
                <w:sz w:val="18"/>
                <w:szCs w:val="18"/>
              </w:rPr>
            </w:pPr>
            <w:r w:rsidRPr="00D61FC4">
              <w:rPr>
                <w:rFonts w:cs="Arial"/>
                <w:sz w:val="18"/>
                <w:szCs w:val="18"/>
              </w:rPr>
              <w:t>10</w:t>
            </w:r>
          </w:p>
        </w:tc>
        <w:tc>
          <w:tcPr>
            <w:tcW w:w="789" w:type="dxa"/>
            <w:tcBorders>
              <w:top w:val="single" w:sz="6" w:space="0" w:color="auto"/>
              <w:left w:val="single" w:sz="6" w:space="0" w:color="auto"/>
              <w:right w:val="single" w:sz="12" w:space="0" w:color="auto"/>
            </w:tcBorders>
            <w:shd w:val="clear" w:color="auto" w:fill="D9D9D9"/>
          </w:tcPr>
          <w:p w:rsidR="0011211E" w:rsidRPr="00D61FC4" w:rsidRDefault="0011211E" w:rsidP="00EA781B">
            <w:pPr>
              <w:spacing w:before="120"/>
              <w:jc w:val="center"/>
              <w:rPr>
                <w:rFonts w:cs="Arial"/>
                <w:sz w:val="18"/>
                <w:szCs w:val="18"/>
              </w:rPr>
            </w:pPr>
            <w:r w:rsidRPr="00D61FC4">
              <w:rPr>
                <w:rFonts w:cs="Arial"/>
                <w:sz w:val="18"/>
                <w:szCs w:val="18"/>
              </w:rPr>
              <w:t>25</w:t>
            </w:r>
          </w:p>
        </w:tc>
        <w:tc>
          <w:tcPr>
            <w:tcW w:w="894" w:type="dxa"/>
            <w:tcBorders>
              <w:top w:val="single" w:sz="6" w:space="0" w:color="auto"/>
              <w:left w:val="nil"/>
              <w:right w:val="single" w:sz="12" w:space="0" w:color="auto"/>
            </w:tcBorders>
          </w:tcPr>
          <w:p w:rsidR="0011211E" w:rsidRPr="00D61FC4" w:rsidRDefault="0011211E" w:rsidP="00EA781B">
            <w:pPr>
              <w:spacing w:before="120"/>
              <w:jc w:val="center"/>
              <w:rPr>
                <w:rFonts w:cs="Arial"/>
                <w:sz w:val="18"/>
                <w:szCs w:val="18"/>
              </w:rPr>
            </w:pPr>
            <w:r w:rsidRPr="00D61FC4">
              <w:rPr>
                <w:rFonts w:cs="Arial"/>
                <w:sz w:val="18"/>
                <w:szCs w:val="18"/>
              </w:rPr>
              <w:t>16</w:t>
            </w:r>
          </w:p>
        </w:tc>
        <w:tc>
          <w:tcPr>
            <w:tcW w:w="1396" w:type="dxa"/>
            <w:tcBorders>
              <w:top w:val="single" w:sz="6" w:space="0" w:color="auto"/>
              <w:left w:val="nil"/>
              <w:right w:val="single" w:sz="6" w:space="0" w:color="auto"/>
            </w:tcBorders>
            <w:shd w:val="clear" w:color="auto" w:fill="D9D9D9"/>
          </w:tcPr>
          <w:p w:rsidR="0011211E" w:rsidRPr="00D61FC4" w:rsidRDefault="0011211E" w:rsidP="00EA781B">
            <w:pPr>
              <w:spacing w:before="120"/>
              <w:jc w:val="center"/>
              <w:rPr>
                <w:rFonts w:cs="Arial"/>
                <w:sz w:val="18"/>
                <w:szCs w:val="18"/>
              </w:rPr>
            </w:pPr>
            <w:r w:rsidRPr="00D61FC4">
              <w:rPr>
                <w:rFonts w:cs="Arial"/>
                <w:sz w:val="18"/>
                <w:szCs w:val="18"/>
              </w:rPr>
              <w:t>207</w:t>
            </w:r>
          </w:p>
        </w:tc>
      </w:tr>
      <w:tr w:rsidR="0011211E" w:rsidRPr="00D61FC4" w:rsidTr="00EA781B">
        <w:trPr>
          <w:cantSplit/>
        </w:trPr>
        <w:tc>
          <w:tcPr>
            <w:tcW w:w="1630" w:type="dxa"/>
            <w:tcBorders>
              <w:top w:val="single" w:sz="6" w:space="0" w:color="auto"/>
              <w:left w:val="single" w:sz="6" w:space="0" w:color="auto"/>
              <w:right w:val="single" w:sz="12" w:space="0" w:color="auto"/>
            </w:tcBorders>
          </w:tcPr>
          <w:p w:rsidR="0011211E" w:rsidRPr="00D61FC4" w:rsidRDefault="0011211E" w:rsidP="00EA781B">
            <w:pPr>
              <w:spacing w:before="120"/>
              <w:jc w:val="center"/>
              <w:rPr>
                <w:rFonts w:cs="Arial"/>
                <w:sz w:val="18"/>
                <w:szCs w:val="18"/>
              </w:rPr>
            </w:pPr>
            <w:r w:rsidRPr="00D61FC4">
              <w:rPr>
                <w:rFonts w:cs="Arial"/>
                <w:sz w:val="18"/>
                <w:szCs w:val="18"/>
              </w:rPr>
              <w:t>Plantes fruitières</w:t>
            </w:r>
          </w:p>
        </w:tc>
        <w:tc>
          <w:tcPr>
            <w:tcW w:w="974" w:type="dxa"/>
            <w:tcBorders>
              <w:top w:val="single" w:sz="6" w:space="0" w:color="auto"/>
              <w:left w:val="nil"/>
              <w:right w:val="single" w:sz="6" w:space="0" w:color="auto"/>
            </w:tcBorders>
          </w:tcPr>
          <w:p w:rsidR="0011211E" w:rsidRPr="00D61FC4" w:rsidRDefault="0011211E" w:rsidP="00EA781B">
            <w:pPr>
              <w:spacing w:before="120"/>
              <w:jc w:val="center"/>
              <w:rPr>
                <w:rFonts w:cs="Arial"/>
                <w:sz w:val="18"/>
                <w:szCs w:val="18"/>
              </w:rPr>
            </w:pPr>
            <w:r w:rsidRPr="00D61FC4">
              <w:rPr>
                <w:rFonts w:cs="Arial"/>
                <w:sz w:val="18"/>
                <w:szCs w:val="18"/>
              </w:rPr>
              <w:t>3</w:t>
            </w:r>
          </w:p>
        </w:tc>
        <w:tc>
          <w:tcPr>
            <w:tcW w:w="1022" w:type="dxa"/>
            <w:tcBorders>
              <w:top w:val="single" w:sz="6" w:space="0" w:color="auto"/>
              <w:left w:val="single" w:sz="6" w:space="0" w:color="auto"/>
              <w:right w:val="single" w:sz="6" w:space="0" w:color="auto"/>
            </w:tcBorders>
          </w:tcPr>
          <w:p w:rsidR="0011211E" w:rsidRPr="00D61FC4" w:rsidRDefault="0011211E" w:rsidP="00EA781B">
            <w:pPr>
              <w:spacing w:before="120"/>
              <w:jc w:val="center"/>
              <w:rPr>
                <w:rFonts w:cs="Arial"/>
                <w:sz w:val="18"/>
                <w:szCs w:val="18"/>
              </w:rPr>
            </w:pPr>
            <w:r w:rsidRPr="00D61FC4">
              <w:rPr>
                <w:rFonts w:cs="Arial"/>
                <w:sz w:val="18"/>
                <w:szCs w:val="18"/>
              </w:rPr>
              <w:noBreakHyphen/>
            </w:r>
          </w:p>
        </w:tc>
        <w:tc>
          <w:tcPr>
            <w:tcW w:w="844" w:type="dxa"/>
            <w:tcBorders>
              <w:top w:val="single" w:sz="6" w:space="0" w:color="auto"/>
              <w:left w:val="single" w:sz="6" w:space="0" w:color="auto"/>
              <w:right w:val="single" w:sz="12" w:space="0" w:color="auto"/>
            </w:tcBorders>
            <w:shd w:val="clear" w:color="auto" w:fill="D9D9D9"/>
          </w:tcPr>
          <w:p w:rsidR="0011211E" w:rsidRPr="00D61FC4" w:rsidRDefault="0011211E" w:rsidP="00EA781B">
            <w:pPr>
              <w:spacing w:before="120"/>
              <w:jc w:val="center"/>
              <w:rPr>
                <w:rFonts w:cs="Arial"/>
                <w:sz w:val="18"/>
                <w:szCs w:val="18"/>
              </w:rPr>
            </w:pPr>
            <w:r w:rsidRPr="00D61FC4">
              <w:rPr>
                <w:rFonts w:cs="Arial"/>
                <w:sz w:val="18"/>
                <w:szCs w:val="18"/>
              </w:rPr>
              <w:t>3</w:t>
            </w:r>
          </w:p>
        </w:tc>
        <w:tc>
          <w:tcPr>
            <w:tcW w:w="990" w:type="dxa"/>
            <w:tcBorders>
              <w:top w:val="single" w:sz="6" w:space="0" w:color="auto"/>
              <w:left w:val="nil"/>
              <w:right w:val="single" w:sz="6" w:space="0" w:color="auto"/>
            </w:tcBorders>
          </w:tcPr>
          <w:p w:rsidR="0011211E" w:rsidRPr="00D61FC4" w:rsidRDefault="0011211E" w:rsidP="00EA781B">
            <w:pPr>
              <w:pStyle w:val="Footer"/>
              <w:spacing w:before="120"/>
              <w:jc w:val="center"/>
              <w:rPr>
                <w:rFonts w:cs="Arial"/>
                <w:sz w:val="18"/>
                <w:szCs w:val="18"/>
                <w:lang w:val="fr-FR"/>
              </w:rPr>
            </w:pPr>
            <w:r w:rsidRPr="00D61FC4">
              <w:rPr>
                <w:rFonts w:cs="Arial"/>
                <w:sz w:val="18"/>
                <w:szCs w:val="18"/>
                <w:lang w:val="fr-FR"/>
              </w:rPr>
              <w:t>3</w:t>
            </w:r>
          </w:p>
        </w:tc>
        <w:tc>
          <w:tcPr>
            <w:tcW w:w="1061" w:type="dxa"/>
            <w:tcBorders>
              <w:top w:val="single" w:sz="6" w:space="0" w:color="auto"/>
              <w:left w:val="single" w:sz="6" w:space="0" w:color="auto"/>
              <w:right w:val="single" w:sz="6" w:space="0" w:color="auto"/>
            </w:tcBorders>
          </w:tcPr>
          <w:p w:rsidR="0011211E" w:rsidRPr="00D61FC4" w:rsidRDefault="0011211E" w:rsidP="00EA781B">
            <w:pPr>
              <w:spacing w:before="120"/>
              <w:jc w:val="center"/>
              <w:rPr>
                <w:rFonts w:cs="Arial"/>
                <w:sz w:val="18"/>
                <w:szCs w:val="18"/>
              </w:rPr>
            </w:pPr>
            <w:r w:rsidRPr="00D61FC4">
              <w:rPr>
                <w:rFonts w:cs="Arial"/>
                <w:sz w:val="18"/>
                <w:szCs w:val="18"/>
              </w:rPr>
              <w:t>1</w:t>
            </w:r>
          </w:p>
        </w:tc>
        <w:tc>
          <w:tcPr>
            <w:tcW w:w="789" w:type="dxa"/>
            <w:tcBorders>
              <w:top w:val="single" w:sz="6" w:space="0" w:color="auto"/>
              <w:left w:val="single" w:sz="6" w:space="0" w:color="auto"/>
              <w:right w:val="single" w:sz="12" w:space="0" w:color="auto"/>
            </w:tcBorders>
            <w:shd w:val="clear" w:color="auto" w:fill="D9D9D9"/>
          </w:tcPr>
          <w:p w:rsidR="0011211E" w:rsidRPr="00D61FC4" w:rsidRDefault="0011211E" w:rsidP="00EA781B">
            <w:pPr>
              <w:spacing w:before="120"/>
              <w:jc w:val="center"/>
              <w:rPr>
                <w:rFonts w:cs="Arial"/>
                <w:sz w:val="18"/>
                <w:szCs w:val="18"/>
              </w:rPr>
            </w:pPr>
            <w:r w:rsidRPr="00D61FC4">
              <w:rPr>
                <w:rFonts w:cs="Arial"/>
                <w:sz w:val="18"/>
                <w:szCs w:val="18"/>
              </w:rPr>
              <w:t>4</w:t>
            </w:r>
          </w:p>
        </w:tc>
        <w:tc>
          <w:tcPr>
            <w:tcW w:w="894" w:type="dxa"/>
            <w:tcBorders>
              <w:top w:val="single" w:sz="6" w:space="0" w:color="auto"/>
              <w:left w:val="nil"/>
              <w:right w:val="single" w:sz="12" w:space="0" w:color="auto"/>
            </w:tcBorders>
          </w:tcPr>
          <w:p w:rsidR="0011211E" w:rsidRPr="00D61FC4" w:rsidRDefault="0011211E" w:rsidP="00EA781B">
            <w:pPr>
              <w:spacing w:before="120"/>
              <w:jc w:val="center"/>
              <w:rPr>
                <w:rFonts w:cs="Arial"/>
                <w:sz w:val="18"/>
                <w:szCs w:val="18"/>
              </w:rPr>
            </w:pPr>
            <w:r w:rsidRPr="00D61FC4">
              <w:rPr>
                <w:rFonts w:cs="Arial"/>
                <w:sz w:val="18"/>
                <w:szCs w:val="18"/>
              </w:rPr>
              <w:t>4</w:t>
            </w:r>
          </w:p>
        </w:tc>
        <w:tc>
          <w:tcPr>
            <w:tcW w:w="1396" w:type="dxa"/>
            <w:tcBorders>
              <w:top w:val="single" w:sz="6" w:space="0" w:color="auto"/>
              <w:left w:val="nil"/>
              <w:right w:val="single" w:sz="6" w:space="0" w:color="auto"/>
            </w:tcBorders>
            <w:shd w:val="clear" w:color="auto" w:fill="D9D9D9"/>
          </w:tcPr>
          <w:p w:rsidR="0011211E" w:rsidRPr="00D61FC4" w:rsidRDefault="0011211E" w:rsidP="00EA781B">
            <w:pPr>
              <w:spacing w:before="120"/>
              <w:jc w:val="center"/>
              <w:rPr>
                <w:rFonts w:cs="Arial"/>
                <w:sz w:val="18"/>
                <w:szCs w:val="18"/>
              </w:rPr>
            </w:pPr>
            <w:r w:rsidRPr="00D61FC4">
              <w:rPr>
                <w:rFonts w:cs="Arial"/>
                <w:sz w:val="18"/>
                <w:szCs w:val="18"/>
              </w:rPr>
              <w:t>116</w:t>
            </w:r>
          </w:p>
        </w:tc>
      </w:tr>
      <w:tr w:rsidR="0011211E" w:rsidRPr="00D61FC4" w:rsidTr="00EA781B">
        <w:trPr>
          <w:cantSplit/>
        </w:trPr>
        <w:tc>
          <w:tcPr>
            <w:tcW w:w="1630" w:type="dxa"/>
            <w:tcBorders>
              <w:top w:val="single" w:sz="12" w:space="0" w:color="auto"/>
              <w:left w:val="single" w:sz="6" w:space="0" w:color="auto"/>
              <w:bottom w:val="single" w:sz="6" w:space="0" w:color="auto"/>
              <w:right w:val="single" w:sz="12" w:space="0" w:color="auto"/>
            </w:tcBorders>
            <w:shd w:val="clear" w:color="auto" w:fill="FFFFFF"/>
          </w:tcPr>
          <w:p w:rsidR="0011211E" w:rsidRPr="00D61FC4" w:rsidRDefault="0011211E" w:rsidP="00EA781B">
            <w:pPr>
              <w:spacing w:before="120"/>
              <w:jc w:val="center"/>
              <w:rPr>
                <w:rFonts w:cs="Arial"/>
                <w:sz w:val="18"/>
                <w:szCs w:val="18"/>
              </w:rPr>
            </w:pPr>
            <w:r w:rsidRPr="00D61FC4">
              <w:rPr>
                <w:rFonts w:cs="Arial"/>
                <w:b/>
                <w:sz w:val="18"/>
                <w:szCs w:val="18"/>
              </w:rPr>
              <w:t>Total</w:t>
            </w:r>
          </w:p>
        </w:tc>
        <w:tc>
          <w:tcPr>
            <w:tcW w:w="974" w:type="dxa"/>
            <w:tcBorders>
              <w:top w:val="single" w:sz="12" w:space="0" w:color="auto"/>
              <w:left w:val="nil"/>
              <w:bottom w:val="single" w:sz="6" w:space="0" w:color="auto"/>
              <w:right w:val="single" w:sz="6" w:space="0" w:color="auto"/>
            </w:tcBorders>
            <w:shd w:val="clear" w:color="auto" w:fill="D9D9D9"/>
          </w:tcPr>
          <w:p w:rsidR="0011211E" w:rsidRPr="00D61FC4" w:rsidRDefault="0011211E" w:rsidP="00EA781B">
            <w:pPr>
              <w:spacing w:before="120"/>
              <w:jc w:val="center"/>
              <w:rPr>
                <w:rFonts w:cs="Arial"/>
                <w:b/>
                <w:sz w:val="18"/>
                <w:szCs w:val="18"/>
              </w:rPr>
            </w:pPr>
            <w:r w:rsidRPr="00D61FC4">
              <w:rPr>
                <w:rFonts w:cs="Arial"/>
                <w:b/>
                <w:sz w:val="18"/>
                <w:szCs w:val="18"/>
              </w:rPr>
              <w:t>39</w:t>
            </w:r>
          </w:p>
        </w:tc>
        <w:tc>
          <w:tcPr>
            <w:tcW w:w="1022" w:type="dxa"/>
            <w:tcBorders>
              <w:top w:val="single" w:sz="12" w:space="0" w:color="auto"/>
              <w:left w:val="single" w:sz="6" w:space="0" w:color="auto"/>
              <w:bottom w:val="single" w:sz="6" w:space="0" w:color="auto"/>
              <w:right w:val="single" w:sz="6" w:space="0" w:color="auto"/>
            </w:tcBorders>
            <w:shd w:val="clear" w:color="auto" w:fill="D9D9D9"/>
          </w:tcPr>
          <w:p w:rsidR="0011211E" w:rsidRPr="00D61FC4" w:rsidRDefault="0011211E" w:rsidP="00EA781B">
            <w:pPr>
              <w:spacing w:before="120"/>
              <w:jc w:val="center"/>
              <w:rPr>
                <w:rFonts w:cs="Arial"/>
                <w:b/>
                <w:sz w:val="18"/>
                <w:szCs w:val="18"/>
              </w:rPr>
            </w:pPr>
            <w:r w:rsidRPr="00D61FC4">
              <w:rPr>
                <w:rFonts w:cs="Arial"/>
                <w:b/>
                <w:sz w:val="18"/>
                <w:szCs w:val="18"/>
              </w:rPr>
              <w:t>29</w:t>
            </w:r>
          </w:p>
        </w:tc>
        <w:tc>
          <w:tcPr>
            <w:tcW w:w="844" w:type="dxa"/>
            <w:tcBorders>
              <w:top w:val="single" w:sz="12" w:space="0" w:color="auto"/>
              <w:left w:val="single" w:sz="6" w:space="0" w:color="auto"/>
              <w:bottom w:val="single" w:sz="6" w:space="0" w:color="auto"/>
              <w:right w:val="single" w:sz="12" w:space="0" w:color="auto"/>
            </w:tcBorders>
            <w:shd w:val="clear" w:color="auto" w:fill="D9D9D9"/>
          </w:tcPr>
          <w:p w:rsidR="0011211E" w:rsidRPr="00D61FC4" w:rsidRDefault="0011211E" w:rsidP="00EA781B">
            <w:pPr>
              <w:spacing w:before="120"/>
              <w:jc w:val="center"/>
              <w:rPr>
                <w:rFonts w:cs="Arial"/>
                <w:b/>
                <w:sz w:val="18"/>
                <w:szCs w:val="18"/>
              </w:rPr>
            </w:pPr>
            <w:r w:rsidRPr="00D61FC4">
              <w:rPr>
                <w:rFonts w:cs="Arial"/>
                <w:b/>
                <w:sz w:val="18"/>
                <w:szCs w:val="18"/>
              </w:rPr>
              <w:t>68</w:t>
            </w:r>
          </w:p>
        </w:tc>
        <w:tc>
          <w:tcPr>
            <w:tcW w:w="990" w:type="dxa"/>
            <w:tcBorders>
              <w:top w:val="single" w:sz="12" w:space="0" w:color="auto"/>
              <w:left w:val="nil"/>
              <w:bottom w:val="single" w:sz="6" w:space="0" w:color="auto"/>
              <w:right w:val="single" w:sz="6" w:space="0" w:color="auto"/>
            </w:tcBorders>
            <w:shd w:val="clear" w:color="auto" w:fill="D9D9D9"/>
          </w:tcPr>
          <w:p w:rsidR="0011211E" w:rsidRPr="00D61FC4" w:rsidRDefault="0011211E" w:rsidP="00EA781B">
            <w:pPr>
              <w:spacing w:before="120"/>
              <w:jc w:val="center"/>
              <w:rPr>
                <w:rFonts w:cs="Arial"/>
                <w:b/>
                <w:sz w:val="18"/>
                <w:szCs w:val="18"/>
              </w:rPr>
            </w:pPr>
            <w:r w:rsidRPr="00D61FC4">
              <w:rPr>
                <w:rFonts w:cs="Arial"/>
                <w:b/>
                <w:sz w:val="18"/>
                <w:szCs w:val="18"/>
              </w:rPr>
              <w:t>50</w:t>
            </w:r>
          </w:p>
        </w:tc>
        <w:tc>
          <w:tcPr>
            <w:tcW w:w="1061" w:type="dxa"/>
            <w:tcBorders>
              <w:top w:val="single" w:sz="12" w:space="0" w:color="auto"/>
              <w:left w:val="single" w:sz="6" w:space="0" w:color="auto"/>
              <w:bottom w:val="single" w:sz="6" w:space="0" w:color="auto"/>
              <w:right w:val="single" w:sz="6" w:space="0" w:color="auto"/>
            </w:tcBorders>
            <w:shd w:val="clear" w:color="auto" w:fill="D9D9D9"/>
          </w:tcPr>
          <w:p w:rsidR="0011211E" w:rsidRPr="00D61FC4" w:rsidRDefault="0011211E" w:rsidP="00EA781B">
            <w:pPr>
              <w:spacing w:before="120"/>
              <w:jc w:val="center"/>
              <w:rPr>
                <w:rFonts w:cs="Arial"/>
                <w:b/>
                <w:sz w:val="18"/>
                <w:szCs w:val="18"/>
              </w:rPr>
            </w:pPr>
            <w:r w:rsidRPr="00D61FC4">
              <w:rPr>
                <w:rFonts w:cs="Arial"/>
                <w:b/>
                <w:sz w:val="18"/>
                <w:szCs w:val="18"/>
              </w:rPr>
              <w:t>11</w:t>
            </w:r>
          </w:p>
        </w:tc>
        <w:tc>
          <w:tcPr>
            <w:tcW w:w="789" w:type="dxa"/>
            <w:tcBorders>
              <w:top w:val="single" w:sz="12" w:space="0" w:color="auto"/>
              <w:left w:val="single" w:sz="6" w:space="0" w:color="auto"/>
              <w:bottom w:val="single" w:sz="6" w:space="0" w:color="auto"/>
              <w:right w:val="single" w:sz="12" w:space="0" w:color="auto"/>
            </w:tcBorders>
            <w:shd w:val="clear" w:color="auto" w:fill="D9D9D9"/>
          </w:tcPr>
          <w:p w:rsidR="0011211E" w:rsidRPr="00D61FC4" w:rsidRDefault="0011211E" w:rsidP="00EA781B">
            <w:pPr>
              <w:spacing w:before="120"/>
              <w:jc w:val="center"/>
              <w:rPr>
                <w:rFonts w:cs="Arial"/>
                <w:b/>
                <w:sz w:val="18"/>
                <w:szCs w:val="18"/>
              </w:rPr>
            </w:pPr>
            <w:r w:rsidRPr="00D61FC4">
              <w:rPr>
                <w:rFonts w:cs="Arial"/>
                <w:b/>
                <w:sz w:val="18"/>
                <w:szCs w:val="18"/>
              </w:rPr>
              <w:t>61</w:t>
            </w:r>
          </w:p>
        </w:tc>
        <w:tc>
          <w:tcPr>
            <w:tcW w:w="894" w:type="dxa"/>
            <w:tcBorders>
              <w:top w:val="single" w:sz="12" w:space="0" w:color="auto"/>
              <w:left w:val="nil"/>
              <w:bottom w:val="single" w:sz="6" w:space="0" w:color="auto"/>
              <w:right w:val="single" w:sz="12" w:space="0" w:color="auto"/>
            </w:tcBorders>
            <w:shd w:val="clear" w:color="auto" w:fill="D9D9D9"/>
          </w:tcPr>
          <w:p w:rsidR="0011211E" w:rsidRPr="00D61FC4" w:rsidRDefault="0011211E" w:rsidP="00EA781B">
            <w:pPr>
              <w:spacing w:before="120"/>
              <w:jc w:val="center"/>
              <w:rPr>
                <w:rFonts w:cs="Arial"/>
                <w:b/>
                <w:sz w:val="18"/>
                <w:szCs w:val="18"/>
              </w:rPr>
            </w:pPr>
            <w:r w:rsidRPr="00D61FC4">
              <w:rPr>
                <w:rFonts w:cs="Arial"/>
                <w:b/>
                <w:sz w:val="18"/>
                <w:szCs w:val="18"/>
              </w:rPr>
              <w:t>54</w:t>
            </w:r>
          </w:p>
        </w:tc>
        <w:tc>
          <w:tcPr>
            <w:tcW w:w="1396" w:type="dxa"/>
            <w:tcBorders>
              <w:top w:val="single" w:sz="12" w:space="0" w:color="auto"/>
              <w:left w:val="nil"/>
              <w:bottom w:val="single" w:sz="6" w:space="0" w:color="auto"/>
              <w:right w:val="single" w:sz="6" w:space="0" w:color="auto"/>
            </w:tcBorders>
            <w:shd w:val="clear" w:color="auto" w:fill="D9D9D9"/>
          </w:tcPr>
          <w:p w:rsidR="0011211E" w:rsidRPr="00D61FC4" w:rsidRDefault="0011211E" w:rsidP="00EA781B">
            <w:pPr>
              <w:spacing w:before="120"/>
              <w:jc w:val="center"/>
              <w:rPr>
                <w:rFonts w:cs="Arial"/>
                <w:b/>
                <w:sz w:val="18"/>
                <w:szCs w:val="18"/>
              </w:rPr>
            </w:pPr>
            <w:r w:rsidRPr="00D61FC4">
              <w:rPr>
                <w:rFonts w:cs="Arial"/>
                <w:b/>
                <w:sz w:val="18"/>
                <w:szCs w:val="18"/>
              </w:rPr>
              <w:t>1154</w:t>
            </w:r>
          </w:p>
        </w:tc>
      </w:tr>
    </w:tbl>
    <w:p w:rsidR="0011211E" w:rsidRPr="00D61FC4" w:rsidRDefault="0011211E" w:rsidP="0011211E">
      <w:pPr>
        <w:jc w:val="left"/>
        <w:rPr>
          <w:rFonts w:cs="Arial"/>
        </w:rPr>
      </w:pPr>
    </w:p>
    <w:p w:rsidR="0011211E" w:rsidRPr="00D61FC4" w:rsidRDefault="0011211E" w:rsidP="00F56180">
      <w:pPr>
        <w:keepNext/>
        <w:tabs>
          <w:tab w:val="left" w:pos="567"/>
          <w:tab w:val="left" w:pos="4962"/>
        </w:tabs>
        <w:rPr>
          <w:rFonts w:cs="Arial"/>
          <w:u w:val="single"/>
        </w:rPr>
      </w:pPr>
      <w:r w:rsidRPr="00D61FC4">
        <w:rPr>
          <w:rFonts w:cs="Arial"/>
        </w:rPr>
        <w:t>5.</w:t>
      </w:r>
      <w:r w:rsidRPr="00D61FC4">
        <w:rPr>
          <w:rFonts w:cs="Arial"/>
        </w:rPr>
        <w:tab/>
      </w:r>
      <w:r w:rsidRPr="00D61FC4">
        <w:rPr>
          <w:rFonts w:cs="Arial"/>
          <w:u w:val="single"/>
        </w:rPr>
        <w:t>Activités de promotion de la protection des obtentions végétales</w:t>
      </w:r>
    </w:p>
    <w:p w:rsidR="0011211E" w:rsidRPr="00D61FC4" w:rsidRDefault="0011211E" w:rsidP="00F56180">
      <w:pPr>
        <w:keepNext/>
        <w:tabs>
          <w:tab w:val="left" w:pos="567"/>
          <w:tab w:val="left" w:pos="4962"/>
        </w:tabs>
        <w:rPr>
          <w:rFonts w:cs="Arial"/>
          <w:u w:val="single"/>
        </w:rPr>
      </w:pPr>
    </w:p>
    <w:p w:rsidR="0011211E" w:rsidRPr="00D61FC4" w:rsidRDefault="0011211E" w:rsidP="0011211E">
      <w:pPr>
        <w:pStyle w:val="BodyText"/>
        <w:rPr>
          <w:rFonts w:cs="Arial"/>
        </w:rPr>
      </w:pPr>
      <w:r w:rsidRPr="00D61FC4">
        <w:rPr>
          <w:rFonts w:cs="Arial"/>
        </w:rPr>
        <w:t>Des représentants de la Pologne participent régulièrement aux sessions des organes de l’UPOV et aux groupes de travail techniques de l’UPOV.</w:t>
      </w:r>
    </w:p>
    <w:p w:rsidR="0011211E" w:rsidRPr="00D61FC4" w:rsidRDefault="0011211E" w:rsidP="0011211E">
      <w:pPr>
        <w:pStyle w:val="BodyText"/>
        <w:rPr>
          <w:rFonts w:cs="Arial"/>
        </w:rPr>
      </w:pPr>
    </w:p>
    <w:p w:rsidR="0011211E" w:rsidRPr="00D61FC4" w:rsidRDefault="0011211E" w:rsidP="0011211E">
      <w:pPr>
        <w:pStyle w:val="BodyText"/>
        <w:rPr>
          <w:rFonts w:cs="Arial"/>
        </w:rPr>
      </w:pPr>
      <w:r w:rsidRPr="00D61FC4">
        <w:rPr>
          <w:rFonts w:cs="Arial"/>
        </w:rPr>
        <w:t>En outre, des représentants de la Pologne participent aux réunions du Comité permanent sur les droits d’obtenteur, DG SANCO, Bruxelles ainsi qu’aux réunions du Conseil d’administration de l’OCVV.</w:t>
      </w:r>
    </w:p>
    <w:p w:rsidR="0011211E" w:rsidRPr="00D61FC4" w:rsidRDefault="0011211E" w:rsidP="0011211E">
      <w:pPr>
        <w:tabs>
          <w:tab w:val="left" w:pos="4962"/>
        </w:tabs>
        <w:rPr>
          <w:rFonts w:cs="Arial"/>
        </w:rPr>
      </w:pPr>
    </w:p>
    <w:p w:rsidR="0011211E" w:rsidRPr="00D61FC4" w:rsidRDefault="0011211E" w:rsidP="0011211E">
      <w:pPr>
        <w:tabs>
          <w:tab w:val="left" w:pos="4962"/>
        </w:tabs>
        <w:rPr>
          <w:rFonts w:cs="Arial"/>
        </w:rPr>
      </w:pPr>
      <w:r w:rsidRPr="00D61FC4">
        <w:rPr>
          <w:rFonts w:cs="Arial"/>
          <w:color w:val="000000"/>
        </w:rPr>
        <w:t xml:space="preserve">Trois spécialistes du COBORU ont suivi avec succès le nouveau cours à distance de l’UPOV intitulé </w:t>
      </w:r>
      <w:r w:rsidRPr="00D61FC4">
        <w:rPr>
          <w:rFonts w:cs="Arial"/>
        </w:rPr>
        <w:t>“Examen des demandes de droits d’obtenteur” (DL</w:t>
      </w:r>
      <w:r w:rsidRPr="00D61FC4">
        <w:rPr>
          <w:rFonts w:cs="Arial"/>
        </w:rPr>
        <w:noBreakHyphen/>
        <w:t>305B).</w:t>
      </w:r>
    </w:p>
    <w:p w:rsidR="0011211E" w:rsidRPr="00D61FC4" w:rsidRDefault="0011211E" w:rsidP="0011211E">
      <w:pPr>
        <w:tabs>
          <w:tab w:val="left" w:pos="4962"/>
        </w:tabs>
        <w:rPr>
          <w:rFonts w:cs="Arial"/>
        </w:rPr>
      </w:pPr>
    </w:p>
    <w:p w:rsidR="0011211E" w:rsidRPr="00D61FC4" w:rsidRDefault="0011211E" w:rsidP="0011211E">
      <w:pPr>
        <w:pStyle w:val="BodyText"/>
        <w:tabs>
          <w:tab w:val="left" w:pos="567"/>
        </w:tabs>
        <w:rPr>
          <w:rFonts w:cs="Arial"/>
          <w:i/>
          <w:iCs/>
        </w:rPr>
      </w:pPr>
      <w:r w:rsidRPr="00D61FC4">
        <w:rPr>
          <w:rFonts w:cs="Arial"/>
          <w:i/>
          <w:iCs/>
        </w:rPr>
        <w:t>Publications</w:t>
      </w:r>
    </w:p>
    <w:p w:rsidR="0011211E" w:rsidRPr="00D61FC4" w:rsidRDefault="0011211E" w:rsidP="0011211E">
      <w:pPr>
        <w:pStyle w:val="BodyText"/>
        <w:rPr>
          <w:rFonts w:cs="Arial"/>
          <w:u w:val="single"/>
        </w:rPr>
      </w:pPr>
    </w:p>
    <w:p w:rsidR="0011211E" w:rsidRPr="00D61FC4" w:rsidRDefault="0011211E" w:rsidP="0011211E">
      <w:pPr>
        <w:pStyle w:val="BodyText"/>
        <w:rPr>
          <w:rFonts w:cs="Arial"/>
        </w:rPr>
      </w:pPr>
      <w:r w:rsidRPr="00D61FC4">
        <w:rPr>
          <w:rFonts w:cs="Arial"/>
        </w:rPr>
        <w:t>Tous les deux mois, le COBORU publie la Gazette polonaise pour les droits d’obtenteur et la liste nationale (</w:t>
      </w:r>
      <w:proofErr w:type="spellStart"/>
      <w:r w:rsidRPr="00D61FC4">
        <w:rPr>
          <w:rFonts w:cs="Arial"/>
        </w:rPr>
        <w:t>Diariusz</w:t>
      </w:r>
      <w:proofErr w:type="spellEnd"/>
      <w:r w:rsidRPr="00D61FC4">
        <w:rPr>
          <w:rFonts w:cs="Arial"/>
        </w:rPr>
        <w:t>), qui contient des informations détaillées sur les systèmes nationaux de protection du droit d’obtenteur et d’établissement de listes.</w:t>
      </w:r>
    </w:p>
    <w:p w:rsidR="0011211E" w:rsidRPr="00D61FC4" w:rsidRDefault="0011211E" w:rsidP="0011211E">
      <w:pPr>
        <w:pStyle w:val="BodyText"/>
        <w:rPr>
          <w:rFonts w:cs="Arial"/>
        </w:rPr>
      </w:pPr>
    </w:p>
    <w:p w:rsidR="0011211E" w:rsidRPr="00D61FC4" w:rsidRDefault="0011211E" w:rsidP="0011211E">
      <w:pPr>
        <w:pStyle w:val="BodyText"/>
        <w:rPr>
          <w:rFonts w:cs="Arial"/>
        </w:rPr>
      </w:pPr>
      <w:r w:rsidRPr="00D61FC4">
        <w:rPr>
          <w:rFonts w:cs="Arial"/>
        </w:rPr>
        <w:t>La liste des variétés protégées par des droits d’obtenteur au niveau national (y compris des droits provisoires), valable au 30 juin 2015, a été publiée dans le troisième numéro de la Gazette polonaise pour les droits d’obtenteur et la liste nationale n° 3(128)2015/.</w:t>
      </w:r>
    </w:p>
    <w:p w:rsidR="0011211E" w:rsidRPr="00D61FC4" w:rsidRDefault="0011211E" w:rsidP="0011211E">
      <w:pPr>
        <w:pStyle w:val="BodyText"/>
        <w:rPr>
          <w:rFonts w:cs="Arial"/>
        </w:rPr>
      </w:pPr>
    </w:p>
    <w:p w:rsidR="0011211E" w:rsidRPr="00D61FC4" w:rsidRDefault="0011211E" w:rsidP="0011211E">
      <w:pPr>
        <w:pStyle w:val="BodyText"/>
        <w:rPr>
          <w:rFonts w:cs="Arial"/>
        </w:rPr>
      </w:pPr>
      <w:r w:rsidRPr="00D61FC4">
        <w:rPr>
          <w:rFonts w:cs="Arial"/>
        </w:rPr>
        <w:t>La Gazette officielle est également publiée sur notre site Internet dans la section </w:t>
      </w:r>
      <w:r w:rsidRPr="00D61FC4">
        <w:rPr>
          <w:rFonts w:cs="Arial"/>
          <w:i/>
        </w:rPr>
        <w:t>Publications</w:t>
      </w:r>
      <w:r w:rsidRPr="00D61FC4">
        <w:rPr>
          <w:rFonts w:cs="Arial"/>
        </w:rPr>
        <w:t>.</w:t>
      </w:r>
    </w:p>
    <w:p w:rsidR="0011211E" w:rsidRPr="00D61FC4" w:rsidRDefault="0011211E" w:rsidP="0011211E">
      <w:pPr>
        <w:pStyle w:val="BodyText"/>
        <w:rPr>
          <w:rFonts w:cs="Arial"/>
        </w:rPr>
      </w:pPr>
    </w:p>
    <w:p w:rsidR="0011211E" w:rsidRPr="00D61FC4" w:rsidRDefault="0011211E" w:rsidP="0011211E">
      <w:pPr>
        <w:pStyle w:val="BodyText"/>
        <w:rPr>
          <w:rFonts w:cs="Arial"/>
        </w:rPr>
      </w:pPr>
      <w:r w:rsidRPr="00D61FC4">
        <w:rPr>
          <w:rFonts w:cs="Arial"/>
        </w:rPr>
        <w:t>De plus, le COBORU tient à jour et actualise systématiquement un site Internet (</w:t>
      </w:r>
      <w:hyperlink r:id="rId29" w:history="1">
        <w:r w:rsidRPr="00D61FC4">
          <w:rPr>
            <w:rStyle w:val="Hyperlink"/>
            <w:rFonts w:cs="Arial"/>
            <w:iCs/>
          </w:rPr>
          <w:t>www.coboru.pl</w:t>
        </w:r>
      </w:hyperlink>
      <w:r w:rsidRPr="00D61FC4">
        <w:rPr>
          <w:rFonts w:cs="Arial"/>
        </w:rPr>
        <w:t>) contenant des renseignements officiels sur les questions touchant à la protection des obtentions végétales en Pologne.</w:t>
      </w:r>
    </w:p>
    <w:p w:rsidR="0011211E" w:rsidRPr="00D61FC4" w:rsidRDefault="0011211E" w:rsidP="0011211E">
      <w:pPr>
        <w:tabs>
          <w:tab w:val="left" w:pos="4962"/>
        </w:tabs>
        <w:rPr>
          <w:rFonts w:cs="Arial"/>
        </w:rPr>
      </w:pPr>
    </w:p>
    <w:p w:rsidR="0011211E" w:rsidRPr="00D61FC4" w:rsidRDefault="0011211E" w:rsidP="0011211E">
      <w:pPr>
        <w:tabs>
          <w:tab w:val="left" w:pos="4962"/>
        </w:tabs>
        <w:rPr>
          <w:rFonts w:cs="Arial"/>
        </w:rPr>
      </w:pPr>
      <w:r w:rsidRPr="00D61FC4">
        <w:rPr>
          <w:rFonts w:cs="Arial"/>
        </w:rPr>
        <w:t>Pendant la période considérée, le COBORU a participé aux activités de promotion suivantes :</w:t>
      </w:r>
    </w:p>
    <w:p w:rsidR="0011211E" w:rsidRPr="00D61FC4" w:rsidRDefault="0011211E" w:rsidP="0011211E">
      <w:pPr>
        <w:tabs>
          <w:tab w:val="left" w:pos="4962"/>
        </w:tabs>
        <w:rPr>
          <w:rFonts w:cs="Arial"/>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6"/>
        <w:gridCol w:w="1133"/>
        <w:gridCol w:w="1277"/>
        <w:gridCol w:w="1438"/>
        <w:gridCol w:w="1984"/>
        <w:gridCol w:w="1701"/>
        <w:gridCol w:w="427"/>
      </w:tblGrid>
      <w:tr w:rsidR="0011211E" w:rsidRPr="00D61FC4" w:rsidTr="00F56180">
        <w:trPr>
          <w:cantSplit/>
          <w:trHeight w:val="1134"/>
          <w:tblHeader/>
        </w:trPr>
        <w:tc>
          <w:tcPr>
            <w:tcW w:w="1706" w:type="dxa"/>
            <w:tcBorders>
              <w:top w:val="single" w:sz="4" w:space="0" w:color="auto"/>
              <w:left w:val="single" w:sz="4" w:space="0" w:color="auto"/>
              <w:bottom w:val="single" w:sz="4" w:space="0" w:color="auto"/>
              <w:right w:val="single" w:sz="4" w:space="0" w:color="auto"/>
            </w:tcBorders>
            <w:hideMark/>
          </w:tcPr>
          <w:p w:rsidR="0011211E" w:rsidRPr="00D61FC4" w:rsidRDefault="0011211E" w:rsidP="00EA781B">
            <w:pPr>
              <w:jc w:val="left"/>
              <w:rPr>
                <w:sz w:val="18"/>
              </w:rPr>
            </w:pPr>
            <w:r w:rsidRPr="00D61FC4">
              <w:rPr>
                <w:sz w:val="18"/>
              </w:rPr>
              <w:t>Titre de l’activité</w:t>
            </w:r>
          </w:p>
        </w:tc>
        <w:tc>
          <w:tcPr>
            <w:tcW w:w="1133" w:type="dxa"/>
            <w:tcBorders>
              <w:top w:val="single" w:sz="4" w:space="0" w:color="auto"/>
              <w:left w:val="single" w:sz="4" w:space="0" w:color="auto"/>
              <w:bottom w:val="single" w:sz="4" w:space="0" w:color="auto"/>
              <w:right w:val="single" w:sz="4" w:space="0" w:color="auto"/>
            </w:tcBorders>
            <w:hideMark/>
          </w:tcPr>
          <w:p w:rsidR="0011211E" w:rsidRPr="00D61FC4" w:rsidRDefault="0011211E" w:rsidP="00EA781B">
            <w:pPr>
              <w:jc w:val="left"/>
              <w:rPr>
                <w:sz w:val="18"/>
              </w:rPr>
            </w:pPr>
            <w:r w:rsidRPr="00D61FC4">
              <w:rPr>
                <w:sz w:val="18"/>
              </w:rPr>
              <w:t>Date</w:t>
            </w:r>
          </w:p>
        </w:tc>
        <w:tc>
          <w:tcPr>
            <w:tcW w:w="1277" w:type="dxa"/>
            <w:tcBorders>
              <w:top w:val="single" w:sz="4" w:space="0" w:color="auto"/>
              <w:left w:val="single" w:sz="4" w:space="0" w:color="auto"/>
              <w:bottom w:val="single" w:sz="4" w:space="0" w:color="auto"/>
              <w:right w:val="single" w:sz="4" w:space="0" w:color="auto"/>
            </w:tcBorders>
            <w:hideMark/>
          </w:tcPr>
          <w:p w:rsidR="0011211E" w:rsidRPr="00D61FC4" w:rsidRDefault="0011211E" w:rsidP="00EA781B">
            <w:pPr>
              <w:jc w:val="left"/>
              <w:rPr>
                <w:sz w:val="18"/>
              </w:rPr>
            </w:pPr>
            <w:r w:rsidRPr="00D61FC4">
              <w:rPr>
                <w:sz w:val="18"/>
              </w:rPr>
              <w:t>Lieu</w:t>
            </w:r>
          </w:p>
        </w:tc>
        <w:tc>
          <w:tcPr>
            <w:tcW w:w="1438" w:type="dxa"/>
            <w:tcBorders>
              <w:top w:val="single" w:sz="4" w:space="0" w:color="auto"/>
              <w:left w:val="single" w:sz="4" w:space="0" w:color="auto"/>
              <w:bottom w:val="single" w:sz="4" w:space="0" w:color="auto"/>
              <w:right w:val="single" w:sz="4" w:space="0" w:color="auto"/>
            </w:tcBorders>
            <w:hideMark/>
          </w:tcPr>
          <w:p w:rsidR="0011211E" w:rsidRPr="00D61FC4" w:rsidRDefault="0011211E" w:rsidP="00EA781B">
            <w:pPr>
              <w:jc w:val="left"/>
              <w:rPr>
                <w:sz w:val="18"/>
              </w:rPr>
            </w:pPr>
            <w:r w:rsidRPr="00D61FC4">
              <w:rPr>
                <w:sz w:val="18"/>
              </w:rPr>
              <w:t>Organisateur(s)</w:t>
            </w:r>
          </w:p>
        </w:tc>
        <w:tc>
          <w:tcPr>
            <w:tcW w:w="1984" w:type="dxa"/>
            <w:tcBorders>
              <w:top w:val="single" w:sz="4" w:space="0" w:color="auto"/>
              <w:left w:val="single" w:sz="4" w:space="0" w:color="auto"/>
              <w:bottom w:val="single" w:sz="4" w:space="0" w:color="auto"/>
              <w:right w:val="single" w:sz="4" w:space="0" w:color="auto"/>
            </w:tcBorders>
            <w:hideMark/>
          </w:tcPr>
          <w:p w:rsidR="0011211E" w:rsidRPr="00D61FC4" w:rsidRDefault="0011211E" w:rsidP="00EA781B">
            <w:pPr>
              <w:jc w:val="left"/>
              <w:rPr>
                <w:sz w:val="18"/>
              </w:rPr>
            </w:pPr>
            <w:r w:rsidRPr="00D61FC4">
              <w:rPr>
                <w:sz w:val="18"/>
              </w:rPr>
              <w:t>But de l’activité</w:t>
            </w:r>
          </w:p>
        </w:tc>
        <w:tc>
          <w:tcPr>
            <w:tcW w:w="1701" w:type="dxa"/>
            <w:tcBorders>
              <w:top w:val="single" w:sz="4" w:space="0" w:color="auto"/>
              <w:left w:val="single" w:sz="4" w:space="0" w:color="auto"/>
              <w:bottom w:val="single" w:sz="4" w:space="0" w:color="auto"/>
              <w:right w:val="single" w:sz="4" w:space="0" w:color="auto"/>
            </w:tcBorders>
            <w:hideMark/>
          </w:tcPr>
          <w:p w:rsidR="0011211E" w:rsidRPr="00D61FC4" w:rsidRDefault="0011211E" w:rsidP="00EA781B">
            <w:pPr>
              <w:jc w:val="left"/>
              <w:rPr>
                <w:sz w:val="18"/>
              </w:rPr>
            </w:pPr>
            <w:r w:rsidRPr="00D61FC4">
              <w:rPr>
                <w:sz w:val="18"/>
              </w:rPr>
              <w:t>Pays/organisations participants (nombre de participants pour chaque pays/organisation)</w:t>
            </w:r>
          </w:p>
        </w:tc>
        <w:tc>
          <w:tcPr>
            <w:tcW w:w="427" w:type="dxa"/>
            <w:tcBorders>
              <w:top w:val="single" w:sz="4" w:space="0" w:color="auto"/>
              <w:left w:val="single" w:sz="4" w:space="0" w:color="auto"/>
              <w:bottom w:val="single" w:sz="4" w:space="0" w:color="auto"/>
              <w:right w:val="single" w:sz="4" w:space="0" w:color="auto"/>
            </w:tcBorders>
            <w:textDirection w:val="btLr"/>
            <w:hideMark/>
          </w:tcPr>
          <w:p w:rsidR="0011211E" w:rsidRPr="00D61FC4" w:rsidRDefault="0011211E" w:rsidP="00F56180">
            <w:pPr>
              <w:ind w:left="113" w:right="113"/>
              <w:jc w:val="center"/>
              <w:rPr>
                <w:sz w:val="18"/>
              </w:rPr>
            </w:pPr>
            <w:proofErr w:type="spellStart"/>
            <w:r w:rsidRPr="00D61FC4">
              <w:rPr>
                <w:sz w:val="18"/>
              </w:rPr>
              <w:t>Obser</w:t>
            </w:r>
            <w:r w:rsidR="00F56180">
              <w:rPr>
                <w:sz w:val="18"/>
              </w:rPr>
              <w:t>-</w:t>
            </w:r>
            <w:r w:rsidRPr="00D61FC4">
              <w:rPr>
                <w:sz w:val="18"/>
              </w:rPr>
              <w:t>vations</w:t>
            </w:r>
            <w:proofErr w:type="spellEnd"/>
          </w:p>
        </w:tc>
      </w:tr>
      <w:tr w:rsidR="0011211E" w:rsidRPr="00D61FC4" w:rsidTr="00EA781B">
        <w:trPr>
          <w:cantSplit/>
        </w:trPr>
        <w:tc>
          <w:tcPr>
            <w:tcW w:w="1706" w:type="dxa"/>
            <w:tcBorders>
              <w:top w:val="single" w:sz="4" w:space="0" w:color="auto"/>
              <w:left w:val="single" w:sz="4" w:space="0" w:color="auto"/>
              <w:bottom w:val="single" w:sz="4" w:space="0" w:color="auto"/>
              <w:right w:val="single" w:sz="4" w:space="0" w:color="auto"/>
            </w:tcBorders>
            <w:hideMark/>
          </w:tcPr>
          <w:p w:rsidR="0011211E" w:rsidRPr="00D61FC4" w:rsidRDefault="0011211E" w:rsidP="00EA781B">
            <w:pPr>
              <w:jc w:val="left"/>
              <w:rPr>
                <w:rFonts w:cs="Arial"/>
                <w:color w:val="000000"/>
                <w:sz w:val="18"/>
              </w:rPr>
            </w:pPr>
            <w:r w:rsidRPr="00D61FC4">
              <w:rPr>
                <w:rFonts w:cs="Arial"/>
                <w:color w:val="000000"/>
                <w:sz w:val="18"/>
              </w:rPr>
              <w:t>1.  Réunion de la section des plantes oléagineuses et à fibres de la ESA</w:t>
            </w:r>
          </w:p>
        </w:tc>
        <w:tc>
          <w:tcPr>
            <w:tcW w:w="1133" w:type="dxa"/>
            <w:tcBorders>
              <w:top w:val="single" w:sz="4" w:space="0" w:color="auto"/>
              <w:left w:val="single" w:sz="4" w:space="0" w:color="auto"/>
              <w:bottom w:val="single" w:sz="4" w:space="0" w:color="auto"/>
              <w:right w:val="single" w:sz="4" w:space="0" w:color="auto"/>
            </w:tcBorders>
          </w:tcPr>
          <w:p w:rsidR="0011211E" w:rsidRPr="00D61FC4" w:rsidRDefault="0011211E" w:rsidP="00EA781B">
            <w:pPr>
              <w:jc w:val="left"/>
              <w:rPr>
                <w:rFonts w:cs="Arial"/>
                <w:color w:val="000000"/>
                <w:sz w:val="18"/>
              </w:rPr>
            </w:pPr>
            <w:r w:rsidRPr="00D61FC4">
              <w:rPr>
                <w:rFonts w:cs="Arial"/>
                <w:color w:val="000000"/>
                <w:sz w:val="18"/>
              </w:rPr>
              <w:t>16 avril 2015</w:t>
            </w:r>
          </w:p>
        </w:tc>
        <w:tc>
          <w:tcPr>
            <w:tcW w:w="1277" w:type="dxa"/>
            <w:tcBorders>
              <w:top w:val="single" w:sz="4" w:space="0" w:color="auto"/>
              <w:left w:val="single" w:sz="4" w:space="0" w:color="auto"/>
              <w:bottom w:val="single" w:sz="4" w:space="0" w:color="auto"/>
              <w:right w:val="single" w:sz="4" w:space="0" w:color="auto"/>
            </w:tcBorders>
          </w:tcPr>
          <w:p w:rsidR="0011211E" w:rsidRPr="00D61FC4" w:rsidRDefault="0011211E" w:rsidP="00EA781B">
            <w:pPr>
              <w:jc w:val="left"/>
              <w:rPr>
                <w:rFonts w:cs="Arial"/>
                <w:color w:val="000000"/>
                <w:sz w:val="18"/>
              </w:rPr>
            </w:pPr>
            <w:r w:rsidRPr="00D61FC4">
              <w:rPr>
                <w:rFonts w:cs="Arial"/>
                <w:color w:val="000000"/>
                <w:sz w:val="18"/>
              </w:rPr>
              <w:t xml:space="preserve">Pologne, </w:t>
            </w:r>
            <w:proofErr w:type="spellStart"/>
            <w:r w:rsidRPr="00D61FC4">
              <w:rPr>
                <w:rFonts w:cs="Arial"/>
                <w:color w:val="000000"/>
                <w:sz w:val="18"/>
              </w:rPr>
              <w:t>Słupia</w:t>
            </w:r>
            <w:proofErr w:type="spellEnd"/>
            <w:r w:rsidRPr="00D61FC4">
              <w:rPr>
                <w:rFonts w:cs="Arial"/>
                <w:color w:val="000000"/>
                <w:sz w:val="18"/>
              </w:rPr>
              <w:t> </w:t>
            </w:r>
            <w:proofErr w:type="spellStart"/>
            <w:r w:rsidRPr="00D61FC4">
              <w:rPr>
                <w:rFonts w:cs="Arial"/>
                <w:color w:val="000000"/>
                <w:sz w:val="18"/>
              </w:rPr>
              <w:t>Wielka</w:t>
            </w:r>
            <w:proofErr w:type="spellEnd"/>
          </w:p>
        </w:tc>
        <w:tc>
          <w:tcPr>
            <w:tcW w:w="1438" w:type="dxa"/>
            <w:tcBorders>
              <w:top w:val="single" w:sz="4" w:space="0" w:color="auto"/>
              <w:left w:val="single" w:sz="4" w:space="0" w:color="auto"/>
              <w:bottom w:val="single" w:sz="4" w:space="0" w:color="auto"/>
              <w:right w:val="single" w:sz="4" w:space="0" w:color="auto"/>
            </w:tcBorders>
          </w:tcPr>
          <w:p w:rsidR="0011211E" w:rsidRPr="00245BB7" w:rsidRDefault="0011211E" w:rsidP="00EA781B">
            <w:pPr>
              <w:jc w:val="left"/>
              <w:rPr>
                <w:rFonts w:cs="Arial"/>
                <w:color w:val="000000"/>
                <w:sz w:val="18"/>
                <w:lang w:val="en-US"/>
              </w:rPr>
            </w:pPr>
            <w:r w:rsidRPr="00245BB7">
              <w:rPr>
                <w:rFonts w:cs="Arial"/>
                <w:color w:val="000000"/>
                <w:sz w:val="18"/>
                <w:lang w:val="en-US"/>
              </w:rPr>
              <w:t xml:space="preserve">Plant Breeding and Acclimatization Institute, </w:t>
            </w:r>
            <w:proofErr w:type="spellStart"/>
            <w:r w:rsidRPr="00245BB7">
              <w:rPr>
                <w:rFonts w:cs="Arial"/>
                <w:color w:val="000000"/>
                <w:sz w:val="18"/>
                <w:lang w:val="en-US"/>
              </w:rPr>
              <w:t>Radzików</w:t>
            </w:r>
            <w:proofErr w:type="spellEnd"/>
          </w:p>
        </w:tc>
        <w:tc>
          <w:tcPr>
            <w:tcW w:w="1984" w:type="dxa"/>
            <w:tcBorders>
              <w:top w:val="single" w:sz="4" w:space="0" w:color="auto"/>
              <w:left w:val="single" w:sz="4" w:space="0" w:color="auto"/>
              <w:bottom w:val="single" w:sz="4" w:space="0" w:color="auto"/>
              <w:right w:val="single" w:sz="4" w:space="0" w:color="auto"/>
            </w:tcBorders>
          </w:tcPr>
          <w:p w:rsidR="0011211E" w:rsidRPr="00D61FC4" w:rsidRDefault="0011211E" w:rsidP="00EA781B">
            <w:pPr>
              <w:jc w:val="left"/>
              <w:rPr>
                <w:rFonts w:cs="Arial"/>
                <w:color w:val="000000"/>
                <w:sz w:val="18"/>
              </w:rPr>
            </w:pPr>
            <w:r w:rsidRPr="00D61FC4">
              <w:rPr>
                <w:rFonts w:cs="Arial"/>
                <w:color w:val="000000"/>
                <w:sz w:val="18"/>
              </w:rPr>
              <w:t>Présentation de l’organisation et des activités du COBORU concernant la liste nationale, la délivrance des droits d’obtenteur et les recommandations en matière de variétés végétales</w:t>
            </w:r>
          </w:p>
        </w:tc>
        <w:tc>
          <w:tcPr>
            <w:tcW w:w="1701" w:type="dxa"/>
            <w:tcBorders>
              <w:top w:val="single" w:sz="4" w:space="0" w:color="auto"/>
              <w:left w:val="single" w:sz="4" w:space="0" w:color="auto"/>
              <w:bottom w:val="single" w:sz="4" w:space="0" w:color="auto"/>
              <w:right w:val="single" w:sz="4" w:space="0" w:color="auto"/>
            </w:tcBorders>
          </w:tcPr>
          <w:p w:rsidR="0011211E" w:rsidRPr="00D61FC4" w:rsidRDefault="0011211E" w:rsidP="00EA781B">
            <w:pPr>
              <w:jc w:val="left"/>
              <w:rPr>
                <w:rFonts w:cs="Arial"/>
                <w:color w:val="000000"/>
                <w:sz w:val="18"/>
              </w:rPr>
            </w:pPr>
            <w:r w:rsidRPr="00D61FC4">
              <w:rPr>
                <w:rFonts w:cs="Arial"/>
                <w:color w:val="000000"/>
                <w:sz w:val="18"/>
              </w:rPr>
              <w:t>ESA – 17</w:t>
            </w:r>
          </w:p>
          <w:p w:rsidR="0011211E" w:rsidRPr="00D61FC4" w:rsidRDefault="0011211E" w:rsidP="00EA781B">
            <w:pPr>
              <w:jc w:val="left"/>
              <w:rPr>
                <w:rFonts w:cs="Arial"/>
                <w:color w:val="000000"/>
                <w:sz w:val="18"/>
              </w:rPr>
            </w:pPr>
            <w:r w:rsidRPr="00D61FC4">
              <w:rPr>
                <w:rFonts w:cs="Arial"/>
                <w:color w:val="000000"/>
                <w:sz w:val="18"/>
              </w:rPr>
              <w:t>Pologne – 8</w:t>
            </w:r>
          </w:p>
        </w:tc>
        <w:tc>
          <w:tcPr>
            <w:tcW w:w="427" w:type="dxa"/>
            <w:tcBorders>
              <w:top w:val="single" w:sz="4" w:space="0" w:color="auto"/>
              <w:left w:val="single" w:sz="4" w:space="0" w:color="auto"/>
              <w:bottom w:val="single" w:sz="4" w:space="0" w:color="auto"/>
              <w:right w:val="single" w:sz="4" w:space="0" w:color="auto"/>
            </w:tcBorders>
          </w:tcPr>
          <w:p w:rsidR="0011211E" w:rsidRPr="00D61FC4" w:rsidRDefault="0011211E" w:rsidP="00EA781B">
            <w:pPr>
              <w:jc w:val="left"/>
              <w:rPr>
                <w:rFonts w:cs="Arial"/>
                <w:color w:val="000000"/>
                <w:sz w:val="18"/>
              </w:rPr>
            </w:pPr>
          </w:p>
        </w:tc>
      </w:tr>
      <w:tr w:rsidR="0011211E" w:rsidRPr="00D61FC4" w:rsidTr="00EA781B">
        <w:trPr>
          <w:cantSplit/>
        </w:trPr>
        <w:tc>
          <w:tcPr>
            <w:tcW w:w="1706" w:type="dxa"/>
            <w:tcBorders>
              <w:top w:val="single" w:sz="4" w:space="0" w:color="auto"/>
              <w:left w:val="single" w:sz="4" w:space="0" w:color="auto"/>
              <w:bottom w:val="single" w:sz="4" w:space="0" w:color="auto"/>
              <w:right w:val="single" w:sz="4" w:space="0" w:color="auto"/>
            </w:tcBorders>
            <w:hideMark/>
          </w:tcPr>
          <w:p w:rsidR="0011211E" w:rsidRPr="00D61FC4" w:rsidRDefault="0011211E" w:rsidP="00EA781B">
            <w:pPr>
              <w:jc w:val="left"/>
              <w:rPr>
                <w:rFonts w:cs="Arial"/>
                <w:color w:val="000000"/>
                <w:sz w:val="18"/>
              </w:rPr>
            </w:pPr>
            <w:r w:rsidRPr="00D61FC4">
              <w:rPr>
                <w:rFonts w:cs="Arial"/>
                <w:color w:val="000000"/>
                <w:sz w:val="18"/>
              </w:rPr>
              <w:t>2.  Visite du président et du vice</w:t>
            </w:r>
            <w:r w:rsidRPr="00D61FC4">
              <w:rPr>
                <w:rFonts w:cs="Arial"/>
                <w:color w:val="000000"/>
                <w:sz w:val="18"/>
              </w:rPr>
              <w:noBreakHyphen/>
              <w:t>président de l’OCVV</w:t>
            </w:r>
          </w:p>
        </w:tc>
        <w:tc>
          <w:tcPr>
            <w:tcW w:w="1133" w:type="dxa"/>
            <w:tcBorders>
              <w:top w:val="single" w:sz="4" w:space="0" w:color="auto"/>
              <w:left w:val="single" w:sz="4" w:space="0" w:color="auto"/>
              <w:bottom w:val="single" w:sz="4" w:space="0" w:color="auto"/>
              <w:right w:val="single" w:sz="4" w:space="0" w:color="auto"/>
            </w:tcBorders>
          </w:tcPr>
          <w:p w:rsidR="0011211E" w:rsidRPr="00D61FC4" w:rsidRDefault="0011211E" w:rsidP="00EA781B">
            <w:pPr>
              <w:jc w:val="left"/>
              <w:rPr>
                <w:rFonts w:cs="Arial"/>
                <w:color w:val="000000"/>
                <w:sz w:val="18"/>
              </w:rPr>
            </w:pPr>
            <w:r w:rsidRPr="00D61FC4">
              <w:rPr>
                <w:rFonts w:cs="Arial"/>
                <w:color w:val="000000"/>
                <w:sz w:val="18"/>
              </w:rPr>
              <w:t>4</w:t>
            </w:r>
            <w:r w:rsidRPr="00D61FC4">
              <w:rPr>
                <w:rFonts w:cs="Arial"/>
                <w:color w:val="000000"/>
                <w:sz w:val="18"/>
              </w:rPr>
              <w:noBreakHyphen/>
              <w:t>6 mai 2015</w:t>
            </w:r>
          </w:p>
        </w:tc>
        <w:tc>
          <w:tcPr>
            <w:tcW w:w="1277" w:type="dxa"/>
            <w:tcBorders>
              <w:top w:val="single" w:sz="4" w:space="0" w:color="auto"/>
              <w:left w:val="single" w:sz="4" w:space="0" w:color="auto"/>
              <w:bottom w:val="single" w:sz="4" w:space="0" w:color="auto"/>
              <w:right w:val="single" w:sz="4" w:space="0" w:color="auto"/>
            </w:tcBorders>
          </w:tcPr>
          <w:p w:rsidR="0011211E" w:rsidRPr="00D61FC4" w:rsidRDefault="0011211E" w:rsidP="00EA781B">
            <w:pPr>
              <w:jc w:val="left"/>
              <w:rPr>
                <w:rFonts w:cs="Arial"/>
                <w:color w:val="000000"/>
                <w:sz w:val="18"/>
              </w:rPr>
            </w:pPr>
            <w:r w:rsidRPr="00D61FC4">
              <w:rPr>
                <w:rFonts w:cs="Arial"/>
                <w:color w:val="000000"/>
                <w:sz w:val="18"/>
              </w:rPr>
              <w:t xml:space="preserve">Pologne, </w:t>
            </w:r>
            <w:proofErr w:type="spellStart"/>
            <w:r w:rsidRPr="00D61FC4">
              <w:rPr>
                <w:rFonts w:cs="Arial"/>
                <w:color w:val="000000"/>
                <w:sz w:val="18"/>
              </w:rPr>
              <w:t>Słupia</w:t>
            </w:r>
            <w:proofErr w:type="spellEnd"/>
            <w:r w:rsidRPr="00D61FC4">
              <w:rPr>
                <w:rFonts w:cs="Arial"/>
                <w:color w:val="000000"/>
                <w:sz w:val="18"/>
              </w:rPr>
              <w:t> </w:t>
            </w:r>
            <w:proofErr w:type="spellStart"/>
            <w:r w:rsidRPr="00D61FC4">
              <w:rPr>
                <w:rFonts w:cs="Arial"/>
                <w:color w:val="000000"/>
                <w:sz w:val="18"/>
              </w:rPr>
              <w:t>Wielka</w:t>
            </w:r>
            <w:proofErr w:type="spellEnd"/>
            <w:r w:rsidRPr="00D61FC4">
              <w:rPr>
                <w:rFonts w:cs="Arial"/>
                <w:color w:val="000000"/>
                <w:sz w:val="18"/>
              </w:rPr>
              <w:t xml:space="preserve">, Station d’essais </w:t>
            </w:r>
            <w:proofErr w:type="spellStart"/>
            <w:r w:rsidRPr="00D61FC4">
              <w:rPr>
                <w:rFonts w:cs="Arial"/>
                <w:color w:val="000000"/>
                <w:sz w:val="18"/>
              </w:rPr>
              <w:t>Zybiszów</w:t>
            </w:r>
            <w:proofErr w:type="spellEnd"/>
            <w:r w:rsidRPr="00D61FC4">
              <w:rPr>
                <w:rFonts w:cs="Arial"/>
                <w:color w:val="000000"/>
                <w:sz w:val="18"/>
              </w:rPr>
              <w:t xml:space="preserve"> </w:t>
            </w:r>
          </w:p>
        </w:tc>
        <w:tc>
          <w:tcPr>
            <w:tcW w:w="1438" w:type="dxa"/>
            <w:tcBorders>
              <w:top w:val="single" w:sz="4" w:space="0" w:color="auto"/>
              <w:left w:val="single" w:sz="4" w:space="0" w:color="auto"/>
              <w:bottom w:val="single" w:sz="4" w:space="0" w:color="auto"/>
              <w:right w:val="single" w:sz="4" w:space="0" w:color="auto"/>
            </w:tcBorders>
          </w:tcPr>
          <w:p w:rsidR="0011211E" w:rsidRPr="00D61FC4" w:rsidRDefault="0011211E" w:rsidP="00EA781B">
            <w:pPr>
              <w:jc w:val="left"/>
              <w:rPr>
                <w:rFonts w:cs="Arial"/>
                <w:color w:val="000000"/>
                <w:sz w:val="18"/>
              </w:rPr>
            </w:pPr>
            <w:r w:rsidRPr="00D61FC4">
              <w:rPr>
                <w:rFonts w:cs="Arial"/>
                <w:color w:val="000000"/>
                <w:sz w:val="18"/>
              </w:rPr>
              <w:t>COBORU</w:t>
            </w:r>
          </w:p>
        </w:tc>
        <w:tc>
          <w:tcPr>
            <w:tcW w:w="1984" w:type="dxa"/>
            <w:tcBorders>
              <w:top w:val="single" w:sz="4" w:space="0" w:color="auto"/>
              <w:left w:val="single" w:sz="4" w:space="0" w:color="auto"/>
              <w:bottom w:val="single" w:sz="4" w:space="0" w:color="auto"/>
              <w:right w:val="single" w:sz="4" w:space="0" w:color="auto"/>
            </w:tcBorders>
          </w:tcPr>
          <w:p w:rsidR="0011211E" w:rsidRPr="00D61FC4" w:rsidRDefault="0011211E" w:rsidP="00EA781B">
            <w:pPr>
              <w:jc w:val="left"/>
              <w:rPr>
                <w:rFonts w:cs="Arial"/>
                <w:color w:val="000000"/>
                <w:sz w:val="18"/>
              </w:rPr>
            </w:pPr>
            <w:r w:rsidRPr="00D61FC4">
              <w:rPr>
                <w:rFonts w:cs="Arial"/>
                <w:color w:val="000000"/>
                <w:sz w:val="18"/>
              </w:rPr>
              <w:t>Échange d’idées sur le fonctionnement des systèmes de droits d’obtenteur;  débat sur la collaboration mutuelle;  présentation des activités du COBORU</w:t>
            </w:r>
          </w:p>
        </w:tc>
        <w:tc>
          <w:tcPr>
            <w:tcW w:w="1701" w:type="dxa"/>
            <w:tcBorders>
              <w:top w:val="single" w:sz="4" w:space="0" w:color="auto"/>
              <w:left w:val="single" w:sz="4" w:space="0" w:color="auto"/>
              <w:bottom w:val="single" w:sz="4" w:space="0" w:color="auto"/>
              <w:right w:val="single" w:sz="4" w:space="0" w:color="auto"/>
            </w:tcBorders>
          </w:tcPr>
          <w:p w:rsidR="0011211E" w:rsidRPr="00D61FC4" w:rsidRDefault="0011211E" w:rsidP="00EA781B">
            <w:pPr>
              <w:jc w:val="left"/>
              <w:rPr>
                <w:rFonts w:cs="Arial"/>
                <w:color w:val="000000"/>
                <w:sz w:val="18"/>
              </w:rPr>
            </w:pPr>
            <w:r w:rsidRPr="00D61FC4">
              <w:rPr>
                <w:rFonts w:cs="Arial"/>
                <w:color w:val="000000"/>
                <w:sz w:val="18"/>
              </w:rPr>
              <w:t>OCVV – 2</w:t>
            </w:r>
          </w:p>
          <w:p w:rsidR="0011211E" w:rsidRPr="00D61FC4" w:rsidRDefault="0011211E" w:rsidP="00EA781B">
            <w:pPr>
              <w:jc w:val="left"/>
              <w:rPr>
                <w:rFonts w:cs="Arial"/>
                <w:color w:val="000000"/>
                <w:sz w:val="18"/>
              </w:rPr>
            </w:pPr>
            <w:r w:rsidRPr="00D61FC4">
              <w:rPr>
                <w:rFonts w:cs="Arial"/>
                <w:color w:val="000000"/>
                <w:sz w:val="18"/>
              </w:rPr>
              <w:t>Pologne – 8</w:t>
            </w:r>
          </w:p>
        </w:tc>
        <w:tc>
          <w:tcPr>
            <w:tcW w:w="427" w:type="dxa"/>
            <w:tcBorders>
              <w:top w:val="single" w:sz="4" w:space="0" w:color="auto"/>
              <w:left w:val="single" w:sz="4" w:space="0" w:color="auto"/>
              <w:bottom w:val="single" w:sz="4" w:space="0" w:color="auto"/>
              <w:right w:val="single" w:sz="4" w:space="0" w:color="auto"/>
            </w:tcBorders>
          </w:tcPr>
          <w:p w:rsidR="0011211E" w:rsidRPr="00D61FC4" w:rsidRDefault="0011211E" w:rsidP="00EA781B">
            <w:pPr>
              <w:jc w:val="left"/>
              <w:rPr>
                <w:rFonts w:cs="Arial"/>
                <w:color w:val="000000"/>
                <w:sz w:val="18"/>
              </w:rPr>
            </w:pPr>
          </w:p>
        </w:tc>
      </w:tr>
      <w:tr w:rsidR="0011211E" w:rsidRPr="00D61FC4" w:rsidTr="00EA781B">
        <w:trPr>
          <w:cantSplit/>
        </w:trPr>
        <w:tc>
          <w:tcPr>
            <w:tcW w:w="1706" w:type="dxa"/>
            <w:tcBorders>
              <w:top w:val="single" w:sz="4" w:space="0" w:color="auto"/>
              <w:left w:val="single" w:sz="4" w:space="0" w:color="auto"/>
              <w:bottom w:val="single" w:sz="4" w:space="0" w:color="auto"/>
              <w:right w:val="single" w:sz="4" w:space="0" w:color="auto"/>
            </w:tcBorders>
            <w:hideMark/>
          </w:tcPr>
          <w:p w:rsidR="0011211E" w:rsidRPr="00D61FC4" w:rsidRDefault="0011211E" w:rsidP="00EA781B">
            <w:pPr>
              <w:jc w:val="left"/>
              <w:rPr>
                <w:rFonts w:cs="Arial"/>
                <w:color w:val="000000"/>
                <w:sz w:val="18"/>
              </w:rPr>
            </w:pPr>
            <w:r w:rsidRPr="00D61FC4">
              <w:rPr>
                <w:rFonts w:cs="Arial"/>
                <w:color w:val="000000"/>
                <w:sz w:val="18"/>
              </w:rPr>
              <w:t>3.  Visite d’experts du BSA (Allemagne)</w:t>
            </w:r>
          </w:p>
        </w:tc>
        <w:tc>
          <w:tcPr>
            <w:tcW w:w="1133" w:type="dxa"/>
            <w:tcBorders>
              <w:top w:val="single" w:sz="4" w:space="0" w:color="auto"/>
              <w:left w:val="single" w:sz="4" w:space="0" w:color="auto"/>
              <w:bottom w:val="single" w:sz="4" w:space="0" w:color="auto"/>
              <w:right w:val="single" w:sz="4" w:space="0" w:color="auto"/>
            </w:tcBorders>
          </w:tcPr>
          <w:p w:rsidR="0011211E" w:rsidRPr="00D61FC4" w:rsidRDefault="0011211E" w:rsidP="00EA781B">
            <w:pPr>
              <w:jc w:val="left"/>
              <w:rPr>
                <w:rFonts w:cs="Arial"/>
                <w:color w:val="000000"/>
                <w:sz w:val="18"/>
              </w:rPr>
            </w:pPr>
            <w:r w:rsidRPr="00D61FC4">
              <w:rPr>
                <w:rFonts w:cs="Arial"/>
                <w:color w:val="000000"/>
                <w:sz w:val="18"/>
              </w:rPr>
              <w:t>22</w:t>
            </w:r>
            <w:r w:rsidRPr="00D61FC4">
              <w:rPr>
                <w:rFonts w:cs="Arial"/>
                <w:color w:val="000000"/>
                <w:sz w:val="18"/>
              </w:rPr>
              <w:noBreakHyphen/>
              <w:t>23 juin 2015</w:t>
            </w:r>
          </w:p>
        </w:tc>
        <w:tc>
          <w:tcPr>
            <w:tcW w:w="1277" w:type="dxa"/>
            <w:tcBorders>
              <w:top w:val="single" w:sz="4" w:space="0" w:color="auto"/>
              <w:left w:val="single" w:sz="4" w:space="0" w:color="auto"/>
              <w:bottom w:val="single" w:sz="4" w:space="0" w:color="auto"/>
              <w:right w:val="single" w:sz="4" w:space="0" w:color="auto"/>
            </w:tcBorders>
          </w:tcPr>
          <w:p w:rsidR="0011211E" w:rsidRPr="00D61FC4" w:rsidRDefault="0011211E" w:rsidP="00EA781B">
            <w:pPr>
              <w:jc w:val="left"/>
              <w:rPr>
                <w:rFonts w:cs="Arial"/>
                <w:color w:val="000000"/>
                <w:sz w:val="18"/>
                <w:highlight w:val="yellow"/>
              </w:rPr>
            </w:pPr>
            <w:r w:rsidRPr="00D61FC4">
              <w:rPr>
                <w:rFonts w:cs="Arial"/>
                <w:color w:val="000000"/>
                <w:sz w:val="18"/>
              </w:rPr>
              <w:t xml:space="preserve">Pologne, </w:t>
            </w:r>
            <w:proofErr w:type="spellStart"/>
            <w:r w:rsidRPr="00D61FC4">
              <w:rPr>
                <w:rFonts w:cs="Arial"/>
                <w:color w:val="000000"/>
                <w:sz w:val="18"/>
              </w:rPr>
              <w:t>Słupia</w:t>
            </w:r>
            <w:proofErr w:type="spellEnd"/>
            <w:r w:rsidRPr="00D61FC4">
              <w:rPr>
                <w:rFonts w:cs="Arial"/>
                <w:color w:val="000000"/>
                <w:sz w:val="18"/>
              </w:rPr>
              <w:t> </w:t>
            </w:r>
            <w:proofErr w:type="spellStart"/>
            <w:r w:rsidRPr="00D61FC4">
              <w:rPr>
                <w:rFonts w:cs="Arial"/>
                <w:color w:val="000000"/>
                <w:sz w:val="18"/>
              </w:rPr>
              <w:t>Wielka</w:t>
            </w:r>
            <w:proofErr w:type="spellEnd"/>
            <w:r w:rsidRPr="00D61FC4">
              <w:rPr>
                <w:rFonts w:cs="Arial"/>
                <w:color w:val="000000"/>
                <w:sz w:val="18"/>
              </w:rPr>
              <w:t xml:space="preserve"> </w:t>
            </w:r>
          </w:p>
        </w:tc>
        <w:tc>
          <w:tcPr>
            <w:tcW w:w="1438" w:type="dxa"/>
            <w:tcBorders>
              <w:top w:val="single" w:sz="4" w:space="0" w:color="auto"/>
              <w:left w:val="single" w:sz="4" w:space="0" w:color="auto"/>
              <w:bottom w:val="single" w:sz="4" w:space="0" w:color="auto"/>
              <w:right w:val="single" w:sz="4" w:space="0" w:color="auto"/>
            </w:tcBorders>
          </w:tcPr>
          <w:p w:rsidR="0011211E" w:rsidRPr="00D61FC4" w:rsidRDefault="0011211E" w:rsidP="00EA781B">
            <w:pPr>
              <w:jc w:val="left"/>
              <w:rPr>
                <w:rFonts w:cs="Arial"/>
                <w:color w:val="000000"/>
                <w:sz w:val="18"/>
                <w:highlight w:val="yellow"/>
              </w:rPr>
            </w:pPr>
            <w:r w:rsidRPr="00D61FC4">
              <w:rPr>
                <w:rFonts w:cs="Arial"/>
                <w:color w:val="000000"/>
                <w:sz w:val="18"/>
              </w:rPr>
              <w:t>COBORU</w:t>
            </w:r>
          </w:p>
        </w:tc>
        <w:tc>
          <w:tcPr>
            <w:tcW w:w="1984" w:type="dxa"/>
            <w:tcBorders>
              <w:top w:val="single" w:sz="4" w:space="0" w:color="auto"/>
              <w:left w:val="single" w:sz="4" w:space="0" w:color="auto"/>
              <w:bottom w:val="single" w:sz="4" w:space="0" w:color="auto"/>
              <w:right w:val="single" w:sz="4" w:space="0" w:color="auto"/>
            </w:tcBorders>
          </w:tcPr>
          <w:p w:rsidR="0011211E" w:rsidRPr="00D61FC4" w:rsidRDefault="0011211E" w:rsidP="00EA781B">
            <w:pPr>
              <w:jc w:val="left"/>
              <w:rPr>
                <w:rFonts w:cs="Arial"/>
                <w:color w:val="000000"/>
                <w:sz w:val="18"/>
                <w:highlight w:val="yellow"/>
              </w:rPr>
            </w:pPr>
            <w:r w:rsidRPr="00D61FC4">
              <w:rPr>
                <w:rFonts w:cs="Arial"/>
                <w:color w:val="000000"/>
                <w:sz w:val="18"/>
              </w:rPr>
              <w:t xml:space="preserve">Échange de données d’expérience et d’observations sur les mesures et observations effectuées selon des protocoles techniques pour les caractères des variétés de seigle;  le fonctionnement des systèmes nationaux de droits d’obtenteurs en Pologne et en Allemagne;  débat sur les orientations possibles en matière de collaboration mutuelle </w:t>
            </w:r>
          </w:p>
        </w:tc>
        <w:tc>
          <w:tcPr>
            <w:tcW w:w="1701" w:type="dxa"/>
            <w:tcBorders>
              <w:top w:val="single" w:sz="4" w:space="0" w:color="auto"/>
              <w:left w:val="single" w:sz="4" w:space="0" w:color="auto"/>
              <w:bottom w:val="single" w:sz="4" w:space="0" w:color="auto"/>
              <w:right w:val="single" w:sz="4" w:space="0" w:color="auto"/>
            </w:tcBorders>
          </w:tcPr>
          <w:p w:rsidR="0011211E" w:rsidRPr="00D61FC4" w:rsidRDefault="0011211E" w:rsidP="00EA781B">
            <w:pPr>
              <w:jc w:val="left"/>
              <w:rPr>
                <w:rFonts w:cs="Arial"/>
                <w:color w:val="000000"/>
                <w:sz w:val="18"/>
              </w:rPr>
            </w:pPr>
            <w:r w:rsidRPr="00D61FC4">
              <w:rPr>
                <w:rFonts w:cs="Arial"/>
                <w:color w:val="000000"/>
                <w:sz w:val="18"/>
              </w:rPr>
              <w:t>BSA – 4</w:t>
            </w:r>
          </w:p>
          <w:p w:rsidR="0011211E" w:rsidRPr="00D61FC4" w:rsidRDefault="0011211E" w:rsidP="00EA781B">
            <w:pPr>
              <w:jc w:val="left"/>
              <w:rPr>
                <w:rFonts w:cs="Arial"/>
                <w:color w:val="000000"/>
                <w:sz w:val="18"/>
                <w:highlight w:val="yellow"/>
              </w:rPr>
            </w:pPr>
            <w:r w:rsidRPr="00D61FC4">
              <w:rPr>
                <w:rFonts w:cs="Arial"/>
                <w:color w:val="000000"/>
                <w:sz w:val="18"/>
              </w:rPr>
              <w:t>Pologne – 10</w:t>
            </w:r>
          </w:p>
        </w:tc>
        <w:tc>
          <w:tcPr>
            <w:tcW w:w="427" w:type="dxa"/>
            <w:tcBorders>
              <w:top w:val="single" w:sz="4" w:space="0" w:color="auto"/>
              <w:left w:val="single" w:sz="4" w:space="0" w:color="auto"/>
              <w:bottom w:val="single" w:sz="4" w:space="0" w:color="auto"/>
              <w:right w:val="single" w:sz="4" w:space="0" w:color="auto"/>
            </w:tcBorders>
          </w:tcPr>
          <w:p w:rsidR="0011211E" w:rsidRPr="00D61FC4" w:rsidRDefault="0011211E" w:rsidP="00EA781B">
            <w:pPr>
              <w:jc w:val="left"/>
              <w:rPr>
                <w:rFonts w:cs="Arial"/>
                <w:color w:val="000000"/>
                <w:sz w:val="18"/>
              </w:rPr>
            </w:pPr>
          </w:p>
        </w:tc>
      </w:tr>
      <w:tr w:rsidR="0011211E" w:rsidRPr="00D61FC4" w:rsidTr="00EA781B">
        <w:trPr>
          <w:cantSplit/>
        </w:trPr>
        <w:tc>
          <w:tcPr>
            <w:tcW w:w="1706" w:type="dxa"/>
            <w:tcBorders>
              <w:top w:val="single" w:sz="4" w:space="0" w:color="auto"/>
              <w:left w:val="single" w:sz="4" w:space="0" w:color="auto"/>
              <w:bottom w:val="single" w:sz="4" w:space="0" w:color="auto"/>
              <w:right w:val="single" w:sz="4" w:space="0" w:color="auto"/>
            </w:tcBorders>
            <w:hideMark/>
          </w:tcPr>
          <w:p w:rsidR="0011211E" w:rsidRPr="00D61FC4" w:rsidRDefault="0011211E" w:rsidP="00EA781B">
            <w:pPr>
              <w:jc w:val="left"/>
              <w:rPr>
                <w:rFonts w:cs="Arial"/>
                <w:color w:val="000000"/>
                <w:sz w:val="18"/>
              </w:rPr>
            </w:pPr>
            <w:r w:rsidRPr="00D61FC4">
              <w:rPr>
                <w:rFonts w:cs="Arial"/>
                <w:color w:val="000000"/>
                <w:sz w:val="18"/>
              </w:rPr>
              <w:t>4.  Visite d’une délégation tchèque de l’UKZUZ</w:t>
            </w:r>
          </w:p>
        </w:tc>
        <w:tc>
          <w:tcPr>
            <w:tcW w:w="1133" w:type="dxa"/>
            <w:tcBorders>
              <w:top w:val="single" w:sz="4" w:space="0" w:color="auto"/>
              <w:left w:val="single" w:sz="4" w:space="0" w:color="auto"/>
              <w:bottom w:val="single" w:sz="4" w:space="0" w:color="auto"/>
              <w:right w:val="single" w:sz="4" w:space="0" w:color="auto"/>
            </w:tcBorders>
          </w:tcPr>
          <w:p w:rsidR="0011211E" w:rsidRPr="00D61FC4" w:rsidRDefault="0011211E" w:rsidP="00EA781B">
            <w:pPr>
              <w:jc w:val="left"/>
              <w:rPr>
                <w:rFonts w:cs="Arial"/>
                <w:color w:val="000000"/>
                <w:sz w:val="18"/>
              </w:rPr>
            </w:pPr>
            <w:r w:rsidRPr="00D61FC4">
              <w:rPr>
                <w:rFonts w:cs="Arial"/>
                <w:color w:val="000000"/>
                <w:sz w:val="18"/>
              </w:rPr>
              <w:t>1</w:t>
            </w:r>
            <w:r w:rsidRPr="00D61FC4">
              <w:rPr>
                <w:rFonts w:cs="Arial"/>
                <w:color w:val="000000"/>
                <w:sz w:val="18"/>
                <w:vertAlign w:val="superscript"/>
              </w:rPr>
              <w:t>er</w:t>
            </w:r>
            <w:r w:rsidRPr="00D61FC4">
              <w:rPr>
                <w:rFonts w:cs="Arial"/>
                <w:color w:val="000000"/>
                <w:sz w:val="18"/>
              </w:rPr>
              <w:t xml:space="preserve"> juillet 2015</w:t>
            </w:r>
          </w:p>
        </w:tc>
        <w:tc>
          <w:tcPr>
            <w:tcW w:w="1277" w:type="dxa"/>
            <w:tcBorders>
              <w:top w:val="single" w:sz="4" w:space="0" w:color="auto"/>
              <w:left w:val="single" w:sz="4" w:space="0" w:color="auto"/>
              <w:bottom w:val="single" w:sz="4" w:space="0" w:color="auto"/>
              <w:right w:val="single" w:sz="4" w:space="0" w:color="auto"/>
            </w:tcBorders>
          </w:tcPr>
          <w:p w:rsidR="0011211E" w:rsidRPr="00D61FC4" w:rsidRDefault="0011211E" w:rsidP="00EA781B">
            <w:pPr>
              <w:jc w:val="left"/>
              <w:rPr>
                <w:rFonts w:cs="Arial"/>
                <w:color w:val="000000"/>
                <w:sz w:val="18"/>
              </w:rPr>
            </w:pPr>
            <w:r w:rsidRPr="00D61FC4">
              <w:rPr>
                <w:rFonts w:cs="Arial"/>
                <w:color w:val="000000"/>
                <w:sz w:val="18"/>
              </w:rPr>
              <w:t xml:space="preserve">Pologne, </w:t>
            </w:r>
            <w:proofErr w:type="spellStart"/>
            <w:r w:rsidRPr="00D61FC4">
              <w:rPr>
                <w:rFonts w:cs="Arial"/>
                <w:color w:val="000000"/>
                <w:sz w:val="18"/>
              </w:rPr>
              <w:t>Słupia</w:t>
            </w:r>
            <w:proofErr w:type="spellEnd"/>
            <w:r w:rsidRPr="00D61FC4">
              <w:rPr>
                <w:rFonts w:cs="Arial"/>
                <w:color w:val="000000"/>
                <w:sz w:val="18"/>
              </w:rPr>
              <w:t> </w:t>
            </w:r>
            <w:proofErr w:type="spellStart"/>
            <w:r w:rsidRPr="00D61FC4">
              <w:rPr>
                <w:rFonts w:cs="Arial"/>
                <w:color w:val="000000"/>
                <w:sz w:val="18"/>
              </w:rPr>
              <w:t>Wielka</w:t>
            </w:r>
            <w:proofErr w:type="spellEnd"/>
          </w:p>
        </w:tc>
        <w:tc>
          <w:tcPr>
            <w:tcW w:w="1438" w:type="dxa"/>
            <w:tcBorders>
              <w:top w:val="single" w:sz="4" w:space="0" w:color="auto"/>
              <w:left w:val="single" w:sz="4" w:space="0" w:color="auto"/>
              <w:bottom w:val="single" w:sz="4" w:space="0" w:color="auto"/>
              <w:right w:val="single" w:sz="4" w:space="0" w:color="auto"/>
            </w:tcBorders>
          </w:tcPr>
          <w:p w:rsidR="0011211E" w:rsidRPr="00D61FC4" w:rsidRDefault="0011211E" w:rsidP="00EA781B">
            <w:pPr>
              <w:jc w:val="left"/>
              <w:rPr>
                <w:rFonts w:cs="Arial"/>
                <w:color w:val="000000"/>
                <w:sz w:val="18"/>
              </w:rPr>
            </w:pPr>
            <w:r w:rsidRPr="00D61FC4">
              <w:rPr>
                <w:rFonts w:cs="Arial"/>
                <w:color w:val="000000"/>
                <w:sz w:val="18"/>
              </w:rPr>
              <w:t>COBORU</w:t>
            </w:r>
          </w:p>
        </w:tc>
        <w:tc>
          <w:tcPr>
            <w:tcW w:w="1984" w:type="dxa"/>
            <w:tcBorders>
              <w:top w:val="single" w:sz="4" w:space="0" w:color="auto"/>
              <w:left w:val="single" w:sz="4" w:space="0" w:color="auto"/>
              <w:bottom w:val="single" w:sz="4" w:space="0" w:color="auto"/>
              <w:right w:val="single" w:sz="4" w:space="0" w:color="auto"/>
            </w:tcBorders>
          </w:tcPr>
          <w:p w:rsidR="0011211E" w:rsidRPr="00D61FC4" w:rsidRDefault="0011211E" w:rsidP="00EA781B">
            <w:pPr>
              <w:jc w:val="left"/>
              <w:rPr>
                <w:rFonts w:cs="Arial"/>
                <w:color w:val="000000"/>
                <w:sz w:val="18"/>
                <w:highlight w:val="yellow"/>
              </w:rPr>
            </w:pPr>
            <w:r w:rsidRPr="00D61FC4">
              <w:rPr>
                <w:rFonts w:cs="Arial"/>
                <w:color w:val="000000"/>
                <w:sz w:val="18"/>
              </w:rPr>
              <w:t xml:space="preserve">Échange de données d’expérience et d’observations sur l’exécution des examens DHS;  visite sur le terrain </w:t>
            </w:r>
          </w:p>
        </w:tc>
        <w:tc>
          <w:tcPr>
            <w:tcW w:w="1701" w:type="dxa"/>
            <w:tcBorders>
              <w:top w:val="single" w:sz="4" w:space="0" w:color="auto"/>
              <w:left w:val="single" w:sz="4" w:space="0" w:color="auto"/>
              <w:bottom w:val="single" w:sz="4" w:space="0" w:color="auto"/>
              <w:right w:val="single" w:sz="4" w:space="0" w:color="auto"/>
            </w:tcBorders>
          </w:tcPr>
          <w:p w:rsidR="0011211E" w:rsidRPr="00D61FC4" w:rsidRDefault="0011211E" w:rsidP="00EA781B">
            <w:pPr>
              <w:jc w:val="left"/>
              <w:rPr>
                <w:rFonts w:cs="Arial"/>
                <w:color w:val="000000"/>
                <w:sz w:val="18"/>
              </w:rPr>
            </w:pPr>
            <w:r w:rsidRPr="00D61FC4">
              <w:rPr>
                <w:rFonts w:cs="Arial"/>
                <w:color w:val="000000"/>
                <w:sz w:val="18"/>
              </w:rPr>
              <w:t>République tchèque – 1</w:t>
            </w:r>
          </w:p>
          <w:p w:rsidR="0011211E" w:rsidRPr="00D61FC4" w:rsidRDefault="0011211E" w:rsidP="00EA781B">
            <w:pPr>
              <w:jc w:val="left"/>
              <w:rPr>
                <w:rFonts w:cs="Arial"/>
                <w:color w:val="000000"/>
                <w:sz w:val="18"/>
                <w:highlight w:val="yellow"/>
              </w:rPr>
            </w:pPr>
            <w:r w:rsidRPr="00D61FC4">
              <w:rPr>
                <w:rFonts w:cs="Arial"/>
                <w:color w:val="000000"/>
                <w:sz w:val="18"/>
              </w:rPr>
              <w:t>Pologne – 5</w:t>
            </w:r>
          </w:p>
        </w:tc>
        <w:tc>
          <w:tcPr>
            <w:tcW w:w="427" w:type="dxa"/>
            <w:tcBorders>
              <w:top w:val="single" w:sz="4" w:space="0" w:color="auto"/>
              <w:left w:val="single" w:sz="4" w:space="0" w:color="auto"/>
              <w:bottom w:val="single" w:sz="4" w:space="0" w:color="auto"/>
              <w:right w:val="single" w:sz="4" w:space="0" w:color="auto"/>
            </w:tcBorders>
          </w:tcPr>
          <w:p w:rsidR="0011211E" w:rsidRPr="00D61FC4" w:rsidRDefault="0011211E" w:rsidP="00EA781B">
            <w:pPr>
              <w:jc w:val="left"/>
              <w:rPr>
                <w:rFonts w:cs="Arial"/>
                <w:color w:val="000000"/>
                <w:sz w:val="18"/>
              </w:rPr>
            </w:pPr>
          </w:p>
        </w:tc>
      </w:tr>
      <w:tr w:rsidR="0011211E" w:rsidRPr="00D61FC4" w:rsidTr="00EA781B">
        <w:trPr>
          <w:cantSplit/>
        </w:trPr>
        <w:tc>
          <w:tcPr>
            <w:tcW w:w="1706" w:type="dxa"/>
            <w:tcBorders>
              <w:top w:val="single" w:sz="4" w:space="0" w:color="auto"/>
              <w:left w:val="single" w:sz="4" w:space="0" w:color="auto"/>
              <w:bottom w:val="single" w:sz="4" w:space="0" w:color="auto"/>
              <w:right w:val="single" w:sz="4" w:space="0" w:color="auto"/>
            </w:tcBorders>
            <w:hideMark/>
          </w:tcPr>
          <w:p w:rsidR="0011211E" w:rsidRPr="00D61FC4" w:rsidRDefault="0011211E" w:rsidP="00EA781B">
            <w:pPr>
              <w:jc w:val="left"/>
              <w:rPr>
                <w:rFonts w:cs="Arial"/>
                <w:color w:val="000000"/>
                <w:sz w:val="18"/>
                <w:highlight w:val="yellow"/>
              </w:rPr>
            </w:pPr>
            <w:r w:rsidRPr="00D61FC4">
              <w:rPr>
                <w:rFonts w:cs="Arial"/>
                <w:color w:val="000000"/>
                <w:sz w:val="18"/>
              </w:rPr>
              <w:t>5.  Visite de la délégation hongroise de l’Office national de sécurité de la chaîne alimentaire (NFCSO) et d’une entreprise de sélection végétale</w:t>
            </w:r>
          </w:p>
        </w:tc>
        <w:tc>
          <w:tcPr>
            <w:tcW w:w="1133" w:type="dxa"/>
            <w:tcBorders>
              <w:top w:val="single" w:sz="4" w:space="0" w:color="auto"/>
              <w:left w:val="single" w:sz="4" w:space="0" w:color="auto"/>
              <w:bottom w:val="single" w:sz="4" w:space="0" w:color="auto"/>
              <w:right w:val="single" w:sz="4" w:space="0" w:color="auto"/>
            </w:tcBorders>
          </w:tcPr>
          <w:p w:rsidR="0011211E" w:rsidRPr="00D61FC4" w:rsidRDefault="0011211E" w:rsidP="00EA781B">
            <w:pPr>
              <w:jc w:val="left"/>
              <w:rPr>
                <w:rFonts w:cs="Arial"/>
                <w:color w:val="000000"/>
                <w:sz w:val="18"/>
              </w:rPr>
            </w:pPr>
            <w:r w:rsidRPr="00D61FC4">
              <w:rPr>
                <w:rFonts w:cs="Arial"/>
                <w:color w:val="000000"/>
                <w:sz w:val="18"/>
              </w:rPr>
              <w:t>13</w:t>
            </w:r>
            <w:r w:rsidRPr="00D61FC4">
              <w:rPr>
                <w:rFonts w:cs="Arial"/>
                <w:color w:val="000000"/>
                <w:sz w:val="18"/>
              </w:rPr>
              <w:noBreakHyphen/>
              <w:t>15 juillet 2015</w:t>
            </w:r>
          </w:p>
        </w:tc>
        <w:tc>
          <w:tcPr>
            <w:tcW w:w="1277" w:type="dxa"/>
            <w:tcBorders>
              <w:top w:val="single" w:sz="4" w:space="0" w:color="auto"/>
              <w:left w:val="single" w:sz="4" w:space="0" w:color="auto"/>
              <w:bottom w:val="single" w:sz="4" w:space="0" w:color="auto"/>
              <w:right w:val="single" w:sz="4" w:space="0" w:color="auto"/>
            </w:tcBorders>
          </w:tcPr>
          <w:p w:rsidR="0011211E" w:rsidRPr="00D61FC4" w:rsidRDefault="0011211E" w:rsidP="00EA781B">
            <w:pPr>
              <w:jc w:val="left"/>
              <w:rPr>
                <w:rFonts w:cs="Arial"/>
                <w:color w:val="000000"/>
                <w:sz w:val="18"/>
              </w:rPr>
            </w:pPr>
            <w:r w:rsidRPr="00D61FC4">
              <w:rPr>
                <w:rFonts w:cs="Arial"/>
                <w:color w:val="000000"/>
                <w:sz w:val="18"/>
              </w:rPr>
              <w:t xml:space="preserve">Pologne, </w:t>
            </w:r>
            <w:proofErr w:type="spellStart"/>
            <w:r w:rsidRPr="00D61FC4">
              <w:rPr>
                <w:rFonts w:cs="Arial"/>
                <w:color w:val="000000"/>
                <w:sz w:val="18"/>
              </w:rPr>
              <w:t>Słupia</w:t>
            </w:r>
            <w:proofErr w:type="spellEnd"/>
            <w:r w:rsidRPr="00D61FC4">
              <w:rPr>
                <w:rFonts w:cs="Arial"/>
                <w:color w:val="000000"/>
                <w:sz w:val="18"/>
              </w:rPr>
              <w:t> </w:t>
            </w:r>
            <w:proofErr w:type="spellStart"/>
            <w:r w:rsidRPr="00D61FC4">
              <w:rPr>
                <w:rFonts w:cs="Arial"/>
                <w:color w:val="000000"/>
                <w:sz w:val="18"/>
              </w:rPr>
              <w:t>Wielka</w:t>
            </w:r>
            <w:proofErr w:type="spellEnd"/>
            <w:r w:rsidRPr="00D61FC4">
              <w:rPr>
                <w:rFonts w:cs="Arial"/>
                <w:color w:val="000000"/>
                <w:sz w:val="18"/>
              </w:rPr>
              <w:t>,</w:t>
            </w:r>
          </w:p>
          <w:p w:rsidR="0011211E" w:rsidRPr="00D61FC4" w:rsidRDefault="0011211E" w:rsidP="00EA781B">
            <w:pPr>
              <w:jc w:val="left"/>
              <w:rPr>
                <w:rFonts w:cs="Arial"/>
                <w:color w:val="000000"/>
                <w:sz w:val="18"/>
              </w:rPr>
            </w:pPr>
            <w:r w:rsidRPr="00D61FC4">
              <w:rPr>
                <w:rFonts w:cs="Arial"/>
                <w:color w:val="000000"/>
                <w:sz w:val="18"/>
              </w:rPr>
              <w:t xml:space="preserve">Stations d’essais : </w:t>
            </w:r>
            <w:proofErr w:type="spellStart"/>
            <w:r w:rsidRPr="00D61FC4">
              <w:rPr>
                <w:rFonts w:cs="Arial"/>
                <w:color w:val="000000"/>
                <w:sz w:val="18"/>
              </w:rPr>
              <w:t>Bobrowniki</w:t>
            </w:r>
            <w:proofErr w:type="spellEnd"/>
            <w:r w:rsidRPr="00D61FC4">
              <w:rPr>
                <w:rFonts w:cs="Arial"/>
                <w:color w:val="000000"/>
                <w:sz w:val="18"/>
              </w:rPr>
              <w:t xml:space="preserve">, Śrem, </w:t>
            </w:r>
            <w:proofErr w:type="spellStart"/>
            <w:r w:rsidRPr="00D61FC4">
              <w:rPr>
                <w:rFonts w:cs="Arial"/>
                <w:color w:val="000000"/>
                <w:sz w:val="18"/>
              </w:rPr>
              <w:t>Słupia</w:t>
            </w:r>
            <w:proofErr w:type="spellEnd"/>
            <w:r w:rsidRPr="00D61FC4">
              <w:rPr>
                <w:rFonts w:cs="Arial"/>
                <w:color w:val="000000"/>
                <w:sz w:val="18"/>
              </w:rPr>
              <w:t> </w:t>
            </w:r>
            <w:proofErr w:type="spellStart"/>
            <w:r w:rsidRPr="00D61FC4">
              <w:rPr>
                <w:rFonts w:cs="Arial"/>
                <w:color w:val="000000"/>
                <w:sz w:val="18"/>
              </w:rPr>
              <w:t>Wielka</w:t>
            </w:r>
            <w:proofErr w:type="spellEnd"/>
          </w:p>
        </w:tc>
        <w:tc>
          <w:tcPr>
            <w:tcW w:w="1438" w:type="dxa"/>
            <w:tcBorders>
              <w:top w:val="single" w:sz="4" w:space="0" w:color="auto"/>
              <w:left w:val="single" w:sz="4" w:space="0" w:color="auto"/>
              <w:bottom w:val="single" w:sz="4" w:space="0" w:color="auto"/>
              <w:right w:val="single" w:sz="4" w:space="0" w:color="auto"/>
            </w:tcBorders>
          </w:tcPr>
          <w:p w:rsidR="0011211E" w:rsidRPr="00D61FC4" w:rsidRDefault="0011211E" w:rsidP="00EA781B">
            <w:pPr>
              <w:jc w:val="left"/>
              <w:rPr>
                <w:rFonts w:cs="Arial"/>
                <w:color w:val="000000"/>
                <w:sz w:val="18"/>
              </w:rPr>
            </w:pPr>
            <w:r w:rsidRPr="00D61FC4">
              <w:rPr>
                <w:rFonts w:cs="Arial"/>
                <w:color w:val="000000"/>
                <w:sz w:val="18"/>
              </w:rPr>
              <w:t>COBORU</w:t>
            </w:r>
          </w:p>
        </w:tc>
        <w:tc>
          <w:tcPr>
            <w:tcW w:w="1984" w:type="dxa"/>
            <w:tcBorders>
              <w:top w:val="single" w:sz="4" w:space="0" w:color="auto"/>
              <w:left w:val="single" w:sz="4" w:space="0" w:color="auto"/>
              <w:bottom w:val="single" w:sz="4" w:space="0" w:color="auto"/>
              <w:right w:val="single" w:sz="4" w:space="0" w:color="auto"/>
            </w:tcBorders>
          </w:tcPr>
          <w:p w:rsidR="0011211E" w:rsidRPr="00D61FC4" w:rsidRDefault="0011211E" w:rsidP="00EA781B">
            <w:pPr>
              <w:jc w:val="left"/>
              <w:rPr>
                <w:rFonts w:cs="Arial"/>
                <w:color w:val="000000"/>
                <w:sz w:val="18"/>
                <w:highlight w:val="yellow"/>
              </w:rPr>
            </w:pPr>
            <w:r w:rsidRPr="00D61FC4">
              <w:rPr>
                <w:rFonts w:cs="Arial"/>
                <w:color w:val="000000"/>
                <w:sz w:val="18"/>
              </w:rPr>
              <w:t xml:space="preserve">Examen DHS pour </w:t>
            </w:r>
            <w:proofErr w:type="spellStart"/>
            <w:r w:rsidRPr="00D61FC4">
              <w:rPr>
                <w:rFonts w:cs="Arial"/>
                <w:color w:val="000000"/>
                <w:sz w:val="18"/>
              </w:rPr>
              <w:t>California</w:t>
            </w:r>
            <w:proofErr w:type="spellEnd"/>
            <w:r w:rsidRPr="00D61FC4">
              <w:rPr>
                <w:rFonts w:cs="Arial"/>
                <w:color w:val="000000"/>
                <w:sz w:val="18"/>
              </w:rPr>
              <w:t xml:space="preserve"> </w:t>
            </w:r>
            <w:proofErr w:type="spellStart"/>
            <w:r w:rsidRPr="00D61FC4">
              <w:rPr>
                <w:rFonts w:cs="Arial"/>
                <w:color w:val="000000"/>
                <w:sz w:val="18"/>
              </w:rPr>
              <w:t>Bluebell</w:t>
            </w:r>
            <w:proofErr w:type="spellEnd"/>
            <w:r w:rsidRPr="00D61FC4">
              <w:rPr>
                <w:rFonts w:cs="Arial"/>
                <w:color w:val="000000"/>
                <w:sz w:val="18"/>
              </w:rPr>
              <w:t>,</w:t>
            </w:r>
            <w:r w:rsidRPr="00D61FC4">
              <w:rPr>
                <w:rFonts w:cs="Arial"/>
                <w:i/>
                <w:color w:val="000000"/>
                <w:sz w:val="18"/>
              </w:rPr>
              <w:t xml:space="preserve"> </w:t>
            </w:r>
            <w:r w:rsidRPr="00D61FC4">
              <w:rPr>
                <w:rFonts w:cs="Arial"/>
                <w:color w:val="000000"/>
                <w:sz w:val="18"/>
              </w:rPr>
              <w:t>les graminées, la betterave sucrière, le lupin</w:t>
            </w:r>
          </w:p>
        </w:tc>
        <w:tc>
          <w:tcPr>
            <w:tcW w:w="1701" w:type="dxa"/>
            <w:tcBorders>
              <w:top w:val="single" w:sz="4" w:space="0" w:color="auto"/>
              <w:left w:val="single" w:sz="4" w:space="0" w:color="auto"/>
              <w:bottom w:val="single" w:sz="4" w:space="0" w:color="auto"/>
              <w:right w:val="single" w:sz="4" w:space="0" w:color="auto"/>
            </w:tcBorders>
          </w:tcPr>
          <w:p w:rsidR="0011211E" w:rsidRPr="00D61FC4" w:rsidRDefault="0011211E" w:rsidP="00EA781B">
            <w:pPr>
              <w:jc w:val="left"/>
              <w:rPr>
                <w:rFonts w:cs="Arial"/>
                <w:color w:val="000000"/>
                <w:sz w:val="18"/>
              </w:rPr>
            </w:pPr>
            <w:r w:rsidRPr="00D61FC4">
              <w:rPr>
                <w:rFonts w:cs="Arial"/>
                <w:color w:val="000000"/>
                <w:sz w:val="18"/>
              </w:rPr>
              <w:t>Hongrie – 4, y compris :</w:t>
            </w:r>
          </w:p>
          <w:p w:rsidR="0011211E" w:rsidRPr="00D61FC4" w:rsidRDefault="0011211E" w:rsidP="00EA781B">
            <w:pPr>
              <w:jc w:val="left"/>
              <w:rPr>
                <w:rFonts w:cs="Arial"/>
                <w:color w:val="000000"/>
                <w:sz w:val="18"/>
              </w:rPr>
            </w:pPr>
            <w:r w:rsidRPr="00D61FC4">
              <w:rPr>
                <w:rFonts w:cs="Arial"/>
                <w:color w:val="000000"/>
                <w:sz w:val="18"/>
              </w:rPr>
              <w:t xml:space="preserve">NFCSO – 1, </w:t>
            </w:r>
            <w:proofErr w:type="spellStart"/>
            <w:r w:rsidRPr="00D61FC4">
              <w:rPr>
                <w:rFonts w:cs="Arial"/>
                <w:color w:val="000000"/>
                <w:sz w:val="18"/>
              </w:rPr>
              <w:t>Lajtamag</w:t>
            </w:r>
            <w:proofErr w:type="spellEnd"/>
            <w:r w:rsidRPr="00D61FC4">
              <w:rPr>
                <w:rFonts w:cs="Arial"/>
                <w:color w:val="000000"/>
                <w:sz w:val="18"/>
              </w:rPr>
              <w:t xml:space="preserve"> </w:t>
            </w:r>
            <w:proofErr w:type="spellStart"/>
            <w:r w:rsidRPr="00D61FC4">
              <w:rPr>
                <w:rFonts w:cs="Arial"/>
                <w:color w:val="000000"/>
                <w:sz w:val="18"/>
              </w:rPr>
              <w:t>Kft</w:t>
            </w:r>
            <w:proofErr w:type="spellEnd"/>
            <w:r w:rsidRPr="00D61FC4">
              <w:rPr>
                <w:rFonts w:cs="Arial"/>
                <w:color w:val="000000"/>
                <w:sz w:val="18"/>
              </w:rPr>
              <w:t>. – 3</w:t>
            </w:r>
          </w:p>
          <w:p w:rsidR="0011211E" w:rsidRPr="00D61FC4" w:rsidRDefault="0011211E" w:rsidP="00EA781B">
            <w:pPr>
              <w:jc w:val="left"/>
              <w:rPr>
                <w:rFonts w:cs="Arial"/>
                <w:color w:val="000000"/>
                <w:sz w:val="18"/>
                <w:highlight w:val="yellow"/>
              </w:rPr>
            </w:pPr>
            <w:r w:rsidRPr="00D61FC4">
              <w:rPr>
                <w:rFonts w:cs="Arial"/>
                <w:color w:val="000000"/>
                <w:sz w:val="18"/>
              </w:rPr>
              <w:t>Pologne – 10</w:t>
            </w:r>
          </w:p>
        </w:tc>
        <w:tc>
          <w:tcPr>
            <w:tcW w:w="427" w:type="dxa"/>
            <w:tcBorders>
              <w:top w:val="single" w:sz="4" w:space="0" w:color="auto"/>
              <w:left w:val="single" w:sz="4" w:space="0" w:color="auto"/>
              <w:bottom w:val="single" w:sz="4" w:space="0" w:color="auto"/>
              <w:right w:val="single" w:sz="4" w:space="0" w:color="auto"/>
            </w:tcBorders>
          </w:tcPr>
          <w:p w:rsidR="0011211E" w:rsidRPr="00D61FC4" w:rsidRDefault="0011211E" w:rsidP="00EA781B">
            <w:pPr>
              <w:jc w:val="left"/>
              <w:rPr>
                <w:rFonts w:cs="Arial"/>
                <w:color w:val="000000"/>
                <w:sz w:val="18"/>
              </w:rPr>
            </w:pPr>
          </w:p>
        </w:tc>
      </w:tr>
    </w:tbl>
    <w:p w:rsidR="0011211E" w:rsidRPr="00D61FC4" w:rsidRDefault="0011211E" w:rsidP="0011211E">
      <w:pPr>
        <w:tabs>
          <w:tab w:val="left" w:pos="567"/>
          <w:tab w:val="left" w:pos="4962"/>
        </w:tabs>
        <w:rPr>
          <w:rFonts w:cs="Arial"/>
          <w:color w:val="000000"/>
        </w:rPr>
      </w:pPr>
    </w:p>
    <w:p w:rsidR="0011211E" w:rsidRPr="00D61FC4" w:rsidRDefault="0011211E" w:rsidP="0011211E">
      <w:pPr>
        <w:tabs>
          <w:tab w:val="left" w:pos="567"/>
          <w:tab w:val="left" w:pos="4962"/>
        </w:tabs>
        <w:rPr>
          <w:rFonts w:cs="Arial"/>
          <w:color w:val="000000"/>
        </w:rPr>
      </w:pPr>
    </w:p>
    <w:p w:rsidR="0011211E" w:rsidRPr="00F56180" w:rsidRDefault="00F56180" w:rsidP="00F56180">
      <w:r>
        <w:t>II.</w:t>
      </w:r>
      <w:r>
        <w:tab/>
      </w:r>
      <w:r w:rsidR="0011211E" w:rsidRPr="00F56180">
        <w:t>AUTRES ÉLÉMENTS NOUVEAUX PRÉSENTANT UN INTÉRÊT POUR L’UPOV</w:t>
      </w:r>
    </w:p>
    <w:p w:rsidR="0011211E" w:rsidRPr="00D61FC4" w:rsidRDefault="0011211E" w:rsidP="0011211E">
      <w:pPr>
        <w:rPr>
          <w:rFonts w:cs="Arial"/>
        </w:rPr>
      </w:pPr>
    </w:p>
    <w:p w:rsidR="0011211E" w:rsidRPr="00D61FC4" w:rsidRDefault="0011211E" w:rsidP="0011211E">
      <w:pPr>
        <w:pStyle w:val="BodyText"/>
        <w:rPr>
          <w:rFonts w:cs="Arial"/>
        </w:rPr>
      </w:pPr>
      <w:r w:rsidRPr="00D61FC4">
        <w:rPr>
          <w:rFonts w:cs="Arial"/>
        </w:rPr>
        <w:t xml:space="preserve">La liste nationale polonaise des variétés de plantes agricoles, la liste nationale polonaise des variétés de plantes potagères et la liste nationale polonaise des variétés de plantes fruitières ont été publiées en avril et mai 2015.  Ces listes officielles et les listes actualisées de variétés sont également disponibles à l’adresse suivante : </w:t>
      </w:r>
      <w:hyperlink r:id="rId30" w:history="1">
        <w:r w:rsidRPr="00D61FC4">
          <w:rPr>
            <w:rStyle w:val="Hyperlink"/>
            <w:rFonts w:cs="Arial"/>
            <w:iCs/>
          </w:rPr>
          <w:t>www.coboru.pl</w:t>
        </w:r>
      </w:hyperlink>
      <w:r w:rsidRPr="00D61FC4">
        <w:rPr>
          <w:rFonts w:cs="Arial"/>
        </w:rPr>
        <w:t>.</w:t>
      </w:r>
    </w:p>
    <w:p w:rsidR="0011211E" w:rsidRPr="00D61FC4" w:rsidRDefault="0011211E" w:rsidP="0011211E">
      <w:pPr>
        <w:pStyle w:val="BodyText"/>
        <w:rPr>
          <w:rFonts w:cs="Arial"/>
        </w:rPr>
      </w:pPr>
    </w:p>
    <w:p w:rsidR="0011211E" w:rsidRDefault="0011211E" w:rsidP="00944AEF">
      <w:pPr>
        <w:jc w:val="left"/>
      </w:pPr>
    </w:p>
    <w:p w:rsidR="00F56180" w:rsidRPr="004F3AB8" w:rsidRDefault="00F56180" w:rsidP="00944AEF">
      <w:pPr>
        <w:jc w:val="left"/>
      </w:pPr>
    </w:p>
    <w:p w:rsidR="00944AEF" w:rsidRPr="004F3AB8" w:rsidRDefault="00944AEF" w:rsidP="00944AEF">
      <w:pPr>
        <w:jc w:val="right"/>
      </w:pPr>
      <w:r w:rsidRPr="004F3AB8">
        <w:t>[L’annexe XI suit]</w:t>
      </w:r>
    </w:p>
    <w:p w:rsidR="00944AEF" w:rsidRPr="004F3AB8" w:rsidRDefault="00944AEF" w:rsidP="00944AEF">
      <w:pPr>
        <w:jc w:val="left"/>
      </w:pPr>
    </w:p>
    <w:p w:rsidR="00944AEF" w:rsidRPr="004F3AB8" w:rsidRDefault="00944AEF" w:rsidP="00944AEF">
      <w:pPr>
        <w:jc w:val="left"/>
        <w:sectPr w:rsidR="00944AEF" w:rsidRPr="004F3AB8" w:rsidSect="0011211E">
          <w:headerReference w:type="default" r:id="rId31"/>
          <w:pgSz w:w="11907" w:h="16840" w:code="9"/>
          <w:pgMar w:top="510" w:right="1134" w:bottom="1134" w:left="1134" w:header="510" w:footer="680" w:gutter="0"/>
          <w:pgNumType w:start="1"/>
          <w:cols w:space="720"/>
          <w:titlePg/>
        </w:sectPr>
      </w:pPr>
    </w:p>
    <w:p w:rsidR="00944AEF" w:rsidRPr="004F3AB8" w:rsidRDefault="00944AEF" w:rsidP="00944AEF">
      <w:pPr>
        <w:jc w:val="center"/>
      </w:pPr>
      <w:r w:rsidRPr="004F3AB8">
        <w:t>C/49/15</w:t>
      </w:r>
    </w:p>
    <w:p w:rsidR="00944AEF" w:rsidRPr="004F3AB8" w:rsidRDefault="00944AEF" w:rsidP="00944AEF">
      <w:pPr>
        <w:jc w:val="center"/>
      </w:pPr>
    </w:p>
    <w:p w:rsidR="00944AEF" w:rsidRPr="004F3AB8" w:rsidRDefault="00944AEF" w:rsidP="00944AEF">
      <w:pPr>
        <w:jc w:val="center"/>
      </w:pPr>
      <w:r w:rsidRPr="004F3AB8">
        <w:t>ANNEXE XI</w:t>
      </w:r>
    </w:p>
    <w:p w:rsidR="00944AEF" w:rsidRPr="004F3AB8" w:rsidRDefault="00944AEF" w:rsidP="00944AEF">
      <w:pPr>
        <w:jc w:val="center"/>
      </w:pPr>
    </w:p>
    <w:p w:rsidR="00944AEF" w:rsidRPr="004F3AB8" w:rsidRDefault="00944AEF" w:rsidP="00944AEF">
      <w:pPr>
        <w:jc w:val="center"/>
      </w:pPr>
    </w:p>
    <w:p w:rsidR="00944AEF" w:rsidRPr="004F3AB8" w:rsidRDefault="00944AEF" w:rsidP="00944AEF">
      <w:pPr>
        <w:jc w:val="center"/>
      </w:pPr>
      <w:r w:rsidRPr="004F3AB8">
        <w:t>RÉPUBLIQUE DE CORÉE</w:t>
      </w:r>
    </w:p>
    <w:p w:rsidR="00944AEF" w:rsidRPr="004F3AB8" w:rsidRDefault="00944AEF" w:rsidP="00944AEF">
      <w:pPr>
        <w:rPr>
          <w:rFonts w:cs="Arial"/>
        </w:rPr>
      </w:pPr>
    </w:p>
    <w:p w:rsidR="00944AEF" w:rsidRDefault="00944AEF" w:rsidP="00944AEF">
      <w:pPr>
        <w:rPr>
          <w:rFonts w:cs="Arial"/>
        </w:rPr>
      </w:pPr>
    </w:p>
    <w:p w:rsidR="00840A7D" w:rsidRPr="00D61FC4" w:rsidRDefault="00840A7D" w:rsidP="00840A7D">
      <w:r w:rsidRPr="00D61FC4">
        <w:t>PROTECTION DES OBTENTIONS VÉGÉTALES</w:t>
      </w:r>
    </w:p>
    <w:p w:rsidR="00840A7D" w:rsidRPr="00D61FC4" w:rsidRDefault="00840A7D" w:rsidP="00840A7D"/>
    <w:p w:rsidR="00840A7D" w:rsidRPr="00D61FC4" w:rsidRDefault="00840A7D" w:rsidP="00840A7D">
      <w:pPr>
        <w:rPr>
          <w:u w:val="single"/>
        </w:rPr>
      </w:pPr>
      <w:r w:rsidRPr="00D61FC4">
        <w:rPr>
          <w:u w:val="single"/>
        </w:rPr>
        <w:t>Activités de promotion de la protection des obtentions végétales</w:t>
      </w:r>
    </w:p>
    <w:p w:rsidR="00840A7D" w:rsidRPr="00D61FC4" w:rsidRDefault="00840A7D" w:rsidP="00840A7D"/>
    <w:tbl>
      <w:tblPr>
        <w:tblStyle w:val="TableGrid"/>
        <w:tblW w:w="9943" w:type="dxa"/>
        <w:tblLayout w:type="fixed"/>
        <w:tblLook w:val="01E0" w:firstRow="1" w:lastRow="1" w:firstColumn="1" w:lastColumn="1" w:noHBand="0" w:noVBand="0"/>
      </w:tblPr>
      <w:tblGrid>
        <w:gridCol w:w="1242"/>
        <w:gridCol w:w="821"/>
        <w:gridCol w:w="1306"/>
        <w:gridCol w:w="1275"/>
        <w:gridCol w:w="1844"/>
        <w:gridCol w:w="2268"/>
        <w:gridCol w:w="1187"/>
      </w:tblGrid>
      <w:tr w:rsidR="00840A7D" w:rsidRPr="00D61FC4" w:rsidTr="00840A7D">
        <w:tc>
          <w:tcPr>
            <w:tcW w:w="1242" w:type="dxa"/>
          </w:tcPr>
          <w:p w:rsidR="00840A7D" w:rsidRPr="00D61FC4" w:rsidRDefault="00840A7D" w:rsidP="00EA781B">
            <w:pPr>
              <w:jc w:val="left"/>
              <w:rPr>
                <w:sz w:val="18"/>
              </w:rPr>
            </w:pPr>
            <w:r w:rsidRPr="00D61FC4">
              <w:rPr>
                <w:sz w:val="18"/>
              </w:rPr>
              <w:t>Titre de l’activité</w:t>
            </w:r>
          </w:p>
        </w:tc>
        <w:tc>
          <w:tcPr>
            <w:tcW w:w="821" w:type="dxa"/>
          </w:tcPr>
          <w:p w:rsidR="00840A7D" w:rsidRPr="00D61FC4" w:rsidRDefault="00840A7D" w:rsidP="00EA781B">
            <w:pPr>
              <w:jc w:val="left"/>
              <w:rPr>
                <w:sz w:val="18"/>
              </w:rPr>
            </w:pPr>
            <w:r w:rsidRPr="00D61FC4">
              <w:rPr>
                <w:sz w:val="18"/>
              </w:rPr>
              <w:t>Date</w:t>
            </w:r>
          </w:p>
        </w:tc>
        <w:tc>
          <w:tcPr>
            <w:tcW w:w="1306" w:type="dxa"/>
          </w:tcPr>
          <w:p w:rsidR="00840A7D" w:rsidRPr="00D61FC4" w:rsidRDefault="00840A7D" w:rsidP="00EA781B">
            <w:pPr>
              <w:jc w:val="left"/>
              <w:rPr>
                <w:sz w:val="18"/>
              </w:rPr>
            </w:pPr>
            <w:r w:rsidRPr="00D61FC4">
              <w:rPr>
                <w:sz w:val="18"/>
              </w:rPr>
              <w:t>Lieu</w:t>
            </w:r>
          </w:p>
        </w:tc>
        <w:tc>
          <w:tcPr>
            <w:tcW w:w="1275" w:type="dxa"/>
          </w:tcPr>
          <w:p w:rsidR="00840A7D" w:rsidRPr="00D61FC4" w:rsidRDefault="00840A7D" w:rsidP="00EA781B">
            <w:pPr>
              <w:jc w:val="left"/>
              <w:rPr>
                <w:sz w:val="18"/>
              </w:rPr>
            </w:pPr>
            <w:r w:rsidRPr="00D61FC4">
              <w:rPr>
                <w:sz w:val="18"/>
              </w:rPr>
              <w:t>Organisateur(s)</w:t>
            </w:r>
          </w:p>
        </w:tc>
        <w:tc>
          <w:tcPr>
            <w:tcW w:w="1844" w:type="dxa"/>
          </w:tcPr>
          <w:p w:rsidR="00840A7D" w:rsidRPr="00D61FC4" w:rsidRDefault="00840A7D" w:rsidP="00EA781B">
            <w:pPr>
              <w:jc w:val="left"/>
              <w:rPr>
                <w:sz w:val="18"/>
              </w:rPr>
            </w:pPr>
            <w:r w:rsidRPr="00D61FC4">
              <w:rPr>
                <w:sz w:val="18"/>
              </w:rPr>
              <w:t>But de l’activité</w:t>
            </w:r>
          </w:p>
        </w:tc>
        <w:tc>
          <w:tcPr>
            <w:tcW w:w="2268" w:type="dxa"/>
          </w:tcPr>
          <w:p w:rsidR="00840A7D" w:rsidRPr="00D61FC4" w:rsidRDefault="00840A7D" w:rsidP="00EA781B">
            <w:pPr>
              <w:jc w:val="left"/>
              <w:rPr>
                <w:sz w:val="18"/>
              </w:rPr>
            </w:pPr>
            <w:r w:rsidRPr="00D61FC4">
              <w:rPr>
                <w:sz w:val="18"/>
              </w:rPr>
              <w:t>Pays/organisations participants (nombre de participants pour chaque pays/organisation)</w:t>
            </w:r>
          </w:p>
        </w:tc>
        <w:tc>
          <w:tcPr>
            <w:tcW w:w="1187" w:type="dxa"/>
          </w:tcPr>
          <w:p w:rsidR="00840A7D" w:rsidRPr="00D61FC4" w:rsidRDefault="00840A7D" w:rsidP="00EA781B">
            <w:pPr>
              <w:jc w:val="left"/>
              <w:rPr>
                <w:sz w:val="18"/>
              </w:rPr>
            </w:pPr>
            <w:proofErr w:type="spellStart"/>
            <w:r w:rsidRPr="00D61FC4">
              <w:rPr>
                <w:sz w:val="18"/>
              </w:rPr>
              <w:t>Obser-vations</w:t>
            </w:r>
            <w:proofErr w:type="spellEnd"/>
          </w:p>
        </w:tc>
      </w:tr>
      <w:tr w:rsidR="00840A7D" w:rsidRPr="00D61FC4" w:rsidTr="00840A7D">
        <w:tc>
          <w:tcPr>
            <w:tcW w:w="1242" w:type="dxa"/>
          </w:tcPr>
          <w:p w:rsidR="00840A7D" w:rsidRPr="00D61FC4" w:rsidRDefault="00840A7D" w:rsidP="00840A7D">
            <w:pPr>
              <w:jc w:val="left"/>
              <w:rPr>
                <w:sz w:val="18"/>
              </w:rPr>
            </w:pPr>
            <w:r w:rsidRPr="00D61FC4">
              <w:rPr>
                <w:sz w:val="18"/>
                <w:lang w:eastAsia="ko-KR"/>
              </w:rPr>
              <w:t>KOICA la protection des obtentions végétales et l’examen DHS</w:t>
            </w:r>
          </w:p>
        </w:tc>
        <w:tc>
          <w:tcPr>
            <w:tcW w:w="821" w:type="dxa"/>
          </w:tcPr>
          <w:p w:rsidR="00840A7D" w:rsidRPr="00D61FC4" w:rsidRDefault="00840A7D" w:rsidP="00840A7D">
            <w:pPr>
              <w:jc w:val="left"/>
              <w:rPr>
                <w:sz w:val="18"/>
                <w:lang w:eastAsia="ko-KR"/>
              </w:rPr>
            </w:pPr>
            <w:r w:rsidRPr="00D61FC4">
              <w:rPr>
                <w:sz w:val="18"/>
                <w:lang w:eastAsia="ko-KR"/>
              </w:rPr>
              <w:t>18 mai au 7 juin</w:t>
            </w:r>
          </w:p>
        </w:tc>
        <w:tc>
          <w:tcPr>
            <w:tcW w:w="1306" w:type="dxa"/>
          </w:tcPr>
          <w:p w:rsidR="00840A7D" w:rsidRPr="00D61FC4" w:rsidRDefault="00840A7D" w:rsidP="00840A7D">
            <w:pPr>
              <w:jc w:val="left"/>
              <w:rPr>
                <w:sz w:val="18"/>
                <w:lang w:eastAsia="ko-KR"/>
              </w:rPr>
            </w:pPr>
            <w:proofErr w:type="spellStart"/>
            <w:r w:rsidRPr="00D61FC4">
              <w:rPr>
                <w:sz w:val="18"/>
                <w:lang w:eastAsia="ko-KR"/>
              </w:rPr>
              <w:t>Gimcheon</w:t>
            </w:r>
            <w:proofErr w:type="spellEnd"/>
            <w:r w:rsidRPr="00D61FC4">
              <w:rPr>
                <w:sz w:val="18"/>
                <w:lang w:eastAsia="ko-KR"/>
              </w:rPr>
              <w:t xml:space="preserve"> (Rép</w:t>
            </w:r>
            <w:r>
              <w:rPr>
                <w:sz w:val="18"/>
                <w:lang w:eastAsia="ko-KR"/>
              </w:rPr>
              <w:t>ublique</w:t>
            </w:r>
            <w:r w:rsidRPr="00D61FC4">
              <w:rPr>
                <w:sz w:val="18"/>
                <w:lang w:eastAsia="ko-KR"/>
              </w:rPr>
              <w:t xml:space="preserve"> de Corée)</w:t>
            </w:r>
          </w:p>
        </w:tc>
        <w:tc>
          <w:tcPr>
            <w:tcW w:w="1275" w:type="dxa"/>
          </w:tcPr>
          <w:p w:rsidR="00840A7D" w:rsidRPr="00D61FC4" w:rsidRDefault="00840A7D" w:rsidP="00840A7D">
            <w:pPr>
              <w:jc w:val="left"/>
              <w:rPr>
                <w:sz w:val="18"/>
                <w:lang w:eastAsia="ko-KR"/>
              </w:rPr>
            </w:pPr>
            <w:r w:rsidRPr="00D61FC4">
              <w:rPr>
                <w:sz w:val="18"/>
                <w:lang w:eastAsia="ko-KR"/>
              </w:rPr>
              <w:t>Service coréen des semences et des variétés</w:t>
            </w:r>
          </w:p>
        </w:tc>
        <w:tc>
          <w:tcPr>
            <w:tcW w:w="1844" w:type="dxa"/>
          </w:tcPr>
          <w:p w:rsidR="00840A7D" w:rsidRPr="00D61FC4" w:rsidRDefault="00840A7D" w:rsidP="00840A7D">
            <w:pPr>
              <w:jc w:val="left"/>
              <w:rPr>
                <w:sz w:val="18"/>
                <w:lang w:eastAsia="ko-KR"/>
              </w:rPr>
            </w:pPr>
            <w:r w:rsidRPr="00D61FC4">
              <w:rPr>
                <w:sz w:val="18"/>
                <w:lang w:eastAsia="ko-KR"/>
              </w:rPr>
              <w:t>Partager les données d’expérience de la Corée en matière d’exploitation du système de protection des obtentions végétales avec les pays en développement</w:t>
            </w:r>
          </w:p>
        </w:tc>
        <w:tc>
          <w:tcPr>
            <w:tcW w:w="2268" w:type="dxa"/>
          </w:tcPr>
          <w:p w:rsidR="00840A7D" w:rsidRPr="00D61FC4" w:rsidRDefault="00840A7D" w:rsidP="00840A7D">
            <w:pPr>
              <w:jc w:val="left"/>
              <w:rPr>
                <w:sz w:val="18"/>
                <w:lang w:eastAsia="ko-KR"/>
              </w:rPr>
            </w:pPr>
            <w:r w:rsidRPr="00D61FC4">
              <w:rPr>
                <w:sz w:val="18"/>
                <w:lang w:eastAsia="ko-KR"/>
              </w:rPr>
              <w:t>Le Cambodge, l’Indonésie, le Myanmar, les Philippines, l’Égypte, le Kenya, la République</w:t>
            </w:r>
            <w:r w:rsidRPr="00D61FC4">
              <w:rPr>
                <w:sz w:val="18"/>
                <w:lang w:eastAsia="ko-KR"/>
              </w:rPr>
              <w:noBreakHyphen/>
              <w:t>Unie de Tanzanie, Zanzibar et l’Ouganda</w:t>
            </w:r>
          </w:p>
          <w:p w:rsidR="00840A7D" w:rsidRPr="00D61FC4" w:rsidRDefault="00840A7D" w:rsidP="00840A7D">
            <w:pPr>
              <w:jc w:val="left"/>
              <w:rPr>
                <w:sz w:val="18"/>
                <w:lang w:eastAsia="ko-KR"/>
              </w:rPr>
            </w:pPr>
            <w:r w:rsidRPr="00D61FC4">
              <w:rPr>
                <w:sz w:val="18"/>
                <w:lang w:eastAsia="ko-KR"/>
              </w:rPr>
              <w:t>(15)</w:t>
            </w:r>
          </w:p>
        </w:tc>
        <w:tc>
          <w:tcPr>
            <w:tcW w:w="1187" w:type="dxa"/>
          </w:tcPr>
          <w:p w:rsidR="00840A7D" w:rsidRPr="00D61FC4" w:rsidRDefault="00840A7D" w:rsidP="00840A7D">
            <w:pPr>
              <w:jc w:val="left"/>
              <w:rPr>
                <w:sz w:val="18"/>
              </w:rPr>
            </w:pPr>
          </w:p>
        </w:tc>
      </w:tr>
      <w:tr w:rsidR="00840A7D" w:rsidRPr="00D61FC4" w:rsidTr="00840A7D">
        <w:tc>
          <w:tcPr>
            <w:tcW w:w="1242" w:type="dxa"/>
          </w:tcPr>
          <w:p w:rsidR="00840A7D" w:rsidRPr="00D61FC4" w:rsidRDefault="00840A7D" w:rsidP="00840A7D">
            <w:pPr>
              <w:jc w:val="left"/>
              <w:rPr>
                <w:sz w:val="18"/>
              </w:rPr>
            </w:pPr>
            <w:r w:rsidRPr="00D61FC4">
              <w:rPr>
                <w:sz w:val="18"/>
                <w:lang w:eastAsia="ko-KR"/>
              </w:rPr>
              <w:t>Forum d’Asie de l’Est sur la protection des obtentions végétales</w:t>
            </w:r>
          </w:p>
        </w:tc>
        <w:tc>
          <w:tcPr>
            <w:tcW w:w="821" w:type="dxa"/>
          </w:tcPr>
          <w:p w:rsidR="00840A7D" w:rsidRPr="00D61FC4" w:rsidRDefault="00840A7D" w:rsidP="00840A7D">
            <w:pPr>
              <w:jc w:val="left"/>
              <w:rPr>
                <w:sz w:val="18"/>
                <w:lang w:eastAsia="ko-KR"/>
              </w:rPr>
            </w:pPr>
            <w:r w:rsidRPr="00D61FC4">
              <w:rPr>
                <w:sz w:val="18"/>
                <w:lang w:eastAsia="ko-KR"/>
              </w:rPr>
              <w:t>2 au 4 septembre</w:t>
            </w:r>
          </w:p>
        </w:tc>
        <w:tc>
          <w:tcPr>
            <w:tcW w:w="1306" w:type="dxa"/>
          </w:tcPr>
          <w:p w:rsidR="00840A7D" w:rsidRPr="00D61FC4" w:rsidRDefault="00840A7D" w:rsidP="00840A7D">
            <w:pPr>
              <w:jc w:val="left"/>
              <w:rPr>
                <w:sz w:val="18"/>
                <w:lang w:eastAsia="ko-KR"/>
              </w:rPr>
            </w:pPr>
            <w:r w:rsidRPr="00D61FC4">
              <w:rPr>
                <w:sz w:val="18"/>
                <w:lang w:eastAsia="ko-KR"/>
              </w:rPr>
              <w:t>Séoul (Rép</w:t>
            </w:r>
            <w:r>
              <w:rPr>
                <w:sz w:val="18"/>
                <w:lang w:eastAsia="ko-KR"/>
              </w:rPr>
              <w:t>ublique</w:t>
            </w:r>
            <w:r w:rsidRPr="00D61FC4">
              <w:rPr>
                <w:sz w:val="18"/>
                <w:lang w:eastAsia="ko-KR"/>
              </w:rPr>
              <w:t xml:space="preserve"> de Corée)</w:t>
            </w:r>
          </w:p>
        </w:tc>
        <w:tc>
          <w:tcPr>
            <w:tcW w:w="1275" w:type="dxa"/>
          </w:tcPr>
          <w:p w:rsidR="00840A7D" w:rsidRPr="00D61FC4" w:rsidRDefault="00840A7D" w:rsidP="00840A7D">
            <w:pPr>
              <w:jc w:val="left"/>
              <w:rPr>
                <w:sz w:val="18"/>
                <w:lang w:eastAsia="ko-KR"/>
              </w:rPr>
            </w:pPr>
            <w:r w:rsidRPr="00D61FC4">
              <w:rPr>
                <w:sz w:val="18"/>
                <w:lang w:eastAsia="ko-KR"/>
              </w:rPr>
              <w:t>Service coréen des semences et des variétés,</w:t>
            </w:r>
          </w:p>
          <w:p w:rsidR="00840A7D" w:rsidRPr="00D61FC4" w:rsidRDefault="00840A7D" w:rsidP="00840A7D">
            <w:pPr>
              <w:jc w:val="left"/>
              <w:rPr>
                <w:sz w:val="18"/>
              </w:rPr>
            </w:pPr>
            <w:r w:rsidRPr="00D61FC4">
              <w:rPr>
                <w:sz w:val="18"/>
                <w:lang w:eastAsia="ko-KR"/>
              </w:rPr>
              <w:t>JATAFF, UPOV</w:t>
            </w:r>
          </w:p>
        </w:tc>
        <w:tc>
          <w:tcPr>
            <w:tcW w:w="1844" w:type="dxa"/>
          </w:tcPr>
          <w:p w:rsidR="00840A7D" w:rsidRPr="00D61FC4" w:rsidRDefault="00840A7D" w:rsidP="00840A7D">
            <w:pPr>
              <w:jc w:val="left"/>
              <w:rPr>
                <w:sz w:val="18"/>
                <w:lang w:eastAsia="ko-KR"/>
              </w:rPr>
            </w:pPr>
            <w:r w:rsidRPr="00D61FC4">
              <w:rPr>
                <w:sz w:val="18"/>
                <w:lang w:eastAsia="ko-KR"/>
              </w:rPr>
              <w:t>Promouvoir les systèmes de protection des obtentions végétales des pays membres du forum</w:t>
            </w:r>
          </w:p>
        </w:tc>
        <w:tc>
          <w:tcPr>
            <w:tcW w:w="2268" w:type="dxa"/>
          </w:tcPr>
          <w:p w:rsidR="00840A7D" w:rsidRDefault="00840A7D" w:rsidP="00840A7D">
            <w:pPr>
              <w:jc w:val="left"/>
              <w:rPr>
                <w:sz w:val="18"/>
                <w:lang w:eastAsia="ko-KR"/>
              </w:rPr>
            </w:pPr>
            <w:r w:rsidRPr="00D61FC4">
              <w:rPr>
                <w:sz w:val="18"/>
                <w:lang w:eastAsia="ko-KR"/>
              </w:rPr>
              <w:t>La Corée, le Japon, la Chine, les pays membres de l’ASEAN, et l’UPOV</w:t>
            </w:r>
          </w:p>
          <w:p w:rsidR="00840A7D" w:rsidRPr="00D61FC4" w:rsidRDefault="00840A7D" w:rsidP="00840A7D">
            <w:pPr>
              <w:jc w:val="left"/>
              <w:rPr>
                <w:sz w:val="18"/>
                <w:lang w:eastAsia="ko-KR"/>
              </w:rPr>
            </w:pPr>
            <w:r w:rsidRPr="00D61FC4">
              <w:rPr>
                <w:sz w:val="18"/>
                <w:lang w:eastAsia="ko-KR"/>
              </w:rPr>
              <w:t>(43)</w:t>
            </w:r>
          </w:p>
          <w:p w:rsidR="00840A7D" w:rsidRPr="00D61FC4" w:rsidRDefault="00840A7D" w:rsidP="00840A7D">
            <w:pPr>
              <w:jc w:val="left"/>
              <w:rPr>
                <w:sz w:val="18"/>
              </w:rPr>
            </w:pPr>
          </w:p>
        </w:tc>
        <w:tc>
          <w:tcPr>
            <w:tcW w:w="1187" w:type="dxa"/>
          </w:tcPr>
          <w:p w:rsidR="00840A7D" w:rsidRPr="00D61FC4" w:rsidRDefault="00840A7D" w:rsidP="00840A7D">
            <w:pPr>
              <w:jc w:val="left"/>
              <w:rPr>
                <w:sz w:val="18"/>
                <w:lang w:eastAsia="ko-KR"/>
              </w:rPr>
            </w:pPr>
          </w:p>
        </w:tc>
      </w:tr>
      <w:tr w:rsidR="00840A7D" w:rsidRPr="00D61FC4" w:rsidTr="00840A7D">
        <w:tc>
          <w:tcPr>
            <w:tcW w:w="1242" w:type="dxa"/>
          </w:tcPr>
          <w:p w:rsidR="00840A7D" w:rsidRPr="00D61FC4" w:rsidRDefault="00840A7D" w:rsidP="00840A7D">
            <w:pPr>
              <w:jc w:val="left"/>
              <w:rPr>
                <w:sz w:val="18"/>
              </w:rPr>
            </w:pPr>
            <w:r w:rsidRPr="00D61FC4">
              <w:rPr>
                <w:sz w:val="18"/>
                <w:lang w:eastAsia="ko-KR"/>
              </w:rPr>
              <w:t>Protection des obtentions végétales : Colloque sur les procédures de dépôt de demandes étrangères</w:t>
            </w:r>
          </w:p>
        </w:tc>
        <w:tc>
          <w:tcPr>
            <w:tcW w:w="821" w:type="dxa"/>
          </w:tcPr>
          <w:p w:rsidR="00840A7D" w:rsidRPr="00D61FC4" w:rsidRDefault="00840A7D" w:rsidP="00840A7D">
            <w:pPr>
              <w:jc w:val="left"/>
              <w:rPr>
                <w:sz w:val="18"/>
                <w:lang w:eastAsia="ko-KR"/>
              </w:rPr>
            </w:pPr>
            <w:r w:rsidRPr="00D61FC4">
              <w:rPr>
                <w:sz w:val="18"/>
                <w:lang w:eastAsia="ko-KR"/>
              </w:rPr>
              <w:t>3 septembre</w:t>
            </w:r>
          </w:p>
        </w:tc>
        <w:tc>
          <w:tcPr>
            <w:tcW w:w="1306" w:type="dxa"/>
          </w:tcPr>
          <w:p w:rsidR="00840A7D" w:rsidRPr="00D61FC4" w:rsidRDefault="00840A7D" w:rsidP="00840A7D">
            <w:pPr>
              <w:jc w:val="left"/>
              <w:rPr>
                <w:sz w:val="18"/>
                <w:lang w:eastAsia="ko-KR"/>
              </w:rPr>
            </w:pPr>
            <w:r w:rsidRPr="00D61FC4">
              <w:rPr>
                <w:sz w:val="18"/>
                <w:lang w:eastAsia="ko-KR"/>
              </w:rPr>
              <w:t>Séoul (Rép</w:t>
            </w:r>
            <w:r>
              <w:rPr>
                <w:sz w:val="18"/>
                <w:lang w:eastAsia="ko-KR"/>
              </w:rPr>
              <w:t>ublique</w:t>
            </w:r>
            <w:r w:rsidRPr="00D61FC4">
              <w:rPr>
                <w:sz w:val="18"/>
                <w:lang w:eastAsia="ko-KR"/>
              </w:rPr>
              <w:t xml:space="preserve"> de Corée)</w:t>
            </w:r>
          </w:p>
        </w:tc>
        <w:tc>
          <w:tcPr>
            <w:tcW w:w="1275" w:type="dxa"/>
          </w:tcPr>
          <w:p w:rsidR="00840A7D" w:rsidRPr="00D61FC4" w:rsidRDefault="00840A7D" w:rsidP="00840A7D">
            <w:pPr>
              <w:jc w:val="left"/>
              <w:rPr>
                <w:sz w:val="18"/>
                <w:lang w:eastAsia="ko-KR"/>
              </w:rPr>
            </w:pPr>
            <w:r w:rsidRPr="00D61FC4">
              <w:rPr>
                <w:sz w:val="18"/>
                <w:lang w:eastAsia="ko-KR"/>
              </w:rPr>
              <w:t>Service coréen des semences et des variétés</w:t>
            </w:r>
          </w:p>
        </w:tc>
        <w:tc>
          <w:tcPr>
            <w:tcW w:w="1844" w:type="dxa"/>
          </w:tcPr>
          <w:p w:rsidR="00840A7D" w:rsidRPr="00D61FC4" w:rsidRDefault="00840A7D" w:rsidP="00840A7D">
            <w:pPr>
              <w:jc w:val="left"/>
              <w:rPr>
                <w:sz w:val="18"/>
                <w:lang w:eastAsia="ko-KR"/>
              </w:rPr>
            </w:pPr>
            <w:r w:rsidRPr="00D61FC4">
              <w:rPr>
                <w:sz w:val="18"/>
                <w:lang w:eastAsia="ko-KR"/>
              </w:rPr>
              <w:t>Comprendre les procédures de dépôt de demandes étrangères et la manière d’envoyer le matériel végétal</w:t>
            </w:r>
          </w:p>
        </w:tc>
        <w:tc>
          <w:tcPr>
            <w:tcW w:w="2268" w:type="dxa"/>
          </w:tcPr>
          <w:p w:rsidR="00840A7D" w:rsidRPr="00D61FC4" w:rsidRDefault="00840A7D" w:rsidP="00840A7D">
            <w:pPr>
              <w:jc w:val="left"/>
              <w:rPr>
                <w:sz w:val="18"/>
                <w:lang w:eastAsia="ko-KR"/>
              </w:rPr>
            </w:pPr>
            <w:r w:rsidRPr="00D61FC4">
              <w:rPr>
                <w:sz w:val="18"/>
                <w:lang w:eastAsia="ko-KR"/>
              </w:rPr>
              <w:t>Des obtenteurs locaux, les pays membres de l’ASEAN, le Japon, la Chine, les Pays</w:t>
            </w:r>
            <w:r w:rsidRPr="00D61FC4">
              <w:rPr>
                <w:sz w:val="18"/>
                <w:lang w:eastAsia="ko-KR"/>
              </w:rPr>
              <w:noBreakHyphen/>
              <w:t>Bas et l’UPOV</w:t>
            </w:r>
          </w:p>
          <w:p w:rsidR="00840A7D" w:rsidRPr="00D61FC4" w:rsidRDefault="00840A7D" w:rsidP="00840A7D">
            <w:pPr>
              <w:jc w:val="left"/>
              <w:rPr>
                <w:sz w:val="18"/>
                <w:lang w:eastAsia="ko-KR"/>
              </w:rPr>
            </w:pPr>
            <w:r w:rsidRPr="00D61FC4">
              <w:rPr>
                <w:sz w:val="18"/>
                <w:lang w:eastAsia="ko-KR"/>
              </w:rPr>
              <w:t>(160)</w:t>
            </w:r>
          </w:p>
        </w:tc>
        <w:tc>
          <w:tcPr>
            <w:tcW w:w="1187" w:type="dxa"/>
          </w:tcPr>
          <w:p w:rsidR="00840A7D" w:rsidRPr="00D61FC4" w:rsidRDefault="00840A7D" w:rsidP="00840A7D">
            <w:pPr>
              <w:jc w:val="left"/>
              <w:rPr>
                <w:sz w:val="18"/>
              </w:rPr>
            </w:pPr>
          </w:p>
        </w:tc>
      </w:tr>
    </w:tbl>
    <w:p w:rsidR="00840A7D" w:rsidRPr="00D61FC4" w:rsidRDefault="00840A7D" w:rsidP="00840A7D"/>
    <w:p w:rsidR="00840A7D" w:rsidRDefault="00840A7D" w:rsidP="00944AEF">
      <w:pPr>
        <w:rPr>
          <w:rFonts w:cs="Arial"/>
        </w:rPr>
      </w:pPr>
    </w:p>
    <w:p w:rsidR="00840A7D" w:rsidRPr="004F3AB8" w:rsidRDefault="00840A7D" w:rsidP="00944AEF">
      <w:pPr>
        <w:rPr>
          <w:rFonts w:cs="Arial"/>
        </w:rPr>
      </w:pPr>
    </w:p>
    <w:p w:rsidR="00944AEF" w:rsidRPr="004F3AB8" w:rsidRDefault="00944AEF" w:rsidP="00944AEF">
      <w:pPr>
        <w:jc w:val="right"/>
      </w:pPr>
      <w:r w:rsidRPr="004F3AB8">
        <w:t>[L’annexe XII suit]</w:t>
      </w:r>
    </w:p>
    <w:p w:rsidR="00944AEF" w:rsidRPr="004F3AB8" w:rsidRDefault="00944AEF" w:rsidP="00944AEF">
      <w:pPr>
        <w:jc w:val="left"/>
      </w:pPr>
    </w:p>
    <w:p w:rsidR="00944AEF" w:rsidRPr="004F3AB8" w:rsidRDefault="00944AEF" w:rsidP="00944AEF">
      <w:pPr>
        <w:jc w:val="left"/>
        <w:sectPr w:rsidR="00944AEF" w:rsidRPr="004F3AB8" w:rsidSect="00906DDC">
          <w:pgSz w:w="11907" w:h="16840" w:code="9"/>
          <w:pgMar w:top="510" w:right="1134" w:bottom="1134" w:left="1134" w:header="510" w:footer="680" w:gutter="0"/>
          <w:cols w:space="720"/>
          <w:titlePg/>
        </w:sectPr>
      </w:pPr>
    </w:p>
    <w:p w:rsidR="00944AEF" w:rsidRPr="004F3AB8" w:rsidRDefault="00944AEF" w:rsidP="00944AEF">
      <w:pPr>
        <w:jc w:val="center"/>
      </w:pPr>
      <w:r w:rsidRPr="004F3AB8">
        <w:t>C/49/15</w:t>
      </w:r>
    </w:p>
    <w:p w:rsidR="00944AEF" w:rsidRPr="004F3AB8" w:rsidRDefault="00944AEF" w:rsidP="00944AEF">
      <w:pPr>
        <w:jc w:val="center"/>
      </w:pPr>
    </w:p>
    <w:p w:rsidR="00944AEF" w:rsidRPr="004F3AB8" w:rsidRDefault="00944AEF" w:rsidP="00944AEF">
      <w:pPr>
        <w:jc w:val="center"/>
      </w:pPr>
      <w:r w:rsidRPr="004F3AB8">
        <w:t>ANNEXE XII</w:t>
      </w:r>
    </w:p>
    <w:p w:rsidR="00944AEF" w:rsidRPr="004F3AB8" w:rsidRDefault="00944AEF" w:rsidP="00944AEF">
      <w:pPr>
        <w:jc w:val="center"/>
      </w:pPr>
    </w:p>
    <w:p w:rsidR="00944AEF" w:rsidRPr="004F3AB8" w:rsidRDefault="00944AEF" w:rsidP="00944AEF">
      <w:pPr>
        <w:jc w:val="center"/>
      </w:pPr>
    </w:p>
    <w:p w:rsidR="00944AEF" w:rsidRPr="004F3AB8" w:rsidRDefault="00944AEF" w:rsidP="00944AEF">
      <w:pPr>
        <w:jc w:val="center"/>
      </w:pPr>
      <w:r w:rsidRPr="004F3AB8">
        <w:t>RÉPUBLIQUE DE MOLDOVA</w:t>
      </w:r>
    </w:p>
    <w:p w:rsidR="002456C6" w:rsidRPr="00D61FC4" w:rsidRDefault="002456C6" w:rsidP="002456C6">
      <w:pPr>
        <w:jc w:val="center"/>
      </w:pPr>
      <w:r w:rsidRPr="00D61FC4">
        <w:t>(2014)</w:t>
      </w:r>
    </w:p>
    <w:p w:rsidR="002456C6" w:rsidRPr="00D61FC4" w:rsidRDefault="002456C6" w:rsidP="002456C6"/>
    <w:p w:rsidR="002456C6" w:rsidRPr="00D61FC4" w:rsidRDefault="002456C6" w:rsidP="002456C6"/>
    <w:p w:rsidR="002456C6" w:rsidRPr="00D61FC4" w:rsidRDefault="002456C6" w:rsidP="002456C6">
      <w:r w:rsidRPr="00D61FC4">
        <w:t>PROTECTION DES OBTENTIONS VÉGÉTALES</w:t>
      </w:r>
    </w:p>
    <w:p w:rsidR="002456C6" w:rsidRPr="00D61FC4" w:rsidRDefault="002456C6" w:rsidP="002456C6"/>
    <w:p w:rsidR="002456C6" w:rsidRPr="00D61FC4" w:rsidRDefault="002456C6" w:rsidP="002456C6">
      <w:pPr>
        <w:rPr>
          <w:u w:val="single"/>
        </w:rPr>
      </w:pPr>
      <w:r w:rsidRPr="00D61FC4">
        <w:t>1.</w:t>
      </w:r>
      <w:r w:rsidRPr="00D61FC4">
        <w:tab/>
      </w:r>
      <w:r w:rsidRPr="00D61FC4">
        <w:rPr>
          <w:u w:val="single"/>
        </w:rPr>
        <w:t>Situation dans le domaine législatif</w:t>
      </w:r>
    </w:p>
    <w:p w:rsidR="002456C6" w:rsidRPr="00D61FC4" w:rsidRDefault="002456C6" w:rsidP="002456C6"/>
    <w:p w:rsidR="002456C6" w:rsidRPr="00D61FC4" w:rsidRDefault="002456C6" w:rsidP="002456C6">
      <w:r w:rsidRPr="00D61FC4">
        <w:t>1.1</w:t>
      </w:r>
      <w:r w:rsidRPr="00D61FC4">
        <w:tab/>
        <w:t>Modifications de la loi et des textes d’application</w:t>
      </w:r>
    </w:p>
    <w:p w:rsidR="002456C6" w:rsidRPr="00D61FC4" w:rsidRDefault="002456C6" w:rsidP="002456C6"/>
    <w:p w:rsidR="002456C6" w:rsidRPr="00D61FC4" w:rsidRDefault="002456C6" w:rsidP="002456C6">
      <w:r w:rsidRPr="00D61FC4">
        <w:t>Sans changement.</w:t>
      </w:r>
    </w:p>
    <w:p w:rsidR="002456C6" w:rsidRPr="00D61FC4" w:rsidRDefault="002456C6" w:rsidP="002456C6"/>
    <w:p w:rsidR="002456C6" w:rsidRPr="00D61FC4" w:rsidRDefault="002456C6" w:rsidP="002456C6">
      <w:r w:rsidRPr="00D61FC4">
        <w:t>1.2</w:t>
      </w:r>
      <w:r w:rsidRPr="00D61FC4">
        <w:tab/>
        <w:t>Extension de la protection à d’autres genres et espèces</w:t>
      </w:r>
    </w:p>
    <w:p w:rsidR="002456C6" w:rsidRPr="00D61FC4" w:rsidRDefault="002456C6" w:rsidP="002456C6"/>
    <w:p w:rsidR="002456C6" w:rsidRPr="00D61FC4" w:rsidRDefault="002456C6" w:rsidP="002456C6">
      <w:r w:rsidRPr="00D61FC4">
        <w:t>En vertu de la loi n° 39 XVI/2008 sur la protection des obtentions végétales, la protection a été étendue aux variétés de tous les genres et espèces botaniques, y compris les hybrides entre genres et espèces.</w:t>
      </w:r>
    </w:p>
    <w:p w:rsidR="002456C6" w:rsidRPr="00D61FC4" w:rsidRDefault="002456C6" w:rsidP="002456C6"/>
    <w:p w:rsidR="002456C6" w:rsidRPr="00D61FC4" w:rsidRDefault="002456C6" w:rsidP="002456C6">
      <w:r w:rsidRPr="00D61FC4">
        <w:t>1.3</w:t>
      </w:r>
      <w:r w:rsidRPr="00D61FC4">
        <w:tab/>
        <w:t>Jurisprudence</w:t>
      </w:r>
    </w:p>
    <w:p w:rsidR="002456C6" w:rsidRPr="00D61FC4" w:rsidRDefault="002456C6" w:rsidP="002456C6"/>
    <w:p w:rsidR="002456C6" w:rsidRPr="00D61FC4" w:rsidRDefault="002456C6" w:rsidP="002456C6">
      <w:r w:rsidRPr="00D61FC4">
        <w:t>Il n’existe aucun précédent en matière de protection du droit d’obtenteur.</w:t>
      </w:r>
    </w:p>
    <w:p w:rsidR="002456C6" w:rsidRPr="00D61FC4" w:rsidRDefault="002456C6" w:rsidP="002456C6"/>
    <w:p w:rsidR="002456C6" w:rsidRPr="00D61FC4" w:rsidRDefault="002456C6" w:rsidP="002456C6"/>
    <w:p w:rsidR="002456C6" w:rsidRPr="00D61FC4" w:rsidRDefault="002456C6" w:rsidP="002456C6">
      <w:r w:rsidRPr="00D61FC4">
        <w:t>2.</w:t>
      </w:r>
      <w:r w:rsidRPr="00D61FC4">
        <w:tab/>
      </w:r>
      <w:r w:rsidRPr="00D61FC4">
        <w:rPr>
          <w:u w:val="single"/>
        </w:rPr>
        <w:t>Coopération en matière d’examen</w:t>
      </w:r>
    </w:p>
    <w:p w:rsidR="002456C6" w:rsidRPr="00D61FC4" w:rsidRDefault="002456C6" w:rsidP="002456C6"/>
    <w:p w:rsidR="002456C6" w:rsidRPr="00D61FC4" w:rsidRDefault="002456C6" w:rsidP="002456C6">
      <w:r w:rsidRPr="00D61FC4">
        <w:t>Il n’y a aucun accord bilatéral de coopération en matière d’examen des obtentions végétales.</w:t>
      </w:r>
    </w:p>
    <w:p w:rsidR="002456C6" w:rsidRPr="00D61FC4" w:rsidRDefault="002456C6" w:rsidP="002456C6"/>
    <w:p w:rsidR="002456C6" w:rsidRPr="00D61FC4" w:rsidRDefault="002456C6" w:rsidP="002456C6"/>
    <w:p w:rsidR="002456C6" w:rsidRPr="00D61FC4" w:rsidRDefault="002456C6" w:rsidP="002456C6">
      <w:r w:rsidRPr="00D61FC4">
        <w:t>3.</w:t>
      </w:r>
      <w:r w:rsidRPr="00D61FC4">
        <w:tab/>
      </w:r>
      <w:r w:rsidRPr="00D61FC4">
        <w:rPr>
          <w:u w:val="single"/>
        </w:rPr>
        <w:t>Situation dans le domaine administratif</w:t>
      </w:r>
    </w:p>
    <w:p w:rsidR="002456C6" w:rsidRPr="00D61FC4" w:rsidRDefault="002456C6" w:rsidP="002456C6"/>
    <w:p w:rsidR="002456C6" w:rsidRPr="00D61FC4" w:rsidRDefault="002456C6" w:rsidP="002456C6">
      <w:r w:rsidRPr="00D61FC4">
        <w:t>Sans changement.</w:t>
      </w:r>
    </w:p>
    <w:p w:rsidR="002456C6" w:rsidRPr="00D61FC4" w:rsidRDefault="002456C6" w:rsidP="002456C6"/>
    <w:p w:rsidR="002456C6" w:rsidRPr="00D61FC4" w:rsidRDefault="002456C6" w:rsidP="002456C6">
      <w:pPr>
        <w:rPr>
          <w:i/>
        </w:rPr>
      </w:pPr>
      <w:r w:rsidRPr="00D61FC4">
        <w:rPr>
          <w:i/>
        </w:rPr>
        <w:t>Modifications des procédures et du système de protection</w:t>
      </w:r>
    </w:p>
    <w:p w:rsidR="002456C6" w:rsidRPr="00D61FC4" w:rsidRDefault="002456C6" w:rsidP="002456C6"/>
    <w:p w:rsidR="002456C6" w:rsidRPr="00D61FC4" w:rsidRDefault="002456C6" w:rsidP="002456C6">
      <w:r w:rsidRPr="00D61FC4">
        <w:t>Nous avons élaboré deux principes directeurs d’examen nationaux pour :</w:t>
      </w:r>
    </w:p>
    <w:p w:rsidR="002456C6" w:rsidRPr="00245BB7" w:rsidRDefault="002456C6" w:rsidP="002456C6">
      <w:pPr>
        <w:rPr>
          <w:lang w:val="es-ES_tradnl"/>
        </w:rPr>
      </w:pPr>
      <w:r w:rsidRPr="00245BB7">
        <w:rPr>
          <w:lang w:val="es-ES_tradnl"/>
        </w:rPr>
        <w:noBreakHyphen/>
      </w:r>
      <w:r w:rsidRPr="00245BB7">
        <w:rPr>
          <w:lang w:val="es-ES_tradnl"/>
        </w:rPr>
        <w:tab/>
      </w:r>
      <w:proofErr w:type="spellStart"/>
      <w:r w:rsidRPr="00245BB7">
        <w:rPr>
          <w:lang w:val="es-ES_tradnl"/>
        </w:rPr>
        <w:t>Aronia</w:t>
      </w:r>
      <w:proofErr w:type="spellEnd"/>
      <w:r w:rsidRPr="00245BB7">
        <w:rPr>
          <w:lang w:val="es-ES_tradnl"/>
        </w:rPr>
        <w:t xml:space="preserve"> – </w:t>
      </w:r>
      <w:proofErr w:type="spellStart"/>
      <w:r w:rsidRPr="00245BB7">
        <w:rPr>
          <w:lang w:val="es-ES_tradnl"/>
        </w:rPr>
        <w:t>Aronia</w:t>
      </w:r>
      <w:proofErr w:type="spellEnd"/>
      <w:r w:rsidRPr="00245BB7">
        <w:rPr>
          <w:lang w:val="es-ES_tradnl"/>
        </w:rPr>
        <w:t xml:space="preserve"> </w:t>
      </w:r>
      <w:proofErr w:type="spellStart"/>
      <w:r w:rsidRPr="00245BB7">
        <w:rPr>
          <w:lang w:val="es-ES_tradnl"/>
        </w:rPr>
        <w:t>melanocarpa</w:t>
      </w:r>
      <w:proofErr w:type="spellEnd"/>
    </w:p>
    <w:p w:rsidR="002456C6" w:rsidRPr="00245BB7" w:rsidRDefault="002456C6" w:rsidP="002456C6">
      <w:pPr>
        <w:rPr>
          <w:lang w:val="es-ES_tradnl"/>
        </w:rPr>
      </w:pPr>
      <w:r w:rsidRPr="00245BB7">
        <w:rPr>
          <w:lang w:val="es-ES_tradnl"/>
        </w:rPr>
        <w:noBreakHyphen/>
      </w:r>
      <w:r w:rsidRPr="00245BB7">
        <w:rPr>
          <w:lang w:val="es-ES_tradnl"/>
        </w:rPr>
        <w:tab/>
      </w:r>
      <w:proofErr w:type="spellStart"/>
      <w:r w:rsidRPr="00245BB7">
        <w:rPr>
          <w:lang w:val="es-ES_tradnl"/>
        </w:rPr>
        <w:t>Sorbier</w:t>
      </w:r>
      <w:proofErr w:type="spellEnd"/>
      <w:r w:rsidRPr="00245BB7">
        <w:rPr>
          <w:lang w:val="es-ES_tradnl"/>
        </w:rPr>
        <w:t xml:space="preserve"> </w:t>
      </w:r>
      <w:proofErr w:type="spellStart"/>
      <w:r w:rsidRPr="00245BB7">
        <w:rPr>
          <w:lang w:val="es-ES_tradnl"/>
        </w:rPr>
        <w:t>hybride</w:t>
      </w:r>
      <w:proofErr w:type="spellEnd"/>
      <w:r w:rsidRPr="00245BB7">
        <w:rPr>
          <w:lang w:val="es-ES_tradnl"/>
        </w:rPr>
        <w:t xml:space="preserve"> – </w:t>
      </w:r>
      <w:proofErr w:type="spellStart"/>
      <w:r w:rsidRPr="00245BB7">
        <w:rPr>
          <w:lang w:val="es-ES_tradnl"/>
        </w:rPr>
        <w:t>Sorbus</w:t>
      </w:r>
      <w:proofErr w:type="spellEnd"/>
      <w:r w:rsidRPr="00245BB7">
        <w:rPr>
          <w:lang w:val="es-ES_tradnl"/>
        </w:rPr>
        <w:t xml:space="preserve"> </w:t>
      </w:r>
      <w:proofErr w:type="spellStart"/>
      <w:r w:rsidRPr="00245BB7">
        <w:rPr>
          <w:lang w:val="es-ES_tradnl"/>
        </w:rPr>
        <w:t>hybrida</w:t>
      </w:r>
      <w:proofErr w:type="spellEnd"/>
      <w:r w:rsidRPr="00245BB7">
        <w:rPr>
          <w:lang w:val="es-ES_tradnl"/>
        </w:rPr>
        <w:t xml:space="preserve"> L.</w:t>
      </w:r>
    </w:p>
    <w:p w:rsidR="002456C6" w:rsidRPr="00245BB7" w:rsidRDefault="002456C6" w:rsidP="002456C6">
      <w:pPr>
        <w:rPr>
          <w:lang w:val="es-ES_tradnl"/>
        </w:rPr>
      </w:pPr>
    </w:p>
    <w:p w:rsidR="002456C6" w:rsidRPr="00D61FC4" w:rsidRDefault="002456C6" w:rsidP="002456C6">
      <w:pPr>
        <w:rPr>
          <w:i/>
        </w:rPr>
      </w:pPr>
      <w:r w:rsidRPr="00D61FC4">
        <w:rPr>
          <w:i/>
        </w:rPr>
        <w:t>Statistiques</w:t>
      </w:r>
    </w:p>
    <w:p w:rsidR="002456C6" w:rsidRPr="00D61FC4" w:rsidRDefault="002456C6" w:rsidP="002456C6"/>
    <w:p w:rsidR="002456C6" w:rsidRPr="00D61FC4" w:rsidRDefault="002456C6" w:rsidP="002456C6">
      <w:r w:rsidRPr="00D61FC4">
        <w:t>Pour la période allant du 1</w:t>
      </w:r>
      <w:r w:rsidRPr="00D61FC4">
        <w:rPr>
          <w:vertAlign w:val="superscript"/>
        </w:rPr>
        <w:t>er</w:t>
      </w:r>
      <w:r w:rsidRPr="00D61FC4">
        <w:t> janvier au 31 décembre 2014 :</w:t>
      </w:r>
    </w:p>
    <w:p w:rsidR="002456C6" w:rsidRPr="00D61FC4" w:rsidRDefault="002456C6" w:rsidP="002456C6"/>
    <w:p w:rsidR="002456C6" w:rsidRPr="00D61FC4" w:rsidRDefault="002456C6" w:rsidP="002456C6">
      <w:r w:rsidRPr="00D61FC4">
        <w:noBreakHyphen/>
        <w:t xml:space="preserve"> 34 demandes ont été reçues (28 demandes nationales et 6 demandes étrangères), comme indiqué ci</w:t>
      </w:r>
      <w:r w:rsidRPr="00D61FC4">
        <w:noBreakHyphen/>
        <w:t>après :</w:t>
      </w:r>
    </w:p>
    <w:p w:rsidR="002456C6" w:rsidRPr="00D61FC4" w:rsidRDefault="002456C6" w:rsidP="002456C6"/>
    <w:p w:rsidR="002456C6" w:rsidRPr="00D61FC4" w:rsidRDefault="002456C6" w:rsidP="002456C6">
      <w:r w:rsidRPr="00D61FC4">
        <w:t>Maïs (</w:t>
      </w:r>
      <w:proofErr w:type="spellStart"/>
      <w:r w:rsidRPr="00D61FC4">
        <w:t>Zea</w:t>
      </w:r>
      <w:proofErr w:type="spellEnd"/>
      <w:r w:rsidRPr="00D61FC4">
        <w:t xml:space="preserve"> </w:t>
      </w:r>
      <w:proofErr w:type="spellStart"/>
      <w:r w:rsidRPr="00D61FC4">
        <w:t>mays</w:t>
      </w:r>
      <w:proofErr w:type="spellEnd"/>
      <w:r w:rsidRPr="00D61FC4">
        <w:t xml:space="preserve"> L.) – 11</w:t>
      </w:r>
    </w:p>
    <w:p w:rsidR="002456C6" w:rsidRPr="00D61FC4" w:rsidRDefault="002456C6" w:rsidP="002456C6">
      <w:proofErr w:type="spellStart"/>
      <w:r w:rsidRPr="00D61FC4">
        <w:t>Zea</w:t>
      </w:r>
      <w:proofErr w:type="spellEnd"/>
      <w:r w:rsidRPr="00D61FC4">
        <w:t xml:space="preserve"> </w:t>
      </w:r>
      <w:proofErr w:type="spellStart"/>
      <w:r w:rsidRPr="00D61FC4">
        <w:t>mays</w:t>
      </w:r>
      <w:proofErr w:type="spellEnd"/>
      <w:r w:rsidRPr="00D61FC4">
        <w:t xml:space="preserve"> L. </w:t>
      </w:r>
      <w:proofErr w:type="spellStart"/>
      <w:r w:rsidRPr="00D61FC4">
        <w:t>ssp</w:t>
      </w:r>
      <w:proofErr w:type="spellEnd"/>
      <w:r w:rsidRPr="00D61FC4">
        <w:t xml:space="preserve">. </w:t>
      </w:r>
      <w:proofErr w:type="spellStart"/>
      <w:r w:rsidRPr="00D61FC4">
        <w:t>saccharata</w:t>
      </w:r>
      <w:proofErr w:type="spellEnd"/>
      <w:r w:rsidRPr="00D61FC4">
        <w:t xml:space="preserve"> – 1</w:t>
      </w:r>
    </w:p>
    <w:p w:rsidR="002456C6" w:rsidRPr="00245BB7" w:rsidRDefault="002456C6" w:rsidP="002456C6">
      <w:pPr>
        <w:rPr>
          <w:lang w:val="es-ES_tradnl"/>
        </w:rPr>
      </w:pPr>
      <w:r w:rsidRPr="00245BB7">
        <w:rPr>
          <w:lang w:val="es-ES_tradnl"/>
        </w:rPr>
        <w:t xml:space="preserve">Zea </w:t>
      </w:r>
      <w:proofErr w:type="spellStart"/>
      <w:r w:rsidRPr="00245BB7">
        <w:rPr>
          <w:lang w:val="es-ES_tradnl"/>
        </w:rPr>
        <w:t>mays</w:t>
      </w:r>
      <w:proofErr w:type="spellEnd"/>
      <w:r w:rsidRPr="00245BB7">
        <w:rPr>
          <w:lang w:val="es-ES_tradnl"/>
        </w:rPr>
        <w:t xml:space="preserve"> </w:t>
      </w:r>
      <w:proofErr w:type="spellStart"/>
      <w:r w:rsidRPr="00245BB7">
        <w:rPr>
          <w:lang w:val="es-ES_tradnl"/>
        </w:rPr>
        <w:t>var</w:t>
      </w:r>
      <w:proofErr w:type="spellEnd"/>
      <w:r w:rsidRPr="00245BB7">
        <w:rPr>
          <w:lang w:val="es-ES_tradnl"/>
        </w:rPr>
        <w:t xml:space="preserve">. </w:t>
      </w:r>
      <w:proofErr w:type="spellStart"/>
      <w:r w:rsidRPr="00245BB7">
        <w:rPr>
          <w:lang w:val="es-ES_tradnl"/>
        </w:rPr>
        <w:t>indurata</w:t>
      </w:r>
      <w:proofErr w:type="spellEnd"/>
      <w:r w:rsidRPr="00245BB7">
        <w:rPr>
          <w:lang w:val="es-ES_tradnl"/>
        </w:rPr>
        <w:t xml:space="preserve"> – 1</w:t>
      </w:r>
    </w:p>
    <w:p w:rsidR="002456C6" w:rsidRPr="00245BB7" w:rsidRDefault="002456C6" w:rsidP="002456C6">
      <w:pPr>
        <w:rPr>
          <w:lang w:val="en-US"/>
        </w:rPr>
      </w:pPr>
      <w:r w:rsidRPr="00245BB7">
        <w:rPr>
          <w:lang w:val="es-ES_tradnl"/>
        </w:rPr>
        <w:t>Soja (</w:t>
      </w:r>
      <w:proofErr w:type="spellStart"/>
      <w:r w:rsidRPr="00245BB7">
        <w:rPr>
          <w:lang w:val="es-ES_tradnl"/>
        </w:rPr>
        <w:t>Glycine</w:t>
      </w:r>
      <w:proofErr w:type="spellEnd"/>
      <w:r w:rsidRPr="00245BB7">
        <w:rPr>
          <w:lang w:val="es-ES_tradnl"/>
        </w:rPr>
        <w:t xml:space="preserve"> </w:t>
      </w:r>
      <w:proofErr w:type="spellStart"/>
      <w:r w:rsidRPr="00245BB7">
        <w:rPr>
          <w:lang w:val="es-ES_tradnl"/>
        </w:rPr>
        <w:t>max</w:t>
      </w:r>
      <w:proofErr w:type="spellEnd"/>
      <w:r w:rsidRPr="00245BB7">
        <w:rPr>
          <w:lang w:val="es-ES_tradnl"/>
        </w:rPr>
        <w:t xml:space="preserve"> (L.) </w:t>
      </w:r>
      <w:r w:rsidRPr="00245BB7">
        <w:rPr>
          <w:lang w:val="en-US"/>
        </w:rPr>
        <w:t>Merrill) – 2</w:t>
      </w:r>
    </w:p>
    <w:p w:rsidR="002456C6" w:rsidRPr="00245BB7" w:rsidRDefault="002456C6" w:rsidP="002456C6">
      <w:pPr>
        <w:rPr>
          <w:lang w:val="en-US"/>
        </w:rPr>
      </w:pPr>
      <w:proofErr w:type="spellStart"/>
      <w:r w:rsidRPr="00245BB7">
        <w:rPr>
          <w:lang w:val="en-US"/>
        </w:rPr>
        <w:t>Blé</w:t>
      </w:r>
      <w:proofErr w:type="spellEnd"/>
      <w:r w:rsidRPr="00245BB7">
        <w:rPr>
          <w:lang w:val="en-US"/>
        </w:rPr>
        <w:t xml:space="preserve"> (</w:t>
      </w:r>
      <w:proofErr w:type="spellStart"/>
      <w:r w:rsidRPr="00245BB7">
        <w:rPr>
          <w:lang w:val="en-US"/>
        </w:rPr>
        <w:t>Triticum</w:t>
      </w:r>
      <w:proofErr w:type="spellEnd"/>
      <w:r w:rsidRPr="00245BB7">
        <w:rPr>
          <w:lang w:val="en-US"/>
        </w:rPr>
        <w:t xml:space="preserve"> </w:t>
      </w:r>
      <w:proofErr w:type="spellStart"/>
      <w:r w:rsidRPr="00245BB7">
        <w:rPr>
          <w:lang w:val="en-US"/>
        </w:rPr>
        <w:t>aestivum</w:t>
      </w:r>
      <w:proofErr w:type="spellEnd"/>
      <w:r w:rsidRPr="00245BB7">
        <w:rPr>
          <w:lang w:val="en-US"/>
        </w:rPr>
        <w:t xml:space="preserve"> L.) – 1</w:t>
      </w:r>
    </w:p>
    <w:p w:rsidR="002456C6" w:rsidRPr="00245BB7" w:rsidRDefault="002456C6" w:rsidP="002456C6">
      <w:pPr>
        <w:rPr>
          <w:lang w:val="en-US"/>
        </w:rPr>
      </w:pPr>
      <w:proofErr w:type="spellStart"/>
      <w:r w:rsidRPr="00245BB7">
        <w:rPr>
          <w:lang w:val="en-US"/>
        </w:rPr>
        <w:t>Tournesol</w:t>
      </w:r>
      <w:proofErr w:type="spellEnd"/>
      <w:r w:rsidRPr="00245BB7">
        <w:rPr>
          <w:lang w:val="en-US"/>
        </w:rPr>
        <w:t xml:space="preserve"> (Helianthus </w:t>
      </w:r>
      <w:proofErr w:type="spellStart"/>
      <w:r w:rsidRPr="00245BB7">
        <w:rPr>
          <w:lang w:val="en-US"/>
        </w:rPr>
        <w:t>annuus</w:t>
      </w:r>
      <w:proofErr w:type="spellEnd"/>
      <w:r w:rsidRPr="00245BB7">
        <w:rPr>
          <w:lang w:val="en-US"/>
        </w:rPr>
        <w:t xml:space="preserve"> L.) – 1</w:t>
      </w:r>
    </w:p>
    <w:p w:rsidR="002456C6" w:rsidRPr="00D61FC4" w:rsidRDefault="002456C6" w:rsidP="002456C6">
      <w:r w:rsidRPr="00D61FC4">
        <w:t xml:space="preserve">Betterave (Beta </w:t>
      </w:r>
      <w:proofErr w:type="spellStart"/>
      <w:r w:rsidRPr="00D61FC4">
        <w:t>vulgaris</w:t>
      </w:r>
      <w:proofErr w:type="spellEnd"/>
      <w:r w:rsidRPr="00D61FC4">
        <w:t xml:space="preserve"> </w:t>
      </w:r>
      <w:proofErr w:type="spellStart"/>
      <w:r w:rsidRPr="00D61FC4">
        <w:t>ssp</w:t>
      </w:r>
      <w:proofErr w:type="spellEnd"/>
      <w:r w:rsidRPr="00D61FC4">
        <w:t xml:space="preserve">. </w:t>
      </w:r>
      <w:proofErr w:type="spellStart"/>
      <w:r w:rsidRPr="00D61FC4">
        <w:t>vulgaris</w:t>
      </w:r>
      <w:proofErr w:type="spellEnd"/>
      <w:r w:rsidRPr="00D61FC4">
        <w:t>) – 2</w:t>
      </w:r>
    </w:p>
    <w:p w:rsidR="002456C6" w:rsidRPr="00D61FC4" w:rsidRDefault="002456C6" w:rsidP="002456C6">
      <w:r w:rsidRPr="00D61FC4">
        <w:t xml:space="preserve">Pomme (Malus </w:t>
      </w:r>
      <w:proofErr w:type="spellStart"/>
      <w:r w:rsidRPr="00D61FC4">
        <w:t>domestica</w:t>
      </w:r>
      <w:proofErr w:type="spellEnd"/>
      <w:r w:rsidRPr="00D61FC4">
        <w:t xml:space="preserve"> </w:t>
      </w:r>
      <w:proofErr w:type="spellStart"/>
      <w:r w:rsidRPr="00D61FC4">
        <w:t>Borkh</w:t>
      </w:r>
      <w:proofErr w:type="spellEnd"/>
      <w:r w:rsidRPr="00D61FC4">
        <w:t>.) – 1</w:t>
      </w:r>
    </w:p>
    <w:p w:rsidR="002456C6" w:rsidRPr="00D61FC4" w:rsidRDefault="002456C6" w:rsidP="002456C6">
      <w:r w:rsidRPr="00D61FC4">
        <w:t>Fraise (</w:t>
      </w:r>
      <w:proofErr w:type="spellStart"/>
      <w:r w:rsidRPr="00D61FC4">
        <w:t>Fragaria</w:t>
      </w:r>
      <w:proofErr w:type="spellEnd"/>
      <w:r w:rsidRPr="00D61FC4">
        <w:t xml:space="preserve"> L.)</w:t>
      </w:r>
      <w:r w:rsidRPr="00D61FC4">
        <w:noBreakHyphen/>
        <w:t xml:space="preserve"> 4</w:t>
      </w:r>
    </w:p>
    <w:p w:rsidR="002456C6" w:rsidRPr="00D61FC4" w:rsidRDefault="002456C6" w:rsidP="002456C6">
      <w:r w:rsidRPr="00D61FC4">
        <w:t xml:space="preserve">Prune européenne (Prunus </w:t>
      </w:r>
      <w:proofErr w:type="spellStart"/>
      <w:r w:rsidRPr="00D61FC4">
        <w:t>domestica</w:t>
      </w:r>
      <w:proofErr w:type="spellEnd"/>
      <w:r w:rsidRPr="00D61FC4">
        <w:t>) – 1</w:t>
      </w:r>
    </w:p>
    <w:p w:rsidR="002456C6" w:rsidRPr="00D61FC4" w:rsidRDefault="002456C6" w:rsidP="002456C6">
      <w:r w:rsidRPr="00D61FC4">
        <w:t>Chrysanthème (</w:t>
      </w:r>
      <w:proofErr w:type="spellStart"/>
      <w:r w:rsidRPr="00D61FC4">
        <w:t>Chrysanthemum</w:t>
      </w:r>
      <w:proofErr w:type="spellEnd"/>
      <w:r w:rsidRPr="00D61FC4">
        <w:t xml:space="preserve"> </w:t>
      </w:r>
      <w:proofErr w:type="spellStart"/>
      <w:r w:rsidRPr="00D61FC4">
        <w:t>indicum</w:t>
      </w:r>
      <w:proofErr w:type="spellEnd"/>
      <w:r w:rsidRPr="00D61FC4">
        <w:t xml:space="preserve"> L.) – 2</w:t>
      </w:r>
    </w:p>
    <w:p w:rsidR="002456C6" w:rsidRPr="00D61FC4" w:rsidRDefault="002456C6" w:rsidP="002456C6">
      <w:r w:rsidRPr="00D61FC4">
        <w:t>Iris jaune (</w:t>
      </w:r>
      <w:proofErr w:type="spellStart"/>
      <w:r w:rsidRPr="00D61FC4">
        <w:t>Hemerocallis</w:t>
      </w:r>
      <w:proofErr w:type="spellEnd"/>
      <w:r w:rsidRPr="00D61FC4">
        <w:t xml:space="preserve"> x hybrida </w:t>
      </w:r>
      <w:proofErr w:type="spellStart"/>
      <w:r w:rsidRPr="00D61FC4">
        <w:t>hort</w:t>
      </w:r>
      <w:proofErr w:type="spellEnd"/>
      <w:r w:rsidRPr="00D61FC4">
        <w:t>.) – 2</w:t>
      </w:r>
    </w:p>
    <w:p w:rsidR="002456C6" w:rsidRPr="00D61FC4" w:rsidRDefault="002456C6" w:rsidP="002456C6">
      <w:r w:rsidRPr="00D61FC4">
        <w:t>Pivoine (</w:t>
      </w:r>
      <w:proofErr w:type="spellStart"/>
      <w:r w:rsidRPr="00D61FC4">
        <w:t>Paeonia</w:t>
      </w:r>
      <w:proofErr w:type="spellEnd"/>
      <w:r w:rsidRPr="00D61FC4">
        <w:t xml:space="preserve"> </w:t>
      </w:r>
      <w:proofErr w:type="spellStart"/>
      <w:r w:rsidRPr="00D61FC4">
        <w:t>lactiflora</w:t>
      </w:r>
      <w:proofErr w:type="spellEnd"/>
      <w:r w:rsidRPr="00D61FC4">
        <w:t xml:space="preserve"> </w:t>
      </w:r>
      <w:proofErr w:type="spellStart"/>
      <w:r w:rsidRPr="00D61FC4">
        <w:t>Pall</w:t>
      </w:r>
      <w:proofErr w:type="spellEnd"/>
      <w:r w:rsidRPr="00D61FC4">
        <w:t>.) – 2</w:t>
      </w:r>
    </w:p>
    <w:p w:rsidR="002456C6" w:rsidRPr="00D61FC4" w:rsidRDefault="002456C6" w:rsidP="002456C6">
      <w:r w:rsidRPr="00D61FC4">
        <w:t xml:space="preserve">Paulownia (Paulownia </w:t>
      </w:r>
      <w:proofErr w:type="spellStart"/>
      <w:r w:rsidRPr="00D61FC4">
        <w:t>Elongata</w:t>
      </w:r>
      <w:proofErr w:type="spellEnd"/>
      <w:r w:rsidRPr="00D61FC4">
        <w:t xml:space="preserve"> S.Y. Hu x Paulownia </w:t>
      </w:r>
      <w:proofErr w:type="spellStart"/>
      <w:r w:rsidRPr="00D61FC4">
        <w:t>Fortunei</w:t>
      </w:r>
      <w:proofErr w:type="spellEnd"/>
      <w:r w:rsidRPr="00D61FC4">
        <w:t xml:space="preserve"> (</w:t>
      </w:r>
      <w:proofErr w:type="spellStart"/>
      <w:r w:rsidRPr="00D61FC4">
        <w:t>Seem</w:t>
      </w:r>
      <w:proofErr w:type="spellEnd"/>
      <w:r w:rsidRPr="00D61FC4">
        <w:t xml:space="preserve">.) </w:t>
      </w:r>
      <w:proofErr w:type="spellStart"/>
      <w:r w:rsidRPr="00D61FC4">
        <w:t>Hemsl</w:t>
      </w:r>
      <w:proofErr w:type="spellEnd"/>
      <w:r w:rsidRPr="00D61FC4">
        <w:t>.) – 1</w:t>
      </w:r>
    </w:p>
    <w:p w:rsidR="002456C6" w:rsidRPr="00D61FC4" w:rsidRDefault="002456C6" w:rsidP="002456C6">
      <w:r w:rsidRPr="00D61FC4">
        <w:t>Tomate (</w:t>
      </w:r>
      <w:proofErr w:type="spellStart"/>
      <w:r w:rsidRPr="00D61FC4">
        <w:t>Solanum</w:t>
      </w:r>
      <w:proofErr w:type="spellEnd"/>
      <w:r w:rsidRPr="00D61FC4">
        <w:t xml:space="preserve"> </w:t>
      </w:r>
      <w:proofErr w:type="spellStart"/>
      <w:r w:rsidRPr="00D61FC4">
        <w:t>lycopersicum</w:t>
      </w:r>
      <w:proofErr w:type="spellEnd"/>
      <w:r w:rsidRPr="00D61FC4">
        <w:t xml:space="preserve"> L.) – 2</w:t>
      </w:r>
    </w:p>
    <w:p w:rsidR="002456C6" w:rsidRPr="00D61FC4" w:rsidRDefault="002456C6" w:rsidP="002456C6"/>
    <w:p w:rsidR="002456C6" w:rsidRPr="00D61FC4" w:rsidRDefault="002456C6" w:rsidP="002456C6">
      <w:pPr>
        <w:keepNext/>
      </w:pPr>
      <w:r w:rsidRPr="00D61FC4">
        <w:noBreakHyphen/>
      </w:r>
      <w:r w:rsidRPr="00D61FC4">
        <w:tab/>
        <w:t>29 brevets d’obtention végétale (26 brevets nationaux) ont été accordés comme indiqué ci</w:t>
      </w:r>
      <w:r w:rsidRPr="00D61FC4">
        <w:noBreakHyphen/>
        <w:t>après :</w:t>
      </w:r>
    </w:p>
    <w:p w:rsidR="002456C6" w:rsidRPr="00D61FC4" w:rsidRDefault="002456C6" w:rsidP="002456C6">
      <w:pPr>
        <w:keepNext/>
      </w:pPr>
    </w:p>
    <w:p w:rsidR="002456C6" w:rsidRPr="00D61FC4" w:rsidRDefault="002456C6" w:rsidP="002456C6">
      <w:pPr>
        <w:keepNext/>
      </w:pPr>
      <w:r w:rsidRPr="00D61FC4">
        <w:t>Saule (</w:t>
      </w:r>
      <w:proofErr w:type="spellStart"/>
      <w:r w:rsidRPr="00D61FC4">
        <w:t>Salix</w:t>
      </w:r>
      <w:proofErr w:type="spellEnd"/>
      <w:r w:rsidRPr="00D61FC4">
        <w:t xml:space="preserve"> L.) – 3</w:t>
      </w:r>
    </w:p>
    <w:p w:rsidR="002456C6" w:rsidRPr="00D61FC4" w:rsidRDefault="002456C6" w:rsidP="002456C6">
      <w:pPr>
        <w:keepNext/>
      </w:pPr>
      <w:r w:rsidRPr="00D61FC4">
        <w:t>Haricot (</w:t>
      </w:r>
      <w:proofErr w:type="spellStart"/>
      <w:r w:rsidRPr="00D61FC4">
        <w:t>Phaseolus</w:t>
      </w:r>
      <w:proofErr w:type="spellEnd"/>
      <w:r w:rsidRPr="00D61FC4">
        <w:t xml:space="preserve"> </w:t>
      </w:r>
      <w:proofErr w:type="spellStart"/>
      <w:r w:rsidRPr="00D61FC4">
        <w:t>vulgaris</w:t>
      </w:r>
      <w:proofErr w:type="spellEnd"/>
      <w:r w:rsidRPr="00D61FC4">
        <w:t xml:space="preserve"> L. var. </w:t>
      </w:r>
      <w:proofErr w:type="spellStart"/>
      <w:r w:rsidRPr="00D61FC4">
        <w:t>ellipticus</w:t>
      </w:r>
      <w:proofErr w:type="spellEnd"/>
      <w:r w:rsidRPr="00D61FC4">
        <w:t xml:space="preserve"> </w:t>
      </w:r>
      <w:proofErr w:type="spellStart"/>
      <w:r w:rsidRPr="00D61FC4">
        <w:t>albus</w:t>
      </w:r>
      <w:proofErr w:type="spellEnd"/>
      <w:r w:rsidRPr="00D61FC4">
        <w:t>) – 1</w:t>
      </w:r>
    </w:p>
    <w:p w:rsidR="002456C6" w:rsidRPr="00D61FC4" w:rsidRDefault="002456C6" w:rsidP="002456C6">
      <w:pPr>
        <w:keepNext/>
      </w:pPr>
      <w:r w:rsidRPr="00D61FC4">
        <w:t>Soja (Glycine max (L.) Merrill) – 1</w:t>
      </w:r>
    </w:p>
    <w:p w:rsidR="002456C6" w:rsidRPr="00D61FC4" w:rsidRDefault="002456C6" w:rsidP="002456C6">
      <w:r w:rsidRPr="00D61FC4">
        <w:t>Chardon marie (</w:t>
      </w:r>
      <w:proofErr w:type="spellStart"/>
      <w:r w:rsidRPr="00D61FC4">
        <w:t>Silybum</w:t>
      </w:r>
      <w:proofErr w:type="spellEnd"/>
      <w:r w:rsidRPr="00D61FC4">
        <w:t xml:space="preserve"> </w:t>
      </w:r>
      <w:proofErr w:type="spellStart"/>
      <w:r w:rsidRPr="00D61FC4">
        <w:t>marianum</w:t>
      </w:r>
      <w:proofErr w:type="spellEnd"/>
      <w:r w:rsidRPr="00D61FC4">
        <w:t xml:space="preserve"> L.) – 1</w:t>
      </w:r>
    </w:p>
    <w:p w:rsidR="002456C6" w:rsidRPr="00245BB7" w:rsidRDefault="002456C6" w:rsidP="002456C6">
      <w:pPr>
        <w:rPr>
          <w:lang w:val="es-ES_tradnl"/>
        </w:rPr>
      </w:pPr>
      <w:proofErr w:type="spellStart"/>
      <w:r w:rsidRPr="00245BB7">
        <w:rPr>
          <w:lang w:val="es-ES_tradnl"/>
        </w:rPr>
        <w:t>Sauge</w:t>
      </w:r>
      <w:proofErr w:type="spellEnd"/>
      <w:r w:rsidRPr="00245BB7">
        <w:rPr>
          <w:lang w:val="es-ES_tradnl"/>
        </w:rPr>
        <w:t xml:space="preserve"> (Salvia </w:t>
      </w:r>
      <w:proofErr w:type="spellStart"/>
      <w:r w:rsidRPr="00245BB7">
        <w:rPr>
          <w:lang w:val="es-ES_tradnl"/>
        </w:rPr>
        <w:t>sclarea</w:t>
      </w:r>
      <w:proofErr w:type="spellEnd"/>
      <w:r w:rsidRPr="00245BB7">
        <w:rPr>
          <w:lang w:val="es-ES_tradnl"/>
        </w:rPr>
        <w:t xml:space="preserve"> L.) – 1</w:t>
      </w:r>
    </w:p>
    <w:p w:rsidR="002456C6" w:rsidRPr="00245BB7" w:rsidRDefault="002456C6" w:rsidP="002456C6">
      <w:pPr>
        <w:rPr>
          <w:lang w:val="es-ES_tradnl"/>
        </w:rPr>
      </w:pPr>
      <w:proofErr w:type="spellStart"/>
      <w:r w:rsidRPr="00245BB7">
        <w:rPr>
          <w:lang w:val="es-ES_tradnl"/>
        </w:rPr>
        <w:t>Maïs</w:t>
      </w:r>
      <w:proofErr w:type="spellEnd"/>
      <w:r w:rsidRPr="00245BB7">
        <w:rPr>
          <w:lang w:val="es-ES_tradnl"/>
        </w:rPr>
        <w:t xml:space="preserve"> (Zea </w:t>
      </w:r>
      <w:proofErr w:type="spellStart"/>
      <w:r w:rsidRPr="00245BB7">
        <w:rPr>
          <w:lang w:val="es-ES_tradnl"/>
        </w:rPr>
        <w:t>mays</w:t>
      </w:r>
      <w:proofErr w:type="spellEnd"/>
      <w:r w:rsidRPr="00245BB7">
        <w:rPr>
          <w:lang w:val="es-ES_tradnl"/>
        </w:rPr>
        <w:t xml:space="preserve"> L. </w:t>
      </w:r>
      <w:proofErr w:type="spellStart"/>
      <w:r w:rsidRPr="00245BB7">
        <w:rPr>
          <w:lang w:val="es-ES_tradnl"/>
        </w:rPr>
        <w:t>ssp</w:t>
      </w:r>
      <w:proofErr w:type="spellEnd"/>
      <w:r w:rsidRPr="00245BB7">
        <w:rPr>
          <w:lang w:val="es-ES_tradnl"/>
        </w:rPr>
        <w:t xml:space="preserve">. </w:t>
      </w:r>
      <w:proofErr w:type="spellStart"/>
      <w:r w:rsidRPr="00245BB7">
        <w:rPr>
          <w:lang w:val="es-ES_tradnl"/>
        </w:rPr>
        <w:t>indurata</w:t>
      </w:r>
      <w:proofErr w:type="spellEnd"/>
      <w:r w:rsidRPr="00245BB7">
        <w:rPr>
          <w:lang w:val="es-ES_tradnl"/>
        </w:rPr>
        <w:t>) – 2</w:t>
      </w:r>
    </w:p>
    <w:p w:rsidR="002456C6" w:rsidRPr="00245BB7" w:rsidRDefault="002456C6" w:rsidP="002456C6">
      <w:pPr>
        <w:rPr>
          <w:lang w:val="en-US"/>
        </w:rPr>
      </w:pPr>
      <w:proofErr w:type="spellStart"/>
      <w:r w:rsidRPr="00245BB7">
        <w:rPr>
          <w:lang w:val="en-US"/>
        </w:rPr>
        <w:t>Maïs</w:t>
      </w:r>
      <w:proofErr w:type="spellEnd"/>
      <w:r w:rsidRPr="00245BB7">
        <w:rPr>
          <w:lang w:val="en-US"/>
        </w:rPr>
        <w:t xml:space="preserve"> (</w:t>
      </w:r>
      <w:proofErr w:type="spellStart"/>
      <w:r w:rsidRPr="00245BB7">
        <w:rPr>
          <w:lang w:val="en-US"/>
        </w:rPr>
        <w:t>Zea</w:t>
      </w:r>
      <w:proofErr w:type="spellEnd"/>
      <w:r w:rsidRPr="00245BB7">
        <w:rPr>
          <w:lang w:val="en-US"/>
        </w:rPr>
        <w:t xml:space="preserve"> mays L.) – 6</w:t>
      </w:r>
    </w:p>
    <w:p w:rsidR="002456C6" w:rsidRPr="00D61FC4" w:rsidRDefault="002456C6" w:rsidP="002456C6">
      <w:proofErr w:type="spellStart"/>
      <w:r w:rsidRPr="00245BB7">
        <w:rPr>
          <w:lang w:val="en-US"/>
        </w:rPr>
        <w:t>Tomate</w:t>
      </w:r>
      <w:proofErr w:type="spellEnd"/>
      <w:r w:rsidRPr="00245BB7">
        <w:rPr>
          <w:lang w:val="en-US"/>
        </w:rPr>
        <w:t xml:space="preserve">.  </w:t>
      </w:r>
      <w:r w:rsidRPr="00D61FC4">
        <w:t>(</w:t>
      </w:r>
      <w:proofErr w:type="spellStart"/>
      <w:r w:rsidRPr="00D61FC4">
        <w:t>Solanum</w:t>
      </w:r>
      <w:proofErr w:type="spellEnd"/>
      <w:r w:rsidRPr="00D61FC4">
        <w:t xml:space="preserve"> </w:t>
      </w:r>
      <w:proofErr w:type="spellStart"/>
      <w:r w:rsidRPr="00D61FC4">
        <w:t>lycopersicum</w:t>
      </w:r>
      <w:proofErr w:type="spellEnd"/>
      <w:r w:rsidRPr="00D61FC4">
        <w:t xml:space="preserve"> L.) – 5</w:t>
      </w:r>
    </w:p>
    <w:p w:rsidR="002456C6" w:rsidRPr="00D61FC4" w:rsidRDefault="002456C6" w:rsidP="002456C6">
      <w:r w:rsidRPr="00D61FC4">
        <w:t xml:space="preserve">Pomme (Malus </w:t>
      </w:r>
      <w:proofErr w:type="spellStart"/>
      <w:r w:rsidRPr="00D61FC4">
        <w:t>domestica</w:t>
      </w:r>
      <w:proofErr w:type="spellEnd"/>
      <w:r w:rsidRPr="00D61FC4">
        <w:t xml:space="preserve"> </w:t>
      </w:r>
      <w:proofErr w:type="spellStart"/>
      <w:r w:rsidRPr="00D61FC4">
        <w:t>Borkh</w:t>
      </w:r>
      <w:proofErr w:type="spellEnd"/>
      <w:r w:rsidRPr="00D61FC4">
        <w:t>.) – 7</w:t>
      </w:r>
    </w:p>
    <w:p w:rsidR="002456C6" w:rsidRPr="00D61FC4" w:rsidRDefault="002456C6" w:rsidP="002456C6">
      <w:r w:rsidRPr="00D61FC4">
        <w:t xml:space="preserve">Fève (Vicia </w:t>
      </w:r>
      <w:proofErr w:type="spellStart"/>
      <w:r w:rsidRPr="00D61FC4">
        <w:t>faba</w:t>
      </w:r>
      <w:proofErr w:type="spellEnd"/>
      <w:r w:rsidRPr="00D61FC4">
        <w:t xml:space="preserve"> L.) – 1</w:t>
      </w:r>
    </w:p>
    <w:p w:rsidR="002456C6" w:rsidRPr="00D61FC4" w:rsidRDefault="002456C6" w:rsidP="002456C6">
      <w:r w:rsidRPr="00D61FC4">
        <w:t>Tournesol (</w:t>
      </w:r>
      <w:proofErr w:type="spellStart"/>
      <w:r w:rsidRPr="00D61FC4">
        <w:t>Helianthus</w:t>
      </w:r>
      <w:proofErr w:type="spellEnd"/>
      <w:r w:rsidRPr="00D61FC4">
        <w:t xml:space="preserve"> </w:t>
      </w:r>
      <w:proofErr w:type="spellStart"/>
      <w:r w:rsidRPr="00D61FC4">
        <w:t>annuus</w:t>
      </w:r>
      <w:proofErr w:type="spellEnd"/>
      <w:r w:rsidRPr="00D61FC4">
        <w:t xml:space="preserve"> L.) – 1</w:t>
      </w:r>
    </w:p>
    <w:p w:rsidR="002456C6" w:rsidRPr="00D61FC4" w:rsidRDefault="002456C6" w:rsidP="002456C6"/>
    <w:p w:rsidR="002456C6" w:rsidRPr="00D61FC4" w:rsidRDefault="002456C6" w:rsidP="002456C6">
      <w:r w:rsidRPr="00D61FC4">
        <w:t>Au 31 décembre 2014, 131 brevets d’obtention végétale étaient en vigueur.</w:t>
      </w:r>
    </w:p>
    <w:p w:rsidR="002456C6" w:rsidRPr="00D61FC4" w:rsidRDefault="002456C6" w:rsidP="002456C6"/>
    <w:p w:rsidR="002456C6" w:rsidRPr="00D61FC4" w:rsidRDefault="002456C6" w:rsidP="002456C6"/>
    <w:p w:rsidR="002456C6" w:rsidRPr="00D61FC4" w:rsidRDefault="002456C6" w:rsidP="002456C6">
      <w:r w:rsidRPr="00D61FC4">
        <w:t>4.</w:t>
      </w:r>
      <w:r w:rsidRPr="00D61FC4">
        <w:tab/>
      </w:r>
      <w:r w:rsidRPr="00D61FC4">
        <w:rPr>
          <w:u w:val="single"/>
        </w:rPr>
        <w:t>Situation dans le domaine technique</w:t>
      </w:r>
    </w:p>
    <w:p w:rsidR="002456C6" w:rsidRPr="00D61FC4" w:rsidRDefault="002456C6" w:rsidP="002456C6"/>
    <w:p w:rsidR="002456C6" w:rsidRPr="00D61FC4" w:rsidRDefault="002456C6" w:rsidP="002456C6">
      <w:r w:rsidRPr="00D61FC4">
        <w:t>Sans changement.</w:t>
      </w:r>
    </w:p>
    <w:p w:rsidR="002456C6" w:rsidRPr="00D61FC4" w:rsidRDefault="002456C6" w:rsidP="002456C6"/>
    <w:p w:rsidR="002456C6" w:rsidRPr="00D61FC4" w:rsidRDefault="002456C6" w:rsidP="002456C6"/>
    <w:p w:rsidR="002456C6" w:rsidRPr="00D61FC4" w:rsidRDefault="002456C6" w:rsidP="002456C6">
      <w:pPr>
        <w:rPr>
          <w:u w:val="single"/>
        </w:rPr>
      </w:pPr>
      <w:r w:rsidRPr="00D61FC4">
        <w:t>5.</w:t>
      </w:r>
      <w:r w:rsidRPr="00D61FC4">
        <w:tab/>
      </w:r>
      <w:r w:rsidRPr="00D61FC4">
        <w:rPr>
          <w:u w:val="single"/>
        </w:rPr>
        <w:t>Activités de promotion de la protection des obtentions végétales</w:t>
      </w:r>
    </w:p>
    <w:p w:rsidR="002456C6" w:rsidRPr="00D61FC4" w:rsidRDefault="002456C6" w:rsidP="002456C6"/>
    <w:p w:rsidR="002456C6" w:rsidRPr="00D61FC4" w:rsidRDefault="002456C6" w:rsidP="002456C6">
      <w:pPr>
        <w:rPr>
          <w:i/>
        </w:rPr>
      </w:pPr>
      <w:r w:rsidRPr="00D61FC4">
        <w:rPr>
          <w:i/>
        </w:rPr>
        <w:t>Réunions, séminaires</w:t>
      </w:r>
    </w:p>
    <w:p w:rsidR="002456C6" w:rsidRPr="00D61FC4" w:rsidRDefault="002456C6" w:rsidP="002456C6"/>
    <w:p w:rsidR="002456C6" w:rsidRPr="00D61FC4" w:rsidRDefault="002456C6" w:rsidP="002456C6">
      <w:r w:rsidRPr="00D61FC4">
        <w:t>Cinq séminaires ont été organisés sur : “Le système de protection des obtentions végétales à l’échelle nationale et internationale” à l’intention des représentants du secteur de la propriété industrielle et d’autres personnes intéressées, y compris des étudiants, des scientifiques et des obtenteurs.</w:t>
      </w:r>
    </w:p>
    <w:p w:rsidR="002456C6" w:rsidRPr="00D61FC4" w:rsidRDefault="002456C6" w:rsidP="002456C6"/>
    <w:p w:rsidR="002456C6" w:rsidRPr="00D61FC4" w:rsidRDefault="002456C6" w:rsidP="002456C6">
      <w:pPr>
        <w:rPr>
          <w:i/>
        </w:rPr>
      </w:pPr>
      <w:r w:rsidRPr="00D61FC4">
        <w:rPr>
          <w:i/>
        </w:rPr>
        <w:t>Publications</w:t>
      </w:r>
    </w:p>
    <w:p w:rsidR="002456C6" w:rsidRPr="00D61FC4" w:rsidRDefault="002456C6" w:rsidP="002456C6"/>
    <w:p w:rsidR="002456C6" w:rsidRPr="00D61FC4" w:rsidRDefault="002456C6" w:rsidP="002456C6">
      <w:r w:rsidRPr="00D61FC4">
        <w:t xml:space="preserve">L’AGEPI tient à jour régulièrement, en anglais, roumain et russe, le site Internet </w:t>
      </w:r>
      <w:hyperlink r:id="rId32" w:history="1">
        <w:r w:rsidRPr="00D61FC4">
          <w:rPr>
            <w:rStyle w:val="Hyperlink"/>
          </w:rPr>
          <w:t>www.agepi.gov.md</w:t>
        </w:r>
      </w:hyperlink>
      <w:r w:rsidRPr="00D61FC4">
        <w:t>, où l’on trouve la législation nationale dans le domaine de la protection des obtentions végétales, le formulaire de demande d’un brevet d’obtention végétale ainsi que des informations utiles pour les demandeurs et les obtenteurs.</w:t>
      </w:r>
    </w:p>
    <w:p w:rsidR="002456C6" w:rsidRDefault="002456C6" w:rsidP="002456C6"/>
    <w:p w:rsidR="002456C6" w:rsidRPr="00D61FC4" w:rsidRDefault="002456C6" w:rsidP="002456C6"/>
    <w:p w:rsidR="00EA781B" w:rsidRPr="00EA781B" w:rsidRDefault="00EA781B" w:rsidP="00EA781B"/>
    <w:p w:rsidR="00944AEF" w:rsidRPr="004F3AB8" w:rsidRDefault="00944AEF" w:rsidP="00944AEF">
      <w:pPr>
        <w:jc w:val="right"/>
      </w:pPr>
      <w:r w:rsidRPr="004F3AB8">
        <w:t>[L’annexe XIII suit]</w:t>
      </w:r>
    </w:p>
    <w:p w:rsidR="00944AEF" w:rsidRPr="004F3AB8" w:rsidRDefault="00944AEF" w:rsidP="00944AEF">
      <w:pPr>
        <w:jc w:val="left"/>
      </w:pPr>
    </w:p>
    <w:p w:rsidR="00944AEF" w:rsidRPr="004F3AB8" w:rsidRDefault="00944AEF" w:rsidP="00944AEF">
      <w:pPr>
        <w:jc w:val="left"/>
        <w:sectPr w:rsidR="00944AEF" w:rsidRPr="004F3AB8" w:rsidSect="004F3AB8">
          <w:headerReference w:type="default" r:id="rId33"/>
          <w:pgSz w:w="11907" w:h="16840" w:code="9"/>
          <w:pgMar w:top="510" w:right="1134" w:bottom="1134" w:left="1134" w:header="510" w:footer="680" w:gutter="0"/>
          <w:pgNumType w:start="1"/>
          <w:cols w:space="720"/>
          <w:titlePg/>
        </w:sectPr>
      </w:pPr>
    </w:p>
    <w:p w:rsidR="00944AEF" w:rsidRPr="004F3AB8" w:rsidRDefault="00944AEF" w:rsidP="00944AEF">
      <w:pPr>
        <w:jc w:val="center"/>
      </w:pPr>
      <w:r w:rsidRPr="004F3AB8">
        <w:t>C/49/15</w:t>
      </w:r>
    </w:p>
    <w:p w:rsidR="00944AEF" w:rsidRPr="004F3AB8" w:rsidRDefault="00944AEF" w:rsidP="00944AEF">
      <w:pPr>
        <w:jc w:val="center"/>
      </w:pPr>
    </w:p>
    <w:p w:rsidR="00944AEF" w:rsidRPr="004F3AB8" w:rsidRDefault="00944AEF" w:rsidP="00944AEF">
      <w:pPr>
        <w:jc w:val="center"/>
      </w:pPr>
      <w:r w:rsidRPr="004F3AB8">
        <w:t>ANNEXE XIII</w:t>
      </w:r>
    </w:p>
    <w:p w:rsidR="00944AEF" w:rsidRPr="004F3AB8" w:rsidRDefault="00944AEF" w:rsidP="00944AEF">
      <w:pPr>
        <w:jc w:val="center"/>
      </w:pPr>
    </w:p>
    <w:p w:rsidR="00944AEF" w:rsidRPr="004F3AB8" w:rsidRDefault="00944AEF" w:rsidP="00944AEF">
      <w:pPr>
        <w:jc w:val="center"/>
      </w:pPr>
    </w:p>
    <w:p w:rsidR="00944AEF" w:rsidRPr="004F3AB8" w:rsidRDefault="00944AEF" w:rsidP="00944AEF">
      <w:pPr>
        <w:jc w:val="center"/>
      </w:pPr>
      <w:r w:rsidRPr="004F3AB8">
        <w:t>RÉPUBLIQUE TCHÈQUE</w:t>
      </w:r>
    </w:p>
    <w:p w:rsidR="00944AEF" w:rsidRPr="004F3AB8" w:rsidRDefault="00944AEF" w:rsidP="00944AEF">
      <w:pPr>
        <w:jc w:val="left"/>
        <w:rPr>
          <w:rFonts w:cs="Arial"/>
        </w:rPr>
      </w:pPr>
    </w:p>
    <w:p w:rsidR="00944AEF" w:rsidRDefault="00944AEF" w:rsidP="00944AEF">
      <w:pPr>
        <w:jc w:val="left"/>
        <w:rPr>
          <w:rFonts w:cs="Arial"/>
        </w:rPr>
      </w:pPr>
    </w:p>
    <w:p w:rsidR="002456C6" w:rsidRPr="00D61FC4" w:rsidRDefault="002456C6" w:rsidP="002456C6">
      <w:r>
        <w:t>I.</w:t>
      </w:r>
      <w:r>
        <w:tab/>
      </w:r>
      <w:r w:rsidRPr="00D61FC4">
        <w:t>PROTECTION DES OBTENTIONS VÉGÉTALES</w:t>
      </w:r>
    </w:p>
    <w:p w:rsidR="002456C6" w:rsidRPr="00D61FC4" w:rsidRDefault="002456C6" w:rsidP="002456C6"/>
    <w:p w:rsidR="002456C6" w:rsidRPr="00D61FC4" w:rsidRDefault="002456C6" w:rsidP="002456C6">
      <w:pPr>
        <w:rPr>
          <w:u w:val="single"/>
        </w:rPr>
      </w:pPr>
      <w:r w:rsidRPr="00D61FC4">
        <w:t>1.</w:t>
      </w:r>
      <w:r w:rsidRPr="00D61FC4">
        <w:tab/>
      </w:r>
      <w:r w:rsidRPr="00D61FC4">
        <w:rPr>
          <w:u w:val="single"/>
        </w:rPr>
        <w:t>Situation dans le domaine législatif</w:t>
      </w:r>
    </w:p>
    <w:p w:rsidR="002456C6" w:rsidRPr="00D61FC4" w:rsidRDefault="002456C6" w:rsidP="002456C6"/>
    <w:p w:rsidR="002456C6" w:rsidRPr="00D61FC4" w:rsidRDefault="002456C6" w:rsidP="002456C6">
      <w:r w:rsidRPr="00D61FC4">
        <w:t>Aucun élément nouveau.</w:t>
      </w:r>
    </w:p>
    <w:p w:rsidR="002456C6" w:rsidRPr="00D61FC4" w:rsidRDefault="002456C6" w:rsidP="002456C6">
      <w:pPr>
        <w:rPr>
          <w:rFonts w:cs="Arial"/>
        </w:rPr>
      </w:pPr>
    </w:p>
    <w:p w:rsidR="002456C6" w:rsidRPr="00D61FC4" w:rsidRDefault="002456C6" w:rsidP="002456C6">
      <w:pPr>
        <w:rPr>
          <w:rFonts w:cs="Arial"/>
        </w:rPr>
      </w:pPr>
    </w:p>
    <w:p w:rsidR="002456C6" w:rsidRPr="00D61FC4" w:rsidRDefault="002456C6" w:rsidP="002456C6">
      <w:pPr>
        <w:rPr>
          <w:rFonts w:cs="Arial"/>
        </w:rPr>
      </w:pPr>
      <w:r w:rsidRPr="00D61FC4">
        <w:rPr>
          <w:rFonts w:cs="Arial"/>
        </w:rPr>
        <w:t>2.</w:t>
      </w:r>
      <w:r w:rsidRPr="00D61FC4">
        <w:rPr>
          <w:rFonts w:cs="Arial"/>
        </w:rPr>
        <w:tab/>
      </w:r>
      <w:r w:rsidRPr="00D61FC4">
        <w:rPr>
          <w:rFonts w:cs="Arial"/>
          <w:u w:val="single"/>
        </w:rPr>
        <w:t>Coopération en matière d’examen</w:t>
      </w:r>
    </w:p>
    <w:p w:rsidR="002456C6" w:rsidRPr="00D61FC4" w:rsidRDefault="002456C6" w:rsidP="002456C6"/>
    <w:p w:rsidR="002456C6" w:rsidRPr="00D61FC4" w:rsidRDefault="002456C6" w:rsidP="002456C6">
      <w:r w:rsidRPr="00D61FC4">
        <w:t>Les accords bilatéraux de coopération en matière d’examen avec l’Autriche, le Danemark, la Hongrie, les Pays</w:t>
      </w:r>
      <w:r w:rsidRPr="00D61FC4">
        <w:noBreakHyphen/>
        <w:t>Bas, la Pologne, la Roumanie, la Slovaquie et la Slovénie demeurent inchangés.</w:t>
      </w:r>
    </w:p>
    <w:p w:rsidR="002456C6" w:rsidRPr="00D61FC4" w:rsidRDefault="002456C6" w:rsidP="002456C6">
      <w:pPr>
        <w:rPr>
          <w:b/>
        </w:rPr>
      </w:pPr>
    </w:p>
    <w:p w:rsidR="002456C6" w:rsidRPr="00D61FC4" w:rsidRDefault="002456C6" w:rsidP="002456C6">
      <w:r w:rsidRPr="00D61FC4">
        <w:t xml:space="preserve">L’accord administratif avec l’Office communautaire des variétés végétales a été élargi pour inclure les nouvelles variétés suivantes : </w:t>
      </w:r>
      <w:proofErr w:type="spellStart"/>
      <w:r w:rsidRPr="00D61FC4">
        <w:t>Lonicera</w:t>
      </w:r>
      <w:proofErr w:type="spellEnd"/>
      <w:r w:rsidRPr="00D61FC4">
        <w:t xml:space="preserve"> </w:t>
      </w:r>
      <w:proofErr w:type="spellStart"/>
      <w:r w:rsidRPr="00D61FC4">
        <w:t>caerulea</w:t>
      </w:r>
      <w:proofErr w:type="spellEnd"/>
      <w:r w:rsidRPr="00D61FC4">
        <w:t xml:space="preserve"> L. var. </w:t>
      </w:r>
      <w:proofErr w:type="spellStart"/>
      <w:r w:rsidRPr="00D61FC4">
        <w:t>kamtschatica</w:t>
      </w:r>
      <w:proofErr w:type="spellEnd"/>
      <w:r w:rsidRPr="00D61FC4">
        <w:t xml:space="preserve"> </w:t>
      </w:r>
      <w:proofErr w:type="spellStart"/>
      <w:r w:rsidRPr="00D61FC4">
        <w:t>Sevast</w:t>
      </w:r>
      <w:proofErr w:type="spellEnd"/>
      <w:r w:rsidRPr="00D61FC4">
        <w:t xml:space="preserve">., </w:t>
      </w:r>
      <w:proofErr w:type="spellStart"/>
      <w:r w:rsidRPr="00D61FC4">
        <w:t>Lolium</w:t>
      </w:r>
      <w:proofErr w:type="spellEnd"/>
      <w:r w:rsidRPr="00D61FC4">
        <w:t xml:space="preserve"> </w:t>
      </w:r>
      <w:proofErr w:type="spellStart"/>
      <w:r w:rsidRPr="00D61FC4">
        <w:t>multiflorum</w:t>
      </w:r>
      <w:proofErr w:type="spellEnd"/>
      <w:r w:rsidRPr="00D61FC4">
        <w:t xml:space="preserve"> </w:t>
      </w:r>
      <w:proofErr w:type="spellStart"/>
      <w:r w:rsidRPr="00D61FC4">
        <w:t>Lam</w:t>
      </w:r>
      <w:proofErr w:type="spellEnd"/>
      <w:r w:rsidRPr="00D61FC4">
        <w:t xml:space="preserve">.  </w:t>
      </w:r>
      <w:proofErr w:type="spellStart"/>
      <w:r w:rsidRPr="00D61FC4">
        <w:t>Lolium</w:t>
      </w:r>
      <w:proofErr w:type="spellEnd"/>
      <w:r w:rsidRPr="00D61FC4">
        <w:t xml:space="preserve"> </w:t>
      </w:r>
      <w:proofErr w:type="spellStart"/>
      <w:r w:rsidRPr="00D61FC4">
        <w:t>multiflorum</w:t>
      </w:r>
      <w:proofErr w:type="spellEnd"/>
      <w:r w:rsidRPr="00D61FC4">
        <w:t xml:space="preserve"> </w:t>
      </w:r>
      <w:proofErr w:type="spellStart"/>
      <w:r w:rsidRPr="00D61FC4">
        <w:t>Lam</w:t>
      </w:r>
      <w:proofErr w:type="spellEnd"/>
      <w:r w:rsidRPr="00D61FC4">
        <w:t xml:space="preserve">. var. </w:t>
      </w:r>
      <w:proofErr w:type="spellStart"/>
      <w:r w:rsidRPr="00D61FC4">
        <w:t>westerwoldicum</w:t>
      </w:r>
      <w:proofErr w:type="spellEnd"/>
      <w:r w:rsidRPr="00D61FC4">
        <w:t xml:space="preserve"> </w:t>
      </w:r>
      <w:proofErr w:type="spellStart"/>
      <w:r w:rsidRPr="00D61FC4">
        <w:t>Wittm</w:t>
      </w:r>
      <w:proofErr w:type="spellEnd"/>
      <w:r w:rsidRPr="00D61FC4">
        <w:t xml:space="preserve">. et </w:t>
      </w:r>
      <w:proofErr w:type="spellStart"/>
      <w:r w:rsidRPr="00D61FC4">
        <w:t>subsp</w:t>
      </w:r>
      <w:proofErr w:type="spellEnd"/>
      <w:r w:rsidRPr="00D61FC4">
        <w:t xml:space="preserve">. </w:t>
      </w:r>
      <w:proofErr w:type="spellStart"/>
      <w:r w:rsidRPr="00D61FC4">
        <w:t>Italicum</w:t>
      </w:r>
      <w:proofErr w:type="spellEnd"/>
      <w:r w:rsidRPr="00D61FC4">
        <w:t xml:space="preserve"> (A. Br.) </w:t>
      </w:r>
      <w:proofErr w:type="spellStart"/>
      <w:r w:rsidRPr="00D61FC4">
        <w:t>Volkart</w:t>
      </w:r>
      <w:proofErr w:type="spellEnd"/>
      <w:r w:rsidRPr="00D61FC4">
        <w:t xml:space="preserve">, </w:t>
      </w:r>
      <w:proofErr w:type="spellStart"/>
      <w:r w:rsidRPr="00D61FC4">
        <w:t>Phacelia</w:t>
      </w:r>
      <w:proofErr w:type="spellEnd"/>
      <w:r w:rsidRPr="00D61FC4">
        <w:t xml:space="preserve"> </w:t>
      </w:r>
      <w:proofErr w:type="spellStart"/>
      <w:r w:rsidRPr="00D61FC4">
        <w:t>tanacetifolia</w:t>
      </w:r>
      <w:proofErr w:type="spellEnd"/>
      <w:r w:rsidRPr="00D61FC4">
        <w:t xml:space="preserve"> </w:t>
      </w:r>
      <w:proofErr w:type="spellStart"/>
      <w:r w:rsidRPr="00D61FC4">
        <w:t>Benth</w:t>
      </w:r>
      <w:proofErr w:type="spellEnd"/>
      <w:r w:rsidRPr="00D61FC4">
        <w:t xml:space="preserve">., </w:t>
      </w:r>
      <w:proofErr w:type="spellStart"/>
      <w:r w:rsidRPr="00D61FC4">
        <w:t>Carum</w:t>
      </w:r>
      <w:proofErr w:type="spellEnd"/>
      <w:r w:rsidRPr="00D61FC4">
        <w:t xml:space="preserve"> carvi L.</w:t>
      </w:r>
    </w:p>
    <w:p w:rsidR="002456C6" w:rsidRPr="00D61FC4" w:rsidRDefault="002456C6" w:rsidP="002456C6">
      <w:pPr>
        <w:rPr>
          <w:rFonts w:cs="Arial"/>
        </w:rPr>
      </w:pPr>
    </w:p>
    <w:p w:rsidR="002456C6" w:rsidRPr="00D61FC4" w:rsidRDefault="002456C6" w:rsidP="002456C6">
      <w:pPr>
        <w:rPr>
          <w:rFonts w:cs="Arial"/>
        </w:rPr>
      </w:pPr>
    </w:p>
    <w:p w:rsidR="002456C6" w:rsidRPr="00D61FC4" w:rsidRDefault="002456C6" w:rsidP="002456C6">
      <w:pPr>
        <w:rPr>
          <w:u w:val="single"/>
        </w:rPr>
      </w:pPr>
      <w:r>
        <w:t>3</w:t>
      </w:r>
      <w:r w:rsidRPr="00D61FC4">
        <w:t>.</w:t>
      </w:r>
      <w:r w:rsidRPr="00D61FC4">
        <w:tab/>
      </w:r>
      <w:r w:rsidRPr="00D61FC4">
        <w:rPr>
          <w:u w:val="single"/>
        </w:rPr>
        <w:t>Situation dans le domaine administratif</w:t>
      </w:r>
    </w:p>
    <w:p w:rsidR="002456C6" w:rsidRPr="00D61FC4" w:rsidRDefault="002456C6" w:rsidP="002456C6"/>
    <w:p w:rsidR="002456C6" w:rsidRPr="00D61FC4" w:rsidRDefault="002456C6" w:rsidP="002456C6">
      <w:pPr>
        <w:rPr>
          <w:u w:val="single"/>
        </w:rPr>
      </w:pPr>
      <w:r w:rsidRPr="00D61FC4">
        <w:t>Aucun élément nouveau.</w:t>
      </w:r>
    </w:p>
    <w:p w:rsidR="002456C6" w:rsidRPr="00D61FC4" w:rsidRDefault="002456C6" w:rsidP="002456C6"/>
    <w:p w:rsidR="002456C6" w:rsidRPr="00D61FC4" w:rsidRDefault="002456C6" w:rsidP="002456C6"/>
    <w:p w:rsidR="002456C6" w:rsidRPr="00D61FC4" w:rsidRDefault="002456C6" w:rsidP="002456C6">
      <w:pPr>
        <w:rPr>
          <w:u w:val="single"/>
        </w:rPr>
      </w:pPr>
      <w:r>
        <w:t>4</w:t>
      </w:r>
      <w:r w:rsidRPr="00D61FC4">
        <w:t>.</w:t>
      </w:r>
      <w:r w:rsidRPr="00D61FC4">
        <w:tab/>
      </w:r>
      <w:r w:rsidRPr="00D61FC4">
        <w:rPr>
          <w:u w:val="single"/>
        </w:rPr>
        <w:t>Situation dans le domaine technique</w:t>
      </w:r>
    </w:p>
    <w:p w:rsidR="002456C6" w:rsidRPr="00D61FC4" w:rsidRDefault="002456C6" w:rsidP="002456C6">
      <w:pPr>
        <w:rPr>
          <w:lang w:bidi="ne-NP"/>
        </w:rPr>
      </w:pPr>
    </w:p>
    <w:p w:rsidR="002456C6" w:rsidRPr="00D61FC4" w:rsidRDefault="002456C6" w:rsidP="002456C6">
      <w:pPr>
        <w:rPr>
          <w:lang w:bidi="ne-NP"/>
        </w:rPr>
      </w:pPr>
      <w:r w:rsidRPr="00D61FC4">
        <w:rPr>
          <w:lang w:bidi="ne-NP"/>
        </w:rPr>
        <w:t>Du 1</w:t>
      </w:r>
      <w:r w:rsidRPr="00D61FC4">
        <w:rPr>
          <w:vertAlign w:val="superscript"/>
          <w:lang w:bidi="ne-NP"/>
        </w:rPr>
        <w:t>er</w:t>
      </w:r>
      <w:r w:rsidRPr="00D61FC4">
        <w:rPr>
          <w:lang w:bidi="ne-NP"/>
        </w:rPr>
        <w:t> septembre 2014 au 20 août 2015, 85 demandes ont été reçues et 62 titres délivrés.  À cette dernière date, 728 titres étaient en vigueur et 213 demandes en instance.</w:t>
      </w:r>
    </w:p>
    <w:p w:rsidR="002456C6" w:rsidRDefault="002456C6" w:rsidP="002456C6">
      <w:pPr>
        <w:rPr>
          <w:rFonts w:cs="Arial"/>
        </w:rPr>
      </w:pPr>
    </w:p>
    <w:p w:rsidR="002456C6" w:rsidRPr="00D61FC4" w:rsidRDefault="002456C6" w:rsidP="002456C6">
      <w:pPr>
        <w:rPr>
          <w:rFonts w:cs="Arial"/>
        </w:rPr>
      </w:pPr>
    </w:p>
    <w:p w:rsidR="002456C6" w:rsidRPr="00D61FC4" w:rsidRDefault="002456C6" w:rsidP="002456C6">
      <w:pPr>
        <w:rPr>
          <w:u w:val="single"/>
        </w:rPr>
      </w:pPr>
      <w:r>
        <w:t>5</w:t>
      </w:r>
      <w:r w:rsidRPr="00D61FC4">
        <w:t>.</w:t>
      </w:r>
      <w:r w:rsidRPr="00D61FC4">
        <w:tab/>
      </w:r>
      <w:r w:rsidRPr="00D61FC4">
        <w:rPr>
          <w:u w:val="single"/>
        </w:rPr>
        <w:t>Activités de promotion de la protection des obtentions végétales</w:t>
      </w:r>
    </w:p>
    <w:p w:rsidR="002456C6" w:rsidRPr="00D61FC4" w:rsidRDefault="002456C6" w:rsidP="002456C6"/>
    <w:p w:rsidR="002456C6" w:rsidRPr="00D61FC4" w:rsidRDefault="002456C6" w:rsidP="002456C6">
      <w:r w:rsidRPr="00D61FC4">
        <w:t xml:space="preserve">Atelier sur la mise en œuvre de la protection des obtentions végétales et la sensibilisation à cette protection, organisé par l’UPOV avec l’assistance de l’Office communautaire des variétés végétales (OCVV) et du Programme </w:t>
      </w:r>
      <w:proofErr w:type="spellStart"/>
      <w:r w:rsidRPr="00D61FC4">
        <w:t>multibénéficiaire</w:t>
      </w:r>
      <w:proofErr w:type="spellEnd"/>
      <w:r w:rsidRPr="00D61FC4">
        <w:t xml:space="preserve"> de l’Union européenne, du 29 au 30 octobre 2014, à Skopje (ex</w:t>
      </w:r>
      <w:r w:rsidRPr="00D61FC4">
        <w:noBreakHyphen/>
        <w:t>République yougoslave de Macédoine).  Participation active tchèque : exposés intitulés “Mise en œuvre de la protection des obtentions végétales en République tchèque” et “Avantages du système de protection des obtentions végétales”.</w:t>
      </w:r>
    </w:p>
    <w:p w:rsidR="002456C6" w:rsidRPr="00D61FC4" w:rsidRDefault="002456C6" w:rsidP="002456C6">
      <w:pPr>
        <w:rPr>
          <w:rFonts w:cs="Arial"/>
        </w:rPr>
      </w:pPr>
    </w:p>
    <w:p w:rsidR="002456C6" w:rsidRPr="00D61FC4" w:rsidRDefault="002456C6" w:rsidP="002456C6">
      <w:pPr>
        <w:rPr>
          <w:rFonts w:cs="Arial"/>
        </w:rPr>
      </w:pPr>
    </w:p>
    <w:p w:rsidR="002456C6" w:rsidRPr="002456C6" w:rsidRDefault="002456C6" w:rsidP="002456C6">
      <w:pPr>
        <w:rPr>
          <w:rFonts w:cs="Arial"/>
        </w:rPr>
      </w:pPr>
      <w:r w:rsidRPr="002456C6">
        <w:rPr>
          <w:rFonts w:cs="Arial"/>
        </w:rPr>
        <w:t>II.</w:t>
      </w:r>
      <w:r w:rsidRPr="002456C6">
        <w:rPr>
          <w:rFonts w:cs="Arial"/>
        </w:rPr>
        <w:tab/>
        <w:t>AUTRES ÉLÉMENTS NOUVEAUX PRÉSENTANT UN INTÉRÊT POUR L’UPOV</w:t>
      </w:r>
    </w:p>
    <w:p w:rsidR="002456C6" w:rsidRPr="00D61FC4" w:rsidRDefault="002456C6" w:rsidP="002456C6">
      <w:pPr>
        <w:rPr>
          <w:rFonts w:cs="Arial"/>
        </w:rPr>
      </w:pPr>
    </w:p>
    <w:p w:rsidR="002456C6" w:rsidRPr="00D61FC4" w:rsidRDefault="002456C6" w:rsidP="002456C6">
      <w:pPr>
        <w:rPr>
          <w:rFonts w:cs="Arial"/>
        </w:rPr>
      </w:pPr>
      <w:r w:rsidRPr="00D61FC4">
        <w:rPr>
          <w:rFonts w:cs="Arial"/>
        </w:rPr>
        <w:t>Huit experts ont suivi avec succès le nouveau cours à distance de l’UPOV DL</w:t>
      </w:r>
      <w:r w:rsidRPr="00D61FC4">
        <w:rPr>
          <w:rFonts w:cs="Arial"/>
        </w:rPr>
        <w:noBreakHyphen/>
        <w:t>305, et un expert le cours DL</w:t>
      </w:r>
      <w:r w:rsidRPr="00D61FC4">
        <w:rPr>
          <w:rFonts w:cs="Arial"/>
        </w:rPr>
        <w:noBreakHyphen/>
        <w:t>305</w:t>
      </w:r>
      <w:r>
        <w:rPr>
          <w:rFonts w:cs="Arial"/>
        </w:rPr>
        <w:t>A</w:t>
      </w:r>
      <w:r w:rsidRPr="00D61FC4">
        <w:rPr>
          <w:rFonts w:cs="Arial"/>
        </w:rPr>
        <w:t>.</w:t>
      </w:r>
    </w:p>
    <w:p w:rsidR="002456C6" w:rsidRDefault="002456C6" w:rsidP="002456C6"/>
    <w:p w:rsidR="002456C6" w:rsidRPr="00D61FC4" w:rsidRDefault="002456C6" w:rsidP="002456C6"/>
    <w:p w:rsidR="002456C6" w:rsidRPr="004F3AB8" w:rsidRDefault="002456C6" w:rsidP="00944AEF">
      <w:pPr>
        <w:jc w:val="left"/>
        <w:rPr>
          <w:rFonts w:cs="Arial"/>
        </w:rPr>
      </w:pPr>
    </w:p>
    <w:p w:rsidR="00944AEF" w:rsidRPr="004F3AB8" w:rsidRDefault="00944AEF" w:rsidP="00944AEF">
      <w:pPr>
        <w:jc w:val="right"/>
      </w:pPr>
      <w:r w:rsidRPr="004F3AB8">
        <w:t>[L’annexe XIV suit]</w:t>
      </w:r>
    </w:p>
    <w:p w:rsidR="00944AEF" w:rsidRPr="004F3AB8" w:rsidRDefault="00944AEF" w:rsidP="00944AEF">
      <w:pPr>
        <w:jc w:val="left"/>
      </w:pPr>
    </w:p>
    <w:p w:rsidR="00944AEF" w:rsidRPr="004F3AB8" w:rsidRDefault="00944AEF" w:rsidP="00944AEF">
      <w:pPr>
        <w:jc w:val="left"/>
        <w:sectPr w:rsidR="00944AEF" w:rsidRPr="004F3AB8" w:rsidSect="00906DDC">
          <w:pgSz w:w="11907" w:h="16840" w:code="9"/>
          <w:pgMar w:top="510" w:right="1134" w:bottom="1134" w:left="1134" w:header="510" w:footer="680" w:gutter="0"/>
          <w:cols w:space="720"/>
          <w:titlePg/>
        </w:sectPr>
      </w:pPr>
    </w:p>
    <w:p w:rsidR="00944AEF" w:rsidRPr="004F3AB8" w:rsidRDefault="00944AEF" w:rsidP="00944AEF">
      <w:pPr>
        <w:jc w:val="center"/>
      </w:pPr>
      <w:r w:rsidRPr="004F3AB8">
        <w:t>C/49/15</w:t>
      </w:r>
    </w:p>
    <w:p w:rsidR="00944AEF" w:rsidRPr="004F3AB8" w:rsidRDefault="00944AEF" w:rsidP="00944AEF">
      <w:pPr>
        <w:jc w:val="center"/>
      </w:pPr>
    </w:p>
    <w:p w:rsidR="00944AEF" w:rsidRPr="004F3AB8" w:rsidRDefault="00944AEF" w:rsidP="00944AEF">
      <w:pPr>
        <w:jc w:val="center"/>
      </w:pPr>
      <w:r w:rsidRPr="004F3AB8">
        <w:t>ANNEXE XIV</w:t>
      </w:r>
    </w:p>
    <w:p w:rsidR="00944AEF" w:rsidRPr="004F3AB8" w:rsidRDefault="00944AEF" w:rsidP="00944AEF">
      <w:pPr>
        <w:jc w:val="center"/>
      </w:pPr>
    </w:p>
    <w:p w:rsidR="00944AEF" w:rsidRPr="004F3AB8" w:rsidRDefault="00944AEF" w:rsidP="00944AEF">
      <w:pPr>
        <w:jc w:val="center"/>
      </w:pPr>
    </w:p>
    <w:p w:rsidR="00944AEF" w:rsidRPr="004F3AB8" w:rsidRDefault="00944AEF" w:rsidP="00944AEF">
      <w:pPr>
        <w:jc w:val="center"/>
      </w:pPr>
      <w:r w:rsidRPr="004F3AB8">
        <w:t>SERBIE</w:t>
      </w:r>
    </w:p>
    <w:p w:rsidR="002456C6" w:rsidRPr="00D61FC4" w:rsidRDefault="002456C6" w:rsidP="002456C6">
      <w:pPr>
        <w:jc w:val="center"/>
      </w:pPr>
      <w:r w:rsidRPr="00D61FC4">
        <w:t>(septembre 2014 – septembre 2015)</w:t>
      </w:r>
    </w:p>
    <w:p w:rsidR="002456C6" w:rsidRPr="00D61FC4" w:rsidRDefault="002456C6" w:rsidP="002456C6">
      <w:pPr>
        <w:rPr>
          <w:rFonts w:cs="Arial"/>
        </w:rPr>
      </w:pPr>
    </w:p>
    <w:p w:rsidR="002456C6" w:rsidRPr="00D61FC4" w:rsidRDefault="002456C6" w:rsidP="002456C6">
      <w:pPr>
        <w:rPr>
          <w:rFonts w:cs="Arial"/>
        </w:rPr>
      </w:pPr>
    </w:p>
    <w:p w:rsidR="002456C6" w:rsidRPr="00D61FC4" w:rsidRDefault="002456C6" w:rsidP="002456C6">
      <w:r w:rsidRPr="00D61FC4">
        <w:t>I.</w:t>
      </w:r>
      <w:r w:rsidRPr="00D61FC4">
        <w:tab/>
        <w:t>PROTECTION DES OBTENTIONS VÉGÉTALES</w:t>
      </w:r>
    </w:p>
    <w:p w:rsidR="002456C6" w:rsidRPr="00D61FC4" w:rsidRDefault="002456C6" w:rsidP="002456C6">
      <w:pPr>
        <w:rPr>
          <w:rFonts w:cs="Arial"/>
        </w:rPr>
      </w:pPr>
    </w:p>
    <w:p w:rsidR="002456C6" w:rsidRPr="00D61FC4" w:rsidRDefault="002456C6" w:rsidP="002456C6">
      <w:pPr>
        <w:rPr>
          <w:rFonts w:cs="Arial"/>
        </w:rPr>
      </w:pPr>
      <w:r w:rsidRPr="00D61FC4">
        <w:rPr>
          <w:rFonts w:cs="Arial"/>
        </w:rPr>
        <w:t>1.</w:t>
      </w:r>
      <w:r w:rsidRPr="00D61FC4">
        <w:rPr>
          <w:rFonts w:cs="Arial"/>
        </w:rPr>
        <w:tab/>
      </w:r>
      <w:r w:rsidRPr="00D61FC4">
        <w:rPr>
          <w:rFonts w:cs="Arial"/>
          <w:u w:val="single"/>
        </w:rPr>
        <w:t>Situation dans le domaine législatif</w:t>
      </w:r>
    </w:p>
    <w:p w:rsidR="002456C6" w:rsidRPr="00D61FC4" w:rsidRDefault="002456C6" w:rsidP="002456C6">
      <w:pPr>
        <w:rPr>
          <w:rFonts w:cs="Arial"/>
        </w:rPr>
      </w:pPr>
    </w:p>
    <w:p w:rsidR="002456C6" w:rsidRPr="00D61FC4" w:rsidRDefault="002456C6" w:rsidP="002456C6">
      <w:pPr>
        <w:rPr>
          <w:rFonts w:cs="Arial"/>
        </w:rPr>
      </w:pPr>
      <w:r w:rsidRPr="00D61FC4">
        <w:rPr>
          <w:rFonts w:cs="Arial"/>
        </w:rPr>
        <w:t>En vertu de la législation nationale en vigueur sur la protection des droits d’obtenteur, la protection s’applique à tous les genres et espèces (“Gazette officielle de la RS”, n</w:t>
      </w:r>
      <w:r w:rsidRPr="00D61FC4">
        <w:rPr>
          <w:rFonts w:cs="Arial"/>
          <w:vertAlign w:val="superscript"/>
        </w:rPr>
        <w:t>os</w:t>
      </w:r>
      <w:r w:rsidRPr="00D61FC4">
        <w:rPr>
          <w:rFonts w:cs="Arial"/>
        </w:rPr>
        <w:t xml:space="preserve"> 41/09 et 88/11).</w:t>
      </w:r>
    </w:p>
    <w:p w:rsidR="002456C6" w:rsidRPr="00D61FC4" w:rsidRDefault="002456C6" w:rsidP="002456C6"/>
    <w:p w:rsidR="002456C6" w:rsidRPr="00D61FC4" w:rsidRDefault="002456C6" w:rsidP="002456C6"/>
    <w:p w:rsidR="002456C6" w:rsidRPr="00D61FC4" w:rsidRDefault="002456C6" w:rsidP="002456C6">
      <w:pPr>
        <w:rPr>
          <w:rFonts w:cs="Arial"/>
          <w:u w:val="single"/>
        </w:rPr>
      </w:pPr>
      <w:r w:rsidRPr="00D61FC4">
        <w:rPr>
          <w:rFonts w:cs="Arial"/>
        </w:rPr>
        <w:t>2.</w:t>
      </w:r>
      <w:r w:rsidRPr="00D61FC4">
        <w:rPr>
          <w:rFonts w:cs="Arial"/>
        </w:rPr>
        <w:tab/>
      </w:r>
      <w:r w:rsidRPr="00D61FC4">
        <w:rPr>
          <w:rFonts w:cs="Arial"/>
          <w:u w:val="single"/>
        </w:rPr>
        <w:t>Situation dans le domaine administratif</w:t>
      </w:r>
    </w:p>
    <w:p w:rsidR="002456C6" w:rsidRPr="00D61FC4" w:rsidRDefault="002456C6" w:rsidP="002456C6">
      <w:pPr>
        <w:rPr>
          <w:rFonts w:cs="Arial"/>
        </w:rPr>
      </w:pPr>
    </w:p>
    <w:p w:rsidR="002456C6" w:rsidRPr="002456C6" w:rsidRDefault="002456C6" w:rsidP="002456C6">
      <w:r w:rsidRPr="002456C6">
        <w:t>La Direction de la protection des obtentions végétales (PPD) du Ministère de l’agriculture et de la protection de l’environnement (MAEP) est le service désigné pour la protection du droit d’obtenteur en République de Serbie.  En sa qualité de service administratif du MAEP, la Direction de la protection des obtentions végétales (PPD) remplit des tâches liées notamment à la protection des plantes contre les organismes nuisibles, à l’autorisation et au contrôle des produits de protection et de nutrition des plantes, au contrôle de l’utilisation des produits de protection des plantes, à l’enregistrement des variétés végétales, à la protection des droits d’obtenteur, à la sécurité biologique (organismes génétiquement modifiés) et aux inspections phytosanitaires.  Au sein de la direction, le Groupe chargé de la protection des obtentions végétales et de la prévention des risques biotechnologiques applique les procédures administratives liées aux dispositions de la loi sur la protection des droits d’obtenteur et à l’octroi des droits d’obtenteur, tâches qui sont aussi en rapport avec les OGM.</w:t>
      </w:r>
    </w:p>
    <w:p w:rsidR="002456C6" w:rsidRPr="00D61FC4" w:rsidRDefault="002456C6" w:rsidP="002456C6">
      <w:pPr>
        <w:rPr>
          <w:rFonts w:cs="Arial"/>
        </w:rPr>
      </w:pPr>
    </w:p>
    <w:p w:rsidR="002456C6" w:rsidRPr="00D61FC4" w:rsidRDefault="002456C6" w:rsidP="002456C6">
      <w:pPr>
        <w:rPr>
          <w:rFonts w:cs="Arial"/>
        </w:rPr>
      </w:pPr>
    </w:p>
    <w:p w:rsidR="002456C6" w:rsidRPr="00D61FC4" w:rsidRDefault="002456C6" w:rsidP="002456C6">
      <w:pPr>
        <w:rPr>
          <w:rFonts w:cs="Arial"/>
          <w:u w:val="single"/>
        </w:rPr>
      </w:pPr>
      <w:r w:rsidRPr="00D61FC4">
        <w:rPr>
          <w:rFonts w:cs="Arial"/>
        </w:rPr>
        <w:t>3.</w:t>
      </w:r>
      <w:r w:rsidRPr="00D61FC4">
        <w:rPr>
          <w:rFonts w:cs="Arial"/>
        </w:rPr>
        <w:tab/>
      </w:r>
      <w:r w:rsidRPr="00D61FC4">
        <w:rPr>
          <w:rFonts w:cs="Arial"/>
          <w:u w:val="single"/>
        </w:rPr>
        <w:t>Situation dans le domaine technique</w:t>
      </w:r>
    </w:p>
    <w:p w:rsidR="002456C6" w:rsidRPr="00D61FC4" w:rsidRDefault="002456C6" w:rsidP="002456C6">
      <w:pPr>
        <w:rPr>
          <w:rFonts w:cs="Arial"/>
        </w:rPr>
      </w:pPr>
    </w:p>
    <w:p w:rsidR="002456C6" w:rsidRPr="00D61FC4" w:rsidRDefault="002456C6" w:rsidP="002456C6">
      <w:r w:rsidRPr="00D61FC4">
        <w:t>En vertu de la loi sur la protection des droits d’obtenteur et sur la base des résultats de l’examen de variétés et des propositions de l’organe spécial de la Direction de la protection des obtentions végétales (PPD) du Ministère de l’agriculture et de la protection de l’environnement (MAEP), à savoir le Conseil d’experts pour la protection du droit d’obtenteur, le droit d’obtenteur a été octroyé pour 41 variétés entre septembre 2014 et septembre 2015.</w:t>
      </w:r>
    </w:p>
    <w:p w:rsidR="002456C6" w:rsidRPr="00D61FC4" w:rsidRDefault="002456C6" w:rsidP="002456C6"/>
    <w:p w:rsidR="002456C6" w:rsidRPr="00D61FC4" w:rsidRDefault="002456C6" w:rsidP="002456C6">
      <w:pPr>
        <w:rPr>
          <w:rFonts w:cs="Arial"/>
        </w:rPr>
      </w:pPr>
    </w:p>
    <w:p w:rsidR="002456C6" w:rsidRPr="00D61FC4" w:rsidRDefault="002456C6" w:rsidP="002456C6">
      <w:pPr>
        <w:rPr>
          <w:rFonts w:cs="Arial"/>
          <w:u w:val="single"/>
        </w:rPr>
      </w:pPr>
      <w:r w:rsidRPr="00D61FC4">
        <w:rPr>
          <w:rFonts w:cs="Arial"/>
        </w:rPr>
        <w:t>4.</w:t>
      </w:r>
      <w:r w:rsidRPr="00D61FC4">
        <w:rPr>
          <w:rFonts w:cs="Arial"/>
        </w:rPr>
        <w:tab/>
      </w:r>
      <w:r w:rsidRPr="00D61FC4">
        <w:rPr>
          <w:rFonts w:cs="Arial"/>
          <w:u w:val="single"/>
        </w:rPr>
        <w:t>Activités de promotion de la protection des obtentions végétales</w:t>
      </w:r>
    </w:p>
    <w:p w:rsidR="002456C6" w:rsidRPr="00D61FC4" w:rsidRDefault="002456C6" w:rsidP="002456C6">
      <w:pPr>
        <w:rPr>
          <w:rFonts w:cs="Arial"/>
        </w:rPr>
      </w:pPr>
    </w:p>
    <w:p w:rsidR="002456C6" w:rsidRPr="00D61FC4" w:rsidRDefault="002456C6" w:rsidP="002456C6">
      <w:r w:rsidRPr="00D61FC4">
        <w:t xml:space="preserve">Dans le cadre du Programme </w:t>
      </w:r>
      <w:proofErr w:type="spellStart"/>
      <w:r w:rsidRPr="00D61FC4">
        <w:t>multibénéficiaire</w:t>
      </w:r>
      <w:proofErr w:type="spellEnd"/>
      <w:r w:rsidRPr="00D61FC4">
        <w:t xml:space="preserve"> de l’Office communautaire des variétés végétales (OCVV) et en vue d’un alignement du système serbe de protection des droits d’obtenteurs sur le système communautaire de protection des droits d’obtenteur et les procédures administratives applicables en matière de protection des variétés végétales au sein de l’Union européenne, des experts de la Serbie ont participé à plusieurs réunions annuelles d’experts organisées par l’OCVV à l’intention des services d’examen au siège de l’OCVV à Angers (France) (plantes ornementales les 2</w:t>
      </w:r>
      <w:r w:rsidRPr="00D61FC4">
        <w:rPr>
          <w:bCs/>
        </w:rPr>
        <w:t xml:space="preserve">3 et 24 septembre 2014;  plantes fruitières du </w:t>
      </w:r>
      <w:r w:rsidRPr="00D61FC4">
        <w:t>30 septembre au 1</w:t>
      </w:r>
      <w:r w:rsidRPr="00D61FC4">
        <w:rPr>
          <w:vertAlign w:val="superscript"/>
        </w:rPr>
        <w:t>er</w:t>
      </w:r>
      <w:r w:rsidRPr="00D61FC4">
        <w:t xml:space="preserve"> octobre 2014;  plantes agricoles les </w:t>
      </w:r>
      <w:r w:rsidRPr="00D61FC4">
        <w:rPr>
          <w:bCs/>
        </w:rPr>
        <w:t>7 et 8 octobre 2014;  et plantes potagères du 21 au 23 octobre 2014</w:t>
      </w:r>
      <w:r w:rsidRPr="00D61FC4">
        <w:t>).</w:t>
      </w:r>
    </w:p>
    <w:p w:rsidR="002456C6" w:rsidRPr="00D61FC4" w:rsidRDefault="002456C6" w:rsidP="002456C6">
      <w:pPr>
        <w:rPr>
          <w:rFonts w:cs="Arial"/>
        </w:rPr>
      </w:pPr>
    </w:p>
    <w:p w:rsidR="002456C6" w:rsidRPr="00D61FC4" w:rsidRDefault="002456C6" w:rsidP="002456C6">
      <w:r w:rsidRPr="00D61FC4">
        <w:t xml:space="preserve">Un représentant de la Direction de la protection des obtentions végétales (PPD) du Ministère de l’agriculture et de la protection de l’environnement (MAEP) a suivi la formation intitulée “Plant </w:t>
      </w:r>
      <w:proofErr w:type="spellStart"/>
      <w:r w:rsidRPr="00D61FC4">
        <w:t>Variety</w:t>
      </w:r>
      <w:proofErr w:type="spellEnd"/>
      <w:r w:rsidRPr="00D61FC4">
        <w:t xml:space="preserve"> Protection Under the UPOV Convention” organisée par l’Union internationale pour la protection des obtentions végétales (UPOV) en collaboration avec l’Office des brevets et des marques des États</w:t>
      </w:r>
      <w:r w:rsidRPr="00D61FC4">
        <w:noBreakHyphen/>
        <w:t xml:space="preserve">Unis d’Amérique (USPTO), dans le but de fournir une formation à des personnes (des “formateurs”) qui seront chargées de former d’autres personnes concernant la protection des obtentions végétales selon la Convention UPOV.  La formation UPOV/USPTO s’est déroulée au siège de l’OMPI/UPOV à Genève (Suisse), du </w:t>
      </w:r>
      <w:r w:rsidRPr="00D61FC4">
        <w:rPr>
          <w:bCs/>
        </w:rPr>
        <w:t>4 au 8 mai 2015</w:t>
      </w:r>
      <w:r w:rsidRPr="00D61FC4">
        <w:t>.</w:t>
      </w:r>
    </w:p>
    <w:p w:rsidR="002456C6" w:rsidRPr="00D61FC4" w:rsidRDefault="002456C6" w:rsidP="002456C6"/>
    <w:p w:rsidR="002456C6" w:rsidRPr="00D61FC4" w:rsidRDefault="002456C6" w:rsidP="002456C6">
      <w:r w:rsidRPr="00D61FC4">
        <w:t>Des ateliers et des séminaires consacrés à la protection des obtentions végétales ont été organisés en Serbie dans le but d’apporter des informations aux obtenteurs, aux producteurs de semences et de matériel de reproduction ou de multiplication, aux représentants des entreprises semencières et à d’autres parties prenantes sur des sujets liés aux aspects législatifs, administratifs et techniques de la protection des droits d’obtenteurs.</w:t>
      </w:r>
    </w:p>
    <w:p w:rsidR="002456C6" w:rsidRPr="00D61FC4" w:rsidRDefault="002456C6" w:rsidP="002456C6"/>
    <w:p w:rsidR="002456C6" w:rsidRPr="00D61FC4" w:rsidRDefault="002456C6" w:rsidP="002456C6">
      <w:pPr>
        <w:rPr>
          <w:rFonts w:cs="Arial"/>
        </w:rPr>
      </w:pPr>
      <w:r w:rsidRPr="00D61FC4">
        <w:t xml:space="preserve">Ainsi, le séminaire sur les possibilités de développement de la production semencière dans la République de Serbie a été organisé par la </w:t>
      </w:r>
      <w:proofErr w:type="spellStart"/>
      <w:r w:rsidRPr="002456C6">
        <w:rPr>
          <w:i/>
        </w:rPr>
        <w:t>Seed</w:t>
      </w:r>
      <w:proofErr w:type="spellEnd"/>
      <w:r w:rsidRPr="002456C6">
        <w:rPr>
          <w:i/>
        </w:rPr>
        <w:t xml:space="preserve"> Association of </w:t>
      </w:r>
      <w:proofErr w:type="spellStart"/>
      <w:r w:rsidRPr="002456C6">
        <w:rPr>
          <w:i/>
        </w:rPr>
        <w:t>Serbia</w:t>
      </w:r>
      <w:proofErr w:type="spellEnd"/>
      <w:r w:rsidRPr="00D61FC4">
        <w:t xml:space="preserve"> et la Direction de la protection des obtentions végétales (PPD) du Ministère de l’agriculture et de la protection de l’environnement (MAEP), dans le cadre du 82</w:t>
      </w:r>
      <w:r w:rsidRPr="00D61FC4">
        <w:rPr>
          <w:vertAlign w:val="superscript"/>
        </w:rPr>
        <w:t>e</w:t>
      </w:r>
      <w:r w:rsidRPr="00D61FC4">
        <w:t xml:space="preserve"> Salon international de l’agriculture de </w:t>
      </w:r>
      <w:proofErr w:type="spellStart"/>
      <w:r w:rsidRPr="00D61FC4">
        <w:t>Novi</w:t>
      </w:r>
      <w:proofErr w:type="spellEnd"/>
      <w:r w:rsidRPr="00D61FC4">
        <w:t xml:space="preserve"> </w:t>
      </w:r>
      <w:proofErr w:type="spellStart"/>
      <w:r w:rsidRPr="00D61FC4">
        <w:t>Sad</w:t>
      </w:r>
      <w:proofErr w:type="spellEnd"/>
      <w:r w:rsidRPr="00D61FC4">
        <w:t>, le 13 mai 2015.</w:t>
      </w:r>
    </w:p>
    <w:p w:rsidR="002456C6" w:rsidRPr="00D61FC4" w:rsidRDefault="002456C6" w:rsidP="002456C6">
      <w:pPr>
        <w:rPr>
          <w:rFonts w:cs="Arial"/>
        </w:rPr>
      </w:pPr>
    </w:p>
    <w:p w:rsidR="002456C6" w:rsidRPr="00D61FC4" w:rsidRDefault="002456C6" w:rsidP="002456C6">
      <w:pPr>
        <w:rPr>
          <w:rFonts w:cs="Arial"/>
        </w:rPr>
      </w:pPr>
      <w:r w:rsidRPr="00D61FC4">
        <w:rPr>
          <w:rFonts w:cs="Arial"/>
        </w:rPr>
        <w:t>La huitième conférence sur la sélection végétale et la science des semences a été organisée par la Société des obtenteurs et producteurs de semences de la République de Serbie et la chambre de commerce de Serbie, à Belgrade le 28 mai 2015.</w:t>
      </w:r>
    </w:p>
    <w:p w:rsidR="002456C6" w:rsidRPr="00D61FC4" w:rsidRDefault="002456C6" w:rsidP="002456C6">
      <w:pPr>
        <w:rPr>
          <w:rFonts w:cs="Arial"/>
        </w:rPr>
      </w:pPr>
    </w:p>
    <w:p w:rsidR="002456C6" w:rsidRPr="00D61FC4" w:rsidRDefault="002456C6" w:rsidP="002456C6">
      <w:pPr>
        <w:rPr>
          <w:rFonts w:cs="Arial"/>
        </w:rPr>
      </w:pPr>
      <w:r w:rsidRPr="00D61FC4">
        <w:rPr>
          <w:rFonts w:cs="Arial"/>
        </w:rPr>
        <w:t>Un représentant de la Direction de la protection des obtentions végétales (PPD) du Ministère de l’agriculture et de la protection de l’environnement (MAEP) a suivi avec succès le cours à distance de l’UPOV DL</w:t>
      </w:r>
      <w:r w:rsidRPr="00D61FC4">
        <w:rPr>
          <w:rFonts w:cs="Arial"/>
        </w:rPr>
        <w:noBreakHyphen/>
        <w:t>305, organisé en collaboration avec l’Académie de l’OMPI :</w:t>
      </w:r>
    </w:p>
    <w:p w:rsidR="002456C6" w:rsidRPr="00D61FC4" w:rsidRDefault="002456C6" w:rsidP="002456C6">
      <w:pPr>
        <w:rPr>
          <w:rFonts w:cs="Arial"/>
          <w:bCs/>
          <w:iCs/>
        </w:rPr>
      </w:pPr>
    </w:p>
    <w:p w:rsidR="002456C6" w:rsidRPr="00D61FC4" w:rsidRDefault="002456C6" w:rsidP="00BD634F">
      <w:pPr>
        <w:pStyle w:val="ListParagraph"/>
        <w:numPr>
          <w:ilvl w:val="0"/>
          <w:numId w:val="8"/>
        </w:numPr>
        <w:ind w:left="1134" w:hanging="567"/>
        <w:rPr>
          <w:rFonts w:cs="Arial"/>
        </w:rPr>
      </w:pPr>
      <w:r w:rsidRPr="00D61FC4">
        <w:rPr>
          <w:rFonts w:cs="Arial"/>
          <w:bCs/>
          <w:iCs/>
        </w:rPr>
        <w:t>administration des droits d’obtenteur (première partie du cours DL</w:t>
      </w:r>
      <w:r w:rsidRPr="00D61FC4">
        <w:rPr>
          <w:rFonts w:cs="Arial"/>
          <w:bCs/>
          <w:iCs/>
        </w:rPr>
        <w:noBreakHyphen/>
        <w:t>305 : Examen des demandes de droits d’obtenteur), du 1</w:t>
      </w:r>
      <w:r w:rsidRPr="00D61FC4">
        <w:rPr>
          <w:rFonts w:cs="Arial"/>
        </w:rPr>
        <w:t>6 février au 22 mars 2015);</w:t>
      </w:r>
    </w:p>
    <w:p w:rsidR="002456C6" w:rsidRPr="00D61FC4" w:rsidRDefault="002456C6" w:rsidP="002456C6">
      <w:pPr>
        <w:rPr>
          <w:rFonts w:cs="Arial"/>
          <w:bCs/>
          <w:iCs/>
        </w:rPr>
      </w:pPr>
    </w:p>
    <w:p w:rsidR="002456C6" w:rsidRPr="00D61FC4" w:rsidRDefault="002456C6" w:rsidP="00BD634F">
      <w:pPr>
        <w:pStyle w:val="ListParagraph"/>
        <w:numPr>
          <w:ilvl w:val="0"/>
          <w:numId w:val="8"/>
        </w:numPr>
        <w:ind w:left="1134" w:hanging="567"/>
        <w:rPr>
          <w:rFonts w:cs="Arial"/>
        </w:rPr>
      </w:pPr>
      <w:r w:rsidRPr="00D61FC4">
        <w:rPr>
          <w:rFonts w:cs="Arial"/>
          <w:bCs/>
          <w:iCs/>
        </w:rPr>
        <w:t>examen DHS (deuxième partie du cours DL</w:t>
      </w:r>
      <w:r w:rsidRPr="00D61FC4">
        <w:rPr>
          <w:rFonts w:cs="Arial"/>
          <w:bCs/>
          <w:iCs/>
        </w:rPr>
        <w:noBreakHyphen/>
        <w:t xml:space="preserve">305 : Examen des demandes de droits d’obtenteur), du </w:t>
      </w:r>
      <w:r w:rsidRPr="00D61FC4">
        <w:rPr>
          <w:rFonts w:cs="Arial"/>
        </w:rPr>
        <w:t xml:space="preserve">20 avril </w:t>
      </w:r>
      <w:r w:rsidRPr="00D61FC4">
        <w:rPr>
          <w:rFonts w:cs="Arial"/>
          <w:bCs/>
          <w:iCs/>
        </w:rPr>
        <w:t>au</w:t>
      </w:r>
      <w:r w:rsidRPr="00D61FC4">
        <w:rPr>
          <w:rFonts w:cs="Arial"/>
        </w:rPr>
        <w:t xml:space="preserve"> 24 mai 2015).</w:t>
      </w:r>
    </w:p>
    <w:p w:rsidR="002456C6" w:rsidRPr="00D61FC4" w:rsidRDefault="002456C6" w:rsidP="002456C6">
      <w:pPr>
        <w:rPr>
          <w:rFonts w:cs="Arial"/>
        </w:rPr>
      </w:pPr>
    </w:p>
    <w:p w:rsidR="002456C6" w:rsidRPr="00D61FC4" w:rsidRDefault="002456C6" w:rsidP="002456C6">
      <w:pPr>
        <w:rPr>
          <w:rFonts w:cs="Arial"/>
        </w:rPr>
      </w:pPr>
      <w:r w:rsidRPr="00D61FC4">
        <w:rPr>
          <w:rFonts w:cs="Arial"/>
        </w:rPr>
        <w:t>Dans le cadre du processus d’intégration de la République de Serbie à l’Union européenne, des représentants de la Direction de la protection des obtentions végétales (PPD) du Ministère de l’agriculture et de la protection de l’environnement (MAEP) ont participé à l’examen analytique bilatéral du chapitre 12 sur les politiques vétérinaire, phytosanitaire et de la sécurité alimentaire, du 20 au 24 octobre 2014, à la Direction générale Santé et sécurité alimentaire de la Commission européenne (DG SANCO) à Bruxelles (Belgique).</w:t>
      </w:r>
    </w:p>
    <w:p w:rsidR="002456C6" w:rsidRPr="00D61FC4" w:rsidRDefault="002456C6" w:rsidP="002456C6">
      <w:pPr>
        <w:rPr>
          <w:rFonts w:cs="Arial"/>
        </w:rPr>
      </w:pPr>
    </w:p>
    <w:p w:rsidR="002456C6" w:rsidRPr="00D61FC4" w:rsidRDefault="002456C6" w:rsidP="002456C6">
      <w:pPr>
        <w:rPr>
          <w:rFonts w:cs="Arial"/>
        </w:rPr>
      </w:pPr>
    </w:p>
    <w:p w:rsidR="002456C6" w:rsidRPr="002456C6" w:rsidRDefault="002456C6" w:rsidP="002456C6">
      <w:pPr>
        <w:rPr>
          <w:rFonts w:cs="Arial"/>
        </w:rPr>
      </w:pPr>
      <w:r w:rsidRPr="002456C6">
        <w:rPr>
          <w:rFonts w:cs="Arial"/>
        </w:rPr>
        <w:t>II.</w:t>
      </w:r>
      <w:r w:rsidRPr="002456C6">
        <w:rPr>
          <w:rFonts w:cs="Arial"/>
        </w:rPr>
        <w:tab/>
        <w:t>AUTRES ÉLÉMENTS NOUVEAUX PRÉSENTANT UN INTÉRÊT POUR L’UPOV</w:t>
      </w:r>
    </w:p>
    <w:p w:rsidR="002456C6" w:rsidRPr="00D61FC4" w:rsidRDefault="002456C6" w:rsidP="002456C6">
      <w:pPr>
        <w:rPr>
          <w:rFonts w:cs="Arial"/>
        </w:rPr>
      </w:pPr>
    </w:p>
    <w:p w:rsidR="002456C6" w:rsidRPr="00D61FC4" w:rsidRDefault="002456C6" w:rsidP="002456C6">
      <w:pPr>
        <w:rPr>
          <w:rFonts w:cs="Arial"/>
        </w:rPr>
      </w:pPr>
      <w:r w:rsidRPr="00D61FC4">
        <w:rPr>
          <w:rFonts w:cs="Arial"/>
        </w:rPr>
        <w:t>Les informations sur les droits d’obtenteur, le registre des demandes de protection du droit d’obtenteur, le registre des variétés végétales protégées et l’enregistrement des obtentions végétales dans le Catalogue national de la République de Serbie (la liste nationale) sont disponibles sur les pages Internet de la Direction de la protection des obtentions végétales (PPD) du Ministère de l’agriculture et de la protection de l’environnement (MAEP) :</w:t>
      </w:r>
    </w:p>
    <w:p w:rsidR="002456C6" w:rsidRPr="00D61FC4" w:rsidRDefault="00D447DD" w:rsidP="002456C6">
      <w:pPr>
        <w:rPr>
          <w:rFonts w:cs="Arial"/>
        </w:rPr>
      </w:pPr>
      <w:hyperlink r:id="rId34" w:history="1">
        <w:r w:rsidR="002456C6" w:rsidRPr="00D61FC4">
          <w:rPr>
            <w:rStyle w:val="Hyperlink"/>
            <w:rFonts w:cs="Arial"/>
          </w:rPr>
          <w:t>www.uzb.minpolj.gov.rs/index.php?lang=en</w:t>
        </w:r>
      </w:hyperlink>
    </w:p>
    <w:p w:rsidR="002456C6" w:rsidRPr="00D61FC4" w:rsidRDefault="00D447DD" w:rsidP="002456C6">
      <w:pPr>
        <w:rPr>
          <w:rFonts w:cs="Arial"/>
        </w:rPr>
      </w:pPr>
      <w:hyperlink r:id="rId35" w:history="1">
        <w:r w:rsidR="002456C6" w:rsidRPr="00D61FC4">
          <w:rPr>
            <w:rStyle w:val="Hyperlink"/>
            <w:rFonts w:cs="Arial"/>
          </w:rPr>
          <w:t>www.uzb.minpolj.gov.rs/index.php?option=com_content&amp;view=article&amp;id=61&amp;Itemid=14&amp;lang=en</w:t>
        </w:r>
      </w:hyperlink>
    </w:p>
    <w:p w:rsidR="002456C6" w:rsidRPr="00D61FC4" w:rsidRDefault="002456C6" w:rsidP="002456C6"/>
    <w:p w:rsidR="00944AEF" w:rsidRDefault="00944AEF" w:rsidP="00944AEF">
      <w:pPr>
        <w:rPr>
          <w:rFonts w:cs="Arial"/>
        </w:rPr>
      </w:pPr>
    </w:p>
    <w:p w:rsidR="002456C6" w:rsidRPr="004F3AB8" w:rsidRDefault="002456C6" w:rsidP="00944AEF">
      <w:pPr>
        <w:rPr>
          <w:rFonts w:cs="Arial"/>
        </w:rPr>
      </w:pPr>
    </w:p>
    <w:p w:rsidR="00944AEF" w:rsidRPr="004F3AB8" w:rsidRDefault="00944AEF" w:rsidP="00944AEF">
      <w:pPr>
        <w:jc w:val="right"/>
      </w:pPr>
      <w:r w:rsidRPr="004F3AB8">
        <w:t>[L’annexe XV suit]</w:t>
      </w:r>
    </w:p>
    <w:p w:rsidR="00944AEF" w:rsidRPr="004F3AB8" w:rsidRDefault="00944AEF" w:rsidP="00944AEF">
      <w:pPr>
        <w:jc w:val="left"/>
      </w:pPr>
    </w:p>
    <w:p w:rsidR="00944AEF" w:rsidRPr="004F3AB8" w:rsidRDefault="00944AEF" w:rsidP="00944AEF">
      <w:pPr>
        <w:jc w:val="left"/>
        <w:sectPr w:rsidR="00944AEF" w:rsidRPr="004F3AB8" w:rsidSect="004F3AB8">
          <w:headerReference w:type="default" r:id="rId36"/>
          <w:pgSz w:w="11907" w:h="16840" w:code="9"/>
          <w:pgMar w:top="510" w:right="1134" w:bottom="1134" w:left="1134" w:header="510" w:footer="680" w:gutter="0"/>
          <w:pgNumType w:start="1"/>
          <w:cols w:space="720"/>
          <w:titlePg/>
        </w:sectPr>
      </w:pPr>
    </w:p>
    <w:p w:rsidR="00944AEF" w:rsidRPr="004F3AB8" w:rsidRDefault="00944AEF" w:rsidP="00944AEF">
      <w:pPr>
        <w:jc w:val="center"/>
      </w:pPr>
      <w:r w:rsidRPr="004F3AB8">
        <w:t>C/49/15</w:t>
      </w:r>
    </w:p>
    <w:p w:rsidR="00944AEF" w:rsidRPr="004F3AB8" w:rsidRDefault="00944AEF" w:rsidP="00944AEF">
      <w:pPr>
        <w:jc w:val="center"/>
      </w:pPr>
    </w:p>
    <w:p w:rsidR="00944AEF" w:rsidRPr="004F3AB8" w:rsidRDefault="00944AEF" w:rsidP="00944AEF">
      <w:pPr>
        <w:jc w:val="center"/>
      </w:pPr>
      <w:r w:rsidRPr="004F3AB8">
        <w:t>ANNEXE XV</w:t>
      </w:r>
    </w:p>
    <w:p w:rsidR="00944AEF" w:rsidRPr="004F3AB8" w:rsidRDefault="00944AEF" w:rsidP="00944AEF">
      <w:pPr>
        <w:jc w:val="center"/>
      </w:pPr>
    </w:p>
    <w:p w:rsidR="00944AEF" w:rsidRPr="004F3AB8" w:rsidRDefault="00944AEF" w:rsidP="00944AEF">
      <w:pPr>
        <w:jc w:val="center"/>
      </w:pPr>
    </w:p>
    <w:p w:rsidR="00944AEF" w:rsidRPr="004F3AB8" w:rsidRDefault="00944AEF" w:rsidP="00944AEF">
      <w:pPr>
        <w:jc w:val="center"/>
      </w:pPr>
      <w:r w:rsidRPr="004F3AB8">
        <w:t>SUISSE</w:t>
      </w:r>
    </w:p>
    <w:p w:rsidR="00944AEF" w:rsidRPr="004F3AB8" w:rsidRDefault="00944AEF" w:rsidP="00944AEF"/>
    <w:p w:rsidR="00944AEF" w:rsidRPr="004F3AB8" w:rsidRDefault="00944AEF" w:rsidP="00944AEF"/>
    <w:p w:rsidR="00435FF1" w:rsidRPr="004F3AB8" w:rsidRDefault="00435FF1" w:rsidP="00435FF1">
      <w:r w:rsidRPr="004F3AB8">
        <w:t>I.</w:t>
      </w:r>
      <w:r w:rsidRPr="004F3AB8">
        <w:tab/>
        <w:t>PROTECTION DES OBTENTIONS VÉGÉTALES</w:t>
      </w:r>
    </w:p>
    <w:p w:rsidR="00435FF1" w:rsidRPr="00245BB7" w:rsidRDefault="00435FF1" w:rsidP="00435FF1"/>
    <w:p w:rsidR="00435FF1" w:rsidRPr="004F3AB8" w:rsidRDefault="00435FF1" w:rsidP="00435FF1">
      <w:pPr>
        <w:rPr>
          <w:u w:val="single"/>
        </w:rPr>
      </w:pPr>
      <w:r w:rsidRPr="004F3AB8">
        <w:t>1.</w:t>
      </w:r>
      <w:r w:rsidRPr="004F3AB8">
        <w:tab/>
      </w:r>
      <w:r w:rsidRPr="004F3AB8">
        <w:rPr>
          <w:u w:val="single"/>
        </w:rPr>
        <w:t>Situation dans le domaine législatif</w:t>
      </w:r>
    </w:p>
    <w:p w:rsidR="00435FF1" w:rsidRPr="004F3AB8" w:rsidRDefault="00435FF1" w:rsidP="00435FF1"/>
    <w:p w:rsidR="00435FF1" w:rsidRPr="004F3AB8" w:rsidRDefault="00435FF1" w:rsidP="00435FF1">
      <w:r w:rsidRPr="004F3AB8">
        <w:t>1.1</w:t>
      </w:r>
      <w:r w:rsidRPr="004F3AB8">
        <w:tab/>
        <w:t>Modifications de la loi et des textes d’application</w:t>
      </w:r>
    </w:p>
    <w:p w:rsidR="00435FF1" w:rsidRPr="004F3AB8" w:rsidRDefault="00435FF1" w:rsidP="00435FF1"/>
    <w:p w:rsidR="00435FF1" w:rsidRPr="004F3AB8" w:rsidRDefault="00435FF1" w:rsidP="00435FF1">
      <w:r w:rsidRPr="004F3AB8">
        <w:t>Aucune modification n’a été apportée à la législation sur la protection des obtentions végétales au cours de l’année écoulée.</w:t>
      </w:r>
    </w:p>
    <w:p w:rsidR="00435FF1" w:rsidRPr="004F3AB8" w:rsidRDefault="00435FF1" w:rsidP="00435FF1"/>
    <w:p w:rsidR="00435FF1" w:rsidRPr="004F3AB8" w:rsidRDefault="00435FF1" w:rsidP="00435FF1">
      <w:r w:rsidRPr="004F3AB8">
        <w:t>1.2</w:t>
      </w:r>
      <w:r w:rsidRPr="004F3AB8">
        <w:tab/>
        <w:t>Extension de la protection à d’autres genres et espèces</w:t>
      </w:r>
    </w:p>
    <w:p w:rsidR="00435FF1" w:rsidRPr="004F3AB8" w:rsidRDefault="00435FF1" w:rsidP="00435FF1"/>
    <w:p w:rsidR="00435FF1" w:rsidRPr="004F3AB8" w:rsidRDefault="00435FF1" w:rsidP="00435FF1">
      <w:r w:rsidRPr="004F3AB8">
        <w:t>En Suisse, les obtentions de tous les genres et espèces peuvent être protégées.</w:t>
      </w:r>
    </w:p>
    <w:p w:rsidR="00435FF1" w:rsidRPr="004F3AB8" w:rsidRDefault="00435FF1" w:rsidP="00435FF1"/>
    <w:p w:rsidR="00435FF1" w:rsidRPr="004F3AB8" w:rsidRDefault="00435FF1" w:rsidP="00435FF1">
      <w:r w:rsidRPr="004F3AB8">
        <w:t>1.3</w:t>
      </w:r>
      <w:r w:rsidRPr="004F3AB8">
        <w:tab/>
        <w:t>Jurisprudence</w:t>
      </w:r>
    </w:p>
    <w:p w:rsidR="00435FF1" w:rsidRPr="004F3AB8" w:rsidRDefault="00435FF1" w:rsidP="00435FF1"/>
    <w:p w:rsidR="00435FF1" w:rsidRPr="004F3AB8" w:rsidRDefault="00435FF1" w:rsidP="00435FF1">
      <w:r w:rsidRPr="004F3AB8">
        <w:t>À notre connaissance, aucune décision de justice n’a été rendue dans le domaine de la protection des obtentions végétales au cours de l’année écoulée.</w:t>
      </w:r>
    </w:p>
    <w:p w:rsidR="00435FF1" w:rsidRPr="004F3AB8" w:rsidRDefault="00435FF1" w:rsidP="00435FF1"/>
    <w:p w:rsidR="00435FF1" w:rsidRPr="004F3AB8" w:rsidRDefault="00435FF1" w:rsidP="00435FF1"/>
    <w:p w:rsidR="00435FF1" w:rsidRPr="004F3AB8" w:rsidRDefault="00435FF1" w:rsidP="00435FF1">
      <w:r w:rsidRPr="004F3AB8">
        <w:t>2.</w:t>
      </w:r>
      <w:r w:rsidRPr="004F3AB8">
        <w:tab/>
      </w:r>
      <w:r w:rsidRPr="004F3AB8">
        <w:rPr>
          <w:u w:val="single"/>
        </w:rPr>
        <w:t>Coopération en matière d’examen</w:t>
      </w:r>
    </w:p>
    <w:p w:rsidR="00435FF1" w:rsidRPr="004F3AB8" w:rsidRDefault="00435FF1" w:rsidP="00435FF1"/>
    <w:p w:rsidR="00435FF1" w:rsidRPr="004F3AB8" w:rsidRDefault="00435FF1" w:rsidP="00435FF1">
      <w:r w:rsidRPr="004F3AB8">
        <w:t>Pas de changement.  Aucun examen n’est effectué en Suisse.  Soit les examens sont confiés à l’étranger, soit les rapports d’examen existants sont utilisés.</w:t>
      </w:r>
    </w:p>
    <w:p w:rsidR="00435FF1" w:rsidRPr="004F3AB8" w:rsidRDefault="00435FF1" w:rsidP="00435FF1"/>
    <w:p w:rsidR="00435FF1" w:rsidRPr="004F3AB8" w:rsidRDefault="00435FF1" w:rsidP="00435FF1"/>
    <w:p w:rsidR="00435FF1" w:rsidRPr="004F3AB8" w:rsidRDefault="00435FF1" w:rsidP="00435FF1">
      <w:pPr>
        <w:rPr>
          <w:u w:val="single"/>
        </w:rPr>
      </w:pPr>
      <w:r w:rsidRPr="004F3AB8">
        <w:t>3.</w:t>
      </w:r>
      <w:r w:rsidRPr="004F3AB8">
        <w:tab/>
      </w:r>
      <w:r w:rsidRPr="004F3AB8">
        <w:rPr>
          <w:u w:val="single"/>
        </w:rPr>
        <w:t>Situation dans le domaine administratif</w:t>
      </w:r>
    </w:p>
    <w:p w:rsidR="00435FF1" w:rsidRPr="004F3AB8" w:rsidRDefault="00435FF1" w:rsidP="00435FF1"/>
    <w:p w:rsidR="00435FF1" w:rsidRPr="004F3AB8" w:rsidRDefault="00435FF1" w:rsidP="00435FF1">
      <w:r w:rsidRPr="004F3AB8">
        <w:t>Aucun élément nouveau.</w:t>
      </w:r>
    </w:p>
    <w:p w:rsidR="00435FF1" w:rsidRPr="004F3AB8" w:rsidRDefault="00435FF1" w:rsidP="00435FF1"/>
    <w:p w:rsidR="00435FF1" w:rsidRPr="004F3AB8" w:rsidRDefault="00435FF1" w:rsidP="00435FF1"/>
    <w:p w:rsidR="00435FF1" w:rsidRPr="004F3AB8" w:rsidRDefault="00435FF1" w:rsidP="00435FF1">
      <w:pPr>
        <w:rPr>
          <w:u w:val="single"/>
        </w:rPr>
      </w:pPr>
      <w:r w:rsidRPr="004F3AB8">
        <w:t>4.</w:t>
      </w:r>
      <w:r w:rsidRPr="004F3AB8">
        <w:tab/>
      </w:r>
      <w:r w:rsidRPr="004F3AB8">
        <w:rPr>
          <w:u w:val="single"/>
        </w:rPr>
        <w:t>Situation dans le domaine technique</w:t>
      </w:r>
    </w:p>
    <w:p w:rsidR="00435FF1" w:rsidRPr="004F3AB8" w:rsidRDefault="00435FF1" w:rsidP="00435FF1"/>
    <w:p w:rsidR="00435FF1" w:rsidRPr="004F3AB8" w:rsidRDefault="00435FF1" w:rsidP="00435FF1">
      <w:r w:rsidRPr="004F3AB8">
        <w:t>Rien à signaler étant donné qu’aucun examen n’est effectué en Suisse.</w:t>
      </w:r>
    </w:p>
    <w:p w:rsidR="00435FF1" w:rsidRPr="004F3AB8" w:rsidRDefault="00435FF1" w:rsidP="00435FF1"/>
    <w:p w:rsidR="00435FF1" w:rsidRPr="004F3AB8" w:rsidRDefault="00435FF1" w:rsidP="00435FF1"/>
    <w:p w:rsidR="00435FF1" w:rsidRPr="004F3AB8" w:rsidRDefault="00435FF1" w:rsidP="00435FF1">
      <w:r w:rsidRPr="004F3AB8">
        <w:t>5.</w:t>
      </w:r>
      <w:r w:rsidRPr="004F3AB8">
        <w:tab/>
      </w:r>
      <w:r w:rsidRPr="004F3AB8">
        <w:rPr>
          <w:u w:val="single"/>
        </w:rPr>
        <w:t>Activités de promotion de la protection des obtentions végétales</w:t>
      </w:r>
    </w:p>
    <w:p w:rsidR="00435FF1" w:rsidRPr="004F3AB8" w:rsidRDefault="00435FF1" w:rsidP="00435FF1"/>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66"/>
        <w:gridCol w:w="1276"/>
        <w:gridCol w:w="850"/>
        <w:gridCol w:w="1467"/>
        <w:gridCol w:w="2077"/>
        <w:gridCol w:w="1843"/>
        <w:gridCol w:w="1559"/>
      </w:tblGrid>
      <w:tr w:rsidR="00435FF1" w:rsidRPr="004F3AB8" w:rsidTr="004F3AB8">
        <w:tc>
          <w:tcPr>
            <w:tcW w:w="766" w:type="dxa"/>
            <w:tcBorders>
              <w:top w:val="single" w:sz="4" w:space="0" w:color="auto"/>
              <w:left w:val="single" w:sz="4" w:space="0" w:color="auto"/>
              <w:bottom w:val="single" w:sz="4" w:space="0" w:color="auto"/>
              <w:right w:val="single" w:sz="4" w:space="0" w:color="auto"/>
            </w:tcBorders>
            <w:hideMark/>
          </w:tcPr>
          <w:p w:rsidR="00435FF1" w:rsidRPr="004F3AB8" w:rsidRDefault="00435FF1" w:rsidP="004F3AB8">
            <w:pPr>
              <w:jc w:val="left"/>
              <w:rPr>
                <w:sz w:val="18"/>
                <w:szCs w:val="26"/>
                <w:highlight w:val="red"/>
              </w:rPr>
            </w:pPr>
            <w:r w:rsidRPr="004F3AB8">
              <w:rPr>
                <w:sz w:val="18"/>
              </w:rPr>
              <w:t>Titre de l’activité</w:t>
            </w:r>
          </w:p>
        </w:tc>
        <w:tc>
          <w:tcPr>
            <w:tcW w:w="1276" w:type="dxa"/>
            <w:tcBorders>
              <w:top w:val="single" w:sz="4" w:space="0" w:color="auto"/>
              <w:left w:val="single" w:sz="4" w:space="0" w:color="auto"/>
              <w:bottom w:val="single" w:sz="4" w:space="0" w:color="auto"/>
              <w:right w:val="single" w:sz="4" w:space="0" w:color="auto"/>
            </w:tcBorders>
            <w:hideMark/>
          </w:tcPr>
          <w:p w:rsidR="00435FF1" w:rsidRPr="004F3AB8" w:rsidRDefault="00435FF1" w:rsidP="004F3AB8">
            <w:pPr>
              <w:jc w:val="left"/>
              <w:rPr>
                <w:sz w:val="18"/>
              </w:rPr>
            </w:pPr>
            <w:r w:rsidRPr="004F3AB8">
              <w:rPr>
                <w:sz w:val="18"/>
              </w:rPr>
              <w:t>Date</w:t>
            </w:r>
          </w:p>
        </w:tc>
        <w:tc>
          <w:tcPr>
            <w:tcW w:w="850" w:type="dxa"/>
            <w:tcBorders>
              <w:top w:val="single" w:sz="4" w:space="0" w:color="auto"/>
              <w:left w:val="single" w:sz="4" w:space="0" w:color="auto"/>
              <w:bottom w:val="single" w:sz="4" w:space="0" w:color="auto"/>
              <w:right w:val="single" w:sz="4" w:space="0" w:color="auto"/>
            </w:tcBorders>
            <w:hideMark/>
          </w:tcPr>
          <w:p w:rsidR="00435FF1" w:rsidRPr="004F3AB8" w:rsidRDefault="00435FF1" w:rsidP="004F3AB8">
            <w:pPr>
              <w:jc w:val="left"/>
              <w:rPr>
                <w:sz w:val="18"/>
              </w:rPr>
            </w:pPr>
            <w:r w:rsidRPr="004F3AB8">
              <w:rPr>
                <w:sz w:val="18"/>
              </w:rPr>
              <w:t>Lieu</w:t>
            </w:r>
          </w:p>
        </w:tc>
        <w:tc>
          <w:tcPr>
            <w:tcW w:w="1467" w:type="dxa"/>
            <w:tcBorders>
              <w:top w:val="single" w:sz="4" w:space="0" w:color="auto"/>
              <w:left w:val="single" w:sz="4" w:space="0" w:color="auto"/>
              <w:bottom w:val="single" w:sz="4" w:space="0" w:color="auto"/>
              <w:right w:val="single" w:sz="4" w:space="0" w:color="auto"/>
            </w:tcBorders>
            <w:hideMark/>
          </w:tcPr>
          <w:p w:rsidR="00435FF1" w:rsidRPr="004F3AB8" w:rsidRDefault="00435FF1" w:rsidP="004F3AB8">
            <w:pPr>
              <w:jc w:val="left"/>
              <w:rPr>
                <w:sz w:val="18"/>
              </w:rPr>
            </w:pPr>
            <w:r w:rsidRPr="004F3AB8">
              <w:rPr>
                <w:sz w:val="18"/>
              </w:rPr>
              <w:t>Organisateur(s)</w:t>
            </w:r>
          </w:p>
        </w:tc>
        <w:tc>
          <w:tcPr>
            <w:tcW w:w="2077" w:type="dxa"/>
            <w:tcBorders>
              <w:top w:val="single" w:sz="4" w:space="0" w:color="auto"/>
              <w:left w:val="single" w:sz="4" w:space="0" w:color="auto"/>
              <w:bottom w:val="single" w:sz="4" w:space="0" w:color="auto"/>
              <w:right w:val="single" w:sz="4" w:space="0" w:color="auto"/>
            </w:tcBorders>
            <w:hideMark/>
          </w:tcPr>
          <w:p w:rsidR="00435FF1" w:rsidRPr="004F3AB8" w:rsidRDefault="00435FF1" w:rsidP="004F3AB8">
            <w:pPr>
              <w:jc w:val="left"/>
              <w:rPr>
                <w:sz w:val="18"/>
                <w:highlight w:val="red"/>
              </w:rPr>
            </w:pPr>
            <w:r w:rsidRPr="004F3AB8">
              <w:rPr>
                <w:sz w:val="18"/>
              </w:rPr>
              <w:t>But de l’activité</w:t>
            </w:r>
          </w:p>
        </w:tc>
        <w:tc>
          <w:tcPr>
            <w:tcW w:w="1843" w:type="dxa"/>
            <w:tcBorders>
              <w:top w:val="single" w:sz="4" w:space="0" w:color="auto"/>
              <w:left w:val="single" w:sz="4" w:space="0" w:color="auto"/>
              <w:bottom w:val="single" w:sz="4" w:space="0" w:color="auto"/>
              <w:right w:val="single" w:sz="4" w:space="0" w:color="auto"/>
            </w:tcBorders>
            <w:hideMark/>
          </w:tcPr>
          <w:p w:rsidR="00435FF1" w:rsidRPr="004F3AB8" w:rsidRDefault="00435FF1" w:rsidP="004F3AB8">
            <w:pPr>
              <w:jc w:val="left"/>
              <w:rPr>
                <w:sz w:val="18"/>
              </w:rPr>
            </w:pPr>
            <w:r w:rsidRPr="004F3AB8">
              <w:rPr>
                <w:sz w:val="18"/>
              </w:rPr>
              <w:t>Pays/organisations participants (nombre de participants de chacun d’eux)</w:t>
            </w:r>
          </w:p>
        </w:tc>
        <w:tc>
          <w:tcPr>
            <w:tcW w:w="1559" w:type="dxa"/>
            <w:tcBorders>
              <w:top w:val="single" w:sz="4" w:space="0" w:color="auto"/>
              <w:left w:val="single" w:sz="4" w:space="0" w:color="auto"/>
              <w:bottom w:val="single" w:sz="4" w:space="0" w:color="auto"/>
              <w:right w:val="single" w:sz="4" w:space="0" w:color="auto"/>
            </w:tcBorders>
            <w:hideMark/>
          </w:tcPr>
          <w:p w:rsidR="00435FF1" w:rsidRPr="004F3AB8" w:rsidRDefault="00435FF1" w:rsidP="004F3AB8">
            <w:pPr>
              <w:jc w:val="left"/>
              <w:rPr>
                <w:sz w:val="18"/>
              </w:rPr>
            </w:pPr>
            <w:r w:rsidRPr="004F3AB8">
              <w:rPr>
                <w:sz w:val="18"/>
              </w:rPr>
              <w:t>Observations</w:t>
            </w:r>
          </w:p>
        </w:tc>
      </w:tr>
      <w:tr w:rsidR="00435FF1" w:rsidRPr="004F3AB8" w:rsidTr="004F3AB8">
        <w:tc>
          <w:tcPr>
            <w:tcW w:w="766" w:type="dxa"/>
            <w:tcBorders>
              <w:top w:val="single" w:sz="4" w:space="0" w:color="auto"/>
              <w:left w:val="single" w:sz="4" w:space="0" w:color="auto"/>
              <w:bottom w:val="single" w:sz="4" w:space="0" w:color="auto"/>
              <w:right w:val="single" w:sz="4" w:space="0" w:color="auto"/>
            </w:tcBorders>
          </w:tcPr>
          <w:p w:rsidR="00435FF1" w:rsidRPr="004F3AB8" w:rsidRDefault="00435FF1" w:rsidP="004F3AB8">
            <w:pPr>
              <w:jc w:val="left"/>
              <w:rPr>
                <w:sz w:val="18"/>
                <w:szCs w:val="18"/>
              </w:rPr>
            </w:pPr>
            <w:r w:rsidRPr="004F3AB8">
              <w:rPr>
                <w:sz w:val="18"/>
                <w:szCs w:val="18"/>
              </w:rPr>
              <w:t>1.</w:t>
            </w:r>
          </w:p>
          <w:p w:rsidR="00435FF1" w:rsidRPr="004F3AB8" w:rsidRDefault="00435FF1" w:rsidP="004F3AB8">
            <w:pPr>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435FF1" w:rsidRPr="004F3AB8" w:rsidRDefault="00435FF1" w:rsidP="004F3AB8">
            <w:pPr>
              <w:jc w:val="left"/>
              <w:rPr>
                <w:sz w:val="18"/>
                <w:szCs w:val="18"/>
              </w:rPr>
            </w:pPr>
            <w:r w:rsidRPr="004F3AB8">
              <w:rPr>
                <w:sz w:val="18"/>
                <w:szCs w:val="18"/>
              </w:rPr>
              <w:t>2015</w:t>
            </w:r>
          </w:p>
        </w:tc>
        <w:tc>
          <w:tcPr>
            <w:tcW w:w="850" w:type="dxa"/>
            <w:tcBorders>
              <w:top w:val="single" w:sz="4" w:space="0" w:color="auto"/>
              <w:left w:val="single" w:sz="4" w:space="0" w:color="auto"/>
              <w:bottom w:val="single" w:sz="4" w:space="0" w:color="auto"/>
              <w:right w:val="single" w:sz="4" w:space="0" w:color="auto"/>
            </w:tcBorders>
          </w:tcPr>
          <w:p w:rsidR="00435FF1" w:rsidRPr="004F3AB8" w:rsidRDefault="00435FF1" w:rsidP="004F3AB8">
            <w:pPr>
              <w:jc w:val="left"/>
              <w:rPr>
                <w:sz w:val="18"/>
                <w:szCs w:val="18"/>
              </w:rPr>
            </w:pPr>
            <w:r w:rsidRPr="004F3AB8">
              <w:rPr>
                <w:sz w:val="18"/>
                <w:szCs w:val="18"/>
              </w:rPr>
              <w:t>Berne</w:t>
            </w:r>
          </w:p>
        </w:tc>
        <w:tc>
          <w:tcPr>
            <w:tcW w:w="1467" w:type="dxa"/>
            <w:tcBorders>
              <w:top w:val="single" w:sz="4" w:space="0" w:color="auto"/>
              <w:left w:val="single" w:sz="4" w:space="0" w:color="auto"/>
              <w:bottom w:val="single" w:sz="4" w:space="0" w:color="auto"/>
              <w:right w:val="single" w:sz="4" w:space="0" w:color="auto"/>
            </w:tcBorders>
          </w:tcPr>
          <w:p w:rsidR="00435FF1" w:rsidRPr="004F3AB8" w:rsidRDefault="00435FF1" w:rsidP="004F3AB8">
            <w:pPr>
              <w:jc w:val="left"/>
              <w:rPr>
                <w:sz w:val="18"/>
                <w:szCs w:val="18"/>
                <w:highlight w:val="yellow"/>
              </w:rPr>
            </w:pPr>
            <w:r w:rsidRPr="004F3AB8">
              <w:rPr>
                <w:sz w:val="18"/>
                <w:szCs w:val="18"/>
              </w:rPr>
              <w:t>Office fédéral de l’agriculture</w:t>
            </w:r>
          </w:p>
        </w:tc>
        <w:tc>
          <w:tcPr>
            <w:tcW w:w="2077" w:type="dxa"/>
            <w:tcBorders>
              <w:top w:val="single" w:sz="4" w:space="0" w:color="auto"/>
              <w:left w:val="single" w:sz="4" w:space="0" w:color="auto"/>
              <w:bottom w:val="single" w:sz="4" w:space="0" w:color="auto"/>
              <w:right w:val="single" w:sz="4" w:space="0" w:color="auto"/>
            </w:tcBorders>
          </w:tcPr>
          <w:p w:rsidR="00435FF1" w:rsidRPr="004F3AB8" w:rsidRDefault="00435FF1" w:rsidP="004F3AB8">
            <w:pPr>
              <w:pStyle w:val="Default"/>
              <w:rPr>
                <w:bCs/>
                <w:sz w:val="18"/>
                <w:szCs w:val="18"/>
                <w:lang w:val="fr-FR"/>
              </w:rPr>
            </w:pPr>
            <w:r w:rsidRPr="004F3AB8">
              <w:rPr>
                <w:bCs/>
                <w:sz w:val="18"/>
                <w:szCs w:val="18"/>
                <w:lang w:val="fr-FR"/>
              </w:rPr>
              <w:t>Mettre en place des conditions de base stables et durables pour la sélection variétale : garantir des rémunérations adéquates pour les activités de sélection variétale</w:t>
            </w:r>
          </w:p>
          <w:p w:rsidR="00435FF1" w:rsidRPr="004F3AB8" w:rsidRDefault="00435FF1" w:rsidP="004F3AB8">
            <w:pPr>
              <w:pStyle w:val="Default"/>
              <w:rPr>
                <w:sz w:val="18"/>
                <w:szCs w:val="18"/>
                <w:lang w:val="fr-FR"/>
              </w:rPr>
            </w:pPr>
          </w:p>
        </w:tc>
        <w:tc>
          <w:tcPr>
            <w:tcW w:w="1843" w:type="dxa"/>
            <w:tcBorders>
              <w:top w:val="single" w:sz="4" w:space="0" w:color="auto"/>
              <w:left w:val="single" w:sz="4" w:space="0" w:color="auto"/>
              <w:bottom w:val="single" w:sz="4" w:space="0" w:color="auto"/>
              <w:right w:val="single" w:sz="4" w:space="0" w:color="auto"/>
            </w:tcBorders>
          </w:tcPr>
          <w:p w:rsidR="00435FF1" w:rsidRPr="004F3AB8" w:rsidRDefault="00435FF1" w:rsidP="004F3AB8">
            <w:pPr>
              <w:jc w:val="left"/>
              <w:rPr>
                <w:sz w:val="18"/>
                <w:szCs w:val="18"/>
              </w:rPr>
            </w:pPr>
            <w:r w:rsidRPr="004F3AB8">
              <w:rPr>
                <w:sz w:val="18"/>
                <w:szCs w:val="18"/>
              </w:rPr>
              <w:t>Des acteurs importants de la sélection végétale en Suisse</w:t>
            </w:r>
          </w:p>
        </w:tc>
        <w:tc>
          <w:tcPr>
            <w:tcW w:w="1559" w:type="dxa"/>
            <w:tcBorders>
              <w:top w:val="single" w:sz="4" w:space="0" w:color="auto"/>
              <w:left w:val="single" w:sz="4" w:space="0" w:color="auto"/>
              <w:bottom w:val="single" w:sz="4" w:space="0" w:color="auto"/>
              <w:right w:val="single" w:sz="4" w:space="0" w:color="auto"/>
            </w:tcBorders>
          </w:tcPr>
          <w:p w:rsidR="00435FF1" w:rsidRPr="004F3AB8" w:rsidRDefault="00435FF1" w:rsidP="004F3AB8">
            <w:pPr>
              <w:jc w:val="left"/>
              <w:rPr>
                <w:sz w:val="18"/>
                <w:szCs w:val="18"/>
                <w:highlight w:val="yellow"/>
              </w:rPr>
            </w:pPr>
            <w:r w:rsidRPr="004F3AB8">
              <w:rPr>
                <w:sz w:val="18"/>
                <w:szCs w:val="18"/>
              </w:rPr>
              <w:t>Initiative de haut niveau visant à élaborer une stratégie en matière de sélection végétale pour la Suisse</w:t>
            </w:r>
          </w:p>
        </w:tc>
      </w:tr>
      <w:tr w:rsidR="00435FF1" w:rsidRPr="004F3AB8" w:rsidTr="004F3AB8">
        <w:tc>
          <w:tcPr>
            <w:tcW w:w="766" w:type="dxa"/>
            <w:tcBorders>
              <w:top w:val="single" w:sz="4" w:space="0" w:color="auto"/>
              <w:left w:val="single" w:sz="4" w:space="0" w:color="auto"/>
              <w:bottom w:val="single" w:sz="4" w:space="0" w:color="auto"/>
              <w:right w:val="single" w:sz="4" w:space="0" w:color="auto"/>
            </w:tcBorders>
          </w:tcPr>
          <w:p w:rsidR="00435FF1" w:rsidRPr="004F3AB8" w:rsidRDefault="00435FF1" w:rsidP="004F3AB8">
            <w:pPr>
              <w:jc w:val="left"/>
              <w:rPr>
                <w:sz w:val="18"/>
              </w:rPr>
            </w:pPr>
            <w:r w:rsidRPr="004F3AB8">
              <w:rPr>
                <w:sz w:val="18"/>
              </w:rPr>
              <w:t>2.</w:t>
            </w:r>
          </w:p>
          <w:p w:rsidR="00435FF1" w:rsidRPr="004F3AB8" w:rsidRDefault="00435FF1" w:rsidP="004F3AB8">
            <w:pPr>
              <w:jc w:val="left"/>
              <w:rPr>
                <w:sz w:val="18"/>
              </w:rPr>
            </w:pPr>
          </w:p>
        </w:tc>
        <w:tc>
          <w:tcPr>
            <w:tcW w:w="1276" w:type="dxa"/>
            <w:tcBorders>
              <w:top w:val="single" w:sz="4" w:space="0" w:color="auto"/>
              <w:left w:val="single" w:sz="4" w:space="0" w:color="auto"/>
              <w:bottom w:val="single" w:sz="4" w:space="0" w:color="auto"/>
              <w:right w:val="single" w:sz="4" w:space="0" w:color="auto"/>
            </w:tcBorders>
          </w:tcPr>
          <w:p w:rsidR="00435FF1" w:rsidRPr="004F3AB8" w:rsidRDefault="00435FF1" w:rsidP="004F3AB8">
            <w:pPr>
              <w:jc w:val="left"/>
              <w:rPr>
                <w:sz w:val="18"/>
              </w:rPr>
            </w:pPr>
            <w:r w:rsidRPr="004F3AB8">
              <w:rPr>
                <w:sz w:val="18"/>
              </w:rPr>
              <w:t>30 mars 2015</w:t>
            </w:r>
          </w:p>
        </w:tc>
        <w:tc>
          <w:tcPr>
            <w:tcW w:w="850" w:type="dxa"/>
            <w:tcBorders>
              <w:top w:val="single" w:sz="4" w:space="0" w:color="auto"/>
              <w:left w:val="single" w:sz="4" w:space="0" w:color="auto"/>
              <w:bottom w:val="single" w:sz="4" w:space="0" w:color="auto"/>
              <w:right w:val="single" w:sz="4" w:space="0" w:color="auto"/>
            </w:tcBorders>
          </w:tcPr>
          <w:p w:rsidR="00435FF1" w:rsidRPr="004F3AB8" w:rsidRDefault="00435FF1" w:rsidP="004F3AB8">
            <w:pPr>
              <w:jc w:val="left"/>
              <w:rPr>
                <w:sz w:val="18"/>
              </w:rPr>
            </w:pPr>
            <w:r w:rsidRPr="004F3AB8">
              <w:rPr>
                <w:sz w:val="18"/>
              </w:rPr>
              <w:t>Berne</w:t>
            </w:r>
          </w:p>
        </w:tc>
        <w:tc>
          <w:tcPr>
            <w:tcW w:w="1467" w:type="dxa"/>
            <w:tcBorders>
              <w:top w:val="single" w:sz="4" w:space="0" w:color="auto"/>
              <w:left w:val="single" w:sz="4" w:space="0" w:color="auto"/>
              <w:bottom w:val="single" w:sz="4" w:space="0" w:color="auto"/>
              <w:right w:val="single" w:sz="4" w:space="0" w:color="auto"/>
            </w:tcBorders>
          </w:tcPr>
          <w:p w:rsidR="00435FF1" w:rsidRPr="004F3AB8" w:rsidRDefault="00435FF1" w:rsidP="004F3AB8">
            <w:pPr>
              <w:jc w:val="left"/>
              <w:rPr>
                <w:sz w:val="18"/>
                <w:highlight w:val="yellow"/>
              </w:rPr>
            </w:pPr>
            <w:r w:rsidRPr="004F3AB8">
              <w:rPr>
                <w:sz w:val="18"/>
                <w:szCs w:val="18"/>
              </w:rPr>
              <w:t>Office fédéral de l’agriculture</w:t>
            </w:r>
          </w:p>
        </w:tc>
        <w:tc>
          <w:tcPr>
            <w:tcW w:w="2077" w:type="dxa"/>
            <w:tcBorders>
              <w:top w:val="single" w:sz="4" w:space="0" w:color="auto"/>
              <w:left w:val="single" w:sz="4" w:space="0" w:color="auto"/>
              <w:bottom w:val="single" w:sz="4" w:space="0" w:color="auto"/>
              <w:right w:val="single" w:sz="4" w:space="0" w:color="auto"/>
            </w:tcBorders>
          </w:tcPr>
          <w:p w:rsidR="00435FF1" w:rsidRPr="004F3AB8" w:rsidRDefault="00435FF1" w:rsidP="004F3AB8">
            <w:pPr>
              <w:jc w:val="left"/>
              <w:rPr>
                <w:sz w:val="18"/>
              </w:rPr>
            </w:pPr>
            <w:r w:rsidRPr="004F3AB8">
              <w:rPr>
                <w:sz w:val="18"/>
              </w:rPr>
              <w:t>Fournir des informations sur le fonctionnement du Bureau suisse de la protection des variétés</w:t>
            </w:r>
          </w:p>
        </w:tc>
        <w:tc>
          <w:tcPr>
            <w:tcW w:w="1843" w:type="dxa"/>
            <w:tcBorders>
              <w:top w:val="single" w:sz="4" w:space="0" w:color="auto"/>
              <w:left w:val="single" w:sz="4" w:space="0" w:color="auto"/>
              <w:bottom w:val="single" w:sz="4" w:space="0" w:color="auto"/>
              <w:right w:val="single" w:sz="4" w:space="0" w:color="auto"/>
            </w:tcBorders>
          </w:tcPr>
          <w:p w:rsidR="00435FF1" w:rsidRPr="004F3AB8" w:rsidRDefault="00435FF1" w:rsidP="004F3AB8">
            <w:pPr>
              <w:jc w:val="left"/>
              <w:rPr>
                <w:sz w:val="18"/>
              </w:rPr>
            </w:pPr>
            <w:r w:rsidRPr="004F3AB8">
              <w:rPr>
                <w:sz w:val="18"/>
              </w:rPr>
              <w:t>OAPI, 2 participants</w:t>
            </w:r>
            <w:r w:rsidRPr="004F3AB8">
              <w:rPr>
                <w:sz w:val="18"/>
              </w:rPr>
              <w:br/>
              <w:t>UPOV, 1 participant</w:t>
            </w:r>
          </w:p>
          <w:p w:rsidR="00435FF1" w:rsidRPr="004F3AB8" w:rsidRDefault="00435FF1" w:rsidP="004F3AB8">
            <w:pPr>
              <w:jc w:val="left"/>
              <w:rPr>
                <w:sz w:val="18"/>
              </w:rPr>
            </w:pPr>
          </w:p>
        </w:tc>
        <w:tc>
          <w:tcPr>
            <w:tcW w:w="1559" w:type="dxa"/>
            <w:tcBorders>
              <w:top w:val="single" w:sz="4" w:space="0" w:color="auto"/>
              <w:left w:val="single" w:sz="4" w:space="0" w:color="auto"/>
              <w:bottom w:val="single" w:sz="4" w:space="0" w:color="auto"/>
              <w:right w:val="single" w:sz="4" w:space="0" w:color="auto"/>
            </w:tcBorders>
          </w:tcPr>
          <w:p w:rsidR="00435FF1" w:rsidRPr="004F3AB8" w:rsidRDefault="00435FF1" w:rsidP="004F3AB8">
            <w:pPr>
              <w:jc w:val="left"/>
              <w:rPr>
                <w:sz w:val="18"/>
              </w:rPr>
            </w:pPr>
          </w:p>
        </w:tc>
      </w:tr>
    </w:tbl>
    <w:p w:rsidR="00435FF1" w:rsidRPr="004F3AB8" w:rsidRDefault="00435FF1" w:rsidP="00435FF1"/>
    <w:p w:rsidR="00435FF1" w:rsidRPr="004F3AB8" w:rsidRDefault="00435FF1" w:rsidP="00435FF1"/>
    <w:p w:rsidR="00435FF1" w:rsidRPr="004F3AB8" w:rsidRDefault="00435FF1" w:rsidP="00435FF1">
      <w:pPr>
        <w:jc w:val="left"/>
      </w:pPr>
      <w:r w:rsidRPr="004F3AB8">
        <w:br w:type="page"/>
      </w:r>
    </w:p>
    <w:p w:rsidR="00435FF1" w:rsidRPr="004F3AB8" w:rsidRDefault="00435FF1" w:rsidP="00435FF1">
      <w:r w:rsidRPr="004F3AB8">
        <w:t>II.</w:t>
      </w:r>
      <w:r w:rsidRPr="004F3AB8">
        <w:tab/>
        <w:t>AUTRES ÉLÉMENTS NOUVEAUX PRÉSENTANT UN INTÉRÊT POUR L’UPOV</w:t>
      </w:r>
    </w:p>
    <w:p w:rsidR="00435FF1" w:rsidRPr="004F3AB8" w:rsidRDefault="00435FF1" w:rsidP="00435FF1"/>
    <w:p w:rsidR="00435FF1" w:rsidRPr="004F3AB8" w:rsidRDefault="00435FF1" w:rsidP="00435FF1">
      <w:r w:rsidRPr="004F3AB8">
        <w:t>Des travaux concernant deux ordonnances sont actuellement menés en Suisse et pourraient présenter un intérêt pour l’UPOV :</w:t>
      </w:r>
    </w:p>
    <w:p w:rsidR="00435FF1" w:rsidRPr="004F3AB8" w:rsidRDefault="00435FF1" w:rsidP="00435FF1"/>
    <w:p w:rsidR="00435FF1" w:rsidRPr="004F3AB8" w:rsidRDefault="00435FF1" w:rsidP="00435FF1">
      <w:pPr>
        <w:ind w:left="567" w:hanging="567"/>
      </w:pPr>
      <w:r w:rsidRPr="004F3AB8">
        <w:t>•</w:t>
      </w:r>
      <w:r w:rsidRPr="004F3AB8">
        <w:tab/>
        <w:t xml:space="preserve">l’ordonnance sur la conservation et l’utilisation durable des ressources </w:t>
      </w:r>
      <w:proofErr w:type="spellStart"/>
      <w:r w:rsidRPr="004F3AB8">
        <w:t>phytogénétiques</w:t>
      </w:r>
      <w:proofErr w:type="spellEnd"/>
      <w:r w:rsidRPr="004F3AB8">
        <w:t xml:space="preserve"> pour l’alimentation et l’agriculture (sous l’égide de l’Office fédéral de l’agriculture)</w:t>
      </w:r>
    </w:p>
    <w:p w:rsidR="00435FF1" w:rsidRPr="004F3AB8" w:rsidRDefault="00435FF1" w:rsidP="00435FF1">
      <w:pPr>
        <w:ind w:left="567" w:hanging="567"/>
      </w:pPr>
    </w:p>
    <w:p w:rsidR="00435FF1" w:rsidRPr="004F3AB8" w:rsidRDefault="00435FF1" w:rsidP="00435FF1">
      <w:pPr>
        <w:ind w:left="567" w:hanging="567"/>
      </w:pPr>
      <w:r w:rsidRPr="004F3AB8">
        <w:t>•</w:t>
      </w:r>
      <w:r w:rsidRPr="004F3AB8">
        <w:tab/>
        <w:t>l’ordonnance sur le Protocole de Nagoya (sous l’égide de l’Office fédéral de l’environnement)</w:t>
      </w:r>
    </w:p>
    <w:p w:rsidR="00435FF1" w:rsidRPr="004F3AB8" w:rsidRDefault="00435FF1" w:rsidP="00435FF1"/>
    <w:p w:rsidR="00435FF1" w:rsidRPr="004F3AB8" w:rsidRDefault="00435FF1" w:rsidP="00435FF1"/>
    <w:p w:rsidR="00435FF1" w:rsidRPr="004F3AB8" w:rsidRDefault="00435FF1" w:rsidP="00944AEF"/>
    <w:p w:rsidR="00944AEF" w:rsidRPr="004F3AB8" w:rsidRDefault="00944AEF" w:rsidP="00944AEF">
      <w:pPr>
        <w:jc w:val="right"/>
      </w:pPr>
      <w:r w:rsidRPr="004F3AB8">
        <w:t>[L’annexe XVI suit]</w:t>
      </w:r>
    </w:p>
    <w:p w:rsidR="00944AEF" w:rsidRPr="004F3AB8" w:rsidRDefault="00944AEF" w:rsidP="00944AEF">
      <w:pPr>
        <w:jc w:val="left"/>
      </w:pPr>
    </w:p>
    <w:p w:rsidR="00944AEF" w:rsidRPr="004F3AB8" w:rsidRDefault="00944AEF" w:rsidP="00944AEF">
      <w:pPr>
        <w:jc w:val="left"/>
        <w:sectPr w:rsidR="00944AEF" w:rsidRPr="004F3AB8" w:rsidSect="004F3AB8">
          <w:headerReference w:type="default" r:id="rId37"/>
          <w:pgSz w:w="11907" w:h="16840" w:code="9"/>
          <w:pgMar w:top="510" w:right="1134" w:bottom="1134" w:left="1134" w:header="510" w:footer="680" w:gutter="0"/>
          <w:pgNumType w:start="1"/>
          <w:cols w:space="720"/>
          <w:titlePg/>
        </w:sectPr>
      </w:pPr>
    </w:p>
    <w:p w:rsidR="00944AEF" w:rsidRPr="004F3AB8" w:rsidRDefault="00944AEF" w:rsidP="00944AEF">
      <w:pPr>
        <w:jc w:val="center"/>
      </w:pPr>
      <w:r w:rsidRPr="004F3AB8">
        <w:t>C/49/15</w:t>
      </w:r>
    </w:p>
    <w:p w:rsidR="00944AEF" w:rsidRPr="004F3AB8" w:rsidRDefault="00944AEF" w:rsidP="00944AEF">
      <w:pPr>
        <w:jc w:val="center"/>
      </w:pPr>
    </w:p>
    <w:p w:rsidR="00944AEF" w:rsidRPr="004F3AB8" w:rsidRDefault="00944AEF" w:rsidP="00944AEF">
      <w:pPr>
        <w:jc w:val="center"/>
      </w:pPr>
      <w:r w:rsidRPr="004F3AB8">
        <w:t>ANNEXE XVI</w:t>
      </w:r>
    </w:p>
    <w:p w:rsidR="00944AEF" w:rsidRPr="004F3AB8" w:rsidRDefault="00944AEF" w:rsidP="00944AEF">
      <w:pPr>
        <w:jc w:val="center"/>
      </w:pPr>
    </w:p>
    <w:p w:rsidR="00944AEF" w:rsidRPr="004F3AB8" w:rsidRDefault="00944AEF" w:rsidP="00944AEF">
      <w:pPr>
        <w:jc w:val="center"/>
      </w:pPr>
    </w:p>
    <w:p w:rsidR="00944AEF" w:rsidRPr="004F3AB8" w:rsidRDefault="00944AEF" w:rsidP="00944AEF">
      <w:pPr>
        <w:jc w:val="center"/>
      </w:pPr>
      <w:r w:rsidRPr="004F3AB8">
        <w:t>TUNISIE</w:t>
      </w:r>
    </w:p>
    <w:p w:rsidR="00944AEF" w:rsidRDefault="00944AEF" w:rsidP="00944AEF"/>
    <w:p w:rsidR="002456C6" w:rsidRDefault="002456C6" w:rsidP="00944AEF"/>
    <w:p w:rsidR="002456C6" w:rsidRPr="004F3AB8" w:rsidRDefault="002456C6" w:rsidP="002456C6">
      <w:r w:rsidRPr="004F3AB8">
        <w:t>I.</w:t>
      </w:r>
      <w:r w:rsidRPr="004F3AB8">
        <w:tab/>
        <w:t>PROTECTION DES OBTENTIONS VÉGÉTALES</w:t>
      </w:r>
    </w:p>
    <w:p w:rsidR="002456C6" w:rsidRDefault="002456C6" w:rsidP="00944AEF"/>
    <w:p w:rsidR="002456C6" w:rsidRPr="00A67586" w:rsidRDefault="002456C6" w:rsidP="002456C6">
      <w:r w:rsidRPr="00A67586">
        <w:t>1.</w:t>
      </w:r>
      <w:r w:rsidRPr="00A67586">
        <w:tab/>
      </w:r>
      <w:r w:rsidRPr="00A67586">
        <w:rPr>
          <w:u w:val="single"/>
        </w:rPr>
        <w:t>Situation dans le domaine législatif</w:t>
      </w:r>
    </w:p>
    <w:p w:rsidR="002456C6" w:rsidRPr="00A67586" w:rsidRDefault="002456C6" w:rsidP="002456C6"/>
    <w:p w:rsidR="002456C6" w:rsidRPr="00A67586" w:rsidRDefault="002456C6" w:rsidP="002456C6">
      <w:r w:rsidRPr="00A67586">
        <w:t>1.1</w:t>
      </w:r>
      <w:r w:rsidRPr="00A67586">
        <w:tab/>
        <w:t>Modifications de la loi et des textes d’application</w:t>
      </w:r>
      <w:r>
        <w:t> :</w:t>
      </w:r>
    </w:p>
    <w:p w:rsidR="002456C6" w:rsidRDefault="002456C6" w:rsidP="002456C6">
      <w:pPr>
        <w:ind w:left="567" w:hanging="567"/>
      </w:pPr>
    </w:p>
    <w:p w:rsidR="002456C6" w:rsidRDefault="002456C6" w:rsidP="002456C6">
      <w:pPr>
        <w:spacing w:after="120"/>
        <w:ind w:left="567" w:hanging="567"/>
      </w:pPr>
      <w:r>
        <w:t>-</w:t>
      </w:r>
      <w:r>
        <w:tab/>
        <w:t>A</w:t>
      </w:r>
      <w:r w:rsidRPr="00A67586">
        <w:t>d</w:t>
      </w:r>
      <w:r>
        <w:t>o</w:t>
      </w:r>
      <w:r w:rsidRPr="00A67586">
        <w:t>ption à l’Acte de 1991 de la Convention</w:t>
      </w:r>
      <w:r>
        <w:t> :</w:t>
      </w:r>
      <w:r w:rsidRPr="002244B6">
        <w:rPr>
          <w:sz w:val="32"/>
          <w:szCs w:val="32"/>
        </w:rPr>
        <w:t xml:space="preserve"> </w:t>
      </w:r>
      <w:r w:rsidRPr="002244B6">
        <w:t>Loi n°99</w:t>
      </w:r>
      <w:r>
        <w:t xml:space="preserve"> </w:t>
      </w:r>
      <w:r w:rsidRPr="002244B6">
        <w:t>-</w:t>
      </w:r>
      <w:r>
        <w:t xml:space="preserve"> </w:t>
      </w:r>
      <w:r w:rsidRPr="002244B6">
        <w:t>42 du 10 mai 1999, relative aux semences, plants et obtentions végétales, tel que modifiée par la loi n° 66-2000 du 3 juillet 2000.</w:t>
      </w:r>
    </w:p>
    <w:p w:rsidR="002456C6" w:rsidRDefault="002456C6" w:rsidP="002456C6">
      <w:pPr>
        <w:ind w:left="567" w:hanging="567"/>
      </w:pPr>
      <w:r>
        <w:t>-</w:t>
      </w:r>
      <w:r>
        <w:tab/>
        <w:t>A</w:t>
      </w:r>
      <w:r w:rsidRPr="00A67586">
        <w:t>utres modifications, y compris pour les taxes</w:t>
      </w:r>
      <w:r>
        <w:t> : depuis la p</w:t>
      </w:r>
      <w:r w:rsidRPr="00A762C7">
        <w:t>romulgation</w:t>
      </w:r>
      <w:r w:rsidRPr="00130D00">
        <w:t xml:space="preserve"> </w:t>
      </w:r>
      <w:r>
        <w:t>du décret n°1802-2001 du 7 </w:t>
      </w:r>
      <w:r w:rsidRPr="00130D00">
        <w:t>août 2001</w:t>
      </w:r>
      <w:r>
        <w:t xml:space="preserve"> </w:t>
      </w:r>
      <w:r w:rsidRPr="00130D00">
        <w:t>fixant les montants et les modalités de perception et d’utilisation des redevances dues à l’inscription des variétés, des semences et plants et l’homologation de leur production ou multiplication, à l’inscription des demandes et certificats d’obtention végétales aux catalogues y afférents et de redevance annuelle due sur les certificats d’obtentions végétales après leurs inscriptions</w:t>
      </w:r>
      <w:r>
        <w:t xml:space="preserve">, le montant des redevances annuelle n’a pas subi des modifications  </w:t>
      </w:r>
    </w:p>
    <w:p w:rsidR="002456C6" w:rsidRDefault="002456C6" w:rsidP="002456C6"/>
    <w:p w:rsidR="002456C6" w:rsidRDefault="002456C6" w:rsidP="002456C6">
      <w:r w:rsidRPr="00A67586">
        <w:t>1.2</w:t>
      </w:r>
      <w:r w:rsidRPr="00A67586">
        <w:tab/>
        <w:t>Extension de la protection à d’autres genres et espèces (effectuée ou prévue)</w:t>
      </w:r>
      <w:r>
        <w:t> :</w:t>
      </w:r>
    </w:p>
    <w:p w:rsidR="002456C6" w:rsidRDefault="002456C6" w:rsidP="002456C6"/>
    <w:p w:rsidR="002456C6" w:rsidRDefault="002456C6" w:rsidP="002456C6">
      <w:pPr>
        <w:spacing w:after="120"/>
        <w:ind w:left="567" w:hanging="567"/>
      </w:pPr>
      <w:r>
        <w:t>-</w:t>
      </w:r>
      <w:r>
        <w:tab/>
      </w:r>
      <w:r w:rsidRPr="006758DD">
        <w:t xml:space="preserve">Arrêté du 24 juin 2000, fixant la liste des plantes susceptibles d’être protégées, les données et la méthode d’inscription des demandes et des certificats d’obtention végétales sur le catalogue national des obtentions végétales </w:t>
      </w:r>
    </w:p>
    <w:p w:rsidR="002456C6" w:rsidRDefault="002456C6" w:rsidP="002456C6">
      <w:pPr>
        <w:spacing w:after="120"/>
        <w:ind w:left="567" w:hanging="567"/>
      </w:pPr>
      <w:r>
        <w:t>-</w:t>
      </w:r>
      <w:r>
        <w:tab/>
        <w:t>A</w:t>
      </w:r>
      <w:r w:rsidRPr="006758DD">
        <w:t>rrêté du 9 septembre 2004</w:t>
      </w:r>
      <w:r>
        <w:t xml:space="preserve"> (extension de la protection aux espèces ail (</w:t>
      </w:r>
      <w:proofErr w:type="spellStart"/>
      <w:r w:rsidRPr="00F5683E">
        <w:rPr>
          <w:i/>
          <w:iCs/>
        </w:rPr>
        <w:t>Alluim</w:t>
      </w:r>
      <w:proofErr w:type="spellEnd"/>
      <w:r w:rsidRPr="00F5683E">
        <w:rPr>
          <w:i/>
          <w:iCs/>
        </w:rPr>
        <w:t xml:space="preserve"> </w:t>
      </w:r>
      <w:proofErr w:type="spellStart"/>
      <w:r w:rsidRPr="00F5683E">
        <w:rPr>
          <w:i/>
          <w:iCs/>
        </w:rPr>
        <w:t>sativum</w:t>
      </w:r>
      <w:proofErr w:type="spellEnd"/>
      <w:r>
        <w:t>) et artichaut (</w:t>
      </w:r>
      <w:proofErr w:type="spellStart"/>
      <w:r w:rsidRPr="00F5683E">
        <w:rPr>
          <w:i/>
          <w:iCs/>
        </w:rPr>
        <w:t>Cynarascolymus</w:t>
      </w:r>
      <w:proofErr w:type="spellEnd"/>
      <w:r>
        <w:t>).</w:t>
      </w:r>
    </w:p>
    <w:p w:rsidR="002456C6" w:rsidRPr="006758DD" w:rsidRDefault="002456C6" w:rsidP="002456C6">
      <w:pPr>
        <w:ind w:left="567" w:hanging="567"/>
      </w:pPr>
      <w:r>
        <w:t>-</w:t>
      </w:r>
      <w:r>
        <w:tab/>
      </w:r>
      <w:r w:rsidRPr="006758DD">
        <w:t xml:space="preserve">Arrêté </w:t>
      </w:r>
      <w:r>
        <w:t>du 1</w:t>
      </w:r>
      <w:r w:rsidRPr="006758DD">
        <w:rPr>
          <w:vertAlign w:val="superscript"/>
        </w:rPr>
        <w:t>er</w:t>
      </w:r>
      <w:r>
        <w:t xml:space="preserve"> Mars 2010 (extension de la protection aux espèces Avocatier (</w:t>
      </w:r>
      <w:proofErr w:type="spellStart"/>
      <w:r w:rsidRPr="00F5683E">
        <w:rPr>
          <w:i/>
          <w:iCs/>
        </w:rPr>
        <w:t>Persia</w:t>
      </w:r>
      <w:proofErr w:type="spellEnd"/>
      <w:r w:rsidRPr="00F5683E">
        <w:rPr>
          <w:i/>
          <w:iCs/>
        </w:rPr>
        <w:t xml:space="preserve"> americana</w:t>
      </w:r>
      <w:r>
        <w:t xml:space="preserve"> </w:t>
      </w:r>
      <w:proofErr w:type="spellStart"/>
      <w:r>
        <w:t>L.Mill</w:t>
      </w:r>
      <w:proofErr w:type="spellEnd"/>
      <w:r>
        <w:t>) et le framboisier (</w:t>
      </w:r>
      <w:proofErr w:type="spellStart"/>
      <w:r w:rsidRPr="00F5683E">
        <w:rPr>
          <w:i/>
          <w:iCs/>
        </w:rPr>
        <w:t>Robus</w:t>
      </w:r>
      <w:proofErr w:type="spellEnd"/>
      <w:r w:rsidRPr="00F5683E">
        <w:rPr>
          <w:i/>
          <w:iCs/>
        </w:rPr>
        <w:t xml:space="preserve"> </w:t>
      </w:r>
      <w:proofErr w:type="spellStart"/>
      <w:r w:rsidRPr="00F5683E">
        <w:rPr>
          <w:i/>
          <w:iCs/>
        </w:rPr>
        <w:t>ideaus</w:t>
      </w:r>
      <w:proofErr w:type="spellEnd"/>
      <w:r>
        <w:rPr>
          <w:i/>
          <w:iCs/>
        </w:rPr>
        <w:t>)</w:t>
      </w:r>
      <w:r>
        <w:t>.</w:t>
      </w:r>
    </w:p>
    <w:p w:rsidR="002456C6" w:rsidRDefault="002456C6" w:rsidP="002456C6"/>
    <w:p w:rsidR="002456C6" w:rsidRDefault="002456C6" w:rsidP="002456C6">
      <w:r w:rsidRPr="00A67586">
        <w:t>1.3</w:t>
      </w:r>
      <w:r w:rsidRPr="00A67586">
        <w:tab/>
        <w:t>Jurisprudence</w:t>
      </w:r>
      <w:r>
        <w:t xml:space="preserve"> : </w:t>
      </w:r>
    </w:p>
    <w:p w:rsidR="002456C6" w:rsidRDefault="002456C6" w:rsidP="002456C6"/>
    <w:p w:rsidR="002456C6" w:rsidRPr="00552B2C" w:rsidRDefault="002456C6" w:rsidP="002456C6">
      <w:r>
        <w:t xml:space="preserve">Actuellement il n’y a pas </w:t>
      </w:r>
      <w:r w:rsidRPr="00552B2C">
        <w:rPr>
          <w:rStyle w:val="ht"/>
        </w:rPr>
        <w:t>des décisions judi</w:t>
      </w:r>
      <w:r>
        <w:rPr>
          <w:rStyle w:val="ht"/>
        </w:rPr>
        <w:t xml:space="preserve">ciaires ou administratives, qui peuvent </w:t>
      </w:r>
      <w:r w:rsidRPr="00552B2C">
        <w:rPr>
          <w:rStyle w:val="ht"/>
        </w:rPr>
        <w:t>constitue</w:t>
      </w:r>
      <w:r>
        <w:rPr>
          <w:rStyle w:val="ht"/>
        </w:rPr>
        <w:t>r</w:t>
      </w:r>
      <w:r w:rsidRPr="00552B2C">
        <w:rPr>
          <w:rStyle w:val="ht"/>
        </w:rPr>
        <w:t xml:space="preserve"> une source </w:t>
      </w:r>
      <w:r>
        <w:rPr>
          <w:rStyle w:val="ht"/>
        </w:rPr>
        <w:t>de réglementation judiciaire.</w:t>
      </w:r>
    </w:p>
    <w:p w:rsidR="002456C6" w:rsidRPr="00A67586" w:rsidRDefault="002456C6" w:rsidP="002456C6"/>
    <w:p w:rsidR="002456C6" w:rsidRPr="00A67586" w:rsidRDefault="002456C6" w:rsidP="002456C6">
      <w:pPr>
        <w:rPr>
          <w:u w:val="single"/>
        </w:rPr>
      </w:pPr>
      <w:r w:rsidRPr="00A67586">
        <w:t>2.</w:t>
      </w:r>
      <w:r w:rsidRPr="00A67586">
        <w:tab/>
      </w:r>
      <w:r w:rsidRPr="00A67586">
        <w:rPr>
          <w:u w:val="single"/>
        </w:rPr>
        <w:t>Coopération en matière d’examen</w:t>
      </w:r>
    </w:p>
    <w:p w:rsidR="002456C6" w:rsidRPr="00A67586" w:rsidRDefault="002456C6" w:rsidP="002456C6">
      <w:pPr>
        <w:rPr>
          <w:u w:val="single"/>
        </w:rPr>
      </w:pPr>
    </w:p>
    <w:p w:rsidR="002456C6" w:rsidRPr="00A67586" w:rsidRDefault="002456C6" w:rsidP="002456C6">
      <w:r>
        <w:t>Il n’y a aucune création ou modification d’accord en matière d’examen. Les services Tunisiens chargés de l’activité de la protection des obtentions végétales continuent à recevoir des demandes de protection par l’achat de dossier DHS.  Ces achats de dossiers se font avec l’office communautaires OCVV et le règlement des frais se fait entre le déposant de la demande de protection et l’OCVV.</w:t>
      </w:r>
    </w:p>
    <w:p w:rsidR="002456C6" w:rsidRPr="00A67586" w:rsidRDefault="002456C6" w:rsidP="002456C6"/>
    <w:p w:rsidR="002456C6" w:rsidRPr="00A67586" w:rsidRDefault="002456C6" w:rsidP="002456C6">
      <w:pPr>
        <w:rPr>
          <w:u w:val="single"/>
        </w:rPr>
      </w:pPr>
      <w:r w:rsidRPr="00A67586">
        <w:t>3.</w:t>
      </w:r>
      <w:r w:rsidRPr="00A67586">
        <w:tab/>
      </w:r>
      <w:r w:rsidRPr="00A67586">
        <w:rPr>
          <w:u w:val="single"/>
        </w:rPr>
        <w:t>Situation dans le domaine administratif</w:t>
      </w:r>
    </w:p>
    <w:p w:rsidR="002456C6" w:rsidRPr="00623692" w:rsidRDefault="002456C6" w:rsidP="002456C6"/>
    <w:p w:rsidR="002456C6" w:rsidRPr="00A67586" w:rsidRDefault="002456C6" w:rsidP="002456C6">
      <w:r>
        <w:t>Pas de modification que ce soit la dans la structure administrative ou dans la gestion des procédures et des systèmes.</w:t>
      </w:r>
    </w:p>
    <w:p w:rsidR="002456C6" w:rsidRPr="00A67586" w:rsidRDefault="002456C6" w:rsidP="002456C6"/>
    <w:p w:rsidR="002456C6" w:rsidRDefault="002456C6" w:rsidP="002456C6">
      <w:pPr>
        <w:rPr>
          <w:u w:val="single"/>
        </w:rPr>
      </w:pPr>
      <w:r w:rsidRPr="00A67586">
        <w:t>4.</w:t>
      </w:r>
      <w:r w:rsidRPr="00A67586">
        <w:tab/>
      </w:r>
      <w:r w:rsidRPr="00A67586">
        <w:rPr>
          <w:u w:val="single"/>
        </w:rPr>
        <w:t>Situation dans le domaine technique</w:t>
      </w:r>
    </w:p>
    <w:p w:rsidR="002456C6" w:rsidRPr="00A67586" w:rsidRDefault="002456C6" w:rsidP="002456C6"/>
    <w:p w:rsidR="002456C6" w:rsidRPr="00A67586" w:rsidRDefault="002456C6" w:rsidP="002456C6">
      <w:r>
        <w:t>Le fonctionnement des études en matière d’examen des différentes espèces sur le plan technique suit l’évolution et les modifications adoptées par le système UPOV.</w:t>
      </w:r>
    </w:p>
    <w:p w:rsidR="002456C6" w:rsidRPr="00A67586" w:rsidRDefault="002456C6" w:rsidP="002456C6"/>
    <w:p w:rsidR="002456C6" w:rsidRPr="00A67586" w:rsidRDefault="002456C6" w:rsidP="002456C6">
      <w:pPr>
        <w:rPr>
          <w:u w:val="single"/>
        </w:rPr>
      </w:pPr>
      <w:r w:rsidRPr="00A67586">
        <w:t>5.</w:t>
      </w:r>
      <w:r w:rsidRPr="00A67586">
        <w:tab/>
      </w:r>
      <w:r w:rsidRPr="00A67586">
        <w:rPr>
          <w:u w:val="single"/>
        </w:rPr>
        <w:t>Activités de promotion de la protection des obtentions végétales</w:t>
      </w:r>
    </w:p>
    <w:p w:rsidR="002456C6" w:rsidRPr="00A67586" w:rsidRDefault="002456C6" w:rsidP="002456C6"/>
    <w:p w:rsidR="002456C6" w:rsidRDefault="002456C6" w:rsidP="002456C6">
      <w:r>
        <w:t>Aucune activité</w:t>
      </w:r>
    </w:p>
    <w:p w:rsidR="002456C6" w:rsidRPr="00A67586" w:rsidRDefault="002456C6" w:rsidP="002456C6"/>
    <w:p w:rsidR="002456C6" w:rsidRPr="002456C6" w:rsidRDefault="002456C6" w:rsidP="002456C6">
      <w:r w:rsidRPr="002456C6">
        <w:t>II.</w:t>
      </w:r>
      <w:r w:rsidRPr="002456C6">
        <w:tab/>
        <w:t>AUTRES ÉLÉMENTS NOUVEAUX PRÉSENTANT UN INTÉRÊT POUR L’UPOV </w:t>
      </w:r>
    </w:p>
    <w:p w:rsidR="002456C6" w:rsidRDefault="002456C6" w:rsidP="002456C6">
      <w:pPr>
        <w:rPr>
          <w:b/>
        </w:rPr>
      </w:pPr>
    </w:p>
    <w:p w:rsidR="002456C6" w:rsidRPr="00A67586" w:rsidRDefault="002456C6" w:rsidP="002456C6">
      <w:r w:rsidRPr="00F729B1">
        <w:t>Pas de nouveaux éléments qui présentent un intérêt pour UPOV</w:t>
      </w:r>
      <w:r>
        <w:t xml:space="preserve"> actuellement.</w:t>
      </w:r>
      <w:r w:rsidRPr="00F729B1">
        <w:t xml:space="preserve"> </w:t>
      </w:r>
    </w:p>
    <w:p w:rsidR="002456C6" w:rsidRDefault="002456C6" w:rsidP="002456C6">
      <w:pPr>
        <w:jc w:val="left"/>
        <w:rPr>
          <w:rFonts w:cs="Arial"/>
        </w:rPr>
      </w:pPr>
    </w:p>
    <w:p w:rsidR="00944AEF" w:rsidRPr="004F3AB8" w:rsidRDefault="00944AEF" w:rsidP="002456C6">
      <w:pPr>
        <w:jc w:val="right"/>
      </w:pPr>
      <w:r w:rsidRPr="004F3AB8">
        <w:t>[L’annexe XVII suit]</w:t>
      </w:r>
    </w:p>
    <w:p w:rsidR="00944AEF" w:rsidRPr="004F3AB8" w:rsidRDefault="00944AEF" w:rsidP="00944AEF">
      <w:pPr>
        <w:jc w:val="left"/>
        <w:sectPr w:rsidR="00944AEF" w:rsidRPr="004F3AB8" w:rsidSect="004F3AB8">
          <w:headerReference w:type="default" r:id="rId38"/>
          <w:pgSz w:w="11907" w:h="16840" w:code="9"/>
          <w:pgMar w:top="510" w:right="1134" w:bottom="1134" w:left="1134" w:header="510" w:footer="680" w:gutter="0"/>
          <w:pgNumType w:start="1"/>
          <w:cols w:space="720"/>
          <w:titlePg/>
        </w:sectPr>
      </w:pPr>
    </w:p>
    <w:p w:rsidR="00944AEF" w:rsidRPr="004F3AB8" w:rsidRDefault="00944AEF" w:rsidP="00944AEF">
      <w:pPr>
        <w:jc w:val="center"/>
      </w:pPr>
      <w:r w:rsidRPr="004F3AB8">
        <w:t>C/49/15</w:t>
      </w:r>
    </w:p>
    <w:p w:rsidR="00944AEF" w:rsidRPr="004F3AB8" w:rsidRDefault="00944AEF" w:rsidP="00944AEF">
      <w:pPr>
        <w:jc w:val="center"/>
      </w:pPr>
    </w:p>
    <w:p w:rsidR="00944AEF" w:rsidRPr="004F3AB8" w:rsidRDefault="00944AEF" w:rsidP="00944AEF">
      <w:pPr>
        <w:jc w:val="center"/>
      </w:pPr>
      <w:r w:rsidRPr="004F3AB8">
        <w:t>ANNEXE XVII</w:t>
      </w:r>
    </w:p>
    <w:p w:rsidR="00944AEF" w:rsidRPr="004F3AB8" w:rsidRDefault="00944AEF" w:rsidP="00944AEF">
      <w:pPr>
        <w:jc w:val="center"/>
      </w:pPr>
    </w:p>
    <w:p w:rsidR="00944AEF" w:rsidRPr="004F3AB8" w:rsidRDefault="00944AEF" w:rsidP="00944AEF">
      <w:pPr>
        <w:jc w:val="center"/>
      </w:pPr>
    </w:p>
    <w:p w:rsidR="00944AEF" w:rsidRDefault="00944AEF" w:rsidP="00944AEF">
      <w:pPr>
        <w:jc w:val="center"/>
      </w:pPr>
      <w:r w:rsidRPr="004F3AB8">
        <w:t>UNION EUROPÉENNE</w:t>
      </w:r>
    </w:p>
    <w:p w:rsidR="00023109" w:rsidRDefault="00023109" w:rsidP="00023109">
      <w:pPr>
        <w:jc w:val="center"/>
      </w:pPr>
    </w:p>
    <w:p w:rsidR="00023109" w:rsidRPr="000A3783" w:rsidRDefault="00023109" w:rsidP="00023109">
      <w:pPr>
        <w:jc w:val="center"/>
      </w:pPr>
      <w:r w:rsidRPr="000A3783">
        <w:t>Période</w:t>
      </w:r>
      <w:r>
        <w:t> </w:t>
      </w:r>
      <w:r w:rsidRPr="000A3783">
        <w:t>: octobre</w:t>
      </w:r>
      <w:r>
        <w:t> </w:t>
      </w:r>
      <w:r w:rsidRPr="000A3783">
        <w:t>2014 – octobre</w:t>
      </w:r>
      <w:r>
        <w:t> </w:t>
      </w:r>
      <w:r w:rsidRPr="000A3783">
        <w:t>2015</w:t>
      </w:r>
    </w:p>
    <w:p w:rsidR="00023109" w:rsidRPr="000A3783" w:rsidRDefault="00023109" w:rsidP="00023109"/>
    <w:p w:rsidR="00023109" w:rsidRPr="000A3783" w:rsidRDefault="00023109" w:rsidP="00023109">
      <w:pPr>
        <w:jc w:val="center"/>
      </w:pPr>
      <w:r w:rsidRPr="000A3783">
        <w:t>(Rapport établi par l</w:t>
      </w:r>
      <w:r>
        <w:t>’</w:t>
      </w:r>
      <w:r w:rsidRPr="000A3783">
        <w:t>Union européenne</w:t>
      </w:r>
      <w:r>
        <w:br/>
      </w:r>
      <w:r w:rsidRPr="000A3783">
        <w:t>en étroite collaboration avec l</w:t>
      </w:r>
      <w:r>
        <w:t>’</w:t>
      </w:r>
      <w:r w:rsidRPr="000A3783">
        <w:t>Office communautaire des variétés végétales (OCVV))</w:t>
      </w:r>
      <w:r w:rsidR="00417F96">
        <w:rPr>
          <w:rStyle w:val="EndnoteReference"/>
        </w:rPr>
        <w:endnoteReference w:id="2"/>
      </w:r>
    </w:p>
    <w:p w:rsidR="00023109" w:rsidRPr="000A3783" w:rsidRDefault="00023109" w:rsidP="00023109"/>
    <w:p w:rsidR="00023109" w:rsidRPr="000A3783" w:rsidRDefault="00023109" w:rsidP="00023109"/>
    <w:p w:rsidR="00023109" w:rsidRPr="000A3783" w:rsidRDefault="00023109" w:rsidP="00023109">
      <w:pPr>
        <w:pStyle w:val="ListBullet"/>
        <w:numPr>
          <w:ilvl w:val="0"/>
          <w:numId w:val="0"/>
        </w:numPr>
        <w:tabs>
          <w:tab w:val="left" w:pos="720"/>
        </w:tabs>
        <w:ind w:left="283" w:hanging="283"/>
        <w:rPr>
          <w:rFonts w:cs="Arial"/>
          <w:b/>
          <w:u w:val="single"/>
          <w:lang w:val="fr-FR"/>
        </w:rPr>
      </w:pPr>
      <w:r w:rsidRPr="000A3783">
        <w:rPr>
          <w:rFonts w:cs="Arial"/>
          <w:b/>
          <w:u w:val="single"/>
          <w:lang w:val="fr-FR"/>
        </w:rPr>
        <w:t>PROTECTION DES OBTENTIONS VÉGÉTALES</w:t>
      </w:r>
    </w:p>
    <w:p w:rsidR="00023109" w:rsidRPr="000A3783" w:rsidRDefault="00023109" w:rsidP="00023109">
      <w:pPr>
        <w:spacing w:after="240"/>
        <w:rPr>
          <w:rFonts w:cs="Arial"/>
          <w:b/>
          <w:u w:val="single"/>
        </w:rPr>
      </w:pPr>
      <w:r>
        <w:rPr>
          <w:rFonts w:cs="Arial"/>
          <w:b/>
        </w:rPr>
        <w:t>1)</w:t>
      </w:r>
      <w:r>
        <w:rPr>
          <w:rFonts w:cs="Arial"/>
          <w:b/>
        </w:rPr>
        <w:tab/>
      </w:r>
      <w:r w:rsidRPr="000A3783">
        <w:rPr>
          <w:rFonts w:cs="Arial"/>
          <w:b/>
          <w:u w:val="single"/>
        </w:rPr>
        <w:t>Législation</w:t>
      </w:r>
    </w:p>
    <w:p w:rsidR="00023109" w:rsidRDefault="00023109" w:rsidP="00023109">
      <w:pPr>
        <w:pStyle w:val="ListBullet"/>
        <w:numPr>
          <w:ilvl w:val="0"/>
          <w:numId w:val="0"/>
        </w:numPr>
        <w:tabs>
          <w:tab w:val="left" w:pos="567"/>
        </w:tabs>
        <w:rPr>
          <w:rFonts w:cs="Arial"/>
          <w:b/>
          <w:i/>
          <w:u w:val="single"/>
          <w:lang w:val="fr-FR"/>
        </w:rPr>
      </w:pPr>
      <w:r>
        <w:rPr>
          <w:rFonts w:cs="Arial"/>
          <w:i/>
          <w:u w:val="single"/>
          <w:lang w:val="fr-FR"/>
        </w:rPr>
        <w:t>1.0</w:t>
      </w:r>
      <w:r>
        <w:rPr>
          <w:rFonts w:cs="Arial"/>
          <w:i/>
          <w:u w:val="single"/>
          <w:lang w:val="fr-FR"/>
        </w:rPr>
        <w:tab/>
      </w:r>
      <w:r w:rsidRPr="000A3783">
        <w:rPr>
          <w:rFonts w:cs="Arial"/>
          <w:i/>
          <w:u w:val="single"/>
          <w:lang w:val="fr-FR"/>
        </w:rPr>
        <w:t>Généra</w:t>
      </w:r>
      <w:r>
        <w:rPr>
          <w:rFonts w:cs="Arial"/>
          <w:i/>
          <w:u w:val="single"/>
          <w:lang w:val="fr-FR"/>
        </w:rPr>
        <w:t>l</w:t>
      </w:r>
      <w:r w:rsidRPr="000A3783">
        <w:rPr>
          <w:rFonts w:cs="Arial"/>
          <w:i/>
          <w:u w:val="single"/>
          <w:lang w:val="fr-FR"/>
        </w:rPr>
        <w:t>ités</w:t>
      </w:r>
    </w:p>
    <w:p w:rsidR="00023109" w:rsidRPr="000A3783" w:rsidRDefault="00023109" w:rsidP="00023109">
      <w:pPr>
        <w:spacing w:after="240"/>
        <w:rPr>
          <w:rFonts w:cs="Arial"/>
        </w:rPr>
      </w:pPr>
      <w:r w:rsidRPr="000A3783">
        <w:rPr>
          <w:rFonts w:cs="Arial"/>
        </w:rPr>
        <w:t>L</w:t>
      </w:r>
      <w:r>
        <w:rPr>
          <w:rFonts w:cs="Arial"/>
        </w:rPr>
        <w:t>’</w:t>
      </w:r>
      <w:r w:rsidRPr="000A3783">
        <w:rPr>
          <w:rFonts w:cs="Arial"/>
        </w:rPr>
        <w:t xml:space="preserve">Union européenne </w:t>
      </w:r>
      <w:r>
        <w:rPr>
          <w:rFonts w:cs="Arial"/>
        </w:rPr>
        <w:t xml:space="preserve">(UE) </w:t>
      </w:r>
      <w:r w:rsidRPr="000A3783">
        <w:rPr>
          <w:rFonts w:cs="Arial"/>
        </w:rPr>
        <w:t>a été présidée par l</w:t>
      </w:r>
      <w:r>
        <w:rPr>
          <w:rFonts w:cs="Arial"/>
        </w:rPr>
        <w:t>’</w:t>
      </w:r>
      <w:r w:rsidRPr="000A3783">
        <w:rPr>
          <w:rFonts w:cs="Arial"/>
        </w:rPr>
        <w:t>Italie du 1</w:t>
      </w:r>
      <w:r w:rsidRPr="000A3783">
        <w:rPr>
          <w:rFonts w:cs="Arial"/>
          <w:vertAlign w:val="superscript"/>
        </w:rPr>
        <w:t>er</w:t>
      </w:r>
      <w:r>
        <w:rPr>
          <w:rFonts w:cs="Arial"/>
        </w:rPr>
        <w:t> </w:t>
      </w:r>
      <w:r w:rsidRPr="000A3783">
        <w:rPr>
          <w:rFonts w:cs="Arial"/>
        </w:rPr>
        <w:t>juillet au 31</w:t>
      </w:r>
      <w:r>
        <w:rPr>
          <w:rFonts w:cs="Arial"/>
        </w:rPr>
        <w:t> </w:t>
      </w:r>
      <w:r w:rsidRPr="000A3783">
        <w:rPr>
          <w:rFonts w:cs="Arial"/>
        </w:rPr>
        <w:t>décembre</w:t>
      </w:r>
      <w:r>
        <w:rPr>
          <w:rFonts w:cs="Arial"/>
        </w:rPr>
        <w:t> </w:t>
      </w:r>
      <w:r w:rsidRPr="000A3783">
        <w:rPr>
          <w:rFonts w:cs="Arial"/>
        </w:rPr>
        <w:t>2014, par la Lettonie du 1</w:t>
      </w:r>
      <w:r w:rsidRPr="000A3783">
        <w:rPr>
          <w:rFonts w:cs="Arial"/>
          <w:vertAlign w:val="superscript"/>
        </w:rPr>
        <w:t>er</w:t>
      </w:r>
      <w:r>
        <w:rPr>
          <w:rFonts w:cs="Arial"/>
        </w:rPr>
        <w:t> </w:t>
      </w:r>
      <w:r w:rsidRPr="000A3783">
        <w:rPr>
          <w:rFonts w:cs="Arial"/>
        </w:rPr>
        <w:t>janvier au 30</w:t>
      </w:r>
      <w:r>
        <w:rPr>
          <w:rFonts w:cs="Arial"/>
        </w:rPr>
        <w:t> </w:t>
      </w:r>
      <w:r w:rsidRPr="000A3783">
        <w:rPr>
          <w:rFonts w:cs="Arial"/>
        </w:rPr>
        <w:t>juin</w:t>
      </w:r>
      <w:r>
        <w:rPr>
          <w:rFonts w:cs="Arial"/>
        </w:rPr>
        <w:t> </w:t>
      </w:r>
      <w:r w:rsidRPr="000A3783">
        <w:rPr>
          <w:rFonts w:cs="Arial"/>
        </w:rPr>
        <w:t>2015 et par le Luxembourg du 1</w:t>
      </w:r>
      <w:r w:rsidRPr="000A3783">
        <w:rPr>
          <w:rFonts w:cs="Arial"/>
          <w:vertAlign w:val="superscript"/>
        </w:rPr>
        <w:t>er</w:t>
      </w:r>
      <w:r>
        <w:rPr>
          <w:rFonts w:cs="Arial"/>
        </w:rPr>
        <w:t> </w:t>
      </w:r>
      <w:r w:rsidRPr="000A3783">
        <w:rPr>
          <w:rFonts w:cs="Arial"/>
        </w:rPr>
        <w:t>juillet au 31</w:t>
      </w:r>
      <w:r>
        <w:rPr>
          <w:rFonts w:cs="Arial"/>
        </w:rPr>
        <w:t> </w:t>
      </w:r>
      <w:r w:rsidRPr="000A3783">
        <w:rPr>
          <w:rFonts w:cs="Arial"/>
        </w:rPr>
        <w:t>décembre</w:t>
      </w:r>
      <w:r>
        <w:rPr>
          <w:rFonts w:cs="Arial"/>
        </w:rPr>
        <w:t> </w:t>
      </w:r>
      <w:r w:rsidRPr="000A3783">
        <w:rPr>
          <w:rFonts w:cs="Arial"/>
        </w:rPr>
        <w:t>2015.</w:t>
      </w:r>
    </w:p>
    <w:p w:rsidR="00023109" w:rsidRPr="000A3783" w:rsidRDefault="00023109" w:rsidP="00023109">
      <w:pPr>
        <w:spacing w:after="240"/>
        <w:rPr>
          <w:rFonts w:cs="Arial"/>
          <w:i/>
          <w:u w:val="single"/>
        </w:rPr>
      </w:pPr>
      <w:r>
        <w:rPr>
          <w:rFonts w:cs="Arial"/>
          <w:i/>
          <w:u w:val="single"/>
        </w:rPr>
        <w:t>1.1</w:t>
      </w:r>
      <w:r>
        <w:rPr>
          <w:rFonts w:cs="Arial"/>
          <w:i/>
          <w:u w:val="single"/>
        </w:rPr>
        <w:tab/>
      </w:r>
      <w:r w:rsidRPr="000A3783">
        <w:rPr>
          <w:rFonts w:cs="Arial"/>
          <w:i/>
          <w:u w:val="single"/>
        </w:rPr>
        <w:t>Modifications de la loi et des textes d</w:t>
      </w:r>
      <w:r>
        <w:rPr>
          <w:rFonts w:cs="Arial"/>
          <w:i/>
          <w:u w:val="single"/>
        </w:rPr>
        <w:t>’</w:t>
      </w:r>
      <w:r w:rsidRPr="000A3783">
        <w:rPr>
          <w:rFonts w:cs="Arial"/>
          <w:i/>
          <w:u w:val="single"/>
        </w:rPr>
        <w:t>application</w:t>
      </w:r>
    </w:p>
    <w:p w:rsidR="00023109" w:rsidRDefault="00023109" w:rsidP="00023109">
      <w:pPr>
        <w:spacing w:after="240"/>
        <w:rPr>
          <w:rFonts w:cs="Arial"/>
          <w:i/>
        </w:rPr>
      </w:pPr>
      <w:r w:rsidRPr="000A3783">
        <w:rPr>
          <w:rFonts w:cs="Arial"/>
          <w:i/>
        </w:rPr>
        <w:t>Le règlement d</w:t>
      </w:r>
      <w:r>
        <w:rPr>
          <w:rFonts w:cs="Arial"/>
          <w:i/>
        </w:rPr>
        <w:t>’</w:t>
      </w:r>
      <w:r w:rsidRPr="000A3783">
        <w:rPr>
          <w:rFonts w:cs="Arial"/>
          <w:i/>
        </w:rPr>
        <w:t>exécution de la Commission (UE) n°</w:t>
      </w:r>
      <w:r>
        <w:rPr>
          <w:rFonts w:cs="Arial"/>
          <w:i/>
        </w:rPr>
        <w:t> </w:t>
      </w:r>
      <w:r w:rsidRPr="000A3783">
        <w:rPr>
          <w:rFonts w:cs="Arial"/>
          <w:i/>
        </w:rPr>
        <w:t>1294/2014 du 4</w:t>
      </w:r>
      <w:r>
        <w:rPr>
          <w:rFonts w:cs="Arial"/>
          <w:i/>
        </w:rPr>
        <w:t> </w:t>
      </w:r>
      <w:r w:rsidRPr="000A3783">
        <w:rPr>
          <w:rFonts w:cs="Arial"/>
          <w:i/>
        </w:rPr>
        <w:t>décembre</w:t>
      </w:r>
      <w:r>
        <w:rPr>
          <w:rFonts w:cs="Arial"/>
          <w:i/>
        </w:rPr>
        <w:t> </w:t>
      </w:r>
      <w:r w:rsidRPr="000A3783">
        <w:rPr>
          <w:rFonts w:cs="Arial"/>
          <w:i/>
        </w:rPr>
        <w:t>2014 modifiant le règlement (CE) n°</w:t>
      </w:r>
      <w:r>
        <w:rPr>
          <w:rFonts w:cs="Arial"/>
          <w:i/>
        </w:rPr>
        <w:t> </w:t>
      </w:r>
      <w:r w:rsidRPr="000A3783">
        <w:rPr>
          <w:rFonts w:cs="Arial"/>
          <w:i/>
        </w:rPr>
        <w:t>1238/95 en ce qui concerne le montant de la taxe de demande et de la taxe d</w:t>
      </w:r>
      <w:r>
        <w:rPr>
          <w:rFonts w:cs="Arial"/>
          <w:i/>
        </w:rPr>
        <w:t>’</w:t>
      </w:r>
      <w:r w:rsidRPr="000A3783">
        <w:rPr>
          <w:rFonts w:cs="Arial"/>
          <w:i/>
        </w:rPr>
        <w:t>examen dues à l</w:t>
      </w:r>
      <w:r>
        <w:rPr>
          <w:rFonts w:cs="Arial"/>
          <w:i/>
        </w:rPr>
        <w:t>’</w:t>
      </w:r>
      <w:r w:rsidRPr="000A3783">
        <w:rPr>
          <w:rFonts w:cs="Arial"/>
          <w:i/>
        </w:rPr>
        <w:t>OCVV.</w:t>
      </w:r>
    </w:p>
    <w:p w:rsidR="00023109" w:rsidRDefault="00023109" w:rsidP="00023109">
      <w:pPr>
        <w:spacing w:after="240"/>
        <w:rPr>
          <w:rFonts w:cs="Arial"/>
        </w:rPr>
      </w:pPr>
      <w:r w:rsidRPr="000A3783">
        <w:rPr>
          <w:rFonts w:cs="Arial"/>
        </w:rPr>
        <w:t>L</w:t>
      </w:r>
      <w:r>
        <w:rPr>
          <w:rFonts w:cs="Arial"/>
        </w:rPr>
        <w:t>’</w:t>
      </w:r>
      <w:r w:rsidRPr="000A3783">
        <w:rPr>
          <w:rFonts w:cs="Arial"/>
        </w:rPr>
        <w:t>article</w:t>
      </w:r>
      <w:r>
        <w:rPr>
          <w:rFonts w:cs="Arial"/>
        </w:rPr>
        <w:t> </w:t>
      </w:r>
      <w:r w:rsidRPr="000A3783">
        <w:rPr>
          <w:rFonts w:cs="Arial"/>
        </w:rPr>
        <w:t>7</w:t>
      </w:r>
      <w:r>
        <w:rPr>
          <w:rFonts w:cs="Arial"/>
        </w:rPr>
        <w:t>,</w:t>
      </w:r>
      <w:r w:rsidRPr="000A3783">
        <w:rPr>
          <w:rFonts w:cs="Arial"/>
        </w:rPr>
        <w:t xml:space="preserve"> paragraphe</w:t>
      </w:r>
      <w:r>
        <w:rPr>
          <w:rFonts w:cs="Arial"/>
        </w:rPr>
        <w:t> </w:t>
      </w:r>
      <w:r w:rsidRPr="000A3783">
        <w:rPr>
          <w:rFonts w:cs="Arial"/>
        </w:rPr>
        <w:t>7</w:t>
      </w:r>
      <w:r>
        <w:rPr>
          <w:rFonts w:cs="Arial"/>
        </w:rPr>
        <w:t>,</w:t>
      </w:r>
      <w:r w:rsidRPr="000A3783">
        <w:rPr>
          <w:rFonts w:cs="Arial"/>
        </w:rPr>
        <w:t xml:space="preserve"> a été modifié en ce qui concerne le niveau de la taxe de demande retenue pour l</w:t>
      </w:r>
      <w:r>
        <w:rPr>
          <w:rFonts w:cs="Arial"/>
        </w:rPr>
        <w:t>’</w:t>
      </w:r>
      <w:r w:rsidRPr="000A3783">
        <w:rPr>
          <w:rFonts w:cs="Arial"/>
        </w:rPr>
        <w:t>instruction des demandes d</w:t>
      </w:r>
      <w:r>
        <w:rPr>
          <w:rFonts w:cs="Arial"/>
        </w:rPr>
        <w:t>’</w:t>
      </w:r>
      <w:r w:rsidRPr="000A3783">
        <w:rPr>
          <w:rFonts w:cs="Arial"/>
        </w:rPr>
        <w:t>octroi de la protection communautaire des obtentions végétales considérées comme n</w:t>
      </w:r>
      <w:r>
        <w:rPr>
          <w:rFonts w:cs="Arial"/>
        </w:rPr>
        <w:t>’</w:t>
      </w:r>
      <w:r w:rsidRPr="000A3783">
        <w:rPr>
          <w:rFonts w:cs="Arial"/>
        </w:rPr>
        <w:t>étant pas valides.  Le montant est passé de 300 à 200</w:t>
      </w:r>
      <w:r>
        <w:rPr>
          <w:rFonts w:cs="Arial"/>
        </w:rPr>
        <w:t xml:space="preserve"> euros</w:t>
      </w:r>
      <w:r w:rsidRPr="000A3783">
        <w:rPr>
          <w:rFonts w:cs="Arial"/>
        </w:rPr>
        <w:t>.</w:t>
      </w:r>
    </w:p>
    <w:p w:rsidR="00023109" w:rsidRPr="000A3783" w:rsidRDefault="00023109" w:rsidP="00023109">
      <w:pPr>
        <w:spacing w:after="240"/>
        <w:rPr>
          <w:rFonts w:cs="Arial"/>
        </w:rPr>
      </w:pPr>
      <w:r w:rsidRPr="000A3783">
        <w:rPr>
          <w:rFonts w:cs="Arial"/>
        </w:rPr>
        <w:t>Les taxes afférentes à l</w:t>
      </w:r>
      <w:r>
        <w:rPr>
          <w:rFonts w:cs="Arial"/>
        </w:rPr>
        <w:t>’</w:t>
      </w:r>
      <w:r w:rsidRPr="000A3783">
        <w:rPr>
          <w:rFonts w:cs="Arial"/>
        </w:rPr>
        <w:t>exécution de l</w:t>
      </w:r>
      <w:r>
        <w:rPr>
          <w:rFonts w:cs="Arial"/>
        </w:rPr>
        <w:t>’</w:t>
      </w:r>
      <w:r w:rsidRPr="000A3783">
        <w:rPr>
          <w:rFonts w:cs="Arial"/>
        </w:rPr>
        <w:t>examen technique visées à l</w:t>
      </w:r>
      <w:r>
        <w:rPr>
          <w:rFonts w:cs="Arial"/>
        </w:rPr>
        <w:t>’</w:t>
      </w:r>
      <w:r w:rsidRPr="000A3783">
        <w:rPr>
          <w:rFonts w:cs="Arial"/>
        </w:rPr>
        <w:t>article</w:t>
      </w:r>
      <w:r>
        <w:rPr>
          <w:rFonts w:cs="Arial"/>
        </w:rPr>
        <w:t> </w:t>
      </w:r>
      <w:r w:rsidRPr="000A3783">
        <w:rPr>
          <w:rFonts w:cs="Arial"/>
        </w:rPr>
        <w:t>8 ont été actualisées pour</w:t>
      </w:r>
      <w:r>
        <w:rPr>
          <w:rFonts w:cs="Arial"/>
        </w:rPr>
        <w:t xml:space="preserve"> t</w:t>
      </w:r>
      <w:r w:rsidRPr="000A3783">
        <w:rPr>
          <w:rFonts w:cs="Arial"/>
        </w:rPr>
        <w:t xml:space="preserve">ous les groupes de taxes. </w:t>
      </w:r>
      <w:r>
        <w:rPr>
          <w:rFonts w:cs="Arial"/>
        </w:rPr>
        <w:t xml:space="preserve"> </w:t>
      </w:r>
      <w:r w:rsidRPr="000A3783">
        <w:rPr>
          <w:rFonts w:cs="Arial"/>
        </w:rPr>
        <w:t xml:space="preserve">Les </w:t>
      </w:r>
      <w:r>
        <w:rPr>
          <w:rFonts w:cs="Arial"/>
        </w:rPr>
        <w:t>nouveaux</w:t>
      </w:r>
      <w:r w:rsidRPr="000A3783">
        <w:rPr>
          <w:rFonts w:cs="Arial"/>
        </w:rPr>
        <w:t xml:space="preserve"> groupes de taxes sont publiés sur le site</w:t>
      </w:r>
      <w:r>
        <w:rPr>
          <w:rFonts w:cs="Arial"/>
        </w:rPr>
        <w:t> </w:t>
      </w:r>
      <w:r w:rsidRPr="000A3783">
        <w:rPr>
          <w:rFonts w:cs="Arial"/>
        </w:rPr>
        <w:t>Web de l</w:t>
      </w:r>
      <w:r>
        <w:rPr>
          <w:rFonts w:cs="Arial"/>
        </w:rPr>
        <w:t>’</w:t>
      </w:r>
      <w:r w:rsidRPr="000A3783">
        <w:rPr>
          <w:rFonts w:cs="Arial"/>
        </w:rPr>
        <w:t>OCVV.</w:t>
      </w:r>
      <w:r>
        <w:rPr>
          <w:rFonts w:cs="Arial"/>
        </w:rPr>
        <w:t xml:space="preserve"> </w:t>
      </w:r>
      <w:r w:rsidRPr="000A3783">
        <w:rPr>
          <w:rFonts w:cs="Arial"/>
        </w:rPr>
        <w:t xml:space="preserve"> (</w:t>
      </w:r>
      <w:hyperlink r:id="rId39" w:history="1">
        <w:r w:rsidRPr="000A3783">
          <w:rPr>
            <w:rStyle w:val="Hyperlink"/>
            <w:rFonts w:cs="Arial"/>
          </w:rPr>
          <w:t>http://www.cpvo.europa.eu/main/fr/home/methods</w:t>
        </w:r>
        <w:r>
          <w:rPr>
            <w:rStyle w:val="Hyperlink"/>
            <w:rFonts w:cs="Arial"/>
          </w:rPr>
          <w:noBreakHyphen/>
        </w:r>
        <w:r w:rsidRPr="000A3783">
          <w:rPr>
            <w:rStyle w:val="Hyperlink"/>
            <w:rFonts w:cs="Arial"/>
          </w:rPr>
          <w:t>of</w:t>
        </w:r>
        <w:r>
          <w:rPr>
            <w:rStyle w:val="Hyperlink"/>
            <w:rFonts w:cs="Arial"/>
          </w:rPr>
          <w:noBreakHyphen/>
        </w:r>
        <w:r w:rsidRPr="000A3783">
          <w:rPr>
            <w:rStyle w:val="Hyperlink"/>
            <w:rFonts w:cs="Arial"/>
          </w:rPr>
          <w:t>payment/applicable</w:t>
        </w:r>
        <w:r>
          <w:rPr>
            <w:rStyle w:val="Hyperlink"/>
            <w:rFonts w:cs="Arial"/>
          </w:rPr>
          <w:noBreakHyphen/>
        </w:r>
        <w:r w:rsidRPr="000A3783">
          <w:rPr>
            <w:rStyle w:val="Hyperlink"/>
            <w:rFonts w:cs="Arial"/>
          </w:rPr>
          <w:t>fees/examination</w:t>
        </w:r>
        <w:r>
          <w:rPr>
            <w:rStyle w:val="Hyperlink"/>
            <w:rFonts w:cs="Arial"/>
          </w:rPr>
          <w:noBreakHyphen/>
        </w:r>
        <w:r w:rsidRPr="000A3783">
          <w:rPr>
            <w:rStyle w:val="Hyperlink"/>
            <w:rFonts w:cs="Arial"/>
          </w:rPr>
          <w:t>fees</w:t>
        </w:r>
      </w:hyperlink>
      <w:r w:rsidRPr="000A3783">
        <w:rPr>
          <w:rFonts w:cs="Arial"/>
        </w:rPr>
        <w:t>)</w:t>
      </w:r>
    </w:p>
    <w:p w:rsidR="00023109" w:rsidRPr="000A3783" w:rsidRDefault="00023109" w:rsidP="00023109">
      <w:pPr>
        <w:spacing w:after="240"/>
        <w:rPr>
          <w:rFonts w:cs="Arial"/>
          <w:i/>
          <w:u w:val="single"/>
        </w:rPr>
      </w:pPr>
      <w:r>
        <w:rPr>
          <w:rFonts w:cs="Arial"/>
          <w:i/>
          <w:u w:val="single"/>
        </w:rPr>
        <w:t>1.2</w:t>
      </w:r>
      <w:r>
        <w:rPr>
          <w:rFonts w:cs="Arial"/>
          <w:i/>
          <w:u w:val="single"/>
        </w:rPr>
        <w:tab/>
      </w:r>
      <w:r w:rsidRPr="000A3783">
        <w:rPr>
          <w:rFonts w:cs="Arial"/>
          <w:i/>
          <w:u w:val="single"/>
        </w:rPr>
        <w:t>Jurisprudence</w:t>
      </w:r>
      <w:r>
        <w:rPr>
          <w:rFonts w:cs="Arial"/>
          <w:i/>
          <w:u w:val="single"/>
        </w:rPr>
        <w:t> </w:t>
      </w:r>
      <w:r w:rsidRPr="000A3783">
        <w:rPr>
          <w:rFonts w:cs="Arial"/>
          <w:i/>
          <w:u w:val="single"/>
        </w:rPr>
        <w:t>:</w:t>
      </w:r>
    </w:p>
    <w:p w:rsidR="00023109" w:rsidRDefault="00023109" w:rsidP="00023109">
      <w:pPr>
        <w:spacing w:after="240"/>
        <w:ind w:left="720"/>
        <w:rPr>
          <w:rFonts w:cs="Arial"/>
        </w:rPr>
      </w:pPr>
      <w:r>
        <w:rPr>
          <w:rFonts w:cs="Arial"/>
          <w:i/>
        </w:rPr>
        <w:t>a)</w:t>
      </w:r>
      <w:r>
        <w:rPr>
          <w:rFonts w:cs="Arial"/>
          <w:i/>
        </w:rPr>
        <w:tab/>
        <w:t>Arrêt d</w:t>
      </w:r>
      <w:r w:rsidRPr="000A3783">
        <w:rPr>
          <w:rFonts w:cs="Arial"/>
          <w:i/>
        </w:rPr>
        <w:t>u 21</w:t>
      </w:r>
      <w:r>
        <w:rPr>
          <w:rFonts w:cs="Arial"/>
          <w:i/>
        </w:rPr>
        <w:t> </w:t>
      </w:r>
      <w:r w:rsidRPr="000A3783">
        <w:rPr>
          <w:rFonts w:cs="Arial"/>
          <w:i/>
        </w:rPr>
        <w:t>mai</w:t>
      </w:r>
      <w:r>
        <w:rPr>
          <w:rFonts w:cs="Arial"/>
          <w:i/>
        </w:rPr>
        <w:t> </w:t>
      </w:r>
      <w:r w:rsidRPr="000A3783">
        <w:rPr>
          <w:rFonts w:cs="Arial"/>
          <w:i/>
        </w:rPr>
        <w:t>2015 rendu par la Cour de justice de l</w:t>
      </w:r>
      <w:r>
        <w:rPr>
          <w:rFonts w:cs="Arial"/>
          <w:i/>
        </w:rPr>
        <w:t>’</w:t>
      </w:r>
      <w:r w:rsidRPr="000A3783">
        <w:rPr>
          <w:rFonts w:cs="Arial"/>
          <w:i/>
        </w:rPr>
        <w:t>Union européenne dans l</w:t>
      </w:r>
      <w:r>
        <w:rPr>
          <w:rFonts w:cs="Arial"/>
          <w:i/>
        </w:rPr>
        <w:t>’</w:t>
      </w:r>
      <w:r w:rsidRPr="000A3783">
        <w:rPr>
          <w:rFonts w:cs="Arial"/>
          <w:i/>
        </w:rPr>
        <w:t>affaire C</w:t>
      </w:r>
      <w:r>
        <w:rPr>
          <w:rFonts w:cs="Arial"/>
          <w:i/>
        </w:rPr>
        <w:noBreakHyphen/>
      </w:r>
      <w:r w:rsidRPr="000A3783">
        <w:rPr>
          <w:rFonts w:cs="Arial"/>
          <w:i/>
        </w:rPr>
        <w:t xml:space="preserve">546/12P, Ralf </w:t>
      </w:r>
      <w:proofErr w:type="spellStart"/>
      <w:r w:rsidRPr="000A3783">
        <w:rPr>
          <w:rFonts w:cs="Arial"/>
          <w:i/>
        </w:rPr>
        <w:t>Schräder</w:t>
      </w:r>
      <w:proofErr w:type="spellEnd"/>
      <w:r w:rsidRPr="000A3783">
        <w:rPr>
          <w:rFonts w:cs="Arial"/>
          <w:i/>
        </w:rPr>
        <w:t xml:space="preserve"> c.</w:t>
      </w:r>
      <w:r>
        <w:rPr>
          <w:rFonts w:cs="Arial"/>
          <w:i/>
        </w:rPr>
        <w:t> </w:t>
      </w:r>
      <w:r w:rsidRPr="000A3783">
        <w:rPr>
          <w:rFonts w:cs="Arial"/>
          <w:i/>
        </w:rPr>
        <w:t xml:space="preserve">OCVV et </w:t>
      </w:r>
      <w:proofErr w:type="spellStart"/>
      <w:r>
        <w:rPr>
          <w:rFonts w:cs="Arial"/>
          <w:i/>
        </w:rPr>
        <w:t>Jørn</w:t>
      </w:r>
      <w:proofErr w:type="spellEnd"/>
      <w:r>
        <w:rPr>
          <w:rFonts w:cs="Arial"/>
          <w:i/>
        </w:rPr>
        <w:t xml:space="preserve"> </w:t>
      </w:r>
      <w:proofErr w:type="spellStart"/>
      <w:r>
        <w:rPr>
          <w:rFonts w:cs="Arial"/>
          <w:i/>
        </w:rPr>
        <w:t>Hansson</w:t>
      </w:r>
      <w:proofErr w:type="spellEnd"/>
      <w:r>
        <w:rPr>
          <w:rFonts w:cs="Arial"/>
          <w:i/>
        </w:rPr>
        <w:t xml:space="preserve"> (‘</w:t>
      </w:r>
      <w:proofErr w:type="spellStart"/>
      <w:r>
        <w:rPr>
          <w:rFonts w:cs="Arial"/>
          <w:i/>
        </w:rPr>
        <w:t>Lemon</w:t>
      </w:r>
      <w:proofErr w:type="spellEnd"/>
      <w:r w:rsidRPr="000A3783">
        <w:rPr>
          <w:rFonts w:cs="Arial"/>
          <w:i/>
        </w:rPr>
        <w:t xml:space="preserve"> </w:t>
      </w:r>
      <w:proofErr w:type="spellStart"/>
      <w:r w:rsidRPr="000A3783">
        <w:rPr>
          <w:rFonts w:cs="Arial"/>
          <w:i/>
        </w:rPr>
        <w:t>Symphony</w:t>
      </w:r>
      <w:proofErr w:type="spellEnd"/>
      <w:r>
        <w:rPr>
          <w:rFonts w:cs="Arial"/>
          <w:i/>
        </w:rPr>
        <w:t>’</w:t>
      </w:r>
      <w:r w:rsidRPr="000A3783">
        <w:rPr>
          <w:rFonts w:cs="Arial"/>
          <w:i/>
        </w:rPr>
        <w:t>) concernant un pourvoi formé contre l</w:t>
      </w:r>
      <w:r>
        <w:rPr>
          <w:rFonts w:cs="Arial"/>
          <w:i/>
        </w:rPr>
        <w:t>’</w:t>
      </w:r>
      <w:r w:rsidRPr="000A3783">
        <w:rPr>
          <w:rFonts w:cs="Arial"/>
          <w:i/>
        </w:rPr>
        <w:t>arrêt du Tribunal de l</w:t>
      </w:r>
      <w:r>
        <w:rPr>
          <w:rFonts w:cs="Arial"/>
          <w:i/>
        </w:rPr>
        <w:t>’</w:t>
      </w:r>
      <w:r w:rsidRPr="000A3783">
        <w:rPr>
          <w:rFonts w:cs="Arial"/>
          <w:i/>
        </w:rPr>
        <w:t>Union européenne dans les affaires jointes T</w:t>
      </w:r>
      <w:r>
        <w:rPr>
          <w:rFonts w:cs="Arial"/>
          <w:i/>
        </w:rPr>
        <w:noBreakHyphen/>
      </w:r>
      <w:r w:rsidRPr="000A3783">
        <w:rPr>
          <w:rFonts w:cs="Arial"/>
          <w:i/>
        </w:rPr>
        <w:t>133/08, T</w:t>
      </w:r>
      <w:r>
        <w:rPr>
          <w:rFonts w:cs="Arial"/>
          <w:i/>
        </w:rPr>
        <w:noBreakHyphen/>
      </w:r>
      <w:r w:rsidRPr="000A3783">
        <w:rPr>
          <w:rFonts w:cs="Arial"/>
          <w:i/>
        </w:rPr>
        <w:t>134/08, T</w:t>
      </w:r>
      <w:r>
        <w:rPr>
          <w:rFonts w:cs="Arial"/>
          <w:i/>
        </w:rPr>
        <w:noBreakHyphen/>
      </w:r>
      <w:r w:rsidRPr="000A3783">
        <w:rPr>
          <w:rFonts w:cs="Arial"/>
          <w:i/>
        </w:rPr>
        <w:t>177/08 et T</w:t>
      </w:r>
      <w:r>
        <w:rPr>
          <w:rFonts w:cs="Arial"/>
          <w:i/>
        </w:rPr>
        <w:noBreakHyphen/>
      </w:r>
      <w:r w:rsidRPr="000A3783">
        <w:rPr>
          <w:rFonts w:cs="Arial"/>
          <w:i/>
        </w:rPr>
        <w:t>242/09, par lequel celui</w:t>
      </w:r>
      <w:r>
        <w:rPr>
          <w:rFonts w:cs="Arial"/>
          <w:i/>
        </w:rPr>
        <w:noBreakHyphen/>
      </w:r>
      <w:r w:rsidRPr="000A3783">
        <w:rPr>
          <w:rFonts w:cs="Arial"/>
          <w:i/>
        </w:rPr>
        <w:t>ci a rejeté le recours formé contre la décision de la chambre de recours de l</w:t>
      </w:r>
      <w:r>
        <w:rPr>
          <w:rFonts w:cs="Arial"/>
          <w:i/>
        </w:rPr>
        <w:t>’</w:t>
      </w:r>
      <w:r w:rsidRPr="000A3783">
        <w:rPr>
          <w:rFonts w:cs="Arial"/>
          <w:i/>
        </w:rPr>
        <w:t xml:space="preserve">Office </w:t>
      </w:r>
      <w:r>
        <w:rPr>
          <w:rFonts w:cs="Arial"/>
          <w:i/>
        </w:rPr>
        <w:t>communautaire</w:t>
      </w:r>
      <w:r w:rsidRPr="000A3783">
        <w:rPr>
          <w:rFonts w:cs="Arial"/>
          <w:i/>
        </w:rPr>
        <w:t xml:space="preserve"> du 23</w:t>
      </w:r>
      <w:r>
        <w:rPr>
          <w:rFonts w:cs="Arial"/>
          <w:i/>
        </w:rPr>
        <w:t> </w:t>
      </w:r>
      <w:r w:rsidRPr="000A3783">
        <w:rPr>
          <w:rFonts w:cs="Arial"/>
          <w:i/>
        </w:rPr>
        <w:t>janvier</w:t>
      </w:r>
      <w:r>
        <w:rPr>
          <w:rFonts w:cs="Arial"/>
          <w:i/>
        </w:rPr>
        <w:t> </w:t>
      </w:r>
      <w:r w:rsidRPr="000A3783">
        <w:rPr>
          <w:rFonts w:cs="Arial"/>
          <w:i/>
        </w:rPr>
        <w:t>2009 (affaire A 010/2007), concernant une demande d</w:t>
      </w:r>
      <w:r>
        <w:rPr>
          <w:rFonts w:cs="Arial"/>
          <w:i/>
        </w:rPr>
        <w:t>’</w:t>
      </w:r>
      <w:r w:rsidRPr="000A3783">
        <w:rPr>
          <w:rFonts w:cs="Arial"/>
          <w:i/>
        </w:rPr>
        <w:t xml:space="preserve">annulation de la protection communautaire des obtentions végétales accordée à la variété </w:t>
      </w:r>
      <w:r>
        <w:rPr>
          <w:rFonts w:cs="Arial"/>
          <w:i/>
        </w:rPr>
        <w:t>‘</w:t>
      </w:r>
      <w:proofErr w:type="spellStart"/>
      <w:r w:rsidRPr="000A3783">
        <w:rPr>
          <w:rFonts w:cs="Arial"/>
          <w:i/>
        </w:rPr>
        <w:t>Lemon</w:t>
      </w:r>
      <w:proofErr w:type="spellEnd"/>
      <w:r w:rsidRPr="000A3783">
        <w:rPr>
          <w:rFonts w:cs="Arial"/>
          <w:i/>
        </w:rPr>
        <w:t xml:space="preserve"> </w:t>
      </w:r>
      <w:proofErr w:type="spellStart"/>
      <w:r w:rsidRPr="000A3783">
        <w:rPr>
          <w:rFonts w:cs="Arial"/>
          <w:i/>
        </w:rPr>
        <w:t>Symphony</w:t>
      </w:r>
      <w:proofErr w:type="spellEnd"/>
      <w:r>
        <w:rPr>
          <w:rFonts w:cs="Arial"/>
          <w:i/>
        </w:rPr>
        <w:t>’</w:t>
      </w:r>
      <w:r w:rsidRPr="000A3783">
        <w:rPr>
          <w:rFonts w:cs="Arial"/>
          <w:i/>
        </w:rPr>
        <w:t>.</w:t>
      </w:r>
    </w:p>
    <w:p w:rsidR="00023109" w:rsidRDefault="00023109" w:rsidP="00023109">
      <w:pPr>
        <w:spacing w:after="240"/>
        <w:rPr>
          <w:rFonts w:cs="Arial"/>
        </w:rPr>
      </w:pPr>
      <w:r w:rsidRPr="000A3783">
        <w:rPr>
          <w:rFonts w:cs="Arial"/>
        </w:rPr>
        <w:t>La Cour de justice</w:t>
      </w:r>
      <w:r w:rsidRPr="000A3783">
        <w:rPr>
          <w:rFonts w:cs="Arial"/>
          <w:i/>
        </w:rPr>
        <w:t xml:space="preserve"> </w:t>
      </w:r>
      <w:r w:rsidRPr="000A3783">
        <w:rPr>
          <w:rFonts w:cs="Arial"/>
        </w:rPr>
        <w:t xml:space="preserve">a rejeté le </w:t>
      </w:r>
      <w:r>
        <w:rPr>
          <w:rFonts w:cs="Arial"/>
        </w:rPr>
        <w:t>pourvoi</w:t>
      </w:r>
      <w:r w:rsidRPr="000A3783">
        <w:rPr>
          <w:rFonts w:cs="Arial"/>
        </w:rPr>
        <w:t xml:space="preserve"> comme non fondé, et a condamné le requérant </w:t>
      </w:r>
      <w:r>
        <w:rPr>
          <w:rFonts w:cs="Arial"/>
        </w:rPr>
        <w:t>aux dépens</w:t>
      </w:r>
      <w:r w:rsidRPr="000A3783">
        <w:rPr>
          <w:rFonts w:cs="Arial"/>
        </w:rPr>
        <w:t>.  S</w:t>
      </w:r>
      <w:r>
        <w:rPr>
          <w:rFonts w:cs="Arial"/>
        </w:rPr>
        <w:t>’</w:t>
      </w:r>
      <w:r w:rsidRPr="000A3783">
        <w:rPr>
          <w:rFonts w:cs="Arial"/>
        </w:rPr>
        <w:t>agissant du fond, la Cour de justice a confirmé que la disposition relative à l</w:t>
      </w:r>
      <w:r>
        <w:rPr>
          <w:rFonts w:cs="Arial"/>
        </w:rPr>
        <w:t>’</w:t>
      </w:r>
      <w:r w:rsidRPr="000A3783">
        <w:rPr>
          <w:rFonts w:cs="Arial"/>
        </w:rPr>
        <w:t>instruction d</w:t>
      </w:r>
      <w:r>
        <w:rPr>
          <w:rFonts w:cs="Arial"/>
        </w:rPr>
        <w:t>’</w:t>
      </w:r>
      <w:r w:rsidRPr="000A3783">
        <w:rPr>
          <w:rFonts w:cs="Arial"/>
        </w:rPr>
        <w:t>office des faits par l</w:t>
      </w:r>
      <w:r>
        <w:rPr>
          <w:rFonts w:cs="Arial"/>
        </w:rPr>
        <w:t>’</w:t>
      </w:r>
      <w:r w:rsidRPr="000A3783">
        <w:rPr>
          <w:rFonts w:cs="Arial"/>
        </w:rPr>
        <w:t>OCVV concernant l</w:t>
      </w:r>
      <w:r>
        <w:rPr>
          <w:rFonts w:cs="Arial"/>
        </w:rPr>
        <w:t>’</w:t>
      </w:r>
      <w:r w:rsidRPr="000A3783">
        <w:rPr>
          <w:rFonts w:cs="Arial"/>
        </w:rPr>
        <w:t>examen quant au fond et l</w:t>
      </w:r>
      <w:r>
        <w:rPr>
          <w:rFonts w:cs="Arial"/>
        </w:rPr>
        <w:t>’</w:t>
      </w:r>
      <w:r w:rsidRPr="000A3783">
        <w:rPr>
          <w:rFonts w:cs="Arial"/>
        </w:rPr>
        <w:t>examen technique s</w:t>
      </w:r>
      <w:r>
        <w:rPr>
          <w:rFonts w:cs="Arial"/>
        </w:rPr>
        <w:t>’</w:t>
      </w:r>
      <w:r w:rsidRPr="000A3783">
        <w:rPr>
          <w:rFonts w:cs="Arial"/>
        </w:rPr>
        <w:t>applique également à la procédure devant la chambre de recours.</w:t>
      </w:r>
    </w:p>
    <w:p w:rsidR="00023109" w:rsidRDefault="00023109" w:rsidP="00023109">
      <w:pPr>
        <w:spacing w:after="240"/>
        <w:rPr>
          <w:rFonts w:cs="Arial"/>
        </w:rPr>
      </w:pPr>
      <w:r w:rsidRPr="000A3783">
        <w:rPr>
          <w:rFonts w:cs="Arial"/>
        </w:rPr>
        <w:t>En ce qui concerne la procédure en annulation prévue par l</w:t>
      </w:r>
      <w:r>
        <w:rPr>
          <w:rFonts w:cs="Arial"/>
        </w:rPr>
        <w:t>’</w:t>
      </w:r>
      <w:r w:rsidRPr="000A3783">
        <w:rPr>
          <w:rFonts w:cs="Arial"/>
        </w:rPr>
        <w:t>article</w:t>
      </w:r>
      <w:r>
        <w:rPr>
          <w:rFonts w:cs="Arial"/>
        </w:rPr>
        <w:t> </w:t>
      </w:r>
      <w:r w:rsidRPr="000A3783">
        <w:rPr>
          <w:rFonts w:cs="Arial"/>
        </w:rPr>
        <w:t>20.1) du règlement de base, l</w:t>
      </w:r>
      <w:r>
        <w:rPr>
          <w:rFonts w:cs="Arial"/>
        </w:rPr>
        <w:t>’</w:t>
      </w:r>
      <w:r w:rsidRPr="000A3783">
        <w:rPr>
          <w:rFonts w:cs="Arial"/>
        </w:rPr>
        <w:t>OCVV déclare la protection communautaire des obtentions végétales nulle et non avenue s</w:t>
      </w:r>
      <w:r>
        <w:rPr>
          <w:rFonts w:cs="Arial"/>
        </w:rPr>
        <w:t>’</w:t>
      </w:r>
      <w:r w:rsidRPr="000A3783">
        <w:rPr>
          <w:rFonts w:cs="Arial"/>
        </w:rPr>
        <w:t>il est établi que les conditions de distinction et de nouveauté n</w:t>
      </w:r>
      <w:r>
        <w:rPr>
          <w:rFonts w:cs="Arial"/>
        </w:rPr>
        <w:t>’</w:t>
      </w:r>
      <w:r w:rsidRPr="000A3783">
        <w:rPr>
          <w:rFonts w:cs="Arial"/>
        </w:rPr>
        <w:t xml:space="preserve">étaient pas remplies à la date de la délivrance du titre. </w:t>
      </w:r>
      <w:r>
        <w:rPr>
          <w:rFonts w:cs="Arial"/>
        </w:rPr>
        <w:t xml:space="preserve"> </w:t>
      </w:r>
      <w:r w:rsidRPr="000A3783">
        <w:rPr>
          <w:rFonts w:cs="Arial"/>
        </w:rPr>
        <w:t>Ces exigences constituent une condition préalable à l</w:t>
      </w:r>
      <w:r>
        <w:rPr>
          <w:rFonts w:cs="Arial"/>
        </w:rPr>
        <w:t>’</w:t>
      </w:r>
      <w:r w:rsidRPr="000A3783">
        <w:rPr>
          <w:rFonts w:cs="Arial"/>
        </w:rPr>
        <w:t>octroi d</w:t>
      </w:r>
      <w:r>
        <w:rPr>
          <w:rFonts w:cs="Arial"/>
        </w:rPr>
        <w:t>’</w:t>
      </w:r>
      <w:r w:rsidRPr="000A3783">
        <w:rPr>
          <w:rFonts w:cs="Arial"/>
        </w:rPr>
        <w:t>une protection communautaire des obtentions végétales et si ces conditions ne sont pas remplies le titre délivré est illégitime et il est dans l</w:t>
      </w:r>
      <w:r>
        <w:rPr>
          <w:rFonts w:cs="Arial"/>
        </w:rPr>
        <w:t>’</w:t>
      </w:r>
      <w:r w:rsidRPr="000A3783">
        <w:rPr>
          <w:rFonts w:cs="Arial"/>
        </w:rPr>
        <w:t>intérêt général qu</w:t>
      </w:r>
      <w:r>
        <w:rPr>
          <w:rFonts w:cs="Arial"/>
        </w:rPr>
        <w:t>’</w:t>
      </w:r>
      <w:r w:rsidRPr="000A3783">
        <w:rPr>
          <w:rFonts w:cs="Arial"/>
        </w:rPr>
        <w:t xml:space="preserve">il soit déclaré nul. </w:t>
      </w:r>
      <w:r>
        <w:rPr>
          <w:rFonts w:cs="Arial"/>
        </w:rPr>
        <w:t xml:space="preserve"> </w:t>
      </w:r>
      <w:r w:rsidRPr="000A3783">
        <w:rPr>
          <w:rFonts w:cs="Arial"/>
        </w:rPr>
        <w:t>Une protection communautaire des obtentions végétales peut également être déclarée nulle dans l</w:t>
      </w:r>
      <w:r>
        <w:rPr>
          <w:rFonts w:cs="Arial"/>
        </w:rPr>
        <w:t>’</w:t>
      </w:r>
      <w:r w:rsidRPr="000A3783">
        <w:rPr>
          <w:rFonts w:cs="Arial"/>
        </w:rPr>
        <w:t>intérêt d</w:t>
      </w:r>
      <w:r>
        <w:rPr>
          <w:rFonts w:cs="Arial"/>
        </w:rPr>
        <w:t>’</w:t>
      </w:r>
      <w:r w:rsidRPr="000A3783">
        <w:rPr>
          <w:rFonts w:cs="Arial"/>
        </w:rPr>
        <w:t>un tiers.  Toutefois, cela ne justifie pas qu</w:t>
      </w:r>
      <w:r>
        <w:rPr>
          <w:rFonts w:cs="Arial"/>
        </w:rPr>
        <w:t>’</w:t>
      </w:r>
      <w:r w:rsidRPr="000A3783">
        <w:rPr>
          <w:rFonts w:cs="Arial"/>
        </w:rPr>
        <w:t>un tiers soit autorisé à demander l</w:t>
      </w:r>
      <w:r>
        <w:rPr>
          <w:rFonts w:cs="Arial"/>
        </w:rPr>
        <w:t>’</w:t>
      </w:r>
      <w:r w:rsidRPr="000A3783">
        <w:rPr>
          <w:rFonts w:cs="Arial"/>
        </w:rPr>
        <w:t>annulation d</w:t>
      </w:r>
      <w:r>
        <w:rPr>
          <w:rFonts w:cs="Arial"/>
        </w:rPr>
        <w:t>’une</w:t>
      </w:r>
      <w:r w:rsidRPr="000A3783">
        <w:rPr>
          <w:rFonts w:cs="Arial"/>
        </w:rPr>
        <w:t xml:space="preserve"> protection communautaire des obtentions végétales en toutes circonstances et sans motif spécifique. </w:t>
      </w:r>
      <w:r>
        <w:rPr>
          <w:rFonts w:cs="Arial"/>
        </w:rPr>
        <w:t xml:space="preserve"> </w:t>
      </w:r>
      <w:r w:rsidRPr="000A3783">
        <w:rPr>
          <w:rFonts w:cs="Arial"/>
        </w:rPr>
        <w:t>L</w:t>
      </w:r>
      <w:r>
        <w:rPr>
          <w:rFonts w:cs="Arial"/>
        </w:rPr>
        <w:t>’</w:t>
      </w:r>
      <w:r w:rsidRPr="000A3783">
        <w:rPr>
          <w:rFonts w:cs="Arial"/>
        </w:rPr>
        <w:t>octroi d</w:t>
      </w:r>
      <w:r>
        <w:rPr>
          <w:rFonts w:cs="Arial"/>
        </w:rPr>
        <w:t>’</w:t>
      </w:r>
      <w:r w:rsidRPr="000A3783">
        <w:rPr>
          <w:rFonts w:cs="Arial"/>
        </w:rPr>
        <w:t>un titre de protection communautaire des obtentions végétales fait suite à un examen long et complexe.  De ce fait, l</w:t>
      </w:r>
      <w:r>
        <w:rPr>
          <w:rFonts w:cs="Arial"/>
        </w:rPr>
        <w:t>’</w:t>
      </w:r>
      <w:r w:rsidRPr="000A3783">
        <w:rPr>
          <w:rFonts w:cs="Arial"/>
        </w:rPr>
        <w:t>OCVV dispose d</w:t>
      </w:r>
      <w:r>
        <w:rPr>
          <w:rFonts w:cs="Arial"/>
        </w:rPr>
        <w:t>’</w:t>
      </w:r>
      <w:r w:rsidRPr="000A3783">
        <w:rPr>
          <w:rFonts w:cs="Arial"/>
        </w:rPr>
        <w:t>un large pouvoir d</w:t>
      </w:r>
      <w:r>
        <w:rPr>
          <w:rFonts w:cs="Arial"/>
        </w:rPr>
        <w:t>’</w:t>
      </w:r>
      <w:r w:rsidRPr="000A3783">
        <w:rPr>
          <w:rFonts w:cs="Arial"/>
        </w:rPr>
        <w:t>appréciation en ce qui concerne l</w:t>
      </w:r>
      <w:r>
        <w:rPr>
          <w:rFonts w:cs="Arial"/>
        </w:rPr>
        <w:t>’</w:t>
      </w:r>
      <w:r w:rsidRPr="000A3783">
        <w:rPr>
          <w:rFonts w:cs="Arial"/>
        </w:rPr>
        <w:t>annulation des titres de protection communautaires dans la mesure où les variétés protégées ont fait l</w:t>
      </w:r>
      <w:r>
        <w:rPr>
          <w:rFonts w:cs="Arial"/>
        </w:rPr>
        <w:t>’</w:t>
      </w:r>
      <w:r w:rsidRPr="000A3783">
        <w:rPr>
          <w:rFonts w:cs="Arial"/>
        </w:rPr>
        <w:t>objet de l</w:t>
      </w:r>
      <w:r>
        <w:rPr>
          <w:rFonts w:cs="Arial"/>
        </w:rPr>
        <w:t>’</w:t>
      </w:r>
      <w:r w:rsidRPr="000A3783">
        <w:rPr>
          <w:rFonts w:cs="Arial"/>
        </w:rPr>
        <w:t>examen quant au fond et de l</w:t>
      </w:r>
      <w:r>
        <w:rPr>
          <w:rFonts w:cs="Arial"/>
        </w:rPr>
        <w:t>’</w:t>
      </w:r>
      <w:r w:rsidRPr="000A3783">
        <w:rPr>
          <w:rFonts w:cs="Arial"/>
        </w:rPr>
        <w:t xml:space="preserve">examen technique. </w:t>
      </w:r>
      <w:r>
        <w:rPr>
          <w:rFonts w:cs="Arial"/>
        </w:rPr>
        <w:t xml:space="preserve"> </w:t>
      </w:r>
      <w:r w:rsidRPr="000A3783">
        <w:rPr>
          <w:rFonts w:cs="Arial"/>
        </w:rPr>
        <w:t>Ainsi, ce n</w:t>
      </w:r>
      <w:r>
        <w:rPr>
          <w:rFonts w:cs="Arial"/>
        </w:rPr>
        <w:t>’</w:t>
      </w:r>
      <w:r w:rsidRPr="000A3783">
        <w:rPr>
          <w:rFonts w:cs="Arial"/>
        </w:rPr>
        <w:t>est qu</w:t>
      </w:r>
      <w:r>
        <w:rPr>
          <w:rFonts w:cs="Arial"/>
        </w:rPr>
        <w:t>’</w:t>
      </w:r>
      <w:r w:rsidRPr="000A3783">
        <w:rPr>
          <w:rFonts w:cs="Arial"/>
        </w:rPr>
        <w:t>en présence de doutes sérieux quant au fait que les conditions d</w:t>
      </w:r>
      <w:r>
        <w:rPr>
          <w:rFonts w:cs="Arial"/>
        </w:rPr>
        <w:t>’</w:t>
      </w:r>
      <w:r w:rsidRPr="000A3783">
        <w:rPr>
          <w:rFonts w:cs="Arial"/>
        </w:rPr>
        <w:t>octroi d</w:t>
      </w:r>
      <w:r>
        <w:rPr>
          <w:rFonts w:cs="Arial"/>
        </w:rPr>
        <w:t>’</w:t>
      </w:r>
      <w:r w:rsidRPr="000A3783">
        <w:rPr>
          <w:rFonts w:cs="Arial"/>
        </w:rPr>
        <w:t>un titre de protection communautaire aient été remplies qu</w:t>
      </w:r>
      <w:r>
        <w:rPr>
          <w:rFonts w:cs="Arial"/>
        </w:rPr>
        <w:t>’</w:t>
      </w:r>
      <w:r w:rsidRPr="000A3783">
        <w:rPr>
          <w:rFonts w:cs="Arial"/>
        </w:rPr>
        <w:t xml:space="preserve">un réexamen par voie de procédure </w:t>
      </w:r>
      <w:r>
        <w:rPr>
          <w:rFonts w:cs="Arial"/>
        </w:rPr>
        <w:t>en annulation</w:t>
      </w:r>
      <w:r w:rsidRPr="000A3783">
        <w:rPr>
          <w:rFonts w:cs="Arial"/>
        </w:rPr>
        <w:t xml:space="preserve"> est justifié.  Pour cette raison, un tiers demandant l</w:t>
      </w:r>
      <w:r>
        <w:rPr>
          <w:rFonts w:cs="Arial"/>
        </w:rPr>
        <w:t>’</w:t>
      </w:r>
      <w:r w:rsidRPr="000A3783">
        <w:rPr>
          <w:rFonts w:cs="Arial"/>
        </w:rPr>
        <w:t>annulation d</w:t>
      </w:r>
      <w:r>
        <w:rPr>
          <w:rFonts w:cs="Arial"/>
        </w:rPr>
        <w:t>’</w:t>
      </w:r>
      <w:r w:rsidRPr="000A3783">
        <w:rPr>
          <w:rFonts w:cs="Arial"/>
        </w:rPr>
        <w:t xml:space="preserve">un titre de protection communautaire des obtentions végétales doit présenter des éléments de preuves et des faits suffisamment </w:t>
      </w:r>
      <w:r>
        <w:rPr>
          <w:rFonts w:cs="Arial"/>
        </w:rPr>
        <w:t>convaincants</w:t>
      </w:r>
      <w:r w:rsidRPr="000A3783">
        <w:rPr>
          <w:rFonts w:cs="Arial"/>
        </w:rPr>
        <w:t xml:space="preserve"> pour soulever des doutes sérieux quant à la légalité de l</w:t>
      </w:r>
      <w:r>
        <w:rPr>
          <w:rFonts w:cs="Arial"/>
        </w:rPr>
        <w:t>’</w:t>
      </w:r>
      <w:r w:rsidRPr="000A3783">
        <w:rPr>
          <w:rFonts w:cs="Arial"/>
        </w:rPr>
        <w:t xml:space="preserve">octroi de cette protection communautaire. </w:t>
      </w:r>
      <w:r>
        <w:rPr>
          <w:rFonts w:cs="Arial"/>
        </w:rPr>
        <w:t xml:space="preserve"> </w:t>
      </w:r>
      <w:r w:rsidRPr="000A3783">
        <w:rPr>
          <w:rFonts w:cs="Arial"/>
        </w:rPr>
        <w:t>Par conséquent, le tiers s</w:t>
      </w:r>
      <w:r>
        <w:rPr>
          <w:rFonts w:cs="Arial"/>
        </w:rPr>
        <w:t>’</w:t>
      </w:r>
      <w:r w:rsidRPr="000A3783">
        <w:rPr>
          <w:rFonts w:cs="Arial"/>
        </w:rPr>
        <w:t>était acquitté de la charge de la preuve à cet effet.</w:t>
      </w:r>
    </w:p>
    <w:p w:rsidR="00023109" w:rsidRDefault="00023109" w:rsidP="00023109">
      <w:pPr>
        <w:keepLines/>
        <w:spacing w:after="240"/>
        <w:ind w:left="720"/>
        <w:rPr>
          <w:rFonts w:cs="Arial"/>
          <w:i/>
          <w:lang w:eastAsia="en-GB"/>
        </w:rPr>
      </w:pPr>
      <w:r w:rsidRPr="000A3783">
        <w:rPr>
          <w:rFonts w:cs="Arial"/>
          <w:i/>
          <w:lang w:eastAsia="en-GB"/>
        </w:rPr>
        <w:t>b</w:t>
      </w:r>
      <w:r>
        <w:rPr>
          <w:rFonts w:cs="Arial"/>
          <w:i/>
          <w:lang w:eastAsia="en-GB"/>
        </w:rPr>
        <w:t>)</w:t>
      </w:r>
      <w:r>
        <w:rPr>
          <w:rFonts w:cs="Arial"/>
          <w:i/>
          <w:lang w:eastAsia="en-GB"/>
        </w:rPr>
        <w:tab/>
        <w:t xml:space="preserve">Arrêt de la Cour </w:t>
      </w:r>
      <w:r w:rsidRPr="000A3783">
        <w:rPr>
          <w:rFonts w:cs="Arial"/>
          <w:i/>
          <w:lang w:eastAsia="en-GB"/>
        </w:rPr>
        <w:t>(</w:t>
      </w:r>
      <w:r>
        <w:rPr>
          <w:rFonts w:cs="Arial"/>
          <w:i/>
          <w:lang w:eastAsia="en-GB"/>
        </w:rPr>
        <w:t>deuxième chambre</w:t>
      </w:r>
      <w:r w:rsidRPr="000A3783">
        <w:rPr>
          <w:rFonts w:cs="Arial"/>
          <w:i/>
          <w:lang w:eastAsia="en-GB"/>
        </w:rPr>
        <w:t>)</w:t>
      </w:r>
      <w:r>
        <w:rPr>
          <w:rFonts w:cs="Arial"/>
          <w:i/>
          <w:lang w:eastAsia="en-GB"/>
        </w:rPr>
        <w:t>,</w:t>
      </w:r>
      <w:r w:rsidRPr="000A3783">
        <w:rPr>
          <w:rFonts w:cs="Arial"/>
          <w:i/>
          <w:lang w:eastAsia="en-GB"/>
        </w:rPr>
        <w:t xml:space="preserve"> </w:t>
      </w:r>
      <w:r>
        <w:rPr>
          <w:rFonts w:cs="Arial"/>
          <w:i/>
          <w:lang w:eastAsia="en-GB"/>
        </w:rPr>
        <w:t xml:space="preserve">rendu le </w:t>
      </w:r>
      <w:r w:rsidRPr="000A3783">
        <w:rPr>
          <w:rFonts w:cs="Arial"/>
          <w:i/>
          <w:lang w:eastAsia="en-GB"/>
        </w:rPr>
        <w:t>25</w:t>
      </w:r>
      <w:r>
        <w:rPr>
          <w:rFonts w:cs="Arial"/>
          <w:i/>
          <w:lang w:eastAsia="en-GB"/>
        </w:rPr>
        <w:t> juin </w:t>
      </w:r>
      <w:r w:rsidRPr="000A3783">
        <w:rPr>
          <w:rFonts w:cs="Arial"/>
          <w:i/>
          <w:lang w:eastAsia="en-GB"/>
        </w:rPr>
        <w:t xml:space="preserve">2015 </w:t>
      </w:r>
      <w:r>
        <w:rPr>
          <w:rFonts w:cs="Arial"/>
          <w:i/>
          <w:lang w:eastAsia="en-GB"/>
        </w:rPr>
        <w:t xml:space="preserve">dans l’affaire </w:t>
      </w:r>
      <w:r w:rsidRPr="000A3783">
        <w:rPr>
          <w:rFonts w:cs="Arial"/>
          <w:i/>
          <w:lang w:eastAsia="en-GB"/>
        </w:rPr>
        <w:t>C</w:t>
      </w:r>
      <w:r>
        <w:rPr>
          <w:rFonts w:cs="Arial"/>
          <w:i/>
          <w:lang w:eastAsia="en-GB"/>
        </w:rPr>
        <w:noBreakHyphen/>
      </w:r>
      <w:r w:rsidRPr="000A3783">
        <w:rPr>
          <w:rFonts w:cs="Arial"/>
          <w:i/>
          <w:lang w:eastAsia="en-GB"/>
        </w:rPr>
        <w:t xml:space="preserve">242/14. </w:t>
      </w:r>
      <w:r>
        <w:rPr>
          <w:rFonts w:cs="Arial"/>
          <w:i/>
          <w:lang w:eastAsia="en-GB"/>
        </w:rPr>
        <w:t xml:space="preserve"> </w:t>
      </w:r>
      <w:proofErr w:type="spellStart"/>
      <w:r w:rsidRPr="00245BB7">
        <w:rPr>
          <w:rFonts w:cs="Arial"/>
          <w:i/>
          <w:lang w:val="de-DE" w:eastAsia="en-GB"/>
        </w:rPr>
        <w:t>Renvoi</w:t>
      </w:r>
      <w:proofErr w:type="spellEnd"/>
      <w:r w:rsidRPr="00245BB7">
        <w:rPr>
          <w:rFonts w:cs="Arial"/>
          <w:i/>
          <w:lang w:val="de-DE" w:eastAsia="en-GB"/>
        </w:rPr>
        <w:t xml:space="preserve"> </w:t>
      </w:r>
      <w:proofErr w:type="spellStart"/>
      <w:r w:rsidRPr="00245BB7">
        <w:rPr>
          <w:rFonts w:cs="Arial"/>
          <w:i/>
          <w:lang w:val="de-DE" w:eastAsia="en-GB"/>
        </w:rPr>
        <w:t>préjudiciel</w:t>
      </w:r>
      <w:proofErr w:type="spellEnd"/>
      <w:r w:rsidRPr="00245BB7">
        <w:rPr>
          <w:rFonts w:cs="Arial"/>
          <w:i/>
          <w:lang w:val="de-DE" w:eastAsia="en-GB"/>
        </w:rPr>
        <w:t> : Landgericht Mannheim (</w:t>
      </w:r>
      <w:proofErr w:type="spellStart"/>
      <w:r w:rsidRPr="00245BB7">
        <w:rPr>
          <w:rFonts w:cs="Arial"/>
          <w:i/>
          <w:lang w:val="de-DE" w:eastAsia="en-GB"/>
        </w:rPr>
        <w:t>Allemagne</w:t>
      </w:r>
      <w:proofErr w:type="spellEnd"/>
      <w:r w:rsidRPr="00245BB7">
        <w:rPr>
          <w:rFonts w:cs="Arial"/>
          <w:i/>
          <w:lang w:val="de-DE" w:eastAsia="en-GB"/>
        </w:rPr>
        <w:t>).  Saatgut</w:t>
      </w:r>
      <w:r w:rsidRPr="00245BB7">
        <w:rPr>
          <w:rFonts w:cs="Arial"/>
          <w:i/>
          <w:lang w:val="de-DE" w:eastAsia="en-GB"/>
        </w:rPr>
        <w:noBreakHyphen/>
      </w:r>
      <w:proofErr w:type="spellStart"/>
      <w:r w:rsidRPr="00245BB7">
        <w:rPr>
          <w:rFonts w:cs="Arial"/>
          <w:i/>
          <w:lang w:val="de-DE" w:eastAsia="en-GB"/>
        </w:rPr>
        <w:t>Treuhandverwaltungs</w:t>
      </w:r>
      <w:proofErr w:type="spellEnd"/>
      <w:r w:rsidRPr="00245BB7">
        <w:rPr>
          <w:rFonts w:cs="Arial"/>
          <w:i/>
          <w:lang w:val="de-DE" w:eastAsia="en-GB"/>
        </w:rPr>
        <w:t xml:space="preserve"> GmbH c. Gerhard und Jürgen Vogel GbR et </w:t>
      </w:r>
      <w:proofErr w:type="spellStart"/>
      <w:r w:rsidRPr="00245BB7">
        <w:rPr>
          <w:rFonts w:cs="Arial"/>
          <w:i/>
          <w:lang w:val="de-DE" w:eastAsia="en-GB"/>
        </w:rPr>
        <w:t>autres</w:t>
      </w:r>
      <w:proofErr w:type="spellEnd"/>
      <w:r w:rsidRPr="00245BB7">
        <w:rPr>
          <w:rFonts w:cs="Arial"/>
          <w:i/>
          <w:lang w:val="de-DE" w:eastAsia="en-GB"/>
        </w:rPr>
        <w:t xml:space="preserve">.  </w:t>
      </w:r>
      <w:r w:rsidRPr="003D5A71">
        <w:rPr>
          <w:rFonts w:cs="Arial"/>
          <w:i/>
          <w:lang w:eastAsia="en-GB"/>
        </w:rPr>
        <w:t xml:space="preserve">Protection communautaire des obtentions végétales – </w:t>
      </w:r>
      <w:r>
        <w:rPr>
          <w:rFonts w:cs="Arial"/>
          <w:i/>
          <w:lang w:eastAsia="en-GB"/>
        </w:rPr>
        <w:t>règle</w:t>
      </w:r>
      <w:r w:rsidRPr="003D5A71">
        <w:rPr>
          <w:rFonts w:cs="Arial"/>
          <w:i/>
          <w:lang w:eastAsia="en-GB"/>
        </w:rPr>
        <w:t>ment (CE) n°</w:t>
      </w:r>
      <w:r>
        <w:rPr>
          <w:rFonts w:cs="Arial"/>
          <w:i/>
          <w:lang w:eastAsia="en-GB"/>
        </w:rPr>
        <w:t> </w:t>
      </w:r>
      <w:r w:rsidRPr="003D5A71">
        <w:rPr>
          <w:rFonts w:cs="Arial"/>
          <w:i/>
          <w:lang w:eastAsia="en-GB"/>
        </w:rPr>
        <w:t>2100/94 – Dérogation prévue à l</w:t>
      </w:r>
      <w:r>
        <w:rPr>
          <w:rFonts w:cs="Arial"/>
          <w:i/>
          <w:lang w:eastAsia="en-GB"/>
        </w:rPr>
        <w:t>’</w:t>
      </w:r>
      <w:r w:rsidRPr="003D5A71">
        <w:rPr>
          <w:rFonts w:cs="Arial"/>
          <w:i/>
          <w:lang w:eastAsia="en-GB"/>
        </w:rPr>
        <w:t>article</w:t>
      </w:r>
      <w:r>
        <w:rPr>
          <w:rFonts w:cs="Arial"/>
          <w:i/>
          <w:lang w:eastAsia="en-GB"/>
        </w:rPr>
        <w:t> </w:t>
      </w:r>
      <w:r w:rsidRPr="003D5A71">
        <w:rPr>
          <w:rFonts w:cs="Arial"/>
          <w:i/>
          <w:lang w:eastAsia="en-GB"/>
        </w:rPr>
        <w:t>14</w:t>
      </w:r>
      <w:r>
        <w:rPr>
          <w:rFonts w:cs="Arial"/>
          <w:i/>
          <w:lang w:eastAsia="en-GB"/>
        </w:rPr>
        <w:t xml:space="preserve"> – </w:t>
      </w:r>
      <w:r w:rsidRPr="000D26A9">
        <w:rPr>
          <w:rFonts w:cs="Arial"/>
          <w:i/>
          <w:lang w:eastAsia="en-GB"/>
        </w:rPr>
        <w:t>Utilisation par les agriculteurs du produit de la récolte à des fins de multiplication sans autorisation du titulaire</w:t>
      </w:r>
      <w:r>
        <w:rPr>
          <w:rFonts w:cs="Arial"/>
          <w:i/>
          <w:lang w:eastAsia="en-GB"/>
        </w:rPr>
        <w:t xml:space="preserve"> – </w:t>
      </w:r>
      <w:r w:rsidRPr="000D26A9">
        <w:rPr>
          <w:rFonts w:cs="Arial"/>
          <w:i/>
          <w:lang w:eastAsia="en-GB"/>
        </w:rPr>
        <w:t>Obligation de paiement par les agriculteurs d</w:t>
      </w:r>
      <w:r>
        <w:rPr>
          <w:rFonts w:cs="Arial"/>
          <w:i/>
          <w:lang w:eastAsia="en-GB"/>
        </w:rPr>
        <w:t>’</w:t>
      </w:r>
      <w:r w:rsidRPr="000D26A9">
        <w:rPr>
          <w:rFonts w:cs="Arial"/>
          <w:i/>
          <w:lang w:eastAsia="en-GB"/>
        </w:rPr>
        <w:t>une rémunération équitable pour cette utilisation – Délai dans lequel cette rémunération doit être acquittée pour pouvoir bénéficier de la dérogation – Possibilité du titulaire d</w:t>
      </w:r>
      <w:r>
        <w:rPr>
          <w:rFonts w:cs="Arial"/>
          <w:i/>
          <w:lang w:eastAsia="en-GB"/>
        </w:rPr>
        <w:t>’</w:t>
      </w:r>
      <w:r w:rsidRPr="000D26A9">
        <w:rPr>
          <w:rFonts w:cs="Arial"/>
          <w:i/>
          <w:lang w:eastAsia="en-GB"/>
        </w:rPr>
        <w:t>avoir recours à l</w:t>
      </w:r>
      <w:r>
        <w:rPr>
          <w:rFonts w:cs="Arial"/>
          <w:i/>
          <w:lang w:eastAsia="en-GB"/>
        </w:rPr>
        <w:t>’</w:t>
      </w:r>
      <w:r w:rsidRPr="000D26A9">
        <w:rPr>
          <w:rFonts w:cs="Arial"/>
          <w:i/>
          <w:lang w:eastAsia="en-GB"/>
        </w:rPr>
        <w:t>article</w:t>
      </w:r>
      <w:r>
        <w:rPr>
          <w:rFonts w:cs="Arial"/>
          <w:i/>
          <w:lang w:eastAsia="en-GB"/>
        </w:rPr>
        <w:t> </w:t>
      </w:r>
      <w:r w:rsidRPr="000D26A9">
        <w:rPr>
          <w:rFonts w:cs="Arial"/>
          <w:i/>
          <w:lang w:eastAsia="en-GB"/>
        </w:rPr>
        <w:t>94 – Contrefaçon</w:t>
      </w:r>
      <w:r w:rsidRPr="000A3783">
        <w:rPr>
          <w:rFonts w:cs="Arial"/>
          <w:i/>
          <w:lang w:eastAsia="en-GB"/>
        </w:rPr>
        <w:t>.</w:t>
      </w:r>
    </w:p>
    <w:p w:rsidR="00023109" w:rsidRPr="000A3783" w:rsidRDefault="00023109" w:rsidP="00023109">
      <w:pPr>
        <w:spacing w:after="240"/>
        <w:rPr>
          <w:rFonts w:cs="Arial"/>
          <w:i/>
          <w:lang w:eastAsia="en-GB"/>
        </w:rPr>
      </w:pPr>
      <w:r>
        <w:rPr>
          <w:rFonts w:cs="Arial"/>
          <w:bCs/>
        </w:rPr>
        <w:t>Afin de bénéficier de la dérogation, prévue à l’article</w:t>
      </w:r>
      <w:r w:rsidRPr="000A3783">
        <w:rPr>
          <w:rFonts w:cs="Arial"/>
          <w:bCs/>
        </w:rPr>
        <w:t xml:space="preserve"> 14 </w:t>
      </w:r>
      <w:r>
        <w:rPr>
          <w:rFonts w:cs="Arial"/>
          <w:bCs/>
        </w:rPr>
        <w:t>du règlement (CE) n°</w:t>
      </w:r>
      <w:r w:rsidRPr="000A3783">
        <w:rPr>
          <w:rFonts w:cs="Arial"/>
          <w:bCs/>
        </w:rPr>
        <w:t xml:space="preserve"> 2100/94 </w:t>
      </w:r>
      <w:r>
        <w:rPr>
          <w:rFonts w:cs="Arial"/>
          <w:bCs/>
        </w:rPr>
        <w:t xml:space="preserve">du Conseil du </w:t>
      </w:r>
      <w:r w:rsidRPr="000A3783">
        <w:rPr>
          <w:rFonts w:cs="Arial"/>
          <w:bCs/>
        </w:rPr>
        <w:t>27 </w:t>
      </w:r>
      <w:r>
        <w:rPr>
          <w:rFonts w:cs="Arial"/>
          <w:bCs/>
        </w:rPr>
        <w:t>juillet 1</w:t>
      </w:r>
      <w:r w:rsidRPr="000A3783">
        <w:rPr>
          <w:rFonts w:cs="Arial"/>
          <w:bCs/>
        </w:rPr>
        <w:t xml:space="preserve">994 </w:t>
      </w:r>
      <w:r>
        <w:rPr>
          <w:rFonts w:cs="Arial"/>
          <w:bCs/>
        </w:rPr>
        <w:t xml:space="preserve">instituant un régime de protection communautaire des obtentions végétales </w:t>
      </w:r>
      <w:r w:rsidRPr="000A3783">
        <w:rPr>
          <w:rFonts w:cs="Arial"/>
          <w:bCs/>
        </w:rPr>
        <w:t>(</w:t>
      </w:r>
      <w:r>
        <w:rPr>
          <w:rFonts w:cs="Arial"/>
          <w:bCs/>
        </w:rPr>
        <w:t>le règlement de base</w:t>
      </w:r>
      <w:r w:rsidRPr="000A3783">
        <w:rPr>
          <w:rFonts w:cs="Arial"/>
          <w:bCs/>
        </w:rPr>
        <w:t>)</w:t>
      </w:r>
      <w:r>
        <w:rPr>
          <w:rFonts w:cs="Arial"/>
          <w:bCs/>
        </w:rPr>
        <w:t xml:space="preserve">, qui concerne l’obligation d’obtenir l’autorisation du titulaire d’une </w:t>
      </w:r>
      <w:r w:rsidRPr="006D0781">
        <w:rPr>
          <w:rFonts w:cs="Arial"/>
          <w:bCs/>
        </w:rPr>
        <w:t>protection variétale communautaire</w:t>
      </w:r>
      <w:r w:rsidRPr="000A3783">
        <w:rPr>
          <w:rFonts w:cs="Arial"/>
          <w:bCs/>
        </w:rPr>
        <w:t xml:space="preserve">, </w:t>
      </w:r>
      <w:r>
        <w:rPr>
          <w:rFonts w:cs="Arial"/>
          <w:bCs/>
        </w:rPr>
        <w:t>un agriculteu</w:t>
      </w:r>
      <w:r w:rsidRPr="000A3783">
        <w:rPr>
          <w:rFonts w:cs="Arial"/>
          <w:bCs/>
        </w:rPr>
        <w:t xml:space="preserve">r </w:t>
      </w:r>
      <w:r>
        <w:rPr>
          <w:rFonts w:cs="Arial"/>
          <w:bCs/>
        </w:rPr>
        <w:t xml:space="preserve">qui a semé du </w:t>
      </w:r>
      <w:r w:rsidRPr="006D0781">
        <w:rPr>
          <w:rFonts w:cs="Arial"/>
          <w:bCs/>
        </w:rPr>
        <w:t xml:space="preserve">matériel végétal de reproduction ou de multiplication </w:t>
      </w:r>
      <w:r>
        <w:rPr>
          <w:rFonts w:cs="Arial"/>
          <w:bCs/>
        </w:rPr>
        <w:t xml:space="preserve">obtenu à partir d’une variété végétale protégée </w:t>
      </w:r>
      <w:r w:rsidRPr="000A3783">
        <w:rPr>
          <w:rFonts w:cs="Arial"/>
          <w:bCs/>
        </w:rPr>
        <w:t>(</w:t>
      </w:r>
      <w:r w:rsidRPr="00BD779B">
        <w:rPr>
          <w:rFonts w:cs="Arial"/>
          <w:bCs/>
        </w:rPr>
        <w:t>semences de ferme</w:t>
      </w:r>
      <w:r w:rsidRPr="000A3783">
        <w:rPr>
          <w:rFonts w:cs="Arial"/>
          <w:bCs/>
        </w:rPr>
        <w:t>)</w:t>
      </w:r>
      <w:r>
        <w:rPr>
          <w:rFonts w:cs="Arial"/>
          <w:bCs/>
        </w:rPr>
        <w:t>,</w:t>
      </w:r>
      <w:r w:rsidRPr="000A3783">
        <w:rPr>
          <w:rFonts w:cs="Arial"/>
          <w:bCs/>
        </w:rPr>
        <w:t xml:space="preserve"> </w:t>
      </w:r>
      <w:r>
        <w:rPr>
          <w:rFonts w:cs="Arial"/>
          <w:bCs/>
        </w:rPr>
        <w:t>sans avoir conclu un contrat à cet effet avec le titulaire, est tenu de payer une rémunération équitable due en vertu de l’article</w:t>
      </w:r>
      <w:r w:rsidRPr="000A3783">
        <w:rPr>
          <w:rFonts w:cs="Arial"/>
          <w:bCs/>
        </w:rPr>
        <w:t> 14</w:t>
      </w:r>
      <w:r>
        <w:rPr>
          <w:rFonts w:cs="Arial"/>
          <w:bCs/>
        </w:rPr>
        <w:t xml:space="preserve">, troisième paragraphe, quatrième tiret, du règlement, durant la période qui vient à échéance à la fin de l’année de commercialisation au cours de laquelle a eu lieu </w:t>
      </w:r>
      <w:r w:rsidRPr="00D52BA4">
        <w:rPr>
          <w:rFonts w:cs="Arial"/>
          <w:bCs/>
        </w:rPr>
        <w:t>l</w:t>
      </w:r>
      <w:r>
        <w:rPr>
          <w:rFonts w:cs="Arial"/>
          <w:bCs/>
        </w:rPr>
        <w:t>’</w:t>
      </w:r>
      <w:r w:rsidRPr="00D52BA4">
        <w:rPr>
          <w:rFonts w:cs="Arial"/>
          <w:bCs/>
        </w:rPr>
        <w:t>ensemencement</w:t>
      </w:r>
      <w:r>
        <w:rPr>
          <w:rFonts w:cs="Arial"/>
          <w:bCs/>
        </w:rPr>
        <w:t xml:space="preserve">, à savoir avant la date du 30 juin suivant la date de </w:t>
      </w:r>
      <w:r w:rsidRPr="003575C9">
        <w:rPr>
          <w:rFonts w:cs="Arial"/>
          <w:bCs/>
        </w:rPr>
        <w:t>réensemencement</w:t>
      </w:r>
      <w:r w:rsidRPr="000A3783">
        <w:rPr>
          <w:rFonts w:cs="Arial"/>
          <w:bCs/>
        </w:rPr>
        <w:t>.</w:t>
      </w:r>
    </w:p>
    <w:p w:rsidR="00023109" w:rsidRPr="000A3783" w:rsidRDefault="00023109" w:rsidP="00023109">
      <w:pPr>
        <w:spacing w:after="240"/>
        <w:rPr>
          <w:rFonts w:cs="Arial"/>
          <w:u w:val="single"/>
        </w:rPr>
      </w:pPr>
      <w:r>
        <w:rPr>
          <w:rFonts w:cs="Arial"/>
          <w:b/>
          <w:u w:val="single"/>
        </w:rPr>
        <w:t>2)</w:t>
      </w:r>
      <w:r>
        <w:rPr>
          <w:rFonts w:cs="Arial"/>
          <w:b/>
          <w:u w:val="single"/>
        </w:rPr>
        <w:tab/>
      </w:r>
      <w:r w:rsidRPr="000A3783">
        <w:rPr>
          <w:rFonts w:cs="Arial"/>
          <w:b/>
          <w:u w:val="single"/>
        </w:rPr>
        <w:t>Coopération en matière d</w:t>
      </w:r>
      <w:r>
        <w:rPr>
          <w:rFonts w:cs="Arial"/>
          <w:b/>
          <w:u w:val="single"/>
        </w:rPr>
        <w:t>’</w:t>
      </w:r>
      <w:r w:rsidRPr="000A3783">
        <w:rPr>
          <w:rFonts w:cs="Arial"/>
          <w:b/>
          <w:u w:val="single"/>
        </w:rPr>
        <w:t>examen</w:t>
      </w:r>
    </w:p>
    <w:p w:rsidR="00023109" w:rsidRPr="000A3783" w:rsidRDefault="00023109" w:rsidP="00023109">
      <w:pPr>
        <w:spacing w:after="240"/>
        <w:rPr>
          <w:rFonts w:cs="Arial"/>
          <w:u w:val="single"/>
        </w:rPr>
      </w:pPr>
      <w:r>
        <w:rPr>
          <w:rFonts w:cs="Arial"/>
          <w:i/>
          <w:u w:val="single"/>
        </w:rPr>
        <w:t>2.1</w:t>
      </w:r>
      <w:r>
        <w:rPr>
          <w:rFonts w:cs="Arial"/>
          <w:i/>
          <w:u w:val="single"/>
        </w:rPr>
        <w:tab/>
      </w:r>
      <w:r w:rsidRPr="000A3783">
        <w:rPr>
          <w:rFonts w:cs="Arial"/>
          <w:i/>
          <w:u w:val="single"/>
        </w:rPr>
        <w:t>Conclusion de nouveaux accords</w:t>
      </w:r>
      <w:r w:rsidRPr="00A621AC">
        <w:rPr>
          <w:rFonts w:cs="Arial"/>
          <w:i/>
        </w:rPr>
        <w:t> </w:t>
      </w:r>
      <w:r w:rsidRPr="00A621AC">
        <w:rPr>
          <w:i/>
        </w:rPr>
        <w:t>:</w:t>
      </w:r>
      <w:r w:rsidRPr="00023109">
        <w:rPr>
          <w:rFonts w:cs="Arial"/>
        </w:rPr>
        <w:t xml:space="preserve"> aucun élément nouveau</w:t>
      </w:r>
      <w:r>
        <w:rPr>
          <w:rFonts w:cs="Arial"/>
        </w:rPr>
        <w:t>.</w:t>
      </w:r>
    </w:p>
    <w:p w:rsidR="00023109" w:rsidRPr="000A3783" w:rsidRDefault="00023109" w:rsidP="00023109">
      <w:pPr>
        <w:spacing w:after="240"/>
        <w:rPr>
          <w:rFonts w:cs="Arial"/>
          <w:u w:val="single"/>
        </w:rPr>
      </w:pPr>
      <w:r>
        <w:rPr>
          <w:rFonts w:cs="Arial"/>
          <w:i/>
          <w:u w:val="single"/>
        </w:rPr>
        <w:t>2.2</w:t>
      </w:r>
      <w:r>
        <w:rPr>
          <w:rFonts w:cs="Arial"/>
          <w:i/>
          <w:u w:val="single"/>
        </w:rPr>
        <w:tab/>
      </w:r>
      <w:r w:rsidRPr="000A3783">
        <w:rPr>
          <w:rFonts w:cs="Arial"/>
          <w:i/>
          <w:u w:val="single"/>
        </w:rPr>
        <w:t>Modification d</w:t>
      </w:r>
      <w:r>
        <w:rPr>
          <w:rFonts w:cs="Arial"/>
          <w:i/>
          <w:u w:val="single"/>
        </w:rPr>
        <w:t>’</w:t>
      </w:r>
      <w:r w:rsidRPr="000A3783">
        <w:rPr>
          <w:rFonts w:cs="Arial"/>
          <w:i/>
          <w:u w:val="single"/>
        </w:rPr>
        <w:t>accords existants</w:t>
      </w:r>
      <w:r w:rsidRPr="00A621AC">
        <w:rPr>
          <w:rFonts w:cs="Arial"/>
          <w:i/>
        </w:rPr>
        <w:t> </w:t>
      </w:r>
      <w:r w:rsidRPr="00A621AC">
        <w:rPr>
          <w:i/>
        </w:rPr>
        <w:t>:</w:t>
      </w:r>
      <w:r w:rsidRPr="000A3783">
        <w:rPr>
          <w:rFonts w:cs="Arial"/>
          <w:i/>
        </w:rPr>
        <w:t xml:space="preserve"> </w:t>
      </w:r>
      <w:r w:rsidRPr="00023109">
        <w:rPr>
          <w:rFonts w:cs="Arial"/>
        </w:rPr>
        <w:t>aucun élément nouveau</w:t>
      </w:r>
      <w:r>
        <w:rPr>
          <w:rFonts w:cs="Arial"/>
        </w:rPr>
        <w:t>.</w:t>
      </w:r>
    </w:p>
    <w:p w:rsidR="00023109" w:rsidRPr="000A3783" w:rsidRDefault="00023109" w:rsidP="00023109">
      <w:pPr>
        <w:spacing w:after="240"/>
        <w:rPr>
          <w:rFonts w:cs="Arial"/>
          <w:u w:val="single"/>
        </w:rPr>
      </w:pPr>
      <w:r>
        <w:rPr>
          <w:rFonts w:cs="Arial"/>
          <w:i/>
          <w:u w:val="single"/>
        </w:rPr>
        <w:t>2.3</w:t>
      </w:r>
      <w:r>
        <w:rPr>
          <w:rFonts w:cs="Arial"/>
          <w:i/>
          <w:u w:val="single"/>
        </w:rPr>
        <w:tab/>
      </w:r>
      <w:r w:rsidRPr="000A3783">
        <w:rPr>
          <w:rFonts w:cs="Arial"/>
          <w:i/>
          <w:u w:val="single"/>
        </w:rPr>
        <w:t>Mémorandum d</w:t>
      </w:r>
      <w:r>
        <w:rPr>
          <w:rFonts w:cs="Arial"/>
          <w:i/>
          <w:u w:val="single"/>
        </w:rPr>
        <w:t>’</w:t>
      </w:r>
      <w:r w:rsidRPr="000A3783">
        <w:rPr>
          <w:rFonts w:cs="Arial"/>
          <w:i/>
          <w:u w:val="single"/>
        </w:rPr>
        <w:t>accord avec des pays tiers</w:t>
      </w:r>
      <w:r w:rsidRPr="00A621AC">
        <w:rPr>
          <w:rFonts w:cs="Arial"/>
          <w:i/>
        </w:rPr>
        <w:t> </w:t>
      </w:r>
      <w:r w:rsidRPr="00A621AC">
        <w:rPr>
          <w:i/>
        </w:rPr>
        <w:t>:</w:t>
      </w:r>
      <w:r w:rsidRPr="000A3783">
        <w:rPr>
          <w:rFonts w:cs="Arial"/>
          <w:i/>
        </w:rPr>
        <w:t xml:space="preserve"> </w:t>
      </w:r>
      <w:r w:rsidRPr="00023109">
        <w:rPr>
          <w:rFonts w:cs="Arial"/>
        </w:rPr>
        <w:t>aucun élément nouveau</w:t>
      </w:r>
      <w:r>
        <w:rPr>
          <w:rFonts w:cs="Arial"/>
        </w:rPr>
        <w:t>.</w:t>
      </w:r>
    </w:p>
    <w:p w:rsidR="00023109" w:rsidRPr="000A3783" w:rsidRDefault="00023109" w:rsidP="00023109">
      <w:pPr>
        <w:spacing w:after="240"/>
        <w:rPr>
          <w:rFonts w:cs="Arial"/>
          <w:b/>
          <w:u w:val="single"/>
        </w:rPr>
      </w:pPr>
      <w:r>
        <w:rPr>
          <w:rFonts w:cs="Arial"/>
          <w:b/>
          <w:u w:val="single"/>
        </w:rPr>
        <w:t>3)</w:t>
      </w:r>
      <w:r>
        <w:rPr>
          <w:rFonts w:cs="Arial"/>
          <w:b/>
          <w:u w:val="single"/>
        </w:rPr>
        <w:tab/>
      </w:r>
      <w:r w:rsidRPr="000A3783">
        <w:rPr>
          <w:rFonts w:cs="Arial"/>
          <w:b/>
          <w:u w:val="single"/>
        </w:rPr>
        <w:t>Situation dans le domaine administratif</w:t>
      </w:r>
    </w:p>
    <w:p w:rsidR="00023109" w:rsidRPr="000A3783" w:rsidRDefault="00023109" w:rsidP="00023109">
      <w:pPr>
        <w:spacing w:after="240"/>
        <w:rPr>
          <w:rFonts w:cs="Arial"/>
          <w:u w:val="single"/>
        </w:rPr>
      </w:pPr>
      <w:r w:rsidRPr="000A3783">
        <w:rPr>
          <w:rFonts w:cs="Arial"/>
          <w:i/>
          <w:u w:val="single"/>
        </w:rPr>
        <w:t>Mises à jour de la structure administrative de l</w:t>
      </w:r>
      <w:r>
        <w:rPr>
          <w:rFonts w:cs="Arial"/>
          <w:i/>
          <w:u w:val="single"/>
        </w:rPr>
        <w:t>’</w:t>
      </w:r>
      <w:r w:rsidRPr="000A3783">
        <w:rPr>
          <w:rFonts w:cs="Arial"/>
          <w:i/>
          <w:u w:val="single"/>
        </w:rPr>
        <w:t>OCVV</w:t>
      </w:r>
      <w:r w:rsidRPr="00A621AC">
        <w:rPr>
          <w:rFonts w:cs="Arial"/>
          <w:i/>
        </w:rPr>
        <w:t> :</w:t>
      </w:r>
      <w:r w:rsidRPr="000A3783">
        <w:rPr>
          <w:rFonts w:cs="Arial"/>
        </w:rPr>
        <w:t xml:space="preserve"> </w:t>
      </w:r>
      <w:r w:rsidRPr="00023109">
        <w:rPr>
          <w:rFonts w:cs="Arial"/>
        </w:rPr>
        <w:t>aucun élément nouveau.</w:t>
      </w:r>
    </w:p>
    <w:p w:rsidR="00023109" w:rsidRPr="000A3783" w:rsidRDefault="00023109" w:rsidP="00023109">
      <w:pPr>
        <w:spacing w:after="240"/>
        <w:rPr>
          <w:rFonts w:cs="Arial"/>
          <w:u w:val="single"/>
        </w:rPr>
      </w:pPr>
      <w:r>
        <w:rPr>
          <w:rFonts w:cs="Arial"/>
          <w:b/>
          <w:u w:val="single"/>
        </w:rPr>
        <w:t>4)</w:t>
      </w:r>
      <w:r>
        <w:rPr>
          <w:rFonts w:cs="Arial"/>
          <w:b/>
          <w:u w:val="single"/>
        </w:rPr>
        <w:tab/>
      </w:r>
      <w:r w:rsidRPr="000A3783">
        <w:rPr>
          <w:rFonts w:cs="Arial"/>
          <w:b/>
          <w:u w:val="single"/>
        </w:rPr>
        <w:t>Situation dans le domaine technique</w:t>
      </w:r>
    </w:p>
    <w:p w:rsidR="00023109" w:rsidRDefault="00023109" w:rsidP="00023109">
      <w:pPr>
        <w:spacing w:after="240"/>
        <w:rPr>
          <w:rFonts w:cs="Arial"/>
          <w:i/>
          <w:u w:val="single"/>
        </w:rPr>
      </w:pPr>
      <w:r>
        <w:rPr>
          <w:rFonts w:cs="Arial"/>
          <w:i/>
          <w:u w:val="single"/>
        </w:rPr>
        <w:t>4.1</w:t>
      </w:r>
      <w:r>
        <w:rPr>
          <w:rFonts w:cs="Arial"/>
          <w:i/>
          <w:u w:val="single"/>
        </w:rPr>
        <w:tab/>
      </w:r>
      <w:r w:rsidRPr="000A3783">
        <w:rPr>
          <w:rFonts w:cs="Arial"/>
          <w:i/>
          <w:u w:val="single"/>
        </w:rPr>
        <w:t>Informations concernant le fonctionnement de la protection des obtentions végétales dans l</w:t>
      </w:r>
      <w:r>
        <w:rPr>
          <w:rFonts w:cs="Arial"/>
          <w:i/>
          <w:u w:val="single"/>
        </w:rPr>
        <w:t>’</w:t>
      </w:r>
      <w:r w:rsidRPr="000A3783">
        <w:rPr>
          <w:rFonts w:cs="Arial"/>
          <w:i/>
          <w:u w:val="single"/>
        </w:rPr>
        <w:t>Union européenne</w:t>
      </w:r>
    </w:p>
    <w:p w:rsidR="00023109" w:rsidRPr="000A3783" w:rsidRDefault="00023109" w:rsidP="00023109">
      <w:pPr>
        <w:spacing w:after="240"/>
        <w:ind w:left="709"/>
        <w:rPr>
          <w:rFonts w:cs="Arial"/>
          <w:bCs/>
          <w:i/>
        </w:rPr>
      </w:pPr>
      <w:r w:rsidRPr="000A3783">
        <w:rPr>
          <w:rFonts w:cs="Arial"/>
          <w:bCs/>
          <w:i/>
        </w:rPr>
        <w:t>a.</w:t>
      </w:r>
      <w:r>
        <w:rPr>
          <w:rFonts w:cs="Arial"/>
          <w:bCs/>
          <w:i/>
        </w:rPr>
        <w:tab/>
      </w:r>
      <w:r w:rsidRPr="000A3783">
        <w:rPr>
          <w:rFonts w:cs="Arial"/>
          <w:bCs/>
          <w:i/>
        </w:rPr>
        <w:t xml:space="preserve">Relation avec les </w:t>
      </w:r>
      <w:r>
        <w:rPr>
          <w:rFonts w:cs="Arial"/>
          <w:bCs/>
          <w:i/>
        </w:rPr>
        <w:t>centres</w:t>
      </w:r>
      <w:r w:rsidRPr="000A3783">
        <w:rPr>
          <w:rFonts w:cs="Arial"/>
          <w:bCs/>
          <w:i/>
        </w:rPr>
        <w:t xml:space="preserve"> d</w:t>
      </w:r>
      <w:r>
        <w:rPr>
          <w:rFonts w:cs="Arial"/>
          <w:bCs/>
          <w:i/>
        </w:rPr>
        <w:t>’</w:t>
      </w:r>
      <w:r w:rsidRPr="000A3783">
        <w:rPr>
          <w:rFonts w:cs="Arial"/>
          <w:bCs/>
          <w:i/>
        </w:rPr>
        <w:t>examen</w:t>
      </w:r>
    </w:p>
    <w:p w:rsidR="00023109" w:rsidRPr="000A3783" w:rsidRDefault="00023109" w:rsidP="00023109">
      <w:pPr>
        <w:spacing w:after="240"/>
        <w:ind w:right="43"/>
        <w:rPr>
          <w:rFonts w:cs="Arial"/>
        </w:rPr>
      </w:pPr>
      <w:r>
        <w:rPr>
          <w:rFonts w:cs="Arial"/>
        </w:rPr>
        <w:t>E</w:t>
      </w:r>
      <w:r w:rsidRPr="000A3783">
        <w:rPr>
          <w:rFonts w:cs="Arial"/>
        </w:rPr>
        <w:t>n</w:t>
      </w:r>
      <w:r>
        <w:rPr>
          <w:rFonts w:cs="Arial"/>
        </w:rPr>
        <w:t> </w:t>
      </w:r>
      <w:r w:rsidRPr="000A3783">
        <w:rPr>
          <w:rFonts w:cs="Arial"/>
        </w:rPr>
        <w:t>2014, l</w:t>
      </w:r>
      <w:r>
        <w:rPr>
          <w:rFonts w:cs="Arial"/>
        </w:rPr>
        <w:t>’</w:t>
      </w:r>
      <w:r w:rsidRPr="000A3783">
        <w:rPr>
          <w:rFonts w:cs="Arial"/>
        </w:rPr>
        <w:t xml:space="preserve">OCVV a organisé sa </w:t>
      </w:r>
      <w:r>
        <w:rPr>
          <w:rFonts w:cs="Arial"/>
        </w:rPr>
        <w:t>dix</w:t>
      </w:r>
      <w:r>
        <w:rPr>
          <w:rFonts w:cs="Arial"/>
        </w:rPr>
        <w:noBreakHyphen/>
        <w:t>huitième</w:t>
      </w:r>
      <w:r w:rsidRPr="000A3783">
        <w:rPr>
          <w:rFonts w:cs="Arial"/>
        </w:rPr>
        <w:t xml:space="preserve"> réunion annuelle</w:t>
      </w:r>
      <w:r>
        <w:rPr>
          <w:rFonts w:cs="Arial"/>
        </w:rPr>
        <w:t xml:space="preserve"> a</w:t>
      </w:r>
      <w:r w:rsidRPr="000A3783">
        <w:rPr>
          <w:rFonts w:cs="Arial"/>
        </w:rPr>
        <w:t xml:space="preserve">vec ses </w:t>
      </w:r>
      <w:r>
        <w:rPr>
          <w:rFonts w:cs="Arial"/>
        </w:rPr>
        <w:t>centres</w:t>
      </w:r>
      <w:r w:rsidRPr="000A3783">
        <w:rPr>
          <w:rFonts w:cs="Arial"/>
        </w:rPr>
        <w:t xml:space="preserve"> d</w:t>
      </w:r>
      <w:r>
        <w:rPr>
          <w:rFonts w:cs="Arial"/>
        </w:rPr>
        <w:t>’</w:t>
      </w:r>
      <w:r w:rsidRPr="000A3783">
        <w:rPr>
          <w:rFonts w:cs="Arial"/>
        </w:rPr>
        <w:t>examen, à laquelle ont également participé des représentants du bureau de l</w:t>
      </w:r>
      <w:r>
        <w:rPr>
          <w:rFonts w:cs="Arial"/>
        </w:rPr>
        <w:t>’</w:t>
      </w:r>
      <w:r w:rsidRPr="000A3783">
        <w:rPr>
          <w:rFonts w:cs="Arial"/>
        </w:rPr>
        <w:t>UPOV ainsi que des organisations d</w:t>
      </w:r>
      <w:r>
        <w:rPr>
          <w:rFonts w:cs="Arial"/>
        </w:rPr>
        <w:t>’</w:t>
      </w:r>
      <w:r w:rsidRPr="000A3783">
        <w:rPr>
          <w:rFonts w:cs="Arial"/>
        </w:rPr>
        <w:t xml:space="preserve">obtenteurs (ESA, CIOPORA et </w:t>
      </w:r>
      <w:proofErr w:type="spellStart"/>
      <w:r w:rsidRPr="000A3783">
        <w:rPr>
          <w:rFonts w:cs="Arial"/>
        </w:rPr>
        <w:t>Plantum</w:t>
      </w:r>
      <w:proofErr w:type="spellEnd"/>
      <w:r w:rsidRPr="000A3783">
        <w:rPr>
          <w:rFonts w:cs="Arial"/>
        </w:rPr>
        <w:t xml:space="preserve">) et un représentant de la Norvège. </w:t>
      </w:r>
      <w:r>
        <w:rPr>
          <w:rFonts w:cs="Arial"/>
        </w:rPr>
        <w:t xml:space="preserve"> </w:t>
      </w:r>
      <w:r w:rsidRPr="000A3783">
        <w:rPr>
          <w:rFonts w:cs="Arial"/>
        </w:rPr>
        <w:t>Les principaux sujets de discussion ont été les suivants</w:t>
      </w:r>
      <w:r>
        <w:rPr>
          <w:rFonts w:cs="Arial"/>
        </w:rPr>
        <w:t> </w:t>
      </w:r>
      <w:r w:rsidRPr="000A3783">
        <w:rPr>
          <w:rFonts w:cs="Arial"/>
        </w:rPr>
        <w:t>:</w:t>
      </w:r>
    </w:p>
    <w:p w:rsidR="00023109" w:rsidRPr="000A3783" w:rsidRDefault="00023109" w:rsidP="00BD634F">
      <w:pPr>
        <w:numPr>
          <w:ilvl w:val="0"/>
          <w:numId w:val="9"/>
        </w:numPr>
        <w:autoSpaceDE w:val="0"/>
        <w:autoSpaceDN w:val="0"/>
        <w:adjustRightInd w:val="0"/>
        <w:spacing w:after="120"/>
        <w:ind w:left="641" w:hanging="357"/>
        <w:rPr>
          <w:rFonts w:cs="Arial"/>
        </w:rPr>
      </w:pPr>
      <w:r w:rsidRPr="000A3783">
        <w:rPr>
          <w:rFonts w:cs="Arial"/>
        </w:rPr>
        <w:t>le réseau des agents techniques de liaison</w:t>
      </w:r>
      <w:r>
        <w:rPr>
          <w:rFonts w:cs="Arial"/>
        </w:rPr>
        <w:t> </w:t>
      </w:r>
      <w:r w:rsidRPr="000A3783">
        <w:rPr>
          <w:rFonts w:cs="Arial"/>
        </w:rPr>
        <w:t>: présentation d</w:t>
      </w:r>
      <w:r>
        <w:rPr>
          <w:rFonts w:cs="Arial"/>
        </w:rPr>
        <w:t>’</w:t>
      </w:r>
      <w:r w:rsidRPr="000A3783">
        <w:rPr>
          <w:rFonts w:cs="Arial"/>
        </w:rPr>
        <w:t>une nouvelle configuration;</w:t>
      </w:r>
    </w:p>
    <w:p w:rsidR="00023109" w:rsidRPr="000A3783" w:rsidRDefault="00023109" w:rsidP="00BD634F">
      <w:pPr>
        <w:numPr>
          <w:ilvl w:val="0"/>
          <w:numId w:val="9"/>
        </w:numPr>
        <w:autoSpaceDE w:val="0"/>
        <w:autoSpaceDN w:val="0"/>
        <w:adjustRightInd w:val="0"/>
        <w:spacing w:after="120"/>
        <w:ind w:left="641" w:hanging="357"/>
        <w:rPr>
          <w:rFonts w:cs="Arial"/>
        </w:rPr>
      </w:pPr>
      <w:r w:rsidRPr="000A3783">
        <w:rPr>
          <w:rFonts w:cs="Arial"/>
        </w:rPr>
        <w:t>les divergences existantes entre les informations figurant dans les questionnaires techniques et l</w:t>
      </w:r>
      <w:r>
        <w:rPr>
          <w:rFonts w:cs="Arial"/>
        </w:rPr>
        <w:t>’</w:t>
      </w:r>
      <w:r w:rsidRPr="000A3783">
        <w:rPr>
          <w:rFonts w:cs="Arial"/>
        </w:rPr>
        <w:t>apparence des plantes lors des essais en culture aux fins de l</w:t>
      </w:r>
      <w:r>
        <w:rPr>
          <w:rFonts w:cs="Arial"/>
        </w:rPr>
        <w:t>’</w:t>
      </w:r>
      <w:r w:rsidRPr="000A3783">
        <w:rPr>
          <w:rFonts w:cs="Arial"/>
        </w:rPr>
        <w:t>examen</w:t>
      </w:r>
      <w:r>
        <w:rPr>
          <w:rFonts w:cs="Arial"/>
        </w:rPr>
        <w:t> </w:t>
      </w:r>
      <w:r w:rsidRPr="000A3783">
        <w:rPr>
          <w:rFonts w:cs="Arial"/>
        </w:rPr>
        <w:t>DHS;</w:t>
      </w:r>
    </w:p>
    <w:p w:rsidR="00023109" w:rsidRPr="000A3783" w:rsidRDefault="00023109" w:rsidP="00BD634F">
      <w:pPr>
        <w:numPr>
          <w:ilvl w:val="0"/>
          <w:numId w:val="9"/>
        </w:numPr>
        <w:autoSpaceDE w:val="0"/>
        <w:autoSpaceDN w:val="0"/>
        <w:adjustRightInd w:val="0"/>
        <w:spacing w:after="120"/>
        <w:ind w:left="641" w:hanging="357"/>
        <w:rPr>
          <w:rFonts w:cs="Arial"/>
        </w:rPr>
      </w:pPr>
      <w:r w:rsidRPr="000A3783">
        <w:rPr>
          <w:rFonts w:cs="Arial"/>
        </w:rPr>
        <w:t>l</w:t>
      </w:r>
      <w:r>
        <w:rPr>
          <w:rFonts w:cs="Arial"/>
        </w:rPr>
        <w:t>’</w:t>
      </w:r>
      <w:r w:rsidRPr="000A3783">
        <w:rPr>
          <w:rFonts w:cs="Arial"/>
        </w:rPr>
        <w:t>examen de la procédure d</w:t>
      </w:r>
      <w:r>
        <w:rPr>
          <w:rFonts w:cs="Arial"/>
        </w:rPr>
        <w:t>’</w:t>
      </w:r>
      <w:r w:rsidRPr="000A3783">
        <w:rPr>
          <w:rFonts w:cs="Arial"/>
        </w:rPr>
        <w:t>utilisation de caractéristiques supplémentaires dans le cas où une enquête technique est nécessaire pour l</w:t>
      </w:r>
      <w:r>
        <w:rPr>
          <w:rFonts w:cs="Arial"/>
        </w:rPr>
        <w:t>’</w:t>
      </w:r>
      <w:r w:rsidRPr="000A3783">
        <w:rPr>
          <w:rFonts w:cs="Arial"/>
        </w:rPr>
        <w:t>évaluation d</w:t>
      </w:r>
      <w:r>
        <w:rPr>
          <w:rFonts w:cs="Arial"/>
        </w:rPr>
        <w:t>’</w:t>
      </w:r>
      <w:r w:rsidRPr="000A3783">
        <w:rPr>
          <w:rFonts w:cs="Arial"/>
        </w:rPr>
        <w:t>un caractère;</w:t>
      </w:r>
    </w:p>
    <w:p w:rsidR="00023109" w:rsidRPr="000A3783" w:rsidRDefault="00023109" w:rsidP="00BD634F">
      <w:pPr>
        <w:numPr>
          <w:ilvl w:val="0"/>
          <w:numId w:val="9"/>
        </w:numPr>
        <w:autoSpaceDE w:val="0"/>
        <w:autoSpaceDN w:val="0"/>
        <w:adjustRightInd w:val="0"/>
        <w:spacing w:after="120"/>
        <w:ind w:left="641" w:hanging="357"/>
        <w:rPr>
          <w:rFonts w:cs="Arial"/>
        </w:rPr>
      </w:pPr>
      <w:r w:rsidRPr="000A3783">
        <w:rPr>
          <w:rFonts w:cs="Arial"/>
        </w:rPr>
        <w:t>la situation de la centralisation pour les petites espèces de plantes ornementales;</w:t>
      </w:r>
    </w:p>
    <w:p w:rsidR="00023109" w:rsidRPr="000A3783" w:rsidRDefault="00023109" w:rsidP="00BD634F">
      <w:pPr>
        <w:numPr>
          <w:ilvl w:val="0"/>
          <w:numId w:val="9"/>
        </w:numPr>
        <w:autoSpaceDE w:val="0"/>
        <w:autoSpaceDN w:val="0"/>
        <w:adjustRightInd w:val="0"/>
        <w:spacing w:after="120"/>
        <w:ind w:left="641" w:hanging="357"/>
        <w:rPr>
          <w:rFonts w:cs="Arial"/>
        </w:rPr>
      </w:pPr>
      <w:r w:rsidRPr="000A3783">
        <w:rPr>
          <w:rFonts w:cs="Arial"/>
        </w:rPr>
        <w:t xml:space="preserve">les possibilités de collaboration </w:t>
      </w:r>
      <w:r>
        <w:rPr>
          <w:rFonts w:cs="Arial"/>
        </w:rPr>
        <w:t xml:space="preserve">avec des services au sein de l’UPOV de </w:t>
      </w:r>
      <w:r w:rsidRPr="000A3783">
        <w:rPr>
          <w:rFonts w:cs="Arial"/>
        </w:rPr>
        <w:t>pays non membres de l</w:t>
      </w:r>
      <w:r>
        <w:rPr>
          <w:rFonts w:cs="Arial"/>
        </w:rPr>
        <w:t>’</w:t>
      </w:r>
      <w:r w:rsidRPr="000A3783">
        <w:rPr>
          <w:rFonts w:cs="Arial"/>
        </w:rPr>
        <w:t xml:space="preserve">Union européenne </w:t>
      </w:r>
      <w:r>
        <w:rPr>
          <w:rFonts w:cs="Arial"/>
        </w:rPr>
        <w:t>dans le cadre des échanges de rapports d’examen technique</w:t>
      </w:r>
      <w:r w:rsidRPr="000A3783">
        <w:rPr>
          <w:rFonts w:cs="Arial"/>
        </w:rPr>
        <w:t>;</w:t>
      </w:r>
    </w:p>
    <w:p w:rsidR="00023109" w:rsidRPr="000A3783" w:rsidRDefault="00023109" w:rsidP="00BD634F">
      <w:pPr>
        <w:numPr>
          <w:ilvl w:val="0"/>
          <w:numId w:val="9"/>
        </w:numPr>
        <w:autoSpaceDE w:val="0"/>
        <w:autoSpaceDN w:val="0"/>
        <w:adjustRightInd w:val="0"/>
        <w:spacing w:after="120"/>
        <w:ind w:left="641" w:hanging="357"/>
        <w:rPr>
          <w:rFonts w:cs="Arial"/>
        </w:rPr>
      </w:pPr>
      <w:r>
        <w:rPr>
          <w:rFonts w:cs="Arial"/>
        </w:rPr>
        <w:t>la mise à jour des descriptions variétales</w:t>
      </w:r>
      <w:r w:rsidRPr="000A3783">
        <w:rPr>
          <w:rFonts w:cs="Arial"/>
        </w:rPr>
        <w:t>;</w:t>
      </w:r>
    </w:p>
    <w:p w:rsidR="00023109" w:rsidRPr="000A3783" w:rsidRDefault="00023109" w:rsidP="00BD634F">
      <w:pPr>
        <w:numPr>
          <w:ilvl w:val="0"/>
          <w:numId w:val="9"/>
        </w:numPr>
        <w:autoSpaceDE w:val="0"/>
        <w:autoSpaceDN w:val="0"/>
        <w:adjustRightInd w:val="0"/>
        <w:spacing w:after="120"/>
        <w:ind w:left="641" w:hanging="357"/>
        <w:rPr>
          <w:rFonts w:cs="Arial"/>
        </w:rPr>
      </w:pPr>
      <w:r>
        <w:rPr>
          <w:rFonts w:cs="Arial"/>
        </w:rPr>
        <w:t xml:space="preserve">les aspects se rapportant au principe </w:t>
      </w:r>
      <w:r w:rsidRPr="000A3783">
        <w:rPr>
          <w:rFonts w:cs="Arial"/>
        </w:rPr>
        <w:t>“</w:t>
      </w:r>
      <w:r w:rsidRPr="00676B32">
        <w:rPr>
          <w:rFonts w:cs="Arial"/>
        </w:rPr>
        <w:t>une clé – plusieurs portes</w:t>
      </w:r>
      <w:r w:rsidRPr="000A3783">
        <w:rPr>
          <w:rFonts w:cs="Arial"/>
        </w:rPr>
        <w:t>”;</w:t>
      </w:r>
    </w:p>
    <w:p w:rsidR="00023109" w:rsidRPr="000A3783" w:rsidRDefault="00023109" w:rsidP="00BD634F">
      <w:pPr>
        <w:numPr>
          <w:ilvl w:val="0"/>
          <w:numId w:val="9"/>
        </w:numPr>
        <w:autoSpaceDE w:val="0"/>
        <w:autoSpaceDN w:val="0"/>
        <w:adjustRightInd w:val="0"/>
        <w:spacing w:after="120"/>
        <w:ind w:left="641" w:hanging="357"/>
        <w:rPr>
          <w:rFonts w:cs="Arial"/>
        </w:rPr>
      </w:pPr>
      <w:r>
        <w:rPr>
          <w:rFonts w:cs="Arial"/>
        </w:rPr>
        <w:t xml:space="preserve">le rôle des services d’examen dans la diffusion d’informations concernant la nouveauté, les </w:t>
      </w:r>
      <w:r w:rsidRPr="00D07C07">
        <w:rPr>
          <w:rFonts w:cs="Arial"/>
        </w:rPr>
        <w:t>dénominations variétales</w:t>
      </w:r>
      <w:r>
        <w:rPr>
          <w:rFonts w:cs="Arial"/>
        </w:rPr>
        <w:t>, le droit à la protection (les aspects autres que l’examen DHS</w:t>
      </w:r>
      <w:r w:rsidRPr="000A3783">
        <w:rPr>
          <w:rFonts w:cs="Arial"/>
        </w:rPr>
        <w:t>);</w:t>
      </w:r>
    </w:p>
    <w:p w:rsidR="00023109" w:rsidRPr="000A3783" w:rsidRDefault="00023109" w:rsidP="00BD634F">
      <w:pPr>
        <w:numPr>
          <w:ilvl w:val="0"/>
          <w:numId w:val="9"/>
        </w:numPr>
        <w:autoSpaceDE w:val="0"/>
        <w:autoSpaceDN w:val="0"/>
        <w:adjustRightInd w:val="0"/>
        <w:spacing w:after="120"/>
        <w:ind w:left="641" w:hanging="357"/>
        <w:rPr>
          <w:rFonts w:cs="Arial"/>
        </w:rPr>
      </w:pPr>
      <w:r>
        <w:rPr>
          <w:rFonts w:cs="Arial"/>
        </w:rPr>
        <w:t>la proposition de révision des e</w:t>
      </w:r>
      <w:r w:rsidRPr="00336048">
        <w:rPr>
          <w:rFonts w:cs="Arial"/>
        </w:rPr>
        <w:t>xigences en matière d</w:t>
      </w:r>
      <w:r>
        <w:rPr>
          <w:rFonts w:cs="Arial"/>
        </w:rPr>
        <w:t>’</w:t>
      </w:r>
      <w:r w:rsidRPr="00336048">
        <w:rPr>
          <w:rFonts w:cs="Arial"/>
        </w:rPr>
        <w:t xml:space="preserve">habilitation pour les </w:t>
      </w:r>
      <w:r>
        <w:rPr>
          <w:rFonts w:cs="Arial"/>
        </w:rPr>
        <w:t xml:space="preserve">centres </w:t>
      </w:r>
      <w:r w:rsidRPr="00336048">
        <w:rPr>
          <w:rFonts w:cs="Arial"/>
        </w:rPr>
        <w:t>d</w:t>
      </w:r>
      <w:r>
        <w:rPr>
          <w:rFonts w:cs="Arial"/>
        </w:rPr>
        <w:t>’</w:t>
      </w:r>
      <w:r w:rsidRPr="00336048">
        <w:rPr>
          <w:rFonts w:cs="Arial"/>
        </w:rPr>
        <w:t>examen</w:t>
      </w:r>
      <w:r w:rsidRPr="000A3783">
        <w:rPr>
          <w:rFonts w:cs="Arial"/>
        </w:rPr>
        <w:t>;</w:t>
      </w:r>
    </w:p>
    <w:p w:rsidR="00023109" w:rsidRPr="000A3783" w:rsidRDefault="00023109" w:rsidP="00BD634F">
      <w:pPr>
        <w:numPr>
          <w:ilvl w:val="0"/>
          <w:numId w:val="9"/>
        </w:numPr>
        <w:autoSpaceDE w:val="0"/>
        <w:autoSpaceDN w:val="0"/>
        <w:adjustRightInd w:val="0"/>
        <w:spacing w:after="120"/>
        <w:ind w:left="641" w:hanging="357"/>
        <w:rPr>
          <w:rFonts w:cs="Arial"/>
        </w:rPr>
      </w:pPr>
      <w:r>
        <w:rPr>
          <w:rFonts w:cs="Arial"/>
        </w:rPr>
        <w:t>l’</w:t>
      </w:r>
      <w:r w:rsidRPr="000A3783">
        <w:rPr>
          <w:rFonts w:cs="Arial"/>
        </w:rPr>
        <w:t>in</w:t>
      </w:r>
      <w:r>
        <w:rPr>
          <w:rFonts w:cs="Arial"/>
        </w:rPr>
        <w:t>clusion</w:t>
      </w:r>
      <w:r w:rsidRPr="000A3783">
        <w:rPr>
          <w:rFonts w:cs="Arial"/>
        </w:rPr>
        <w:t xml:space="preserve"> </w:t>
      </w:r>
      <w:r>
        <w:rPr>
          <w:rFonts w:cs="Arial"/>
        </w:rPr>
        <w:t>d</w:t>
      </w:r>
      <w:r w:rsidRPr="00AD45F7">
        <w:rPr>
          <w:rFonts w:cs="Arial"/>
        </w:rPr>
        <w:t xml:space="preserve">es marques communautaires dans </w:t>
      </w:r>
      <w:proofErr w:type="spellStart"/>
      <w:r w:rsidRPr="00AD45F7">
        <w:rPr>
          <w:rFonts w:cs="Arial"/>
        </w:rPr>
        <w:t>Variety</w:t>
      </w:r>
      <w:proofErr w:type="spellEnd"/>
      <w:r w:rsidRPr="00AD45F7">
        <w:rPr>
          <w:rFonts w:cs="Arial"/>
        </w:rPr>
        <w:t xml:space="preserve"> Finder </w:t>
      </w:r>
      <w:r>
        <w:rPr>
          <w:rFonts w:cs="Arial"/>
        </w:rPr>
        <w:t>et le retour d’information des centres d’examen</w:t>
      </w:r>
      <w:r w:rsidRPr="000A3783">
        <w:rPr>
          <w:rFonts w:cs="Arial"/>
        </w:rPr>
        <w:t>;</w:t>
      </w:r>
    </w:p>
    <w:p w:rsidR="00023109" w:rsidRPr="000A3783" w:rsidRDefault="00023109" w:rsidP="00BD634F">
      <w:pPr>
        <w:numPr>
          <w:ilvl w:val="0"/>
          <w:numId w:val="9"/>
        </w:numPr>
        <w:autoSpaceDE w:val="0"/>
        <w:autoSpaceDN w:val="0"/>
        <w:adjustRightInd w:val="0"/>
        <w:spacing w:after="240"/>
        <w:rPr>
          <w:rFonts w:cs="Arial"/>
        </w:rPr>
      </w:pPr>
      <w:r>
        <w:rPr>
          <w:rFonts w:cs="Arial"/>
        </w:rPr>
        <w:t xml:space="preserve">les informations concernant la situation de la </w:t>
      </w:r>
      <w:r w:rsidRPr="00504EAC">
        <w:rPr>
          <w:rFonts w:cs="Arial"/>
        </w:rPr>
        <w:t>stratégie de recherche</w:t>
      </w:r>
      <w:r>
        <w:rPr>
          <w:rFonts w:cs="Arial"/>
        </w:rPr>
        <w:noBreakHyphen/>
      </w:r>
      <w:r w:rsidRPr="00504EAC">
        <w:rPr>
          <w:rFonts w:cs="Arial"/>
        </w:rPr>
        <w:t>développement</w:t>
      </w:r>
      <w:r>
        <w:rPr>
          <w:rFonts w:cs="Arial"/>
        </w:rPr>
        <w:t xml:space="preserve"> de l’OCVV</w:t>
      </w:r>
      <w:r w:rsidRPr="000A3783">
        <w:rPr>
          <w:rFonts w:cs="Arial"/>
        </w:rPr>
        <w:t>.</w:t>
      </w:r>
    </w:p>
    <w:p w:rsidR="00023109" w:rsidRPr="007C0BC1" w:rsidRDefault="00023109" w:rsidP="00023109">
      <w:pPr>
        <w:spacing w:after="240"/>
        <w:ind w:left="709"/>
        <w:rPr>
          <w:rFonts w:cs="Arial"/>
          <w:bCs/>
          <w:i/>
        </w:rPr>
      </w:pPr>
      <w:r w:rsidRPr="007C0BC1">
        <w:rPr>
          <w:rFonts w:cs="Arial"/>
          <w:bCs/>
          <w:i/>
        </w:rPr>
        <w:t>b.</w:t>
      </w:r>
      <w:r w:rsidRPr="007C0BC1">
        <w:rPr>
          <w:rFonts w:cs="Arial"/>
          <w:bCs/>
          <w:i/>
        </w:rPr>
        <w:tab/>
        <w:t>Élaboration de protocoles de l’OCVV</w:t>
      </w:r>
    </w:p>
    <w:p w:rsidR="00023109" w:rsidRPr="000A3783" w:rsidRDefault="00023109" w:rsidP="00023109">
      <w:pPr>
        <w:spacing w:after="240"/>
        <w:ind w:right="43"/>
        <w:rPr>
          <w:rFonts w:cs="Arial"/>
        </w:rPr>
      </w:pPr>
      <w:r>
        <w:rPr>
          <w:rFonts w:cs="Arial"/>
        </w:rPr>
        <w:t>E</w:t>
      </w:r>
      <w:r w:rsidRPr="000A3783">
        <w:rPr>
          <w:rFonts w:cs="Arial"/>
        </w:rPr>
        <w:t>n</w:t>
      </w:r>
      <w:r>
        <w:rPr>
          <w:rFonts w:cs="Arial"/>
        </w:rPr>
        <w:t> </w:t>
      </w:r>
      <w:r w:rsidRPr="000A3783">
        <w:rPr>
          <w:rFonts w:cs="Arial"/>
        </w:rPr>
        <w:t xml:space="preserve">2014, </w:t>
      </w:r>
      <w:r w:rsidRPr="00A9240B">
        <w:rPr>
          <w:rFonts w:cs="Arial"/>
        </w:rPr>
        <w:t>des experts des offices d</w:t>
      </w:r>
      <w:r>
        <w:rPr>
          <w:rFonts w:cs="Arial"/>
        </w:rPr>
        <w:t>’</w:t>
      </w:r>
      <w:r w:rsidRPr="00A9240B">
        <w:rPr>
          <w:rFonts w:cs="Arial"/>
        </w:rPr>
        <w:t>examen des États membres ont été invités à collaborer à l</w:t>
      </w:r>
      <w:r>
        <w:rPr>
          <w:rFonts w:cs="Arial"/>
        </w:rPr>
        <w:t>’</w:t>
      </w:r>
      <w:r w:rsidRPr="00A9240B">
        <w:rPr>
          <w:rFonts w:cs="Arial"/>
        </w:rPr>
        <w:t xml:space="preserve">élaboration ou à la révision des protocoles techniques pour les essais DHS qui ont été ensuite approuvés par le </w:t>
      </w:r>
      <w:r>
        <w:rPr>
          <w:rFonts w:cs="Arial"/>
        </w:rPr>
        <w:t>c</w:t>
      </w:r>
      <w:r w:rsidRPr="00A9240B">
        <w:rPr>
          <w:rFonts w:cs="Arial"/>
        </w:rPr>
        <w:t>onseil d</w:t>
      </w:r>
      <w:r>
        <w:rPr>
          <w:rFonts w:cs="Arial"/>
        </w:rPr>
        <w:t>’</w:t>
      </w:r>
      <w:r w:rsidRPr="00A9240B">
        <w:rPr>
          <w:rFonts w:cs="Arial"/>
        </w:rPr>
        <w:t xml:space="preserve">administration, </w:t>
      </w:r>
      <w:r>
        <w:rPr>
          <w:rFonts w:cs="Arial"/>
        </w:rPr>
        <w:t>ou qui</w:t>
      </w:r>
      <w:r w:rsidRPr="00A9240B">
        <w:rPr>
          <w:rFonts w:cs="Arial"/>
        </w:rPr>
        <w:t xml:space="preserve"> devraient l</w:t>
      </w:r>
      <w:r>
        <w:rPr>
          <w:rFonts w:cs="Arial"/>
        </w:rPr>
        <w:t>’</w:t>
      </w:r>
      <w:r w:rsidRPr="00A9240B">
        <w:rPr>
          <w:rFonts w:cs="Arial"/>
        </w:rPr>
        <w:t>être en</w:t>
      </w:r>
      <w:r>
        <w:rPr>
          <w:rFonts w:cs="Arial"/>
        </w:rPr>
        <w:t> </w:t>
      </w:r>
      <w:r w:rsidRPr="000A3783">
        <w:rPr>
          <w:rFonts w:cs="Arial"/>
        </w:rPr>
        <w:t>2015.</w:t>
      </w:r>
      <w:r>
        <w:rPr>
          <w:rFonts w:cs="Arial"/>
        </w:rPr>
        <w:t xml:space="preserve"> </w:t>
      </w:r>
      <w:r w:rsidRPr="000A3783">
        <w:rPr>
          <w:rFonts w:cs="Arial"/>
        </w:rPr>
        <w:t xml:space="preserve"> </w:t>
      </w:r>
      <w:r w:rsidRPr="00A9240B">
        <w:rPr>
          <w:rFonts w:cs="Arial"/>
        </w:rPr>
        <w:t>Des réunions d</w:t>
      </w:r>
      <w:r>
        <w:rPr>
          <w:rFonts w:cs="Arial"/>
        </w:rPr>
        <w:t>’</w:t>
      </w:r>
      <w:r w:rsidRPr="00A9240B">
        <w:rPr>
          <w:rFonts w:cs="Arial"/>
        </w:rPr>
        <w:t>experts ont eu lieu pour examiner les protocoles techniques des plantes suivantes</w:t>
      </w:r>
      <w:r>
        <w:rPr>
          <w:rFonts w:cs="Arial"/>
        </w:rPr>
        <w:t> </w:t>
      </w:r>
      <w:r w:rsidRPr="000A3783">
        <w:rPr>
          <w:rFonts w:cs="Arial"/>
        </w:rPr>
        <w:t>:</w:t>
      </w:r>
    </w:p>
    <w:p w:rsidR="00023109" w:rsidRDefault="00023109" w:rsidP="00BD634F">
      <w:pPr>
        <w:numPr>
          <w:ilvl w:val="0"/>
          <w:numId w:val="10"/>
        </w:numPr>
        <w:spacing w:after="120"/>
        <w:ind w:left="714" w:right="43" w:hanging="357"/>
        <w:rPr>
          <w:rFonts w:cs="Arial"/>
        </w:rPr>
      </w:pPr>
      <w:r>
        <w:rPr>
          <w:rFonts w:cs="Arial"/>
        </w:rPr>
        <w:t>p</w:t>
      </w:r>
      <w:r w:rsidRPr="00A475D3">
        <w:rPr>
          <w:rFonts w:cs="Arial"/>
        </w:rPr>
        <w:t>lantes agricoles</w:t>
      </w:r>
      <w:r>
        <w:rPr>
          <w:rFonts w:cs="Arial"/>
        </w:rPr>
        <w:t> :</w:t>
      </w:r>
      <w:r w:rsidRPr="000A3783">
        <w:rPr>
          <w:rFonts w:cs="Arial"/>
        </w:rPr>
        <w:t xml:space="preserve"> </w:t>
      </w:r>
      <w:r w:rsidRPr="00A475D3">
        <w:rPr>
          <w:rFonts w:cs="Arial"/>
        </w:rPr>
        <w:t xml:space="preserve">protocoles techniques pour </w:t>
      </w:r>
      <w:r>
        <w:rPr>
          <w:rFonts w:cs="Arial"/>
        </w:rPr>
        <w:t>l’avoine, l’orge, le soja, le c</w:t>
      </w:r>
      <w:r w:rsidRPr="000A3783">
        <w:rPr>
          <w:rFonts w:cs="Arial"/>
        </w:rPr>
        <w:t xml:space="preserve">oton, </w:t>
      </w:r>
      <w:r>
        <w:rPr>
          <w:rFonts w:cs="Arial"/>
        </w:rPr>
        <w:t>la f</w:t>
      </w:r>
      <w:r w:rsidRPr="003B66BF">
        <w:rPr>
          <w:rFonts w:cs="Arial"/>
        </w:rPr>
        <w:t>étuque des prés</w:t>
      </w:r>
      <w:r>
        <w:rPr>
          <w:rFonts w:cs="Arial"/>
        </w:rPr>
        <w:t xml:space="preserve"> et la f</w:t>
      </w:r>
      <w:r w:rsidRPr="003B66BF">
        <w:rPr>
          <w:rFonts w:cs="Arial"/>
        </w:rPr>
        <w:t>étuque élevée</w:t>
      </w:r>
      <w:r w:rsidRPr="000A3783">
        <w:rPr>
          <w:rFonts w:cs="Arial"/>
        </w:rPr>
        <w:t xml:space="preserve">, </w:t>
      </w:r>
      <w:r>
        <w:rPr>
          <w:rFonts w:cs="Arial"/>
        </w:rPr>
        <w:t xml:space="preserve">la féverole et </w:t>
      </w:r>
      <w:r w:rsidRPr="003B66BF">
        <w:rPr>
          <w:rFonts w:cs="Arial"/>
        </w:rPr>
        <w:t>la vesce commune</w:t>
      </w:r>
      <w:r w:rsidRPr="000A3783">
        <w:rPr>
          <w:rFonts w:cs="Arial"/>
        </w:rPr>
        <w:t>;</w:t>
      </w:r>
    </w:p>
    <w:p w:rsidR="00023109" w:rsidRPr="000A3783" w:rsidRDefault="00023109" w:rsidP="00BD634F">
      <w:pPr>
        <w:numPr>
          <w:ilvl w:val="0"/>
          <w:numId w:val="10"/>
        </w:numPr>
        <w:spacing w:after="120"/>
        <w:ind w:left="714" w:right="4" w:hanging="357"/>
        <w:rPr>
          <w:rFonts w:cs="Arial"/>
        </w:rPr>
      </w:pPr>
      <w:r>
        <w:rPr>
          <w:rFonts w:cs="Arial"/>
        </w:rPr>
        <w:t>plantes potagères :</w:t>
      </w:r>
      <w:r w:rsidRPr="000A3783">
        <w:rPr>
          <w:rFonts w:cs="Arial"/>
        </w:rPr>
        <w:t xml:space="preserve"> </w:t>
      </w:r>
      <w:r w:rsidRPr="00A475D3">
        <w:rPr>
          <w:rFonts w:cs="Arial"/>
        </w:rPr>
        <w:t xml:space="preserve">protocoles techniques pour </w:t>
      </w:r>
      <w:r>
        <w:rPr>
          <w:rFonts w:cs="Arial"/>
        </w:rPr>
        <w:t xml:space="preserve">la </w:t>
      </w:r>
      <w:proofErr w:type="spellStart"/>
      <w:r>
        <w:rPr>
          <w:rFonts w:cs="Arial"/>
        </w:rPr>
        <w:t>b</w:t>
      </w:r>
      <w:r w:rsidRPr="00D913C4">
        <w:rPr>
          <w:rFonts w:cs="Arial"/>
        </w:rPr>
        <w:t>ette</w:t>
      </w:r>
      <w:proofErr w:type="spellEnd"/>
      <w:r w:rsidRPr="00D913C4">
        <w:rPr>
          <w:rFonts w:cs="Arial"/>
        </w:rPr>
        <w:t xml:space="preserve"> à cardes</w:t>
      </w:r>
      <w:r>
        <w:rPr>
          <w:rFonts w:cs="Arial"/>
        </w:rPr>
        <w:t>,</w:t>
      </w:r>
      <w:r w:rsidRPr="00D913C4">
        <w:rPr>
          <w:rFonts w:cs="Arial"/>
        </w:rPr>
        <w:t xml:space="preserve"> </w:t>
      </w:r>
      <w:r>
        <w:rPr>
          <w:rFonts w:cs="Arial"/>
        </w:rPr>
        <w:t xml:space="preserve">le </w:t>
      </w:r>
      <w:r w:rsidRPr="00D913C4">
        <w:rPr>
          <w:rFonts w:cs="Arial"/>
        </w:rPr>
        <w:t>chou</w:t>
      </w:r>
      <w:r>
        <w:rPr>
          <w:rFonts w:cs="Arial"/>
        </w:rPr>
        <w:noBreakHyphen/>
      </w:r>
      <w:r w:rsidRPr="00D913C4">
        <w:rPr>
          <w:rFonts w:cs="Arial"/>
        </w:rPr>
        <w:t>navet</w:t>
      </w:r>
      <w:r w:rsidRPr="000A3783">
        <w:rPr>
          <w:rFonts w:cs="Arial"/>
        </w:rPr>
        <w:t xml:space="preserve">, </w:t>
      </w:r>
      <w:r>
        <w:rPr>
          <w:rFonts w:cs="Arial"/>
        </w:rPr>
        <w:t>le potiron</w:t>
      </w:r>
      <w:r w:rsidRPr="000A3783">
        <w:rPr>
          <w:rFonts w:cs="Arial"/>
        </w:rPr>
        <w:t xml:space="preserve">, </w:t>
      </w:r>
      <w:r>
        <w:rPr>
          <w:rFonts w:cs="Arial"/>
        </w:rPr>
        <w:t>le s</w:t>
      </w:r>
      <w:r w:rsidRPr="00D913C4">
        <w:rPr>
          <w:rFonts w:cs="Arial"/>
        </w:rPr>
        <w:t>alsifis noir</w:t>
      </w:r>
      <w:r w:rsidRPr="000A3783">
        <w:rPr>
          <w:rFonts w:cs="Arial"/>
        </w:rPr>
        <w:t xml:space="preserve">, </w:t>
      </w:r>
      <w:r>
        <w:rPr>
          <w:rFonts w:cs="Arial"/>
        </w:rPr>
        <w:t>la ciboulette et le pois</w:t>
      </w:r>
      <w:r w:rsidRPr="000A3783">
        <w:rPr>
          <w:rFonts w:cs="Arial"/>
        </w:rPr>
        <w:t>;</w:t>
      </w:r>
    </w:p>
    <w:p w:rsidR="00023109" w:rsidRDefault="00023109" w:rsidP="00BD634F">
      <w:pPr>
        <w:numPr>
          <w:ilvl w:val="0"/>
          <w:numId w:val="10"/>
        </w:numPr>
        <w:spacing w:after="120"/>
        <w:ind w:left="714" w:right="4" w:hanging="357"/>
        <w:rPr>
          <w:rFonts w:cs="Arial"/>
        </w:rPr>
      </w:pPr>
      <w:r>
        <w:rPr>
          <w:rFonts w:cs="Arial"/>
        </w:rPr>
        <w:t xml:space="preserve">plantes </w:t>
      </w:r>
      <w:r w:rsidRPr="000A3783">
        <w:rPr>
          <w:rFonts w:cs="Arial"/>
        </w:rPr>
        <w:t>orn</w:t>
      </w:r>
      <w:r>
        <w:rPr>
          <w:rFonts w:cs="Arial"/>
        </w:rPr>
        <w:t>e</w:t>
      </w:r>
      <w:r w:rsidRPr="000A3783">
        <w:rPr>
          <w:rFonts w:cs="Arial"/>
        </w:rPr>
        <w:t>mental</w:t>
      </w:r>
      <w:r>
        <w:rPr>
          <w:rFonts w:cs="Arial"/>
        </w:rPr>
        <w:t>e</w:t>
      </w:r>
      <w:r w:rsidRPr="000A3783">
        <w:rPr>
          <w:rFonts w:cs="Arial"/>
        </w:rPr>
        <w:t>s</w:t>
      </w:r>
      <w:r>
        <w:rPr>
          <w:rFonts w:cs="Arial"/>
        </w:rPr>
        <w:t> :</w:t>
      </w:r>
      <w:r w:rsidRPr="000A3783">
        <w:rPr>
          <w:rFonts w:cs="Arial"/>
        </w:rPr>
        <w:t xml:space="preserve"> </w:t>
      </w:r>
      <w:r w:rsidRPr="00A475D3">
        <w:rPr>
          <w:rFonts w:cs="Arial"/>
        </w:rPr>
        <w:t xml:space="preserve">protocoles techniques pour </w:t>
      </w:r>
      <w:r w:rsidRPr="000A3783">
        <w:rPr>
          <w:rFonts w:cs="Arial"/>
        </w:rPr>
        <w:t xml:space="preserve">Canna, </w:t>
      </w:r>
      <w:proofErr w:type="spellStart"/>
      <w:r w:rsidRPr="000A3783">
        <w:rPr>
          <w:rFonts w:cs="Arial"/>
        </w:rPr>
        <w:t>Vriesea</w:t>
      </w:r>
      <w:proofErr w:type="spellEnd"/>
      <w:r w:rsidRPr="000A3783">
        <w:rPr>
          <w:rFonts w:cs="Arial"/>
        </w:rPr>
        <w:t xml:space="preserve">, </w:t>
      </w:r>
      <w:proofErr w:type="spellStart"/>
      <w:r w:rsidRPr="000A3783">
        <w:rPr>
          <w:rFonts w:cs="Arial"/>
        </w:rPr>
        <w:t>Mandevilla</w:t>
      </w:r>
      <w:proofErr w:type="spellEnd"/>
      <w:r w:rsidRPr="000A3783">
        <w:rPr>
          <w:rFonts w:cs="Arial"/>
        </w:rPr>
        <w:t xml:space="preserve"> </w:t>
      </w:r>
      <w:r>
        <w:rPr>
          <w:rFonts w:cs="Arial"/>
        </w:rPr>
        <w:t>et</w:t>
      </w:r>
      <w:r w:rsidRPr="000A3783">
        <w:rPr>
          <w:rFonts w:cs="Arial"/>
        </w:rPr>
        <w:t xml:space="preserve"> </w:t>
      </w:r>
      <w:proofErr w:type="spellStart"/>
      <w:r w:rsidRPr="000A3783">
        <w:rPr>
          <w:rFonts w:cs="Arial"/>
        </w:rPr>
        <w:t>Hosta</w:t>
      </w:r>
      <w:proofErr w:type="spellEnd"/>
      <w:r w:rsidRPr="000A3783">
        <w:rPr>
          <w:rFonts w:cs="Arial"/>
        </w:rPr>
        <w:t>;</w:t>
      </w:r>
    </w:p>
    <w:p w:rsidR="00023109" w:rsidRPr="000A3783" w:rsidRDefault="00023109" w:rsidP="00BD634F">
      <w:pPr>
        <w:numPr>
          <w:ilvl w:val="0"/>
          <w:numId w:val="10"/>
        </w:numPr>
        <w:spacing w:after="240"/>
        <w:jc w:val="left"/>
        <w:rPr>
          <w:rFonts w:cs="Arial"/>
        </w:rPr>
      </w:pPr>
      <w:r>
        <w:rPr>
          <w:rFonts w:cs="Arial"/>
        </w:rPr>
        <w:t>plantes fruitières :</w:t>
      </w:r>
      <w:r w:rsidRPr="000A3783">
        <w:rPr>
          <w:rFonts w:cs="Arial"/>
        </w:rPr>
        <w:t xml:space="preserve"> </w:t>
      </w:r>
      <w:r w:rsidRPr="00A475D3">
        <w:rPr>
          <w:rFonts w:cs="Arial"/>
        </w:rPr>
        <w:t xml:space="preserve">protocoles techniques pour </w:t>
      </w:r>
      <w:r>
        <w:rPr>
          <w:rFonts w:cs="Arial"/>
        </w:rPr>
        <w:t>la pêche et le po</w:t>
      </w:r>
      <w:r w:rsidRPr="006A7EF5">
        <w:rPr>
          <w:rFonts w:cs="Arial"/>
        </w:rPr>
        <w:t>rte</w:t>
      </w:r>
      <w:r>
        <w:rPr>
          <w:rFonts w:cs="Arial"/>
        </w:rPr>
        <w:noBreakHyphen/>
      </w:r>
      <w:r w:rsidRPr="006A7EF5">
        <w:rPr>
          <w:rFonts w:cs="Arial"/>
        </w:rPr>
        <w:t>greffes de prunus</w:t>
      </w:r>
      <w:r w:rsidRPr="000A3783">
        <w:rPr>
          <w:rFonts w:cs="Arial"/>
        </w:rPr>
        <w:t>.</w:t>
      </w:r>
    </w:p>
    <w:p w:rsidR="00023109" w:rsidRPr="007C0BC1" w:rsidRDefault="00023109" w:rsidP="00023109">
      <w:pPr>
        <w:spacing w:after="240"/>
        <w:ind w:left="709"/>
        <w:rPr>
          <w:rFonts w:cs="Arial"/>
          <w:bCs/>
          <w:i/>
        </w:rPr>
      </w:pPr>
      <w:r>
        <w:rPr>
          <w:rFonts w:cs="Arial"/>
          <w:bCs/>
          <w:i/>
        </w:rPr>
        <w:t>c.</w:t>
      </w:r>
      <w:r>
        <w:rPr>
          <w:rFonts w:cs="Arial"/>
          <w:bCs/>
          <w:i/>
        </w:rPr>
        <w:tab/>
      </w:r>
      <w:r w:rsidRPr="007C0BC1">
        <w:rPr>
          <w:rFonts w:cs="Arial"/>
          <w:bCs/>
          <w:i/>
        </w:rPr>
        <w:t xml:space="preserve">Poursuite de la mise au point de la base de données </w:t>
      </w:r>
      <w:proofErr w:type="spellStart"/>
      <w:r w:rsidRPr="007C0BC1">
        <w:rPr>
          <w:rFonts w:cs="Arial"/>
          <w:bCs/>
          <w:i/>
        </w:rPr>
        <w:t>Variety</w:t>
      </w:r>
      <w:proofErr w:type="spellEnd"/>
      <w:r w:rsidRPr="007C0BC1">
        <w:rPr>
          <w:rFonts w:cs="Arial"/>
          <w:bCs/>
          <w:i/>
        </w:rPr>
        <w:t xml:space="preserve"> Finder de l’OCVV</w:t>
      </w:r>
    </w:p>
    <w:p w:rsidR="00023109" w:rsidRDefault="00023109" w:rsidP="00023109">
      <w:pPr>
        <w:tabs>
          <w:tab w:val="left" w:pos="142"/>
        </w:tabs>
        <w:spacing w:after="240"/>
        <w:rPr>
          <w:rFonts w:cs="Arial"/>
        </w:rPr>
      </w:pPr>
      <w:r w:rsidRPr="006E6936">
        <w:rPr>
          <w:rFonts w:cs="Arial"/>
        </w:rPr>
        <w:t xml:space="preserve">La base de données </w:t>
      </w:r>
      <w:proofErr w:type="spellStart"/>
      <w:r w:rsidRPr="006E6936">
        <w:rPr>
          <w:rFonts w:cs="Arial"/>
        </w:rPr>
        <w:t>Variety</w:t>
      </w:r>
      <w:proofErr w:type="spellEnd"/>
      <w:r w:rsidRPr="006E6936">
        <w:rPr>
          <w:rFonts w:cs="Arial"/>
        </w:rPr>
        <w:t xml:space="preserve"> Finder de l</w:t>
      </w:r>
      <w:r>
        <w:rPr>
          <w:rFonts w:cs="Arial"/>
        </w:rPr>
        <w:t>’</w:t>
      </w:r>
      <w:r w:rsidRPr="006E6936">
        <w:rPr>
          <w:rFonts w:cs="Arial"/>
        </w:rPr>
        <w:t>OCVV est une base de données en ligne qu</w:t>
      </w:r>
      <w:r>
        <w:rPr>
          <w:rFonts w:cs="Arial"/>
        </w:rPr>
        <w:t>’</w:t>
      </w:r>
      <w:r w:rsidRPr="006E6936">
        <w:rPr>
          <w:rFonts w:cs="Arial"/>
        </w:rPr>
        <w:t>a élaborée l</w:t>
      </w:r>
      <w:r>
        <w:rPr>
          <w:rFonts w:cs="Arial"/>
        </w:rPr>
        <w:t>’OCVV</w:t>
      </w:r>
      <w:r w:rsidRPr="006E6936">
        <w:rPr>
          <w:rFonts w:cs="Arial"/>
        </w:rPr>
        <w:t xml:space="preserve"> en</w:t>
      </w:r>
      <w:r>
        <w:rPr>
          <w:rFonts w:cs="Arial"/>
        </w:rPr>
        <w:t> </w:t>
      </w:r>
      <w:r w:rsidRPr="006E6936">
        <w:rPr>
          <w:rFonts w:cs="Arial"/>
        </w:rPr>
        <w:t>2005 pour examiner les propositions de dénomination variétale dans le cadre de la procédure d</w:t>
      </w:r>
      <w:r>
        <w:rPr>
          <w:rFonts w:cs="Arial"/>
        </w:rPr>
        <w:t>’</w:t>
      </w:r>
      <w:r w:rsidRPr="006E6936">
        <w:rPr>
          <w:rFonts w:cs="Arial"/>
        </w:rPr>
        <w:t>évaluation de leur éligibilité</w:t>
      </w:r>
      <w:r w:rsidRPr="000A3783">
        <w:rPr>
          <w:rFonts w:cs="Arial"/>
        </w:rPr>
        <w:t xml:space="preserve">. </w:t>
      </w:r>
      <w:r>
        <w:rPr>
          <w:rFonts w:cs="Arial"/>
        </w:rPr>
        <w:t xml:space="preserve"> </w:t>
      </w:r>
      <w:r w:rsidRPr="006E6936">
        <w:rPr>
          <w:rFonts w:cs="Arial"/>
        </w:rPr>
        <w:t>Elle contient des données nationales sur des variétés faisant l</w:t>
      </w:r>
      <w:r>
        <w:rPr>
          <w:rFonts w:cs="Arial"/>
        </w:rPr>
        <w:t>’</w:t>
      </w:r>
      <w:r w:rsidRPr="006E6936">
        <w:rPr>
          <w:rFonts w:cs="Arial"/>
        </w:rPr>
        <w:t>objet de droits d</w:t>
      </w:r>
      <w:r>
        <w:rPr>
          <w:rFonts w:cs="Arial"/>
        </w:rPr>
        <w:t>’</w:t>
      </w:r>
      <w:r w:rsidRPr="006E6936">
        <w:rPr>
          <w:rFonts w:cs="Arial"/>
        </w:rPr>
        <w:t>obtention végétale demandés et octroyés, des listes nationales d</w:t>
      </w:r>
      <w:r>
        <w:rPr>
          <w:rFonts w:cs="Arial"/>
        </w:rPr>
        <w:t>’</w:t>
      </w:r>
      <w:r w:rsidRPr="006E6936">
        <w:rPr>
          <w:rFonts w:cs="Arial"/>
        </w:rPr>
        <w:t>espèces agricoles et potagères et quelques registres commerciaux</w:t>
      </w:r>
      <w:r w:rsidRPr="000A3783">
        <w:rPr>
          <w:rFonts w:cs="Arial"/>
        </w:rPr>
        <w:t xml:space="preserve">. </w:t>
      </w:r>
      <w:r>
        <w:rPr>
          <w:rFonts w:cs="Arial"/>
        </w:rPr>
        <w:t xml:space="preserve"> </w:t>
      </w:r>
      <w:r w:rsidRPr="006E6936">
        <w:rPr>
          <w:rFonts w:cs="Arial"/>
        </w:rPr>
        <w:t>La base de données est accessible gratuitement sous l</w:t>
      </w:r>
      <w:r>
        <w:rPr>
          <w:rFonts w:cs="Arial"/>
        </w:rPr>
        <w:t>’</w:t>
      </w:r>
      <w:r w:rsidRPr="006E6936">
        <w:rPr>
          <w:rFonts w:cs="Arial"/>
        </w:rPr>
        <w:t>onglet “Bases de données” du site Internet de l</w:t>
      </w:r>
      <w:r>
        <w:rPr>
          <w:rFonts w:cs="Arial"/>
        </w:rPr>
        <w:t>’</w:t>
      </w:r>
      <w:r w:rsidRPr="006E6936">
        <w:rPr>
          <w:rFonts w:cs="Arial"/>
        </w:rPr>
        <w:t>OCVV, mais l</w:t>
      </w:r>
      <w:r>
        <w:rPr>
          <w:rFonts w:cs="Arial"/>
        </w:rPr>
        <w:t>’</w:t>
      </w:r>
      <w:r w:rsidRPr="006E6936">
        <w:rPr>
          <w:rFonts w:cs="Arial"/>
        </w:rPr>
        <w:t>identification est nécessaire</w:t>
      </w:r>
      <w:r w:rsidRPr="000A3783">
        <w:rPr>
          <w:rFonts w:cs="Arial"/>
        </w:rPr>
        <w:t>.</w:t>
      </w:r>
    </w:p>
    <w:p w:rsidR="00023109" w:rsidRPr="000A3783" w:rsidRDefault="00023109" w:rsidP="00023109">
      <w:pPr>
        <w:autoSpaceDE w:val="0"/>
        <w:autoSpaceDN w:val="0"/>
        <w:spacing w:after="240"/>
        <w:rPr>
          <w:rFonts w:cs="Arial"/>
        </w:rPr>
      </w:pPr>
      <w:r>
        <w:rPr>
          <w:rFonts w:cs="Arial"/>
        </w:rPr>
        <w:t>Depuis mai </w:t>
      </w:r>
      <w:r w:rsidRPr="000A3783">
        <w:rPr>
          <w:rFonts w:cs="Arial"/>
        </w:rPr>
        <w:t xml:space="preserve">2014, </w:t>
      </w:r>
      <w:r w:rsidRPr="00B47A39">
        <w:rPr>
          <w:rFonts w:cs="Arial"/>
        </w:rPr>
        <w:t>les marques communautaires enregistrées auprès de l</w:t>
      </w:r>
      <w:r>
        <w:rPr>
          <w:rFonts w:cs="Arial"/>
        </w:rPr>
        <w:t>’</w:t>
      </w:r>
      <w:r w:rsidRPr="00B47A39">
        <w:rPr>
          <w:rFonts w:cs="Arial"/>
        </w:rPr>
        <w:t>Office de l</w:t>
      </w:r>
      <w:r>
        <w:rPr>
          <w:rFonts w:cs="Arial"/>
        </w:rPr>
        <w:t>’</w:t>
      </w:r>
      <w:r w:rsidRPr="00B47A39">
        <w:rPr>
          <w:rFonts w:cs="Arial"/>
        </w:rPr>
        <w:t xml:space="preserve">harmonisation dans le marché intérieur (OHMI) </w:t>
      </w:r>
      <w:r>
        <w:rPr>
          <w:rFonts w:cs="Arial"/>
        </w:rPr>
        <w:t xml:space="preserve">ont été intégrées et actualisées quotidiennement dans la base de données </w:t>
      </w:r>
      <w:proofErr w:type="spellStart"/>
      <w:r w:rsidRPr="000A3783">
        <w:rPr>
          <w:rFonts w:cs="Arial"/>
        </w:rPr>
        <w:t>Variety</w:t>
      </w:r>
      <w:proofErr w:type="spellEnd"/>
      <w:r w:rsidRPr="000A3783">
        <w:rPr>
          <w:rFonts w:cs="Arial"/>
        </w:rPr>
        <w:t xml:space="preserve"> Finder. </w:t>
      </w:r>
      <w:r>
        <w:rPr>
          <w:rFonts w:cs="Arial"/>
        </w:rPr>
        <w:t xml:space="preserve"> Ces </w:t>
      </w:r>
      <w:r w:rsidRPr="00B47A39">
        <w:rPr>
          <w:rFonts w:cs="Arial"/>
        </w:rPr>
        <w:t xml:space="preserve">marques communautaires </w:t>
      </w:r>
      <w:r>
        <w:rPr>
          <w:rFonts w:cs="Arial"/>
        </w:rPr>
        <w:t xml:space="preserve">appartiennent à la classe 31 de </w:t>
      </w:r>
      <w:r w:rsidRPr="000A3783">
        <w:rPr>
          <w:rFonts w:cs="Arial"/>
        </w:rPr>
        <w:t>“</w:t>
      </w:r>
      <w:r w:rsidRPr="00B47A39">
        <w:rPr>
          <w:rFonts w:cs="Arial"/>
        </w:rPr>
        <w:t>l</w:t>
      </w:r>
      <w:r>
        <w:rPr>
          <w:rFonts w:cs="Arial"/>
        </w:rPr>
        <w:t>’</w:t>
      </w:r>
      <w:r w:rsidRPr="00B47A39">
        <w:rPr>
          <w:rFonts w:cs="Arial"/>
        </w:rPr>
        <w:t>Arrangement de Nice</w:t>
      </w:r>
      <w:r w:rsidRPr="000A3783">
        <w:rPr>
          <w:rFonts w:cs="Arial"/>
        </w:rPr>
        <w:t xml:space="preserve">” </w:t>
      </w:r>
      <w:r w:rsidRPr="00B47A39">
        <w:rPr>
          <w:rFonts w:cs="Arial"/>
        </w:rPr>
        <w:t>concernant la classification internationale des produits et des services aux fins de l</w:t>
      </w:r>
      <w:r>
        <w:rPr>
          <w:rFonts w:cs="Arial"/>
        </w:rPr>
        <w:t>’</w:t>
      </w:r>
      <w:r w:rsidRPr="00B47A39">
        <w:rPr>
          <w:rFonts w:cs="Arial"/>
        </w:rPr>
        <w:t>enregistrement des marques</w:t>
      </w:r>
      <w:r>
        <w:rPr>
          <w:rFonts w:cs="Arial"/>
        </w:rPr>
        <w:t>, et qui comprend des plantes vivantes</w:t>
      </w:r>
      <w:r w:rsidRPr="000A3783">
        <w:rPr>
          <w:rFonts w:cs="Arial"/>
        </w:rPr>
        <w:t xml:space="preserve">. </w:t>
      </w:r>
      <w:r>
        <w:rPr>
          <w:rFonts w:cs="Arial"/>
        </w:rPr>
        <w:t xml:space="preserve"> Lorsque les utilisateurs </w:t>
      </w:r>
      <w:r w:rsidRPr="00B47A39">
        <w:rPr>
          <w:rFonts w:cs="Arial"/>
        </w:rPr>
        <w:t>examine</w:t>
      </w:r>
      <w:r>
        <w:rPr>
          <w:rFonts w:cs="Arial"/>
        </w:rPr>
        <w:t>nt</w:t>
      </w:r>
      <w:r w:rsidRPr="00B47A39">
        <w:rPr>
          <w:rFonts w:cs="Arial"/>
        </w:rPr>
        <w:t xml:space="preserve"> </w:t>
      </w:r>
      <w:r>
        <w:rPr>
          <w:rFonts w:cs="Arial"/>
        </w:rPr>
        <w:t xml:space="preserve">des </w:t>
      </w:r>
      <w:r w:rsidRPr="00B47A39">
        <w:rPr>
          <w:rFonts w:cs="Arial"/>
        </w:rPr>
        <w:t>propositions de dénomination variétale</w:t>
      </w:r>
      <w:r>
        <w:rPr>
          <w:rFonts w:cs="Arial"/>
        </w:rPr>
        <w:t xml:space="preserve">, </w:t>
      </w:r>
      <w:r w:rsidRPr="0046632E">
        <w:rPr>
          <w:rFonts w:cs="Arial"/>
        </w:rPr>
        <w:t xml:space="preserve">les marques communautaires </w:t>
      </w:r>
      <w:r>
        <w:rPr>
          <w:rFonts w:cs="Arial"/>
        </w:rPr>
        <w:t xml:space="preserve">sont affichées dans les résultats des recherches effectuées au moyen de </w:t>
      </w:r>
      <w:proofErr w:type="spellStart"/>
      <w:r w:rsidRPr="000A3783">
        <w:rPr>
          <w:rFonts w:cs="Arial"/>
        </w:rPr>
        <w:t>Variety</w:t>
      </w:r>
      <w:proofErr w:type="spellEnd"/>
      <w:r w:rsidRPr="000A3783">
        <w:rPr>
          <w:rFonts w:cs="Arial"/>
        </w:rPr>
        <w:t xml:space="preserve"> Finder.</w:t>
      </w:r>
    </w:p>
    <w:p w:rsidR="00023109" w:rsidRDefault="00023109" w:rsidP="00023109">
      <w:pPr>
        <w:tabs>
          <w:tab w:val="left" w:pos="142"/>
        </w:tabs>
        <w:spacing w:after="240"/>
        <w:rPr>
          <w:rFonts w:cs="Arial"/>
        </w:rPr>
      </w:pPr>
      <w:r w:rsidRPr="00CF635F">
        <w:rPr>
          <w:rFonts w:cs="Arial"/>
        </w:rPr>
        <w:t>Au total, plus de 940</w:t>
      </w:r>
      <w:r>
        <w:rPr>
          <w:rFonts w:cs="Arial"/>
        </w:rPr>
        <w:t> </w:t>
      </w:r>
      <w:r w:rsidRPr="00CF635F">
        <w:rPr>
          <w:rFonts w:cs="Arial"/>
        </w:rPr>
        <w:t>000</w:t>
      </w:r>
      <w:r>
        <w:rPr>
          <w:rFonts w:cs="Arial"/>
        </w:rPr>
        <w:t xml:space="preserve"> </w:t>
      </w:r>
      <w:r w:rsidRPr="00CF635F">
        <w:rPr>
          <w:rFonts w:cs="Arial"/>
        </w:rPr>
        <w:t>dénominations ayant pour origine les États membres de l</w:t>
      </w:r>
      <w:r>
        <w:rPr>
          <w:rFonts w:cs="Arial"/>
        </w:rPr>
        <w:t>’</w:t>
      </w:r>
      <w:r w:rsidRPr="00CF635F">
        <w:rPr>
          <w:rFonts w:cs="Arial"/>
        </w:rPr>
        <w:t>Union européenne et de l</w:t>
      </w:r>
      <w:r>
        <w:rPr>
          <w:rFonts w:cs="Arial"/>
        </w:rPr>
        <w:t>’</w:t>
      </w:r>
      <w:r w:rsidRPr="00CF635F">
        <w:rPr>
          <w:rFonts w:cs="Arial"/>
        </w:rPr>
        <w:t>UPOV ont été in</w:t>
      </w:r>
      <w:r>
        <w:rPr>
          <w:rFonts w:cs="Arial"/>
        </w:rPr>
        <w:t>tégrées</w:t>
      </w:r>
      <w:r w:rsidRPr="00CF635F">
        <w:rPr>
          <w:rFonts w:cs="Arial"/>
        </w:rPr>
        <w:t xml:space="preserve"> jusqu</w:t>
      </w:r>
      <w:r>
        <w:rPr>
          <w:rFonts w:cs="Arial"/>
        </w:rPr>
        <w:t>’</w:t>
      </w:r>
      <w:r w:rsidRPr="00CF635F">
        <w:rPr>
          <w:rFonts w:cs="Arial"/>
        </w:rPr>
        <w:t>ici</w:t>
      </w:r>
      <w:r>
        <w:rPr>
          <w:rFonts w:cs="Arial"/>
        </w:rPr>
        <w:t xml:space="preserve">.  </w:t>
      </w:r>
      <w:r w:rsidRPr="00CF635F">
        <w:rPr>
          <w:rFonts w:cs="Arial"/>
        </w:rPr>
        <w:t>Le graphique ci</w:t>
      </w:r>
      <w:r>
        <w:rPr>
          <w:rFonts w:cs="Arial"/>
        </w:rPr>
        <w:noBreakHyphen/>
        <w:t>après</w:t>
      </w:r>
      <w:r w:rsidRPr="00CF635F">
        <w:rPr>
          <w:rFonts w:cs="Arial"/>
        </w:rPr>
        <w:t xml:space="preserve"> donne un aperçu du contenu de la base de données, avec le nombre d</w:t>
      </w:r>
      <w:r>
        <w:rPr>
          <w:rFonts w:cs="Arial"/>
        </w:rPr>
        <w:t>’</w:t>
      </w:r>
      <w:r w:rsidRPr="00CF635F">
        <w:rPr>
          <w:rFonts w:cs="Arial"/>
        </w:rPr>
        <w:t>enregistrements par type de registre</w:t>
      </w:r>
      <w:r w:rsidRPr="000A3783">
        <w:rPr>
          <w:rFonts w:cs="Arial"/>
        </w:rPr>
        <w:t>.</w:t>
      </w:r>
    </w:p>
    <w:p w:rsidR="00023109" w:rsidRDefault="00023109" w:rsidP="00023109">
      <w:pPr>
        <w:tabs>
          <w:tab w:val="left" w:pos="142"/>
        </w:tabs>
        <w:spacing w:after="240"/>
        <w:jc w:val="center"/>
        <w:rPr>
          <w:rFonts w:cs="Arial"/>
        </w:rPr>
      </w:pPr>
      <w:r w:rsidRPr="007D6F5F">
        <w:rPr>
          <w:noProof/>
          <w:lang w:val="en-US"/>
        </w:rPr>
        <w:drawing>
          <wp:inline distT="0" distB="0" distL="0" distR="0" wp14:anchorId="12783072" wp14:editId="27E742EF">
            <wp:extent cx="4623171" cy="329882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628453" cy="3302594"/>
                    </a:xfrm>
                    <a:prstGeom prst="rect">
                      <a:avLst/>
                    </a:prstGeom>
                    <a:noFill/>
                    <a:ln>
                      <a:noFill/>
                    </a:ln>
                  </pic:spPr>
                </pic:pic>
              </a:graphicData>
            </a:graphic>
          </wp:inline>
        </w:drawing>
      </w:r>
    </w:p>
    <w:p w:rsidR="00023109" w:rsidRDefault="00023109" w:rsidP="00023109">
      <w:pPr>
        <w:tabs>
          <w:tab w:val="left" w:pos="142"/>
        </w:tabs>
        <w:spacing w:after="240"/>
        <w:rPr>
          <w:rFonts w:cs="Arial"/>
        </w:rPr>
      </w:pPr>
      <w:r>
        <w:rPr>
          <w:rFonts w:cs="Arial"/>
        </w:rPr>
        <w:t>L</w:t>
      </w:r>
      <w:r w:rsidRPr="000C134E">
        <w:rPr>
          <w:rFonts w:cs="Arial"/>
        </w:rPr>
        <w:t xml:space="preserve">e système inclut un outil de recherche largement utilisé par les utilisateurs de </w:t>
      </w:r>
      <w:r>
        <w:rPr>
          <w:rFonts w:cs="Arial"/>
        </w:rPr>
        <w:t>62</w:t>
      </w:r>
      <w:r w:rsidRPr="000C134E">
        <w:rPr>
          <w:rFonts w:cs="Arial"/>
        </w:rPr>
        <w:t xml:space="preserve"> pays</w:t>
      </w:r>
      <w:r>
        <w:rPr>
          <w:rFonts w:cs="Arial"/>
        </w:rPr>
        <w:t xml:space="preserve"> différents dans le monde entier</w:t>
      </w:r>
      <w:r w:rsidRPr="000A3783">
        <w:rPr>
          <w:rFonts w:cs="Arial"/>
        </w:rPr>
        <w:t xml:space="preserve">. </w:t>
      </w:r>
      <w:r>
        <w:rPr>
          <w:rFonts w:cs="Arial"/>
        </w:rPr>
        <w:t xml:space="preserve"> Par rapport à l’année précédente, 2014 a vu une augmentation </w:t>
      </w:r>
      <w:r w:rsidRPr="000C134E">
        <w:rPr>
          <w:rFonts w:cs="Arial"/>
        </w:rPr>
        <w:t>(+11%)</w:t>
      </w:r>
      <w:r>
        <w:rPr>
          <w:rFonts w:cs="Arial"/>
        </w:rPr>
        <w:t xml:space="preserve"> du nombre de clients de l’OCVV ayant fait usage de cet outil</w:t>
      </w:r>
      <w:r w:rsidRPr="000A3783">
        <w:rPr>
          <w:rFonts w:cs="Arial"/>
        </w:rPr>
        <w:t>.</w:t>
      </w:r>
    </w:p>
    <w:p w:rsidR="00023109" w:rsidRDefault="00023109" w:rsidP="00023109">
      <w:pPr>
        <w:tabs>
          <w:tab w:val="left" w:pos="142"/>
        </w:tabs>
        <w:spacing w:after="240"/>
        <w:rPr>
          <w:rFonts w:cs="Arial"/>
        </w:rPr>
      </w:pPr>
      <w:r>
        <w:rPr>
          <w:rFonts w:cs="Arial"/>
        </w:rPr>
        <w:t xml:space="preserve">Le graphique consacré à la similitude indique </w:t>
      </w:r>
      <w:r w:rsidRPr="000033DE">
        <w:rPr>
          <w:rFonts w:cs="Arial"/>
        </w:rPr>
        <w:t>le nombre d</w:t>
      </w:r>
      <w:r>
        <w:rPr>
          <w:rFonts w:cs="Arial"/>
        </w:rPr>
        <w:t>’</w:t>
      </w:r>
      <w:r w:rsidRPr="000033DE">
        <w:rPr>
          <w:rFonts w:cs="Arial"/>
        </w:rPr>
        <w:t>essais à des fins de similitude réalisés dans la base de données par des services nationaux, des services internationaux et des clients de l</w:t>
      </w:r>
      <w:r>
        <w:rPr>
          <w:rFonts w:cs="Arial"/>
        </w:rPr>
        <w:t>’</w:t>
      </w:r>
      <w:r w:rsidRPr="000033DE">
        <w:rPr>
          <w:rFonts w:cs="Arial"/>
        </w:rPr>
        <w:t xml:space="preserve">OCVV </w:t>
      </w:r>
      <w:r>
        <w:rPr>
          <w:rFonts w:cs="Arial"/>
        </w:rPr>
        <w:t xml:space="preserve">et d’autres types de contacts </w:t>
      </w:r>
      <w:r w:rsidRPr="000033DE">
        <w:rPr>
          <w:rFonts w:cs="Arial"/>
        </w:rPr>
        <w:t>ces trois</w:t>
      </w:r>
      <w:r>
        <w:rPr>
          <w:rFonts w:cs="Arial"/>
        </w:rPr>
        <w:t> </w:t>
      </w:r>
      <w:r w:rsidRPr="000033DE">
        <w:rPr>
          <w:rFonts w:cs="Arial"/>
        </w:rPr>
        <w:t>dernières années</w:t>
      </w:r>
      <w:r>
        <w:rPr>
          <w:rFonts w:cs="Arial"/>
        </w:rPr>
        <w:t> </w:t>
      </w:r>
      <w:r w:rsidRPr="000033DE">
        <w:rPr>
          <w:rFonts w:cs="Arial"/>
        </w:rPr>
        <w:t>: plus de 8</w:t>
      </w:r>
      <w:r>
        <w:rPr>
          <w:rFonts w:cs="Arial"/>
        </w:rPr>
        <w:t>0 </w:t>
      </w:r>
      <w:r w:rsidRPr="000033DE">
        <w:rPr>
          <w:rFonts w:cs="Arial"/>
        </w:rPr>
        <w:t xml:space="preserve">000 essais ont été </w:t>
      </w:r>
      <w:r>
        <w:rPr>
          <w:rFonts w:cs="Arial"/>
        </w:rPr>
        <w:t>réalisés</w:t>
      </w:r>
      <w:r w:rsidRPr="000033DE">
        <w:rPr>
          <w:rFonts w:cs="Arial"/>
        </w:rPr>
        <w:t xml:space="preserve"> en</w:t>
      </w:r>
      <w:r>
        <w:rPr>
          <w:rFonts w:cs="Arial"/>
        </w:rPr>
        <w:t> </w:t>
      </w:r>
      <w:r w:rsidRPr="000A3783">
        <w:rPr>
          <w:rFonts w:cs="Arial"/>
        </w:rPr>
        <w:t>2014.</w:t>
      </w:r>
    </w:p>
    <w:p w:rsidR="00023109" w:rsidRDefault="00023109" w:rsidP="00023109">
      <w:pPr>
        <w:keepNext/>
        <w:tabs>
          <w:tab w:val="left" w:pos="142"/>
        </w:tabs>
        <w:spacing w:after="120"/>
        <w:rPr>
          <w:rFonts w:cs="Arial"/>
        </w:rPr>
      </w:pPr>
      <w:r w:rsidRPr="000A3783">
        <w:rPr>
          <w:rFonts w:cs="Arial"/>
        </w:rPr>
        <w:t>N</w:t>
      </w:r>
      <w:r>
        <w:rPr>
          <w:rFonts w:cs="Arial"/>
        </w:rPr>
        <w:t xml:space="preserve">ombre d’essais à des fins de similitude réalisés dans la base de données </w:t>
      </w:r>
      <w:proofErr w:type="spellStart"/>
      <w:r w:rsidRPr="000A3783">
        <w:rPr>
          <w:rFonts w:cs="Arial"/>
        </w:rPr>
        <w:t>Variety</w:t>
      </w:r>
      <w:proofErr w:type="spellEnd"/>
      <w:r w:rsidRPr="000A3783">
        <w:rPr>
          <w:rFonts w:cs="Arial"/>
        </w:rPr>
        <w:t xml:space="preserve"> Finder</w:t>
      </w:r>
    </w:p>
    <w:p w:rsidR="00023109" w:rsidRDefault="00023109" w:rsidP="00023109">
      <w:pPr>
        <w:keepNext/>
        <w:tabs>
          <w:tab w:val="left" w:pos="142"/>
        </w:tabs>
        <w:spacing w:after="240"/>
        <w:rPr>
          <w:rFonts w:cs="Arial"/>
        </w:rPr>
      </w:pPr>
      <w:r w:rsidRPr="00B15595">
        <w:rPr>
          <w:noProof/>
          <w:lang w:val="en-US"/>
        </w:rPr>
        <w:drawing>
          <wp:inline distT="0" distB="0" distL="0" distR="0" wp14:anchorId="0C84254E" wp14:editId="4497DF74">
            <wp:extent cx="4600575" cy="37996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b="2116"/>
                    <a:stretch/>
                  </pic:blipFill>
                  <pic:spPr bwMode="auto">
                    <a:xfrm>
                      <a:off x="0" y="0"/>
                      <a:ext cx="4600575" cy="3799665"/>
                    </a:xfrm>
                    <a:prstGeom prst="rect">
                      <a:avLst/>
                    </a:prstGeom>
                    <a:noFill/>
                    <a:ln>
                      <a:noFill/>
                    </a:ln>
                    <a:extLst>
                      <a:ext uri="{53640926-AAD7-44D8-BBD7-CCE9431645EC}">
                        <a14:shadowObscured xmlns:a14="http://schemas.microsoft.com/office/drawing/2010/main"/>
                      </a:ext>
                    </a:extLst>
                  </pic:spPr>
                </pic:pic>
              </a:graphicData>
            </a:graphic>
          </wp:inline>
        </w:drawing>
      </w:r>
    </w:p>
    <w:p w:rsidR="00023109" w:rsidRPr="000A3783" w:rsidRDefault="00023109" w:rsidP="00023109">
      <w:pPr>
        <w:pStyle w:val="Default"/>
        <w:spacing w:after="240"/>
        <w:jc w:val="both"/>
        <w:rPr>
          <w:color w:val="auto"/>
          <w:sz w:val="20"/>
          <w:szCs w:val="20"/>
          <w:lang w:val="fr-FR"/>
        </w:rPr>
      </w:pPr>
      <w:r w:rsidRPr="00A61DF5">
        <w:rPr>
          <w:color w:val="auto"/>
          <w:sz w:val="20"/>
          <w:szCs w:val="20"/>
          <w:lang w:val="fr-FR"/>
        </w:rPr>
        <w:t xml:space="preserve">Un outil de récupération permet des recherches plus générales sur les variétés et espèces présentes dans la base de données </w:t>
      </w:r>
      <w:r>
        <w:rPr>
          <w:color w:val="auto"/>
          <w:sz w:val="20"/>
          <w:szCs w:val="20"/>
          <w:lang w:val="fr-FR"/>
        </w:rPr>
        <w:t>et la possibilité, récente, de consulter des statistiques concernant le contenu de la base de données en fonction d’un éventail de critères de recherche</w:t>
      </w:r>
      <w:r w:rsidRPr="000A3783">
        <w:rPr>
          <w:color w:val="auto"/>
          <w:sz w:val="20"/>
          <w:szCs w:val="20"/>
          <w:lang w:val="fr-FR"/>
        </w:rPr>
        <w:t>.</w:t>
      </w:r>
    </w:p>
    <w:p w:rsidR="00023109" w:rsidRDefault="00023109" w:rsidP="00023109">
      <w:pPr>
        <w:pStyle w:val="Default"/>
        <w:spacing w:after="240"/>
        <w:jc w:val="both"/>
        <w:rPr>
          <w:color w:val="auto"/>
          <w:sz w:val="20"/>
          <w:szCs w:val="20"/>
          <w:lang w:val="fr-FR"/>
        </w:rPr>
      </w:pPr>
      <w:r>
        <w:rPr>
          <w:color w:val="auto"/>
          <w:sz w:val="20"/>
          <w:szCs w:val="20"/>
          <w:lang w:val="fr-FR"/>
        </w:rPr>
        <w:t>La mise au point de c</w:t>
      </w:r>
      <w:r w:rsidRPr="00A61DF5">
        <w:rPr>
          <w:color w:val="auto"/>
          <w:sz w:val="20"/>
          <w:szCs w:val="20"/>
          <w:lang w:val="fr-FR"/>
        </w:rPr>
        <w:t>et outil de recherche nommé “Recherche de variétés”</w:t>
      </w:r>
      <w:r>
        <w:rPr>
          <w:color w:val="auto"/>
          <w:sz w:val="20"/>
          <w:szCs w:val="20"/>
          <w:lang w:val="fr-FR"/>
        </w:rPr>
        <w:t xml:space="preserve"> s’est poursuivie en septembre </w:t>
      </w:r>
      <w:r w:rsidRPr="000A3783">
        <w:rPr>
          <w:color w:val="auto"/>
          <w:sz w:val="20"/>
          <w:szCs w:val="20"/>
          <w:lang w:val="fr-FR"/>
        </w:rPr>
        <w:t xml:space="preserve">2014, </w:t>
      </w:r>
      <w:r>
        <w:rPr>
          <w:color w:val="auto"/>
          <w:sz w:val="20"/>
          <w:szCs w:val="20"/>
          <w:lang w:val="fr-FR"/>
        </w:rPr>
        <w:t xml:space="preserve">avec plus de critères de recherche disponibles et des capacités d’exportations accrues. </w:t>
      </w:r>
      <w:r w:rsidRPr="000A3783">
        <w:rPr>
          <w:color w:val="auto"/>
          <w:sz w:val="20"/>
          <w:szCs w:val="20"/>
          <w:lang w:val="fr-FR"/>
        </w:rPr>
        <w:t xml:space="preserve"> </w:t>
      </w:r>
      <w:r>
        <w:rPr>
          <w:color w:val="auto"/>
          <w:sz w:val="20"/>
          <w:szCs w:val="20"/>
          <w:lang w:val="fr-FR"/>
        </w:rPr>
        <w:t>Cela a eu une incidence directe sur l’utilisation de l’outil au cours des derniers mois de 2014, comme l’indique le graphique ci</w:t>
      </w:r>
      <w:r>
        <w:rPr>
          <w:color w:val="auto"/>
          <w:sz w:val="20"/>
          <w:szCs w:val="20"/>
          <w:lang w:val="fr-FR"/>
        </w:rPr>
        <w:noBreakHyphen/>
        <w:t>après :</w:t>
      </w:r>
    </w:p>
    <w:p w:rsidR="00023109" w:rsidRDefault="00023109" w:rsidP="00023109">
      <w:pPr>
        <w:pStyle w:val="Default"/>
        <w:spacing w:after="240"/>
        <w:jc w:val="center"/>
        <w:rPr>
          <w:sz w:val="20"/>
          <w:szCs w:val="20"/>
          <w:lang w:val="fr-FR"/>
        </w:rPr>
      </w:pPr>
      <w:r>
        <w:rPr>
          <w:noProof/>
        </w:rPr>
        <w:drawing>
          <wp:inline distT="0" distB="0" distL="0" distR="0" wp14:anchorId="662032E8" wp14:editId="7C4DD647">
            <wp:extent cx="5324400" cy="2345635"/>
            <wp:effectExtent l="0" t="0" r="10160" b="1714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023109" w:rsidRDefault="00023109" w:rsidP="00023109">
      <w:pPr>
        <w:tabs>
          <w:tab w:val="left" w:pos="142"/>
        </w:tabs>
        <w:spacing w:after="240"/>
        <w:rPr>
          <w:rFonts w:cs="Arial"/>
        </w:rPr>
      </w:pPr>
      <w:r w:rsidRPr="00EE6C3D">
        <w:rPr>
          <w:rFonts w:cs="Arial"/>
        </w:rPr>
        <w:t>L</w:t>
      </w:r>
      <w:r>
        <w:rPr>
          <w:rFonts w:cs="Arial"/>
        </w:rPr>
        <w:t>’</w:t>
      </w:r>
      <w:r w:rsidRPr="00EE6C3D">
        <w:rPr>
          <w:rFonts w:cs="Arial"/>
        </w:rPr>
        <w:t>Office reçoit des contributions directement des pays de l</w:t>
      </w:r>
      <w:r>
        <w:rPr>
          <w:rFonts w:cs="Arial"/>
        </w:rPr>
        <w:t>’</w:t>
      </w:r>
      <w:r w:rsidRPr="00EE6C3D">
        <w:rPr>
          <w:rFonts w:cs="Arial"/>
        </w:rPr>
        <w:t xml:space="preserve">Union européenne </w:t>
      </w:r>
      <w:r>
        <w:rPr>
          <w:rFonts w:cs="Arial"/>
        </w:rPr>
        <w:t>pour ce qui est des registres officiels et commerciaux, et par l’intermédiaire de l’</w:t>
      </w:r>
      <w:r w:rsidRPr="000A3783">
        <w:rPr>
          <w:rFonts w:cs="Arial"/>
        </w:rPr>
        <w:t xml:space="preserve">UPOV </w:t>
      </w:r>
      <w:r>
        <w:rPr>
          <w:rFonts w:cs="Arial"/>
        </w:rPr>
        <w:t>pour ce qui est de la plupart des pays non membres de l’Union européenne.  Cinquante</w:t>
      </w:r>
      <w:r w:rsidRPr="00C25328">
        <w:rPr>
          <w:rFonts w:cs="Arial"/>
        </w:rPr>
        <w:noBreakHyphen/>
      </w:r>
      <w:r>
        <w:rPr>
          <w:rFonts w:cs="Arial"/>
        </w:rPr>
        <w:t>quatre </w:t>
      </w:r>
      <w:r w:rsidRPr="000A3783">
        <w:rPr>
          <w:rFonts w:cs="Arial"/>
        </w:rPr>
        <w:t xml:space="preserve">organisations </w:t>
      </w:r>
      <w:r>
        <w:rPr>
          <w:rFonts w:cs="Arial"/>
        </w:rPr>
        <w:t xml:space="preserve">dans </w:t>
      </w:r>
      <w:r w:rsidRPr="000A3783">
        <w:rPr>
          <w:rFonts w:cs="Arial"/>
        </w:rPr>
        <w:t>48</w:t>
      </w:r>
      <w:r>
        <w:rPr>
          <w:rFonts w:cs="Arial"/>
        </w:rPr>
        <w:t xml:space="preserve"> pays ont contribué à </w:t>
      </w:r>
      <w:proofErr w:type="spellStart"/>
      <w:r w:rsidRPr="000A3783">
        <w:rPr>
          <w:rFonts w:cs="Arial"/>
        </w:rPr>
        <w:t>Variety</w:t>
      </w:r>
      <w:proofErr w:type="spellEnd"/>
      <w:r w:rsidRPr="000A3783">
        <w:rPr>
          <w:rFonts w:cs="Arial"/>
        </w:rPr>
        <w:t xml:space="preserve"> Finder, </w:t>
      </w:r>
      <w:r>
        <w:rPr>
          <w:rFonts w:cs="Arial"/>
        </w:rPr>
        <w:t xml:space="preserve">ce qui représente </w:t>
      </w:r>
      <w:r w:rsidRPr="000A3783">
        <w:rPr>
          <w:rFonts w:cs="Arial"/>
        </w:rPr>
        <w:t xml:space="preserve">351 contributions </w:t>
      </w:r>
      <w:r>
        <w:rPr>
          <w:rFonts w:cs="Arial"/>
        </w:rPr>
        <w:t>pour l’année </w:t>
      </w:r>
      <w:r w:rsidRPr="000A3783">
        <w:rPr>
          <w:rFonts w:cs="Arial"/>
        </w:rPr>
        <w:t>2014.</w:t>
      </w:r>
    </w:p>
    <w:p w:rsidR="00023109" w:rsidRDefault="00023109" w:rsidP="00023109">
      <w:pPr>
        <w:tabs>
          <w:tab w:val="left" w:pos="142"/>
        </w:tabs>
        <w:spacing w:after="240"/>
        <w:jc w:val="center"/>
        <w:rPr>
          <w:rFonts w:cs="Arial"/>
        </w:rPr>
      </w:pPr>
      <w:r w:rsidRPr="004633E9">
        <w:rPr>
          <w:noProof/>
          <w:lang w:val="en-US"/>
        </w:rPr>
        <w:drawing>
          <wp:inline distT="0" distB="0" distL="0" distR="0" wp14:anchorId="35BE93A3" wp14:editId="6B32B339">
            <wp:extent cx="5713853" cy="360045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26588" cy="3608475"/>
                    </a:xfrm>
                    <a:prstGeom prst="rect">
                      <a:avLst/>
                    </a:prstGeom>
                    <a:noFill/>
                    <a:ln>
                      <a:noFill/>
                    </a:ln>
                  </pic:spPr>
                </pic:pic>
              </a:graphicData>
            </a:graphic>
          </wp:inline>
        </w:drawing>
      </w:r>
    </w:p>
    <w:p w:rsidR="00023109" w:rsidRPr="000A3783" w:rsidRDefault="00023109" w:rsidP="00023109">
      <w:pPr>
        <w:tabs>
          <w:tab w:val="left" w:pos="426"/>
        </w:tabs>
        <w:spacing w:after="240"/>
        <w:jc w:val="left"/>
        <w:rPr>
          <w:rFonts w:cs="Arial"/>
        </w:rPr>
      </w:pPr>
      <w:r>
        <w:rPr>
          <w:rFonts w:cs="Arial"/>
        </w:rPr>
        <w:t xml:space="preserve">L’OCVV déploie de nombreux efforts afin de maintenir la base de données le plus à jour possible : </w:t>
      </w:r>
      <w:r w:rsidRPr="000A3783">
        <w:rPr>
          <w:rFonts w:cs="Arial"/>
        </w:rPr>
        <w:t xml:space="preserve">96% </w:t>
      </w:r>
      <w:r>
        <w:rPr>
          <w:rFonts w:cs="Arial"/>
        </w:rPr>
        <w:t xml:space="preserve">des </w:t>
      </w:r>
      <w:r w:rsidRPr="000A3783">
        <w:rPr>
          <w:rFonts w:cs="Arial"/>
        </w:rPr>
        <w:t>contributions re</w:t>
      </w:r>
      <w:r>
        <w:rPr>
          <w:rFonts w:cs="Arial"/>
        </w:rPr>
        <w:t>çues en </w:t>
      </w:r>
      <w:r w:rsidRPr="000A3783">
        <w:rPr>
          <w:rFonts w:cs="Arial"/>
        </w:rPr>
        <w:t xml:space="preserve">2014 </w:t>
      </w:r>
      <w:r>
        <w:rPr>
          <w:rFonts w:cs="Arial"/>
        </w:rPr>
        <w:t>ont été intégrées en moins de cinq jours ouvrables</w:t>
      </w:r>
      <w:r w:rsidRPr="000A3783">
        <w:rPr>
          <w:rFonts w:cs="Arial"/>
        </w:rPr>
        <w:t>.</w:t>
      </w:r>
    </w:p>
    <w:p w:rsidR="00023109" w:rsidRPr="007C0BC1" w:rsidRDefault="00023109" w:rsidP="00023109">
      <w:pPr>
        <w:spacing w:after="240"/>
        <w:ind w:left="709"/>
        <w:rPr>
          <w:rFonts w:cs="Arial"/>
          <w:bCs/>
          <w:i/>
        </w:rPr>
      </w:pPr>
      <w:r w:rsidRPr="007C0BC1">
        <w:rPr>
          <w:rFonts w:cs="Arial"/>
          <w:bCs/>
          <w:i/>
        </w:rPr>
        <w:t>d.</w:t>
      </w:r>
      <w:r w:rsidRPr="007C0BC1">
        <w:rPr>
          <w:rFonts w:cs="Arial"/>
          <w:bCs/>
          <w:i/>
        </w:rPr>
        <w:tab/>
        <w:t>Coopération avec les États membres en matière d’essais de dénomination</w:t>
      </w:r>
    </w:p>
    <w:p w:rsidR="00023109" w:rsidRDefault="00023109" w:rsidP="00023109">
      <w:pPr>
        <w:tabs>
          <w:tab w:val="left" w:pos="142"/>
        </w:tabs>
        <w:autoSpaceDE w:val="0"/>
        <w:autoSpaceDN w:val="0"/>
        <w:adjustRightInd w:val="0"/>
        <w:spacing w:after="240"/>
        <w:rPr>
          <w:rFonts w:cs="Arial"/>
        </w:rPr>
      </w:pPr>
      <w:r>
        <w:rPr>
          <w:rFonts w:cs="Arial"/>
        </w:rPr>
        <w:t>Cinq ans après le début de la coopération en matière d’essais de dénomination, 2014 constitue une nouvelle année record avec plus de 6600 demandes d’avis ayant fait l’objet d’une réponse</w:t>
      </w:r>
      <w:r w:rsidRPr="000A3783">
        <w:rPr>
          <w:rFonts w:cs="Arial"/>
        </w:rPr>
        <w:t>.</w:t>
      </w:r>
      <w:r>
        <w:rPr>
          <w:rFonts w:cs="Arial"/>
        </w:rPr>
        <w:t xml:space="preserve"> </w:t>
      </w:r>
      <w:r w:rsidRPr="000A3783">
        <w:rPr>
          <w:rFonts w:cs="Arial"/>
        </w:rPr>
        <w:t xml:space="preserve"> </w:t>
      </w:r>
      <w:r>
        <w:rPr>
          <w:rFonts w:cs="Arial"/>
        </w:rPr>
        <w:t>Cela confirme le succès de ce projet, comme l’indique le graphique ci</w:t>
      </w:r>
      <w:r>
        <w:rPr>
          <w:rFonts w:cs="Arial"/>
        </w:rPr>
        <w:noBreakHyphen/>
        <w:t>après</w:t>
      </w:r>
      <w:r w:rsidRPr="000A3783">
        <w:rPr>
          <w:rFonts w:cs="Arial"/>
        </w:rPr>
        <w:t>.</w:t>
      </w:r>
    </w:p>
    <w:p w:rsidR="00023109" w:rsidRDefault="00023109" w:rsidP="00023109">
      <w:pPr>
        <w:tabs>
          <w:tab w:val="left" w:pos="142"/>
        </w:tabs>
        <w:autoSpaceDE w:val="0"/>
        <w:autoSpaceDN w:val="0"/>
        <w:adjustRightInd w:val="0"/>
        <w:spacing w:after="240"/>
        <w:jc w:val="center"/>
        <w:rPr>
          <w:rFonts w:cs="Arial"/>
        </w:rPr>
      </w:pPr>
      <w:r w:rsidRPr="00B15595">
        <w:rPr>
          <w:noProof/>
          <w:lang w:val="en-US"/>
        </w:rPr>
        <w:drawing>
          <wp:inline distT="0" distB="0" distL="0" distR="0" wp14:anchorId="3579B8B7" wp14:editId="19B009A4">
            <wp:extent cx="4738340" cy="3733800"/>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736023" cy="3731974"/>
                    </a:xfrm>
                    <a:prstGeom prst="rect">
                      <a:avLst/>
                    </a:prstGeom>
                    <a:noFill/>
                    <a:ln>
                      <a:noFill/>
                    </a:ln>
                  </pic:spPr>
                </pic:pic>
              </a:graphicData>
            </a:graphic>
          </wp:inline>
        </w:drawing>
      </w:r>
    </w:p>
    <w:p w:rsidR="00023109" w:rsidRDefault="00023109" w:rsidP="00023109">
      <w:pPr>
        <w:tabs>
          <w:tab w:val="left" w:pos="142"/>
        </w:tabs>
        <w:autoSpaceDE w:val="0"/>
        <w:autoSpaceDN w:val="0"/>
        <w:adjustRightInd w:val="0"/>
        <w:spacing w:after="240"/>
        <w:rPr>
          <w:rFonts w:eastAsia="MyriadPro-Light" w:cs="Arial"/>
        </w:rPr>
      </w:pPr>
      <w:r>
        <w:rPr>
          <w:rFonts w:cs="Arial"/>
        </w:rPr>
        <w:t xml:space="preserve">Certains parmi les </w:t>
      </w:r>
      <w:r w:rsidRPr="005B4761">
        <w:rPr>
          <w:rFonts w:cs="Arial"/>
        </w:rPr>
        <w:t>États membres de l</w:t>
      </w:r>
      <w:r>
        <w:rPr>
          <w:rFonts w:cs="Arial"/>
        </w:rPr>
        <w:t>’</w:t>
      </w:r>
      <w:r w:rsidRPr="005B4761">
        <w:rPr>
          <w:rFonts w:cs="Arial"/>
        </w:rPr>
        <w:t>Union européenn</w:t>
      </w:r>
      <w:r>
        <w:rPr>
          <w:rFonts w:cs="Arial"/>
        </w:rPr>
        <w:t>e</w:t>
      </w:r>
      <w:r w:rsidRPr="005B4761">
        <w:rPr>
          <w:rFonts w:cs="Arial"/>
        </w:rPr>
        <w:t xml:space="preserve"> </w:t>
      </w:r>
      <w:r>
        <w:rPr>
          <w:rFonts w:cs="Arial"/>
        </w:rPr>
        <w:t>qui avaient déjà commencé à contribuer plus régulièrement à ce service en 2013 ont renforcé leur engagement au cours de l’année, en prenant l’initiative de débats concernant l</w:t>
      </w:r>
      <w:r w:rsidRPr="008C0228">
        <w:rPr>
          <w:rFonts w:cs="Arial"/>
        </w:rPr>
        <w:t xml:space="preserve">es règles de dénomination </w:t>
      </w:r>
      <w:r>
        <w:rPr>
          <w:rFonts w:cs="Arial"/>
        </w:rPr>
        <w:t>et leur interprétation</w:t>
      </w:r>
      <w:r w:rsidRPr="000A3783">
        <w:rPr>
          <w:rFonts w:cs="Arial"/>
        </w:rPr>
        <w:t>.</w:t>
      </w:r>
    </w:p>
    <w:p w:rsidR="00023109" w:rsidRPr="000A3783" w:rsidRDefault="00023109" w:rsidP="00023109">
      <w:pPr>
        <w:tabs>
          <w:tab w:val="left" w:pos="142"/>
        </w:tabs>
        <w:autoSpaceDE w:val="0"/>
        <w:autoSpaceDN w:val="0"/>
        <w:adjustRightInd w:val="0"/>
        <w:spacing w:after="240"/>
        <w:rPr>
          <w:rFonts w:cs="Arial"/>
        </w:rPr>
      </w:pPr>
      <w:r>
        <w:rPr>
          <w:rFonts w:cs="Arial"/>
        </w:rPr>
        <w:t xml:space="preserve">Cette participation des </w:t>
      </w:r>
      <w:r w:rsidRPr="00212024">
        <w:rPr>
          <w:rFonts w:cs="Arial"/>
        </w:rPr>
        <w:t>États membres de l</w:t>
      </w:r>
      <w:r>
        <w:rPr>
          <w:rFonts w:cs="Arial"/>
        </w:rPr>
        <w:t>’</w:t>
      </w:r>
      <w:r w:rsidRPr="00212024">
        <w:rPr>
          <w:rFonts w:cs="Arial"/>
        </w:rPr>
        <w:t xml:space="preserve">Union européenne </w:t>
      </w:r>
      <w:r>
        <w:rPr>
          <w:rFonts w:cs="Arial"/>
        </w:rPr>
        <w:t xml:space="preserve">représente une contribution positive vers une harmonisation des règles au sein de </w:t>
      </w:r>
      <w:r w:rsidRPr="00212024">
        <w:rPr>
          <w:rFonts w:cs="Arial"/>
        </w:rPr>
        <w:t>l</w:t>
      </w:r>
      <w:r>
        <w:rPr>
          <w:rFonts w:cs="Arial"/>
        </w:rPr>
        <w:t>’</w:t>
      </w:r>
      <w:r w:rsidRPr="00212024">
        <w:rPr>
          <w:rFonts w:cs="Arial"/>
        </w:rPr>
        <w:t>Union européenne</w:t>
      </w:r>
      <w:r w:rsidRPr="000A3783">
        <w:rPr>
          <w:rFonts w:cs="Arial"/>
        </w:rPr>
        <w:t>.</w:t>
      </w:r>
    </w:p>
    <w:p w:rsidR="00023109" w:rsidRPr="007C0BC1" w:rsidRDefault="00023109" w:rsidP="00023109">
      <w:pPr>
        <w:spacing w:after="240"/>
        <w:ind w:left="709"/>
        <w:rPr>
          <w:rFonts w:cs="Arial"/>
          <w:bCs/>
          <w:i/>
        </w:rPr>
      </w:pPr>
      <w:r>
        <w:rPr>
          <w:rFonts w:cs="Arial"/>
          <w:bCs/>
          <w:i/>
        </w:rPr>
        <w:t>e.</w:t>
      </w:r>
      <w:r>
        <w:rPr>
          <w:rFonts w:cs="Arial"/>
          <w:bCs/>
          <w:i/>
        </w:rPr>
        <w:tab/>
      </w:r>
      <w:r w:rsidRPr="007C0BC1">
        <w:rPr>
          <w:rFonts w:cs="Arial"/>
          <w:bCs/>
          <w:i/>
        </w:rPr>
        <w:t xml:space="preserve">Projet pilote de développement de la coopération en matière d’essais de dénomination avec l’Association royale de bulbiculture (KAVB).  </w:t>
      </w:r>
    </w:p>
    <w:p w:rsidR="00023109" w:rsidRPr="000A3783" w:rsidRDefault="00023109" w:rsidP="00023109">
      <w:pPr>
        <w:spacing w:after="240"/>
        <w:rPr>
          <w:rFonts w:cs="Arial"/>
        </w:rPr>
      </w:pPr>
      <w:r>
        <w:rPr>
          <w:rFonts w:cs="Arial"/>
        </w:rPr>
        <w:t>L</w:t>
      </w:r>
      <w:r w:rsidRPr="000819A9">
        <w:rPr>
          <w:rFonts w:cs="Arial"/>
        </w:rPr>
        <w:t>ors de sa réunion du 2</w:t>
      </w:r>
      <w:r>
        <w:rPr>
          <w:rFonts w:cs="Arial"/>
        </w:rPr>
        <w:t> </w:t>
      </w:r>
      <w:r w:rsidRPr="000819A9">
        <w:rPr>
          <w:rFonts w:cs="Arial"/>
        </w:rPr>
        <w:t>octobre</w:t>
      </w:r>
      <w:r>
        <w:rPr>
          <w:rFonts w:cs="Arial"/>
        </w:rPr>
        <w:t> </w:t>
      </w:r>
      <w:r w:rsidRPr="000819A9">
        <w:rPr>
          <w:rFonts w:cs="Arial"/>
        </w:rPr>
        <w:t xml:space="preserve">2013, le </w:t>
      </w:r>
      <w:r>
        <w:rPr>
          <w:rFonts w:cs="Arial"/>
        </w:rPr>
        <w:t>c</w:t>
      </w:r>
      <w:r w:rsidRPr="000819A9">
        <w:rPr>
          <w:rFonts w:cs="Arial"/>
        </w:rPr>
        <w:t>onseil d</w:t>
      </w:r>
      <w:r>
        <w:rPr>
          <w:rFonts w:cs="Arial"/>
        </w:rPr>
        <w:t>’</w:t>
      </w:r>
      <w:r w:rsidRPr="000819A9">
        <w:rPr>
          <w:rFonts w:cs="Arial"/>
        </w:rPr>
        <w:t>administration de l</w:t>
      </w:r>
      <w:r>
        <w:rPr>
          <w:rFonts w:cs="Arial"/>
        </w:rPr>
        <w:t>’</w:t>
      </w:r>
      <w:r w:rsidRPr="000819A9">
        <w:rPr>
          <w:rFonts w:cs="Arial"/>
        </w:rPr>
        <w:t xml:space="preserve">OCVV a admis le principe selon lequel </w:t>
      </w:r>
      <w:r>
        <w:rPr>
          <w:rFonts w:cs="Arial"/>
        </w:rPr>
        <w:t>la </w:t>
      </w:r>
      <w:r w:rsidRPr="000A3783">
        <w:rPr>
          <w:rFonts w:cs="Arial"/>
        </w:rPr>
        <w:t xml:space="preserve">KAVB </w:t>
      </w:r>
      <w:r w:rsidRPr="00CC190B">
        <w:rPr>
          <w:rFonts w:cs="Arial"/>
        </w:rPr>
        <w:t>rejoint le Projet pilote de développement de la coopération en matière d</w:t>
      </w:r>
      <w:r>
        <w:rPr>
          <w:rFonts w:cs="Arial"/>
        </w:rPr>
        <w:t>’</w:t>
      </w:r>
      <w:r w:rsidRPr="00CC190B">
        <w:rPr>
          <w:rFonts w:cs="Arial"/>
        </w:rPr>
        <w:t>essais de dénomination pour une période d</w:t>
      </w:r>
      <w:r>
        <w:rPr>
          <w:rFonts w:cs="Arial"/>
        </w:rPr>
        <w:t>’</w:t>
      </w:r>
      <w:r w:rsidRPr="00CC190B">
        <w:rPr>
          <w:rFonts w:cs="Arial"/>
        </w:rPr>
        <w:t>essai d</w:t>
      </w:r>
      <w:r>
        <w:rPr>
          <w:rFonts w:cs="Arial"/>
        </w:rPr>
        <w:t>’</w:t>
      </w:r>
      <w:r w:rsidRPr="00CC190B">
        <w:rPr>
          <w:rFonts w:cs="Arial"/>
        </w:rPr>
        <w:t>un an</w:t>
      </w:r>
      <w:r>
        <w:rPr>
          <w:rFonts w:cs="Arial"/>
        </w:rPr>
        <w:t>, afin de mieux évaluer les avantages et les répercussions d’une coopération renforcée qui avait débuté il y a déjà plusieurs années de façon moins officielle.</w:t>
      </w:r>
    </w:p>
    <w:p w:rsidR="00023109" w:rsidRDefault="00023109" w:rsidP="00023109">
      <w:pPr>
        <w:tabs>
          <w:tab w:val="left" w:pos="142"/>
        </w:tabs>
        <w:autoSpaceDE w:val="0"/>
        <w:autoSpaceDN w:val="0"/>
        <w:adjustRightInd w:val="0"/>
        <w:spacing w:after="240"/>
        <w:rPr>
          <w:rFonts w:cs="Arial"/>
        </w:rPr>
      </w:pPr>
      <w:r>
        <w:rPr>
          <w:rFonts w:cs="Arial"/>
        </w:rPr>
        <w:t>E</w:t>
      </w:r>
      <w:r w:rsidRPr="000A3783">
        <w:rPr>
          <w:rFonts w:cs="Arial"/>
        </w:rPr>
        <w:t xml:space="preserve">n 2014, </w:t>
      </w:r>
      <w:r>
        <w:rPr>
          <w:rFonts w:cs="Arial"/>
        </w:rPr>
        <w:t>la </w:t>
      </w:r>
      <w:r w:rsidRPr="000A3783">
        <w:rPr>
          <w:rFonts w:cs="Arial"/>
        </w:rPr>
        <w:t xml:space="preserve">KAVB </w:t>
      </w:r>
      <w:r>
        <w:rPr>
          <w:rFonts w:cs="Arial"/>
        </w:rPr>
        <w:t>a déposé un peu plus de 500 </w:t>
      </w:r>
      <w:r w:rsidRPr="007A7A9F">
        <w:rPr>
          <w:rFonts w:cs="Arial"/>
        </w:rPr>
        <w:t>propositions de dénomination</w:t>
      </w:r>
      <w:r w:rsidRPr="000A3783">
        <w:rPr>
          <w:rFonts w:cs="Arial"/>
        </w:rPr>
        <w:t xml:space="preserve">. </w:t>
      </w:r>
      <w:r>
        <w:rPr>
          <w:rFonts w:cs="Arial"/>
        </w:rPr>
        <w:t xml:space="preserve"> Ces demandes supplémentaires n’ont pas eu d’incidence sur le temps de traitement global, au contraire, pratiquement </w:t>
      </w:r>
      <w:r w:rsidRPr="000A3783">
        <w:rPr>
          <w:rFonts w:cs="Arial"/>
        </w:rPr>
        <w:t xml:space="preserve">89% </w:t>
      </w:r>
      <w:r>
        <w:rPr>
          <w:rFonts w:cs="Arial"/>
        </w:rPr>
        <w:t xml:space="preserve">des demandes ont été traitées dans les </w:t>
      </w:r>
      <w:r w:rsidRPr="000A3783">
        <w:rPr>
          <w:rFonts w:cs="Arial"/>
        </w:rPr>
        <w:t>24</w:t>
      </w:r>
      <w:r>
        <w:rPr>
          <w:rFonts w:cs="Arial"/>
        </w:rPr>
        <w:t> </w:t>
      </w:r>
      <w:r w:rsidRPr="000A3783">
        <w:rPr>
          <w:rFonts w:cs="Arial"/>
        </w:rPr>
        <w:t>h</w:t>
      </w:r>
      <w:r>
        <w:rPr>
          <w:rFonts w:cs="Arial"/>
        </w:rPr>
        <w:t>e</w:t>
      </w:r>
      <w:r w:rsidRPr="000A3783">
        <w:rPr>
          <w:rFonts w:cs="Arial"/>
        </w:rPr>
        <w:t>ur</w:t>
      </w:r>
      <w:r>
        <w:rPr>
          <w:rFonts w:cs="Arial"/>
        </w:rPr>
        <w:t>e</w:t>
      </w:r>
      <w:r w:rsidRPr="000A3783">
        <w:rPr>
          <w:rFonts w:cs="Arial"/>
        </w:rPr>
        <w:t xml:space="preserve">s, </w:t>
      </w:r>
      <w:r>
        <w:rPr>
          <w:rFonts w:cs="Arial"/>
        </w:rPr>
        <w:t>ce qui représente une légère amélioration par rapport à </w:t>
      </w:r>
      <w:r w:rsidRPr="000A3783">
        <w:rPr>
          <w:rFonts w:cs="Arial"/>
        </w:rPr>
        <w:t>2013.</w:t>
      </w:r>
    </w:p>
    <w:p w:rsidR="00023109" w:rsidRPr="000A3783" w:rsidRDefault="00023109" w:rsidP="00023109">
      <w:pPr>
        <w:spacing w:after="240"/>
        <w:rPr>
          <w:rFonts w:cs="Arial"/>
        </w:rPr>
      </w:pPr>
      <w:r>
        <w:rPr>
          <w:rFonts w:cs="Arial"/>
        </w:rPr>
        <w:t>La coopération avec la </w:t>
      </w:r>
      <w:r w:rsidRPr="000A3783">
        <w:rPr>
          <w:rFonts w:cs="Arial"/>
        </w:rPr>
        <w:t xml:space="preserve">KAVB </w:t>
      </w:r>
      <w:r>
        <w:rPr>
          <w:rFonts w:cs="Arial"/>
        </w:rPr>
        <w:t>a été perçue comme étant très favorable par l’OCVV</w:t>
      </w:r>
      <w:r w:rsidRPr="000A3783">
        <w:rPr>
          <w:rFonts w:cs="Arial"/>
        </w:rPr>
        <w:t xml:space="preserve">. </w:t>
      </w:r>
      <w:r>
        <w:rPr>
          <w:rFonts w:cs="Arial"/>
        </w:rPr>
        <w:t xml:space="preserve"> Les collègues de la </w:t>
      </w:r>
      <w:r w:rsidRPr="000A3783">
        <w:rPr>
          <w:rFonts w:cs="Arial"/>
        </w:rPr>
        <w:t xml:space="preserve">KAVB </w:t>
      </w:r>
      <w:r>
        <w:rPr>
          <w:rFonts w:cs="Arial"/>
        </w:rPr>
        <w:t xml:space="preserve">ont régulièrement </w:t>
      </w:r>
      <w:r w:rsidRPr="00C43878">
        <w:rPr>
          <w:rFonts w:cs="Arial"/>
        </w:rPr>
        <w:t>procédé à des échanges de vues sur</w:t>
      </w:r>
      <w:r w:rsidRPr="000A3783">
        <w:rPr>
          <w:rFonts w:cs="Arial"/>
        </w:rPr>
        <w:t xml:space="preserve"> </w:t>
      </w:r>
      <w:r>
        <w:rPr>
          <w:rFonts w:cs="Arial"/>
        </w:rPr>
        <w:t xml:space="preserve">l’interprétation des </w:t>
      </w:r>
      <w:r w:rsidRPr="00C43878">
        <w:rPr>
          <w:rFonts w:cs="Arial"/>
        </w:rPr>
        <w:t>directives en matière de dénominations</w:t>
      </w:r>
      <w:r w:rsidRPr="000A3783">
        <w:rPr>
          <w:rFonts w:cs="Arial"/>
        </w:rPr>
        <w:t xml:space="preserve">, </w:t>
      </w:r>
      <w:r>
        <w:rPr>
          <w:rFonts w:cs="Arial"/>
        </w:rPr>
        <w:t>permettant à l’OCVV d’améliorer son raisonnement</w:t>
      </w:r>
      <w:r w:rsidRPr="000A3783">
        <w:rPr>
          <w:rFonts w:cs="Arial"/>
        </w:rPr>
        <w:t xml:space="preserve">. </w:t>
      </w:r>
      <w:r>
        <w:rPr>
          <w:rFonts w:cs="Arial"/>
        </w:rPr>
        <w:t xml:space="preserve"> La connaissance de la </w:t>
      </w:r>
      <w:r w:rsidRPr="000A3783">
        <w:rPr>
          <w:rFonts w:cs="Arial"/>
        </w:rPr>
        <w:t xml:space="preserve">KAVB </w:t>
      </w:r>
      <w:r>
        <w:rPr>
          <w:rFonts w:cs="Arial"/>
        </w:rPr>
        <w:t xml:space="preserve">du marché du bulbe a également été très utile afin d’éviter un grand nombre d’observations concernant les propositions de dénominations variétales déposées pour avis par d’autres services ou lors des procédures de l’OCVV. </w:t>
      </w:r>
      <w:r w:rsidRPr="000A3783">
        <w:rPr>
          <w:rFonts w:cs="Arial"/>
        </w:rPr>
        <w:t xml:space="preserve"> </w:t>
      </w:r>
      <w:r>
        <w:rPr>
          <w:rFonts w:cs="Arial"/>
        </w:rPr>
        <w:t>Cette coopération fructueuse se traduit par une diminution du pourcentage de propositions de la </w:t>
      </w:r>
      <w:r w:rsidRPr="000A3783">
        <w:rPr>
          <w:rFonts w:cs="Arial"/>
        </w:rPr>
        <w:t xml:space="preserve">KAVB </w:t>
      </w:r>
      <w:r>
        <w:rPr>
          <w:rFonts w:cs="Arial"/>
        </w:rPr>
        <w:t>ayant fait l’objet d’observations (20,</w:t>
      </w:r>
      <w:r w:rsidRPr="000A3783">
        <w:rPr>
          <w:rFonts w:cs="Arial"/>
        </w:rPr>
        <w:t xml:space="preserve">4%) </w:t>
      </w:r>
      <w:r>
        <w:rPr>
          <w:rFonts w:cs="Arial"/>
        </w:rPr>
        <w:t>par rapport au chiffre global pour l’Union européenne</w:t>
      </w:r>
      <w:r w:rsidRPr="000A3783">
        <w:rPr>
          <w:rFonts w:cs="Arial"/>
        </w:rPr>
        <w:t xml:space="preserve"> (24%).</w:t>
      </w:r>
    </w:p>
    <w:p w:rsidR="00023109" w:rsidRPr="000A3783" w:rsidRDefault="00023109" w:rsidP="00023109">
      <w:pPr>
        <w:tabs>
          <w:tab w:val="left" w:pos="142"/>
        </w:tabs>
        <w:spacing w:after="240"/>
        <w:rPr>
          <w:rFonts w:cs="Arial"/>
        </w:rPr>
      </w:pPr>
      <w:r>
        <w:rPr>
          <w:rFonts w:cs="Arial"/>
        </w:rPr>
        <w:t>Le conseil administratif estimait que la coopération avec la </w:t>
      </w:r>
      <w:r w:rsidRPr="000A3783">
        <w:rPr>
          <w:rFonts w:cs="Arial"/>
        </w:rPr>
        <w:t xml:space="preserve">KAVB </w:t>
      </w:r>
      <w:r>
        <w:rPr>
          <w:rFonts w:cs="Arial"/>
        </w:rPr>
        <w:t xml:space="preserve">représentait une valeur ajoutée en matière de partage mutuel d’informations et d’échanges de vues sur l’interprétation des règles concernant les dénominations variétales et est convenu en mars 2015, sur proposition de l’OCVV, de prolonger la durée de la coopération en matière de dénominations variétales </w:t>
      </w:r>
      <w:r w:rsidRPr="00E944C9">
        <w:rPr>
          <w:rFonts w:cs="Arial"/>
        </w:rPr>
        <w:t>pour une période indéterminée</w:t>
      </w:r>
      <w:r w:rsidRPr="000A3783">
        <w:rPr>
          <w:rFonts w:cs="Arial"/>
        </w:rPr>
        <w:t>.</w:t>
      </w:r>
    </w:p>
    <w:p w:rsidR="00023109" w:rsidRPr="000A3783" w:rsidRDefault="00023109" w:rsidP="00504051">
      <w:pPr>
        <w:keepNext/>
        <w:spacing w:after="240"/>
        <w:ind w:left="720" w:hanging="720"/>
        <w:rPr>
          <w:rFonts w:cs="Arial"/>
          <w:i/>
          <w:u w:val="single"/>
        </w:rPr>
      </w:pPr>
      <w:r>
        <w:rPr>
          <w:rFonts w:cs="Arial"/>
          <w:i/>
          <w:u w:val="single"/>
        </w:rPr>
        <w:t>4.2</w:t>
      </w:r>
      <w:r>
        <w:rPr>
          <w:rFonts w:cs="Arial"/>
          <w:i/>
          <w:u w:val="single"/>
        </w:rPr>
        <w:tab/>
      </w:r>
      <w:r w:rsidRPr="00DB125A">
        <w:rPr>
          <w:rFonts w:cs="Arial"/>
          <w:i/>
          <w:u w:val="single"/>
        </w:rPr>
        <w:t>Réunion d</w:t>
      </w:r>
      <w:r>
        <w:rPr>
          <w:rFonts w:cs="Arial"/>
          <w:i/>
          <w:u w:val="single"/>
        </w:rPr>
        <w:t>’</w:t>
      </w:r>
      <w:r w:rsidRPr="00DB125A">
        <w:rPr>
          <w:rFonts w:cs="Arial"/>
          <w:i/>
          <w:u w:val="single"/>
        </w:rPr>
        <w:t xml:space="preserve">experts </w:t>
      </w:r>
      <w:r>
        <w:rPr>
          <w:rFonts w:cs="Arial"/>
          <w:i/>
          <w:u w:val="single"/>
        </w:rPr>
        <w:t xml:space="preserve">en </w:t>
      </w:r>
      <w:r w:rsidRPr="00DB125A">
        <w:rPr>
          <w:rFonts w:cs="Arial"/>
          <w:i/>
          <w:u w:val="single"/>
        </w:rPr>
        <w:t>plantes</w:t>
      </w:r>
    </w:p>
    <w:p w:rsidR="00023109" w:rsidRPr="007C0BC1" w:rsidRDefault="00023109" w:rsidP="00023109">
      <w:pPr>
        <w:spacing w:after="240"/>
        <w:ind w:left="709"/>
        <w:rPr>
          <w:rFonts w:cs="Arial"/>
          <w:bCs/>
          <w:i/>
        </w:rPr>
      </w:pPr>
      <w:r>
        <w:rPr>
          <w:rFonts w:cs="Arial"/>
          <w:bCs/>
          <w:i/>
        </w:rPr>
        <w:t>a</w:t>
      </w:r>
      <w:r w:rsidR="00504051">
        <w:rPr>
          <w:rFonts w:cs="Arial"/>
          <w:bCs/>
          <w:i/>
        </w:rPr>
        <w:t>.</w:t>
      </w:r>
      <w:r>
        <w:rPr>
          <w:rFonts w:cs="Arial"/>
          <w:bCs/>
          <w:i/>
        </w:rPr>
        <w:tab/>
      </w:r>
      <w:r w:rsidRPr="007C0BC1">
        <w:rPr>
          <w:rFonts w:cs="Arial"/>
          <w:bCs/>
          <w:i/>
        </w:rPr>
        <w:t>Réunion d’experts en plantes potagères</w:t>
      </w:r>
    </w:p>
    <w:p w:rsidR="00023109" w:rsidRDefault="00023109" w:rsidP="00023109">
      <w:pPr>
        <w:autoSpaceDE w:val="0"/>
        <w:autoSpaceDN w:val="0"/>
        <w:adjustRightInd w:val="0"/>
        <w:spacing w:after="240"/>
        <w:rPr>
          <w:rFonts w:cs="Arial"/>
          <w:color w:val="000000"/>
          <w:lang w:eastAsia="en-GB"/>
        </w:rPr>
      </w:pPr>
      <w:r w:rsidRPr="00DB125A">
        <w:rPr>
          <w:rFonts w:cs="Arial"/>
          <w:color w:val="000000"/>
          <w:lang w:eastAsia="en-GB"/>
        </w:rPr>
        <w:t>Une réunion d</w:t>
      </w:r>
      <w:r>
        <w:rPr>
          <w:rFonts w:cs="Arial"/>
          <w:color w:val="000000"/>
          <w:lang w:eastAsia="en-GB"/>
        </w:rPr>
        <w:t>’</w:t>
      </w:r>
      <w:r w:rsidRPr="00DB125A">
        <w:rPr>
          <w:rFonts w:cs="Arial"/>
          <w:color w:val="000000"/>
          <w:lang w:eastAsia="en-GB"/>
        </w:rPr>
        <w:t xml:space="preserve">experts </w:t>
      </w:r>
      <w:r>
        <w:rPr>
          <w:rFonts w:cs="Arial"/>
          <w:color w:val="000000"/>
          <w:lang w:eastAsia="en-GB"/>
        </w:rPr>
        <w:t xml:space="preserve">en </w:t>
      </w:r>
      <w:r w:rsidRPr="00DB125A">
        <w:rPr>
          <w:rFonts w:cs="Arial"/>
          <w:color w:val="000000"/>
          <w:lang w:eastAsia="en-GB"/>
        </w:rPr>
        <w:t xml:space="preserve">plantes potagères a eu lieu les </w:t>
      </w:r>
      <w:r>
        <w:rPr>
          <w:rFonts w:cs="Arial"/>
          <w:color w:val="000000"/>
          <w:lang w:eastAsia="en-GB"/>
        </w:rPr>
        <w:t>2</w:t>
      </w:r>
      <w:r w:rsidRPr="00DB125A">
        <w:rPr>
          <w:rFonts w:cs="Arial"/>
          <w:color w:val="000000"/>
          <w:lang w:eastAsia="en-GB"/>
        </w:rPr>
        <w:t xml:space="preserve">2 et </w:t>
      </w:r>
      <w:r>
        <w:rPr>
          <w:rFonts w:cs="Arial"/>
          <w:color w:val="000000"/>
          <w:lang w:eastAsia="en-GB"/>
        </w:rPr>
        <w:t>2</w:t>
      </w:r>
      <w:r w:rsidRPr="00DB125A">
        <w:rPr>
          <w:rFonts w:cs="Arial"/>
          <w:color w:val="000000"/>
          <w:lang w:eastAsia="en-GB"/>
        </w:rPr>
        <w:t>3</w:t>
      </w:r>
      <w:r>
        <w:rPr>
          <w:rFonts w:cs="Arial"/>
          <w:color w:val="000000"/>
          <w:lang w:eastAsia="en-GB"/>
        </w:rPr>
        <w:t> octobre </w:t>
      </w:r>
      <w:r w:rsidRPr="00DB125A">
        <w:rPr>
          <w:rFonts w:cs="Arial"/>
          <w:color w:val="000000"/>
          <w:lang w:eastAsia="en-GB"/>
        </w:rPr>
        <w:t>201</w:t>
      </w:r>
      <w:r>
        <w:rPr>
          <w:rFonts w:cs="Arial"/>
          <w:color w:val="000000"/>
          <w:lang w:eastAsia="en-GB"/>
        </w:rPr>
        <w:t>4</w:t>
      </w:r>
      <w:r w:rsidRPr="00DB125A">
        <w:rPr>
          <w:rFonts w:cs="Arial"/>
          <w:color w:val="000000"/>
          <w:lang w:eastAsia="en-GB"/>
        </w:rPr>
        <w:t xml:space="preserve"> pour débattre des points suivants</w:t>
      </w:r>
      <w:r>
        <w:rPr>
          <w:rFonts w:cs="Arial"/>
          <w:color w:val="000000"/>
          <w:lang w:eastAsia="en-GB"/>
        </w:rPr>
        <w:t> :</w:t>
      </w:r>
    </w:p>
    <w:p w:rsidR="00023109" w:rsidRPr="000A3783" w:rsidRDefault="00023109" w:rsidP="00BD634F">
      <w:pPr>
        <w:numPr>
          <w:ilvl w:val="0"/>
          <w:numId w:val="3"/>
        </w:numPr>
        <w:autoSpaceDE w:val="0"/>
        <w:autoSpaceDN w:val="0"/>
        <w:adjustRightInd w:val="0"/>
        <w:spacing w:after="120"/>
        <w:ind w:hanging="357"/>
        <w:rPr>
          <w:rFonts w:cs="Arial"/>
          <w:color w:val="000000"/>
          <w:lang w:eastAsia="en-GB"/>
        </w:rPr>
      </w:pPr>
      <w:r>
        <w:rPr>
          <w:rFonts w:cs="Arial"/>
          <w:color w:val="000000"/>
          <w:lang w:eastAsia="en-GB"/>
        </w:rPr>
        <w:t>r</w:t>
      </w:r>
      <w:r w:rsidRPr="00DB125A">
        <w:rPr>
          <w:rFonts w:cs="Arial"/>
          <w:color w:val="000000"/>
          <w:lang w:eastAsia="en-GB"/>
        </w:rPr>
        <w:t>évisions de plusieurs protocoles techniques</w:t>
      </w:r>
      <w:r w:rsidRPr="000A3783">
        <w:rPr>
          <w:rFonts w:cs="Arial"/>
          <w:color w:val="000000"/>
          <w:lang w:eastAsia="en-GB"/>
        </w:rPr>
        <w:t>;</w:t>
      </w:r>
    </w:p>
    <w:p w:rsidR="00023109" w:rsidRPr="000A3783" w:rsidRDefault="00023109" w:rsidP="00BD634F">
      <w:pPr>
        <w:numPr>
          <w:ilvl w:val="0"/>
          <w:numId w:val="3"/>
        </w:numPr>
        <w:autoSpaceDE w:val="0"/>
        <w:autoSpaceDN w:val="0"/>
        <w:adjustRightInd w:val="0"/>
        <w:spacing w:after="120"/>
        <w:ind w:hanging="357"/>
        <w:rPr>
          <w:rFonts w:cs="Arial"/>
          <w:color w:val="000000"/>
          <w:lang w:eastAsia="en-GB"/>
        </w:rPr>
      </w:pPr>
      <w:r>
        <w:rPr>
          <w:rFonts w:cs="Arial"/>
        </w:rPr>
        <w:t>des règles de fonctionnement définitives concernant les examens DHS analogues de variétés potagères sur deux sites</w:t>
      </w:r>
      <w:r w:rsidRPr="000A3783">
        <w:rPr>
          <w:rFonts w:cs="Arial"/>
        </w:rPr>
        <w:t xml:space="preserve"> </w:t>
      </w:r>
      <w:r>
        <w:rPr>
          <w:rFonts w:cs="Arial"/>
        </w:rPr>
        <w:t>d’examen distincts</w:t>
      </w:r>
      <w:r w:rsidRPr="000A3783">
        <w:rPr>
          <w:rFonts w:cs="Arial"/>
        </w:rPr>
        <w:t>;</w:t>
      </w:r>
    </w:p>
    <w:p w:rsidR="00023109" w:rsidRDefault="00023109" w:rsidP="00BD634F">
      <w:pPr>
        <w:numPr>
          <w:ilvl w:val="0"/>
          <w:numId w:val="3"/>
        </w:numPr>
        <w:autoSpaceDE w:val="0"/>
        <w:autoSpaceDN w:val="0"/>
        <w:adjustRightInd w:val="0"/>
        <w:spacing w:after="120"/>
        <w:ind w:hanging="357"/>
        <w:rPr>
          <w:rFonts w:cs="Arial"/>
          <w:color w:val="000000"/>
          <w:lang w:eastAsia="en-GB"/>
        </w:rPr>
      </w:pPr>
      <w:r>
        <w:rPr>
          <w:rFonts w:cs="Arial"/>
          <w:iCs/>
        </w:rPr>
        <w:t>la possibilité de réviser le format commun concernant le point </w:t>
      </w:r>
      <w:r w:rsidRPr="000A3783">
        <w:rPr>
          <w:rFonts w:cs="Arial"/>
          <w:iCs/>
        </w:rPr>
        <w:t xml:space="preserve">4.1 </w:t>
      </w:r>
      <w:r>
        <w:rPr>
          <w:rFonts w:cs="Arial"/>
          <w:iCs/>
        </w:rPr>
        <w:t>du questionnaire technique des plantes potagères</w:t>
      </w:r>
      <w:r w:rsidRPr="000A3783">
        <w:rPr>
          <w:rFonts w:cs="Arial"/>
          <w:iCs/>
        </w:rPr>
        <w:t>;</w:t>
      </w:r>
    </w:p>
    <w:p w:rsidR="00023109" w:rsidRPr="000A3783" w:rsidRDefault="00023109" w:rsidP="00BD634F">
      <w:pPr>
        <w:numPr>
          <w:ilvl w:val="0"/>
          <w:numId w:val="3"/>
        </w:numPr>
        <w:autoSpaceDE w:val="0"/>
        <w:autoSpaceDN w:val="0"/>
        <w:adjustRightInd w:val="0"/>
        <w:spacing w:after="120"/>
        <w:ind w:hanging="357"/>
        <w:rPr>
          <w:rFonts w:cs="Arial"/>
          <w:color w:val="000000"/>
          <w:lang w:eastAsia="en-GB"/>
        </w:rPr>
      </w:pPr>
      <w:r>
        <w:rPr>
          <w:rFonts w:cs="Arial"/>
          <w:iCs/>
        </w:rPr>
        <w:t xml:space="preserve">le rapport sur la situation du principe </w:t>
      </w:r>
      <w:r w:rsidRPr="000A3783">
        <w:rPr>
          <w:rFonts w:cs="Arial"/>
          <w:iCs/>
        </w:rPr>
        <w:t>“</w:t>
      </w:r>
      <w:r w:rsidRPr="00D12D44">
        <w:rPr>
          <w:rFonts w:cs="Arial"/>
          <w:iCs/>
        </w:rPr>
        <w:t>une clé – plusieurs portes</w:t>
      </w:r>
      <w:r w:rsidRPr="000A3783">
        <w:rPr>
          <w:rFonts w:cs="Arial"/>
          <w:iCs/>
        </w:rPr>
        <w:t>”;</w:t>
      </w:r>
    </w:p>
    <w:p w:rsidR="00023109" w:rsidRPr="000A3783" w:rsidRDefault="00023109" w:rsidP="00BD634F">
      <w:pPr>
        <w:numPr>
          <w:ilvl w:val="0"/>
          <w:numId w:val="3"/>
        </w:numPr>
        <w:autoSpaceDE w:val="0"/>
        <w:autoSpaceDN w:val="0"/>
        <w:adjustRightInd w:val="0"/>
        <w:spacing w:after="120"/>
        <w:ind w:hanging="357"/>
        <w:rPr>
          <w:rFonts w:cs="Arial"/>
          <w:color w:val="000000"/>
          <w:lang w:eastAsia="en-GB"/>
        </w:rPr>
      </w:pPr>
      <w:r>
        <w:rPr>
          <w:rFonts w:cs="Arial"/>
        </w:rPr>
        <w:t xml:space="preserve">une plus grande </w:t>
      </w:r>
      <w:r w:rsidRPr="000A3783">
        <w:rPr>
          <w:rFonts w:cs="Arial"/>
        </w:rPr>
        <w:t xml:space="preserve">collaboration </w:t>
      </w:r>
      <w:r>
        <w:rPr>
          <w:rFonts w:cs="Arial"/>
        </w:rPr>
        <w:t>entre les services d’</w:t>
      </w:r>
      <w:r w:rsidRPr="0081485E">
        <w:rPr>
          <w:rFonts w:cs="Arial"/>
        </w:rPr>
        <w:t xml:space="preserve">examen habilités </w:t>
      </w:r>
      <w:r>
        <w:rPr>
          <w:rFonts w:cs="Arial"/>
        </w:rPr>
        <w:t xml:space="preserve">pour les plantes potagères, y compris une éventuelle centralisation de certaines </w:t>
      </w:r>
      <w:r w:rsidRPr="000A3783">
        <w:rPr>
          <w:rFonts w:cs="Arial"/>
        </w:rPr>
        <w:t>“</w:t>
      </w:r>
      <w:r>
        <w:rPr>
          <w:rFonts w:cs="Arial"/>
        </w:rPr>
        <w:t>espèces mineures</w:t>
      </w:r>
      <w:r w:rsidRPr="000A3783">
        <w:rPr>
          <w:rFonts w:cs="Arial"/>
        </w:rPr>
        <w:t>”;</w:t>
      </w:r>
    </w:p>
    <w:p w:rsidR="00023109" w:rsidRPr="000A3783" w:rsidRDefault="00023109" w:rsidP="00BD634F">
      <w:pPr>
        <w:pStyle w:val="BodyTextIndent2"/>
        <w:numPr>
          <w:ilvl w:val="0"/>
          <w:numId w:val="3"/>
        </w:numPr>
        <w:tabs>
          <w:tab w:val="left" w:pos="284"/>
        </w:tabs>
        <w:spacing w:line="240" w:lineRule="auto"/>
        <w:ind w:right="176" w:hanging="357"/>
        <w:rPr>
          <w:rFonts w:cs="Arial"/>
          <w:iCs/>
        </w:rPr>
      </w:pPr>
      <w:r>
        <w:rPr>
          <w:rFonts w:cs="Arial"/>
        </w:rPr>
        <w:t xml:space="preserve">l’extension des codes </w:t>
      </w:r>
      <w:r w:rsidRPr="000A3783">
        <w:rPr>
          <w:rFonts w:cs="Arial"/>
        </w:rPr>
        <w:t xml:space="preserve">UPOV </w:t>
      </w:r>
      <w:r>
        <w:rPr>
          <w:rFonts w:cs="Arial"/>
        </w:rPr>
        <w:t>en vue de fournir des</w:t>
      </w:r>
      <w:r w:rsidRPr="000A3783">
        <w:rPr>
          <w:rFonts w:cs="Arial"/>
        </w:rPr>
        <w:t xml:space="preserve"> information</w:t>
      </w:r>
      <w:r>
        <w:rPr>
          <w:rFonts w:cs="Arial"/>
        </w:rPr>
        <w:t>s sur les types de plantes</w:t>
      </w:r>
      <w:r w:rsidRPr="000A3783">
        <w:rPr>
          <w:rFonts w:cs="Arial"/>
        </w:rPr>
        <w:t>;</w:t>
      </w:r>
    </w:p>
    <w:p w:rsidR="00023109" w:rsidRPr="000A3783" w:rsidRDefault="00023109" w:rsidP="00BD634F">
      <w:pPr>
        <w:numPr>
          <w:ilvl w:val="0"/>
          <w:numId w:val="3"/>
        </w:numPr>
        <w:autoSpaceDE w:val="0"/>
        <w:autoSpaceDN w:val="0"/>
        <w:adjustRightInd w:val="0"/>
        <w:spacing w:after="120"/>
        <w:ind w:hanging="357"/>
        <w:rPr>
          <w:rFonts w:cs="Arial"/>
          <w:color w:val="000000"/>
          <w:lang w:eastAsia="en-GB"/>
        </w:rPr>
      </w:pPr>
      <w:r>
        <w:rPr>
          <w:rFonts w:cs="Arial"/>
          <w:color w:val="000000"/>
          <w:lang w:eastAsia="en-GB"/>
        </w:rPr>
        <w:t>la d</w:t>
      </w:r>
      <w:r w:rsidRPr="0081485E">
        <w:rPr>
          <w:rFonts w:cs="Arial"/>
          <w:color w:val="000000"/>
          <w:lang w:eastAsia="en-GB"/>
        </w:rPr>
        <w:t>iscussion en cours sur les questions relatives aux essais de résistance aux maladies</w:t>
      </w:r>
      <w:r>
        <w:rPr>
          <w:rFonts w:cs="Arial"/>
          <w:color w:val="000000"/>
          <w:lang w:eastAsia="en-GB"/>
        </w:rPr>
        <w:t> </w:t>
      </w:r>
      <w:r w:rsidRPr="000A3783">
        <w:rPr>
          <w:rFonts w:cs="Arial"/>
          <w:color w:val="000000"/>
          <w:lang w:eastAsia="en-GB"/>
        </w:rPr>
        <w:t>:</w:t>
      </w:r>
    </w:p>
    <w:p w:rsidR="00023109" w:rsidRPr="000A3783" w:rsidRDefault="00023109" w:rsidP="00BD634F">
      <w:pPr>
        <w:numPr>
          <w:ilvl w:val="1"/>
          <w:numId w:val="3"/>
        </w:numPr>
        <w:autoSpaceDE w:val="0"/>
        <w:autoSpaceDN w:val="0"/>
        <w:adjustRightInd w:val="0"/>
        <w:spacing w:after="120"/>
        <w:ind w:hanging="357"/>
        <w:rPr>
          <w:rFonts w:cs="Arial"/>
          <w:color w:val="000000"/>
          <w:lang w:eastAsia="en-GB"/>
        </w:rPr>
      </w:pPr>
      <w:r>
        <w:rPr>
          <w:rFonts w:cs="Arial"/>
          <w:color w:val="000000"/>
          <w:lang w:eastAsia="en-GB"/>
        </w:rPr>
        <w:t xml:space="preserve">élaborer davantage une mise en œuvre retardée des </w:t>
      </w:r>
      <w:r w:rsidRPr="0081485E">
        <w:rPr>
          <w:rFonts w:cs="Arial"/>
          <w:color w:val="000000"/>
          <w:lang w:eastAsia="en-GB"/>
        </w:rPr>
        <w:t>caractères de résistance aux maladies signalés par un astérisque</w:t>
      </w:r>
      <w:r w:rsidRPr="000A3783">
        <w:rPr>
          <w:rFonts w:cs="Arial"/>
          <w:color w:val="000000"/>
          <w:lang w:eastAsia="en-GB"/>
        </w:rPr>
        <w:t>;</w:t>
      </w:r>
    </w:p>
    <w:p w:rsidR="00023109" w:rsidRPr="000A3783" w:rsidRDefault="00023109" w:rsidP="00BD634F">
      <w:pPr>
        <w:numPr>
          <w:ilvl w:val="1"/>
          <w:numId w:val="3"/>
        </w:numPr>
        <w:autoSpaceDE w:val="0"/>
        <w:autoSpaceDN w:val="0"/>
        <w:adjustRightInd w:val="0"/>
        <w:spacing w:after="120"/>
        <w:ind w:hanging="357"/>
        <w:rPr>
          <w:rFonts w:cs="Arial"/>
          <w:color w:val="000000"/>
          <w:lang w:eastAsia="en-GB"/>
        </w:rPr>
      </w:pPr>
      <w:r>
        <w:rPr>
          <w:rFonts w:cs="Arial"/>
          <w:color w:val="000000"/>
          <w:lang w:eastAsia="en-GB"/>
        </w:rPr>
        <w:t xml:space="preserve">une analyse plus approfondie des </w:t>
      </w:r>
      <w:r w:rsidRPr="00DD56A4">
        <w:rPr>
          <w:rFonts w:cs="Arial"/>
          <w:color w:val="000000"/>
          <w:lang w:eastAsia="en-GB"/>
        </w:rPr>
        <w:t>caractères de résistance aux maladies signalés par un astérisque</w:t>
      </w:r>
      <w:r w:rsidRPr="000A3783">
        <w:rPr>
          <w:rFonts w:cs="Arial"/>
          <w:color w:val="000000"/>
          <w:lang w:eastAsia="en-GB"/>
        </w:rPr>
        <w:t>;</w:t>
      </w:r>
    </w:p>
    <w:p w:rsidR="00023109" w:rsidRPr="000A3783" w:rsidRDefault="00023109" w:rsidP="00BD634F">
      <w:pPr>
        <w:numPr>
          <w:ilvl w:val="0"/>
          <w:numId w:val="3"/>
        </w:numPr>
        <w:autoSpaceDE w:val="0"/>
        <w:autoSpaceDN w:val="0"/>
        <w:adjustRightInd w:val="0"/>
        <w:spacing w:after="240"/>
        <w:rPr>
          <w:rFonts w:cs="Arial"/>
          <w:color w:val="000000"/>
          <w:lang w:eastAsia="en-GB"/>
        </w:rPr>
      </w:pPr>
      <w:r>
        <w:rPr>
          <w:rFonts w:cs="Arial"/>
          <w:color w:val="000000"/>
          <w:lang w:eastAsia="en-GB"/>
        </w:rPr>
        <w:t xml:space="preserve">la </w:t>
      </w:r>
      <w:r w:rsidRPr="000A3783">
        <w:rPr>
          <w:rFonts w:cs="Arial"/>
          <w:color w:val="000000"/>
          <w:lang w:eastAsia="en-GB"/>
        </w:rPr>
        <w:t xml:space="preserve">situation </w:t>
      </w:r>
      <w:r>
        <w:rPr>
          <w:rFonts w:cs="Arial"/>
          <w:color w:val="000000"/>
          <w:lang w:eastAsia="en-GB"/>
        </w:rPr>
        <w:t>concernant les projets de recherche</w:t>
      </w:r>
      <w:r>
        <w:rPr>
          <w:rFonts w:cs="Arial"/>
          <w:color w:val="000000"/>
          <w:lang w:eastAsia="en-GB"/>
        </w:rPr>
        <w:noBreakHyphen/>
        <w:t>développement en cours et futurs liés aux plantes potagères</w:t>
      </w:r>
      <w:r w:rsidRPr="000A3783">
        <w:rPr>
          <w:rFonts w:cs="Arial"/>
          <w:color w:val="000000"/>
          <w:lang w:eastAsia="en-GB"/>
        </w:rPr>
        <w:t>.</w:t>
      </w:r>
    </w:p>
    <w:p w:rsidR="00023109" w:rsidRPr="007C0BC1" w:rsidRDefault="00023109" w:rsidP="00023109">
      <w:pPr>
        <w:keepNext/>
        <w:keepLines/>
        <w:spacing w:after="240"/>
        <w:ind w:left="709"/>
        <w:rPr>
          <w:rFonts w:cs="Arial"/>
          <w:bCs/>
          <w:i/>
        </w:rPr>
      </w:pPr>
      <w:r>
        <w:rPr>
          <w:rFonts w:cs="Arial"/>
          <w:bCs/>
          <w:i/>
        </w:rPr>
        <w:t>b.</w:t>
      </w:r>
      <w:r>
        <w:rPr>
          <w:rFonts w:cs="Arial"/>
          <w:bCs/>
          <w:i/>
        </w:rPr>
        <w:tab/>
      </w:r>
      <w:r w:rsidRPr="007C0BC1">
        <w:rPr>
          <w:rFonts w:cs="Arial"/>
          <w:bCs/>
          <w:i/>
        </w:rPr>
        <w:t>Réunion d’experts en plantes agricoles</w:t>
      </w:r>
    </w:p>
    <w:p w:rsidR="00023109" w:rsidRPr="000A3783" w:rsidRDefault="00023109" w:rsidP="00023109">
      <w:pPr>
        <w:keepNext/>
        <w:keepLines/>
        <w:autoSpaceDE w:val="0"/>
        <w:autoSpaceDN w:val="0"/>
        <w:adjustRightInd w:val="0"/>
        <w:spacing w:after="240"/>
        <w:rPr>
          <w:rFonts w:cs="Arial"/>
          <w:color w:val="000000"/>
          <w:lang w:eastAsia="en-GB"/>
        </w:rPr>
      </w:pPr>
      <w:r w:rsidRPr="003A2207">
        <w:rPr>
          <w:rFonts w:cs="Arial"/>
          <w:color w:val="000000"/>
          <w:lang w:eastAsia="en-GB"/>
        </w:rPr>
        <w:t>Une réunion d</w:t>
      </w:r>
      <w:r>
        <w:rPr>
          <w:rFonts w:cs="Arial"/>
          <w:color w:val="000000"/>
          <w:lang w:eastAsia="en-GB"/>
        </w:rPr>
        <w:t>’</w:t>
      </w:r>
      <w:r w:rsidRPr="003A2207">
        <w:rPr>
          <w:rFonts w:cs="Arial"/>
          <w:color w:val="000000"/>
          <w:lang w:eastAsia="en-GB"/>
        </w:rPr>
        <w:t xml:space="preserve">experts </w:t>
      </w:r>
      <w:r>
        <w:rPr>
          <w:rFonts w:cs="Arial"/>
          <w:color w:val="000000"/>
          <w:lang w:eastAsia="en-GB"/>
        </w:rPr>
        <w:t>en</w:t>
      </w:r>
      <w:r w:rsidRPr="003A2207">
        <w:rPr>
          <w:rFonts w:cs="Arial"/>
          <w:color w:val="000000"/>
          <w:lang w:eastAsia="en-GB"/>
        </w:rPr>
        <w:t xml:space="preserve"> plantes agricoles a eu lieu les </w:t>
      </w:r>
      <w:r>
        <w:rPr>
          <w:rFonts w:cs="Arial"/>
          <w:color w:val="000000"/>
          <w:lang w:eastAsia="en-GB"/>
        </w:rPr>
        <w:t xml:space="preserve">7 et </w:t>
      </w:r>
      <w:r w:rsidRPr="003A2207">
        <w:rPr>
          <w:rFonts w:cs="Arial"/>
          <w:color w:val="000000"/>
          <w:lang w:eastAsia="en-GB"/>
        </w:rPr>
        <w:t>8</w:t>
      </w:r>
      <w:r>
        <w:rPr>
          <w:rFonts w:cs="Arial"/>
          <w:color w:val="000000"/>
          <w:lang w:eastAsia="en-GB"/>
        </w:rPr>
        <w:t> </w:t>
      </w:r>
      <w:r w:rsidRPr="003A2207">
        <w:rPr>
          <w:rFonts w:cs="Arial"/>
          <w:color w:val="000000"/>
          <w:lang w:eastAsia="en-GB"/>
        </w:rPr>
        <w:t>octobre</w:t>
      </w:r>
      <w:r>
        <w:rPr>
          <w:rFonts w:cs="Arial"/>
          <w:color w:val="000000"/>
          <w:lang w:eastAsia="en-GB"/>
        </w:rPr>
        <w:t> </w:t>
      </w:r>
      <w:r w:rsidRPr="003A2207">
        <w:rPr>
          <w:rFonts w:cs="Arial"/>
          <w:color w:val="000000"/>
          <w:lang w:eastAsia="en-GB"/>
        </w:rPr>
        <w:t>201</w:t>
      </w:r>
      <w:r>
        <w:rPr>
          <w:rFonts w:cs="Arial"/>
          <w:color w:val="000000"/>
          <w:lang w:eastAsia="en-GB"/>
        </w:rPr>
        <w:t>4</w:t>
      </w:r>
      <w:r w:rsidRPr="003A2207">
        <w:rPr>
          <w:rFonts w:cs="Arial"/>
          <w:color w:val="000000"/>
          <w:lang w:eastAsia="en-GB"/>
        </w:rPr>
        <w:t xml:space="preserve"> pour débattre des points suivants</w:t>
      </w:r>
      <w:r>
        <w:rPr>
          <w:rFonts w:cs="Arial"/>
          <w:color w:val="000000"/>
          <w:lang w:eastAsia="en-GB"/>
        </w:rPr>
        <w:t> </w:t>
      </w:r>
      <w:r w:rsidRPr="000A3783">
        <w:rPr>
          <w:rFonts w:cs="Arial"/>
          <w:color w:val="000000"/>
          <w:lang w:eastAsia="en-GB"/>
        </w:rPr>
        <w:t>:</w:t>
      </w:r>
    </w:p>
    <w:p w:rsidR="00023109" w:rsidRDefault="00023109" w:rsidP="00BD634F">
      <w:pPr>
        <w:numPr>
          <w:ilvl w:val="0"/>
          <w:numId w:val="11"/>
        </w:numPr>
        <w:autoSpaceDE w:val="0"/>
        <w:autoSpaceDN w:val="0"/>
        <w:adjustRightInd w:val="0"/>
        <w:spacing w:after="120"/>
        <w:ind w:left="782" w:hanging="357"/>
        <w:rPr>
          <w:rFonts w:cs="Arial"/>
          <w:color w:val="000000"/>
          <w:lang w:eastAsia="en-GB"/>
        </w:rPr>
      </w:pPr>
      <w:r>
        <w:rPr>
          <w:rFonts w:cs="Arial"/>
          <w:color w:val="000000"/>
          <w:lang w:eastAsia="en-GB"/>
        </w:rPr>
        <w:t>des r</w:t>
      </w:r>
      <w:r w:rsidRPr="003A2207">
        <w:rPr>
          <w:rFonts w:cs="Arial"/>
          <w:color w:val="000000"/>
          <w:lang w:eastAsia="en-GB"/>
        </w:rPr>
        <w:t>évisions de plusieurs protocoles techniques</w:t>
      </w:r>
      <w:r w:rsidRPr="000A3783">
        <w:rPr>
          <w:rFonts w:cs="Arial"/>
          <w:color w:val="000000"/>
          <w:lang w:eastAsia="en-GB"/>
        </w:rPr>
        <w:t>;</w:t>
      </w:r>
    </w:p>
    <w:p w:rsidR="00023109" w:rsidRDefault="00023109" w:rsidP="00BD634F">
      <w:pPr>
        <w:numPr>
          <w:ilvl w:val="0"/>
          <w:numId w:val="11"/>
        </w:numPr>
        <w:autoSpaceDE w:val="0"/>
        <w:autoSpaceDN w:val="0"/>
        <w:adjustRightInd w:val="0"/>
        <w:spacing w:after="120"/>
        <w:ind w:left="782" w:hanging="357"/>
        <w:rPr>
          <w:rFonts w:cs="Arial"/>
          <w:color w:val="000000"/>
          <w:lang w:eastAsia="en-GB"/>
        </w:rPr>
      </w:pPr>
      <w:r>
        <w:rPr>
          <w:rFonts w:cs="Arial"/>
          <w:color w:val="000000"/>
          <w:lang w:eastAsia="en-GB"/>
        </w:rPr>
        <w:t>la s</w:t>
      </w:r>
      <w:r w:rsidRPr="003A2207">
        <w:rPr>
          <w:rFonts w:cs="Arial"/>
          <w:color w:val="000000"/>
          <w:lang w:eastAsia="en-GB"/>
        </w:rPr>
        <w:t xml:space="preserve">égrégation des caractères </w:t>
      </w:r>
      <w:r>
        <w:rPr>
          <w:rFonts w:cs="Arial"/>
          <w:color w:val="000000"/>
          <w:lang w:eastAsia="en-GB"/>
        </w:rPr>
        <w:t>chez</w:t>
      </w:r>
      <w:r w:rsidRPr="003A2207">
        <w:rPr>
          <w:rFonts w:cs="Arial"/>
          <w:color w:val="000000"/>
          <w:lang w:eastAsia="en-GB"/>
        </w:rPr>
        <w:t xml:space="preserve"> les variétés hybrides</w:t>
      </w:r>
      <w:r w:rsidRPr="000A3783">
        <w:rPr>
          <w:rFonts w:cs="Arial"/>
          <w:color w:val="000000"/>
          <w:lang w:eastAsia="en-GB"/>
        </w:rPr>
        <w:t>;</w:t>
      </w:r>
    </w:p>
    <w:p w:rsidR="00023109" w:rsidRPr="000A3783" w:rsidRDefault="00023109" w:rsidP="00BD634F">
      <w:pPr>
        <w:numPr>
          <w:ilvl w:val="0"/>
          <w:numId w:val="11"/>
        </w:numPr>
        <w:autoSpaceDE w:val="0"/>
        <w:autoSpaceDN w:val="0"/>
        <w:adjustRightInd w:val="0"/>
        <w:spacing w:after="120"/>
        <w:ind w:left="782" w:hanging="357"/>
        <w:rPr>
          <w:rFonts w:cs="Arial"/>
          <w:color w:val="000000"/>
          <w:lang w:eastAsia="en-GB"/>
        </w:rPr>
      </w:pPr>
      <w:r w:rsidRPr="000A3783">
        <w:rPr>
          <w:rFonts w:cs="Arial"/>
          <w:color w:val="000000"/>
          <w:lang w:eastAsia="en-GB"/>
        </w:rPr>
        <w:t>c</w:t>
      </w:r>
      <w:r>
        <w:rPr>
          <w:rFonts w:cs="Arial"/>
          <w:color w:val="000000"/>
          <w:lang w:eastAsia="en-GB"/>
        </w:rPr>
        <w:t>é</w:t>
      </w:r>
      <w:r w:rsidRPr="000A3783">
        <w:rPr>
          <w:rFonts w:cs="Arial"/>
          <w:color w:val="000000"/>
          <w:lang w:eastAsia="en-GB"/>
        </w:rPr>
        <w:t>r</w:t>
      </w:r>
      <w:r>
        <w:rPr>
          <w:rFonts w:cs="Arial"/>
          <w:color w:val="000000"/>
          <w:lang w:eastAsia="en-GB"/>
        </w:rPr>
        <w:t>é</w:t>
      </w:r>
      <w:r w:rsidRPr="000A3783">
        <w:rPr>
          <w:rFonts w:cs="Arial"/>
          <w:color w:val="000000"/>
          <w:lang w:eastAsia="en-GB"/>
        </w:rPr>
        <w:t>al</w:t>
      </w:r>
      <w:r>
        <w:rPr>
          <w:rFonts w:cs="Arial"/>
          <w:color w:val="000000"/>
          <w:lang w:eastAsia="en-GB"/>
        </w:rPr>
        <w:t>e</w:t>
      </w:r>
      <w:r w:rsidRPr="000A3783">
        <w:rPr>
          <w:rFonts w:cs="Arial"/>
          <w:color w:val="000000"/>
          <w:lang w:eastAsia="en-GB"/>
        </w:rPr>
        <w:t>s</w:t>
      </w:r>
      <w:r>
        <w:rPr>
          <w:rFonts w:cs="Arial"/>
          <w:color w:val="000000"/>
          <w:lang w:eastAsia="en-GB"/>
        </w:rPr>
        <w:t> </w:t>
      </w:r>
      <w:r w:rsidRPr="000A3783">
        <w:rPr>
          <w:rFonts w:cs="Arial"/>
          <w:color w:val="000000"/>
          <w:lang w:eastAsia="en-GB"/>
        </w:rPr>
        <w:t xml:space="preserve">: </w:t>
      </w:r>
      <w:r>
        <w:rPr>
          <w:rFonts w:cs="Arial"/>
          <w:color w:val="000000"/>
          <w:lang w:eastAsia="en-GB"/>
        </w:rPr>
        <w:t xml:space="preserve">le rapport entre le </w:t>
      </w:r>
      <w:r w:rsidRPr="003A2207">
        <w:rPr>
          <w:rFonts w:cs="Arial"/>
          <w:color w:val="000000"/>
          <w:lang w:eastAsia="en-GB"/>
        </w:rPr>
        <w:t xml:space="preserve">seuil pour la nouvelle soumission </w:t>
      </w:r>
      <w:r>
        <w:rPr>
          <w:rFonts w:cs="Arial"/>
          <w:color w:val="000000"/>
          <w:lang w:eastAsia="en-GB"/>
        </w:rPr>
        <w:t>et le refus</w:t>
      </w:r>
      <w:r w:rsidRPr="000A3783">
        <w:rPr>
          <w:rFonts w:cs="Arial"/>
          <w:color w:val="000000"/>
          <w:lang w:eastAsia="en-GB"/>
        </w:rPr>
        <w:t>;</w:t>
      </w:r>
    </w:p>
    <w:p w:rsidR="00023109" w:rsidRDefault="00023109" w:rsidP="00BD634F">
      <w:pPr>
        <w:numPr>
          <w:ilvl w:val="0"/>
          <w:numId w:val="11"/>
        </w:numPr>
        <w:autoSpaceDE w:val="0"/>
        <w:autoSpaceDN w:val="0"/>
        <w:adjustRightInd w:val="0"/>
        <w:spacing w:after="120"/>
        <w:ind w:left="782" w:hanging="357"/>
        <w:rPr>
          <w:rFonts w:cs="Arial"/>
          <w:color w:val="000000"/>
          <w:lang w:eastAsia="en-GB"/>
        </w:rPr>
      </w:pPr>
      <w:r>
        <w:rPr>
          <w:rFonts w:cs="Arial"/>
          <w:color w:val="000000"/>
          <w:lang w:eastAsia="en-GB"/>
        </w:rPr>
        <w:t>le rapport sur les vérifications techniques déclenchées par le défaut de dépôt des semences</w:t>
      </w:r>
      <w:r w:rsidRPr="000A3783">
        <w:rPr>
          <w:rFonts w:cs="Arial"/>
          <w:color w:val="000000"/>
          <w:lang w:eastAsia="en-GB"/>
        </w:rPr>
        <w:t>;</w:t>
      </w:r>
    </w:p>
    <w:p w:rsidR="00023109" w:rsidRPr="000A3783" w:rsidRDefault="00023109" w:rsidP="00BD634F">
      <w:pPr>
        <w:numPr>
          <w:ilvl w:val="0"/>
          <w:numId w:val="11"/>
        </w:numPr>
        <w:autoSpaceDE w:val="0"/>
        <w:autoSpaceDN w:val="0"/>
        <w:adjustRightInd w:val="0"/>
        <w:spacing w:after="120"/>
        <w:ind w:left="782" w:hanging="357"/>
        <w:rPr>
          <w:rFonts w:cs="Arial"/>
          <w:color w:val="000000"/>
          <w:lang w:eastAsia="en-GB"/>
        </w:rPr>
      </w:pPr>
      <w:r>
        <w:rPr>
          <w:rFonts w:cs="Arial"/>
          <w:color w:val="000000"/>
          <w:lang w:eastAsia="en-GB"/>
        </w:rPr>
        <w:t>le p</w:t>
      </w:r>
      <w:r w:rsidRPr="003A2207">
        <w:rPr>
          <w:rFonts w:cs="Arial"/>
          <w:color w:val="000000"/>
          <w:lang w:eastAsia="en-GB"/>
        </w:rPr>
        <w:t xml:space="preserve">rincipe </w:t>
      </w:r>
      <w:r>
        <w:rPr>
          <w:rFonts w:cs="Arial"/>
          <w:color w:val="000000"/>
          <w:lang w:eastAsia="en-GB"/>
        </w:rPr>
        <w:t>“</w:t>
      </w:r>
      <w:r w:rsidRPr="003A2207">
        <w:rPr>
          <w:rFonts w:cs="Arial"/>
          <w:color w:val="000000"/>
          <w:lang w:eastAsia="en-GB"/>
        </w:rPr>
        <w:t>une clé – plusieurs portes</w:t>
      </w:r>
      <w:r>
        <w:rPr>
          <w:rFonts w:cs="Arial"/>
          <w:color w:val="000000"/>
          <w:lang w:eastAsia="en-GB"/>
        </w:rPr>
        <w:t>”</w:t>
      </w:r>
      <w:r w:rsidRPr="000A3783">
        <w:rPr>
          <w:rFonts w:cs="Arial"/>
          <w:color w:val="000000"/>
          <w:lang w:eastAsia="en-GB"/>
        </w:rPr>
        <w:t>;</w:t>
      </w:r>
    </w:p>
    <w:p w:rsidR="00023109" w:rsidRPr="000A3783" w:rsidRDefault="00023109" w:rsidP="00BD634F">
      <w:pPr>
        <w:numPr>
          <w:ilvl w:val="0"/>
          <w:numId w:val="11"/>
        </w:numPr>
        <w:autoSpaceDE w:val="0"/>
        <w:autoSpaceDN w:val="0"/>
        <w:adjustRightInd w:val="0"/>
        <w:spacing w:after="120"/>
        <w:ind w:left="782" w:hanging="357"/>
        <w:rPr>
          <w:rFonts w:cs="Arial"/>
          <w:color w:val="000000"/>
          <w:lang w:eastAsia="en-GB"/>
        </w:rPr>
      </w:pPr>
      <w:r>
        <w:rPr>
          <w:rFonts w:cs="Arial"/>
          <w:color w:val="000000"/>
          <w:lang w:eastAsia="en-GB"/>
        </w:rPr>
        <w:t>la b</w:t>
      </w:r>
      <w:r w:rsidRPr="003A2207">
        <w:rPr>
          <w:rFonts w:cs="Arial"/>
          <w:color w:val="000000"/>
          <w:lang w:eastAsia="en-GB"/>
        </w:rPr>
        <w:t>ase de données sur les pommes de terre</w:t>
      </w:r>
      <w:r w:rsidRPr="000A3783">
        <w:rPr>
          <w:rFonts w:cs="Arial"/>
          <w:color w:val="000000"/>
          <w:lang w:eastAsia="en-GB"/>
        </w:rPr>
        <w:t>;</w:t>
      </w:r>
    </w:p>
    <w:p w:rsidR="00023109" w:rsidRPr="000A3783" w:rsidRDefault="00023109" w:rsidP="00BD634F">
      <w:pPr>
        <w:numPr>
          <w:ilvl w:val="0"/>
          <w:numId w:val="11"/>
        </w:numPr>
        <w:autoSpaceDE w:val="0"/>
        <w:autoSpaceDN w:val="0"/>
        <w:adjustRightInd w:val="0"/>
        <w:spacing w:after="240"/>
        <w:rPr>
          <w:rFonts w:cs="Arial"/>
          <w:color w:val="000000"/>
          <w:lang w:eastAsia="en-GB"/>
        </w:rPr>
      </w:pPr>
      <w:r w:rsidRPr="009A6F12">
        <w:rPr>
          <w:rFonts w:cs="Arial"/>
          <w:color w:val="000000"/>
          <w:lang w:eastAsia="en-GB"/>
        </w:rPr>
        <w:t>la situation concernant les projets de recherche</w:t>
      </w:r>
      <w:r>
        <w:rPr>
          <w:rFonts w:cs="Arial"/>
          <w:color w:val="000000"/>
          <w:lang w:eastAsia="en-GB"/>
        </w:rPr>
        <w:noBreakHyphen/>
      </w:r>
      <w:r w:rsidRPr="009A6F12">
        <w:rPr>
          <w:rFonts w:cs="Arial"/>
          <w:color w:val="000000"/>
          <w:lang w:eastAsia="en-GB"/>
        </w:rPr>
        <w:t>développement en cours et futurs liés</w:t>
      </w:r>
      <w:r>
        <w:rPr>
          <w:rFonts w:cs="Arial"/>
          <w:color w:val="000000"/>
          <w:lang w:eastAsia="en-GB"/>
        </w:rPr>
        <w:t xml:space="preserve"> au secteur de l’agriculture</w:t>
      </w:r>
      <w:r w:rsidRPr="000A3783">
        <w:rPr>
          <w:rFonts w:cs="Arial"/>
          <w:color w:val="000000"/>
          <w:lang w:eastAsia="en-GB"/>
        </w:rPr>
        <w:t>.</w:t>
      </w:r>
    </w:p>
    <w:p w:rsidR="00023109" w:rsidRPr="007C0BC1" w:rsidRDefault="00023109" w:rsidP="00023109">
      <w:pPr>
        <w:spacing w:after="240"/>
        <w:ind w:left="709"/>
        <w:rPr>
          <w:rFonts w:cs="Arial"/>
          <w:bCs/>
          <w:i/>
        </w:rPr>
      </w:pPr>
      <w:r>
        <w:rPr>
          <w:rFonts w:cs="Arial"/>
          <w:bCs/>
          <w:i/>
        </w:rPr>
        <w:t>c.</w:t>
      </w:r>
      <w:r>
        <w:rPr>
          <w:rFonts w:cs="Arial"/>
          <w:bCs/>
          <w:i/>
        </w:rPr>
        <w:tab/>
      </w:r>
      <w:r w:rsidRPr="007C0BC1">
        <w:rPr>
          <w:rFonts w:cs="Arial"/>
          <w:bCs/>
          <w:i/>
        </w:rPr>
        <w:t>Réunion d’experts en plantes fruitières</w:t>
      </w:r>
    </w:p>
    <w:p w:rsidR="00023109" w:rsidRPr="000A3783" w:rsidRDefault="00023109" w:rsidP="00023109">
      <w:pPr>
        <w:autoSpaceDE w:val="0"/>
        <w:autoSpaceDN w:val="0"/>
        <w:adjustRightInd w:val="0"/>
        <w:spacing w:after="240"/>
        <w:rPr>
          <w:rFonts w:cs="Arial"/>
          <w:color w:val="000000"/>
          <w:lang w:eastAsia="en-GB"/>
        </w:rPr>
      </w:pPr>
      <w:r w:rsidRPr="00931495">
        <w:rPr>
          <w:rFonts w:cs="Arial"/>
          <w:color w:val="000000"/>
          <w:lang w:eastAsia="en-GB"/>
        </w:rPr>
        <w:t>Une réunion d</w:t>
      </w:r>
      <w:r>
        <w:rPr>
          <w:rFonts w:cs="Arial"/>
          <w:color w:val="000000"/>
          <w:lang w:eastAsia="en-GB"/>
        </w:rPr>
        <w:t>’</w:t>
      </w:r>
      <w:r w:rsidRPr="00931495">
        <w:rPr>
          <w:rFonts w:cs="Arial"/>
          <w:color w:val="000000"/>
          <w:lang w:eastAsia="en-GB"/>
        </w:rPr>
        <w:t xml:space="preserve">experts en plantes </w:t>
      </w:r>
      <w:r>
        <w:rPr>
          <w:rFonts w:cs="Arial"/>
          <w:color w:val="000000"/>
          <w:lang w:eastAsia="en-GB"/>
        </w:rPr>
        <w:t xml:space="preserve">fruitières </w:t>
      </w:r>
      <w:r w:rsidRPr="00931495">
        <w:rPr>
          <w:rFonts w:cs="Arial"/>
          <w:color w:val="000000"/>
          <w:lang w:eastAsia="en-GB"/>
        </w:rPr>
        <w:t>a eu lieu le</w:t>
      </w:r>
      <w:r>
        <w:rPr>
          <w:rFonts w:cs="Arial"/>
          <w:color w:val="000000"/>
          <w:lang w:eastAsia="en-GB"/>
        </w:rPr>
        <w:t xml:space="preserve"> 30 septembre et le 1</w:t>
      </w:r>
      <w:r w:rsidRPr="00931495">
        <w:rPr>
          <w:rFonts w:cs="Arial"/>
          <w:color w:val="000000"/>
          <w:vertAlign w:val="superscript"/>
          <w:lang w:eastAsia="en-GB"/>
        </w:rPr>
        <w:t>er</w:t>
      </w:r>
      <w:r>
        <w:rPr>
          <w:rFonts w:cs="Arial"/>
          <w:color w:val="000000"/>
          <w:lang w:eastAsia="en-GB"/>
        </w:rPr>
        <w:t xml:space="preserve"> octobre 2014 </w:t>
      </w:r>
      <w:r w:rsidRPr="00931495">
        <w:rPr>
          <w:rFonts w:cs="Arial"/>
          <w:color w:val="000000"/>
          <w:lang w:eastAsia="en-GB"/>
        </w:rPr>
        <w:t>pour débattre des points suivants</w:t>
      </w:r>
      <w:r>
        <w:rPr>
          <w:rFonts w:cs="Arial"/>
          <w:color w:val="000000"/>
          <w:lang w:eastAsia="en-GB"/>
        </w:rPr>
        <w:t> </w:t>
      </w:r>
      <w:r w:rsidRPr="000A3783">
        <w:rPr>
          <w:rFonts w:cs="Arial"/>
          <w:color w:val="000000"/>
          <w:lang w:eastAsia="en-GB"/>
        </w:rPr>
        <w:t>:</w:t>
      </w:r>
    </w:p>
    <w:p w:rsidR="00023109" w:rsidRPr="000A3783" w:rsidRDefault="00023109" w:rsidP="00BD634F">
      <w:pPr>
        <w:numPr>
          <w:ilvl w:val="0"/>
          <w:numId w:val="12"/>
        </w:numPr>
        <w:autoSpaceDE w:val="0"/>
        <w:autoSpaceDN w:val="0"/>
        <w:adjustRightInd w:val="0"/>
        <w:spacing w:after="120"/>
        <w:ind w:left="782" w:hanging="357"/>
        <w:rPr>
          <w:rFonts w:cs="Arial"/>
          <w:color w:val="000000"/>
          <w:lang w:eastAsia="en-GB"/>
        </w:rPr>
      </w:pPr>
      <w:r>
        <w:rPr>
          <w:rFonts w:cs="Arial"/>
          <w:color w:val="000000"/>
          <w:lang w:eastAsia="en-GB"/>
        </w:rPr>
        <w:t>les rapports intérimaires</w:t>
      </w:r>
      <w:r w:rsidRPr="000A3783">
        <w:rPr>
          <w:rFonts w:cs="Arial"/>
          <w:color w:val="000000"/>
          <w:lang w:eastAsia="en-GB"/>
        </w:rPr>
        <w:t xml:space="preserve"> – information</w:t>
      </w:r>
      <w:r>
        <w:rPr>
          <w:rFonts w:cs="Arial"/>
          <w:color w:val="000000"/>
          <w:lang w:eastAsia="en-GB"/>
        </w:rPr>
        <w:t>s à la rubrique des remarques</w:t>
      </w:r>
      <w:r w:rsidRPr="000A3783">
        <w:rPr>
          <w:rFonts w:cs="Arial"/>
          <w:color w:val="000000"/>
          <w:lang w:eastAsia="en-GB"/>
        </w:rPr>
        <w:t>;</w:t>
      </w:r>
    </w:p>
    <w:p w:rsidR="00023109" w:rsidRDefault="00023109" w:rsidP="00BD634F">
      <w:pPr>
        <w:numPr>
          <w:ilvl w:val="0"/>
          <w:numId w:val="12"/>
        </w:numPr>
        <w:autoSpaceDE w:val="0"/>
        <w:autoSpaceDN w:val="0"/>
        <w:adjustRightInd w:val="0"/>
        <w:spacing w:after="120"/>
        <w:ind w:left="782" w:hanging="357"/>
        <w:rPr>
          <w:rFonts w:cs="Arial"/>
          <w:color w:val="000000"/>
          <w:lang w:eastAsia="en-GB"/>
        </w:rPr>
      </w:pPr>
      <w:r>
        <w:rPr>
          <w:rFonts w:cs="Arial"/>
          <w:color w:val="000000"/>
          <w:lang w:eastAsia="en-GB"/>
        </w:rPr>
        <w:t xml:space="preserve">le rapport sur la </w:t>
      </w:r>
      <w:r w:rsidRPr="00CD102A">
        <w:rPr>
          <w:rFonts w:cs="Arial"/>
          <w:color w:val="000000"/>
          <w:lang w:eastAsia="en-GB"/>
        </w:rPr>
        <w:t xml:space="preserve">Journée portes ouvertes sur la pomme </w:t>
      </w:r>
      <w:r>
        <w:rPr>
          <w:rFonts w:cs="Arial"/>
          <w:color w:val="000000"/>
          <w:lang w:eastAsia="en-GB"/>
        </w:rPr>
        <w:t xml:space="preserve">du </w:t>
      </w:r>
      <w:r w:rsidRPr="000A3783">
        <w:rPr>
          <w:rFonts w:cs="Arial"/>
          <w:color w:val="000000"/>
          <w:lang w:eastAsia="en-GB"/>
        </w:rPr>
        <w:t>18</w:t>
      </w:r>
      <w:r>
        <w:rPr>
          <w:rFonts w:cs="Arial"/>
          <w:color w:val="000000"/>
          <w:lang w:eastAsia="en-GB"/>
        </w:rPr>
        <w:t> décembre </w:t>
      </w:r>
      <w:r w:rsidRPr="000A3783">
        <w:rPr>
          <w:rFonts w:cs="Arial"/>
          <w:color w:val="000000"/>
          <w:lang w:eastAsia="en-GB"/>
        </w:rPr>
        <w:t xml:space="preserve">2013 </w:t>
      </w:r>
      <w:r>
        <w:rPr>
          <w:rFonts w:cs="Arial"/>
          <w:color w:val="000000"/>
          <w:lang w:eastAsia="en-GB"/>
        </w:rPr>
        <w:t>et propositions concernant une suite</w:t>
      </w:r>
      <w:r w:rsidRPr="000A3783">
        <w:rPr>
          <w:rFonts w:cs="Arial"/>
          <w:color w:val="000000"/>
          <w:lang w:eastAsia="en-GB"/>
        </w:rPr>
        <w:t>;</w:t>
      </w:r>
    </w:p>
    <w:p w:rsidR="00023109" w:rsidRDefault="00023109" w:rsidP="00BD634F">
      <w:pPr>
        <w:numPr>
          <w:ilvl w:val="0"/>
          <w:numId w:val="12"/>
        </w:numPr>
        <w:autoSpaceDE w:val="0"/>
        <w:autoSpaceDN w:val="0"/>
        <w:adjustRightInd w:val="0"/>
        <w:spacing w:after="120"/>
        <w:ind w:left="782" w:hanging="357"/>
        <w:rPr>
          <w:rFonts w:cs="Arial"/>
          <w:color w:val="000000"/>
          <w:lang w:eastAsia="en-GB"/>
        </w:rPr>
      </w:pPr>
      <w:r>
        <w:rPr>
          <w:rFonts w:cs="Arial"/>
          <w:color w:val="000000"/>
          <w:lang w:eastAsia="en-GB"/>
        </w:rPr>
        <w:t>l’</w:t>
      </w:r>
      <w:r w:rsidRPr="00CD102A">
        <w:rPr>
          <w:rFonts w:cs="Arial"/>
          <w:color w:val="000000"/>
          <w:lang w:eastAsia="en-GB"/>
        </w:rPr>
        <w:t xml:space="preserve">échantillon </w:t>
      </w:r>
      <w:r>
        <w:rPr>
          <w:rFonts w:cs="Arial"/>
          <w:color w:val="000000"/>
          <w:lang w:eastAsia="en-GB"/>
        </w:rPr>
        <w:t>pour l’</w:t>
      </w:r>
      <w:r w:rsidRPr="00CD102A">
        <w:rPr>
          <w:rFonts w:cs="Arial"/>
          <w:color w:val="000000"/>
          <w:lang w:eastAsia="en-GB"/>
        </w:rPr>
        <w:t>évaluation de l</w:t>
      </w:r>
      <w:r>
        <w:rPr>
          <w:rFonts w:cs="Arial"/>
          <w:color w:val="000000"/>
          <w:lang w:eastAsia="en-GB"/>
        </w:rPr>
        <w:t>’</w:t>
      </w:r>
      <w:r w:rsidRPr="00CD102A">
        <w:rPr>
          <w:rFonts w:cs="Arial"/>
          <w:color w:val="000000"/>
          <w:lang w:eastAsia="en-GB"/>
        </w:rPr>
        <w:t>homogénéité</w:t>
      </w:r>
      <w:r w:rsidRPr="000A3783">
        <w:rPr>
          <w:rFonts w:cs="Arial"/>
          <w:color w:val="000000"/>
          <w:lang w:eastAsia="en-GB"/>
        </w:rPr>
        <w:t>;</w:t>
      </w:r>
    </w:p>
    <w:p w:rsidR="00023109" w:rsidRDefault="00023109" w:rsidP="00BD634F">
      <w:pPr>
        <w:numPr>
          <w:ilvl w:val="0"/>
          <w:numId w:val="12"/>
        </w:numPr>
        <w:autoSpaceDE w:val="0"/>
        <w:autoSpaceDN w:val="0"/>
        <w:adjustRightInd w:val="0"/>
        <w:spacing w:after="120"/>
        <w:ind w:left="782" w:hanging="357"/>
        <w:rPr>
          <w:rFonts w:cs="Arial"/>
          <w:color w:val="000000"/>
          <w:lang w:eastAsia="en-GB"/>
        </w:rPr>
      </w:pPr>
      <w:r>
        <w:rPr>
          <w:rFonts w:cs="Arial"/>
          <w:color w:val="000000"/>
          <w:lang w:eastAsia="en-GB"/>
        </w:rPr>
        <w:t>les possibilités de coopérer avec des services de l’</w:t>
      </w:r>
      <w:r w:rsidRPr="000A3783">
        <w:rPr>
          <w:rFonts w:cs="Arial"/>
          <w:color w:val="000000"/>
          <w:lang w:eastAsia="en-GB"/>
        </w:rPr>
        <w:t xml:space="preserve">UPOV </w:t>
      </w:r>
      <w:r>
        <w:rPr>
          <w:rFonts w:cs="Arial"/>
          <w:color w:val="000000"/>
          <w:lang w:eastAsia="en-GB"/>
        </w:rPr>
        <w:t>à l’étranger en échange de rapports d’examen technique</w:t>
      </w:r>
      <w:r w:rsidRPr="000A3783">
        <w:rPr>
          <w:rFonts w:cs="Arial"/>
          <w:color w:val="000000"/>
          <w:lang w:eastAsia="en-GB"/>
        </w:rPr>
        <w:t>;</w:t>
      </w:r>
    </w:p>
    <w:p w:rsidR="00023109" w:rsidRDefault="00023109" w:rsidP="00BD634F">
      <w:pPr>
        <w:numPr>
          <w:ilvl w:val="0"/>
          <w:numId w:val="12"/>
        </w:numPr>
        <w:autoSpaceDE w:val="0"/>
        <w:autoSpaceDN w:val="0"/>
        <w:adjustRightInd w:val="0"/>
        <w:spacing w:after="120"/>
        <w:ind w:left="782" w:hanging="357"/>
        <w:rPr>
          <w:rFonts w:cs="Arial"/>
          <w:color w:val="000000"/>
          <w:lang w:eastAsia="en-GB"/>
        </w:rPr>
      </w:pPr>
      <w:r>
        <w:rPr>
          <w:rFonts w:cs="Arial"/>
          <w:color w:val="000000"/>
          <w:lang w:eastAsia="en-GB"/>
        </w:rPr>
        <w:t xml:space="preserve">la </w:t>
      </w:r>
      <w:r w:rsidRPr="000A3783">
        <w:rPr>
          <w:rFonts w:cs="Arial"/>
          <w:color w:val="000000"/>
          <w:lang w:eastAsia="en-GB"/>
        </w:rPr>
        <w:t>n</w:t>
      </w:r>
      <w:r>
        <w:rPr>
          <w:rFonts w:cs="Arial"/>
          <w:color w:val="000000"/>
          <w:lang w:eastAsia="en-GB"/>
        </w:rPr>
        <w:t>écessité de disposer d’une collection vivante pour les petites espèces dans le secteur des plantes fruitières</w:t>
      </w:r>
      <w:r w:rsidRPr="000A3783">
        <w:rPr>
          <w:rFonts w:cs="Arial"/>
          <w:color w:val="000000"/>
          <w:lang w:eastAsia="en-GB"/>
        </w:rPr>
        <w:t>;</w:t>
      </w:r>
    </w:p>
    <w:p w:rsidR="00023109" w:rsidRDefault="00023109" w:rsidP="00BD634F">
      <w:pPr>
        <w:numPr>
          <w:ilvl w:val="0"/>
          <w:numId w:val="12"/>
        </w:numPr>
        <w:autoSpaceDE w:val="0"/>
        <w:autoSpaceDN w:val="0"/>
        <w:adjustRightInd w:val="0"/>
        <w:spacing w:after="120"/>
        <w:ind w:left="782" w:hanging="357"/>
        <w:rPr>
          <w:rFonts w:cs="Arial"/>
          <w:color w:val="000000"/>
          <w:lang w:eastAsia="en-GB"/>
        </w:rPr>
      </w:pPr>
      <w:r>
        <w:rPr>
          <w:rFonts w:cs="Arial"/>
          <w:color w:val="000000"/>
          <w:lang w:eastAsia="en-GB"/>
        </w:rPr>
        <w:t>les essais se déroulant sur l’exploitation de l’obtenteur</w:t>
      </w:r>
      <w:r w:rsidRPr="000A3783">
        <w:rPr>
          <w:rFonts w:cs="Arial"/>
          <w:color w:val="000000"/>
          <w:lang w:eastAsia="en-GB"/>
        </w:rPr>
        <w:t>;</w:t>
      </w:r>
    </w:p>
    <w:p w:rsidR="00023109" w:rsidRDefault="00023109" w:rsidP="00BD634F">
      <w:pPr>
        <w:numPr>
          <w:ilvl w:val="0"/>
          <w:numId w:val="12"/>
        </w:numPr>
        <w:autoSpaceDE w:val="0"/>
        <w:autoSpaceDN w:val="0"/>
        <w:adjustRightInd w:val="0"/>
        <w:spacing w:after="120"/>
        <w:ind w:left="782" w:hanging="357"/>
        <w:rPr>
          <w:rFonts w:cs="Arial"/>
          <w:color w:val="000000"/>
          <w:lang w:eastAsia="en-GB"/>
        </w:rPr>
      </w:pPr>
      <w:r>
        <w:rPr>
          <w:rFonts w:cs="Arial"/>
          <w:color w:val="000000"/>
          <w:lang w:eastAsia="en-GB"/>
        </w:rPr>
        <w:t xml:space="preserve">l’échange de vues sur la nécessité de procéder à la </w:t>
      </w:r>
      <w:r w:rsidRPr="004B278E">
        <w:rPr>
          <w:rFonts w:cs="Arial"/>
          <w:color w:val="000000"/>
          <w:lang w:eastAsia="en-GB"/>
        </w:rPr>
        <w:t xml:space="preserve">révision partielle du protocole </w:t>
      </w:r>
      <w:r>
        <w:rPr>
          <w:rFonts w:cs="Arial"/>
          <w:color w:val="000000"/>
          <w:lang w:eastAsia="en-GB"/>
        </w:rPr>
        <w:t xml:space="preserve">de l’OCVV sur la mandarine, prenant en considération les </w:t>
      </w:r>
      <w:r w:rsidRPr="004B278E">
        <w:rPr>
          <w:rFonts w:cs="Arial"/>
          <w:color w:val="000000"/>
          <w:lang w:eastAsia="en-GB"/>
        </w:rPr>
        <w:t>faits nouveaux intervenus</w:t>
      </w:r>
      <w:r w:rsidRPr="000A3783">
        <w:rPr>
          <w:rFonts w:cs="Arial"/>
          <w:color w:val="000000"/>
          <w:lang w:eastAsia="en-GB"/>
        </w:rPr>
        <w:t xml:space="preserve"> </w:t>
      </w:r>
      <w:r>
        <w:rPr>
          <w:rFonts w:cs="Arial"/>
          <w:color w:val="000000"/>
          <w:lang w:eastAsia="en-GB"/>
        </w:rPr>
        <w:t>au sein du groupe de travail technique de l’</w:t>
      </w:r>
      <w:r w:rsidRPr="000A3783">
        <w:rPr>
          <w:rFonts w:cs="Arial"/>
          <w:color w:val="000000"/>
          <w:lang w:eastAsia="en-GB"/>
        </w:rPr>
        <w:t>UPOV;</w:t>
      </w:r>
    </w:p>
    <w:p w:rsidR="00023109" w:rsidRDefault="00023109" w:rsidP="00BD634F">
      <w:pPr>
        <w:numPr>
          <w:ilvl w:val="0"/>
          <w:numId w:val="12"/>
        </w:numPr>
        <w:autoSpaceDE w:val="0"/>
        <w:autoSpaceDN w:val="0"/>
        <w:adjustRightInd w:val="0"/>
        <w:spacing w:after="120"/>
        <w:ind w:left="782" w:hanging="357"/>
        <w:rPr>
          <w:rFonts w:cs="Arial"/>
          <w:color w:val="000000"/>
          <w:lang w:eastAsia="en-GB"/>
        </w:rPr>
      </w:pPr>
      <w:r>
        <w:rPr>
          <w:rFonts w:cs="Arial"/>
          <w:color w:val="000000"/>
          <w:lang w:eastAsia="en-GB"/>
        </w:rPr>
        <w:t>l’âge des plantes</w:t>
      </w:r>
      <w:r w:rsidRPr="000A3783">
        <w:rPr>
          <w:rFonts w:cs="Arial"/>
          <w:color w:val="000000"/>
          <w:lang w:eastAsia="en-GB"/>
        </w:rPr>
        <w:t xml:space="preserve"> </w:t>
      </w:r>
      <w:r>
        <w:rPr>
          <w:rFonts w:cs="Arial"/>
          <w:color w:val="000000"/>
          <w:lang w:eastAsia="en-GB"/>
        </w:rPr>
        <w:t xml:space="preserve">et la </w:t>
      </w:r>
      <w:r w:rsidRPr="00032199">
        <w:rPr>
          <w:rFonts w:cs="Arial"/>
          <w:color w:val="000000"/>
          <w:lang w:eastAsia="en-GB"/>
        </w:rPr>
        <w:t>comparaison deux</w:t>
      </w:r>
      <w:r>
        <w:rPr>
          <w:rFonts w:cs="Arial"/>
          <w:color w:val="000000"/>
          <w:lang w:eastAsia="en-GB"/>
        </w:rPr>
        <w:t> </w:t>
      </w:r>
      <w:r w:rsidRPr="00032199">
        <w:rPr>
          <w:rFonts w:cs="Arial"/>
          <w:color w:val="000000"/>
          <w:lang w:eastAsia="en-GB"/>
        </w:rPr>
        <w:t>à deux</w:t>
      </w:r>
      <w:r>
        <w:rPr>
          <w:rFonts w:cs="Arial"/>
          <w:color w:val="000000"/>
          <w:lang w:eastAsia="en-GB"/>
        </w:rPr>
        <w:t> dans le cadre de l’examen technique des variétés fruitières</w:t>
      </w:r>
      <w:r w:rsidRPr="000A3783">
        <w:rPr>
          <w:rFonts w:cs="Arial"/>
          <w:color w:val="000000"/>
          <w:lang w:eastAsia="en-GB"/>
        </w:rPr>
        <w:t>;</w:t>
      </w:r>
    </w:p>
    <w:p w:rsidR="00023109" w:rsidRPr="000A3783" w:rsidRDefault="00023109" w:rsidP="00BD634F">
      <w:pPr>
        <w:numPr>
          <w:ilvl w:val="0"/>
          <w:numId w:val="12"/>
        </w:numPr>
        <w:autoSpaceDE w:val="0"/>
        <w:autoSpaceDN w:val="0"/>
        <w:adjustRightInd w:val="0"/>
        <w:spacing w:after="120"/>
        <w:ind w:left="782" w:hanging="357"/>
        <w:rPr>
          <w:rFonts w:cs="Arial"/>
          <w:color w:val="000000"/>
          <w:lang w:eastAsia="en-GB"/>
        </w:rPr>
      </w:pPr>
      <w:r w:rsidRPr="000E27CD">
        <w:rPr>
          <w:rFonts w:cs="Arial"/>
          <w:color w:val="000000"/>
          <w:lang w:eastAsia="en-GB"/>
        </w:rPr>
        <w:t xml:space="preserve">les </w:t>
      </w:r>
      <w:r w:rsidRPr="00125CE0">
        <w:rPr>
          <w:rFonts w:cs="Arial"/>
          <w:color w:val="000000"/>
          <w:lang w:eastAsia="en-GB"/>
        </w:rPr>
        <w:t>prescriptions phytosanitaires</w:t>
      </w:r>
      <w:r w:rsidRPr="000A3783">
        <w:rPr>
          <w:rFonts w:cs="Arial"/>
          <w:color w:val="000000"/>
          <w:lang w:eastAsia="en-GB"/>
        </w:rPr>
        <w:t>;</w:t>
      </w:r>
    </w:p>
    <w:p w:rsidR="00023109" w:rsidRPr="000A3783" w:rsidRDefault="00023109" w:rsidP="00BD634F">
      <w:pPr>
        <w:numPr>
          <w:ilvl w:val="0"/>
          <w:numId w:val="12"/>
        </w:numPr>
        <w:autoSpaceDE w:val="0"/>
        <w:autoSpaceDN w:val="0"/>
        <w:adjustRightInd w:val="0"/>
        <w:spacing w:after="240"/>
        <w:rPr>
          <w:rFonts w:cs="Arial"/>
          <w:color w:val="000000"/>
          <w:lang w:eastAsia="en-GB"/>
        </w:rPr>
      </w:pPr>
      <w:r>
        <w:rPr>
          <w:rFonts w:cs="Arial"/>
          <w:color w:val="000000"/>
          <w:lang w:eastAsia="en-GB"/>
        </w:rPr>
        <w:t>le suivi du projet de recherche</w:t>
      </w:r>
      <w:r>
        <w:rPr>
          <w:rFonts w:cs="Arial"/>
          <w:color w:val="000000"/>
          <w:lang w:eastAsia="en-GB"/>
        </w:rPr>
        <w:noBreakHyphen/>
        <w:t>développement concernant la</w:t>
      </w:r>
      <w:r w:rsidRPr="000A3783">
        <w:rPr>
          <w:rFonts w:cs="Arial"/>
          <w:color w:val="000000"/>
          <w:lang w:eastAsia="en-GB"/>
        </w:rPr>
        <w:t xml:space="preserve"> “</w:t>
      </w:r>
      <w:r w:rsidRPr="007D3AE1">
        <w:rPr>
          <w:rFonts w:cs="Arial"/>
          <w:color w:val="000000"/>
          <w:lang w:eastAsia="en-GB"/>
        </w:rPr>
        <w:t>Réduction du nombre de périodes d</w:t>
      </w:r>
      <w:r>
        <w:rPr>
          <w:rFonts w:cs="Arial"/>
          <w:color w:val="000000"/>
          <w:lang w:eastAsia="en-GB"/>
        </w:rPr>
        <w:t>’</w:t>
      </w:r>
      <w:r w:rsidRPr="007D3AE1">
        <w:rPr>
          <w:rFonts w:cs="Arial"/>
          <w:color w:val="000000"/>
          <w:lang w:eastAsia="en-GB"/>
        </w:rPr>
        <w:t>observation obligatoires dans l</w:t>
      </w:r>
      <w:r>
        <w:rPr>
          <w:rFonts w:cs="Arial"/>
          <w:color w:val="000000"/>
          <w:lang w:eastAsia="en-GB"/>
        </w:rPr>
        <w:t>’</w:t>
      </w:r>
      <w:r w:rsidRPr="007D3AE1">
        <w:rPr>
          <w:rFonts w:cs="Arial"/>
          <w:color w:val="000000"/>
          <w:lang w:eastAsia="en-GB"/>
        </w:rPr>
        <w:t>examen</w:t>
      </w:r>
      <w:r>
        <w:rPr>
          <w:rFonts w:cs="Arial"/>
          <w:color w:val="000000"/>
          <w:lang w:eastAsia="en-GB"/>
        </w:rPr>
        <w:t> </w:t>
      </w:r>
      <w:r w:rsidRPr="007D3AE1">
        <w:rPr>
          <w:rFonts w:cs="Arial"/>
          <w:color w:val="000000"/>
          <w:lang w:eastAsia="en-GB"/>
        </w:rPr>
        <w:t>DHS de variétés candidates dans le secteur des plantes fruitières</w:t>
      </w:r>
      <w:r w:rsidRPr="000A3783">
        <w:rPr>
          <w:rFonts w:cs="Arial"/>
          <w:color w:val="000000"/>
          <w:lang w:eastAsia="en-GB"/>
        </w:rPr>
        <w:t>”.</w:t>
      </w:r>
    </w:p>
    <w:p w:rsidR="00023109" w:rsidRPr="007C0BC1" w:rsidRDefault="00023109" w:rsidP="00023109">
      <w:pPr>
        <w:keepNext/>
        <w:keepLines/>
        <w:spacing w:after="240"/>
        <w:ind w:left="709"/>
        <w:rPr>
          <w:rFonts w:cs="Arial"/>
          <w:bCs/>
          <w:i/>
        </w:rPr>
      </w:pPr>
      <w:r w:rsidRPr="007C0BC1">
        <w:rPr>
          <w:rFonts w:cs="Arial"/>
          <w:bCs/>
          <w:i/>
        </w:rPr>
        <w:t>d.</w:t>
      </w:r>
      <w:r>
        <w:rPr>
          <w:rFonts w:cs="Arial"/>
          <w:bCs/>
          <w:i/>
        </w:rPr>
        <w:tab/>
      </w:r>
      <w:r w:rsidRPr="007C0BC1">
        <w:rPr>
          <w:rFonts w:cs="Arial"/>
          <w:bCs/>
          <w:i/>
        </w:rPr>
        <w:t>Réunion des experts en plantes ornementales</w:t>
      </w:r>
    </w:p>
    <w:p w:rsidR="00023109" w:rsidRPr="000A3783" w:rsidRDefault="00023109" w:rsidP="00023109">
      <w:pPr>
        <w:keepNext/>
        <w:keepLines/>
        <w:autoSpaceDE w:val="0"/>
        <w:autoSpaceDN w:val="0"/>
        <w:adjustRightInd w:val="0"/>
        <w:spacing w:after="240"/>
        <w:ind w:left="63"/>
        <w:rPr>
          <w:rFonts w:cs="Arial"/>
          <w:color w:val="000000"/>
          <w:lang w:eastAsia="en-GB"/>
        </w:rPr>
      </w:pPr>
      <w:r w:rsidRPr="0059165E">
        <w:rPr>
          <w:rFonts w:cs="Arial"/>
          <w:color w:val="000000"/>
          <w:lang w:eastAsia="en-GB"/>
        </w:rPr>
        <w:t>Une réunion des experts en plantes ornementales a eu lieu les 23 et 24</w:t>
      </w:r>
      <w:r>
        <w:rPr>
          <w:rFonts w:cs="Arial"/>
          <w:color w:val="000000"/>
          <w:lang w:eastAsia="en-GB"/>
        </w:rPr>
        <w:t> </w:t>
      </w:r>
      <w:r w:rsidRPr="0059165E">
        <w:rPr>
          <w:rFonts w:cs="Arial"/>
          <w:color w:val="000000"/>
          <w:lang w:eastAsia="en-GB"/>
        </w:rPr>
        <w:t>septembre</w:t>
      </w:r>
      <w:r>
        <w:rPr>
          <w:rFonts w:cs="Arial"/>
          <w:color w:val="000000"/>
          <w:lang w:eastAsia="en-GB"/>
        </w:rPr>
        <w:t> </w:t>
      </w:r>
      <w:r w:rsidRPr="0059165E">
        <w:rPr>
          <w:rFonts w:cs="Arial"/>
          <w:color w:val="000000"/>
          <w:lang w:eastAsia="en-GB"/>
        </w:rPr>
        <w:t>2014 pour débattre des points suivants</w:t>
      </w:r>
      <w:r>
        <w:rPr>
          <w:rFonts w:cs="Arial"/>
          <w:color w:val="000000"/>
          <w:lang w:eastAsia="en-GB"/>
        </w:rPr>
        <w:t> </w:t>
      </w:r>
      <w:r w:rsidRPr="000A3783">
        <w:rPr>
          <w:rFonts w:cs="Arial"/>
          <w:color w:val="000000"/>
          <w:lang w:eastAsia="en-GB"/>
        </w:rPr>
        <w:t>:</w:t>
      </w:r>
    </w:p>
    <w:p w:rsidR="00023109" w:rsidRPr="000A3783" w:rsidRDefault="00023109" w:rsidP="00BD634F">
      <w:pPr>
        <w:keepNext/>
        <w:keepLines/>
        <w:numPr>
          <w:ilvl w:val="0"/>
          <w:numId w:val="13"/>
        </w:numPr>
        <w:autoSpaceDE w:val="0"/>
        <w:autoSpaceDN w:val="0"/>
        <w:adjustRightInd w:val="0"/>
        <w:spacing w:after="120"/>
        <w:ind w:left="782" w:hanging="357"/>
        <w:rPr>
          <w:rFonts w:cs="Arial"/>
          <w:color w:val="000000"/>
          <w:lang w:eastAsia="en-GB"/>
        </w:rPr>
      </w:pPr>
      <w:r>
        <w:rPr>
          <w:rFonts w:cs="Arial"/>
          <w:color w:val="000000"/>
          <w:lang w:eastAsia="en-GB"/>
        </w:rPr>
        <w:t>la centralisation pour les petites espèces</w:t>
      </w:r>
      <w:r w:rsidRPr="000A3783">
        <w:rPr>
          <w:rFonts w:cs="Arial"/>
          <w:color w:val="000000"/>
          <w:lang w:eastAsia="en-GB"/>
        </w:rPr>
        <w:t>;</w:t>
      </w:r>
    </w:p>
    <w:p w:rsidR="00023109" w:rsidRPr="000A3783" w:rsidRDefault="00023109" w:rsidP="00BD634F">
      <w:pPr>
        <w:numPr>
          <w:ilvl w:val="0"/>
          <w:numId w:val="13"/>
        </w:numPr>
        <w:autoSpaceDE w:val="0"/>
        <w:autoSpaceDN w:val="0"/>
        <w:adjustRightInd w:val="0"/>
        <w:spacing w:after="120"/>
        <w:ind w:left="782" w:hanging="357"/>
        <w:rPr>
          <w:rFonts w:cs="Arial"/>
          <w:color w:val="000000"/>
          <w:lang w:eastAsia="en-GB"/>
        </w:rPr>
      </w:pPr>
      <w:r>
        <w:rPr>
          <w:rFonts w:cs="Arial"/>
          <w:color w:val="000000"/>
          <w:lang w:eastAsia="en-GB"/>
        </w:rPr>
        <w:t>la proposition visant à l’adaptation des remarques générales portant sur le dépôt d’échantillons aux fins d’applications ornementales</w:t>
      </w:r>
      <w:r w:rsidRPr="000A3783">
        <w:rPr>
          <w:rFonts w:cs="Arial"/>
          <w:color w:val="000000"/>
          <w:lang w:eastAsia="en-GB"/>
        </w:rPr>
        <w:t>;</w:t>
      </w:r>
    </w:p>
    <w:p w:rsidR="00023109" w:rsidRPr="000A3783" w:rsidRDefault="00023109" w:rsidP="00BD634F">
      <w:pPr>
        <w:numPr>
          <w:ilvl w:val="0"/>
          <w:numId w:val="13"/>
        </w:numPr>
        <w:autoSpaceDE w:val="0"/>
        <w:autoSpaceDN w:val="0"/>
        <w:adjustRightInd w:val="0"/>
        <w:spacing w:after="120"/>
        <w:ind w:left="782" w:hanging="357"/>
        <w:rPr>
          <w:rFonts w:cs="Arial"/>
          <w:color w:val="000000"/>
          <w:lang w:eastAsia="en-GB"/>
        </w:rPr>
      </w:pPr>
      <w:r>
        <w:rPr>
          <w:rFonts w:cs="Arial"/>
          <w:color w:val="000000"/>
          <w:lang w:eastAsia="en-GB"/>
        </w:rPr>
        <w:t xml:space="preserve">les problèmes liés au dépôt de matériel végétal </w:t>
      </w:r>
      <w:r w:rsidRPr="00125CE0">
        <w:rPr>
          <w:rFonts w:cs="Arial"/>
          <w:color w:val="000000"/>
          <w:lang w:eastAsia="en-GB"/>
        </w:rPr>
        <w:t xml:space="preserve">ne provenant pas de </w:t>
      </w:r>
      <w:r>
        <w:rPr>
          <w:rFonts w:cs="Arial"/>
          <w:color w:val="000000"/>
          <w:lang w:eastAsia="en-GB"/>
        </w:rPr>
        <w:t>l’Union européenne</w:t>
      </w:r>
      <w:r w:rsidRPr="000A3783">
        <w:rPr>
          <w:rFonts w:cs="Arial"/>
          <w:color w:val="000000"/>
          <w:lang w:eastAsia="en-GB"/>
        </w:rPr>
        <w:t xml:space="preserve">, </w:t>
      </w:r>
      <w:r>
        <w:rPr>
          <w:rFonts w:cs="Arial"/>
          <w:color w:val="000000"/>
          <w:lang w:eastAsia="en-GB"/>
        </w:rPr>
        <w:t>l’échange de données d’</w:t>
      </w:r>
      <w:r w:rsidRPr="000A3783">
        <w:rPr>
          <w:rFonts w:cs="Arial"/>
          <w:color w:val="000000"/>
          <w:lang w:eastAsia="en-GB"/>
        </w:rPr>
        <w:t>exp</w:t>
      </w:r>
      <w:r>
        <w:rPr>
          <w:rFonts w:cs="Arial"/>
          <w:color w:val="000000"/>
          <w:lang w:eastAsia="en-GB"/>
        </w:rPr>
        <w:t>é</w:t>
      </w:r>
      <w:r w:rsidRPr="000A3783">
        <w:rPr>
          <w:rFonts w:cs="Arial"/>
          <w:color w:val="000000"/>
          <w:lang w:eastAsia="en-GB"/>
        </w:rPr>
        <w:t xml:space="preserve">rience, </w:t>
      </w:r>
      <w:r>
        <w:rPr>
          <w:rFonts w:cs="Arial"/>
          <w:color w:val="000000"/>
          <w:lang w:eastAsia="en-GB"/>
        </w:rPr>
        <w:t>la nécessité de s’adapter aux prescriptions générales relatives au dépôt</w:t>
      </w:r>
      <w:r w:rsidRPr="000A3783">
        <w:rPr>
          <w:rFonts w:cs="Arial"/>
          <w:color w:val="000000"/>
          <w:lang w:eastAsia="en-GB"/>
        </w:rPr>
        <w:t>;</w:t>
      </w:r>
    </w:p>
    <w:p w:rsidR="00023109" w:rsidRPr="000A3783" w:rsidRDefault="00023109" w:rsidP="00BD634F">
      <w:pPr>
        <w:numPr>
          <w:ilvl w:val="0"/>
          <w:numId w:val="13"/>
        </w:numPr>
        <w:autoSpaceDE w:val="0"/>
        <w:autoSpaceDN w:val="0"/>
        <w:adjustRightInd w:val="0"/>
        <w:spacing w:after="120"/>
        <w:ind w:left="782" w:hanging="357"/>
        <w:rPr>
          <w:rFonts w:cs="Arial"/>
          <w:color w:val="000000"/>
          <w:lang w:eastAsia="en-GB"/>
        </w:rPr>
      </w:pPr>
      <w:r>
        <w:rPr>
          <w:rFonts w:cs="Arial"/>
          <w:color w:val="000000"/>
          <w:lang w:eastAsia="en-GB"/>
        </w:rPr>
        <w:t>l’état d’avancement du rapport concernant les caractères additionnels récemment acceptés dans le secteur des plantes ornementales</w:t>
      </w:r>
      <w:r w:rsidRPr="000A3783">
        <w:rPr>
          <w:rFonts w:cs="Arial"/>
          <w:color w:val="000000"/>
          <w:lang w:eastAsia="en-GB"/>
        </w:rPr>
        <w:t>;</w:t>
      </w:r>
    </w:p>
    <w:p w:rsidR="00023109" w:rsidRDefault="00023109" w:rsidP="00BD634F">
      <w:pPr>
        <w:numPr>
          <w:ilvl w:val="0"/>
          <w:numId w:val="13"/>
        </w:numPr>
        <w:autoSpaceDE w:val="0"/>
        <w:autoSpaceDN w:val="0"/>
        <w:adjustRightInd w:val="0"/>
        <w:spacing w:after="120"/>
        <w:ind w:left="782" w:hanging="357"/>
        <w:rPr>
          <w:rFonts w:cs="Arial"/>
          <w:color w:val="000000"/>
          <w:lang w:eastAsia="en-GB"/>
        </w:rPr>
      </w:pPr>
      <w:r>
        <w:rPr>
          <w:rFonts w:cs="Arial"/>
          <w:color w:val="000000"/>
          <w:lang w:eastAsia="en-GB"/>
        </w:rPr>
        <w:t xml:space="preserve">la </w:t>
      </w:r>
      <w:r w:rsidRPr="000A3783">
        <w:rPr>
          <w:rFonts w:cs="Arial"/>
          <w:color w:val="000000"/>
          <w:lang w:eastAsia="en-GB"/>
        </w:rPr>
        <w:t>pr</w:t>
      </w:r>
      <w:r>
        <w:rPr>
          <w:rFonts w:cs="Arial"/>
          <w:color w:val="000000"/>
          <w:lang w:eastAsia="en-GB"/>
        </w:rPr>
        <w:t>é</w:t>
      </w:r>
      <w:r w:rsidRPr="000A3783">
        <w:rPr>
          <w:rFonts w:cs="Arial"/>
          <w:color w:val="000000"/>
          <w:lang w:eastAsia="en-GB"/>
        </w:rPr>
        <w:t xml:space="preserve">sentation </w:t>
      </w:r>
      <w:r>
        <w:rPr>
          <w:rFonts w:cs="Arial"/>
          <w:color w:val="000000"/>
          <w:lang w:eastAsia="en-GB"/>
        </w:rPr>
        <w:t xml:space="preserve">de l’informatisation de la procédure se rapportant aux nouvelles espèces et le retour d’information des </w:t>
      </w:r>
      <w:r w:rsidRPr="00983A9B">
        <w:rPr>
          <w:rFonts w:cs="Arial"/>
          <w:color w:val="000000"/>
          <w:lang w:eastAsia="en-GB"/>
        </w:rPr>
        <w:t>bureaux extérieurs</w:t>
      </w:r>
      <w:r>
        <w:rPr>
          <w:rFonts w:cs="Arial"/>
          <w:color w:val="000000"/>
          <w:lang w:eastAsia="en-GB"/>
        </w:rPr>
        <w:t xml:space="preserve"> faisant suite à la première procédure</w:t>
      </w:r>
      <w:r w:rsidRPr="000A3783">
        <w:rPr>
          <w:rFonts w:cs="Arial"/>
          <w:color w:val="000000"/>
          <w:lang w:eastAsia="en-GB"/>
        </w:rPr>
        <w:t>;</w:t>
      </w:r>
    </w:p>
    <w:p w:rsidR="00023109" w:rsidRPr="000A3783" w:rsidRDefault="00023109" w:rsidP="00BD634F">
      <w:pPr>
        <w:numPr>
          <w:ilvl w:val="0"/>
          <w:numId w:val="13"/>
        </w:numPr>
        <w:autoSpaceDE w:val="0"/>
        <w:autoSpaceDN w:val="0"/>
        <w:adjustRightInd w:val="0"/>
        <w:spacing w:after="240"/>
        <w:rPr>
          <w:rFonts w:cs="Arial"/>
          <w:color w:val="000000"/>
          <w:lang w:eastAsia="en-GB"/>
        </w:rPr>
      </w:pPr>
      <w:r>
        <w:rPr>
          <w:rFonts w:cs="Arial"/>
          <w:color w:val="000000"/>
          <w:lang w:eastAsia="en-GB"/>
        </w:rPr>
        <w:t>la lisibilité du questionnaire technique et du formulaire de demande en ligne du point de vue de l’examinateur</w:t>
      </w:r>
      <w:r w:rsidRPr="000A3783">
        <w:rPr>
          <w:rFonts w:cs="Arial"/>
          <w:color w:val="000000"/>
          <w:lang w:eastAsia="en-GB"/>
        </w:rPr>
        <w:t>.</w:t>
      </w:r>
    </w:p>
    <w:p w:rsidR="00023109" w:rsidRPr="000A3783" w:rsidRDefault="00023109" w:rsidP="00023109">
      <w:pPr>
        <w:autoSpaceDE w:val="0"/>
        <w:autoSpaceDN w:val="0"/>
        <w:adjustRightInd w:val="0"/>
        <w:spacing w:after="240"/>
        <w:rPr>
          <w:rFonts w:cs="Arial"/>
          <w:color w:val="000000"/>
          <w:lang w:eastAsia="en-GB"/>
        </w:rPr>
      </w:pPr>
      <w:r>
        <w:rPr>
          <w:rFonts w:cs="Arial"/>
          <w:color w:val="000000"/>
          <w:lang w:eastAsia="en-GB"/>
        </w:rPr>
        <w:t xml:space="preserve">L’OCVV a accueilli </w:t>
      </w:r>
      <w:r w:rsidRPr="00983A9B">
        <w:rPr>
          <w:rFonts w:cs="Arial"/>
          <w:color w:val="000000"/>
          <w:lang w:eastAsia="en-GB"/>
        </w:rPr>
        <w:t>la quarante</w:t>
      </w:r>
      <w:r>
        <w:rPr>
          <w:rFonts w:cs="Arial"/>
          <w:color w:val="000000"/>
          <w:lang w:eastAsia="en-GB"/>
        </w:rPr>
        <w:noBreakHyphen/>
        <w:t>n</w:t>
      </w:r>
      <w:r w:rsidRPr="00983A9B">
        <w:rPr>
          <w:rFonts w:cs="Arial"/>
          <w:color w:val="000000"/>
          <w:lang w:eastAsia="en-GB"/>
        </w:rPr>
        <w:t>eu</w:t>
      </w:r>
      <w:r>
        <w:rPr>
          <w:rFonts w:cs="Arial"/>
          <w:color w:val="000000"/>
          <w:lang w:eastAsia="en-GB"/>
        </w:rPr>
        <w:t>v</w:t>
      </w:r>
      <w:r w:rsidRPr="00983A9B">
        <w:rPr>
          <w:rFonts w:cs="Arial"/>
          <w:color w:val="000000"/>
          <w:lang w:eastAsia="en-GB"/>
        </w:rPr>
        <w:t xml:space="preserve">ième session du Groupe de travail technique </w:t>
      </w:r>
      <w:r>
        <w:rPr>
          <w:rFonts w:cs="Arial"/>
          <w:color w:val="000000"/>
          <w:lang w:eastAsia="en-GB"/>
        </w:rPr>
        <w:t xml:space="preserve">de l’UPOV </w:t>
      </w:r>
      <w:r w:rsidRPr="00983A9B">
        <w:rPr>
          <w:rFonts w:cs="Arial"/>
          <w:color w:val="000000"/>
          <w:lang w:eastAsia="en-GB"/>
        </w:rPr>
        <w:t>sur les plantes potagères (TWV/49)</w:t>
      </w:r>
      <w:r>
        <w:rPr>
          <w:rFonts w:cs="Arial"/>
          <w:color w:val="000000"/>
          <w:lang w:eastAsia="en-GB"/>
        </w:rPr>
        <w:t xml:space="preserve"> à Angers du 15 au </w:t>
      </w:r>
      <w:r w:rsidRPr="000A3783">
        <w:rPr>
          <w:rFonts w:cs="Arial"/>
        </w:rPr>
        <w:t>19</w:t>
      </w:r>
      <w:r>
        <w:rPr>
          <w:rFonts w:cs="Arial"/>
        </w:rPr>
        <w:t> juin </w:t>
      </w:r>
      <w:r w:rsidRPr="000A3783">
        <w:rPr>
          <w:rFonts w:cs="Arial"/>
        </w:rPr>
        <w:t xml:space="preserve">2015. </w:t>
      </w:r>
      <w:r>
        <w:rPr>
          <w:rFonts w:cs="Arial"/>
        </w:rPr>
        <w:t xml:space="preserve"> L’événement a rassemblé plus de 60 </w:t>
      </w:r>
      <w:r w:rsidRPr="000A3783">
        <w:rPr>
          <w:rFonts w:cs="Arial"/>
        </w:rPr>
        <w:t xml:space="preserve">experts </w:t>
      </w:r>
      <w:r>
        <w:rPr>
          <w:rFonts w:cs="Arial"/>
        </w:rPr>
        <w:t>de différents pays</w:t>
      </w:r>
      <w:r w:rsidRPr="000A3783">
        <w:rPr>
          <w:rFonts w:cs="Arial"/>
        </w:rPr>
        <w:t>.</w:t>
      </w:r>
    </w:p>
    <w:p w:rsidR="00023109" w:rsidRPr="000A3783" w:rsidRDefault="00023109" w:rsidP="00023109">
      <w:pPr>
        <w:spacing w:after="240"/>
        <w:rPr>
          <w:rFonts w:cs="Arial"/>
          <w:u w:val="single"/>
        </w:rPr>
      </w:pPr>
      <w:r>
        <w:rPr>
          <w:rFonts w:cs="Arial"/>
          <w:i/>
          <w:u w:val="single"/>
        </w:rPr>
        <w:t>4.3</w:t>
      </w:r>
      <w:r>
        <w:rPr>
          <w:rFonts w:cs="Arial"/>
          <w:i/>
          <w:u w:val="single"/>
        </w:rPr>
        <w:tab/>
      </w:r>
      <w:r w:rsidRPr="00DD2C37">
        <w:rPr>
          <w:rFonts w:cs="Arial"/>
          <w:i/>
          <w:u w:val="single"/>
        </w:rPr>
        <w:t>Service d</w:t>
      </w:r>
      <w:r>
        <w:rPr>
          <w:rFonts w:cs="Arial"/>
          <w:i/>
          <w:u w:val="single"/>
        </w:rPr>
        <w:t>’</w:t>
      </w:r>
      <w:r w:rsidRPr="00DD2C37">
        <w:rPr>
          <w:rFonts w:cs="Arial"/>
          <w:i/>
          <w:u w:val="single"/>
        </w:rPr>
        <w:t>audit qualité</w:t>
      </w:r>
    </w:p>
    <w:p w:rsidR="00023109" w:rsidRDefault="00023109" w:rsidP="00023109">
      <w:pPr>
        <w:spacing w:after="240"/>
        <w:rPr>
          <w:rFonts w:cs="Arial"/>
        </w:rPr>
      </w:pPr>
      <w:r w:rsidRPr="00E96751">
        <w:rPr>
          <w:rFonts w:cs="Arial"/>
        </w:rPr>
        <w:t>Dans le cadre du programme d</w:t>
      </w:r>
      <w:r>
        <w:rPr>
          <w:rFonts w:cs="Arial"/>
        </w:rPr>
        <w:t>’</w:t>
      </w:r>
      <w:r w:rsidRPr="00E96751">
        <w:rPr>
          <w:rFonts w:cs="Arial"/>
        </w:rPr>
        <w:t>évaluation de l</w:t>
      </w:r>
      <w:r>
        <w:rPr>
          <w:rFonts w:cs="Arial"/>
        </w:rPr>
        <w:t>’</w:t>
      </w:r>
      <w:r w:rsidRPr="00E96751">
        <w:rPr>
          <w:rFonts w:cs="Arial"/>
        </w:rPr>
        <w:t xml:space="preserve">OCVV, 12 </w:t>
      </w:r>
      <w:r>
        <w:rPr>
          <w:rFonts w:cs="Arial"/>
        </w:rPr>
        <w:t>centres</w:t>
      </w:r>
      <w:r w:rsidRPr="00E96751">
        <w:rPr>
          <w:rFonts w:cs="Arial"/>
        </w:rPr>
        <w:t xml:space="preserve"> d</w:t>
      </w:r>
      <w:r>
        <w:rPr>
          <w:rFonts w:cs="Arial"/>
        </w:rPr>
        <w:t>’</w:t>
      </w:r>
      <w:r w:rsidRPr="00E96751">
        <w:rPr>
          <w:rFonts w:cs="Arial"/>
        </w:rPr>
        <w:t>examen habilités ont fait l</w:t>
      </w:r>
      <w:r>
        <w:rPr>
          <w:rFonts w:cs="Arial"/>
        </w:rPr>
        <w:t>’</w:t>
      </w:r>
      <w:r w:rsidRPr="00E96751">
        <w:rPr>
          <w:rFonts w:cs="Arial"/>
        </w:rPr>
        <w:t>objet d</w:t>
      </w:r>
      <w:r>
        <w:rPr>
          <w:rFonts w:cs="Arial"/>
        </w:rPr>
        <w:t>’</w:t>
      </w:r>
      <w:r w:rsidRPr="00E96751">
        <w:rPr>
          <w:rFonts w:cs="Arial"/>
        </w:rPr>
        <w:t>un audit</w:t>
      </w:r>
      <w:r w:rsidRPr="000A3783">
        <w:rPr>
          <w:rFonts w:cs="Arial"/>
        </w:rPr>
        <w:t xml:space="preserve">. </w:t>
      </w:r>
      <w:r>
        <w:rPr>
          <w:rFonts w:cs="Arial"/>
        </w:rPr>
        <w:t xml:space="preserve"> </w:t>
      </w:r>
      <w:r w:rsidRPr="00E96751">
        <w:rPr>
          <w:rFonts w:cs="Arial"/>
        </w:rPr>
        <w:t xml:space="preserve">Ces </w:t>
      </w:r>
      <w:r>
        <w:rPr>
          <w:rFonts w:cs="Arial"/>
        </w:rPr>
        <w:t>centres</w:t>
      </w:r>
      <w:r w:rsidRPr="00E96751">
        <w:rPr>
          <w:rFonts w:cs="Arial"/>
        </w:rPr>
        <w:t xml:space="preserve"> ont été soumis à des visites d</w:t>
      </w:r>
      <w:r>
        <w:rPr>
          <w:rFonts w:cs="Arial"/>
        </w:rPr>
        <w:t>’</w:t>
      </w:r>
      <w:r w:rsidRPr="00E96751">
        <w:rPr>
          <w:rFonts w:cs="Arial"/>
        </w:rPr>
        <w:t>audit triennales régulières ainsi qu</w:t>
      </w:r>
      <w:r>
        <w:rPr>
          <w:rFonts w:cs="Arial"/>
        </w:rPr>
        <w:t>’</w:t>
      </w:r>
      <w:r w:rsidRPr="00E96751">
        <w:rPr>
          <w:rFonts w:cs="Arial"/>
        </w:rPr>
        <w:t>à de</w:t>
      </w:r>
      <w:r>
        <w:rPr>
          <w:rFonts w:cs="Arial"/>
        </w:rPr>
        <w:t>ux</w:t>
      </w:r>
      <w:r w:rsidRPr="00E96751">
        <w:rPr>
          <w:rFonts w:cs="Arial"/>
        </w:rPr>
        <w:t xml:space="preserve"> évaluations en réponse aux demandes d</w:t>
      </w:r>
      <w:r>
        <w:rPr>
          <w:rFonts w:cs="Arial"/>
        </w:rPr>
        <w:t>’</w:t>
      </w:r>
      <w:r w:rsidRPr="00E96751">
        <w:rPr>
          <w:rFonts w:cs="Arial"/>
        </w:rPr>
        <w:t>extension de la protection</w:t>
      </w:r>
      <w:r>
        <w:rPr>
          <w:rFonts w:cs="Arial"/>
        </w:rPr>
        <w:t>.</w:t>
      </w:r>
      <w:r w:rsidRPr="00E96751">
        <w:rPr>
          <w:rFonts w:cs="Arial"/>
        </w:rPr>
        <w:t xml:space="preserve"> </w:t>
      </w:r>
      <w:r w:rsidRPr="000A3783">
        <w:rPr>
          <w:rFonts w:cs="Arial"/>
        </w:rPr>
        <w:t xml:space="preserve"> </w:t>
      </w:r>
      <w:r>
        <w:rPr>
          <w:rFonts w:cs="Arial"/>
        </w:rPr>
        <w:t>Ces évaluations ont clos le deuxième cycle complet d’audit depuis le lancement du programme en </w:t>
      </w:r>
      <w:r w:rsidRPr="000A3783">
        <w:rPr>
          <w:rFonts w:cs="Arial"/>
        </w:rPr>
        <w:t>2010.</w:t>
      </w:r>
      <w:r>
        <w:rPr>
          <w:rFonts w:cs="Arial"/>
        </w:rPr>
        <w:t xml:space="preserve"> </w:t>
      </w:r>
      <w:r w:rsidRPr="000A3783">
        <w:rPr>
          <w:rFonts w:cs="Arial"/>
        </w:rPr>
        <w:t xml:space="preserve"> </w:t>
      </w:r>
      <w:r>
        <w:rPr>
          <w:rFonts w:cs="Arial"/>
        </w:rPr>
        <w:t>Le conseil d’administration de l’OCVV</w:t>
      </w:r>
      <w:r w:rsidRPr="000A3783">
        <w:rPr>
          <w:rFonts w:cs="Arial"/>
        </w:rPr>
        <w:t xml:space="preserve"> </w:t>
      </w:r>
      <w:r>
        <w:rPr>
          <w:rFonts w:cs="Arial"/>
        </w:rPr>
        <w:t>a accepté les recommandations concernant l’habilitation proposées lors des réunions du conseil en octobre 2014 et en mars 2015.</w:t>
      </w:r>
    </w:p>
    <w:p w:rsidR="00023109" w:rsidRPr="000A3783" w:rsidRDefault="00023109" w:rsidP="00023109">
      <w:pPr>
        <w:spacing w:after="240"/>
        <w:rPr>
          <w:rFonts w:cs="Arial"/>
        </w:rPr>
      </w:pPr>
      <w:r w:rsidRPr="00050364">
        <w:rPr>
          <w:rFonts w:cs="Arial"/>
        </w:rPr>
        <w:t xml:space="preserve">Le conseil administratif </w:t>
      </w:r>
      <w:r>
        <w:rPr>
          <w:rFonts w:cs="Arial"/>
        </w:rPr>
        <w:t xml:space="preserve">a également nommé </w:t>
      </w:r>
      <w:r w:rsidRPr="000A3783">
        <w:rPr>
          <w:rFonts w:cs="Arial"/>
        </w:rPr>
        <w:t>30</w:t>
      </w:r>
      <w:r>
        <w:rPr>
          <w:rFonts w:cs="Arial"/>
        </w:rPr>
        <w:t> </w:t>
      </w:r>
      <w:r w:rsidRPr="000A3783">
        <w:rPr>
          <w:rFonts w:cs="Arial"/>
        </w:rPr>
        <w:t xml:space="preserve">experts </w:t>
      </w:r>
      <w:r>
        <w:rPr>
          <w:rFonts w:cs="Arial"/>
        </w:rPr>
        <w:t>techniques participant aux évaluations dans le but de renouveler et de compléter la liste actuelle d’</w:t>
      </w:r>
      <w:r w:rsidRPr="000A3783">
        <w:rPr>
          <w:rFonts w:cs="Arial"/>
        </w:rPr>
        <w:t>experts.</w:t>
      </w:r>
    </w:p>
    <w:p w:rsidR="00023109" w:rsidRPr="000A3783" w:rsidRDefault="00023109" w:rsidP="00023109">
      <w:pPr>
        <w:spacing w:after="240"/>
        <w:rPr>
          <w:rFonts w:cs="Arial"/>
        </w:rPr>
      </w:pPr>
      <w:r>
        <w:rPr>
          <w:rFonts w:cs="Arial"/>
        </w:rPr>
        <w:t xml:space="preserve">Dans le cadre du calcul des coûts, l’initiative du partage des coûts liés à l’audit entre l’OCVV et ses services d’examen a été lancée.  Une estimation des honoraires des audits individuels a été transmise aux centres d’examen. </w:t>
      </w:r>
      <w:r w:rsidRPr="000A3783">
        <w:rPr>
          <w:rFonts w:cs="Arial"/>
        </w:rPr>
        <w:t xml:space="preserve"> </w:t>
      </w:r>
      <w:r>
        <w:rPr>
          <w:rFonts w:cs="Arial"/>
        </w:rPr>
        <w:t>Au commencement du troisième cycle d’audits en </w:t>
      </w:r>
      <w:r w:rsidRPr="000A3783">
        <w:rPr>
          <w:rFonts w:cs="Arial"/>
        </w:rPr>
        <w:t xml:space="preserve">2016, 50% </w:t>
      </w:r>
      <w:r>
        <w:rPr>
          <w:rFonts w:cs="Arial"/>
        </w:rPr>
        <w:t>des honoraires seront pris en charge par les centres d’examen</w:t>
      </w:r>
      <w:r w:rsidRPr="000A3783">
        <w:rPr>
          <w:rFonts w:cs="Arial"/>
        </w:rPr>
        <w:t>.</w:t>
      </w:r>
    </w:p>
    <w:p w:rsidR="00023109" w:rsidRDefault="00023109" w:rsidP="00023109">
      <w:pPr>
        <w:spacing w:after="240"/>
        <w:rPr>
          <w:rFonts w:cs="Arial"/>
          <w:b/>
          <w:u w:val="single"/>
        </w:rPr>
      </w:pPr>
      <w:r>
        <w:rPr>
          <w:rFonts w:cs="Arial"/>
          <w:b/>
          <w:u w:val="single"/>
        </w:rPr>
        <w:t>5)</w:t>
      </w:r>
      <w:r>
        <w:rPr>
          <w:rFonts w:cs="Arial"/>
          <w:b/>
          <w:u w:val="single"/>
        </w:rPr>
        <w:tab/>
      </w:r>
      <w:r w:rsidRPr="00133E22">
        <w:rPr>
          <w:rFonts w:cs="Arial"/>
          <w:b/>
          <w:u w:val="single"/>
        </w:rPr>
        <w:t>Activités de promotion de la protection des obtentions végétales</w:t>
      </w:r>
      <w:r>
        <w:rPr>
          <w:rFonts w:cs="Arial"/>
          <w:b/>
          <w:u w:val="single"/>
        </w:rPr>
        <w:t> </w:t>
      </w:r>
      <w:r w:rsidRPr="000A3783">
        <w:rPr>
          <w:rFonts w:cs="Arial"/>
          <w:b/>
          <w:u w:val="single"/>
        </w:rPr>
        <w:t>:</w:t>
      </w:r>
    </w:p>
    <w:p w:rsidR="00023109" w:rsidRPr="000A3783" w:rsidRDefault="00023109" w:rsidP="00023109">
      <w:pPr>
        <w:spacing w:after="240"/>
        <w:rPr>
          <w:rFonts w:cs="Arial"/>
          <w:i/>
          <w:u w:val="single"/>
        </w:rPr>
      </w:pPr>
      <w:r>
        <w:rPr>
          <w:rFonts w:cs="Arial"/>
          <w:i/>
          <w:u w:val="single"/>
        </w:rPr>
        <w:t>5.1</w:t>
      </w:r>
      <w:r>
        <w:rPr>
          <w:rFonts w:cs="Arial"/>
          <w:i/>
          <w:u w:val="single"/>
        </w:rPr>
        <w:tab/>
      </w:r>
      <w:r w:rsidRPr="00133E22">
        <w:rPr>
          <w:rFonts w:cs="Arial"/>
          <w:i/>
          <w:u w:val="single"/>
        </w:rPr>
        <w:t>Réunions internationales et séminaires</w:t>
      </w:r>
    </w:p>
    <w:p w:rsidR="00023109" w:rsidRPr="007C0BC1" w:rsidRDefault="00023109" w:rsidP="00023109">
      <w:pPr>
        <w:spacing w:after="240"/>
        <w:ind w:left="709"/>
        <w:rPr>
          <w:rFonts w:cs="Arial"/>
          <w:bCs/>
          <w:i/>
        </w:rPr>
      </w:pPr>
      <w:r w:rsidRPr="007C0BC1">
        <w:rPr>
          <w:rFonts w:cs="Arial"/>
          <w:bCs/>
          <w:i/>
        </w:rPr>
        <w:t>a.</w:t>
      </w:r>
      <w:r>
        <w:rPr>
          <w:rFonts w:cs="Arial"/>
          <w:bCs/>
          <w:i/>
        </w:rPr>
        <w:tab/>
      </w:r>
      <w:r w:rsidRPr="007C0BC1">
        <w:rPr>
          <w:rFonts w:cs="Arial"/>
          <w:bCs/>
          <w:i/>
        </w:rPr>
        <w:t>EXPO MILAN 2015</w:t>
      </w:r>
    </w:p>
    <w:p w:rsidR="00023109" w:rsidRDefault="00023109" w:rsidP="00023109">
      <w:pPr>
        <w:spacing w:after="240"/>
        <w:rPr>
          <w:rFonts w:cs="Arial"/>
        </w:rPr>
      </w:pPr>
      <w:r>
        <w:rPr>
          <w:rFonts w:cs="Arial"/>
        </w:rPr>
        <w:t xml:space="preserve">Le </w:t>
      </w:r>
      <w:r w:rsidRPr="000A3783">
        <w:rPr>
          <w:rFonts w:cs="Arial"/>
        </w:rPr>
        <w:t>14</w:t>
      </w:r>
      <w:r>
        <w:rPr>
          <w:rFonts w:cs="Arial"/>
        </w:rPr>
        <w:t> juillet </w:t>
      </w:r>
      <w:r w:rsidRPr="000A3783">
        <w:rPr>
          <w:rFonts w:cs="Arial"/>
        </w:rPr>
        <w:t xml:space="preserve">2015, DG SANTE </w:t>
      </w:r>
      <w:r>
        <w:rPr>
          <w:rFonts w:cs="Arial"/>
        </w:rPr>
        <w:t>a organisé une conférence sur “L</w:t>
      </w:r>
      <w:r w:rsidRPr="00555424">
        <w:rPr>
          <w:rFonts w:cs="Arial"/>
        </w:rPr>
        <w:t>e changement climatique et la sécurité alimentaire</w:t>
      </w:r>
      <w:r>
        <w:rPr>
          <w:rFonts w:cs="Arial"/>
        </w:rPr>
        <w:t> </w:t>
      </w:r>
      <w:r w:rsidRPr="000A3783">
        <w:rPr>
          <w:rFonts w:cs="Arial"/>
        </w:rPr>
        <w:t xml:space="preserve">: </w:t>
      </w:r>
      <w:r>
        <w:rPr>
          <w:rFonts w:cs="Arial"/>
        </w:rPr>
        <w:t>les défis dans les domaines phytosanitaires</w:t>
      </w:r>
      <w:r w:rsidRPr="000A3783">
        <w:rPr>
          <w:rFonts w:cs="Arial"/>
        </w:rPr>
        <w:t xml:space="preserve">, </w:t>
      </w:r>
      <w:r>
        <w:rPr>
          <w:rFonts w:cs="Arial"/>
        </w:rPr>
        <w:t>de l’obtention végétale et des ressources génétiques”</w:t>
      </w:r>
      <w:r w:rsidRPr="000A3783">
        <w:rPr>
          <w:rFonts w:cs="Arial"/>
        </w:rPr>
        <w:t xml:space="preserve">. </w:t>
      </w:r>
      <w:r>
        <w:rPr>
          <w:rFonts w:cs="Arial"/>
        </w:rPr>
        <w:t xml:space="preserve"> Cette conférence rentre dans le cadre d’une série d’événements pour la promotion de la</w:t>
      </w:r>
      <w:r w:rsidRPr="00555424">
        <w:rPr>
          <w:rFonts w:cs="Arial"/>
        </w:rPr>
        <w:t xml:space="preserve"> viabilité à long terme</w:t>
      </w:r>
      <w:r>
        <w:rPr>
          <w:rFonts w:cs="Arial"/>
        </w:rPr>
        <w:t xml:space="preserve"> de la chaîne alimentaire</w:t>
      </w:r>
      <w:r w:rsidRPr="000A3783">
        <w:rPr>
          <w:rFonts w:cs="Arial"/>
        </w:rPr>
        <w:t xml:space="preserve"> </w:t>
      </w:r>
      <w:r>
        <w:rPr>
          <w:rFonts w:cs="Arial"/>
        </w:rPr>
        <w:t>aux fins de sécurité alimentaire</w:t>
      </w:r>
      <w:r w:rsidRPr="000A3783">
        <w:rPr>
          <w:rFonts w:cs="Arial"/>
        </w:rPr>
        <w:t>.</w:t>
      </w:r>
    </w:p>
    <w:p w:rsidR="00023109" w:rsidRDefault="00023109" w:rsidP="00023109">
      <w:pPr>
        <w:shd w:val="clear" w:color="auto" w:fill="FFFFFF"/>
        <w:spacing w:after="240"/>
        <w:rPr>
          <w:rFonts w:cs="Arial"/>
          <w:lang w:eastAsia="en-GB"/>
        </w:rPr>
      </w:pPr>
      <w:r>
        <w:rPr>
          <w:rFonts w:cs="Arial"/>
        </w:rPr>
        <w:t xml:space="preserve">Des </w:t>
      </w:r>
      <w:r w:rsidRPr="00774ADF">
        <w:rPr>
          <w:rFonts w:cs="Arial"/>
        </w:rPr>
        <w:t>experts des États membres de l</w:t>
      </w:r>
      <w:r>
        <w:rPr>
          <w:rFonts w:cs="Arial"/>
        </w:rPr>
        <w:t>’</w:t>
      </w:r>
      <w:r w:rsidRPr="00774ADF">
        <w:rPr>
          <w:rFonts w:cs="Arial"/>
        </w:rPr>
        <w:t>Union européenne</w:t>
      </w:r>
      <w:r w:rsidRPr="000A3783">
        <w:rPr>
          <w:rFonts w:cs="Arial"/>
          <w:lang w:eastAsia="en-GB"/>
        </w:rPr>
        <w:t xml:space="preserve">, </w:t>
      </w:r>
      <w:r>
        <w:rPr>
          <w:rFonts w:cs="Arial"/>
          <w:lang w:eastAsia="en-GB"/>
        </w:rPr>
        <w:t>des parties prenantes,</w:t>
      </w:r>
      <w:r w:rsidRPr="000A3783">
        <w:rPr>
          <w:rFonts w:cs="Arial"/>
          <w:lang w:eastAsia="en-GB"/>
        </w:rPr>
        <w:t xml:space="preserve"> </w:t>
      </w:r>
      <w:r>
        <w:rPr>
          <w:rFonts w:cs="Arial"/>
          <w:lang w:eastAsia="en-GB"/>
        </w:rPr>
        <w:t>des membres du milieu universitaire et d’organisations internationales ont participé à des débats lors de l’</w:t>
      </w:r>
      <w:r w:rsidRPr="000A3783">
        <w:rPr>
          <w:rFonts w:cs="Arial"/>
          <w:lang w:eastAsia="en-GB"/>
        </w:rPr>
        <w:t xml:space="preserve">Expo Milan </w:t>
      </w:r>
      <w:r>
        <w:rPr>
          <w:rFonts w:cs="Arial"/>
          <w:lang w:eastAsia="en-GB"/>
        </w:rPr>
        <w:t xml:space="preserve">concernant les conséquences du changement climatique sur </w:t>
      </w:r>
      <w:r w:rsidRPr="00783B36">
        <w:rPr>
          <w:rFonts w:cs="Arial"/>
          <w:lang w:eastAsia="en-GB"/>
        </w:rPr>
        <w:t>l</w:t>
      </w:r>
      <w:r>
        <w:rPr>
          <w:rFonts w:cs="Arial"/>
          <w:lang w:eastAsia="en-GB"/>
        </w:rPr>
        <w:t>’</w:t>
      </w:r>
      <w:r w:rsidRPr="00783B36">
        <w:rPr>
          <w:rFonts w:cs="Arial"/>
          <w:lang w:eastAsia="en-GB"/>
        </w:rPr>
        <w:t>innocuité</w:t>
      </w:r>
      <w:r>
        <w:rPr>
          <w:rFonts w:cs="Arial"/>
          <w:lang w:eastAsia="en-GB"/>
        </w:rPr>
        <w:t xml:space="preserve"> </w:t>
      </w:r>
      <w:r w:rsidRPr="00783B36">
        <w:rPr>
          <w:rFonts w:cs="Arial"/>
          <w:lang w:eastAsia="en-GB"/>
        </w:rPr>
        <w:t xml:space="preserve">des produits alimentaires et la sécurité alimentaire </w:t>
      </w:r>
      <w:r>
        <w:rPr>
          <w:rFonts w:cs="Arial"/>
          <w:lang w:eastAsia="en-GB"/>
        </w:rPr>
        <w:t xml:space="preserve">et les risques connexes émergents par rapport à l’état sanitaire et à la qualité des plantes et des semences. </w:t>
      </w:r>
      <w:r w:rsidRPr="000A3783">
        <w:rPr>
          <w:rFonts w:cs="Arial"/>
          <w:lang w:eastAsia="en-GB"/>
        </w:rPr>
        <w:t xml:space="preserve"> </w:t>
      </w:r>
      <w:r>
        <w:rPr>
          <w:rFonts w:cs="Arial"/>
          <w:lang w:eastAsia="en-GB"/>
        </w:rPr>
        <w:t xml:space="preserve">Le </w:t>
      </w:r>
      <w:r w:rsidRPr="00783B36">
        <w:rPr>
          <w:rFonts w:cs="Arial"/>
          <w:lang w:eastAsia="en-GB"/>
        </w:rPr>
        <w:t>secrétaire général adjoint de l</w:t>
      </w:r>
      <w:r>
        <w:rPr>
          <w:rFonts w:cs="Arial"/>
          <w:lang w:eastAsia="en-GB"/>
        </w:rPr>
        <w:t>’</w:t>
      </w:r>
      <w:r w:rsidRPr="00783B36">
        <w:rPr>
          <w:rFonts w:cs="Arial"/>
          <w:lang w:eastAsia="en-GB"/>
        </w:rPr>
        <w:t xml:space="preserve">UPOV </w:t>
      </w:r>
      <w:r>
        <w:rPr>
          <w:rFonts w:cs="Arial"/>
          <w:lang w:eastAsia="en-GB"/>
        </w:rPr>
        <w:t xml:space="preserve">a présenté un exposé sur la protection de l’innovation dans le </w:t>
      </w:r>
      <w:r w:rsidRPr="00783B36">
        <w:rPr>
          <w:rFonts w:cs="Arial"/>
          <w:lang w:eastAsia="en-GB"/>
        </w:rPr>
        <w:t>secteur de la sélection végétale</w:t>
      </w:r>
      <w:r w:rsidRPr="000A3783">
        <w:rPr>
          <w:rFonts w:cs="Arial"/>
          <w:lang w:eastAsia="en-GB"/>
        </w:rPr>
        <w:t>.</w:t>
      </w:r>
    </w:p>
    <w:p w:rsidR="00023109" w:rsidRPr="007C0BC1" w:rsidRDefault="00023109" w:rsidP="00023109">
      <w:pPr>
        <w:spacing w:after="240"/>
        <w:ind w:left="709"/>
        <w:rPr>
          <w:rFonts w:cs="Arial"/>
          <w:bCs/>
          <w:i/>
        </w:rPr>
      </w:pPr>
      <w:r w:rsidRPr="007C0BC1">
        <w:rPr>
          <w:rFonts w:cs="Arial"/>
          <w:bCs/>
          <w:i/>
        </w:rPr>
        <w:t>b.</w:t>
      </w:r>
      <w:r>
        <w:rPr>
          <w:rFonts w:cs="Arial"/>
          <w:bCs/>
          <w:i/>
        </w:rPr>
        <w:tab/>
      </w:r>
      <w:r w:rsidRPr="007C0BC1">
        <w:rPr>
          <w:rFonts w:cs="Arial"/>
          <w:bCs/>
          <w:i/>
        </w:rPr>
        <w:t>OCVV</w:t>
      </w:r>
    </w:p>
    <w:p w:rsidR="00023109" w:rsidRPr="006862C1" w:rsidRDefault="00023109" w:rsidP="00023109">
      <w:pPr>
        <w:spacing w:after="240"/>
        <w:rPr>
          <w:rFonts w:cs="Arial"/>
          <w:lang w:val="fr-CH"/>
        </w:rPr>
      </w:pPr>
      <w:r w:rsidRPr="006862C1">
        <w:rPr>
          <w:rFonts w:cs="Arial"/>
          <w:lang w:val="fr-CH"/>
        </w:rPr>
        <w:t>Le président de l</w:t>
      </w:r>
      <w:r>
        <w:rPr>
          <w:rFonts w:cs="Arial"/>
          <w:lang w:val="fr-CH"/>
        </w:rPr>
        <w:t>’</w:t>
      </w:r>
      <w:r w:rsidRPr="006862C1">
        <w:rPr>
          <w:rFonts w:cs="Arial"/>
          <w:lang w:val="fr-CH"/>
        </w:rPr>
        <w:t>OCVV a assisté à un atelier de l</w:t>
      </w:r>
      <w:r>
        <w:rPr>
          <w:rFonts w:cs="Arial"/>
          <w:lang w:val="fr-CH"/>
        </w:rPr>
        <w:t>’</w:t>
      </w:r>
      <w:r w:rsidRPr="006862C1">
        <w:rPr>
          <w:rFonts w:cs="Arial"/>
          <w:lang w:val="fr-CH"/>
        </w:rPr>
        <w:t>Organisation régionale africaine de la propriété intellectuelle (ARIPO), organisé au Zimbabwe du 26</w:t>
      </w:r>
      <w:r>
        <w:rPr>
          <w:rFonts w:cs="Arial"/>
          <w:lang w:val="fr-CH"/>
        </w:rPr>
        <w:t> </w:t>
      </w:r>
      <w:r w:rsidRPr="006862C1">
        <w:rPr>
          <w:rFonts w:cs="Arial"/>
          <w:lang w:val="fr-CH"/>
        </w:rPr>
        <w:t>octobre au 2</w:t>
      </w:r>
      <w:r>
        <w:rPr>
          <w:rFonts w:cs="Arial"/>
          <w:lang w:val="fr-CH"/>
        </w:rPr>
        <w:t> </w:t>
      </w:r>
      <w:r w:rsidRPr="006862C1">
        <w:rPr>
          <w:rFonts w:cs="Arial"/>
          <w:lang w:val="fr-CH"/>
        </w:rPr>
        <w:t>novembre</w:t>
      </w:r>
      <w:r>
        <w:rPr>
          <w:rFonts w:cs="Arial"/>
          <w:lang w:val="fr-CH"/>
        </w:rPr>
        <w:t> </w:t>
      </w:r>
      <w:r w:rsidRPr="006862C1">
        <w:rPr>
          <w:rFonts w:cs="Arial"/>
          <w:lang w:val="fr-CH"/>
        </w:rPr>
        <w:t>2014, au cours duquel il a aidé l</w:t>
      </w:r>
      <w:r>
        <w:rPr>
          <w:rFonts w:cs="Arial"/>
          <w:lang w:val="fr-CH"/>
        </w:rPr>
        <w:t>’ARIPO à élaborer son système régional des droits d’obtenteur et a partagé les connaissances de l’OCVV sur ce type de systèmes.  Il a participé aux réunions d’experts de l’ARIPO, tenues à Arusha (Tanzanie) du 29 juin au 1</w:t>
      </w:r>
      <w:r w:rsidRPr="000247EE">
        <w:rPr>
          <w:rFonts w:cs="Arial"/>
          <w:vertAlign w:val="superscript"/>
          <w:lang w:val="fr-CH"/>
        </w:rPr>
        <w:t>er</w:t>
      </w:r>
      <w:r>
        <w:rPr>
          <w:rFonts w:cs="Arial"/>
          <w:lang w:val="fr-CH"/>
        </w:rPr>
        <w:t xml:space="preserve"> juillet 2015, en vue de préparer un protocole </w:t>
      </w:r>
      <w:r w:rsidRPr="006F7492">
        <w:rPr>
          <w:rFonts w:cs="Arial"/>
          <w:lang w:val="fr-CH"/>
        </w:rPr>
        <w:t>pour la protection des obtentions végétales</w:t>
      </w:r>
      <w:r>
        <w:rPr>
          <w:rFonts w:cs="Arial"/>
          <w:lang w:val="fr-CH"/>
        </w:rPr>
        <w:t xml:space="preserve"> (nouveaux droits d’obtenteur).  Il a assisté à la neuvième session extraordinaire du Conseil d’administration de l’ARIPO, tenue à Arusha du 2 au 3 juillet 2015.</w:t>
      </w:r>
    </w:p>
    <w:p w:rsidR="00023109" w:rsidRPr="00F12DAE" w:rsidRDefault="00023109" w:rsidP="00023109">
      <w:pPr>
        <w:spacing w:after="240"/>
        <w:rPr>
          <w:rFonts w:cs="Arial"/>
          <w:lang w:val="fr-CH"/>
        </w:rPr>
      </w:pPr>
      <w:r w:rsidRPr="00F12DAE">
        <w:rPr>
          <w:rFonts w:cs="Arial"/>
          <w:lang w:val="fr-CH"/>
        </w:rPr>
        <w:t>Le président de l</w:t>
      </w:r>
      <w:r>
        <w:rPr>
          <w:rFonts w:cs="Arial"/>
          <w:lang w:val="fr-CH"/>
        </w:rPr>
        <w:t>’</w:t>
      </w:r>
      <w:r w:rsidRPr="00F12DAE">
        <w:rPr>
          <w:rFonts w:cs="Arial"/>
          <w:lang w:val="fr-CH"/>
        </w:rPr>
        <w:t xml:space="preserve">OCVV a participé à une formation sur les </w:t>
      </w:r>
      <w:r>
        <w:rPr>
          <w:rFonts w:cs="Arial"/>
          <w:lang w:val="fr-CH"/>
        </w:rPr>
        <w:t>droits d’obtenteur, organisée par l’UPOV, le GEVES (France) et</w:t>
      </w:r>
      <w:r w:rsidRPr="00F12DAE">
        <w:rPr>
          <w:rFonts w:cs="Arial"/>
          <w:lang w:val="fr-CH"/>
        </w:rPr>
        <w:t xml:space="preserve"> </w:t>
      </w:r>
      <w:r>
        <w:rPr>
          <w:rFonts w:cs="Arial"/>
          <w:lang w:val="fr-CH"/>
        </w:rPr>
        <w:t xml:space="preserve">le </w:t>
      </w:r>
      <w:proofErr w:type="spellStart"/>
      <w:r w:rsidRPr="00F12DAE">
        <w:rPr>
          <w:rFonts w:cs="Arial"/>
          <w:lang w:val="fr-CH"/>
        </w:rPr>
        <w:t>Naktuinbouw</w:t>
      </w:r>
      <w:proofErr w:type="spellEnd"/>
      <w:r w:rsidRPr="00F12DAE">
        <w:rPr>
          <w:rFonts w:cs="Arial"/>
          <w:lang w:val="fr-CH"/>
        </w:rPr>
        <w:t xml:space="preserve"> (</w:t>
      </w:r>
      <w:r>
        <w:rPr>
          <w:rFonts w:cs="Arial"/>
          <w:lang w:val="fr-CH"/>
        </w:rPr>
        <w:t>Pays</w:t>
      </w:r>
      <w:r>
        <w:rPr>
          <w:rFonts w:cs="Arial"/>
          <w:lang w:val="fr-CH"/>
        </w:rPr>
        <w:noBreakHyphen/>
        <w:t>Bas</w:t>
      </w:r>
      <w:r w:rsidRPr="00F12DAE">
        <w:rPr>
          <w:rFonts w:cs="Arial"/>
          <w:lang w:val="fr-CH"/>
        </w:rPr>
        <w:t>)</w:t>
      </w:r>
      <w:r>
        <w:rPr>
          <w:rFonts w:cs="Arial"/>
          <w:lang w:val="fr-CH"/>
        </w:rPr>
        <w:t xml:space="preserve"> à Arusha du 27 novembre au 2 décembre 2014.  Il a également pris part à une formation sur la </w:t>
      </w:r>
      <w:r w:rsidRPr="00423834">
        <w:rPr>
          <w:rFonts w:cs="Arial"/>
          <w:lang w:val="fr-CH"/>
        </w:rPr>
        <w:t>protection des obtentions végétales</w:t>
      </w:r>
      <w:r>
        <w:rPr>
          <w:rFonts w:cs="Arial"/>
          <w:lang w:val="fr-CH"/>
        </w:rPr>
        <w:t xml:space="preserve">, organisée par l’UPOV et le </w:t>
      </w:r>
      <w:proofErr w:type="spellStart"/>
      <w:r w:rsidRPr="00F12DAE">
        <w:rPr>
          <w:rFonts w:cs="Arial"/>
          <w:lang w:val="fr-CH"/>
        </w:rPr>
        <w:t>Naktuinbouw</w:t>
      </w:r>
      <w:proofErr w:type="spellEnd"/>
      <w:r>
        <w:rPr>
          <w:rFonts w:cs="Arial"/>
          <w:lang w:val="fr-CH"/>
        </w:rPr>
        <w:t xml:space="preserve"> à Arusha du 23 au 27 avril.</w:t>
      </w:r>
    </w:p>
    <w:p w:rsidR="00023109" w:rsidRDefault="00023109" w:rsidP="00023109">
      <w:pPr>
        <w:spacing w:after="240"/>
        <w:rPr>
          <w:rFonts w:cs="Arial"/>
          <w:lang w:val="fr-CH"/>
        </w:rPr>
      </w:pPr>
      <w:r w:rsidRPr="00450434">
        <w:rPr>
          <w:rFonts w:cs="Arial"/>
          <w:lang w:val="fr-CH"/>
        </w:rPr>
        <w:t>Le président de l</w:t>
      </w:r>
      <w:r>
        <w:rPr>
          <w:rFonts w:cs="Arial"/>
          <w:lang w:val="fr-CH"/>
        </w:rPr>
        <w:t>’</w:t>
      </w:r>
      <w:r w:rsidRPr="00450434">
        <w:rPr>
          <w:rFonts w:cs="Arial"/>
          <w:lang w:val="fr-CH"/>
        </w:rPr>
        <w:t xml:space="preserve">OCVV a participé à la réunion annuelle </w:t>
      </w:r>
      <w:r>
        <w:rPr>
          <w:rFonts w:cs="Arial"/>
          <w:lang w:val="fr-CH"/>
        </w:rPr>
        <w:t xml:space="preserve">du Conseil de la protection des obtentions végétales du </w:t>
      </w:r>
      <w:r w:rsidRPr="00450434">
        <w:rPr>
          <w:rFonts w:cs="Arial"/>
          <w:lang w:val="fr-CH"/>
        </w:rPr>
        <w:t>Département de l</w:t>
      </w:r>
      <w:r>
        <w:rPr>
          <w:rFonts w:cs="Arial"/>
          <w:lang w:val="fr-CH"/>
        </w:rPr>
        <w:t>’</w:t>
      </w:r>
      <w:r w:rsidRPr="00450434">
        <w:rPr>
          <w:rFonts w:cs="Arial"/>
          <w:lang w:val="fr-CH"/>
        </w:rPr>
        <w:t>agriculture des États</w:t>
      </w:r>
      <w:r>
        <w:rPr>
          <w:rFonts w:cs="Arial"/>
          <w:lang w:val="fr-CH"/>
        </w:rPr>
        <w:noBreakHyphen/>
      </w:r>
      <w:r w:rsidRPr="00450434">
        <w:rPr>
          <w:rFonts w:cs="Arial"/>
          <w:lang w:val="fr-CH"/>
        </w:rPr>
        <w:t>Unis d</w:t>
      </w:r>
      <w:r>
        <w:rPr>
          <w:rFonts w:cs="Arial"/>
          <w:lang w:val="fr-CH"/>
        </w:rPr>
        <w:t>’</w:t>
      </w:r>
      <w:r w:rsidRPr="00450434">
        <w:rPr>
          <w:rFonts w:cs="Arial"/>
          <w:lang w:val="fr-CH"/>
        </w:rPr>
        <w:t>Amérique (USDA)</w:t>
      </w:r>
      <w:r>
        <w:rPr>
          <w:rFonts w:cs="Arial"/>
          <w:lang w:val="fr-CH"/>
        </w:rPr>
        <w:t>, tenue à Chicago (États</w:t>
      </w:r>
      <w:r>
        <w:rPr>
          <w:rFonts w:cs="Arial"/>
          <w:lang w:val="fr-CH"/>
        </w:rPr>
        <w:noBreakHyphen/>
        <w:t xml:space="preserve">Unis d’Amérique) en décembre 2014.  Il a présenté à cette occasion le </w:t>
      </w:r>
      <w:r w:rsidRPr="007F5926">
        <w:rPr>
          <w:rFonts w:cs="Arial"/>
          <w:lang w:val="fr-CH"/>
        </w:rPr>
        <w:t>système communautaire de protection des obtentions végétales</w:t>
      </w:r>
      <w:r>
        <w:rPr>
          <w:rFonts w:cs="Arial"/>
          <w:lang w:val="fr-CH"/>
        </w:rPr>
        <w:t xml:space="preserve"> de l’Union européenne et en a souligné les avantages, en ce qui concerne notamment l’évaluation des demandes, le système de demande en ligne et la base de données </w:t>
      </w:r>
      <w:proofErr w:type="spellStart"/>
      <w:r>
        <w:rPr>
          <w:rFonts w:cs="Arial"/>
          <w:i/>
          <w:lang w:val="fr-CH"/>
        </w:rPr>
        <w:t>Variety</w:t>
      </w:r>
      <w:proofErr w:type="spellEnd"/>
      <w:r>
        <w:rPr>
          <w:rFonts w:cs="Arial"/>
          <w:i/>
          <w:lang w:val="fr-CH"/>
        </w:rPr>
        <w:t xml:space="preserve"> Finder</w:t>
      </w:r>
      <w:r>
        <w:rPr>
          <w:rFonts w:cs="Arial"/>
          <w:lang w:val="fr-CH"/>
        </w:rPr>
        <w:t>.  Il a été constaté au cours de l’échange de vues que le système de l’Union européenne et celui des États</w:t>
      </w:r>
      <w:r>
        <w:rPr>
          <w:rFonts w:cs="Arial"/>
          <w:lang w:val="fr-CH"/>
        </w:rPr>
        <w:noBreakHyphen/>
        <w:t xml:space="preserve">Unis d’Amérique fonctionnaient différemment, mais avaient des dénominateurs communs.  Le président a par ailleurs présenté, en compagnie de M. Paul </w:t>
      </w:r>
      <w:proofErr w:type="spellStart"/>
      <w:r>
        <w:rPr>
          <w:rFonts w:cs="Arial"/>
          <w:lang w:val="fr-CH"/>
        </w:rPr>
        <w:t>Zankowski</w:t>
      </w:r>
      <w:proofErr w:type="spellEnd"/>
      <w:r>
        <w:rPr>
          <w:rFonts w:cs="Arial"/>
          <w:lang w:val="fr-CH"/>
        </w:rPr>
        <w:t xml:space="preserve"> de l’USDA, un exposé à l’intention de l’</w:t>
      </w:r>
      <w:r w:rsidRPr="00C01DF5">
        <w:rPr>
          <w:i/>
          <w:lang w:val="fr-CH"/>
        </w:rPr>
        <w:t>American</w:t>
      </w:r>
      <w:r w:rsidRPr="00C01DF5">
        <w:rPr>
          <w:rFonts w:cs="Arial"/>
          <w:i/>
          <w:lang w:val="fr-CH"/>
        </w:rPr>
        <w:t xml:space="preserve"> </w:t>
      </w:r>
      <w:proofErr w:type="spellStart"/>
      <w:r w:rsidRPr="00C01DF5">
        <w:rPr>
          <w:rFonts w:cs="Arial"/>
          <w:i/>
          <w:lang w:val="fr-CH"/>
        </w:rPr>
        <w:t>Seed</w:t>
      </w:r>
      <w:proofErr w:type="spellEnd"/>
      <w:r w:rsidRPr="00C01DF5">
        <w:rPr>
          <w:rFonts w:cs="Arial"/>
          <w:i/>
          <w:lang w:val="fr-CH"/>
        </w:rPr>
        <w:t xml:space="preserve"> Trade Association </w:t>
      </w:r>
      <w:r w:rsidRPr="00C01DF5">
        <w:rPr>
          <w:rFonts w:cs="Arial"/>
          <w:lang w:val="fr-CH"/>
        </w:rPr>
        <w:t>(ASTA)</w:t>
      </w:r>
      <w:r>
        <w:rPr>
          <w:rFonts w:cs="Arial"/>
          <w:lang w:val="fr-CH"/>
        </w:rPr>
        <w:t>.  Il est important que l’Union européenne et les États</w:t>
      </w:r>
      <w:r>
        <w:rPr>
          <w:rFonts w:cs="Arial"/>
          <w:lang w:val="fr-CH"/>
        </w:rPr>
        <w:noBreakHyphen/>
        <w:t>Unis d’Amérique, en tant que membres de l’UPOV, œuvrent conjointement à une réduction des charges administratives pour les obtenteurs.  L’OCVV attend avec intérêt de pouvoir collaborer avec ses homologues des États</w:t>
      </w:r>
      <w:r>
        <w:rPr>
          <w:rFonts w:cs="Arial"/>
          <w:lang w:val="fr-CH"/>
        </w:rPr>
        <w:noBreakHyphen/>
        <w:t>Unis d’Amérique en vue de continuer à promouvoir et à protéger les droits d’obtenteur, de manière à ce que ces derniers puissent continuer à étudier et à créer de nouvelles variétés végétales.</w:t>
      </w:r>
    </w:p>
    <w:p w:rsidR="00023109" w:rsidRPr="00D8220C" w:rsidRDefault="00023109" w:rsidP="00023109">
      <w:pPr>
        <w:spacing w:after="240"/>
        <w:rPr>
          <w:rFonts w:cs="Arial"/>
          <w:lang w:val="fr-CH"/>
        </w:rPr>
      </w:pPr>
      <w:r w:rsidRPr="0032751D">
        <w:rPr>
          <w:rFonts w:cs="Arial"/>
          <w:lang w:val="fr-CH"/>
        </w:rPr>
        <w:t>Le président de l’OCVV a rencontré le 7 juillet à Paris M. </w:t>
      </w:r>
      <w:proofErr w:type="spellStart"/>
      <w:r w:rsidRPr="0032751D">
        <w:rPr>
          <w:rFonts w:cs="Arial"/>
          <w:lang w:val="fr-CH"/>
        </w:rPr>
        <w:t>Bao</w:t>
      </w:r>
      <w:r w:rsidRPr="0032751D">
        <w:rPr>
          <w:rFonts w:cs="Arial"/>
          <w:lang w:val="fr-CH"/>
        </w:rPr>
        <w:noBreakHyphen/>
        <w:t>Ji</w:t>
      </w:r>
      <w:proofErr w:type="spellEnd"/>
      <w:r w:rsidRPr="0032751D">
        <w:rPr>
          <w:rFonts w:cs="Arial"/>
          <w:lang w:val="fr-CH"/>
        </w:rPr>
        <w:t xml:space="preserve"> Chen, </w:t>
      </w:r>
      <w:r w:rsidR="00245BB7" w:rsidRPr="0032751D">
        <w:rPr>
          <w:rFonts w:cs="Arial"/>
          <w:lang w:val="fr-CH"/>
        </w:rPr>
        <w:t>‘</w:t>
      </w:r>
      <w:r w:rsidRPr="0032751D">
        <w:rPr>
          <w:rFonts w:cs="Arial"/>
          <w:lang w:val="fr-CH"/>
        </w:rPr>
        <w:t>ministre de l’agriculture</w:t>
      </w:r>
      <w:r w:rsidR="00245BB7" w:rsidRPr="0032751D">
        <w:rPr>
          <w:rFonts w:cs="Arial"/>
          <w:lang w:val="fr-CH"/>
        </w:rPr>
        <w:t>’ de la Province chinoise de Taiwan</w:t>
      </w:r>
      <w:r w:rsidRPr="0032751D">
        <w:rPr>
          <w:rFonts w:cs="Arial"/>
          <w:lang w:val="fr-CH"/>
        </w:rPr>
        <w:t xml:space="preserve">, pour évoquer la question </w:t>
      </w:r>
      <w:r w:rsidR="00245BB7" w:rsidRPr="0032751D">
        <w:rPr>
          <w:rFonts w:cs="Arial"/>
          <w:lang w:val="fr-CH"/>
        </w:rPr>
        <w:t>de la protection des obtentions végétales</w:t>
      </w:r>
      <w:r w:rsidRPr="0032751D">
        <w:rPr>
          <w:rFonts w:cs="Arial"/>
          <w:lang w:val="fr-CH"/>
        </w:rPr>
        <w:t>.</w:t>
      </w:r>
    </w:p>
    <w:p w:rsidR="00023109" w:rsidRPr="00CA15D6" w:rsidRDefault="00023109" w:rsidP="00023109">
      <w:pPr>
        <w:spacing w:after="240"/>
        <w:rPr>
          <w:rFonts w:cs="Arial"/>
          <w:lang w:val="fr-CH"/>
        </w:rPr>
      </w:pPr>
      <w:r>
        <w:rPr>
          <w:rFonts w:cs="Arial"/>
          <w:lang w:val="fr-CH"/>
        </w:rPr>
        <w:t>Il</w:t>
      </w:r>
      <w:r w:rsidRPr="00CA15D6">
        <w:rPr>
          <w:rFonts w:cs="Arial"/>
          <w:lang w:val="fr-CH"/>
        </w:rPr>
        <w:t xml:space="preserve"> a participé à l</w:t>
      </w:r>
      <w:r>
        <w:rPr>
          <w:rFonts w:cs="Arial"/>
          <w:lang w:val="fr-CH"/>
        </w:rPr>
        <w:t>’</w:t>
      </w:r>
      <w:r w:rsidRPr="00CA15D6">
        <w:rPr>
          <w:rFonts w:cs="Arial"/>
          <w:lang w:val="fr-CH"/>
        </w:rPr>
        <w:t>exposition universelle de Milan, les 14 et 15</w:t>
      </w:r>
      <w:r>
        <w:rPr>
          <w:rFonts w:cs="Arial"/>
          <w:lang w:val="fr-CH"/>
        </w:rPr>
        <w:t> </w:t>
      </w:r>
      <w:r w:rsidRPr="00CA15D6">
        <w:rPr>
          <w:rFonts w:cs="Arial"/>
          <w:lang w:val="fr-CH"/>
        </w:rPr>
        <w:t>juillet</w:t>
      </w:r>
      <w:r>
        <w:rPr>
          <w:rFonts w:cs="Arial"/>
          <w:lang w:val="fr-CH"/>
        </w:rPr>
        <w:t> </w:t>
      </w:r>
      <w:r w:rsidRPr="00CA15D6">
        <w:rPr>
          <w:rFonts w:cs="Arial"/>
          <w:lang w:val="fr-CH"/>
        </w:rPr>
        <w:t xml:space="preserve">2015, dans le cadre de la manifestation </w:t>
      </w:r>
      <w:r>
        <w:rPr>
          <w:rFonts w:cs="Arial"/>
          <w:lang w:val="fr-CH"/>
        </w:rPr>
        <w:t xml:space="preserve">qui avait </w:t>
      </w:r>
      <w:r w:rsidRPr="00CA15D6">
        <w:rPr>
          <w:rFonts w:cs="Arial"/>
          <w:lang w:val="fr-CH"/>
        </w:rPr>
        <w:t xml:space="preserve">pour thème </w:t>
      </w:r>
      <w:r>
        <w:rPr>
          <w:rFonts w:cs="Arial"/>
          <w:lang w:val="fr-CH"/>
        </w:rPr>
        <w:t xml:space="preserve">“Changement climatique et sécurité alimentaire : quels enjeux pour la santé végétale, la sélection variétale et les ressources génétiques?”, </w:t>
      </w:r>
      <w:r w:rsidRPr="00CA15D6">
        <w:rPr>
          <w:rFonts w:cs="Arial"/>
          <w:lang w:val="fr-CH"/>
        </w:rPr>
        <w:t>organisée par DG SANTE et la Commission européenne</w:t>
      </w:r>
      <w:r>
        <w:rPr>
          <w:rFonts w:cs="Arial"/>
          <w:lang w:val="fr-CH"/>
        </w:rPr>
        <w:t>.</w:t>
      </w:r>
    </w:p>
    <w:p w:rsidR="00023109" w:rsidRPr="00865F93" w:rsidRDefault="00023109" w:rsidP="00023109">
      <w:pPr>
        <w:spacing w:after="240"/>
        <w:rPr>
          <w:rFonts w:cs="Arial"/>
          <w:lang w:val="fr-CH"/>
        </w:rPr>
      </w:pPr>
      <w:r w:rsidRPr="00865F93">
        <w:rPr>
          <w:rFonts w:cs="Arial"/>
          <w:lang w:val="fr-CH"/>
        </w:rPr>
        <w:t>Le vice</w:t>
      </w:r>
      <w:r>
        <w:rPr>
          <w:rFonts w:cs="Arial"/>
          <w:lang w:val="fr-CH"/>
        </w:rPr>
        <w:noBreakHyphen/>
      </w:r>
      <w:r w:rsidRPr="00865F93">
        <w:rPr>
          <w:rFonts w:cs="Arial"/>
          <w:lang w:val="fr-CH"/>
        </w:rPr>
        <w:t>président de l</w:t>
      </w:r>
      <w:r>
        <w:rPr>
          <w:rFonts w:cs="Arial"/>
          <w:lang w:val="fr-CH"/>
        </w:rPr>
        <w:t>’</w:t>
      </w:r>
      <w:r w:rsidRPr="00865F93">
        <w:rPr>
          <w:rFonts w:cs="Arial"/>
          <w:lang w:val="fr-CH"/>
        </w:rPr>
        <w:t>OCVV a participé et contribué aux exposés</w:t>
      </w:r>
      <w:r>
        <w:rPr>
          <w:rFonts w:cs="Arial"/>
          <w:lang w:val="fr-CH"/>
        </w:rPr>
        <w:t xml:space="preserve"> de la première édition de la formation de l’UPOV intitulée “Formation des formateurs” à l’intention des pays d’Amérique latine, organisée par l’UPOV, l’Organisation Mondiale de la Propriété Intellectuelle (OMPI) et les autorités espagnoles, à Montevideo (Uruguay) en décembre 2014.</w:t>
      </w:r>
    </w:p>
    <w:p w:rsidR="00023109" w:rsidRPr="008741A5" w:rsidRDefault="00023109" w:rsidP="00023109">
      <w:pPr>
        <w:spacing w:after="240"/>
        <w:rPr>
          <w:rFonts w:cs="Arial"/>
          <w:lang w:val="fr-CH"/>
        </w:rPr>
      </w:pPr>
      <w:r w:rsidRPr="00865F93">
        <w:rPr>
          <w:rFonts w:cs="Arial"/>
          <w:lang w:val="fr-CH"/>
        </w:rPr>
        <w:t>Le vice</w:t>
      </w:r>
      <w:r>
        <w:rPr>
          <w:rFonts w:cs="Arial"/>
          <w:lang w:val="fr-CH"/>
        </w:rPr>
        <w:noBreakHyphen/>
      </w:r>
      <w:r w:rsidRPr="00865F93">
        <w:rPr>
          <w:rFonts w:cs="Arial"/>
          <w:lang w:val="fr-CH"/>
        </w:rPr>
        <w:t>président de l</w:t>
      </w:r>
      <w:r>
        <w:rPr>
          <w:rFonts w:cs="Arial"/>
          <w:lang w:val="fr-CH"/>
        </w:rPr>
        <w:t>’</w:t>
      </w:r>
      <w:r w:rsidRPr="00865F93">
        <w:rPr>
          <w:rFonts w:cs="Arial"/>
          <w:lang w:val="fr-CH"/>
        </w:rPr>
        <w:t>OCVV a participé</w:t>
      </w:r>
      <w:r>
        <w:rPr>
          <w:rFonts w:cs="Arial"/>
          <w:lang w:val="fr-CH"/>
        </w:rPr>
        <w:t xml:space="preserve"> au cinquième séminaire international sur les droits d’obtenteur, organisé en octobre 2014 à </w:t>
      </w:r>
      <w:proofErr w:type="spellStart"/>
      <w:r>
        <w:rPr>
          <w:rFonts w:cs="Arial"/>
          <w:lang w:val="fr-CH"/>
        </w:rPr>
        <w:t>Quevedo</w:t>
      </w:r>
      <w:proofErr w:type="spellEnd"/>
      <w:r>
        <w:rPr>
          <w:rFonts w:cs="Arial"/>
          <w:lang w:val="fr-CH"/>
        </w:rPr>
        <w:t xml:space="preserve"> (Équateur) par l’IEPI (Institut équatorien de la propriété intellectuelle), en coopération avec l’UPOV et l’INIAP (Institut national de recherche agricole).  Il a fait des exposés sur le système européen de protection des obtentions végétales et sur l’organisation d’examens DHS dans l’Union européenne.  En marge de ce séminaire, une réunion s’est tenue avec l’IEPI pour réfléchir à une coopération plus approfondie avec l’OCVV et ses services d’examen.</w:t>
      </w:r>
    </w:p>
    <w:p w:rsidR="00023109" w:rsidRPr="000A5210" w:rsidRDefault="00023109" w:rsidP="00023109">
      <w:pPr>
        <w:spacing w:after="240"/>
        <w:rPr>
          <w:rFonts w:cs="Arial"/>
          <w:lang w:val="fr-CH"/>
        </w:rPr>
      </w:pPr>
      <w:r w:rsidRPr="000A5210">
        <w:rPr>
          <w:rFonts w:cs="Arial"/>
          <w:lang w:val="fr-CH"/>
        </w:rPr>
        <w:t>Le vice</w:t>
      </w:r>
      <w:r>
        <w:rPr>
          <w:rFonts w:cs="Arial"/>
          <w:lang w:val="fr-CH"/>
        </w:rPr>
        <w:noBreakHyphen/>
      </w:r>
      <w:r w:rsidRPr="000A5210">
        <w:rPr>
          <w:rFonts w:cs="Arial"/>
          <w:lang w:val="fr-CH"/>
        </w:rPr>
        <w:t>président a également participé à un atelier sur les droits de propriété intellectuelle organisé les 18 et 19</w:t>
      </w:r>
      <w:r>
        <w:rPr>
          <w:rFonts w:cs="Arial"/>
          <w:lang w:val="fr-CH"/>
        </w:rPr>
        <w:t> </w:t>
      </w:r>
      <w:r w:rsidRPr="000A5210">
        <w:rPr>
          <w:rFonts w:cs="Arial"/>
          <w:lang w:val="fr-CH"/>
        </w:rPr>
        <w:t>mai</w:t>
      </w:r>
      <w:r>
        <w:rPr>
          <w:rFonts w:cs="Arial"/>
          <w:lang w:val="fr-CH"/>
        </w:rPr>
        <w:t> </w:t>
      </w:r>
      <w:r w:rsidRPr="000A5210">
        <w:rPr>
          <w:rFonts w:cs="Arial"/>
          <w:lang w:val="fr-CH"/>
        </w:rPr>
        <w:t>2015 à Bangkok (Tha</w:t>
      </w:r>
      <w:r>
        <w:rPr>
          <w:rFonts w:cs="Arial"/>
          <w:lang w:val="fr-CH"/>
        </w:rPr>
        <w:t xml:space="preserve">ïlande) par l’association </w:t>
      </w:r>
      <w:r w:rsidRPr="000A5210">
        <w:rPr>
          <w:rFonts w:cs="Arial"/>
          <w:i/>
          <w:lang w:val="fr-CH"/>
        </w:rPr>
        <w:t xml:space="preserve">Asia &amp; Pacific </w:t>
      </w:r>
      <w:proofErr w:type="spellStart"/>
      <w:r w:rsidRPr="000A5210">
        <w:rPr>
          <w:rFonts w:cs="Arial"/>
          <w:i/>
          <w:lang w:val="fr-CH"/>
        </w:rPr>
        <w:t>Seed</w:t>
      </w:r>
      <w:proofErr w:type="spellEnd"/>
      <w:r w:rsidRPr="000A5210">
        <w:rPr>
          <w:rFonts w:cs="Arial"/>
          <w:i/>
          <w:lang w:val="fr-CH"/>
        </w:rPr>
        <w:t xml:space="preserve"> Association</w:t>
      </w:r>
      <w:r w:rsidRPr="000A5210">
        <w:rPr>
          <w:rFonts w:cs="Arial"/>
          <w:lang w:val="fr-CH"/>
        </w:rPr>
        <w:t xml:space="preserve"> (APSA)</w:t>
      </w:r>
      <w:r>
        <w:rPr>
          <w:rFonts w:cs="Arial"/>
          <w:lang w:val="fr-CH"/>
        </w:rPr>
        <w:t>.  L’atelier, au cours duquel le vice</w:t>
      </w:r>
      <w:r>
        <w:rPr>
          <w:rFonts w:cs="Arial"/>
          <w:lang w:val="fr-CH"/>
        </w:rPr>
        <w:noBreakHyphen/>
        <w:t>président a présenté un exposé, était destiné aux membres des associations nationales de semenciers affiliées à l’APSA.  Il avait pour principal objectif la présentation et l’examen de la note d’information sur les droits de propriété intellectuelle établie par l’APSA.</w:t>
      </w:r>
    </w:p>
    <w:p w:rsidR="00023109" w:rsidRPr="000F0CBF" w:rsidRDefault="00023109" w:rsidP="00023109">
      <w:pPr>
        <w:spacing w:after="240"/>
        <w:rPr>
          <w:rFonts w:cs="Arial"/>
          <w:lang w:val="fr-CH"/>
        </w:rPr>
      </w:pPr>
      <w:r>
        <w:rPr>
          <w:rFonts w:cs="Arial"/>
          <w:lang w:val="fr-CH"/>
        </w:rPr>
        <w:t>Le chef du service juridique de l’OCVV a assisté et contribué par un examen au module intensif sur le droit d’obtenteur (OCVV</w:t>
      </w:r>
      <w:r>
        <w:rPr>
          <w:rFonts w:cs="Arial"/>
          <w:lang w:val="fr-CH"/>
        </w:rPr>
        <w:noBreakHyphen/>
        <w:t>UPOV</w:t>
      </w:r>
      <w:r>
        <w:rPr>
          <w:rFonts w:cs="Arial"/>
          <w:lang w:val="fr-CH"/>
        </w:rPr>
        <w:noBreakHyphen/>
        <w:t xml:space="preserve">OEVV) organisé dans le cadre de la maîtrise en propriété intellectuelle (Magister </w:t>
      </w:r>
      <w:proofErr w:type="spellStart"/>
      <w:r>
        <w:rPr>
          <w:rFonts w:cs="Arial"/>
          <w:lang w:val="fr-CH"/>
        </w:rPr>
        <w:t>Lucentinus</w:t>
      </w:r>
      <w:proofErr w:type="spellEnd"/>
      <w:r>
        <w:rPr>
          <w:rFonts w:cs="Arial"/>
          <w:lang w:val="fr-CH"/>
        </w:rPr>
        <w:t>) de l’Université d’Alicante les 13 et 14 novembre 2014 (Espagne).</w:t>
      </w:r>
    </w:p>
    <w:p w:rsidR="00023109" w:rsidRPr="00D8190E" w:rsidRDefault="00023109" w:rsidP="00023109">
      <w:pPr>
        <w:spacing w:after="240"/>
        <w:rPr>
          <w:rFonts w:cs="Arial"/>
          <w:lang w:val="fr-CH"/>
        </w:rPr>
      </w:pPr>
      <w:r>
        <w:rPr>
          <w:rFonts w:cs="Arial"/>
          <w:lang w:val="fr-CH"/>
        </w:rPr>
        <w:t>Il</w:t>
      </w:r>
      <w:r w:rsidRPr="00D8190E">
        <w:rPr>
          <w:lang w:val="fr-CH"/>
        </w:rPr>
        <w:t xml:space="preserve"> </w:t>
      </w:r>
      <w:r w:rsidRPr="00D8190E">
        <w:rPr>
          <w:rFonts w:cs="Arial"/>
          <w:lang w:val="fr-CH"/>
        </w:rPr>
        <w:t>a fait un exposé sur le système européen de protection des obtenti</w:t>
      </w:r>
      <w:r>
        <w:rPr>
          <w:rFonts w:cs="Arial"/>
          <w:lang w:val="fr-CH"/>
        </w:rPr>
        <w:t>ons végétales à l’occasion du 18</w:t>
      </w:r>
      <w:r w:rsidRPr="00BB484B">
        <w:rPr>
          <w:rFonts w:cs="Arial"/>
          <w:vertAlign w:val="superscript"/>
          <w:lang w:val="fr-CH"/>
        </w:rPr>
        <w:t>e</w:t>
      </w:r>
      <w:r w:rsidRPr="00D8190E">
        <w:rPr>
          <w:rFonts w:cs="Arial"/>
          <w:lang w:val="fr-CH"/>
        </w:rPr>
        <w:t xml:space="preserve"> cours sur la protection des obtentions végétales, organisé p</w:t>
      </w:r>
      <w:r>
        <w:rPr>
          <w:rFonts w:cs="Arial"/>
          <w:lang w:val="fr-CH"/>
        </w:rPr>
        <w:t xml:space="preserve">ar </w:t>
      </w:r>
      <w:proofErr w:type="spellStart"/>
      <w:r>
        <w:rPr>
          <w:rFonts w:cs="Arial"/>
          <w:lang w:val="fr-CH"/>
        </w:rPr>
        <w:t>Naktuinbouw</w:t>
      </w:r>
      <w:proofErr w:type="spellEnd"/>
      <w:r>
        <w:rPr>
          <w:rFonts w:cs="Arial"/>
          <w:lang w:val="fr-CH"/>
        </w:rPr>
        <w:t xml:space="preserve"> à Wageningen le 22 </w:t>
      </w:r>
      <w:r w:rsidRPr="00D8190E">
        <w:rPr>
          <w:rFonts w:cs="Arial"/>
          <w:lang w:val="fr-CH"/>
        </w:rPr>
        <w:t>juin</w:t>
      </w:r>
      <w:r>
        <w:rPr>
          <w:rFonts w:cs="Arial"/>
          <w:lang w:val="fr-CH"/>
        </w:rPr>
        <w:t> </w:t>
      </w:r>
      <w:r w:rsidRPr="00D8190E">
        <w:rPr>
          <w:rFonts w:cs="Arial"/>
          <w:lang w:val="fr-CH"/>
        </w:rPr>
        <w:t>2014.</w:t>
      </w:r>
    </w:p>
    <w:p w:rsidR="00023109" w:rsidRDefault="00023109" w:rsidP="00023109">
      <w:pPr>
        <w:autoSpaceDE w:val="0"/>
        <w:autoSpaceDN w:val="0"/>
        <w:adjustRightInd w:val="0"/>
        <w:spacing w:after="240"/>
        <w:rPr>
          <w:rFonts w:cs="Arial"/>
          <w:lang w:val="fr-CH"/>
        </w:rPr>
      </w:pPr>
      <w:r w:rsidRPr="00E55066">
        <w:rPr>
          <w:rFonts w:cs="Arial"/>
          <w:lang w:val="fr-CH"/>
        </w:rPr>
        <w:t xml:space="preserve">Il a </w:t>
      </w:r>
      <w:r>
        <w:rPr>
          <w:rFonts w:cs="Arial"/>
          <w:lang w:val="fr-CH"/>
        </w:rPr>
        <w:t>assisté et contribué par un exposé</w:t>
      </w:r>
      <w:r w:rsidRPr="00E55066">
        <w:rPr>
          <w:rFonts w:cs="Arial"/>
          <w:lang w:val="fr-CH"/>
        </w:rPr>
        <w:t xml:space="preserve"> au séminaire sur les droits d</w:t>
      </w:r>
      <w:r>
        <w:rPr>
          <w:rFonts w:cs="Arial"/>
          <w:lang w:val="fr-CH"/>
        </w:rPr>
        <w:t>’</w:t>
      </w:r>
      <w:r w:rsidRPr="00E55066">
        <w:rPr>
          <w:rFonts w:cs="Arial"/>
          <w:lang w:val="fr-CH"/>
        </w:rPr>
        <w:t>obtenteur et d</w:t>
      </w:r>
      <w:r>
        <w:rPr>
          <w:rFonts w:cs="Arial"/>
          <w:lang w:val="fr-CH"/>
        </w:rPr>
        <w:t>’</w:t>
      </w:r>
      <w:r w:rsidRPr="00E55066">
        <w:rPr>
          <w:rFonts w:cs="Arial"/>
          <w:lang w:val="fr-CH"/>
        </w:rPr>
        <w:t xml:space="preserve">autres droits de propriété intellectuelle </w:t>
      </w:r>
      <w:r>
        <w:rPr>
          <w:rFonts w:cs="Arial"/>
          <w:lang w:val="fr-CH"/>
        </w:rPr>
        <w:t xml:space="preserve">en lien avec le </w:t>
      </w:r>
      <w:r w:rsidRPr="00E55066">
        <w:rPr>
          <w:rFonts w:cs="Arial"/>
          <w:lang w:val="fr-CH"/>
        </w:rPr>
        <w:t>développement agricole</w:t>
      </w:r>
      <w:r>
        <w:rPr>
          <w:rFonts w:cs="Arial"/>
          <w:lang w:val="fr-CH"/>
        </w:rPr>
        <w:t xml:space="preserve"> (</w:t>
      </w:r>
      <w:proofErr w:type="spellStart"/>
      <w:r w:rsidRPr="00245BB7">
        <w:rPr>
          <w:rFonts w:cs="Arial"/>
          <w:i/>
        </w:rPr>
        <w:t>Jornada</w:t>
      </w:r>
      <w:proofErr w:type="spellEnd"/>
      <w:r w:rsidRPr="00245BB7">
        <w:rPr>
          <w:rFonts w:cs="Arial"/>
          <w:i/>
        </w:rPr>
        <w:t xml:space="preserve"> “La </w:t>
      </w:r>
      <w:proofErr w:type="spellStart"/>
      <w:r w:rsidRPr="00245BB7">
        <w:rPr>
          <w:rFonts w:cs="Arial"/>
          <w:i/>
        </w:rPr>
        <w:t>protección</w:t>
      </w:r>
      <w:proofErr w:type="spellEnd"/>
      <w:r w:rsidRPr="00245BB7">
        <w:rPr>
          <w:rFonts w:cs="Arial"/>
          <w:i/>
        </w:rPr>
        <w:t xml:space="preserve"> de las </w:t>
      </w:r>
      <w:proofErr w:type="spellStart"/>
      <w:r w:rsidRPr="00245BB7">
        <w:rPr>
          <w:rFonts w:cs="Arial"/>
          <w:i/>
        </w:rPr>
        <w:t>variedades</w:t>
      </w:r>
      <w:proofErr w:type="spellEnd"/>
      <w:r w:rsidRPr="00245BB7">
        <w:rPr>
          <w:rFonts w:cs="Arial"/>
          <w:i/>
        </w:rPr>
        <w:t xml:space="preserve"> </w:t>
      </w:r>
      <w:proofErr w:type="spellStart"/>
      <w:r w:rsidRPr="00245BB7">
        <w:rPr>
          <w:rFonts w:cs="Arial"/>
          <w:i/>
        </w:rPr>
        <w:t>vegetales</w:t>
      </w:r>
      <w:proofErr w:type="spellEnd"/>
      <w:r w:rsidRPr="00245BB7">
        <w:rPr>
          <w:rFonts w:cs="Arial"/>
          <w:i/>
        </w:rPr>
        <w:t xml:space="preserve"> y </w:t>
      </w:r>
      <w:proofErr w:type="spellStart"/>
      <w:r w:rsidRPr="00245BB7">
        <w:rPr>
          <w:rFonts w:cs="Arial"/>
          <w:i/>
        </w:rPr>
        <w:t>otros</w:t>
      </w:r>
      <w:proofErr w:type="spellEnd"/>
      <w:r w:rsidRPr="00245BB7">
        <w:rPr>
          <w:rFonts w:cs="Arial"/>
          <w:i/>
        </w:rPr>
        <w:t xml:space="preserve"> </w:t>
      </w:r>
      <w:proofErr w:type="spellStart"/>
      <w:r w:rsidRPr="00245BB7">
        <w:rPr>
          <w:rFonts w:cs="Arial"/>
          <w:i/>
        </w:rPr>
        <w:t>derechos</w:t>
      </w:r>
      <w:proofErr w:type="spellEnd"/>
      <w:r w:rsidRPr="00245BB7">
        <w:rPr>
          <w:rFonts w:cs="Arial"/>
          <w:i/>
        </w:rPr>
        <w:t xml:space="preserve"> de </w:t>
      </w:r>
      <w:proofErr w:type="spellStart"/>
      <w:r w:rsidRPr="00245BB7">
        <w:rPr>
          <w:rFonts w:cs="Arial"/>
          <w:i/>
        </w:rPr>
        <w:t>propiedad</w:t>
      </w:r>
      <w:proofErr w:type="spellEnd"/>
      <w:r w:rsidRPr="00245BB7">
        <w:rPr>
          <w:rFonts w:cs="Arial"/>
          <w:i/>
        </w:rPr>
        <w:t xml:space="preserve"> </w:t>
      </w:r>
      <w:proofErr w:type="spellStart"/>
      <w:r w:rsidRPr="00245BB7">
        <w:rPr>
          <w:rFonts w:cs="Arial"/>
          <w:i/>
        </w:rPr>
        <w:t>intelectual</w:t>
      </w:r>
      <w:proofErr w:type="spellEnd"/>
      <w:r w:rsidRPr="00245BB7">
        <w:rPr>
          <w:rFonts w:cs="Arial"/>
          <w:i/>
        </w:rPr>
        <w:t xml:space="preserve"> en el </w:t>
      </w:r>
      <w:proofErr w:type="spellStart"/>
      <w:r w:rsidRPr="00245BB7">
        <w:rPr>
          <w:rFonts w:cs="Arial"/>
          <w:i/>
        </w:rPr>
        <w:t>desarrollo</w:t>
      </w:r>
      <w:proofErr w:type="spellEnd"/>
      <w:r w:rsidRPr="00245BB7">
        <w:rPr>
          <w:rFonts w:cs="Arial"/>
          <w:i/>
        </w:rPr>
        <w:t xml:space="preserve"> de la </w:t>
      </w:r>
      <w:proofErr w:type="spellStart"/>
      <w:r w:rsidRPr="00245BB7">
        <w:rPr>
          <w:rFonts w:cs="Arial"/>
          <w:i/>
        </w:rPr>
        <w:t>agricultura</w:t>
      </w:r>
      <w:proofErr w:type="spellEnd"/>
      <w:r>
        <w:rPr>
          <w:rFonts w:cs="Arial"/>
          <w:i/>
          <w:lang w:val="fr-CH"/>
        </w:rPr>
        <w:t>”</w:t>
      </w:r>
      <w:r w:rsidRPr="00047419">
        <w:rPr>
          <w:rFonts w:cs="Arial"/>
          <w:i/>
          <w:lang w:val="fr-CH"/>
        </w:rPr>
        <w:t>)</w:t>
      </w:r>
      <w:r>
        <w:rPr>
          <w:rFonts w:cs="Arial"/>
          <w:lang w:val="fr-CH"/>
        </w:rPr>
        <w:t xml:space="preserve"> (OEPM – </w:t>
      </w:r>
      <w:r w:rsidRPr="00047419">
        <w:rPr>
          <w:rFonts w:cs="Arial"/>
          <w:lang w:val="fr-CH"/>
        </w:rPr>
        <w:t>Office espagnol des brevets et des marques</w:t>
      </w:r>
      <w:r>
        <w:rPr>
          <w:rFonts w:cs="Arial"/>
          <w:lang w:val="fr-CH"/>
        </w:rPr>
        <w:t>), tenu à Madrid (Espagne) le 11 juin 2015.</w:t>
      </w:r>
    </w:p>
    <w:p w:rsidR="00023109" w:rsidRPr="00785714" w:rsidRDefault="00023109" w:rsidP="00023109">
      <w:pPr>
        <w:autoSpaceDE w:val="0"/>
        <w:autoSpaceDN w:val="0"/>
        <w:adjustRightInd w:val="0"/>
        <w:spacing w:after="240"/>
        <w:rPr>
          <w:rFonts w:cs="Arial"/>
          <w:lang w:val="fr-CH"/>
        </w:rPr>
      </w:pPr>
      <w:r w:rsidRPr="00785714">
        <w:rPr>
          <w:rFonts w:cs="Arial"/>
          <w:lang w:val="fr-CH"/>
        </w:rPr>
        <w:t xml:space="preserve">Il a assisté et contribué par un exposé au séminaire intitulé </w:t>
      </w:r>
      <w:r>
        <w:rPr>
          <w:rFonts w:cs="Arial"/>
          <w:lang w:val="fr-CH"/>
        </w:rPr>
        <w:t>“Une nouvelle vision des droits d’obtenteur pour les variétés protégées”, organisé par l’ASOVAV (Association des opérateurs de variétés végétales) (</w:t>
      </w:r>
      <w:r>
        <w:rPr>
          <w:rFonts w:cs="Arial"/>
          <w:i/>
          <w:lang w:val="fr-CH"/>
        </w:rPr>
        <w:t>IV </w:t>
      </w:r>
      <w:proofErr w:type="spellStart"/>
      <w:r w:rsidRPr="00245BB7">
        <w:rPr>
          <w:rFonts w:cs="Arial"/>
          <w:i/>
        </w:rPr>
        <w:t>Jornada</w:t>
      </w:r>
      <w:proofErr w:type="spellEnd"/>
      <w:r w:rsidRPr="00245BB7">
        <w:rPr>
          <w:rFonts w:cs="Arial"/>
          <w:i/>
        </w:rPr>
        <w:t xml:space="preserve"> de ASOVAV </w:t>
      </w:r>
      <w:proofErr w:type="spellStart"/>
      <w:r w:rsidRPr="00245BB7">
        <w:rPr>
          <w:rFonts w:cs="Arial"/>
          <w:i/>
        </w:rPr>
        <w:t>Nueva</w:t>
      </w:r>
      <w:proofErr w:type="spellEnd"/>
      <w:r w:rsidRPr="00245BB7">
        <w:rPr>
          <w:rFonts w:cs="Arial"/>
          <w:i/>
        </w:rPr>
        <w:t xml:space="preserve"> </w:t>
      </w:r>
      <w:proofErr w:type="spellStart"/>
      <w:r w:rsidRPr="00245BB7">
        <w:rPr>
          <w:rFonts w:cs="Arial"/>
          <w:i/>
        </w:rPr>
        <w:t>visión</w:t>
      </w:r>
      <w:proofErr w:type="spellEnd"/>
      <w:r w:rsidRPr="00245BB7">
        <w:rPr>
          <w:rFonts w:cs="Arial"/>
          <w:i/>
        </w:rPr>
        <w:t xml:space="preserve"> sobre los </w:t>
      </w:r>
      <w:proofErr w:type="spellStart"/>
      <w:r w:rsidRPr="00245BB7">
        <w:rPr>
          <w:rFonts w:cs="Arial"/>
          <w:i/>
        </w:rPr>
        <w:t>derechos</w:t>
      </w:r>
      <w:proofErr w:type="spellEnd"/>
      <w:r w:rsidRPr="00245BB7">
        <w:rPr>
          <w:rFonts w:cs="Arial"/>
          <w:i/>
        </w:rPr>
        <w:t xml:space="preserve"> </w:t>
      </w:r>
      <w:proofErr w:type="spellStart"/>
      <w:r w:rsidRPr="00245BB7">
        <w:rPr>
          <w:rFonts w:cs="Arial"/>
          <w:i/>
        </w:rPr>
        <w:t>del</w:t>
      </w:r>
      <w:proofErr w:type="spellEnd"/>
      <w:r w:rsidRPr="00245BB7">
        <w:rPr>
          <w:rFonts w:cs="Arial"/>
          <w:i/>
        </w:rPr>
        <w:t xml:space="preserve"> </w:t>
      </w:r>
      <w:proofErr w:type="spellStart"/>
      <w:r w:rsidRPr="00245BB7">
        <w:rPr>
          <w:rFonts w:cs="Arial"/>
          <w:i/>
        </w:rPr>
        <w:t>obtentor</w:t>
      </w:r>
      <w:proofErr w:type="spellEnd"/>
      <w:r w:rsidRPr="00245BB7">
        <w:rPr>
          <w:rFonts w:cs="Arial"/>
          <w:i/>
        </w:rPr>
        <w:t xml:space="preserve"> en las </w:t>
      </w:r>
      <w:proofErr w:type="spellStart"/>
      <w:r w:rsidRPr="00245BB7">
        <w:rPr>
          <w:rFonts w:cs="Arial"/>
          <w:i/>
        </w:rPr>
        <w:t>variedades</w:t>
      </w:r>
      <w:proofErr w:type="spellEnd"/>
      <w:r w:rsidRPr="00245BB7">
        <w:rPr>
          <w:rFonts w:cs="Arial"/>
          <w:i/>
        </w:rPr>
        <w:t xml:space="preserve"> </w:t>
      </w:r>
      <w:proofErr w:type="spellStart"/>
      <w:r w:rsidRPr="00245BB7">
        <w:rPr>
          <w:rFonts w:cs="Arial"/>
          <w:i/>
        </w:rPr>
        <w:t>protegidas</w:t>
      </w:r>
      <w:proofErr w:type="spellEnd"/>
      <w:r>
        <w:rPr>
          <w:rFonts w:cs="Arial"/>
          <w:lang w:val="fr-CH"/>
        </w:rPr>
        <w:t>) à Valence (Espagne) le 18 juin 2015.</w:t>
      </w:r>
    </w:p>
    <w:p w:rsidR="00023109" w:rsidRPr="009711E1" w:rsidRDefault="00023109" w:rsidP="00023109">
      <w:pPr>
        <w:autoSpaceDE w:val="0"/>
        <w:autoSpaceDN w:val="0"/>
        <w:adjustRightInd w:val="0"/>
        <w:spacing w:after="240"/>
        <w:rPr>
          <w:rFonts w:cs="Arial"/>
          <w:lang w:val="fr-CH"/>
        </w:rPr>
      </w:pPr>
      <w:r w:rsidRPr="009711E1">
        <w:rPr>
          <w:rFonts w:cs="Arial"/>
          <w:lang w:val="fr-CH"/>
        </w:rPr>
        <w:t xml:space="preserve">La conseillère juridique </w:t>
      </w:r>
      <w:r>
        <w:rPr>
          <w:rFonts w:cs="Arial"/>
          <w:lang w:val="fr-CH"/>
        </w:rPr>
        <w:t xml:space="preserve">de l’OCVV </w:t>
      </w:r>
      <w:r w:rsidRPr="009711E1">
        <w:rPr>
          <w:rFonts w:cs="Arial"/>
          <w:lang w:val="fr-CH"/>
        </w:rPr>
        <w:t>suit les travaux de l</w:t>
      </w:r>
      <w:r>
        <w:rPr>
          <w:rFonts w:cs="Arial"/>
          <w:lang w:val="fr-CH"/>
        </w:rPr>
        <w:t>’O</w:t>
      </w:r>
      <w:r w:rsidRPr="009711E1">
        <w:rPr>
          <w:rFonts w:cs="Arial"/>
          <w:lang w:val="fr-CH"/>
        </w:rPr>
        <w:t xml:space="preserve">bservatoire </w:t>
      </w:r>
      <w:r>
        <w:rPr>
          <w:rFonts w:cs="Arial"/>
          <w:lang w:val="fr-CH"/>
        </w:rPr>
        <w:t>de l’</w:t>
      </w:r>
      <w:r w:rsidRPr="009711E1">
        <w:rPr>
          <w:rFonts w:cs="Arial"/>
          <w:lang w:val="fr-CH"/>
        </w:rPr>
        <w:t>OHM</w:t>
      </w:r>
      <w:r>
        <w:rPr>
          <w:rFonts w:cs="Arial"/>
          <w:lang w:val="fr-CH"/>
        </w:rPr>
        <w:t>I</w:t>
      </w:r>
      <w:r w:rsidRPr="009711E1">
        <w:rPr>
          <w:rFonts w:cs="Arial"/>
          <w:lang w:val="fr-CH"/>
        </w:rPr>
        <w:t xml:space="preserve"> sur les atteintes aux droits de propriété intellectuelle depuis février</w:t>
      </w:r>
      <w:r>
        <w:rPr>
          <w:rFonts w:cs="Arial"/>
          <w:lang w:val="fr-CH"/>
        </w:rPr>
        <w:t> </w:t>
      </w:r>
      <w:r w:rsidRPr="009711E1">
        <w:rPr>
          <w:rFonts w:cs="Arial"/>
          <w:lang w:val="fr-CH"/>
        </w:rPr>
        <w:t>2013.</w:t>
      </w:r>
      <w:r>
        <w:rPr>
          <w:rFonts w:cs="Arial"/>
          <w:lang w:val="fr-CH"/>
        </w:rPr>
        <w:t xml:space="preserve">  L’Observatoire a lancé en septembre 2014 un projet pilote visant à mettre en place une base de données sur la jurisprudence relative à l’application de tous les droits de propriété intellectuelle, qui prendrait en considération 800 affaires (juridictions nationales, OHMI, OCVV, Cour de justice de l’Union européenne) et compterait sur la participation des offices de propriété intellectuelle de quelques États membres : le Danemark, l’Espagne, la France, La Lituanie, la Roumaine, le Royaume</w:t>
      </w:r>
      <w:r>
        <w:rPr>
          <w:rFonts w:cs="Arial"/>
          <w:lang w:val="fr-CH"/>
        </w:rPr>
        <w:noBreakHyphen/>
        <w:t>Uni, la Slovénie et la Suède.  Cette étape, à laquelle a contribué l’OCVV par l’intermédiaire de son service juridique, s’est terminée en mai 2015.  Quatre autres pays ont rejoint le projet en 2015 : l’Autriche, la Hongrie, l’Irlande et la République tchèque.  Les décisions prises en considération sont celles dites “essentielles” en matière d’application des droits de propriété intellectuelle (on entend par “essentielle” une décision qui établit un précédent ou va à l’encontre de la jurisprudence constante), dans des affaires au civil et au pénal traitées entre 2006 et 2014 et portant sur les droits de propriété intellectuelle.  Une fois le projet achevé, une mise à jour sera effectuée chaque année.  La conseillère juridique participera aux réunions de septembre et octobre de l’Observatoire, à l’occasion desquelles les membres seront informés de l’avancée de ce projet et des travaux des groupes de travail de l’Observatoire chargés de questions juridiques et d’application des droits.</w:t>
      </w:r>
    </w:p>
    <w:p w:rsidR="00023109" w:rsidRPr="006A41BB" w:rsidRDefault="00023109" w:rsidP="00023109">
      <w:pPr>
        <w:autoSpaceDE w:val="0"/>
        <w:autoSpaceDN w:val="0"/>
        <w:adjustRightInd w:val="0"/>
        <w:spacing w:after="240"/>
        <w:rPr>
          <w:rFonts w:cs="Arial"/>
          <w:i/>
          <w:lang w:val="fr-CH"/>
        </w:rPr>
      </w:pPr>
      <w:r w:rsidRPr="006A41BB">
        <w:rPr>
          <w:rFonts w:cs="Arial"/>
          <w:lang w:val="fr-CH"/>
        </w:rPr>
        <w:t>L</w:t>
      </w:r>
      <w:r>
        <w:rPr>
          <w:rFonts w:cs="Arial"/>
          <w:lang w:val="fr-CH"/>
        </w:rPr>
        <w:t>’</w:t>
      </w:r>
      <w:r w:rsidRPr="006A41BB">
        <w:rPr>
          <w:rFonts w:cs="Arial"/>
          <w:lang w:val="fr-CH"/>
        </w:rPr>
        <w:t>expert chargé des fruits et légumes au sein du service technique de l</w:t>
      </w:r>
      <w:r>
        <w:rPr>
          <w:rFonts w:cs="Arial"/>
          <w:lang w:val="fr-CH"/>
        </w:rPr>
        <w:t>’</w:t>
      </w:r>
      <w:r w:rsidRPr="006A41BB">
        <w:rPr>
          <w:rFonts w:cs="Arial"/>
          <w:lang w:val="fr-CH"/>
        </w:rPr>
        <w:t>OCVV a assisté et contribué par des exposés à la formation</w:t>
      </w:r>
      <w:r>
        <w:rPr>
          <w:rFonts w:cs="Arial"/>
          <w:lang w:val="fr-CH"/>
        </w:rPr>
        <w:t xml:space="preserve"> sur l’harmonisation des </w:t>
      </w:r>
      <w:r w:rsidRPr="006A41BB">
        <w:rPr>
          <w:rFonts w:cs="Arial"/>
          <w:lang w:val="fr-CH"/>
        </w:rPr>
        <w:t>travaux d</w:t>
      </w:r>
      <w:r>
        <w:rPr>
          <w:rFonts w:cs="Arial"/>
          <w:lang w:val="fr-CH"/>
        </w:rPr>
        <w:t>’</w:t>
      </w:r>
      <w:r w:rsidRPr="006A41BB">
        <w:rPr>
          <w:rFonts w:cs="Arial"/>
          <w:lang w:val="fr-CH"/>
        </w:rPr>
        <w:t>examen</w:t>
      </w:r>
      <w:r>
        <w:rPr>
          <w:rFonts w:cs="Arial"/>
          <w:lang w:val="fr-CH"/>
        </w:rPr>
        <w:t> </w:t>
      </w:r>
      <w:r w:rsidRPr="006A41BB">
        <w:rPr>
          <w:rFonts w:cs="Arial"/>
          <w:lang w:val="fr-CH"/>
        </w:rPr>
        <w:t>DHS</w:t>
      </w:r>
      <w:r>
        <w:rPr>
          <w:rFonts w:cs="Arial"/>
          <w:lang w:val="fr-CH"/>
        </w:rPr>
        <w:t xml:space="preserve"> menés par les centres espagnols d’examen agréés par l’OCVV avec les principes de l’UPOV et de l’OCVV.</w:t>
      </w:r>
      <w:r w:rsidRPr="006A41BB">
        <w:rPr>
          <w:rFonts w:cs="Arial"/>
          <w:lang w:val="fr-CH"/>
        </w:rPr>
        <w:t xml:space="preserve"> </w:t>
      </w:r>
      <w:r>
        <w:rPr>
          <w:rFonts w:cs="Arial"/>
          <w:lang w:val="fr-CH"/>
        </w:rPr>
        <w:t xml:space="preserve"> Cette formation était </w:t>
      </w:r>
      <w:r w:rsidRPr="006A41BB">
        <w:rPr>
          <w:rFonts w:cs="Arial"/>
          <w:lang w:val="fr-CH"/>
        </w:rPr>
        <w:t xml:space="preserve">organisée par </w:t>
      </w:r>
      <w:r>
        <w:rPr>
          <w:rFonts w:cs="Arial"/>
          <w:lang w:val="fr-CH"/>
        </w:rPr>
        <w:t>l’office</w:t>
      </w:r>
      <w:r w:rsidRPr="006A41BB">
        <w:rPr>
          <w:rFonts w:cs="Arial"/>
          <w:lang w:val="fr-CH"/>
        </w:rPr>
        <w:t xml:space="preserve"> d</w:t>
      </w:r>
      <w:r>
        <w:rPr>
          <w:rFonts w:cs="Arial"/>
          <w:lang w:val="fr-CH"/>
        </w:rPr>
        <w:t>’</w:t>
      </w:r>
      <w:r w:rsidRPr="006A41BB">
        <w:rPr>
          <w:rFonts w:cs="Arial"/>
          <w:lang w:val="fr-CH"/>
        </w:rPr>
        <w:t>examen espagnol de l</w:t>
      </w:r>
      <w:r>
        <w:rPr>
          <w:rFonts w:cs="Arial"/>
          <w:lang w:val="fr-CH"/>
        </w:rPr>
        <w:t>’</w:t>
      </w:r>
      <w:r w:rsidRPr="006A41BB">
        <w:rPr>
          <w:rFonts w:cs="Arial"/>
          <w:lang w:val="fr-CH"/>
        </w:rPr>
        <w:t>OEVV (</w:t>
      </w:r>
      <w:proofErr w:type="spellStart"/>
      <w:r w:rsidRPr="00245BB7">
        <w:rPr>
          <w:rFonts w:cs="Arial"/>
          <w:i/>
        </w:rPr>
        <w:t>Oficina</w:t>
      </w:r>
      <w:proofErr w:type="spellEnd"/>
      <w:r w:rsidRPr="00245BB7">
        <w:rPr>
          <w:rFonts w:cs="Arial"/>
          <w:i/>
        </w:rPr>
        <w:t xml:space="preserve"> </w:t>
      </w:r>
      <w:proofErr w:type="spellStart"/>
      <w:r w:rsidRPr="00245BB7">
        <w:rPr>
          <w:rFonts w:cs="Arial"/>
          <w:i/>
        </w:rPr>
        <w:t>Española</w:t>
      </w:r>
      <w:proofErr w:type="spellEnd"/>
      <w:r w:rsidRPr="00245BB7">
        <w:rPr>
          <w:rFonts w:cs="Arial"/>
          <w:i/>
        </w:rPr>
        <w:t xml:space="preserve"> de </w:t>
      </w:r>
      <w:proofErr w:type="spellStart"/>
      <w:r w:rsidRPr="00245BB7">
        <w:rPr>
          <w:rFonts w:cs="Arial"/>
          <w:i/>
        </w:rPr>
        <w:t>Variedades</w:t>
      </w:r>
      <w:proofErr w:type="spellEnd"/>
      <w:r w:rsidRPr="00245BB7">
        <w:rPr>
          <w:rFonts w:cs="Arial"/>
          <w:i/>
        </w:rPr>
        <w:t xml:space="preserve"> </w:t>
      </w:r>
      <w:proofErr w:type="spellStart"/>
      <w:r w:rsidRPr="00245BB7">
        <w:rPr>
          <w:rFonts w:cs="Arial"/>
          <w:i/>
        </w:rPr>
        <w:t>Vegetales</w:t>
      </w:r>
      <w:proofErr w:type="spellEnd"/>
      <w:r w:rsidRPr="006A41BB">
        <w:rPr>
          <w:rFonts w:cs="Arial"/>
          <w:lang w:val="fr-CH"/>
        </w:rPr>
        <w:t>)</w:t>
      </w:r>
      <w:r>
        <w:rPr>
          <w:rFonts w:cs="Arial"/>
          <w:lang w:val="fr-CH"/>
        </w:rPr>
        <w:t xml:space="preserve"> à San Fernando de Henares (Espagne) du 24 au 27 février 2014.</w:t>
      </w:r>
    </w:p>
    <w:p w:rsidR="00023109" w:rsidRPr="007F456D" w:rsidRDefault="00023109" w:rsidP="00023109">
      <w:pPr>
        <w:autoSpaceDE w:val="0"/>
        <w:autoSpaceDN w:val="0"/>
        <w:adjustRightInd w:val="0"/>
        <w:spacing w:after="240"/>
        <w:rPr>
          <w:rFonts w:cs="Arial"/>
          <w:lang w:val="fr-CH"/>
        </w:rPr>
      </w:pPr>
      <w:r>
        <w:rPr>
          <w:rFonts w:cs="Arial"/>
          <w:lang w:val="fr-CH"/>
        </w:rPr>
        <w:t>L’</w:t>
      </w:r>
      <w:r w:rsidRPr="007F456D">
        <w:rPr>
          <w:rFonts w:cs="Arial"/>
          <w:lang w:val="fr-CH"/>
        </w:rPr>
        <w:t>OCVV a été représenté</w:t>
      </w:r>
      <w:r>
        <w:rPr>
          <w:rFonts w:cs="Arial"/>
          <w:lang w:val="fr-CH"/>
        </w:rPr>
        <w:t>e</w:t>
      </w:r>
      <w:r w:rsidRPr="007F456D">
        <w:rPr>
          <w:rFonts w:cs="Arial"/>
          <w:lang w:val="fr-CH"/>
        </w:rPr>
        <w:t xml:space="preserve"> par le </w:t>
      </w:r>
      <w:r>
        <w:rPr>
          <w:rFonts w:cs="Arial"/>
          <w:lang w:val="fr-CH"/>
        </w:rPr>
        <w:t>chef de son service d’audit qualité lors du “</w:t>
      </w:r>
      <w:r w:rsidRPr="007F456D">
        <w:rPr>
          <w:rFonts w:cs="Arial"/>
          <w:lang w:val="fr-CH"/>
        </w:rPr>
        <w:t>Séminaire national d</w:t>
      </w:r>
      <w:r>
        <w:rPr>
          <w:rFonts w:cs="Arial"/>
          <w:lang w:val="fr-CH"/>
        </w:rPr>
        <w:t>’</w:t>
      </w:r>
      <w:r w:rsidRPr="007F456D">
        <w:rPr>
          <w:rFonts w:cs="Arial"/>
          <w:lang w:val="fr-CH"/>
        </w:rPr>
        <w:t>information et de sensibilisation à l</w:t>
      </w:r>
      <w:r>
        <w:rPr>
          <w:rFonts w:cs="Arial"/>
          <w:lang w:val="fr-CH"/>
        </w:rPr>
        <w:t>’</w:t>
      </w:r>
      <w:r w:rsidRPr="007F456D">
        <w:rPr>
          <w:rFonts w:cs="Arial"/>
          <w:lang w:val="fr-CH"/>
        </w:rPr>
        <w:t>intention des experts des centres de recherche agricole</w:t>
      </w:r>
      <w:r>
        <w:rPr>
          <w:rFonts w:cs="Arial"/>
          <w:lang w:val="fr-CH"/>
        </w:rPr>
        <w:t>”, organisé par l’OAPI (</w:t>
      </w:r>
      <w:r w:rsidRPr="007F456D">
        <w:rPr>
          <w:rFonts w:cs="Arial"/>
          <w:lang w:val="fr-CH"/>
        </w:rPr>
        <w:t>Organisation africaine de la propriété intellectuelle</w:t>
      </w:r>
      <w:r>
        <w:rPr>
          <w:rFonts w:cs="Arial"/>
          <w:lang w:val="fr-CH"/>
        </w:rPr>
        <w:t>) au Cameroun du 27 au 29 juillet 2015.  Celui</w:t>
      </w:r>
      <w:r>
        <w:rPr>
          <w:rFonts w:cs="Arial"/>
          <w:lang w:val="fr-CH"/>
        </w:rPr>
        <w:noBreakHyphen/>
        <w:t>ci a présenté à cette occasion le système de protection des droits d’obtenteur de l’OCVV.</w:t>
      </w:r>
    </w:p>
    <w:p w:rsidR="00023109" w:rsidRDefault="00023109" w:rsidP="00023109">
      <w:pPr>
        <w:spacing w:after="240"/>
        <w:rPr>
          <w:rFonts w:cs="Arial"/>
          <w:i/>
          <w:u w:val="single"/>
          <w:lang w:val="fr-CH"/>
        </w:rPr>
      </w:pPr>
      <w:r>
        <w:rPr>
          <w:rFonts w:cs="Arial"/>
          <w:i/>
          <w:u w:val="single"/>
          <w:lang w:val="fr-CH"/>
        </w:rPr>
        <w:t>5.2</w:t>
      </w:r>
      <w:r>
        <w:rPr>
          <w:rFonts w:cs="Arial"/>
          <w:i/>
          <w:u w:val="single"/>
          <w:lang w:val="fr-CH"/>
        </w:rPr>
        <w:tab/>
      </w:r>
      <w:r w:rsidRPr="0059779F">
        <w:rPr>
          <w:rFonts w:cs="Arial"/>
          <w:i/>
          <w:u w:val="single"/>
          <w:lang w:val="fr-CH"/>
        </w:rPr>
        <w:t>Visites dans des États et organisations non</w:t>
      </w:r>
      <w:r>
        <w:rPr>
          <w:rFonts w:cs="Arial"/>
          <w:i/>
          <w:u w:val="single"/>
          <w:lang w:val="fr-CH"/>
        </w:rPr>
        <w:noBreakHyphen/>
      </w:r>
      <w:r w:rsidRPr="0059779F">
        <w:rPr>
          <w:rFonts w:cs="Arial"/>
          <w:i/>
          <w:u w:val="single"/>
          <w:lang w:val="fr-CH"/>
        </w:rPr>
        <w:t>membres et réception d</w:t>
      </w:r>
      <w:r>
        <w:rPr>
          <w:rFonts w:cs="Arial"/>
          <w:i/>
          <w:u w:val="single"/>
          <w:lang w:val="fr-CH"/>
        </w:rPr>
        <w:t>’hôtes de ces États et </w:t>
      </w:r>
      <w:r w:rsidRPr="0059779F">
        <w:rPr>
          <w:rFonts w:cs="Arial"/>
          <w:i/>
          <w:u w:val="single"/>
          <w:lang w:val="fr-CH"/>
        </w:rPr>
        <w:t>organisations</w:t>
      </w:r>
    </w:p>
    <w:p w:rsidR="00023109" w:rsidRPr="0059779F" w:rsidRDefault="00023109" w:rsidP="00023109">
      <w:pPr>
        <w:spacing w:after="240"/>
        <w:rPr>
          <w:rFonts w:cs="Arial"/>
          <w:lang w:val="fr-CH"/>
        </w:rPr>
      </w:pPr>
      <w:r w:rsidRPr="0059779F">
        <w:rPr>
          <w:rFonts w:cs="Arial"/>
          <w:lang w:val="fr-CH"/>
        </w:rPr>
        <w:t>Durant la période considérée, l</w:t>
      </w:r>
      <w:r>
        <w:rPr>
          <w:rFonts w:cs="Arial"/>
          <w:lang w:val="fr-CH"/>
        </w:rPr>
        <w:t>’</w:t>
      </w:r>
      <w:r w:rsidRPr="0059779F">
        <w:rPr>
          <w:rFonts w:cs="Arial"/>
          <w:lang w:val="fr-CH"/>
        </w:rPr>
        <w:t>OCVV a eu l</w:t>
      </w:r>
      <w:r>
        <w:rPr>
          <w:rFonts w:cs="Arial"/>
          <w:lang w:val="fr-CH"/>
        </w:rPr>
        <w:t>’</w:t>
      </w:r>
      <w:r w:rsidRPr="0059779F">
        <w:rPr>
          <w:rFonts w:cs="Arial"/>
          <w:lang w:val="fr-CH"/>
        </w:rPr>
        <w:t>honneur de recevoir les visites de haut niveau ci</w:t>
      </w:r>
      <w:r>
        <w:rPr>
          <w:rFonts w:cs="Arial"/>
          <w:lang w:val="fr-CH"/>
        </w:rPr>
        <w:noBreakHyphen/>
      </w:r>
      <w:r w:rsidRPr="0059779F">
        <w:rPr>
          <w:rFonts w:cs="Arial"/>
          <w:lang w:val="fr-CH"/>
        </w:rPr>
        <w:t>après</w:t>
      </w:r>
      <w:r>
        <w:rPr>
          <w:rFonts w:cs="Arial"/>
          <w:lang w:val="fr-CH"/>
        </w:rPr>
        <w:t> </w:t>
      </w:r>
      <w:r w:rsidRPr="0059779F">
        <w:rPr>
          <w:rFonts w:cs="Arial"/>
          <w:lang w:val="fr-CH"/>
        </w:rPr>
        <w:t>:</w:t>
      </w:r>
    </w:p>
    <w:p w:rsidR="00023109" w:rsidRPr="00D31F13" w:rsidRDefault="00023109" w:rsidP="00BD634F">
      <w:pPr>
        <w:numPr>
          <w:ilvl w:val="0"/>
          <w:numId w:val="14"/>
        </w:numPr>
        <w:spacing w:after="120"/>
        <w:ind w:left="1071" w:hanging="357"/>
        <w:rPr>
          <w:rFonts w:cs="Arial"/>
          <w:lang w:val="fr-CH"/>
        </w:rPr>
      </w:pPr>
      <w:r w:rsidRPr="00D31F13">
        <w:rPr>
          <w:rFonts w:cs="Arial"/>
          <w:lang w:val="fr-CH"/>
        </w:rPr>
        <w:t>délégation de l</w:t>
      </w:r>
      <w:r>
        <w:rPr>
          <w:rFonts w:cs="Arial"/>
          <w:lang w:val="fr-CH"/>
        </w:rPr>
        <w:t>’</w:t>
      </w:r>
      <w:r w:rsidRPr="00D31F13">
        <w:rPr>
          <w:rFonts w:cs="Arial"/>
          <w:lang w:val="fr-CH"/>
        </w:rPr>
        <w:t>OAPI, le 18</w:t>
      </w:r>
      <w:r>
        <w:rPr>
          <w:rFonts w:cs="Arial"/>
          <w:lang w:val="fr-CH"/>
        </w:rPr>
        <w:t> </w:t>
      </w:r>
      <w:r w:rsidRPr="00D31F13">
        <w:rPr>
          <w:rFonts w:cs="Arial"/>
          <w:lang w:val="fr-CH"/>
        </w:rPr>
        <w:t>juin</w:t>
      </w:r>
      <w:r>
        <w:rPr>
          <w:rFonts w:cs="Arial"/>
          <w:lang w:val="fr-CH"/>
        </w:rPr>
        <w:t> </w:t>
      </w:r>
      <w:r w:rsidRPr="00D31F13">
        <w:rPr>
          <w:rFonts w:cs="Arial"/>
          <w:lang w:val="fr-CH"/>
        </w:rPr>
        <w:t>2015;</w:t>
      </w:r>
    </w:p>
    <w:p w:rsidR="00023109" w:rsidRDefault="00023109" w:rsidP="00BD634F">
      <w:pPr>
        <w:numPr>
          <w:ilvl w:val="0"/>
          <w:numId w:val="14"/>
        </w:numPr>
        <w:spacing w:after="240"/>
        <w:rPr>
          <w:rFonts w:cs="Arial"/>
          <w:lang w:val="fr-CH"/>
        </w:rPr>
      </w:pPr>
      <w:r w:rsidRPr="00D31F13">
        <w:rPr>
          <w:rFonts w:cs="Arial"/>
          <w:lang w:val="fr-CH"/>
        </w:rPr>
        <w:t>délégation de l</w:t>
      </w:r>
      <w:r>
        <w:rPr>
          <w:rFonts w:cs="Arial"/>
          <w:lang w:val="fr-CH"/>
        </w:rPr>
        <w:t>’i</w:t>
      </w:r>
      <w:r w:rsidRPr="00D31F13">
        <w:rPr>
          <w:rFonts w:cs="Arial"/>
          <w:lang w:val="fr-CH"/>
        </w:rPr>
        <w:t xml:space="preserve">nstitut </w:t>
      </w:r>
      <w:r>
        <w:rPr>
          <w:rFonts w:cs="Arial"/>
          <w:lang w:val="fr-CH"/>
        </w:rPr>
        <w:t>japonais de conseil de gestion NTT Data, le 14 octobre 2014.</w:t>
      </w:r>
    </w:p>
    <w:p w:rsidR="00023109" w:rsidRPr="00344369" w:rsidRDefault="00023109" w:rsidP="00023109">
      <w:pPr>
        <w:spacing w:after="240"/>
        <w:rPr>
          <w:rFonts w:cs="Arial"/>
          <w:i/>
          <w:u w:val="single"/>
          <w:lang w:val="fr-CH"/>
        </w:rPr>
      </w:pPr>
      <w:r>
        <w:rPr>
          <w:rFonts w:cs="Arial"/>
          <w:i/>
          <w:u w:val="single"/>
          <w:lang w:val="fr-CH"/>
        </w:rPr>
        <w:t>5.3</w:t>
      </w:r>
      <w:r>
        <w:rPr>
          <w:rFonts w:cs="Arial"/>
          <w:i/>
          <w:u w:val="single"/>
          <w:lang w:val="fr-CH"/>
        </w:rPr>
        <w:tab/>
      </w:r>
      <w:r w:rsidRPr="00344369">
        <w:rPr>
          <w:rFonts w:cs="Arial"/>
          <w:i/>
          <w:u w:val="single"/>
          <w:lang w:val="fr-CH"/>
        </w:rPr>
        <w:t>Participation à des foires internationales et à des journées portes ouvertes</w:t>
      </w:r>
    </w:p>
    <w:p w:rsidR="00023109" w:rsidRPr="00344369" w:rsidRDefault="00023109" w:rsidP="00023109">
      <w:pPr>
        <w:pStyle w:val="ListParagraph"/>
        <w:spacing w:after="240"/>
        <w:ind w:left="0" w:firstLine="0"/>
        <w:jc w:val="both"/>
        <w:rPr>
          <w:rFonts w:cs="Arial"/>
          <w:szCs w:val="20"/>
          <w:lang w:val="fr-CH"/>
        </w:rPr>
      </w:pPr>
      <w:r w:rsidRPr="00344369">
        <w:rPr>
          <w:rFonts w:cs="Arial"/>
          <w:szCs w:val="20"/>
          <w:lang w:val="fr-CH"/>
        </w:rPr>
        <w:t>L</w:t>
      </w:r>
      <w:r>
        <w:rPr>
          <w:rFonts w:cs="Arial"/>
          <w:szCs w:val="20"/>
          <w:lang w:val="fr-CH"/>
        </w:rPr>
        <w:t>’</w:t>
      </w:r>
      <w:r w:rsidRPr="00344369">
        <w:rPr>
          <w:rFonts w:cs="Arial"/>
          <w:szCs w:val="20"/>
          <w:lang w:val="fr-CH"/>
        </w:rPr>
        <w:t>OCVV considère sa participation à des foires internationales et à des journées “Portes ouvertes” à des offices d</w:t>
      </w:r>
      <w:r>
        <w:rPr>
          <w:rFonts w:cs="Arial"/>
          <w:szCs w:val="20"/>
          <w:lang w:val="fr-CH"/>
        </w:rPr>
        <w:t>’</w:t>
      </w:r>
      <w:r w:rsidRPr="00344369">
        <w:rPr>
          <w:rFonts w:cs="Arial"/>
          <w:szCs w:val="20"/>
          <w:lang w:val="fr-CH"/>
        </w:rPr>
        <w:t>examen comme bon moyen de promouvoir le régime de protection communautaire des obtentions végétales, d</w:t>
      </w:r>
      <w:r>
        <w:rPr>
          <w:rFonts w:cs="Arial"/>
          <w:szCs w:val="20"/>
          <w:lang w:val="fr-CH"/>
        </w:rPr>
        <w:t>’</w:t>
      </w:r>
      <w:r w:rsidRPr="00344369">
        <w:rPr>
          <w:rFonts w:cs="Arial"/>
          <w:szCs w:val="20"/>
          <w:lang w:val="fr-CH"/>
        </w:rPr>
        <w:t xml:space="preserve">avoir des contacts directs avec les demandeurs et de fournir des informations aux cultivateurs. </w:t>
      </w:r>
      <w:r>
        <w:rPr>
          <w:rFonts w:cs="Arial"/>
          <w:szCs w:val="20"/>
          <w:lang w:val="fr-CH"/>
        </w:rPr>
        <w:t xml:space="preserve"> En 2015, il a participé à deux foires :</w:t>
      </w:r>
    </w:p>
    <w:p w:rsidR="00023109" w:rsidRPr="00766BF3" w:rsidRDefault="00023109" w:rsidP="00BD634F">
      <w:pPr>
        <w:pStyle w:val="ListParagraph"/>
        <w:numPr>
          <w:ilvl w:val="0"/>
          <w:numId w:val="15"/>
        </w:numPr>
        <w:spacing w:after="120"/>
        <w:ind w:left="782" w:hanging="357"/>
        <w:jc w:val="both"/>
        <w:rPr>
          <w:rFonts w:cs="Arial"/>
          <w:szCs w:val="20"/>
          <w:lang w:val="fr-CH"/>
        </w:rPr>
      </w:pPr>
      <w:r w:rsidRPr="00766BF3">
        <w:rPr>
          <w:rFonts w:cs="Arial"/>
          <w:szCs w:val="20"/>
          <w:lang w:val="fr-CH"/>
        </w:rPr>
        <w:t>en janvier, l</w:t>
      </w:r>
      <w:r>
        <w:rPr>
          <w:rFonts w:cs="Arial"/>
          <w:szCs w:val="20"/>
          <w:lang w:val="fr-CH"/>
        </w:rPr>
        <w:t>’</w:t>
      </w:r>
      <w:r w:rsidRPr="00766BF3">
        <w:rPr>
          <w:rFonts w:cs="Arial"/>
          <w:szCs w:val="20"/>
          <w:lang w:val="fr-CH"/>
        </w:rPr>
        <w:t>OCVV a participé à “l</w:t>
      </w:r>
      <w:r>
        <w:rPr>
          <w:rFonts w:cs="Arial"/>
          <w:szCs w:val="20"/>
          <w:lang w:val="fr-CH"/>
        </w:rPr>
        <w:t>’</w:t>
      </w:r>
      <w:r w:rsidRPr="00766BF3">
        <w:rPr>
          <w:rFonts w:cs="Arial"/>
          <w:szCs w:val="20"/>
          <w:lang w:val="fr-CH"/>
        </w:rPr>
        <w:t>IPM” à Essen (Allemagne).</w:t>
      </w:r>
      <w:r>
        <w:rPr>
          <w:rFonts w:cs="Arial"/>
          <w:szCs w:val="20"/>
          <w:lang w:val="fr-CH"/>
        </w:rPr>
        <w:t xml:space="preserve"> </w:t>
      </w:r>
      <w:r w:rsidRPr="00766BF3">
        <w:rPr>
          <w:rFonts w:cs="Arial"/>
          <w:szCs w:val="20"/>
          <w:lang w:val="fr-CH"/>
        </w:rPr>
        <w:t xml:space="preserve"> Il y a partagé son stand avec des collègues du </w:t>
      </w:r>
      <w:proofErr w:type="spellStart"/>
      <w:r w:rsidRPr="00766BF3">
        <w:rPr>
          <w:rFonts w:cs="Arial"/>
          <w:szCs w:val="20"/>
          <w:lang w:val="fr-CH"/>
        </w:rPr>
        <w:t>Bundessortenamt</w:t>
      </w:r>
      <w:proofErr w:type="spellEnd"/>
      <w:r>
        <w:rPr>
          <w:rFonts w:cs="Arial"/>
          <w:szCs w:val="20"/>
          <w:lang w:val="fr-CH"/>
        </w:rPr>
        <w:t xml:space="preserve"> (Allemagne), du </w:t>
      </w:r>
      <w:proofErr w:type="spellStart"/>
      <w:r>
        <w:rPr>
          <w:rFonts w:cs="Arial"/>
          <w:szCs w:val="20"/>
          <w:lang w:val="fr-CH"/>
        </w:rPr>
        <w:t>Naktuinbouw</w:t>
      </w:r>
      <w:proofErr w:type="spellEnd"/>
      <w:r>
        <w:rPr>
          <w:rFonts w:cs="Arial"/>
          <w:szCs w:val="20"/>
          <w:lang w:val="fr-CH"/>
        </w:rPr>
        <w:t xml:space="preserve"> (Pays</w:t>
      </w:r>
      <w:r>
        <w:rPr>
          <w:rFonts w:cs="Arial"/>
          <w:szCs w:val="20"/>
          <w:lang w:val="fr-CH"/>
        </w:rPr>
        <w:noBreakHyphen/>
        <w:t>Bas) et du NIAB (Royaume</w:t>
      </w:r>
      <w:r>
        <w:rPr>
          <w:rFonts w:cs="Arial"/>
          <w:szCs w:val="20"/>
          <w:lang w:val="fr-CH"/>
        </w:rPr>
        <w:noBreakHyphen/>
        <w:t>Uni)</w:t>
      </w:r>
      <w:r w:rsidRPr="00766BF3">
        <w:rPr>
          <w:rFonts w:cs="Arial"/>
          <w:szCs w:val="20"/>
          <w:lang w:val="fr-CH"/>
        </w:rPr>
        <w:t>.</w:t>
      </w:r>
      <w:r>
        <w:rPr>
          <w:rFonts w:cs="Arial"/>
          <w:szCs w:val="20"/>
          <w:lang w:val="fr-CH"/>
        </w:rPr>
        <w:t xml:space="preserve">  </w:t>
      </w:r>
      <w:r w:rsidRPr="00766BF3">
        <w:rPr>
          <w:rFonts w:cs="Arial"/>
          <w:szCs w:val="20"/>
          <w:lang w:val="fr-CH"/>
        </w:rPr>
        <w:t>L</w:t>
      </w:r>
      <w:r>
        <w:rPr>
          <w:rFonts w:cs="Arial"/>
          <w:szCs w:val="20"/>
          <w:lang w:val="fr-CH"/>
        </w:rPr>
        <w:t>’</w:t>
      </w:r>
      <w:r w:rsidRPr="00766BF3">
        <w:rPr>
          <w:rFonts w:cs="Arial"/>
          <w:szCs w:val="20"/>
          <w:lang w:val="fr-CH"/>
        </w:rPr>
        <w:t>accent a été m</w:t>
      </w:r>
      <w:r>
        <w:rPr>
          <w:rFonts w:cs="Arial"/>
          <w:szCs w:val="20"/>
          <w:lang w:val="fr-CH"/>
        </w:rPr>
        <w:t>is sur les plantes ornementales;</w:t>
      </w:r>
    </w:p>
    <w:p w:rsidR="00023109" w:rsidRPr="002E592C" w:rsidRDefault="00023109" w:rsidP="00BD634F">
      <w:pPr>
        <w:pStyle w:val="ListParagraph"/>
        <w:numPr>
          <w:ilvl w:val="0"/>
          <w:numId w:val="15"/>
        </w:numPr>
        <w:spacing w:after="240"/>
        <w:jc w:val="both"/>
        <w:rPr>
          <w:rFonts w:cs="Arial"/>
          <w:szCs w:val="20"/>
          <w:lang w:val="fr-CH"/>
        </w:rPr>
      </w:pPr>
      <w:r>
        <w:rPr>
          <w:rFonts w:cs="Arial"/>
          <w:szCs w:val="20"/>
          <w:lang w:val="fr-CH"/>
        </w:rPr>
        <w:t>en février, l</w:t>
      </w:r>
      <w:r w:rsidRPr="002E592C">
        <w:rPr>
          <w:rFonts w:cs="Arial"/>
          <w:szCs w:val="20"/>
          <w:lang w:val="fr-CH"/>
        </w:rPr>
        <w:t>e “Salon du Végétale” a eu lieu à Angers (France).</w:t>
      </w:r>
      <w:r>
        <w:rPr>
          <w:rFonts w:cs="Arial"/>
          <w:szCs w:val="20"/>
          <w:lang w:val="fr-CH"/>
        </w:rPr>
        <w:t xml:space="preserve">  </w:t>
      </w:r>
      <w:r w:rsidRPr="002E592C">
        <w:rPr>
          <w:rFonts w:cs="Arial"/>
          <w:szCs w:val="20"/>
          <w:lang w:val="fr-CH"/>
        </w:rPr>
        <w:t>L</w:t>
      </w:r>
      <w:r>
        <w:rPr>
          <w:rFonts w:cs="Arial"/>
          <w:szCs w:val="20"/>
          <w:lang w:val="fr-CH"/>
        </w:rPr>
        <w:t>’</w:t>
      </w:r>
      <w:r w:rsidRPr="002E592C">
        <w:rPr>
          <w:rFonts w:cs="Arial"/>
          <w:szCs w:val="20"/>
          <w:lang w:val="fr-CH"/>
        </w:rPr>
        <w:t>OCVV participe régulièrement avec le</w:t>
      </w:r>
      <w:r>
        <w:rPr>
          <w:rFonts w:cs="Arial"/>
          <w:szCs w:val="20"/>
          <w:lang w:val="fr-CH"/>
        </w:rPr>
        <w:t> </w:t>
      </w:r>
      <w:r w:rsidRPr="002E592C">
        <w:rPr>
          <w:rFonts w:cs="Arial"/>
          <w:szCs w:val="20"/>
          <w:lang w:val="fr-CH"/>
        </w:rPr>
        <w:t>GEVES, l</w:t>
      </w:r>
      <w:r>
        <w:rPr>
          <w:rFonts w:cs="Arial"/>
          <w:szCs w:val="20"/>
          <w:lang w:val="fr-CH"/>
        </w:rPr>
        <w:t>’</w:t>
      </w:r>
      <w:r w:rsidRPr="002E592C">
        <w:rPr>
          <w:rFonts w:cs="Arial"/>
          <w:szCs w:val="20"/>
          <w:lang w:val="fr-CH"/>
        </w:rPr>
        <w:t>office d</w:t>
      </w:r>
      <w:r>
        <w:rPr>
          <w:rFonts w:cs="Arial"/>
          <w:szCs w:val="20"/>
          <w:lang w:val="fr-CH"/>
        </w:rPr>
        <w:t>’</w:t>
      </w:r>
      <w:r w:rsidRPr="002E592C">
        <w:rPr>
          <w:rFonts w:cs="Arial"/>
          <w:szCs w:val="20"/>
          <w:lang w:val="fr-CH"/>
        </w:rPr>
        <w:t xml:space="preserve">examen français, à cette foire organisée </w:t>
      </w:r>
      <w:r>
        <w:rPr>
          <w:rFonts w:cs="Arial"/>
          <w:szCs w:val="20"/>
          <w:lang w:val="fr-CH"/>
        </w:rPr>
        <w:t xml:space="preserve">principalement </w:t>
      </w:r>
      <w:r w:rsidRPr="002E592C">
        <w:rPr>
          <w:rFonts w:cs="Arial"/>
          <w:szCs w:val="20"/>
          <w:lang w:val="fr-CH"/>
        </w:rPr>
        <w:t>pour les cultivateurs de plantes ornementales.</w:t>
      </w:r>
    </w:p>
    <w:p w:rsidR="00023109" w:rsidRPr="002E592C" w:rsidRDefault="00023109" w:rsidP="00023109">
      <w:pPr>
        <w:autoSpaceDE w:val="0"/>
        <w:autoSpaceDN w:val="0"/>
        <w:adjustRightInd w:val="0"/>
        <w:spacing w:after="240"/>
        <w:rPr>
          <w:rFonts w:cs="Arial"/>
          <w:lang w:val="fr-CH"/>
        </w:rPr>
      </w:pPr>
      <w:r w:rsidRPr="002E592C">
        <w:rPr>
          <w:rFonts w:cs="Arial"/>
          <w:lang w:val="fr-CH"/>
        </w:rPr>
        <w:t>En coopération avec l</w:t>
      </w:r>
      <w:r>
        <w:rPr>
          <w:rFonts w:cs="Arial"/>
          <w:lang w:val="fr-CH"/>
        </w:rPr>
        <w:t>’</w:t>
      </w:r>
      <w:r w:rsidRPr="002E592C">
        <w:rPr>
          <w:rFonts w:cs="Arial"/>
          <w:lang w:val="fr-CH"/>
        </w:rPr>
        <w:t xml:space="preserve">OEVV </w:t>
      </w:r>
      <w:r>
        <w:rPr>
          <w:rFonts w:cs="Arial"/>
          <w:lang w:val="fr-CH"/>
        </w:rPr>
        <w:t>et l’INIA (</w:t>
      </w:r>
      <w:proofErr w:type="spellStart"/>
      <w:r w:rsidRPr="00245BB7">
        <w:rPr>
          <w:rFonts w:cs="Arial"/>
          <w:i/>
        </w:rPr>
        <w:t>Instituto</w:t>
      </w:r>
      <w:proofErr w:type="spellEnd"/>
      <w:r w:rsidRPr="00245BB7">
        <w:rPr>
          <w:rFonts w:cs="Arial"/>
          <w:i/>
        </w:rPr>
        <w:t xml:space="preserve"> </w:t>
      </w:r>
      <w:proofErr w:type="spellStart"/>
      <w:r w:rsidRPr="00245BB7">
        <w:rPr>
          <w:rFonts w:cs="Arial"/>
          <w:i/>
        </w:rPr>
        <w:t>Nacional</w:t>
      </w:r>
      <w:proofErr w:type="spellEnd"/>
      <w:r w:rsidRPr="00245BB7">
        <w:rPr>
          <w:rFonts w:cs="Arial"/>
          <w:i/>
        </w:rPr>
        <w:t xml:space="preserve"> de </w:t>
      </w:r>
      <w:proofErr w:type="spellStart"/>
      <w:r w:rsidRPr="00245BB7">
        <w:rPr>
          <w:rFonts w:cs="Arial"/>
          <w:i/>
        </w:rPr>
        <w:t>Investigación</w:t>
      </w:r>
      <w:proofErr w:type="spellEnd"/>
      <w:r w:rsidRPr="00245BB7">
        <w:rPr>
          <w:rFonts w:cs="Arial"/>
          <w:i/>
        </w:rPr>
        <w:t xml:space="preserve"> y </w:t>
      </w:r>
      <w:proofErr w:type="spellStart"/>
      <w:r w:rsidRPr="00245BB7">
        <w:rPr>
          <w:rFonts w:cs="Arial"/>
          <w:i/>
        </w:rPr>
        <w:t>Tecnología</w:t>
      </w:r>
      <w:proofErr w:type="spellEnd"/>
      <w:r w:rsidRPr="00245BB7">
        <w:rPr>
          <w:rFonts w:cs="Arial"/>
          <w:i/>
        </w:rPr>
        <w:t xml:space="preserve"> </w:t>
      </w:r>
      <w:proofErr w:type="spellStart"/>
      <w:r w:rsidRPr="00245BB7">
        <w:rPr>
          <w:rFonts w:cs="Arial"/>
          <w:i/>
        </w:rPr>
        <w:t>Agraria</w:t>
      </w:r>
      <w:proofErr w:type="spellEnd"/>
      <w:r w:rsidRPr="00245BB7">
        <w:rPr>
          <w:rFonts w:cs="Arial"/>
          <w:i/>
        </w:rPr>
        <w:t xml:space="preserve"> y </w:t>
      </w:r>
      <w:proofErr w:type="spellStart"/>
      <w:r w:rsidRPr="00245BB7">
        <w:rPr>
          <w:rFonts w:cs="Arial"/>
          <w:i/>
        </w:rPr>
        <w:t>Alimentaria</w:t>
      </w:r>
      <w:proofErr w:type="spellEnd"/>
      <w:r w:rsidRPr="00245BB7">
        <w:rPr>
          <w:rFonts w:cs="Arial"/>
        </w:rPr>
        <w:t xml:space="preserve">), </w:t>
      </w:r>
      <w:r>
        <w:rPr>
          <w:rFonts w:cs="Arial"/>
          <w:lang w:val="fr-CH"/>
        </w:rPr>
        <w:t xml:space="preserve">l’OCVV a organisé une journée portes ouvertes consacrée aux variétés de légumes le 21 octobre 2014 à Valence.  Plus de 70 </w:t>
      </w:r>
      <w:r w:rsidRPr="00027579">
        <w:rPr>
          <w:rFonts w:cs="Arial"/>
          <w:lang w:val="fr-CH"/>
        </w:rPr>
        <w:t>obtenteurs, demandeurs, mandataires, utilisateurs et examinateurs de variétés de</w:t>
      </w:r>
      <w:r>
        <w:rPr>
          <w:rFonts w:cs="Arial"/>
          <w:lang w:val="fr-CH"/>
        </w:rPr>
        <w:t xml:space="preserve"> légumes </w:t>
      </w:r>
      <w:r w:rsidRPr="00027579">
        <w:rPr>
          <w:rFonts w:cs="Arial"/>
          <w:lang w:val="fr-CH"/>
        </w:rPr>
        <w:t>protégées par un titre de protection national ou communauta</w:t>
      </w:r>
      <w:r>
        <w:rPr>
          <w:rFonts w:cs="Arial"/>
          <w:lang w:val="fr-CH"/>
        </w:rPr>
        <w:t xml:space="preserve">ire des obtentions végétales </w:t>
      </w:r>
      <w:r w:rsidRPr="00027579">
        <w:rPr>
          <w:rFonts w:cs="Arial"/>
          <w:lang w:val="fr-CH"/>
        </w:rPr>
        <w:t xml:space="preserve">ou inscrites dans le catalogue officiel des variétés et espèces de </w:t>
      </w:r>
      <w:r>
        <w:rPr>
          <w:rFonts w:cs="Arial"/>
          <w:lang w:val="fr-CH"/>
        </w:rPr>
        <w:t>légumes</w:t>
      </w:r>
      <w:r w:rsidRPr="00027579">
        <w:rPr>
          <w:rFonts w:cs="Arial"/>
          <w:lang w:val="fr-CH"/>
        </w:rPr>
        <w:t xml:space="preserve"> ont </w:t>
      </w:r>
      <w:r>
        <w:rPr>
          <w:rFonts w:cs="Arial"/>
          <w:lang w:val="fr-CH"/>
        </w:rPr>
        <w:t xml:space="preserve">assisté </w:t>
      </w:r>
      <w:r w:rsidRPr="00027579">
        <w:rPr>
          <w:rFonts w:cs="Arial"/>
          <w:lang w:val="fr-CH"/>
        </w:rPr>
        <w:t>à l</w:t>
      </w:r>
      <w:r>
        <w:rPr>
          <w:rFonts w:cs="Arial"/>
          <w:lang w:val="fr-CH"/>
        </w:rPr>
        <w:t>’</w:t>
      </w:r>
      <w:r w:rsidRPr="00027579">
        <w:rPr>
          <w:rFonts w:cs="Arial"/>
          <w:lang w:val="fr-CH"/>
        </w:rPr>
        <w:t>événement.</w:t>
      </w:r>
      <w:r>
        <w:rPr>
          <w:rFonts w:cs="Arial"/>
          <w:lang w:val="fr-CH"/>
        </w:rPr>
        <w:t xml:space="preserve">  Cette journée a été animée par de vifs débats concernant les huit exposés présentés par les organismes hôtes, qui portaient principalement sur les difficultés rencontrées en matière d’examen DHS des légumes et de droits d’obtenteur.  L’après</w:t>
      </w:r>
      <w:r>
        <w:rPr>
          <w:rFonts w:cs="Arial"/>
          <w:lang w:val="fr-CH"/>
        </w:rPr>
        <w:noBreakHyphen/>
        <w:t xml:space="preserve">midi a été consacré à la visite des locaux où sont effectués les essais sur les légumes par les autorités espagnoles et a été l’occasion pour les examinateurs d’expliquer les subtilités des examens DHS pratiqués sur des cultures de salade </w:t>
      </w:r>
      <w:r w:rsidRPr="003A250B">
        <w:rPr>
          <w:rFonts w:cs="Arial"/>
          <w:lang w:val="fr-CH"/>
        </w:rPr>
        <w:t>dans des conditions locales</w:t>
      </w:r>
      <w:r>
        <w:rPr>
          <w:rFonts w:cs="Arial"/>
          <w:lang w:val="fr-CH"/>
        </w:rPr>
        <w:t>.  La journée s’est terminée par des conclusions sur les progrès à accomplir dans le secteur des légumes.</w:t>
      </w:r>
    </w:p>
    <w:p w:rsidR="00023109" w:rsidRPr="0097496E" w:rsidRDefault="00023109" w:rsidP="00023109">
      <w:pPr>
        <w:autoSpaceDE w:val="0"/>
        <w:autoSpaceDN w:val="0"/>
        <w:adjustRightInd w:val="0"/>
        <w:spacing w:after="240"/>
        <w:rPr>
          <w:rFonts w:cs="Arial"/>
          <w:lang w:val="fr-CH"/>
        </w:rPr>
      </w:pPr>
      <w:r w:rsidRPr="00AC186F">
        <w:rPr>
          <w:rFonts w:cs="Arial"/>
          <w:lang w:val="fr-CH"/>
        </w:rPr>
        <w:t>Le 15</w:t>
      </w:r>
      <w:r>
        <w:rPr>
          <w:rFonts w:cs="Arial"/>
          <w:lang w:val="fr-CH"/>
        </w:rPr>
        <w:t> </w:t>
      </w:r>
      <w:r w:rsidRPr="00AC186F">
        <w:rPr>
          <w:rFonts w:cs="Arial"/>
          <w:lang w:val="fr-CH"/>
        </w:rPr>
        <w:t>octobre</w:t>
      </w:r>
      <w:r>
        <w:rPr>
          <w:rFonts w:cs="Arial"/>
          <w:lang w:val="fr-CH"/>
        </w:rPr>
        <w:t> </w:t>
      </w:r>
      <w:r w:rsidRPr="00AC186F">
        <w:rPr>
          <w:rFonts w:cs="Arial"/>
          <w:lang w:val="fr-CH"/>
        </w:rPr>
        <w:t>2014, l</w:t>
      </w:r>
      <w:r>
        <w:rPr>
          <w:rFonts w:cs="Arial"/>
          <w:lang w:val="fr-CH"/>
        </w:rPr>
        <w:t>’</w:t>
      </w:r>
      <w:r w:rsidRPr="00AC186F">
        <w:rPr>
          <w:rFonts w:cs="Arial"/>
          <w:lang w:val="fr-CH"/>
        </w:rPr>
        <w:t xml:space="preserve">OCVV a participé </w:t>
      </w:r>
      <w:r>
        <w:rPr>
          <w:rFonts w:cs="Arial"/>
          <w:lang w:val="fr-CH"/>
        </w:rPr>
        <w:t xml:space="preserve">à </w:t>
      </w:r>
      <w:r w:rsidRPr="00AC186F">
        <w:rPr>
          <w:rFonts w:cs="Arial"/>
          <w:lang w:val="fr-CH"/>
        </w:rPr>
        <w:t xml:space="preserve">Hanovre </w:t>
      </w:r>
      <w:r>
        <w:rPr>
          <w:rFonts w:cs="Arial"/>
          <w:lang w:val="fr-CH"/>
        </w:rPr>
        <w:t xml:space="preserve">(Allemagne) </w:t>
      </w:r>
      <w:r w:rsidRPr="00AC186F">
        <w:rPr>
          <w:rFonts w:cs="Arial"/>
          <w:lang w:val="fr-CH"/>
        </w:rPr>
        <w:t xml:space="preserve">à une journée portes ouvertes organisée par le </w:t>
      </w:r>
      <w:proofErr w:type="spellStart"/>
      <w:r w:rsidRPr="00AC186F">
        <w:rPr>
          <w:rFonts w:cs="Arial"/>
          <w:lang w:val="fr-CH"/>
        </w:rPr>
        <w:t>Bundessortenam</w:t>
      </w:r>
      <w:r>
        <w:rPr>
          <w:rFonts w:cs="Arial"/>
          <w:lang w:val="fr-CH"/>
        </w:rPr>
        <w:t>t</w:t>
      </w:r>
      <w:proofErr w:type="spellEnd"/>
      <w:r w:rsidRPr="00AC186F">
        <w:rPr>
          <w:rFonts w:cs="Arial"/>
          <w:lang w:val="fr-CH"/>
        </w:rPr>
        <w:t xml:space="preserve"> à </w:t>
      </w:r>
      <w:r>
        <w:rPr>
          <w:rFonts w:cs="Arial"/>
          <w:lang w:val="fr-CH"/>
        </w:rPr>
        <w:t xml:space="preserve">l’intention des obtenteurs des variétés de calluna.  Cette journée a été l’occasion pour les obtenteurs de se familiariser avec la manière dont est mené un examen technique, ainsi qu’avec le </w:t>
      </w:r>
      <w:proofErr w:type="spellStart"/>
      <w:r w:rsidRPr="00FE1CB2">
        <w:rPr>
          <w:rFonts w:cs="Arial"/>
          <w:lang w:val="fr-CH"/>
        </w:rPr>
        <w:t>Bundessortenamt</w:t>
      </w:r>
      <w:proofErr w:type="spellEnd"/>
      <w:r>
        <w:rPr>
          <w:rFonts w:cs="Arial"/>
          <w:lang w:val="fr-CH"/>
        </w:rPr>
        <w:t xml:space="preserve"> et l’OCVV.  Les exposés et les débats ont été suivis d’une visite des installations d’essai en culture.  </w:t>
      </w:r>
      <w:r w:rsidRPr="0097496E">
        <w:rPr>
          <w:rFonts w:cs="Arial"/>
          <w:lang w:val="fr-CH"/>
        </w:rPr>
        <w:t>Quelque 30 personnes, dont la plupart était des obtenteurs allemands, ont participé à cette journée</w:t>
      </w:r>
      <w:r>
        <w:rPr>
          <w:rFonts w:cs="Arial"/>
          <w:lang w:val="fr-CH"/>
        </w:rPr>
        <w:t>.</w:t>
      </w:r>
    </w:p>
    <w:p w:rsidR="00023109" w:rsidRDefault="00023109" w:rsidP="00023109">
      <w:pPr>
        <w:spacing w:after="240"/>
        <w:rPr>
          <w:rFonts w:cs="Arial"/>
          <w:i/>
          <w:u w:val="single"/>
          <w:lang w:val="fr-CH"/>
        </w:rPr>
      </w:pPr>
      <w:r>
        <w:rPr>
          <w:rFonts w:cs="Arial"/>
          <w:i/>
          <w:u w:val="single"/>
          <w:lang w:val="fr-CH"/>
        </w:rPr>
        <w:t>5.4</w:t>
      </w:r>
      <w:r>
        <w:rPr>
          <w:rFonts w:cs="Arial"/>
          <w:i/>
          <w:u w:val="single"/>
          <w:lang w:val="fr-CH"/>
        </w:rPr>
        <w:tab/>
      </w:r>
      <w:r w:rsidRPr="0097496E">
        <w:rPr>
          <w:rFonts w:cs="Arial"/>
          <w:i/>
          <w:u w:val="single"/>
          <w:lang w:val="fr-CH"/>
        </w:rPr>
        <w:t xml:space="preserve">Le Programme </w:t>
      </w:r>
      <w:proofErr w:type="spellStart"/>
      <w:r w:rsidRPr="0097496E">
        <w:rPr>
          <w:rFonts w:cs="Arial"/>
          <w:i/>
          <w:u w:val="single"/>
          <w:lang w:val="fr-CH"/>
        </w:rPr>
        <w:t>multibénéficiaire</w:t>
      </w:r>
      <w:proofErr w:type="spellEnd"/>
      <w:r w:rsidRPr="0097496E">
        <w:rPr>
          <w:rFonts w:cs="Arial"/>
          <w:i/>
          <w:u w:val="single"/>
          <w:lang w:val="fr-CH"/>
        </w:rPr>
        <w:t xml:space="preserve"> sur la participation des pays candidats à l</w:t>
      </w:r>
      <w:r>
        <w:rPr>
          <w:rFonts w:cs="Arial"/>
          <w:i/>
          <w:u w:val="single"/>
          <w:lang w:val="fr-CH"/>
        </w:rPr>
        <w:t>’</w:t>
      </w:r>
      <w:r w:rsidRPr="0097496E">
        <w:rPr>
          <w:rFonts w:cs="Arial"/>
          <w:i/>
          <w:u w:val="single"/>
          <w:lang w:val="fr-CH"/>
        </w:rPr>
        <w:t>Union européenne au régime de protection communautaire des obtentions végétales</w:t>
      </w:r>
    </w:p>
    <w:p w:rsidR="00023109" w:rsidRPr="0032751D" w:rsidRDefault="00023109" w:rsidP="00023109">
      <w:pPr>
        <w:autoSpaceDE w:val="0"/>
        <w:autoSpaceDN w:val="0"/>
        <w:adjustRightInd w:val="0"/>
        <w:spacing w:after="240"/>
        <w:rPr>
          <w:rFonts w:cs="Arial"/>
          <w:lang w:val="fr-CH"/>
        </w:rPr>
      </w:pPr>
      <w:r w:rsidRPr="0097496E">
        <w:rPr>
          <w:rFonts w:cs="Arial"/>
          <w:lang w:val="fr-CH"/>
        </w:rPr>
        <w:t>Depuis 2006, l</w:t>
      </w:r>
      <w:r>
        <w:rPr>
          <w:rFonts w:cs="Arial"/>
          <w:lang w:val="fr-CH"/>
        </w:rPr>
        <w:t>’</w:t>
      </w:r>
      <w:r w:rsidRPr="0097496E">
        <w:rPr>
          <w:rFonts w:cs="Arial"/>
          <w:lang w:val="fr-CH"/>
        </w:rPr>
        <w:t xml:space="preserve">OCVV participe au “Programme </w:t>
      </w:r>
      <w:proofErr w:type="spellStart"/>
      <w:r w:rsidRPr="0097496E">
        <w:rPr>
          <w:rFonts w:cs="Arial"/>
          <w:lang w:val="fr-CH"/>
        </w:rPr>
        <w:t>multibénéficiaire</w:t>
      </w:r>
      <w:proofErr w:type="spellEnd"/>
      <w:r w:rsidRPr="0097496E">
        <w:rPr>
          <w:rFonts w:cs="Arial"/>
          <w:lang w:val="fr-CH"/>
        </w:rPr>
        <w:t>” dont l</w:t>
      </w:r>
      <w:r>
        <w:rPr>
          <w:rFonts w:cs="Arial"/>
          <w:lang w:val="fr-CH"/>
        </w:rPr>
        <w:t>’</w:t>
      </w:r>
      <w:r w:rsidRPr="0097496E">
        <w:rPr>
          <w:rFonts w:cs="Arial"/>
          <w:lang w:val="fr-CH"/>
        </w:rPr>
        <w:t>objet est de préparer les pays qui sont candidats à l</w:t>
      </w:r>
      <w:r>
        <w:rPr>
          <w:rFonts w:cs="Arial"/>
          <w:lang w:val="fr-CH"/>
        </w:rPr>
        <w:t>’</w:t>
      </w:r>
      <w:r w:rsidRPr="0097496E">
        <w:rPr>
          <w:rFonts w:cs="Arial"/>
          <w:lang w:val="fr-CH"/>
        </w:rPr>
        <w:t>adhésion à l</w:t>
      </w:r>
      <w:r>
        <w:rPr>
          <w:rFonts w:cs="Arial"/>
          <w:lang w:val="fr-CH"/>
        </w:rPr>
        <w:t>’</w:t>
      </w:r>
      <w:r w:rsidRPr="0097496E">
        <w:rPr>
          <w:rFonts w:cs="Arial"/>
          <w:lang w:val="fr-CH"/>
        </w:rPr>
        <w:t>Union européenne.</w:t>
      </w:r>
      <w:r>
        <w:rPr>
          <w:rFonts w:cs="Arial"/>
          <w:lang w:val="fr-CH"/>
        </w:rPr>
        <w:t xml:space="preserve">  </w:t>
      </w:r>
      <w:r w:rsidRPr="0097496E">
        <w:rPr>
          <w:rFonts w:cs="Arial"/>
          <w:lang w:val="fr-CH"/>
        </w:rPr>
        <w:t>Ce programme a été initialement établi pour la Turquie et la Croatie.</w:t>
      </w:r>
      <w:r>
        <w:rPr>
          <w:rFonts w:cs="Arial"/>
          <w:lang w:val="fr-CH"/>
        </w:rPr>
        <w:t xml:space="preserve">  </w:t>
      </w:r>
      <w:r w:rsidRPr="0097496E">
        <w:rPr>
          <w:rFonts w:cs="Arial"/>
          <w:lang w:val="fr-CH"/>
        </w:rPr>
        <w:t>En 2008, il a été étendu à l</w:t>
      </w:r>
      <w:r>
        <w:rPr>
          <w:rFonts w:cs="Arial"/>
          <w:lang w:val="fr-CH"/>
        </w:rPr>
        <w:t>’</w:t>
      </w:r>
      <w:r w:rsidRPr="0097496E">
        <w:rPr>
          <w:rFonts w:cs="Arial"/>
          <w:lang w:val="fr-CH"/>
        </w:rPr>
        <w:t>ex</w:t>
      </w:r>
      <w:r>
        <w:rPr>
          <w:rFonts w:cs="Arial"/>
          <w:lang w:val="fr-CH"/>
        </w:rPr>
        <w:noBreakHyphen/>
      </w:r>
      <w:r w:rsidRPr="0097496E">
        <w:rPr>
          <w:rFonts w:cs="Arial"/>
          <w:lang w:val="fr-CH"/>
        </w:rPr>
        <w:t>République yougoslave de Macédoine et, depuis 2009, il a été ouvert à tous les pays de la région des Balkans occidentaux.</w:t>
      </w:r>
      <w:r>
        <w:rPr>
          <w:rFonts w:cs="Arial"/>
          <w:lang w:val="fr-CH"/>
        </w:rPr>
        <w:t xml:space="preserve">  </w:t>
      </w:r>
      <w:r w:rsidRPr="0097496E">
        <w:rPr>
          <w:rFonts w:cs="Arial"/>
          <w:lang w:val="fr-CH"/>
        </w:rPr>
        <w:t>L</w:t>
      </w:r>
      <w:r>
        <w:rPr>
          <w:rFonts w:cs="Arial"/>
          <w:lang w:val="fr-CH"/>
        </w:rPr>
        <w:t>’</w:t>
      </w:r>
      <w:r w:rsidRPr="0097496E">
        <w:rPr>
          <w:rFonts w:cs="Arial"/>
          <w:lang w:val="fr-CH"/>
        </w:rPr>
        <w:t>Albanie et la Serbie ont fait part de l</w:t>
      </w:r>
      <w:r>
        <w:rPr>
          <w:rFonts w:cs="Arial"/>
          <w:lang w:val="fr-CH"/>
        </w:rPr>
        <w:t>’</w:t>
      </w:r>
      <w:r w:rsidRPr="0097496E">
        <w:rPr>
          <w:rFonts w:cs="Arial"/>
          <w:lang w:val="fr-CH"/>
        </w:rPr>
        <w:t xml:space="preserve">intérêt </w:t>
      </w:r>
      <w:r w:rsidRPr="0032751D">
        <w:rPr>
          <w:rFonts w:cs="Arial"/>
          <w:lang w:val="fr-CH"/>
        </w:rPr>
        <w:t>qu’elles portent à leur participation à ses activités en 2009, la Bosnie</w:t>
      </w:r>
      <w:r w:rsidRPr="0032751D">
        <w:rPr>
          <w:rFonts w:cs="Arial"/>
          <w:lang w:val="fr-CH"/>
        </w:rPr>
        <w:noBreakHyphen/>
        <w:t>Herzégovine en 2010</w:t>
      </w:r>
      <w:r w:rsidR="00504051" w:rsidRPr="0032751D">
        <w:rPr>
          <w:rFonts w:cs="Arial"/>
          <w:lang w:val="fr-CH"/>
        </w:rPr>
        <w:t>.</w:t>
      </w:r>
      <w:r w:rsidRPr="0032751D">
        <w:rPr>
          <w:rFonts w:cs="Arial"/>
          <w:lang w:val="fr-CH"/>
        </w:rPr>
        <w:t xml:space="preserve"> </w:t>
      </w:r>
      <w:r w:rsidR="00504051" w:rsidRPr="0032751D">
        <w:rPr>
          <w:rFonts w:cs="Arial"/>
          <w:lang w:val="fr-CH"/>
        </w:rPr>
        <w:t>L</w:t>
      </w:r>
      <w:r w:rsidRPr="0032751D">
        <w:rPr>
          <w:rFonts w:cs="Arial"/>
          <w:lang w:val="fr-CH"/>
        </w:rPr>
        <w:t>e Kosovo</w:t>
      </w:r>
      <w:r w:rsidR="00504051" w:rsidRPr="0032751D">
        <w:rPr>
          <w:rFonts w:cs="Arial"/>
          <w:lang w:val="fr-CH"/>
        </w:rPr>
        <w:t xml:space="preserve"> a aussi fait part de son intérêt à participer</w:t>
      </w:r>
      <w:r w:rsidRPr="0032751D">
        <w:rPr>
          <w:rFonts w:cs="Arial"/>
          <w:lang w:val="fr-CH"/>
        </w:rPr>
        <w:t xml:space="preserve"> selon la résolution 1244/99 du Conseil de sécurité de l’ONU, en 2014.  Dans le cadre de ce programme, des représentants des services nationaux chargés des droits d’obtenteur ont été invités à participer à des réunions de spécialistes de différentes espèces qui se tiennent régulièrement à l’OCVV.  En outre, des experts des pays candidats ont été formés aux offices d’examen, qui travaillent déjà pour le compte de l’OCVV.  Par ailleurs, des experts de l’Union européenne ont formé du personnel dans les pays candidats.</w:t>
      </w:r>
      <w:bookmarkStart w:id="5" w:name="_GoBack"/>
      <w:bookmarkEnd w:id="5"/>
    </w:p>
    <w:p w:rsidR="00023109" w:rsidRPr="0032751D" w:rsidRDefault="00023109" w:rsidP="00023109">
      <w:pPr>
        <w:autoSpaceDE w:val="0"/>
        <w:autoSpaceDN w:val="0"/>
        <w:adjustRightInd w:val="0"/>
        <w:spacing w:after="240"/>
        <w:rPr>
          <w:rFonts w:cs="Arial"/>
          <w:lang w:val="fr-CH"/>
        </w:rPr>
      </w:pPr>
      <w:r w:rsidRPr="0032751D">
        <w:rPr>
          <w:rFonts w:cs="Arial"/>
          <w:lang w:val="fr-CH"/>
        </w:rPr>
        <w:t>Seules quelques activités parmi celles menées l’ont été pendant la période considérée : le 2 octobre, l’OCVV a organisé à Zagreb (Croatie) un atelier sur les dénominations variétales, auquel a participé le personnel technique et administratif des services croates chargés des droits d’obtenteur.</w:t>
      </w:r>
    </w:p>
    <w:p w:rsidR="00023109" w:rsidRPr="00133CE4" w:rsidRDefault="00023109" w:rsidP="00023109">
      <w:pPr>
        <w:autoSpaceDE w:val="0"/>
        <w:autoSpaceDN w:val="0"/>
        <w:adjustRightInd w:val="0"/>
        <w:spacing w:after="240"/>
        <w:rPr>
          <w:rFonts w:cs="Arial"/>
          <w:lang w:val="fr-CH"/>
        </w:rPr>
      </w:pPr>
      <w:r w:rsidRPr="0032751D">
        <w:rPr>
          <w:rFonts w:cs="Arial"/>
          <w:lang w:val="fr-CH"/>
        </w:rPr>
        <w:t>En octobre 2014, des personnes venues de Croatie, de l’ex</w:t>
      </w:r>
      <w:r w:rsidRPr="0032751D">
        <w:rPr>
          <w:rFonts w:cs="Arial"/>
          <w:lang w:val="fr-CH"/>
        </w:rPr>
        <w:noBreakHyphen/>
        <w:t>République yougoslave de Macédoine, de Serbie et de Turquie ont assisté à la réunion d’experts agricoles tenue à Angers.</w:t>
      </w:r>
      <w:r w:rsidR="00504051" w:rsidRPr="0032751D">
        <w:rPr>
          <w:rFonts w:cs="Arial"/>
          <w:lang w:val="fr-CH"/>
        </w:rPr>
        <w:t xml:space="preserve">  Le Kosovo y a aussi assisté</w:t>
      </w:r>
      <w:r w:rsidRPr="0032751D">
        <w:rPr>
          <w:rFonts w:cs="Arial"/>
          <w:lang w:val="fr-CH"/>
        </w:rPr>
        <w:t xml:space="preserve">  Au cours du même mois, les experts de plantes potagères ont tenu leur réunion annuelle à Valence, qui a été suivie d’une journée portes ouvertes au centre d’examen espagnol à laquelle ont participé des experts venus d’Albanie, de l’ex</w:t>
      </w:r>
      <w:r w:rsidRPr="0032751D">
        <w:rPr>
          <w:rFonts w:cs="Arial"/>
          <w:lang w:val="fr-CH"/>
        </w:rPr>
        <w:noBreakHyphen/>
        <w:t>République yougoslave de Macédoine, de Serbie et de Turquie.</w:t>
      </w:r>
      <w:r w:rsidR="00504051" w:rsidRPr="0032751D">
        <w:rPr>
          <w:rFonts w:cs="Arial"/>
          <w:lang w:val="fr-CH"/>
        </w:rPr>
        <w:t xml:space="preserve">  Des experts du Kosovo y ont aussi participé.</w:t>
      </w:r>
    </w:p>
    <w:p w:rsidR="00023109" w:rsidRPr="00AF74F0" w:rsidRDefault="00023109" w:rsidP="00023109">
      <w:pPr>
        <w:autoSpaceDE w:val="0"/>
        <w:autoSpaceDN w:val="0"/>
        <w:adjustRightInd w:val="0"/>
        <w:spacing w:after="240"/>
        <w:rPr>
          <w:rFonts w:cs="Arial"/>
          <w:lang w:val="fr-CH"/>
        </w:rPr>
      </w:pPr>
      <w:r w:rsidRPr="00AF74F0">
        <w:rPr>
          <w:rFonts w:cs="Arial"/>
          <w:lang w:val="fr-CH"/>
        </w:rPr>
        <w:t>En octobre</w:t>
      </w:r>
      <w:r>
        <w:rPr>
          <w:rFonts w:cs="Arial"/>
          <w:lang w:val="fr-CH"/>
        </w:rPr>
        <w:t> </w:t>
      </w:r>
      <w:r w:rsidRPr="00AF74F0">
        <w:rPr>
          <w:rFonts w:cs="Arial"/>
          <w:lang w:val="fr-CH"/>
        </w:rPr>
        <w:t>2014 également, l</w:t>
      </w:r>
      <w:r>
        <w:rPr>
          <w:rFonts w:cs="Arial"/>
          <w:lang w:val="fr-CH"/>
        </w:rPr>
        <w:t>’</w:t>
      </w:r>
      <w:r w:rsidRPr="00AF74F0">
        <w:rPr>
          <w:rFonts w:cs="Arial"/>
          <w:lang w:val="fr-CH"/>
        </w:rPr>
        <w:t>OCVV</w:t>
      </w:r>
      <w:r>
        <w:rPr>
          <w:rFonts w:cs="Arial"/>
          <w:lang w:val="fr-CH"/>
        </w:rPr>
        <w:t xml:space="preserve"> a organisé</w:t>
      </w:r>
      <w:r w:rsidRPr="00AF74F0">
        <w:rPr>
          <w:rFonts w:cs="Arial"/>
          <w:lang w:val="fr-CH"/>
        </w:rPr>
        <w:t>, en co</w:t>
      </w:r>
      <w:r>
        <w:rPr>
          <w:rFonts w:cs="Arial"/>
          <w:lang w:val="fr-CH"/>
        </w:rPr>
        <w:t xml:space="preserve">llaboration </w:t>
      </w:r>
      <w:r w:rsidRPr="00AF74F0">
        <w:rPr>
          <w:rFonts w:cs="Arial"/>
          <w:lang w:val="fr-CH"/>
        </w:rPr>
        <w:t xml:space="preserve">avec </w:t>
      </w:r>
      <w:r>
        <w:rPr>
          <w:rFonts w:cs="Arial"/>
          <w:lang w:val="fr-CH"/>
        </w:rPr>
        <w:t xml:space="preserve">le </w:t>
      </w:r>
      <w:proofErr w:type="spellStart"/>
      <w:r w:rsidRPr="00AF74F0">
        <w:rPr>
          <w:rFonts w:cs="Arial"/>
          <w:lang w:val="fr-CH"/>
        </w:rPr>
        <w:t>Bundessortenamt</w:t>
      </w:r>
      <w:proofErr w:type="spellEnd"/>
      <w:r>
        <w:rPr>
          <w:rFonts w:cs="Arial"/>
          <w:lang w:val="fr-CH"/>
        </w:rPr>
        <w:t xml:space="preserve">, un atelier sur la coopération de l’OCVV </w:t>
      </w:r>
      <w:r w:rsidRPr="001B6E00">
        <w:rPr>
          <w:rFonts w:cs="Arial"/>
          <w:lang w:val="fr-CH"/>
        </w:rPr>
        <w:t>avec ses offices d</w:t>
      </w:r>
      <w:r>
        <w:rPr>
          <w:rFonts w:cs="Arial"/>
          <w:lang w:val="fr-CH"/>
        </w:rPr>
        <w:t>’</w:t>
      </w:r>
      <w:r w:rsidRPr="001B6E00">
        <w:rPr>
          <w:rFonts w:cs="Arial"/>
          <w:lang w:val="fr-CH"/>
        </w:rPr>
        <w:t>examen lors du traitement des demandes</w:t>
      </w:r>
      <w:r>
        <w:rPr>
          <w:rFonts w:cs="Arial"/>
          <w:lang w:val="fr-CH"/>
        </w:rPr>
        <w:t xml:space="preserve"> </w:t>
      </w:r>
      <w:r w:rsidRPr="001B6E00">
        <w:rPr>
          <w:rFonts w:cs="Arial"/>
          <w:lang w:val="fr-CH"/>
        </w:rPr>
        <w:t>et sur la structure et les devoirs d</w:t>
      </w:r>
      <w:r>
        <w:rPr>
          <w:rFonts w:cs="Arial"/>
          <w:lang w:val="fr-CH"/>
        </w:rPr>
        <w:t>’</w:t>
      </w:r>
      <w:r w:rsidRPr="001B6E00">
        <w:rPr>
          <w:rFonts w:cs="Arial"/>
          <w:lang w:val="fr-CH"/>
        </w:rPr>
        <w:t>un office d</w:t>
      </w:r>
      <w:r>
        <w:rPr>
          <w:rFonts w:cs="Arial"/>
          <w:lang w:val="fr-CH"/>
        </w:rPr>
        <w:t>’</w:t>
      </w:r>
      <w:r w:rsidRPr="001B6E00">
        <w:rPr>
          <w:rFonts w:cs="Arial"/>
          <w:lang w:val="fr-CH"/>
        </w:rPr>
        <w:t>examen</w:t>
      </w:r>
      <w:r>
        <w:rPr>
          <w:rFonts w:cs="Arial"/>
          <w:lang w:val="fr-CH"/>
        </w:rPr>
        <w:t>.</w:t>
      </w:r>
    </w:p>
    <w:p w:rsidR="00023109" w:rsidRPr="002A57F3" w:rsidRDefault="00023109" w:rsidP="00023109">
      <w:pPr>
        <w:autoSpaceDE w:val="0"/>
        <w:autoSpaceDN w:val="0"/>
        <w:adjustRightInd w:val="0"/>
        <w:spacing w:after="240"/>
        <w:rPr>
          <w:rFonts w:cs="Arial"/>
          <w:lang w:val="fr-CH"/>
        </w:rPr>
      </w:pPr>
      <w:r w:rsidRPr="002A57F3">
        <w:rPr>
          <w:rFonts w:cs="Arial"/>
          <w:lang w:val="fr-CH"/>
        </w:rPr>
        <w:t>À la fin du mois d</w:t>
      </w:r>
      <w:r>
        <w:rPr>
          <w:rFonts w:cs="Arial"/>
          <w:lang w:val="fr-CH"/>
        </w:rPr>
        <w:t>’</w:t>
      </w:r>
      <w:r w:rsidRPr="002A57F3">
        <w:rPr>
          <w:rFonts w:cs="Arial"/>
          <w:lang w:val="fr-CH"/>
        </w:rPr>
        <w:t>octobre</w:t>
      </w:r>
      <w:r>
        <w:rPr>
          <w:rFonts w:cs="Arial"/>
          <w:lang w:val="fr-CH"/>
        </w:rPr>
        <w:t> </w:t>
      </w:r>
      <w:r w:rsidRPr="002A57F3">
        <w:rPr>
          <w:rFonts w:cs="Arial"/>
          <w:lang w:val="fr-CH"/>
        </w:rPr>
        <w:t>2014, un atelier de deux</w:t>
      </w:r>
      <w:r>
        <w:rPr>
          <w:rFonts w:cs="Arial"/>
          <w:lang w:val="fr-CH"/>
        </w:rPr>
        <w:t> </w:t>
      </w:r>
      <w:r w:rsidRPr="002A57F3">
        <w:rPr>
          <w:rFonts w:cs="Arial"/>
          <w:lang w:val="fr-CH"/>
        </w:rPr>
        <w:t>jours sur l</w:t>
      </w:r>
      <w:r>
        <w:rPr>
          <w:rFonts w:cs="Arial"/>
          <w:lang w:val="fr-CH"/>
        </w:rPr>
        <w:t>’</w:t>
      </w:r>
      <w:r w:rsidRPr="002A57F3">
        <w:rPr>
          <w:rFonts w:cs="Arial"/>
          <w:lang w:val="fr-CH"/>
        </w:rPr>
        <w:t>application des droits d</w:t>
      </w:r>
      <w:r>
        <w:rPr>
          <w:rFonts w:cs="Arial"/>
          <w:lang w:val="fr-CH"/>
        </w:rPr>
        <w:t>’</w:t>
      </w:r>
      <w:r w:rsidRPr="002A57F3">
        <w:rPr>
          <w:rFonts w:cs="Arial"/>
          <w:lang w:val="fr-CH"/>
        </w:rPr>
        <w:t xml:space="preserve">obtenteur et la sensibilisation à ces droits a été organisé en </w:t>
      </w:r>
      <w:r w:rsidRPr="00133CE4">
        <w:rPr>
          <w:rFonts w:cs="Arial"/>
          <w:lang w:val="fr-CH"/>
        </w:rPr>
        <w:t>ex</w:t>
      </w:r>
      <w:r>
        <w:rPr>
          <w:rFonts w:cs="Arial"/>
          <w:lang w:val="fr-CH"/>
        </w:rPr>
        <w:noBreakHyphen/>
      </w:r>
      <w:r w:rsidRPr="00133CE4">
        <w:rPr>
          <w:rFonts w:cs="Arial"/>
          <w:lang w:val="fr-CH"/>
        </w:rPr>
        <w:t>République yougoslave de Macédoine</w:t>
      </w:r>
      <w:r>
        <w:rPr>
          <w:rFonts w:cs="Arial"/>
          <w:lang w:val="fr-CH"/>
        </w:rPr>
        <w:t>.  La partie consacrée à l’application des droits était destinée aux autorités macédoniennes et celle portant sur la sensibilisation aux obtenteurs et cultivateurs locaux.  L’atelier a été organisé en coopération avec l’UPOV et les services de protection des droits d’obtenteur tchèques et allemands.</w:t>
      </w:r>
    </w:p>
    <w:p w:rsidR="00023109" w:rsidRPr="007E48B0" w:rsidRDefault="00023109" w:rsidP="00023109">
      <w:pPr>
        <w:autoSpaceDE w:val="0"/>
        <w:autoSpaceDN w:val="0"/>
        <w:adjustRightInd w:val="0"/>
        <w:spacing w:after="240"/>
        <w:rPr>
          <w:rFonts w:cs="Arial"/>
          <w:lang w:val="fr-CH"/>
        </w:rPr>
      </w:pPr>
      <w:r w:rsidRPr="007E48B0">
        <w:rPr>
          <w:rFonts w:cs="Arial"/>
          <w:lang w:val="fr-CH"/>
        </w:rPr>
        <w:t xml:space="preserve">Le programme </w:t>
      </w:r>
      <w:proofErr w:type="spellStart"/>
      <w:r w:rsidRPr="007E48B0">
        <w:rPr>
          <w:rFonts w:cs="Arial"/>
          <w:lang w:val="fr-CH"/>
        </w:rPr>
        <w:t>multibénéficiaire</w:t>
      </w:r>
      <w:proofErr w:type="spellEnd"/>
      <w:r w:rsidRPr="007E48B0">
        <w:rPr>
          <w:rFonts w:cs="Arial"/>
          <w:lang w:val="fr-CH"/>
        </w:rPr>
        <w:t xml:space="preserve"> s</w:t>
      </w:r>
      <w:r>
        <w:rPr>
          <w:rFonts w:cs="Arial"/>
          <w:lang w:val="fr-CH"/>
        </w:rPr>
        <w:t>’</w:t>
      </w:r>
      <w:r w:rsidRPr="007E48B0">
        <w:rPr>
          <w:rFonts w:cs="Arial"/>
          <w:lang w:val="fr-CH"/>
        </w:rPr>
        <w:t>est achevé en novembre</w:t>
      </w:r>
      <w:r>
        <w:rPr>
          <w:rFonts w:cs="Arial"/>
          <w:lang w:val="fr-CH"/>
        </w:rPr>
        <w:t> </w:t>
      </w:r>
      <w:r w:rsidRPr="007E48B0">
        <w:rPr>
          <w:rFonts w:cs="Arial"/>
          <w:lang w:val="fr-CH"/>
        </w:rPr>
        <w:t xml:space="preserve">2014; </w:t>
      </w:r>
      <w:r>
        <w:rPr>
          <w:rFonts w:cs="Arial"/>
          <w:lang w:val="fr-CH"/>
        </w:rPr>
        <w:t xml:space="preserve"> à l’heure actuelle, </w:t>
      </w:r>
      <w:r w:rsidRPr="007E48B0">
        <w:rPr>
          <w:rFonts w:cs="Arial"/>
          <w:lang w:val="fr-CH"/>
        </w:rPr>
        <w:t>il n</w:t>
      </w:r>
      <w:r>
        <w:rPr>
          <w:rFonts w:cs="Arial"/>
          <w:lang w:val="fr-CH"/>
        </w:rPr>
        <w:t>’</w:t>
      </w:r>
      <w:r w:rsidRPr="007E48B0">
        <w:rPr>
          <w:rFonts w:cs="Arial"/>
          <w:lang w:val="fr-CH"/>
        </w:rPr>
        <w:t xml:space="preserve">est pas prévu </w:t>
      </w:r>
      <w:r>
        <w:rPr>
          <w:rFonts w:cs="Arial"/>
          <w:lang w:val="fr-CH"/>
        </w:rPr>
        <w:t>qu’</w:t>
      </w:r>
      <w:r w:rsidRPr="007E48B0">
        <w:rPr>
          <w:rFonts w:cs="Arial"/>
          <w:lang w:val="fr-CH"/>
        </w:rPr>
        <w:t>un nouveau programme</w:t>
      </w:r>
      <w:r>
        <w:rPr>
          <w:rFonts w:cs="Arial"/>
          <w:lang w:val="fr-CH"/>
        </w:rPr>
        <w:t xml:space="preserve"> de ce type soit mis en œuvre.</w:t>
      </w:r>
    </w:p>
    <w:p w:rsidR="00023109" w:rsidRPr="00C74480" w:rsidRDefault="00023109" w:rsidP="00023109">
      <w:pPr>
        <w:keepNext/>
        <w:keepLines/>
        <w:spacing w:after="240"/>
        <w:rPr>
          <w:rFonts w:cs="Arial"/>
          <w:i/>
          <w:u w:val="single"/>
          <w:lang w:val="fr-CH"/>
        </w:rPr>
      </w:pPr>
      <w:r>
        <w:rPr>
          <w:rFonts w:cs="Arial"/>
          <w:i/>
          <w:u w:val="single"/>
          <w:lang w:val="fr-CH"/>
        </w:rPr>
        <w:t>5.5</w:t>
      </w:r>
      <w:r>
        <w:rPr>
          <w:rFonts w:cs="Arial"/>
          <w:i/>
          <w:u w:val="single"/>
          <w:lang w:val="fr-CH"/>
        </w:rPr>
        <w:tab/>
      </w:r>
      <w:r w:rsidRPr="00C74480">
        <w:rPr>
          <w:rFonts w:cs="Arial"/>
          <w:i/>
          <w:u w:val="single"/>
          <w:lang w:val="fr-CH"/>
        </w:rPr>
        <w:t>Améliorations informatiques</w:t>
      </w:r>
    </w:p>
    <w:p w:rsidR="00023109" w:rsidRPr="00C74480" w:rsidRDefault="00023109" w:rsidP="00023109">
      <w:pPr>
        <w:keepNext/>
        <w:keepLines/>
        <w:autoSpaceDE w:val="0"/>
        <w:autoSpaceDN w:val="0"/>
        <w:adjustRightInd w:val="0"/>
        <w:spacing w:after="240"/>
        <w:rPr>
          <w:rFonts w:cs="Arial"/>
          <w:lang w:val="fr-CH"/>
        </w:rPr>
      </w:pPr>
      <w:bookmarkStart w:id="6" w:name="content"/>
      <w:bookmarkEnd w:id="6"/>
      <w:r w:rsidRPr="00C74480">
        <w:rPr>
          <w:rFonts w:cs="Arial"/>
          <w:lang w:val="fr-CH"/>
        </w:rPr>
        <w:t>Le service de dépôt en ligne de l</w:t>
      </w:r>
      <w:r>
        <w:rPr>
          <w:rFonts w:cs="Arial"/>
          <w:lang w:val="fr-CH"/>
        </w:rPr>
        <w:t>’OCVV</w:t>
      </w:r>
      <w:r w:rsidRPr="00C74480">
        <w:rPr>
          <w:rFonts w:cs="Arial"/>
          <w:lang w:val="fr-CH"/>
        </w:rPr>
        <w:t xml:space="preserve"> a évolué dans le temps, les déposants s</w:t>
      </w:r>
      <w:r>
        <w:rPr>
          <w:rFonts w:cs="Arial"/>
          <w:lang w:val="fr-CH"/>
        </w:rPr>
        <w:t>’</w:t>
      </w:r>
      <w:r w:rsidRPr="00C74480">
        <w:rPr>
          <w:rFonts w:cs="Arial"/>
          <w:lang w:val="fr-CH"/>
        </w:rPr>
        <w:t>y intéressant de plus en plus à la suite de nombreuses promotions de cet outil faites par l</w:t>
      </w:r>
      <w:r>
        <w:rPr>
          <w:rFonts w:cs="Arial"/>
          <w:lang w:val="fr-CH"/>
        </w:rPr>
        <w:t>’</w:t>
      </w:r>
      <w:r w:rsidRPr="00C74480">
        <w:rPr>
          <w:rFonts w:cs="Arial"/>
          <w:lang w:val="fr-CH"/>
        </w:rPr>
        <w:t>office.</w:t>
      </w:r>
      <w:r>
        <w:rPr>
          <w:rFonts w:cs="Arial"/>
          <w:lang w:val="fr-CH"/>
        </w:rPr>
        <w:t xml:space="preserve">  </w:t>
      </w:r>
      <w:r w:rsidRPr="00C74480">
        <w:rPr>
          <w:rFonts w:cs="Arial"/>
          <w:lang w:val="fr-CH"/>
        </w:rPr>
        <w:t>Ce système a permis aux déposants de réduire leurs erreurs.</w:t>
      </w:r>
      <w:r>
        <w:rPr>
          <w:rFonts w:cs="Arial"/>
          <w:lang w:val="fr-CH"/>
        </w:rPr>
        <w:t xml:space="preserve">  </w:t>
      </w:r>
      <w:r w:rsidRPr="00C74480">
        <w:rPr>
          <w:rFonts w:cs="Arial"/>
          <w:lang w:val="fr-CH"/>
        </w:rPr>
        <w:t>Près de 80% des demandes sont désormais effectuées en ligne.</w:t>
      </w:r>
      <w:r>
        <w:rPr>
          <w:rFonts w:cs="Arial"/>
          <w:lang w:val="fr-CH"/>
        </w:rPr>
        <w:t xml:space="preserve">  Le Conseil d’administration a approuvé le principe d’une réduction des taxes de dépôt pour les demandes déposées en ligne à partir du 1</w:t>
      </w:r>
      <w:r w:rsidRPr="00C74480">
        <w:rPr>
          <w:rFonts w:cs="Arial"/>
          <w:vertAlign w:val="superscript"/>
          <w:lang w:val="fr-CH"/>
        </w:rPr>
        <w:t>er</w:t>
      </w:r>
      <w:r>
        <w:rPr>
          <w:rFonts w:cs="Arial"/>
          <w:lang w:val="fr-CH"/>
        </w:rPr>
        <w:t> janvier 2016.</w:t>
      </w:r>
    </w:p>
    <w:p w:rsidR="00023109" w:rsidRPr="00775EEE" w:rsidRDefault="00023109" w:rsidP="00023109">
      <w:pPr>
        <w:spacing w:after="240"/>
        <w:rPr>
          <w:rFonts w:cs="Arial"/>
          <w:lang w:val="fr-CH"/>
        </w:rPr>
      </w:pPr>
      <w:r w:rsidRPr="00775EEE">
        <w:rPr>
          <w:rFonts w:cs="Arial"/>
          <w:lang w:val="fr-CH"/>
        </w:rPr>
        <w:t>Après le succès de sa phase pilote, le projet B2B (business to business) d</w:t>
      </w:r>
      <w:r>
        <w:rPr>
          <w:rFonts w:cs="Arial"/>
          <w:lang w:val="fr-CH"/>
        </w:rPr>
        <w:t>’</w:t>
      </w:r>
      <w:r w:rsidRPr="00775EEE">
        <w:rPr>
          <w:rFonts w:cs="Arial"/>
          <w:lang w:val="fr-CH"/>
        </w:rPr>
        <w:t>échange électronique de documents entre l</w:t>
      </w:r>
      <w:r>
        <w:rPr>
          <w:rFonts w:cs="Arial"/>
          <w:lang w:val="fr-CH"/>
        </w:rPr>
        <w:t>’</w:t>
      </w:r>
      <w:r w:rsidRPr="00775EEE">
        <w:rPr>
          <w:rFonts w:cs="Arial"/>
          <w:lang w:val="fr-CH"/>
        </w:rPr>
        <w:t>OCVV et les offices d</w:t>
      </w:r>
      <w:r>
        <w:rPr>
          <w:rFonts w:cs="Arial"/>
          <w:lang w:val="fr-CH"/>
        </w:rPr>
        <w:t>’</w:t>
      </w:r>
      <w:r w:rsidRPr="00775EEE">
        <w:rPr>
          <w:rFonts w:cs="Arial"/>
          <w:lang w:val="fr-CH"/>
        </w:rPr>
        <w:t xml:space="preserve">examen en est </w:t>
      </w:r>
      <w:r>
        <w:rPr>
          <w:rFonts w:cs="Arial"/>
          <w:lang w:val="fr-CH"/>
        </w:rPr>
        <w:t xml:space="preserve">désormais </w:t>
      </w:r>
      <w:r w:rsidRPr="00775EEE">
        <w:rPr>
          <w:rFonts w:cs="Arial"/>
          <w:lang w:val="fr-CH"/>
        </w:rPr>
        <w:t>à la phase de production avec une série d</w:t>
      </w:r>
      <w:r>
        <w:rPr>
          <w:rFonts w:cs="Arial"/>
          <w:lang w:val="fr-CH"/>
        </w:rPr>
        <w:t>’</w:t>
      </w:r>
      <w:r w:rsidRPr="00775EEE">
        <w:rPr>
          <w:rFonts w:cs="Arial"/>
          <w:lang w:val="fr-CH"/>
        </w:rPr>
        <w:t>offices d</w:t>
      </w:r>
      <w:r>
        <w:rPr>
          <w:rFonts w:cs="Arial"/>
          <w:lang w:val="fr-CH"/>
        </w:rPr>
        <w:t>’</w:t>
      </w:r>
      <w:r w:rsidRPr="00775EEE">
        <w:rPr>
          <w:rFonts w:cs="Arial"/>
          <w:lang w:val="fr-CH"/>
        </w:rPr>
        <w:t>examen.</w:t>
      </w:r>
      <w:r>
        <w:rPr>
          <w:rFonts w:cs="Arial"/>
          <w:lang w:val="fr-CH"/>
        </w:rPr>
        <w:t xml:space="preserve">  En juillet 2015, l’OCVV a cessé d’envoyer des communications sous format papier à ses offices d’examen et n’utilise depuis que les </w:t>
      </w:r>
      <w:r w:rsidRPr="003A250B">
        <w:rPr>
          <w:rFonts w:cs="Arial"/>
          <w:lang w:val="fr-CH"/>
        </w:rPr>
        <w:t xml:space="preserve">fonctionnalités </w:t>
      </w:r>
      <w:r>
        <w:rPr>
          <w:rFonts w:cs="Arial"/>
          <w:lang w:val="fr-CH"/>
        </w:rPr>
        <w:t>“</w:t>
      </w:r>
      <w:r w:rsidRPr="003A250B">
        <w:rPr>
          <w:rFonts w:cs="Arial"/>
          <w:lang w:val="fr-CH"/>
        </w:rPr>
        <w:t>business to business</w:t>
      </w:r>
      <w:r>
        <w:rPr>
          <w:rFonts w:cs="Arial"/>
          <w:lang w:val="fr-CH"/>
        </w:rPr>
        <w:t>”</w:t>
      </w:r>
      <w:r w:rsidRPr="003A250B">
        <w:rPr>
          <w:rFonts w:cs="Arial"/>
          <w:lang w:val="fr-CH"/>
        </w:rPr>
        <w:t>.</w:t>
      </w:r>
    </w:p>
    <w:p w:rsidR="00023109" w:rsidRPr="00E3297A" w:rsidRDefault="00023109" w:rsidP="00106F80">
      <w:pPr>
        <w:spacing w:after="360"/>
        <w:rPr>
          <w:rFonts w:cs="Arial"/>
          <w:u w:val="single"/>
          <w:lang w:val="fr-CH"/>
        </w:rPr>
      </w:pPr>
      <w:r w:rsidRPr="00E3297A">
        <w:rPr>
          <w:rFonts w:cs="Arial"/>
          <w:lang w:val="fr-CH"/>
        </w:rPr>
        <w:t>L</w:t>
      </w:r>
      <w:r>
        <w:rPr>
          <w:rFonts w:cs="Arial"/>
          <w:lang w:val="fr-CH"/>
        </w:rPr>
        <w:t>’</w:t>
      </w:r>
      <w:r w:rsidRPr="00E3297A">
        <w:rPr>
          <w:rFonts w:cs="Arial"/>
          <w:lang w:val="fr-CH"/>
        </w:rPr>
        <w:t>OCVV a également lancé une étude visant à mettre en place un système qui permettra l</w:t>
      </w:r>
      <w:r>
        <w:rPr>
          <w:rFonts w:cs="Arial"/>
          <w:lang w:val="fr-CH"/>
        </w:rPr>
        <w:t>’</w:t>
      </w:r>
      <w:r w:rsidRPr="00E3297A">
        <w:rPr>
          <w:rFonts w:cs="Arial"/>
          <w:lang w:val="fr-CH"/>
        </w:rPr>
        <w:t>interaction en ligne complète avec les clients pour toutes les communications.</w:t>
      </w:r>
    </w:p>
    <w:p w:rsidR="00023109" w:rsidRPr="00D86704" w:rsidRDefault="00023109" w:rsidP="00023109">
      <w:pPr>
        <w:pStyle w:val="ListBullet"/>
        <w:numPr>
          <w:ilvl w:val="0"/>
          <w:numId w:val="0"/>
        </w:numPr>
        <w:tabs>
          <w:tab w:val="left" w:pos="720"/>
        </w:tabs>
        <w:ind w:left="283" w:hanging="283"/>
        <w:rPr>
          <w:rFonts w:cs="Arial"/>
          <w:b/>
          <w:u w:val="single"/>
          <w:lang w:val="fr-CH"/>
        </w:rPr>
      </w:pPr>
      <w:r w:rsidRPr="00D86704">
        <w:rPr>
          <w:rFonts w:cs="Arial"/>
          <w:b/>
          <w:u w:val="single"/>
          <w:lang w:val="fr-CH"/>
        </w:rPr>
        <w:t>AUTRES ÉLÉMENTS NOUVEAUX PRÉSENTANT UN INTÉRÊT POUR L</w:t>
      </w:r>
      <w:r>
        <w:rPr>
          <w:rFonts w:cs="Arial"/>
          <w:b/>
          <w:u w:val="single"/>
          <w:lang w:val="fr-CH"/>
        </w:rPr>
        <w:t>’</w:t>
      </w:r>
      <w:r w:rsidRPr="00D86704">
        <w:rPr>
          <w:rFonts w:cs="Arial"/>
          <w:b/>
          <w:u w:val="single"/>
          <w:lang w:val="fr-CH"/>
        </w:rPr>
        <w:t>UPOV</w:t>
      </w:r>
    </w:p>
    <w:p w:rsidR="00023109" w:rsidRPr="00D86704" w:rsidRDefault="00023109" w:rsidP="00023109">
      <w:pPr>
        <w:pStyle w:val="ListBullet"/>
        <w:numPr>
          <w:ilvl w:val="0"/>
          <w:numId w:val="0"/>
        </w:numPr>
        <w:rPr>
          <w:rFonts w:cs="Arial"/>
          <w:b/>
          <w:u w:val="single"/>
          <w:lang w:val="fr-CH"/>
        </w:rPr>
      </w:pPr>
      <w:r>
        <w:rPr>
          <w:rFonts w:cs="Arial"/>
          <w:b/>
          <w:u w:val="single"/>
          <w:lang w:val="fr-CH"/>
        </w:rPr>
        <w:t>1)</w:t>
      </w:r>
      <w:r>
        <w:rPr>
          <w:rFonts w:cs="Arial"/>
          <w:b/>
          <w:u w:val="single"/>
          <w:lang w:val="fr-CH"/>
        </w:rPr>
        <w:tab/>
      </w:r>
      <w:r w:rsidRPr="00D86704">
        <w:rPr>
          <w:rFonts w:cs="Arial"/>
          <w:b/>
          <w:u w:val="single"/>
          <w:lang w:val="fr-CH"/>
        </w:rPr>
        <w:t>Commercialisation des semences et du matériel de reproduction ou de multiplication</w:t>
      </w:r>
    </w:p>
    <w:p w:rsidR="00023109" w:rsidRPr="00D86704" w:rsidRDefault="00023109" w:rsidP="00023109">
      <w:pPr>
        <w:autoSpaceDE w:val="0"/>
        <w:autoSpaceDN w:val="0"/>
        <w:adjustRightInd w:val="0"/>
        <w:spacing w:after="240"/>
        <w:rPr>
          <w:rFonts w:cs="Arial"/>
          <w:lang w:val="fr-CH"/>
        </w:rPr>
      </w:pPr>
      <w:r w:rsidRPr="00D86704">
        <w:rPr>
          <w:rFonts w:cs="Arial"/>
          <w:lang w:val="fr-CH"/>
        </w:rPr>
        <w:t>En</w:t>
      </w:r>
      <w:r>
        <w:rPr>
          <w:rFonts w:cs="Arial"/>
          <w:lang w:val="fr-CH"/>
        </w:rPr>
        <w:t> </w:t>
      </w:r>
      <w:r w:rsidRPr="00D86704">
        <w:rPr>
          <w:rFonts w:cs="Arial"/>
          <w:lang w:val="fr-CH"/>
        </w:rPr>
        <w:t>201</w:t>
      </w:r>
      <w:r>
        <w:rPr>
          <w:rFonts w:cs="Arial"/>
          <w:lang w:val="fr-CH"/>
        </w:rPr>
        <w:t>5</w:t>
      </w:r>
      <w:r w:rsidRPr="00D86704">
        <w:rPr>
          <w:rFonts w:cs="Arial"/>
          <w:lang w:val="fr-CH"/>
        </w:rPr>
        <w:t>, les catalogues communs de variétés de plantes agricoles et d</w:t>
      </w:r>
      <w:r>
        <w:rPr>
          <w:rFonts w:cs="Arial"/>
          <w:lang w:val="fr-CH"/>
        </w:rPr>
        <w:t>’</w:t>
      </w:r>
      <w:r w:rsidRPr="00D86704">
        <w:rPr>
          <w:rFonts w:cs="Arial"/>
          <w:lang w:val="fr-CH"/>
        </w:rPr>
        <w:t>espèce</w:t>
      </w:r>
      <w:r>
        <w:rPr>
          <w:rFonts w:cs="Arial"/>
          <w:lang w:val="fr-CH"/>
        </w:rPr>
        <w:t>s potagères ont été actualisés 7 et 6 </w:t>
      </w:r>
      <w:r w:rsidRPr="00D86704">
        <w:rPr>
          <w:rFonts w:cs="Arial"/>
          <w:lang w:val="fr-CH"/>
        </w:rPr>
        <w:t>fois respectivement.</w:t>
      </w:r>
      <w:r>
        <w:rPr>
          <w:rFonts w:cs="Arial"/>
          <w:lang w:val="fr-CH"/>
        </w:rPr>
        <w:t xml:space="preserve">  </w:t>
      </w:r>
      <w:r w:rsidRPr="00D86704">
        <w:rPr>
          <w:rFonts w:cs="Arial"/>
          <w:lang w:val="fr-CH"/>
        </w:rPr>
        <w:t xml:space="preserve">Fin </w:t>
      </w:r>
      <w:r>
        <w:rPr>
          <w:rFonts w:cs="Arial"/>
          <w:lang w:val="fr-CH"/>
        </w:rPr>
        <w:t>2014</w:t>
      </w:r>
      <w:r w:rsidRPr="00D86704">
        <w:rPr>
          <w:rFonts w:cs="Arial"/>
          <w:lang w:val="fr-CH"/>
        </w:rPr>
        <w:t>, plus de 2</w:t>
      </w:r>
      <w:r>
        <w:rPr>
          <w:rFonts w:cs="Arial"/>
          <w:lang w:val="fr-CH"/>
        </w:rPr>
        <w:t>0 700 </w:t>
      </w:r>
      <w:r w:rsidRPr="00D86704">
        <w:rPr>
          <w:rFonts w:cs="Arial"/>
          <w:lang w:val="fr-CH"/>
        </w:rPr>
        <w:t>variétés d</w:t>
      </w:r>
      <w:r>
        <w:rPr>
          <w:rFonts w:cs="Arial"/>
          <w:lang w:val="fr-CH"/>
        </w:rPr>
        <w:t>’</w:t>
      </w:r>
      <w:r w:rsidRPr="00D86704">
        <w:rPr>
          <w:rFonts w:cs="Arial"/>
          <w:lang w:val="fr-CH"/>
        </w:rPr>
        <w:t>espèces de plantes agricoles et plus de 1</w:t>
      </w:r>
      <w:r>
        <w:rPr>
          <w:rFonts w:cs="Arial"/>
          <w:lang w:val="fr-CH"/>
        </w:rPr>
        <w:t>9 100 </w:t>
      </w:r>
      <w:r w:rsidRPr="00D86704">
        <w:rPr>
          <w:rFonts w:cs="Arial"/>
          <w:lang w:val="fr-CH"/>
        </w:rPr>
        <w:t>variétés potagères ont été acceptées à des fins de commercialisation dans l</w:t>
      </w:r>
      <w:r>
        <w:rPr>
          <w:rFonts w:cs="Arial"/>
          <w:lang w:val="fr-CH"/>
        </w:rPr>
        <w:t>’</w:t>
      </w:r>
      <w:r w:rsidRPr="00D86704">
        <w:rPr>
          <w:rFonts w:cs="Arial"/>
          <w:lang w:val="fr-CH"/>
        </w:rPr>
        <w:t>Union européenne.</w:t>
      </w:r>
      <w:r>
        <w:rPr>
          <w:rFonts w:cs="Arial"/>
          <w:lang w:val="fr-CH"/>
        </w:rPr>
        <w:t xml:space="preserve">  </w:t>
      </w:r>
      <w:r w:rsidRPr="00D86704">
        <w:rPr>
          <w:rFonts w:cs="Arial"/>
          <w:lang w:val="fr-CH"/>
        </w:rPr>
        <w:t xml:space="preserve">De plus, </w:t>
      </w:r>
      <w:r>
        <w:rPr>
          <w:rFonts w:cs="Arial"/>
          <w:lang w:val="fr-CH"/>
        </w:rPr>
        <w:t>773 </w:t>
      </w:r>
      <w:r w:rsidRPr="00D86704">
        <w:rPr>
          <w:rFonts w:cs="Arial"/>
          <w:lang w:val="fr-CH"/>
        </w:rPr>
        <w:t>variétés amateurs/de conservation d</w:t>
      </w:r>
      <w:r>
        <w:rPr>
          <w:rFonts w:cs="Arial"/>
          <w:lang w:val="fr-CH"/>
        </w:rPr>
        <w:t>’</w:t>
      </w:r>
      <w:r w:rsidRPr="00D86704">
        <w:rPr>
          <w:rFonts w:cs="Arial"/>
          <w:lang w:val="fr-CH"/>
        </w:rPr>
        <w:t>espèces potagères ont été enregistrées dans l</w:t>
      </w:r>
      <w:r>
        <w:rPr>
          <w:rFonts w:cs="Arial"/>
          <w:lang w:val="fr-CH"/>
        </w:rPr>
        <w:t>’</w:t>
      </w:r>
      <w:r w:rsidRPr="00D86704">
        <w:rPr>
          <w:rFonts w:cs="Arial"/>
          <w:lang w:val="fr-CH"/>
        </w:rPr>
        <w:t>Union européenne.</w:t>
      </w:r>
    </w:p>
    <w:p w:rsidR="00023109" w:rsidRPr="00CD61C1" w:rsidRDefault="00023109" w:rsidP="00023109">
      <w:pPr>
        <w:autoSpaceDE w:val="0"/>
        <w:autoSpaceDN w:val="0"/>
        <w:adjustRightInd w:val="0"/>
        <w:spacing w:after="240"/>
        <w:rPr>
          <w:rFonts w:cs="Arial"/>
          <w:lang w:val="fr-CH" w:eastAsia="en-GB"/>
        </w:rPr>
      </w:pPr>
      <w:r>
        <w:rPr>
          <w:rFonts w:cs="Arial"/>
          <w:lang w:val="fr-CH" w:eastAsia="en-GB"/>
        </w:rPr>
        <w:t>Le projet de règlement</w:t>
      </w:r>
      <w:r w:rsidRPr="00CD61C1">
        <w:rPr>
          <w:rFonts w:cs="Arial"/>
          <w:lang w:val="fr-CH" w:eastAsia="en-GB"/>
        </w:rPr>
        <w:t xml:space="preserve"> du Parlement européen et du Consei</w:t>
      </w:r>
      <w:r>
        <w:rPr>
          <w:rFonts w:cs="Arial"/>
          <w:lang w:val="fr-CH" w:eastAsia="en-GB"/>
        </w:rPr>
        <w:t>l</w:t>
      </w:r>
      <w:r w:rsidRPr="00CD61C1">
        <w:rPr>
          <w:rFonts w:cs="Arial"/>
          <w:lang w:val="fr-CH" w:eastAsia="en-GB"/>
        </w:rPr>
        <w:t xml:space="preserve"> sur la production et la mise sur le marché de matériel de reproduction des plantes (loi su</w:t>
      </w:r>
      <w:r>
        <w:rPr>
          <w:rFonts w:cs="Arial"/>
          <w:lang w:val="fr-CH" w:eastAsia="en-GB"/>
        </w:rPr>
        <w:t>r</w:t>
      </w:r>
      <w:r w:rsidRPr="00CD61C1">
        <w:rPr>
          <w:rFonts w:cs="Arial"/>
          <w:lang w:val="fr-CH" w:eastAsia="en-GB"/>
        </w:rPr>
        <w:t xml:space="preserve"> le matéri</w:t>
      </w:r>
      <w:r>
        <w:rPr>
          <w:rFonts w:cs="Arial"/>
          <w:lang w:val="fr-CH" w:eastAsia="en-GB"/>
        </w:rPr>
        <w:t>el de reproduction des plantes), présenté dans le document G/SPS/N/EU/46 le 21 mai 2013, a été retiré par la Commission européenne le 7 mars 2015 (</w:t>
      </w:r>
      <w:r w:rsidRPr="00CD61C1">
        <w:rPr>
          <w:rFonts w:cs="Arial"/>
          <w:lang w:val="fr-CH" w:eastAsia="en-GB"/>
        </w:rPr>
        <w:t>J</w:t>
      </w:r>
      <w:r>
        <w:rPr>
          <w:rFonts w:cs="Arial"/>
          <w:lang w:val="fr-CH" w:eastAsia="en-GB"/>
        </w:rPr>
        <w:t>O C </w:t>
      </w:r>
      <w:r w:rsidRPr="00CD61C1">
        <w:rPr>
          <w:rFonts w:cs="Arial"/>
          <w:lang w:val="fr-CH" w:eastAsia="en-GB"/>
        </w:rPr>
        <w:t>80, 7.3.2015, p.</w:t>
      </w:r>
      <w:r>
        <w:rPr>
          <w:rFonts w:cs="Arial"/>
          <w:lang w:val="fr-CH" w:eastAsia="en-GB"/>
        </w:rPr>
        <w:t> </w:t>
      </w:r>
      <w:r w:rsidRPr="00CD61C1">
        <w:rPr>
          <w:rFonts w:cs="Arial"/>
          <w:lang w:val="fr-CH" w:eastAsia="en-GB"/>
        </w:rPr>
        <w:t>17–23).</w:t>
      </w:r>
    </w:p>
    <w:p w:rsidR="00023109" w:rsidRPr="002073DB" w:rsidRDefault="00023109" w:rsidP="00023109">
      <w:pPr>
        <w:pStyle w:val="ListBullet"/>
        <w:numPr>
          <w:ilvl w:val="0"/>
          <w:numId w:val="0"/>
        </w:numPr>
        <w:rPr>
          <w:rFonts w:cs="Arial"/>
          <w:b/>
          <w:u w:val="single"/>
          <w:lang w:val="fr-CH"/>
        </w:rPr>
      </w:pPr>
      <w:r>
        <w:rPr>
          <w:rFonts w:cs="Arial"/>
          <w:b/>
          <w:u w:val="single"/>
          <w:lang w:val="fr-CH"/>
        </w:rPr>
        <w:t>2)</w:t>
      </w:r>
      <w:r>
        <w:rPr>
          <w:rFonts w:cs="Arial"/>
          <w:b/>
          <w:u w:val="single"/>
          <w:lang w:val="fr-CH"/>
        </w:rPr>
        <w:tab/>
      </w:r>
      <w:r w:rsidRPr="002073DB">
        <w:rPr>
          <w:rFonts w:cs="Arial"/>
          <w:b/>
          <w:u w:val="single"/>
          <w:lang w:val="fr-CH"/>
        </w:rPr>
        <w:t>Ressources génétiques</w:t>
      </w:r>
    </w:p>
    <w:p w:rsidR="00023109" w:rsidRPr="002073DB" w:rsidRDefault="00023109" w:rsidP="00023109">
      <w:pPr>
        <w:pStyle w:val="ListBullet"/>
        <w:numPr>
          <w:ilvl w:val="0"/>
          <w:numId w:val="0"/>
        </w:numPr>
        <w:tabs>
          <w:tab w:val="left" w:pos="720"/>
        </w:tabs>
        <w:rPr>
          <w:rFonts w:cs="Arial"/>
          <w:lang w:val="fr-CH"/>
        </w:rPr>
      </w:pPr>
      <w:r w:rsidRPr="002073DB">
        <w:rPr>
          <w:rFonts w:cs="Arial"/>
          <w:lang w:val="fr-CH"/>
        </w:rPr>
        <w:t>Dans le cadre de la politique de l</w:t>
      </w:r>
      <w:r>
        <w:rPr>
          <w:rFonts w:cs="Arial"/>
          <w:lang w:val="fr-CH"/>
        </w:rPr>
        <w:t>’</w:t>
      </w:r>
      <w:r w:rsidRPr="002073DB">
        <w:rPr>
          <w:rFonts w:cs="Arial"/>
          <w:lang w:val="fr-CH"/>
        </w:rPr>
        <w:t>Union européenne et de ses États membres en matière de conservation des re</w:t>
      </w:r>
      <w:r>
        <w:rPr>
          <w:rFonts w:cs="Arial"/>
          <w:lang w:val="fr-CH"/>
        </w:rPr>
        <w:t>ssources génétiques végétales, 63 </w:t>
      </w:r>
      <w:r w:rsidRPr="002073DB">
        <w:rPr>
          <w:rFonts w:cs="Arial"/>
          <w:lang w:val="fr-CH"/>
        </w:rPr>
        <w:t>variétés de conse</w:t>
      </w:r>
      <w:r>
        <w:rPr>
          <w:rFonts w:cs="Arial"/>
          <w:lang w:val="fr-CH"/>
        </w:rPr>
        <w:t>rvation d’espèces potagères et 206 </w:t>
      </w:r>
      <w:r w:rsidRPr="002073DB">
        <w:rPr>
          <w:rFonts w:cs="Arial"/>
          <w:lang w:val="fr-CH"/>
        </w:rPr>
        <w:t>d</w:t>
      </w:r>
      <w:r>
        <w:rPr>
          <w:rFonts w:cs="Arial"/>
          <w:lang w:val="fr-CH"/>
        </w:rPr>
        <w:t>’</w:t>
      </w:r>
      <w:r w:rsidRPr="002073DB">
        <w:rPr>
          <w:rFonts w:cs="Arial"/>
          <w:lang w:val="fr-CH"/>
        </w:rPr>
        <w:t>espèces agricoles ont été listées en</w:t>
      </w:r>
      <w:r>
        <w:rPr>
          <w:rFonts w:cs="Arial"/>
          <w:lang w:val="fr-CH"/>
        </w:rPr>
        <w:t> </w:t>
      </w:r>
      <w:r w:rsidRPr="002073DB">
        <w:rPr>
          <w:rFonts w:cs="Arial"/>
          <w:lang w:val="fr-CH"/>
        </w:rPr>
        <w:t>201</w:t>
      </w:r>
      <w:r>
        <w:rPr>
          <w:rFonts w:cs="Arial"/>
          <w:lang w:val="fr-CH"/>
        </w:rPr>
        <w:t>4</w:t>
      </w:r>
      <w:r w:rsidRPr="002073DB">
        <w:rPr>
          <w:rFonts w:cs="Arial"/>
          <w:lang w:val="fr-CH"/>
        </w:rPr>
        <w:t xml:space="preserve"> pour une production commerciale dans des conditions particulières propres à la commercialisation dans l</w:t>
      </w:r>
      <w:r>
        <w:rPr>
          <w:rFonts w:cs="Arial"/>
          <w:lang w:val="fr-CH"/>
        </w:rPr>
        <w:t>’</w:t>
      </w:r>
      <w:r w:rsidRPr="002073DB">
        <w:rPr>
          <w:rFonts w:cs="Arial"/>
          <w:lang w:val="fr-CH"/>
        </w:rPr>
        <w:t>Union européenne.</w:t>
      </w:r>
    </w:p>
    <w:p w:rsidR="00023109" w:rsidRPr="002073DB" w:rsidRDefault="00023109" w:rsidP="00023109">
      <w:pPr>
        <w:pStyle w:val="ListBullet"/>
        <w:numPr>
          <w:ilvl w:val="0"/>
          <w:numId w:val="0"/>
        </w:numPr>
        <w:ind w:left="567" w:hanging="567"/>
        <w:rPr>
          <w:rFonts w:cs="Arial"/>
          <w:b/>
          <w:u w:val="single"/>
          <w:lang w:val="fr-CH"/>
        </w:rPr>
      </w:pPr>
      <w:r>
        <w:rPr>
          <w:rFonts w:cs="Arial"/>
          <w:b/>
          <w:u w:val="single"/>
          <w:lang w:val="fr-CH"/>
        </w:rPr>
        <w:t>3)</w:t>
      </w:r>
      <w:r>
        <w:rPr>
          <w:rFonts w:cs="Arial"/>
          <w:b/>
          <w:u w:val="single"/>
          <w:lang w:val="fr-CH"/>
        </w:rPr>
        <w:tab/>
      </w:r>
      <w:r w:rsidRPr="002073DB">
        <w:rPr>
          <w:rFonts w:cs="Arial"/>
          <w:b/>
          <w:u w:val="single"/>
          <w:lang w:val="fr-CH"/>
        </w:rPr>
        <w:t>OGM</w:t>
      </w:r>
    </w:p>
    <w:p w:rsidR="00023109" w:rsidRPr="002073DB" w:rsidRDefault="00023109" w:rsidP="00023109">
      <w:pPr>
        <w:spacing w:after="240"/>
        <w:rPr>
          <w:rFonts w:cs="Arial"/>
          <w:lang w:val="fr-CH" w:eastAsia="en-GB"/>
        </w:rPr>
      </w:pPr>
      <w:r w:rsidRPr="002073DB">
        <w:rPr>
          <w:rFonts w:cs="Arial"/>
          <w:lang w:val="fr-CH" w:eastAsia="en-GB"/>
        </w:rPr>
        <w:t>En ce qui concerne la culture des</w:t>
      </w:r>
      <w:r>
        <w:rPr>
          <w:rFonts w:cs="Arial"/>
          <w:lang w:val="fr-CH" w:eastAsia="en-GB"/>
        </w:rPr>
        <w:t> </w:t>
      </w:r>
      <w:r w:rsidRPr="002073DB">
        <w:rPr>
          <w:rFonts w:cs="Arial"/>
          <w:lang w:val="fr-CH" w:eastAsia="en-GB"/>
        </w:rPr>
        <w:t>OGM</w:t>
      </w:r>
      <w:r>
        <w:rPr>
          <w:rFonts w:cs="Arial"/>
          <w:lang w:val="fr-CH" w:eastAsia="en-GB"/>
        </w:rPr>
        <w:t xml:space="preserve">, le Parlement Européen et le Conseil ont adopté le 11 mars 2015 la directive (UE) 2015/412 </w:t>
      </w:r>
      <w:r w:rsidRPr="002B7E0B">
        <w:rPr>
          <w:rFonts w:cs="Arial"/>
          <w:lang w:val="fr-CH" w:eastAsia="en-GB"/>
        </w:rPr>
        <w:t>modifiant la directive 2001/18/CE en ce qui concerne la possibilité pour les États membres de restreindre ou d</w:t>
      </w:r>
      <w:r>
        <w:rPr>
          <w:rFonts w:cs="Arial"/>
          <w:lang w:val="fr-CH" w:eastAsia="en-GB"/>
        </w:rPr>
        <w:t>’</w:t>
      </w:r>
      <w:r w:rsidRPr="002B7E0B">
        <w:rPr>
          <w:rFonts w:cs="Arial"/>
          <w:lang w:val="fr-CH" w:eastAsia="en-GB"/>
        </w:rPr>
        <w:t>interdire la culture d</w:t>
      </w:r>
      <w:r>
        <w:rPr>
          <w:rFonts w:cs="Arial"/>
          <w:lang w:val="fr-CH" w:eastAsia="en-GB"/>
        </w:rPr>
        <w:t>’</w:t>
      </w:r>
      <w:r w:rsidRPr="002B7E0B">
        <w:rPr>
          <w:rFonts w:cs="Arial"/>
          <w:lang w:val="fr-CH" w:eastAsia="en-GB"/>
        </w:rPr>
        <w:t>organismes génétiquement modifiés (OGM) sur leur territoire</w:t>
      </w:r>
      <w:r>
        <w:rPr>
          <w:rFonts w:cs="Arial"/>
          <w:lang w:val="fr-CH" w:eastAsia="en-GB"/>
        </w:rPr>
        <w:t>.</w:t>
      </w:r>
    </w:p>
    <w:p w:rsidR="00023109" w:rsidRPr="002B7E0B" w:rsidRDefault="00023109" w:rsidP="00023109">
      <w:pPr>
        <w:spacing w:after="240"/>
        <w:rPr>
          <w:rFonts w:cs="Arial"/>
          <w:lang w:val="fr-CH" w:eastAsia="en-GB"/>
        </w:rPr>
      </w:pPr>
      <w:r w:rsidRPr="002B7E0B">
        <w:rPr>
          <w:rFonts w:cs="Arial"/>
          <w:lang w:val="fr-CH" w:eastAsia="en-GB"/>
        </w:rPr>
        <w:t>Aux termes de cette directive</w:t>
      </w:r>
      <w:r>
        <w:rPr>
          <w:rFonts w:cs="Arial"/>
          <w:lang w:val="fr-CH" w:eastAsia="en-GB"/>
        </w:rPr>
        <w:t> </w:t>
      </w:r>
      <w:r w:rsidRPr="002B7E0B">
        <w:rPr>
          <w:rFonts w:cs="Arial"/>
          <w:lang w:val="fr-CH" w:eastAsia="en-GB"/>
        </w:rPr>
        <w:t>:</w:t>
      </w:r>
    </w:p>
    <w:p w:rsidR="00023109" w:rsidRPr="00D71B44" w:rsidRDefault="00023109" w:rsidP="00BD634F">
      <w:pPr>
        <w:numPr>
          <w:ilvl w:val="0"/>
          <w:numId w:val="5"/>
        </w:numPr>
        <w:spacing w:after="120"/>
        <w:ind w:left="720" w:hanging="357"/>
        <w:rPr>
          <w:rFonts w:cs="Arial"/>
          <w:lang w:val="fr-CH" w:eastAsia="en-GB"/>
        </w:rPr>
      </w:pPr>
      <w:r w:rsidRPr="00D71B44">
        <w:rPr>
          <w:rFonts w:cs="Arial"/>
          <w:lang w:val="fr-CH" w:eastAsia="en-GB"/>
        </w:rPr>
        <w:t xml:space="preserve">les États membres </w:t>
      </w:r>
      <w:r>
        <w:rPr>
          <w:rFonts w:cs="Arial"/>
          <w:lang w:val="fr-CH" w:eastAsia="en-GB"/>
        </w:rPr>
        <w:t>pourront</w:t>
      </w:r>
      <w:r w:rsidRPr="00D71B44">
        <w:rPr>
          <w:rFonts w:cs="Arial"/>
          <w:lang w:val="fr-CH" w:eastAsia="en-GB"/>
        </w:rPr>
        <w:t xml:space="preserve"> restreindre ou interdire la culture des</w:t>
      </w:r>
      <w:r>
        <w:rPr>
          <w:rFonts w:cs="Arial"/>
          <w:lang w:val="fr-CH" w:eastAsia="en-GB"/>
        </w:rPr>
        <w:t> </w:t>
      </w:r>
      <w:r w:rsidRPr="00D71B44">
        <w:rPr>
          <w:rFonts w:cs="Arial"/>
          <w:lang w:val="fr-CH" w:eastAsia="en-GB"/>
        </w:rPr>
        <w:t xml:space="preserve">OGM sur leur territoire </w:t>
      </w:r>
      <w:r w:rsidRPr="003A250B">
        <w:rPr>
          <w:rFonts w:cs="Arial"/>
          <w:lang w:val="fr-CH" w:eastAsia="en-GB"/>
        </w:rPr>
        <w:t>de deux</w:t>
      </w:r>
      <w:r>
        <w:rPr>
          <w:rFonts w:cs="Arial"/>
          <w:lang w:val="fr-CH" w:eastAsia="en-GB"/>
        </w:rPr>
        <w:t> </w:t>
      </w:r>
      <w:r w:rsidRPr="003A250B">
        <w:rPr>
          <w:rFonts w:cs="Arial"/>
          <w:lang w:val="fr-CH" w:eastAsia="en-GB"/>
        </w:rPr>
        <w:t>façons</w:t>
      </w:r>
      <w:r>
        <w:rPr>
          <w:rFonts w:cs="Arial"/>
          <w:lang w:val="fr-CH" w:eastAsia="en-GB"/>
        </w:rPr>
        <w:t> </w:t>
      </w:r>
      <w:r w:rsidRPr="003A250B">
        <w:rPr>
          <w:rFonts w:cs="Arial"/>
          <w:lang w:val="fr-CH" w:eastAsia="en-GB"/>
        </w:rPr>
        <w:t>:</w:t>
      </w:r>
    </w:p>
    <w:p w:rsidR="00023109" w:rsidRPr="00D71B44" w:rsidRDefault="00023109" w:rsidP="00BD634F">
      <w:pPr>
        <w:numPr>
          <w:ilvl w:val="1"/>
          <w:numId w:val="5"/>
        </w:numPr>
        <w:spacing w:after="120"/>
        <w:ind w:hanging="357"/>
        <w:rPr>
          <w:rFonts w:cs="Arial"/>
          <w:lang w:val="fr-CH" w:eastAsia="en-GB"/>
        </w:rPr>
      </w:pPr>
      <w:r>
        <w:rPr>
          <w:rFonts w:cs="Arial"/>
          <w:u w:val="single"/>
          <w:lang w:val="fr-CH" w:eastAsia="en-GB"/>
        </w:rPr>
        <w:t>o</w:t>
      </w:r>
      <w:r w:rsidRPr="00D71B44">
        <w:rPr>
          <w:rFonts w:cs="Arial"/>
          <w:u w:val="single"/>
          <w:lang w:val="fr-CH" w:eastAsia="en-GB"/>
        </w:rPr>
        <w:t>ption 1</w:t>
      </w:r>
      <w:r>
        <w:rPr>
          <w:rFonts w:cs="Arial"/>
          <w:lang w:val="fr-CH" w:eastAsia="en-GB"/>
        </w:rPr>
        <w:t> </w:t>
      </w:r>
      <w:r w:rsidRPr="00D71B44">
        <w:rPr>
          <w:rFonts w:cs="Arial"/>
          <w:lang w:val="fr-CH" w:eastAsia="en-GB"/>
        </w:rPr>
        <w:t>: au cours de la procédure d</w:t>
      </w:r>
      <w:r>
        <w:rPr>
          <w:rFonts w:cs="Arial"/>
          <w:lang w:val="fr-CH" w:eastAsia="en-GB"/>
        </w:rPr>
        <w:t>’</w:t>
      </w:r>
      <w:r w:rsidRPr="00D71B44">
        <w:rPr>
          <w:rFonts w:cs="Arial"/>
          <w:lang w:val="fr-CH" w:eastAsia="en-GB"/>
        </w:rPr>
        <w:t>autorisation d</w:t>
      </w:r>
      <w:r>
        <w:rPr>
          <w:rFonts w:cs="Arial"/>
          <w:lang w:val="fr-CH" w:eastAsia="en-GB"/>
        </w:rPr>
        <w:t>’</w:t>
      </w:r>
      <w:r w:rsidRPr="00D71B44">
        <w:rPr>
          <w:rFonts w:cs="Arial"/>
          <w:lang w:val="fr-CH" w:eastAsia="en-GB"/>
        </w:rPr>
        <w:t xml:space="preserve">un OGM, un </w:t>
      </w:r>
      <w:r>
        <w:rPr>
          <w:rFonts w:cs="Arial"/>
          <w:lang w:val="fr-CH" w:eastAsia="en-GB"/>
        </w:rPr>
        <w:t>État membre peut demander que son territoire (ou une partie de celui</w:t>
      </w:r>
      <w:r>
        <w:rPr>
          <w:rFonts w:cs="Arial"/>
          <w:lang w:val="fr-CH" w:eastAsia="en-GB"/>
        </w:rPr>
        <w:noBreakHyphen/>
        <w:t>ci) soit exclu de la culture.  La Commission communique la demande au notifiant et la met à la disposition du public.  L’entreprise qui a déposé la demande d’autorisation de l’OGM dispose de 30 jours pour faire opposition à la demande de l’État membre.  Si aucune objection n’est formulée dans le délai imparti, la décision d’autorisation est modifiée par la Commission, de manière à ce que le territoire de l’État membre concerné soit exclu de la culture, conformément à la demande de ce dernier;</w:t>
      </w:r>
    </w:p>
    <w:p w:rsidR="00023109" w:rsidRPr="00C92E0B" w:rsidRDefault="00023109" w:rsidP="00BD634F">
      <w:pPr>
        <w:numPr>
          <w:ilvl w:val="1"/>
          <w:numId w:val="5"/>
        </w:numPr>
        <w:spacing w:after="120"/>
        <w:ind w:hanging="357"/>
        <w:rPr>
          <w:rFonts w:cs="Arial"/>
          <w:lang w:val="fr-CH" w:eastAsia="en-GB"/>
        </w:rPr>
      </w:pPr>
      <w:r>
        <w:rPr>
          <w:rFonts w:cs="Arial"/>
          <w:u w:val="single"/>
          <w:lang w:val="fr-CH" w:eastAsia="en-GB"/>
        </w:rPr>
        <w:t>o</w:t>
      </w:r>
      <w:r w:rsidRPr="00C92E0B">
        <w:rPr>
          <w:rFonts w:cs="Arial"/>
          <w:u w:val="single"/>
          <w:lang w:val="fr-CH" w:eastAsia="en-GB"/>
        </w:rPr>
        <w:t>ption 2</w:t>
      </w:r>
      <w:r>
        <w:rPr>
          <w:rFonts w:cs="Arial"/>
          <w:lang w:val="fr-CH" w:eastAsia="en-GB"/>
        </w:rPr>
        <w:t> </w:t>
      </w:r>
      <w:r w:rsidRPr="00C92E0B">
        <w:rPr>
          <w:rFonts w:cs="Arial"/>
          <w:lang w:val="fr-CH" w:eastAsia="en-GB"/>
        </w:rPr>
        <w:t>: une fois l</w:t>
      </w:r>
      <w:r>
        <w:rPr>
          <w:rFonts w:cs="Arial"/>
          <w:lang w:val="fr-CH" w:eastAsia="en-GB"/>
        </w:rPr>
        <w:t>’</w:t>
      </w:r>
      <w:r w:rsidRPr="00C92E0B">
        <w:rPr>
          <w:rFonts w:cs="Arial"/>
          <w:lang w:val="fr-CH" w:eastAsia="en-GB"/>
        </w:rPr>
        <w:t>autorisation accordée par la Commission, l</w:t>
      </w:r>
      <w:r>
        <w:rPr>
          <w:rFonts w:cs="Arial"/>
          <w:lang w:val="fr-CH" w:eastAsia="en-GB"/>
        </w:rPr>
        <w:t>’État membre peut, sur la base de motifs sérieux, prendre des mesures de restriction ou d’interdiction de la culture sur son territoire.  Le projet de mesure est communiqué à la Commission, qui dispose de 75 jours pour intervenir si les dispositions de la directive ne sont pas respectées.  Une fois ce délai écoulé, l’État membre peut adopter le projet de mesure.</w:t>
      </w:r>
    </w:p>
    <w:p w:rsidR="00023109" w:rsidRPr="005D1169" w:rsidRDefault="00023109" w:rsidP="00BD634F">
      <w:pPr>
        <w:numPr>
          <w:ilvl w:val="0"/>
          <w:numId w:val="5"/>
        </w:numPr>
        <w:spacing w:after="120"/>
        <w:ind w:left="720" w:hanging="357"/>
        <w:rPr>
          <w:rFonts w:cs="Arial"/>
          <w:lang w:val="fr-CH" w:eastAsia="en-GB"/>
        </w:rPr>
      </w:pPr>
      <w:r w:rsidRPr="005D1169">
        <w:rPr>
          <w:rFonts w:cs="Arial"/>
          <w:lang w:val="fr-CH" w:eastAsia="en-GB"/>
        </w:rPr>
        <w:t xml:space="preserve">Des mesures de coexistence devront être </w:t>
      </w:r>
      <w:r>
        <w:rPr>
          <w:rFonts w:cs="Arial"/>
          <w:lang w:val="fr-CH" w:eastAsia="en-GB"/>
        </w:rPr>
        <w:t>mises en œuvre aux frontières d</w:t>
      </w:r>
      <w:r w:rsidRPr="005D1169">
        <w:rPr>
          <w:rFonts w:cs="Arial"/>
          <w:lang w:val="fr-CH" w:eastAsia="en-GB"/>
        </w:rPr>
        <w:t xml:space="preserve">es </w:t>
      </w:r>
      <w:r>
        <w:rPr>
          <w:rFonts w:cs="Arial"/>
          <w:lang w:val="fr-CH" w:eastAsia="en-GB"/>
        </w:rPr>
        <w:t>États membres qui cultivent des OGM, à moins que des barrières naturelles telles que des montagnes ou la mer rendent ces mesures inutiles.</w:t>
      </w:r>
    </w:p>
    <w:p w:rsidR="00023109" w:rsidRPr="00AD00F9" w:rsidRDefault="00023109" w:rsidP="00BD634F">
      <w:pPr>
        <w:numPr>
          <w:ilvl w:val="0"/>
          <w:numId w:val="5"/>
        </w:numPr>
        <w:spacing w:after="120"/>
        <w:ind w:left="720" w:hanging="357"/>
        <w:rPr>
          <w:rFonts w:cs="Arial"/>
          <w:lang w:val="fr-CH" w:eastAsia="en-GB"/>
        </w:rPr>
      </w:pPr>
      <w:r w:rsidRPr="00AD00F9">
        <w:rPr>
          <w:rFonts w:cs="Arial"/>
          <w:lang w:val="fr-CH" w:eastAsia="en-GB"/>
        </w:rPr>
        <w:t>La Commission présentera dans un délai de quatre</w:t>
      </w:r>
      <w:r>
        <w:rPr>
          <w:rFonts w:cs="Arial"/>
          <w:lang w:val="fr-CH" w:eastAsia="en-GB"/>
        </w:rPr>
        <w:t> </w:t>
      </w:r>
      <w:r w:rsidRPr="00AD00F9">
        <w:rPr>
          <w:rFonts w:cs="Arial"/>
          <w:lang w:val="fr-CH" w:eastAsia="en-GB"/>
        </w:rPr>
        <w:t>ans un rapport sur l</w:t>
      </w:r>
      <w:r>
        <w:rPr>
          <w:rFonts w:cs="Arial"/>
          <w:lang w:val="fr-CH" w:eastAsia="en-GB"/>
        </w:rPr>
        <w:t>a réparation par les États membres des dommages environnementaux.</w:t>
      </w:r>
    </w:p>
    <w:p w:rsidR="00023109" w:rsidRPr="002D23C3" w:rsidRDefault="00023109" w:rsidP="00BD634F">
      <w:pPr>
        <w:numPr>
          <w:ilvl w:val="0"/>
          <w:numId w:val="5"/>
        </w:numPr>
        <w:spacing w:after="240"/>
        <w:ind w:left="720"/>
        <w:rPr>
          <w:rFonts w:cs="Arial"/>
          <w:lang w:val="fr-CH" w:eastAsia="en-GB"/>
        </w:rPr>
      </w:pPr>
      <w:r w:rsidRPr="002D23C3">
        <w:rPr>
          <w:rFonts w:cs="Arial"/>
          <w:lang w:val="fr-CH" w:eastAsia="en-GB"/>
        </w:rPr>
        <w:t>La Commission devra dans un délai de deux</w:t>
      </w:r>
      <w:r>
        <w:rPr>
          <w:rFonts w:cs="Arial"/>
          <w:lang w:val="fr-CH" w:eastAsia="en-GB"/>
        </w:rPr>
        <w:t> </w:t>
      </w:r>
      <w:r w:rsidRPr="002D23C3">
        <w:rPr>
          <w:rFonts w:cs="Arial"/>
          <w:lang w:val="fr-CH" w:eastAsia="en-GB"/>
        </w:rPr>
        <w:t>ans mettre à jour les annexes sur l</w:t>
      </w:r>
      <w:r>
        <w:rPr>
          <w:rFonts w:cs="Arial"/>
          <w:lang w:val="fr-CH" w:eastAsia="en-GB"/>
        </w:rPr>
        <w:t>’</w:t>
      </w:r>
      <w:r w:rsidRPr="002D23C3">
        <w:rPr>
          <w:rFonts w:cs="Arial"/>
          <w:lang w:val="fr-CH" w:eastAsia="en-GB"/>
        </w:rPr>
        <w:t xml:space="preserve">évaluation des risques </w:t>
      </w:r>
      <w:r>
        <w:rPr>
          <w:rFonts w:cs="Arial"/>
          <w:lang w:val="fr-CH" w:eastAsia="en-GB"/>
        </w:rPr>
        <w:t>pour l’environnement de la directive 2001/18/CE</w:t>
      </w:r>
      <w:r w:rsidRPr="002D23C3">
        <w:rPr>
          <w:rFonts w:cs="Arial"/>
          <w:lang w:val="fr-CH" w:eastAsia="en-GB"/>
        </w:rPr>
        <w:t xml:space="preserve"> relative à la dissémination volontaire d</w:t>
      </w:r>
      <w:r>
        <w:rPr>
          <w:rFonts w:cs="Arial"/>
          <w:lang w:val="fr-CH" w:eastAsia="en-GB"/>
        </w:rPr>
        <w:t>’</w:t>
      </w:r>
      <w:r w:rsidRPr="002D23C3">
        <w:rPr>
          <w:rFonts w:cs="Arial"/>
          <w:lang w:val="fr-CH" w:eastAsia="en-GB"/>
        </w:rPr>
        <w:t>organismes génétiquement modifiés dans l</w:t>
      </w:r>
      <w:r>
        <w:rPr>
          <w:rFonts w:cs="Arial"/>
          <w:lang w:val="fr-CH" w:eastAsia="en-GB"/>
        </w:rPr>
        <w:t>’</w:t>
      </w:r>
      <w:r w:rsidRPr="002D23C3">
        <w:rPr>
          <w:rFonts w:cs="Arial"/>
          <w:lang w:val="fr-CH" w:eastAsia="en-GB"/>
        </w:rPr>
        <w:t>environnement</w:t>
      </w:r>
      <w:r>
        <w:rPr>
          <w:rFonts w:cs="Arial"/>
          <w:lang w:val="fr-CH" w:eastAsia="en-GB"/>
        </w:rPr>
        <w:t>.</w:t>
      </w:r>
    </w:p>
    <w:p w:rsidR="00023109" w:rsidRDefault="00023109" w:rsidP="00023109">
      <w:pPr>
        <w:pStyle w:val="ListBullet"/>
        <w:numPr>
          <w:ilvl w:val="0"/>
          <w:numId w:val="0"/>
        </w:numPr>
        <w:tabs>
          <w:tab w:val="left" w:pos="567"/>
        </w:tabs>
        <w:rPr>
          <w:rFonts w:cs="Arial"/>
          <w:b/>
          <w:u w:val="single"/>
          <w:lang w:val="fr-FR"/>
        </w:rPr>
      </w:pPr>
      <w:r>
        <w:rPr>
          <w:rFonts w:cs="Arial"/>
          <w:b/>
          <w:u w:val="single"/>
          <w:lang w:val="fr-FR"/>
        </w:rPr>
        <w:t>4)</w:t>
      </w:r>
      <w:r>
        <w:rPr>
          <w:rFonts w:cs="Arial"/>
          <w:b/>
          <w:u w:val="single"/>
          <w:lang w:val="fr-FR"/>
        </w:rPr>
        <w:tab/>
      </w:r>
      <w:r w:rsidRPr="00F327E9">
        <w:rPr>
          <w:rFonts w:cs="Arial"/>
          <w:b/>
          <w:u w:val="single"/>
          <w:lang w:val="fr-FR"/>
        </w:rPr>
        <w:t>Recherche</w:t>
      </w:r>
      <w:r>
        <w:rPr>
          <w:rFonts w:cs="Arial"/>
          <w:b/>
          <w:u w:val="single"/>
          <w:lang w:val="fr-FR"/>
        </w:rPr>
        <w:noBreakHyphen/>
      </w:r>
      <w:r w:rsidRPr="00F327E9">
        <w:rPr>
          <w:rFonts w:cs="Arial"/>
          <w:b/>
          <w:u w:val="single"/>
          <w:lang w:val="fr-FR"/>
        </w:rPr>
        <w:t>développement</w:t>
      </w:r>
    </w:p>
    <w:p w:rsidR="00023109" w:rsidRPr="00F327E9" w:rsidRDefault="00023109" w:rsidP="00023109">
      <w:pPr>
        <w:spacing w:after="240"/>
        <w:rPr>
          <w:rFonts w:cs="Arial"/>
          <w:i/>
          <w:u w:val="single"/>
        </w:rPr>
      </w:pPr>
      <w:r>
        <w:rPr>
          <w:rFonts w:cs="Arial"/>
          <w:i/>
          <w:u w:val="single"/>
        </w:rPr>
        <w:t>1.1</w:t>
      </w:r>
      <w:r>
        <w:rPr>
          <w:rFonts w:cs="Arial"/>
          <w:i/>
          <w:u w:val="single"/>
        </w:rPr>
        <w:tab/>
      </w:r>
      <w:r w:rsidRPr="00F327E9">
        <w:rPr>
          <w:rFonts w:cs="Arial"/>
          <w:i/>
          <w:u w:val="single"/>
        </w:rPr>
        <w:t>Nouveaux projets approuvés</w:t>
      </w:r>
    </w:p>
    <w:p w:rsidR="00023109" w:rsidRPr="00F327E9" w:rsidRDefault="00023109" w:rsidP="00023109">
      <w:pPr>
        <w:spacing w:after="240"/>
        <w:rPr>
          <w:rFonts w:cs="Arial"/>
        </w:rPr>
      </w:pPr>
      <w:r w:rsidRPr="00F327E9">
        <w:rPr>
          <w:rFonts w:cs="Arial"/>
        </w:rPr>
        <w:t>Aucun élément nouveau.</w:t>
      </w:r>
    </w:p>
    <w:p w:rsidR="00023109" w:rsidRPr="00F327E9" w:rsidRDefault="00023109" w:rsidP="00023109">
      <w:pPr>
        <w:pStyle w:val="ListBullet"/>
        <w:numPr>
          <w:ilvl w:val="0"/>
          <w:numId w:val="0"/>
        </w:numPr>
        <w:rPr>
          <w:rFonts w:eastAsia="Calibri" w:cs="Arial"/>
          <w:i/>
          <w:u w:val="single"/>
          <w:lang w:val="fr-FR"/>
        </w:rPr>
      </w:pPr>
      <w:r>
        <w:rPr>
          <w:rFonts w:eastAsia="Calibri" w:cs="Arial"/>
          <w:i/>
          <w:u w:val="single"/>
          <w:lang w:val="fr-FR"/>
        </w:rPr>
        <w:t>1.2</w:t>
      </w:r>
      <w:r>
        <w:rPr>
          <w:rFonts w:eastAsia="Calibri" w:cs="Arial"/>
          <w:i/>
          <w:u w:val="single"/>
          <w:lang w:val="fr-FR"/>
        </w:rPr>
        <w:tab/>
      </w:r>
      <w:r w:rsidRPr="00F327E9">
        <w:rPr>
          <w:rFonts w:eastAsia="Calibri" w:cs="Arial"/>
          <w:i/>
          <w:u w:val="single"/>
          <w:lang w:val="fr-FR"/>
        </w:rPr>
        <w:t>Projets en cours</w:t>
      </w:r>
    </w:p>
    <w:p w:rsidR="00023109" w:rsidRPr="00F327E9" w:rsidRDefault="00023109" w:rsidP="00023109">
      <w:pPr>
        <w:autoSpaceDE w:val="0"/>
        <w:autoSpaceDN w:val="0"/>
        <w:adjustRightInd w:val="0"/>
        <w:spacing w:after="240"/>
        <w:ind w:left="720"/>
        <w:rPr>
          <w:rFonts w:cs="Arial"/>
          <w:i/>
        </w:rPr>
      </w:pPr>
      <w:r>
        <w:rPr>
          <w:rFonts w:cs="Arial"/>
          <w:i/>
        </w:rPr>
        <w:t>a.</w:t>
      </w:r>
      <w:r>
        <w:rPr>
          <w:rFonts w:cs="Arial"/>
          <w:i/>
        </w:rPr>
        <w:tab/>
      </w:r>
      <w:r w:rsidRPr="00F327E9">
        <w:rPr>
          <w:rFonts w:cs="Arial"/>
          <w:i/>
        </w:rPr>
        <w:t>Une base de données européenne sur les pommes de terre pour la collecte centralisée des variétés notoirement connues</w:t>
      </w:r>
    </w:p>
    <w:p w:rsidR="00023109" w:rsidRDefault="00023109" w:rsidP="00023109">
      <w:pPr>
        <w:spacing w:after="240"/>
        <w:rPr>
          <w:rFonts w:cs="Arial"/>
        </w:rPr>
      </w:pPr>
      <w:r w:rsidRPr="00F327E9">
        <w:rPr>
          <w:rFonts w:cs="Arial"/>
        </w:rPr>
        <w:t>Approuvé au début de</w:t>
      </w:r>
      <w:r>
        <w:rPr>
          <w:rFonts w:cs="Arial"/>
        </w:rPr>
        <w:t> </w:t>
      </w:r>
      <w:r w:rsidRPr="00F327E9">
        <w:rPr>
          <w:rFonts w:cs="Arial"/>
        </w:rPr>
        <w:t>2014, ce projet fait suite au projet déjà finalisé intitulé “Construction d</w:t>
      </w:r>
      <w:r>
        <w:rPr>
          <w:rFonts w:cs="Arial"/>
        </w:rPr>
        <w:t>’</w:t>
      </w:r>
      <w:r w:rsidRPr="00F327E9">
        <w:rPr>
          <w:rFonts w:cs="Arial"/>
        </w:rPr>
        <w:t>un microsatellite intégré et élaboration d</w:t>
      </w:r>
      <w:r>
        <w:rPr>
          <w:rFonts w:cs="Arial"/>
        </w:rPr>
        <w:t>’</w:t>
      </w:r>
      <w:r w:rsidRPr="00F327E9">
        <w:rPr>
          <w:rFonts w:cs="Arial"/>
        </w:rPr>
        <w:t>une base de données des caractéristiques morphologiques clés des variétés de pommes de terre dans le catalogue commun de l</w:t>
      </w:r>
      <w:r>
        <w:rPr>
          <w:rFonts w:cs="Arial"/>
        </w:rPr>
        <w:t>’</w:t>
      </w:r>
      <w:r w:rsidRPr="00F327E9">
        <w:rPr>
          <w:rFonts w:cs="Arial"/>
        </w:rPr>
        <w:t xml:space="preserve">Union européenne”. </w:t>
      </w:r>
      <w:r>
        <w:rPr>
          <w:rFonts w:cs="Arial"/>
        </w:rPr>
        <w:t xml:space="preserve"> L</w:t>
      </w:r>
      <w:r w:rsidRPr="00F327E9">
        <w:rPr>
          <w:rFonts w:cs="Arial"/>
        </w:rPr>
        <w:t>e nouveau projet a été lancé par l</w:t>
      </w:r>
      <w:r>
        <w:rPr>
          <w:rFonts w:cs="Arial"/>
        </w:rPr>
        <w:t>’</w:t>
      </w:r>
      <w:r w:rsidRPr="00F327E9">
        <w:rPr>
          <w:rFonts w:cs="Arial"/>
        </w:rPr>
        <w:t xml:space="preserve">OCVV </w:t>
      </w:r>
      <w:r>
        <w:rPr>
          <w:rFonts w:cs="Arial"/>
        </w:rPr>
        <w:t xml:space="preserve">qui le coordonne </w:t>
      </w:r>
      <w:r w:rsidRPr="00F327E9">
        <w:rPr>
          <w:rFonts w:cs="Arial"/>
        </w:rPr>
        <w:t xml:space="preserve">et </w:t>
      </w:r>
      <w:r>
        <w:rPr>
          <w:rFonts w:cs="Arial"/>
        </w:rPr>
        <w:t xml:space="preserve">concerne </w:t>
      </w:r>
      <w:r w:rsidRPr="00F327E9">
        <w:rPr>
          <w:rFonts w:cs="Arial"/>
        </w:rPr>
        <w:t>les neuf</w:t>
      </w:r>
      <w:r>
        <w:rPr>
          <w:rFonts w:cs="Arial"/>
        </w:rPr>
        <w:t> </w:t>
      </w:r>
      <w:r w:rsidRPr="00F327E9">
        <w:rPr>
          <w:rFonts w:cs="Arial"/>
        </w:rPr>
        <w:t>centres d</w:t>
      </w:r>
      <w:r>
        <w:rPr>
          <w:rFonts w:cs="Arial"/>
        </w:rPr>
        <w:t>’</w:t>
      </w:r>
      <w:r w:rsidRPr="00F327E9">
        <w:rPr>
          <w:rFonts w:cs="Arial"/>
        </w:rPr>
        <w:t>examen habilités pour la pomme de terre</w:t>
      </w:r>
      <w:r>
        <w:rPr>
          <w:rFonts w:cs="Arial"/>
        </w:rPr>
        <w:t> </w:t>
      </w:r>
      <w:r w:rsidRPr="00F327E9">
        <w:rPr>
          <w:rFonts w:cs="Arial"/>
        </w:rPr>
        <w:t xml:space="preserve">: </w:t>
      </w:r>
      <w:proofErr w:type="spellStart"/>
      <w:r w:rsidRPr="00F327E9">
        <w:rPr>
          <w:rFonts w:cs="Arial"/>
        </w:rPr>
        <w:t>Naktuinbouw</w:t>
      </w:r>
      <w:proofErr w:type="spellEnd"/>
      <w:r w:rsidRPr="00F327E9">
        <w:rPr>
          <w:rFonts w:cs="Arial"/>
        </w:rPr>
        <w:t xml:space="preserve"> (NL), SASA (UK), BSA (DE), COBORU (PL), OEVV (ES), DAF (IE), AGES (AT), ÚKZÚZ (CZ), UKSUP (SK) ainsi que la </w:t>
      </w:r>
      <w:proofErr w:type="spellStart"/>
      <w:r w:rsidRPr="00F327E9">
        <w:rPr>
          <w:rFonts w:cs="Arial"/>
        </w:rPr>
        <w:t>European</w:t>
      </w:r>
      <w:proofErr w:type="spellEnd"/>
      <w:r w:rsidRPr="00F327E9">
        <w:rPr>
          <w:rFonts w:cs="Arial"/>
        </w:rPr>
        <w:t xml:space="preserve"> </w:t>
      </w:r>
      <w:proofErr w:type="spellStart"/>
      <w:r w:rsidRPr="00F327E9">
        <w:rPr>
          <w:rFonts w:cs="Arial"/>
        </w:rPr>
        <w:t>Seed</w:t>
      </w:r>
      <w:proofErr w:type="spellEnd"/>
      <w:r w:rsidRPr="00F327E9">
        <w:rPr>
          <w:rFonts w:cs="Arial"/>
        </w:rPr>
        <w:t xml:space="preserve"> Association (ESA). </w:t>
      </w:r>
      <w:r>
        <w:rPr>
          <w:rFonts w:cs="Arial"/>
        </w:rPr>
        <w:t xml:space="preserve"> </w:t>
      </w:r>
      <w:r w:rsidRPr="00F327E9">
        <w:rPr>
          <w:rFonts w:cs="Arial"/>
        </w:rPr>
        <w:t>L</w:t>
      </w:r>
      <w:r>
        <w:rPr>
          <w:rFonts w:cs="Arial"/>
        </w:rPr>
        <w:t>’</w:t>
      </w:r>
      <w:r w:rsidRPr="00F327E9">
        <w:rPr>
          <w:rFonts w:cs="Arial"/>
        </w:rPr>
        <w:t>objectif du projet est de mettre en place et de tenir à jour une base de données de l</w:t>
      </w:r>
      <w:r>
        <w:rPr>
          <w:rFonts w:cs="Arial"/>
        </w:rPr>
        <w:t>’</w:t>
      </w:r>
      <w:r w:rsidRPr="00F327E9">
        <w:rPr>
          <w:rFonts w:cs="Arial"/>
        </w:rPr>
        <w:t>Union européenne sur les variétés de pommes de terre</w:t>
      </w:r>
      <w:r>
        <w:rPr>
          <w:rFonts w:cs="Arial"/>
        </w:rPr>
        <w:t xml:space="preserve"> contenant d</w:t>
      </w:r>
      <w:r w:rsidRPr="00F327E9">
        <w:rPr>
          <w:rFonts w:cs="Arial"/>
        </w:rPr>
        <w:t>es données morphologiques et moléculaires et des photographies du germe et de disposer d</w:t>
      </w:r>
      <w:r>
        <w:rPr>
          <w:rFonts w:cs="Arial"/>
        </w:rPr>
        <w:t>’</w:t>
      </w:r>
      <w:r w:rsidRPr="00F327E9">
        <w:rPr>
          <w:rFonts w:cs="Arial"/>
        </w:rPr>
        <w:t>une collection d</w:t>
      </w:r>
      <w:r>
        <w:rPr>
          <w:rFonts w:cs="Arial"/>
        </w:rPr>
        <w:t>’</w:t>
      </w:r>
      <w:r w:rsidRPr="00F327E9">
        <w:rPr>
          <w:rFonts w:cs="Arial"/>
        </w:rPr>
        <w:t>échantillons d</w:t>
      </w:r>
      <w:r>
        <w:rPr>
          <w:rFonts w:cs="Arial"/>
        </w:rPr>
        <w:t>’</w:t>
      </w:r>
      <w:r w:rsidRPr="00F327E9">
        <w:rPr>
          <w:rFonts w:cs="Arial"/>
        </w:rPr>
        <w:t>ADN de ces variétés.</w:t>
      </w:r>
    </w:p>
    <w:p w:rsidR="00023109" w:rsidRDefault="00023109" w:rsidP="00023109">
      <w:pPr>
        <w:autoSpaceDE w:val="0"/>
        <w:autoSpaceDN w:val="0"/>
        <w:adjustRightInd w:val="0"/>
        <w:spacing w:after="240"/>
        <w:rPr>
          <w:rFonts w:cs="Arial"/>
        </w:rPr>
      </w:pPr>
      <w:r w:rsidRPr="00F327E9">
        <w:rPr>
          <w:rFonts w:cs="Arial"/>
        </w:rPr>
        <w:t xml:space="preserve">La base de données complète et </w:t>
      </w:r>
      <w:r>
        <w:rPr>
          <w:rFonts w:cs="Arial"/>
        </w:rPr>
        <w:t xml:space="preserve">tenue </w:t>
      </w:r>
      <w:r w:rsidRPr="00F327E9">
        <w:rPr>
          <w:rFonts w:cs="Arial"/>
        </w:rPr>
        <w:t>à jour en tant que collection centralisée des données morphologiques et moléculaires des variétés notoirement connues serait un outil important pour les centres d</w:t>
      </w:r>
      <w:r>
        <w:rPr>
          <w:rFonts w:cs="Arial"/>
        </w:rPr>
        <w:t>’</w:t>
      </w:r>
      <w:r w:rsidRPr="00F327E9">
        <w:rPr>
          <w:rFonts w:cs="Arial"/>
        </w:rPr>
        <w:t>examen chargés d</w:t>
      </w:r>
      <w:r>
        <w:rPr>
          <w:rFonts w:cs="Arial"/>
        </w:rPr>
        <w:t>’</w:t>
      </w:r>
      <w:r w:rsidRPr="00F327E9">
        <w:rPr>
          <w:rFonts w:cs="Arial"/>
        </w:rPr>
        <w:t xml:space="preserve">organiser des examens DHS efficaces; </w:t>
      </w:r>
      <w:r>
        <w:rPr>
          <w:rFonts w:cs="Arial"/>
        </w:rPr>
        <w:t xml:space="preserve"> </w:t>
      </w:r>
      <w:r w:rsidRPr="00F327E9">
        <w:rPr>
          <w:rFonts w:cs="Arial"/>
        </w:rPr>
        <w:t xml:space="preserve">en effet, elle fournirait des résultats fiables pour </w:t>
      </w:r>
      <w:r>
        <w:rPr>
          <w:rFonts w:cs="Arial"/>
        </w:rPr>
        <w:t xml:space="preserve">les </w:t>
      </w:r>
      <w:r w:rsidRPr="00F327E9">
        <w:rPr>
          <w:rFonts w:cs="Arial"/>
        </w:rPr>
        <w:t>culture</w:t>
      </w:r>
      <w:r>
        <w:rPr>
          <w:rFonts w:cs="Arial"/>
        </w:rPr>
        <w:t>s</w:t>
      </w:r>
      <w:r w:rsidRPr="00F327E9">
        <w:rPr>
          <w:rFonts w:cs="Arial"/>
        </w:rPr>
        <w:t xml:space="preserve"> </w:t>
      </w:r>
      <w:r>
        <w:rPr>
          <w:rFonts w:cs="Arial"/>
        </w:rPr>
        <w:t>ne disposant pas de</w:t>
      </w:r>
      <w:r w:rsidRPr="00F327E9">
        <w:rPr>
          <w:rFonts w:cs="Arial"/>
        </w:rPr>
        <w:t xml:space="preserve"> collection de référence vivante.  L</w:t>
      </w:r>
      <w:r>
        <w:rPr>
          <w:rFonts w:cs="Arial"/>
        </w:rPr>
        <w:t>’</w:t>
      </w:r>
      <w:r w:rsidRPr="00F327E9">
        <w:rPr>
          <w:rFonts w:cs="Arial"/>
        </w:rPr>
        <w:t>utilisation d</w:t>
      </w:r>
      <w:r>
        <w:rPr>
          <w:rFonts w:cs="Arial"/>
        </w:rPr>
        <w:t>’</w:t>
      </w:r>
      <w:r w:rsidRPr="00F327E9">
        <w:rPr>
          <w:rFonts w:cs="Arial"/>
        </w:rPr>
        <w:t>une base de données centralisée permettrait d</w:t>
      </w:r>
      <w:r>
        <w:rPr>
          <w:rFonts w:cs="Arial"/>
        </w:rPr>
        <w:t>’</w:t>
      </w:r>
      <w:r w:rsidRPr="00F327E9">
        <w:rPr>
          <w:rFonts w:cs="Arial"/>
        </w:rPr>
        <w:t>améliorer la qualité et serait censée réduire les coûts de l</w:t>
      </w:r>
      <w:r>
        <w:rPr>
          <w:rFonts w:cs="Arial"/>
        </w:rPr>
        <w:t>’</w:t>
      </w:r>
      <w:r w:rsidRPr="00F327E9">
        <w:rPr>
          <w:rFonts w:cs="Arial"/>
        </w:rPr>
        <w:t>examen</w:t>
      </w:r>
      <w:r>
        <w:rPr>
          <w:rFonts w:cs="Arial"/>
        </w:rPr>
        <w:t> </w:t>
      </w:r>
      <w:r w:rsidRPr="00F327E9">
        <w:rPr>
          <w:rFonts w:cs="Arial"/>
        </w:rPr>
        <w:t xml:space="preserve">DHS par rapport au maintien à jour de plusieurs bases de données </w:t>
      </w:r>
      <w:r>
        <w:rPr>
          <w:rFonts w:cs="Arial"/>
        </w:rPr>
        <w:t>à l’échelle</w:t>
      </w:r>
      <w:r w:rsidRPr="00F327E9">
        <w:rPr>
          <w:rFonts w:cs="Arial"/>
        </w:rPr>
        <w:t xml:space="preserve"> national</w:t>
      </w:r>
      <w:r>
        <w:rPr>
          <w:rFonts w:cs="Arial"/>
        </w:rPr>
        <w:t xml:space="preserve">e.  </w:t>
      </w:r>
      <w:r w:rsidRPr="00F327E9">
        <w:rPr>
          <w:rFonts w:cs="Arial"/>
        </w:rPr>
        <w:t>Qui plus est, en dehors de son utilité en matière d</w:t>
      </w:r>
      <w:r>
        <w:rPr>
          <w:rFonts w:cs="Arial"/>
        </w:rPr>
        <w:t>’</w:t>
      </w:r>
      <w:r w:rsidRPr="00F327E9">
        <w:rPr>
          <w:rFonts w:cs="Arial"/>
        </w:rPr>
        <w:t>examen</w:t>
      </w:r>
      <w:r>
        <w:rPr>
          <w:rFonts w:cs="Arial"/>
        </w:rPr>
        <w:t> </w:t>
      </w:r>
      <w:r w:rsidRPr="00F327E9">
        <w:rPr>
          <w:rFonts w:cs="Arial"/>
        </w:rPr>
        <w:t>DHS, une partie de la base de données (les profils moléculaires) pourrait être utilisée par les titulaires de titres dans le</w:t>
      </w:r>
      <w:r>
        <w:rPr>
          <w:rFonts w:cs="Arial"/>
        </w:rPr>
        <w:t xml:space="preserve"> cadre de l’</w:t>
      </w:r>
      <w:r w:rsidRPr="00F327E9">
        <w:rPr>
          <w:rFonts w:cs="Arial"/>
        </w:rPr>
        <w:t>application des droits</w:t>
      </w:r>
      <w:r>
        <w:rPr>
          <w:rFonts w:cs="Arial"/>
        </w:rPr>
        <w:t xml:space="preserve">.  </w:t>
      </w:r>
      <w:r w:rsidRPr="00F327E9">
        <w:rPr>
          <w:rFonts w:cs="Arial"/>
        </w:rPr>
        <w:t>Une réunion d</w:t>
      </w:r>
      <w:r>
        <w:rPr>
          <w:rFonts w:cs="Arial"/>
        </w:rPr>
        <w:t>’</w:t>
      </w:r>
      <w:r w:rsidRPr="00F327E9">
        <w:rPr>
          <w:rFonts w:cs="Arial"/>
        </w:rPr>
        <w:t>experts s</w:t>
      </w:r>
      <w:r>
        <w:rPr>
          <w:rFonts w:cs="Arial"/>
        </w:rPr>
        <w:t>’</w:t>
      </w:r>
      <w:r w:rsidRPr="00F327E9">
        <w:rPr>
          <w:rFonts w:cs="Arial"/>
        </w:rPr>
        <w:t>est tenue en</w:t>
      </w:r>
      <w:r>
        <w:rPr>
          <w:rFonts w:cs="Arial"/>
        </w:rPr>
        <w:t> </w:t>
      </w:r>
      <w:r w:rsidRPr="00F327E9">
        <w:rPr>
          <w:rFonts w:cs="Arial"/>
        </w:rPr>
        <w:t xml:space="preserve">2014 dans les locaux du </w:t>
      </w:r>
      <w:proofErr w:type="spellStart"/>
      <w:r w:rsidRPr="00F327E9">
        <w:rPr>
          <w:rFonts w:cs="Arial"/>
        </w:rPr>
        <w:t>Bundessortenamt</w:t>
      </w:r>
      <w:proofErr w:type="spellEnd"/>
      <w:r w:rsidRPr="00F327E9">
        <w:rPr>
          <w:rFonts w:cs="Arial"/>
        </w:rPr>
        <w:t xml:space="preserve"> à </w:t>
      </w:r>
      <w:r>
        <w:rPr>
          <w:rFonts w:cs="Arial"/>
        </w:rPr>
        <w:t xml:space="preserve">Magdebourg.  </w:t>
      </w:r>
      <w:r w:rsidRPr="00F327E9">
        <w:rPr>
          <w:rFonts w:cs="Arial"/>
        </w:rPr>
        <w:t>Outre les questions d</w:t>
      </w:r>
      <w:r>
        <w:rPr>
          <w:rFonts w:cs="Arial"/>
        </w:rPr>
        <w:t>’</w:t>
      </w:r>
      <w:r w:rsidRPr="00F327E9">
        <w:rPr>
          <w:rFonts w:cs="Arial"/>
        </w:rPr>
        <w:t xml:space="preserve">ordre technique, les débats ont </w:t>
      </w:r>
      <w:r>
        <w:rPr>
          <w:rFonts w:cs="Arial"/>
        </w:rPr>
        <w:t>porté</w:t>
      </w:r>
      <w:r w:rsidRPr="00F327E9">
        <w:rPr>
          <w:rFonts w:cs="Arial"/>
        </w:rPr>
        <w:t xml:space="preserve"> sur les droits d</w:t>
      </w:r>
      <w:r>
        <w:rPr>
          <w:rFonts w:cs="Arial"/>
        </w:rPr>
        <w:t>’</w:t>
      </w:r>
      <w:r w:rsidRPr="00F327E9">
        <w:rPr>
          <w:rFonts w:cs="Arial"/>
        </w:rPr>
        <w:t xml:space="preserve">accès, le </w:t>
      </w:r>
      <w:r>
        <w:rPr>
          <w:rFonts w:cs="Arial"/>
        </w:rPr>
        <w:t>caractère</w:t>
      </w:r>
      <w:r w:rsidRPr="00F327E9">
        <w:rPr>
          <w:rFonts w:cs="Arial"/>
        </w:rPr>
        <w:t xml:space="preserve"> confidentiel des données et les résultats des données.</w:t>
      </w:r>
    </w:p>
    <w:p w:rsidR="00023109" w:rsidRDefault="00023109" w:rsidP="00023109">
      <w:pPr>
        <w:spacing w:after="240"/>
        <w:rPr>
          <w:rFonts w:cs="Arial"/>
        </w:rPr>
      </w:pPr>
      <w:r w:rsidRPr="00F327E9">
        <w:rPr>
          <w:rFonts w:cs="Arial"/>
        </w:rPr>
        <w:t>L</w:t>
      </w:r>
      <w:r>
        <w:rPr>
          <w:rFonts w:cs="Arial"/>
        </w:rPr>
        <w:t>’</w:t>
      </w:r>
      <w:r w:rsidRPr="00F327E9">
        <w:rPr>
          <w:rFonts w:cs="Arial"/>
        </w:rPr>
        <w:t>OCVV a organisé, les 27 et 28</w:t>
      </w:r>
      <w:r>
        <w:rPr>
          <w:rFonts w:cs="Arial"/>
        </w:rPr>
        <w:t> </w:t>
      </w:r>
      <w:r w:rsidRPr="00F327E9">
        <w:rPr>
          <w:rFonts w:cs="Arial"/>
        </w:rPr>
        <w:t>mai</w:t>
      </w:r>
      <w:r>
        <w:rPr>
          <w:rFonts w:cs="Arial"/>
        </w:rPr>
        <w:t> </w:t>
      </w:r>
      <w:r w:rsidRPr="00F327E9">
        <w:rPr>
          <w:rFonts w:cs="Arial"/>
        </w:rPr>
        <w:t>2015, la quatrième réunion des experts en pomme de terre afin de débattre du projet de recherche</w:t>
      </w:r>
      <w:r>
        <w:rPr>
          <w:rFonts w:cs="Arial"/>
        </w:rPr>
        <w:t>-développement</w:t>
      </w:r>
      <w:r w:rsidRPr="00F327E9">
        <w:rPr>
          <w:rFonts w:cs="Arial"/>
        </w:rPr>
        <w:t xml:space="preserve"> visant à la mise en place d</w:t>
      </w:r>
      <w:r>
        <w:rPr>
          <w:rFonts w:cs="Arial"/>
        </w:rPr>
        <w:t>’</w:t>
      </w:r>
      <w:r w:rsidRPr="00F327E9">
        <w:rPr>
          <w:rFonts w:cs="Arial"/>
        </w:rPr>
        <w:t>une base de données commune</w:t>
      </w:r>
      <w:r>
        <w:rPr>
          <w:rFonts w:cs="Arial"/>
        </w:rPr>
        <w:t xml:space="preserve">.  </w:t>
      </w:r>
      <w:r w:rsidRPr="00F327E9">
        <w:rPr>
          <w:rFonts w:cs="Arial"/>
        </w:rPr>
        <w:t>La réunion était organisée par l</w:t>
      </w:r>
      <w:r>
        <w:rPr>
          <w:rFonts w:cs="Arial"/>
        </w:rPr>
        <w:t>’</w:t>
      </w:r>
      <w:r w:rsidRPr="00F327E9">
        <w:rPr>
          <w:rFonts w:cs="Arial"/>
        </w:rPr>
        <w:t xml:space="preserve">AGES à Vienne (AT). </w:t>
      </w:r>
      <w:r>
        <w:rPr>
          <w:rFonts w:cs="Arial"/>
        </w:rPr>
        <w:t xml:space="preserve"> </w:t>
      </w:r>
      <w:r w:rsidRPr="00F327E9">
        <w:rPr>
          <w:rFonts w:cs="Arial"/>
        </w:rPr>
        <w:t xml:space="preserve">Les participants, au </w:t>
      </w:r>
      <w:r>
        <w:rPr>
          <w:rFonts w:cs="Arial"/>
        </w:rPr>
        <w:t>nombre de </w:t>
      </w:r>
      <w:r w:rsidRPr="00F327E9">
        <w:rPr>
          <w:rFonts w:cs="Arial"/>
        </w:rPr>
        <w:t xml:space="preserve">26, provenaient tous de </w:t>
      </w:r>
      <w:r>
        <w:rPr>
          <w:rFonts w:cs="Arial"/>
        </w:rPr>
        <w:t xml:space="preserve">centres </w:t>
      </w:r>
      <w:r w:rsidRPr="00F327E9">
        <w:rPr>
          <w:rFonts w:cs="Arial"/>
        </w:rPr>
        <w:t>d</w:t>
      </w:r>
      <w:r>
        <w:rPr>
          <w:rFonts w:cs="Arial"/>
        </w:rPr>
        <w:t>’</w:t>
      </w:r>
      <w:r w:rsidRPr="00F327E9">
        <w:rPr>
          <w:rFonts w:cs="Arial"/>
        </w:rPr>
        <w:t>examen habilités et des deux</w:t>
      </w:r>
      <w:r>
        <w:rPr>
          <w:rFonts w:cs="Arial"/>
        </w:rPr>
        <w:t> </w:t>
      </w:r>
      <w:r w:rsidRPr="00F327E9">
        <w:rPr>
          <w:rFonts w:cs="Arial"/>
        </w:rPr>
        <w:t>associations d</w:t>
      </w:r>
      <w:r>
        <w:rPr>
          <w:rFonts w:cs="Arial"/>
        </w:rPr>
        <w:t>’</w:t>
      </w:r>
      <w:r w:rsidRPr="00F327E9">
        <w:rPr>
          <w:rFonts w:cs="Arial"/>
        </w:rPr>
        <w:t xml:space="preserve">obtenteurs, ESA et </w:t>
      </w:r>
      <w:proofErr w:type="spellStart"/>
      <w:r w:rsidRPr="00F327E9">
        <w:rPr>
          <w:rFonts w:cs="Arial"/>
        </w:rPr>
        <w:t>Plantum</w:t>
      </w:r>
      <w:proofErr w:type="spellEnd"/>
      <w:r>
        <w:rPr>
          <w:rFonts w:cs="Arial"/>
        </w:rPr>
        <w:t xml:space="preserve">.  </w:t>
      </w:r>
      <w:r w:rsidRPr="00F327E9">
        <w:rPr>
          <w:rFonts w:cs="Arial"/>
        </w:rPr>
        <w:t xml:space="preserve">Étant donné que la base de données est un projet pilote en matière de collaboration entre plusieurs partenaires, elle a donné lieu à des discussions </w:t>
      </w:r>
      <w:r>
        <w:rPr>
          <w:rFonts w:cs="Arial"/>
        </w:rPr>
        <w:t>animées</w:t>
      </w:r>
      <w:r w:rsidRPr="00F327E9">
        <w:rPr>
          <w:rFonts w:cs="Arial"/>
        </w:rPr>
        <w:t xml:space="preserve"> qui ont portées essentiellement sur des accords devant être conclus entre les partenaires du projet (les services d</w:t>
      </w:r>
      <w:r>
        <w:rPr>
          <w:rFonts w:cs="Arial"/>
        </w:rPr>
        <w:t>’</w:t>
      </w:r>
      <w:r w:rsidRPr="00F327E9">
        <w:rPr>
          <w:rFonts w:cs="Arial"/>
        </w:rPr>
        <w:t>examen et l</w:t>
      </w:r>
      <w:r>
        <w:rPr>
          <w:rFonts w:cs="Arial"/>
        </w:rPr>
        <w:t>’</w:t>
      </w:r>
      <w:r w:rsidRPr="00F327E9">
        <w:rPr>
          <w:rFonts w:cs="Arial"/>
        </w:rPr>
        <w:t>ESA) d</w:t>
      </w:r>
      <w:r>
        <w:rPr>
          <w:rFonts w:cs="Arial"/>
        </w:rPr>
        <w:t>’</w:t>
      </w:r>
      <w:r w:rsidRPr="00F327E9">
        <w:rPr>
          <w:rFonts w:cs="Arial"/>
        </w:rPr>
        <w:t>une part, et les laboratoires qui menaient les travaux sur les molécules de l</w:t>
      </w:r>
      <w:r>
        <w:rPr>
          <w:rFonts w:cs="Arial"/>
        </w:rPr>
        <w:t>’</w:t>
      </w:r>
      <w:r w:rsidRPr="00F327E9">
        <w:rPr>
          <w:rFonts w:cs="Arial"/>
        </w:rPr>
        <w:t xml:space="preserve">autre, ainsi que sur des questions très </w:t>
      </w:r>
      <w:r>
        <w:rPr>
          <w:rFonts w:cs="Arial"/>
        </w:rPr>
        <w:t>concrètes</w:t>
      </w:r>
      <w:r w:rsidRPr="00F327E9">
        <w:rPr>
          <w:rFonts w:cs="Arial"/>
        </w:rPr>
        <w:t xml:space="preserve"> concernant la collecte des données, telles que la remise d</w:t>
      </w:r>
      <w:r>
        <w:rPr>
          <w:rFonts w:cs="Arial"/>
        </w:rPr>
        <w:t>’</w:t>
      </w:r>
      <w:r w:rsidRPr="00F327E9">
        <w:rPr>
          <w:rFonts w:cs="Arial"/>
        </w:rPr>
        <w:t>échantillons</w:t>
      </w:r>
      <w:r>
        <w:rPr>
          <w:rFonts w:cs="Arial"/>
        </w:rPr>
        <w:t>,</w:t>
      </w:r>
      <w:r w:rsidRPr="00F327E9">
        <w:rPr>
          <w:rFonts w:cs="Arial"/>
        </w:rPr>
        <w:t xml:space="preserve"> la transmission des résultats obtenus et la gestion de la base de données</w:t>
      </w:r>
      <w:r>
        <w:rPr>
          <w:rFonts w:cs="Arial"/>
        </w:rPr>
        <w:t xml:space="preserve">.  </w:t>
      </w:r>
      <w:r w:rsidRPr="00F327E9">
        <w:rPr>
          <w:rFonts w:cs="Arial"/>
        </w:rPr>
        <w:t>La cinquième réunion s</w:t>
      </w:r>
      <w:r>
        <w:rPr>
          <w:rFonts w:cs="Arial"/>
        </w:rPr>
        <w:t>’</w:t>
      </w:r>
      <w:r w:rsidRPr="00F327E9">
        <w:rPr>
          <w:rFonts w:cs="Arial"/>
        </w:rPr>
        <w:t>est tenue le 23</w:t>
      </w:r>
      <w:r>
        <w:rPr>
          <w:rFonts w:cs="Arial"/>
        </w:rPr>
        <w:t> </w:t>
      </w:r>
      <w:r w:rsidRPr="00F327E9">
        <w:rPr>
          <w:rFonts w:cs="Arial"/>
        </w:rPr>
        <w:t>septembre à Angers en marge de la réunion annuelle des experts en plantes agricoles de l</w:t>
      </w:r>
      <w:r>
        <w:rPr>
          <w:rFonts w:cs="Arial"/>
        </w:rPr>
        <w:t>’</w:t>
      </w:r>
      <w:r w:rsidRPr="00F327E9">
        <w:rPr>
          <w:rFonts w:cs="Arial"/>
        </w:rPr>
        <w:t xml:space="preserve">OCVV. </w:t>
      </w:r>
      <w:r>
        <w:rPr>
          <w:rFonts w:cs="Arial"/>
        </w:rPr>
        <w:t xml:space="preserve"> </w:t>
      </w:r>
      <w:r w:rsidRPr="00F327E9">
        <w:rPr>
          <w:rFonts w:cs="Arial"/>
        </w:rPr>
        <w:t>Le rapport final concernant ce projet de recherche</w:t>
      </w:r>
      <w:r>
        <w:rPr>
          <w:rFonts w:cs="Arial"/>
        </w:rPr>
        <w:noBreakHyphen/>
      </w:r>
      <w:r w:rsidRPr="00F327E9">
        <w:rPr>
          <w:rFonts w:cs="Arial"/>
        </w:rPr>
        <w:t>développement sera disponible avant la fin de</w:t>
      </w:r>
      <w:r>
        <w:rPr>
          <w:rFonts w:cs="Arial"/>
        </w:rPr>
        <w:t> </w:t>
      </w:r>
      <w:r w:rsidRPr="00F327E9">
        <w:rPr>
          <w:rFonts w:cs="Arial"/>
        </w:rPr>
        <w:t>2015.</w:t>
      </w:r>
    </w:p>
    <w:p w:rsidR="00023109" w:rsidRPr="00F327E9" w:rsidRDefault="00023109" w:rsidP="00023109">
      <w:pPr>
        <w:keepNext/>
        <w:keepLines/>
        <w:autoSpaceDE w:val="0"/>
        <w:autoSpaceDN w:val="0"/>
        <w:adjustRightInd w:val="0"/>
        <w:spacing w:after="240"/>
        <w:ind w:left="720"/>
        <w:rPr>
          <w:rFonts w:cs="Arial"/>
          <w:i/>
        </w:rPr>
      </w:pPr>
      <w:r w:rsidRPr="00F327E9">
        <w:rPr>
          <w:rFonts w:cs="Arial"/>
          <w:i/>
        </w:rPr>
        <w:t>b.</w:t>
      </w:r>
      <w:r>
        <w:rPr>
          <w:rFonts w:cs="Arial"/>
          <w:i/>
        </w:rPr>
        <w:tab/>
      </w:r>
      <w:r w:rsidRPr="00F327E9">
        <w:rPr>
          <w:rFonts w:cs="Arial"/>
          <w:i/>
        </w:rPr>
        <w:t>“Création d</w:t>
      </w:r>
      <w:r>
        <w:rPr>
          <w:rFonts w:cs="Arial"/>
          <w:i/>
        </w:rPr>
        <w:t>’</w:t>
      </w:r>
      <w:r w:rsidRPr="00F327E9">
        <w:rPr>
          <w:rFonts w:cs="Arial"/>
          <w:i/>
        </w:rPr>
        <w:t>une base de données commune pour les examens DHS du maïs grâce à un partenariat entre la République tchèque, la Hongrie, la Slovaquie et l</w:t>
      </w:r>
      <w:r>
        <w:rPr>
          <w:rFonts w:cs="Arial"/>
          <w:i/>
        </w:rPr>
        <w:t>’</w:t>
      </w:r>
      <w:r w:rsidRPr="00F327E9">
        <w:rPr>
          <w:rFonts w:cs="Arial"/>
          <w:i/>
        </w:rPr>
        <w:t>OCVV”</w:t>
      </w:r>
    </w:p>
    <w:p w:rsidR="00023109" w:rsidRPr="00F327E9" w:rsidRDefault="00023109" w:rsidP="00106F80">
      <w:pPr>
        <w:autoSpaceDE w:val="0"/>
        <w:autoSpaceDN w:val="0"/>
        <w:adjustRightInd w:val="0"/>
        <w:spacing w:after="240"/>
        <w:rPr>
          <w:rFonts w:cs="Arial"/>
        </w:rPr>
      </w:pPr>
      <w:r w:rsidRPr="00F327E9">
        <w:rPr>
          <w:rFonts w:cs="Arial"/>
        </w:rPr>
        <w:t>Ce projet a été officiellement approuvé par l</w:t>
      </w:r>
      <w:r>
        <w:rPr>
          <w:rFonts w:cs="Arial"/>
        </w:rPr>
        <w:t>’</w:t>
      </w:r>
      <w:r w:rsidRPr="00F327E9">
        <w:rPr>
          <w:rFonts w:cs="Arial"/>
        </w:rPr>
        <w:t>OCVV en mars</w:t>
      </w:r>
      <w:r>
        <w:rPr>
          <w:rFonts w:cs="Arial"/>
        </w:rPr>
        <w:t> </w:t>
      </w:r>
      <w:r w:rsidRPr="00F327E9">
        <w:rPr>
          <w:rFonts w:cs="Arial"/>
        </w:rPr>
        <w:t>2014.  Il est coordonné par l</w:t>
      </w:r>
      <w:r>
        <w:rPr>
          <w:rFonts w:cs="Arial"/>
        </w:rPr>
        <w:t>’</w:t>
      </w:r>
      <w:r w:rsidRPr="00F327E9">
        <w:rPr>
          <w:rFonts w:cs="Arial"/>
        </w:rPr>
        <w:t>ÚKZÚZ (CZ) en partenariat avec le</w:t>
      </w:r>
      <w:r>
        <w:rPr>
          <w:rFonts w:cs="Arial"/>
        </w:rPr>
        <w:t> </w:t>
      </w:r>
      <w:r w:rsidRPr="00F327E9">
        <w:rPr>
          <w:rFonts w:cs="Arial"/>
        </w:rPr>
        <w:t>NEBIH (HU) et l</w:t>
      </w:r>
      <w:r>
        <w:rPr>
          <w:rFonts w:cs="Arial"/>
        </w:rPr>
        <w:t>’</w:t>
      </w:r>
      <w:r w:rsidRPr="00F327E9">
        <w:rPr>
          <w:rFonts w:cs="Arial"/>
        </w:rPr>
        <w:t xml:space="preserve">UKSUP (SK). </w:t>
      </w:r>
      <w:r>
        <w:rPr>
          <w:rFonts w:cs="Arial"/>
        </w:rPr>
        <w:t xml:space="preserve"> </w:t>
      </w:r>
      <w:r w:rsidRPr="00F327E9">
        <w:rPr>
          <w:rFonts w:cs="Arial"/>
        </w:rPr>
        <w:t>L</w:t>
      </w:r>
      <w:r>
        <w:rPr>
          <w:rFonts w:cs="Arial"/>
        </w:rPr>
        <w:t>’</w:t>
      </w:r>
      <w:r w:rsidRPr="00F327E9">
        <w:rPr>
          <w:rFonts w:cs="Arial"/>
        </w:rPr>
        <w:t>objectif du projet est d</w:t>
      </w:r>
      <w:r>
        <w:rPr>
          <w:rFonts w:cs="Arial"/>
        </w:rPr>
        <w:t>’</w:t>
      </w:r>
      <w:r w:rsidRPr="00F327E9">
        <w:rPr>
          <w:rFonts w:cs="Arial"/>
        </w:rPr>
        <w:t>établir une base de données commune pour les examens DHS du maïs grâce à un partenariat entre la République tchèque, la Hongrie, la Slovaquie et l</w:t>
      </w:r>
      <w:r>
        <w:rPr>
          <w:rFonts w:cs="Arial"/>
        </w:rPr>
        <w:t>’</w:t>
      </w:r>
      <w:r w:rsidRPr="00F327E9">
        <w:rPr>
          <w:rFonts w:cs="Arial"/>
        </w:rPr>
        <w:t xml:space="preserve">OCVV. </w:t>
      </w:r>
      <w:r>
        <w:rPr>
          <w:rFonts w:cs="Arial"/>
        </w:rPr>
        <w:t xml:space="preserve"> </w:t>
      </w:r>
      <w:r w:rsidRPr="00F327E9">
        <w:rPr>
          <w:rFonts w:cs="Arial"/>
        </w:rPr>
        <w:t>Cette base de données devrait contenir des descriptions morphologiques harmonisées de lignées de maïs et d</w:t>
      </w:r>
      <w:r>
        <w:rPr>
          <w:rFonts w:cs="Arial"/>
        </w:rPr>
        <w:t>’</w:t>
      </w:r>
      <w:r w:rsidRPr="00F327E9">
        <w:rPr>
          <w:rFonts w:cs="Arial"/>
        </w:rPr>
        <w:t>hybrides dérivés du maïs selon le protocole technique de l</w:t>
      </w:r>
      <w:r>
        <w:rPr>
          <w:rFonts w:cs="Arial"/>
        </w:rPr>
        <w:t>’</w:t>
      </w:r>
      <w:r w:rsidRPr="00F327E9">
        <w:rPr>
          <w:rFonts w:cs="Arial"/>
        </w:rPr>
        <w:t>OCVV de tous les pays participants</w:t>
      </w:r>
      <w:r>
        <w:rPr>
          <w:rFonts w:cs="Arial"/>
        </w:rPr>
        <w:t xml:space="preserve">.  </w:t>
      </w:r>
      <w:r w:rsidRPr="00F327E9">
        <w:rPr>
          <w:rFonts w:cs="Arial"/>
        </w:rPr>
        <w:t xml:space="preserve">Elle sera mise à jour régulièrement et pourra être consultée </w:t>
      </w:r>
      <w:r>
        <w:rPr>
          <w:rFonts w:cs="Arial"/>
        </w:rPr>
        <w:t>sous</w:t>
      </w:r>
      <w:r w:rsidRPr="00F327E9">
        <w:rPr>
          <w:rFonts w:cs="Arial"/>
        </w:rPr>
        <w:t xml:space="preserve"> format électronique par chaque partenaire et par l</w:t>
      </w:r>
      <w:r>
        <w:rPr>
          <w:rFonts w:cs="Arial"/>
        </w:rPr>
        <w:t>’</w:t>
      </w:r>
      <w:r w:rsidRPr="00F327E9">
        <w:rPr>
          <w:rFonts w:cs="Arial"/>
        </w:rPr>
        <w:t xml:space="preserve">OCVV. </w:t>
      </w:r>
      <w:r>
        <w:rPr>
          <w:rFonts w:cs="Arial"/>
        </w:rPr>
        <w:t xml:space="preserve"> </w:t>
      </w:r>
      <w:r w:rsidRPr="00F327E9">
        <w:rPr>
          <w:rFonts w:cs="Arial"/>
        </w:rPr>
        <w:t>Ainsi, chaque partenaire pourrait être chargé de maintenir physiquement dans ses locaux uniquement les semences de variétés correspondant à ses conditions climatiques et non conservées dans d</w:t>
      </w:r>
      <w:r>
        <w:rPr>
          <w:rFonts w:cs="Arial"/>
        </w:rPr>
        <w:t>’</w:t>
      </w:r>
      <w:r w:rsidRPr="00F327E9">
        <w:rPr>
          <w:rFonts w:cs="Arial"/>
        </w:rPr>
        <w:t>autres services d</w:t>
      </w:r>
      <w:r>
        <w:rPr>
          <w:rFonts w:cs="Arial"/>
        </w:rPr>
        <w:t>’</w:t>
      </w:r>
      <w:r w:rsidRPr="00F327E9">
        <w:rPr>
          <w:rFonts w:cs="Arial"/>
        </w:rPr>
        <w:t>examen</w:t>
      </w:r>
      <w:r>
        <w:rPr>
          <w:rFonts w:cs="Arial"/>
        </w:rPr>
        <w:t xml:space="preserve">.  </w:t>
      </w:r>
      <w:r w:rsidRPr="00F327E9">
        <w:rPr>
          <w:rFonts w:cs="Arial"/>
        </w:rPr>
        <w:t>Au cours de l</w:t>
      </w:r>
      <w:r>
        <w:rPr>
          <w:rFonts w:cs="Arial"/>
        </w:rPr>
        <w:t>’</w:t>
      </w:r>
      <w:r w:rsidRPr="00F327E9">
        <w:rPr>
          <w:rFonts w:cs="Arial"/>
        </w:rPr>
        <w:t>exécution du projet, un échange d</w:t>
      </w:r>
      <w:r>
        <w:rPr>
          <w:rFonts w:cs="Arial"/>
        </w:rPr>
        <w:t>’</w:t>
      </w:r>
      <w:r w:rsidRPr="00F327E9">
        <w:rPr>
          <w:rFonts w:cs="Arial"/>
        </w:rPr>
        <w:t>informations et de données d</w:t>
      </w:r>
      <w:r>
        <w:rPr>
          <w:rFonts w:cs="Arial"/>
        </w:rPr>
        <w:t>’</w:t>
      </w:r>
      <w:r w:rsidRPr="00F327E9">
        <w:rPr>
          <w:rFonts w:cs="Arial"/>
        </w:rPr>
        <w:t>expérience est prévu avec des experts des trois</w:t>
      </w:r>
      <w:r>
        <w:rPr>
          <w:rFonts w:cs="Arial"/>
        </w:rPr>
        <w:t xml:space="preserve"> centres </w:t>
      </w:r>
      <w:r w:rsidRPr="00F327E9">
        <w:rPr>
          <w:rFonts w:cs="Arial"/>
        </w:rPr>
        <w:t>d</w:t>
      </w:r>
      <w:r>
        <w:rPr>
          <w:rFonts w:cs="Arial"/>
        </w:rPr>
        <w:t>’</w:t>
      </w:r>
      <w:r w:rsidRPr="00F327E9">
        <w:rPr>
          <w:rFonts w:cs="Arial"/>
        </w:rPr>
        <w:t>examen qui utilisent déjà la base de données commune sur le maïs</w:t>
      </w:r>
      <w:r>
        <w:rPr>
          <w:rFonts w:cs="Arial"/>
        </w:rPr>
        <w:t>.  Le</w:t>
      </w:r>
      <w:r w:rsidRPr="00F327E9">
        <w:rPr>
          <w:rFonts w:cs="Arial"/>
        </w:rPr>
        <w:t xml:space="preserve"> projet sera achevé avant la fin de</w:t>
      </w:r>
      <w:r>
        <w:rPr>
          <w:rFonts w:cs="Arial"/>
        </w:rPr>
        <w:t> </w:t>
      </w:r>
      <w:r w:rsidRPr="00F327E9">
        <w:rPr>
          <w:rFonts w:cs="Arial"/>
        </w:rPr>
        <w:t>2015.</w:t>
      </w:r>
    </w:p>
    <w:p w:rsidR="00023109" w:rsidRPr="00F327E9" w:rsidRDefault="00023109" w:rsidP="00023109">
      <w:pPr>
        <w:pStyle w:val="Pa26"/>
        <w:spacing w:after="240" w:line="240" w:lineRule="auto"/>
        <w:ind w:left="720"/>
        <w:jc w:val="both"/>
        <w:rPr>
          <w:rFonts w:ascii="Arial" w:hAnsi="Arial" w:cs="Arial"/>
          <w:i/>
          <w:sz w:val="20"/>
          <w:szCs w:val="20"/>
          <w:lang w:eastAsia="en-US"/>
        </w:rPr>
      </w:pPr>
      <w:r w:rsidRPr="00F327E9">
        <w:rPr>
          <w:rFonts w:ascii="Arial" w:hAnsi="Arial" w:cs="Arial"/>
          <w:i/>
          <w:sz w:val="20"/>
          <w:szCs w:val="20"/>
          <w:lang w:eastAsia="en-US"/>
        </w:rPr>
        <w:t>c.</w:t>
      </w:r>
      <w:r>
        <w:rPr>
          <w:rFonts w:ascii="Arial" w:hAnsi="Arial" w:cs="Arial"/>
          <w:i/>
          <w:sz w:val="20"/>
          <w:szCs w:val="20"/>
          <w:lang w:eastAsia="en-US"/>
        </w:rPr>
        <w:tab/>
      </w:r>
      <w:r w:rsidRPr="00F327E9">
        <w:rPr>
          <w:rFonts w:ascii="Arial" w:hAnsi="Arial" w:cs="Arial"/>
          <w:i/>
          <w:sz w:val="20"/>
          <w:szCs w:val="20"/>
        </w:rPr>
        <w:t>“</w:t>
      </w:r>
      <w:r w:rsidRPr="00F327E9">
        <w:rPr>
          <w:rFonts w:ascii="Arial" w:hAnsi="Arial" w:cs="Arial"/>
          <w:i/>
          <w:sz w:val="20"/>
          <w:szCs w:val="20"/>
          <w:lang w:eastAsia="en-US"/>
        </w:rPr>
        <w:t>Analyse d</w:t>
      </w:r>
      <w:r>
        <w:rPr>
          <w:rFonts w:ascii="Arial" w:hAnsi="Arial" w:cs="Arial"/>
          <w:i/>
          <w:sz w:val="20"/>
          <w:szCs w:val="20"/>
          <w:lang w:eastAsia="en-US"/>
        </w:rPr>
        <w:t>’</w:t>
      </w:r>
      <w:r w:rsidRPr="00F327E9">
        <w:rPr>
          <w:rFonts w:ascii="Arial" w:hAnsi="Arial" w:cs="Arial"/>
          <w:i/>
          <w:sz w:val="20"/>
          <w:szCs w:val="20"/>
          <w:lang w:eastAsia="en-US"/>
        </w:rPr>
        <w:t xml:space="preserve">impact des </w:t>
      </w:r>
      <w:proofErr w:type="spellStart"/>
      <w:r w:rsidRPr="00F327E9">
        <w:rPr>
          <w:rFonts w:ascii="Arial" w:hAnsi="Arial" w:cs="Arial"/>
          <w:i/>
          <w:sz w:val="20"/>
          <w:szCs w:val="20"/>
          <w:lang w:eastAsia="en-US"/>
        </w:rPr>
        <w:t>endophytes</w:t>
      </w:r>
      <w:proofErr w:type="spellEnd"/>
      <w:r w:rsidRPr="00F327E9">
        <w:rPr>
          <w:rFonts w:ascii="Arial" w:hAnsi="Arial" w:cs="Arial"/>
          <w:i/>
          <w:sz w:val="20"/>
          <w:szCs w:val="20"/>
          <w:lang w:eastAsia="en-US"/>
        </w:rPr>
        <w:t xml:space="preserve"> sur le phénotype des variétés de </w:t>
      </w:r>
      <w:proofErr w:type="spellStart"/>
      <w:r w:rsidRPr="00F327E9">
        <w:rPr>
          <w:rFonts w:ascii="Arial" w:hAnsi="Arial" w:cs="Arial"/>
          <w:i/>
          <w:sz w:val="20"/>
          <w:szCs w:val="20"/>
          <w:lang w:eastAsia="en-US"/>
        </w:rPr>
        <w:t>Loliumperenne</w:t>
      </w:r>
      <w:proofErr w:type="spellEnd"/>
      <w:r w:rsidRPr="00F327E9">
        <w:rPr>
          <w:rFonts w:ascii="Arial" w:hAnsi="Arial" w:cs="Arial"/>
          <w:i/>
          <w:sz w:val="20"/>
          <w:szCs w:val="20"/>
          <w:lang w:eastAsia="en-US"/>
        </w:rPr>
        <w:t xml:space="preserve"> et </w:t>
      </w:r>
      <w:proofErr w:type="spellStart"/>
      <w:r w:rsidRPr="00F327E9">
        <w:rPr>
          <w:rFonts w:ascii="Arial" w:hAnsi="Arial" w:cs="Arial"/>
          <w:i/>
          <w:sz w:val="20"/>
          <w:szCs w:val="20"/>
          <w:lang w:eastAsia="en-US"/>
        </w:rPr>
        <w:t>Festucaarundinacea</w:t>
      </w:r>
      <w:proofErr w:type="spellEnd"/>
      <w:r>
        <w:rPr>
          <w:rFonts w:ascii="Arial" w:hAnsi="Arial" w:cs="Arial"/>
          <w:i/>
          <w:sz w:val="20"/>
          <w:szCs w:val="20"/>
          <w:lang w:eastAsia="en-US"/>
        </w:rPr>
        <w:t>”</w:t>
      </w:r>
    </w:p>
    <w:p w:rsidR="00023109" w:rsidRPr="00F327E9" w:rsidRDefault="00023109" w:rsidP="00023109">
      <w:pPr>
        <w:spacing w:after="240"/>
        <w:rPr>
          <w:rFonts w:cs="Arial"/>
        </w:rPr>
      </w:pPr>
      <w:r w:rsidRPr="00F327E9">
        <w:rPr>
          <w:rFonts w:cs="Arial"/>
        </w:rPr>
        <w:t>Ce projet, lancé en janvier</w:t>
      </w:r>
      <w:r>
        <w:rPr>
          <w:rFonts w:cs="Arial"/>
        </w:rPr>
        <w:t> </w:t>
      </w:r>
      <w:r w:rsidRPr="00F327E9">
        <w:rPr>
          <w:rFonts w:cs="Arial"/>
        </w:rPr>
        <w:t>2013, est coordonné par l</w:t>
      </w:r>
      <w:r>
        <w:rPr>
          <w:rFonts w:cs="Arial"/>
        </w:rPr>
        <w:t>’</w:t>
      </w:r>
      <w:r w:rsidRPr="00F327E9">
        <w:rPr>
          <w:rFonts w:cs="Arial"/>
        </w:rPr>
        <w:t xml:space="preserve">OCVV et la Food and </w:t>
      </w:r>
      <w:proofErr w:type="spellStart"/>
      <w:r w:rsidRPr="00F327E9">
        <w:rPr>
          <w:rFonts w:cs="Arial"/>
        </w:rPr>
        <w:t>Environment</w:t>
      </w:r>
      <w:proofErr w:type="spellEnd"/>
      <w:r w:rsidRPr="00F327E9">
        <w:rPr>
          <w:rFonts w:cs="Arial"/>
        </w:rPr>
        <w:t xml:space="preserve"> </w:t>
      </w:r>
      <w:proofErr w:type="spellStart"/>
      <w:r w:rsidRPr="00F327E9">
        <w:rPr>
          <w:rFonts w:cs="Arial"/>
        </w:rPr>
        <w:t>Research</w:t>
      </w:r>
      <w:proofErr w:type="spellEnd"/>
      <w:r w:rsidRPr="00F327E9">
        <w:rPr>
          <w:rFonts w:cs="Arial"/>
        </w:rPr>
        <w:t xml:space="preserve"> Agency (FERA) (UK), avec les partenaires de projet suivants</w:t>
      </w:r>
      <w:r>
        <w:rPr>
          <w:rFonts w:cs="Arial"/>
        </w:rPr>
        <w:t> </w:t>
      </w:r>
      <w:r w:rsidRPr="00F327E9">
        <w:rPr>
          <w:rFonts w:cs="Arial"/>
        </w:rPr>
        <w:t xml:space="preserve">: </w:t>
      </w:r>
      <w:proofErr w:type="spellStart"/>
      <w:r w:rsidRPr="00F327E9">
        <w:rPr>
          <w:rFonts w:cs="Arial"/>
        </w:rPr>
        <w:t>Bundessortenamt</w:t>
      </w:r>
      <w:proofErr w:type="spellEnd"/>
      <w:r w:rsidRPr="00F327E9">
        <w:rPr>
          <w:rFonts w:cs="Arial"/>
        </w:rPr>
        <w:t xml:space="preserve"> (DE), ESA (entreprises de sélection</w:t>
      </w:r>
      <w:r>
        <w:rPr>
          <w:rFonts w:cs="Arial"/>
        </w:rPr>
        <w:t> </w:t>
      </w:r>
      <w:r w:rsidRPr="00F327E9">
        <w:rPr>
          <w:rFonts w:cs="Arial"/>
        </w:rPr>
        <w:t xml:space="preserve">: DLF Trifolium et </w:t>
      </w:r>
      <w:proofErr w:type="spellStart"/>
      <w:r w:rsidRPr="00F327E9">
        <w:rPr>
          <w:rFonts w:cs="Arial"/>
        </w:rPr>
        <w:t>Barenbrug</w:t>
      </w:r>
      <w:proofErr w:type="spellEnd"/>
      <w:r w:rsidRPr="00F327E9">
        <w:rPr>
          <w:rFonts w:cs="Arial"/>
        </w:rPr>
        <w:t>) et GEVES (FR).</w:t>
      </w:r>
      <w:r>
        <w:rPr>
          <w:rFonts w:cs="Arial"/>
        </w:rPr>
        <w:t xml:space="preserve"> </w:t>
      </w:r>
      <w:r w:rsidRPr="00F327E9">
        <w:rPr>
          <w:rFonts w:cs="Arial"/>
        </w:rPr>
        <w:t xml:space="preserve"> Il vise à analyser l</w:t>
      </w:r>
      <w:r>
        <w:rPr>
          <w:rFonts w:cs="Arial"/>
        </w:rPr>
        <w:t>’</w:t>
      </w:r>
      <w:r w:rsidRPr="00F327E9">
        <w:rPr>
          <w:rFonts w:cs="Arial"/>
        </w:rPr>
        <w:t xml:space="preserve">impact </w:t>
      </w:r>
      <w:r>
        <w:rPr>
          <w:rFonts w:cs="Arial"/>
        </w:rPr>
        <w:t xml:space="preserve">éventuel </w:t>
      </w:r>
      <w:r w:rsidRPr="00F327E9">
        <w:rPr>
          <w:rFonts w:cs="Arial"/>
        </w:rPr>
        <w:t>que la présence d</w:t>
      </w:r>
      <w:r>
        <w:rPr>
          <w:rFonts w:cs="Arial"/>
        </w:rPr>
        <w:t>’</w:t>
      </w:r>
      <w:proofErr w:type="spellStart"/>
      <w:r w:rsidRPr="00F327E9">
        <w:rPr>
          <w:rFonts w:cs="Arial"/>
        </w:rPr>
        <w:t>endophytes</w:t>
      </w:r>
      <w:proofErr w:type="spellEnd"/>
      <w:r w:rsidRPr="00F327E9">
        <w:rPr>
          <w:rFonts w:cs="Arial"/>
        </w:rPr>
        <w:t xml:space="preserve"> dans les variétés de </w:t>
      </w:r>
      <w:proofErr w:type="spellStart"/>
      <w:r w:rsidRPr="00F327E9">
        <w:rPr>
          <w:rFonts w:cs="Arial"/>
        </w:rPr>
        <w:t>Lolium</w:t>
      </w:r>
      <w:proofErr w:type="spellEnd"/>
      <w:r w:rsidRPr="00F327E9">
        <w:rPr>
          <w:rFonts w:cs="Arial"/>
        </w:rPr>
        <w:t xml:space="preserve"> </w:t>
      </w:r>
      <w:proofErr w:type="spellStart"/>
      <w:r w:rsidRPr="00F327E9">
        <w:rPr>
          <w:rFonts w:cs="Arial"/>
        </w:rPr>
        <w:t>perenne</w:t>
      </w:r>
      <w:proofErr w:type="spellEnd"/>
      <w:r w:rsidRPr="00F327E9">
        <w:rPr>
          <w:rFonts w:cs="Arial"/>
        </w:rPr>
        <w:t xml:space="preserve"> et </w:t>
      </w:r>
      <w:proofErr w:type="spellStart"/>
      <w:r w:rsidRPr="00F327E9">
        <w:rPr>
          <w:rFonts w:cs="Arial"/>
        </w:rPr>
        <w:t>Festuca</w:t>
      </w:r>
      <w:proofErr w:type="spellEnd"/>
      <w:r w:rsidRPr="00F327E9">
        <w:rPr>
          <w:rFonts w:cs="Arial"/>
        </w:rPr>
        <w:t xml:space="preserve"> </w:t>
      </w:r>
      <w:proofErr w:type="spellStart"/>
      <w:r w:rsidRPr="00F327E9">
        <w:rPr>
          <w:rFonts w:cs="Arial"/>
        </w:rPr>
        <w:t>arundinacea</w:t>
      </w:r>
      <w:proofErr w:type="spellEnd"/>
      <w:r w:rsidRPr="00F327E9">
        <w:rPr>
          <w:rFonts w:cs="Arial"/>
        </w:rPr>
        <w:t xml:space="preserve"> pourrait avoir sur le phénotype et, partant, sur l</w:t>
      </w:r>
      <w:r>
        <w:rPr>
          <w:rFonts w:cs="Arial"/>
        </w:rPr>
        <w:t>’</w:t>
      </w:r>
      <w:r w:rsidRPr="00F327E9">
        <w:rPr>
          <w:rFonts w:cs="Arial"/>
        </w:rPr>
        <w:t>expression des caractères observés pendant les essais DHS ainsi que les conséquences en matière de normes de qualité pour le matériel devant être soumis à cette fin</w:t>
      </w:r>
      <w:r>
        <w:rPr>
          <w:rFonts w:cs="Arial"/>
        </w:rPr>
        <w:t xml:space="preserve">.  </w:t>
      </w:r>
      <w:r w:rsidRPr="00F327E9">
        <w:rPr>
          <w:rFonts w:cs="Arial"/>
        </w:rPr>
        <w:t>Le projet prévoit l</w:t>
      </w:r>
      <w:r>
        <w:rPr>
          <w:rFonts w:cs="Arial"/>
        </w:rPr>
        <w:t>’</w:t>
      </w:r>
      <w:r w:rsidRPr="00F327E9">
        <w:rPr>
          <w:rFonts w:cs="Arial"/>
        </w:rPr>
        <w:t>évaluation de quatre</w:t>
      </w:r>
      <w:r>
        <w:rPr>
          <w:rFonts w:cs="Arial"/>
        </w:rPr>
        <w:t> </w:t>
      </w:r>
      <w:r w:rsidRPr="00F327E9">
        <w:rPr>
          <w:rFonts w:cs="Arial"/>
        </w:rPr>
        <w:t>variétés de chaque espèce, avec deux</w:t>
      </w:r>
      <w:r>
        <w:rPr>
          <w:rFonts w:cs="Arial"/>
        </w:rPr>
        <w:t> </w:t>
      </w:r>
      <w:r w:rsidRPr="00F327E9">
        <w:rPr>
          <w:rFonts w:cs="Arial"/>
        </w:rPr>
        <w:t>étapes d</w:t>
      </w:r>
      <w:r>
        <w:rPr>
          <w:rFonts w:cs="Arial"/>
        </w:rPr>
        <w:t>’</w:t>
      </w:r>
      <w:r w:rsidRPr="00F327E9">
        <w:rPr>
          <w:rFonts w:cs="Arial"/>
        </w:rPr>
        <w:t xml:space="preserve">infection par des </w:t>
      </w:r>
      <w:proofErr w:type="spellStart"/>
      <w:r w:rsidRPr="00F327E9">
        <w:rPr>
          <w:rFonts w:cs="Arial"/>
        </w:rPr>
        <w:t>endophytes</w:t>
      </w:r>
      <w:proofErr w:type="spellEnd"/>
      <w:r w:rsidRPr="00F327E9">
        <w:rPr>
          <w:rFonts w:cs="Arial"/>
        </w:rPr>
        <w:t xml:space="preserve"> (0% et 100%). </w:t>
      </w:r>
      <w:r>
        <w:rPr>
          <w:rFonts w:cs="Arial"/>
        </w:rPr>
        <w:t xml:space="preserve"> </w:t>
      </w:r>
      <w:r w:rsidRPr="00F327E9">
        <w:rPr>
          <w:rFonts w:cs="Arial"/>
        </w:rPr>
        <w:t>Ces variétés seront incorporées dans les essais DHS réguliers pendant deux</w:t>
      </w:r>
      <w:r>
        <w:rPr>
          <w:rFonts w:cs="Arial"/>
        </w:rPr>
        <w:t> </w:t>
      </w:r>
      <w:r w:rsidRPr="00F327E9">
        <w:rPr>
          <w:rFonts w:cs="Arial"/>
        </w:rPr>
        <w:t>cycles de végétation utilisant le protocole technique pertinent de l</w:t>
      </w:r>
      <w:r>
        <w:rPr>
          <w:rFonts w:cs="Arial"/>
        </w:rPr>
        <w:t>’</w:t>
      </w:r>
      <w:r w:rsidRPr="00F327E9">
        <w:rPr>
          <w:rFonts w:cs="Arial"/>
        </w:rPr>
        <w:t xml:space="preserve">OCVV. </w:t>
      </w:r>
      <w:r>
        <w:rPr>
          <w:rFonts w:cs="Arial"/>
        </w:rPr>
        <w:t xml:space="preserve"> </w:t>
      </w:r>
      <w:r w:rsidRPr="00F327E9">
        <w:rPr>
          <w:rFonts w:cs="Arial"/>
        </w:rPr>
        <w:t>La mise en place des plantes a lieu durant l</w:t>
      </w:r>
      <w:r>
        <w:rPr>
          <w:rFonts w:cs="Arial"/>
        </w:rPr>
        <w:t>’année </w:t>
      </w:r>
      <w:r w:rsidRPr="00F327E9">
        <w:rPr>
          <w:rFonts w:cs="Arial"/>
        </w:rPr>
        <w:t xml:space="preserve">2013. </w:t>
      </w:r>
      <w:r>
        <w:rPr>
          <w:rFonts w:cs="Arial"/>
        </w:rPr>
        <w:t xml:space="preserve"> </w:t>
      </w:r>
      <w:r w:rsidRPr="00F327E9">
        <w:rPr>
          <w:rFonts w:cs="Arial"/>
        </w:rPr>
        <w:t>Un premier rapport intérimaire laisse entendre qu</w:t>
      </w:r>
      <w:r>
        <w:rPr>
          <w:rFonts w:cs="Arial"/>
        </w:rPr>
        <w:t>’</w:t>
      </w:r>
      <w:r w:rsidRPr="00F327E9">
        <w:rPr>
          <w:rFonts w:cs="Arial"/>
        </w:rPr>
        <w:t>il n</w:t>
      </w:r>
      <w:r>
        <w:rPr>
          <w:rFonts w:cs="Arial"/>
        </w:rPr>
        <w:t>’</w:t>
      </w:r>
      <w:r w:rsidRPr="00F327E9">
        <w:rPr>
          <w:rFonts w:cs="Arial"/>
        </w:rPr>
        <w:t xml:space="preserve">y aurait aucune incidence majeure; </w:t>
      </w:r>
      <w:r>
        <w:rPr>
          <w:rFonts w:cs="Arial"/>
        </w:rPr>
        <w:t xml:space="preserve"> </w:t>
      </w:r>
      <w:r w:rsidRPr="00F327E9">
        <w:rPr>
          <w:rFonts w:cs="Arial"/>
        </w:rPr>
        <w:t>toutefois, l</w:t>
      </w:r>
      <w:r>
        <w:rPr>
          <w:rFonts w:cs="Arial"/>
        </w:rPr>
        <w:t>’</w:t>
      </w:r>
      <w:r w:rsidRPr="00F327E9">
        <w:rPr>
          <w:rFonts w:cs="Arial"/>
        </w:rPr>
        <w:t>évaluation finale aura lieu en</w:t>
      </w:r>
      <w:r>
        <w:rPr>
          <w:rFonts w:cs="Arial"/>
        </w:rPr>
        <w:t> </w:t>
      </w:r>
      <w:r w:rsidRPr="00F327E9">
        <w:rPr>
          <w:rFonts w:cs="Arial"/>
        </w:rPr>
        <w:t>2015.</w:t>
      </w:r>
      <w:r>
        <w:rPr>
          <w:rFonts w:cs="Arial"/>
        </w:rPr>
        <w:t xml:space="preserve"> </w:t>
      </w:r>
      <w:r w:rsidRPr="00F327E9">
        <w:rPr>
          <w:rFonts w:cs="Arial"/>
        </w:rPr>
        <w:t xml:space="preserve"> Le rapport final devrait être prêt </w:t>
      </w:r>
      <w:r>
        <w:rPr>
          <w:rFonts w:cs="Arial"/>
        </w:rPr>
        <w:t>fin </w:t>
      </w:r>
      <w:r w:rsidRPr="00F327E9">
        <w:rPr>
          <w:rFonts w:cs="Arial"/>
        </w:rPr>
        <w:t>2015.</w:t>
      </w:r>
    </w:p>
    <w:p w:rsidR="00023109" w:rsidRPr="00F327E9" w:rsidRDefault="00023109" w:rsidP="00023109">
      <w:pPr>
        <w:spacing w:after="240"/>
        <w:ind w:left="720"/>
        <w:rPr>
          <w:rFonts w:eastAsia="Calibri" w:cs="Arial"/>
          <w:i/>
        </w:rPr>
      </w:pPr>
      <w:r>
        <w:rPr>
          <w:rFonts w:eastAsia="Calibri" w:cs="Arial"/>
          <w:i/>
        </w:rPr>
        <w:t>d.</w:t>
      </w:r>
      <w:r>
        <w:rPr>
          <w:rFonts w:eastAsia="Calibri" w:cs="Arial"/>
          <w:i/>
        </w:rPr>
        <w:tab/>
      </w:r>
      <w:r w:rsidRPr="00F327E9">
        <w:rPr>
          <w:rFonts w:eastAsia="Calibri" w:cs="Arial"/>
          <w:i/>
        </w:rPr>
        <w:t>“Harmonisation des résistances aux maladies potagères”</w:t>
      </w:r>
    </w:p>
    <w:p w:rsidR="00023109" w:rsidRDefault="00023109" w:rsidP="00023109">
      <w:pPr>
        <w:autoSpaceDE w:val="0"/>
        <w:autoSpaceDN w:val="0"/>
        <w:adjustRightInd w:val="0"/>
        <w:spacing w:after="240"/>
        <w:rPr>
          <w:rFonts w:cs="Arial"/>
        </w:rPr>
      </w:pPr>
      <w:r w:rsidRPr="00F327E9">
        <w:rPr>
          <w:rFonts w:cs="Arial"/>
        </w:rPr>
        <w:t>Lancé en</w:t>
      </w:r>
      <w:r>
        <w:rPr>
          <w:rFonts w:cs="Arial"/>
        </w:rPr>
        <w:t> </w:t>
      </w:r>
      <w:r w:rsidRPr="00F327E9">
        <w:rPr>
          <w:rFonts w:cs="Arial"/>
        </w:rPr>
        <w:t>2012, ce projet est coordonné par le</w:t>
      </w:r>
      <w:r>
        <w:rPr>
          <w:rFonts w:cs="Arial"/>
        </w:rPr>
        <w:t> </w:t>
      </w:r>
      <w:r w:rsidRPr="00F327E9">
        <w:rPr>
          <w:rFonts w:cs="Arial"/>
        </w:rPr>
        <w:t>GEVES (FR), avec les partenaires de projet suivants</w:t>
      </w:r>
      <w:r>
        <w:rPr>
          <w:rFonts w:cs="Arial"/>
        </w:rPr>
        <w:t> </w:t>
      </w:r>
      <w:r w:rsidRPr="00F327E9">
        <w:rPr>
          <w:rFonts w:cs="Arial"/>
        </w:rPr>
        <w:t xml:space="preserve">: ÚKZÚZ (CZ), BSA (DE), OEVV (ES), NEBIH (HU), </w:t>
      </w:r>
      <w:proofErr w:type="spellStart"/>
      <w:r w:rsidRPr="00F327E9">
        <w:rPr>
          <w:rFonts w:cs="Arial"/>
        </w:rPr>
        <w:t>Naktuinbouw</w:t>
      </w:r>
      <w:proofErr w:type="spellEnd"/>
      <w:r w:rsidRPr="00F327E9">
        <w:rPr>
          <w:rFonts w:cs="Arial"/>
        </w:rPr>
        <w:t xml:space="preserve"> (NL), le Royaume</w:t>
      </w:r>
      <w:r>
        <w:rPr>
          <w:rFonts w:cs="Arial"/>
        </w:rPr>
        <w:noBreakHyphen/>
      </w:r>
      <w:r w:rsidRPr="00F327E9">
        <w:rPr>
          <w:rFonts w:cs="Arial"/>
        </w:rPr>
        <w:t>Uni et l</w:t>
      </w:r>
      <w:r>
        <w:rPr>
          <w:rFonts w:cs="Arial"/>
        </w:rPr>
        <w:t>’</w:t>
      </w:r>
      <w:proofErr w:type="spellStart"/>
      <w:r w:rsidRPr="00F327E9">
        <w:rPr>
          <w:rFonts w:cs="Arial"/>
        </w:rPr>
        <w:t>European</w:t>
      </w:r>
      <w:proofErr w:type="spellEnd"/>
      <w:r w:rsidRPr="00F327E9">
        <w:rPr>
          <w:rFonts w:cs="Arial"/>
        </w:rPr>
        <w:t xml:space="preserve"> </w:t>
      </w:r>
      <w:proofErr w:type="spellStart"/>
      <w:r w:rsidRPr="00F327E9">
        <w:rPr>
          <w:rFonts w:cs="Arial"/>
        </w:rPr>
        <w:t>Seed</w:t>
      </w:r>
      <w:proofErr w:type="spellEnd"/>
      <w:r w:rsidRPr="00F327E9">
        <w:rPr>
          <w:rFonts w:cs="Arial"/>
        </w:rPr>
        <w:t xml:space="preserve"> Association (ESA). </w:t>
      </w:r>
      <w:r>
        <w:rPr>
          <w:rFonts w:cs="Arial"/>
        </w:rPr>
        <w:t xml:space="preserve"> </w:t>
      </w:r>
      <w:r w:rsidRPr="00F327E9">
        <w:rPr>
          <w:rFonts w:cs="Arial"/>
        </w:rPr>
        <w:t xml:space="preserve">Ce projet est un suivi du projet antérieur </w:t>
      </w:r>
      <w:r>
        <w:rPr>
          <w:rFonts w:cs="Arial"/>
        </w:rPr>
        <w:t>“</w:t>
      </w:r>
      <w:r w:rsidRPr="00F327E9">
        <w:rPr>
          <w:rFonts w:cs="Arial"/>
          <w:i/>
        </w:rPr>
        <w:t>Harmonisation des résistances aux maladies potagères</w:t>
      </w:r>
      <w:r>
        <w:rPr>
          <w:rFonts w:cs="Arial"/>
        </w:rPr>
        <w:t>”</w:t>
      </w:r>
      <w:r w:rsidRPr="00F327E9">
        <w:rPr>
          <w:rFonts w:cs="Arial"/>
        </w:rPr>
        <w:t>, achevé en</w:t>
      </w:r>
      <w:r>
        <w:rPr>
          <w:rFonts w:cs="Arial"/>
        </w:rPr>
        <w:t> </w:t>
      </w:r>
      <w:r w:rsidRPr="00F327E9">
        <w:rPr>
          <w:rFonts w:cs="Arial"/>
        </w:rPr>
        <w:t>2008, mais le nouveau projet traitera de</w:t>
      </w:r>
      <w:r>
        <w:rPr>
          <w:rFonts w:cs="Arial"/>
        </w:rPr>
        <w:t xml:space="preserve"> la </w:t>
      </w:r>
      <w:r w:rsidRPr="00F327E9">
        <w:rPr>
          <w:rFonts w:cs="Arial"/>
        </w:rPr>
        <w:t xml:space="preserve">résistance </w:t>
      </w:r>
      <w:r>
        <w:rPr>
          <w:rFonts w:cs="Arial"/>
        </w:rPr>
        <w:t>à sept </w:t>
      </w:r>
      <w:r w:rsidRPr="00F327E9">
        <w:rPr>
          <w:rFonts w:cs="Arial"/>
        </w:rPr>
        <w:t>maladies du poivron, du pois et de la laitue.  L</w:t>
      </w:r>
      <w:r>
        <w:rPr>
          <w:rFonts w:cs="Arial"/>
        </w:rPr>
        <w:t>’</w:t>
      </w:r>
      <w:r w:rsidRPr="00F327E9">
        <w:rPr>
          <w:rFonts w:cs="Arial"/>
        </w:rPr>
        <w:t xml:space="preserve">objectif de ce projet est de veiller à ce que les </w:t>
      </w:r>
      <w:r>
        <w:rPr>
          <w:rFonts w:cs="Arial"/>
        </w:rPr>
        <w:t xml:space="preserve">centres </w:t>
      </w:r>
      <w:r w:rsidRPr="00F327E9">
        <w:rPr>
          <w:rFonts w:cs="Arial"/>
        </w:rPr>
        <w:t>d</w:t>
      </w:r>
      <w:r>
        <w:rPr>
          <w:rFonts w:cs="Arial"/>
        </w:rPr>
        <w:t>’</w:t>
      </w:r>
      <w:r w:rsidRPr="00F327E9">
        <w:rPr>
          <w:rFonts w:cs="Arial"/>
        </w:rPr>
        <w:t xml:space="preserve">examen et les obtenteurs travaillant dans le cadre des essais de </w:t>
      </w:r>
      <w:r>
        <w:rPr>
          <w:rFonts w:cs="Arial"/>
        </w:rPr>
        <w:t>résistance</w:t>
      </w:r>
      <w:r w:rsidRPr="00F327E9">
        <w:rPr>
          <w:rFonts w:cs="Arial"/>
        </w:rPr>
        <w:t xml:space="preserve"> aux maladies sélectionnées puissent utiliser des méthodes communes et interpréter les symptômes des maladies ressortant de ces essais de la même manière</w:t>
      </w:r>
      <w:r>
        <w:rPr>
          <w:rFonts w:cs="Arial"/>
        </w:rPr>
        <w:t xml:space="preserve">.  </w:t>
      </w:r>
      <w:r w:rsidRPr="00F327E9">
        <w:rPr>
          <w:rFonts w:cs="Arial"/>
        </w:rPr>
        <w:t xml:space="preserve">Une première réunion a été organisée </w:t>
      </w:r>
      <w:r>
        <w:rPr>
          <w:rFonts w:cs="Arial"/>
        </w:rPr>
        <w:t xml:space="preserve">à la fin de </w:t>
      </w:r>
      <w:r w:rsidRPr="00F327E9">
        <w:rPr>
          <w:rFonts w:cs="Arial"/>
        </w:rPr>
        <w:t>juin</w:t>
      </w:r>
      <w:r>
        <w:rPr>
          <w:rFonts w:cs="Arial"/>
        </w:rPr>
        <w:t> </w:t>
      </w:r>
      <w:r w:rsidRPr="00F327E9">
        <w:rPr>
          <w:rFonts w:cs="Arial"/>
        </w:rPr>
        <w:t>2012 par le</w:t>
      </w:r>
      <w:r>
        <w:rPr>
          <w:rFonts w:cs="Arial"/>
        </w:rPr>
        <w:t> </w:t>
      </w:r>
      <w:r w:rsidRPr="00F327E9">
        <w:rPr>
          <w:rFonts w:cs="Arial"/>
        </w:rPr>
        <w:t>GEVES, coordonnateur du projet, afin d</w:t>
      </w:r>
      <w:r>
        <w:rPr>
          <w:rFonts w:cs="Arial"/>
        </w:rPr>
        <w:t>’</w:t>
      </w:r>
      <w:r w:rsidRPr="00F327E9">
        <w:rPr>
          <w:rFonts w:cs="Arial"/>
        </w:rPr>
        <w:t xml:space="preserve">obtenir des partenaires un accord par consensus sur le calendrier des travaux à effectuer ainsi que sur les races/isolats et exemples de variétés qui seraient </w:t>
      </w:r>
      <w:r>
        <w:rPr>
          <w:rFonts w:cs="Arial"/>
        </w:rPr>
        <w:t xml:space="preserve">utilisées.  </w:t>
      </w:r>
      <w:r w:rsidRPr="00F327E9">
        <w:rPr>
          <w:rFonts w:cs="Arial"/>
        </w:rPr>
        <w:t>Durant la seconde moitié de</w:t>
      </w:r>
      <w:r>
        <w:rPr>
          <w:rFonts w:cs="Arial"/>
        </w:rPr>
        <w:t> </w:t>
      </w:r>
      <w:r w:rsidRPr="00F327E9">
        <w:rPr>
          <w:rFonts w:cs="Arial"/>
        </w:rPr>
        <w:t>2012, les travaux ont porté sur la description et la comparaison des essais existants pour ces résistances</w:t>
      </w:r>
      <w:r>
        <w:rPr>
          <w:rFonts w:cs="Arial"/>
        </w:rPr>
        <w:t xml:space="preserve"> aux maladies.  </w:t>
      </w:r>
      <w:r w:rsidRPr="00F327E9">
        <w:rPr>
          <w:rFonts w:cs="Arial"/>
        </w:rPr>
        <w:t>La deuxième réunion du groupe a eu lieu en mai</w:t>
      </w:r>
      <w:r>
        <w:rPr>
          <w:rFonts w:cs="Arial"/>
        </w:rPr>
        <w:t> </w:t>
      </w:r>
      <w:r w:rsidRPr="00F327E9">
        <w:rPr>
          <w:rFonts w:cs="Arial"/>
        </w:rPr>
        <w:t>2013 et l</w:t>
      </w:r>
      <w:r>
        <w:rPr>
          <w:rFonts w:cs="Arial"/>
        </w:rPr>
        <w:t>’</w:t>
      </w:r>
      <w:r w:rsidRPr="00F327E9">
        <w:rPr>
          <w:rFonts w:cs="Arial"/>
        </w:rPr>
        <w:t>OCVV a reçu le premier rapport intérimaire en août</w:t>
      </w:r>
      <w:r>
        <w:rPr>
          <w:rFonts w:cs="Arial"/>
        </w:rPr>
        <w:t> </w:t>
      </w:r>
      <w:r w:rsidRPr="00F327E9">
        <w:rPr>
          <w:rFonts w:cs="Arial"/>
        </w:rPr>
        <w:t>2013.</w:t>
      </w:r>
    </w:p>
    <w:p w:rsidR="00023109" w:rsidRDefault="00023109" w:rsidP="00023109">
      <w:pPr>
        <w:autoSpaceDE w:val="0"/>
        <w:autoSpaceDN w:val="0"/>
        <w:adjustRightInd w:val="0"/>
        <w:spacing w:after="240"/>
        <w:rPr>
          <w:rFonts w:cs="Arial"/>
        </w:rPr>
      </w:pPr>
      <w:r w:rsidRPr="00F327E9">
        <w:rPr>
          <w:rFonts w:cs="Arial"/>
        </w:rPr>
        <w:t>La troisième réunion du groupe a eu lieu en avril</w:t>
      </w:r>
      <w:r>
        <w:rPr>
          <w:rFonts w:cs="Arial"/>
        </w:rPr>
        <w:t> </w:t>
      </w:r>
      <w:r w:rsidRPr="00F327E9">
        <w:rPr>
          <w:rFonts w:cs="Arial"/>
        </w:rPr>
        <w:t xml:space="preserve">2014 à </w:t>
      </w:r>
      <w:proofErr w:type="spellStart"/>
      <w:r w:rsidRPr="00F327E9">
        <w:rPr>
          <w:rFonts w:cs="Arial"/>
        </w:rPr>
        <w:t>Roelofarendsveen</w:t>
      </w:r>
      <w:proofErr w:type="spellEnd"/>
      <w:r w:rsidRPr="00F327E9">
        <w:rPr>
          <w:rFonts w:cs="Arial"/>
        </w:rPr>
        <w:t xml:space="preserve"> (NL). </w:t>
      </w:r>
      <w:r>
        <w:rPr>
          <w:rFonts w:cs="Arial"/>
        </w:rPr>
        <w:t xml:space="preserve"> Les</w:t>
      </w:r>
      <w:r w:rsidRPr="00F327E9">
        <w:rPr>
          <w:rFonts w:cs="Arial"/>
        </w:rPr>
        <w:t xml:space="preserve"> partenaires de projet ont rendu compte des progrès réalisés concernant les races et les isolats identifiés au cours des </w:t>
      </w:r>
      <w:r>
        <w:rPr>
          <w:rFonts w:cs="Arial"/>
        </w:rPr>
        <w:t>12 précédents</w:t>
      </w:r>
      <w:r w:rsidRPr="00F327E9">
        <w:rPr>
          <w:rFonts w:cs="Arial"/>
        </w:rPr>
        <w:t xml:space="preserve"> mois</w:t>
      </w:r>
      <w:r>
        <w:rPr>
          <w:rFonts w:cs="Arial"/>
        </w:rPr>
        <w:t xml:space="preserve">.  </w:t>
      </w:r>
      <w:r w:rsidRPr="00F327E9">
        <w:rPr>
          <w:rFonts w:cs="Arial"/>
        </w:rPr>
        <w:t>Les partenaires ont également déterminé les domaines pour lesquels des efforts étaient toujours requis afin d</w:t>
      </w:r>
      <w:r>
        <w:rPr>
          <w:rFonts w:cs="Arial"/>
        </w:rPr>
        <w:t>’</w:t>
      </w:r>
      <w:r w:rsidRPr="00F327E9">
        <w:rPr>
          <w:rFonts w:cs="Arial"/>
        </w:rPr>
        <w:t>assurer une interprétation correcte des résultats en laboratoire</w:t>
      </w:r>
      <w:r>
        <w:rPr>
          <w:rFonts w:cs="Arial"/>
        </w:rPr>
        <w:t xml:space="preserve">.  </w:t>
      </w:r>
      <w:r w:rsidRPr="00F327E9">
        <w:rPr>
          <w:rFonts w:cs="Arial"/>
        </w:rPr>
        <w:t>Au cours de cette réunion, l</w:t>
      </w:r>
      <w:r>
        <w:rPr>
          <w:rFonts w:cs="Arial"/>
        </w:rPr>
        <w:t>’</w:t>
      </w:r>
      <w:r w:rsidRPr="00F327E9">
        <w:rPr>
          <w:rFonts w:cs="Arial"/>
        </w:rPr>
        <w:t xml:space="preserve">OCVV a également </w:t>
      </w:r>
      <w:r>
        <w:rPr>
          <w:rFonts w:cs="Arial"/>
        </w:rPr>
        <w:t>présenté</w:t>
      </w:r>
      <w:r w:rsidRPr="00F327E9">
        <w:rPr>
          <w:rFonts w:cs="Arial"/>
        </w:rPr>
        <w:t xml:space="preserve"> les conclusions d</w:t>
      </w:r>
      <w:r>
        <w:rPr>
          <w:rFonts w:cs="Arial"/>
        </w:rPr>
        <w:t>’</w:t>
      </w:r>
      <w:r w:rsidRPr="00F327E9">
        <w:rPr>
          <w:rFonts w:cs="Arial"/>
        </w:rPr>
        <w:t>une enquête menée par l</w:t>
      </w:r>
      <w:r>
        <w:rPr>
          <w:rFonts w:cs="Arial"/>
        </w:rPr>
        <w:t>’</w:t>
      </w:r>
      <w:r w:rsidRPr="00F327E9">
        <w:rPr>
          <w:rFonts w:cs="Arial"/>
        </w:rPr>
        <w:t>ESA et l</w:t>
      </w:r>
      <w:r>
        <w:rPr>
          <w:rFonts w:cs="Arial"/>
        </w:rPr>
        <w:t>’</w:t>
      </w:r>
      <w:r w:rsidRPr="00F327E9">
        <w:rPr>
          <w:rFonts w:cs="Arial"/>
        </w:rPr>
        <w:t xml:space="preserve">OCVV quelques mois auparavant et portant sur les difficultés rencontrées par les entreprises de semences potagères en effectuant certains essais de résistance aux maladies décrits dans les protocoles </w:t>
      </w:r>
      <w:r>
        <w:rPr>
          <w:rFonts w:cs="Arial"/>
        </w:rPr>
        <w:t>de l’</w:t>
      </w:r>
      <w:r w:rsidRPr="00F327E9">
        <w:rPr>
          <w:rFonts w:cs="Arial"/>
        </w:rPr>
        <w:t xml:space="preserve">OCVV relatifs aux plantes potagères; </w:t>
      </w:r>
      <w:r>
        <w:rPr>
          <w:rFonts w:cs="Arial"/>
        </w:rPr>
        <w:t xml:space="preserve"> </w:t>
      </w:r>
      <w:r w:rsidRPr="00F327E9">
        <w:rPr>
          <w:rFonts w:cs="Arial"/>
        </w:rPr>
        <w:t>L</w:t>
      </w:r>
      <w:r>
        <w:rPr>
          <w:rFonts w:cs="Arial"/>
        </w:rPr>
        <w:t>’</w:t>
      </w:r>
      <w:r w:rsidRPr="00F327E9">
        <w:rPr>
          <w:rFonts w:cs="Arial"/>
        </w:rPr>
        <w:t>OCVV a précisé qu</w:t>
      </w:r>
      <w:r>
        <w:rPr>
          <w:rFonts w:cs="Arial"/>
        </w:rPr>
        <w:t>’</w:t>
      </w:r>
      <w:r w:rsidRPr="00F327E9">
        <w:rPr>
          <w:rFonts w:cs="Arial"/>
        </w:rPr>
        <w:t xml:space="preserve">il pourrait </w:t>
      </w:r>
      <w:r>
        <w:rPr>
          <w:rFonts w:cs="Arial"/>
        </w:rPr>
        <w:t xml:space="preserve">là </w:t>
      </w:r>
      <w:r w:rsidRPr="00F327E9">
        <w:rPr>
          <w:rFonts w:cs="Arial"/>
        </w:rPr>
        <w:t>y avoir matière pour la base d</w:t>
      </w:r>
      <w:r>
        <w:rPr>
          <w:rFonts w:cs="Arial"/>
        </w:rPr>
        <w:t>’</w:t>
      </w:r>
      <w:r w:rsidRPr="00F327E9">
        <w:rPr>
          <w:rFonts w:cs="Arial"/>
        </w:rPr>
        <w:t xml:space="preserve">un futur projet </w:t>
      </w:r>
      <w:r>
        <w:rPr>
          <w:rFonts w:cs="Arial"/>
        </w:rPr>
        <w:t>“</w:t>
      </w:r>
      <w:proofErr w:type="spellStart"/>
      <w:r>
        <w:rPr>
          <w:rFonts w:cs="Arial"/>
        </w:rPr>
        <w:t>Harmores</w:t>
      </w:r>
      <w:proofErr w:type="spellEnd"/>
      <w:r>
        <w:rPr>
          <w:rFonts w:cs="Arial"/>
        </w:rPr>
        <w:t> </w:t>
      </w:r>
      <w:r w:rsidRPr="00F327E9">
        <w:rPr>
          <w:rFonts w:cs="Arial"/>
        </w:rPr>
        <w:t>3”.</w:t>
      </w:r>
    </w:p>
    <w:p w:rsidR="00023109" w:rsidRPr="00F327E9" w:rsidRDefault="00023109" w:rsidP="00023109">
      <w:pPr>
        <w:autoSpaceDE w:val="0"/>
        <w:autoSpaceDN w:val="0"/>
        <w:adjustRightInd w:val="0"/>
        <w:spacing w:after="240"/>
        <w:rPr>
          <w:rFonts w:cs="Arial"/>
        </w:rPr>
      </w:pPr>
      <w:r>
        <w:rPr>
          <w:rFonts w:cs="Arial"/>
        </w:rPr>
        <w:t>Au cours du deuxième </w:t>
      </w:r>
      <w:r w:rsidRPr="00F327E9">
        <w:rPr>
          <w:rFonts w:cs="Arial"/>
        </w:rPr>
        <w:t>semestre de</w:t>
      </w:r>
      <w:r>
        <w:rPr>
          <w:rFonts w:cs="Arial"/>
        </w:rPr>
        <w:t> </w:t>
      </w:r>
      <w:r w:rsidRPr="00F327E9">
        <w:rPr>
          <w:rFonts w:cs="Arial"/>
        </w:rPr>
        <w:t>2014, les partenaires du projet ont poursuivi les échanges de résultats en vue d</w:t>
      </w:r>
      <w:r>
        <w:rPr>
          <w:rFonts w:cs="Arial"/>
        </w:rPr>
        <w:t>’affiner</w:t>
      </w:r>
      <w:r w:rsidRPr="00F327E9">
        <w:rPr>
          <w:rFonts w:cs="Arial"/>
        </w:rPr>
        <w:t xml:space="preserve"> les méthodes harmonisées d</w:t>
      </w:r>
      <w:r>
        <w:rPr>
          <w:rFonts w:cs="Arial"/>
        </w:rPr>
        <w:t>’</w:t>
      </w:r>
      <w:r w:rsidRPr="00F327E9">
        <w:rPr>
          <w:rFonts w:cs="Arial"/>
        </w:rPr>
        <w:t>essais de résistance aux maladies faisant l</w:t>
      </w:r>
      <w:r>
        <w:rPr>
          <w:rFonts w:cs="Arial"/>
        </w:rPr>
        <w:t>’</w:t>
      </w:r>
      <w:r w:rsidRPr="00F327E9">
        <w:rPr>
          <w:rFonts w:cs="Arial"/>
        </w:rPr>
        <w:t>objet d</w:t>
      </w:r>
      <w:r>
        <w:rPr>
          <w:rFonts w:cs="Arial"/>
        </w:rPr>
        <w:t>’</w:t>
      </w:r>
      <w:r w:rsidRPr="00F327E9">
        <w:rPr>
          <w:rFonts w:cs="Arial"/>
        </w:rPr>
        <w:t>examen dans le cadre du projet “</w:t>
      </w:r>
      <w:proofErr w:type="spellStart"/>
      <w:r w:rsidRPr="00F327E9">
        <w:rPr>
          <w:rFonts w:cs="Arial"/>
        </w:rPr>
        <w:t>Harmores</w:t>
      </w:r>
      <w:proofErr w:type="spellEnd"/>
      <w:r>
        <w:rPr>
          <w:rFonts w:cs="Arial"/>
        </w:rPr>
        <w:t> </w:t>
      </w:r>
      <w:r w:rsidRPr="00F327E9">
        <w:rPr>
          <w:rFonts w:cs="Arial"/>
        </w:rPr>
        <w:t xml:space="preserve">2”. </w:t>
      </w:r>
      <w:r>
        <w:rPr>
          <w:rFonts w:cs="Arial"/>
        </w:rPr>
        <w:t xml:space="preserve"> </w:t>
      </w:r>
      <w:r w:rsidRPr="00F327E9">
        <w:rPr>
          <w:rFonts w:cs="Arial"/>
        </w:rPr>
        <w:t>C</w:t>
      </w:r>
      <w:r>
        <w:rPr>
          <w:rFonts w:cs="Arial"/>
        </w:rPr>
        <w:t>’</w:t>
      </w:r>
      <w:r w:rsidRPr="00F327E9">
        <w:rPr>
          <w:rFonts w:cs="Arial"/>
        </w:rPr>
        <w:t>est dans cet esprit que le</w:t>
      </w:r>
      <w:r>
        <w:rPr>
          <w:rFonts w:cs="Arial"/>
        </w:rPr>
        <w:t> </w:t>
      </w:r>
      <w:r w:rsidRPr="00F327E9">
        <w:rPr>
          <w:rFonts w:cs="Arial"/>
        </w:rPr>
        <w:t>GEVES a organisé début novembre, à Angers, deux</w:t>
      </w:r>
      <w:r>
        <w:rPr>
          <w:rFonts w:cs="Arial"/>
        </w:rPr>
        <w:t> </w:t>
      </w:r>
      <w:r w:rsidRPr="00F327E9">
        <w:rPr>
          <w:rFonts w:cs="Arial"/>
        </w:rPr>
        <w:t>ateliers au cours de journées consécutives pour les partenaires du projet.  L</w:t>
      </w:r>
      <w:r>
        <w:rPr>
          <w:rFonts w:cs="Arial"/>
        </w:rPr>
        <w:t>’</w:t>
      </w:r>
      <w:r w:rsidRPr="00F327E9">
        <w:rPr>
          <w:rFonts w:cs="Arial"/>
        </w:rPr>
        <w:t xml:space="preserve">un </w:t>
      </w:r>
      <w:r>
        <w:rPr>
          <w:rFonts w:cs="Arial"/>
        </w:rPr>
        <w:t>comprenait</w:t>
      </w:r>
      <w:r w:rsidRPr="00F327E9">
        <w:rPr>
          <w:rFonts w:cs="Arial"/>
        </w:rPr>
        <w:t xml:space="preserve"> des travaux pratiques en laboratoire sur les symptômes de </w:t>
      </w:r>
      <w:proofErr w:type="spellStart"/>
      <w:r w:rsidRPr="00F327E9">
        <w:rPr>
          <w:rFonts w:cs="Arial"/>
          <w:i/>
        </w:rPr>
        <w:t>Bremia</w:t>
      </w:r>
      <w:proofErr w:type="spellEnd"/>
      <w:r w:rsidRPr="00F327E9">
        <w:rPr>
          <w:rFonts w:cs="Arial"/>
          <w:i/>
        </w:rPr>
        <w:t xml:space="preserve"> lactuca</w:t>
      </w:r>
      <w:r w:rsidRPr="00F327E9">
        <w:rPr>
          <w:rFonts w:cs="Arial"/>
        </w:rPr>
        <w:t xml:space="preserve"> chez la laitue; </w:t>
      </w:r>
      <w:r>
        <w:rPr>
          <w:rFonts w:cs="Arial"/>
        </w:rPr>
        <w:t xml:space="preserve"> les participants ont travaillé ensemble en </w:t>
      </w:r>
      <w:r w:rsidRPr="00F327E9">
        <w:rPr>
          <w:rFonts w:cs="Arial"/>
        </w:rPr>
        <w:t>petits groupes sur les symptômes du cotylédon lors d</w:t>
      </w:r>
      <w:r>
        <w:rPr>
          <w:rFonts w:cs="Arial"/>
        </w:rPr>
        <w:t>’</w:t>
      </w:r>
      <w:r w:rsidRPr="00F327E9">
        <w:rPr>
          <w:rFonts w:cs="Arial"/>
        </w:rPr>
        <w:t>essais sur des “cas difficiles”, afin de déterminer de quelle manière chacun faisait ses observations en vue de parvenir à des interprétations communes</w:t>
      </w:r>
      <w:r>
        <w:rPr>
          <w:rFonts w:cs="Arial"/>
        </w:rPr>
        <w:t xml:space="preserve">.  </w:t>
      </w:r>
      <w:r w:rsidRPr="00F327E9">
        <w:rPr>
          <w:rFonts w:cs="Arial"/>
        </w:rPr>
        <w:t xml:space="preserve">Le deuxième atelier </w:t>
      </w:r>
      <w:r>
        <w:rPr>
          <w:rFonts w:cs="Arial"/>
        </w:rPr>
        <w:t>comprenait</w:t>
      </w:r>
      <w:r w:rsidRPr="00F327E9">
        <w:rPr>
          <w:rFonts w:cs="Arial"/>
        </w:rPr>
        <w:t xml:space="preserve"> également des travaux pratiques en laboratoires sur </w:t>
      </w:r>
      <w:proofErr w:type="spellStart"/>
      <w:r w:rsidRPr="00F327E9">
        <w:rPr>
          <w:rFonts w:cs="Arial"/>
          <w:i/>
        </w:rPr>
        <w:t>Fusarium</w:t>
      </w:r>
      <w:proofErr w:type="spellEnd"/>
      <w:r w:rsidRPr="00F327E9">
        <w:rPr>
          <w:rFonts w:cs="Arial"/>
          <w:i/>
        </w:rPr>
        <w:t xml:space="preserve"> </w:t>
      </w:r>
      <w:proofErr w:type="spellStart"/>
      <w:r w:rsidRPr="00F327E9">
        <w:rPr>
          <w:rFonts w:cs="Arial"/>
          <w:i/>
        </w:rPr>
        <w:t>oxysporum</w:t>
      </w:r>
      <w:proofErr w:type="spellEnd"/>
      <w:r w:rsidRPr="00F327E9">
        <w:rPr>
          <w:rFonts w:cs="Arial"/>
        </w:rPr>
        <w:t xml:space="preserve"> chez le pois; </w:t>
      </w:r>
      <w:r>
        <w:rPr>
          <w:rFonts w:cs="Arial"/>
        </w:rPr>
        <w:t xml:space="preserve"> </w:t>
      </w:r>
      <w:r w:rsidRPr="00F327E9">
        <w:rPr>
          <w:rFonts w:cs="Arial"/>
        </w:rPr>
        <w:t>deux</w:t>
      </w:r>
      <w:r>
        <w:rPr>
          <w:rFonts w:cs="Arial"/>
        </w:rPr>
        <w:t> </w:t>
      </w:r>
      <w:r w:rsidRPr="00F327E9">
        <w:rPr>
          <w:rFonts w:cs="Arial"/>
        </w:rPr>
        <w:t>échelles d</w:t>
      </w:r>
      <w:r>
        <w:rPr>
          <w:rFonts w:cs="Arial"/>
        </w:rPr>
        <w:t>’</w:t>
      </w:r>
      <w:r w:rsidRPr="00F327E9">
        <w:rPr>
          <w:rFonts w:cs="Arial"/>
        </w:rPr>
        <w:t>observation étaient comparées l</w:t>
      </w:r>
      <w:r>
        <w:rPr>
          <w:rFonts w:cs="Arial"/>
        </w:rPr>
        <w:t>’</w:t>
      </w:r>
      <w:r w:rsidRPr="00F327E9">
        <w:rPr>
          <w:rFonts w:cs="Arial"/>
        </w:rPr>
        <w:t>une à l</w:t>
      </w:r>
      <w:r>
        <w:rPr>
          <w:rFonts w:cs="Arial"/>
        </w:rPr>
        <w:t>’</w:t>
      </w:r>
      <w:r w:rsidRPr="00F327E9">
        <w:rPr>
          <w:rFonts w:cs="Arial"/>
        </w:rPr>
        <w:t>autre, tandis qu</w:t>
      </w:r>
      <w:r>
        <w:rPr>
          <w:rFonts w:cs="Arial"/>
        </w:rPr>
        <w:t>’</w:t>
      </w:r>
      <w:r w:rsidRPr="00F327E9">
        <w:rPr>
          <w:rFonts w:cs="Arial"/>
        </w:rPr>
        <w:t>une échelle d</w:t>
      </w:r>
      <w:r>
        <w:rPr>
          <w:rFonts w:cs="Arial"/>
        </w:rPr>
        <w:t>’</w:t>
      </w:r>
      <w:r w:rsidRPr="00F327E9">
        <w:rPr>
          <w:rFonts w:cs="Arial"/>
        </w:rPr>
        <w:t>observation était harmonisée pour les deux</w:t>
      </w:r>
      <w:r>
        <w:rPr>
          <w:rFonts w:cs="Arial"/>
        </w:rPr>
        <w:t> </w:t>
      </w:r>
      <w:r w:rsidRPr="00F327E9">
        <w:rPr>
          <w:rFonts w:cs="Arial"/>
        </w:rPr>
        <w:t>méthodes d</w:t>
      </w:r>
      <w:r>
        <w:rPr>
          <w:rFonts w:cs="Arial"/>
        </w:rPr>
        <w:t>’inoculation</w:t>
      </w:r>
      <w:r w:rsidRPr="00F327E9">
        <w:rPr>
          <w:rFonts w:cs="Arial"/>
        </w:rPr>
        <w:t xml:space="preserve"> validées dans les essais comparatifs pour la </w:t>
      </w:r>
      <w:r>
        <w:rPr>
          <w:rFonts w:cs="Arial"/>
        </w:rPr>
        <w:t>phase </w:t>
      </w:r>
      <w:r w:rsidRPr="00F327E9">
        <w:rPr>
          <w:rFonts w:cs="Arial"/>
        </w:rPr>
        <w:t>3 du projet</w:t>
      </w:r>
      <w:r>
        <w:rPr>
          <w:rFonts w:cs="Arial"/>
        </w:rPr>
        <w:t xml:space="preserve">.  </w:t>
      </w:r>
      <w:r w:rsidRPr="00F327E9">
        <w:rPr>
          <w:rFonts w:cs="Arial"/>
        </w:rPr>
        <w:t>Le rapport intérimaire pour la deuxième année du projet a été reçu en septembre</w:t>
      </w:r>
      <w:r>
        <w:rPr>
          <w:rFonts w:cs="Arial"/>
        </w:rPr>
        <w:t> </w:t>
      </w:r>
      <w:r w:rsidRPr="00F327E9">
        <w:rPr>
          <w:rFonts w:cs="Arial"/>
        </w:rPr>
        <w:t>2014.</w:t>
      </w:r>
    </w:p>
    <w:p w:rsidR="00023109" w:rsidRPr="00F327E9" w:rsidRDefault="00023109" w:rsidP="00023109">
      <w:pPr>
        <w:spacing w:after="240"/>
        <w:rPr>
          <w:rFonts w:cs="Arial"/>
        </w:rPr>
      </w:pPr>
      <w:r w:rsidRPr="00F327E9">
        <w:rPr>
          <w:rFonts w:cs="Arial"/>
        </w:rPr>
        <w:t>Le projet sera achevé avant la fin de</w:t>
      </w:r>
      <w:r>
        <w:rPr>
          <w:rFonts w:cs="Arial"/>
        </w:rPr>
        <w:t> </w:t>
      </w:r>
      <w:r w:rsidRPr="00F327E9">
        <w:rPr>
          <w:rFonts w:cs="Arial"/>
        </w:rPr>
        <w:t>2015 par la présentation à l</w:t>
      </w:r>
      <w:r>
        <w:rPr>
          <w:rFonts w:cs="Arial"/>
        </w:rPr>
        <w:t>’</w:t>
      </w:r>
      <w:r w:rsidRPr="00F327E9">
        <w:rPr>
          <w:rFonts w:cs="Arial"/>
        </w:rPr>
        <w:t>OCVV du rapport final.</w:t>
      </w:r>
    </w:p>
    <w:p w:rsidR="00023109" w:rsidRPr="00F327E9" w:rsidRDefault="00023109" w:rsidP="00023109">
      <w:pPr>
        <w:spacing w:after="240"/>
        <w:ind w:left="720"/>
        <w:rPr>
          <w:rFonts w:eastAsia="Calibri" w:cs="Arial"/>
          <w:i/>
        </w:rPr>
      </w:pPr>
      <w:r w:rsidRPr="00F327E9">
        <w:rPr>
          <w:rFonts w:eastAsia="Calibri" w:cs="Arial"/>
          <w:i/>
        </w:rPr>
        <w:t>e.</w:t>
      </w:r>
      <w:r>
        <w:rPr>
          <w:rFonts w:eastAsia="Calibri" w:cs="Arial"/>
          <w:i/>
        </w:rPr>
        <w:tab/>
      </w:r>
      <w:r w:rsidRPr="00F327E9">
        <w:rPr>
          <w:rFonts w:eastAsia="Calibri" w:cs="Arial"/>
          <w:i/>
        </w:rPr>
        <w:t>“Effet du traitement d</w:t>
      </w:r>
      <w:r>
        <w:rPr>
          <w:rFonts w:eastAsia="Calibri" w:cs="Arial"/>
          <w:i/>
        </w:rPr>
        <w:t>’</w:t>
      </w:r>
      <w:r w:rsidRPr="00F327E9">
        <w:rPr>
          <w:rFonts w:eastAsia="Calibri" w:cs="Arial"/>
          <w:i/>
        </w:rPr>
        <w:t>amorçage de la germination sur l</w:t>
      </w:r>
      <w:r>
        <w:rPr>
          <w:rFonts w:eastAsia="Calibri" w:cs="Arial"/>
          <w:i/>
        </w:rPr>
        <w:t>’</w:t>
      </w:r>
      <w:r w:rsidRPr="00F327E9">
        <w:rPr>
          <w:rFonts w:eastAsia="Calibri" w:cs="Arial"/>
          <w:i/>
        </w:rPr>
        <w:t>examen</w:t>
      </w:r>
      <w:r>
        <w:rPr>
          <w:rFonts w:eastAsia="Calibri" w:cs="Arial"/>
          <w:i/>
        </w:rPr>
        <w:t> </w:t>
      </w:r>
      <w:r w:rsidRPr="00F327E9">
        <w:rPr>
          <w:rFonts w:eastAsia="Calibri" w:cs="Arial"/>
          <w:i/>
        </w:rPr>
        <w:t>DHS des plantes potagères”</w:t>
      </w:r>
    </w:p>
    <w:p w:rsidR="00023109" w:rsidRDefault="00023109" w:rsidP="00023109">
      <w:pPr>
        <w:spacing w:after="240"/>
        <w:rPr>
          <w:rFonts w:cs="Arial"/>
        </w:rPr>
      </w:pPr>
      <w:r w:rsidRPr="00F327E9">
        <w:rPr>
          <w:rFonts w:cs="Arial"/>
        </w:rPr>
        <w:t>Ce projet, lancé par l</w:t>
      </w:r>
      <w:r>
        <w:rPr>
          <w:rFonts w:cs="Arial"/>
        </w:rPr>
        <w:t>’</w:t>
      </w:r>
      <w:r w:rsidRPr="00F327E9">
        <w:rPr>
          <w:rFonts w:cs="Arial"/>
        </w:rPr>
        <w:t>OCVV, a été approuvé en janvier</w:t>
      </w:r>
      <w:r>
        <w:rPr>
          <w:rFonts w:cs="Arial"/>
        </w:rPr>
        <w:t> </w:t>
      </w:r>
      <w:r w:rsidRPr="00F327E9">
        <w:rPr>
          <w:rFonts w:cs="Arial"/>
        </w:rPr>
        <w:t>2014 pour une année</w:t>
      </w:r>
      <w:r>
        <w:rPr>
          <w:rFonts w:cs="Arial"/>
        </w:rPr>
        <w:t xml:space="preserve">.  </w:t>
      </w:r>
      <w:r w:rsidRPr="00F327E9">
        <w:rPr>
          <w:rFonts w:cs="Arial"/>
        </w:rPr>
        <w:t>Le projet est coordonné par l</w:t>
      </w:r>
      <w:r>
        <w:rPr>
          <w:rFonts w:cs="Arial"/>
        </w:rPr>
        <w:t>’</w:t>
      </w:r>
      <w:r w:rsidRPr="00F327E9">
        <w:rPr>
          <w:rFonts w:cs="Arial"/>
        </w:rPr>
        <w:t>OCVV, et les partenaires du projet sont l</w:t>
      </w:r>
      <w:r>
        <w:rPr>
          <w:rFonts w:cs="Arial"/>
        </w:rPr>
        <w:t>’</w:t>
      </w:r>
      <w:r w:rsidRPr="00F327E9">
        <w:rPr>
          <w:rFonts w:cs="Arial"/>
        </w:rPr>
        <w:t xml:space="preserve">ESA et les </w:t>
      </w:r>
      <w:r>
        <w:rPr>
          <w:rFonts w:cs="Arial"/>
        </w:rPr>
        <w:t xml:space="preserve">centres </w:t>
      </w:r>
      <w:r w:rsidRPr="00F327E9">
        <w:rPr>
          <w:rFonts w:cs="Arial"/>
        </w:rPr>
        <w:t>d</w:t>
      </w:r>
      <w:r>
        <w:rPr>
          <w:rFonts w:cs="Arial"/>
        </w:rPr>
        <w:t>’</w:t>
      </w:r>
      <w:r w:rsidRPr="00F327E9">
        <w:rPr>
          <w:rFonts w:cs="Arial"/>
        </w:rPr>
        <w:t>examen habilités sélectionnés suivants</w:t>
      </w:r>
      <w:r>
        <w:rPr>
          <w:rFonts w:cs="Arial"/>
        </w:rPr>
        <w:t> </w:t>
      </w:r>
      <w:r w:rsidRPr="00F327E9">
        <w:rPr>
          <w:rFonts w:cs="Arial"/>
        </w:rPr>
        <w:t xml:space="preserve">: </w:t>
      </w:r>
      <w:proofErr w:type="spellStart"/>
      <w:r w:rsidRPr="00F327E9">
        <w:rPr>
          <w:rFonts w:cs="Arial"/>
        </w:rPr>
        <w:t>Naktuinbouw</w:t>
      </w:r>
      <w:proofErr w:type="spellEnd"/>
      <w:r w:rsidRPr="00F327E9">
        <w:rPr>
          <w:rFonts w:cs="Arial"/>
        </w:rPr>
        <w:t xml:space="preserve"> (NL), OEVV/INIA (ES) et GEVES (FR).</w:t>
      </w:r>
      <w:r>
        <w:rPr>
          <w:rFonts w:cs="Arial"/>
        </w:rPr>
        <w:t xml:space="preserve"> </w:t>
      </w:r>
      <w:r w:rsidRPr="00F327E9">
        <w:rPr>
          <w:rFonts w:cs="Arial"/>
        </w:rPr>
        <w:t xml:space="preserve"> Le projet vise à étudier l</w:t>
      </w:r>
      <w:r>
        <w:rPr>
          <w:rFonts w:cs="Arial"/>
        </w:rPr>
        <w:t>’</w:t>
      </w:r>
      <w:r w:rsidRPr="00F327E9">
        <w:rPr>
          <w:rFonts w:cs="Arial"/>
        </w:rPr>
        <w:t xml:space="preserve">effet </w:t>
      </w:r>
      <w:r>
        <w:rPr>
          <w:rFonts w:cs="Arial"/>
        </w:rPr>
        <w:t xml:space="preserve">potentiel </w:t>
      </w:r>
      <w:r w:rsidRPr="00F327E9">
        <w:rPr>
          <w:rFonts w:cs="Arial"/>
        </w:rPr>
        <w:t>du traitement d</w:t>
      </w:r>
      <w:r>
        <w:rPr>
          <w:rFonts w:cs="Arial"/>
        </w:rPr>
        <w:t>’</w:t>
      </w:r>
      <w:r w:rsidRPr="00F327E9">
        <w:rPr>
          <w:rFonts w:cs="Arial"/>
        </w:rPr>
        <w:t>amorçage de la germination sur l</w:t>
      </w:r>
      <w:r>
        <w:rPr>
          <w:rFonts w:cs="Arial"/>
        </w:rPr>
        <w:t>’</w:t>
      </w:r>
      <w:r w:rsidRPr="00F327E9">
        <w:rPr>
          <w:rFonts w:cs="Arial"/>
        </w:rPr>
        <w:t>expression des caractères des variétés d</w:t>
      </w:r>
      <w:r>
        <w:rPr>
          <w:rFonts w:cs="Arial"/>
        </w:rPr>
        <w:t>’</w:t>
      </w:r>
      <w:r w:rsidRPr="00F327E9">
        <w:rPr>
          <w:rFonts w:cs="Arial"/>
        </w:rPr>
        <w:t>aubergines et des porte</w:t>
      </w:r>
      <w:r>
        <w:rPr>
          <w:rFonts w:cs="Arial"/>
        </w:rPr>
        <w:noBreakHyphen/>
      </w:r>
      <w:r w:rsidRPr="00F327E9">
        <w:rPr>
          <w:rFonts w:cs="Arial"/>
        </w:rPr>
        <w:t xml:space="preserve">greffes de tomate dans les </w:t>
      </w:r>
      <w:r>
        <w:rPr>
          <w:rFonts w:cs="Arial"/>
        </w:rPr>
        <w:t xml:space="preserve">centres </w:t>
      </w:r>
      <w:r w:rsidRPr="00F327E9">
        <w:rPr>
          <w:rFonts w:cs="Arial"/>
        </w:rPr>
        <w:t>d</w:t>
      </w:r>
      <w:r>
        <w:rPr>
          <w:rFonts w:cs="Arial"/>
        </w:rPr>
        <w:t>’</w:t>
      </w:r>
      <w:r w:rsidRPr="00F327E9">
        <w:rPr>
          <w:rFonts w:cs="Arial"/>
        </w:rPr>
        <w:t xml:space="preserve">examen </w:t>
      </w:r>
      <w:r>
        <w:rPr>
          <w:rFonts w:cs="Arial"/>
        </w:rPr>
        <w:t>sélectionnés</w:t>
      </w:r>
      <w:r w:rsidRPr="00F327E9">
        <w:rPr>
          <w:rFonts w:cs="Arial"/>
        </w:rPr>
        <w:t xml:space="preserve"> qui sont habilités pour ces espèces</w:t>
      </w:r>
      <w:r>
        <w:rPr>
          <w:rFonts w:cs="Arial"/>
        </w:rPr>
        <w:t xml:space="preserve">.  </w:t>
      </w:r>
      <w:r w:rsidRPr="00F327E9">
        <w:rPr>
          <w:rFonts w:cs="Arial"/>
        </w:rPr>
        <w:t>Bien qu</w:t>
      </w:r>
      <w:r>
        <w:rPr>
          <w:rFonts w:cs="Arial"/>
        </w:rPr>
        <w:t>’</w:t>
      </w:r>
      <w:r w:rsidRPr="00F327E9">
        <w:rPr>
          <w:rFonts w:cs="Arial"/>
        </w:rPr>
        <w:t>il ne s</w:t>
      </w:r>
      <w:r>
        <w:rPr>
          <w:rFonts w:cs="Arial"/>
        </w:rPr>
        <w:t>’</w:t>
      </w:r>
      <w:r w:rsidRPr="00F327E9">
        <w:rPr>
          <w:rFonts w:cs="Arial"/>
        </w:rPr>
        <w:t>agisse pas des espèces de plantes potagères faisant l</w:t>
      </w:r>
      <w:r>
        <w:rPr>
          <w:rFonts w:cs="Arial"/>
        </w:rPr>
        <w:t>’</w:t>
      </w:r>
      <w:r w:rsidRPr="00F327E9">
        <w:rPr>
          <w:rFonts w:cs="Arial"/>
        </w:rPr>
        <w:t>objet du plus grand nombre de demandes dans le régime de protection communautaire des obtentions végétales, la plupart d</w:t>
      </w:r>
      <w:r>
        <w:rPr>
          <w:rFonts w:cs="Arial"/>
        </w:rPr>
        <w:t>’</w:t>
      </w:r>
      <w:r w:rsidRPr="00F327E9">
        <w:rPr>
          <w:rFonts w:cs="Arial"/>
        </w:rPr>
        <w:t>entre elles sont soumises à un traitement d</w:t>
      </w:r>
      <w:r>
        <w:rPr>
          <w:rFonts w:cs="Arial"/>
        </w:rPr>
        <w:t>’</w:t>
      </w:r>
      <w:r w:rsidRPr="00F327E9">
        <w:rPr>
          <w:rFonts w:cs="Arial"/>
        </w:rPr>
        <w:t>amorçage de la germination à des fins commerciales</w:t>
      </w:r>
      <w:r>
        <w:rPr>
          <w:rFonts w:cs="Arial"/>
        </w:rPr>
        <w:t xml:space="preserve">.  </w:t>
      </w:r>
      <w:r w:rsidRPr="00F327E9">
        <w:rPr>
          <w:rFonts w:cs="Arial"/>
        </w:rPr>
        <w:t>Ce projet de recherche</w:t>
      </w:r>
      <w:r>
        <w:rPr>
          <w:rFonts w:cs="Arial"/>
        </w:rPr>
        <w:noBreakHyphen/>
      </w:r>
      <w:r w:rsidRPr="00F327E9">
        <w:rPr>
          <w:rFonts w:cs="Arial"/>
        </w:rPr>
        <w:t>développement vise également à étudier l</w:t>
      </w:r>
      <w:r>
        <w:rPr>
          <w:rFonts w:cs="Arial"/>
        </w:rPr>
        <w:t>’</w:t>
      </w:r>
      <w:r w:rsidRPr="00F327E9">
        <w:rPr>
          <w:rFonts w:cs="Arial"/>
        </w:rPr>
        <w:t>effet que ce traitement pourrait avoir dans le temps sur la réduction du taux de germination.</w:t>
      </w:r>
    </w:p>
    <w:p w:rsidR="00023109" w:rsidRPr="00F327E9" w:rsidRDefault="00023109" w:rsidP="00023109">
      <w:pPr>
        <w:spacing w:after="240"/>
        <w:rPr>
          <w:rFonts w:cs="Arial"/>
        </w:rPr>
      </w:pPr>
      <w:r w:rsidRPr="00F327E9">
        <w:rPr>
          <w:rFonts w:cs="Arial"/>
        </w:rPr>
        <w:t xml:space="preserve">Les activités du projet ont </w:t>
      </w:r>
      <w:r>
        <w:rPr>
          <w:rFonts w:cs="Arial"/>
        </w:rPr>
        <w:t>débuté</w:t>
      </w:r>
      <w:r w:rsidRPr="00F327E9">
        <w:rPr>
          <w:rFonts w:cs="Arial"/>
        </w:rPr>
        <w:t xml:space="preserve"> </w:t>
      </w:r>
      <w:r>
        <w:rPr>
          <w:rFonts w:cs="Arial"/>
        </w:rPr>
        <w:t xml:space="preserve">avec </w:t>
      </w:r>
      <w:r w:rsidRPr="00F327E9">
        <w:rPr>
          <w:rFonts w:cs="Arial"/>
        </w:rPr>
        <w:t>la planification du déroulement de l</w:t>
      </w:r>
      <w:r>
        <w:rPr>
          <w:rFonts w:cs="Arial"/>
        </w:rPr>
        <w:t>’</w:t>
      </w:r>
      <w:r w:rsidRPr="00F327E9">
        <w:rPr>
          <w:rFonts w:cs="Arial"/>
        </w:rPr>
        <w:t>essai et l</w:t>
      </w:r>
      <w:r>
        <w:rPr>
          <w:rFonts w:cs="Arial"/>
        </w:rPr>
        <w:t>’</w:t>
      </w:r>
      <w:r w:rsidRPr="00F327E9">
        <w:rPr>
          <w:rFonts w:cs="Arial"/>
        </w:rPr>
        <w:t>envoi par des membres de l</w:t>
      </w:r>
      <w:r>
        <w:rPr>
          <w:rFonts w:cs="Arial"/>
        </w:rPr>
        <w:t>’</w:t>
      </w:r>
      <w:r w:rsidRPr="00F327E9">
        <w:rPr>
          <w:rFonts w:cs="Arial"/>
        </w:rPr>
        <w:t>ESA d</w:t>
      </w:r>
      <w:r>
        <w:rPr>
          <w:rFonts w:cs="Arial"/>
        </w:rPr>
        <w:t>’</w:t>
      </w:r>
      <w:r w:rsidRPr="00F327E9">
        <w:rPr>
          <w:rFonts w:cs="Arial"/>
        </w:rPr>
        <w:t>échantillons de trois</w:t>
      </w:r>
      <w:r>
        <w:rPr>
          <w:rFonts w:cs="Arial"/>
        </w:rPr>
        <w:t> </w:t>
      </w:r>
      <w:r w:rsidRPr="00F327E9">
        <w:rPr>
          <w:rFonts w:cs="Arial"/>
        </w:rPr>
        <w:t>variétés d</w:t>
      </w:r>
      <w:r>
        <w:rPr>
          <w:rFonts w:cs="Arial"/>
        </w:rPr>
        <w:t>’</w:t>
      </w:r>
      <w:r w:rsidRPr="00F327E9">
        <w:rPr>
          <w:rFonts w:cs="Arial"/>
        </w:rPr>
        <w:t>aubergines et trois</w:t>
      </w:r>
      <w:r>
        <w:rPr>
          <w:rFonts w:cs="Arial"/>
        </w:rPr>
        <w:t> </w:t>
      </w:r>
      <w:r w:rsidRPr="00F327E9">
        <w:rPr>
          <w:rFonts w:cs="Arial"/>
        </w:rPr>
        <w:t>variétés de porte</w:t>
      </w:r>
      <w:r>
        <w:rPr>
          <w:rFonts w:cs="Arial"/>
        </w:rPr>
        <w:noBreakHyphen/>
      </w:r>
      <w:r w:rsidRPr="00F327E9">
        <w:rPr>
          <w:rFonts w:cs="Arial"/>
        </w:rPr>
        <w:t>greffes de tomates</w:t>
      </w:r>
      <w:r>
        <w:rPr>
          <w:rFonts w:cs="Arial"/>
        </w:rPr>
        <w:t xml:space="preserve">, certains </w:t>
      </w:r>
      <w:r w:rsidRPr="00591444">
        <w:rPr>
          <w:rFonts w:cs="Arial"/>
        </w:rPr>
        <w:t>ayant été soumis à un traitement d</w:t>
      </w:r>
      <w:r>
        <w:rPr>
          <w:rFonts w:cs="Arial"/>
        </w:rPr>
        <w:t>’</w:t>
      </w:r>
      <w:r w:rsidRPr="00591444">
        <w:rPr>
          <w:rFonts w:cs="Arial"/>
        </w:rPr>
        <w:t>amorçage de la germination et d</w:t>
      </w:r>
      <w:r>
        <w:rPr>
          <w:rFonts w:cs="Arial"/>
        </w:rPr>
        <w:t>’</w:t>
      </w:r>
      <w:r w:rsidRPr="00591444">
        <w:rPr>
          <w:rFonts w:cs="Arial"/>
        </w:rPr>
        <w:t>autre</w:t>
      </w:r>
      <w:r>
        <w:rPr>
          <w:rFonts w:cs="Arial"/>
        </w:rPr>
        <w:t>s</w:t>
      </w:r>
      <w:r w:rsidRPr="00591444">
        <w:rPr>
          <w:rFonts w:cs="Arial"/>
        </w:rPr>
        <w:t xml:space="preserve"> non</w:t>
      </w:r>
      <w:r>
        <w:rPr>
          <w:rFonts w:cs="Arial"/>
        </w:rPr>
        <w:t xml:space="preserve">.  Le </w:t>
      </w:r>
      <w:proofErr w:type="spellStart"/>
      <w:r w:rsidRPr="00F327E9">
        <w:rPr>
          <w:rFonts w:cs="Arial"/>
        </w:rPr>
        <w:t>Naktuinbouw</w:t>
      </w:r>
      <w:proofErr w:type="spellEnd"/>
      <w:r w:rsidRPr="00F327E9">
        <w:rPr>
          <w:rFonts w:cs="Arial"/>
        </w:rPr>
        <w:t xml:space="preserve"> </w:t>
      </w:r>
      <w:r>
        <w:rPr>
          <w:rFonts w:cs="Arial"/>
        </w:rPr>
        <w:t>a effectué des essais pour l’aubergine et le porte</w:t>
      </w:r>
      <w:r>
        <w:rPr>
          <w:rFonts w:cs="Arial"/>
        </w:rPr>
        <w:noBreakHyphen/>
        <w:t>greffes de tomate, tandis que le </w:t>
      </w:r>
      <w:r w:rsidRPr="00F327E9">
        <w:rPr>
          <w:rFonts w:cs="Arial"/>
        </w:rPr>
        <w:t xml:space="preserve">GEVES </w:t>
      </w:r>
      <w:r>
        <w:rPr>
          <w:rFonts w:cs="Arial"/>
        </w:rPr>
        <w:t>a effectué des essais pour l’aubergine et l’</w:t>
      </w:r>
      <w:r w:rsidRPr="00F327E9">
        <w:rPr>
          <w:rFonts w:cs="Arial"/>
        </w:rPr>
        <w:t xml:space="preserve">OEVV/INIA </w:t>
      </w:r>
      <w:r>
        <w:rPr>
          <w:rFonts w:cs="Arial"/>
        </w:rPr>
        <w:t xml:space="preserve">pour </w:t>
      </w:r>
      <w:r w:rsidRPr="00591444">
        <w:rPr>
          <w:rFonts w:cs="Arial"/>
        </w:rPr>
        <w:t>le porte</w:t>
      </w:r>
      <w:r>
        <w:rPr>
          <w:rFonts w:cs="Arial"/>
        </w:rPr>
        <w:noBreakHyphen/>
      </w:r>
      <w:r w:rsidRPr="00591444">
        <w:rPr>
          <w:rFonts w:cs="Arial"/>
        </w:rPr>
        <w:t>greffes de tomate</w:t>
      </w:r>
      <w:r>
        <w:rPr>
          <w:rFonts w:cs="Arial"/>
        </w:rPr>
        <w:t xml:space="preserve">.  Les essais se sont déroulés de façon identique dans le cas de chacun des deux partenaires pour chaque espèce, y compris l’utilisation des protocoles de l’OCVV pour l’aubergine et pour le </w:t>
      </w:r>
      <w:proofErr w:type="spellStart"/>
      <w:r>
        <w:rPr>
          <w:rFonts w:cs="Arial"/>
        </w:rPr>
        <w:t>prote</w:t>
      </w:r>
      <w:r>
        <w:rPr>
          <w:rFonts w:cs="Arial"/>
        </w:rPr>
        <w:noBreakHyphen/>
        <w:t>greffes</w:t>
      </w:r>
      <w:proofErr w:type="spellEnd"/>
      <w:r>
        <w:rPr>
          <w:rFonts w:cs="Arial"/>
        </w:rPr>
        <w:t xml:space="preserve"> de tomate.  Les semences ont été semées en temps voulu et les observations ultérieures portant sur les plantes ont été effectuées en fonction des conditions locales</w:t>
      </w:r>
      <w:r w:rsidRPr="00F327E9">
        <w:rPr>
          <w:rFonts w:cs="Arial"/>
        </w:rPr>
        <w:t>.</w:t>
      </w:r>
    </w:p>
    <w:p w:rsidR="00023109" w:rsidRPr="00F327E9" w:rsidRDefault="00023109" w:rsidP="00023109">
      <w:pPr>
        <w:spacing w:after="240"/>
        <w:rPr>
          <w:rFonts w:cs="Arial"/>
        </w:rPr>
      </w:pPr>
      <w:r>
        <w:rPr>
          <w:rFonts w:cs="Arial"/>
        </w:rPr>
        <w:t>À</w:t>
      </w:r>
      <w:r w:rsidRPr="00950C5A">
        <w:rPr>
          <w:rFonts w:cs="Arial"/>
        </w:rPr>
        <w:t xml:space="preserve"> la fin d</w:t>
      </w:r>
      <w:r>
        <w:rPr>
          <w:rFonts w:cs="Arial"/>
        </w:rPr>
        <w:t>’</w:t>
      </w:r>
      <w:r w:rsidRPr="00950C5A">
        <w:rPr>
          <w:rFonts w:cs="Arial"/>
        </w:rPr>
        <w:t>août</w:t>
      </w:r>
      <w:r>
        <w:rPr>
          <w:rFonts w:cs="Arial"/>
        </w:rPr>
        <w:t> </w:t>
      </w:r>
      <w:r w:rsidRPr="00950C5A">
        <w:rPr>
          <w:rFonts w:cs="Arial"/>
        </w:rPr>
        <w:t>2014</w:t>
      </w:r>
      <w:r>
        <w:rPr>
          <w:rFonts w:cs="Arial"/>
        </w:rPr>
        <w:t xml:space="preserve">, une réunion des partenaires du projet s’est tenue à </w:t>
      </w:r>
      <w:proofErr w:type="spellStart"/>
      <w:r w:rsidRPr="00950C5A">
        <w:rPr>
          <w:rFonts w:cs="Arial"/>
        </w:rPr>
        <w:t>Roelofarendsveen</w:t>
      </w:r>
      <w:proofErr w:type="spellEnd"/>
      <w:r w:rsidRPr="00950C5A">
        <w:rPr>
          <w:rFonts w:cs="Arial"/>
        </w:rPr>
        <w:t xml:space="preserve"> (NL</w:t>
      </w:r>
      <w:r>
        <w:rPr>
          <w:rFonts w:cs="Arial"/>
        </w:rPr>
        <w:t>) afin de débattre des résultats préliminaires à l’</w:t>
      </w:r>
      <w:r w:rsidRPr="00950C5A">
        <w:rPr>
          <w:rFonts w:cs="Arial"/>
        </w:rPr>
        <w:t>époque de la récolte des fruits</w:t>
      </w:r>
      <w:r>
        <w:rPr>
          <w:rFonts w:cs="Arial"/>
        </w:rPr>
        <w:t>.  Des exposés détaillés ont été présentés par chacun des partenaires lors de la réunion annuelle d’experts de plantes potagères</w:t>
      </w:r>
      <w:r w:rsidRPr="00F327E9">
        <w:rPr>
          <w:rFonts w:cs="Arial"/>
        </w:rPr>
        <w:t xml:space="preserve"> (VEM15) </w:t>
      </w:r>
      <w:r>
        <w:rPr>
          <w:rFonts w:cs="Arial"/>
        </w:rPr>
        <w:t xml:space="preserve">qui s’est tenue à </w:t>
      </w:r>
      <w:r w:rsidRPr="00F327E9">
        <w:rPr>
          <w:rFonts w:cs="Arial"/>
        </w:rPr>
        <w:t xml:space="preserve">Valencia </w:t>
      </w:r>
      <w:r>
        <w:rPr>
          <w:rFonts w:cs="Arial"/>
        </w:rPr>
        <w:t xml:space="preserve">le </w:t>
      </w:r>
      <w:r w:rsidRPr="00F327E9">
        <w:rPr>
          <w:rFonts w:cs="Arial"/>
        </w:rPr>
        <w:t>22</w:t>
      </w:r>
      <w:r>
        <w:rPr>
          <w:rFonts w:cs="Arial"/>
        </w:rPr>
        <w:t> octobre </w:t>
      </w:r>
      <w:r w:rsidRPr="00F327E9">
        <w:rPr>
          <w:rFonts w:cs="Arial"/>
        </w:rPr>
        <w:t xml:space="preserve">2014. </w:t>
      </w:r>
      <w:r>
        <w:rPr>
          <w:rFonts w:cs="Arial"/>
        </w:rPr>
        <w:t xml:space="preserve"> Au cours des semaines qui ont suivi, chacun des partenaires a envoyé un rapport officiel à l’OCVV concernant les essais effectués pour les espèces qui leur avaient été attribuées</w:t>
      </w:r>
      <w:r w:rsidRPr="00F327E9">
        <w:rPr>
          <w:rFonts w:cs="Arial"/>
        </w:rPr>
        <w:t>.</w:t>
      </w:r>
    </w:p>
    <w:p w:rsidR="00023109" w:rsidRDefault="00023109" w:rsidP="00023109">
      <w:pPr>
        <w:spacing w:after="240"/>
        <w:rPr>
          <w:rFonts w:cs="Arial"/>
        </w:rPr>
      </w:pPr>
      <w:r>
        <w:rPr>
          <w:rFonts w:cs="Arial"/>
        </w:rPr>
        <w:t xml:space="preserve">L’OCVV élabore actuellement un rapport final concernant le projet pour 2015, et, en collaboration avec les parties prenantes, </w:t>
      </w:r>
      <w:r w:rsidRPr="006E086F">
        <w:rPr>
          <w:rFonts w:cs="Arial"/>
        </w:rPr>
        <w:t>examinera</w:t>
      </w:r>
      <w:r>
        <w:rPr>
          <w:rFonts w:cs="Arial"/>
        </w:rPr>
        <w:t xml:space="preserve"> les implications des conclusions concernant ce projet</w:t>
      </w:r>
      <w:r w:rsidRPr="00F327E9">
        <w:rPr>
          <w:rFonts w:cs="Arial"/>
        </w:rPr>
        <w:t>.</w:t>
      </w:r>
    </w:p>
    <w:p w:rsidR="00023109" w:rsidRPr="00F327E9" w:rsidRDefault="00023109" w:rsidP="00023109">
      <w:pPr>
        <w:pStyle w:val="ListBullet"/>
        <w:numPr>
          <w:ilvl w:val="0"/>
          <w:numId w:val="0"/>
        </w:numPr>
        <w:tabs>
          <w:tab w:val="left" w:pos="567"/>
        </w:tabs>
        <w:rPr>
          <w:rFonts w:cs="Arial"/>
          <w:i/>
          <w:u w:val="single"/>
          <w:lang w:val="fr-FR"/>
        </w:rPr>
      </w:pPr>
      <w:r>
        <w:rPr>
          <w:rFonts w:cs="Arial"/>
          <w:i/>
          <w:u w:val="single"/>
          <w:lang w:val="fr-FR"/>
        </w:rPr>
        <w:t>1.3</w:t>
      </w:r>
      <w:r>
        <w:rPr>
          <w:rFonts w:cs="Arial"/>
          <w:i/>
          <w:u w:val="single"/>
          <w:lang w:val="fr-FR"/>
        </w:rPr>
        <w:tab/>
      </w:r>
      <w:r w:rsidRPr="006E086F">
        <w:rPr>
          <w:rFonts w:cs="Arial"/>
          <w:i/>
          <w:u w:val="single"/>
          <w:lang w:val="fr-FR"/>
        </w:rPr>
        <w:t>Suivi de projets finalisés</w:t>
      </w:r>
    </w:p>
    <w:p w:rsidR="00023109" w:rsidRPr="007F1F3F" w:rsidRDefault="00023109" w:rsidP="00023109">
      <w:pPr>
        <w:spacing w:after="240"/>
        <w:ind w:left="720"/>
        <w:rPr>
          <w:rFonts w:eastAsia="Calibri" w:cs="Arial"/>
          <w:i/>
        </w:rPr>
      </w:pPr>
      <w:r w:rsidRPr="007F1F3F">
        <w:rPr>
          <w:rFonts w:eastAsia="Calibri" w:cs="Arial"/>
          <w:i/>
        </w:rPr>
        <w:t>a.</w:t>
      </w:r>
      <w:r>
        <w:rPr>
          <w:rFonts w:eastAsia="Calibri" w:cs="Arial"/>
          <w:i/>
        </w:rPr>
        <w:tab/>
      </w:r>
      <w:r w:rsidRPr="007F1F3F">
        <w:rPr>
          <w:rFonts w:eastAsia="Calibri" w:cs="Arial"/>
          <w:i/>
        </w:rPr>
        <w:t>“Réduction du nombre de périodes d’observation obligatoires dans l’examen DHS pour les variétés candidates dans le secteur des plantes fruitières”</w:t>
      </w:r>
    </w:p>
    <w:p w:rsidR="00023109" w:rsidRPr="00F327E9" w:rsidRDefault="00023109" w:rsidP="00023109">
      <w:pPr>
        <w:spacing w:after="240"/>
        <w:rPr>
          <w:rFonts w:cs="Arial"/>
        </w:rPr>
      </w:pPr>
      <w:r>
        <w:rPr>
          <w:rFonts w:cs="Arial"/>
        </w:rPr>
        <w:t>L’OCVV a coordonné ce projet avec les partenaires de projet suivants :</w:t>
      </w:r>
      <w:r w:rsidRPr="00F327E9">
        <w:rPr>
          <w:rFonts w:cs="Arial"/>
        </w:rPr>
        <w:t xml:space="preserve"> </w:t>
      </w:r>
      <w:proofErr w:type="spellStart"/>
      <w:r w:rsidRPr="00F327E9">
        <w:rPr>
          <w:rFonts w:cs="Arial"/>
        </w:rPr>
        <w:t>Bundessortenamt</w:t>
      </w:r>
      <w:proofErr w:type="spellEnd"/>
      <w:r w:rsidRPr="00F327E9">
        <w:rPr>
          <w:rFonts w:cs="Arial"/>
        </w:rPr>
        <w:t xml:space="preserve"> (DE), COBORU (PL), </w:t>
      </w:r>
      <w:r>
        <w:rPr>
          <w:rFonts w:cs="Arial"/>
        </w:rPr>
        <w:t xml:space="preserve">la </w:t>
      </w:r>
      <w:r w:rsidRPr="00280505">
        <w:rPr>
          <w:rFonts w:cs="Arial"/>
        </w:rPr>
        <w:t xml:space="preserve">Communauté internationale des obtenteurs de plantes ornementales et fruitières à reproduction asexuée </w:t>
      </w:r>
      <w:r w:rsidRPr="00F327E9">
        <w:rPr>
          <w:rFonts w:cs="Arial"/>
        </w:rPr>
        <w:t>(</w:t>
      </w:r>
      <w:proofErr w:type="spellStart"/>
      <w:r w:rsidRPr="00F327E9">
        <w:rPr>
          <w:rFonts w:cs="Arial"/>
        </w:rPr>
        <w:t>Ciopora</w:t>
      </w:r>
      <w:proofErr w:type="spellEnd"/>
      <w:r w:rsidRPr="00F327E9">
        <w:rPr>
          <w:rFonts w:cs="Arial"/>
        </w:rPr>
        <w:t>), CRA</w:t>
      </w:r>
      <w:r>
        <w:rPr>
          <w:rFonts w:cs="Arial"/>
        </w:rPr>
        <w:noBreakHyphen/>
      </w:r>
      <w:r w:rsidRPr="00F327E9">
        <w:rPr>
          <w:rFonts w:cs="Arial"/>
        </w:rPr>
        <w:t xml:space="preserve">FRU (IT), OEVV (ES), GEVES (FR), </w:t>
      </w:r>
      <w:r>
        <w:rPr>
          <w:rFonts w:cs="Arial"/>
        </w:rPr>
        <w:t>l’</w:t>
      </w:r>
      <w:r w:rsidRPr="00280505">
        <w:rPr>
          <w:rFonts w:cs="Arial"/>
        </w:rPr>
        <w:t xml:space="preserve">Office national de sécurité de la chaîne alimentaire </w:t>
      </w:r>
      <w:r w:rsidRPr="00F327E9">
        <w:rPr>
          <w:rFonts w:cs="Arial"/>
        </w:rPr>
        <w:t xml:space="preserve">(HU), </w:t>
      </w:r>
      <w:r w:rsidRPr="00280505">
        <w:rPr>
          <w:rFonts w:cs="Arial"/>
        </w:rPr>
        <w:t>l</w:t>
      </w:r>
      <w:r>
        <w:rPr>
          <w:rFonts w:cs="Arial"/>
        </w:rPr>
        <w:t>’</w:t>
      </w:r>
      <w:r w:rsidRPr="00280505">
        <w:rPr>
          <w:rFonts w:cs="Arial"/>
        </w:rPr>
        <w:t>Institut central de supervision et d</w:t>
      </w:r>
      <w:r>
        <w:rPr>
          <w:rFonts w:cs="Arial"/>
        </w:rPr>
        <w:t>’</w:t>
      </w:r>
      <w:r w:rsidRPr="00280505">
        <w:rPr>
          <w:rFonts w:cs="Arial"/>
        </w:rPr>
        <w:t>essai dans l</w:t>
      </w:r>
      <w:r>
        <w:rPr>
          <w:rFonts w:cs="Arial"/>
        </w:rPr>
        <w:t>’</w:t>
      </w:r>
      <w:r w:rsidRPr="00280505">
        <w:rPr>
          <w:rFonts w:cs="Arial"/>
        </w:rPr>
        <w:t>agriculture</w:t>
      </w:r>
      <w:r>
        <w:rPr>
          <w:rFonts w:cs="Arial"/>
        </w:rPr>
        <w:t xml:space="preserve"> – o</w:t>
      </w:r>
      <w:r w:rsidRPr="00280505">
        <w:rPr>
          <w:rFonts w:cs="Arial"/>
        </w:rPr>
        <w:t xml:space="preserve">ffice national des obtentions végétales </w:t>
      </w:r>
      <w:r w:rsidRPr="00F327E9">
        <w:rPr>
          <w:rFonts w:cs="Arial"/>
        </w:rPr>
        <w:t xml:space="preserve">(NPVO) (CZ) </w:t>
      </w:r>
      <w:r>
        <w:rPr>
          <w:rFonts w:cs="Arial"/>
        </w:rPr>
        <w:t xml:space="preserve">et </w:t>
      </w:r>
      <w:proofErr w:type="spellStart"/>
      <w:r w:rsidRPr="00F327E9">
        <w:rPr>
          <w:rFonts w:cs="Arial"/>
        </w:rPr>
        <w:t>Plantum</w:t>
      </w:r>
      <w:proofErr w:type="spellEnd"/>
      <w:r w:rsidRPr="00F327E9">
        <w:rPr>
          <w:rFonts w:cs="Arial"/>
        </w:rPr>
        <w:t xml:space="preserve"> (NL). </w:t>
      </w:r>
      <w:r>
        <w:rPr>
          <w:rFonts w:cs="Arial"/>
        </w:rPr>
        <w:t xml:space="preserve"> Ce projet a été lancé au début de </w:t>
      </w:r>
      <w:r w:rsidRPr="00F327E9">
        <w:rPr>
          <w:rFonts w:cs="Arial"/>
        </w:rPr>
        <w:t xml:space="preserve">2013 </w:t>
      </w:r>
      <w:r>
        <w:rPr>
          <w:rFonts w:cs="Arial"/>
        </w:rPr>
        <w:t>et finalisé à la fin de </w:t>
      </w:r>
      <w:r w:rsidRPr="00F327E9">
        <w:rPr>
          <w:rFonts w:cs="Arial"/>
        </w:rPr>
        <w:t xml:space="preserve">2013. </w:t>
      </w:r>
      <w:r>
        <w:rPr>
          <w:rFonts w:cs="Arial"/>
        </w:rPr>
        <w:t xml:space="preserve"> </w:t>
      </w:r>
      <w:r w:rsidRPr="00C05FDE">
        <w:rPr>
          <w:rFonts w:cs="Arial"/>
        </w:rPr>
        <w:t>Les coûts de l</w:t>
      </w:r>
      <w:r>
        <w:rPr>
          <w:rFonts w:cs="Arial"/>
        </w:rPr>
        <w:t>’</w:t>
      </w:r>
      <w:r w:rsidRPr="00C05FDE">
        <w:rPr>
          <w:rFonts w:cs="Arial"/>
        </w:rPr>
        <w:t>examen</w:t>
      </w:r>
      <w:r>
        <w:rPr>
          <w:rFonts w:cs="Arial"/>
        </w:rPr>
        <w:t> </w:t>
      </w:r>
      <w:r w:rsidRPr="00C05FDE">
        <w:rPr>
          <w:rFonts w:cs="Arial"/>
        </w:rPr>
        <w:t>DHS des variétés candidates de plantes fruitières sont relativement élevés par rapport aux variétés dans d</w:t>
      </w:r>
      <w:r>
        <w:rPr>
          <w:rFonts w:cs="Arial"/>
        </w:rPr>
        <w:t>’</w:t>
      </w:r>
      <w:r w:rsidRPr="00C05FDE">
        <w:rPr>
          <w:rFonts w:cs="Arial"/>
        </w:rPr>
        <w:t>autres secteurs agricoles</w:t>
      </w:r>
      <w:r w:rsidRPr="00F327E9">
        <w:rPr>
          <w:rFonts w:cs="Arial"/>
        </w:rPr>
        <w:t xml:space="preserve">. </w:t>
      </w:r>
      <w:r>
        <w:rPr>
          <w:rFonts w:cs="Arial"/>
        </w:rPr>
        <w:t xml:space="preserve"> L’objectif du projet était i) </w:t>
      </w:r>
      <w:r w:rsidRPr="00C05FDE">
        <w:rPr>
          <w:rFonts w:cs="Arial"/>
        </w:rPr>
        <w:t>de déterminer s</w:t>
      </w:r>
      <w:r>
        <w:rPr>
          <w:rFonts w:cs="Arial"/>
        </w:rPr>
        <w:t>’</w:t>
      </w:r>
      <w:r w:rsidRPr="00C05FDE">
        <w:rPr>
          <w:rFonts w:cs="Arial"/>
        </w:rPr>
        <w:t>il y a effectivement une justification technique de deux</w:t>
      </w:r>
      <w:r>
        <w:rPr>
          <w:rFonts w:cs="Arial"/>
        </w:rPr>
        <w:t> </w:t>
      </w:r>
      <w:r w:rsidRPr="00C05FDE">
        <w:rPr>
          <w:rFonts w:cs="Arial"/>
        </w:rPr>
        <w:t>récoltes satisfaisantes de fruits pour aboutir à une conclusion sur l</w:t>
      </w:r>
      <w:r>
        <w:rPr>
          <w:rFonts w:cs="Arial"/>
        </w:rPr>
        <w:t>’</w:t>
      </w:r>
      <w:r w:rsidRPr="00C05FDE">
        <w:rPr>
          <w:rFonts w:cs="Arial"/>
        </w:rPr>
        <w:t>examen</w:t>
      </w:r>
      <w:r>
        <w:rPr>
          <w:rFonts w:cs="Arial"/>
        </w:rPr>
        <w:t> </w:t>
      </w:r>
      <w:r w:rsidRPr="00C05FDE">
        <w:rPr>
          <w:rFonts w:cs="Arial"/>
        </w:rPr>
        <w:t>DHS et ii)</w:t>
      </w:r>
      <w:r>
        <w:rPr>
          <w:rFonts w:cs="Arial"/>
        </w:rPr>
        <w:t> </w:t>
      </w:r>
      <w:r w:rsidRPr="00C05FDE">
        <w:rPr>
          <w:rFonts w:cs="Arial"/>
        </w:rPr>
        <w:t>de faire une description variétale fiable</w:t>
      </w:r>
      <w:r>
        <w:rPr>
          <w:rFonts w:cs="Arial"/>
        </w:rPr>
        <w:t xml:space="preserve">.  </w:t>
      </w:r>
      <w:r w:rsidRPr="001B601B">
        <w:rPr>
          <w:rFonts w:cs="Arial"/>
        </w:rPr>
        <w:t>Cinq</w:t>
      </w:r>
      <w:r>
        <w:rPr>
          <w:rFonts w:cs="Arial"/>
        </w:rPr>
        <w:t> </w:t>
      </w:r>
      <w:r w:rsidRPr="001B601B">
        <w:rPr>
          <w:rFonts w:cs="Arial"/>
        </w:rPr>
        <w:t xml:space="preserve">espèces ont été examinées, </w:t>
      </w:r>
      <w:r>
        <w:rPr>
          <w:rFonts w:cs="Arial"/>
        </w:rPr>
        <w:t>à savoir</w:t>
      </w:r>
      <w:r w:rsidRPr="001B601B">
        <w:rPr>
          <w:rFonts w:cs="Arial"/>
        </w:rPr>
        <w:t xml:space="preserve"> la pêche, la fraise, la pomme, la framboise et la vigne</w:t>
      </w:r>
      <w:r>
        <w:rPr>
          <w:rFonts w:cs="Arial"/>
        </w:rPr>
        <w:t xml:space="preserve">.  </w:t>
      </w:r>
      <w:r w:rsidRPr="001B601B">
        <w:rPr>
          <w:rFonts w:cs="Arial"/>
        </w:rPr>
        <w:t>Les variétés pour lesquelles le protocole technique de l</w:t>
      </w:r>
      <w:r>
        <w:rPr>
          <w:rFonts w:cs="Arial"/>
        </w:rPr>
        <w:t>’</w:t>
      </w:r>
      <w:r w:rsidRPr="001B601B">
        <w:rPr>
          <w:rFonts w:cs="Arial"/>
        </w:rPr>
        <w:t>OCVV a été appliqué et qui ont été enregistrées (listes nationales, droits d</w:t>
      </w:r>
      <w:r>
        <w:rPr>
          <w:rFonts w:cs="Arial"/>
        </w:rPr>
        <w:t>’</w:t>
      </w:r>
      <w:r w:rsidRPr="001B601B">
        <w:rPr>
          <w:rFonts w:cs="Arial"/>
        </w:rPr>
        <w:t>obtenteur nationaux et droits d</w:t>
      </w:r>
      <w:r>
        <w:rPr>
          <w:rFonts w:cs="Arial"/>
        </w:rPr>
        <w:t>’</w:t>
      </w:r>
      <w:r w:rsidRPr="001B601B">
        <w:rPr>
          <w:rFonts w:cs="Arial"/>
        </w:rPr>
        <w:t>obtenteur communautaires) au cours des cinq</w:t>
      </w:r>
      <w:r>
        <w:rPr>
          <w:rFonts w:cs="Arial"/>
        </w:rPr>
        <w:t> </w:t>
      </w:r>
      <w:r w:rsidRPr="001B601B">
        <w:rPr>
          <w:rFonts w:cs="Arial"/>
        </w:rPr>
        <w:t>dernières années ont été prises en compte</w:t>
      </w:r>
      <w:r w:rsidRPr="00F327E9">
        <w:rPr>
          <w:rFonts w:cs="Arial"/>
        </w:rPr>
        <w:t>.</w:t>
      </w:r>
    </w:p>
    <w:p w:rsidR="00023109" w:rsidRPr="00F327E9" w:rsidRDefault="00023109" w:rsidP="00023109">
      <w:pPr>
        <w:autoSpaceDE w:val="0"/>
        <w:autoSpaceDN w:val="0"/>
        <w:adjustRightInd w:val="0"/>
        <w:spacing w:after="240"/>
        <w:rPr>
          <w:rFonts w:cs="Arial"/>
        </w:rPr>
      </w:pPr>
      <w:r>
        <w:rPr>
          <w:rFonts w:cs="Arial"/>
        </w:rPr>
        <w:t>Les résultats indiquent que dans la grande majorité des cas, la deuxième année d’observation confirme les résultats de la première année pour ce qui est de l’examen DHS dans un contexte où les descriptions variétales se font sur la base de deux années d’observations.  Toutefois, au cas où l’examen DHS serait limité à la première période de fructification, d’autres conséquences doivent être prises en considération.  Premièrement, lors de la première récolte satisfaisante, les arbres sont encore jeunes et ils n’expriment pas certains des caractères dans le cadre du protocole actuel de la même façon que lors de la deuxième année d’observation.  Deuxièmement, le changement en faveur d’un système dans lequel les observations seraient limitées à la première période de fructification aurait des conséquences pour la comparaison avec les descriptions variétales basées sur des observations faites au cours de la deuxième année d’essai qui sont conservées dans des bases de données.  Une comparaison entre des variétés décrites à partir de matériels végétaux d’âges différents est moins fiable et aurait vraisemblablement des conséquences au moment du choix des variétés à inclure dans l’essai en culture en vue d’une comparaison deux à deux.</w:t>
      </w:r>
    </w:p>
    <w:p w:rsidR="00023109" w:rsidRDefault="00023109" w:rsidP="00023109">
      <w:pPr>
        <w:spacing w:after="240"/>
        <w:rPr>
          <w:rFonts w:cs="Arial"/>
        </w:rPr>
      </w:pPr>
      <w:r>
        <w:rPr>
          <w:rFonts w:cs="Arial"/>
        </w:rPr>
        <w:t>Afin d’assurer le suivi, les centres d’examen sont invités à envoyer des rapports après une année d’essai dans les cas où il n’existe pas de doute concernant la distinction.</w:t>
      </w:r>
      <w:r w:rsidRPr="00F327E9">
        <w:rPr>
          <w:rFonts w:cs="Arial"/>
        </w:rPr>
        <w:t xml:space="preserve"> </w:t>
      </w:r>
      <w:r>
        <w:rPr>
          <w:rFonts w:cs="Arial"/>
        </w:rPr>
        <w:t xml:space="preserve"> L’OCVV a examiné une proposition à l’intention de l’</w:t>
      </w:r>
      <w:r w:rsidRPr="00F327E9">
        <w:rPr>
          <w:rFonts w:cs="Arial"/>
        </w:rPr>
        <w:t xml:space="preserve">UPOV </w:t>
      </w:r>
      <w:r>
        <w:rPr>
          <w:rFonts w:cs="Arial"/>
        </w:rPr>
        <w:t>en vue de modifier le texte standard concernant la durée des essais afin d’envisager la possibilité de conclure après une année d’observation.  Cette proposition a été examinée lors de la session du </w:t>
      </w:r>
      <w:r w:rsidRPr="00F327E9">
        <w:rPr>
          <w:rFonts w:cs="Arial"/>
        </w:rPr>
        <w:t>TWF</w:t>
      </w:r>
      <w:r>
        <w:rPr>
          <w:rFonts w:cs="Arial"/>
        </w:rPr>
        <w:t xml:space="preserve"> en 2015</w:t>
      </w:r>
      <w:r w:rsidRPr="00F327E9">
        <w:rPr>
          <w:rFonts w:cs="Arial"/>
        </w:rPr>
        <w:t>.</w:t>
      </w:r>
    </w:p>
    <w:p w:rsidR="00023109" w:rsidRPr="00F327E9" w:rsidRDefault="00023109" w:rsidP="00023109">
      <w:pPr>
        <w:spacing w:after="240"/>
        <w:ind w:left="720"/>
        <w:rPr>
          <w:rFonts w:cs="Arial"/>
          <w:i/>
        </w:rPr>
      </w:pPr>
      <w:r w:rsidRPr="00F327E9">
        <w:rPr>
          <w:rFonts w:cs="Arial"/>
          <w:i/>
        </w:rPr>
        <w:t>b.</w:t>
      </w:r>
      <w:r>
        <w:rPr>
          <w:rFonts w:cs="Arial"/>
          <w:i/>
        </w:rPr>
        <w:tab/>
      </w:r>
      <w:r w:rsidRPr="00F327E9">
        <w:rPr>
          <w:rFonts w:eastAsia="Calibri" w:cs="Arial"/>
          <w:i/>
        </w:rPr>
        <w:t>“</w:t>
      </w:r>
      <w:r w:rsidRPr="008F37E5">
        <w:rPr>
          <w:rFonts w:cs="Arial"/>
          <w:i/>
        </w:rPr>
        <w:t>Modification du système de culture et des critères régissant le matériel végétal pour l</w:t>
      </w:r>
      <w:r>
        <w:rPr>
          <w:rFonts w:cs="Arial"/>
          <w:i/>
        </w:rPr>
        <w:t>’</w:t>
      </w:r>
      <w:proofErr w:type="spellStart"/>
      <w:r w:rsidRPr="008F37E5">
        <w:rPr>
          <w:rFonts w:cs="Arial"/>
          <w:i/>
        </w:rPr>
        <w:t>Héllébore</w:t>
      </w:r>
      <w:proofErr w:type="spellEnd"/>
      <w:r w:rsidRPr="00F327E9">
        <w:rPr>
          <w:rFonts w:cs="Arial"/>
          <w:i/>
        </w:rPr>
        <w:t>”</w:t>
      </w:r>
    </w:p>
    <w:p w:rsidR="00023109" w:rsidRPr="00F327E9" w:rsidRDefault="00023109" w:rsidP="00023109">
      <w:pPr>
        <w:autoSpaceDE w:val="0"/>
        <w:autoSpaceDN w:val="0"/>
        <w:adjustRightInd w:val="0"/>
        <w:spacing w:after="240"/>
        <w:rPr>
          <w:rFonts w:cs="Arial"/>
        </w:rPr>
      </w:pPr>
      <w:r>
        <w:rPr>
          <w:rFonts w:cs="Arial"/>
        </w:rPr>
        <w:t xml:space="preserve">Ce projet a été lancé par l’OCVV en partenariat avec </w:t>
      </w:r>
      <w:proofErr w:type="spellStart"/>
      <w:r w:rsidRPr="00F327E9">
        <w:rPr>
          <w:rFonts w:cs="Arial"/>
        </w:rPr>
        <w:t>Naktuinbouw</w:t>
      </w:r>
      <w:proofErr w:type="spellEnd"/>
      <w:r>
        <w:rPr>
          <w:rFonts w:cs="Arial"/>
        </w:rPr>
        <w:t>.  Le lancement a eu lieu en mars </w:t>
      </w:r>
      <w:r w:rsidRPr="00F327E9">
        <w:rPr>
          <w:rFonts w:cs="Arial"/>
        </w:rPr>
        <w:t xml:space="preserve">2013 </w:t>
      </w:r>
      <w:r>
        <w:rPr>
          <w:rFonts w:cs="Arial"/>
        </w:rPr>
        <w:t>et le rapport final a été rédigé à la fin de </w:t>
      </w:r>
      <w:r w:rsidRPr="00F327E9">
        <w:rPr>
          <w:rFonts w:cs="Arial"/>
        </w:rPr>
        <w:t>2014.</w:t>
      </w:r>
    </w:p>
    <w:p w:rsidR="00023109" w:rsidRPr="00F327E9" w:rsidRDefault="00023109" w:rsidP="00023109">
      <w:pPr>
        <w:autoSpaceDE w:val="0"/>
        <w:autoSpaceDN w:val="0"/>
        <w:adjustRightInd w:val="0"/>
        <w:spacing w:after="240"/>
        <w:rPr>
          <w:rFonts w:cs="Arial"/>
        </w:rPr>
      </w:pPr>
      <w:r>
        <w:rPr>
          <w:rFonts w:cs="Arial"/>
        </w:rPr>
        <w:t xml:space="preserve">L’examen DHS pour les variétés de </w:t>
      </w:r>
      <w:proofErr w:type="spellStart"/>
      <w:r w:rsidRPr="00F327E9">
        <w:rPr>
          <w:rFonts w:cs="Arial"/>
          <w:i/>
        </w:rPr>
        <w:t>Helleborus</w:t>
      </w:r>
      <w:proofErr w:type="spellEnd"/>
      <w:r w:rsidRPr="00F327E9">
        <w:rPr>
          <w:rFonts w:cs="Arial"/>
        </w:rPr>
        <w:t xml:space="preserve"> </w:t>
      </w:r>
      <w:r>
        <w:rPr>
          <w:rFonts w:cs="Arial"/>
        </w:rPr>
        <w:t>dans le cadre des demandes de pr</w:t>
      </w:r>
      <w:r w:rsidRPr="00467070">
        <w:rPr>
          <w:rFonts w:cs="Arial"/>
        </w:rPr>
        <w:t xml:space="preserve">otection communautaire des obtentions végétales </w:t>
      </w:r>
      <w:r>
        <w:rPr>
          <w:rFonts w:cs="Arial"/>
        </w:rPr>
        <w:t xml:space="preserve">est centralisé à </w:t>
      </w:r>
      <w:proofErr w:type="spellStart"/>
      <w:r w:rsidRPr="00F327E9">
        <w:rPr>
          <w:rFonts w:cs="Arial"/>
        </w:rPr>
        <w:t>Naktuinbouw</w:t>
      </w:r>
      <w:proofErr w:type="spellEnd"/>
      <w:r w:rsidRPr="00F327E9">
        <w:rPr>
          <w:rFonts w:cs="Arial"/>
        </w:rPr>
        <w:t xml:space="preserve">, </w:t>
      </w:r>
      <w:r w:rsidRPr="00467070">
        <w:rPr>
          <w:rFonts w:cs="Arial"/>
        </w:rPr>
        <w:t xml:space="preserve">où les plantes </w:t>
      </w:r>
      <w:r>
        <w:rPr>
          <w:rFonts w:cs="Arial"/>
        </w:rPr>
        <w:t xml:space="preserve">étaient en partie </w:t>
      </w:r>
      <w:r w:rsidRPr="00467070">
        <w:rPr>
          <w:rFonts w:cs="Arial"/>
        </w:rPr>
        <w:t>cultivées à l</w:t>
      </w:r>
      <w:r>
        <w:rPr>
          <w:rFonts w:cs="Arial"/>
        </w:rPr>
        <w:t>’</w:t>
      </w:r>
      <w:r w:rsidRPr="00467070">
        <w:rPr>
          <w:rFonts w:cs="Arial"/>
        </w:rPr>
        <w:t>extérieur en pleine terre</w:t>
      </w:r>
      <w:r>
        <w:rPr>
          <w:rFonts w:cs="Arial"/>
        </w:rPr>
        <w:t xml:space="preserve">.  </w:t>
      </w:r>
      <w:r w:rsidRPr="00467070">
        <w:rPr>
          <w:rFonts w:cs="Arial"/>
        </w:rPr>
        <w:t>Ce système de culture ne sembl</w:t>
      </w:r>
      <w:r>
        <w:rPr>
          <w:rFonts w:cs="Arial"/>
        </w:rPr>
        <w:t xml:space="preserve">ait </w:t>
      </w:r>
      <w:r w:rsidRPr="00467070">
        <w:rPr>
          <w:rFonts w:cs="Arial"/>
        </w:rPr>
        <w:t xml:space="preserve">pas </w:t>
      </w:r>
      <w:r>
        <w:rPr>
          <w:rFonts w:cs="Arial"/>
        </w:rPr>
        <w:t>optimal,</w:t>
      </w:r>
      <w:r w:rsidRPr="00467070">
        <w:rPr>
          <w:rFonts w:cs="Arial"/>
        </w:rPr>
        <w:t xml:space="preserve"> </w:t>
      </w:r>
      <w:r>
        <w:rPr>
          <w:rFonts w:cs="Arial"/>
        </w:rPr>
        <w:t>car</w:t>
      </w:r>
      <w:r w:rsidRPr="00F327E9">
        <w:rPr>
          <w:rFonts w:cs="Arial"/>
        </w:rPr>
        <w:t xml:space="preserve"> </w:t>
      </w:r>
      <w:r>
        <w:rPr>
          <w:rFonts w:cs="Arial"/>
        </w:rPr>
        <w:t>par le passé, le drainage insuffisant des sols avait provoqué certains dommages, et les hivers rigoureux ainsi que les mauvaises conditions climatiques pouvaient endommager les variétés candidates et les collections de référence.  En outre</w:t>
      </w:r>
      <w:r w:rsidRPr="00F327E9">
        <w:rPr>
          <w:rFonts w:cs="Arial"/>
        </w:rPr>
        <w:t xml:space="preserve">, </w:t>
      </w:r>
      <w:r>
        <w:rPr>
          <w:rFonts w:cs="Arial"/>
        </w:rPr>
        <w:t>le mode de production commercial standard semblerait mieux se prêter à la culture en pot qu’à celle en pleine terre.  L’objectif de ce projet était d’examiner le caractère approprié d’une solution de remplacement du système de culture actuel, à savoir une culture en pot avec une livraison en avril, en se fondant sur des essais portant sur 12 variétés de référence</w:t>
      </w:r>
      <w:r w:rsidRPr="00F327E9">
        <w:rPr>
          <w:rFonts w:cs="Arial"/>
        </w:rPr>
        <w:t>.</w:t>
      </w:r>
    </w:p>
    <w:p w:rsidR="00023109" w:rsidRPr="00F327E9" w:rsidRDefault="00023109" w:rsidP="00023109">
      <w:pPr>
        <w:autoSpaceDE w:val="0"/>
        <w:autoSpaceDN w:val="0"/>
        <w:adjustRightInd w:val="0"/>
        <w:spacing w:after="240"/>
        <w:rPr>
          <w:rFonts w:cs="Arial"/>
        </w:rPr>
      </w:pPr>
      <w:r>
        <w:rPr>
          <w:rFonts w:cs="Arial"/>
        </w:rPr>
        <w:t>Les résultats du projet pilote ont montré que </w:t>
      </w:r>
      <w:r w:rsidRPr="00F327E9">
        <w:rPr>
          <w:rFonts w:cs="Arial"/>
        </w:rPr>
        <w:t>:</w:t>
      </w:r>
    </w:p>
    <w:p w:rsidR="00023109" w:rsidRDefault="00023109" w:rsidP="00BD634F">
      <w:pPr>
        <w:pStyle w:val="NoSpacing"/>
        <w:numPr>
          <w:ilvl w:val="0"/>
          <w:numId w:val="4"/>
        </w:numPr>
        <w:spacing w:after="120"/>
        <w:ind w:left="714" w:hanging="357"/>
        <w:rPr>
          <w:rFonts w:ascii="Arial" w:eastAsia="Times New Roman" w:hAnsi="Arial" w:cs="Arial"/>
          <w:sz w:val="20"/>
          <w:szCs w:val="20"/>
          <w:lang w:val="fr-FR"/>
        </w:rPr>
      </w:pPr>
      <w:r>
        <w:rPr>
          <w:rFonts w:ascii="Arial" w:eastAsia="Times New Roman" w:hAnsi="Arial" w:cs="Arial"/>
          <w:sz w:val="20"/>
          <w:szCs w:val="20"/>
          <w:lang w:val="fr-FR"/>
        </w:rPr>
        <w:t>les plantes cultivées en pot étaient plus homogènes;</w:t>
      </w:r>
    </w:p>
    <w:p w:rsidR="00023109" w:rsidRDefault="00023109" w:rsidP="00BD634F">
      <w:pPr>
        <w:pStyle w:val="NoSpacing"/>
        <w:numPr>
          <w:ilvl w:val="0"/>
          <w:numId w:val="4"/>
        </w:numPr>
        <w:spacing w:after="240"/>
        <w:rPr>
          <w:rFonts w:ascii="Arial" w:eastAsia="Times New Roman" w:hAnsi="Arial" w:cs="Arial"/>
          <w:sz w:val="20"/>
          <w:szCs w:val="20"/>
          <w:lang w:val="fr-FR"/>
        </w:rPr>
      </w:pPr>
      <w:r>
        <w:rPr>
          <w:rFonts w:ascii="Arial" w:eastAsia="Times New Roman" w:hAnsi="Arial" w:cs="Arial"/>
          <w:sz w:val="20"/>
          <w:szCs w:val="20"/>
          <w:lang w:val="fr-FR"/>
        </w:rPr>
        <w:t>le changement de système n’avait eu qu’un effet limité sur l’expression des caractères</w:t>
      </w:r>
      <w:r w:rsidRPr="00F327E9">
        <w:rPr>
          <w:rFonts w:ascii="Arial" w:eastAsia="Times New Roman" w:hAnsi="Arial" w:cs="Arial"/>
          <w:sz w:val="20"/>
          <w:szCs w:val="20"/>
          <w:lang w:val="fr-FR"/>
        </w:rPr>
        <w:t>.</w:t>
      </w:r>
    </w:p>
    <w:p w:rsidR="00023109" w:rsidRDefault="00023109" w:rsidP="00023109">
      <w:pPr>
        <w:autoSpaceDE w:val="0"/>
        <w:autoSpaceDN w:val="0"/>
        <w:adjustRightInd w:val="0"/>
        <w:spacing w:after="240"/>
        <w:rPr>
          <w:rFonts w:cs="Arial"/>
        </w:rPr>
      </w:pPr>
      <w:r>
        <w:rPr>
          <w:rFonts w:cs="Arial"/>
        </w:rPr>
        <w:t>Sur cette base</w:t>
      </w:r>
      <w:r w:rsidRPr="00F327E9">
        <w:rPr>
          <w:rFonts w:cs="Arial"/>
        </w:rPr>
        <w:t xml:space="preserve">, </w:t>
      </w:r>
      <w:r>
        <w:rPr>
          <w:rFonts w:cs="Arial"/>
        </w:rPr>
        <w:t>le service d’examen a proposé de modifier les conditions d’examen et le système de culture en faveur d’une culture en pot qui débuterait en plein air en avril et serait transférée dans une serre froide à la fin novembre.  Ce nouveau système a été mis en œuvre pour toutes les variétés candidates dont la première année d’examen DHS commence à partir d’avril </w:t>
      </w:r>
      <w:r w:rsidRPr="00F327E9">
        <w:rPr>
          <w:rFonts w:cs="Arial"/>
        </w:rPr>
        <w:t>2015.</w:t>
      </w:r>
    </w:p>
    <w:p w:rsidR="00023109" w:rsidRPr="00F327E9" w:rsidRDefault="00023109" w:rsidP="00023109">
      <w:pPr>
        <w:spacing w:after="240"/>
        <w:ind w:left="720"/>
        <w:rPr>
          <w:rFonts w:cs="Arial"/>
          <w:i/>
        </w:rPr>
      </w:pPr>
      <w:r w:rsidRPr="00F327E9">
        <w:rPr>
          <w:rFonts w:cs="Arial"/>
          <w:i/>
        </w:rPr>
        <w:t>c.</w:t>
      </w:r>
      <w:r>
        <w:rPr>
          <w:rFonts w:cs="Arial"/>
          <w:i/>
        </w:rPr>
        <w:tab/>
        <w:t>Projet sur le rosier : prélèvement, analyses et stockage des échantillons d’ADN</w:t>
      </w:r>
    </w:p>
    <w:p w:rsidR="00023109" w:rsidRPr="00F327E9" w:rsidRDefault="00023109" w:rsidP="00023109">
      <w:pPr>
        <w:spacing w:after="240"/>
        <w:rPr>
          <w:rFonts w:cs="Arial"/>
        </w:rPr>
      </w:pPr>
      <w:r>
        <w:rPr>
          <w:rFonts w:cs="Arial"/>
        </w:rPr>
        <w:t xml:space="preserve">En juin 2011, l’OCVV a proposé au Conseil d’administration de donner suite à un projet pilote concernant le prélèvement et le stockage de l’ADN du rosier.  </w:t>
      </w:r>
      <w:r w:rsidRPr="00F327E9">
        <w:rPr>
          <w:rFonts w:cs="Arial"/>
        </w:rPr>
        <w:t>I</w:t>
      </w:r>
      <w:r>
        <w:rPr>
          <w:rFonts w:cs="Arial"/>
        </w:rPr>
        <w:t xml:space="preserve">l a été décidé de conserver un échantillon d’ADN du matériel végétal initial remis pour chaque examen technique, de manière </w:t>
      </w:r>
      <w:r w:rsidRPr="006826E2">
        <w:rPr>
          <w:rFonts w:cs="Arial"/>
        </w:rPr>
        <w:t>obligatoire</w:t>
      </w:r>
      <w:r w:rsidRPr="00F327E9">
        <w:rPr>
          <w:rFonts w:cs="Arial"/>
        </w:rPr>
        <w:t xml:space="preserve">. </w:t>
      </w:r>
      <w:r>
        <w:rPr>
          <w:rFonts w:cs="Arial"/>
        </w:rPr>
        <w:t xml:space="preserve"> L’une des utilisations possibles de ces échantillons d’ADN pourrait être, en cas de doutes, de vérifier, autant que les techniques applicables le permettent, l’identité du matériel demandé afin d’être cultivé comme référence lors d’examens DHS, en comparant l’</w:t>
      </w:r>
      <w:r w:rsidRPr="00BA4DB0">
        <w:rPr>
          <w:rFonts w:cs="Arial"/>
        </w:rPr>
        <w:t>empreinte d</w:t>
      </w:r>
      <w:r>
        <w:rPr>
          <w:rFonts w:cs="Arial"/>
        </w:rPr>
        <w:t>e l’</w:t>
      </w:r>
      <w:r w:rsidRPr="00BA4DB0">
        <w:rPr>
          <w:rFonts w:cs="Arial"/>
        </w:rPr>
        <w:t xml:space="preserve">ADN </w:t>
      </w:r>
      <w:r>
        <w:rPr>
          <w:rFonts w:cs="Arial"/>
        </w:rPr>
        <w:t>du matériel reçu en tant que variété de référence avec l’empreinte de l’ADN conservée pour cette même variété.  Les échantillons pourraient également être utilisés dans le cadre de l’application des droits à la demande de l’obtenteur.  Dans un autre contexte à l’avenir, les échantillons pourraient être utilisés pour la gestion de la collection de référence</w:t>
      </w:r>
      <w:r w:rsidRPr="00F327E9">
        <w:rPr>
          <w:rFonts w:cs="Arial"/>
        </w:rPr>
        <w:t>.</w:t>
      </w:r>
    </w:p>
    <w:p w:rsidR="00023109" w:rsidRPr="00F327E9" w:rsidRDefault="00023109" w:rsidP="00023109">
      <w:pPr>
        <w:spacing w:after="240"/>
        <w:rPr>
          <w:rFonts w:cs="Arial"/>
        </w:rPr>
      </w:pPr>
      <w:r>
        <w:rPr>
          <w:rFonts w:cs="Arial"/>
        </w:rPr>
        <w:t>Une procédure établissant les modalités du prélèvement d’ADN dans le cadre de l’examen technique a été définie, à partir de laquelle un appel d’offres a été lancé afin de sélectionner un laboratoire.  E</w:t>
      </w:r>
      <w:r w:rsidRPr="00F327E9">
        <w:rPr>
          <w:rFonts w:cs="Arial"/>
        </w:rPr>
        <w:t>n</w:t>
      </w:r>
      <w:r>
        <w:rPr>
          <w:rFonts w:cs="Arial"/>
        </w:rPr>
        <w:t> </w:t>
      </w:r>
      <w:r w:rsidRPr="00F327E9">
        <w:rPr>
          <w:rFonts w:cs="Arial"/>
        </w:rPr>
        <w:t xml:space="preserve">2011, </w:t>
      </w:r>
      <w:proofErr w:type="spellStart"/>
      <w:r w:rsidRPr="00F327E9">
        <w:rPr>
          <w:rFonts w:cs="Arial"/>
        </w:rPr>
        <w:t>Naktuinbouw</w:t>
      </w:r>
      <w:proofErr w:type="spellEnd"/>
      <w:r w:rsidRPr="00F327E9">
        <w:rPr>
          <w:rFonts w:cs="Arial"/>
        </w:rPr>
        <w:t xml:space="preserve"> </w:t>
      </w:r>
      <w:r>
        <w:rPr>
          <w:rFonts w:cs="Arial"/>
        </w:rPr>
        <w:t xml:space="preserve">a été habilité pour une période de quatre ans se terminant en février.  Les prélèvements ont débuté au cours de l’examen DHS </w:t>
      </w:r>
      <w:r w:rsidRPr="00F327E9">
        <w:rPr>
          <w:rFonts w:cs="Arial"/>
        </w:rPr>
        <w:t>2011.</w:t>
      </w:r>
    </w:p>
    <w:p w:rsidR="00023109" w:rsidRDefault="00023109" w:rsidP="00023109">
      <w:pPr>
        <w:spacing w:after="240"/>
        <w:rPr>
          <w:rFonts w:cs="Arial"/>
        </w:rPr>
      </w:pPr>
      <w:r>
        <w:rPr>
          <w:rFonts w:cs="Arial"/>
        </w:rPr>
        <w:t xml:space="preserve">Un échantillon d’ADN provenant du matériel végétal initial remis pour chaque examen technique du rosier a été conservé à titre obligatoire au cours des quatre années qui ont suivi l’adoption de la procédure.  Les feuilles ont été conservées par les différents centres d’examen habilités </w:t>
      </w:r>
      <w:r w:rsidRPr="00F327E9">
        <w:rPr>
          <w:rFonts w:cs="Arial"/>
        </w:rPr>
        <w:t>(</w:t>
      </w:r>
      <w:proofErr w:type="spellStart"/>
      <w:r w:rsidRPr="00F327E9">
        <w:rPr>
          <w:rFonts w:cs="Arial"/>
        </w:rPr>
        <w:t>Bundessortenamt</w:t>
      </w:r>
      <w:proofErr w:type="spellEnd"/>
      <w:r w:rsidRPr="00F327E9">
        <w:rPr>
          <w:rFonts w:cs="Arial"/>
        </w:rPr>
        <w:t xml:space="preserve">, </w:t>
      </w:r>
      <w:proofErr w:type="spellStart"/>
      <w:r w:rsidRPr="00F327E9">
        <w:rPr>
          <w:rFonts w:cs="Arial"/>
        </w:rPr>
        <w:t>Naktuinbouw</w:t>
      </w:r>
      <w:proofErr w:type="spellEnd"/>
      <w:r w:rsidRPr="00F327E9">
        <w:rPr>
          <w:rFonts w:cs="Arial"/>
        </w:rPr>
        <w:t xml:space="preserve"> </w:t>
      </w:r>
      <w:r>
        <w:rPr>
          <w:rFonts w:cs="Arial"/>
        </w:rPr>
        <w:t>et</w:t>
      </w:r>
      <w:r w:rsidRPr="00F327E9">
        <w:rPr>
          <w:rFonts w:cs="Arial"/>
        </w:rPr>
        <w:t xml:space="preserve"> NIAB) </w:t>
      </w:r>
      <w:r>
        <w:rPr>
          <w:rFonts w:cs="Arial"/>
        </w:rPr>
        <w:t>et envoyées au laboratoire habilité</w:t>
      </w:r>
      <w:r w:rsidRPr="00F327E9">
        <w:rPr>
          <w:rFonts w:cs="Arial"/>
        </w:rPr>
        <w:t xml:space="preserve"> (</w:t>
      </w:r>
      <w:proofErr w:type="spellStart"/>
      <w:r w:rsidRPr="00F327E9">
        <w:rPr>
          <w:rFonts w:cs="Arial"/>
        </w:rPr>
        <w:t>Naktuinbouw</w:t>
      </w:r>
      <w:proofErr w:type="spellEnd"/>
      <w:r w:rsidRPr="00F327E9">
        <w:rPr>
          <w:rFonts w:cs="Arial"/>
        </w:rPr>
        <w:t xml:space="preserve">). </w:t>
      </w:r>
      <w:r>
        <w:rPr>
          <w:rFonts w:cs="Arial"/>
        </w:rPr>
        <w:t xml:space="preserve"> Ce laboratoire a été chargé de l’extraction et du stockage de l’ADN</w:t>
      </w:r>
      <w:r w:rsidRPr="00F327E9">
        <w:rPr>
          <w:rFonts w:cs="Arial"/>
        </w:rPr>
        <w:t>.</w:t>
      </w:r>
      <w:r>
        <w:rPr>
          <w:rFonts w:cs="Arial"/>
        </w:rPr>
        <w:t xml:space="preserve"> </w:t>
      </w:r>
      <w:r w:rsidRPr="00F327E9">
        <w:rPr>
          <w:rFonts w:cs="Arial"/>
        </w:rPr>
        <w:t xml:space="preserve"> </w:t>
      </w:r>
      <w:r>
        <w:rPr>
          <w:rFonts w:cs="Arial"/>
        </w:rPr>
        <w:t>Depuis le lancement du projet, l’ADN provenant de “732 prélèvements d’ADN”</w:t>
      </w:r>
      <w:r w:rsidRPr="00F327E9">
        <w:rPr>
          <w:rFonts w:cs="Arial"/>
        </w:rPr>
        <w:t xml:space="preserve"> </w:t>
      </w:r>
      <w:r>
        <w:rPr>
          <w:rFonts w:cs="Arial"/>
        </w:rPr>
        <w:t>a été stocké</w:t>
      </w:r>
      <w:r w:rsidRPr="00F327E9">
        <w:rPr>
          <w:rFonts w:cs="Arial"/>
        </w:rPr>
        <w:t>.</w:t>
      </w:r>
    </w:p>
    <w:p w:rsidR="00023109" w:rsidRPr="00F327E9" w:rsidRDefault="00023109" w:rsidP="00023109">
      <w:pPr>
        <w:spacing w:after="240"/>
      </w:pPr>
      <w:r>
        <w:rPr>
          <w:rFonts w:cs="Arial"/>
        </w:rPr>
        <w:t xml:space="preserve">L’OCVV a procédé à une analyse interne concernant les résultats de ce projet et les observations recueillies par les partenaires du projet et les organisations d’obtenteurs </w:t>
      </w:r>
      <w:r w:rsidRPr="00F327E9">
        <w:rPr>
          <w:rFonts w:cs="Arial"/>
        </w:rPr>
        <w:t xml:space="preserve">(CIOPORA </w:t>
      </w:r>
      <w:r>
        <w:rPr>
          <w:rFonts w:cs="Arial"/>
        </w:rPr>
        <w:t>et</w:t>
      </w:r>
      <w:r w:rsidRPr="00F327E9">
        <w:rPr>
          <w:rFonts w:cs="Arial"/>
        </w:rPr>
        <w:t xml:space="preserve"> </w:t>
      </w:r>
      <w:proofErr w:type="spellStart"/>
      <w:r w:rsidRPr="00F327E9">
        <w:rPr>
          <w:rFonts w:cs="Arial"/>
        </w:rPr>
        <w:t>Plantum</w:t>
      </w:r>
      <w:proofErr w:type="spellEnd"/>
      <w:r w:rsidRPr="00F327E9">
        <w:rPr>
          <w:rFonts w:cs="Arial"/>
        </w:rPr>
        <w:t xml:space="preserve">). </w:t>
      </w:r>
      <w:r>
        <w:rPr>
          <w:rFonts w:cs="Arial"/>
        </w:rPr>
        <w:t xml:space="preserve"> Au cours de cette période, aucun des prélèvements n’a été utilisé par les centres</w:t>
      </w:r>
      <w:r w:rsidRPr="00EB6AB7">
        <w:rPr>
          <w:rFonts w:cs="Arial"/>
        </w:rPr>
        <w:t xml:space="preserve"> d</w:t>
      </w:r>
      <w:r>
        <w:rPr>
          <w:rFonts w:cs="Arial"/>
        </w:rPr>
        <w:t>’</w:t>
      </w:r>
      <w:r w:rsidRPr="00EB6AB7">
        <w:rPr>
          <w:rFonts w:cs="Arial"/>
        </w:rPr>
        <w:t xml:space="preserve">examen habilités </w:t>
      </w:r>
      <w:r w:rsidRPr="00F327E9">
        <w:rPr>
          <w:rFonts w:cs="Arial"/>
        </w:rPr>
        <w:t>o</w:t>
      </w:r>
      <w:r>
        <w:rPr>
          <w:rFonts w:cs="Arial"/>
        </w:rPr>
        <w:t>u par les obtenteurs.  Il existe différentes raisons pouvant expliquer cette situation.  Le Conseil d’administration de l’OCVV est convenu de prolonger le projet pour une année supplémentaire afin d’éviter un décalage dans les prélèvements d’ADN, étant donné qu’un nouveau projet sur le rosier est en cours de préparation.  Le nouveau projet a pour but de tester l’utilisation de</w:t>
      </w:r>
      <w:r w:rsidRPr="00F327E9">
        <w:rPr>
          <w:rFonts w:cs="Arial"/>
        </w:rPr>
        <w:t xml:space="preserve"> </w:t>
      </w:r>
      <w:r>
        <w:rPr>
          <w:rFonts w:cs="Arial"/>
        </w:rPr>
        <w:t>nouveaux marqueurs moléculaires</w:t>
      </w:r>
      <w:r w:rsidRPr="00F327E9">
        <w:rPr>
          <w:rFonts w:cs="Arial"/>
        </w:rPr>
        <w:t xml:space="preserve">, </w:t>
      </w:r>
      <w:r>
        <w:rPr>
          <w:rFonts w:cs="Arial"/>
        </w:rPr>
        <w:t>considérés comme présentant un intérêt pour la gestion des collections de référence en serre pour le rosier</w:t>
      </w:r>
      <w:r w:rsidRPr="00F327E9">
        <w:rPr>
          <w:rFonts w:cs="Arial"/>
        </w:rPr>
        <w:t>.</w:t>
      </w:r>
    </w:p>
    <w:p w:rsidR="008405FF" w:rsidRDefault="008405FF" w:rsidP="00944AEF"/>
    <w:p w:rsidR="00417F96" w:rsidRDefault="00417F96" w:rsidP="00944AEF"/>
    <w:p w:rsidR="00944AEF" w:rsidRPr="004F3AB8" w:rsidRDefault="00944AEF" w:rsidP="00944AEF"/>
    <w:p w:rsidR="00944AEF" w:rsidRPr="004F3AB8" w:rsidRDefault="00944AEF" w:rsidP="00944AEF">
      <w:pPr>
        <w:sectPr w:rsidR="00944AEF" w:rsidRPr="004F3AB8" w:rsidSect="004F3AB8">
          <w:headerReference w:type="default" r:id="rId45"/>
          <w:pgSz w:w="11907" w:h="16840" w:code="9"/>
          <w:pgMar w:top="510" w:right="1134" w:bottom="993" w:left="1134" w:header="510" w:footer="680" w:gutter="0"/>
          <w:pgNumType w:start="1"/>
          <w:cols w:space="720"/>
          <w:titlePg/>
        </w:sectPr>
      </w:pPr>
    </w:p>
    <w:p w:rsidR="00944AEF" w:rsidRPr="004F3AB8" w:rsidRDefault="00944AEF" w:rsidP="00944AEF">
      <w:pPr>
        <w:jc w:val="center"/>
      </w:pPr>
      <w:r w:rsidRPr="004F3AB8">
        <w:t>C/49/15</w:t>
      </w:r>
    </w:p>
    <w:p w:rsidR="00944AEF" w:rsidRPr="004F3AB8" w:rsidRDefault="00944AEF" w:rsidP="00944AEF">
      <w:pPr>
        <w:jc w:val="center"/>
      </w:pPr>
    </w:p>
    <w:p w:rsidR="00944AEF" w:rsidRPr="004F3AB8" w:rsidRDefault="00944AEF" w:rsidP="00944AEF">
      <w:pPr>
        <w:jc w:val="center"/>
      </w:pPr>
      <w:r w:rsidRPr="004F3AB8">
        <w:t>ANNEXE XVIII</w:t>
      </w:r>
    </w:p>
    <w:p w:rsidR="00944AEF" w:rsidRPr="004F3AB8" w:rsidRDefault="00944AEF" w:rsidP="00944AEF">
      <w:pPr>
        <w:jc w:val="center"/>
      </w:pPr>
    </w:p>
    <w:p w:rsidR="00944AEF" w:rsidRPr="004F3AB8" w:rsidRDefault="00944AEF" w:rsidP="00944AEF">
      <w:pPr>
        <w:jc w:val="center"/>
      </w:pPr>
    </w:p>
    <w:p w:rsidR="00944AEF" w:rsidRPr="004F3AB8" w:rsidRDefault="00944AEF" w:rsidP="00944AEF">
      <w:pPr>
        <w:jc w:val="center"/>
      </w:pPr>
      <w:r w:rsidRPr="004F3AB8">
        <w:t>ORGANISATION RÉGIONALE AFRICAINE DE LA PROPRIÉTÉ INTELLECTUELLE</w:t>
      </w:r>
    </w:p>
    <w:p w:rsidR="00944AEF" w:rsidRPr="004F3AB8" w:rsidRDefault="00944AEF" w:rsidP="00944AEF">
      <w:pPr>
        <w:jc w:val="center"/>
      </w:pPr>
      <w:r w:rsidRPr="004F3AB8">
        <w:t>(ARIPO)</w:t>
      </w:r>
    </w:p>
    <w:p w:rsidR="00944AEF" w:rsidRPr="004F3AB8" w:rsidRDefault="00944AEF" w:rsidP="00944AEF"/>
    <w:p w:rsidR="00944AEF" w:rsidRDefault="00944AEF" w:rsidP="00944AEF"/>
    <w:p w:rsidR="00BD634F" w:rsidRDefault="00BD634F" w:rsidP="00BD634F">
      <w:pPr>
        <w:rPr>
          <w:rFonts w:cs="Arial"/>
        </w:rPr>
      </w:pPr>
      <w:r>
        <w:rPr>
          <w:rFonts w:eastAsia="Calibri" w:cs="Arial"/>
          <w:bCs/>
        </w:rPr>
        <w:t>L’</w:t>
      </w:r>
      <w:r w:rsidRPr="00CB2809">
        <w:rPr>
          <w:rFonts w:eastAsia="Calibri" w:cs="Arial"/>
          <w:bCs/>
        </w:rPr>
        <w:t xml:space="preserve">ARIPO et ses </w:t>
      </w:r>
      <w:r>
        <w:rPr>
          <w:rFonts w:eastAsia="Calibri" w:cs="Arial"/>
          <w:bCs/>
        </w:rPr>
        <w:t xml:space="preserve">19 </w:t>
      </w:r>
      <w:r w:rsidRPr="00CB2809">
        <w:rPr>
          <w:rFonts w:eastAsia="Calibri" w:cs="Arial"/>
          <w:bCs/>
        </w:rPr>
        <w:t>États membres ont organisé</w:t>
      </w:r>
      <w:r>
        <w:rPr>
          <w:rFonts w:eastAsia="Calibri" w:cs="Arial"/>
          <w:bCs/>
        </w:rPr>
        <w:t>,</w:t>
      </w:r>
      <w:r w:rsidRPr="00CB2809">
        <w:rPr>
          <w:rFonts w:eastAsia="Calibri" w:cs="Arial"/>
          <w:bCs/>
        </w:rPr>
        <w:t xml:space="preserve"> </w:t>
      </w:r>
      <w:r w:rsidRPr="00EA51C3">
        <w:rPr>
          <w:rFonts w:eastAsia="Calibri" w:cs="Arial"/>
          <w:bCs/>
        </w:rPr>
        <w:t>le 6</w:t>
      </w:r>
      <w:r>
        <w:rPr>
          <w:rFonts w:eastAsia="Calibri" w:cs="Arial"/>
          <w:bCs/>
        </w:rPr>
        <w:t> </w:t>
      </w:r>
      <w:r w:rsidRPr="00EA51C3">
        <w:rPr>
          <w:rFonts w:eastAsia="Calibri" w:cs="Arial"/>
          <w:bCs/>
        </w:rPr>
        <w:t>juillet</w:t>
      </w:r>
      <w:r>
        <w:rPr>
          <w:rFonts w:eastAsia="Calibri" w:cs="Arial"/>
          <w:bCs/>
        </w:rPr>
        <w:t> </w:t>
      </w:r>
      <w:r w:rsidRPr="00EA51C3">
        <w:rPr>
          <w:rFonts w:eastAsia="Calibri" w:cs="Arial"/>
          <w:bCs/>
        </w:rPr>
        <w:t>2015</w:t>
      </w:r>
      <w:r>
        <w:rPr>
          <w:rFonts w:eastAsia="Calibri" w:cs="Arial"/>
          <w:bCs/>
        </w:rPr>
        <w:t xml:space="preserve"> </w:t>
      </w:r>
      <w:r w:rsidRPr="00EA51C3">
        <w:rPr>
          <w:rFonts w:eastAsia="Calibri" w:cs="Arial"/>
          <w:bCs/>
        </w:rPr>
        <w:t>à Arusha (République</w:t>
      </w:r>
      <w:r>
        <w:rPr>
          <w:rFonts w:eastAsia="Calibri" w:cs="Arial"/>
          <w:bCs/>
        </w:rPr>
        <w:noBreakHyphen/>
      </w:r>
      <w:r w:rsidRPr="00EA51C3">
        <w:rPr>
          <w:rFonts w:eastAsia="Calibri" w:cs="Arial"/>
          <w:bCs/>
        </w:rPr>
        <w:t>Unie de Tanzanie)</w:t>
      </w:r>
      <w:r>
        <w:rPr>
          <w:rFonts w:eastAsia="Calibri" w:cs="Arial"/>
          <w:bCs/>
        </w:rPr>
        <w:t xml:space="preserve">, </w:t>
      </w:r>
      <w:r w:rsidRPr="00CB2809">
        <w:rPr>
          <w:rFonts w:eastAsia="Calibri" w:cs="Arial"/>
          <w:bCs/>
        </w:rPr>
        <w:t>une conférence diplomatique en vue de l</w:t>
      </w:r>
      <w:r>
        <w:rPr>
          <w:rFonts w:eastAsia="Calibri" w:cs="Arial"/>
          <w:bCs/>
        </w:rPr>
        <w:t>’</w:t>
      </w:r>
      <w:r w:rsidRPr="00CB2809">
        <w:rPr>
          <w:rFonts w:eastAsia="Calibri" w:cs="Arial"/>
          <w:bCs/>
        </w:rPr>
        <w:t>adoption du projet de protocole de l</w:t>
      </w:r>
      <w:r>
        <w:rPr>
          <w:rFonts w:eastAsia="Calibri" w:cs="Arial"/>
          <w:bCs/>
        </w:rPr>
        <w:t>’</w:t>
      </w:r>
      <w:r w:rsidRPr="00CB2809">
        <w:rPr>
          <w:rFonts w:eastAsia="Calibri" w:cs="Arial"/>
          <w:bCs/>
        </w:rPr>
        <w:t>ARIPO pour la protection des obtentions végétales.  La conférence a été précédée par une session du comité d</w:t>
      </w:r>
      <w:r>
        <w:rPr>
          <w:rFonts w:eastAsia="Calibri" w:cs="Arial"/>
          <w:bCs/>
        </w:rPr>
        <w:t>’</w:t>
      </w:r>
      <w:r w:rsidRPr="00CB2809">
        <w:rPr>
          <w:rFonts w:eastAsia="Calibri" w:cs="Arial"/>
          <w:bCs/>
        </w:rPr>
        <w:t>experts et par la neuvième</w:t>
      </w:r>
      <w:r>
        <w:rPr>
          <w:rFonts w:eastAsia="Calibri" w:cs="Arial"/>
          <w:bCs/>
        </w:rPr>
        <w:t> </w:t>
      </w:r>
      <w:r w:rsidRPr="00CB2809">
        <w:rPr>
          <w:rFonts w:eastAsia="Calibri" w:cs="Arial"/>
          <w:bCs/>
        </w:rPr>
        <w:t>session extraordinaire du Conseil administrati</w:t>
      </w:r>
      <w:r>
        <w:rPr>
          <w:rFonts w:eastAsia="Calibri" w:cs="Arial"/>
          <w:bCs/>
        </w:rPr>
        <w:t>f</w:t>
      </w:r>
      <w:r w:rsidRPr="00CB2809">
        <w:rPr>
          <w:rFonts w:eastAsia="Calibri" w:cs="Arial"/>
          <w:bCs/>
        </w:rPr>
        <w:t xml:space="preserve"> qui se sont tenues respectivement du 29</w:t>
      </w:r>
      <w:r>
        <w:rPr>
          <w:rFonts w:eastAsia="Calibri" w:cs="Arial"/>
          <w:bCs/>
        </w:rPr>
        <w:t> </w:t>
      </w:r>
      <w:r w:rsidRPr="00CB2809">
        <w:rPr>
          <w:rFonts w:eastAsia="Calibri" w:cs="Arial"/>
          <w:bCs/>
        </w:rPr>
        <w:t>juin au 1</w:t>
      </w:r>
      <w:r w:rsidRPr="00CB2809">
        <w:rPr>
          <w:rFonts w:eastAsia="Calibri" w:cs="Arial"/>
          <w:bCs/>
          <w:vertAlign w:val="superscript"/>
        </w:rPr>
        <w:t>er</w:t>
      </w:r>
      <w:r>
        <w:rPr>
          <w:rFonts w:eastAsia="Calibri" w:cs="Arial"/>
          <w:bCs/>
        </w:rPr>
        <w:t> </w:t>
      </w:r>
      <w:r w:rsidRPr="00CB2809">
        <w:rPr>
          <w:rFonts w:eastAsia="Calibri" w:cs="Arial"/>
          <w:bCs/>
        </w:rPr>
        <w:t>juillet</w:t>
      </w:r>
      <w:r>
        <w:rPr>
          <w:rFonts w:eastAsia="Calibri" w:cs="Arial"/>
          <w:bCs/>
        </w:rPr>
        <w:t> </w:t>
      </w:r>
      <w:r w:rsidRPr="00CB2809">
        <w:rPr>
          <w:rFonts w:eastAsia="Calibri" w:cs="Arial"/>
          <w:bCs/>
        </w:rPr>
        <w:t>2015 et les 2 et 3</w:t>
      </w:r>
      <w:r>
        <w:rPr>
          <w:rFonts w:eastAsia="Calibri" w:cs="Arial"/>
          <w:bCs/>
        </w:rPr>
        <w:t> </w:t>
      </w:r>
      <w:r w:rsidRPr="00CB2809">
        <w:rPr>
          <w:rFonts w:eastAsia="Calibri" w:cs="Arial"/>
          <w:bCs/>
        </w:rPr>
        <w:t>juillet</w:t>
      </w:r>
      <w:r>
        <w:rPr>
          <w:rFonts w:eastAsia="Calibri" w:cs="Arial"/>
          <w:bCs/>
        </w:rPr>
        <w:t> </w:t>
      </w:r>
      <w:r w:rsidRPr="00CB2809">
        <w:rPr>
          <w:rFonts w:eastAsia="Calibri" w:cs="Arial"/>
          <w:bCs/>
        </w:rPr>
        <w:t>2015.  La conférence a réuni plus de 120</w:t>
      </w:r>
      <w:r>
        <w:rPr>
          <w:rFonts w:eastAsia="Calibri" w:cs="Arial"/>
          <w:bCs/>
        </w:rPr>
        <w:t> </w:t>
      </w:r>
      <w:r w:rsidRPr="00CB2809">
        <w:rPr>
          <w:rFonts w:eastAsia="Calibri" w:cs="Arial"/>
          <w:bCs/>
        </w:rPr>
        <w:t>délégués, notamment les ministres de l</w:t>
      </w:r>
      <w:r>
        <w:rPr>
          <w:rFonts w:eastAsia="Calibri" w:cs="Arial"/>
          <w:bCs/>
        </w:rPr>
        <w:t>’</w:t>
      </w:r>
      <w:r w:rsidRPr="00CB2809">
        <w:rPr>
          <w:rFonts w:eastAsia="Calibri" w:cs="Arial"/>
          <w:bCs/>
        </w:rPr>
        <w:t>agriculture, du commerce et de l</w:t>
      </w:r>
      <w:r>
        <w:rPr>
          <w:rFonts w:eastAsia="Calibri" w:cs="Arial"/>
          <w:bCs/>
        </w:rPr>
        <w:t>’</w:t>
      </w:r>
      <w:r w:rsidRPr="00CB2809">
        <w:rPr>
          <w:rFonts w:eastAsia="Calibri" w:cs="Arial"/>
          <w:bCs/>
        </w:rPr>
        <w:t>industrie, de la justice, des hauts responsables politiques et des fonctionnaires du Ministère de l</w:t>
      </w:r>
      <w:r>
        <w:rPr>
          <w:rFonts w:eastAsia="Calibri" w:cs="Arial"/>
          <w:bCs/>
        </w:rPr>
        <w:t>’</w:t>
      </w:r>
      <w:r w:rsidRPr="00CB2809">
        <w:rPr>
          <w:rFonts w:eastAsia="Calibri" w:cs="Arial"/>
          <w:bCs/>
        </w:rPr>
        <w:t xml:space="preserve">agriculture et des offices nationaux de propriété intellectuelle. </w:t>
      </w:r>
      <w:r>
        <w:rPr>
          <w:rFonts w:eastAsia="Calibri" w:cs="Arial"/>
          <w:bCs/>
        </w:rPr>
        <w:t xml:space="preserve"> </w:t>
      </w:r>
      <w:r w:rsidRPr="00CB2809">
        <w:rPr>
          <w:rFonts w:eastAsia="Calibri" w:cs="Arial"/>
          <w:bCs/>
        </w:rPr>
        <w:t>Les organisations et institutions internationales suivantes ont participé à la conférence en qualité d</w:t>
      </w:r>
      <w:r>
        <w:rPr>
          <w:rFonts w:eastAsia="Calibri" w:cs="Arial"/>
          <w:bCs/>
        </w:rPr>
        <w:t>’</w:t>
      </w:r>
      <w:r w:rsidRPr="00CB2809">
        <w:rPr>
          <w:rFonts w:eastAsia="Calibri" w:cs="Arial"/>
          <w:bCs/>
        </w:rPr>
        <w:t xml:space="preserve">observateurs : </w:t>
      </w:r>
      <w:r w:rsidRPr="00CB2809">
        <w:rPr>
          <w:rFonts w:cs="Arial"/>
        </w:rPr>
        <w:t>l</w:t>
      </w:r>
      <w:r>
        <w:rPr>
          <w:rFonts w:cs="Arial"/>
        </w:rPr>
        <w:t>’</w:t>
      </w:r>
      <w:r w:rsidRPr="00CB2809">
        <w:rPr>
          <w:rFonts w:cs="Arial"/>
        </w:rPr>
        <w:t>Organisation Mondiale de la Propriété Intellectuelle (OMPI),</w:t>
      </w:r>
      <w:r w:rsidRPr="00CB2809">
        <w:t xml:space="preserve"> </w:t>
      </w:r>
      <w:r w:rsidRPr="00CB2809">
        <w:rPr>
          <w:rFonts w:cs="Arial"/>
        </w:rPr>
        <w:t>l</w:t>
      </w:r>
      <w:r>
        <w:rPr>
          <w:rFonts w:cs="Arial"/>
        </w:rPr>
        <w:t>’</w:t>
      </w:r>
      <w:r w:rsidRPr="00CB2809">
        <w:rPr>
          <w:rFonts w:cs="Arial"/>
        </w:rPr>
        <w:t>Office communautaire des variétés végétales de l</w:t>
      </w:r>
      <w:r>
        <w:rPr>
          <w:rFonts w:cs="Arial"/>
        </w:rPr>
        <w:t>’</w:t>
      </w:r>
      <w:r w:rsidRPr="00CB2809">
        <w:rPr>
          <w:rFonts w:cs="Arial"/>
        </w:rPr>
        <w:t>Union européenne (OCVV), le Groupement national français interprofessionnel des semences et plants (GNIS), l</w:t>
      </w:r>
      <w:r>
        <w:rPr>
          <w:rFonts w:cs="Arial"/>
        </w:rPr>
        <w:t>’</w:t>
      </w:r>
      <w:r w:rsidRPr="00CB2809">
        <w:rPr>
          <w:rFonts w:cs="Arial"/>
        </w:rPr>
        <w:t>Office des brevets et des marques des États</w:t>
      </w:r>
      <w:r>
        <w:rPr>
          <w:rFonts w:cs="Arial"/>
        </w:rPr>
        <w:noBreakHyphen/>
      </w:r>
      <w:r w:rsidRPr="00CB2809">
        <w:rPr>
          <w:rFonts w:cs="Arial"/>
        </w:rPr>
        <w:t>Unis d</w:t>
      </w:r>
      <w:r>
        <w:rPr>
          <w:rFonts w:cs="Arial"/>
        </w:rPr>
        <w:t>’</w:t>
      </w:r>
      <w:r w:rsidRPr="00CB2809">
        <w:rPr>
          <w:rFonts w:cs="Arial"/>
        </w:rPr>
        <w:t>Amérique (USPTO) et l</w:t>
      </w:r>
      <w:r>
        <w:rPr>
          <w:rFonts w:cs="Arial"/>
        </w:rPr>
        <w:t>’</w:t>
      </w:r>
      <w:r w:rsidRPr="00CB2809">
        <w:rPr>
          <w:rFonts w:cs="Arial"/>
        </w:rPr>
        <w:t>Union internationale pour la protection des obtentions végétales (UPOV).</w:t>
      </w:r>
    </w:p>
    <w:p w:rsidR="00BD634F" w:rsidRPr="00CB2809" w:rsidRDefault="00BD634F" w:rsidP="00BD634F">
      <w:pPr>
        <w:rPr>
          <w:rFonts w:cs="Arial"/>
        </w:rPr>
      </w:pPr>
    </w:p>
    <w:p w:rsidR="00BD634F" w:rsidRPr="00CB2809" w:rsidRDefault="00BD634F" w:rsidP="00BD634F">
      <w:pPr>
        <w:rPr>
          <w:rFonts w:cs="Arial"/>
        </w:rPr>
      </w:pPr>
      <w:r w:rsidRPr="00CB2809">
        <w:rPr>
          <w:rFonts w:cs="Arial"/>
        </w:rPr>
        <w:t>La conférence a adopté le projet de protocole de l</w:t>
      </w:r>
      <w:r>
        <w:rPr>
          <w:rFonts w:cs="Arial"/>
        </w:rPr>
        <w:t>’</w:t>
      </w:r>
      <w:r w:rsidRPr="00CB2809">
        <w:rPr>
          <w:rFonts w:cs="Arial"/>
        </w:rPr>
        <w:t>Organisation régionale africaine de la propriété intellectuelle (ARIPO) pour la protection des obtentions végétales avec quelques modifications (voir l</w:t>
      </w:r>
      <w:r>
        <w:rPr>
          <w:rFonts w:cs="Arial"/>
        </w:rPr>
        <w:t>’</w:t>
      </w:r>
      <w:r w:rsidRPr="00CB2809">
        <w:rPr>
          <w:rFonts w:cs="Arial"/>
        </w:rPr>
        <w:t>appendice) et a décidé de l</w:t>
      </w:r>
      <w:r>
        <w:rPr>
          <w:rFonts w:cs="Arial"/>
        </w:rPr>
        <w:t>’</w:t>
      </w:r>
      <w:r w:rsidRPr="00CB2809">
        <w:rPr>
          <w:rFonts w:cs="Arial"/>
        </w:rPr>
        <w:t>intituler “Protocole d</w:t>
      </w:r>
      <w:r>
        <w:rPr>
          <w:rFonts w:cs="Arial"/>
        </w:rPr>
        <w:t>’</w:t>
      </w:r>
      <w:r w:rsidRPr="00CB2809">
        <w:rPr>
          <w:rFonts w:cs="Arial"/>
        </w:rPr>
        <w:t>Arusha pour la protection des obtentions végétales”.</w:t>
      </w:r>
    </w:p>
    <w:p w:rsidR="00BD634F" w:rsidRPr="00CB2809" w:rsidRDefault="00BD634F" w:rsidP="00BD634F">
      <w:pPr>
        <w:rPr>
          <w:rFonts w:cs="Arial"/>
        </w:rPr>
      </w:pPr>
    </w:p>
    <w:p w:rsidR="00BD634F" w:rsidRDefault="00BD634F" w:rsidP="00BD634F">
      <w:pPr>
        <w:rPr>
          <w:rFonts w:cs="Arial"/>
        </w:rPr>
      </w:pPr>
      <w:r w:rsidRPr="00CB2809">
        <w:rPr>
          <w:rFonts w:cs="Arial"/>
        </w:rPr>
        <w:t>Lors de la réunion du comité d</w:t>
      </w:r>
      <w:r>
        <w:rPr>
          <w:rFonts w:cs="Arial"/>
        </w:rPr>
        <w:t>’</w:t>
      </w:r>
      <w:r w:rsidRPr="00CB2809">
        <w:rPr>
          <w:rFonts w:cs="Arial"/>
        </w:rPr>
        <w:t>experts qui a précédé la conférence, il a été recommandé que le comité d</w:t>
      </w:r>
      <w:r>
        <w:rPr>
          <w:rFonts w:cs="Arial"/>
        </w:rPr>
        <w:t>’</w:t>
      </w:r>
      <w:r w:rsidRPr="00CB2809">
        <w:rPr>
          <w:rFonts w:cs="Arial"/>
        </w:rPr>
        <w:t xml:space="preserve">experts participe à la formulation des </w:t>
      </w:r>
      <w:r>
        <w:rPr>
          <w:rFonts w:cs="Arial"/>
        </w:rPr>
        <w:t>dispositions</w:t>
      </w:r>
      <w:r w:rsidRPr="00CB2809">
        <w:rPr>
          <w:rFonts w:cs="Arial"/>
        </w:rPr>
        <w:t xml:space="preserve"> règlementaires et que le </w:t>
      </w:r>
      <w:r>
        <w:rPr>
          <w:rFonts w:cs="Arial"/>
        </w:rPr>
        <w:t>Conseil administratif</w:t>
      </w:r>
      <w:r w:rsidRPr="00CB2809">
        <w:rPr>
          <w:rFonts w:cs="Arial"/>
        </w:rPr>
        <w:t xml:space="preserve"> fixe les délais concernant l</w:t>
      </w:r>
      <w:r>
        <w:rPr>
          <w:rFonts w:cs="Arial"/>
        </w:rPr>
        <w:t>’</w:t>
      </w:r>
      <w:r w:rsidRPr="00CB2809">
        <w:rPr>
          <w:rFonts w:cs="Arial"/>
        </w:rPr>
        <w:t>achèvement de l</w:t>
      </w:r>
      <w:r>
        <w:rPr>
          <w:rFonts w:cs="Arial"/>
        </w:rPr>
        <w:t>’</w:t>
      </w:r>
      <w:r w:rsidRPr="00CB2809">
        <w:rPr>
          <w:rFonts w:cs="Arial"/>
        </w:rPr>
        <w:t>élaboration du projet de règlement d</w:t>
      </w:r>
      <w:r>
        <w:rPr>
          <w:rFonts w:cs="Arial"/>
        </w:rPr>
        <w:t>’</w:t>
      </w:r>
      <w:r w:rsidRPr="00CB2809">
        <w:rPr>
          <w:rFonts w:cs="Arial"/>
        </w:rPr>
        <w:t xml:space="preserve">exécution aux fins de faciliter la </w:t>
      </w:r>
      <w:r w:rsidRPr="00BD634F">
        <w:rPr>
          <w:rFonts w:cs="Arial"/>
          <w:spacing w:val="-2"/>
        </w:rPr>
        <w:t>bonne application du protocole.  À la neuvième session</w:t>
      </w:r>
      <w:r w:rsidRPr="00BD634F">
        <w:rPr>
          <w:rFonts w:cs="Arial"/>
          <w:bCs/>
          <w:spacing w:val="-2"/>
        </w:rPr>
        <w:t xml:space="preserve"> extraordinaire du Conseil administratif qui s’est tenue </w:t>
      </w:r>
      <w:r w:rsidRPr="00CB2809">
        <w:rPr>
          <w:rFonts w:cs="Arial"/>
          <w:bCs/>
        </w:rPr>
        <w:t>sur le lieu de la conférence diplomatique les 2 et 3</w:t>
      </w:r>
      <w:r>
        <w:rPr>
          <w:rFonts w:cs="Arial"/>
          <w:bCs/>
        </w:rPr>
        <w:t xml:space="preserve"> juin </w:t>
      </w:r>
      <w:r w:rsidRPr="00CB2809">
        <w:rPr>
          <w:rFonts w:cs="Arial"/>
          <w:bCs/>
        </w:rPr>
        <w:t>2015, le Conseil a approuvé la recommandation selon laquelle le comité d</w:t>
      </w:r>
      <w:r>
        <w:rPr>
          <w:rFonts w:cs="Arial"/>
          <w:bCs/>
        </w:rPr>
        <w:t>’</w:t>
      </w:r>
      <w:r w:rsidRPr="00CB2809">
        <w:rPr>
          <w:rFonts w:cs="Arial"/>
          <w:bCs/>
        </w:rPr>
        <w:t>experts participait à l</w:t>
      </w:r>
      <w:r>
        <w:rPr>
          <w:rFonts w:cs="Arial"/>
          <w:bCs/>
        </w:rPr>
        <w:t>’</w:t>
      </w:r>
      <w:r w:rsidRPr="00CB2809">
        <w:rPr>
          <w:rFonts w:cs="Arial"/>
          <w:bCs/>
        </w:rPr>
        <w:t>élaboration du projet de règlement d</w:t>
      </w:r>
      <w:r>
        <w:rPr>
          <w:rFonts w:cs="Arial"/>
          <w:bCs/>
        </w:rPr>
        <w:t>’</w:t>
      </w:r>
      <w:r w:rsidRPr="00CB2809">
        <w:rPr>
          <w:rFonts w:cs="Arial"/>
          <w:bCs/>
        </w:rPr>
        <w:t xml:space="preserve">exécution aux fins de la mise en œuvre du protocole. </w:t>
      </w:r>
      <w:r w:rsidRPr="00CB2809">
        <w:rPr>
          <w:rFonts w:cs="Arial"/>
        </w:rPr>
        <w:t xml:space="preserve"> </w:t>
      </w:r>
      <w:r>
        <w:rPr>
          <w:rFonts w:cs="Arial"/>
        </w:rPr>
        <w:t>Le Conseil administratif a en outre demandé au Secrétariat de l’</w:t>
      </w:r>
      <w:r w:rsidRPr="00CB2809">
        <w:rPr>
          <w:rFonts w:cs="Arial"/>
        </w:rPr>
        <w:t xml:space="preserve">ARIPO </w:t>
      </w:r>
      <w:r>
        <w:rPr>
          <w:rFonts w:cs="Arial"/>
        </w:rPr>
        <w:t xml:space="preserve">d’élaborer un projet de règlement d’application et un budget concernant le plan stratégique pour la période allant de 2016 à 2020 en vue de le présenter </w:t>
      </w:r>
      <w:r w:rsidRPr="00A24CCE">
        <w:rPr>
          <w:rFonts w:cs="Arial"/>
        </w:rPr>
        <w:t>à la trente</w:t>
      </w:r>
      <w:r>
        <w:rPr>
          <w:rFonts w:cs="Arial"/>
        </w:rPr>
        <w:noBreakHyphen/>
      </w:r>
      <w:r w:rsidRPr="00A24CCE">
        <w:rPr>
          <w:rFonts w:cs="Arial"/>
        </w:rPr>
        <w:t>neuvième</w:t>
      </w:r>
      <w:r>
        <w:rPr>
          <w:rFonts w:cs="Arial"/>
        </w:rPr>
        <w:t> </w:t>
      </w:r>
      <w:r w:rsidRPr="00A24CCE">
        <w:rPr>
          <w:rFonts w:cs="Arial"/>
        </w:rPr>
        <w:t xml:space="preserve">session du </w:t>
      </w:r>
      <w:r>
        <w:rPr>
          <w:rFonts w:cs="Arial"/>
        </w:rPr>
        <w:t>Conseil administratif</w:t>
      </w:r>
      <w:r w:rsidRPr="00CB2809">
        <w:rPr>
          <w:rFonts w:cs="Arial"/>
        </w:rPr>
        <w:t xml:space="preserve"> </w:t>
      </w:r>
      <w:r>
        <w:rPr>
          <w:rFonts w:cs="Arial"/>
        </w:rPr>
        <w:t>afin qu’une décision soit prise au sujet des délais pour l’achèvement du projet de règlement d’application</w:t>
      </w:r>
      <w:r w:rsidRPr="00CB2809">
        <w:rPr>
          <w:rFonts w:cs="Arial"/>
        </w:rPr>
        <w:t>.</w:t>
      </w:r>
    </w:p>
    <w:p w:rsidR="00BD634F" w:rsidRPr="00CB2809" w:rsidRDefault="00BD634F" w:rsidP="00BD634F">
      <w:pPr>
        <w:ind w:left="720" w:hanging="720"/>
        <w:rPr>
          <w:rFonts w:cs="Arial"/>
        </w:rPr>
      </w:pPr>
    </w:p>
    <w:p w:rsidR="00BD634F" w:rsidRDefault="00BD634F" w:rsidP="00BD634F">
      <w:pPr>
        <w:rPr>
          <w:rFonts w:cs="Arial"/>
        </w:rPr>
      </w:pPr>
      <w:r>
        <w:rPr>
          <w:rFonts w:cs="Arial"/>
        </w:rPr>
        <w:t xml:space="preserve">À la suite de la décision du Conseil administratif à sa </w:t>
      </w:r>
      <w:r>
        <w:rPr>
          <w:rFonts w:cs="Arial"/>
          <w:bCs/>
        </w:rPr>
        <w:t>neuvième session extraordinaire, le Secrétariat de l’</w:t>
      </w:r>
      <w:r w:rsidRPr="00CB2809">
        <w:rPr>
          <w:rFonts w:cs="Arial"/>
        </w:rPr>
        <w:t xml:space="preserve">ARIPO </w:t>
      </w:r>
      <w:r>
        <w:rPr>
          <w:rFonts w:cs="Arial"/>
        </w:rPr>
        <w:t>a proposé la feuille de route suivante pour adoption par le Conseil administratif à s</w:t>
      </w:r>
      <w:r w:rsidRPr="00F3268F">
        <w:rPr>
          <w:rFonts w:cs="Arial"/>
        </w:rPr>
        <w:t>a trente</w:t>
      </w:r>
      <w:r>
        <w:rPr>
          <w:rFonts w:cs="Arial"/>
        </w:rPr>
        <w:noBreakHyphen/>
      </w:r>
      <w:r w:rsidRPr="00F3268F">
        <w:rPr>
          <w:rFonts w:cs="Arial"/>
        </w:rPr>
        <w:t>neuvième</w:t>
      </w:r>
      <w:r>
        <w:rPr>
          <w:rFonts w:cs="Arial"/>
        </w:rPr>
        <w:t> </w:t>
      </w:r>
      <w:r w:rsidRPr="00F3268F">
        <w:rPr>
          <w:rFonts w:cs="Arial"/>
        </w:rPr>
        <w:t xml:space="preserve">session </w:t>
      </w:r>
      <w:r>
        <w:rPr>
          <w:rFonts w:cs="Arial"/>
        </w:rPr>
        <w:t xml:space="preserve">qui se tiendra à </w:t>
      </w:r>
      <w:r w:rsidRPr="00CB2809">
        <w:rPr>
          <w:rFonts w:cs="Arial"/>
        </w:rPr>
        <w:t>Lusaka</w:t>
      </w:r>
      <w:r>
        <w:rPr>
          <w:rFonts w:cs="Arial"/>
        </w:rPr>
        <w:t xml:space="preserve"> (</w:t>
      </w:r>
      <w:r w:rsidRPr="00CB2809">
        <w:rPr>
          <w:rFonts w:cs="Arial"/>
        </w:rPr>
        <w:t>Zambi</w:t>
      </w:r>
      <w:r>
        <w:rPr>
          <w:rFonts w:cs="Arial"/>
        </w:rPr>
        <w:t xml:space="preserve">e), du </w:t>
      </w:r>
      <w:r w:rsidRPr="00CB2809">
        <w:rPr>
          <w:rFonts w:cs="Arial"/>
        </w:rPr>
        <w:t xml:space="preserve">16 </w:t>
      </w:r>
      <w:r>
        <w:rPr>
          <w:rFonts w:cs="Arial"/>
        </w:rPr>
        <w:t xml:space="preserve">au </w:t>
      </w:r>
      <w:r w:rsidRPr="00CB2809">
        <w:rPr>
          <w:rFonts w:cs="Arial"/>
        </w:rPr>
        <w:t>18</w:t>
      </w:r>
      <w:r>
        <w:rPr>
          <w:rFonts w:cs="Arial"/>
        </w:rPr>
        <w:t> novembre </w:t>
      </w:r>
      <w:r w:rsidRPr="00CB2809">
        <w:rPr>
          <w:rFonts w:cs="Arial"/>
        </w:rPr>
        <w:t>2015</w:t>
      </w:r>
      <w:r>
        <w:rPr>
          <w:rFonts w:cs="Arial"/>
        </w:rPr>
        <w:t> </w:t>
      </w:r>
      <w:r w:rsidRPr="00CB2809">
        <w:rPr>
          <w:rFonts w:cs="Arial"/>
        </w:rPr>
        <w:t>:</w:t>
      </w:r>
    </w:p>
    <w:p w:rsidR="00BD634F" w:rsidRPr="00CB2809" w:rsidRDefault="00BD634F" w:rsidP="00BD634F">
      <w:pPr>
        <w:ind w:left="720" w:hanging="720"/>
        <w:rPr>
          <w:rFonts w:cs="Arial"/>
        </w:rPr>
      </w:pPr>
      <w:r w:rsidRPr="00CB2809">
        <w:rPr>
          <w:rFonts w:cs="Arial"/>
        </w:rPr>
        <w:tab/>
      </w:r>
    </w:p>
    <w:p w:rsidR="00BD634F" w:rsidRPr="00CB2809" w:rsidRDefault="00BD634F" w:rsidP="00BD634F">
      <w:pPr>
        <w:numPr>
          <w:ilvl w:val="0"/>
          <w:numId w:val="6"/>
        </w:numPr>
        <w:rPr>
          <w:rFonts w:cs="Arial"/>
        </w:rPr>
      </w:pPr>
      <w:r>
        <w:rPr>
          <w:rFonts w:cs="Arial"/>
        </w:rPr>
        <w:t>élaboration d’un premier projet de règlement d’exécution par un rédacteur de lois –</w:t>
      </w:r>
      <w:r w:rsidRPr="00CB2809">
        <w:rPr>
          <w:rFonts w:cs="Arial"/>
        </w:rPr>
        <w:t xml:space="preserve"> </w:t>
      </w:r>
      <w:r>
        <w:rPr>
          <w:rFonts w:cs="Arial"/>
        </w:rPr>
        <w:t>de janvier à février </w:t>
      </w:r>
      <w:r w:rsidRPr="00CB2809">
        <w:rPr>
          <w:rFonts w:cs="Arial"/>
        </w:rPr>
        <w:t>2016</w:t>
      </w:r>
    </w:p>
    <w:p w:rsidR="00BD634F" w:rsidRPr="00CB2809" w:rsidRDefault="00BD634F" w:rsidP="00BD634F">
      <w:pPr>
        <w:numPr>
          <w:ilvl w:val="0"/>
          <w:numId w:val="6"/>
        </w:numPr>
        <w:rPr>
          <w:rFonts w:cs="Arial"/>
        </w:rPr>
      </w:pPr>
      <w:r>
        <w:rPr>
          <w:rFonts w:cs="Arial"/>
        </w:rPr>
        <w:t>diffusion du premier projet de règlement d’exécution aux États membres et aux parties prenantes concernées aux fins d’examen et d’observations – de mars à mai </w:t>
      </w:r>
      <w:r w:rsidRPr="00CB2809">
        <w:rPr>
          <w:rFonts w:cs="Arial"/>
        </w:rPr>
        <w:t>2016</w:t>
      </w:r>
    </w:p>
    <w:p w:rsidR="00BD634F" w:rsidRPr="00CB2809" w:rsidRDefault="00BD634F" w:rsidP="00BD634F">
      <w:pPr>
        <w:numPr>
          <w:ilvl w:val="0"/>
          <w:numId w:val="6"/>
        </w:numPr>
        <w:rPr>
          <w:rFonts w:cs="Arial"/>
        </w:rPr>
      </w:pPr>
      <w:r>
        <w:rPr>
          <w:rFonts w:cs="Arial"/>
        </w:rPr>
        <w:t xml:space="preserve">organisation d’une réunion du comité d’experts en vue de l’examen du </w:t>
      </w:r>
      <w:r w:rsidRPr="005E7E59">
        <w:rPr>
          <w:rFonts w:cs="Arial"/>
        </w:rPr>
        <w:t>projet de règlement d</w:t>
      </w:r>
      <w:r>
        <w:rPr>
          <w:rFonts w:cs="Arial"/>
        </w:rPr>
        <w:t>’</w:t>
      </w:r>
      <w:r w:rsidRPr="005E7E59">
        <w:rPr>
          <w:rFonts w:cs="Arial"/>
        </w:rPr>
        <w:t xml:space="preserve">exécution </w:t>
      </w:r>
      <w:r>
        <w:rPr>
          <w:rFonts w:cs="Arial"/>
        </w:rPr>
        <w:t xml:space="preserve">en tenant compte des observations formulées par les </w:t>
      </w:r>
      <w:r w:rsidRPr="005E7E59">
        <w:rPr>
          <w:rFonts w:cs="Arial"/>
        </w:rPr>
        <w:t xml:space="preserve">États membres et </w:t>
      </w:r>
      <w:r>
        <w:rPr>
          <w:rFonts w:cs="Arial"/>
        </w:rPr>
        <w:t xml:space="preserve">les </w:t>
      </w:r>
      <w:r w:rsidRPr="005E7E59">
        <w:rPr>
          <w:rFonts w:cs="Arial"/>
        </w:rPr>
        <w:t>parties prenantes</w:t>
      </w:r>
      <w:r>
        <w:rPr>
          <w:rFonts w:cs="Arial"/>
        </w:rPr>
        <w:t xml:space="preserve"> – juin </w:t>
      </w:r>
      <w:r w:rsidRPr="00CB2809">
        <w:rPr>
          <w:rFonts w:cs="Arial"/>
        </w:rPr>
        <w:t>2016</w:t>
      </w:r>
    </w:p>
    <w:p w:rsidR="00BD634F" w:rsidRPr="00CB2809" w:rsidRDefault="00BD634F" w:rsidP="00BD634F">
      <w:pPr>
        <w:numPr>
          <w:ilvl w:val="0"/>
          <w:numId w:val="6"/>
        </w:numPr>
        <w:rPr>
          <w:rFonts w:cs="Arial"/>
        </w:rPr>
      </w:pPr>
      <w:r>
        <w:rPr>
          <w:rFonts w:cs="Arial"/>
        </w:rPr>
        <w:t xml:space="preserve">examen du </w:t>
      </w:r>
      <w:r w:rsidRPr="008E118A">
        <w:rPr>
          <w:rFonts w:cs="Arial"/>
        </w:rPr>
        <w:t>projet de règlement d</w:t>
      </w:r>
      <w:r>
        <w:rPr>
          <w:rFonts w:cs="Arial"/>
        </w:rPr>
        <w:t>’</w:t>
      </w:r>
      <w:r w:rsidRPr="008E118A">
        <w:rPr>
          <w:rFonts w:cs="Arial"/>
        </w:rPr>
        <w:t xml:space="preserve">exécution </w:t>
      </w:r>
      <w:r>
        <w:rPr>
          <w:rFonts w:cs="Arial"/>
        </w:rPr>
        <w:t>par le comité technique sur la</w:t>
      </w:r>
      <w:r w:rsidRPr="008E118A">
        <w:rPr>
          <w:rFonts w:cs="Arial"/>
        </w:rPr>
        <w:t xml:space="preserve"> protection des obtentions végétales</w:t>
      </w:r>
      <w:r>
        <w:rPr>
          <w:rFonts w:cs="Arial"/>
        </w:rPr>
        <w:t xml:space="preserve"> – août </w:t>
      </w:r>
      <w:r w:rsidRPr="00CB2809">
        <w:rPr>
          <w:rFonts w:cs="Arial"/>
        </w:rPr>
        <w:t>2016</w:t>
      </w:r>
    </w:p>
    <w:p w:rsidR="00BD634F" w:rsidRPr="00CB2809" w:rsidRDefault="00BD634F" w:rsidP="00BD634F">
      <w:pPr>
        <w:numPr>
          <w:ilvl w:val="0"/>
          <w:numId w:val="6"/>
        </w:numPr>
        <w:rPr>
          <w:rFonts w:cs="Arial"/>
        </w:rPr>
      </w:pPr>
      <w:r>
        <w:rPr>
          <w:rFonts w:cs="Arial"/>
        </w:rPr>
        <w:t xml:space="preserve">examen et adoption du </w:t>
      </w:r>
      <w:r w:rsidRPr="00196C08">
        <w:rPr>
          <w:rFonts w:cs="Arial"/>
        </w:rPr>
        <w:t>projet de règlement d</w:t>
      </w:r>
      <w:r>
        <w:rPr>
          <w:rFonts w:cs="Arial"/>
        </w:rPr>
        <w:t>’</w:t>
      </w:r>
      <w:r w:rsidRPr="00196C08">
        <w:rPr>
          <w:rFonts w:cs="Arial"/>
        </w:rPr>
        <w:t xml:space="preserve">exécution </w:t>
      </w:r>
      <w:r>
        <w:rPr>
          <w:rFonts w:cs="Arial"/>
        </w:rPr>
        <w:t>du protocole d’</w:t>
      </w:r>
      <w:r w:rsidRPr="00CB2809">
        <w:rPr>
          <w:rFonts w:cs="Arial"/>
        </w:rPr>
        <w:t xml:space="preserve">Arusha </w:t>
      </w:r>
      <w:r>
        <w:rPr>
          <w:rFonts w:cs="Arial"/>
        </w:rPr>
        <w:t xml:space="preserve">par le Conseil administratif à sa </w:t>
      </w:r>
      <w:r w:rsidRPr="000C7734">
        <w:rPr>
          <w:rFonts w:cs="Arial"/>
        </w:rPr>
        <w:t>quarantième session</w:t>
      </w:r>
      <w:r w:rsidRPr="00CB2809">
        <w:rPr>
          <w:rFonts w:cs="Arial"/>
        </w:rPr>
        <w:t xml:space="preserve"> </w:t>
      </w:r>
      <w:r>
        <w:rPr>
          <w:rFonts w:cs="Arial"/>
        </w:rPr>
        <w:t>–</w:t>
      </w:r>
      <w:r w:rsidRPr="00CB2809">
        <w:rPr>
          <w:rFonts w:cs="Arial"/>
        </w:rPr>
        <w:t xml:space="preserve"> </w:t>
      </w:r>
      <w:r>
        <w:rPr>
          <w:rFonts w:cs="Arial"/>
        </w:rPr>
        <w:t>novembre </w:t>
      </w:r>
      <w:r w:rsidRPr="00CB2809">
        <w:rPr>
          <w:rFonts w:cs="Arial"/>
        </w:rPr>
        <w:t>2016.</w:t>
      </w:r>
    </w:p>
    <w:p w:rsidR="00BD634F" w:rsidRPr="00CB2809" w:rsidRDefault="00BD634F" w:rsidP="00BD634F">
      <w:pPr>
        <w:rPr>
          <w:rFonts w:cs="Arial"/>
        </w:rPr>
      </w:pPr>
    </w:p>
    <w:p w:rsidR="00BD634F" w:rsidRPr="00CB2809" w:rsidRDefault="00BD634F" w:rsidP="00BD634F">
      <w:r>
        <w:rPr>
          <w:bCs/>
        </w:rPr>
        <w:t xml:space="preserve">Le </w:t>
      </w:r>
      <w:r w:rsidRPr="00DE1EC7">
        <w:rPr>
          <w:bCs/>
        </w:rPr>
        <w:t>Secrétariat de l</w:t>
      </w:r>
      <w:r>
        <w:rPr>
          <w:bCs/>
        </w:rPr>
        <w:t>’</w:t>
      </w:r>
      <w:r w:rsidRPr="00DE1EC7">
        <w:t xml:space="preserve">ARIPO </w:t>
      </w:r>
      <w:r>
        <w:t>élabore actuellement un plan d’action en vue de la création d’un service chargé de l’enregistrement des obtentions végétales</w:t>
      </w:r>
      <w:r w:rsidRPr="00CB2809">
        <w:t xml:space="preserve">.  </w:t>
      </w:r>
      <w:r>
        <w:t>Des lignes directrices pour l’identification et la sélection de centres d’excellence au sein des États membres afin d’effectuer les examens DHS ont été mises en place</w:t>
      </w:r>
      <w:r w:rsidRPr="00CB2809">
        <w:t>.</w:t>
      </w:r>
    </w:p>
    <w:p w:rsidR="00BD634F" w:rsidRPr="00CB2809" w:rsidRDefault="00BD634F" w:rsidP="00BD634F"/>
    <w:p w:rsidR="00BD634F" w:rsidRPr="00CB2809" w:rsidRDefault="00BD634F" w:rsidP="00BD634F">
      <w:pPr>
        <w:spacing w:after="200" w:line="276" w:lineRule="auto"/>
      </w:pPr>
      <w:r w:rsidRPr="00CB2809">
        <w:br w:type="page"/>
      </w:r>
    </w:p>
    <w:p w:rsidR="00BD634F" w:rsidRPr="00CB2809" w:rsidRDefault="00BD634F" w:rsidP="00BD634F">
      <w:pPr>
        <w:jc w:val="center"/>
      </w:pPr>
      <w:r w:rsidRPr="00CB2809">
        <w:t>APPENDI</w:t>
      </w:r>
      <w:r>
        <w:t>CE</w:t>
      </w:r>
    </w:p>
    <w:p w:rsidR="00BD634F" w:rsidRPr="00CB2809" w:rsidRDefault="00BD634F" w:rsidP="00BD634F"/>
    <w:p w:rsidR="00BD634F" w:rsidRPr="00CB2809" w:rsidRDefault="00BD634F" w:rsidP="00BD634F"/>
    <w:p w:rsidR="00BD634F" w:rsidRPr="00CB2809" w:rsidRDefault="00BD634F" w:rsidP="00BD634F">
      <w:pPr>
        <w:rPr>
          <w:rFonts w:cs="Arial"/>
        </w:rPr>
      </w:pPr>
      <w:r>
        <w:rPr>
          <w:rFonts w:cs="Arial"/>
        </w:rPr>
        <w:t>Le tableau ci</w:t>
      </w:r>
      <w:r>
        <w:rPr>
          <w:rFonts w:cs="Arial"/>
        </w:rPr>
        <w:noBreakHyphen/>
        <w:t xml:space="preserve">dessous présente les modifications apportées au cours de la procédure d’adoption du </w:t>
      </w:r>
      <w:r w:rsidRPr="009E7F85">
        <w:rPr>
          <w:rFonts w:cs="Arial"/>
          <w:bCs/>
        </w:rPr>
        <w:t>projet de protocole de l</w:t>
      </w:r>
      <w:r>
        <w:rPr>
          <w:rFonts w:cs="Arial"/>
          <w:bCs/>
        </w:rPr>
        <w:t>’</w:t>
      </w:r>
      <w:r w:rsidRPr="009E7F85">
        <w:rPr>
          <w:rFonts w:cs="Arial"/>
          <w:bCs/>
        </w:rPr>
        <w:t>ARIPO pour la protection des obtentions végétales</w:t>
      </w:r>
      <w:r w:rsidRPr="00CB2809">
        <w:rPr>
          <w:rFonts w:cs="Arial"/>
        </w:rPr>
        <w:t xml:space="preserve">, </w:t>
      </w:r>
      <w:r>
        <w:rPr>
          <w:rFonts w:cs="Arial"/>
        </w:rPr>
        <w:t xml:space="preserve">et qui ne </w:t>
      </w:r>
      <w:r w:rsidR="00772AD1">
        <w:rPr>
          <w:rFonts w:cs="Arial"/>
        </w:rPr>
        <w:t>faisaient</w:t>
      </w:r>
      <w:r>
        <w:rPr>
          <w:rFonts w:cs="Arial"/>
        </w:rPr>
        <w:t xml:space="preserve"> pas </w:t>
      </w:r>
      <w:r w:rsidR="00772AD1">
        <w:rPr>
          <w:rFonts w:cs="Arial"/>
        </w:rPr>
        <w:t xml:space="preserve">partie de </w:t>
      </w:r>
      <w:r>
        <w:rPr>
          <w:rFonts w:cs="Arial"/>
        </w:rPr>
        <w:t>la décision du Conseil de l’</w:t>
      </w:r>
      <w:r w:rsidRPr="00CB2809">
        <w:rPr>
          <w:rFonts w:cs="Arial"/>
        </w:rPr>
        <w:t>UPOV </w:t>
      </w:r>
      <w:r>
        <w:rPr>
          <w:rFonts w:cs="Arial"/>
        </w:rPr>
        <w:t xml:space="preserve">du </w:t>
      </w:r>
      <w:r w:rsidRPr="00CB2809">
        <w:rPr>
          <w:rFonts w:cs="Arial"/>
        </w:rPr>
        <w:t>11</w:t>
      </w:r>
      <w:r>
        <w:rPr>
          <w:rFonts w:cs="Arial"/>
        </w:rPr>
        <w:t> avril </w:t>
      </w:r>
      <w:r w:rsidRPr="00CB2809">
        <w:rPr>
          <w:rFonts w:cs="Arial"/>
        </w:rPr>
        <w:t>2014.</w:t>
      </w:r>
    </w:p>
    <w:p w:rsidR="00BD634F" w:rsidRPr="00CB2809" w:rsidRDefault="00BD634F" w:rsidP="00BD634F">
      <w:pPr>
        <w:rPr>
          <w:rFonts w:cs="Arial"/>
        </w:rPr>
      </w:pPr>
    </w:p>
    <w:tbl>
      <w:tblPr>
        <w:tblW w:w="963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159"/>
        <w:gridCol w:w="3740"/>
        <w:gridCol w:w="3740"/>
      </w:tblGrid>
      <w:tr w:rsidR="00BD634F" w:rsidRPr="00CB2809" w:rsidTr="006D5FBC">
        <w:trPr>
          <w:cantSplit/>
          <w:tblHeader/>
        </w:trPr>
        <w:tc>
          <w:tcPr>
            <w:tcW w:w="2159" w:type="dxa"/>
            <w:tcBorders>
              <w:top w:val="single" w:sz="4" w:space="0" w:color="auto"/>
              <w:left w:val="single" w:sz="4" w:space="0" w:color="auto"/>
              <w:bottom w:val="single" w:sz="4" w:space="0" w:color="auto"/>
              <w:right w:val="single" w:sz="4" w:space="0" w:color="auto"/>
            </w:tcBorders>
            <w:shd w:val="clear" w:color="auto" w:fill="D9D9D9"/>
            <w:hideMark/>
          </w:tcPr>
          <w:p w:rsidR="00BD634F" w:rsidRPr="00CB2809" w:rsidRDefault="00BD634F" w:rsidP="006D5FBC">
            <w:pPr>
              <w:jc w:val="center"/>
              <w:rPr>
                <w:rFonts w:cs="Arial"/>
                <w:b/>
              </w:rPr>
            </w:pPr>
            <w:r w:rsidRPr="00CB2809">
              <w:rPr>
                <w:rFonts w:cs="Arial"/>
                <w:b/>
              </w:rPr>
              <w:t>ARTICLE</w:t>
            </w:r>
          </w:p>
        </w:tc>
        <w:tc>
          <w:tcPr>
            <w:tcW w:w="3740" w:type="dxa"/>
            <w:tcBorders>
              <w:top w:val="single" w:sz="4" w:space="0" w:color="auto"/>
              <w:left w:val="single" w:sz="4" w:space="0" w:color="auto"/>
              <w:bottom w:val="single" w:sz="4" w:space="0" w:color="auto"/>
              <w:right w:val="single" w:sz="4" w:space="0" w:color="auto"/>
            </w:tcBorders>
            <w:shd w:val="clear" w:color="auto" w:fill="D9D9D9"/>
            <w:hideMark/>
          </w:tcPr>
          <w:p w:rsidR="00BD634F" w:rsidRPr="00CB2809" w:rsidRDefault="00BD634F" w:rsidP="006D5FBC">
            <w:pPr>
              <w:jc w:val="center"/>
              <w:rPr>
                <w:rFonts w:cs="Arial"/>
                <w:b/>
              </w:rPr>
            </w:pPr>
            <w:r>
              <w:rPr>
                <w:rFonts w:cs="Arial"/>
                <w:b/>
              </w:rPr>
              <w:t>PROJET DE T</w:t>
            </w:r>
            <w:r w:rsidRPr="00CB2809">
              <w:rPr>
                <w:rFonts w:cs="Arial"/>
                <w:b/>
              </w:rPr>
              <w:t>EXT</w:t>
            </w:r>
            <w:r>
              <w:rPr>
                <w:rFonts w:cs="Arial"/>
                <w:b/>
              </w:rPr>
              <w:t>E</w:t>
            </w:r>
          </w:p>
        </w:tc>
        <w:tc>
          <w:tcPr>
            <w:tcW w:w="3740" w:type="dxa"/>
            <w:tcBorders>
              <w:top w:val="single" w:sz="4" w:space="0" w:color="auto"/>
              <w:left w:val="single" w:sz="4" w:space="0" w:color="auto"/>
              <w:bottom w:val="single" w:sz="4" w:space="0" w:color="auto"/>
              <w:right w:val="single" w:sz="4" w:space="0" w:color="auto"/>
            </w:tcBorders>
            <w:shd w:val="clear" w:color="auto" w:fill="D9D9D9"/>
            <w:hideMark/>
          </w:tcPr>
          <w:p w:rsidR="00BD634F" w:rsidRPr="00CB2809" w:rsidRDefault="00BD634F" w:rsidP="006D5FBC">
            <w:pPr>
              <w:jc w:val="center"/>
              <w:rPr>
                <w:rFonts w:cs="Arial"/>
                <w:b/>
              </w:rPr>
            </w:pPr>
            <w:r>
              <w:rPr>
                <w:rFonts w:cs="Arial"/>
                <w:b/>
              </w:rPr>
              <w:t xml:space="preserve">TEXTE </w:t>
            </w:r>
            <w:r w:rsidRPr="00CB2809">
              <w:rPr>
                <w:rFonts w:cs="Arial"/>
                <w:b/>
              </w:rPr>
              <w:t>ADOPT</w:t>
            </w:r>
            <w:r>
              <w:rPr>
                <w:rFonts w:cs="Arial"/>
                <w:b/>
              </w:rPr>
              <w:t>É</w:t>
            </w:r>
          </w:p>
        </w:tc>
      </w:tr>
      <w:tr w:rsidR="00BD634F" w:rsidRPr="00497366" w:rsidTr="006D5FBC">
        <w:trPr>
          <w:cantSplit/>
        </w:trPr>
        <w:tc>
          <w:tcPr>
            <w:tcW w:w="2159" w:type="dxa"/>
            <w:tcBorders>
              <w:top w:val="single" w:sz="4" w:space="0" w:color="auto"/>
              <w:left w:val="single" w:sz="4" w:space="0" w:color="auto"/>
              <w:bottom w:val="single" w:sz="4" w:space="0" w:color="auto"/>
              <w:right w:val="single" w:sz="4" w:space="0" w:color="auto"/>
            </w:tcBorders>
          </w:tcPr>
          <w:p w:rsidR="00BD634F" w:rsidRPr="00CB2809" w:rsidRDefault="00BD634F" w:rsidP="006D5FBC">
            <w:pPr>
              <w:jc w:val="center"/>
              <w:rPr>
                <w:rFonts w:cs="Arial"/>
                <w:b/>
              </w:rPr>
            </w:pPr>
            <w:r w:rsidRPr="00CB2809">
              <w:rPr>
                <w:rFonts w:cs="Arial"/>
                <w:b/>
              </w:rPr>
              <w:t>Article</w:t>
            </w:r>
            <w:r>
              <w:rPr>
                <w:rFonts w:cs="Arial"/>
                <w:b/>
              </w:rPr>
              <w:t> </w:t>
            </w:r>
            <w:r w:rsidRPr="00CB2809">
              <w:rPr>
                <w:rFonts w:cs="Arial"/>
                <w:b/>
              </w:rPr>
              <w:t>1</w:t>
            </w:r>
          </w:p>
          <w:p w:rsidR="00BD634F" w:rsidRPr="00CB2809" w:rsidRDefault="00BD634F" w:rsidP="006D5FBC">
            <w:pPr>
              <w:jc w:val="center"/>
              <w:rPr>
                <w:rFonts w:cs="Arial"/>
                <w:b/>
              </w:rPr>
            </w:pPr>
            <w:r w:rsidRPr="00CB2809">
              <w:rPr>
                <w:rFonts w:cs="Arial"/>
                <w:b/>
              </w:rPr>
              <w:t>D</w:t>
            </w:r>
            <w:r>
              <w:rPr>
                <w:rFonts w:cs="Arial"/>
                <w:b/>
              </w:rPr>
              <w:t>é</w:t>
            </w:r>
            <w:r w:rsidRPr="00CB2809">
              <w:rPr>
                <w:rFonts w:cs="Arial"/>
                <w:b/>
              </w:rPr>
              <w:t>finitions</w:t>
            </w:r>
          </w:p>
          <w:p w:rsidR="00BD634F" w:rsidRPr="00CB2809" w:rsidRDefault="00BD634F" w:rsidP="006D5FBC">
            <w:pPr>
              <w:jc w:val="center"/>
              <w:rPr>
                <w:rFonts w:cs="Arial"/>
                <w:b/>
              </w:rPr>
            </w:pPr>
          </w:p>
          <w:p w:rsidR="00BD634F" w:rsidRDefault="00BD634F" w:rsidP="006D5FBC">
            <w:pPr>
              <w:widowControl w:val="0"/>
              <w:rPr>
                <w:rFonts w:cs="Arial"/>
              </w:rPr>
            </w:pPr>
            <w:r w:rsidRPr="00CB2809">
              <w:rPr>
                <w:rFonts w:cs="Arial"/>
              </w:rPr>
              <w:t>“</w:t>
            </w:r>
            <w:r>
              <w:rPr>
                <w:rFonts w:cs="Arial"/>
              </w:rPr>
              <w:t>Conseil a</w:t>
            </w:r>
            <w:r w:rsidRPr="00CB2809">
              <w:rPr>
                <w:rFonts w:cs="Arial"/>
              </w:rPr>
              <w:t>dministrati</w:t>
            </w:r>
            <w:r>
              <w:rPr>
                <w:rFonts w:cs="Arial"/>
              </w:rPr>
              <w:t>f</w:t>
            </w:r>
            <w:r w:rsidRPr="00CB2809">
              <w:rPr>
                <w:rFonts w:cs="Arial"/>
              </w:rPr>
              <w:t xml:space="preserve"> </w:t>
            </w:r>
            <w:r>
              <w:rPr>
                <w:rFonts w:cs="Arial"/>
              </w:rPr>
              <w:t>de la protection des obtentions végétales</w:t>
            </w:r>
            <w:r w:rsidRPr="00CB2809">
              <w:rPr>
                <w:rFonts w:cs="Arial"/>
              </w:rPr>
              <w:t>”</w:t>
            </w:r>
          </w:p>
          <w:p w:rsidR="00BD634F" w:rsidRPr="00CB2809" w:rsidRDefault="00BD634F" w:rsidP="006D5FBC">
            <w:pPr>
              <w:rPr>
                <w:rFonts w:cs="Arial"/>
              </w:rPr>
            </w:pPr>
          </w:p>
        </w:tc>
        <w:tc>
          <w:tcPr>
            <w:tcW w:w="3740" w:type="dxa"/>
            <w:tcBorders>
              <w:top w:val="single" w:sz="4" w:space="0" w:color="auto"/>
              <w:left w:val="single" w:sz="4" w:space="0" w:color="auto"/>
              <w:bottom w:val="single" w:sz="4" w:space="0" w:color="auto"/>
              <w:right w:val="single" w:sz="4" w:space="0" w:color="auto"/>
            </w:tcBorders>
          </w:tcPr>
          <w:p w:rsidR="00BD634F" w:rsidRPr="00CB2809" w:rsidRDefault="00BD634F" w:rsidP="006D5FBC">
            <w:pPr>
              <w:jc w:val="center"/>
              <w:rPr>
                <w:rFonts w:cs="Arial"/>
                <w:b/>
              </w:rPr>
            </w:pPr>
            <w:r w:rsidRPr="00CB2809">
              <w:rPr>
                <w:rFonts w:cs="Arial"/>
                <w:b/>
              </w:rPr>
              <w:t>Article</w:t>
            </w:r>
            <w:r>
              <w:rPr>
                <w:rFonts w:cs="Arial"/>
                <w:b/>
              </w:rPr>
              <w:t> </w:t>
            </w:r>
            <w:r w:rsidRPr="00CB2809">
              <w:rPr>
                <w:rFonts w:cs="Arial"/>
                <w:b/>
              </w:rPr>
              <w:t>1</w:t>
            </w:r>
          </w:p>
          <w:p w:rsidR="00BD634F" w:rsidRPr="00CB2809" w:rsidRDefault="00BD634F" w:rsidP="006D5FBC">
            <w:pPr>
              <w:jc w:val="center"/>
              <w:rPr>
                <w:rFonts w:cs="Arial"/>
                <w:b/>
              </w:rPr>
            </w:pPr>
            <w:r>
              <w:rPr>
                <w:rFonts w:cs="Arial"/>
                <w:b/>
              </w:rPr>
              <w:t>Définitions</w:t>
            </w:r>
          </w:p>
          <w:p w:rsidR="00BD634F" w:rsidRPr="00CB2809" w:rsidRDefault="00BD634F" w:rsidP="006D5FBC">
            <w:pPr>
              <w:jc w:val="center"/>
              <w:rPr>
                <w:rFonts w:cs="Arial"/>
                <w:b/>
              </w:rPr>
            </w:pPr>
          </w:p>
          <w:p w:rsidR="00BD634F" w:rsidRPr="00CB2809" w:rsidRDefault="00BD634F" w:rsidP="006D5FBC">
            <w:pPr>
              <w:widowControl w:val="0"/>
              <w:rPr>
                <w:rFonts w:cs="Arial"/>
              </w:rPr>
            </w:pPr>
            <w:r>
              <w:rPr>
                <w:rFonts w:cs="Arial"/>
              </w:rPr>
              <w:t xml:space="preserve">on entend par </w:t>
            </w:r>
            <w:r w:rsidRPr="00CB2809">
              <w:rPr>
                <w:rFonts w:cs="Arial"/>
              </w:rPr>
              <w:t>“</w:t>
            </w:r>
            <w:r w:rsidRPr="00864FDC">
              <w:rPr>
                <w:rFonts w:cs="Arial"/>
              </w:rPr>
              <w:t>Conseil administratif de la protection des obtentions vé</w:t>
            </w:r>
            <w:r>
              <w:rPr>
                <w:rFonts w:cs="Arial"/>
              </w:rPr>
              <w:t>g</w:t>
            </w:r>
            <w:r w:rsidRPr="00864FDC">
              <w:rPr>
                <w:rFonts w:cs="Arial"/>
              </w:rPr>
              <w:t>étales</w:t>
            </w:r>
            <w:r w:rsidRPr="00CB2809">
              <w:rPr>
                <w:rFonts w:cs="Arial"/>
              </w:rPr>
              <w:t xml:space="preserve">” </w:t>
            </w:r>
            <w:r>
              <w:rPr>
                <w:rFonts w:cs="Arial"/>
              </w:rPr>
              <w:t xml:space="preserve">un organe composé des </w:t>
            </w:r>
            <w:r w:rsidRPr="00EF24A8">
              <w:rPr>
                <w:rFonts w:cs="Arial"/>
              </w:rPr>
              <w:t>chefs des offices s</w:t>
            </w:r>
            <w:r>
              <w:rPr>
                <w:rFonts w:cs="Arial"/>
              </w:rPr>
              <w:t>’</w:t>
            </w:r>
            <w:r w:rsidRPr="00EF24A8">
              <w:rPr>
                <w:rFonts w:cs="Arial"/>
              </w:rPr>
              <w:t>occ</w:t>
            </w:r>
            <w:r>
              <w:rPr>
                <w:rFonts w:cs="Arial"/>
              </w:rPr>
              <w:t>upant de l’administration des droits d’obtenteur</w:t>
            </w:r>
            <w:r w:rsidRPr="00EF24A8">
              <w:rPr>
                <w:rFonts w:cs="Arial"/>
              </w:rPr>
              <w:t xml:space="preserve"> des </w:t>
            </w:r>
            <w:r>
              <w:rPr>
                <w:rFonts w:cs="Arial"/>
              </w:rPr>
              <w:t>États contractants du présent protocole</w:t>
            </w:r>
            <w:r w:rsidRPr="00EF24A8">
              <w:rPr>
                <w:rFonts w:cs="Arial"/>
              </w:rPr>
              <w:t xml:space="preserve">, chaque </w:t>
            </w:r>
            <w:r>
              <w:rPr>
                <w:rFonts w:cs="Arial"/>
              </w:rPr>
              <w:t>État contractant</w:t>
            </w:r>
            <w:r w:rsidRPr="00EF24A8">
              <w:rPr>
                <w:rFonts w:cs="Arial"/>
              </w:rPr>
              <w:t xml:space="preserve"> pouvant se faire représenter au Conseil d</w:t>
            </w:r>
            <w:r>
              <w:rPr>
                <w:rFonts w:cs="Arial"/>
              </w:rPr>
              <w:t>’</w:t>
            </w:r>
            <w:r w:rsidRPr="00EF24A8">
              <w:rPr>
                <w:rFonts w:cs="Arial"/>
              </w:rPr>
              <w:t>administration par une autre personne qu</w:t>
            </w:r>
            <w:r>
              <w:rPr>
                <w:rFonts w:cs="Arial"/>
              </w:rPr>
              <w:t>’</w:t>
            </w:r>
            <w:r w:rsidRPr="00EF24A8">
              <w:rPr>
                <w:rFonts w:cs="Arial"/>
              </w:rPr>
              <w:t>il considère comme ayant l</w:t>
            </w:r>
            <w:r>
              <w:rPr>
                <w:rFonts w:cs="Arial"/>
              </w:rPr>
              <w:t>’</w:t>
            </w:r>
            <w:r w:rsidRPr="00EF24A8">
              <w:rPr>
                <w:rFonts w:cs="Arial"/>
              </w:rPr>
              <w:t xml:space="preserve">expérience requise des questions de </w:t>
            </w:r>
            <w:r>
              <w:rPr>
                <w:rFonts w:cs="Arial"/>
              </w:rPr>
              <w:t>droits d’obtenteur</w:t>
            </w:r>
            <w:r w:rsidRPr="00CB2809">
              <w:rPr>
                <w:rFonts w:cs="Arial"/>
              </w:rPr>
              <w:t>;</w:t>
            </w:r>
          </w:p>
        </w:tc>
        <w:tc>
          <w:tcPr>
            <w:tcW w:w="3740" w:type="dxa"/>
            <w:tcBorders>
              <w:top w:val="single" w:sz="4" w:space="0" w:color="auto"/>
              <w:left w:val="single" w:sz="4" w:space="0" w:color="auto"/>
              <w:bottom w:val="single" w:sz="4" w:space="0" w:color="auto"/>
              <w:right w:val="single" w:sz="4" w:space="0" w:color="auto"/>
            </w:tcBorders>
          </w:tcPr>
          <w:p w:rsidR="00BD634F" w:rsidRPr="00CB2809" w:rsidRDefault="00BD634F" w:rsidP="006D5FBC">
            <w:pPr>
              <w:jc w:val="center"/>
              <w:rPr>
                <w:rFonts w:cs="Arial"/>
                <w:b/>
              </w:rPr>
            </w:pPr>
            <w:r w:rsidRPr="00CB2809">
              <w:rPr>
                <w:rFonts w:cs="Arial"/>
                <w:b/>
              </w:rPr>
              <w:t>Article</w:t>
            </w:r>
            <w:r>
              <w:rPr>
                <w:rFonts w:cs="Arial"/>
                <w:b/>
              </w:rPr>
              <w:t> </w:t>
            </w:r>
            <w:r w:rsidRPr="00CB2809">
              <w:rPr>
                <w:rFonts w:cs="Arial"/>
                <w:b/>
              </w:rPr>
              <w:t>1</w:t>
            </w:r>
          </w:p>
          <w:p w:rsidR="00BD634F" w:rsidRPr="00CB2809" w:rsidRDefault="00BD634F" w:rsidP="006D5FBC">
            <w:pPr>
              <w:jc w:val="center"/>
              <w:rPr>
                <w:rFonts w:cs="Arial"/>
                <w:b/>
              </w:rPr>
            </w:pPr>
            <w:r>
              <w:rPr>
                <w:rFonts w:cs="Arial"/>
                <w:b/>
              </w:rPr>
              <w:t>Définitions</w:t>
            </w:r>
          </w:p>
          <w:p w:rsidR="00BD634F" w:rsidRPr="00CB2809" w:rsidRDefault="00BD634F" w:rsidP="006D5FBC">
            <w:pPr>
              <w:jc w:val="center"/>
              <w:rPr>
                <w:rFonts w:cs="Arial"/>
                <w:b/>
              </w:rPr>
            </w:pPr>
          </w:p>
          <w:p w:rsidR="00BD634F" w:rsidRPr="00CB2809" w:rsidRDefault="00BD634F" w:rsidP="006D5FBC">
            <w:pPr>
              <w:rPr>
                <w:rFonts w:cs="Arial"/>
              </w:rPr>
            </w:pPr>
            <w:r w:rsidRPr="00512E56">
              <w:rPr>
                <w:rFonts w:cs="Arial"/>
              </w:rPr>
              <w:t>on entend par “Conseil administratif”</w:t>
            </w:r>
            <w:r>
              <w:rPr>
                <w:rFonts w:cs="Arial"/>
              </w:rPr>
              <w:t xml:space="preserve"> le Conseil administratif mis en place en vertu de </w:t>
            </w:r>
            <w:r w:rsidRPr="00512E56">
              <w:rPr>
                <w:rFonts w:cs="Arial"/>
              </w:rPr>
              <w:t>l</w:t>
            </w:r>
            <w:r>
              <w:rPr>
                <w:rFonts w:cs="Arial"/>
              </w:rPr>
              <w:t>’</w:t>
            </w:r>
            <w:r w:rsidRPr="00512E56">
              <w:rPr>
                <w:rFonts w:cs="Arial"/>
              </w:rPr>
              <w:t>Accord sur la création d</w:t>
            </w:r>
            <w:r>
              <w:rPr>
                <w:rFonts w:cs="Arial"/>
              </w:rPr>
              <w:t>’</w:t>
            </w:r>
            <w:r w:rsidRPr="00512E56">
              <w:rPr>
                <w:rFonts w:cs="Arial"/>
              </w:rPr>
              <w:t>une Organisation régionale africaine de la propriété intellectuelle (ARIPO)</w:t>
            </w:r>
            <w:r w:rsidRPr="00CB2809">
              <w:rPr>
                <w:rFonts w:cs="Arial"/>
              </w:rPr>
              <w:t>;</w:t>
            </w:r>
          </w:p>
          <w:p w:rsidR="00BD634F" w:rsidRPr="00CB2809" w:rsidRDefault="00BD634F" w:rsidP="006D5FBC">
            <w:pPr>
              <w:rPr>
                <w:rFonts w:cs="Arial"/>
                <w:strike/>
              </w:rPr>
            </w:pPr>
          </w:p>
        </w:tc>
      </w:tr>
      <w:tr w:rsidR="00BD634F" w:rsidRPr="00497366" w:rsidTr="006D5FBC">
        <w:trPr>
          <w:cantSplit/>
        </w:trPr>
        <w:tc>
          <w:tcPr>
            <w:tcW w:w="2159" w:type="dxa"/>
            <w:tcBorders>
              <w:top w:val="single" w:sz="4" w:space="0" w:color="auto"/>
              <w:left w:val="single" w:sz="4" w:space="0" w:color="auto"/>
              <w:bottom w:val="single" w:sz="4" w:space="0" w:color="auto"/>
              <w:right w:val="single" w:sz="4" w:space="0" w:color="auto"/>
            </w:tcBorders>
          </w:tcPr>
          <w:p w:rsidR="00BD634F" w:rsidRPr="00CB2809" w:rsidRDefault="00BD634F" w:rsidP="006D5FBC">
            <w:pPr>
              <w:rPr>
                <w:rFonts w:cs="Arial"/>
                <w:b/>
              </w:rPr>
            </w:pPr>
            <w:r w:rsidRPr="00CB2809">
              <w:rPr>
                <w:rFonts w:cs="Arial"/>
              </w:rPr>
              <w:t>“agent o</w:t>
            </w:r>
            <w:r>
              <w:rPr>
                <w:rFonts w:cs="Arial"/>
              </w:rPr>
              <w:t>u</w:t>
            </w:r>
            <w:r w:rsidRPr="00CB2809">
              <w:rPr>
                <w:rFonts w:cs="Arial"/>
              </w:rPr>
              <w:t xml:space="preserve"> repr</w:t>
            </w:r>
            <w:r>
              <w:rPr>
                <w:rFonts w:cs="Arial"/>
              </w:rPr>
              <w:t>é</w:t>
            </w:r>
            <w:r w:rsidRPr="00CB2809">
              <w:rPr>
                <w:rFonts w:cs="Arial"/>
              </w:rPr>
              <w:t>senta</w:t>
            </w:r>
            <w:r>
              <w:rPr>
                <w:rFonts w:cs="Arial"/>
              </w:rPr>
              <w:t>nt</w:t>
            </w:r>
            <w:r w:rsidRPr="00CB2809">
              <w:rPr>
                <w:rFonts w:cs="Arial"/>
              </w:rPr>
              <w:t>”</w:t>
            </w:r>
          </w:p>
        </w:tc>
        <w:tc>
          <w:tcPr>
            <w:tcW w:w="3740" w:type="dxa"/>
            <w:tcBorders>
              <w:top w:val="single" w:sz="4" w:space="0" w:color="auto"/>
              <w:left w:val="single" w:sz="4" w:space="0" w:color="auto"/>
              <w:bottom w:val="single" w:sz="4" w:space="0" w:color="auto"/>
              <w:right w:val="single" w:sz="4" w:space="0" w:color="auto"/>
            </w:tcBorders>
          </w:tcPr>
          <w:p w:rsidR="00BD634F" w:rsidRPr="00CB2809" w:rsidRDefault="00BD634F" w:rsidP="006D5FBC">
            <w:pPr>
              <w:rPr>
                <w:rFonts w:cs="Arial"/>
              </w:rPr>
            </w:pPr>
            <w:r>
              <w:rPr>
                <w:rFonts w:cs="Arial"/>
              </w:rPr>
              <w:t xml:space="preserve">on entend par </w:t>
            </w:r>
            <w:r w:rsidRPr="0092590E">
              <w:rPr>
                <w:rFonts w:cs="Arial"/>
              </w:rPr>
              <w:t>“agent ou représentant”</w:t>
            </w:r>
            <w:r w:rsidRPr="00CB2809">
              <w:rPr>
                <w:rFonts w:cs="Arial"/>
              </w:rPr>
              <w:t xml:space="preserve"> </w:t>
            </w:r>
            <w:r>
              <w:rPr>
                <w:rFonts w:cs="Arial"/>
              </w:rPr>
              <w:t>un représentant légalement reconnu et autorisé à représenter l’obtenteur ou le titulaire des droits d’obtenteur, qui est domicilié ou qui possède un bureau dans le pays hôte de l’</w:t>
            </w:r>
            <w:r w:rsidRPr="00CB2809">
              <w:rPr>
                <w:rFonts w:cs="Arial"/>
              </w:rPr>
              <w:t xml:space="preserve">ARIPO </w:t>
            </w:r>
            <w:r>
              <w:rPr>
                <w:rFonts w:cs="Arial"/>
              </w:rPr>
              <w:t>ou dans les États contractants du présent protocole et qui a été habilité par un pouvoir spécial à agir au nom de l’obtenteur ou du titulaire des droits d’obtenteur</w:t>
            </w:r>
            <w:r w:rsidRPr="00CB2809">
              <w:rPr>
                <w:rFonts w:cs="Arial"/>
              </w:rPr>
              <w:t>;</w:t>
            </w:r>
          </w:p>
        </w:tc>
        <w:tc>
          <w:tcPr>
            <w:tcW w:w="3740" w:type="dxa"/>
            <w:tcBorders>
              <w:top w:val="single" w:sz="4" w:space="0" w:color="auto"/>
              <w:left w:val="single" w:sz="4" w:space="0" w:color="auto"/>
              <w:bottom w:val="single" w:sz="4" w:space="0" w:color="auto"/>
              <w:right w:val="single" w:sz="4" w:space="0" w:color="auto"/>
            </w:tcBorders>
          </w:tcPr>
          <w:p w:rsidR="00BD634F" w:rsidRPr="00CB2809" w:rsidRDefault="00BD634F" w:rsidP="006D5FBC">
            <w:pPr>
              <w:rPr>
                <w:rFonts w:cs="Arial"/>
              </w:rPr>
            </w:pPr>
            <w:r w:rsidRPr="00BF43B5">
              <w:rPr>
                <w:rFonts w:cs="Arial"/>
              </w:rPr>
              <w:t>on entend par “agent ou représentant” un représentant légalement reconnu et autorisé à représenter l</w:t>
            </w:r>
            <w:r>
              <w:rPr>
                <w:rFonts w:cs="Arial"/>
              </w:rPr>
              <w:t>’</w:t>
            </w:r>
            <w:r w:rsidRPr="00BF43B5">
              <w:rPr>
                <w:rFonts w:cs="Arial"/>
              </w:rPr>
              <w:t>obtenteur ou le titulaire des droits d</w:t>
            </w:r>
            <w:r>
              <w:rPr>
                <w:rFonts w:cs="Arial"/>
              </w:rPr>
              <w:t>’</w:t>
            </w:r>
            <w:r w:rsidRPr="00BF43B5">
              <w:rPr>
                <w:rFonts w:cs="Arial"/>
              </w:rPr>
              <w:t xml:space="preserve">obtenteur, qui </w:t>
            </w:r>
            <w:r>
              <w:rPr>
                <w:rFonts w:cs="Arial"/>
              </w:rPr>
              <w:t>est domicilié</w:t>
            </w:r>
            <w:r w:rsidRPr="00BF43B5">
              <w:rPr>
                <w:rFonts w:cs="Arial"/>
              </w:rPr>
              <w:t xml:space="preserve"> dans les États contractants du présent protocole et qui a été habilité par un pouvoir spécial à agir au nom de l</w:t>
            </w:r>
            <w:r>
              <w:rPr>
                <w:rFonts w:cs="Arial"/>
              </w:rPr>
              <w:t>’</w:t>
            </w:r>
            <w:r w:rsidRPr="00BF43B5">
              <w:rPr>
                <w:rFonts w:cs="Arial"/>
              </w:rPr>
              <w:t>obtenteur ou du titulaire des droits d</w:t>
            </w:r>
            <w:r>
              <w:rPr>
                <w:rFonts w:cs="Arial"/>
              </w:rPr>
              <w:t>’</w:t>
            </w:r>
            <w:r w:rsidRPr="00BF43B5">
              <w:rPr>
                <w:rFonts w:cs="Arial"/>
              </w:rPr>
              <w:t>obtenteur</w:t>
            </w:r>
            <w:r w:rsidRPr="00CB2809">
              <w:rPr>
                <w:rFonts w:cs="Arial"/>
              </w:rPr>
              <w:t>;</w:t>
            </w:r>
          </w:p>
        </w:tc>
      </w:tr>
      <w:tr w:rsidR="00BD634F" w:rsidRPr="00CB2809" w:rsidTr="006D5FBC">
        <w:trPr>
          <w:cantSplit/>
        </w:trPr>
        <w:tc>
          <w:tcPr>
            <w:tcW w:w="2159" w:type="dxa"/>
            <w:tcBorders>
              <w:top w:val="single" w:sz="4" w:space="0" w:color="auto"/>
              <w:left w:val="single" w:sz="4" w:space="0" w:color="auto"/>
              <w:bottom w:val="single" w:sz="4" w:space="0" w:color="auto"/>
              <w:right w:val="single" w:sz="4" w:space="0" w:color="auto"/>
            </w:tcBorders>
          </w:tcPr>
          <w:p w:rsidR="00BD634F" w:rsidRDefault="00BD634F" w:rsidP="006D5FBC">
            <w:pPr>
              <w:rPr>
                <w:rFonts w:cs="Arial"/>
              </w:rPr>
            </w:pPr>
            <w:r w:rsidRPr="00CB2809">
              <w:rPr>
                <w:rFonts w:cs="Arial"/>
              </w:rPr>
              <w:t>“</w:t>
            </w:r>
            <w:r>
              <w:rPr>
                <w:rFonts w:cs="Arial"/>
              </w:rPr>
              <w:t>taxes annuelles</w:t>
            </w:r>
            <w:r w:rsidRPr="00CB2809">
              <w:rPr>
                <w:rFonts w:cs="Arial"/>
              </w:rPr>
              <w:t>”</w:t>
            </w:r>
          </w:p>
          <w:p w:rsidR="00BD634F" w:rsidRPr="00CB2809" w:rsidRDefault="00BD634F" w:rsidP="006D5FBC">
            <w:pPr>
              <w:rPr>
                <w:rFonts w:cs="Arial"/>
              </w:rPr>
            </w:pPr>
          </w:p>
        </w:tc>
        <w:tc>
          <w:tcPr>
            <w:tcW w:w="3740" w:type="dxa"/>
            <w:tcBorders>
              <w:top w:val="single" w:sz="4" w:space="0" w:color="auto"/>
              <w:left w:val="single" w:sz="4" w:space="0" w:color="auto"/>
              <w:bottom w:val="single" w:sz="4" w:space="0" w:color="auto"/>
              <w:right w:val="single" w:sz="4" w:space="0" w:color="auto"/>
            </w:tcBorders>
          </w:tcPr>
          <w:p w:rsidR="00BD634F" w:rsidRPr="00CB2809" w:rsidRDefault="00BD634F" w:rsidP="006D5FBC">
            <w:pPr>
              <w:rPr>
                <w:rFonts w:cs="Arial"/>
              </w:rPr>
            </w:pPr>
            <w:r>
              <w:rPr>
                <w:rFonts w:cs="Arial"/>
              </w:rPr>
              <w:t xml:space="preserve">on entend par </w:t>
            </w:r>
            <w:r w:rsidRPr="00CB2809">
              <w:rPr>
                <w:rFonts w:cs="Arial"/>
              </w:rPr>
              <w:t>“</w:t>
            </w:r>
            <w:r>
              <w:rPr>
                <w:rFonts w:cs="Arial"/>
              </w:rPr>
              <w:t>taxes annuelles</w:t>
            </w:r>
            <w:r w:rsidRPr="00CB2809">
              <w:rPr>
                <w:rFonts w:cs="Arial"/>
              </w:rPr>
              <w:t xml:space="preserve">” </w:t>
            </w:r>
            <w:r>
              <w:rPr>
                <w:rFonts w:cs="Arial"/>
              </w:rPr>
              <w:t>les taxes qu’un obtenteur est tenu de verser à l’Office de l’</w:t>
            </w:r>
            <w:r w:rsidRPr="00CB2809">
              <w:rPr>
                <w:rFonts w:cs="Arial"/>
              </w:rPr>
              <w:t xml:space="preserve">ARIPO </w:t>
            </w:r>
            <w:r>
              <w:rPr>
                <w:rFonts w:cs="Arial"/>
              </w:rPr>
              <w:t>afin de maintenir en vigueur son droit</w:t>
            </w:r>
            <w:r w:rsidRPr="00CB2809">
              <w:rPr>
                <w:rFonts w:cs="Arial"/>
              </w:rPr>
              <w:t>;</w:t>
            </w:r>
          </w:p>
        </w:tc>
        <w:tc>
          <w:tcPr>
            <w:tcW w:w="3740" w:type="dxa"/>
            <w:tcBorders>
              <w:top w:val="single" w:sz="4" w:space="0" w:color="auto"/>
              <w:left w:val="single" w:sz="4" w:space="0" w:color="auto"/>
              <w:bottom w:val="single" w:sz="4" w:space="0" w:color="auto"/>
              <w:right w:val="single" w:sz="4" w:space="0" w:color="auto"/>
            </w:tcBorders>
          </w:tcPr>
          <w:p w:rsidR="00BD634F" w:rsidRPr="00CB2809" w:rsidRDefault="00BD634F" w:rsidP="006D5FBC">
            <w:pPr>
              <w:rPr>
                <w:rFonts w:cs="Arial"/>
                <w:b/>
                <w:i/>
              </w:rPr>
            </w:pPr>
            <w:r w:rsidRPr="00CB2809">
              <w:rPr>
                <w:rFonts w:cs="Arial"/>
                <w:b/>
                <w:i/>
              </w:rPr>
              <w:t>D</w:t>
            </w:r>
            <w:r>
              <w:rPr>
                <w:rFonts w:cs="Arial"/>
                <w:b/>
                <w:i/>
              </w:rPr>
              <w:t>é</w:t>
            </w:r>
            <w:r w:rsidRPr="00CB2809">
              <w:rPr>
                <w:rFonts w:cs="Arial"/>
                <w:b/>
                <w:i/>
              </w:rPr>
              <w:t xml:space="preserve">finition </w:t>
            </w:r>
            <w:r>
              <w:rPr>
                <w:rFonts w:cs="Arial"/>
                <w:b/>
                <w:i/>
              </w:rPr>
              <w:t>supprimée</w:t>
            </w:r>
          </w:p>
          <w:p w:rsidR="00BD634F" w:rsidRPr="00CB2809" w:rsidRDefault="00BD634F" w:rsidP="006D5FBC">
            <w:pPr>
              <w:rPr>
                <w:rFonts w:cs="Arial"/>
                <w:b/>
              </w:rPr>
            </w:pPr>
          </w:p>
        </w:tc>
      </w:tr>
      <w:tr w:rsidR="00BD634F" w:rsidRPr="00497366" w:rsidTr="006D5FBC">
        <w:trPr>
          <w:cantSplit/>
        </w:trPr>
        <w:tc>
          <w:tcPr>
            <w:tcW w:w="2159" w:type="dxa"/>
            <w:tcBorders>
              <w:top w:val="single" w:sz="4" w:space="0" w:color="auto"/>
              <w:left w:val="single" w:sz="4" w:space="0" w:color="auto"/>
              <w:bottom w:val="single" w:sz="4" w:space="0" w:color="auto"/>
              <w:right w:val="single" w:sz="4" w:space="0" w:color="auto"/>
            </w:tcBorders>
          </w:tcPr>
          <w:p w:rsidR="00BD634F" w:rsidRPr="00CB2809" w:rsidRDefault="00BD634F" w:rsidP="006D5FBC">
            <w:pPr>
              <w:rPr>
                <w:rFonts w:cs="Arial"/>
              </w:rPr>
            </w:pPr>
            <w:r w:rsidRPr="00CB2809">
              <w:rPr>
                <w:rFonts w:cs="Arial"/>
              </w:rPr>
              <w:t>“ARIPO”</w:t>
            </w:r>
          </w:p>
        </w:tc>
        <w:tc>
          <w:tcPr>
            <w:tcW w:w="3740" w:type="dxa"/>
            <w:tcBorders>
              <w:top w:val="single" w:sz="4" w:space="0" w:color="auto"/>
              <w:left w:val="single" w:sz="4" w:space="0" w:color="auto"/>
              <w:bottom w:val="single" w:sz="4" w:space="0" w:color="auto"/>
              <w:right w:val="single" w:sz="4" w:space="0" w:color="auto"/>
            </w:tcBorders>
          </w:tcPr>
          <w:p w:rsidR="00BD634F" w:rsidRPr="00CB2809" w:rsidRDefault="00BD634F" w:rsidP="006D5FBC">
            <w:pPr>
              <w:rPr>
                <w:rFonts w:cs="Arial"/>
              </w:rPr>
            </w:pPr>
            <w:r>
              <w:rPr>
                <w:rFonts w:cs="Arial"/>
              </w:rPr>
              <w:t xml:space="preserve">on entend par </w:t>
            </w:r>
            <w:r w:rsidRPr="00CB2809">
              <w:rPr>
                <w:rFonts w:cs="Arial"/>
              </w:rPr>
              <w:t xml:space="preserve">“ARIPO” </w:t>
            </w:r>
            <w:r>
              <w:rPr>
                <w:rFonts w:cs="Arial"/>
              </w:rPr>
              <w:t>l’</w:t>
            </w:r>
            <w:r w:rsidRPr="002E1BBD">
              <w:rPr>
                <w:rFonts w:cs="Arial"/>
              </w:rPr>
              <w:t>Organisation régionale africaine de la propriété intellectuelle</w:t>
            </w:r>
            <w:r w:rsidRPr="00CB2809">
              <w:rPr>
                <w:rFonts w:cs="Arial"/>
              </w:rPr>
              <w:t xml:space="preserve">, </w:t>
            </w:r>
            <w:r>
              <w:rPr>
                <w:rFonts w:cs="Arial"/>
              </w:rPr>
              <w:t xml:space="preserve">résultant de </w:t>
            </w:r>
            <w:r w:rsidRPr="002E1BBD">
              <w:rPr>
                <w:rFonts w:cs="Arial"/>
              </w:rPr>
              <w:t>l</w:t>
            </w:r>
            <w:r>
              <w:rPr>
                <w:rFonts w:cs="Arial"/>
              </w:rPr>
              <w:t>’</w:t>
            </w:r>
            <w:r w:rsidRPr="002E1BBD">
              <w:rPr>
                <w:rFonts w:cs="Arial"/>
              </w:rPr>
              <w:t>Accord sur la création d</w:t>
            </w:r>
            <w:r>
              <w:rPr>
                <w:rFonts w:cs="Arial"/>
              </w:rPr>
              <w:t>’</w:t>
            </w:r>
            <w:r w:rsidRPr="002E1BBD">
              <w:rPr>
                <w:rFonts w:cs="Arial"/>
              </w:rPr>
              <w:t>une Organisation régionale africaine de la propriété intellectuelle (ARIPO)</w:t>
            </w:r>
            <w:r>
              <w:rPr>
                <w:rFonts w:cs="Arial"/>
              </w:rPr>
              <w:t xml:space="preserve">, </w:t>
            </w:r>
            <w:r w:rsidRPr="0076732C">
              <w:rPr>
                <w:rFonts w:cs="Arial"/>
              </w:rPr>
              <w:t>jusqu</w:t>
            </w:r>
            <w:r>
              <w:rPr>
                <w:rFonts w:cs="Arial"/>
              </w:rPr>
              <w:t>’</w:t>
            </w:r>
            <w:r w:rsidRPr="0076732C">
              <w:rPr>
                <w:rFonts w:cs="Arial"/>
              </w:rPr>
              <w:t xml:space="preserve">alors </w:t>
            </w:r>
            <w:r>
              <w:rPr>
                <w:rFonts w:cs="Arial"/>
              </w:rPr>
              <w:t>connue sous le nom d’</w:t>
            </w:r>
            <w:r w:rsidRPr="002E1BBD">
              <w:rPr>
                <w:rFonts w:cs="Arial"/>
              </w:rPr>
              <w:t>Organisation de la propriété industrielle de l</w:t>
            </w:r>
            <w:r>
              <w:rPr>
                <w:rFonts w:cs="Arial"/>
              </w:rPr>
              <w:t>’</w:t>
            </w:r>
            <w:r w:rsidRPr="002E1BBD">
              <w:rPr>
                <w:rFonts w:cs="Arial"/>
              </w:rPr>
              <w:t>Afrique anglophone</w:t>
            </w:r>
            <w:r w:rsidRPr="00CB2809">
              <w:rPr>
                <w:rFonts w:cs="Arial"/>
              </w:rPr>
              <w:t xml:space="preserve">, </w:t>
            </w:r>
            <w:r>
              <w:rPr>
                <w:rFonts w:cs="Arial"/>
              </w:rPr>
              <w:t xml:space="preserve">conclu à </w:t>
            </w:r>
            <w:r w:rsidRPr="00CB2809">
              <w:rPr>
                <w:rFonts w:cs="Arial"/>
              </w:rPr>
              <w:t>Lusaka (Zambi</w:t>
            </w:r>
            <w:r>
              <w:rPr>
                <w:rFonts w:cs="Arial"/>
              </w:rPr>
              <w:t>e</w:t>
            </w:r>
            <w:r w:rsidRPr="00CB2809">
              <w:rPr>
                <w:rFonts w:cs="Arial"/>
              </w:rPr>
              <w:t xml:space="preserve">) </w:t>
            </w:r>
            <w:r>
              <w:rPr>
                <w:rFonts w:cs="Arial"/>
              </w:rPr>
              <w:t xml:space="preserve">le </w:t>
            </w:r>
            <w:r w:rsidRPr="00CB2809">
              <w:rPr>
                <w:rFonts w:cs="Arial"/>
              </w:rPr>
              <w:t>9</w:t>
            </w:r>
            <w:r>
              <w:rPr>
                <w:rFonts w:cs="Arial"/>
              </w:rPr>
              <w:t> décembre </w:t>
            </w:r>
            <w:r w:rsidRPr="00CB2809">
              <w:rPr>
                <w:rFonts w:cs="Arial"/>
              </w:rPr>
              <w:t>1976;</w:t>
            </w:r>
          </w:p>
        </w:tc>
        <w:tc>
          <w:tcPr>
            <w:tcW w:w="3740" w:type="dxa"/>
            <w:tcBorders>
              <w:top w:val="single" w:sz="4" w:space="0" w:color="auto"/>
              <w:left w:val="single" w:sz="4" w:space="0" w:color="auto"/>
              <w:bottom w:val="single" w:sz="4" w:space="0" w:color="auto"/>
              <w:right w:val="single" w:sz="4" w:space="0" w:color="auto"/>
            </w:tcBorders>
          </w:tcPr>
          <w:p w:rsidR="00BD634F" w:rsidRPr="00CB2809" w:rsidRDefault="00BD634F" w:rsidP="006D5FBC">
            <w:pPr>
              <w:rPr>
                <w:rFonts w:cs="Arial"/>
              </w:rPr>
            </w:pPr>
            <w:r w:rsidRPr="0017201E">
              <w:rPr>
                <w:rFonts w:cs="Arial"/>
              </w:rPr>
              <w:t>on entend par “ARIPO” l</w:t>
            </w:r>
            <w:r>
              <w:rPr>
                <w:rFonts w:cs="Arial"/>
              </w:rPr>
              <w:t>’</w:t>
            </w:r>
            <w:r w:rsidRPr="0017201E">
              <w:rPr>
                <w:rFonts w:cs="Arial"/>
              </w:rPr>
              <w:t>Organisation régionale africaine de la propriété intellectuelle, résultant de l</w:t>
            </w:r>
            <w:r>
              <w:rPr>
                <w:rFonts w:cs="Arial"/>
              </w:rPr>
              <w:t>’</w:t>
            </w:r>
            <w:r w:rsidRPr="0017201E">
              <w:rPr>
                <w:rFonts w:cs="Arial"/>
              </w:rPr>
              <w:t>Accord sur la création d</w:t>
            </w:r>
            <w:r>
              <w:rPr>
                <w:rFonts w:cs="Arial"/>
              </w:rPr>
              <w:t>’</w:t>
            </w:r>
            <w:r w:rsidRPr="0017201E">
              <w:rPr>
                <w:rFonts w:cs="Arial"/>
              </w:rPr>
              <w:t>une Organisation régionale africaine de la propriété intellectuelle (ARIPO) conclu à Lusaka (Zambie) le 9</w:t>
            </w:r>
            <w:r>
              <w:rPr>
                <w:rFonts w:cs="Arial"/>
              </w:rPr>
              <w:t> décembre </w:t>
            </w:r>
            <w:r w:rsidRPr="0017201E">
              <w:rPr>
                <w:rFonts w:cs="Arial"/>
              </w:rPr>
              <w:t>1976</w:t>
            </w:r>
            <w:r w:rsidRPr="00CB2809">
              <w:rPr>
                <w:rFonts w:cs="Arial"/>
              </w:rPr>
              <w:t>;</w:t>
            </w:r>
          </w:p>
        </w:tc>
      </w:tr>
      <w:tr w:rsidR="00BD634F" w:rsidRPr="00497366" w:rsidTr="006D5FBC">
        <w:trPr>
          <w:cantSplit/>
        </w:trPr>
        <w:tc>
          <w:tcPr>
            <w:tcW w:w="2159" w:type="dxa"/>
            <w:tcBorders>
              <w:top w:val="single" w:sz="4" w:space="0" w:color="auto"/>
              <w:left w:val="single" w:sz="4" w:space="0" w:color="auto"/>
              <w:bottom w:val="single" w:sz="4" w:space="0" w:color="auto"/>
              <w:right w:val="single" w:sz="4" w:space="0" w:color="auto"/>
            </w:tcBorders>
          </w:tcPr>
          <w:p w:rsidR="00BD634F" w:rsidRDefault="00BD634F" w:rsidP="006D5FBC">
            <w:pPr>
              <w:rPr>
                <w:rFonts w:cs="Arial"/>
              </w:rPr>
            </w:pPr>
            <w:r w:rsidRPr="00CB2809">
              <w:rPr>
                <w:rFonts w:cs="Arial"/>
              </w:rPr>
              <w:t>“</w:t>
            </w:r>
            <w:r>
              <w:rPr>
                <w:rFonts w:cs="Arial"/>
              </w:rPr>
              <w:t>Office de l’</w:t>
            </w:r>
            <w:r w:rsidRPr="00CB2809">
              <w:rPr>
                <w:rFonts w:cs="Arial"/>
              </w:rPr>
              <w:t>ARIPO”</w:t>
            </w:r>
          </w:p>
          <w:p w:rsidR="00BD634F" w:rsidRPr="00CB2809" w:rsidRDefault="00BD634F" w:rsidP="006D5FBC">
            <w:pPr>
              <w:rPr>
                <w:rFonts w:cs="Arial"/>
              </w:rPr>
            </w:pPr>
          </w:p>
          <w:p w:rsidR="00BD634F" w:rsidRPr="00CB2809" w:rsidRDefault="00BD634F" w:rsidP="006D5FBC">
            <w:pPr>
              <w:rPr>
                <w:rFonts w:cs="Arial"/>
              </w:rPr>
            </w:pPr>
          </w:p>
          <w:p w:rsidR="00BD634F" w:rsidRPr="00CB2809" w:rsidRDefault="00BD634F" w:rsidP="006D5FBC">
            <w:pPr>
              <w:rPr>
                <w:rFonts w:cs="Arial"/>
              </w:rPr>
            </w:pPr>
          </w:p>
        </w:tc>
        <w:tc>
          <w:tcPr>
            <w:tcW w:w="3740" w:type="dxa"/>
            <w:tcBorders>
              <w:top w:val="single" w:sz="4" w:space="0" w:color="auto"/>
              <w:left w:val="single" w:sz="4" w:space="0" w:color="auto"/>
              <w:bottom w:val="single" w:sz="4" w:space="0" w:color="auto"/>
              <w:right w:val="single" w:sz="4" w:space="0" w:color="auto"/>
            </w:tcBorders>
          </w:tcPr>
          <w:p w:rsidR="00BD634F" w:rsidRPr="00CB2809" w:rsidRDefault="00BD634F" w:rsidP="006D5FBC">
            <w:pPr>
              <w:rPr>
                <w:rFonts w:cs="Arial"/>
              </w:rPr>
            </w:pPr>
            <w:r>
              <w:rPr>
                <w:rFonts w:cs="Arial"/>
              </w:rPr>
              <w:t xml:space="preserve">on entend par </w:t>
            </w:r>
            <w:r w:rsidRPr="00CB2809">
              <w:rPr>
                <w:rFonts w:cs="Arial"/>
              </w:rPr>
              <w:t>“</w:t>
            </w:r>
            <w:r>
              <w:rPr>
                <w:rFonts w:cs="Arial"/>
              </w:rPr>
              <w:t>Office de l’</w:t>
            </w:r>
            <w:r w:rsidRPr="00CB2809">
              <w:rPr>
                <w:rFonts w:cs="Arial"/>
              </w:rPr>
              <w:t xml:space="preserve">ARIPO” </w:t>
            </w:r>
            <w:r>
              <w:rPr>
                <w:rFonts w:cs="Arial"/>
              </w:rPr>
              <w:t xml:space="preserve">l’Office de </w:t>
            </w:r>
            <w:r w:rsidRPr="005077AC">
              <w:rPr>
                <w:rFonts w:cs="Arial"/>
              </w:rPr>
              <w:t>l</w:t>
            </w:r>
            <w:r>
              <w:rPr>
                <w:rFonts w:cs="Arial"/>
              </w:rPr>
              <w:t>’</w:t>
            </w:r>
            <w:r w:rsidRPr="005077AC">
              <w:rPr>
                <w:rFonts w:cs="Arial"/>
              </w:rPr>
              <w:t>Organisation régionale africaine de la propriété intellectuelle</w:t>
            </w:r>
            <w:r w:rsidRPr="00CB2809">
              <w:rPr>
                <w:rFonts w:cs="Arial"/>
              </w:rPr>
              <w:t>;</w:t>
            </w:r>
          </w:p>
        </w:tc>
        <w:tc>
          <w:tcPr>
            <w:tcW w:w="3740" w:type="dxa"/>
            <w:tcBorders>
              <w:top w:val="single" w:sz="4" w:space="0" w:color="auto"/>
              <w:left w:val="single" w:sz="4" w:space="0" w:color="auto"/>
              <w:bottom w:val="single" w:sz="4" w:space="0" w:color="auto"/>
              <w:right w:val="single" w:sz="4" w:space="0" w:color="auto"/>
            </w:tcBorders>
          </w:tcPr>
          <w:p w:rsidR="00BD634F" w:rsidRDefault="00BD634F" w:rsidP="006D5FBC">
            <w:pPr>
              <w:rPr>
                <w:rFonts w:cs="Arial"/>
              </w:rPr>
            </w:pPr>
            <w:r w:rsidRPr="00B31700">
              <w:rPr>
                <w:rFonts w:cs="Arial"/>
              </w:rPr>
              <w:t>on entend par “Office de l</w:t>
            </w:r>
            <w:r>
              <w:rPr>
                <w:rFonts w:cs="Arial"/>
              </w:rPr>
              <w:t>’</w:t>
            </w:r>
            <w:r w:rsidRPr="00B31700">
              <w:rPr>
                <w:rFonts w:cs="Arial"/>
              </w:rPr>
              <w:t xml:space="preserve">ARIPO” </w:t>
            </w:r>
            <w:r>
              <w:rPr>
                <w:rFonts w:cs="Arial"/>
              </w:rPr>
              <w:t xml:space="preserve">le Secrétariat de </w:t>
            </w:r>
            <w:r w:rsidRPr="00B31700">
              <w:rPr>
                <w:rFonts w:cs="Arial"/>
              </w:rPr>
              <w:t>l</w:t>
            </w:r>
            <w:r>
              <w:rPr>
                <w:rFonts w:cs="Arial"/>
              </w:rPr>
              <w:t>’</w:t>
            </w:r>
            <w:r w:rsidRPr="00B31700">
              <w:rPr>
                <w:rFonts w:cs="Arial"/>
              </w:rPr>
              <w:t>Organisation régionale africaine de la propriété intellectuelle</w:t>
            </w:r>
            <w:r w:rsidRPr="00CB2809">
              <w:rPr>
                <w:rFonts w:cs="Arial"/>
              </w:rPr>
              <w:t>;</w:t>
            </w:r>
          </w:p>
          <w:p w:rsidR="00BD634F" w:rsidRPr="00CB2809" w:rsidRDefault="00BD634F" w:rsidP="006D5FBC">
            <w:pPr>
              <w:rPr>
                <w:rFonts w:cs="Arial"/>
              </w:rPr>
            </w:pPr>
          </w:p>
        </w:tc>
      </w:tr>
      <w:tr w:rsidR="00BD634F" w:rsidRPr="00497366" w:rsidTr="006D5FBC">
        <w:trPr>
          <w:cantSplit/>
        </w:trPr>
        <w:tc>
          <w:tcPr>
            <w:tcW w:w="2159" w:type="dxa"/>
            <w:tcBorders>
              <w:top w:val="single" w:sz="4" w:space="0" w:color="auto"/>
              <w:left w:val="single" w:sz="4" w:space="0" w:color="auto"/>
              <w:bottom w:val="single" w:sz="4" w:space="0" w:color="auto"/>
              <w:right w:val="single" w:sz="4" w:space="0" w:color="auto"/>
            </w:tcBorders>
          </w:tcPr>
          <w:p w:rsidR="00BD634F" w:rsidRPr="00CB2809" w:rsidRDefault="00BD634F" w:rsidP="006D5FBC">
            <w:pPr>
              <w:widowControl w:val="0"/>
              <w:rPr>
                <w:rFonts w:cs="Arial"/>
              </w:rPr>
            </w:pPr>
            <w:r w:rsidRPr="00CB2809">
              <w:rPr>
                <w:rFonts w:cs="Arial"/>
              </w:rPr>
              <w:t>“</w:t>
            </w:r>
            <w:r w:rsidRPr="00E86833">
              <w:rPr>
                <w:rFonts w:cs="Arial"/>
              </w:rPr>
              <w:t>titulaire d</w:t>
            </w:r>
            <w:r>
              <w:rPr>
                <w:rFonts w:cs="Arial"/>
              </w:rPr>
              <w:t>’</w:t>
            </w:r>
            <w:r w:rsidRPr="00E86833">
              <w:rPr>
                <w:rFonts w:cs="Arial"/>
              </w:rPr>
              <w:t>un droit d</w:t>
            </w:r>
            <w:r>
              <w:rPr>
                <w:rFonts w:cs="Arial"/>
              </w:rPr>
              <w:t>’</w:t>
            </w:r>
            <w:r w:rsidRPr="00E86833">
              <w:rPr>
                <w:rFonts w:cs="Arial"/>
              </w:rPr>
              <w:t>obtenteur</w:t>
            </w:r>
            <w:r w:rsidRPr="00CB2809">
              <w:rPr>
                <w:rFonts w:cs="Arial"/>
              </w:rPr>
              <w:t>”</w:t>
            </w:r>
          </w:p>
          <w:p w:rsidR="00BD634F" w:rsidRPr="00CB2809" w:rsidRDefault="00BD634F" w:rsidP="006D5FBC">
            <w:pPr>
              <w:widowControl w:val="0"/>
              <w:rPr>
                <w:rFonts w:cs="Arial"/>
              </w:rPr>
            </w:pPr>
          </w:p>
          <w:p w:rsidR="00BD634F" w:rsidRPr="00CB2809" w:rsidRDefault="00BD634F" w:rsidP="006D5FBC">
            <w:pPr>
              <w:widowControl w:val="0"/>
              <w:rPr>
                <w:rFonts w:cs="Arial"/>
              </w:rPr>
            </w:pPr>
          </w:p>
          <w:p w:rsidR="00BD634F" w:rsidRPr="00CB2809" w:rsidRDefault="00BD634F" w:rsidP="006D5FBC">
            <w:pPr>
              <w:rPr>
                <w:rFonts w:cs="Arial"/>
              </w:rPr>
            </w:pPr>
          </w:p>
        </w:tc>
        <w:tc>
          <w:tcPr>
            <w:tcW w:w="3740" w:type="dxa"/>
            <w:tcBorders>
              <w:top w:val="single" w:sz="4" w:space="0" w:color="auto"/>
              <w:left w:val="single" w:sz="4" w:space="0" w:color="auto"/>
              <w:bottom w:val="single" w:sz="4" w:space="0" w:color="auto"/>
              <w:right w:val="single" w:sz="4" w:space="0" w:color="auto"/>
            </w:tcBorders>
          </w:tcPr>
          <w:p w:rsidR="00BD634F" w:rsidRDefault="00BD634F" w:rsidP="006D5FBC">
            <w:pPr>
              <w:rPr>
                <w:rFonts w:cs="Arial"/>
              </w:rPr>
            </w:pPr>
            <w:r>
              <w:rPr>
                <w:rFonts w:cs="Arial"/>
              </w:rPr>
              <w:t xml:space="preserve">on entend par </w:t>
            </w:r>
            <w:r w:rsidRPr="00CB2809">
              <w:rPr>
                <w:rFonts w:cs="Arial"/>
              </w:rPr>
              <w:t>“</w:t>
            </w:r>
            <w:r w:rsidRPr="00E86833">
              <w:rPr>
                <w:rFonts w:cs="Arial"/>
              </w:rPr>
              <w:t>titulaire d</w:t>
            </w:r>
            <w:r>
              <w:rPr>
                <w:rFonts w:cs="Arial"/>
              </w:rPr>
              <w:t>’</w:t>
            </w:r>
            <w:r w:rsidRPr="00E86833">
              <w:rPr>
                <w:rFonts w:cs="Arial"/>
              </w:rPr>
              <w:t>un droit d</w:t>
            </w:r>
            <w:r>
              <w:rPr>
                <w:rFonts w:cs="Arial"/>
              </w:rPr>
              <w:t>’</w:t>
            </w:r>
            <w:r w:rsidRPr="00E86833">
              <w:rPr>
                <w:rFonts w:cs="Arial"/>
              </w:rPr>
              <w:t>obtenteur</w:t>
            </w:r>
            <w:r w:rsidRPr="00CB2809">
              <w:rPr>
                <w:rFonts w:cs="Arial"/>
              </w:rPr>
              <w:t>”</w:t>
            </w:r>
          </w:p>
          <w:p w:rsidR="00BD634F" w:rsidRPr="00E86833" w:rsidRDefault="00BD634F" w:rsidP="006D5FBC">
            <w:pPr>
              <w:rPr>
                <w:rFonts w:cs="Arial"/>
              </w:rPr>
            </w:pPr>
            <w:r>
              <w:rPr>
                <w:rFonts w:cs="Arial"/>
              </w:rPr>
              <w:t xml:space="preserve">a.  </w:t>
            </w:r>
            <w:r>
              <w:rPr>
                <w:rFonts w:cs="Arial"/>
              </w:rPr>
              <w:tab/>
            </w:r>
            <w:r w:rsidRPr="00E86833">
              <w:rPr>
                <w:rFonts w:cs="Arial"/>
              </w:rPr>
              <w:t>une personne physique ou morale au nom de laquelle le certificat d</w:t>
            </w:r>
            <w:r>
              <w:rPr>
                <w:rFonts w:cs="Arial"/>
              </w:rPr>
              <w:t>’</w:t>
            </w:r>
            <w:r w:rsidRPr="00E86833">
              <w:rPr>
                <w:rFonts w:cs="Arial"/>
              </w:rPr>
              <w:t>obtention végétale a été délivré;  ou</w:t>
            </w:r>
          </w:p>
        </w:tc>
        <w:tc>
          <w:tcPr>
            <w:tcW w:w="3740" w:type="dxa"/>
            <w:tcBorders>
              <w:top w:val="single" w:sz="4" w:space="0" w:color="auto"/>
              <w:left w:val="single" w:sz="4" w:space="0" w:color="auto"/>
              <w:bottom w:val="single" w:sz="4" w:space="0" w:color="auto"/>
              <w:right w:val="single" w:sz="4" w:space="0" w:color="auto"/>
            </w:tcBorders>
          </w:tcPr>
          <w:p w:rsidR="00BD634F" w:rsidRDefault="00BD634F" w:rsidP="006D5FBC">
            <w:pPr>
              <w:rPr>
                <w:rFonts w:cs="Arial"/>
              </w:rPr>
            </w:pPr>
            <w:r w:rsidRPr="00E86833">
              <w:rPr>
                <w:rFonts w:cs="Arial"/>
              </w:rPr>
              <w:t>on entend par “titulaire d</w:t>
            </w:r>
            <w:r>
              <w:rPr>
                <w:rFonts w:cs="Arial"/>
              </w:rPr>
              <w:t>’</w:t>
            </w:r>
            <w:r w:rsidRPr="00E86833">
              <w:rPr>
                <w:rFonts w:cs="Arial"/>
              </w:rPr>
              <w:t>un droit d</w:t>
            </w:r>
            <w:r>
              <w:rPr>
                <w:rFonts w:cs="Arial"/>
              </w:rPr>
              <w:t>’</w:t>
            </w:r>
            <w:r w:rsidRPr="00E86833">
              <w:rPr>
                <w:rFonts w:cs="Arial"/>
              </w:rPr>
              <w:t>obtenteur”</w:t>
            </w:r>
          </w:p>
          <w:p w:rsidR="00BD634F" w:rsidRPr="00CB2809" w:rsidRDefault="00BD634F" w:rsidP="00BD634F">
            <w:pPr>
              <w:numPr>
                <w:ilvl w:val="0"/>
                <w:numId w:val="7"/>
              </w:numPr>
              <w:ind w:left="0" w:firstLine="0"/>
              <w:contextualSpacing/>
              <w:rPr>
                <w:rFonts w:cs="Arial"/>
              </w:rPr>
            </w:pPr>
            <w:r w:rsidRPr="00E86833">
              <w:rPr>
                <w:rFonts w:cs="Arial"/>
              </w:rPr>
              <w:t>une personne au nom de laquelle le certificat d</w:t>
            </w:r>
            <w:r>
              <w:rPr>
                <w:rFonts w:cs="Arial"/>
              </w:rPr>
              <w:t>’</w:t>
            </w:r>
            <w:r w:rsidRPr="00E86833">
              <w:rPr>
                <w:rFonts w:cs="Arial"/>
              </w:rPr>
              <w:t>obtention végétale a été délivré;  ou</w:t>
            </w:r>
          </w:p>
        </w:tc>
      </w:tr>
      <w:tr w:rsidR="00BD634F" w:rsidRPr="00497366" w:rsidTr="006D5FBC">
        <w:trPr>
          <w:cantSplit/>
        </w:trPr>
        <w:tc>
          <w:tcPr>
            <w:tcW w:w="2159" w:type="dxa"/>
            <w:tcBorders>
              <w:top w:val="single" w:sz="4" w:space="0" w:color="auto"/>
              <w:left w:val="single" w:sz="4" w:space="0" w:color="auto"/>
              <w:bottom w:val="single" w:sz="4" w:space="0" w:color="auto"/>
              <w:right w:val="single" w:sz="4" w:space="0" w:color="auto"/>
            </w:tcBorders>
          </w:tcPr>
          <w:p w:rsidR="00BD634F" w:rsidRDefault="00BD634F" w:rsidP="006D5FBC">
            <w:pPr>
              <w:rPr>
                <w:rFonts w:cs="Arial"/>
              </w:rPr>
            </w:pPr>
            <w:r w:rsidRPr="00CB2809">
              <w:rPr>
                <w:rFonts w:cs="Arial"/>
              </w:rPr>
              <w:t>“</w:t>
            </w:r>
            <w:r>
              <w:rPr>
                <w:rFonts w:cs="Arial"/>
              </w:rPr>
              <w:t>personne</w:t>
            </w:r>
            <w:r w:rsidRPr="00CB2809">
              <w:rPr>
                <w:rFonts w:cs="Arial"/>
              </w:rPr>
              <w:t>”</w:t>
            </w:r>
          </w:p>
          <w:p w:rsidR="00BD634F" w:rsidRPr="00CB2809" w:rsidRDefault="00BD634F" w:rsidP="006D5FBC">
            <w:pPr>
              <w:rPr>
                <w:rFonts w:cs="Arial"/>
              </w:rPr>
            </w:pPr>
          </w:p>
        </w:tc>
        <w:tc>
          <w:tcPr>
            <w:tcW w:w="3740" w:type="dxa"/>
            <w:tcBorders>
              <w:top w:val="single" w:sz="4" w:space="0" w:color="auto"/>
              <w:left w:val="single" w:sz="4" w:space="0" w:color="auto"/>
              <w:bottom w:val="single" w:sz="4" w:space="0" w:color="auto"/>
              <w:right w:val="single" w:sz="4" w:space="0" w:color="auto"/>
            </w:tcBorders>
          </w:tcPr>
          <w:p w:rsidR="00BD634F" w:rsidRPr="00CB2809" w:rsidRDefault="00BD634F" w:rsidP="006D5FBC">
            <w:pPr>
              <w:rPr>
                <w:rFonts w:cs="Arial"/>
                <w:b/>
                <w:i/>
              </w:rPr>
            </w:pPr>
            <w:r w:rsidRPr="00CB2809">
              <w:rPr>
                <w:rFonts w:cs="Arial"/>
                <w:b/>
                <w:i/>
              </w:rPr>
              <w:t>N</w:t>
            </w:r>
            <w:r>
              <w:rPr>
                <w:rFonts w:cs="Arial"/>
                <w:b/>
                <w:i/>
              </w:rPr>
              <w:t>ouvelle dé</w:t>
            </w:r>
            <w:r w:rsidRPr="00CB2809">
              <w:rPr>
                <w:rFonts w:cs="Arial"/>
                <w:b/>
                <w:i/>
              </w:rPr>
              <w:t>finition</w:t>
            </w:r>
          </w:p>
        </w:tc>
        <w:tc>
          <w:tcPr>
            <w:tcW w:w="3740" w:type="dxa"/>
            <w:tcBorders>
              <w:top w:val="single" w:sz="4" w:space="0" w:color="auto"/>
              <w:left w:val="single" w:sz="4" w:space="0" w:color="auto"/>
              <w:bottom w:val="single" w:sz="4" w:space="0" w:color="auto"/>
              <w:right w:val="single" w:sz="4" w:space="0" w:color="auto"/>
            </w:tcBorders>
          </w:tcPr>
          <w:p w:rsidR="00BD634F" w:rsidRPr="00CB2809" w:rsidRDefault="00BD634F" w:rsidP="006D5FBC">
            <w:pPr>
              <w:rPr>
                <w:rFonts w:cs="Arial"/>
              </w:rPr>
            </w:pPr>
            <w:r>
              <w:rPr>
                <w:rFonts w:cs="Arial"/>
              </w:rPr>
              <w:t xml:space="preserve">on entend par </w:t>
            </w:r>
            <w:r w:rsidRPr="00CB2809">
              <w:rPr>
                <w:rFonts w:cs="Arial"/>
              </w:rPr>
              <w:t>“person</w:t>
            </w:r>
            <w:r>
              <w:rPr>
                <w:rFonts w:cs="Arial"/>
              </w:rPr>
              <w:t>ne</w:t>
            </w:r>
            <w:r w:rsidRPr="00CB2809">
              <w:rPr>
                <w:rFonts w:cs="Arial"/>
              </w:rPr>
              <w:t xml:space="preserve">” </w:t>
            </w:r>
            <w:r>
              <w:rPr>
                <w:rFonts w:cs="Arial"/>
              </w:rPr>
              <w:t>une personne physique ou morale</w:t>
            </w:r>
            <w:r w:rsidRPr="00CB2809">
              <w:rPr>
                <w:rFonts w:cs="Arial"/>
              </w:rPr>
              <w:t>;</w:t>
            </w:r>
          </w:p>
        </w:tc>
      </w:tr>
      <w:tr w:rsidR="00BD634F" w:rsidRPr="00497366" w:rsidTr="006D5FBC">
        <w:trPr>
          <w:cantSplit/>
        </w:trPr>
        <w:tc>
          <w:tcPr>
            <w:tcW w:w="2159" w:type="dxa"/>
            <w:tcBorders>
              <w:top w:val="single" w:sz="4" w:space="0" w:color="auto"/>
              <w:left w:val="single" w:sz="4" w:space="0" w:color="auto"/>
              <w:bottom w:val="single" w:sz="4" w:space="0" w:color="auto"/>
              <w:right w:val="single" w:sz="4" w:space="0" w:color="auto"/>
            </w:tcBorders>
          </w:tcPr>
          <w:p w:rsidR="00BD634F" w:rsidRPr="00CB2809" w:rsidRDefault="00BD634F" w:rsidP="006D5FBC">
            <w:pPr>
              <w:jc w:val="center"/>
              <w:rPr>
                <w:rFonts w:cs="Arial"/>
                <w:b/>
              </w:rPr>
            </w:pPr>
            <w:r w:rsidRPr="00CB2809">
              <w:rPr>
                <w:rFonts w:cs="Arial"/>
                <w:b/>
              </w:rPr>
              <w:t>Article</w:t>
            </w:r>
            <w:r>
              <w:rPr>
                <w:rFonts w:cs="Arial"/>
                <w:b/>
              </w:rPr>
              <w:t> </w:t>
            </w:r>
            <w:r w:rsidRPr="00CB2809">
              <w:rPr>
                <w:rFonts w:cs="Arial"/>
                <w:b/>
              </w:rPr>
              <w:t>4</w:t>
            </w:r>
          </w:p>
          <w:p w:rsidR="00BD634F" w:rsidRPr="00CB2809" w:rsidRDefault="00BD634F" w:rsidP="006D5FBC">
            <w:pPr>
              <w:jc w:val="center"/>
              <w:rPr>
                <w:rFonts w:cs="Arial"/>
                <w:b/>
              </w:rPr>
            </w:pPr>
            <w:r w:rsidRPr="00CB2809">
              <w:rPr>
                <w:rFonts w:cs="Arial"/>
                <w:b/>
              </w:rPr>
              <w:t>Administration</w:t>
            </w:r>
          </w:p>
          <w:p w:rsidR="00BD634F" w:rsidRPr="00CB2809" w:rsidRDefault="00BD634F" w:rsidP="006D5FBC">
            <w:pPr>
              <w:rPr>
                <w:rFonts w:cs="Arial"/>
              </w:rPr>
            </w:pPr>
          </w:p>
          <w:p w:rsidR="00BD634F" w:rsidRPr="00CB2809" w:rsidRDefault="00BD634F" w:rsidP="00BD634F">
            <w:pPr>
              <w:numPr>
                <w:ilvl w:val="0"/>
                <w:numId w:val="16"/>
              </w:numPr>
              <w:ind w:left="0" w:firstLine="0"/>
              <w:contextualSpacing/>
              <w:rPr>
                <w:rFonts w:cs="Arial"/>
              </w:rPr>
            </w:pPr>
          </w:p>
        </w:tc>
        <w:tc>
          <w:tcPr>
            <w:tcW w:w="3740" w:type="dxa"/>
            <w:tcBorders>
              <w:top w:val="single" w:sz="4" w:space="0" w:color="auto"/>
              <w:left w:val="single" w:sz="4" w:space="0" w:color="auto"/>
              <w:bottom w:val="single" w:sz="4" w:space="0" w:color="auto"/>
              <w:right w:val="single" w:sz="4" w:space="0" w:color="auto"/>
            </w:tcBorders>
          </w:tcPr>
          <w:p w:rsidR="00BD634F" w:rsidRPr="00CB2809" w:rsidRDefault="00BD634F" w:rsidP="006D5FBC">
            <w:pPr>
              <w:jc w:val="center"/>
              <w:rPr>
                <w:rFonts w:cs="Arial"/>
                <w:b/>
              </w:rPr>
            </w:pPr>
            <w:r w:rsidRPr="00CB2809">
              <w:rPr>
                <w:rFonts w:cs="Arial"/>
                <w:b/>
              </w:rPr>
              <w:t>Article</w:t>
            </w:r>
            <w:r>
              <w:rPr>
                <w:rFonts w:cs="Arial"/>
                <w:b/>
              </w:rPr>
              <w:t> </w:t>
            </w:r>
            <w:r w:rsidRPr="00CB2809">
              <w:rPr>
                <w:rFonts w:cs="Arial"/>
                <w:b/>
              </w:rPr>
              <w:t>4</w:t>
            </w:r>
          </w:p>
          <w:p w:rsidR="00BD634F" w:rsidRPr="00CB2809" w:rsidRDefault="00BD634F" w:rsidP="006D5FBC">
            <w:pPr>
              <w:jc w:val="center"/>
              <w:rPr>
                <w:rFonts w:cs="Arial"/>
                <w:b/>
              </w:rPr>
            </w:pPr>
            <w:r w:rsidRPr="00CB2809">
              <w:rPr>
                <w:rFonts w:cs="Arial"/>
                <w:b/>
              </w:rPr>
              <w:t>Administration</w:t>
            </w:r>
          </w:p>
          <w:p w:rsidR="00BD634F" w:rsidRPr="00CB2809" w:rsidRDefault="00BD634F" w:rsidP="006D5FBC">
            <w:pPr>
              <w:rPr>
                <w:rFonts w:cs="Arial"/>
              </w:rPr>
            </w:pPr>
          </w:p>
          <w:p w:rsidR="00BD634F" w:rsidRPr="00CB2809" w:rsidRDefault="00BD634F" w:rsidP="00BD634F">
            <w:pPr>
              <w:numPr>
                <w:ilvl w:val="0"/>
                <w:numId w:val="17"/>
              </w:numPr>
              <w:contextualSpacing/>
              <w:rPr>
                <w:rFonts w:cs="Arial"/>
              </w:rPr>
            </w:pPr>
            <w:r w:rsidRPr="00A821E9">
              <w:rPr>
                <w:rFonts w:cs="Arial"/>
              </w:rPr>
              <w:t>Les droits d</w:t>
            </w:r>
            <w:r>
              <w:rPr>
                <w:rFonts w:cs="Arial"/>
              </w:rPr>
              <w:t>’</w:t>
            </w:r>
            <w:r w:rsidRPr="00A821E9">
              <w:rPr>
                <w:rFonts w:cs="Arial"/>
              </w:rPr>
              <w:t>obtenteur octroyés en vertu du présent Protocole seront, sur la base d</w:t>
            </w:r>
            <w:r>
              <w:rPr>
                <w:rFonts w:cs="Arial"/>
              </w:rPr>
              <w:t>’</w:t>
            </w:r>
            <w:r w:rsidRPr="00A821E9">
              <w:rPr>
                <w:rFonts w:cs="Arial"/>
              </w:rPr>
              <w:t>une demande, valables dans tous les États contractants</w:t>
            </w:r>
            <w:r w:rsidRPr="00CB2809">
              <w:rPr>
                <w:rFonts w:cs="Arial"/>
              </w:rPr>
              <w:t>.</w:t>
            </w:r>
          </w:p>
          <w:p w:rsidR="00BD634F" w:rsidRPr="00CB2809" w:rsidRDefault="00BD634F" w:rsidP="006D5FBC">
            <w:pPr>
              <w:rPr>
                <w:rFonts w:cs="Arial"/>
              </w:rPr>
            </w:pPr>
          </w:p>
        </w:tc>
        <w:tc>
          <w:tcPr>
            <w:tcW w:w="3740" w:type="dxa"/>
            <w:tcBorders>
              <w:top w:val="single" w:sz="4" w:space="0" w:color="auto"/>
              <w:left w:val="single" w:sz="4" w:space="0" w:color="auto"/>
              <w:bottom w:val="single" w:sz="4" w:space="0" w:color="auto"/>
              <w:right w:val="single" w:sz="4" w:space="0" w:color="auto"/>
            </w:tcBorders>
          </w:tcPr>
          <w:p w:rsidR="00BD634F" w:rsidRPr="00CB2809" w:rsidRDefault="00BD634F" w:rsidP="006D5FBC">
            <w:pPr>
              <w:jc w:val="center"/>
              <w:rPr>
                <w:rFonts w:cs="Arial"/>
                <w:b/>
              </w:rPr>
            </w:pPr>
            <w:r w:rsidRPr="00CB2809">
              <w:rPr>
                <w:rFonts w:cs="Arial"/>
                <w:b/>
              </w:rPr>
              <w:t>Article</w:t>
            </w:r>
            <w:r>
              <w:rPr>
                <w:rFonts w:cs="Arial"/>
                <w:b/>
              </w:rPr>
              <w:t> </w:t>
            </w:r>
            <w:r w:rsidRPr="00CB2809">
              <w:rPr>
                <w:rFonts w:cs="Arial"/>
                <w:b/>
              </w:rPr>
              <w:t>4</w:t>
            </w:r>
          </w:p>
          <w:p w:rsidR="00BD634F" w:rsidRPr="00CB2809" w:rsidRDefault="00BD634F" w:rsidP="006D5FBC">
            <w:pPr>
              <w:jc w:val="center"/>
              <w:rPr>
                <w:rFonts w:cs="Arial"/>
                <w:b/>
              </w:rPr>
            </w:pPr>
            <w:r w:rsidRPr="00CB2809">
              <w:rPr>
                <w:rFonts w:cs="Arial"/>
                <w:b/>
              </w:rPr>
              <w:t>Administration</w:t>
            </w:r>
          </w:p>
          <w:p w:rsidR="00BD634F" w:rsidRPr="00CB2809" w:rsidRDefault="00BD634F" w:rsidP="006D5FBC">
            <w:pPr>
              <w:jc w:val="center"/>
              <w:rPr>
                <w:rFonts w:cs="Arial"/>
              </w:rPr>
            </w:pPr>
          </w:p>
          <w:p w:rsidR="00BD634F" w:rsidRPr="00CB2809" w:rsidRDefault="00BD634F" w:rsidP="006D5FBC">
            <w:pPr>
              <w:rPr>
                <w:rFonts w:cs="Arial"/>
              </w:rPr>
            </w:pPr>
            <w:r w:rsidRPr="00CB2809">
              <w:rPr>
                <w:rFonts w:cs="Arial"/>
              </w:rPr>
              <w:t xml:space="preserve">1) </w:t>
            </w:r>
            <w:r>
              <w:rPr>
                <w:rFonts w:cs="Arial"/>
              </w:rPr>
              <w:tab/>
            </w:r>
            <w:r w:rsidRPr="00A821E9">
              <w:rPr>
                <w:rFonts w:cs="Arial"/>
              </w:rPr>
              <w:t>Les droits d</w:t>
            </w:r>
            <w:r>
              <w:rPr>
                <w:rFonts w:cs="Arial"/>
              </w:rPr>
              <w:t>’</w:t>
            </w:r>
            <w:r w:rsidRPr="00A821E9">
              <w:rPr>
                <w:rFonts w:cs="Arial"/>
              </w:rPr>
              <w:t>obtenteur octroyés en vertu du présent Protocole seront, sur la base d</w:t>
            </w:r>
            <w:r>
              <w:rPr>
                <w:rFonts w:cs="Arial"/>
              </w:rPr>
              <w:t>’</w:t>
            </w:r>
            <w:r w:rsidRPr="00A821E9">
              <w:rPr>
                <w:rFonts w:cs="Arial"/>
              </w:rPr>
              <w:t>une demande</w:t>
            </w:r>
            <w:r w:rsidRPr="00CB2809">
              <w:rPr>
                <w:rFonts w:cs="Arial"/>
              </w:rPr>
              <w:t xml:space="preserve">, </w:t>
            </w:r>
            <w:r>
              <w:rPr>
                <w:rFonts w:cs="Arial"/>
              </w:rPr>
              <w:t xml:space="preserve">protégés </w:t>
            </w:r>
            <w:r w:rsidRPr="00A821E9">
              <w:rPr>
                <w:rFonts w:cs="Arial"/>
              </w:rPr>
              <w:t xml:space="preserve">dans </w:t>
            </w:r>
            <w:r>
              <w:rPr>
                <w:rFonts w:cs="Arial"/>
              </w:rPr>
              <w:t>les</w:t>
            </w:r>
            <w:r w:rsidRPr="00A821E9">
              <w:rPr>
                <w:rFonts w:cs="Arial"/>
              </w:rPr>
              <w:t xml:space="preserve"> États contractants désignés</w:t>
            </w:r>
            <w:r>
              <w:rPr>
                <w:rFonts w:cs="Arial"/>
              </w:rPr>
              <w:t>, pour autant que l’État contractant n’ait pas refusé l’octroi des droits</w:t>
            </w:r>
            <w:r w:rsidRPr="00CB2809">
              <w:rPr>
                <w:rFonts w:cs="Arial"/>
              </w:rPr>
              <w:t>.</w:t>
            </w:r>
          </w:p>
        </w:tc>
      </w:tr>
      <w:tr w:rsidR="00BD634F" w:rsidRPr="00497366" w:rsidTr="006D5FBC">
        <w:trPr>
          <w:cantSplit/>
        </w:trPr>
        <w:tc>
          <w:tcPr>
            <w:tcW w:w="2159" w:type="dxa"/>
            <w:tcBorders>
              <w:top w:val="single" w:sz="4" w:space="0" w:color="auto"/>
              <w:left w:val="single" w:sz="4" w:space="0" w:color="auto"/>
              <w:bottom w:val="single" w:sz="4" w:space="0" w:color="auto"/>
              <w:right w:val="single" w:sz="4" w:space="0" w:color="auto"/>
            </w:tcBorders>
          </w:tcPr>
          <w:p w:rsidR="00BD634F" w:rsidRPr="00CB2809" w:rsidRDefault="00BD634F" w:rsidP="006D5FBC">
            <w:pPr>
              <w:jc w:val="center"/>
              <w:rPr>
                <w:rFonts w:cs="Arial"/>
                <w:b/>
              </w:rPr>
            </w:pPr>
            <w:r w:rsidRPr="00CB2809">
              <w:rPr>
                <w:rFonts w:cs="Arial"/>
                <w:b/>
              </w:rPr>
              <w:t>CHAP</w:t>
            </w:r>
            <w:r>
              <w:rPr>
                <w:rFonts w:cs="Arial"/>
                <w:b/>
              </w:rPr>
              <w:t>I</w:t>
            </w:r>
            <w:r w:rsidRPr="00CB2809">
              <w:rPr>
                <w:rFonts w:cs="Arial"/>
                <w:b/>
              </w:rPr>
              <w:t>TR</w:t>
            </w:r>
            <w:r>
              <w:rPr>
                <w:rFonts w:cs="Arial"/>
                <w:b/>
              </w:rPr>
              <w:t>E</w:t>
            </w:r>
            <w:r w:rsidRPr="00CB2809">
              <w:rPr>
                <w:rFonts w:cs="Arial"/>
                <w:b/>
              </w:rPr>
              <w:t xml:space="preserve"> III</w:t>
            </w:r>
          </w:p>
        </w:tc>
        <w:tc>
          <w:tcPr>
            <w:tcW w:w="3740" w:type="dxa"/>
            <w:tcBorders>
              <w:top w:val="single" w:sz="4" w:space="0" w:color="auto"/>
              <w:left w:val="single" w:sz="4" w:space="0" w:color="auto"/>
              <w:bottom w:val="single" w:sz="4" w:space="0" w:color="auto"/>
              <w:right w:val="single" w:sz="4" w:space="0" w:color="auto"/>
            </w:tcBorders>
          </w:tcPr>
          <w:p w:rsidR="00BD634F" w:rsidRPr="00CB2809" w:rsidRDefault="00BD634F" w:rsidP="006D5FBC">
            <w:pPr>
              <w:jc w:val="center"/>
              <w:rPr>
                <w:rFonts w:cs="Arial"/>
                <w:b/>
                <w:bCs/>
                <w:caps/>
              </w:rPr>
            </w:pPr>
            <w:r w:rsidRPr="0083337D">
              <w:rPr>
                <w:rFonts w:cs="Arial"/>
                <w:b/>
                <w:bCs/>
                <w:caps/>
              </w:rPr>
              <w:t>CHAPITRE III</w:t>
            </w:r>
          </w:p>
          <w:p w:rsidR="00BD634F" w:rsidRPr="00CB2809" w:rsidRDefault="00BD634F" w:rsidP="006D5FBC">
            <w:pPr>
              <w:jc w:val="center"/>
              <w:rPr>
                <w:rFonts w:cs="Arial"/>
                <w:b/>
                <w:bCs/>
                <w:caps/>
              </w:rPr>
            </w:pPr>
            <w:r w:rsidRPr="00CB2809">
              <w:rPr>
                <w:rFonts w:cs="Arial"/>
                <w:b/>
                <w:bCs/>
                <w:caps/>
              </w:rPr>
              <w:br/>
            </w:r>
            <w:r w:rsidRPr="0014364E">
              <w:rPr>
                <w:rFonts w:cs="Arial"/>
                <w:b/>
                <w:bCs/>
                <w:caps/>
              </w:rPr>
              <w:t>Conditions de l</w:t>
            </w:r>
            <w:r>
              <w:rPr>
                <w:rFonts w:cs="Arial"/>
                <w:b/>
                <w:bCs/>
                <w:caps/>
              </w:rPr>
              <w:t>’</w:t>
            </w:r>
            <w:r w:rsidRPr="0014364E">
              <w:rPr>
                <w:rFonts w:cs="Arial"/>
                <w:b/>
                <w:bCs/>
                <w:caps/>
              </w:rPr>
              <w:t>octroi d</w:t>
            </w:r>
            <w:r>
              <w:rPr>
                <w:rFonts w:cs="Arial"/>
                <w:b/>
                <w:bCs/>
                <w:caps/>
              </w:rPr>
              <w:t>’</w:t>
            </w:r>
            <w:r w:rsidRPr="0014364E">
              <w:rPr>
                <w:rFonts w:cs="Arial"/>
                <w:b/>
                <w:bCs/>
                <w:caps/>
              </w:rPr>
              <w:t>un droit d</w:t>
            </w:r>
            <w:r>
              <w:rPr>
                <w:rFonts w:cs="Arial"/>
                <w:b/>
                <w:bCs/>
                <w:caps/>
              </w:rPr>
              <w:t>’</w:t>
            </w:r>
            <w:r w:rsidRPr="0014364E">
              <w:rPr>
                <w:rFonts w:cs="Arial"/>
                <w:b/>
                <w:bCs/>
                <w:caps/>
              </w:rPr>
              <w:t>obtenteur</w:t>
            </w:r>
          </w:p>
        </w:tc>
        <w:tc>
          <w:tcPr>
            <w:tcW w:w="3740" w:type="dxa"/>
            <w:tcBorders>
              <w:top w:val="single" w:sz="4" w:space="0" w:color="auto"/>
              <w:left w:val="single" w:sz="4" w:space="0" w:color="auto"/>
              <w:bottom w:val="single" w:sz="4" w:space="0" w:color="auto"/>
              <w:right w:val="single" w:sz="4" w:space="0" w:color="auto"/>
            </w:tcBorders>
          </w:tcPr>
          <w:p w:rsidR="00BD634F" w:rsidRPr="00CB2809" w:rsidRDefault="00BD634F" w:rsidP="006D5FBC">
            <w:pPr>
              <w:jc w:val="center"/>
              <w:rPr>
                <w:rFonts w:cs="Arial"/>
                <w:b/>
                <w:bCs/>
                <w:caps/>
              </w:rPr>
            </w:pPr>
            <w:r w:rsidRPr="0083337D">
              <w:rPr>
                <w:rFonts w:cs="Arial"/>
                <w:b/>
                <w:bCs/>
                <w:caps/>
              </w:rPr>
              <w:t>CHAPITRE III</w:t>
            </w:r>
          </w:p>
          <w:p w:rsidR="00BD634F" w:rsidRPr="00CB2809" w:rsidRDefault="00BD634F" w:rsidP="006D5FBC">
            <w:pPr>
              <w:jc w:val="center"/>
              <w:rPr>
                <w:rFonts w:cs="Arial"/>
              </w:rPr>
            </w:pPr>
            <w:r w:rsidRPr="00CB2809">
              <w:rPr>
                <w:rFonts w:cs="Arial"/>
                <w:b/>
                <w:bCs/>
                <w:caps/>
              </w:rPr>
              <w:br/>
            </w:r>
            <w:r w:rsidRPr="0014364E">
              <w:rPr>
                <w:rFonts w:cs="Arial"/>
                <w:b/>
                <w:bCs/>
                <w:caps/>
              </w:rPr>
              <w:t>Conditions de l</w:t>
            </w:r>
            <w:r>
              <w:rPr>
                <w:rFonts w:cs="Arial"/>
                <w:b/>
                <w:bCs/>
                <w:caps/>
              </w:rPr>
              <w:t>’</w:t>
            </w:r>
            <w:r w:rsidRPr="0014364E">
              <w:rPr>
                <w:rFonts w:cs="Arial"/>
                <w:b/>
                <w:bCs/>
                <w:caps/>
              </w:rPr>
              <w:t>octroi d</w:t>
            </w:r>
            <w:r>
              <w:rPr>
                <w:rFonts w:cs="Arial"/>
                <w:b/>
                <w:bCs/>
                <w:caps/>
              </w:rPr>
              <w:t>’</w:t>
            </w:r>
            <w:r w:rsidRPr="0014364E">
              <w:rPr>
                <w:rFonts w:cs="Arial"/>
                <w:b/>
                <w:bCs/>
                <w:caps/>
              </w:rPr>
              <w:t>un droit d</w:t>
            </w:r>
            <w:r>
              <w:rPr>
                <w:rFonts w:cs="Arial"/>
                <w:b/>
                <w:bCs/>
                <w:caps/>
              </w:rPr>
              <w:t>’</w:t>
            </w:r>
            <w:r w:rsidRPr="0014364E">
              <w:rPr>
                <w:rFonts w:cs="Arial"/>
                <w:b/>
                <w:bCs/>
                <w:caps/>
              </w:rPr>
              <w:t>obtenteur</w:t>
            </w:r>
          </w:p>
        </w:tc>
      </w:tr>
      <w:tr w:rsidR="00BD634F" w:rsidRPr="00497366" w:rsidTr="006D5FBC">
        <w:trPr>
          <w:cantSplit/>
        </w:trPr>
        <w:tc>
          <w:tcPr>
            <w:tcW w:w="2159" w:type="dxa"/>
            <w:tcBorders>
              <w:top w:val="single" w:sz="4" w:space="0" w:color="auto"/>
              <w:left w:val="single" w:sz="4" w:space="0" w:color="auto"/>
              <w:bottom w:val="single" w:sz="4" w:space="0" w:color="auto"/>
              <w:right w:val="single" w:sz="4" w:space="0" w:color="auto"/>
            </w:tcBorders>
          </w:tcPr>
          <w:p w:rsidR="00BD634F" w:rsidRPr="00CB2809" w:rsidRDefault="00BD634F" w:rsidP="006D5FBC">
            <w:pPr>
              <w:widowControl w:val="0"/>
              <w:tabs>
                <w:tab w:val="left" w:pos="-31680"/>
              </w:tabs>
              <w:jc w:val="center"/>
              <w:rPr>
                <w:rFonts w:cs="Arial"/>
                <w:b/>
              </w:rPr>
            </w:pPr>
            <w:r w:rsidRPr="00CB2809">
              <w:rPr>
                <w:rFonts w:cs="Arial"/>
                <w:b/>
              </w:rPr>
              <w:t>Article</w:t>
            </w:r>
            <w:r>
              <w:rPr>
                <w:rFonts w:cs="Arial"/>
                <w:b/>
              </w:rPr>
              <w:t> </w:t>
            </w:r>
            <w:r w:rsidRPr="00CB2809">
              <w:rPr>
                <w:rFonts w:cs="Arial"/>
                <w:b/>
              </w:rPr>
              <w:t>7</w:t>
            </w:r>
          </w:p>
          <w:p w:rsidR="00BD634F" w:rsidRPr="00CB2809" w:rsidRDefault="00BD634F" w:rsidP="006D5FBC">
            <w:pPr>
              <w:jc w:val="center"/>
              <w:rPr>
                <w:rFonts w:cs="Arial"/>
                <w:b/>
              </w:rPr>
            </w:pPr>
            <w:r w:rsidRPr="00CB2809">
              <w:rPr>
                <w:rFonts w:cs="Arial"/>
                <w:b/>
              </w:rPr>
              <w:t>No</w:t>
            </w:r>
            <w:r>
              <w:rPr>
                <w:rFonts w:cs="Arial"/>
                <w:b/>
              </w:rPr>
              <w:t>uveauté</w:t>
            </w:r>
          </w:p>
          <w:p w:rsidR="00BD634F" w:rsidRPr="00CB2809" w:rsidRDefault="00BD634F" w:rsidP="006D5FBC">
            <w:pPr>
              <w:jc w:val="center"/>
              <w:rPr>
                <w:rFonts w:cs="Arial"/>
              </w:rPr>
            </w:pPr>
          </w:p>
          <w:p w:rsidR="00BD634F" w:rsidRPr="00CB2809" w:rsidRDefault="00BD634F" w:rsidP="006D5FBC">
            <w:pPr>
              <w:rPr>
                <w:rFonts w:cs="Arial"/>
              </w:rPr>
            </w:pPr>
            <w:r w:rsidRPr="00CB2809">
              <w:rPr>
                <w:rFonts w:cs="Arial"/>
              </w:rPr>
              <w:t xml:space="preserve">3) </w:t>
            </w:r>
          </w:p>
        </w:tc>
        <w:tc>
          <w:tcPr>
            <w:tcW w:w="3740" w:type="dxa"/>
            <w:tcBorders>
              <w:top w:val="single" w:sz="4" w:space="0" w:color="auto"/>
              <w:left w:val="single" w:sz="4" w:space="0" w:color="auto"/>
              <w:bottom w:val="single" w:sz="4" w:space="0" w:color="auto"/>
              <w:right w:val="single" w:sz="4" w:space="0" w:color="auto"/>
            </w:tcBorders>
          </w:tcPr>
          <w:p w:rsidR="00BD634F" w:rsidRPr="00CB2809" w:rsidRDefault="00BD634F" w:rsidP="006D5FBC">
            <w:pPr>
              <w:widowControl w:val="0"/>
              <w:tabs>
                <w:tab w:val="left" w:pos="-31680"/>
              </w:tabs>
              <w:jc w:val="center"/>
              <w:rPr>
                <w:rFonts w:cs="Arial"/>
                <w:b/>
              </w:rPr>
            </w:pPr>
            <w:r w:rsidRPr="00CB2809">
              <w:rPr>
                <w:rFonts w:cs="Arial"/>
                <w:b/>
              </w:rPr>
              <w:t>Article</w:t>
            </w:r>
            <w:r>
              <w:rPr>
                <w:rFonts w:cs="Arial"/>
                <w:b/>
              </w:rPr>
              <w:t> </w:t>
            </w:r>
            <w:r w:rsidRPr="00CB2809">
              <w:rPr>
                <w:rFonts w:cs="Arial"/>
                <w:b/>
              </w:rPr>
              <w:t>7</w:t>
            </w:r>
          </w:p>
          <w:p w:rsidR="00BD634F" w:rsidRPr="00CB2809" w:rsidRDefault="00BD634F" w:rsidP="006D5FBC">
            <w:pPr>
              <w:jc w:val="center"/>
              <w:rPr>
                <w:rFonts w:cs="Arial"/>
                <w:b/>
              </w:rPr>
            </w:pPr>
            <w:r w:rsidRPr="00B32120">
              <w:rPr>
                <w:rFonts w:cs="Arial"/>
                <w:b/>
              </w:rPr>
              <w:t>Nouveauté</w:t>
            </w:r>
          </w:p>
          <w:p w:rsidR="00BD634F" w:rsidRPr="00CB2809" w:rsidRDefault="00BD634F" w:rsidP="006D5FBC">
            <w:pPr>
              <w:jc w:val="center"/>
              <w:rPr>
                <w:rFonts w:cs="Arial"/>
              </w:rPr>
            </w:pPr>
          </w:p>
          <w:p w:rsidR="00BD634F" w:rsidRPr="00CB2809" w:rsidRDefault="00BD634F" w:rsidP="006D5FBC">
            <w:pPr>
              <w:rPr>
                <w:rFonts w:cs="Arial"/>
              </w:rPr>
            </w:pPr>
            <w:r w:rsidRPr="00CB2809">
              <w:rPr>
                <w:rFonts w:cs="Arial"/>
              </w:rPr>
              <w:t xml:space="preserve">3) </w:t>
            </w:r>
            <w:r>
              <w:rPr>
                <w:rFonts w:cs="Arial"/>
              </w:rPr>
              <w:tab/>
            </w:r>
            <w:r w:rsidRPr="00DC61FC">
              <w:rPr>
                <w:rFonts w:cs="Arial"/>
              </w:rPr>
              <w:t>L</w:t>
            </w:r>
            <w:r>
              <w:rPr>
                <w:rFonts w:cs="Arial"/>
              </w:rPr>
              <w:t>’</w:t>
            </w:r>
            <w:r w:rsidRPr="00DC61FC">
              <w:rPr>
                <w:rFonts w:cs="Arial"/>
              </w:rPr>
              <w:t>alinéa 2) s</w:t>
            </w:r>
            <w:r>
              <w:rPr>
                <w:rFonts w:cs="Arial"/>
              </w:rPr>
              <w:t>’</w:t>
            </w:r>
            <w:r w:rsidRPr="00DC61FC">
              <w:rPr>
                <w:rFonts w:cs="Arial"/>
              </w:rPr>
              <w:t>applique uniquement aux demandes de droit d</w:t>
            </w:r>
            <w:r>
              <w:rPr>
                <w:rFonts w:cs="Arial"/>
              </w:rPr>
              <w:t>’</w:t>
            </w:r>
            <w:r w:rsidRPr="00DC61FC">
              <w:rPr>
                <w:rFonts w:cs="Arial"/>
              </w:rPr>
              <w:t>obtenteur déposées dans un délai maximum d</w:t>
            </w:r>
            <w:r>
              <w:rPr>
                <w:rFonts w:cs="Arial"/>
              </w:rPr>
              <w:t>’</w:t>
            </w:r>
            <w:r w:rsidRPr="00DC61FC">
              <w:rPr>
                <w:rFonts w:cs="Arial"/>
              </w:rPr>
              <w:t>un an après que les dispositions du présent protocole sont devenues applicables aux genres ou espèces concernés</w:t>
            </w:r>
            <w:r w:rsidRPr="00CB2809">
              <w:rPr>
                <w:rFonts w:cs="Arial"/>
              </w:rPr>
              <w:t>.</w:t>
            </w:r>
          </w:p>
        </w:tc>
        <w:tc>
          <w:tcPr>
            <w:tcW w:w="3740" w:type="dxa"/>
            <w:tcBorders>
              <w:top w:val="single" w:sz="4" w:space="0" w:color="auto"/>
              <w:left w:val="single" w:sz="4" w:space="0" w:color="auto"/>
              <w:bottom w:val="single" w:sz="4" w:space="0" w:color="auto"/>
              <w:right w:val="single" w:sz="4" w:space="0" w:color="auto"/>
            </w:tcBorders>
          </w:tcPr>
          <w:p w:rsidR="00BD634F" w:rsidRPr="00CB2809" w:rsidRDefault="00BD634F" w:rsidP="006D5FBC">
            <w:pPr>
              <w:widowControl w:val="0"/>
              <w:tabs>
                <w:tab w:val="left" w:pos="-31680"/>
              </w:tabs>
              <w:jc w:val="center"/>
              <w:rPr>
                <w:rFonts w:cs="Arial"/>
                <w:b/>
              </w:rPr>
            </w:pPr>
            <w:r w:rsidRPr="00CB2809">
              <w:rPr>
                <w:rFonts w:cs="Arial"/>
                <w:b/>
              </w:rPr>
              <w:t>Article</w:t>
            </w:r>
            <w:r>
              <w:rPr>
                <w:rFonts w:cs="Arial"/>
                <w:b/>
              </w:rPr>
              <w:t> </w:t>
            </w:r>
            <w:r w:rsidRPr="00CB2809">
              <w:rPr>
                <w:rFonts w:cs="Arial"/>
                <w:b/>
              </w:rPr>
              <w:t>7</w:t>
            </w:r>
          </w:p>
          <w:p w:rsidR="00BD634F" w:rsidRPr="00CB2809" w:rsidRDefault="00BD634F" w:rsidP="006D5FBC">
            <w:pPr>
              <w:jc w:val="center"/>
              <w:rPr>
                <w:rFonts w:cs="Arial"/>
                <w:b/>
              </w:rPr>
            </w:pPr>
            <w:r w:rsidRPr="00B32120">
              <w:rPr>
                <w:rFonts w:cs="Arial"/>
                <w:b/>
              </w:rPr>
              <w:t>Nouveauté</w:t>
            </w:r>
          </w:p>
          <w:p w:rsidR="00BD634F" w:rsidRPr="00CB2809" w:rsidRDefault="00BD634F" w:rsidP="006D5FBC">
            <w:pPr>
              <w:jc w:val="center"/>
              <w:rPr>
                <w:rFonts w:cs="Arial"/>
              </w:rPr>
            </w:pPr>
          </w:p>
          <w:p w:rsidR="00BD634F" w:rsidRPr="00CB2809" w:rsidRDefault="00BD634F" w:rsidP="006D5FBC">
            <w:pPr>
              <w:rPr>
                <w:rFonts w:cs="Arial"/>
              </w:rPr>
            </w:pPr>
            <w:r w:rsidRPr="00CB2809">
              <w:rPr>
                <w:rFonts w:cs="Arial"/>
              </w:rPr>
              <w:t xml:space="preserve">3) </w:t>
            </w:r>
            <w:r>
              <w:rPr>
                <w:rFonts w:cs="Arial"/>
              </w:rPr>
              <w:tab/>
            </w:r>
            <w:r w:rsidRPr="00DC61FC">
              <w:rPr>
                <w:rFonts w:cs="Arial"/>
              </w:rPr>
              <w:t>L</w:t>
            </w:r>
            <w:r>
              <w:rPr>
                <w:rFonts w:cs="Arial"/>
              </w:rPr>
              <w:t>’</w:t>
            </w:r>
            <w:r w:rsidRPr="00DC61FC">
              <w:rPr>
                <w:rFonts w:cs="Arial"/>
              </w:rPr>
              <w:t>alinéa 2) s</w:t>
            </w:r>
            <w:r>
              <w:rPr>
                <w:rFonts w:cs="Arial"/>
              </w:rPr>
              <w:t>’</w:t>
            </w:r>
            <w:r w:rsidRPr="00DC61FC">
              <w:rPr>
                <w:rFonts w:cs="Arial"/>
              </w:rPr>
              <w:t>applique uniquement aux demandes de droit d</w:t>
            </w:r>
            <w:r>
              <w:rPr>
                <w:rFonts w:cs="Arial"/>
              </w:rPr>
              <w:t>’</w:t>
            </w:r>
            <w:r w:rsidRPr="00DC61FC">
              <w:rPr>
                <w:rFonts w:cs="Arial"/>
              </w:rPr>
              <w:t>obtenteur déposées dans un délai maximum d</w:t>
            </w:r>
            <w:r>
              <w:rPr>
                <w:rFonts w:cs="Arial"/>
              </w:rPr>
              <w:t>e deux </w:t>
            </w:r>
            <w:r w:rsidRPr="00DC61FC">
              <w:rPr>
                <w:rFonts w:cs="Arial"/>
              </w:rPr>
              <w:t>an</w:t>
            </w:r>
            <w:r>
              <w:rPr>
                <w:rFonts w:cs="Arial"/>
              </w:rPr>
              <w:t>s</w:t>
            </w:r>
            <w:r w:rsidRPr="00DC61FC">
              <w:rPr>
                <w:rFonts w:cs="Arial"/>
              </w:rPr>
              <w:t xml:space="preserve"> après que les dispositions du présent protocole sont devenues applicables aux genres ou espèces concernés</w:t>
            </w:r>
            <w:r w:rsidRPr="00CB2809">
              <w:rPr>
                <w:rFonts w:cs="Arial"/>
              </w:rPr>
              <w:t>.</w:t>
            </w:r>
          </w:p>
        </w:tc>
      </w:tr>
      <w:tr w:rsidR="00BD634F" w:rsidRPr="00497366" w:rsidTr="006D5FBC">
        <w:trPr>
          <w:cantSplit/>
        </w:trPr>
        <w:tc>
          <w:tcPr>
            <w:tcW w:w="2159" w:type="dxa"/>
            <w:tcBorders>
              <w:top w:val="single" w:sz="4" w:space="0" w:color="auto"/>
              <w:left w:val="single" w:sz="4" w:space="0" w:color="auto"/>
              <w:bottom w:val="single" w:sz="4" w:space="0" w:color="auto"/>
              <w:right w:val="single" w:sz="4" w:space="0" w:color="auto"/>
            </w:tcBorders>
          </w:tcPr>
          <w:p w:rsidR="00BD634F" w:rsidRDefault="00BD634F" w:rsidP="006D5FBC">
            <w:pPr>
              <w:jc w:val="center"/>
              <w:rPr>
                <w:rFonts w:cs="Arial"/>
                <w:b/>
              </w:rPr>
            </w:pPr>
            <w:r w:rsidRPr="00CB2809">
              <w:rPr>
                <w:rFonts w:cs="Arial"/>
                <w:b/>
              </w:rPr>
              <w:t>Article</w:t>
            </w:r>
            <w:r>
              <w:rPr>
                <w:rFonts w:cs="Arial"/>
                <w:b/>
              </w:rPr>
              <w:t> </w:t>
            </w:r>
            <w:r w:rsidRPr="00CB2809">
              <w:rPr>
                <w:rFonts w:cs="Arial"/>
                <w:b/>
              </w:rPr>
              <w:t>11</w:t>
            </w:r>
          </w:p>
          <w:p w:rsidR="00BD634F" w:rsidRPr="00CB2809" w:rsidRDefault="00BD634F" w:rsidP="006D5FBC">
            <w:pPr>
              <w:jc w:val="center"/>
              <w:rPr>
                <w:rFonts w:cs="Arial"/>
                <w:b/>
              </w:rPr>
            </w:pPr>
            <w:r w:rsidRPr="00CB2809">
              <w:rPr>
                <w:rFonts w:cs="Arial"/>
                <w:b/>
              </w:rPr>
              <w:br/>
            </w:r>
            <w:r>
              <w:rPr>
                <w:rFonts w:cs="Arial"/>
                <w:b/>
              </w:rPr>
              <w:t>P</w:t>
            </w:r>
            <w:r w:rsidRPr="005A729A">
              <w:rPr>
                <w:rFonts w:cs="Arial"/>
                <w:b/>
              </w:rPr>
              <w:t>ersonnes habilitées à déposer une demande de protection</w:t>
            </w:r>
          </w:p>
          <w:p w:rsidR="00BD634F" w:rsidRPr="00CB2809" w:rsidRDefault="00BD634F" w:rsidP="006D5FBC">
            <w:pPr>
              <w:rPr>
                <w:rFonts w:cs="Arial"/>
                <w:b/>
              </w:rPr>
            </w:pPr>
          </w:p>
          <w:p w:rsidR="00BD634F" w:rsidRPr="00CB2809" w:rsidRDefault="00BD634F" w:rsidP="006D5FBC">
            <w:pPr>
              <w:rPr>
                <w:rFonts w:cs="Arial"/>
              </w:rPr>
            </w:pPr>
            <w:r w:rsidRPr="00CB2809">
              <w:rPr>
                <w:rFonts w:cs="Arial"/>
              </w:rPr>
              <w:t>2)</w:t>
            </w:r>
          </w:p>
          <w:p w:rsidR="00BD634F" w:rsidRPr="00CB2809" w:rsidRDefault="00BD634F" w:rsidP="006D5FBC">
            <w:pPr>
              <w:rPr>
                <w:rFonts w:cs="Arial"/>
              </w:rPr>
            </w:pPr>
          </w:p>
        </w:tc>
        <w:tc>
          <w:tcPr>
            <w:tcW w:w="3740" w:type="dxa"/>
            <w:tcBorders>
              <w:top w:val="single" w:sz="4" w:space="0" w:color="auto"/>
              <w:left w:val="single" w:sz="4" w:space="0" w:color="auto"/>
              <w:bottom w:val="single" w:sz="4" w:space="0" w:color="auto"/>
              <w:right w:val="single" w:sz="4" w:space="0" w:color="auto"/>
            </w:tcBorders>
          </w:tcPr>
          <w:p w:rsidR="00BD634F" w:rsidRDefault="00BD634F" w:rsidP="006D5FBC">
            <w:pPr>
              <w:jc w:val="center"/>
              <w:rPr>
                <w:rFonts w:cs="Arial"/>
                <w:b/>
              </w:rPr>
            </w:pPr>
            <w:r w:rsidRPr="00CB2809">
              <w:rPr>
                <w:rFonts w:cs="Arial"/>
                <w:b/>
              </w:rPr>
              <w:t>Article</w:t>
            </w:r>
            <w:r>
              <w:rPr>
                <w:rFonts w:cs="Arial"/>
                <w:b/>
              </w:rPr>
              <w:t> </w:t>
            </w:r>
            <w:r w:rsidRPr="00CB2809">
              <w:rPr>
                <w:rFonts w:cs="Arial"/>
                <w:b/>
              </w:rPr>
              <w:t>11</w:t>
            </w:r>
          </w:p>
          <w:p w:rsidR="00BD634F" w:rsidRPr="00CB2809" w:rsidRDefault="00BD634F" w:rsidP="006D5FBC">
            <w:pPr>
              <w:jc w:val="center"/>
              <w:rPr>
                <w:rFonts w:cs="Arial"/>
                <w:b/>
              </w:rPr>
            </w:pPr>
            <w:r w:rsidRPr="00CB2809">
              <w:rPr>
                <w:rFonts w:cs="Arial"/>
                <w:b/>
              </w:rPr>
              <w:br/>
            </w:r>
            <w:r w:rsidRPr="005A729A">
              <w:rPr>
                <w:rFonts w:cs="Arial"/>
                <w:b/>
              </w:rPr>
              <w:t>Personnes habilitées à déposer une demande de protection</w:t>
            </w:r>
          </w:p>
          <w:p w:rsidR="00BD634F" w:rsidRPr="00CB2809" w:rsidRDefault="00BD634F" w:rsidP="006D5FBC">
            <w:pPr>
              <w:rPr>
                <w:rFonts w:cs="Arial"/>
                <w:b/>
              </w:rPr>
            </w:pPr>
          </w:p>
          <w:p w:rsidR="00BD634F" w:rsidRPr="00CB2809" w:rsidRDefault="00BD634F" w:rsidP="006D5FBC">
            <w:pPr>
              <w:rPr>
                <w:rFonts w:cs="Arial"/>
              </w:rPr>
            </w:pPr>
            <w:r w:rsidRPr="00CB2809">
              <w:rPr>
                <w:rFonts w:cs="Arial"/>
              </w:rPr>
              <w:t xml:space="preserve">2) </w:t>
            </w:r>
            <w:r>
              <w:rPr>
                <w:rFonts w:cs="Arial"/>
              </w:rPr>
              <w:tab/>
            </w:r>
            <w:r w:rsidRPr="005A729A">
              <w:rPr>
                <w:rFonts w:cs="Arial"/>
              </w:rPr>
              <w:t>Une demande déposée en vertu de l</w:t>
            </w:r>
            <w:r>
              <w:rPr>
                <w:rFonts w:cs="Arial"/>
              </w:rPr>
              <w:t>’</w:t>
            </w:r>
            <w:r w:rsidRPr="005A729A">
              <w:rPr>
                <w:rFonts w:cs="Arial"/>
              </w:rPr>
              <w:t>alinéa 1) par un obtenteur qui n</w:t>
            </w:r>
            <w:r>
              <w:rPr>
                <w:rFonts w:cs="Arial"/>
              </w:rPr>
              <w:t>’</w:t>
            </w:r>
            <w:r w:rsidRPr="005A729A">
              <w:rPr>
                <w:rFonts w:cs="Arial"/>
              </w:rPr>
              <w:t>est pas domicilié dans un des États contractants sera uniquement soumise par l</w:t>
            </w:r>
            <w:r>
              <w:rPr>
                <w:rFonts w:cs="Arial"/>
              </w:rPr>
              <w:t>’</w:t>
            </w:r>
            <w:r w:rsidRPr="005A729A">
              <w:rPr>
                <w:rFonts w:cs="Arial"/>
              </w:rPr>
              <w:t>intermédiaire d</w:t>
            </w:r>
            <w:r>
              <w:rPr>
                <w:rFonts w:cs="Arial"/>
              </w:rPr>
              <w:t>’</w:t>
            </w:r>
            <w:r w:rsidRPr="005A729A">
              <w:rPr>
                <w:rFonts w:cs="Arial"/>
              </w:rPr>
              <w:t>un agent domicilié dans un des États contractants ou dans le pays hôte de l</w:t>
            </w:r>
            <w:r>
              <w:rPr>
                <w:rFonts w:cs="Arial"/>
              </w:rPr>
              <w:t>’</w:t>
            </w:r>
            <w:r w:rsidRPr="005A729A">
              <w:rPr>
                <w:rFonts w:cs="Arial"/>
              </w:rPr>
              <w:t>ARIPO</w:t>
            </w:r>
            <w:r w:rsidRPr="00CB2809">
              <w:rPr>
                <w:rFonts w:cs="Arial"/>
              </w:rPr>
              <w:t>.</w:t>
            </w:r>
          </w:p>
        </w:tc>
        <w:tc>
          <w:tcPr>
            <w:tcW w:w="3740" w:type="dxa"/>
            <w:tcBorders>
              <w:top w:val="single" w:sz="4" w:space="0" w:color="auto"/>
              <w:left w:val="single" w:sz="4" w:space="0" w:color="auto"/>
              <w:bottom w:val="single" w:sz="4" w:space="0" w:color="auto"/>
              <w:right w:val="single" w:sz="4" w:space="0" w:color="auto"/>
            </w:tcBorders>
          </w:tcPr>
          <w:p w:rsidR="00BD634F" w:rsidRDefault="00BD634F" w:rsidP="006D5FBC">
            <w:pPr>
              <w:widowControl w:val="0"/>
              <w:tabs>
                <w:tab w:val="left" w:pos="-31680"/>
              </w:tabs>
              <w:jc w:val="center"/>
              <w:rPr>
                <w:rFonts w:cs="Arial"/>
                <w:b/>
              </w:rPr>
            </w:pPr>
            <w:r w:rsidRPr="00CB2809">
              <w:rPr>
                <w:rFonts w:cs="Arial"/>
                <w:b/>
              </w:rPr>
              <w:t>Article</w:t>
            </w:r>
            <w:r>
              <w:rPr>
                <w:rFonts w:cs="Arial"/>
                <w:b/>
              </w:rPr>
              <w:t> </w:t>
            </w:r>
            <w:r w:rsidRPr="00CB2809">
              <w:rPr>
                <w:rFonts w:cs="Arial"/>
                <w:b/>
              </w:rPr>
              <w:t>11</w:t>
            </w:r>
          </w:p>
          <w:p w:rsidR="00BD634F" w:rsidRPr="00CB2809" w:rsidRDefault="00BD634F" w:rsidP="006D5FBC">
            <w:pPr>
              <w:widowControl w:val="0"/>
              <w:tabs>
                <w:tab w:val="left" w:pos="-31680"/>
              </w:tabs>
              <w:jc w:val="center"/>
              <w:rPr>
                <w:rFonts w:cs="Arial"/>
                <w:b/>
              </w:rPr>
            </w:pPr>
            <w:r w:rsidRPr="00CB2809">
              <w:rPr>
                <w:rFonts w:cs="Arial"/>
                <w:b/>
              </w:rPr>
              <w:br/>
            </w:r>
            <w:r w:rsidRPr="005A729A">
              <w:rPr>
                <w:rFonts w:cs="Arial"/>
                <w:b/>
              </w:rPr>
              <w:t>Personnes habilitées à déposer une demande de protection</w:t>
            </w:r>
          </w:p>
          <w:p w:rsidR="00BD634F" w:rsidRPr="00CB2809" w:rsidRDefault="00BD634F" w:rsidP="006D5FBC">
            <w:pPr>
              <w:widowControl w:val="0"/>
              <w:tabs>
                <w:tab w:val="left" w:pos="-31680"/>
              </w:tabs>
              <w:jc w:val="center"/>
              <w:rPr>
                <w:rFonts w:cs="Arial"/>
                <w:b/>
              </w:rPr>
            </w:pPr>
          </w:p>
          <w:p w:rsidR="00BD634F" w:rsidRPr="00CB2809" w:rsidRDefault="00BD634F" w:rsidP="006D5FBC">
            <w:pPr>
              <w:widowControl w:val="0"/>
              <w:tabs>
                <w:tab w:val="left" w:pos="-31680"/>
              </w:tabs>
              <w:rPr>
                <w:rFonts w:cs="Arial"/>
                <w:b/>
              </w:rPr>
            </w:pPr>
            <w:r w:rsidRPr="00CB2809">
              <w:rPr>
                <w:rFonts w:cs="Arial"/>
              </w:rPr>
              <w:t xml:space="preserve">2) </w:t>
            </w:r>
            <w:r>
              <w:rPr>
                <w:rFonts w:cs="Arial"/>
              </w:rPr>
              <w:tab/>
            </w:r>
            <w:r w:rsidRPr="005A729A">
              <w:rPr>
                <w:rFonts w:cs="Arial"/>
              </w:rPr>
              <w:t>Une demande déposée par un obtenteur qui n</w:t>
            </w:r>
            <w:r>
              <w:rPr>
                <w:rFonts w:cs="Arial"/>
              </w:rPr>
              <w:t>’</w:t>
            </w:r>
            <w:r w:rsidRPr="005A729A">
              <w:rPr>
                <w:rFonts w:cs="Arial"/>
              </w:rPr>
              <w:t>est pas domicilié dans un des États contractants sera uniquement soumise par l</w:t>
            </w:r>
            <w:r>
              <w:rPr>
                <w:rFonts w:cs="Arial"/>
              </w:rPr>
              <w:t>’</w:t>
            </w:r>
            <w:r w:rsidRPr="005A729A">
              <w:rPr>
                <w:rFonts w:cs="Arial"/>
              </w:rPr>
              <w:t>intermédiaire d</w:t>
            </w:r>
            <w:r>
              <w:rPr>
                <w:rFonts w:cs="Arial"/>
              </w:rPr>
              <w:t>’</w:t>
            </w:r>
            <w:r w:rsidRPr="005A729A">
              <w:rPr>
                <w:rFonts w:cs="Arial"/>
              </w:rPr>
              <w:t>un agent domicilié dans un des États contractants</w:t>
            </w:r>
            <w:r w:rsidRPr="00CB2809">
              <w:rPr>
                <w:rFonts w:cs="Arial"/>
              </w:rPr>
              <w:t>.</w:t>
            </w:r>
          </w:p>
          <w:p w:rsidR="00BD634F" w:rsidRPr="00CB2809" w:rsidRDefault="00BD634F" w:rsidP="006D5FBC">
            <w:pPr>
              <w:rPr>
                <w:rFonts w:cs="Arial"/>
              </w:rPr>
            </w:pPr>
          </w:p>
        </w:tc>
      </w:tr>
      <w:tr w:rsidR="00BD634F" w:rsidRPr="00497366" w:rsidTr="006D5FBC">
        <w:trPr>
          <w:cantSplit/>
        </w:trPr>
        <w:tc>
          <w:tcPr>
            <w:tcW w:w="2159" w:type="dxa"/>
            <w:tcBorders>
              <w:top w:val="single" w:sz="4" w:space="0" w:color="auto"/>
              <w:left w:val="single" w:sz="4" w:space="0" w:color="auto"/>
              <w:bottom w:val="single" w:sz="4" w:space="0" w:color="auto"/>
              <w:right w:val="single" w:sz="4" w:space="0" w:color="auto"/>
            </w:tcBorders>
          </w:tcPr>
          <w:p w:rsidR="00BD634F" w:rsidRPr="00CB2809" w:rsidRDefault="00BD634F" w:rsidP="006D5FBC">
            <w:pPr>
              <w:jc w:val="center"/>
              <w:rPr>
                <w:rFonts w:cs="Arial"/>
                <w:b/>
              </w:rPr>
            </w:pPr>
            <w:r w:rsidRPr="00CB2809">
              <w:rPr>
                <w:rFonts w:cs="Arial"/>
                <w:b/>
              </w:rPr>
              <w:t>Article</w:t>
            </w:r>
            <w:r>
              <w:rPr>
                <w:rFonts w:cs="Arial"/>
                <w:b/>
              </w:rPr>
              <w:t> </w:t>
            </w:r>
            <w:r w:rsidRPr="00CB2809">
              <w:rPr>
                <w:rFonts w:cs="Arial"/>
                <w:b/>
              </w:rPr>
              <w:t>18</w:t>
            </w:r>
          </w:p>
          <w:p w:rsidR="00BD634F" w:rsidRPr="00CB2809" w:rsidRDefault="00BD634F" w:rsidP="006D5FBC">
            <w:pPr>
              <w:jc w:val="center"/>
              <w:rPr>
                <w:rFonts w:cs="Arial"/>
                <w:b/>
              </w:rPr>
            </w:pPr>
          </w:p>
          <w:p w:rsidR="00BD634F" w:rsidRPr="00CB2809" w:rsidRDefault="00BD634F" w:rsidP="006D5FBC">
            <w:pPr>
              <w:jc w:val="center"/>
              <w:rPr>
                <w:rFonts w:cs="Arial"/>
                <w:b/>
              </w:rPr>
            </w:pPr>
            <w:r>
              <w:rPr>
                <w:rFonts w:cs="Arial"/>
                <w:b/>
              </w:rPr>
              <w:t>E</w:t>
            </w:r>
            <w:r w:rsidRPr="002F31B9">
              <w:rPr>
                <w:rFonts w:cs="Arial"/>
                <w:b/>
              </w:rPr>
              <w:t>xamen de la distinction, de l</w:t>
            </w:r>
            <w:r>
              <w:rPr>
                <w:rFonts w:cs="Arial"/>
                <w:b/>
              </w:rPr>
              <w:t>’</w:t>
            </w:r>
            <w:r w:rsidRPr="002F31B9">
              <w:rPr>
                <w:rFonts w:cs="Arial"/>
                <w:b/>
              </w:rPr>
              <w:t>homogénéité et de la stabilité</w:t>
            </w:r>
          </w:p>
          <w:p w:rsidR="00BD634F" w:rsidRPr="00CB2809" w:rsidRDefault="00BD634F" w:rsidP="006D5FBC">
            <w:pPr>
              <w:jc w:val="center"/>
              <w:rPr>
                <w:rFonts w:cs="Arial"/>
              </w:rPr>
            </w:pPr>
          </w:p>
          <w:p w:rsidR="00BD634F" w:rsidRPr="00CB2809" w:rsidRDefault="00BD634F" w:rsidP="006D5FBC">
            <w:pPr>
              <w:jc w:val="center"/>
              <w:rPr>
                <w:rFonts w:cs="Arial"/>
              </w:rPr>
            </w:pPr>
          </w:p>
          <w:p w:rsidR="00BD634F" w:rsidRPr="00CB2809" w:rsidRDefault="00BD634F" w:rsidP="006D5FBC">
            <w:pPr>
              <w:rPr>
                <w:rFonts w:cs="Arial"/>
              </w:rPr>
            </w:pPr>
            <w:r w:rsidRPr="00CB2809">
              <w:rPr>
                <w:rFonts w:cs="Arial"/>
              </w:rPr>
              <w:t>1)</w:t>
            </w:r>
          </w:p>
        </w:tc>
        <w:tc>
          <w:tcPr>
            <w:tcW w:w="3740" w:type="dxa"/>
            <w:tcBorders>
              <w:top w:val="single" w:sz="4" w:space="0" w:color="auto"/>
              <w:left w:val="single" w:sz="4" w:space="0" w:color="auto"/>
              <w:bottom w:val="single" w:sz="4" w:space="0" w:color="auto"/>
              <w:right w:val="single" w:sz="4" w:space="0" w:color="auto"/>
            </w:tcBorders>
          </w:tcPr>
          <w:p w:rsidR="00BD634F" w:rsidRPr="00CB2809" w:rsidRDefault="00BD634F" w:rsidP="006D5FBC">
            <w:pPr>
              <w:jc w:val="center"/>
              <w:rPr>
                <w:rFonts w:cs="Arial"/>
                <w:b/>
              </w:rPr>
            </w:pPr>
            <w:r w:rsidRPr="00CB2809">
              <w:rPr>
                <w:rFonts w:cs="Arial"/>
                <w:b/>
              </w:rPr>
              <w:t>Article</w:t>
            </w:r>
            <w:r>
              <w:rPr>
                <w:rFonts w:cs="Arial"/>
                <w:b/>
              </w:rPr>
              <w:t> </w:t>
            </w:r>
            <w:r w:rsidRPr="00CB2809">
              <w:rPr>
                <w:rFonts w:cs="Arial"/>
                <w:b/>
              </w:rPr>
              <w:t>18</w:t>
            </w:r>
          </w:p>
          <w:p w:rsidR="00BD634F" w:rsidRPr="00CB2809" w:rsidRDefault="00BD634F" w:rsidP="006D5FBC">
            <w:pPr>
              <w:jc w:val="center"/>
              <w:rPr>
                <w:rFonts w:cs="Arial"/>
                <w:b/>
              </w:rPr>
            </w:pPr>
          </w:p>
          <w:p w:rsidR="00BD634F" w:rsidRPr="00CB2809" w:rsidRDefault="00BD634F" w:rsidP="006D5FBC">
            <w:pPr>
              <w:jc w:val="center"/>
              <w:rPr>
                <w:rFonts w:cs="Arial"/>
                <w:b/>
              </w:rPr>
            </w:pPr>
            <w:r w:rsidRPr="00AB15EA">
              <w:rPr>
                <w:rFonts w:cs="Arial"/>
                <w:b/>
              </w:rPr>
              <w:t>Examen de la distinction, de l</w:t>
            </w:r>
            <w:r>
              <w:rPr>
                <w:rFonts w:cs="Arial"/>
                <w:b/>
              </w:rPr>
              <w:t>’</w:t>
            </w:r>
            <w:r w:rsidRPr="00AB15EA">
              <w:rPr>
                <w:rFonts w:cs="Arial"/>
                <w:b/>
              </w:rPr>
              <w:t>homogénéité et de la stabilité</w:t>
            </w:r>
          </w:p>
          <w:p w:rsidR="00BD634F" w:rsidRPr="00CB2809" w:rsidRDefault="00BD634F" w:rsidP="006D5FBC">
            <w:pPr>
              <w:rPr>
                <w:rFonts w:cs="Arial"/>
              </w:rPr>
            </w:pPr>
          </w:p>
          <w:p w:rsidR="00BD634F" w:rsidRPr="00CB2809" w:rsidRDefault="00BD634F" w:rsidP="006D5FBC">
            <w:pPr>
              <w:widowControl w:val="0"/>
              <w:tabs>
                <w:tab w:val="left" w:pos="53"/>
              </w:tabs>
              <w:rPr>
                <w:rFonts w:cs="Arial"/>
              </w:rPr>
            </w:pPr>
            <w:r w:rsidRPr="00CB2809">
              <w:rPr>
                <w:rFonts w:cs="Arial"/>
              </w:rPr>
              <w:t xml:space="preserve">1) </w:t>
            </w:r>
            <w:r w:rsidRPr="00CB2809">
              <w:rPr>
                <w:rFonts w:cs="Arial"/>
              </w:rPr>
              <w:tab/>
            </w:r>
            <w:r>
              <w:rPr>
                <w:rFonts w:cs="Arial"/>
              </w:rPr>
              <w:t>Conformément à l’article </w:t>
            </w:r>
            <w:r w:rsidRPr="00CB2809">
              <w:rPr>
                <w:rFonts w:cs="Arial"/>
              </w:rPr>
              <w:t>17</w:t>
            </w:r>
            <w:r>
              <w:rPr>
                <w:rFonts w:cs="Arial"/>
              </w:rPr>
              <w:t>.</w:t>
            </w:r>
            <w:r w:rsidRPr="00CB2809">
              <w:rPr>
                <w:rFonts w:cs="Arial"/>
              </w:rPr>
              <w:t xml:space="preserve">1)d), </w:t>
            </w:r>
            <w:r>
              <w:rPr>
                <w:rFonts w:cs="Arial"/>
              </w:rPr>
              <w:t>l’Office de l’A</w:t>
            </w:r>
            <w:r w:rsidRPr="00CB2809">
              <w:rPr>
                <w:rFonts w:cs="Arial"/>
              </w:rPr>
              <w:t xml:space="preserve">RIPO </w:t>
            </w:r>
            <w:r>
              <w:rPr>
                <w:rFonts w:cs="Arial"/>
              </w:rPr>
              <w:t>peut, aux fins de l’examen</w:t>
            </w:r>
            <w:r w:rsidRPr="00CB2809">
              <w:rPr>
                <w:rFonts w:cs="Arial"/>
              </w:rPr>
              <w:t xml:space="preserve"> </w:t>
            </w:r>
            <w:r>
              <w:rPr>
                <w:rFonts w:cs="Arial"/>
              </w:rPr>
              <w:t>et en vue de garantir le respect des conditions prescrites aux articles </w:t>
            </w:r>
            <w:r w:rsidRPr="00CB2809">
              <w:rPr>
                <w:rFonts w:cs="Arial"/>
              </w:rPr>
              <w:t xml:space="preserve">8, 9 </w:t>
            </w:r>
            <w:r>
              <w:rPr>
                <w:rFonts w:cs="Arial"/>
              </w:rPr>
              <w:t>et</w:t>
            </w:r>
            <w:r w:rsidRPr="00CB2809">
              <w:rPr>
                <w:rFonts w:cs="Arial"/>
              </w:rPr>
              <w:t xml:space="preserve"> 10–</w:t>
            </w:r>
          </w:p>
          <w:p w:rsidR="00BD634F" w:rsidRPr="00CB2809" w:rsidRDefault="00BD634F" w:rsidP="006D5FBC">
            <w:pPr>
              <w:widowControl w:val="0"/>
              <w:tabs>
                <w:tab w:val="left" w:pos="-31680"/>
              </w:tabs>
              <w:rPr>
                <w:rFonts w:cs="Arial"/>
              </w:rPr>
            </w:pPr>
          </w:p>
          <w:p w:rsidR="00BD634F" w:rsidRPr="00CB2809" w:rsidRDefault="00BD634F" w:rsidP="006D5FBC">
            <w:pPr>
              <w:widowControl w:val="0"/>
              <w:tabs>
                <w:tab w:val="left" w:pos="-31680"/>
              </w:tabs>
              <w:rPr>
                <w:rFonts w:cs="Arial"/>
              </w:rPr>
            </w:pPr>
            <w:r w:rsidRPr="00CB2809">
              <w:rPr>
                <w:rFonts w:cs="Arial"/>
              </w:rPr>
              <w:t>a)</w:t>
            </w:r>
            <w:r w:rsidRPr="00CB2809">
              <w:rPr>
                <w:rFonts w:cs="Arial"/>
              </w:rPr>
              <w:tab/>
            </w:r>
            <w:r>
              <w:rPr>
                <w:rFonts w:cs="Arial"/>
              </w:rPr>
              <w:t xml:space="preserve">prendre les dispositions en vue de l’exécution de l’examen par toute institution compétente d’un État contractant ou d’un </w:t>
            </w:r>
            <w:r w:rsidRPr="00AF73A8">
              <w:rPr>
                <w:rFonts w:cs="Arial"/>
              </w:rPr>
              <w:t>membre d</w:t>
            </w:r>
            <w:r>
              <w:rPr>
                <w:rFonts w:cs="Arial"/>
              </w:rPr>
              <w:t>’</w:t>
            </w:r>
            <w:r w:rsidRPr="00AF73A8">
              <w:rPr>
                <w:rFonts w:cs="Arial"/>
              </w:rPr>
              <w:t>une organisation intergouvernementale fournissant un système efficace de protection des obtentions végétales</w:t>
            </w:r>
            <w:r w:rsidRPr="00CB2809">
              <w:rPr>
                <w:rFonts w:cs="Arial"/>
              </w:rPr>
              <w:t>;  o</w:t>
            </w:r>
            <w:r>
              <w:rPr>
                <w:rFonts w:cs="Arial"/>
              </w:rPr>
              <w:t>u</w:t>
            </w:r>
          </w:p>
          <w:p w:rsidR="00BD634F" w:rsidRPr="00CB2809" w:rsidRDefault="00BD634F" w:rsidP="006D5FBC">
            <w:pPr>
              <w:widowControl w:val="0"/>
              <w:tabs>
                <w:tab w:val="left" w:pos="-31680"/>
              </w:tabs>
              <w:rPr>
                <w:rFonts w:cs="Arial"/>
              </w:rPr>
            </w:pPr>
          </w:p>
          <w:p w:rsidR="00BD634F" w:rsidRPr="00CB2809" w:rsidRDefault="00BD634F" w:rsidP="006D5FBC">
            <w:pPr>
              <w:widowControl w:val="0"/>
              <w:tabs>
                <w:tab w:val="left" w:pos="-31680"/>
              </w:tabs>
              <w:rPr>
                <w:rFonts w:cs="Arial"/>
              </w:rPr>
            </w:pPr>
            <w:r w:rsidRPr="00CB2809">
              <w:rPr>
                <w:rFonts w:cs="Arial"/>
              </w:rPr>
              <w:t xml:space="preserve">b) </w:t>
            </w:r>
            <w:r w:rsidRPr="002576C3">
              <w:rPr>
                <w:rFonts w:cs="Arial"/>
              </w:rPr>
              <w:t xml:space="preserve">prendre en compte les résultats des </w:t>
            </w:r>
            <w:r>
              <w:rPr>
                <w:rFonts w:cs="Arial"/>
              </w:rPr>
              <w:t>examens déjà effectués par l’</w:t>
            </w:r>
            <w:r w:rsidRPr="002576C3">
              <w:rPr>
                <w:rFonts w:cs="Arial"/>
              </w:rPr>
              <w:t xml:space="preserve">État contractant ou </w:t>
            </w:r>
            <w:r>
              <w:rPr>
                <w:rFonts w:cs="Arial"/>
              </w:rPr>
              <w:t xml:space="preserve">tout </w:t>
            </w:r>
            <w:r w:rsidRPr="002576C3">
              <w:rPr>
                <w:rFonts w:cs="Arial"/>
              </w:rPr>
              <w:t>membre d</w:t>
            </w:r>
            <w:r>
              <w:rPr>
                <w:rFonts w:cs="Arial"/>
              </w:rPr>
              <w:t>’</w:t>
            </w:r>
            <w:r w:rsidRPr="002576C3">
              <w:rPr>
                <w:rFonts w:cs="Arial"/>
              </w:rPr>
              <w:t>une organisation intergouvernementale fournissant un système efficace de protection des obtentions végétales</w:t>
            </w:r>
            <w:r w:rsidRPr="00CB2809">
              <w:rPr>
                <w:rFonts w:cs="Arial"/>
              </w:rPr>
              <w:t>.</w:t>
            </w:r>
          </w:p>
          <w:p w:rsidR="00BD634F" w:rsidRPr="00CB2809" w:rsidRDefault="00BD634F" w:rsidP="006D5FBC">
            <w:pPr>
              <w:widowControl w:val="0"/>
              <w:rPr>
                <w:rFonts w:cs="Arial"/>
              </w:rPr>
            </w:pPr>
          </w:p>
        </w:tc>
        <w:tc>
          <w:tcPr>
            <w:tcW w:w="3740" w:type="dxa"/>
            <w:tcBorders>
              <w:top w:val="single" w:sz="4" w:space="0" w:color="auto"/>
              <w:left w:val="single" w:sz="4" w:space="0" w:color="auto"/>
              <w:bottom w:val="single" w:sz="4" w:space="0" w:color="auto"/>
              <w:right w:val="single" w:sz="4" w:space="0" w:color="auto"/>
            </w:tcBorders>
          </w:tcPr>
          <w:p w:rsidR="00BD634F" w:rsidRPr="00CB2809" w:rsidRDefault="00BD634F" w:rsidP="006D5FBC">
            <w:pPr>
              <w:jc w:val="center"/>
              <w:rPr>
                <w:rFonts w:cs="Arial"/>
                <w:b/>
              </w:rPr>
            </w:pPr>
            <w:r w:rsidRPr="00CB2809">
              <w:rPr>
                <w:rFonts w:cs="Arial"/>
                <w:b/>
              </w:rPr>
              <w:t>Article</w:t>
            </w:r>
            <w:r>
              <w:rPr>
                <w:rFonts w:cs="Arial"/>
                <w:b/>
              </w:rPr>
              <w:t> </w:t>
            </w:r>
            <w:r w:rsidRPr="00CB2809">
              <w:rPr>
                <w:rFonts w:cs="Arial"/>
                <w:b/>
              </w:rPr>
              <w:t>18</w:t>
            </w:r>
          </w:p>
          <w:p w:rsidR="00BD634F" w:rsidRPr="00CB2809" w:rsidRDefault="00BD634F" w:rsidP="006D5FBC">
            <w:pPr>
              <w:jc w:val="center"/>
              <w:rPr>
                <w:rFonts w:cs="Arial"/>
                <w:b/>
              </w:rPr>
            </w:pPr>
          </w:p>
          <w:p w:rsidR="00BD634F" w:rsidRPr="00CB2809" w:rsidRDefault="00BD634F" w:rsidP="006D5FBC">
            <w:pPr>
              <w:jc w:val="center"/>
              <w:rPr>
                <w:rFonts w:cs="Arial"/>
              </w:rPr>
            </w:pPr>
            <w:r w:rsidRPr="00AB15EA">
              <w:rPr>
                <w:rFonts w:cs="Arial"/>
                <w:b/>
              </w:rPr>
              <w:t>Examen de la distinction, de l</w:t>
            </w:r>
            <w:r>
              <w:rPr>
                <w:rFonts w:cs="Arial"/>
                <w:b/>
              </w:rPr>
              <w:t>’</w:t>
            </w:r>
            <w:r w:rsidRPr="00AB15EA">
              <w:rPr>
                <w:rFonts w:cs="Arial"/>
                <w:b/>
              </w:rPr>
              <w:t>homogénéité et de la stabilité</w:t>
            </w:r>
          </w:p>
          <w:p w:rsidR="00BD634F" w:rsidRPr="00CB2809" w:rsidRDefault="00BD634F" w:rsidP="006D5FBC">
            <w:pPr>
              <w:rPr>
                <w:rFonts w:cs="Arial"/>
              </w:rPr>
            </w:pPr>
          </w:p>
          <w:p w:rsidR="00BD634F" w:rsidRDefault="00BD634F" w:rsidP="00BD634F">
            <w:pPr>
              <w:numPr>
                <w:ilvl w:val="0"/>
                <w:numId w:val="18"/>
              </w:numPr>
              <w:ind w:left="0" w:firstLine="0"/>
              <w:contextualSpacing/>
              <w:rPr>
                <w:rFonts w:cs="Arial"/>
              </w:rPr>
            </w:pPr>
            <w:r w:rsidRPr="00FC0978">
              <w:rPr>
                <w:rFonts w:cs="Arial"/>
              </w:rPr>
              <w:t>Conformément à l</w:t>
            </w:r>
            <w:r>
              <w:rPr>
                <w:rFonts w:cs="Arial"/>
              </w:rPr>
              <w:t>’</w:t>
            </w:r>
            <w:r w:rsidRPr="00FC0978">
              <w:rPr>
                <w:rFonts w:cs="Arial"/>
              </w:rPr>
              <w:t>article</w:t>
            </w:r>
            <w:r>
              <w:rPr>
                <w:rFonts w:cs="Arial"/>
              </w:rPr>
              <w:t> </w:t>
            </w:r>
            <w:r w:rsidRPr="00FC0978">
              <w:rPr>
                <w:rFonts w:cs="Arial"/>
              </w:rPr>
              <w:t>17.1)d), l</w:t>
            </w:r>
            <w:r>
              <w:rPr>
                <w:rFonts w:cs="Arial"/>
              </w:rPr>
              <w:t>’</w:t>
            </w:r>
            <w:r w:rsidRPr="00FC0978">
              <w:rPr>
                <w:rFonts w:cs="Arial"/>
              </w:rPr>
              <w:t>Office de l</w:t>
            </w:r>
            <w:r>
              <w:rPr>
                <w:rFonts w:cs="Arial"/>
              </w:rPr>
              <w:t>’</w:t>
            </w:r>
            <w:r w:rsidRPr="00FC0978">
              <w:rPr>
                <w:rFonts w:cs="Arial"/>
              </w:rPr>
              <w:t>ARIPO peut, aux fins de l</w:t>
            </w:r>
            <w:r>
              <w:rPr>
                <w:rFonts w:cs="Arial"/>
              </w:rPr>
              <w:t>’</w:t>
            </w:r>
            <w:r w:rsidRPr="00FC0978">
              <w:rPr>
                <w:rFonts w:cs="Arial"/>
              </w:rPr>
              <w:t xml:space="preserve">examen et en vue de garantir le respect des </w:t>
            </w:r>
            <w:r>
              <w:rPr>
                <w:rFonts w:cs="Arial"/>
              </w:rPr>
              <w:t>conditions</w:t>
            </w:r>
            <w:r w:rsidRPr="00FC0978">
              <w:rPr>
                <w:rFonts w:cs="Arial"/>
              </w:rPr>
              <w:t xml:space="preserve"> prescrites aux articles</w:t>
            </w:r>
            <w:r>
              <w:rPr>
                <w:rFonts w:cs="Arial"/>
              </w:rPr>
              <w:t> </w:t>
            </w:r>
            <w:r w:rsidRPr="00FC0978">
              <w:rPr>
                <w:rFonts w:cs="Arial"/>
              </w:rPr>
              <w:t>8, 9 et 10</w:t>
            </w:r>
            <w:r w:rsidRPr="00CB2809">
              <w:rPr>
                <w:rFonts w:cs="Arial"/>
              </w:rPr>
              <w:t>–</w:t>
            </w:r>
          </w:p>
          <w:p w:rsidR="00BD634F" w:rsidRPr="00CB2809" w:rsidRDefault="00BD634F" w:rsidP="006D5FBC">
            <w:pPr>
              <w:rPr>
                <w:rFonts w:cs="Arial"/>
              </w:rPr>
            </w:pPr>
          </w:p>
          <w:p w:rsidR="00BD634F" w:rsidRPr="00CB2809" w:rsidRDefault="00BD634F" w:rsidP="006D5FBC">
            <w:pPr>
              <w:rPr>
                <w:rFonts w:cs="Arial"/>
              </w:rPr>
            </w:pPr>
            <w:r w:rsidRPr="00CB2809">
              <w:rPr>
                <w:rFonts w:cs="Arial"/>
              </w:rPr>
              <w:t xml:space="preserve">a) </w:t>
            </w:r>
            <w:r w:rsidRPr="00CB2809">
              <w:rPr>
                <w:rFonts w:cs="Arial"/>
              </w:rPr>
              <w:tab/>
            </w:r>
            <w:r w:rsidRPr="00065EAC">
              <w:rPr>
                <w:rFonts w:cs="Arial"/>
                <w:spacing w:val="-2"/>
              </w:rPr>
              <w:t>prendre les dispositions en vue de l</w:t>
            </w:r>
            <w:r>
              <w:rPr>
                <w:rFonts w:cs="Arial"/>
                <w:spacing w:val="-2"/>
              </w:rPr>
              <w:t>’</w:t>
            </w:r>
            <w:r w:rsidRPr="00065EAC">
              <w:rPr>
                <w:rFonts w:cs="Arial"/>
                <w:spacing w:val="-2"/>
              </w:rPr>
              <w:t>exécution de l</w:t>
            </w:r>
            <w:r>
              <w:rPr>
                <w:rFonts w:cs="Arial"/>
                <w:spacing w:val="-2"/>
              </w:rPr>
              <w:t>’</w:t>
            </w:r>
            <w:r w:rsidRPr="00065EAC">
              <w:rPr>
                <w:rFonts w:cs="Arial"/>
                <w:spacing w:val="-2"/>
              </w:rPr>
              <w:t>examen par toute institution compétente d</w:t>
            </w:r>
            <w:r>
              <w:rPr>
                <w:rFonts w:cs="Arial"/>
                <w:spacing w:val="-2"/>
              </w:rPr>
              <w:t>’</w:t>
            </w:r>
            <w:r w:rsidRPr="00065EAC">
              <w:rPr>
                <w:rFonts w:cs="Arial"/>
                <w:spacing w:val="-2"/>
              </w:rPr>
              <w:t xml:space="preserve">un État contractant </w:t>
            </w:r>
            <w:r>
              <w:rPr>
                <w:rFonts w:cs="Arial"/>
                <w:spacing w:val="-2"/>
              </w:rPr>
              <w:t xml:space="preserve">ou </w:t>
            </w:r>
            <w:r w:rsidRPr="00065EAC">
              <w:rPr>
                <w:rFonts w:cs="Arial"/>
                <w:spacing w:val="-2"/>
              </w:rPr>
              <w:t>d</w:t>
            </w:r>
            <w:r>
              <w:rPr>
                <w:rFonts w:cs="Arial"/>
                <w:spacing w:val="-2"/>
              </w:rPr>
              <w:t>’</w:t>
            </w:r>
            <w:r w:rsidRPr="00065EAC">
              <w:rPr>
                <w:rFonts w:cs="Arial"/>
                <w:spacing w:val="-2"/>
              </w:rPr>
              <w:t>un membre d</w:t>
            </w:r>
            <w:r>
              <w:rPr>
                <w:rFonts w:cs="Arial"/>
                <w:spacing w:val="-2"/>
              </w:rPr>
              <w:t>’</w:t>
            </w:r>
            <w:r w:rsidRPr="00065EAC">
              <w:rPr>
                <w:rFonts w:cs="Arial"/>
                <w:spacing w:val="-2"/>
              </w:rPr>
              <w:t>une organisation intergouvernementale fournissant un système efficace de protection des obtentions végétales</w:t>
            </w:r>
            <w:r>
              <w:rPr>
                <w:rFonts w:cs="Arial"/>
                <w:spacing w:val="-2"/>
              </w:rPr>
              <w:t>, sélectionnée par le Conseil administratif</w:t>
            </w:r>
            <w:r w:rsidRPr="00CB2809">
              <w:rPr>
                <w:rFonts w:cs="Arial"/>
              </w:rPr>
              <w:t xml:space="preserve">; </w:t>
            </w:r>
            <w:r>
              <w:rPr>
                <w:rFonts w:cs="Arial"/>
              </w:rPr>
              <w:t xml:space="preserve"> </w:t>
            </w:r>
            <w:r w:rsidRPr="00CB2809">
              <w:rPr>
                <w:rFonts w:cs="Arial"/>
              </w:rPr>
              <w:t>o</w:t>
            </w:r>
            <w:r>
              <w:rPr>
                <w:rFonts w:cs="Arial"/>
              </w:rPr>
              <w:t>u</w:t>
            </w:r>
          </w:p>
          <w:p w:rsidR="00BD634F" w:rsidRPr="00CB2809" w:rsidRDefault="00BD634F" w:rsidP="006D5FBC">
            <w:pPr>
              <w:rPr>
                <w:rFonts w:cs="Arial"/>
              </w:rPr>
            </w:pPr>
          </w:p>
          <w:p w:rsidR="00BD634F" w:rsidRPr="00CB2809" w:rsidRDefault="00BD634F" w:rsidP="006D5FBC">
            <w:pPr>
              <w:rPr>
                <w:rFonts w:cs="Arial"/>
              </w:rPr>
            </w:pPr>
            <w:r w:rsidRPr="00CB2809">
              <w:rPr>
                <w:rFonts w:cs="Arial"/>
              </w:rPr>
              <w:t>b)</w:t>
            </w:r>
            <w:r w:rsidRPr="00CB2809">
              <w:rPr>
                <w:rFonts w:cs="Arial"/>
              </w:rPr>
              <w:tab/>
            </w:r>
            <w:r w:rsidRPr="002576C3">
              <w:rPr>
                <w:rFonts w:cs="Arial"/>
              </w:rPr>
              <w:t xml:space="preserve">prendre en compte les résultats des examens déjà effectués par </w:t>
            </w:r>
            <w:r>
              <w:rPr>
                <w:rFonts w:cs="Arial"/>
              </w:rPr>
              <w:t>l’</w:t>
            </w:r>
            <w:r w:rsidRPr="002576C3">
              <w:rPr>
                <w:rFonts w:cs="Arial"/>
              </w:rPr>
              <w:t xml:space="preserve">État contractant ou </w:t>
            </w:r>
            <w:r>
              <w:rPr>
                <w:rFonts w:cs="Arial"/>
              </w:rPr>
              <w:t xml:space="preserve">tout </w:t>
            </w:r>
            <w:r w:rsidRPr="002576C3">
              <w:rPr>
                <w:rFonts w:cs="Arial"/>
              </w:rPr>
              <w:t>membre d</w:t>
            </w:r>
            <w:r>
              <w:rPr>
                <w:rFonts w:cs="Arial"/>
              </w:rPr>
              <w:t>’</w:t>
            </w:r>
            <w:r w:rsidRPr="002576C3">
              <w:rPr>
                <w:rFonts w:cs="Arial"/>
              </w:rPr>
              <w:t>une organisation intergouvernementale fournissant un système efficace de protection des obtentions végétales</w:t>
            </w:r>
            <w:r>
              <w:rPr>
                <w:rFonts w:cs="Arial"/>
              </w:rPr>
              <w:t xml:space="preserve">, sélectionné par le </w:t>
            </w:r>
            <w:r w:rsidRPr="002576C3">
              <w:rPr>
                <w:rFonts w:cs="Arial"/>
              </w:rPr>
              <w:t>Conseil administratif</w:t>
            </w:r>
            <w:r w:rsidRPr="00CB2809">
              <w:rPr>
                <w:rFonts w:cs="Arial"/>
              </w:rPr>
              <w:t>.</w:t>
            </w:r>
          </w:p>
        </w:tc>
      </w:tr>
      <w:tr w:rsidR="00BD634F" w:rsidRPr="00CB2809" w:rsidTr="006D5FBC">
        <w:trPr>
          <w:cantSplit/>
        </w:trPr>
        <w:tc>
          <w:tcPr>
            <w:tcW w:w="2159" w:type="dxa"/>
            <w:tcBorders>
              <w:top w:val="single" w:sz="4" w:space="0" w:color="auto"/>
              <w:left w:val="single" w:sz="4" w:space="0" w:color="auto"/>
              <w:bottom w:val="single" w:sz="4" w:space="0" w:color="auto"/>
              <w:right w:val="single" w:sz="4" w:space="0" w:color="auto"/>
            </w:tcBorders>
          </w:tcPr>
          <w:p w:rsidR="00BD634F" w:rsidRDefault="00BD634F" w:rsidP="006D5FBC">
            <w:pPr>
              <w:jc w:val="center"/>
              <w:rPr>
                <w:rFonts w:cs="Arial"/>
                <w:b/>
              </w:rPr>
            </w:pPr>
            <w:r w:rsidRPr="00CB2809">
              <w:rPr>
                <w:rFonts w:cs="Arial"/>
                <w:b/>
              </w:rPr>
              <w:t>Article</w:t>
            </w:r>
            <w:r>
              <w:rPr>
                <w:rFonts w:cs="Arial"/>
                <w:b/>
              </w:rPr>
              <w:t> </w:t>
            </w:r>
            <w:r w:rsidRPr="00CB2809">
              <w:rPr>
                <w:rFonts w:cs="Arial"/>
                <w:b/>
              </w:rPr>
              <w:t>19</w:t>
            </w:r>
          </w:p>
          <w:p w:rsidR="00BD634F" w:rsidRPr="00CB2809" w:rsidRDefault="00BD634F" w:rsidP="006D5FBC">
            <w:pPr>
              <w:jc w:val="center"/>
              <w:rPr>
                <w:rFonts w:cs="Arial"/>
                <w:b/>
              </w:rPr>
            </w:pPr>
            <w:r>
              <w:rPr>
                <w:rFonts w:cs="Arial"/>
                <w:b/>
              </w:rPr>
              <w:t>L’octroi et le rejet d’une demande de droit d’obtenteur</w:t>
            </w:r>
          </w:p>
          <w:p w:rsidR="00BD634F" w:rsidRPr="00CB2809" w:rsidRDefault="00BD634F" w:rsidP="006D5FBC">
            <w:pPr>
              <w:rPr>
                <w:rFonts w:cs="Arial"/>
              </w:rPr>
            </w:pPr>
          </w:p>
          <w:p w:rsidR="00BD634F" w:rsidRDefault="00BD634F" w:rsidP="006D5FBC">
            <w:pPr>
              <w:widowControl w:val="0"/>
              <w:tabs>
                <w:tab w:val="left" w:pos="53"/>
              </w:tabs>
              <w:rPr>
                <w:rFonts w:cs="Arial"/>
              </w:rPr>
            </w:pPr>
            <w:r w:rsidRPr="00CB2809">
              <w:rPr>
                <w:rFonts w:cs="Arial"/>
              </w:rPr>
              <w:t>2)</w:t>
            </w:r>
          </w:p>
          <w:p w:rsidR="00BD634F" w:rsidRPr="00CB2809" w:rsidRDefault="00BD634F" w:rsidP="006D5FBC">
            <w:pPr>
              <w:rPr>
                <w:rFonts w:cs="Arial"/>
              </w:rPr>
            </w:pPr>
          </w:p>
          <w:p w:rsidR="00BD634F" w:rsidRPr="00CB2809" w:rsidRDefault="00BD634F" w:rsidP="006D5FBC">
            <w:pPr>
              <w:rPr>
                <w:rFonts w:cs="Arial"/>
              </w:rPr>
            </w:pPr>
          </w:p>
          <w:p w:rsidR="00BD634F" w:rsidRPr="00CB2809" w:rsidRDefault="00BD634F" w:rsidP="006D5FBC">
            <w:pPr>
              <w:rPr>
                <w:rFonts w:cs="Arial"/>
              </w:rPr>
            </w:pPr>
            <w:r w:rsidRPr="00CB2809">
              <w:rPr>
                <w:rFonts w:cs="Arial"/>
              </w:rPr>
              <w:t>6)a)</w:t>
            </w:r>
            <w:r w:rsidRPr="00CB2809">
              <w:rPr>
                <w:rFonts w:cs="Arial"/>
              </w:rPr>
              <w:tab/>
            </w:r>
          </w:p>
          <w:p w:rsidR="00BD634F" w:rsidRPr="00CB2809" w:rsidRDefault="00BD634F" w:rsidP="006D5FBC">
            <w:pPr>
              <w:rPr>
                <w:rFonts w:cs="Arial"/>
              </w:rPr>
            </w:pPr>
          </w:p>
          <w:p w:rsidR="00BD634F" w:rsidRPr="00CB2809" w:rsidRDefault="00BD634F" w:rsidP="006D5FBC">
            <w:pPr>
              <w:rPr>
                <w:rFonts w:cs="Arial"/>
              </w:rPr>
            </w:pPr>
          </w:p>
        </w:tc>
        <w:tc>
          <w:tcPr>
            <w:tcW w:w="3740" w:type="dxa"/>
            <w:tcBorders>
              <w:top w:val="single" w:sz="4" w:space="0" w:color="auto"/>
              <w:left w:val="single" w:sz="4" w:space="0" w:color="auto"/>
              <w:bottom w:val="single" w:sz="4" w:space="0" w:color="auto"/>
              <w:right w:val="single" w:sz="4" w:space="0" w:color="auto"/>
            </w:tcBorders>
          </w:tcPr>
          <w:p w:rsidR="00BD634F" w:rsidRDefault="00BD634F" w:rsidP="006D5FBC">
            <w:pPr>
              <w:jc w:val="center"/>
              <w:rPr>
                <w:rFonts w:cs="Arial"/>
                <w:b/>
              </w:rPr>
            </w:pPr>
            <w:r w:rsidRPr="00CB2809">
              <w:rPr>
                <w:rFonts w:cs="Arial"/>
                <w:b/>
              </w:rPr>
              <w:t>Article</w:t>
            </w:r>
            <w:r>
              <w:rPr>
                <w:rFonts w:cs="Arial"/>
                <w:b/>
              </w:rPr>
              <w:t> </w:t>
            </w:r>
            <w:r w:rsidRPr="00CB2809">
              <w:rPr>
                <w:rFonts w:cs="Arial"/>
                <w:b/>
              </w:rPr>
              <w:t>19</w:t>
            </w:r>
          </w:p>
          <w:p w:rsidR="00BD634F" w:rsidRPr="00CB2809" w:rsidRDefault="00BD634F" w:rsidP="006D5FBC">
            <w:pPr>
              <w:jc w:val="center"/>
              <w:rPr>
                <w:rFonts w:cs="Arial"/>
                <w:b/>
              </w:rPr>
            </w:pPr>
            <w:r w:rsidRPr="00AB1F06">
              <w:rPr>
                <w:rFonts w:cs="Arial"/>
                <w:b/>
              </w:rPr>
              <w:t>L</w:t>
            </w:r>
            <w:r>
              <w:rPr>
                <w:rFonts w:cs="Arial"/>
                <w:b/>
              </w:rPr>
              <w:t>’</w:t>
            </w:r>
            <w:r w:rsidRPr="00AB1F06">
              <w:rPr>
                <w:rFonts w:cs="Arial"/>
                <w:b/>
              </w:rPr>
              <w:t>octroi et le rejet d</w:t>
            </w:r>
            <w:r>
              <w:rPr>
                <w:rFonts w:cs="Arial"/>
                <w:b/>
              </w:rPr>
              <w:t>’</w:t>
            </w:r>
            <w:r w:rsidRPr="00AB1F06">
              <w:rPr>
                <w:rFonts w:cs="Arial"/>
                <w:b/>
              </w:rPr>
              <w:t>une demande de droit d</w:t>
            </w:r>
            <w:r>
              <w:rPr>
                <w:rFonts w:cs="Arial"/>
                <w:b/>
              </w:rPr>
              <w:t>’</w:t>
            </w:r>
            <w:r w:rsidRPr="00AB1F06">
              <w:rPr>
                <w:rFonts w:cs="Arial"/>
                <w:b/>
              </w:rPr>
              <w:t>obtenteur</w:t>
            </w:r>
          </w:p>
          <w:p w:rsidR="00BD634F" w:rsidRPr="00CB2809" w:rsidRDefault="00BD634F" w:rsidP="006D5FBC">
            <w:pPr>
              <w:rPr>
                <w:rFonts w:cs="Arial"/>
              </w:rPr>
            </w:pPr>
          </w:p>
          <w:p w:rsidR="00BD634F" w:rsidRPr="00CB2809" w:rsidRDefault="00BD634F" w:rsidP="006D5FBC">
            <w:pPr>
              <w:widowControl w:val="0"/>
              <w:tabs>
                <w:tab w:val="left" w:pos="53"/>
              </w:tabs>
              <w:rPr>
                <w:rFonts w:cs="Arial"/>
              </w:rPr>
            </w:pPr>
            <w:r w:rsidRPr="00CB2809">
              <w:rPr>
                <w:rFonts w:cs="Arial"/>
              </w:rPr>
              <w:t xml:space="preserve">2) </w:t>
            </w:r>
            <w:r>
              <w:rPr>
                <w:rFonts w:cs="Arial"/>
              </w:rPr>
              <w:tab/>
              <w:t>E</w:t>
            </w:r>
            <w:r w:rsidRPr="00834C08">
              <w:rPr>
                <w:rFonts w:cs="Arial"/>
              </w:rPr>
              <w:t>n ce qui concerne chaque droit d</w:t>
            </w:r>
            <w:r>
              <w:rPr>
                <w:rFonts w:cs="Arial"/>
              </w:rPr>
              <w:t>’</w:t>
            </w:r>
            <w:r w:rsidRPr="00834C08">
              <w:rPr>
                <w:rFonts w:cs="Arial"/>
              </w:rPr>
              <w:t>obtenteur octroyé, l</w:t>
            </w:r>
            <w:r>
              <w:rPr>
                <w:rFonts w:cs="Arial"/>
              </w:rPr>
              <w:t>’</w:t>
            </w:r>
            <w:r w:rsidRPr="00834C08">
              <w:rPr>
                <w:rFonts w:cs="Arial"/>
              </w:rPr>
              <w:t>Office de l</w:t>
            </w:r>
            <w:r>
              <w:rPr>
                <w:rFonts w:cs="Arial"/>
              </w:rPr>
              <w:t>’</w:t>
            </w:r>
            <w:r w:rsidRPr="00834C08">
              <w:rPr>
                <w:rFonts w:cs="Arial"/>
              </w:rPr>
              <w:t xml:space="preserve">ARIPO </w:t>
            </w:r>
            <w:r w:rsidRPr="00CB2809">
              <w:rPr>
                <w:rFonts w:cs="Arial"/>
              </w:rPr>
              <w:t>– […]</w:t>
            </w:r>
          </w:p>
          <w:p w:rsidR="00BD634F" w:rsidRPr="00CB2809" w:rsidRDefault="00BD634F" w:rsidP="006D5FBC">
            <w:pPr>
              <w:rPr>
                <w:rFonts w:cs="Arial"/>
              </w:rPr>
            </w:pPr>
          </w:p>
          <w:p w:rsidR="00BD634F" w:rsidRPr="00CB2809" w:rsidRDefault="00BD634F" w:rsidP="006D5FBC">
            <w:pPr>
              <w:rPr>
                <w:rFonts w:cs="Arial"/>
              </w:rPr>
            </w:pPr>
          </w:p>
          <w:p w:rsidR="00BD634F" w:rsidRPr="00CB2809" w:rsidRDefault="00BD634F" w:rsidP="006D5FBC">
            <w:pPr>
              <w:rPr>
                <w:rFonts w:cs="Arial"/>
              </w:rPr>
            </w:pPr>
            <w:r w:rsidRPr="00CB2809">
              <w:rPr>
                <w:rFonts w:cs="Arial"/>
              </w:rPr>
              <w:t>6)</w:t>
            </w:r>
            <w:r w:rsidRPr="00CB2809">
              <w:rPr>
                <w:rFonts w:cs="Arial"/>
              </w:rPr>
              <w:tab/>
            </w:r>
            <w:r w:rsidRPr="001F7940">
              <w:rPr>
                <w:rFonts w:cs="Arial"/>
              </w:rPr>
              <w:t>L</w:t>
            </w:r>
            <w:r>
              <w:rPr>
                <w:rFonts w:cs="Arial"/>
              </w:rPr>
              <w:t>’</w:t>
            </w:r>
            <w:r w:rsidRPr="001F7940">
              <w:rPr>
                <w:rFonts w:cs="Arial"/>
              </w:rPr>
              <w:t>Office de l</w:t>
            </w:r>
            <w:r>
              <w:rPr>
                <w:rFonts w:cs="Arial"/>
              </w:rPr>
              <w:t>’</w:t>
            </w:r>
            <w:r w:rsidRPr="001F7940">
              <w:rPr>
                <w:rFonts w:cs="Arial"/>
              </w:rPr>
              <w:t>ARIPO</w:t>
            </w:r>
            <w:r w:rsidRPr="00CB2809">
              <w:rPr>
                <w:rFonts w:cs="Arial"/>
              </w:rPr>
              <w:t>–</w:t>
            </w:r>
          </w:p>
          <w:p w:rsidR="00BD634F" w:rsidRPr="00CB2809" w:rsidRDefault="00BD634F" w:rsidP="006D5FBC">
            <w:pPr>
              <w:rPr>
                <w:rFonts w:cs="Arial"/>
              </w:rPr>
            </w:pPr>
          </w:p>
          <w:p w:rsidR="00BD634F" w:rsidRPr="00CB2809" w:rsidRDefault="00BD634F" w:rsidP="00BD634F">
            <w:pPr>
              <w:numPr>
                <w:ilvl w:val="0"/>
                <w:numId w:val="19"/>
              </w:numPr>
              <w:contextualSpacing/>
              <w:rPr>
                <w:rFonts w:cs="Arial"/>
              </w:rPr>
            </w:pPr>
            <w:r w:rsidRPr="00CA4E86">
              <w:rPr>
                <w:rFonts w:cs="Arial"/>
              </w:rPr>
              <w:t>ne refusera pas d</w:t>
            </w:r>
            <w:r>
              <w:rPr>
                <w:rFonts w:cs="Arial"/>
              </w:rPr>
              <w:t>’</w:t>
            </w:r>
            <w:r w:rsidRPr="00CA4E86">
              <w:rPr>
                <w:rFonts w:cs="Arial"/>
              </w:rPr>
              <w:t>octroyer un droit d</w:t>
            </w:r>
            <w:r>
              <w:rPr>
                <w:rFonts w:cs="Arial"/>
              </w:rPr>
              <w:t>’</w:t>
            </w:r>
            <w:r w:rsidRPr="00CA4E86">
              <w:rPr>
                <w:rFonts w:cs="Arial"/>
              </w:rPr>
              <w:t>obtenteur au motif que la protection de la même variété n</w:t>
            </w:r>
            <w:r>
              <w:rPr>
                <w:rFonts w:cs="Arial"/>
              </w:rPr>
              <w:t>’</w:t>
            </w:r>
            <w:r w:rsidRPr="00CA4E86">
              <w:rPr>
                <w:rFonts w:cs="Arial"/>
              </w:rPr>
              <w:t>a pas été demandée ou qu</w:t>
            </w:r>
            <w:r>
              <w:rPr>
                <w:rFonts w:cs="Arial"/>
              </w:rPr>
              <w:t>’</w:t>
            </w:r>
            <w:r w:rsidRPr="00CA4E86">
              <w:rPr>
                <w:rFonts w:cs="Arial"/>
              </w:rPr>
              <w:t>elle a été refusée dans un autre État ou une autre</w:t>
            </w:r>
            <w:r>
              <w:rPr>
                <w:rFonts w:cs="Arial"/>
              </w:rPr>
              <w:t> </w:t>
            </w:r>
            <w:r w:rsidRPr="00CA4E86">
              <w:rPr>
                <w:rFonts w:cs="Arial"/>
              </w:rPr>
              <w:t>organisation intergouvernementale</w:t>
            </w:r>
            <w:r w:rsidRPr="00CB2809">
              <w:rPr>
                <w:rFonts w:cs="Arial"/>
              </w:rPr>
              <w:t>;  o</w:t>
            </w:r>
            <w:r>
              <w:rPr>
                <w:rFonts w:cs="Arial"/>
              </w:rPr>
              <w:t>u</w:t>
            </w:r>
          </w:p>
          <w:p w:rsidR="00BD634F" w:rsidRPr="00CB2809" w:rsidRDefault="00BD634F" w:rsidP="006D5FBC">
            <w:pPr>
              <w:rPr>
                <w:rFonts w:cs="Arial"/>
              </w:rPr>
            </w:pPr>
          </w:p>
          <w:p w:rsidR="00BD634F" w:rsidRPr="00CB2809" w:rsidRDefault="00BD634F" w:rsidP="006D5FBC">
            <w:pPr>
              <w:rPr>
                <w:rFonts w:cs="Arial"/>
              </w:rPr>
            </w:pPr>
            <w:r w:rsidRPr="00CB2809">
              <w:rPr>
                <w:rFonts w:cs="Arial"/>
              </w:rPr>
              <w:t>[…]</w:t>
            </w:r>
          </w:p>
        </w:tc>
        <w:tc>
          <w:tcPr>
            <w:tcW w:w="3740" w:type="dxa"/>
            <w:tcBorders>
              <w:top w:val="single" w:sz="4" w:space="0" w:color="auto"/>
              <w:left w:val="single" w:sz="4" w:space="0" w:color="auto"/>
              <w:bottom w:val="single" w:sz="4" w:space="0" w:color="auto"/>
              <w:right w:val="single" w:sz="4" w:space="0" w:color="auto"/>
            </w:tcBorders>
          </w:tcPr>
          <w:p w:rsidR="00BD634F" w:rsidRDefault="00BD634F" w:rsidP="006D5FBC">
            <w:pPr>
              <w:jc w:val="center"/>
              <w:rPr>
                <w:rFonts w:cs="Arial"/>
                <w:b/>
              </w:rPr>
            </w:pPr>
            <w:r w:rsidRPr="00CB2809">
              <w:rPr>
                <w:rFonts w:cs="Arial"/>
                <w:b/>
              </w:rPr>
              <w:t>Article</w:t>
            </w:r>
            <w:r>
              <w:rPr>
                <w:rFonts w:cs="Arial"/>
                <w:b/>
              </w:rPr>
              <w:t> </w:t>
            </w:r>
            <w:r w:rsidRPr="00CB2809">
              <w:rPr>
                <w:rFonts w:cs="Arial"/>
                <w:b/>
              </w:rPr>
              <w:t>19</w:t>
            </w:r>
          </w:p>
          <w:p w:rsidR="00BD634F" w:rsidRPr="00CB2809" w:rsidRDefault="00BD634F" w:rsidP="006D5FBC">
            <w:pPr>
              <w:jc w:val="center"/>
              <w:rPr>
                <w:rFonts w:cs="Arial"/>
                <w:b/>
              </w:rPr>
            </w:pPr>
            <w:r w:rsidRPr="00AB1F06">
              <w:rPr>
                <w:rFonts w:cs="Arial"/>
                <w:b/>
              </w:rPr>
              <w:t>L</w:t>
            </w:r>
            <w:r>
              <w:rPr>
                <w:rFonts w:cs="Arial"/>
                <w:b/>
              </w:rPr>
              <w:t>’</w:t>
            </w:r>
            <w:r w:rsidRPr="00AB1F06">
              <w:rPr>
                <w:rFonts w:cs="Arial"/>
                <w:b/>
              </w:rPr>
              <w:t>octroi et le rejet d</w:t>
            </w:r>
            <w:r>
              <w:rPr>
                <w:rFonts w:cs="Arial"/>
                <w:b/>
              </w:rPr>
              <w:t>’</w:t>
            </w:r>
            <w:r w:rsidRPr="00AB1F06">
              <w:rPr>
                <w:rFonts w:cs="Arial"/>
                <w:b/>
              </w:rPr>
              <w:t>une demande de droit d</w:t>
            </w:r>
            <w:r>
              <w:rPr>
                <w:rFonts w:cs="Arial"/>
                <w:b/>
              </w:rPr>
              <w:t>’</w:t>
            </w:r>
            <w:r w:rsidRPr="00AB1F06">
              <w:rPr>
                <w:rFonts w:cs="Arial"/>
                <w:b/>
              </w:rPr>
              <w:t>obtenteur</w:t>
            </w:r>
          </w:p>
          <w:p w:rsidR="00BD634F" w:rsidRPr="00CB2809" w:rsidRDefault="00BD634F" w:rsidP="006D5FBC">
            <w:pPr>
              <w:rPr>
                <w:rFonts w:cs="Arial"/>
              </w:rPr>
            </w:pPr>
          </w:p>
          <w:p w:rsidR="00BD634F" w:rsidRPr="00CB2809" w:rsidRDefault="00BD634F" w:rsidP="006D5FBC">
            <w:pPr>
              <w:widowControl w:val="0"/>
              <w:tabs>
                <w:tab w:val="left" w:pos="53"/>
              </w:tabs>
              <w:rPr>
                <w:rFonts w:cs="Arial"/>
              </w:rPr>
            </w:pPr>
            <w:r w:rsidRPr="00CB2809">
              <w:rPr>
                <w:rFonts w:cs="Arial"/>
              </w:rPr>
              <w:t xml:space="preserve">2) </w:t>
            </w:r>
            <w:r>
              <w:rPr>
                <w:rFonts w:cs="Arial"/>
              </w:rPr>
              <w:tab/>
            </w:r>
            <w:r w:rsidRPr="00CB2809">
              <w:rPr>
                <w:rFonts w:cs="Arial"/>
              </w:rPr>
              <w:t>S</w:t>
            </w:r>
            <w:r>
              <w:rPr>
                <w:rFonts w:cs="Arial"/>
              </w:rPr>
              <w:t>ous réserve de l’article </w:t>
            </w:r>
            <w:r w:rsidRPr="00CB2809">
              <w:rPr>
                <w:rFonts w:cs="Arial"/>
              </w:rPr>
              <w:t>4</w:t>
            </w:r>
            <w:r>
              <w:rPr>
                <w:rFonts w:cs="Arial"/>
              </w:rPr>
              <w:t>.</w:t>
            </w:r>
            <w:r w:rsidRPr="00CB2809">
              <w:rPr>
                <w:rFonts w:cs="Arial"/>
              </w:rPr>
              <w:t xml:space="preserve">1), </w:t>
            </w:r>
            <w:r>
              <w:rPr>
                <w:rFonts w:cs="Arial"/>
              </w:rPr>
              <w:t>et en ce qui concerne chaque droit d’obtenteur octroyé, l’Office de l’</w:t>
            </w:r>
            <w:r w:rsidRPr="00CB2809">
              <w:rPr>
                <w:rFonts w:cs="Arial"/>
              </w:rPr>
              <w:t>ARIPO</w:t>
            </w:r>
            <w:r>
              <w:rPr>
                <w:rFonts w:cs="Arial"/>
              </w:rPr>
              <w:t> :</w:t>
            </w:r>
            <w:r w:rsidRPr="00CB2809">
              <w:rPr>
                <w:rFonts w:cs="Arial"/>
              </w:rPr>
              <w:t xml:space="preserve"> […]</w:t>
            </w:r>
          </w:p>
          <w:p w:rsidR="00BD634F" w:rsidRPr="00CB2809" w:rsidRDefault="00BD634F" w:rsidP="006D5FBC">
            <w:pPr>
              <w:rPr>
                <w:rFonts w:cs="Arial"/>
              </w:rPr>
            </w:pPr>
          </w:p>
          <w:p w:rsidR="00BD634F" w:rsidRPr="00CB2809" w:rsidRDefault="00BD634F" w:rsidP="006D5FBC">
            <w:pPr>
              <w:rPr>
                <w:rFonts w:cs="Arial"/>
              </w:rPr>
            </w:pPr>
            <w:r w:rsidRPr="00CB2809">
              <w:rPr>
                <w:rFonts w:cs="Arial"/>
              </w:rPr>
              <w:t>6)</w:t>
            </w:r>
            <w:r w:rsidRPr="00CB2809">
              <w:rPr>
                <w:rFonts w:cs="Arial"/>
              </w:rPr>
              <w:tab/>
            </w:r>
            <w:r w:rsidRPr="001F7940">
              <w:rPr>
                <w:rFonts w:cs="Arial"/>
              </w:rPr>
              <w:t>L</w:t>
            </w:r>
            <w:r>
              <w:rPr>
                <w:rFonts w:cs="Arial"/>
              </w:rPr>
              <w:t>’</w:t>
            </w:r>
            <w:r w:rsidRPr="001F7940">
              <w:rPr>
                <w:rFonts w:cs="Arial"/>
              </w:rPr>
              <w:t>Office de l</w:t>
            </w:r>
            <w:r>
              <w:rPr>
                <w:rFonts w:cs="Arial"/>
              </w:rPr>
              <w:t>’</w:t>
            </w:r>
            <w:r w:rsidRPr="001F7940">
              <w:rPr>
                <w:rFonts w:cs="Arial"/>
              </w:rPr>
              <w:t>ARIPO</w:t>
            </w:r>
            <w:r>
              <w:rPr>
                <w:rFonts w:cs="Arial"/>
              </w:rPr>
              <w:t> </w:t>
            </w:r>
            <w:r w:rsidRPr="00CB2809">
              <w:rPr>
                <w:rFonts w:cs="Arial"/>
              </w:rPr>
              <w:t>:</w:t>
            </w:r>
          </w:p>
          <w:p w:rsidR="00BD634F" w:rsidRPr="00CB2809" w:rsidRDefault="00BD634F" w:rsidP="006D5FBC">
            <w:pPr>
              <w:rPr>
                <w:rFonts w:cs="Arial"/>
              </w:rPr>
            </w:pPr>
          </w:p>
          <w:p w:rsidR="00BD634F" w:rsidRPr="00CB2809" w:rsidRDefault="00BD634F" w:rsidP="00BD634F">
            <w:pPr>
              <w:numPr>
                <w:ilvl w:val="0"/>
                <w:numId w:val="22"/>
              </w:numPr>
              <w:contextualSpacing/>
              <w:rPr>
                <w:rFonts w:cs="Arial"/>
              </w:rPr>
            </w:pPr>
            <w:r w:rsidRPr="00CA4E86">
              <w:rPr>
                <w:rFonts w:cs="Arial"/>
              </w:rPr>
              <w:t>ne refusera pas d</w:t>
            </w:r>
            <w:r>
              <w:rPr>
                <w:rFonts w:cs="Arial"/>
              </w:rPr>
              <w:t>’</w:t>
            </w:r>
            <w:r w:rsidRPr="00CA4E86">
              <w:rPr>
                <w:rFonts w:cs="Arial"/>
              </w:rPr>
              <w:t>octroyer un droit d</w:t>
            </w:r>
            <w:r>
              <w:rPr>
                <w:rFonts w:cs="Arial"/>
              </w:rPr>
              <w:t>’</w:t>
            </w:r>
            <w:r w:rsidRPr="00CA4E86">
              <w:rPr>
                <w:rFonts w:cs="Arial"/>
              </w:rPr>
              <w:t>obtenteur au motif que la protection de la même variété n</w:t>
            </w:r>
            <w:r>
              <w:rPr>
                <w:rFonts w:cs="Arial"/>
              </w:rPr>
              <w:t>’</w:t>
            </w:r>
            <w:r w:rsidRPr="00CA4E86">
              <w:rPr>
                <w:rFonts w:cs="Arial"/>
              </w:rPr>
              <w:t>a pas été demandée ou qu</w:t>
            </w:r>
            <w:r>
              <w:rPr>
                <w:rFonts w:cs="Arial"/>
              </w:rPr>
              <w:t>’</w:t>
            </w:r>
            <w:r w:rsidRPr="00CA4E86">
              <w:rPr>
                <w:rFonts w:cs="Arial"/>
              </w:rPr>
              <w:t xml:space="preserve">elle a été refusée dans un autre État </w:t>
            </w:r>
            <w:r>
              <w:rPr>
                <w:rFonts w:cs="Arial"/>
              </w:rPr>
              <w:t xml:space="preserve">en dehors </w:t>
            </w:r>
            <w:r w:rsidRPr="008F42EF">
              <w:rPr>
                <w:rFonts w:cs="Arial"/>
              </w:rPr>
              <w:t>des territoires des parties contractantes</w:t>
            </w:r>
            <w:r>
              <w:rPr>
                <w:rFonts w:cs="Arial"/>
              </w:rPr>
              <w:t xml:space="preserve"> </w:t>
            </w:r>
            <w:r w:rsidRPr="00CA4E86">
              <w:rPr>
                <w:rFonts w:cs="Arial"/>
              </w:rPr>
              <w:t>ou une autre</w:t>
            </w:r>
            <w:r>
              <w:rPr>
                <w:rFonts w:cs="Arial"/>
              </w:rPr>
              <w:t> </w:t>
            </w:r>
            <w:r w:rsidRPr="00CA4E86">
              <w:rPr>
                <w:rFonts w:cs="Arial"/>
              </w:rPr>
              <w:t>organisation intergouvernementale</w:t>
            </w:r>
            <w:r w:rsidRPr="00CB2809">
              <w:rPr>
                <w:rFonts w:cs="Arial"/>
              </w:rPr>
              <w:t>;  o</w:t>
            </w:r>
            <w:r>
              <w:rPr>
                <w:rFonts w:cs="Arial"/>
              </w:rPr>
              <w:t>u</w:t>
            </w:r>
          </w:p>
          <w:p w:rsidR="00BD634F" w:rsidRPr="00CB2809" w:rsidRDefault="00BD634F" w:rsidP="006D5FBC">
            <w:pPr>
              <w:rPr>
                <w:rFonts w:cs="Arial"/>
              </w:rPr>
            </w:pPr>
          </w:p>
          <w:p w:rsidR="00BD634F" w:rsidRPr="00CB2809" w:rsidRDefault="00BD634F" w:rsidP="006D5FBC">
            <w:pPr>
              <w:rPr>
                <w:rFonts w:cs="Arial"/>
              </w:rPr>
            </w:pPr>
            <w:r w:rsidRPr="00CB2809">
              <w:rPr>
                <w:rFonts w:cs="Arial"/>
              </w:rPr>
              <w:t>[…]</w:t>
            </w:r>
          </w:p>
        </w:tc>
      </w:tr>
      <w:tr w:rsidR="00BD634F" w:rsidRPr="00497366" w:rsidTr="006D5FBC">
        <w:trPr>
          <w:cantSplit/>
        </w:trPr>
        <w:tc>
          <w:tcPr>
            <w:tcW w:w="2159" w:type="dxa"/>
            <w:tcBorders>
              <w:top w:val="single" w:sz="4" w:space="0" w:color="auto"/>
              <w:left w:val="single" w:sz="4" w:space="0" w:color="auto"/>
              <w:bottom w:val="single" w:sz="4" w:space="0" w:color="auto"/>
              <w:right w:val="single" w:sz="4" w:space="0" w:color="auto"/>
            </w:tcBorders>
          </w:tcPr>
          <w:p w:rsidR="00BD634F" w:rsidRPr="00CB2809" w:rsidRDefault="00BD634F" w:rsidP="006D5FBC">
            <w:pPr>
              <w:jc w:val="center"/>
              <w:rPr>
                <w:rFonts w:cs="Arial"/>
                <w:b/>
              </w:rPr>
            </w:pPr>
            <w:r w:rsidRPr="00CB2809">
              <w:rPr>
                <w:rFonts w:cs="Arial"/>
                <w:b/>
              </w:rPr>
              <w:t>Article</w:t>
            </w:r>
            <w:r>
              <w:rPr>
                <w:rFonts w:cs="Arial"/>
                <w:b/>
              </w:rPr>
              <w:t> </w:t>
            </w:r>
            <w:r w:rsidRPr="00CB2809">
              <w:rPr>
                <w:rFonts w:cs="Arial"/>
                <w:b/>
              </w:rPr>
              <w:t xml:space="preserve">24 </w:t>
            </w:r>
            <w:r w:rsidRPr="00CB2809">
              <w:rPr>
                <w:rFonts w:cs="Arial"/>
                <w:b/>
              </w:rPr>
              <w:br/>
            </w:r>
            <w:r w:rsidRPr="00AE12C1">
              <w:rPr>
                <w:rFonts w:cs="Arial"/>
                <w:b/>
              </w:rPr>
              <w:t>Limitation de l</w:t>
            </w:r>
            <w:r>
              <w:rPr>
                <w:rFonts w:cs="Arial"/>
                <w:b/>
              </w:rPr>
              <w:t>’</w:t>
            </w:r>
            <w:r w:rsidRPr="00AE12C1">
              <w:rPr>
                <w:rFonts w:cs="Arial"/>
                <w:b/>
              </w:rPr>
              <w:t>exercice du droit d</w:t>
            </w:r>
            <w:r>
              <w:rPr>
                <w:rFonts w:cs="Arial"/>
                <w:b/>
              </w:rPr>
              <w:t>’</w:t>
            </w:r>
            <w:r w:rsidRPr="00AE12C1">
              <w:rPr>
                <w:rFonts w:cs="Arial"/>
                <w:b/>
              </w:rPr>
              <w:t>obtenteur</w:t>
            </w:r>
          </w:p>
          <w:p w:rsidR="00BD634F" w:rsidRPr="00CB2809" w:rsidRDefault="00BD634F" w:rsidP="00BD634F">
            <w:pPr>
              <w:pStyle w:val="inf61normal"/>
              <w:widowControl w:val="0"/>
              <w:numPr>
                <w:ilvl w:val="0"/>
                <w:numId w:val="20"/>
              </w:numPr>
              <w:ind w:left="0" w:firstLine="0"/>
              <w:rPr>
                <w:rFonts w:ascii="Arial" w:hAnsi="Arial" w:cs="Arial"/>
                <w:color w:val="auto"/>
                <w:sz w:val="20"/>
                <w:lang w:val="fr-FR"/>
              </w:rPr>
            </w:pPr>
          </w:p>
          <w:p w:rsidR="00BD634F" w:rsidRPr="00CB2809" w:rsidRDefault="00BD634F" w:rsidP="006D5FBC">
            <w:pPr>
              <w:pStyle w:val="inf61normal"/>
              <w:widowControl w:val="0"/>
              <w:rPr>
                <w:rFonts w:ascii="Arial" w:hAnsi="Arial" w:cs="Arial"/>
                <w:color w:val="auto"/>
                <w:sz w:val="20"/>
                <w:lang w:val="fr-FR"/>
              </w:rPr>
            </w:pPr>
          </w:p>
          <w:p w:rsidR="00BD634F" w:rsidRPr="00CB2809" w:rsidRDefault="00BD634F" w:rsidP="006D5FBC">
            <w:pPr>
              <w:pStyle w:val="inf61normal"/>
              <w:widowControl w:val="0"/>
              <w:rPr>
                <w:rFonts w:ascii="Arial" w:hAnsi="Arial" w:cs="Arial"/>
                <w:color w:val="auto"/>
                <w:sz w:val="20"/>
                <w:lang w:val="fr-FR"/>
              </w:rPr>
            </w:pPr>
          </w:p>
          <w:p w:rsidR="00BD634F" w:rsidRPr="00CB2809" w:rsidRDefault="00BD634F" w:rsidP="006D5FBC">
            <w:pPr>
              <w:pStyle w:val="inf61normal"/>
              <w:widowControl w:val="0"/>
              <w:rPr>
                <w:rFonts w:ascii="Arial" w:hAnsi="Arial" w:cs="Arial"/>
                <w:color w:val="auto"/>
                <w:sz w:val="20"/>
                <w:lang w:val="fr-FR"/>
              </w:rPr>
            </w:pPr>
          </w:p>
          <w:p w:rsidR="00BD634F" w:rsidRPr="00CB2809" w:rsidRDefault="00BD634F" w:rsidP="006D5FBC">
            <w:pPr>
              <w:pStyle w:val="inf61normal"/>
              <w:widowControl w:val="0"/>
              <w:rPr>
                <w:rFonts w:ascii="Arial" w:hAnsi="Arial" w:cs="Arial"/>
                <w:color w:val="auto"/>
                <w:sz w:val="20"/>
                <w:lang w:val="fr-FR"/>
              </w:rPr>
            </w:pPr>
          </w:p>
          <w:p w:rsidR="00BD634F" w:rsidRPr="00CB2809" w:rsidRDefault="00BD634F" w:rsidP="006D5FBC">
            <w:pPr>
              <w:pStyle w:val="inf61normal"/>
              <w:widowControl w:val="0"/>
              <w:rPr>
                <w:rFonts w:ascii="Arial" w:hAnsi="Arial" w:cs="Arial"/>
                <w:color w:val="auto"/>
                <w:sz w:val="20"/>
                <w:lang w:val="fr-FR"/>
              </w:rPr>
            </w:pPr>
          </w:p>
          <w:p w:rsidR="00BD634F" w:rsidRPr="00CB2809" w:rsidRDefault="00BD634F" w:rsidP="006D5FBC">
            <w:pPr>
              <w:pStyle w:val="inf61normal"/>
              <w:widowControl w:val="0"/>
              <w:rPr>
                <w:rFonts w:ascii="Arial" w:hAnsi="Arial" w:cs="Arial"/>
                <w:color w:val="auto"/>
                <w:sz w:val="20"/>
                <w:lang w:val="fr-FR"/>
              </w:rPr>
            </w:pPr>
          </w:p>
          <w:p w:rsidR="00BD634F" w:rsidRPr="00CB2809" w:rsidRDefault="00BD634F" w:rsidP="006D5FBC">
            <w:pPr>
              <w:pStyle w:val="inf61normal"/>
              <w:widowControl w:val="0"/>
              <w:rPr>
                <w:rFonts w:ascii="Arial" w:hAnsi="Arial" w:cs="Arial"/>
                <w:color w:val="auto"/>
                <w:sz w:val="20"/>
                <w:lang w:val="fr-FR"/>
              </w:rPr>
            </w:pPr>
          </w:p>
          <w:p w:rsidR="00BD634F" w:rsidRPr="00CB2809" w:rsidRDefault="00BD634F" w:rsidP="006D5FBC">
            <w:pPr>
              <w:pStyle w:val="inf61normal"/>
              <w:widowControl w:val="0"/>
              <w:rPr>
                <w:rFonts w:ascii="Arial" w:hAnsi="Arial" w:cs="Arial"/>
                <w:color w:val="auto"/>
                <w:sz w:val="20"/>
                <w:lang w:val="fr-FR"/>
              </w:rPr>
            </w:pPr>
          </w:p>
          <w:p w:rsidR="00BD634F" w:rsidRPr="00CB2809" w:rsidRDefault="00BD634F" w:rsidP="00BD634F">
            <w:pPr>
              <w:pStyle w:val="inf61normal"/>
              <w:widowControl w:val="0"/>
              <w:numPr>
                <w:ilvl w:val="0"/>
                <w:numId w:val="20"/>
              </w:numPr>
              <w:ind w:left="0" w:firstLine="0"/>
              <w:rPr>
                <w:rFonts w:ascii="Arial" w:hAnsi="Arial" w:cs="Arial"/>
                <w:color w:val="auto"/>
                <w:sz w:val="20"/>
                <w:lang w:val="fr-FR"/>
              </w:rPr>
            </w:pPr>
          </w:p>
          <w:p w:rsidR="00BD634F" w:rsidRDefault="00BD634F" w:rsidP="006D5FBC">
            <w:pPr>
              <w:widowControl w:val="0"/>
              <w:rPr>
                <w:rFonts w:cs="Arial"/>
              </w:rPr>
            </w:pPr>
          </w:p>
          <w:p w:rsidR="00BD634F" w:rsidRPr="00CB2809" w:rsidRDefault="00BD634F" w:rsidP="006D5FBC">
            <w:pPr>
              <w:pStyle w:val="inf61normal"/>
              <w:widowControl w:val="0"/>
              <w:rPr>
                <w:rFonts w:ascii="Arial" w:hAnsi="Arial" w:cs="Arial"/>
                <w:color w:val="auto"/>
                <w:sz w:val="20"/>
                <w:lang w:val="fr-FR"/>
              </w:rPr>
            </w:pPr>
          </w:p>
          <w:p w:rsidR="00BD634F" w:rsidRPr="00CB2809" w:rsidRDefault="00BD634F" w:rsidP="006D5FBC">
            <w:pPr>
              <w:rPr>
                <w:rFonts w:cs="Arial"/>
              </w:rPr>
            </w:pPr>
          </w:p>
        </w:tc>
        <w:tc>
          <w:tcPr>
            <w:tcW w:w="3740" w:type="dxa"/>
            <w:tcBorders>
              <w:top w:val="single" w:sz="4" w:space="0" w:color="auto"/>
              <w:left w:val="single" w:sz="4" w:space="0" w:color="auto"/>
              <w:bottom w:val="single" w:sz="4" w:space="0" w:color="auto"/>
              <w:right w:val="single" w:sz="4" w:space="0" w:color="auto"/>
            </w:tcBorders>
          </w:tcPr>
          <w:p w:rsidR="00BD634F" w:rsidRPr="00CB2809" w:rsidRDefault="00BD634F" w:rsidP="006D5FBC">
            <w:pPr>
              <w:jc w:val="center"/>
              <w:rPr>
                <w:rFonts w:cs="Arial"/>
                <w:b/>
              </w:rPr>
            </w:pPr>
            <w:r w:rsidRPr="00CB2809">
              <w:rPr>
                <w:rFonts w:cs="Arial"/>
                <w:b/>
              </w:rPr>
              <w:t>Article</w:t>
            </w:r>
            <w:r>
              <w:rPr>
                <w:rFonts w:cs="Arial"/>
                <w:b/>
              </w:rPr>
              <w:t> </w:t>
            </w:r>
            <w:r w:rsidRPr="00CB2809">
              <w:rPr>
                <w:rFonts w:cs="Arial"/>
                <w:b/>
              </w:rPr>
              <w:t xml:space="preserve">24 </w:t>
            </w:r>
            <w:r w:rsidRPr="00CB2809">
              <w:rPr>
                <w:rFonts w:cs="Arial"/>
                <w:b/>
              </w:rPr>
              <w:br/>
            </w:r>
            <w:r w:rsidRPr="00AE12C1">
              <w:rPr>
                <w:rFonts w:cs="Arial"/>
                <w:b/>
              </w:rPr>
              <w:t>Limitation de l</w:t>
            </w:r>
            <w:r>
              <w:rPr>
                <w:rFonts w:cs="Arial"/>
                <w:b/>
              </w:rPr>
              <w:t>’</w:t>
            </w:r>
            <w:r w:rsidRPr="00AE12C1">
              <w:rPr>
                <w:rFonts w:cs="Arial"/>
                <w:b/>
              </w:rPr>
              <w:t>exercice du droit d</w:t>
            </w:r>
            <w:r>
              <w:rPr>
                <w:rFonts w:cs="Arial"/>
                <w:b/>
              </w:rPr>
              <w:t>’</w:t>
            </w:r>
            <w:r w:rsidRPr="00AE12C1">
              <w:rPr>
                <w:rFonts w:cs="Arial"/>
                <w:b/>
              </w:rPr>
              <w:t>obtenteur</w:t>
            </w:r>
          </w:p>
          <w:p w:rsidR="00BD634F" w:rsidRPr="00CB2809" w:rsidRDefault="00BD634F" w:rsidP="006D5FBC">
            <w:pPr>
              <w:rPr>
                <w:rFonts w:cs="Arial"/>
                <w:b/>
              </w:rPr>
            </w:pPr>
          </w:p>
          <w:p w:rsidR="00BD634F" w:rsidRDefault="00BD634F" w:rsidP="006D5FBC">
            <w:pPr>
              <w:pStyle w:val="inf61normal"/>
              <w:widowControl w:val="0"/>
              <w:rPr>
                <w:rFonts w:ascii="Arial" w:hAnsi="Arial" w:cs="Arial"/>
                <w:color w:val="auto"/>
                <w:sz w:val="20"/>
                <w:lang w:val="fr-FR"/>
              </w:rPr>
            </w:pPr>
            <w:r w:rsidRPr="00CB2809">
              <w:rPr>
                <w:rFonts w:ascii="Arial" w:hAnsi="Arial" w:cs="Arial"/>
                <w:color w:val="auto"/>
                <w:sz w:val="20"/>
                <w:lang w:val="fr-FR"/>
              </w:rPr>
              <w:t xml:space="preserve">1) </w:t>
            </w:r>
            <w:r>
              <w:rPr>
                <w:rFonts w:ascii="Arial" w:hAnsi="Arial" w:cs="Arial"/>
                <w:color w:val="auto"/>
                <w:sz w:val="20"/>
                <w:lang w:val="fr-FR"/>
              </w:rPr>
              <w:t>Une licence obligatoire sera accordée à un demandeur ou à un État contractant par l’Office de l’</w:t>
            </w:r>
            <w:r w:rsidRPr="00CB2809">
              <w:rPr>
                <w:rFonts w:ascii="Arial" w:hAnsi="Arial" w:cs="Arial"/>
                <w:color w:val="auto"/>
                <w:sz w:val="20"/>
                <w:lang w:val="fr-FR"/>
              </w:rPr>
              <w:t>ARIPO</w:t>
            </w:r>
            <w:r>
              <w:rPr>
                <w:rFonts w:ascii="Arial" w:hAnsi="Arial" w:cs="Arial"/>
                <w:color w:val="auto"/>
                <w:sz w:val="20"/>
                <w:lang w:val="fr-FR"/>
              </w:rPr>
              <w:t>, sur demande dudit tiers ou État contractant, uniquement pour des raisons d’intérêt public, après consultation du Conseil administratif de la protection des obtentions végétales.</w:t>
            </w:r>
          </w:p>
          <w:p w:rsidR="00BD634F" w:rsidRPr="00CB2809" w:rsidRDefault="00BD634F" w:rsidP="006D5FBC">
            <w:pPr>
              <w:pStyle w:val="inf61normal"/>
              <w:widowControl w:val="0"/>
              <w:rPr>
                <w:rFonts w:ascii="Arial" w:hAnsi="Arial" w:cs="Arial"/>
                <w:color w:val="auto"/>
                <w:sz w:val="20"/>
                <w:lang w:val="fr-FR"/>
              </w:rPr>
            </w:pPr>
          </w:p>
          <w:p w:rsidR="00BD634F" w:rsidRPr="00CB2809" w:rsidRDefault="00BD634F" w:rsidP="006D5FBC">
            <w:pPr>
              <w:pStyle w:val="inf61normal"/>
              <w:widowControl w:val="0"/>
              <w:tabs>
                <w:tab w:val="clear" w:pos="315"/>
                <w:tab w:val="left" w:pos="450"/>
              </w:tabs>
              <w:rPr>
                <w:rFonts w:ascii="Arial" w:hAnsi="Arial" w:cs="Arial"/>
                <w:color w:val="auto"/>
                <w:sz w:val="20"/>
                <w:lang w:val="fr-FR"/>
              </w:rPr>
            </w:pPr>
            <w:r w:rsidRPr="00CB2809">
              <w:rPr>
                <w:rFonts w:ascii="Arial" w:hAnsi="Arial" w:cs="Arial"/>
                <w:color w:val="auto"/>
                <w:sz w:val="20"/>
                <w:lang w:val="fr-FR"/>
              </w:rPr>
              <w:t xml:space="preserve">2) </w:t>
            </w:r>
            <w:r>
              <w:rPr>
                <w:rFonts w:ascii="Arial" w:hAnsi="Arial" w:cs="Arial"/>
                <w:color w:val="auto"/>
                <w:sz w:val="20"/>
                <w:lang w:val="fr-FR"/>
              </w:rPr>
              <w:tab/>
              <w:t>L’Office de l’</w:t>
            </w:r>
            <w:r w:rsidRPr="00CB2809">
              <w:rPr>
                <w:rFonts w:ascii="Arial" w:hAnsi="Arial" w:cs="Arial"/>
                <w:color w:val="auto"/>
                <w:sz w:val="20"/>
                <w:lang w:val="fr-FR"/>
              </w:rPr>
              <w:t>ARIPO</w:t>
            </w:r>
            <w:r>
              <w:rPr>
                <w:rFonts w:ascii="Arial" w:hAnsi="Arial" w:cs="Arial"/>
                <w:color w:val="auto"/>
                <w:sz w:val="20"/>
                <w:lang w:val="fr-FR"/>
              </w:rPr>
              <w:t xml:space="preserve">, lorsqu’il accorde une licence obligatoire </w:t>
            </w:r>
            <w:r w:rsidRPr="0009413D">
              <w:rPr>
                <w:rFonts w:ascii="Arial" w:hAnsi="Arial" w:cs="Arial"/>
                <w:color w:val="auto"/>
                <w:sz w:val="20"/>
                <w:lang w:val="fr-FR"/>
              </w:rPr>
              <w:t>conformément à l</w:t>
            </w:r>
            <w:r>
              <w:rPr>
                <w:rFonts w:ascii="Arial" w:hAnsi="Arial" w:cs="Arial"/>
                <w:color w:val="auto"/>
                <w:sz w:val="20"/>
                <w:lang w:val="fr-FR"/>
              </w:rPr>
              <w:t>’</w:t>
            </w:r>
            <w:r w:rsidRPr="0009413D">
              <w:rPr>
                <w:rFonts w:ascii="Arial" w:hAnsi="Arial" w:cs="Arial"/>
                <w:color w:val="auto"/>
                <w:sz w:val="20"/>
                <w:lang w:val="fr-FR"/>
              </w:rPr>
              <w:t>alinéa</w:t>
            </w:r>
            <w:r>
              <w:rPr>
                <w:rFonts w:ascii="Arial" w:hAnsi="Arial" w:cs="Arial"/>
                <w:color w:val="auto"/>
                <w:sz w:val="20"/>
                <w:lang w:val="fr-FR"/>
              </w:rPr>
              <w:t> 1), stipule les actes couverts et les conditions raisonnables qui comprennent le versement d’une rémunération équitable à l’obtenteur</w:t>
            </w:r>
            <w:r w:rsidRPr="00CB2809">
              <w:rPr>
                <w:rFonts w:ascii="Arial" w:hAnsi="Arial" w:cs="Arial"/>
                <w:color w:val="auto"/>
                <w:sz w:val="20"/>
                <w:lang w:val="fr-FR"/>
              </w:rPr>
              <w:t>.</w:t>
            </w:r>
          </w:p>
        </w:tc>
        <w:tc>
          <w:tcPr>
            <w:tcW w:w="3740" w:type="dxa"/>
            <w:tcBorders>
              <w:top w:val="single" w:sz="4" w:space="0" w:color="auto"/>
              <w:left w:val="single" w:sz="4" w:space="0" w:color="auto"/>
              <w:bottom w:val="single" w:sz="4" w:space="0" w:color="auto"/>
              <w:right w:val="single" w:sz="4" w:space="0" w:color="auto"/>
            </w:tcBorders>
          </w:tcPr>
          <w:p w:rsidR="00BD634F" w:rsidRPr="00CB2809" w:rsidRDefault="00BD634F" w:rsidP="006D5FBC">
            <w:pPr>
              <w:jc w:val="center"/>
              <w:rPr>
                <w:rFonts w:cs="Arial"/>
                <w:b/>
              </w:rPr>
            </w:pPr>
            <w:r w:rsidRPr="00CB2809">
              <w:rPr>
                <w:rFonts w:cs="Arial"/>
                <w:b/>
              </w:rPr>
              <w:t>Article</w:t>
            </w:r>
            <w:r>
              <w:rPr>
                <w:rFonts w:cs="Arial"/>
                <w:b/>
              </w:rPr>
              <w:t> </w:t>
            </w:r>
            <w:r w:rsidRPr="00CB2809">
              <w:rPr>
                <w:rFonts w:cs="Arial"/>
                <w:b/>
              </w:rPr>
              <w:t xml:space="preserve">24 </w:t>
            </w:r>
            <w:r w:rsidRPr="00CB2809">
              <w:rPr>
                <w:rFonts w:cs="Arial"/>
                <w:b/>
              </w:rPr>
              <w:br/>
            </w:r>
            <w:r w:rsidRPr="00AE12C1">
              <w:rPr>
                <w:rFonts w:cs="Arial"/>
                <w:b/>
              </w:rPr>
              <w:t>Limitation de l</w:t>
            </w:r>
            <w:r>
              <w:rPr>
                <w:rFonts w:cs="Arial"/>
                <w:b/>
              </w:rPr>
              <w:t>’</w:t>
            </w:r>
            <w:r w:rsidRPr="00AE12C1">
              <w:rPr>
                <w:rFonts w:cs="Arial"/>
                <w:b/>
              </w:rPr>
              <w:t>exercice du droit d</w:t>
            </w:r>
            <w:r>
              <w:rPr>
                <w:rFonts w:cs="Arial"/>
                <w:b/>
              </w:rPr>
              <w:t>’</w:t>
            </w:r>
            <w:r w:rsidRPr="00AE12C1">
              <w:rPr>
                <w:rFonts w:cs="Arial"/>
                <w:b/>
              </w:rPr>
              <w:t>obtenteur</w:t>
            </w:r>
          </w:p>
          <w:p w:rsidR="00BD634F" w:rsidRPr="00CB2809" w:rsidRDefault="00BD634F" w:rsidP="006D5FBC">
            <w:pPr>
              <w:pStyle w:val="inf61normal"/>
              <w:rPr>
                <w:rFonts w:ascii="Arial" w:hAnsi="Arial" w:cs="Arial"/>
                <w:color w:val="auto"/>
                <w:sz w:val="20"/>
                <w:lang w:val="fr-FR"/>
              </w:rPr>
            </w:pPr>
          </w:p>
          <w:p w:rsidR="00BD634F" w:rsidRPr="00CB2809" w:rsidRDefault="00BD634F" w:rsidP="006D5FBC">
            <w:pPr>
              <w:pStyle w:val="inf61normal"/>
              <w:rPr>
                <w:rFonts w:ascii="Arial" w:hAnsi="Arial" w:cs="Arial"/>
                <w:color w:val="auto"/>
                <w:sz w:val="20"/>
                <w:lang w:val="fr-FR"/>
              </w:rPr>
            </w:pPr>
            <w:r w:rsidRPr="00CB2809">
              <w:rPr>
                <w:rFonts w:ascii="Arial" w:hAnsi="Arial" w:cs="Arial"/>
                <w:color w:val="auto"/>
                <w:sz w:val="20"/>
                <w:lang w:val="fr-FR"/>
              </w:rPr>
              <w:t xml:space="preserve">1) </w:t>
            </w:r>
            <w:r w:rsidRPr="00F739E7">
              <w:rPr>
                <w:rFonts w:ascii="Arial" w:hAnsi="Arial" w:cs="Arial"/>
                <w:color w:val="auto"/>
                <w:sz w:val="20"/>
                <w:lang w:val="fr-FR"/>
              </w:rPr>
              <w:t xml:space="preserve">Une licence obligatoire sera </w:t>
            </w:r>
            <w:r>
              <w:rPr>
                <w:rFonts w:ascii="Arial" w:hAnsi="Arial" w:cs="Arial"/>
                <w:color w:val="auto"/>
                <w:sz w:val="20"/>
                <w:lang w:val="fr-FR"/>
              </w:rPr>
              <w:t>accordée</w:t>
            </w:r>
            <w:r w:rsidRPr="00F739E7">
              <w:rPr>
                <w:rFonts w:ascii="Arial" w:hAnsi="Arial" w:cs="Arial"/>
                <w:color w:val="auto"/>
                <w:sz w:val="20"/>
                <w:lang w:val="fr-FR"/>
              </w:rPr>
              <w:t xml:space="preserve"> à un demandeur </w:t>
            </w:r>
            <w:r>
              <w:rPr>
                <w:rFonts w:ascii="Arial" w:hAnsi="Arial" w:cs="Arial"/>
                <w:color w:val="auto"/>
                <w:sz w:val="20"/>
                <w:lang w:val="fr-FR"/>
              </w:rPr>
              <w:t xml:space="preserve">par un </w:t>
            </w:r>
            <w:r w:rsidRPr="00F739E7">
              <w:rPr>
                <w:rFonts w:ascii="Arial" w:hAnsi="Arial" w:cs="Arial"/>
                <w:color w:val="auto"/>
                <w:sz w:val="20"/>
                <w:lang w:val="fr-FR"/>
              </w:rPr>
              <w:t>État contractant uniquement pour des raisons d</w:t>
            </w:r>
            <w:r>
              <w:rPr>
                <w:rFonts w:ascii="Arial" w:hAnsi="Arial" w:cs="Arial"/>
                <w:color w:val="auto"/>
                <w:sz w:val="20"/>
                <w:lang w:val="fr-FR"/>
              </w:rPr>
              <w:t>’</w:t>
            </w:r>
            <w:r w:rsidRPr="00F739E7">
              <w:rPr>
                <w:rFonts w:ascii="Arial" w:hAnsi="Arial" w:cs="Arial"/>
                <w:color w:val="auto"/>
                <w:sz w:val="20"/>
                <w:lang w:val="fr-FR"/>
              </w:rPr>
              <w:t>intérêt public</w:t>
            </w:r>
            <w:r w:rsidRPr="00CB2809">
              <w:rPr>
                <w:rFonts w:ascii="Arial" w:hAnsi="Arial" w:cs="Arial"/>
                <w:color w:val="auto"/>
                <w:sz w:val="20"/>
                <w:lang w:val="fr-FR"/>
              </w:rPr>
              <w:t>.</w:t>
            </w:r>
          </w:p>
          <w:p w:rsidR="00BD634F" w:rsidRPr="00CB2809" w:rsidRDefault="00BD634F" w:rsidP="006D5FBC">
            <w:pPr>
              <w:rPr>
                <w:rFonts w:cs="Arial"/>
              </w:rPr>
            </w:pPr>
          </w:p>
          <w:p w:rsidR="00BD634F" w:rsidRPr="00CB2809" w:rsidRDefault="00BD634F" w:rsidP="006D5FBC">
            <w:pPr>
              <w:rPr>
                <w:rFonts w:cs="Arial"/>
              </w:rPr>
            </w:pPr>
          </w:p>
          <w:p w:rsidR="00BD634F" w:rsidRPr="00CB2809" w:rsidRDefault="00BD634F" w:rsidP="006D5FBC">
            <w:pPr>
              <w:rPr>
                <w:rFonts w:cs="Arial"/>
              </w:rPr>
            </w:pPr>
          </w:p>
          <w:p w:rsidR="00BD634F" w:rsidRPr="00CB2809" w:rsidRDefault="00BD634F" w:rsidP="006D5FBC">
            <w:pPr>
              <w:rPr>
                <w:rFonts w:cs="Arial"/>
              </w:rPr>
            </w:pPr>
          </w:p>
          <w:p w:rsidR="00BD634F" w:rsidRPr="00CB2809" w:rsidRDefault="00BD634F" w:rsidP="006D5FBC">
            <w:pPr>
              <w:rPr>
                <w:rFonts w:cs="Arial"/>
              </w:rPr>
            </w:pPr>
          </w:p>
          <w:p w:rsidR="00BD634F" w:rsidRPr="00CB2809" w:rsidRDefault="00BD634F" w:rsidP="006D5FBC">
            <w:pPr>
              <w:widowControl w:val="0"/>
              <w:tabs>
                <w:tab w:val="left" w:pos="-31680"/>
              </w:tabs>
              <w:rPr>
                <w:rFonts w:cs="Arial"/>
                <w:kern w:val="28"/>
                <w:lang w:eastAsia="en-ZW"/>
              </w:rPr>
            </w:pPr>
            <w:r w:rsidRPr="00CB2809">
              <w:rPr>
                <w:rFonts w:cs="Arial"/>
                <w:kern w:val="28"/>
                <w:lang w:eastAsia="en-ZW"/>
              </w:rPr>
              <w:t xml:space="preserve">2) </w:t>
            </w:r>
            <w:r>
              <w:rPr>
                <w:rFonts w:cs="Arial"/>
                <w:kern w:val="28"/>
                <w:lang w:eastAsia="en-ZW"/>
              </w:rPr>
              <w:tab/>
              <w:t xml:space="preserve">L’administration nationale, </w:t>
            </w:r>
            <w:r w:rsidRPr="0009413D">
              <w:rPr>
                <w:rFonts w:cs="Arial"/>
                <w:kern w:val="28"/>
                <w:lang w:eastAsia="en-ZW"/>
              </w:rPr>
              <w:t>lorsqu</w:t>
            </w:r>
            <w:r>
              <w:rPr>
                <w:rFonts w:cs="Arial"/>
                <w:kern w:val="28"/>
                <w:lang w:eastAsia="en-ZW"/>
              </w:rPr>
              <w:t>’elle</w:t>
            </w:r>
            <w:r w:rsidRPr="0009413D">
              <w:rPr>
                <w:rFonts w:cs="Arial"/>
                <w:kern w:val="28"/>
                <w:lang w:eastAsia="en-ZW"/>
              </w:rPr>
              <w:t xml:space="preserve"> accorde une licence obligatoire conformément à l</w:t>
            </w:r>
            <w:r>
              <w:rPr>
                <w:rFonts w:cs="Arial"/>
                <w:kern w:val="28"/>
                <w:lang w:eastAsia="en-ZW"/>
              </w:rPr>
              <w:t>’</w:t>
            </w:r>
            <w:r w:rsidRPr="0009413D">
              <w:rPr>
                <w:rFonts w:cs="Arial"/>
                <w:kern w:val="28"/>
                <w:lang w:eastAsia="en-ZW"/>
              </w:rPr>
              <w:t>alinéa</w:t>
            </w:r>
            <w:r>
              <w:rPr>
                <w:rFonts w:cs="Arial"/>
                <w:kern w:val="28"/>
                <w:lang w:eastAsia="en-ZW"/>
              </w:rPr>
              <w:t> </w:t>
            </w:r>
            <w:r w:rsidRPr="0009413D">
              <w:rPr>
                <w:rFonts w:cs="Arial"/>
                <w:kern w:val="28"/>
                <w:lang w:eastAsia="en-ZW"/>
              </w:rPr>
              <w:t xml:space="preserve">1), stipule les actes couverts et les conditions raisonnables qui </w:t>
            </w:r>
            <w:r>
              <w:rPr>
                <w:rFonts w:cs="Arial"/>
                <w:kern w:val="28"/>
                <w:lang w:eastAsia="en-ZW"/>
              </w:rPr>
              <w:t>comprennent</w:t>
            </w:r>
            <w:r w:rsidRPr="0009413D">
              <w:rPr>
                <w:rFonts w:cs="Arial"/>
                <w:kern w:val="28"/>
                <w:lang w:eastAsia="en-ZW"/>
              </w:rPr>
              <w:t xml:space="preserve"> le versement d</w:t>
            </w:r>
            <w:r>
              <w:rPr>
                <w:rFonts w:cs="Arial"/>
                <w:kern w:val="28"/>
                <w:lang w:eastAsia="en-ZW"/>
              </w:rPr>
              <w:t>’</w:t>
            </w:r>
            <w:r w:rsidRPr="0009413D">
              <w:rPr>
                <w:rFonts w:cs="Arial"/>
                <w:kern w:val="28"/>
                <w:lang w:eastAsia="en-ZW"/>
              </w:rPr>
              <w:t>une rémunération équitable à l</w:t>
            </w:r>
            <w:r>
              <w:rPr>
                <w:rFonts w:cs="Arial"/>
                <w:kern w:val="28"/>
                <w:lang w:eastAsia="en-ZW"/>
              </w:rPr>
              <w:t>’</w:t>
            </w:r>
            <w:r w:rsidRPr="0009413D">
              <w:rPr>
                <w:rFonts w:cs="Arial"/>
                <w:kern w:val="28"/>
                <w:lang w:eastAsia="en-ZW"/>
              </w:rPr>
              <w:t>obtenteur</w:t>
            </w:r>
            <w:r w:rsidRPr="00CB2809">
              <w:rPr>
                <w:rFonts w:cs="Arial"/>
                <w:kern w:val="28"/>
                <w:lang w:eastAsia="en-ZW"/>
              </w:rPr>
              <w:t>.</w:t>
            </w:r>
          </w:p>
        </w:tc>
      </w:tr>
      <w:tr w:rsidR="00BD634F" w:rsidRPr="00497366" w:rsidTr="006D5FBC">
        <w:trPr>
          <w:cantSplit/>
        </w:trPr>
        <w:tc>
          <w:tcPr>
            <w:tcW w:w="2159" w:type="dxa"/>
            <w:tcBorders>
              <w:top w:val="single" w:sz="4" w:space="0" w:color="auto"/>
              <w:left w:val="single" w:sz="4" w:space="0" w:color="auto"/>
              <w:bottom w:val="single" w:sz="4" w:space="0" w:color="auto"/>
              <w:right w:val="single" w:sz="4" w:space="0" w:color="auto"/>
            </w:tcBorders>
          </w:tcPr>
          <w:p w:rsidR="00BD634F" w:rsidRPr="00CB2809" w:rsidRDefault="00BD634F" w:rsidP="006D5FBC">
            <w:pPr>
              <w:jc w:val="center"/>
              <w:rPr>
                <w:rFonts w:cs="Arial"/>
                <w:b/>
                <w:bCs/>
              </w:rPr>
            </w:pPr>
            <w:r w:rsidRPr="00CB2809">
              <w:rPr>
                <w:rFonts w:cs="Arial"/>
                <w:b/>
                <w:bCs/>
              </w:rPr>
              <w:t>Article</w:t>
            </w:r>
            <w:r>
              <w:rPr>
                <w:rFonts w:cs="Arial"/>
                <w:b/>
                <w:bCs/>
              </w:rPr>
              <w:t> </w:t>
            </w:r>
            <w:r w:rsidRPr="00CB2809">
              <w:rPr>
                <w:rFonts w:cs="Arial"/>
                <w:b/>
                <w:bCs/>
              </w:rPr>
              <w:t xml:space="preserve">26 </w:t>
            </w:r>
            <w:r w:rsidRPr="00CB2809">
              <w:rPr>
                <w:rFonts w:cs="Arial"/>
                <w:b/>
                <w:bCs/>
              </w:rPr>
              <w:br/>
            </w:r>
            <w:r>
              <w:rPr>
                <w:rFonts w:cs="Arial"/>
                <w:b/>
                <w:bCs/>
              </w:rPr>
              <w:t>D</w:t>
            </w:r>
            <w:r w:rsidRPr="00B618CA">
              <w:rPr>
                <w:rFonts w:cs="Arial"/>
                <w:b/>
                <w:bCs/>
              </w:rPr>
              <w:t>urée du droit d</w:t>
            </w:r>
            <w:r>
              <w:rPr>
                <w:rFonts w:cs="Arial"/>
                <w:b/>
                <w:bCs/>
              </w:rPr>
              <w:t>’</w:t>
            </w:r>
            <w:r w:rsidRPr="00B618CA">
              <w:rPr>
                <w:rFonts w:cs="Arial"/>
                <w:b/>
                <w:bCs/>
              </w:rPr>
              <w:t>obtenteur</w:t>
            </w:r>
          </w:p>
          <w:p w:rsidR="00BD634F" w:rsidRPr="00CB2809" w:rsidRDefault="00BD634F" w:rsidP="006D5FBC">
            <w:pPr>
              <w:pStyle w:val="ListParagraph"/>
              <w:widowControl w:val="0"/>
              <w:ind w:left="0"/>
              <w:jc w:val="both"/>
              <w:rPr>
                <w:rFonts w:cs="Arial"/>
                <w:szCs w:val="20"/>
              </w:rPr>
            </w:pPr>
          </w:p>
        </w:tc>
        <w:tc>
          <w:tcPr>
            <w:tcW w:w="3740" w:type="dxa"/>
            <w:tcBorders>
              <w:top w:val="single" w:sz="4" w:space="0" w:color="auto"/>
              <w:left w:val="single" w:sz="4" w:space="0" w:color="auto"/>
              <w:bottom w:val="single" w:sz="4" w:space="0" w:color="auto"/>
              <w:right w:val="single" w:sz="4" w:space="0" w:color="auto"/>
            </w:tcBorders>
          </w:tcPr>
          <w:p w:rsidR="00BD634F" w:rsidRPr="00CB2809" w:rsidRDefault="00BD634F" w:rsidP="006D5FBC">
            <w:pPr>
              <w:jc w:val="center"/>
              <w:rPr>
                <w:rFonts w:cs="Arial"/>
                <w:b/>
                <w:bCs/>
              </w:rPr>
            </w:pPr>
            <w:r w:rsidRPr="00CB2809">
              <w:rPr>
                <w:rFonts w:cs="Arial"/>
                <w:b/>
                <w:bCs/>
              </w:rPr>
              <w:t>Article</w:t>
            </w:r>
            <w:r>
              <w:rPr>
                <w:rFonts w:cs="Arial"/>
                <w:b/>
                <w:bCs/>
              </w:rPr>
              <w:t> </w:t>
            </w:r>
            <w:r w:rsidRPr="00CB2809">
              <w:rPr>
                <w:rFonts w:cs="Arial"/>
                <w:b/>
                <w:bCs/>
              </w:rPr>
              <w:t xml:space="preserve">26 </w:t>
            </w:r>
            <w:r w:rsidRPr="00CB2809">
              <w:rPr>
                <w:rFonts w:cs="Arial"/>
                <w:b/>
                <w:bCs/>
              </w:rPr>
              <w:br/>
            </w:r>
            <w:r w:rsidRPr="00B618CA">
              <w:rPr>
                <w:rFonts w:cs="Arial"/>
                <w:b/>
                <w:bCs/>
              </w:rPr>
              <w:t>Durée du droit d</w:t>
            </w:r>
            <w:r>
              <w:rPr>
                <w:rFonts w:cs="Arial"/>
                <w:b/>
                <w:bCs/>
              </w:rPr>
              <w:t>’</w:t>
            </w:r>
            <w:r w:rsidRPr="00B618CA">
              <w:rPr>
                <w:rFonts w:cs="Arial"/>
                <w:b/>
                <w:bCs/>
              </w:rPr>
              <w:t>obtenteur</w:t>
            </w:r>
          </w:p>
          <w:p w:rsidR="00BD634F" w:rsidRPr="00CB2809" w:rsidRDefault="00BD634F" w:rsidP="006D5FBC">
            <w:pPr>
              <w:pStyle w:val="ListParagraph"/>
              <w:widowControl w:val="0"/>
              <w:ind w:left="0"/>
              <w:jc w:val="both"/>
              <w:rPr>
                <w:rFonts w:cs="Arial"/>
                <w:szCs w:val="20"/>
              </w:rPr>
            </w:pPr>
          </w:p>
          <w:p w:rsidR="00BD634F" w:rsidRPr="00CB2809" w:rsidRDefault="00BD634F" w:rsidP="006D5FBC">
            <w:pPr>
              <w:pStyle w:val="ListParagraph"/>
              <w:widowControl w:val="0"/>
              <w:ind w:left="0"/>
              <w:jc w:val="both"/>
              <w:rPr>
                <w:rFonts w:cs="Arial"/>
                <w:szCs w:val="20"/>
              </w:rPr>
            </w:pPr>
            <w:r>
              <w:rPr>
                <w:rFonts w:cs="Arial"/>
                <w:szCs w:val="20"/>
              </w:rPr>
              <w:t>Un droit d’obtenteur est accordé pour une période de vingt années à compter de la date d’octroi du droit, à l’exception des arbres et de la vigne, pour lesquels un droit d’obtenteur est accordé pour une période de vingt</w:t>
            </w:r>
            <w:r>
              <w:rPr>
                <w:rFonts w:cs="Arial"/>
                <w:szCs w:val="20"/>
              </w:rPr>
              <w:noBreakHyphen/>
              <w:t xml:space="preserve">cinq années à compter de </w:t>
            </w:r>
            <w:r w:rsidRPr="00470706">
              <w:rPr>
                <w:rFonts w:cs="Arial"/>
                <w:szCs w:val="20"/>
              </w:rPr>
              <w:t>la date d</w:t>
            </w:r>
            <w:r>
              <w:rPr>
                <w:rFonts w:cs="Arial"/>
                <w:szCs w:val="20"/>
              </w:rPr>
              <w:t>’</w:t>
            </w:r>
            <w:r w:rsidRPr="00470706">
              <w:rPr>
                <w:rFonts w:cs="Arial"/>
                <w:szCs w:val="20"/>
              </w:rPr>
              <w:t>octroi du droit</w:t>
            </w:r>
            <w:r w:rsidRPr="00CB2809">
              <w:rPr>
                <w:rFonts w:cs="Arial"/>
                <w:szCs w:val="20"/>
              </w:rPr>
              <w:t>.</w:t>
            </w:r>
          </w:p>
        </w:tc>
        <w:tc>
          <w:tcPr>
            <w:tcW w:w="3740" w:type="dxa"/>
            <w:tcBorders>
              <w:top w:val="single" w:sz="4" w:space="0" w:color="auto"/>
              <w:left w:val="single" w:sz="4" w:space="0" w:color="auto"/>
              <w:bottom w:val="single" w:sz="4" w:space="0" w:color="auto"/>
              <w:right w:val="single" w:sz="4" w:space="0" w:color="auto"/>
            </w:tcBorders>
          </w:tcPr>
          <w:p w:rsidR="00BD634F" w:rsidRPr="00CB2809" w:rsidRDefault="00BD634F" w:rsidP="006D5FBC">
            <w:pPr>
              <w:jc w:val="center"/>
              <w:rPr>
                <w:rFonts w:cs="Arial"/>
                <w:b/>
                <w:bCs/>
              </w:rPr>
            </w:pPr>
            <w:r w:rsidRPr="00CB2809">
              <w:rPr>
                <w:rFonts w:cs="Arial"/>
                <w:b/>
                <w:bCs/>
              </w:rPr>
              <w:t>Article</w:t>
            </w:r>
            <w:r>
              <w:rPr>
                <w:rFonts w:cs="Arial"/>
                <w:b/>
                <w:bCs/>
              </w:rPr>
              <w:t> </w:t>
            </w:r>
            <w:r w:rsidRPr="00CB2809">
              <w:rPr>
                <w:rFonts w:cs="Arial"/>
                <w:b/>
                <w:bCs/>
              </w:rPr>
              <w:t xml:space="preserve">26 </w:t>
            </w:r>
            <w:r w:rsidRPr="00CB2809">
              <w:rPr>
                <w:rFonts w:cs="Arial"/>
                <w:b/>
                <w:bCs/>
              </w:rPr>
              <w:br/>
            </w:r>
            <w:r w:rsidRPr="00B618CA">
              <w:rPr>
                <w:rFonts w:cs="Arial"/>
                <w:b/>
                <w:bCs/>
              </w:rPr>
              <w:t>Durée du droit d</w:t>
            </w:r>
            <w:r>
              <w:rPr>
                <w:rFonts w:cs="Arial"/>
                <w:b/>
                <w:bCs/>
              </w:rPr>
              <w:t>’</w:t>
            </w:r>
            <w:r w:rsidRPr="00B618CA">
              <w:rPr>
                <w:rFonts w:cs="Arial"/>
                <w:b/>
                <w:bCs/>
              </w:rPr>
              <w:t>obtenteur</w:t>
            </w:r>
          </w:p>
          <w:p w:rsidR="00BD634F" w:rsidRPr="00CB2809" w:rsidRDefault="00BD634F" w:rsidP="006D5FBC">
            <w:pPr>
              <w:jc w:val="center"/>
              <w:rPr>
                <w:rFonts w:cs="Arial"/>
                <w:b/>
                <w:bCs/>
              </w:rPr>
            </w:pPr>
          </w:p>
          <w:p w:rsidR="00BD634F" w:rsidRPr="00CB2809" w:rsidRDefault="00BD634F" w:rsidP="00BD634F">
            <w:pPr>
              <w:pStyle w:val="ListParagraph"/>
              <w:widowControl w:val="0"/>
              <w:numPr>
                <w:ilvl w:val="0"/>
                <w:numId w:val="21"/>
              </w:numPr>
              <w:ind w:left="0" w:firstLine="0"/>
              <w:contextualSpacing/>
              <w:jc w:val="both"/>
              <w:rPr>
                <w:rFonts w:cs="Arial"/>
                <w:szCs w:val="20"/>
              </w:rPr>
            </w:pPr>
            <w:r w:rsidRPr="00957AB1">
              <w:rPr>
                <w:rFonts w:cs="Arial"/>
                <w:szCs w:val="20"/>
              </w:rPr>
              <w:t>Un droit d</w:t>
            </w:r>
            <w:r>
              <w:rPr>
                <w:rFonts w:cs="Arial"/>
                <w:szCs w:val="20"/>
              </w:rPr>
              <w:t>’</w:t>
            </w:r>
            <w:r w:rsidRPr="00957AB1">
              <w:rPr>
                <w:rFonts w:cs="Arial"/>
                <w:szCs w:val="20"/>
              </w:rPr>
              <w:t>obtenteur est accordé pour une durée de vingt années à compter de la date d</w:t>
            </w:r>
            <w:r>
              <w:rPr>
                <w:rFonts w:cs="Arial"/>
                <w:szCs w:val="20"/>
              </w:rPr>
              <w:t>’</w:t>
            </w:r>
            <w:r w:rsidRPr="00957AB1">
              <w:rPr>
                <w:rFonts w:cs="Arial"/>
                <w:szCs w:val="20"/>
              </w:rPr>
              <w:t>octroi du droit, à l</w:t>
            </w:r>
            <w:r>
              <w:rPr>
                <w:rFonts w:cs="Arial"/>
                <w:szCs w:val="20"/>
              </w:rPr>
              <w:t>’exception</w:t>
            </w:r>
            <w:r w:rsidRPr="00957AB1">
              <w:rPr>
                <w:rFonts w:cs="Arial"/>
                <w:szCs w:val="20"/>
              </w:rPr>
              <w:t xml:space="preserve"> des arbres et de la vigne, pour lesquels un droit d</w:t>
            </w:r>
            <w:r>
              <w:rPr>
                <w:rFonts w:cs="Arial"/>
                <w:szCs w:val="20"/>
              </w:rPr>
              <w:t>’</w:t>
            </w:r>
            <w:r w:rsidRPr="00957AB1">
              <w:rPr>
                <w:rFonts w:cs="Arial"/>
                <w:szCs w:val="20"/>
              </w:rPr>
              <w:t xml:space="preserve">obtenteur est accordé pour une </w:t>
            </w:r>
            <w:r>
              <w:rPr>
                <w:rFonts w:cs="Arial"/>
                <w:szCs w:val="20"/>
              </w:rPr>
              <w:t xml:space="preserve">période </w:t>
            </w:r>
            <w:r w:rsidRPr="00957AB1">
              <w:rPr>
                <w:rFonts w:cs="Arial"/>
                <w:szCs w:val="20"/>
              </w:rPr>
              <w:t xml:space="preserve">de </w:t>
            </w:r>
            <w:r>
              <w:rPr>
                <w:rFonts w:cs="Arial"/>
                <w:szCs w:val="20"/>
              </w:rPr>
              <w:t>vingt</w:t>
            </w:r>
            <w:r>
              <w:rPr>
                <w:rFonts w:cs="Arial"/>
                <w:szCs w:val="20"/>
              </w:rPr>
              <w:noBreakHyphen/>
              <w:t>cinq</w:t>
            </w:r>
            <w:r w:rsidRPr="00957AB1">
              <w:rPr>
                <w:rFonts w:cs="Arial"/>
                <w:szCs w:val="20"/>
              </w:rPr>
              <w:t xml:space="preserve"> années à compter de la date d</w:t>
            </w:r>
            <w:r>
              <w:rPr>
                <w:rFonts w:cs="Arial"/>
                <w:szCs w:val="20"/>
              </w:rPr>
              <w:t>’</w:t>
            </w:r>
            <w:r w:rsidRPr="00957AB1">
              <w:rPr>
                <w:rFonts w:cs="Arial"/>
                <w:szCs w:val="20"/>
              </w:rPr>
              <w:t>octroi du droit</w:t>
            </w:r>
            <w:r w:rsidRPr="00CB2809">
              <w:rPr>
                <w:rFonts w:cs="Arial"/>
                <w:szCs w:val="20"/>
              </w:rPr>
              <w:t>.</w:t>
            </w:r>
          </w:p>
          <w:p w:rsidR="00BD634F" w:rsidRPr="00CB2809" w:rsidRDefault="00BD634F" w:rsidP="006D5FBC">
            <w:pPr>
              <w:pStyle w:val="ListParagraph"/>
              <w:widowControl w:val="0"/>
              <w:ind w:left="0"/>
              <w:contextualSpacing/>
              <w:jc w:val="both"/>
              <w:rPr>
                <w:rFonts w:cs="Arial"/>
                <w:szCs w:val="20"/>
              </w:rPr>
            </w:pPr>
          </w:p>
          <w:p w:rsidR="00BD634F" w:rsidRPr="00CB2809" w:rsidRDefault="00BD634F" w:rsidP="00BD634F">
            <w:pPr>
              <w:pStyle w:val="ListParagraph"/>
              <w:widowControl w:val="0"/>
              <w:numPr>
                <w:ilvl w:val="0"/>
                <w:numId w:val="21"/>
              </w:numPr>
              <w:ind w:left="0" w:firstLine="0"/>
              <w:contextualSpacing/>
              <w:jc w:val="both"/>
              <w:rPr>
                <w:rFonts w:cs="Arial"/>
                <w:szCs w:val="20"/>
              </w:rPr>
            </w:pPr>
            <w:r w:rsidRPr="00957AB1">
              <w:rPr>
                <w:rFonts w:cs="Arial"/>
                <w:szCs w:val="20"/>
              </w:rPr>
              <w:t>Nonobstant les dispositions de l</w:t>
            </w:r>
            <w:r>
              <w:rPr>
                <w:rFonts w:cs="Arial"/>
                <w:szCs w:val="20"/>
              </w:rPr>
              <w:t>’</w:t>
            </w:r>
            <w:r w:rsidRPr="00957AB1">
              <w:rPr>
                <w:rFonts w:cs="Arial"/>
                <w:szCs w:val="20"/>
              </w:rPr>
              <w:t>alinéa</w:t>
            </w:r>
            <w:r>
              <w:rPr>
                <w:rFonts w:cs="Arial"/>
                <w:szCs w:val="20"/>
              </w:rPr>
              <w:t> </w:t>
            </w:r>
            <w:r w:rsidRPr="00CB2809">
              <w:rPr>
                <w:rFonts w:cs="Arial"/>
                <w:szCs w:val="20"/>
              </w:rPr>
              <w:t xml:space="preserve">1), </w:t>
            </w:r>
            <w:r w:rsidRPr="00957AB1">
              <w:rPr>
                <w:rFonts w:cs="Arial"/>
                <w:szCs w:val="20"/>
              </w:rPr>
              <w:t>la durée de la protection peut</w:t>
            </w:r>
            <w:r>
              <w:rPr>
                <w:rFonts w:cs="Arial"/>
                <w:szCs w:val="20"/>
              </w:rPr>
              <w:t xml:space="preserve">, pour ce qui est d’espèces et de genres déterminés, </w:t>
            </w:r>
            <w:r w:rsidRPr="00957AB1">
              <w:rPr>
                <w:rFonts w:cs="Arial"/>
                <w:szCs w:val="20"/>
              </w:rPr>
              <w:t>être prolongée de cinq années additionnelles</w:t>
            </w:r>
            <w:r w:rsidRPr="00CB2809">
              <w:rPr>
                <w:rFonts w:cs="Arial"/>
                <w:szCs w:val="20"/>
              </w:rPr>
              <w:t xml:space="preserve"> </w:t>
            </w:r>
            <w:r>
              <w:rPr>
                <w:rFonts w:cs="Arial"/>
                <w:szCs w:val="20"/>
              </w:rPr>
              <w:t>par l’envoi d’un avis écrit adressé à l’Office de l’A</w:t>
            </w:r>
            <w:r w:rsidRPr="00CB2809">
              <w:rPr>
                <w:rFonts w:cs="Arial"/>
                <w:szCs w:val="20"/>
              </w:rPr>
              <w:t xml:space="preserve">RIPO. </w:t>
            </w:r>
            <w:r>
              <w:rPr>
                <w:rFonts w:cs="Arial"/>
                <w:szCs w:val="20"/>
              </w:rPr>
              <w:t xml:space="preserve"> </w:t>
            </w:r>
          </w:p>
        </w:tc>
      </w:tr>
      <w:tr w:rsidR="00BD634F" w:rsidRPr="00497366" w:rsidTr="006D5FBC">
        <w:trPr>
          <w:cantSplit/>
        </w:trPr>
        <w:tc>
          <w:tcPr>
            <w:tcW w:w="2159" w:type="dxa"/>
            <w:tcBorders>
              <w:top w:val="single" w:sz="4" w:space="0" w:color="auto"/>
              <w:left w:val="single" w:sz="4" w:space="0" w:color="auto"/>
              <w:bottom w:val="single" w:sz="4" w:space="0" w:color="auto"/>
              <w:right w:val="single" w:sz="4" w:space="0" w:color="auto"/>
            </w:tcBorders>
          </w:tcPr>
          <w:p w:rsidR="00BD634F" w:rsidRPr="00CB2809" w:rsidRDefault="00BD634F" w:rsidP="006D5FBC">
            <w:pPr>
              <w:jc w:val="center"/>
              <w:rPr>
                <w:rFonts w:cs="Arial"/>
                <w:b/>
              </w:rPr>
            </w:pPr>
            <w:r w:rsidRPr="00CB2809">
              <w:rPr>
                <w:rFonts w:cs="Arial"/>
                <w:b/>
              </w:rPr>
              <w:t>Article</w:t>
            </w:r>
            <w:r>
              <w:rPr>
                <w:rFonts w:cs="Arial"/>
                <w:b/>
              </w:rPr>
              <w:t> </w:t>
            </w:r>
            <w:r w:rsidRPr="00CB2809">
              <w:rPr>
                <w:rFonts w:cs="Arial"/>
                <w:b/>
              </w:rPr>
              <w:t>37</w:t>
            </w:r>
          </w:p>
          <w:p w:rsidR="00BD634F" w:rsidRPr="00CB2809" w:rsidRDefault="00BD634F" w:rsidP="006D5FBC">
            <w:pPr>
              <w:jc w:val="center"/>
              <w:rPr>
                <w:rFonts w:cs="Arial"/>
                <w:b/>
              </w:rPr>
            </w:pPr>
            <w:r w:rsidRPr="00B40EBB">
              <w:rPr>
                <w:rFonts w:cs="Arial"/>
                <w:b/>
              </w:rPr>
              <w:t>Effet uniforme des droits d</w:t>
            </w:r>
            <w:r>
              <w:rPr>
                <w:rFonts w:cs="Arial"/>
                <w:b/>
              </w:rPr>
              <w:t>’</w:t>
            </w:r>
            <w:r w:rsidRPr="00B40EBB">
              <w:rPr>
                <w:rFonts w:cs="Arial"/>
                <w:b/>
              </w:rPr>
              <w:t>obtenteur régionaux</w:t>
            </w:r>
          </w:p>
          <w:p w:rsidR="00BD634F" w:rsidRPr="00CB2809" w:rsidRDefault="00BD634F" w:rsidP="006D5FBC">
            <w:pPr>
              <w:rPr>
                <w:rFonts w:cs="Arial"/>
                <w:b/>
              </w:rPr>
            </w:pPr>
          </w:p>
          <w:p w:rsidR="00BD634F" w:rsidRPr="00CB2809" w:rsidRDefault="00BD634F" w:rsidP="006D5FBC">
            <w:pPr>
              <w:widowControl w:val="0"/>
              <w:rPr>
                <w:rFonts w:cs="Arial"/>
                <w:kern w:val="28"/>
                <w:lang w:eastAsia="en-ZW"/>
              </w:rPr>
            </w:pPr>
          </w:p>
          <w:p w:rsidR="00BD634F" w:rsidRPr="00CB2809" w:rsidRDefault="00BD634F" w:rsidP="006D5FBC">
            <w:pPr>
              <w:jc w:val="center"/>
              <w:rPr>
                <w:rFonts w:cs="Arial"/>
              </w:rPr>
            </w:pPr>
          </w:p>
        </w:tc>
        <w:tc>
          <w:tcPr>
            <w:tcW w:w="3740" w:type="dxa"/>
            <w:tcBorders>
              <w:top w:val="single" w:sz="4" w:space="0" w:color="auto"/>
              <w:left w:val="single" w:sz="4" w:space="0" w:color="auto"/>
              <w:bottom w:val="single" w:sz="4" w:space="0" w:color="auto"/>
              <w:right w:val="single" w:sz="4" w:space="0" w:color="auto"/>
            </w:tcBorders>
          </w:tcPr>
          <w:p w:rsidR="00BD634F" w:rsidRPr="00CB2809" w:rsidRDefault="00BD634F" w:rsidP="006D5FBC">
            <w:pPr>
              <w:jc w:val="center"/>
              <w:rPr>
                <w:rFonts w:cs="Arial"/>
                <w:b/>
              </w:rPr>
            </w:pPr>
            <w:r w:rsidRPr="00CB2809">
              <w:rPr>
                <w:rFonts w:cs="Arial"/>
                <w:b/>
              </w:rPr>
              <w:t>Article</w:t>
            </w:r>
            <w:r>
              <w:rPr>
                <w:rFonts w:cs="Arial"/>
                <w:b/>
              </w:rPr>
              <w:t> </w:t>
            </w:r>
            <w:r w:rsidRPr="00CB2809">
              <w:rPr>
                <w:rFonts w:cs="Arial"/>
                <w:b/>
              </w:rPr>
              <w:t>37</w:t>
            </w:r>
          </w:p>
          <w:p w:rsidR="00BD634F" w:rsidRPr="00CB2809" w:rsidRDefault="00BD634F" w:rsidP="006D5FBC">
            <w:pPr>
              <w:jc w:val="center"/>
              <w:rPr>
                <w:rFonts w:cs="Arial"/>
                <w:b/>
              </w:rPr>
            </w:pPr>
            <w:r w:rsidRPr="00B40EBB">
              <w:rPr>
                <w:rFonts w:cs="Arial"/>
                <w:b/>
              </w:rPr>
              <w:t>Effet uniforme des droits d</w:t>
            </w:r>
            <w:r>
              <w:rPr>
                <w:rFonts w:cs="Arial"/>
                <w:b/>
              </w:rPr>
              <w:t>’</w:t>
            </w:r>
            <w:r w:rsidRPr="00B40EBB">
              <w:rPr>
                <w:rFonts w:cs="Arial"/>
                <w:b/>
              </w:rPr>
              <w:t>obtenteur régionaux</w:t>
            </w:r>
          </w:p>
          <w:p w:rsidR="00BD634F" w:rsidRPr="00CB2809" w:rsidRDefault="00BD634F" w:rsidP="006D5FBC">
            <w:pPr>
              <w:rPr>
                <w:rFonts w:cs="Arial"/>
                <w:b/>
              </w:rPr>
            </w:pPr>
          </w:p>
          <w:p w:rsidR="00BD634F" w:rsidRPr="00CB2809" w:rsidRDefault="00BD634F" w:rsidP="006D5FBC">
            <w:pPr>
              <w:rPr>
                <w:rFonts w:cs="Arial"/>
                <w:b/>
              </w:rPr>
            </w:pPr>
          </w:p>
          <w:p w:rsidR="00BD634F" w:rsidRPr="00CB2809" w:rsidRDefault="00BD634F" w:rsidP="006D5FBC">
            <w:pPr>
              <w:widowControl w:val="0"/>
              <w:tabs>
                <w:tab w:val="left" w:pos="-31680"/>
              </w:tabs>
              <w:rPr>
                <w:rFonts w:cs="Arial"/>
                <w:kern w:val="28"/>
                <w:lang w:eastAsia="en-ZW"/>
              </w:rPr>
            </w:pPr>
            <w:r w:rsidRPr="00B40EBB">
              <w:rPr>
                <w:rFonts w:cs="Arial"/>
                <w:kern w:val="28"/>
                <w:lang w:eastAsia="en-ZW"/>
              </w:rPr>
              <w:t>Les droits d</w:t>
            </w:r>
            <w:r>
              <w:rPr>
                <w:rFonts w:cs="Arial"/>
                <w:kern w:val="28"/>
                <w:lang w:eastAsia="en-ZW"/>
              </w:rPr>
              <w:t>’</w:t>
            </w:r>
            <w:r w:rsidRPr="00B40EBB">
              <w:rPr>
                <w:rFonts w:cs="Arial"/>
                <w:kern w:val="28"/>
                <w:lang w:eastAsia="en-ZW"/>
              </w:rPr>
              <w:t>obtenteur régionaux auront un effet uniforme sur les territoires des États contractants et ils ne peuvent être octroyés, transférés ou prendre fin pour ce qui est des territoires susmentionnés que sur une base uniforme</w:t>
            </w:r>
            <w:r w:rsidRPr="00CB2809">
              <w:rPr>
                <w:rFonts w:cs="Arial"/>
                <w:kern w:val="28"/>
                <w:lang w:eastAsia="en-ZW"/>
              </w:rPr>
              <w:t>.</w:t>
            </w:r>
          </w:p>
        </w:tc>
        <w:tc>
          <w:tcPr>
            <w:tcW w:w="3740" w:type="dxa"/>
            <w:tcBorders>
              <w:top w:val="single" w:sz="4" w:space="0" w:color="auto"/>
              <w:left w:val="single" w:sz="4" w:space="0" w:color="auto"/>
              <w:bottom w:val="single" w:sz="4" w:space="0" w:color="auto"/>
              <w:right w:val="single" w:sz="4" w:space="0" w:color="auto"/>
            </w:tcBorders>
          </w:tcPr>
          <w:p w:rsidR="00BD634F" w:rsidRPr="00CB2809" w:rsidRDefault="00BD634F" w:rsidP="006D5FBC">
            <w:pPr>
              <w:jc w:val="center"/>
              <w:rPr>
                <w:rFonts w:cs="Arial"/>
                <w:b/>
              </w:rPr>
            </w:pPr>
            <w:r w:rsidRPr="00CB2809">
              <w:rPr>
                <w:rFonts w:cs="Arial"/>
                <w:b/>
              </w:rPr>
              <w:t>Article</w:t>
            </w:r>
            <w:r>
              <w:rPr>
                <w:rFonts w:cs="Arial"/>
                <w:b/>
              </w:rPr>
              <w:t> </w:t>
            </w:r>
            <w:r w:rsidRPr="00CB2809">
              <w:rPr>
                <w:rFonts w:cs="Arial"/>
                <w:b/>
              </w:rPr>
              <w:t>37</w:t>
            </w:r>
          </w:p>
          <w:p w:rsidR="00BD634F" w:rsidRPr="00CB2809" w:rsidRDefault="00BD634F" w:rsidP="006D5FBC">
            <w:pPr>
              <w:jc w:val="center"/>
              <w:rPr>
                <w:rFonts w:cs="Arial"/>
                <w:b/>
              </w:rPr>
            </w:pPr>
            <w:r w:rsidRPr="00B40EBB">
              <w:rPr>
                <w:rFonts w:cs="Arial"/>
                <w:b/>
              </w:rPr>
              <w:t>Effet uniforme des droits d</w:t>
            </w:r>
            <w:r>
              <w:rPr>
                <w:rFonts w:cs="Arial"/>
                <w:b/>
              </w:rPr>
              <w:t>’</w:t>
            </w:r>
            <w:r w:rsidRPr="00B40EBB">
              <w:rPr>
                <w:rFonts w:cs="Arial"/>
                <w:b/>
              </w:rPr>
              <w:t>obtenteur régionaux</w:t>
            </w:r>
          </w:p>
          <w:p w:rsidR="00BD634F" w:rsidRPr="00CB2809" w:rsidRDefault="00BD634F" w:rsidP="006D5FBC">
            <w:pPr>
              <w:rPr>
                <w:rFonts w:cs="Arial"/>
              </w:rPr>
            </w:pPr>
          </w:p>
          <w:p w:rsidR="00BD634F" w:rsidRPr="00CB2809" w:rsidRDefault="00BD634F" w:rsidP="006D5FBC">
            <w:pPr>
              <w:rPr>
                <w:rFonts w:cs="Arial"/>
              </w:rPr>
            </w:pPr>
          </w:p>
          <w:p w:rsidR="00BD634F" w:rsidRPr="00CB2809" w:rsidRDefault="00BD634F" w:rsidP="006D5FBC">
            <w:pPr>
              <w:widowControl w:val="0"/>
              <w:tabs>
                <w:tab w:val="left" w:pos="-31680"/>
              </w:tabs>
              <w:rPr>
                <w:rFonts w:cs="Arial"/>
              </w:rPr>
            </w:pPr>
            <w:r w:rsidRPr="00342BAA">
              <w:rPr>
                <w:rFonts w:cs="Arial"/>
                <w:kern w:val="28"/>
                <w:lang w:eastAsia="en-ZW"/>
              </w:rPr>
              <w:t>Les droits d</w:t>
            </w:r>
            <w:r>
              <w:rPr>
                <w:rFonts w:cs="Arial"/>
                <w:kern w:val="28"/>
                <w:lang w:eastAsia="en-ZW"/>
              </w:rPr>
              <w:t>’</w:t>
            </w:r>
            <w:r w:rsidRPr="00342BAA">
              <w:rPr>
                <w:rFonts w:cs="Arial"/>
                <w:kern w:val="28"/>
                <w:lang w:eastAsia="en-ZW"/>
              </w:rPr>
              <w:t xml:space="preserve">obtenteur auront un effet uniforme sur les territoires des États contractants </w:t>
            </w:r>
            <w:r>
              <w:rPr>
                <w:rFonts w:cs="Arial"/>
                <w:kern w:val="28"/>
                <w:lang w:eastAsia="en-ZW"/>
              </w:rPr>
              <w:t>désignés pour lesquels les droits d’obtenteur ont été octroyés</w:t>
            </w:r>
            <w:r w:rsidRPr="00CB2809">
              <w:rPr>
                <w:rFonts w:cs="Arial"/>
                <w:kern w:val="28"/>
                <w:lang w:eastAsia="en-ZW"/>
              </w:rPr>
              <w:t xml:space="preserve">.  </w:t>
            </w:r>
          </w:p>
        </w:tc>
      </w:tr>
      <w:tr w:rsidR="00BD634F" w:rsidRPr="00497366" w:rsidTr="006D5FBC">
        <w:trPr>
          <w:cantSplit/>
        </w:trPr>
        <w:tc>
          <w:tcPr>
            <w:tcW w:w="2159" w:type="dxa"/>
            <w:tcBorders>
              <w:top w:val="single" w:sz="4" w:space="0" w:color="auto"/>
              <w:left w:val="single" w:sz="4" w:space="0" w:color="auto"/>
              <w:bottom w:val="single" w:sz="4" w:space="0" w:color="auto"/>
              <w:right w:val="single" w:sz="4" w:space="0" w:color="auto"/>
            </w:tcBorders>
          </w:tcPr>
          <w:p w:rsidR="00BD634F" w:rsidRDefault="00BD634F" w:rsidP="006D5FBC">
            <w:pPr>
              <w:jc w:val="center"/>
              <w:rPr>
                <w:rFonts w:cs="Arial"/>
                <w:b/>
              </w:rPr>
            </w:pPr>
            <w:r w:rsidRPr="00CB2809">
              <w:rPr>
                <w:rFonts w:cs="Arial"/>
                <w:b/>
              </w:rPr>
              <w:t>Article</w:t>
            </w:r>
            <w:r>
              <w:rPr>
                <w:rFonts w:cs="Arial"/>
                <w:b/>
              </w:rPr>
              <w:t> </w:t>
            </w:r>
            <w:r w:rsidRPr="00CB2809">
              <w:rPr>
                <w:rFonts w:cs="Arial"/>
                <w:b/>
              </w:rPr>
              <w:t>38</w:t>
            </w:r>
          </w:p>
          <w:p w:rsidR="00BD634F" w:rsidRDefault="00BD634F" w:rsidP="006D5FBC">
            <w:pPr>
              <w:jc w:val="center"/>
              <w:rPr>
                <w:rFonts w:cs="Arial"/>
                <w:b/>
              </w:rPr>
            </w:pPr>
            <w:r>
              <w:rPr>
                <w:rFonts w:cs="Arial"/>
                <w:b/>
              </w:rPr>
              <w:t>D</w:t>
            </w:r>
            <w:r w:rsidRPr="003A6FE3">
              <w:rPr>
                <w:rFonts w:cs="Arial"/>
                <w:b/>
              </w:rPr>
              <w:t>roits d</w:t>
            </w:r>
            <w:r>
              <w:rPr>
                <w:rFonts w:cs="Arial"/>
                <w:b/>
              </w:rPr>
              <w:t>’</w:t>
            </w:r>
            <w:r w:rsidRPr="003A6FE3">
              <w:rPr>
                <w:rFonts w:cs="Arial"/>
                <w:b/>
              </w:rPr>
              <w:t>obtenteur au niveau national</w:t>
            </w:r>
          </w:p>
          <w:p w:rsidR="00BD634F" w:rsidRPr="00CB2809" w:rsidRDefault="00BD634F" w:rsidP="006D5FBC">
            <w:pPr>
              <w:jc w:val="center"/>
              <w:rPr>
                <w:rFonts w:cs="Arial"/>
                <w:b/>
              </w:rPr>
            </w:pPr>
          </w:p>
        </w:tc>
        <w:tc>
          <w:tcPr>
            <w:tcW w:w="3740" w:type="dxa"/>
            <w:tcBorders>
              <w:top w:val="single" w:sz="4" w:space="0" w:color="auto"/>
              <w:left w:val="single" w:sz="4" w:space="0" w:color="auto"/>
              <w:bottom w:val="single" w:sz="4" w:space="0" w:color="auto"/>
              <w:right w:val="single" w:sz="4" w:space="0" w:color="auto"/>
            </w:tcBorders>
          </w:tcPr>
          <w:p w:rsidR="00BD634F" w:rsidRDefault="00BD634F" w:rsidP="006D5FBC">
            <w:pPr>
              <w:jc w:val="center"/>
              <w:rPr>
                <w:rFonts w:cs="Arial"/>
                <w:b/>
              </w:rPr>
            </w:pPr>
            <w:r w:rsidRPr="00CB2809">
              <w:rPr>
                <w:rFonts w:cs="Arial"/>
                <w:b/>
              </w:rPr>
              <w:t>Article</w:t>
            </w:r>
            <w:r>
              <w:rPr>
                <w:rFonts w:cs="Arial"/>
                <w:b/>
              </w:rPr>
              <w:t> </w:t>
            </w:r>
            <w:r w:rsidRPr="00CB2809">
              <w:rPr>
                <w:rFonts w:cs="Arial"/>
                <w:b/>
              </w:rPr>
              <w:t>38</w:t>
            </w:r>
          </w:p>
          <w:p w:rsidR="00BD634F" w:rsidRPr="00CB2809" w:rsidRDefault="00BD634F" w:rsidP="006D5FBC">
            <w:pPr>
              <w:jc w:val="center"/>
              <w:rPr>
                <w:rFonts w:cs="Arial"/>
                <w:b/>
              </w:rPr>
            </w:pPr>
            <w:r w:rsidRPr="003A6FE3">
              <w:rPr>
                <w:rFonts w:cs="Arial"/>
                <w:b/>
              </w:rPr>
              <w:t>Droits d</w:t>
            </w:r>
            <w:r>
              <w:rPr>
                <w:rFonts w:cs="Arial"/>
                <w:b/>
              </w:rPr>
              <w:t>’</w:t>
            </w:r>
            <w:r w:rsidRPr="003A6FE3">
              <w:rPr>
                <w:rFonts w:cs="Arial"/>
                <w:b/>
              </w:rPr>
              <w:t xml:space="preserve">obtenteur au niveau </w:t>
            </w:r>
            <w:r>
              <w:rPr>
                <w:rFonts w:cs="Arial"/>
                <w:b/>
              </w:rPr>
              <w:t>nation</w:t>
            </w:r>
          </w:p>
          <w:p w:rsidR="00BD634F" w:rsidRDefault="00BD634F" w:rsidP="006D5FBC">
            <w:pPr>
              <w:jc w:val="center"/>
              <w:rPr>
                <w:rFonts w:cs="Arial"/>
                <w:b/>
              </w:rPr>
            </w:pPr>
          </w:p>
          <w:p w:rsidR="00BD634F" w:rsidRPr="00CB2809" w:rsidRDefault="00BD634F" w:rsidP="006D5FBC">
            <w:pPr>
              <w:rPr>
                <w:rFonts w:cs="Arial"/>
              </w:rPr>
            </w:pPr>
            <w:r>
              <w:rPr>
                <w:rFonts w:cs="Arial"/>
              </w:rPr>
              <w:t>Le présent protocole s’applique sans préjudice du droit des États contractants d’octroyer un droit d’obtenteur au niveau national, conformément aux dispositions de l’article </w:t>
            </w:r>
            <w:r w:rsidRPr="00CB2809">
              <w:rPr>
                <w:rFonts w:cs="Arial"/>
              </w:rPr>
              <w:t xml:space="preserve">39. </w:t>
            </w:r>
            <w:r>
              <w:rPr>
                <w:rFonts w:cs="Arial"/>
              </w:rPr>
              <w:t xml:space="preserve"> </w:t>
            </w:r>
          </w:p>
        </w:tc>
        <w:tc>
          <w:tcPr>
            <w:tcW w:w="3740" w:type="dxa"/>
            <w:tcBorders>
              <w:top w:val="single" w:sz="4" w:space="0" w:color="auto"/>
              <w:left w:val="single" w:sz="4" w:space="0" w:color="auto"/>
              <w:bottom w:val="single" w:sz="4" w:space="0" w:color="auto"/>
              <w:right w:val="single" w:sz="4" w:space="0" w:color="auto"/>
            </w:tcBorders>
          </w:tcPr>
          <w:p w:rsidR="00BD634F" w:rsidRDefault="00BD634F" w:rsidP="006D5FBC">
            <w:pPr>
              <w:jc w:val="center"/>
              <w:rPr>
                <w:rFonts w:cs="Arial"/>
                <w:b/>
              </w:rPr>
            </w:pPr>
            <w:r w:rsidRPr="00CB2809">
              <w:rPr>
                <w:rFonts w:cs="Arial"/>
                <w:b/>
              </w:rPr>
              <w:t>Article</w:t>
            </w:r>
            <w:r>
              <w:rPr>
                <w:rFonts w:cs="Arial"/>
                <w:b/>
              </w:rPr>
              <w:t> </w:t>
            </w:r>
            <w:r w:rsidRPr="00CB2809">
              <w:rPr>
                <w:rFonts w:cs="Arial"/>
                <w:b/>
              </w:rPr>
              <w:t>38</w:t>
            </w:r>
          </w:p>
          <w:p w:rsidR="00BD634F" w:rsidRDefault="00BD634F" w:rsidP="006D5FBC">
            <w:pPr>
              <w:jc w:val="center"/>
              <w:rPr>
                <w:rFonts w:cs="Arial"/>
                <w:b/>
              </w:rPr>
            </w:pPr>
            <w:r w:rsidRPr="003A6FE3">
              <w:rPr>
                <w:rFonts w:cs="Arial"/>
                <w:b/>
              </w:rPr>
              <w:t>Droits d</w:t>
            </w:r>
            <w:r>
              <w:rPr>
                <w:rFonts w:cs="Arial"/>
                <w:b/>
              </w:rPr>
              <w:t>’</w:t>
            </w:r>
            <w:r w:rsidRPr="003A6FE3">
              <w:rPr>
                <w:rFonts w:cs="Arial"/>
                <w:b/>
              </w:rPr>
              <w:t>obtenteur au niveau nationa</w:t>
            </w:r>
            <w:r>
              <w:rPr>
                <w:rFonts w:cs="Arial"/>
                <w:b/>
              </w:rPr>
              <w:t>l</w:t>
            </w:r>
          </w:p>
          <w:p w:rsidR="00BD634F" w:rsidRPr="00CB2809" w:rsidRDefault="00BD634F" w:rsidP="006D5FBC">
            <w:pPr>
              <w:jc w:val="center"/>
              <w:rPr>
                <w:rFonts w:cs="Arial"/>
                <w:b/>
              </w:rPr>
            </w:pPr>
          </w:p>
          <w:p w:rsidR="00BD634F" w:rsidRPr="00CB2809" w:rsidRDefault="00BD634F" w:rsidP="006D5FBC">
            <w:pPr>
              <w:rPr>
                <w:rFonts w:cs="Arial"/>
              </w:rPr>
            </w:pPr>
            <w:r w:rsidRPr="00C25C8F">
              <w:rPr>
                <w:rFonts w:cs="Arial"/>
              </w:rPr>
              <w:t>Le présent protocole s</w:t>
            </w:r>
            <w:r>
              <w:rPr>
                <w:rFonts w:cs="Arial"/>
              </w:rPr>
              <w:t>’</w:t>
            </w:r>
            <w:r w:rsidRPr="00C25C8F">
              <w:rPr>
                <w:rFonts w:cs="Arial"/>
              </w:rPr>
              <w:t>applique sans préjudice du droit des États contractants d</w:t>
            </w:r>
            <w:r>
              <w:rPr>
                <w:rFonts w:cs="Arial"/>
              </w:rPr>
              <w:t>’</w:t>
            </w:r>
            <w:r w:rsidRPr="00C25C8F">
              <w:rPr>
                <w:rFonts w:cs="Arial"/>
              </w:rPr>
              <w:t>octroyer un droit d</w:t>
            </w:r>
            <w:r>
              <w:rPr>
                <w:rFonts w:cs="Arial"/>
              </w:rPr>
              <w:t>’</w:t>
            </w:r>
            <w:r w:rsidRPr="00C25C8F">
              <w:rPr>
                <w:rFonts w:cs="Arial"/>
              </w:rPr>
              <w:t>obtenteur au niveau national</w:t>
            </w:r>
            <w:r w:rsidRPr="00CB2809">
              <w:rPr>
                <w:rFonts w:cs="Arial"/>
              </w:rPr>
              <w:t xml:space="preserve">. </w:t>
            </w:r>
            <w:r>
              <w:rPr>
                <w:rFonts w:cs="Arial"/>
              </w:rPr>
              <w:t xml:space="preserve"> </w:t>
            </w:r>
          </w:p>
        </w:tc>
      </w:tr>
      <w:tr w:rsidR="00BD634F" w:rsidRPr="00497366" w:rsidTr="006D5FBC">
        <w:trPr>
          <w:cantSplit/>
        </w:trPr>
        <w:tc>
          <w:tcPr>
            <w:tcW w:w="2159" w:type="dxa"/>
            <w:tcBorders>
              <w:top w:val="single" w:sz="4" w:space="0" w:color="auto"/>
              <w:left w:val="single" w:sz="4" w:space="0" w:color="auto"/>
              <w:bottom w:val="single" w:sz="4" w:space="0" w:color="auto"/>
              <w:right w:val="single" w:sz="4" w:space="0" w:color="auto"/>
            </w:tcBorders>
          </w:tcPr>
          <w:p w:rsidR="00BD634F" w:rsidRPr="00CB2809" w:rsidRDefault="00BD634F" w:rsidP="006D5FBC">
            <w:pPr>
              <w:jc w:val="center"/>
              <w:rPr>
                <w:rFonts w:cs="Arial"/>
                <w:b/>
              </w:rPr>
            </w:pPr>
            <w:r w:rsidRPr="00CB2809">
              <w:rPr>
                <w:rFonts w:cs="Arial"/>
                <w:b/>
              </w:rPr>
              <w:t>Article</w:t>
            </w:r>
            <w:r>
              <w:rPr>
                <w:rFonts w:cs="Arial"/>
                <w:b/>
              </w:rPr>
              <w:t> </w:t>
            </w:r>
            <w:r w:rsidRPr="00CB2809">
              <w:rPr>
                <w:rFonts w:cs="Arial"/>
                <w:b/>
              </w:rPr>
              <w:t>39</w:t>
            </w:r>
          </w:p>
          <w:p w:rsidR="00BD634F" w:rsidRPr="00CB2809" w:rsidRDefault="00BD634F" w:rsidP="006D5FBC">
            <w:pPr>
              <w:jc w:val="center"/>
              <w:rPr>
                <w:rFonts w:cs="Arial"/>
                <w:b/>
              </w:rPr>
            </w:pPr>
            <w:r w:rsidRPr="0071747F">
              <w:rPr>
                <w:rFonts w:cs="Arial"/>
                <w:b/>
              </w:rPr>
              <w:t>Interdiction des protections cumulées</w:t>
            </w:r>
          </w:p>
          <w:p w:rsidR="00BD634F" w:rsidRPr="00CB2809" w:rsidRDefault="00BD634F" w:rsidP="006D5FBC">
            <w:pPr>
              <w:jc w:val="center"/>
              <w:rPr>
                <w:rFonts w:cs="Arial"/>
                <w:b/>
              </w:rPr>
            </w:pPr>
          </w:p>
          <w:p w:rsidR="00BD634F" w:rsidRDefault="00BD634F" w:rsidP="006D5FBC">
            <w:pPr>
              <w:widowControl w:val="0"/>
              <w:rPr>
                <w:rFonts w:cs="Arial"/>
                <w:kern w:val="28"/>
                <w:lang w:eastAsia="en-ZW"/>
              </w:rPr>
            </w:pPr>
          </w:p>
          <w:p w:rsidR="00BD634F" w:rsidRPr="00CB2809" w:rsidRDefault="00BD634F" w:rsidP="006D5FBC">
            <w:pPr>
              <w:jc w:val="center"/>
              <w:rPr>
                <w:rFonts w:cs="Arial"/>
              </w:rPr>
            </w:pPr>
          </w:p>
        </w:tc>
        <w:tc>
          <w:tcPr>
            <w:tcW w:w="3740" w:type="dxa"/>
            <w:tcBorders>
              <w:top w:val="single" w:sz="4" w:space="0" w:color="auto"/>
              <w:left w:val="single" w:sz="4" w:space="0" w:color="auto"/>
              <w:bottom w:val="single" w:sz="4" w:space="0" w:color="auto"/>
              <w:right w:val="single" w:sz="4" w:space="0" w:color="auto"/>
            </w:tcBorders>
          </w:tcPr>
          <w:p w:rsidR="00BD634F" w:rsidRPr="00CB2809" w:rsidRDefault="00BD634F" w:rsidP="006D5FBC">
            <w:pPr>
              <w:jc w:val="center"/>
              <w:rPr>
                <w:rFonts w:cs="Arial"/>
                <w:b/>
              </w:rPr>
            </w:pPr>
            <w:r w:rsidRPr="00CB2809">
              <w:rPr>
                <w:rFonts w:cs="Arial"/>
                <w:b/>
              </w:rPr>
              <w:t>Article</w:t>
            </w:r>
            <w:r>
              <w:rPr>
                <w:rFonts w:cs="Arial"/>
                <w:b/>
              </w:rPr>
              <w:t> </w:t>
            </w:r>
            <w:r w:rsidRPr="00CB2809">
              <w:rPr>
                <w:rFonts w:cs="Arial"/>
                <w:b/>
              </w:rPr>
              <w:t>39</w:t>
            </w:r>
          </w:p>
          <w:p w:rsidR="00BD634F" w:rsidRPr="00CB2809" w:rsidRDefault="00BD634F" w:rsidP="006D5FBC">
            <w:pPr>
              <w:jc w:val="center"/>
              <w:rPr>
                <w:rFonts w:cs="Arial"/>
                <w:b/>
              </w:rPr>
            </w:pPr>
            <w:r w:rsidRPr="0071747F">
              <w:rPr>
                <w:rFonts w:cs="Arial"/>
                <w:b/>
              </w:rPr>
              <w:t>Interdiction des protections cumulées</w:t>
            </w:r>
          </w:p>
          <w:p w:rsidR="00BD634F" w:rsidRPr="00CB2809" w:rsidRDefault="00BD634F" w:rsidP="006D5FBC">
            <w:pPr>
              <w:jc w:val="center"/>
              <w:rPr>
                <w:rFonts w:cs="Arial"/>
                <w:b/>
              </w:rPr>
            </w:pPr>
          </w:p>
          <w:p w:rsidR="00BD634F" w:rsidRPr="00CB2809" w:rsidRDefault="00BD634F" w:rsidP="006D5FBC">
            <w:pPr>
              <w:widowControl w:val="0"/>
              <w:tabs>
                <w:tab w:val="left" w:pos="-31680"/>
              </w:tabs>
              <w:rPr>
                <w:rFonts w:cs="Arial"/>
                <w:kern w:val="28"/>
                <w:lang w:eastAsia="en-ZW"/>
              </w:rPr>
            </w:pPr>
            <w:r w:rsidRPr="003367AF">
              <w:rPr>
                <w:rFonts w:cs="Arial"/>
                <w:kern w:val="28"/>
                <w:lang w:eastAsia="en-ZW"/>
              </w:rPr>
              <w:t>Si, préalablement à l</w:t>
            </w:r>
            <w:r>
              <w:rPr>
                <w:rFonts w:cs="Arial"/>
                <w:kern w:val="28"/>
                <w:lang w:eastAsia="en-ZW"/>
              </w:rPr>
              <w:t>’</w:t>
            </w:r>
            <w:r w:rsidRPr="003367AF">
              <w:rPr>
                <w:rFonts w:cs="Arial"/>
                <w:kern w:val="28"/>
                <w:lang w:eastAsia="en-ZW"/>
              </w:rPr>
              <w:t>octroi d</w:t>
            </w:r>
            <w:r>
              <w:rPr>
                <w:rFonts w:cs="Arial"/>
                <w:kern w:val="28"/>
                <w:lang w:eastAsia="en-ZW"/>
              </w:rPr>
              <w:t>’un droit d’obtenteur régional</w:t>
            </w:r>
            <w:r w:rsidRPr="003367AF">
              <w:rPr>
                <w:rFonts w:cs="Arial"/>
                <w:kern w:val="28"/>
                <w:lang w:eastAsia="en-ZW"/>
              </w:rPr>
              <w:t>, le titulaire s</w:t>
            </w:r>
            <w:r>
              <w:rPr>
                <w:rFonts w:cs="Arial"/>
                <w:kern w:val="28"/>
                <w:lang w:eastAsia="en-ZW"/>
              </w:rPr>
              <w:t>’</w:t>
            </w:r>
            <w:r w:rsidRPr="003367AF">
              <w:rPr>
                <w:rFonts w:cs="Arial"/>
                <w:kern w:val="28"/>
                <w:lang w:eastAsia="en-ZW"/>
              </w:rPr>
              <w:t>est vu accorder un autre titre de protection pour la même variété, il ne peut invoquer les droits conférés par cette protection pour cette variété aussi longtemps que l</w:t>
            </w:r>
            <w:r>
              <w:rPr>
                <w:rFonts w:cs="Arial"/>
                <w:kern w:val="28"/>
                <w:lang w:eastAsia="en-ZW"/>
              </w:rPr>
              <w:t xml:space="preserve">e droit </w:t>
            </w:r>
            <w:r w:rsidRPr="003367AF">
              <w:rPr>
                <w:rFonts w:cs="Arial"/>
                <w:kern w:val="28"/>
                <w:lang w:eastAsia="en-ZW"/>
              </w:rPr>
              <w:t>est maintenu en vigueur</w:t>
            </w:r>
            <w:r w:rsidRPr="00CB2809">
              <w:rPr>
                <w:rFonts w:cs="Arial"/>
                <w:kern w:val="28"/>
                <w:lang w:eastAsia="en-ZW"/>
              </w:rPr>
              <w:t>.</w:t>
            </w:r>
          </w:p>
        </w:tc>
        <w:tc>
          <w:tcPr>
            <w:tcW w:w="3740" w:type="dxa"/>
            <w:tcBorders>
              <w:top w:val="single" w:sz="4" w:space="0" w:color="auto"/>
              <w:left w:val="single" w:sz="4" w:space="0" w:color="auto"/>
              <w:bottom w:val="single" w:sz="4" w:space="0" w:color="auto"/>
              <w:right w:val="single" w:sz="4" w:space="0" w:color="auto"/>
            </w:tcBorders>
          </w:tcPr>
          <w:p w:rsidR="00BD634F" w:rsidRPr="00CB2809" w:rsidRDefault="00BD634F" w:rsidP="006D5FBC">
            <w:pPr>
              <w:jc w:val="center"/>
              <w:rPr>
                <w:rFonts w:cs="Arial"/>
                <w:b/>
              </w:rPr>
            </w:pPr>
            <w:r w:rsidRPr="00CB2809">
              <w:rPr>
                <w:rFonts w:cs="Arial"/>
                <w:b/>
              </w:rPr>
              <w:t>Article</w:t>
            </w:r>
            <w:r>
              <w:rPr>
                <w:rFonts w:cs="Arial"/>
                <w:b/>
              </w:rPr>
              <w:t> </w:t>
            </w:r>
            <w:r w:rsidRPr="00CB2809">
              <w:rPr>
                <w:rFonts w:cs="Arial"/>
                <w:b/>
              </w:rPr>
              <w:t>39</w:t>
            </w:r>
          </w:p>
          <w:p w:rsidR="00BD634F" w:rsidRPr="00CB2809" w:rsidRDefault="00BD634F" w:rsidP="006D5FBC">
            <w:pPr>
              <w:jc w:val="center"/>
              <w:rPr>
                <w:rFonts w:cs="Arial"/>
                <w:b/>
              </w:rPr>
            </w:pPr>
            <w:r w:rsidRPr="0071747F">
              <w:rPr>
                <w:rFonts w:cs="Arial"/>
                <w:b/>
              </w:rPr>
              <w:t>Interdiction des protections cumulées</w:t>
            </w:r>
          </w:p>
          <w:p w:rsidR="00BD634F" w:rsidRPr="00CB2809" w:rsidRDefault="00BD634F" w:rsidP="006D5FBC">
            <w:pPr>
              <w:rPr>
                <w:rFonts w:cs="Arial"/>
                <w:b/>
              </w:rPr>
            </w:pPr>
          </w:p>
          <w:p w:rsidR="00BD634F" w:rsidRPr="00CB2809" w:rsidRDefault="00BD634F" w:rsidP="006D5FBC">
            <w:pPr>
              <w:widowControl w:val="0"/>
              <w:tabs>
                <w:tab w:val="left" w:pos="-31680"/>
              </w:tabs>
              <w:rPr>
                <w:rFonts w:cs="Arial"/>
                <w:i/>
                <w:strike/>
                <w:kern w:val="28"/>
                <w:lang w:eastAsia="en-ZW"/>
              </w:rPr>
            </w:pPr>
            <w:r w:rsidRPr="00CB2809">
              <w:rPr>
                <w:rFonts w:cs="Arial"/>
                <w:b/>
                <w:i/>
              </w:rPr>
              <w:t xml:space="preserve">Article </w:t>
            </w:r>
            <w:r>
              <w:rPr>
                <w:rFonts w:cs="Arial"/>
                <w:b/>
                <w:i/>
              </w:rPr>
              <w:t>supprimé</w:t>
            </w:r>
          </w:p>
          <w:p w:rsidR="00BD634F" w:rsidRDefault="00BD634F" w:rsidP="006D5FBC">
            <w:pPr>
              <w:widowControl w:val="0"/>
              <w:rPr>
                <w:rFonts w:cs="Arial"/>
                <w:kern w:val="28"/>
                <w:lang w:eastAsia="en-ZW"/>
              </w:rPr>
            </w:pPr>
          </w:p>
          <w:p w:rsidR="00BD634F" w:rsidRPr="00CB2809" w:rsidRDefault="00BD634F" w:rsidP="006D5FBC">
            <w:pPr>
              <w:rPr>
                <w:rFonts w:cs="Arial"/>
              </w:rPr>
            </w:pPr>
          </w:p>
        </w:tc>
      </w:tr>
      <w:tr w:rsidR="00BD634F" w:rsidRPr="00497366" w:rsidTr="006D5FBC">
        <w:trPr>
          <w:cantSplit/>
        </w:trPr>
        <w:tc>
          <w:tcPr>
            <w:tcW w:w="2159" w:type="dxa"/>
            <w:tcBorders>
              <w:top w:val="single" w:sz="4" w:space="0" w:color="auto"/>
              <w:left w:val="single" w:sz="4" w:space="0" w:color="auto"/>
              <w:bottom w:val="single" w:sz="4" w:space="0" w:color="auto"/>
              <w:right w:val="single" w:sz="4" w:space="0" w:color="auto"/>
            </w:tcBorders>
          </w:tcPr>
          <w:p w:rsidR="00BD634F" w:rsidRPr="00CB2809" w:rsidRDefault="00BD634F" w:rsidP="006D5FBC">
            <w:pPr>
              <w:jc w:val="center"/>
              <w:rPr>
                <w:rFonts w:cs="Arial"/>
                <w:b/>
              </w:rPr>
            </w:pPr>
            <w:r w:rsidRPr="00CB2809">
              <w:rPr>
                <w:rFonts w:cs="Arial"/>
                <w:b/>
              </w:rPr>
              <w:t>Article</w:t>
            </w:r>
            <w:r>
              <w:rPr>
                <w:rFonts w:cs="Arial"/>
                <w:b/>
              </w:rPr>
              <w:t> </w:t>
            </w:r>
            <w:r w:rsidRPr="00CB2809">
              <w:rPr>
                <w:rFonts w:cs="Arial"/>
                <w:b/>
              </w:rPr>
              <w:t>40</w:t>
            </w:r>
          </w:p>
          <w:p w:rsidR="00BD634F" w:rsidRPr="00CB2809" w:rsidRDefault="00BD634F" w:rsidP="006D5FBC">
            <w:pPr>
              <w:jc w:val="center"/>
              <w:rPr>
                <w:rFonts w:cs="Arial"/>
                <w:b/>
              </w:rPr>
            </w:pPr>
            <w:r w:rsidRPr="00CB2809">
              <w:rPr>
                <w:rFonts w:cs="Arial"/>
                <w:b/>
              </w:rPr>
              <w:t>Entr</w:t>
            </w:r>
            <w:r>
              <w:rPr>
                <w:rFonts w:cs="Arial"/>
                <w:b/>
              </w:rPr>
              <w:t>ée en</w:t>
            </w:r>
            <w:r w:rsidRPr="00CB2809">
              <w:rPr>
                <w:rFonts w:cs="Arial"/>
                <w:b/>
              </w:rPr>
              <w:t xml:space="preserve"> </w:t>
            </w:r>
            <w:r>
              <w:rPr>
                <w:rFonts w:cs="Arial"/>
                <w:b/>
              </w:rPr>
              <w:t>vigueur</w:t>
            </w:r>
          </w:p>
          <w:p w:rsidR="00BD634F" w:rsidRPr="00CB2809" w:rsidRDefault="00BD634F" w:rsidP="006D5FBC">
            <w:pPr>
              <w:rPr>
                <w:rFonts w:cs="Arial"/>
              </w:rPr>
            </w:pPr>
          </w:p>
          <w:p w:rsidR="00BD634F" w:rsidRPr="00CB2809" w:rsidRDefault="00BD634F" w:rsidP="006D5FBC">
            <w:pPr>
              <w:rPr>
                <w:rFonts w:cs="Arial"/>
              </w:rPr>
            </w:pPr>
            <w:r w:rsidRPr="00CB2809">
              <w:rPr>
                <w:rFonts w:cs="Arial"/>
              </w:rPr>
              <w:t>3)</w:t>
            </w:r>
          </w:p>
        </w:tc>
        <w:tc>
          <w:tcPr>
            <w:tcW w:w="3740" w:type="dxa"/>
            <w:tcBorders>
              <w:top w:val="single" w:sz="4" w:space="0" w:color="auto"/>
              <w:left w:val="single" w:sz="4" w:space="0" w:color="auto"/>
              <w:bottom w:val="single" w:sz="4" w:space="0" w:color="auto"/>
              <w:right w:val="single" w:sz="4" w:space="0" w:color="auto"/>
            </w:tcBorders>
          </w:tcPr>
          <w:p w:rsidR="00BD634F" w:rsidRPr="00CB2809" w:rsidRDefault="00BD634F" w:rsidP="006D5FBC">
            <w:pPr>
              <w:jc w:val="center"/>
              <w:rPr>
                <w:rFonts w:cs="Arial"/>
                <w:b/>
              </w:rPr>
            </w:pPr>
            <w:r w:rsidRPr="00CB2809">
              <w:rPr>
                <w:rFonts w:cs="Arial"/>
                <w:b/>
              </w:rPr>
              <w:t>Article</w:t>
            </w:r>
            <w:r>
              <w:rPr>
                <w:rFonts w:cs="Arial"/>
                <w:b/>
              </w:rPr>
              <w:t> </w:t>
            </w:r>
            <w:r w:rsidRPr="00CB2809">
              <w:rPr>
                <w:rFonts w:cs="Arial"/>
                <w:b/>
              </w:rPr>
              <w:t>41</w:t>
            </w:r>
          </w:p>
          <w:p w:rsidR="00BD634F" w:rsidRPr="00CB2809" w:rsidRDefault="00BD634F" w:rsidP="006D5FBC">
            <w:pPr>
              <w:jc w:val="center"/>
              <w:rPr>
                <w:rFonts w:cs="Arial"/>
                <w:b/>
              </w:rPr>
            </w:pPr>
            <w:r w:rsidRPr="00AD0D2B">
              <w:rPr>
                <w:rFonts w:cs="Arial"/>
                <w:b/>
              </w:rPr>
              <w:t>Entrée en vigueur</w:t>
            </w:r>
          </w:p>
          <w:p w:rsidR="00BD634F" w:rsidRPr="00CB2809" w:rsidRDefault="00BD634F" w:rsidP="006D5FBC">
            <w:pPr>
              <w:rPr>
                <w:rFonts w:cs="Arial"/>
              </w:rPr>
            </w:pPr>
          </w:p>
          <w:p w:rsidR="00BD634F" w:rsidRPr="00CB2809" w:rsidRDefault="00BD634F" w:rsidP="006D5FBC">
            <w:pPr>
              <w:rPr>
                <w:rFonts w:cs="Arial"/>
              </w:rPr>
            </w:pPr>
            <w:r w:rsidRPr="00CB2809">
              <w:rPr>
                <w:rFonts w:cs="Arial"/>
              </w:rPr>
              <w:t xml:space="preserve">3) </w:t>
            </w:r>
            <w:r>
              <w:rPr>
                <w:rFonts w:cs="Arial"/>
              </w:rPr>
              <w:tab/>
            </w:r>
            <w:r w:rsidRPr="00AD0D2B">
              <w:rPr>
                <w:rFonts w:cs="Arial"/>
              </w:rPr>
              <w:t>Le présent protocole entrera en vigueur trois mois après que quatre États ont déposé leurs instruments de ratification ou d</w:t>
            </w:r>
            <w:r>
              <w:rPr>
                <w:rFonts w:cs="Arial"/>
              </w:rPr>
              <w:t>’</w:t>
            </w:r>
            <w:r w:rsidRPr="00AD0D2B">
              <w:rPr>
                <w:rFonts w:cs="Arial"/>
              </w:rPr>
              <w:t>adhésion</w:t>
            </w:r>
            <w:r w:rsidRPr="00CB2809">
              <w:rPr>
                <w:rFonts w:cs="Arial"/>
              </w:rPr>
              <w:t>.</w:t>
            </w:r>
          </w:p>
        </w:tc>
        <w:tc>
          <w:tcPr>
            <w:tcW w:w="3740" w:type="dxa"/>
            <w:tcBorders>
              <w:top w:val="single" w:sz="4" w:space="0" w:color="auto"/>
              <w:left w:val="single" w:sz="4" w:space="0" w:color="auto"/>
              <w:bottom w:val="single" w:sz="4" w:space="0" w:color="auto"/>
              <w:right w:val="single" w:sz="4" w:space="0" w:color="auto"/>
            </w:tcBorders>
          </w:tcPr>
          <w:p w:rsidR="00BD634F" w:rsidRPr="00CB2809" w:rsidRDefault="00BD634F" w:rsidP="006D5FBC">
            <w:pPr>
              <w:jc w:val="center"/>
              <w:rPr>
                <w:rFonts w:cs="Arial"/>
                <w:b/>
              </w:rPr>
            </w:pPr>
            <w:r w:rsidRPr="00CB2809">
              <w:rPr>
                <w:rFonts w:cs="Arial"/>
                <w:b/>
              </w:rPr>
              <w:t>Article</w:t>
            </w:r>
            <w:r>
              <w:rPr>
                <w:rFonts w:cs="Arial"/>
                <w:b/>
              </w:rPr>
              <w:t> </w:t>
            </w:r>
            <w:r w:rsidRPr="00CB2809">
              <w:rPr>
                <w:rFonts w:cs="Arial"/>
                <w:b/>
              </w:rPr>
              <w:t>40</w:t>
            </w:r>
          </w:p>
          <w:p w:rsidR="00BD634F" w:rsidRPr="00CB2809" w:rsidRDefault="00BD634F" w:rsidP="006D5FBC">
            <w:pPr>
              <w:jc w:val="center"/>
              <w:rPr>
                <w:rFonts w:cs="Arial"/>
                <w:b/>
              </w:rPr>
            </w:pPr>
            <w:r w:rsidRPr="00AD0D2B">
              <w:rPr>
                <w:rFonts w:cs="Arial"/>
                <w:b/>
              </w:rPr>
              <w:t>Entrée en vigueur</w:t>
            </w:r>
          </w:p>
          <w:p w:rsidR="00BD634F" w:rsidRPr="00CB2809" w:rsidRDefault="00BD634F" w:rsidP="006D5FBC">
            <w:pPr>
              <w:widowControl w:val="0"/>
              <w:rPr>
                <w:rFonts w:cs="Arial"/>
                <w:kern w:val="28"/>
                <w:lang w:eastAsia="en-ZW"/>
              </w:rPr>
            </w:pPr>
          </w:p>
          <w:p w:rsidR="00BD634F" w:rsidRPr="00CB2809" w:rsidRDefault="00BD634F" w:rsidP="006D5FBC">
            <w:pPr>
              <w:widowControl w:val="0"/>
              <w:rPr>
                <w:rFonts w:cs="Arial"/>
                <w:kern w:val="28"/>
                <w:lang w:eastAsia="en-ZW"/>
              </w:rPr>
            </w:pPr>
            <w:r w:rsidRPr="00CB2809">
              <w:rPr>
                <w:rFonts w:cs="Arial"/>
                <w:kern w:val="28"/>
                <w:lang w:eastAsia="en-ZW"/>
              </w:rPr>
              <w:t xml:space="preserve">3) </w:t>
            </w:r>
            <w:r>
              <w:rPr>
                <w:rFonts w:cs="Arial"/>
                <w:kern w:val="28"/>
                <w:lang w:eastAsia="en-ZW"/>
              </w:rPr>
              <w:tab/>
            </w:r>
            <w:r w:rsidRPr="00AD0D2B">
              <w:rPr>
                <w:rFonts w:cs="Arial"/>
                <w:kern w:val="28"/>
                <w:lang w:eastAsia="en-ZW"/>
              </w:rPr>
              <w:t xml:space="preserve">Le présent protocole entrera en vigueur </w:t>
            </w:r>
            <w:r>
              <w:rPr>
                <w:rFonts w:cs="Arial"/>
                <w:kern w:val="28"/>
                <w:lang w:eastAsia="en-ZW"/>
              </w:rPr>
              <w:t>12</w:t>
            </w:r>
            <w:r w:rsidRPr="00AD0D2B">
              <w:rPr>
                <w:rFonts w:cs="Arial"/>
                <w:kern w:val="28"/>
                <w:lang w:eastAsia="en-ZW"/>
              </w:rPr>
              <w:t> mois après que quatre États ont déposé leurs instruments de ratification ou d</w:t>
            </w:r>
            <w:r>
              <w:rPr>
                <w:rFonts w:cs="Arial"/>
                <w:kern w:val="28"/>
                <w:lang w:eastAsia="en-ZW"/>
              </w:rPr>
              <w:t>’</w:t>
            </w:r>
            <w:r w:rsidRPr="00AD0D2B">
              <w:rPr>
                <w:rFonts w:cs="Arial"/>
                <w:kern w:val="28"/>
                <w:lang w:eastAsia="en-ZW"/>
              </w:rPr>
              <w:t>adhésion</w:t>
            </w:r>
            <w:r w:rsidRPr="00CB2809">
              <w:rPr>
                <w:rFonts w:cs="Arial"/>
                <w:kern w:val="28"/>
                <w:lang w:eastAsia="en-ZW"/>
              </w:rPr>
              <w:t>.</w:t>
            </w:r>
          </w:p>
        </w:tc>
      </w:tr>
      <w:tr w:rsidR="00BD634F" w:rsidRPr="00497366" w:rsidTr="006D5FBC">
        <w:trPr>
          <w:cantSplit/>
        </w:trPr>
        <w:tc>
          <w:tcPr>
            <w:tcW w:w="2159" w:type="dxa"/>
            <w:tcBorders>
              <w:top w:val="single" w:sz="4" w:space="0" w:color="auto"/>
              <w:left w:val="single" w:sz="4" w:space="0" w:color="auto"/>
              <w:bottom w:val="single" w:sz="4" w:space="0" w:color="auto"/>
              <w:right w:val="single" w:sz="4" w:space="0" w:color="auto"/>
            </w:tcBorders>
            <w:hideMark/>
          </w:tcPr>
          <w:p w:rsidR="00BD634F" w:rsidRDefault="00BD634F" w:rsidP="006D5FBC">
            <w:pPr>
              <w:jc w:val="center"/>
              <w:rPr>
                <w:rFonts w:cs="Arial"/>
                <w:b/>
              </w:rPr>
            </w:pPr>
            <w:r w:rsidRPr="00CB2809">
              <w:rPr>
                <w:rFonts w:cs="Arial"/>
                <w:b/>
              </w:rPr>
              <w:t>Article</w:t>
            </w:r>
            <w:r>
              <w:rPr>
                <w:rFonts w:cs="Arial"/>
                <w:b/>
              </w:rPr>
              <w:t> </w:t>
            </w:r>
            <w:r w:rsidRPr="00CB2809">
              <w:rPr>
                <w:rFonts w:cs="Arial"/>
                <w:b/>
              </w:rPr>
              <w:t>42</w:t>
            </w:r>
          </w:p>
          <w:p w:rsidR="00BD634F" w:rsidRPr="00CB2809" w:rsidRDefault="00BD634F" w:rsidP="006D5FBC">
            <w:pPr>
              <w:jc w:val="center"/>
              <w:rPr>
                <w:rFonts w:cs="Arial"/>
                <w:b/>
              </w:rPr>
            </w:pPr>
            <w:r w:rsidRPr="005B3828">
              <w:rPr>
                <w:rFonts w:cs="Arial"/>
                <w:b/>
              </w:rPr>
              <w:t>Signature du protocole</w:t>
            </w:r>
          </w:p>
          <w:p w:rsidR="00BD634F" w:rsidRPr="00CB2809" w:rsidRDefault="00BD634F" w:rsidP="006D5FBC">
            <w:pPr>
              <w:rPr>
                <w:rFonts w:cs="Arial"/>
              </w:rPr>
            </w:pPr>
            <w:r w:rsidRPr="00CB2809">
              <w:rPr>
                <w:rFonts w:cs="Arial"/>
              </w:rPr>
              <w:t>1)</w:t>
            </w:r>
          </w:p>
        </w:tc>
        <w:tc>
          <w:tcPr>
            <w:tcW w:w="3740" w:type="dxa"/>
            <w:tcBorders>
              <w:top w:val="single" w:sz="4" w:space="0" w:color="auto"/>
              <w:left w:val="single" w:sz="4" w:space="0" w:color="auto"/>
              <w:bottom w:val="single" w:sz="4" w:space="0" w:color="auto"/>
              <w:right w:val="single" w:sz="4" w:space="0" w:color="auto"/>
            </w:tcBorders>
          </w:tcPr>
          <w:p w:rsidR="00BD634F" w:rsidRDefault="00BD634F" w:rsidP="006D5FBC">
            <w:pPr>
              <w:jc w:val="center"/>
              <w:rPr>
                <w:rFonts w:cs="Arial"/>
                <w:b/>
              </w:rPr>
            </w:pPr>
            <w:r w:rsidRPr="00CB2809">
              <w:rPr>
                <w:rFonts w:cs="Arial"/>
                <w:b/>
              </w:rPr>
              <w:t>Article</w:t>
            </w:r>
            <w:r>
              <w:rPr>
                <w:rFonts w:cs="Arial"/>
                <w:b/>
              </w:rPr>
              <w:t> </w:t>
            </w:r>
            <w:r w:rsidRPr="00CB2809">
              <w:rPr>
                <w:rFonts w:cs="Arial"/>
                <w:b/>
              </w:rPr>
              <w:t>43</w:t>
            </w:r>
          </w:p>
          <w:p w:rsidR="00BD634F" w:rsidRPr="00CB2809" w:rsidRDefault="00BD634F" w:rsidP="006D5FBC">
            <w:pPr>
              <w:jc w:val="center"/>
              <w:rPr>
                <w:rFonts w:cs="Arial"/>
                <w:b/>
              </w:rPr>
            </w:pPr>
            <w:r w:rsidRPr="005B3828">
              <w:rPr>
                <w:rFonts w:cs="Arial"/>
                <w:b/>
              </w:rPr>
              <w:t>Signature du protocole</w:t>
            </w:r>
          </w:p>
          <w:p w:rsidR="00BD634F" w:rsidRPr="00CB2809" w:rsidRDefault="00BD634F" w:rsidP="006D5FBC">
            <w:pPr>
              <w:jc w:val="center"/>
              <w:rPr>
                <w:rFonts w:cs="Arial"/>
                <w:b/>
              </w:rPr>
            </w:pPr>
          </w:p>
          <w:p w:rsidR="00BD634F" w:rsidRPr="00CB2809" w:rsidRDefault="00BD634F" w:rsidP="006D5FBC">
            <w:pPr>
              <w:rPr>
                <w:rFonts w:cs="Arial"/>
              </w:rPr>
            </w:pPr>
            <w:r w:rsidRPr="00CB2809">
              <w:rPr>
                <w:rFonts w:cs="Arial"/>
              </w:rPr>
              <w:t xml:space="preserve">1) </w:t>
            </w:r>
            <w:r>
              <w:rPr>
                <w:rFonts w:cs="Arial"/>
              </w:rPr>
              <w:tab/>
            </w:r>
            <w:r w:rsidRPr="005B3828">
              <w:rPr>
                <w:rFonts w:cs="Arial"/>
              </w:rPr>
              <w:t>Le présent protocole est signé en un seul exemplaire et déposé auprès du directeur général de l</w:t>
            </w:r>
            <w:r>
              <w:rPr>
                <w:rFonts w:cs="Arial"/>
              </w:rPr>
              <w:t>’</w:t>
            </w:r>
            <w:r w:rsidRPr="005B3828">
              <w:rPr>
                <w:rFonts w:cs="Arial"/>
              </w:rPr>
              <w:t>ARIPO</w:t>
            </w:r>
            <w:r w:rsidRPr="00CB2809">
              <w:rPr>
                <w:rFonts w:cs="Arial"/>
              </w:rPr>
              <w:t>.</w:t>
            </w:r>
          </w:p>
        </w:tc>
        <w:tc>
          <w:tcPr>
            <w:tcW w:w="3740" w:type="dxa"/>
            <w:tcBorders>
              <w:top w:val="single" w:sz="4" w:space="0" w:color="auto"/>
              <w:left w:val="single" w:sz="4" w:space="0" w:color="auto"/>
              <w:bottom w:val="single" w:sz="4" w:space="0" w:color="auto"/>
              <w:right w:val="single" w:sz="4" w:space="0" w:color="auto"/>
            </w:tcBorders>
          </w:tcPr>
          <w:p w:rsidR="00BD634F" w:rsidRDefault="00BD634F" w:rsidP="006D5FBC">
            <w:pPr>
              <w:jc w:val="center"/>
              <w:rPr>
                <w:rFonts w:cs="Arial"/>
                <w:b/>
              </w:rPr>
            </w:pPr>
            <w:r w:rsidRPr="00CB2809">
              <w:rPr>
                <w:rFonts w:cs="Arial"/>
                <w:b/>
              </w:rPr>
              <w:t>Article</w:t>
            </w:r>
            <w:r>
              <w:rPr>
                <w:rFonts w:cs="Arial"/>
                <w:b/>
              </w:rPr>
              <w:t> </w:t>
            </w:r>
            <w:r w:rsidRPr="00CB2809">
              <w:rPr>
                <w:rFonts w:cs="Arial"/>
                <w:b/>
              </w:rPr>
              <w:t>42</w:t>
            </w:r>
          </w:p>
          <w:p w:rsidR="00BD634F" w:rsidRPr="00CB2809" w:rsidRDefault="00BD634F" w:rsidP="006D5FBC">
            <w:pPr>
              <w:jc w:val="center"/>
              <w:rPr>
                <w:rFonts w:cs="Arial"/>
                <w:b/>
              </w:rPr>
            </w:pPr>
            <w:r w:rsidRPr="005B3828">
              <w:rPr>
                <w:rFonts w:cs="Arial"/>
                <w:b/>
              </w:rPr>
              <w:t>Signature du protocole</w:t>
            </w:r>
          </w:p>
          <w:p w:rsidR="00BD634F" w:rsidRPr="00CB2809" w:rsidRDefault="00BD634F" w:rsidP="006D5FBC">
            <w:pPr>
              <w:jc w:val="center"/>
              <w:rPr>
                <w:rFonts w:cs="Arial"/>
                <w:b/>
              </w:rPr>
            </w:pPr>
          </w:p>
          <w:p w:rsidR="00BD634F" w:rsidRPr="00CB2809" w:rsidRDefault="00BD634F" w:rsidP="006D5FBC">
            <w:pPr>
              <w:rPr>
                <w:rFonts w:cs="Arial"/>
              </w:rPr>
            </w:pPr>
            <w:r w:rsidRPr="00CB2809">
              <w:rPr>
                <w:rFonts w:cs="Arial"/>
              </w:rPr>
              <w:t xml:space="preserve">1) </w:t>
            </w:r>
            <w:r>
              <w:rPr>
                <w:rFonts w:cs="Arial"/>
              </w:rPr>
              <w:tab/>
            </w:r>
            <w:r w:rsidRPr="00FB54DC">
              <w:rPr>
                <w:rFonts w:cs="Arial"/>
              </w:rPr>
              <w:t>Le présent protocole est signé en un seul exemplaire et déposé auprès du directeur général de l</w:t>
            </w:r>
            <w:r>
              <w:rPr>
                <w:rFonts w:cs="Arial"/>
              </w:rPr>
              <w:t>’</w:t>
            </w:r>
            <w:r w:rsidRPr="00FB54DC">
              <w:rPr>
                <w:rFonts w:cs="Arial"/>
              </w:rPr>
              <w:t>ARIPO</w:t>
            </w:r>
            <w:r w:rsidRPr="00CB2809">
              <w:rPr>
                <w:rFonts w:cs="Arial"/>
              </w:rPr>
              <w:t>.</w:t>
            </w:r>
            <w:r>
              <w:rPr>
                <w:rFonts w:cs="Arial"/>
              </w:rPr>
              <w:t xml:space="preserve"> </w:t>
            </w:r>
            <w:r w:rsidRPr="00CB2809">
              <w:rPr>
                <w:rFonts w:cs="Arial"/>
              </w:rPr>
              <w:t xml:space="preserve"> </w:t>
            </w:r>
            <w:r w:rsidRPr="00FB4278">
              <w:rPr>
                <w:rFonts w:cs="Arial"/>
              </w:rPr>
              <w:t xml:space="preserve">Le présent protocole est ouvert à la signature </w:t>
            </w:r>
            <w:r>
              <w:rPr>
                <w:rFonts w:cs="Arial"/>
              </w:rPr>
              <w:t xml:space="preserve">et peut être signé par les États membres de l’Organisation et d’autres États, ainsi que par les membres de </w:t>
            </w:r>
            <w:r w:rsidRPr="00FB4278">
              <w:rPr>
                <w:rFonts w:cs="Arial"/>
              </w:rPr>
              <w:t>l</w:t>
            </w:r>
            <w:r>
              <w:rPr>
                <w:rFonts w:cs="Arial"/>
              </w:rPr>
              <w:t>’</w:t>
            </w:r>
            <w:r w:rsidRPr="00FB4278">
              <w:rPr>
                <w:rFonts w:cs="Arial"/>
              </w:rPr>
              <w:t>Union africaine</w:t>
            </w:r>
            <w:r>
              <w:rPr>
                <w:rFonts w:cs="Arial"/>
              </w:rPr>
              <w:t xml:space="preserve"> jusqu’au </w:t>
            </w:r>
            <w:r w:rsidRPr="00CB2809">
              <w:rPr>
                <w:rFonts w:cs="Arial"/>
              </w:rPr>
              <w:t>31</w:t>
            </w:r>
            <w:r>
              <w:rPr>
                <w:rFonts w:cs="Arial"/>
              </w:rPr>
              <w:t> décembre </w:t>
            </w:r>
            <w:r w:rsidRPr="00CB2809">
              <w:rPr>
                <w:rFonts w:cs="Arial"/>
              </w:rPr>
              <w:t>2015.</w:t>
            </w:r>
          </w:p>
        </w:tc>
      </w:tr>
    </w:tbl>
    <w:p w:rsidR="00BD634F" w:rsidRPr="00CB2809" w:rsidRDefault="00BD634F" w:rsidP="00BD634F"/>
    <w:p w:rsidR="00BD634F" w:rsidRDefault="00BD634F" w:rsidP="00944AEF"/>
    <w:p w:rsidR="00BD634F" w:rsidRPr="004F3AB8" w:rsidRDefault="00BD634F" w:rsidP="00944AEF"/>
    <w:p w:rsidR="00944AEF" w:rsidRPr="004F3AB8" w:rsidRDefault="00944AEF" w:rsidP="00944AEF">
      <w:pPr>
        <w:jc w:val="right"/>
      </w:pPr>
      <w:r w:rsidRPr="004F3AB8">
        <w:t>[Fin de l’annexe XVIII et du document]</w:t>
      </w:r>
    </w:p>
    <w:p w:rsidR="00E4565F" w:rsidRPr="004F3AB8" w:rsidRDefault="00E4565F">
      <w:pPr>
        <w:jc w:val="left"/>
        <w:rPr>
          <w:caps/>
          <w:noProof/>
          <w:snapToGrid w:val="0"/>
        </w:rPr>
      </w:pPr>
    </w:p>
    <w:sectPr w:rsidR="00E4565F" w:rsidRPr="004F3AB8" w:rsidSect="00BD634F">
      <w:headerReference w:type="default" r:id="rId4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109" w:rsidRDefault="00023109" w:rsidP="00F45372">
      <w:r>
        <w:separator/>
      </w:r>
    </w:p>
    <w:p w:rsidR="00023109" w:rsidRDefault="00023109" w:rsidP="00F45372"/>
    <w:p w:rsidR="00023109" w:rsidRDefault="00023109" w:rsidP="00F45372"/>
  </w:endnote>
  <w:endnote w:type="continuationSeparator" w:id="0">
    <w:p w:rsidR="00023109" w:rsidRDefault="00023109" w:rsidP="00F45372">
      <w:r>
        <w:separator/>
      </w:r>
    </w:p>
    <w:p w:rsidR="00023109" w:rsidRPr="00813041" w:rsidRDefault="00023109" w:rsidP="0014714C">
      <w:pPr>
        <w:pStyle w:val="Footer"/>
        <w:rPr>
          <w:lang w:val="fr-FR"/>
        </w:rPr>
      </w:pPr>
      <w:r w:rsidRPr="00813041">
        <w:rPr>
          <w:lang w:val="fr-FR"/>
        </w:rPr>
        <w:t>[Suite de la note de la page précédente]</w:t>
      </w:r>
    </w:p>
    <w:p w:rsidR="00023109" w:rsidRPr="00813041" w:rsidRDefault="00023109" w:rsidP="00F45372"/>
    <w:p w:rsidR="00023109" w:rsidRPr="00813041" w:rsidRDefault="00023109" w:rsidP="00F45372"/>
  </w:endnote>
  <w:endnote w:type="continuationNotice" w:id="1">
    <w:p w:rsidR="00023109" w:rsidRPr="00813041" w:rsidRDefault="00023109" w:rsidP="00F45372">
      <w:r w:rsidRPr="00813041">
        <w:t>[Suite de la note page suivante]</w:t>
      </w:r>
    </w:p>
    <w:p w:rsidR="00023109" w:rsidRPr="00813041" w:rsidRDefault="00023109" w:rsidP="00F45372"/>
    <w:p w:rsidR="00023109" w:rsidRPr="00813041" w:rsidRDefault="00023109" w:rsidP="00F45372"/>
  </w:endnote>
  <w:endnote w:id="2">
    <w:p w:rsidR="00417F96" w:rsidRDefault="00417F96" w:rsidP="00417F96">
      <w:pPr>
        <w:pStyle w:val="EndnoteText"/>
        <w:ind w:left="284" w:hanging="284"/>
        <w:rPr>
          <w:sz w:val="16"/>
        </w:rPr>
      </w:pPr>
      <w:r w:rsidRPr="00417F96">
        <w:rPr>
          <w:rStyle w:val="EndnoteReference"/>
          <w:sz w:val="16"/>
        </w:rPr>
        <w:endnoteRef/>
      </w:r>
      <w:r w:rsidRPr="00417F96">
        <w:rPr>
          <w:rStyle w:val="EndnoteReference"/>
          <w:sz w:val="16"/>
        </w:rPr>
        <w:endnoteRef/>
      </w:r>
      <w:r w:rsidRPr="00417F96">
        <w:rPr>
          <w:sz w:val="16"/>
        </w:rPr>
        <w:t xml:space="preserve"> </w:t>
      </w:r>
      <w:r w:rsidRPr="00417F96">
        <w:rPr>
          <w:sz w:val="16"/>
        </w:rPr>
        <w:tab/>
        <w:t>Ce rapport utilise la terminologie des Nations Unies.</w:t>
      </w:r>
    </w:p>
    <w:p w:rsidR="00417F96" w:rsidRDefault="00417F96" w:rsidP="00417F96"/>
    <w:p w:rsidR="00417F96" w:rsidRDefault="00417F96" w:rsidP="00417F96"/>
    <w:p w:rsidR="00417F96" w:rsidRDefault="00417F96" w:rsidP="00417F96"/>
    <w:p w:rsidR="00417F96" w:rsidRPr="00417F96" w:rsidRDefault="00417F96" w:rsidP="00417F96">
      <w:pPr>
        <w:jc w:val="right"/>
      </w:pPr>
      <w:r>
        <w:t>[L’annexe XVIII suit]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yriadPro-Light">
    <w:altName w:val="Arial Unicode MS"/>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109" w:rsidRDefault="00023109" w:rsidP="0014714C">
      <w:pPr>
        <w:spacing w:before="120"/>
      </w:pPr>
      <w:r>
        <w:separator/>
      </w:r>
    </w:p>
  </w:footnote>
  <w:footnote w:type="continuationSeparator" w:id="0">
    <w:p w:rsidR="00023109" w:rsidRDefault="00023109" w:rsidP="00F45372">
      <w:r>
        <w:separator/>
      </w:r>
    </w:p>
    <w:p w:rsidR="00023109" w:rsidRPr="00813041" w:rsidRDefault="00023109" w:rsidP="0014714C">
      <w:pPr>
        <w:pStyle w:val="Footer"/>
        <w:rPr>
          <w:lang w:val="fr-FR"/>
        </w:rPr>
      </w:pPr>
      <w:r w:rsidRPr="00813041">
        <w:rPr>
          <w:lang w:val="fr-FR"/>
        </w:rPr>
        <w:t>[Suite de la note de la page précédente]</w:t>
      </w:r>
    </w:p>
  </w:footnote>
  <w:footnote w:type="continuationNotice" w:id="1">
    <w:p w:rsidR="00023109" w:rsidRPr="00813041" w:rsidRDefault="00023109" w:rsidP="00F45372">
      <w:pPr>
        <w:rPr>
          <w:sz w:val="12"/>
        </w:rPr>
      </w:pPr>
      <w:r w:rsidRPr="00813041">
        <w:rPr>
          <w:sz w:val="12"/>
        </w:rPr>
        <w:t>[Suite de la note page suivante]</w:t>
      </w:r>
    </w:p>
  </w:footnote>
  <w:footnote w:id="2">
    <w:p w:rsidR="00023109" w:rsidRPr="0093785F" w:rsidRDefault="00023109" w:rsidP="004F3AB8">
      <w:pPr>
        <w:pStyle w:val="FootnoteText"/>
        <w:rPr>
          <w:lang w:val="fr-FR"/>
        </w:rPr>
      </w:pPr>
      <w:r w:rsidRPr="0093785F">
        <w:rPr>
          <w:rStyle w:val="FootnoteReference"/>
          <w:lang w:val="fr-FR"/>
        </w:rPr>
        <w:t>*</w:t>
      </w:r>
      <w:r w:rsidRPr="0093785F">
        <w:rPr>
          <w:rStyle w:val="FootnoteReference"/>
          <w:lang w:val="fr-FR"/>
        </w:rPr>
        <w:footnoteRef/>
      </w:r>
      <w:r w:rsidRPr="0093785F">
        <w:rPr>
          <w:lang w:val="fr-FR"/>
        </w:rPr>
        <w:tab/>
        <w:t>Les annexes sont disponibles sur demande.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109" w:rsidRPr="00997029" w:rsidRDefault="00023109" w:rsidP="00EB048E">
    <w:pPr>
      <w:pStyle w:val="Header"/>
      <w:rPr>
        <w:rStyle w:val="PageNumber"/>
      </w:rPr>
    </w:pPr>
    <w:r>
      <w:rPr>
        <w:rStyle w:val="PageNumber"/>
      </w:rPr>
      <w:t>C/49</w:t>
    </w:r>
    <w:r w:rsidRPr="00997029">
      <w:rPr>
        <w:rStyle w:val="PageNumber"/>
      </w:rPr>
      <w:t>/</w:t>
    </w:r>
  </w:p>
  <w:p w:rsidR="00023109" w:rsidRPr="00997029" w:rsidRDefault="00023109" w:rsidP="00EB048E">
    <w:pPr>
      <w:pStyle w:val="Head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D447DD">
      <w:rPr>
        <w:rStyle w:val="PageNumber"/>
        <w:noProof/>
      </w:rPr>
      <w:t>6</w:t>
    </w:r>
    <w:r w:rsidRPr="00997029">
      <w:rPr>
        <w:rStyle w:val="PageNumber"/>
      </w:rPr>
      <w:fldChar w:fldCharType="end"/>
    </w:r>
  </w:p>
  <w:p w:rsidR="00023109" w:rsidRPr="00997029" w:rsidRDefault="00023109" w:rsidP="00F45372"/>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109" w:rsidRPr="00C5280D" w:rsidRDefault="00023109" w:rsidP="00EB048E">
    <w:pPr>
      <w:pStyle w:val="Header"/>
      <w:rPr>
        <w:rStyle w:val="PageNumber"/>
        <w:lang w:val="en-US"/>
      </w:rPr>
    </w:pPr>
    <w:r>
      <w:rPr>
        <w:rStyle w:val="PageNumber"/>
        <w:lang w:val="en-US"/>
      </w:rPr>
      <w:t>C/49/15</w:t>
    </w:r>
  </w:p>
  <w:p w:rsidR="00023109" w:rsidRPr="00C5280D" w:rsidRDefault="00023109" w:rsidP="00EB048E">
    <w:pPr>
      <w:pStyle w:val="Header"/>
      <w:rPr>
        <w:lang w:val="en-US"/>
      </w:rPr>
    </w:pPr>
    <w:proofErr w:type="spellStart"/>
    <w:r>
      <w:rPr>
        <w:lang w:val="en-US"/>
      </w:rPr>
      <w:t>Annexe</w:t>
    </w:r>
    <w:proofErr w:type="spellEnd"/>
    <w:r>
      <w:rPr>
        <w:lang w:val="en-US"/>
      </w:rPr>
      <w:t xml:space="preserve"> IX,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447DD">
      <w:rPr>
        <w:rStyle w:val="PageNumber"/>
        <w:noProof/>
        <w:lang w:val="en-US"/>
      </w:rPr>
      <w:t>6</w:t>
    </w:r>
    <w:r w:rsidRPr="00C5280D">
      <w:rPr>
        <w:rStyle w:val="PageNumber"/>
        <w:lang w:val="en-US"/>
      </w:rPr>
      <w:fldChar w:fldCharType="end"/>
    </w:r>
  </w:p>
  <w:p w:rsidR="00023109" w:rsidRPr="00C5280D" w:rsidRDefault="00023109" w:rsidP="004F3AB8"/>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109" w:rsidRPr="00C5280D" w:rsidRDefault="00023109" w:rsidP="00EB048E">
    <w:pPr>
      <w:pStyle w:val="Header"/>
      <w:rPr>
        <w:rStyle w:val="PageNumber"/>
        <w:lang w:val="en-US"/>
      </w:rPr>
    </w:pPr>
    <w:r>
      <w:rPr>
        <w:rStyle w:val="PageNumber"/>
        <w:lang w:val="en-US"/>
      </w:rPr>
      <w:t>C/49/15</w:t>
    </w:r>
  </w:p>
  <w:p w:rsidR="00023109" w:rsidRPr="00C5280D" w:rsidRDefault="00023109" w:rsidP="00EB048E">
    <w:pPr>
      <w:pStyle w:val="Header"/>
      <w:rPr>
        <w:lang w:val="en-US"/>
      </w:rPr>
    </w:pPr>
    <w:proofErr w:type="spellStart"/>
    <w:r>
      <w:rPr>
        <w:lang w:val="en-US"/>
      </w:rPr>
      <w:t>Annexe</w:t>
    </w:r>
    <w:proofErr w:type="spellEnd"/>
    <w:r>
      <w:rPr>
        <w:lang w:val="en-US"/>
      </w:rPr>
      <w:t xml:space="preserve"> 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447DD">
      <w:rPr>
        <w:rStyle w:val="PageNumber"/>
        <w:noProof/>
        <w:lang w:val="en-US"/>
      </w:rPr>
      <w:t>4</w:t>
    </w:r>
    <w:r w:rsidRPr="00C5280D">
      <w:rPr>
        <w:rStyle w:val="PageNumber"/>
        <w:lang w:val="en-US"/>
      </w:rPr>
      <w:fldChar w:fldCharType="end"/>
    </w:r>
  </w:p>
  <w:p w:rsidR="00023109" w:rsidRPr="00C5280D" w:rsidRDefault="00023109" w:rsidP="004F3AB8"/>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109" w:rsidRPr="00C5280D" w:rsidRDefault="00023109" w:rsidP="00EB048E">
    <w:pPr>
      <w:pStyle w:val="Header"/>
      <w:rPr>
        <w:rStyle w:val="PageNumber"/>
        <w:lang w:val="en-US"/>
      </w:rPr>
    </w:pPr>
    <w:r>
      <w:rPr>
        <w:rStyle w:val="PageNumber"/>
        <w:lang w:val="en-US"/>
      </w:rPr>
      <w:t>C/49/15</w:t>
    </w:r>
  </w:p>
  <w:p w:rsidR="00023109" w:rsidRPr="00C5280D" w:rsidRDefault="00023109" w:rsidP="00EB048E">
    <w:pPr>
      <w:pStyle w:val="Header"/>
      <w:rPr>
        <w:lang w:val="en-US"/>
      </w:rPr>
    </w:pPr>
    <w:proofErr w:type="spellStart"/>
    <w:r>
      <w:rPr>
        <w:lang w:val="en-US"/>
      </w:rPr>
      <w:t>Annexe</w:t>
    </w:r>
    <w:proofErr w:type="spellEnd"/>
    <w:r>
      <w:rPr>
        <w:lang w:val="en-US"/>
      </w:rPr>
      <w:t xml:space="preserve"> XII,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447DD">
      <w:rPr>
        <w:rStyle w:val="PageNumber"/>
        <w:noProof/>
        <w:lang w:val="en-US"/>
      </w:rPr>
      <w:t>2</w:t>
    </w:r>
    <w:r w:rsidRPr="00C5280D">
      <w:rPr>
        <w:rStyle w:val="PageNumber"/>
        <w:lang w:val="en-US"/>
      </w:rPr>
      <w:fldChar w:fldCharType="end"/>
    </w:r>
  </w:p>
  <w:p w:rsidR="00023109" w:rsidRPr="00C5280D" w:rsidRDefault="00023109" w:rsidP="004F3AB8"/>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109" w:rsidRPr="00C5280D" w:rsidRDefault="00023109" w:rsidP="00EB048E">
    <w:pPr>
      <w:pStyle w:val="Header"/>
      <w:rPr>
        <w:rStyle w:val="PageNumber"/>
        <w:lang w:val="en-US"/>
      </w:rPr>
    </w:pPr>
    <w:r>
      <w:rPr>
        <w:rStyle w:val="PageNumber"/>
        <w:lang w:val="en-US"/>
      </w:rPr>
      <w:t>C/49/15</w:t>
    </w:r>
  </w:p>
  <w:p w:rsidR="00023109" w:rsidRPr="00C5280D" w:rsidRDefault="00023109" w:rsidP="00EB048E">
    <w:pPr>
      <w:pStyle w:val="Header"/>
      <w:rPr>
        <w:lang w:val="en-US"/>
      </w:rPr>
    </w:pPr>
    <w:proofErr w:type="spellStart"/>
    <w:r>
      <w:rPr>
        <w:lang w:val="en-US"/>
      </w:rPr>
      <w:t>Annexe</w:t>
    </w:r>
    <w:proofErr w:type="spellEnd"/>
    <w:r>
      <w:rPr>
        <w:lang w:val="en-US"/>
      </w:rPr>
      <w:t xml:space="preserve"> XIV,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447DD">
      <w:rPr>
        <w:rStyle w:val="PageNumber"/>
        <w:noProof/>
        <w:lang w:val="en-US"/>
      </w:rPr>
      <w:t>2</w:t>
    </w:r>
    <w:r w:rsidRPr="00C5280D">
      <w:rPr>
        <w:rStyle w:val="PageNumber"/>
        <w:lang w:val="en-US"/>
      </w:rPr>
      <w:fldChar w:fldCharType="end"/>
    </w:r>
  </w:p>
  <w:p w:rsidR="00023109" w:rsidRPr="00C5280D" w:rsidRDefault="00023109" w:rsidP="004F3AB8"/>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109" w:rsidRPr="00C5280D" w:rsidRDefault="00023109" w:rsidP="00EB048E">
    <w:pPr>
      <w:pStyle w:val="Header"/>
      <w:rPr>
        <w:rStyle w:val="PageNumber"/>
        <w:lang w:val="en-US"/>
      </w:rPr>
    </w:pPr>
    <w:r>
      <w:rPr>
        <w:rStyle w:val="PageNumber"/>
        <w:lang w:val="en-US"/>
      </w:rPr>
      <w:t>C/49/15</w:t>
    </w:r>
  </w:p>
  <w:p w:rsidR="00023109" w:rsidRPr="00C5280D" w:rsidRDefault="00023109" w:rsidP="00EB048E">
    <w:pPr>
      <w:pStyle w:val="Header"/>
      <w:rPr>
        <w:lang w:val="en-US"/>
      </w:rPr>
    </w:pPr>
    <w:proofErr w:type="spellStart"/>
    <w:r>
      <w:rPr>
        <w:lang w:val="en-US"/>
      </w:rPr>
      <w:t>Annexe</w:t>
    </w:r>
    <w:proofErr w:type="spellEnd"/>
    <w:r>
      <w:rPr>
        <w:lang w:val="en-US"/>
      </w:rPr>
      <w:t xml:space="preserve"> XV,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447DD">
      <w:rPr>
        <w:rStyle w:val="PageNumber"/>
        <w:noProof/>
        <w:lang w:val="en-US"/>
      </w:rPr>
      <w:t>6</w:t>
    </w:r>
    <w:r w:rsidRPr="00C5280D">
      <w:rPr>
        <w:rStyle w:val="PageNumber"/>
        <w:lang w:val="en-US"/>
      </w:rPr>
      <w:fldChar w:fldCharType="end"/>
    </w:r>
  </w:p>
  <w:p w:rsidR="00023109" w:rsidRPr="00C5280D" w:rsidRDefault="00023109" w:rsidP="004F3AB8"/>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109" w:rsidRPr="00C5280D" w:rsidRDefault="00023109" w:rsidP="00EB048E">
    <w:pPr>
      <w:pStyle w:val="Header"/>
      <w:rPr>
        <w:rStyle w:val="PageNumber"/>
        <w:lang w:val="en-US"/>
      </w:rPr>
    </w:pPr>
    <w:r>
      <w:rPr>
        <w:rStyle w:val="PageNumber"/>
        <w:lang w:val="en-US"/>
      </w:rPr>
      <w:t>C/49/15</w:t>
    </w:r>
  </w:p>
  <w:p w:rsidR="00023109" w:rsidRPr="00C5280D" w:rsidRDefault="00023109" w:rsidP="00EB048E">
    <w:pPr>
      <w:pStyle w:val="Header"/>
      <w:rPr>
        <w:lang w:val="en-US"/>
      </w:rPr>
    </w:pPr>
    <w:proofErr w:type="spellStart"/>
    <w:r>
      <w:rPr>
        <w:lang w:val="en-US"/>
      </w:rPr>
      <w:t>Annexe</w:t>
    </w:r>
    <w:proofErr w:type="spellEnd"/>
    <w:r>
      <w:rPr>
        <w:lang w:val="en-US"/>
      </w:rPr>
      <w:t xml:space="preserve"> XVI,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447DD">
      <w:rPr>
        <w:rStyle w:val="PageNumber"/>
        <w:noProof/>
        <w:lang w:val="en-US"/>
      </w:rPr>
      <w:t>6</w:t>
    </w:r>
    <w:r w:rsidRPr="00C5280D">
      <w:rPr>
        <w:rStyle w:val="PageNumber"/>
        <w:lang w:val="en-US"/>
      </w:rPr>
      <w:fldChar w:fldCharType="end"/>
    </w:r>
  </w:p>
  <w:p w:rsidR="00023109" w:rsidRPr="00C5280D" w:rsidRDefault="00023109" w:rsidP="004F3AB8"/>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109" w:rsidRPr="00C5280D" w:rsidRDefault="00023109" w:rsidP="00EB048E">
    <w:pPr>
      <w:pStyle w:val="Header"/>
      <w:rPr>
        <w:rStyle w:val="PageNumber"/>
        <w:lang w:val="en-US"/>
      </w:rPr>
    </w:pPr>
    <w:r>
      <w:rPr>
        <w:rStyle w:val="PageNumber"/>
        <w:lang w:val="en-US"/>
      </w:rPr>
      <w:t>C/49/15</w:t>
    </w:r>
  </w:p>
  <w:p w:rsidR="00023109" w:rsidRPr="00C5280D" w:rsidRDefault="00023109" w:rsidP="00EB048E">
    <w:pPr>
      <w:pStyle w:val="Header"/>
      <w:rPr>
        <w:lang w:val="en-US"/>
      </w:rPr>
    </w:pPr>
    <w:proofErr w:type="spellStart"/>
    <w:r>
      <w:rPr>
        <w:lang w:val="en-US"/>
      </w:rPr>
      <w:t>Annexe</w:t>
    </w:r>
    <w:proofErr w:type="spellEnd"/>
    <w:r>
      <w:rPr>
        <w:lang w:val="en-US"/>
      </w:rPr>
      <w:t xml:space="preserve"> XVII,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447DD">
      <w:rPr>
        <w:rStyle w:val="PageNumber"/>
        <w:noProof/>
        <w:lang w:val="en-US"/>
      </w:rPr>
      <w:t>17</w:t>
    </w:r>
    <w:r w:rsidRPr="00C5280D">
      <w:rPr>
        <w:rStyle w:val="PageNumber"/>
        <w:lang w:val="en-US"/>
      </w:rPr>
      <w:fldChar w:fldCharType="end"/>
    </w:r>
  </w:p>
  <w:p w:rsidR="00023109" w:rsidRPr="00C5280D" w:rsidRDefault="00023109" w:rsidP="004F3AB8"/>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34F" w:rsidRPr="00C5280D" w:rsidRDefault="00BD634F" w:rsidP="00EB048E">
    <w:pPr>
      <w:pStyle w:val="Header"/>
      <w:rPr>
        <w:rStyle w:val="PageNumber"/>
        <w:lang w:val="en-US"/>
      </w:rPr>
    </w:pPr>
    <w:r>
      <w:rPr>
        <w:rStyle w:val="PageNumber"/>
        <w:lang w:val="en-US"/>
      </w:rPr>
      <w:t>C/49/15</w:t>
    </w:r>
  </w:p>
  <w:p w:rsidR="00BD634F" w:rsidRPr="00C5280D" w:rsidRDefault="00BD634F" w:rsidP="00EB048E">
    <w:pPr>
      <w:pStyle w:val="Header"/>
      <w:rPr>
        <w:lang w:val="en-US"/>
      </w:rPr>
    </w:pPr>
    <w:proofErr w:type="spellStart"/>
    <w:r>
      <w:rPr>
        <w:lang w:val="en-US"/>
      </w:rPr>
      <w:t>Annexe</w:t>
    </w:r>
    <w:proofErr w:type="spellEnd"/>
    <w:r>
      <w:rPr>
        <w:lang w:val="en-US"/>
      </w:rPr>
      <w:t xml:space="preserve"> XVIII,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447DD">
      <w:rPr>
        <w:rStyle w:val="PageNumber"/>
        <w:noProof/>
        <w:lang w:val="en-US"/>
      </w:rPr>
      <w:t>6</w:t>
    </w:r>
    <w:r w:rsidRPr="00C5280D">
      <w:rPr>
        <w:rStyle w:val="PageNumber"/>
        <w:lang w:val="en-US"/>
      </w:rPr>
      <w:fldChar w:fldCharType="end"/>
    </w:r>
  </w:p>
  <w:p w:rsidR="00BD634F" w:rsidRPr="00C5280D" w:rsidRDefault="00BD634F" w:rsidP="004F3AB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109" w:rsidRPr="00C5280D" w:rsidRDefault="00023109" w:rsidP="00EB048E">
    <w:pPr>
      <w:pStyle w:val="Header"/>
      <w:rPr>
        <w:rStyle w:val="PageNumber"/>
        <w:lang w:val="en-US"/>
      </w:rPr>
    </w:pPr>
    <w:r>
      <w:rPr>
        <w:rStyle w:val="PageNumber"/>
        <w:lang w:val="en-US"/>
      </w:rPr>
      <w:t>C/49/15</w:t>
    </w:r>
  </w:p>
  <w:p w:rsidR="00023109" w:rsidRPr="00C5280D" w:rsidRDefault="00023109" w:rsidP="00EB048E">
    <w:pPr>
      <w:pStyle w:val="Header"/>
      <w:rPr>
        <w:lang w:val="en-US"/>
      </w:rPr>
    </w:pPr>
    <w:proofErr w:type="spellStart"/>
    <w:r>
      <w:rPr>
        <w:lang w:val="en-US"/>
      </w:rPr>
      <w:t>Annexe</w:t>
    </w:r>
    <w:proofErr w:type="spellEnd"/>
    <w:r>
      <w:rPr>
        <w:lang w:val="en-US"/>
      </w:rPr>
      <w:t xml:space="preserve">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447DD">
      <w:rPr>
        <w:rStyle w:val="PageNumber"/>
        <w:noProof/>
        <w:lang w:val="en-US"/>
      </w:rPr>
      <w:t>6</w:t>
    </w:r>
    <w:r w:rsidRPr="00C5280D">
      <w:rPr>
        <w:rStyle w:val="PageNumber"/>
        <w:lang w:val="en-US"/>
      </w:rPr>
      <w:fldChar w:fldCharType="end"/>
    </w:r>
  </w:p>
  <w:p w:rsidR="00023109" w:rsidRPr="00C5280D" w:rsidRDefault="00023109" w:rsidP="004F3AB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109" w:rsidRPr="00C5280D" w:rsidRDefault="00023109" w:rsidP="00EB048E">
    <w:pPr>
      <w:pStyle w:val="Header"/>
      <w:rPr>
        <w:rStyle w:val="PageNumber"/>
        <w:lang w:val="en-US"/>
      </w:rPr>
    </w:pPr>
    <w:r>
      <w:rPr>
        <w:rStyle w:val="PageNumber"/>
        <w:lang w:val="en-US"/>
      </w:rPr>
      <w:t>C/49/15</w:t>
    </w:r>
  </w:p>
  <w:p w:rsidR="00023109" w:rsidRPr="00C5280D" w:rsidRDefault="00023109" w:rsidP="00EB048E">
    <w:pPr>
      <w:pStyle w:val="Header"/>
      <w:rPr>
        <w:lang w:val="en-US"/>
      </w:rPr>
    </w:pPr>
    <w:proofErr w:type="spellStart"/>
    <w:r>
      <w:rPr>
        <w:lang w:val="en-US"/>
      </w:rPr>
      <w:t>Annexe</w:t>
    </w:r>
    <w:proofErr w:type="spellEnd"/>
    <w:r>
      <w:rPr>
        <w:lang w:val="en-US"/>
      </w:rPr>
      <w:t xml:space="preserve">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447DD">
      <w:rPr>
        <w:rStyle w:val="PageNumber"/>
        <w:noProof/>
        <w:lang w:val="en-US"/>
      </w:rPr>
      <w:t>6</w:t>
    </w:r>
    <w:r w:rsidRPr="00C5280D">
      <w:rPr>
        <w:rStyle w:val="PageNumber"/>
        <w:lang w:val="en-US"/>
      </w:rPr>
      <w:fldChar w:fldCharType="end"/>
    </w:r>
  </w:p>
  <w:p w:rsidR="00023109" w:rsidRPr="00C5280D" w:rsidRDefault="00023109" w:rsidP="004F3AB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109" w:rsidRPr="00C5280D" w:rsidRDefault="00023109" w:rsidP="00EB048E">
    <w:pPr>
      <w:pStyle w:val="Header"/>
      <w:rPr>
        <w:rStyle w:val="PageNumber"/>
        <w:lang w:val="en-US"/>
      </w:rPr>
    </w:pPr>
    <w:r>
      <w:rPr>
        <w:rStyle w:val="PageNumber"/>
        <w:lang w:val="en-US"/>
      </w:rPr>
      <w:t>C/49/15</w:t>
    </w:r>
  </w:p>
  <w:p w:rsidR="00023109" w:rsidRPr="00C5280D" w:rsidRDefault="00023109" w:rsidP="00EB048E">
    <w:pPr>
      <w:pStyle w:val="Header"/>
      <w:rPr>
        <w:lang w:val="en-US"/>
      </w:rPr>
    </w:pPr>
    <w:proofErr w:type="spellStart"/>
    <w:r>
      <w:rPr>
        <w:lang w:val="en-US"/>
      </w:rPr>
      <w:t>Annexe</w:t>
    </w:r>
    <w:proofErr w:type="spellEnd"/>
    <w:r>
      <w:rPr>
        <w:lang w:val="en-US"/>
      </w:rPr>
      <w:t xml:space="preserve">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447DD">
      <w:rPr>
        <w:rStyle w:val="PageNumber"/>
        <w:noProof/>
        <w:lang w:val="en-US"/>
      </w:rPr>
      <w:t>6</w:t>
    </w:r>
    <w:r w:rsidRPr="00C5280D">
      <w:rPr>
        <w:rStyle w:val="PageNumber"/>
        <w:lang w:val="en-US"/>
      </w:rPr>
      <w:fldChar w:fldCharType="end"/>
    </w:r>
  </w:p>
  <w:p w:rsidR="00023109" w:rsidRPr="00C5280D" w:rsidRDefault="00023109" w:rsidP="004F3AB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109" w:rsidRPr="00C5280D" w:rsidRDefault="00023109" w:rsidP="00EB048E">
    <w:pPr>
      <w:pStyle w:val="Header"/>
      <w:rPr>
        <w:rStyle w:val="PageNumber"/>
        <w:lang w:val="en-US"/>
      </w:rPr>
    </w:pPr>
    <w:r>
      <w:rPr>
        <w:rStyle w:val="PageNumber"/>
        <w:lang w:val="en-US"/>
      </w:rPr>
      <w:t>C/49/15</w:t>
    </w:r>
  </w:p>
  <w:p w:rsidR="00023109" w:rsidRPr="00C5280D" w:rsidRDefault="00023109" w:rsidP="00EB048E">
    <w:pPr>
      <w:pStyle w:val="Header"/>
      <w:rPr>
        <w:lang w:val="en-US"/>
      </w:rPr>
    </w:pPr>
    <w:proofErr w:type="spellStart"/>
    <w:r>
      <w:rPr>
        <w:lang w:val="en-US"/>
      </w:rPr>
      <w:t>Annexe</w:t>
    </w:r>
    <w:proofErr w:type="spellEnd"/>
    <w:r>
      <w:rPr>
        <w:lang w:val="en-US"/>
      </w:rPr>
      <w:t xml:space="preserve"> 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447DD">
      <w:rPr>
        <w:rStyle w:val="PageNumber"/>
        <w:noProof/>
        <w:lang w:val="en-US"/>
      </w:rPr>
      <w:t>6</w:t>
    </w:r>
    <w:r w:rsidRPr="00C5280D">
      <w:rPr>
        <w:rStyle w:val="PageNumber"/>
        <w:lang w:val="en-US"/>
      </w:rPr>
      <w:fldChar w:fldCharType="end"/>
    </w:r>
  </w:p>
  <w:p w:rsidR="00023109" w:rsidRPr="00C5280D" w:rsidRDefault="00023109" w:rsidP="004F3AB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109" w:rsidRPr="00C5280D" w:rsidRDefault="00023109" w:rsidP="00EB048E">
    <w:pPr>
      <w:pStyle w:val="Header"/>
      <w:rPr>
        <w:rStyle w:val="PageNumber"/>
        <w:lang w:val="en-US"/>
      </w:rPr>
    </w:pPr>
    <w:r>
      <w:rPr>
        <w:rStyle w:val="PageNumber"/>
        <w:lang w:val="en-US"/>
      </w:rPr>
      <w:t>C/49/15</w:t>
    </w:r>
  </w:p>
  <w:p w:rsidR="00023109" w:rsidRPr="00C5280D" w:rsidRDefault="00023109" w:rsidP="00EB048E">
    <w:pPr>
      <w:pStyle w:val="Header"/>
      <w:rPr>
        <w:lang w:val="en-US"/>
      </w:rPr>
    </w:pPr>
    <w:proofErr w:type="spellStart"/>
    <w:r>
      <w:rPr>
        <w:lang w:val="en-US"/>
      </w:rPr>
      <w:t>Annexe</w:t>
    </w:r>
    <w:proofErr w:type="spellEnd"/>
    <w:r>
      <w:rPr>
        <w:lang w:val="en-US"/>
      </w:rPr>
      <w:t xml:space="preserve"> 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447DD">
      <w:rPr>
        <w:rStyle w:val="PageNumber"/>
        <w:noProof/>
        <w:lang w:val="en-US"/>
      </w:rPr>
      <w:t>6</w:t>
    </w:r>
    <w:r w:rsidRPr="00C5280D">
      <w:rPr>
        <w:rStyle w:val="PageNumber"/>
        <w:lang w:val="en-US"/>
      </w:rPr>
      <w:fldChar w:fldCharType="end"/>
    </w:r>
  </w:p>
  <w:p w:rsidR="00023109" w:rsidRPr="00C5280D" w:rsidRDefault="00023109" w:rsidP="004F3AB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109" w:rsidRPr="00C5280D" w:rsidRDefault="00023109" w:rsidP="00EB048E">
    <w:pPr>
      <w:pStyle w:val="Header"/>
      <w:rPr>
        <w:rStyle w:val="PageNumber"/>
        <w:lang w:val="en-US"/>
      </w:rPr>
    </w:pPr>
    <w:r>
      <w:rPr>
        <w:rStyle w:val="PageNumber"/>
        <w:lang w:val="en-US"/>
      </w:rPr>
      <w:t>C/49/15</w:t>
    </w:r>
  </w:p>
  <w:p w:rsidR="00023109" w:rsidRPr="00C5280D" w:rsidRDefault="00023109" w:rsidP="00EB048E">
    <w:pPr>
      <w:pStyle w:val="Header"/>
      <w:rPr>
        <w:lang w:val="en-US"/>
      </w:rPr>
    </w:pPr>
    <w:proofErr w:type="spellStart"/>
    <w:r>
      <w:rPr>
        <w:lang w:val="en-US"/>
      </w:rPr>
      <w:t>Annexe</w:t>
    </w:r>
    <w:proofErr w:type="spellEnd"/>
    <w:r>
      <w:rPr>
        <w:lang w:val="en-US"/>
      </w:rPr>
      <w:t xml:space="preserve"> VI,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447DD">
      <w:rPr>
        <w:rStyle w:val="PageNumber"/>
        <w:noProof/>
        <w:lang w:val="en-US"/>
      </w:rPr>
      <w:t>6</w:t>
    </w:r>
    <w:r w:rsidRPr="00C5280D">
      <w:rPr>
        <w:rStyle w:val="PageNumber"/>
        <w:lang w:val="en-US"/>
      </w:rPr>
      <w:fldChar w:fldCharType="end"/>
    </w:r>
  </w:p>
  <w:p w:rsidR="00023109" w:rsidRPr="00C5280D" w:rsidRDefault="00023109" w:rsidP="004F3AB8"/>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109" w:rsidRPr="00C5280D" w:rsidRDefault="00023109" w:rsidP="00EB048E">
    <w:pPr>
      <w:pStyle w:val="Header"/>
      <w:rPr>
        <w:rStyle w:val="PageNumber"/>
        <w:lang w:val="en-US"/>
      </w:rPr>
    </w:pPr>
    <w:r>
      <w:rPr>
        <w:rStyle w:val="PageNumber"/>
        <w:lang w:val="en-US"/>
      </w:rPr>
      <w:t>C/49/15</w:t>
    </w:r>
  </w:p>
  <w:p w:rsidR="00023109" w:rsidRPr="00C5280D" w:rsidRDefault="00023109" w:rsidP="00EB048E">
    <w:pPr>
      <w:pStyle w:val="Header"/>
      <w:rPr>
        <w:lang w:val="en-US"/>
      </w:rPr>
    </w:pPr>
    <w:proofErr w:type="spellStart"/>
    <w:r>
      <w:rPr>
        <w:lang w:val="en-US"/>
      </w:rPr>
      <w:t>Annexe</w:t>
    </w:r>
    <w:proofErr w:type="spellEnd"/>
    <w:r>
      <w:rPr>
        <w:lang w:val="en-US"/>
      </w:rPr>
      <w:t xml:space="preserve"> VII,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447DD">
      <w:rPr>
        <w:rStyle w:val="PageNumber"/>
        <w:noProof/>
        <w:lang w:val="en-US"/>
      </w:rPr>
      <w:t>6</w:t>
    </w:r>
    <w:r w:rsidRPr="00C5280D">
      <w:rPr>
        <w:rStyle w:val="PageNumber"/>
        <w:lang w:val="en-US"/>
      </w:rPr>
      <w:fldChar w:fldCharType="end"/>
    </w:r>
  </w:p>
  <w:p w:rsidR="00023109" w:rsidRPr="00C5280D" w:rsidRDefault="00023109" w:rsidP="004F3AB8"/>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109" w:rsidRPr="00C5280D" w:rsidRDefault="00023109" w:rsidP="00EB048E">
    <w:pPr>
      <w:pStyle w:val="Header"/>
      <w:rPr>
        <w:rStyle w:val="PageNumber"/>
        <w:lang w:val="en-US"/>
      </w:rPr>
    </w:pPr>
    <w:r>
      <w:rPr>
        <w:rStyle w:val="PageNumber"/>
        <w:lang w:val="en-US"/>
      </w:rPr>
      <w:t>C/49/15</w:t>
    </w:r>
  </w:p>
  <w:p w:rsidR="00023109" w:rsidRPr="00C5280D" w:rsidRDefault="00023109" w:rsidP="00EB048E">
    <w:pPr>
      <w:pStyle w:val="Header"/>
      <w:rPr>
        <w:lang w:val="en-US"/>
      </w:rPr>
    </w:pPr>
    <w:proofErr w:type="spellStart"/>
    <w:r>
      <w:rPr>
        <w:lang w:val="en-US"/>
      </w:rPr>
      <w:t>Annexe</w:t>
    </w:r>
    <w:proofErr w:type="spellEnd"/>
    <w:r>
      <w:rPr>
        <w:lang w:val="en-US"/>
      </w:rPr>
      <w:t xml:space="preserve"> VIII,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447DD">
      <w:rPr>
        <w:rStyle w:val="PageNumber"/>
        <w:noProof/>
        <w:lang w:val="en-US"/>
      </w:rPr>
      <w:t>6</w:t>
    </w:r>
    <w:r w:rsidRPr="00C5280D">
      <w:rPr>
        <w:rStyle w:val="PageNumber"/>
        <w:lang w:val="en-US"/>
      </w:rPr>
      <w:fldChar w:fldCharType="end"/>
    </w:r>
  </w:p>
  <w:p w:rsidR="00023109" w:rsidRPr="00C5280D" w:rsidRDefault="00023109" w:rsidP="004F3A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79D8"/>
    <w:multiLevelType w:val="hybridMultilevel"/>
    <w:tmpl w:val="647C6A9C"/>
    <w:lvl w:ilvl="0" w:tplc="DEE461BC">
      <w:start w:val="1"/>
      <w:numFmt w:val="bullet"/>
      <w:lvlText w:val=""/>
      <w:lvlJc w:val="left"/>
      <w:pPr>
        <w:ind w:left="644" w:hanging="360"/>
      </w:pPr>
      <w:rPr>
        <w:rFonts w:ascii="Symbol" w:hAnsi="Symbol" w:hint="default"/>
        <w:color w:val="auto"/>
        <w:sz w:val="2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05D15076"/>
    <w:multiLevelType w:val="hybridMultilevel"/>
    <w:tmpl w:val="06D68B74"/>
    <w:lvl w:ilvl="0" w:tplc="1982CEB8">
      <w:start w:val="1"/>
      <w:numFmt w:val="decimal"/>
      <w:lvlText w:val="(%1)"/>
      <w:lvlJc w:val="left"/>
      <w:pPr>
        <w:ind w:left="738" w:hanging="648"/>
      </w:pPr>
    </w:lvl>
    <w:lvl w:ilvl="1" w:tplc="30090019">
      <w:start w:val="1"/>
      <w:numFmt w:val="lowerLetter"/>
      <w:lvlText w:val="%2."/>
      <w:lvlJc w:val="left"/>
      <w:pPr>
        <w:ind w:left="1170" w:hanging="360"/>
      </w:pPr>
    </w:lvl>
    <w:lvl w:ilvl="2" w:tplc="3009001B">
      <w:start w:val="1"/>
      <w:numFmt w:val="lowerRoman"/>
      <w:lvlText w:val="%3."/>
      <w:lvlJc w:val="right"/>
      <w:pPr>
        <w:ind w:left="1890" w:hanging="180"/>
      </w:pPr>
    </w:lvl>
    <w:lvl w:ilvl="3" w:tplc="3009000F">
      <w:start w:val="1"/>
      <w:numFmt w:val="decimal"/>
      <w:lvlText w:val="%4."/>
      <w:lvlJc w:val="left"/>
      <w:pPr>
        <w:ind w:left="2610" w:hanging="360"/>
      </w:pPr>
    </w:lvl>
    <w:lvl w:ilvl="4" w:tplc="30090019">
      <w:start w:val="1"/>
      <w:numFmt w:val="lowerLetter"/>
      <w:lvlText w:val="%5."/>
      <w:lvlJc w:val="left"/>
      <w:pPr>
        <w:ind w:left="3330" w:hanging="360"/>
      </w:pPr>
    </w:lvl>
    <w:lvl w:ilvl="5" w:tplc="3009001B">
      <w:start w:val="1"/>
      <w:numFmt w:val="lowerRoman"/>
      <w:lvlText w:val="%6."/>
      <w:lvlJc w:val="right"/>
      <w:pPr>
        <w:ind w:left="4050" w:hanging="180"/>
      </w:pPr>
    </w:lvl>
    <w:lvl w:ilvl="6" w:tplc="3009000F">
      <w:start w:val="1"/>
      <w:numFmt w:val="decimal"/>
      <w:lvlText w:val="%7."/>
      <w:lvlJc w:val="left"/>
      <w:pPr>
        <w:ind w:left="4770" w:hanging="360"/>
      </w:pPr>
    </w:lvl>
    <w:lvl w:ilvl="7" w:tplc="30090019">
      <w:start w:val="1"/>
      <w:numFmt w:val="lowerLetter"/>
      <w:lvlText w:val="%8."/>
      <w:lvlJc w:val="left"/>
      <w:pPr>
        <w:ind w:left="5490" w:hanging="360"/>
      </w:pPr>
    </w:lvl>
    <w:lvl w:ilvl="8" w:tplc="3009001B">
      <w:start w:val="1"/>
      <w:numFmt w:val="lowerRoman"/>
      <w:lvlText w:val="%9."/>
      <w:lvlJc w:val="right"/>
      <w:pPr>
        <w:ind w:left="6210" w:hanging="180"/>
      </w:pPr>
    </w:lvl>
  </w:abstractNum>
  <w:abstractNum w:abstractNumId="2">
    <w:nsid w:val="0E7B36EA"/>
    <w:multiLevelType w:val="hybridMultilevel"/>
    <w:tmpl w:val="FCD4EB82"/>
    <w:lvl w:ilvl="0" w:tplc="37228F54">
      <w:start w:val="1"/>
      <w:numFmt w:val="lowerLetter"/>
      <w:lvlText w:val="(%1)"/>
      <w:lvlJc w:val="left"/>
      <w:pPr>
        <w:ind w:left="360" w:hanging="360"/>
      </w:pPr>
    </w:lvl>
    <w:lvl w:ilvl="1" w:tplc="30090019">
      <w:start w:val="1"/>
      <w:numFmt w:val="lowerLetter"/>
      <w:lvlText w:val="%2."/>
      <w:lvlJc w:val="left"/>
      <w:pPr>
        <w:ind w:left="1080" w:hanging="360"/>
      </w:pPr>
    </w:lvl>
    <w:lvl w:ilvl="2" w:tplc="3009001B">
      <w:start w:val="1"/>
      <w:numFmt w:val="lowerRoman"/>
      <w:lvlText w:val="%3."/>
      <w:lvlJc w:val="right"/>
      <w:pPr>
        <w:ind w:left="1800" w:hanging="180"/>
      </w:pPr>
    </w:lvl>
    <w:lvl w:ilvl="3" w:tplc="3009000F">
      <w:start w:val="1"/>
      <w:numFmt w:val="decimal"/>
      <w:lvlText w:val="%4."/>
      <w:lvlJc w:val="left"/>
      <w:pPr>
        <w:ind w:left="2520" w:hanging="360"/>
      </w:pPr>
    </w:lvl>
    <w:lvl w:ilvl="4" w:tplc="30090019">
      <w:start w:val="1"/>
      <w:numFmt w:val="lowerLetter"/>
      <w:lvlText w:val="%5."/>
      <w:lvlJc w:val="left"/>
      <w:pPr>
        <w:ind w:left="3240" w:hanging="360"/>
      </w:pPr>
    </w:lvl>
    <w:lvl w:ilvl="5" w:tplc="3009001B">
      <w:start w:val="1"/>
      <w:numFmt w:val="lowerRoman"/>
      <w:lvlText w:val="%6."/>
      <w:lvlJc w:val="right"/>
      <w:pPr>
        <w:ind w:left="3960" w:hanging="180"/>
      </w:pPr>
    </w:lvl>
    <w:lvl w:ilvl="6" w:tplc="3009000F">
      <w:start w:val="1"/>
      <w:numFmt w:val="decimal"/>
      <w:lvlText w:val="%7."/>
      <w:lvlJc w:val="left"/>
      <w:pPr>
        <w:ind w:left="4680" w:hanging="360"/>
      </w:pPr>
    </w:lvl>
    <w:lvl w:ilvl="7" w:tplc="30090019">
      <w:start w:val="1"/>
      <w:numFmt w:val="lowerLetter"/>
      <w:lvlText w:val="%8."/>
      <w:lvlJc w:val="left"/>
      <w:pPr>
        <w:ind w:left="5400" w:hanging="360"/>
      </w:pPr>
    </w:lvl>
    <w:lvl w:ilvl="8" w:tplc="3009001B">
      <w:start w:val="1"/>
      <w:numFmt w:val="lowerRoman"/>
      <w:lvlText w:val="%9."/>
      <w:lvlJc w:val="right"/>
      <w:pPr>
        <w:ind w:left="6120" w:hanging="180"/>
      </w:pPr>
    </w:lvl>
  </w:abstractNum>
  <w:abstractNum w:abstractNumId="3">
    <w:nsid w:val="11A51C02"/>
    <w:multiLevelType w:val="hybridMultilevel"/>
    <w:tmpl w:val="BF7C9404"/>
    <w:lvl w:ilvl="0" w:tplc="55841A5A">
      <w:start w:val="6"/>
      <w:numFmt w:val="bullet"/>
      <w:lvlText w:val="–"/>
      <w:lvlJc w:val="left"/>
      <w:pPr>
        <w:ind w:left="720" w:hanging="360"/>
      </w:pPr>
      <w:rPr>
        <w:rFonts w:ascii="Arial" w:eastAsia="SimSu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D27B28"/>
    <w:multiLevelType w:val="hybridMultilevel"/>
    <w:tmpl w:val="BE868A9C"/>
    <w:lvl w:ilvl="0" w:tplc="30090019">
      <w:start w:val="1"/>
      <w:numFmt w:val="lowerLetter"/>
      <w:lvlText w:val="%1."/>
      <w:lvlJc w:val="left"/>
      <w:pPr>
        <w:ind w:left="720" w:hanging="360"/>
      </w:pPr>
      <w:rPr>
        <w:color w:val="auto"/>
      </w:r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5">
    <w:nsid w:val="17251A8F"/>
    <w:multiLevelType w:val="hybridMultilevel"/>
    <w:tmpl w:val="2EA28966"/>
    <w:lvl w:ilvl="0" w:tplc="DEE461BC">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9418CB"/>
    <w:multiLevelType w:val="hybridMultilevel"/>
    <w:tmpl w:val="A3E8AF2A"/>
    <w:lvl w:ilvl="0" w:tplc="DEE461BC">
      <w:start w:val="1"/>
      <w:numFmt w:val="bullet"/>
      <w:lvlText w:val=""/>
      <w:lvlJc w:val="left"/>
      <w:pPr>
        <w:ind w:left="783" w:hanging="360"/>
      </w:pPr>
      <w:rPr>
        <w:rFonts w:ascii="Symbol" w:hAnsi="Symbol" w:hint="default"/>
        <w:sz w:val="20"/>
      </w:rPr>
    </w:lvl>
    <w:lvl w:ilvl="1" w:tplc="59CC7F5E">
      <w:numFmt w:val="bullet"/>
      <w:lvlText w:val="-"/>
      <w:lvlJc w:val="left"/>
      <w:pPr>
        <w:ind w:left="1503" w:hanging="360"/>
      </w:pPr>
      <w:rPr>
        <w:rFonts w:ascii="Times New Roman" w:eastAsia="Times New Roman" w:hAnsi="Times New Roman" w:cs="Times New Roman"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
    <w:nsid w:val="338E16F5"/>
    <w:multiLevelType w:val="hybridMultilevel"/>
    <w:tmpl w:val="DE6EA1F4"/>
    <w:lvl w:ilvl="0" w:tplc="3009001B">
      <w:start w:val="1"/>
      <w:numFmt w:val="lowerRoman"/>
      <w:lvlText w:val="%1."/>
      <w:lvlJc w:val="right"/>
      <w:pPr>
        <w:ind w:left="1440" w:hanging="360"/>
      </w:pPr>
    </w:lvl>
    <w:lvl w:ilvl="1" w:tplc="30090019">
      <w:start w:val="1"/>
      <w:numFmt w:val="lowerLetter"/>
      <w:lvlText w:val="%2."/>
      <w:lvlJc w:val="left"/>
      <w:pPr>
        <w:ind w:left="2160" w:hanging="360"/>
      </w:pPr>
    </w:lvl>
    <w:lvl w:ilvl="2" w:tplc="3009001B">
      <w:start w:val="1"/>
      <w:numFmt w:val="lowerRoman"/>
      <w:lvlText w:val="%3."/>
      <w:lvlJc w:val="right"/>
      <w:pPr>
        <w:ind w:left="2880" w:hanging="180"/>
      </w:pPr>
    </w:lvl>
    <w:lvl w:ilvl="3" w:tplc="3009000F">
      <w:start w:val="1"/>
      <w:numFmt w:val="decimal"/>
      <w:lvlText w:val="%4."/>
      <w:lvlJc w:val="left"/>
      <w:pPr>
        <w:ind w:left="3600" w:hanging="360"/>
      </w:pPr>
    </w:lvl>
    <w:lvl w:ilvl="4" w:tplc="30090019">
      <w:start w:val="1"/>
      <w:numFmt w:val="lowerLetter"/>
      <w:lvlText w:val="%5."/>
      <w:lvlJc w:val="left"/>
      <w:pPr>
        <w:ind w:left="4320" w:hanging="360"/>
      </w:pPr>
    </w:lvl>
    <w:lvl w:ilvl="5" w:tplc="3009001B">
      <w:start w:val="1"/>
      <w:numFmt w:val="lowerRoman"/>
      <w:lvlText w:val="%6."/>
      <w:lvlJc w:val="right"/>
      <w:pPr>
        <w:ind w:left="5040" w:hanging="180"/>
      </w:pPr>
    </w:lvl>
    <w:lvl w:ilvl="6" w:tplc="3009000F">
      <w:start w:val="1"/>
      <w:numFmt w:val="decimal"/>
      <w:lvlText w:val="%7."/>
      <w:lvlJc w:val="left"/>
      <w:pPr>
        <w:ind w:left="5760" w:hanging="360"/>
      </w:pPr>
    </w:lvl>
    <w:lvl w:ilvl="7" w:tplc="30090019">
      <w:start w:val="1"/>
      <w:numFmt w:val="lowerLetter"/>
      <w:lvlText w:val="%8."/>
      <w:lvlJc w:val="left"/>
      <w:pPr>
        <w:ind w:left="6480" w:hanging="360"/>
      </w:pPr>
    </w:lvl>
    <w:lvl w:ilvl="8" w:tplc="3009001B">
      <w:start w:val="1"/>
      <w:numFmt w:val="lowerRoman"/>
      <w:lvlText w:val="%9."/>
      <w:lvlJc w:val="right"/>
      <w:pPr>
        <w:ind w:left="7200" w:hanging="180"/>
      </w:pPr>
    </w:lvl>
  </w:abstractNum>
  <w:abstractNum w:abstractNumId="8">
    <w:nsid w:val="34196199"/>
    <w:multiLevelType w:val="hybridMultilevel"/>
    <w:tmpl w:val="F08A75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AAA3AF3"/>
    <w:multiLevelType w:val="hybridMultilevel"/>
    <w:tmpl w:val="8FE4B916"/>
    <w:lvl w:ilvl="0" w:tplc="DEE461BC">
      <w:start w:val="1"/>
      <w:numFmt w:val="bullet"/>
      <w:lvlText w:val=""/>
      <w:lvlJc w:val="left"/>
      <w:pPr>
        <w:ind w:left="783" w:hanging="360"/>
      </w:pPr>
      <w:rPr>
        <w:rFonts w:ascii="Symbol" w:hAnsi="Symbol" w:hint="default"/>
        <w:sz w:val="20"/>
      </w:rPr>
    </w:lvl>
    <w:lvl w:ilvl="1" w:tplc="59CC7F5E">
      <w:numFmt w:val="bullet"/>
      <w:lvlText w:val="-"/>
      <w:lvlJc w:val="left"/>
      <w:pPr>
        <w:ind w:left="1503" w:hanging="360"/>
      </w:pPr>
      <w:rPr>
        <w:rFonts w:ascii="Times New Roman" w:eastAsia="Times New Roman" w:hAnsi="Times New Roman" w:cs="Times New Roman"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nsid w:val="3D8D0617"/>
    <w:multiLevelType w:val="hybridMultilevel"/>
    <w:tmpl w:val="6C64D996"/>
    <w:lvl w:ilvl="0" w:tplc="483460A0">
      <w:numFmt w:val="bullet"/>
      <w:lvlText w:val="-"/>
      <w:lvlJc w:val="left"/>
      <w:pPr>
        <w:ind w:left="360" w:hanging="360"/>
      </w:pPr>
      <w:rPr>
        <w:rFonts w:ascii="Arial" w:eastAsia="MS Mincho" w:hAnsi="Arial" w:cs="Times New Roman"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1">
    <w:nsid w:val="448911AC"/>
    <w:multiLevelType w:val="hybridMultilevel"/>
    <w:tmpl w:val="3656F57E"/>
    <w:lvl w:ilvl="0" w:tplc="083654E4">
      <w:start w:val="1"/>
      <w:numFmt w:val="decimal"/>
      <w:lvlText w:val="(%1)"/>
      <w:lvlJc w:val="left"/>
      <w:pPr>
        <w:ind w:left="460" w:hanging="370"/>
      </w:pPr>
    </w:lvl>
    <w:lvl w:ilvl="1" w:tplc="30090019">
      <w:start w:val="1"/>
      <w:numFmt w:val="lowerLetter"/>
      <w:lvlText w:val="%2."/>
      <w:lvlJc w:val="left"/>
      <w:pPr>
        <w:ind w:left="1170" w:hanging="360"/>
      </w:pPr>
    </w:lvl>
    <w:lvl w:ilvl="2" w:tplc="3009001B">
      <w:start w:val="1"/>
      <w:numFmt w:val="lowerRoman"/>
      <w:lvlText w:val="%3."/>
      <w:lvlJc w:val="right"/>
      <w:pPr>
        <w:ind w:left="1890" w:hanging="180"/>
      </w:pPr>
    </w:lvl>
    <w:lvl w:ilvl="3" w:tplc="3009000F">
      <w:start w:val="1"/>
      <w:numFmt w:val="decimal"/>
      <w:lvlText w:val="%4."/>
      <w:lvlJc w:val="left"/>
      <w:pPr>
        <w:ind w:left="2610" w:hanging="360"/>
      </w:pPr>
    </w:lvl>
    <w:lvl w:ilvl="4" w:tplc="30090019">
      <w:start w:val="1"/>
      <w:numFmt w:val="lowerLetter"/>
      <w:lvlText w:val="%5."/>
      <w:lvlJc w:val="left"/>
      <w:pPr>
        <w:ind w:left="3330" w:hanging="360"/>
      </w:pPr>
    </w:lvl>
    <w:lvl w:ilvl="5" w:tplc="3009001B">
      <w:start w:val="1"/>
      <w:numFmt w:val="lowerRoman"/>
      <w:lvlText w:val="%6."/>
      <w:lvlJc w:val="right"/>
      <w:pPr>
        <w:ind w:left="4050" w:hanging="180"/>
      </w:pPr>
    </w:lvl>
    <w:lvl w:ilvl="6" w:tplc="3009000F">
      <w:start w:val="1"/>
      <w:numFmt w:val="decimal"/>
      <w:lvlText w:val="%7."/>
      <w:lvlJc w:val="left"/>
      <w:pPr>
        <w:ind w:left="4770" w:hanging="360"/>
      </w:pPr>
    </w:lvl>
    <w:lvl w:ilvl="7" w:tplc="30090019">
      <w:start w:val="1"/>
      <w:numFmt w:val="lowerLetter"/>
      <w:lvlText w:val="%8."/>
      <w:lvlJc w:val="left"/>
      <w:pPr>
        <w:ind w:left="5490" w:hanging="360"/>
      </w:pPr>
    </w:lvl>
    <w:lvl w:ilvl="8" w:tplc="3009001B">
      <w:start w:val="1"/>
      <w:numFmt w:val="lowerRoman"/>
      <w:lvlText w:val="%9."/>
      <w:lvlJc w:val="right"/>
      <w:pPr>
        <w:ind w:left="6210" w:hanging="180"/>
      </w:pPr>
    </w:lvl>
  </w:abstractNum>
  <w:abstractNum w:abstractNumId="12">
    <w:nsid w:val="45CB410E"/>
    <w:multiLevelType w:val="hybridMultilevel"/>
    <w:tmpl w:val="FE5A7B82"/>
    <w:lvl w:ilvl="0" w:tplc="DEE461BC">
      <w:start w:val="1"/>
      <w:numFmt w:val="bullet"/>
      <w:lvlText w:val=""/>
      <w:lvlJc w:val="left"/>
      <w:pPr>
        <w:ind w:left="783" w:hanging="360"/>
      </w:pPr>
      <w:rPr>
        <w:rFonts w:ascii="Symbol" w:hAnsi="Symbol" w:hint="default"/>
        <w:sz w:val="20"/>
      </w:rPr>
    </w:lvl>
    <w:lvl w:ilvl="1" w:tplc="51823D76">
      <w:numFmt w:val="bullet"/>
      <w:lvlText w:val=""/>
      <w:lvlJc w:val="left"/>
      <w:pPr>
        <w:ind w:left="1503" w:hanging="360"/>
      </w:pPr>
      <w:rPr>
        <w:rFonts w:ascii="Symbol" w:hAnsi="Symbol" w:cs="Times New Roman" w:hint="default"/>
        <w:sz w:val="24"/>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3">
    <w:nsid w:val="4C6D3954"/>
    <w:multiLevelType w:val="hybridMultilevel"/>
    <w:tmpl w:val="0038A646"/>
    <w:lvl w:ilvl="0" w:tplc="DEE461BC">
      <w:start w:val="1"/>
      <w:numFmt w:val="bullet"/>
      <w:lvlText w:val=""/>
      <w:lvlJc w:val="left"/>
      <w:pPr>
        <w:ind w:left="783" w:hanging="360"/>
      </w:pPr>
      <w:rPr>
        <w:rFonts w:ascii="Symbol" w:hAnsi="Symbol" w:hint="default"/>
        <w:sz w:val="20"/>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4">
    <w:nsid w:val="50BE4FEB"/>
    <w:multiLevelType w:val="hybridMultilevel"/>
    <w:tmpl w:val="4224DB3A"/>
    <w:lvl w:ilvl="0" w:tplc="C9B47E1E">
      <w:start w:val="1"/>
      <w:numFmt w:val="decimal"/>
      <w:lvlText w:val="(%1)"/>
      <w:lvlJc w:val="left"/>
      <w:pPr>
        <w:ind w:left="360" w:hanging="360"/>
      </w:pPr>
      <w:rPr>
        <w:color w:val="auto"/>
        <w:lang w:val="en-US"/>
      </w:rPr>
    </w:lvl>
    <w:lvl w:ilvl="1" w:tplc="30090019">
      <w:start w:val="1"/>
      <w:numFmt w:val="lowerLetter"/>
      <w:lvlText w:val="%2."/>
      <w:lvlJc w:val="left"/>
      <w:pPr>
        <w:ind w:left="1080" w:hanging="360"/>
      </w:pPr>
    </w:lvl>
    <w:lvl w:ilvl="2" w:tplc="3009001B">
      <w:start w:val="1"/>
      <w:numFmt w:val="lowerRoman"/>
      <w:lvlText w:val="%3."/>
      <w:lvlJc w:val="right"/>
      <w:pPr>
        <w:ind w:left="1800" w:hanging="180"/>
      </w:pPr>
    </w:lvl>
    <w:lvl w:ilvl="3" w:tplc="3009000F">
      <w:start w:val="1"/>
      <w:numFmt w:val="decimal"/>
      <w:lvlText w:val="%4."/>
      <w:lvlJc w:val="left"/>
      <w:pPr>
        <w:ind w:left="2520" w:hanging="360"/>
      </w:pPr>
    </w:lvl>
    <w:lvl w:ilvl="4" w:tplc="30090019">
      <w:start w:val="1"/>
      <w:numFmt w:val="lowerLetter"/>
      <w:lvlText w:val="%5."/>
      <w:lvlJc w:val="left"/>
      <w:pPr>
        <w:ind w:left="3240" w:hanging="360"/>
      </w:pPr>
    </w:lvl>
    <w:lvl w:ilvl="5" w:tplc="3009001B">
      <w:start w:val="1"/>
      <w:numFmt w:val="lowerRoman"/>
      <w:lvlText w:val="%6."/>
      <w:lvlJc w:val="right"/>
      <w:pPr>
        <w:ind w:left="3960" w:hanging="180"/>
      </w:pPr>
    </w:lvl>
    <w:lvl w:ilvl="6" w:tplc="3009000F">
      <w:start w:val="1"/>
      <w:numFmt w:val="decimal"/>
      <w:lvlText w:val="%7."/>
      <w:lvlJc w:val="left"/>
      <w:pPr>
        <w:ind w:left="4680" w:hanging="360"/>
      </w:pPr>
    </w:lvl>
    <w:lvl w:ilvl="7" w:tplc="30090019">
      <w:start w:val="1"/>
      <w:numFmt w:val="lowerLetter"/>
      <w:lvlText w:val="%8."/>
      <w:lvlJc w:val="left"/>
      <w:pPr>
        <w:ind w:left="5400" w:hanging="360"/>
      </w:pPr>
    </w:lvl>
    <w:lvl w:ilvl="8" w:tplc="3009001B">
      <w:start w:val="1"/>
      <w:numFmt w:val="lowerRoman"/>
      <w:lvlText w:val="%9."/>
      <w:lvlJc w:val="right"/>
      <w:pPr>
        <w:ind w:left="6120" w:hanging="180"/>
      </w:pPr>
    </w:lvl>
  </w:abstractNum>
  <w:abstractNum w:abstractNumId="1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6">
    <w:nsid w:val="57314A1D"/>
    <w:multiLevelType w:val="hybridMultilevel"/>
    <w:tmpl w:val="2B941D9C"/>
    <w:lvl w:ilvl="0" w:tplc="17AEECB2">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7681B6C"/>
    <w:multiLevelType w:val="hybridMultilevel"/>
    <w:tmpl w:val="6AD6EA26"/>
    <w:lvl w:ilvl="0" w:tplc="DEE461BC">
      <w:start w:val="1"/>
      <w:numFmt w:val="bullet"/>
      <w:lvlText w:val=""/>
      <w:lvlJc w:val="left"/>
      <w:pPr>
        <w:ind w:left="1077" w:hanging="360"/>
      </w:pPr>
      <w:rPr>
        <w:rFonts w:ascii="Symbol" w:hAnsi="Symbol" w:hint="default"/>
        <w:sz w:val="20"/>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nsid w:val="78522786"/>
    <w:multiLevelType w:val="hybridMultilevel"/>
    <w:tmpl w:val="357ADBC8"/>
    <w:lvl w:ilvl="0" w:tplc="F61E617C">
      <w:start w:val="1"/>
      <w:numFmt w:val="decimal"/>
      <w:lvlText w:val="(%1)"/>
      <w:lvlJc w:val="left"/>
      <w:pPr>
        <w:ind w:left="405" w:hanging="405"/>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78825A29"/>
    <w:multiLevelType w:val="hybridMultilevel"/>
    <w:tmpl w:val="2492576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0">
    <w:nsid w:val="79E34952"/>
    <w:multiLevelType w:val="hybridMultilevel"/>
    <w:tmpl w:val="06D68B74"/>
    <w:lvl w:ilvl="0" w:tplc="1982CEB8">
      <w:start w:val="1"/>
      <w:numFmt w:val="decimal"/>
      <w:lvlText w:val="(%1)"/>
      <w:lvlJc w:val="left"/>
      <w:pPr>
        <w:ind w:left="738" w:hanging="648"/>
      </w:pPr>
    </w:lvl>
    <w:lvl w:ilvl="1" w:tplc="30090019">
      <w:start w:val="1"/>
      <w:numFmt w:val="lowerLetter"/>
      <w:lvlText w:val="%2."/>
      <w:lvlJc w:val="left"/>
      <w:pPr>
        <w:ind w:left="1170" w:hanging="360"/>
      </w:pPr>
    </w:lvl>
    <w:lvl w:ilvl="2" w:tplc="3009001B">
      <w:start w:val="1"/>
      <w:numFmt w:val="lowerRoman"/>
      <w:lvlText w:val="%3."/>
      <w:lvlJc w:val="right"/>
      <w:pPr>
        <w:ind w:left="1890" w:hanging="180"/>
      </w:pPr>
    </w:lvl>
    <w:lvl w:ilvl="3" w:tplc="3009000F">
      <w:start w:val="1"/>
      <w:numFmt w:val="decimal"/>
      <w:lvlText w:val="%4."/>
      <w:lvlJc w:val="left"/>
      <w:pPr>
        <w:ind w:left="2610" w:hanging="360"/>
      </w:pPr>
    </w:lvl>
    <w:lvl w:ilvl="4" w:tplc="30090019">
      <w:start w:val="1"/>
      <w:numFmt w:val="lowerLetter"/>
      <w:lvlText w:val="%5."/>
      <w:lvlJc w:val="left"/>
      <w:pPr>
        <w:ind w:left="3330" w:hanging="360"/>
      </w:pPr>
    </w:lvl>
    <w:lvl w:ilvl="5" w:tplc="3009001B">
      <w:start w:val="1"/>
      <w:numFmt w:val="lowerRoman"/>
      <w:lvlText w:val="%6."/>
      <w:lvlJc w:val="right"/>
      <w:pPr>
        <w:ind w:left="4050" w:hanging="180"/>
      </w:pPr>
    </w:lvl>
    <w:lvl w:ilvl="6" w:tplc="3009000F">
      <w:start w:val="1"/>
      <w:numFmt w:val="decimal"/>
      <w:lvlText w:val="%7."/>
      <w:lvlJc w:val="left"/>
      <w:pPr>
        <w:ind w:left="4770" w:hanging="360"/>
      </w:pPr>
    </w:lvl>
    <w:lvl w:ilvl="7" w:tplc="30090019">
      <w:start w:val="1"/>
      <w:numFmt w:val="lowerLetter"/>
      <w:lvlText w:val="%8."/>
      <w:lvlJc w:val="left"/>
      <w:pPr>
        <w:ind w:left="5490" w:hanging="360"/>
      </w:pPr>
    </w:lvl>
    <w:lvl w:ilvl="8" w:tplc="3009001B">
      <w:start w:val="1"/>
      <w:numFmt w:val="lowerRoman"/>
      <w:lvlText w:val="%9."/>
      <w:lvlJc w:val="right"/>
      <w:pPr>
        <w:ind w:left="6210" w:hanging="180"/>
      </w:pPr>
    </w:lvl>
  </w:abstractNum>
  <w:abstractNum w:abstractNumId="21">
    <w:nsid w:val="7CE94540"/>
    <w:multiLevelType w:val="hybridMultilevel"/>
    <w:tmpl w:val="E37A78C8"/>
    <w:lvl w:ilvl="0" w:tplc="2DA4344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9"/>
  </w:num>
  <w:num w:numId="3">
    <w:abstractNumId w:val="8"/>
  </w:num>
  <w:num w:numId="4">
    <w:abstractNumId w:val="16"/>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5"/>
  </w:num>
  <w:num w:numId="11">
    <w:abstractNumId w:val="13"/>
  </w:num>
  <w:num w:numId="12">
    <w:abstractNumId w:val="9"/>
  </w:num>
  <w:num w:numId="13">
    <w:abstractNumId w:val="6"/>
  </w:num>
  <w:num w:numId="14">
    <w:abstractNumId w:val="17"/>
  </w:num>
  <w:num w:numId="15">
    <w:abstractNumId w:val="12"/>
  </w:num>
  <w:num w:numId="16">
    <w:abstractNumId w:val="1"/>
  </w:num>
  <w:num w:numId="17">
    <w:abstractNumId w:val="20"/>
  </w:num>
  <w:num w:numId="18">
    <w:abstractNumId w:val="18"/>
  </w:num>
  <w:num w:numId="19">
    <w:abstractNumId w:val="2"/>
  </w:num>
  <w:num w:numId="20">
    <w:abstractNumId w:val="11"/>
  </w:num>
  <w:num w:numId="21">
    <w:abstractNumId w:val="14"/>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pos w:val="sectEnd"/>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C11"/>
    <w:rsid w:val="00010CF3"/>
    <w:rsid w:val="00011E27"/>
    <w:rsid w:val="000148BC"/>
    <w:rsid w:val="00023109"/>
    <w:rsid w:val="00024AB8"/>
    <w:rsid w:val="00030854"/>
    <w:rsid w:val="00036028"/>
    <w:rsid w:val="00044642"/>
    <w:rsid w:val="000446B9"/>
    <w:rsid w:val="00047E21"/>
    <w:rsid w:val="000504DF"/>
    <w:rsid w:val="00066C42"/>
    <w:rsid w:val="00085505"/>
    <w:rsid w:val="000B4628"/>
    <w:rsid w:val="000B6E8B"/>
    <w:rsid w:val="000C7021"/>
    <w:rsid w:val="000D6BBC"/>
    <w:rsid w:val="000D7780"/>
    <w:rsid w:val="00105929"/>
    <w:rsid w:val="00106F80"/>
    <w:rsid w:val="0011211E"/>
    <w:rsid w:val="001131D5"/>
    <w:rsid w:val="00141DB8"/>
    <w:rsid w:val="001430DB"/>
    <w:rsid w:val="0014714C"/>
    <w:rsid w:val="0017474A"/>
    <w:rsid w:val="001758C6"/>
    <w:rsid w:val="00176792"/>
    <w:rsid w:val="0021332C"/>
    <w:rsid w:val="00213982"/>
    <w:rsid w:val="00235267"/>
    <w:rsid w:val="0024416D"/>
    <w:rsid w:val="002456C6"/>
    <w:rsid w:val="00245BB7"/>
    <w:rsid w:val="00276F75"/>
    <w:rsid w:val="002800A0"/>
    <w:rsid w:val="002801B3"/>
    <w:rsid w:val="00280CB7"/>
    <w:rsid w:val="00281060"/>
    <w:rsid w:val="002940E8"/>
    <w:rsid w:val="002A6E50"/>
    <w:rsid w:val="002C10E5"/>
    <w:rsid w:val="002C256A"/>
    <w:rsid w:val="00305A7F"/>
    <w:rsid w:val="003152FE"/>
    <w:rsid w:val="00320AE8"/>
    <w:rsid w:val="00327436"/>
    <w:rsid w:val="0032751D"/>
    <w:rsid w:val="00344BD6"/>
    <w:rsid w:val="0035528D"/>
    <w:rsid w:val="00361821"/>
    <w:rsid w:val="003D12A9"/>
    <w:rsid w:val="003D227C"/>
    <w:rsid w:val="003D2B4D"/>
    <w:rsid w:val="003D7E71"/>
    <w:rsid w:val="00415D2A"/>
    <w:rsid w:val="00417F96"/>
    <w:rsid w:val="00422BD2"/>
    <w:rsid w:val="0043005A"/>
    <w:rsid w:val="00435FF1"/>
    <w:rsid w:val="00444A88"/>
    <w:rsid w:val="00474DA4"/>
    <w:rsid w:val="00483F7E"/>
    <w:rsid w:val="004D047D"/>
    <w:rsid w:val="004E242A"/>
    <w:rsid w:val="004E580E"/>
    <w:rsid w:val="004F305A"/>
    <w:rsid w:val="004F3AB8"/>
    <w:rsid w:val="00504051"/>
    <w:rsid w:val="00512164"/>
    <w:rsid w:val="00520297"/>
    <w:rsid w:val="005338F9"/>
    <w:rsid w:val="00534C11"/>
    <w:rsid w:val="0054281C"/>
    <w:rsid w:val="0055268D"/>
    <w:rsid w:val="00576BE4"/>
    <w:rsid w:val="005A400A"/>
    <w:rsid w:val="005E6DA6"/>
    <w:rsid w:val="00612379"/>
    <w:rsid w:val="0061555F"/>
    <w:rsid w:val="00641200"/>
    <w:rsid w:val="006657AB"/>
    <w:rsid w:val="00687EB4"/>
    <w:rsid w:val="006B17D2"/>
    <w:rsid w:val="006C224E"/>
    <w:rsid w:val="006D780A"/>
    <w:rsid w:val="00732DEC"/>
    <w:rsid w:val="00735BD5"/>
    <w:rsid w:val="007556F6"/>
    <w:rsid w:val="00760EEF"/>
    <w:rsid w:val="00772AD1"/>
    <w:rsid w:val="00777EE5"/>
    <w:rsid w:val="00784836"/>
    <w:rsid w:val="0079023E"/>
    <w:rsid w:val="007A2854"/>
    <w:rsid w:val="007D0B9D"/>
    <w:rsid w:val="007D19B0"/>
    <w:rsid w:val="007D4543"/>
    <w:rsid w:val="007F498F"/>
    <w:rsid w:val="0080679D"/>
    <w:rsid w:val="008108B0"/>
    <w:rsid w:val="00811B20"/>
    <w:rsid w:val="00813041"/>
    <w:rsid w:val="0082296E"/>
    <w:rsid w:val="00824099"/>
    <w:rsid w:val="00837173"/>
    <w:rsid w:val="008405FF"/>
    <w:rsid w:val="00840A7D"/>
    <w:rsid w:val="008474F4"/>
    <w:rsid w:val="00857FCB"/>
    <w:rsid w:val="00867AC1"/>
    <w:rsid w:val="008A743F"/>
    <w:rsid w:val="008C0970"/>
    <w:rsid w:val="008D2CF7"/>
    <w:rsid w:val="008D3729"/>
    <w:rsid w:val="008F403F"/>
    <w:rsid w:val="00900C26"/>
    <w:rsid w:val="0090197F"/>
    <w:rsid w:val="00906DDC"/>
    <w:rsid w:val="00934E09"/>
    <w:rsid w:val="00936253"/>
    <w:rsid w:val="0093785F"/>
    <w:rsid w:val="00944AEF"/>
    <w:rsid w:val="00952DD4"/>
    <w:rsid w:val="00967CE8"/>
    <w:rsid w:val="00970FED"/>
    <w:rsid w:val="009809C6"/>
    <w:rsid w:val="00997029"/>
    <w:rsid w:val="009D655A"/>
    <w:rsid w:val="009D690D"/>
    <w:rsid w:val="009E65B6"/>
    <w:rsid w:val="009F40E4"/>
    <w:rsid w:val="00A06566"/>
    <w:rsid w:val="00A42AC3"/>
    <w:rsid w:val="00A430CF"/>
    <w:rsid w:val="00A47CDB"/>
    <w:rsid w:val="00A54309"/>
    <w:rsid w:val="00AB2B93"/>
    <w:rsid w:val="00AB7E5B"/>
    <w:rsid w:val="00AD6403"/>
    <w:rsid w:val="00AE0EF1"/>
    <w:rsid w:val="00B07301"/>
    <w:rsid w:val="00B224DE"/>
    <w:rsid w:val="00B314D5"/>
    <w:rsid w:val="00B438DE"/>
    <w:rsid w:val="00B84BBD"/>
    <w:rsid w:val="00BA43FB"/>
    <w:rsid w:val="00BC127D"/>
    <w:rsid w:val="00BC1FE6"/>
    <w:rsid w:val="00BD634F"/>
    <w:rsid w:val="00C061B6"/>
    <w:rsid w:val="00C13808"/>
    <w:rsid w:val="00C23554"/>
    <w:rsid w:val="00C2446C"/>
    <w:rsid w:val="00C36AE5"/>
    <w:rsid w:val="00C41F17"/>
    <w:rsid w:val="00C5791C"/>
    <w:rsid w:val="00C66290"/>
    <w:rsid w:val="00C72B7A"/>
    <w:rsid w:val="00C734F7"/>
    <w:rsid w:val="00C92C60"/>
    <w:rsid w:val="00C973F2"/>
    <w:rsid w:val="00CA1A88"/>
    <w:rsid w:val="00CA774A"/>
    <w:rsid w:val="00CC11B0"/>
    <w:rsid w:val="00CF7E36"/>
    <w:rsid w:val="00D3708D"/>
    <w:rsid w:val="00D3781D"/>
    <w:rsid w:val="00D40426"/>
    <w:rsid w:val="00D447DD"/>
    <w:rsid w:val="00D57C96"/>
    <w:rsid w:val="00D91203"/>
    <w:rsid w:val="00D95174"/>
    <w:rsid w:val="00DA6F36"/>
    <w:rsid w:val="00DB596E"/>
    <w:rsid w:val="00DC00EA"/>
    <w:rsid w:val="00E4565F"/>
    <w:rsid w:val="00E72D49"/>
    <w:rsid w:val="00E7593C"/>
    <w:rsid w:val="00E7678A"/>
    <w:rsid w:val="00E935F1"/>
    <w:rsid w:val="00E94A81"/>
    <w:rsid w:val="00EA1FFB"/>
    <w:rsid w:val="00EA5245"/>
    <w:rsid w:val="00EA781B"/>
    <w:rsid w:val="00EB048E"/>
    <w:rsid w:val="00EC101F"/>
    <w:rsid w:val="00ED7F5E"/>
    <w:rsid w:val="00EE34DF"/>
    <w:rsid w:val="00EF2F89"/>
    <w:rsid w:val="00F1237A"/>
    <w:rsid w:val="00F22CBD"/>
    <w:rsid w:val="00F45372"/>
    <w:rsid w:val="00F560F7"/>
    <w:rsid w:val="00F56180"/>
    <w:rsid w:val="00F6334D"/>
    <w:rsid w:val="00F9505F"/>
    <w:rsid w:val="00FA49AB"/>
    <w:rsid w:val="00FE39C7"/>
    <w:rsid w:val="00FF4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C60"/>
    <w:pPr>
      <w:jc w:val="both"/>
    </w:pPr>
    <w:rPr>
      <w:rFonts w:ascii="Arial" w:hAnsi="Arial"/>
      <w:lang w:val="fr-FR"/>
    </w:rPr>
  </w:style>
  <w:style w:type="paragraph" w:styleId="Heading1">
    <w:name w:val="heading 1"/>
    <w:next w:val="Normal"/>
    <w:autoRedefine/>
    <w:qFormat/>
    <w:rsid w:val="0043005A"/>
    <w:pPr>
      <w:keepNext/>
      <w:jc w:val="both"/>
      <w:outlineLvl w:val="0"/>
    </w:pPr>
    <w:rPr>
      <w:rFonts w:ascii="Arial" w:hAnsi="Arial"/>
      <w:caps/>
    </w:rPr>
  </w:style>
  <w:style w:type="paragraph" w:styleId="Heading2">
    <w:name w:val="heading 2"/>
    <w:next w:val="Normal"/>
    <w:autoRedefine/>
    <w:qFormat/>
    <w:rsid w:val="0043005A"/>
    <w:pPr>
      <w:keepNext/>
      <w:jc w:val="both"/>
      <w:outlineLvl w:val="1"/>
    </w:pPr>
    <w:rPr>
      <w:rFonts w:ascii="Arial" w:hAnsi="Arial"/>
      <w:u w:val="single"/>
    </w:rPr>
  </w:style>
  <w:style w:type="paragraph" w:styleId="Heading3">
    <w:name w:val="heading 3"/>
    <w:next w:val="Normal"/>
    <w:autoRedefine/>
    <w:qFormat/>
    <w:rsid w:val="0043005A"/>
    <w:pPr>
      <w:keepNext/>
      <w:jc w:val="both"/>
      <w:outlineLvl w:val="2"/>
    </w:pPr>
    <w:rPr>
      <w:rFonts w:ascii="Arial" w:hAnsi="Arial"/>
      <w:i/>
    </w:rPr>
  </w:style>
  <w:style w:type="paragraph" w:styleId="Heading4">
    <w:name w:val="heading 4"/>
    <w:next w:val="Normal"/>
    <w:autoRedefine/>
    <w:qFormat/>
    <w:rsid w:val="0043005A"/>
    <w:pPr>
      <w:keepNext/>
      <w:ind w:left="567"/>
      <w:jc w:val="both"/>
      <w:outlineLvl w:val="3"/>
    </w:pPr>
    <w:rPr>
      <w:rFonts w:ascii="Arial" w:hAnsi="Arial"/>
      <w:i/>
      <w:lang w:val="fr-FR"/>
    </w:rPr>
  </w:style>
  <w:style w:type="paragraph" w:styleId="Heading5">
    <w:name w:val="heading 5"/>
    <w:next w:val="Normal"/>
    <w:autoRedefine/>
    <w:qFormat/>
    <w:rsid w:val="00F9505F"/>
    <w:pPr>
      <w:keepNext/>
      <w:ind w:left="1134" w:hanging="567"/>
      <w:jc w:val="both"/>
      <w:outlineLvl w:val="4"/>
    </w:pPr>
    <w:rPr>
      <w:rFonts w:ascii="Arial" w:hAnsi="Arial"/>
      <w:sz w:val="18"/>
      <w:szCs w:val="18"/>
      <w:lang w:val="fr-FR"/>
    </w:rPr>
  </w:style>
  <w:style w:type="paragraph" w:styleId="Heading7">
    <w:name w:val="heading 7"/>
    <w:basedOn w:val="Normal"/>
    <w:next w:val="Normal"/>
    <w:link w:val="Heading7Char"/>
    <w:qFormat/>
    <w:rsid w:val="00023109"/>
    <w:pPr>
      <w:keepNext/>
      <w:outlineLvl w:val="6"/>
    </w:pPr>
    <w:rPr>
      <w:rFonts w:ascii="Times New Roman" w:hAnsi="Times New Roman"/>
      <w:sz w:val="22"/>
      <w:szCs w:val="22"/>
      <w:u w:val="single"/>
      <w:lang w:val="en-GB"/>
    </w:rPr>
  </w:style>
  <w:style w:type="paragraph" w:styleId="Heading8">
    <w:name w:val="heading 8"/>
    <w:basedOn w:val="Normal"/>
    <w:next w:val="Normal"/>
    <w:link w:val="Heading8Char"/>
    <w:qFormat/>
    <w:rsid w:val="00944AEF"/>
    <w:pPr>
      <w:keepNext/>
      <w:tabs>
        <w:tab w:val="left" w:pos="567"/>
        <w:tab w:val="left" w:pos="4962"/>
      </w:tabs>
      <w:jc w:val="center"/>
      <w:outlineLvl w:val="7"/>
    </w:pPr>
    <w:rPr>
      <w:u w:val="single"/>
      <w:lang w:val="en-GB" w:eastAsia="pl-PL"/>
    </w:rPr>
  </w:style>
  <w:style w:type="paragraph" w:styleId="Heading9">
    <w:name w:val="heading 9"/>
    <w:basedOn w:val="Normal"/>
    <w:next w:val="Normal"/>
    <w:qFormat/>
    <w:rsid w:val="0043005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C92C60"/>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14714C"/>
    <w:pPr>
      <w:spacing w:after="60"/>
      <w:jc w:val="both"/>
    </w:pPr>
    <w:rPr>
      <w:rFonts w:ascii="Arial" w:hAnsi="Arial"/>
      <w:sz w:val="12"/>
    </w:rPr>
  </w:style>
  <w:style w:type="character" w:styleId="PageNumber">
    <w:name w:val="page number"/>
    <w:basedOn w:val="DefaultParagraphFont"/>
    <w:rsid w:val="0043005A"/>
    <w:rPr>
      <w:rFonts w:ascii="Arial" w:hAnsi="Arial"/>
      <w:sz w:val="20"/>
    </w:rPr>
  </w:style>
  <w:style w:type="paragraph" w:styleId="Title">
    <w:name w:val="Title"/>
    <w:basedOn w:val="Normal"/>
    <w:qFormat/>
    <w:rsid w:val="0043005A"/>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43005A"/>
    <w:pPr>
      <w:spacing w:line="280" w:lineRule="exact"/>
      <w:ind w:left="1361"/>
    </w:pPr>
    <w:rPr>
      <w:b/>
      <w:bCs/>
      <w:spacing w:val="10"/>
    </w:rPr>
  </w:style>
  <w:style w:type="paragraph" w:customStyle="1" w:styleId="DecisionParagraphs">
    <w:name w:val="DecisionParagraphs"/>
    <w:basedOn w:val="Normal"/>
    <w:rsid w:val="0043005A"/>
    <w:pPr>
      <w:tabs>
        <w:tab w:val="left" w:pos="5387"/>
      </w:tabs>
      <w:ind w:left="4820"/>
    </w:pPr>
    <w:rPr>
      <w:i/>
    </w:rPr>
  </w:style>
  <w:style w:type="paragraph" w:styleId="FootnoteText">
    <w:name w:val="footnote text"/>
    <w:link w:val="FootnoteTextChar"/>
    <w:autoRedefine/>
    <w:rsid w:val="0043005A"/>
    <w:pPr>
      <w:spacing w:before="60"/>
      <w:ind w:left="567" w:hanging="567"/>
      <w:jc w:val="both"/>
    </w:pPr>
    <w:rPr>
      <w:rFonts w:ascii="Arial" w:hAnsi="Arial"/>
      <w:sz w:val="16"/>
    </w:rPr>
  </w:style>
  <w:style w:type="character" w:styleId="FootnoteReference">
    <w:name w:val="footnote reference"/>
    <w:basedOn w:val="DefaultParagraphFont"/>
    <w:semiHidden/>
    <w:rsid w:val="0043005A"/>
    <w:rPr>
      <w:vertAlign w:val="superscript"/>
    </w:rPr>
  </w:style>
  <w:style w:type="paragraph" w:styleId="Closing">
    <w:name w:val="Closing"/>
    <w:basedOn w:val="Normal"/>
    <w:rsid w:val="0043005A"/>
    <w:pPr>
      <w:ind w:left="4536"/>
      <w:jc w:val="center"/>
    </w:pPr>
  </w:style>
  <w:style w:type="paragraph" w:styleId="Index1">
    <w:name w:val="index 1"/>
    <w:basedOn w:val="Normal"/>
    <w:next w:val="Normal"/>
    <w:semiHidden/>
    <w:rsid w:val="0043005A"/>
    <w:pPr>
      <w:tabs>
        <w:tab w:val="right" w:leader="dot" w:pos="9071"/>
      </w:tabs>
      <w:ind w:left="284" w:hanging="284"/>
    </w:pPr>
    <w:rPr>
      <w:sz w:val="24"/>
    </w:rPr>
  </w:style>
  <w:style w:type="paragraph" w:styleId="Index2">
    <w:name w:val="index 2"/>
    <w:basedOn w:val="Normal"/>
    <w:next w:val="Normal"/>
    <w:semiHidden/>
    <w:rsid w:val="0043005A"/>
    <w:pPr>
      <w:tabs>
        <w:tab w:val="right" w:leader="dot" w:pos="9071"/>
      </w:tabs>
      <w:ind w:left="568" w:hanging="284"/>
    </w:pPr>
    <w:rPr>
      <w:sz w:val="24"/>
    </w:rPr>
  </w:style>
  <w:style w:type="paragraph" w:styleId="Index3">
    <w:name w:val="index 3"/>
    <w:basedOn w:val="Normal"/>
    <w:next w:val="Normal"/>
    <w:semiHidden/>
    <w:rsid w:val="0043005A"/>
    <w:pPr>
      <w:tabs>
        <w:tab w:val="right" w:leader="dot" w:pos="9071"/>
      </w:tabs>
      <w:ind w:left="851" w:hanging="284"/>
    </w:pPr>
    <w:rPr>
      <w:sz w:val="24"/>
    </w:rPr>
  </w:style>
  <w:style w:type="paragraph" w:styleId="MacroText">
    <w:name w:val="macro"/>
    <w:semiHidden/>
    <w:rsid w:val="0043005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43005A"/>
    <w:pPr>
      <w:ind w:left="4536"/>
      <w:jc w:val="center"/>
    </w:pPr>
  </w:style>
  <w:style w:type="character" w:customStyle="1" w:styleId="Doclang">
    <w:name w:val="Doc_lang"/>
    <w:basedOn w:val="DefaultParagraphFont"/>
    <w:rsid w:val="0043005A"/>
    <w:rPr>
      <w:rFonts w:ascii="Arial" w:hAnsi="Arial"/>
      <w:sz w:val="20"/>
      <w:lang w:val="en-US"/>
    </w:rPr>
  </w:style>
  <w:style w:type="paragraph" w:customStyle="1" w:styleId="Session">
    <w:name w:val="Session"/>
    <w:basedOn w:val="Normal"/>
    <w:semiHidden/>
    <w:rsid w:val="0043005A"/>
    <w:pPr>
      <w:spacing w:before="60"/>
      <w:jc w:val="center"/>
    </w:pPr>
    <w:rPr>
      <w:b/>
    </w:rPr>
  </w:style>
  <w:style w:type="paragraph" w:customStyle="1" w:styleId="Organizer">
    <w:name w:val="Organizer"/>
    <w:basedOn w:val="Normal"/>
    <w:semiHidden/>
    <w:rsid w:val="0043005A"/>
    <w:pPr>
      <w:spacing w:after="600"/>
      <w:ind w:left="-993" w:right="-994"/>
      <w:jc w:val="center"/>
    </w:pPr>
    <w:rPr>
      <w:b/>
      <w:caps/>
      <w:kern w:val="26"/>
      <w:sz w:val="26"/>
    </w:rPr>
  </w:style>
  <w:style w:type="paragraph" w:styleId="BodyText">
    <w:name w:val="Body Text"/>
    <w:basedOn w:val="Normal"/>
    <w:rsid w:val="0043005A"/>
  </w:style>
  <w:style w:type="paragraph" w:customStyle="1" w:styleId="StyleDocoriginalNotBold">
    <w:name w:val="Style Doc_original + Not Bold"/>
    <w:basedOn w:val="Docoriginal"/>
    <w:link w:val="StyleDocoriginalNotBoldChar"/>
    <w:autoRedefine/>
    <w:rsid w:val="0043005A"/>
    <w:pPr>
      <w:ind w:left="1589"/>
      <w:jc w:val="left"/>
    </w:pPr>
  </w:style>
  <w:style w:type="paragraph" w:customStyle="1" w:styleId="upove">
    <w:name w:val="upov_e"/>
    <w:basedOn w:val="Normal"/>
    <w:rsid w:val="0043005A"/>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43005A"/>
  </w:style>
  <w:style w:type="paragraph" w:styleId="EndnoteText">
    <w:name w:val="endnote text"/>
    <w:basedOn w:val="Normal"/>
    <w:semiHidden/>
    <w:rsid w:val="0043005A"/>
  </w:style>
  <w:style w:type="character" w:styleId="EndnoteReference">
    <w:name w:val="endnote reference"/>
    <w:basedOn w:val="DefaultParagraphFont"/>
    <w:semiHidden/>
    <w:rsid w:val="0043005A"/>
    <w:rPr>
      <w:vertAlign w:val="superscript"/>
    </w:rPr>
  </w:style>
  <w:style w:type="paragraph" w:customStyle="1" w:styleId="SessionMeetingPlace">
    <w:name w:val="Session_MeetingPlace"/>
    <w:basedOn w:val="Normal"/>
    <w:semiHidden/>
    <w:rsid w:val="0043005A"/>
    <w:pPr>
      <w:spacing w:before="480"/>
      <w:jc w:val="center"/>
    </w:pPr>
    <w:rPr>
      <w:b/>
      <w:bCs/>
      <w:kern w:val="28"/>
      <w:sz w:val="24"/>
    </w:rPr>
  </w:style>
  <w:style w:type="paragraph" w:customStyle="1" w:styleId="Original">
    <w:name w:val="Original"/>
    <w:basedOn w:val="Normal"/>
    <w:semiHidden/>
    <w:rsid w:val="0043005A"/>
    <w:pPr>
      <w:spacing w:before="60"/>
      <w:ind w:left="1276"/>
    </w:pPr>
    <w:rPr>
      <w:b/>
      <w:sz w:val="22"/>
    </w:rPr>
  </w:style>
  <w:style w:type="paragraph" w:styleId="Date">
    <w:name w:val="Date"/>
    <w:basedOn w:val="Normal"/>
    <w:semiHidden/>
    <w:rsid w:val="0043005A"/>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43005A"/>
    <w:pPr>
      <w:spacing w:before="60" w:after="480"/>
      <w:jc w:val="center"/>
    </w:pPr>
  </w:style>
  <w:style w:type="paragraph" w:customStyle="1" w:styleId="Lettrine">
    <w:name w:val="Lettrine"/>
    <w:basedOn w:val="Normal"/>
    <w:rsid w:val="0043005A"/>
    <w:pPr>
      <w:spacing w:after="120" w:line="340" w:lineRule="atLeast"/>
      <w:jc w:val="right"/>
    </w:pPr>
    <w:rPr>
      <w:b/>
      <w:bCs/>
      <w:sz w:val="56"/>
    </w:rPr>
  </w:style>
  <w:style w:type="paragraph" w:customStyle="1" w:styleId="LogoUPOV">
    <w:name w:val="LogoUPOV"/>
    <w:basedOn w:val="Normal"/>
    <w:rsid w:val="0043005A"/>
    <w:pPr>
      <w:spacing w:before="720"/>
      <w:jc w:val="center"/>
    </w:pPr>
  </w:style>
  <w:style w:type="paragraph" w:customStyle="1" w:styleId="Sessiontc">
    <w:name w:val="Session_tc"/>
    <w:basedOn w:val="StyleSessionAllcaps"/>
    <w:rsid w:val="0043005A"/>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43005A"/>
    <w:pPr>
      <w:spacing w:before="480"/>
    </w:pPr>
    <w:rPr>
      <w:bCs/>
      <w:caps/>
      <w:kern w:val="28"/>
      <w:sz w:val="24"/>
    </w:rPr>
  </w:style>
  <w:style w:type="paragraph" w:customStyle="1" w:styleId="plcountry">
    <w:name w:val="plcountry"/>
    <w:basedOn w:val="Normal"/>
    <w:rsid w:val="0043005A"/>
    <w:pPr>
      <w:keepNext/>
      <w:keepLines/>
      <w:spacing w:before="180" w:after="120"/>
      <w:jc w:val="left"/>
    </w:pPr>
    <w:rPr>
      <w:caps/>
      <w:noProof/>
      <w:snapToGrid w:val="0"/>
      <w:u w:val="single"/>
    </w:rPr>
  </w:style>
  <w:style w:type="paragraph" w:customStyle="1" w:styleId="pldetails">
    <w:name w:val="pldetails"/>
    <w:basedOn w:val="Normal"/>
    <w:rsid w:val="0043005A"/>
    <w:pPr>
      <w:keepLines/>
      <w:spacing w:before="60" w:after="60"/>
      <w:jc w:val="left"/>
    </w:pPr>
    <w:rPr>
      <w:noProof/>
      <w:snapToGrid w:val="0"/>
    </w:rPr>
  </w:style>
  <w:style w:type="paragraph" w:customStyle="1" w:styleId="plheading">
    <w:name w:val="plheading"/>
    <w:basedOn w:val="Normal"/>
    <w:rsid w:val="0043005A"/>
    <w:pPr>
      <w:keepNext/>
      <w:spacing w:before="480" w:after="120"/>
      <w:jc w:val="center"/>
    </w:pPr>
    <w:rPr>
      <w:caps/>
      <w:snapToGrid w:val="0"/>
      <w:u w:val="single"/>
    </w:rPr>
  </w:style>
  <w:style w:type="paragraph" w:customStyle="1" w:styleId="Sessiontcplacedate">
    <w:name w:val="Session_tc_place_date"/>
    <w:basedOn w:val="SessionMeetingPlace"/>
    <w:rsid w:val="0043005A"/>
    <w:pPr>
      <w:spacing w:before="240"/>
    </w:pPr>
  </w:style>
  <w:style w:type="paragraph" w:customStyle="1" w:styleId="Titleofdoc0">
    <w:name w:val="Title_of_doc"/>
    <w:basedOn w:val="Normal"/>
    <w:rsid w:val="0043005A"/>
    <w:pPr>
      <w:spacing w:before="600"/>
      <w:jc w:val="center"/>
    </w:pPr>
    <w:rPr>
      <w:caps/>
    </w:rPr>
  </w:style>
  <w:style w:type="paragraph" w:customStyle="1" w:styleId="preparedby1">
    <w:name w:val="prepared_by"/>
    <w:basedOn w:val="Normal"/>
    <w:rsid w:val="0043005A"/>
    <w:pPr>
      <w:spacing w:before="240" w:after="600"/>
      <w:jc w:val="center"/>
    </w:pPr>
    <w:rPr>
      <w:i/>
    </w:rPr>
  </w:style>
  <w:style w:type="character" w:customStyle="1" w:styleId="CodeChar">
    <w:name w:val="Code Char"/>
    <w:basedOn w:val="DefaultParagraphFont"/>
    <w:link w:val="Code"/>
    <w:rsid w:val="00C734F7"/>
    <w:rPr>
      <w:rFonts w:ascii="Arial" w:hAnsi="Arial"/>
      <w:b/>
      <w:bCs/>
      <w:spacing w:val="10"/>
      <w:lang w:val="fr-FR" w:eastAsia="en-US" w:bidi="ar-SA"/>
    </w:rPr>
  </w:style>
  <w:style w:type="paragraph" w:customStyle="1" w:styleId="endofdoc">
    <w:name w:val="end_of_doc"/>
    <w:autoRedefine/>
    <w:rsid w:val="0043005A"/>
    <w:pPr>
      <w:spacing w:before="480"/>
      <w:ind w:left="567" w:hanging="567"/>
      <w:jc w:val="right"/>
    </w:pPr>
    <w:rPr>
      <w:rFonts w:ascii="Arial" w:hAnsi="Arial"/>
    </w:rPr>
  </w:style>
  <w:style w:type="character" w:customStyle="1" w:styleId="DocoriginalChar">
    <w:name w:val="Doc_original Char"/>
    <w:basedOn w:val="DefaultParagraphFont"/>
    <w:link w:val="Docoriginal"/>
    <w:rsid w:val="0043005A"/>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43005A"/>
    <w:rPr>
      <w:rFonts w:ascii="Arial" w:hAnsi="Arial"/>
      <w:b/>
      <w:bCs/>
      <w:spacing w:val="10"/>
      <w:lang w:val="en-US" w:eastAsia="en-US" w:bidi="ar-SA"/>
    </w:rPr>
  </w:style>
  <w:style w:type="paragraph" w:customStyle="1" w:styleId="StyleDocnumber">
    <w:name w:val="Style Doc_number"/>
    <w:basedOn w:val="Docoriginal"/>
    <w:rsid w:val="0043005A"/>
    <w:pPr>
      <w:ind w:left="1589"/>
    </w:pPr>
  </w:style>
  <w:style w:type="paragraph" w:customStyle="1" w:styleId="StyleDocoriginal">
    <w:name w:val="Style Doc_original"/>
    <w:basedOn w:val="Docoriginal"/>
    <w:link w:val="StyleDocoriginalChar"/>
    <w:rsid w:val="0043005A"/>
  </w:style>
  <w:style w:type="character" w:customStyle="1" w:styleId="StyleDocoriginalChar">
    <w:name w:val="Style Doc_original Char"/>
    <w:basedOn w:val="DocoriginalChar"/>
    <w:link w:val="StyleDocoriginal"/>
    <w:rsid w:val="0043005A"/>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43005A"/>
    <w:rPr>
      <w:rFonts w:ascii="Arial" w:hAnsi="Arial"/>
      <w:b/>
      <w:bCs/>
      <w:spacing w:val="10"/>
      <w:lang w:val="en-US" w:eastAsia="en-US" w:bidi="ar-SA"/>
    </w:rPr>
  </w:style>
  <w:style w:type="character" w:customStyle="1" w:styleId="StyleDoclangBold">
    <w:name w:val="Style Doc_lang + Bold"/>
    <w:basedOn w:val="Doclang"/>
    <w:rsid w:val="0043005A"/>
    <w:rPr>
      <w:rFonts w:ascii="Arial" w:hAnsi="Arial"/>
      <w:b/>
      <w:bCs/>
      <w:sz w:val="20"/>
      <w:lang w:val="en-US"/>
    </w:rPr>
  </w:style>
  <w:style w:type="paragraph" w:styleId="TOC2">
    <w:name w:val="toc 2"/>
    <w:next w:val="Normal"/>
    <w:autoRedefine/>
    <w:semiHidden/>
    <w:rsid w:val="0043005A"/>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43005A"/>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43005A"/>
    <w:rPr>
      <w:rFonts w:ascii="Arial" w:hAnsi="Arial"/>
      <w:color w:val="0000FF"/>
      <w:u w:val="single"/>
    </w:rPr>
  </w:style>
  <w:style w:type="paragraph" w:styleId="TOC4">
    <w:name w:val="toc 4"/>
    <w:next w:val="Normal"/>
    <w:autoRedefine/>
    <w:semiHidden/>
    <w:rsid w:val="0043005A"/>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E4565F"/>
    <w:pPr>
      <w:tabs>
        <w:tab w:val="right" w:leader="dot" w:pos="9639"/>
      </w:tabs>
      <w:ind w:left="284" w:right="284" w:hanging="284"/>
      <w:contextualSpacing/>
      <w:jc w:val="right"/>
    </w:pPr>
    <w:rPr>
      <w:rFonts w:ascii="Arial" w:hAnsi="Arial"/>
      <w:caps/>
      <w:noProof/>
    </w:rPr>
  </w:style>
  <w:style w:type="paragraph" w:styleId="TOC5">
    <w:name w:val="toc 5"/>
    <w:next w:val="Normal"/>
    <w:autoRedefine/>
    <w:semiHidden/>
    <w:rsid w:val="0043005A"/>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uiPriority w:val="99"/>
    <w:rsid w:val="00813041"/>
    <w:rPr>
      <w:rFonts w:ascii="Tahoma" w:hAnsi="Tahoma" w:cs="Tahoma"/>
      <w:sz w:val="16"/>
      <w:szCs w:val="16"/>
    </w:rPr>
  </w:style>
  <w:style w:type="character" w:customStyle="1" w:styleId="BalloonTextChar">
    <w:name w:val="Balloon Text Char"/>
    <w:basedOn w:val="DefaultParagraphFont"/>
    <w:link w:val="BalloonText"/>
    <w:uiPriority w:val="99"/>
    <w:rsid w:val="00813041"/>
    <w:rPr>
      <w:rFonts w:ascii="Tahoma" w:hAnsi="Tahoma" w:cs="Tahoma"/>
      <w:sz w:val="16"/>
      <w:szCs w:val="16"/>
    </w:rPr>
  </w:style>
  <w:style w:type="character" w:customStyle="1" w:styleId="Heading8Char">
    <w:name w:val="Heading 8 Char"/>
    <w:basedOn w:val="DefaultParagraphFont"/>
    <w:link w:val="Heading8"/>
    <w:rsid w:val="00944AEF"/>
    <w:rPr>
      <w:rFonts w:ascii="Arial" w:hAnsi="Arial"/>
      <w:u w:val="single"/>
      <w:lang w:val="en-GB" w:eastAsia="pl-PL"/>
    </w:rPr>
  </w:style>
  <w:style w:type="paragraph" w:styleId="ListParagraph">
    <w:name w:val="List Paragraph"/>
    <w:basedOn w:val="Normal"/>
    <w:uiPriority w:val="34"/>
    <w:qFormat/>
    <w:rsid w:val="00944AEF"/>
    <w:pPr>
      <w:ind w:left="1134" w:hanging="567"/>
      <w:jc w:val="left"/>
    </w:pPr>
    <w:rPr>
      <w:szCs w:val="22"/>
    </w:rPr>
  </w:style>
  <w:style w:type="table" w:styleId="TableGrid">
    <w:name w:val="Table Grid"/>
    <w:basedOn w:val="TableNormal"/>
    <w:rsid w:val="00944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944AEF"/>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944AEF"/>
    <w:rPr>
      <w:sz w:val="28"/>
      <w:lang w:val="pl-PL" w:eastAsia="pl-PL"/>
    </w:rPr>
  </w:style>
  <w:style w:type="character" w:customStyle="1" w:styleId="FooterChar">
    <w:name w:val="Footer Char"/>
    <w:aliases w:val="doc_path_name Char"/>
    <w:basedOn w:val="DefaultParagraphFont"/>
    <w:link w:val="Footer"/>
    <w:uiPriority w:val="99"/>
    <w:rsid w:val="00944AEF"/>
    <w:rPr>
      <w:rFonts w:ascii="Arial" w:hAnsi="Arial"/>
      <w:sz w:val="12"/>
    </w:rPr>
  </w:style>
  <w:style w:type="character" w:customStyle="1" w:styleId="FootnoteTextChar">
    <w:name w:val="Footnote Text Char"/>
    <w:link w:val="FootnoteText"/>
    <w:rsid w:val="00944AEF"/>
    <w:rPr>
      <w:rFonts w:ascii="Arial" w:hAnsi="Arial"/>
      <w:sz w:val="16"/>
    </w:rPr>
  </w:style>
  <w:style w:type="paragraph" w:styleId="ListBullet">
    <w:name w:val="List Bullet"/>
    <w:basedOn w:val="Normal"/>
    <w:uiPriority w:val="99"/>
    <w:rsid w:val="00944AEF"/>
    <w:pPr>
      <w:numPr>
        <w:numId w:val="1"/>
      </w:numPr>
      <w:spacing w:after="240"/>
    </w:pPr>
    <w:rPr>
      <w:lang w:val="en-GB"/>
    </w:rPr>
  </w:style>
  <w:style w:type="paragraph" w:customStyle="1" w:styleId="Default">
    <w:name w:val="Default"/>
    <w:rsid w:val="00944AEF"/>
    <w:pPr>
      <w:autoSpaceDE w:val="0"/>
      <w:autoSpaceDN w:val="0"/>
      <w:adjustRightInd w:val="0"/>
    </w:pPr>
    <w:rPr>
      <w:rFonts w:ascii="Arial" w:hAnsi="Arial" w:cs="Arial"/>
      <w:color w:val="000000"/>
      <w:sz w:val="24"/>
      <w:szCs w:val="24"/>
    </w:rPr>
  </w:style>
  <w:style w:type="paragraph" w:customStyle="1" w:styleId="Pa11">
    <w:name w:val="Pa11"/>
    <w:basedOn w:val="Normal"/>
    <w:next w:val="Normal"/>
    <w:uiPriority w:val="99"/>
    <w:rsid w:val="00944AEF"/>
    <w:pPr>
      <w:autoSpaceDE w:val="0"/>
      <w:autoSpaceDN w:val="0"/>
      <w:adjustRightInd w:val="0"/>
      <w:spacing w:line="191" w:lineRule="atLeast"/>
      <w:jc w:val="left"/>
    </w:pPr>
    <w:rPr>
      <w:rFonts w:ascii="Myriad Pro Light" w:eastAsia="Calibri" w:hAnsi="Myriad Pro Light"/>
      <w:sz w:val="24"/>
      <w:szCs w:val="24"/>
      <w:lang w:eastAsia="fr-FR"/>
    </w:rPr>
  </w:style>
  <w:style w:type="paragraph" w:customStyle="1" w:styleId="Pa26">
    <w:name w:val="Pa26"/>
    <w:basedOn w:val="Normal"/>
    <w:next w:val="Normal"/>
    <w:uiPriority w:val="99"/>
    <w:rsid w:val="00944AEF"/>
    <w:pPr>
      <w:autoSpaceDE w:val="0"/>
      <w:autoSpaceDN w:val="0"/>
      <w:adjustRightInd w:val="0"/>
      <w:spacing w:line="181" w:lineRule="atLeast"/>
      <w:jc w:val="left"/>
    </w:pPr>
    <w:rPr>
      <w:rFonts w:ascii="Myriad Pro Light" w:eastAsia="Calibri" w:hAnsi="Myriad Pro Light"/>
      <w:sz w:val="24"/>
      <w:szCs w:val="24"/>
      <w:lang w:eastAsia="fr-FR"/>
    </w:rPr>
  </w:style>
  <w:style w:type="paragraph" w:styleId="NormalWeb">
    <w:name w:val="Normal (Web)"/>
    <w:basedOn w:val="Normal"/>
    <w:uiPriority w:val="99"/>
    <w:rsid w:val="00944AEF"/>
    <w:pPr>
      <w:spacing w:before="100" w:beforeAutospacing="1" w:after="100" w:afterAutospacing="1"/>
      <w:jc w:val="left"/>
    </w:pPr>
    <w:rPr>
      <w:rFonts w:ascii="SimSun" w:eastAsia="SimSun" w:hAnsi="SimSun" w:cs="SimSun"/>
      <w:sz w:val="24"/>
      <w:szCs w:val="24"/>
      <w:lang w:eastAsia="zh-CN"/>
    </w:rPr>
  </w:style>
  <w:style w:type="paragraph" w:styleId="PlainText">
    <w:name w:val="Plain Text"/>
    <w:basedOn w:val="Normal"/>
    <w:link w:val="PlainTextChar"/>
    <w:uiPriority w:val="99"/>
    <w:rsid w:val="00944AEF"/>
    <w:pPr>
      <w:spacing w:after="240"/>
    </w:pPr>
    <w:rPr>
      <w:rFonts w:ascii="Courier New" w:hAnsi="Courier New"/>
      <w:lang w:val="en-GB"/>
    </w:rPr>
  </w:style>
  <w:style w:type="character" w:customStyle="1" w:styleId="PlainTextChar">
    <w:name w:val="Plain Text Char"/>
    <w:basedOn w:val="DefaultParagraphFont"/>
    <w:link w:val="PlainText"/>
    <w:uiPriority w:val="99"/>
    <w:rsid w:val="00944AEF"/>
    <w:rPr>
      <w:rFonts w:ascii="Courier New" w:hAnsi="Courier New"/>
      <w:lang w:val="en-GB"/>
    </w:rPr>
  </w:style>
  <w:style w:type="paragraph" w:styleId="BodyTextIndent2">
    <w:name w:val="Body Text Indent 2"/>
    <w:basedOn w:val="Normal"/>
    <w:link w:val="BodyTextIndent2Char"/>
    <w:rsid w:val="00944AEF"/>
    <w:pPr>
      <w:spacing w:after="120" w:line="480" w:lineRule="auto"/>
      <w:ind w:left="360"/>
    </w:pPr>
  </w:style>
  <w:style w:type="character" w:customStyle="1" w:styleId="BodyTextIndent2Char">
    <w:name w:val="Body Text Indent 2 Char"/>
    <w:basedOn w:val="DefaultParagraphFont"/>
    <w:link w:val="BodyTextIndent2"/>
    <w:rsid w:val="00944AEF"/>
    <w:rPr>
      <w:rFonts w:ascii="Arial" w:hAnsi="Arial"/>
    </w:rPr>
  </w:style>
  <w:style w:type="paragraph" w:styleId="BodyText3">
    <w:name w:val="Body Text 3"/>
    <w:basedOn w:val="Normal"/>
    <w:link w:val="BodyText3Char"/>
    <w:rsid w:val="00944AEF"/>
    <w:pPr>
      <w:spacing w:after="120"/>
    </w:pPr>
    <w:rPr>
      <w:sz w:val="16"/>
      <w:szCs w:val="16"/>
    </w:rPr>
  </w:style>
  <w:style w:type="character" w:customStyle="1" w:styleId="BodyText3Char">
    <w:name w:val="Body Text 3 Char"/>
    <w:basedOn w:val="DefaultParagraphFont"/>
    <w:link w:val="BodyText3"/>
    <w:rsid w:val="00944AEF"/>
    <w:rPr>
      <w:rFonts w:ascii="Arial" w:hAnsi="Arial"/>
      <w:sz w:val="16"/>
      <w:szCs w:val="16"/>
    </w:rPr>
  </w:style>
  <w:style w:type="character" w:customStyle="1" w:styleId="FootnoteTextChar2">
    <w:name w:val="Footnote Text Char2"/>
    <w:rsid w:val="00944AEF"/>
    <w:rPr>
      <w:rFonts w:ascii="Arial" w:hAnsi="Arial" w:cs="Mangal"/>
      <w:sz w:val="18"/>
      <w:szCs w:val="24"/>
      <w:lang w:bidi="ne-NP"/>
    </w:rPr>
  </w:style>
  <w:style w:type="paragraph" w:styleId="NoSpacing">
    <w:name w:val="No Spacing"/>
    <w:uiPriority w:val="1"/>
    <w:qFormat/>
    <w:rsid w:val="00944AEF"/>
    <w:rPr>
      <w:rFonts w:ascii="Calibri" w:eastAsia="Calibri" w:hAnsi="Calibri"/>
      <w:sz w:val="22"/>
      <w:szCs w:val="22"/>
    </w:rPr>
  </w:style>
  <w:style w:type="paragraph" w:customStyle="1" w:styleId="inf61normal">
    <w:name w:val="inf_6_1_normal"/>
    <w:basedOn w:val="Normal"/>
    <w:rsid w:val="00944AEF"/>
    <w:pPr>
      <w:tabs>
        <w:tab w:val="left" w:pos="-31680"/>
        <w:tab w:val="left" w:pos="315"/>
      </w:tabs>
    </w:pPr>
    <w:rPr>
      <w:rFonts w:ascii="Times New Roman" w:hAnsi="Times New Roman"/>
      <w:color w:val="000000"/>
      <w:kern w:val="28"/>
      <w:sz w:val="24"/>
      <w:lang w:val="en-ZW" w:eastAsia="en-ZW"/>
    </w:rPr>
  </w:style>
  <w:style w:type="character" w:customStyle="1" w:styleId="ht">
    <w:name w:val="ht"/>
    <w:basedOn w:val="DefaultParagraphFont"/>
    <w:rsid w:val="002456C6"/>
  </w:style>
  <w:style w:type="character" w:customStyle="1" w:styleId="Heading7Char">
    <w:name w:val="Heading 7 Char"/>
    <w:basedOn w:val="DefaultParagraphFont"/>
    <w:link w:val="Heading7"/>
    <w:rsid w:val="00023109"/>
    <w:rPr>
      <w:sz w:val="22"/>
      <w:szCs w:val="22"/>
      <w:u w:val="single"/>
      <w:lang w:val="en-GB"/>
    </w:rPr>
  </w:style>
  <w:style w:type="character" w:styleId="Strong">
    <w:name w:val="Strong"/>
    <w:qFormat/>
    <w:rsid w:val="00023109"/>
    <w:rPr>
      <w:b/>
      <w:bCs/>
    </w:rPr>
  </w:style>
  <w:style w:type="character" w:styleId="Emphasis">
    <w:name w:val="Emphasis"/>
    <w:qFormat/>
    <w:rsid w:val="00023109"/>
    <w:rPr>
      <w:i/>
      <w:iCs/>
    </w:rPr>
  </w:style>
  <w:style w:type="paragraph" w:customStyle="1" w:styleId="c71indicateur">
    <w:name w:val="c71indicateur"/>
    <w:basedOn w:val="Normal"/>
    <w:rsid w:val="00023109"/>
    <w:pPr>
      <w:spacing w:before="600" w:after="560"/>
      <w:ind w:left="567"/>
      <w:jc w:val="center"/>
    </w:pPr>
    <w:rPr>
      <w:szCs w:val="24"/>
      <w:lang w:eastAsia="fr-FR"/>
    </w:rPr>
  </w:style>
  <w:style w:type="paragraph" w:customStyle="1" w:styleId="c02alineaalta">
    <w:name w:val="c02alineaalta"/>
    <w:basedOn w:val="Normal"/>
    <w:rsid w:val="00023109"/>
    <w:pPr>
      <w:spacing w:after="240"/>
      <w:ind w:left="567"/>
    </w:pPr>
    <w:rPr>
      <w:szCs w:val="24"/>
      <w:lang w:eastAsia="fr-FR"/>
    </w:rPr>
  </w:style>
  <w:style w:type="paragraph" w:customStyle="1" w:styleId="Char">
    <w:name w:val="Char 字元 字元"/>
    <w:basedOn w:val="Normal"/>
    <w:rsid w:val="00023109"/>
    <w:pPr>
      <w:spacing w:after="160" w:line="240" w:lineRule="exact"/>
      <w:jc w:val="left"/>
    </w:pPr>
    <w:rPr>
      <w:rFonts w:ascii="Verdana" w:eastAsia="PMingLiU" w:hAnsi="Verdana"/>
      <w:lang w:val="en-US"/>
    </w:rPr>
  </w:style>
  <w:style w:type="paragraph" w:customStyle="1" w:styleId="tableaheadital">
    <w:name w:val="tableaheadital"/>
    <w:basedOn w:val="Normal"/>
    <w:rsid w:val="00023109"/>
    <w:pPr>
      <w:spacing w:before="100" w:beforeAutospacing="1" w:after="100" w:afterAutospacing="1"/>
      <w:jc w:val="left"/>
    </w:pPr>
    <w:rPr>
      <w:rFonts w:ascii="Times New Roman" w:eastAsia="MS Mincho" w:hAnsi="Times New Roman"/>
      <w:sz w:val="24"/>
      <w:szCs w:val="24"/>
      <w:lang w:val="en-AU" w:eastAsia="ja-JP"/>
    </w:rPr>
  </w:style>
  <w:style w:type="character" w:customStyle="1" w:styleId="hps">
    <w:name w:val="hps"/>
    <w:rsid w:val="00023109"/>
  </w:style>
  <w:style w:type="character" w:customStyle="1" w:styleId="apple-converted-space">
    <w:name w:val="apple-converted-space"/>
    <w:basedOn w:val="DefaultParagraphFont"/>
    <w:rsid w:val="00023109"/>
  </w:style>
  <w:style w:type="paragraph" w:customStyle="1" w:styleId="a">
    <w:name w:val="바탕글"/>
    <w:uiPriority w:val="99"/>
    <w:rsid w:val="00023109"/>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Batang" w:eastAsia="Batang" w:cs="Batang"/>
      <w:color w:val="000000"/>
      <w:sz w:val="24"/>
      <w:szCs w:val="24"/>
      <w:lang w:eastAsia="ko-KR"/>
    </w:rPr>
  </w:style>
  <w:style w:type="character" w:styleId="FollowedHyperlink">
    <w:name w:val="FollowedHyperlink"/>
    <w:basedOn w:val="DefaultParagraphFont"/>
    <w:rsid w:val="00023109"/>
    <w:rPr>
      <w:color w:val="800080" w:themeColor="followedHyperlink"/>
      <w:u w:val="single"/>
    </w:rPr>
  </w:style>
  <w:style w:type="character" w:customStyle="1" w:styleId="HeaderChar">
    <w:name w:val="Header Char"/>
    <w:basedOn w:val="DefaultParagraphFont"/>
    <w:link w:val="Header"/>
    <w:uiPriority w:val="99"/>
    <w:rsid w:val="00BD634F"/>
    <w:rPr>
      <w:rFonts w:ascii="Arial" w:hAnsi="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C60"/>
    <w:pPr>
      <w:jc w:val="both"/>
    </w:pPr>
    <w:rPr>
      <w:rFonts w:ascii="Arial" w:hAnsi="Arial"/>
      <w:lang w:val="fr-FR"/>
    </w:rPr>
  </w:style>
  <w:style w:type="paragraph" w:styleId="Heading1">
    <w:name w:val="heading 1"/>
    <w:next w:val="Normal"/>
    <w:autoRedefine/>
    <w:qFormat/>
    <w:rsid w:val="0043005A"/>
    <w:pPr>
      <w:keepNext/>
      <w:jc w:val="both"/>
      <w:outlineLvl w:val="0"/>
    </w:pPr>
    <w:rPr>
      <w:rFonts w:ascii="Arial" w:hAnsi="Arial"/>
      <w:caps/>
    </w:rPr>
  </w:style>
  <w:style w:type="paragraph" w:styleId="Heading2">
    <w:name w:val="heading 2"/>
    <w:next w:val="Normal"/>
    <w:autoRedefine/>
    <w:qFormat/>
    <w:rsid w:val="0043005A"/>
    <w:pPr>
      <w:keepNext/>
      <w:jc w:val="both"/>
      <w:outlineLvl w:val="1"/>
    </w:pPr>
    <w:rPr>
      <w:rFonts w:ascii="Arial" w:hAnsi="Arial"/>
      <w:u w:val="single"/>
    </w:rPr>
  </w:style>
  <w:style w:type="paragraph" w:styleId="Heading3">
    <w:name w:val="heading 3"/>
    <w:next w:val="Normal"/>
    <w:autoRedefine/>
    <w:qFormat/>
    <w:rsid w:val="0043005A"/>
    <w:pPr>
      <w:keepNext/>
      <w:jc w:val="both"/>
      <w:outlineLvl w:val="2"/>
    </w:pPr>
    <w:rPr>
      <w:rFonts w:ascii="Arial" w:hAnsi="Arial"/>
      <w:i/>
    </w:rPr>
  </w:style>
  <w:style w:type="paragraph" w:styleId="Heading4">
    <w:name w:val="heading 4"/>
    <w:next w:val="Normal"/>
    <w:autoRedefine/>
    <w:qFormat/>
    <w:rsid w:val="0043005A"/>
    <w:pPr>
      <w:keepNext/>
      <w:ind w:left="567"/>
      <w:jc w:val="both"/>
      <w:outlineLvl w:val="3"/>
    </w:pPr>
    <w:rPr>
      <w:rFonts w:ascii="Arial" w:hAnsi="Arial"/>
      <w:i/>
      <w:lang w:val="fr-FR"/>
    </w:rPr>
  </w:style>
  <w:style w:type="paragraph" w:styleId="Heading5">
    <w:name w:val="heading 5"/>
    <w:next w:val="Normal"/>
    <w:autoRedefine/>
    <w:qFormat/>
    <w:rsid w:val="00F9505F"/>
    <w:pPr>
      <w:keepNext/>
      <w:ind w:left="1134" w:hanging="567"/>
      <w:jc w:val="both"/>
      <w:outlineLvl w:val="4"/>
    </w:pPr>
    <w:rPr>
      <w:rFonts w:ascii="Arial" w:hAnsi="Arial"/>
      <w:sz w:val="18"/>
      <w:szCs w:val="18"/>
      <w:lang w:val="fr-FR"/>
    </w:rPr>
  </w:style>
  <w:style w:type="paragraph" w:styleId="Heading7">
    <w:name w:val="heading 7"/>
    <w:basedOn w:val="Normal"/>
    <w:next w:val="Normal"/>
    <w:link w:val="Heading7Char"/>
    <w:qFormat/>
    <w:rsid w:val="00023109"/>
    <w:pPr>
      <w:keepNext/>
      <w:outlineLvl w:val="6"/>
    </w:pPr>
    <w:rPr>
      <w:rFonts w:ascii="Times New Roman" w:hAnsi="Times New Roman"/>
      <w:sz w:val="22"/>
      <w:szCs w:val="22"/>
      <w:u w:val="single"/>
      <w:lang w:val="en-GB"/>
    </w:rPr>
  </w:style>
  <w:style w:type="paragraph" w:styleId="Heading8">
    <w:name w:val="heading 8"/>
    <w:basedOn w:val="Normal"/>
    <w:next w:val="Normal"/>
    <w:link w:val="Heading8Char"/>
    <w:qFormat/>
    <w:rsid w:val="00944AEF"/>
    <w:pPr>
      <w:keepNext/>
      <w:tabs>
        <w:tab w:val="left" w:pos="567"/>
        <w:tab w:val="left" w:pos="4962"/>
      </w:tabs>
      <w:jc w:val="center"/>
      <w:outlineLvl w:val="7"/>
    </w:pPr>
    <w:rPr>
      <w:u w:val="single"/>
      <w:lang w:val="en-GB" w:eastAsia="pl-PL"/>
    </w:rPr>
  </w:style>
  <w:style w:type="paragraph" w:styleId="Heading9">
    <w:name w:val="heading 9"/>
    <w:basedOn w:val="Normal"/>
    <w:next w:val="Normal"/>
    <w:qFormat/>
    <w:rsid w:val="0043005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C92C60"/>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14714C"/>
    <w:pPr>
      <w:spacing w:after="60"/>
      <w:jc w:val="both"/>
    </w:pPr>
    <w:rPr>
      <w:rFonts w:ascii="Arial" w:hAnsi="Arial"/>
      <w:sz w:val="12"/>
    </w:rPr>
  </w:style>
  <w:style w:type="character" w:styleId="PageNumber">
    <w:name w:val="page number"/>
    <w:basedOn w:val="DefaultParagraphFont"/>
    <w:rsid w:val="0043005A"/>
    <w:rPr>
      <w:rFonts w:ascii="Arial" w:hAnsi="Arial"/>
      <w:sz w:val="20"/>
    </w:rPr>
  </w:style>
  <w:style w:type="paragraph" w:styleId="Title">
    <w:name w:val="Title"/>
    <w:basedOn w:val="Normal"/>
    <w:qFormat/>
    <w:rsid w:val="0043005A"/>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43005A"/>
    <w:pPr>
      <w:spacing w:line="280" w:lineRule="exact"/>
      <w:ind w:left="1361"/>
    </w:pPr>
    <w:rPr>
      <w:b/>
      <w:bCs/>
      <w:spacing w:val="10"/>
    </w:rPr>
  </w:style>
  <w:style w:type="paragraph" w:customStyle="1" w:styleId="DecisionParagraphs">
    <w:name w:val="DecisionParagraphs"/>
    <w:basedOn w:val="Normal"/>
    <w:rsid w:val="0043005A"/>
    <w:pPr>
      <w:tabs>
        <w:tab w:val="left" w:pos="5387"/>
      </w:tabs>
      <w:ind w:left="4820"/>
    </w:pPr>
    <w:rPr>
      <w:i/>
    </w:rPr>
  </w:style>
  <w:style w:type="paragraph" w:styleId="FootnoteText">
    <w:name w:val="footnote text"/>
    <w:link w:val="FootnoteTextChar"/>
    <w:autoRedefine/>
    <w:rsid w:val="0043005A"/>
    <w:pPr>
      <w:spacing w:before="60"/>
      <w:ind w:left="567" w:hanging="567"/>
      <w:jc w:val="both"/>
    </w:pPr>
    <w:rPr>
      <w:rFonts w:ascii="Arial" w:hAnsi="Arial"/>
      <w:sz w:val="16"/>
    </w:rPr>
  </w:style>
  <w:style w:type="character" w:styleId="FootnoteReference">
    <w:name w:val="footnote reference"/>
    <w:basedOn w:val="DefaultParagraphFont"/>
    <w:semiHidden/>
    <w:rsid w:val="0043005A"/>
    <w:rPr>
      <w:vertAlign w:val="superscript"/>
    </w:rPr>
  </w:style>
  <w:style w:type="paragraph" w:styleId="Closing">
    <w:name w:val="Closing"/>
    <w:basedOn w:val="Normal"/>
    <w:rsid w:val="0043005A"/>
    <w:pPr>
      <w:ind w:left="4536"/>
      <w:jc w:val="center"/>
    </w:pPr>
  </w:style>
  <w:style w:type="paragraph" w:styleId="Index1">
    <w:name w:val="index 1"/>
    <w:basedOn w:val="Normal"/>
    <w:next w:val="Normal"/>
    <w:semiHidden/>
    <w:rsid w:val="0043005A"/>
    <w:pPr>
      <w:tabs>
        <w:tab w:val="right" w:leader="dot" w:pos="9071"/>
      </w:tabs>
      <w:ind w:left="284" w:hanging="284"/>
    </w:pPr>
    <w:rPr>
      <w:sz w:val="24"/>
    </w:rPr>
  </w:style>
  <w:style w:type="paragraph" w:styleId="Index2">
    <w:name w:val="index 2"/>
    <w:basedOn w:val="Normal"/>
    <w:next w:val="Normal"/>
    <w:semiHidden/>
    <w:rsid w:val="0043005A"/>
    <w:pPr>
      <w:tabs>
        <w:tab w:val="right" w:leader="dot" w:pos="9071"/>
      </w:tabs>
      <w:ind w:left="568" w:hanging="284"/>
    </w:pPr>
    <w:rPr>
      <w:sz w:val="24"/>
    </w:rPr>
  </w:style>
  <w:style w:type="paragraph" w:styleId="Index3">
    <w:name w:val="index 3"/>
    <w:basedOn w:val="Normal"/>
    <w:next w:val="Normal"/>
    <w:semiHidden/>
    <w:rsid w:val="0043005A"/>
    <w:pPr>
      <w:tabs>
        <w:tab w:val="right" w:leader="dot" w:pos="9071"/>
      </w:tabs>
      <w:ind w:left="851" w:hanging="284"/>
    </w:pPr>
    <w:rPr>
      <w:sz w:val="24"/>
    </w:rPr>
  </w:style>
  <w:style w:type="paragraph" w:styleId="MacroText">
    <w:name w:val="macro"/>
    <w:semiHidden/>
    <w:rsid w:val="0043005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43005A"/>
    <w:pPr>
      <w:ind w:left="4536"/>
      <w:jc w:val="center"/>
    </w:pPr>
  </w:style>
  <w:style w:type="character" w:customStyle="1" w:styleId="Doclang">
    <w:name w:val="Doc_lang"/>
    <w:basedOn w:val="DefaultParagraphFont"/>
    <w:rsid w:val="0043005A"/>
    <w:rPr>
      <w:rFonts w:ascii="Arial" w:hAnsi="Arial"/>
      <w:sz w:val="20"/>
      <w:lang w:val="en-US"/>
    </w:rPr>
  </w:style>
  <w:style w:type="paragraph" w:customStyle="1" w:styleId="Session">
    <w:name w:val="Session"/>
    <w:basedOn w:val="Normal"/>
    <w:semiHidden/>
    <w:rsid w:val="0043005A"/>
    <w:pPr>
      <w:spacing w:before="60"/>
      <w:jc w:val="center"/>
    </w:pPr>
    <w:rPr>
      <w:b/>
    </w:rPr>
  </w:style>
  <w:style w:type="paragraph" w:customStyle="1" w:styleId="Organizer">
    <w:name w:val="Organizer"/>
    <w:basedOn w:val="Normal"/>
    <w:semiHidden/>
    <w:rsid w:val="0043005A"/>
    <w:pPr>
      <w:spacing w:after="600"/>
      <w:ind w:left="-993" w:right="-994"/>
      <w:jc w:val="center"/>
    </w:pPr>
    <w:rPr>
      <w:b/>
      <w:caps/>
      <w:kern w:val="26"/>
      <w:sz w:val="26"/>
    </w:rPr>
  </w:style>
  <w:style w:type="paragraph" w:styleId="BodyText">
    <w:name w:val="Body Text"/>
    <w:basedOn w:val="Normal"/>
    <w:rsid w:val="0043005A"/>
  </w:style>
  <w:style w:type="paragraph" w:customStyle="1" w:styleId="StyleDocoriginalNotBold">
    <w:name w:val="Style Doc_original + Not Bold"/>
    <w:basedOn w:val="Docoriginal"/>
    <w:link w:val="StyleDocoriginalNotBoldChar"/>
    <w:autoRedefine/>
    <w:rsid w:val="0043005A"/>
    <w:pPr>
      <w:ind w:left="1589"/>
      <w:jc w:val="left"/>
    </w:pPr>
  </w:style>
  <w:style w:type="paragraph" w:customStyle="1" w:styleId="upove">
    <w:name w:val="upov_e"/>
    <w:basedOn w:val="Normal"/>
    <w:rsid w:val="0043005A"/>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43005A"/>
  </w:style>
  <w:style w:type="paragraph" w:styleId="EndnoteText">
    <w:name w:val="endnote text"/>
    <w:basedOn w:val="Normal"/>
    <w:semiHidden/>
    <w:rsid w:val="0043005A"/>
  </w:style>
  <w:style w:type="character" w:styleId="EndnoteReference">
    <w:name w:val="endnote reference"/>
    <w:basedOn w:val="DefaultParagraphFont"/>
    <w:semiHidden/>
    <w:rsid w:val="0043005A"/>
    <w:rPr>
      <w:vertAlign w:val="superscript"/>
    </w:rPr>
  </w:style>
  <w:style w:type="paragraph" w:customStyle="1" w:styleId="SessionMeetingPlace">
    <w:name w:val="Session_MeetingPlace"/>
    <w:basedOn w:val="Normal"/>
    <w:semiHidden/>
    <w:rsid w:val="0043005A"/>
    <w:pPr>
      <w:spacing w:before="480"/>
      <w:jc w:val="center"/>
    </w:pPr>
    <w:rPr>
      <w:b/>
      <w:bCs/>
      <w:kern w:val="28"/>
      <w:sz w:val="24"/>
    </w:rPr>
  </w:style>
  <w:style w:type="paragraph" w:customStyle="1" w:styleId="Original">
    <w:name w:val="Original"/>
    <w:basedOn w:val="Normal"/>
    <w:semiHidden/>
    <w:rsid w:val="0043005A"/>
    <w:pPr>
      <w:spacing w:before="60"/>
      <w:ind w:left="1276"/>
    </w:pPr>
    <w:rPr>
      <w:b/>
      <w:sz w:val="22"/>
    </w:rPr>
  </w:style>
  <w:style w:type="paragraph" w:styleId="Date">
    <w:name w:val="Date"/>
    <w:basedOn w:val="Normal"/>
    <w:semiHidden/>
    <w:rsid w:val="0043005A"/>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43005A"/>
    <w:pPr>
      <w:spacing w:before="60" w:after="480"/>
      <w:jc w:val="center"/>
    </w:pPr>
  </w:style>
  <w:style w:type="paragraph" w:customStyle="1" w:styleId="Lettrine">
    <w:name w:val="Lettrine"/>
    <w:basedOn w:val="Normal"/>
    <w:rsid w:val="0043005A"/>
    <w:pPr>
      <w:spacing w:after="120" w:line="340" w:lineRule="atLeast"/>
      <w:jc w:val="right"/>
    </w:pPr>
    <w:rPr>
      <w:b/>
      <w:bCs/>
      <w:sz w:val="56"/>
    </w:rPr>
  </w:style>
  <w:style w:type="paragraph" w:customStyle="1" w:styleId="LogoUPOV">
    <w:name w:val="LogoUPOV"/>
    <w:basedOn w:val="Normal"/>
    <w:rsid w:val="0043005A"/>
    <w:pPr>
      <w:spacing w:before="720"/>
      <w:jc w:val="center"/>
    </w:pPr>
  </w:style>
  <w:style w:type="paragraph" w:customStyle="1" w:styleId="Sessiontc">
    <w:name w:val="Session_tc"/>
    <w:basedOn w:val="StyleSessionAllcaps"/>
    <w:rsid w:val="0043005A"/>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43005A"/>
    <w:pPr>
      <w:spacing w:before="480"/>
    </w:pPr>
    <w:rPr>
      <w:bCs/>
      <w:caps/>
      <w:kern w:val="28"/>
      <w:sz w:val="24"/>
    </w:rPr>
  </w:style>
  <w:style w:type="paragraph" w:customStyle="1" w:styleId="plcountry">
    <w:name w:val="plcountry"/>
    <w:basedOn w:val="Normal"/>
    <w:rsid w:val="0043005A"/>
    <w:pPr>
      <w:keepNext/>
      <w:keepLines/>
      <w:spacing w:before="180" w:after="120"/>
      <w:jc w:val="left"/>
    </w:pPr>
    <w:rPr>
      <w:caps/>
      <w:noProof/>
      <w:snapToGrid w:val="0"/>
      <w:u w:val="single"/>
    </w:rPr>
  </w:style>
  <w:style w:type="paragraph" w:customStyle="1" w:styleId="pldetails">
    <w:name w:val="pldetails"/>
    <w:basedOn w:val="Normal"/>
    <w:rsid w:val="0043005A"/>
    <w:pPr>
      <w:keepLines/>
      <w:spacing w:before="60" w:after="60"/>
      <w:jc w:val="left"/>
    </w:pPr>
    <w:rPr>
      <w:noProof/>
      <w:snapToGrid w:val="0"/>
    </w:rPr>
  </w:style>
  <w:style w:type="paragraph" w:customStyle="1" w:styleId="plheading">
    <w:name w:val="plheading"/>
    <w:basedOn w:val="Normal"/>
    <w:rsid w:val="0043005A"/>
    <w:pPr>
      <w:keepNext/>
      <w:spacing w:before="480" w:after="120"/>
      <w:jc w:val="center"/>
    </w:pPr>
    <w:rPr>
      <w:caps/>
      <w:snapToGrid w:val="0"/>
      <w:u w:val="single"/>
    </w:rPr>
  </w:style>
  <w:style w:type="paragraph" w:customStyle="1" w:styleId="Sessiontcplacedate">
    <w:name w:val="Session_tc_place_date"/>
    <w:basedOn w:val="SessionMeetingPlace"/>
    <w:rsid w:val="0043005A"/>
    <w:pPr>
      <w:spacing w:before="240"/>
    </w:pPr>
  </w:style>
  <w:style w:type="paragraph" w:customStyle="1" w:styleId="Titleofdoc0">
    <w:name w:val="Title_of_doc"/>
    <w:basedOn w:val="Normal"/>
    <w:rsid w:val="0043005A"/>
    <w:pPr>
      <w:spacing w:before="600"/>
      <w:jc w:val="center"/>
    </w:pPr>
    <w:rPr>
      <w:caps/>
    </w:rPr>
  </w:style>
  <w:style w:type="paragraph" w:customStyle="1" w:styleId="preparedby1">
    <w:name w:val="prepared_by"/>
    <w:basedOn w:val="Normal"/>
    <w:rsid w:val="0043005A"/>
    <w:pPr>
      <w:spacing w:before="240" w:after="600"/>
      <w:jc w:val="center"/>
    </w:pPr>
    <w:rPr>
      <w:i/>
    </w:rPr>
  </w:style>
  <w:style w:type="character" w:customStyle="1" w:styleId="CodeChar">
    <w:name w:val="Code Char"/>
    <w:basedOn w:val="DefaultParagraphFont"/>
    <w:link w:val="Code"/>
    <w:rsid w:val="00C734F7"/>
    <w:rPr>
      <w:rFonts w:ascii="Arial" w:hAnsi="Arial"/>
      <w:b/>
      <w:bCs/>
      <w:spacing w:val="10"/>
      <w:lang w:val="fr-FR" w:eastAsia="en-US" w:bidi="ar-SA"/>
    </w:rPr>
  </w:style>
  <w:style w:type="paragraph" w:customStyle="1" w:styleId="endofdoc">
    <w:name w:val="end_of_doc"/>
    <w:autoRedefine/>
    <w:rsid w:val="0043005A"/>
    <w:pPr>
      <w:spacing w:before="480"/>
      <w:ind w:left="567" w:hanging="567"/>
      <w:jc w:val="right"/>
    </w:pPr>
    <w:rPr>
      <w:rFonts w:ascii="Arial" w:hAnsi="Arial"/>
    </w:rPr>
  </w:style>
  <w:style w:type="character" w:customStyle="1" w:styleId="DocoriginalChar">
    <w:name w:val="Doc_original Char"/>
    <w:basedOn w:val="DefaultParagraphFont"/>
    <w:link w:val="Docoriginal"/>
    <w:rsid w:val="0043005A"/>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43005A"/>
    <w:rPr>
      <w:rFonts w:ascii="Arial" w:hAnsi="Arial"/>
      <w:b/>
      <w:bCs/>
      <w:spacing w:val="10"/>
      <w:lang w:val="en-US" w:eastAsia="en-US" w:bidi="ar-SA"/>
    </w:rPr>
  </w:style>
  <w:style w:type="paragraph" w:customStyle="1" w:styleId="StyleDocnumber">
    <w:name w:val="Style Doc_number"/>
    <w:basedOn w:val="Docoriginal"/>
    <w:rsid w:val="0043005A"/>
    <w:pPr>
      <w:ind w:left="1589"/>
    </w:pPr>
  </w:style>
  <w:style w:type="paragraph" w:customStyle="1" w:styleId="StyleDocoriginal">
    <w:name w:val="Style Doc_original"/>
    <w:basedOn w:val="Docoriginal"/>
    <w:link w:val="StyleDocoriginalChar"/>
    <w:rsid w:val="0043005A"/>
  </w:style>
  <w:style w:type="character" w:customStyle="1" w:styleId="StyleDocoriginalChar">
    <w:name w:val="Style Doc_original Char"/>
    <w:basedOn w:val="DocoriginalChar"/>
    <w:link w:val="StyleDocoriginal"/>
    <w:rsid w:val="0043005A"/>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43005A"/>
    <w:rPr>
      <w:rFonts w:ascii="Arial" w:hAnsi="Arial"/>
      <w:b/>
      <w:bCs/>
      <w:spacing w:val="10"/>
      <w:lang w:val="en-US" w:eastAsia="en-US" w:bidi="ar-SA"/>
    </w:rPr>
  </w:style>
  <w:style w:type="character" w:customStyle="1" w:styleId="StyleDoclangBold">
    <w:name w:val="Style Doc_lang + Bold"/>
    <w:basedOn w:val="Doclang"/>
    <w:rsid w:val="0043005A"/>
    <w:rPr>
      <w:rFonts w:ascii="Arial" w:hAnsi="Arial"/>
      <w:b/>
      <w:bCs/>
      <w:sz w:val="20"/>
      <w:lang w:val="en-US"/>
    </w:rPr>
  </w:style>
  <w:style w:type="paragraph" w:styleId="TOC2">
    <w:name w:val="toc 2"/>
    <w:next w:val="Normal"/>
    <w:autoRedefine/>
    <w:semiHidden/>
    <w:rsid w:val="0043005A"/>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43005A"/>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43005A"/>
    <w:rPr>
      <w:rFonts w:ascii="Arial" w:hAnsi="Arial"/>
      <w:color w:val="0000FF"/>
      <w:u w:val="single"/>
    </w:rPr>
  </w:style>
  <w:style w:type="paragraph" w:styleId="TOC4">
    <w:name w:val="toc 4"/>
    <w:next w:val="Normal"/>
    <w:autoRedefine/>
    <w:semiHidden/>
    <w:rsid w:val="0043005A"/>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E4565F"/>
    <w:pPr>
      <w:tabs>
        <w:tab w:val="right" w:leader="dot" w:pos="9639"/>
      </w:tabs>
      <w:ind w:left="284" w:right="284" w:hanging="284"/>
      <w:contextualSpacing/>
      <w:jc w:val="right"/>
    </w:pPr>
    <w:rPr>
      <w:rFonts w:ascii="Arial" w:hAnsi="Arial"/>
      <w:caps/>
      <w:noProof/>
    </w:rPr>
  </w:style>
  <w:style w:type="paragraph" w:styleId="TOC5">
    <w:name w:val="toc 5"/>
    <w:next w:val="Normal"/>
    <w:autoRedefine/>
    <w:semiHidden/>
    <w:rsid w:val="0043005A"/>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uiPriority w:val="99"/>
    <w:rsid w:val="00813041"/>
    <w:rPr>
      <w:rFonts w:ascii="Tahoma" w:hAnsi="Tahoma" w:cs="Tahoma"/>
      <w:sz w:val="16"/>
      <w:szCs w:val="16"/>
    </w:rPr>
  </w:style>
  <w:style w:type="character" w:customStyle="1" w:styleId="BalloonTextChar">
    <w:name w:val="Balloon Text Char"/>
    <w:basedOn w:val="DefaultParagraphFont"/>
    <w:link w:val="BalloonText"/>
    <w:uiPriority w:val="99"/>
    <w:rsid w:val="00813041"/>
    <w:rPr>
      <w:rFonts w:ascii="Tahoma" w:hAnsi="Tahoma" w:cs="Tahoma"/>
      <w:sz w:val="16"/>
      <w:szCs w:val="16"/>
    </w:rPr>
  </w:style>
  <w:style w:type="character" w:customStyle="1" w:styleId="Heading8Char">
    <w:name w:val="Heading 8 Char"/>
    <w:basedOn w:val="DefaultParagraphFont"/>
    <w:link w:val="Heading8"/>
    <w:rsid w:val="00944AEF"/>
    <w:rPr>
      <w:rFonts w:ascii="Arial" w:hAnsi="Arial"/>
      <w:u w:val="single"/>
      <w:lang w:val="en-GB" w:eastAsia="pl-PL"/>
    </w:rPr>
  </w:style>
  <w:style w:type="paragraph" w:styleId="ListParagraph">
    <w:name w:val="List Paragraph"/>
    <w:basedOn w:val="Normal"/>
    <w:uiPriority w:val="34"/>
    <w:qFormat/>
    <w:rsid w:val="00944AEF"/>
    <w:pPr>
      <w:ind w:left="1134" w:hanging="567"/>
      <w:jc w:val="left"/>
    </w:pPr>
    <w:rPr>
      <w:szCs w:val="22"/>
    </w:rPr>
  </w:style>
  <w:style w:type="table" w:styleId="TableGrid">
    <w:name w:val="Table Grid"/>
    <w:basedOn w:val="TableNormal"/>
    <w:rsid w:val="00944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944AEF"/>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944AEF"/>
    <w:rPr>
      <w:sz w:val="28"/>
      <w:lang w:val="pl-PL" w:eastAsia="pl-PL"/>
    </w:rPr>
  </w:style>
  <w:style w:type="character" w:customStyle="1" w:styleId="FooterChar">
    <w:name w:val="Footer Char"/>
    <w:aliases w:val="doc_path_name Char"/>
    <w:basedOn w:val="DefaultParagraphFont"/>
    <w:link w:val="Footer"/>
    <w:uiPriority w:val="99"/>
    <w:rsid w:val="00944AEF"/>
    <w:rPr>
      <w:rFonts w:ascii="Arial" w:hAnsi="Arial"/>
      <w:sz w:val="12"/>
    </w:rPr>
  </w:style>
  <w:style w:type="character" w:customStyle="1" w:styleId="FootnoteTextChar">
    <w:name w:val="Footnote Text Char"/>
    <w:link w:val="FootnoteText"/>
    <w:rsid w:val="00944AEF"/>
    <w:rPr>
      <w:rFonts w:ascii="Arial" w:hAnsi="Arial"/>
      <w:sz w:val="16"/>
    </w:rPr>
  </w:style>
  <w:style w:type="paragraph" w:styleId="ListBullet">
    <w:name w:val="List Bullet"/>
    <w:basedOn w:val="Normal"/>
    <w:uiPriority w:val="99"/>
    <w:rsid w:val="00944AEF"/>
    <w:pPr>
      <w:numPr>
        <w:numId w:val="1"/>
      </w:numPr>
      <w:spacing w:after="240"/>
    </w:pPr>
    <w:rPr>
      <w:lang w:val="en-GB"/>
    </w:rPr>
  </w:style>
  <w:style w:type="paragraph" w:customStyle="1" w:styleId="Default">
    <w:name w:val="Default"/>
    <w:rsid w:val="00944AEF"/>
    <w:pPr>
      <w:autoSpaceDE w:val="0"/>
      <w:autoSpaceDN w:val="0"/>
      <w:adjustRightInd w:val="0"/>
    </w:pPr>
    <w:rPr>
      <w:rFonts w:ascii="Arial" w:hAnsi="Arial" w:cs="Arial"/>
      <w:color w:val="000000"/>
      <w:sz w:val="24"/>
      <w:szCs w:val="24"/>
    </w:rPr>
  </w:style>
  <w:style w:type="paragraph" w:customStyle="1" w:styleId="Pa11">
    <w:name w:val="Pa11"/>
    <w:basedOn w:val="Normal"/>
    <w:next w:val="Normal"/>
    <w:uiPriority w:val="99"/>
    <w:rsid w:val="00944AEF"/>
    <w:pPr>
      <w:autoSpaceDE w:val="0"/>
      <w:autoSpaceDN w:val="0"/>
      <w:adjustRightInd w:val="0"/>
      <w:spacing w:line="191" w:lineRule="atLeast"/>
      <w:jc w:val="left"/>
    </w:pPr>
    <w:rPr>
      <w:rFonts w:ascii="Myriad Pro Light" w:eastAsia="Calibri" w:hAnsi="Myriad Pro Light"/>
      <w:sz w:val="24"/>
      <w:szCs w:val="24"/>
      <w:lang w:eastAsia="fr-FR"/>
    </w:rPr>
  </w:style>
  <w:style w:type="paragraph" w:customStyle="1" w:styleId="Pa26">
    <w:name w:val="Pa26"/>
    <w:basedOn w:val="Normal"/>
    <w:next w:val="Normal"/>
    <w:uiPriority w:val="99"/>
    <w:rsid w:val="00944AEF"/>
    <w:pPr>
      <w:autoSpaceDE w:val="0"/>
      <w:autoSpaceDN w:val="0"/>
      <w:adjustRightInd w:val="0"/>
      <w:spacing w:line="181" w:lineRule="atLeast"/>
      <w:jc w:val="left"/>
    </w:pPr>
    <w:rPr>
      <w:rFonts w:ascii="Myriad Pro Light" w:eastAsia="Calibri" w:hAnsi="Myriad Pro Light"/>
      <w:sz w:val="24"/>
      <w:szCs w:val="24"/>
      <w:lang w:eastAsia="fr-FR"/>
    </w:rPr>
  </w:style>
  <w:style w:type="paragraph" w:styleId="NormalWeb">
    <w:name w:val="Normal (Web)"/>
    <w:basedOn w:val="Normal"/>
    <w:uiPriority w:val="99"/>
    <w:rsid w:val="00944AEF"/>
    <w:pPr>
      <w:spacing w:before="100" w:beforeAutospacing="1" w:after="100" w:afterAutospacing="1"/>
      <w:jc w:val="left"/>
    </w:pPr>
    <w:rPr>
      <w:rFonts w:ascii="SimSun" w:eastAsia="SimSun" w:hAnsi="SimSun" w:cs="SimSun"/>
      <w:sz w:val="24"/>
      <w:szCs w:val="24"/>
      <w:lang w:eastAsia="zh-CN"/>
    </w:rPr>
  </w:style>
  <w:style w:type="paragraph" w:styleId="PlainText">
    <w:name w:val="Plain Text"/>
    <w:basedOn w:val="Normal"/>
    <w:link w:val="PlainTextChar"/>
    <w:uiPriority w:val="99"/>
    <w:rsid w:val="00944AEF"/>
    <w:pPr>
      <w:spacing w:after="240"/>
    </w:pPr>
    <w:rPr>
      <w:rFonts w:ascii="Courier New" w:hAnsi="Courier New"/>
      <w:lang w:val="en-GB"/>
    </w:rPr>
  </w:style>
  <w:style w:type="character" w:customStyle="1" w:styleId="PlainTextChar">
    <w:name w:val="Plain Text Char"/>
    <w:basedOn w:val="DefaultParagraphFont"/>
    <w:link w:val="PlainText"/>
    <w:uiPriority w:val="99"/>
    <w:rsid w:val="00944AEF"/>
    <w:rPr>
      <w:rFonts w:ascii="Courier New" w:hAnsi="Courier New"/>
      <w:lang w:val="en-GB"/>
    </w:rPr>
  </w:style>
  <w:style w:type="paragraph" w:styleId="BodyTextIndent2">
    <w:name w:val="Body Text Indent 2"/>
    <w:basedOn w:val="Normal"/>
    <w:link w:val="BodyTextIndent2Char"/>
    <w:rsid w:val="00944AEF"/>
    <w:pPr>
      <w:spacing w:after="120" w:line="480" w:lineRule="auto"/>
      <w:ind w:left="360"/>
    </w:pPr>
  </w:style>
  <w:style w:type="character" w:customStyle="1" w:styleId="BodyTextIndent2Char">
    <w:name w:val="Body Text Indent 2 Char"/>
    <w:basedOn w:val="DefaultParagraphFont"/>
    <w:link w:val="BodyTextIndent2"/>
    <w:rsid w:val="00944AEF"/>
    <w:rPr>
      <w:rFonts w:ascii="Arial" w:hAnsi="Arial"/>
    </w:rPr>
  </w:style>
  <w:style w:type="paragraph" w:styleId="BodyText3">
    <w:name w:val="Body Text 3"/>
    <w:basedOn w:val="Normal"/>
    <w:link w:val="BodyText3Char"/>
    <w:rsid w:val="00944AEF"/>
    <w:pPr>
      <w:spacing w:after="120"/>
    </w:pPr>
    <w:rPr>
      <w:sz w:val="16"/>
      <w:szCs w:val="16"/>
    </w:rPr>
  </w:style>
  <w:style w:type="character" w:customStyle="1" w:styleId="BodyText3Char">
    <w:name w:val="Body Text 3 Char"/>
    <w:basedOn w:val="DefaultParagraphFont"/>
    <w:link w:val="BodyText3"/>
    <w:rsid w:val="00944AEF"/>
    <w:rPr>
      <w:rFonts w:ascii="Arial" w:hAnsi="Arial"/>
      <w:sz w:val="16"/>
      <w:szCs w:val="16"/>
    </w:rPr>
  </w:style>
  <w:style w:type="character" w:customStyle="1" w:styleId="FootnoteTextChar2">
    <w:name w:val="Footnote Text Char2"/>
    <w:rsid w:val="00944AEF"/>
    <w:rPr>
      <w:rFonts w:ascii="Arial" w:hAnsi="Arial" w:cs="Mangal"/>
      <w:sz w:val="18"/>
      <w:szCs w:val="24"/>
      <w:lang w:bidi="ne-NP"/>
    </w:rPr>
  </w:style>
  <w:style w:type="paragraph" w:styleId="NoSpacing">
    <w:name w:val="No Spacing"/>
    <w:uiPriority w:val="1"/>
    <w:qFormat/>
    <w:rsid w:val="00944AEF"/>
    <w:rPr>
      <w:rFonts w:ascii="Calibri" w:eastAsia="Calibri" w:hAnsi="Calibri"/>
      <w:sz w:val="22"/>
      <w:szCs w:val="22"/>
    </w:rPr>
  </w:style>
  <w:style w:type="paragraph" w:customStyle="1" w:styleId="inf61normal">
    <w:name w:val="inf_6_1_normal"/>
    <w:basedOn w:val="Normal"/>
    <w:rsid w:val="00944AEF"/>
    <w:pPr>
      <w:tabs>
        <w:tab w:val="left" w:pos="-31680"/>
        <w:tab w:val="left" w:pos="315"/>
      </w:tabs>
    </w:pPr>
    <w:rPr>
      <w:rFonts w:ascii="Times New Roman" w:hAnsi="Times New Roman"/>
      <w:color w:val="000000"/>
      <w:kern w:val="28"/>
      <w:sz w:val="24"/>
      <w:lang w:val="en-ZW" w:eastAsia="en-ZW"/>
    </w:rPr>
  </w:style>
  <w:style w:type="character" w:customStyle="1" w:styleId="ht">
    <w:name w:val="ht"/>
    <w:basedOn w:val="DefaultParagraphFont"/>
    <w:rsid w:val="002456C6"/>
  </w:style>
  <w:style w:type="character" w:customStyle="1" w:styleId="Heading7Char">
    <w:name w:val="Heading 7 Char"/>
    <w:basedOn w:val="DefaultParagraphFont"/>
    <w:link w:val="Heading7"/>
    <w:rsid w:val="00023109"/>
    <w:rPr>
      <w:sz w:val="22"/>
      <w:szCs w:val="22"/>
      <w:u w:val="single"/>
      <w:lang w:val="en-GB"/>
    </w:rPr>
  </w:style>
  <w:style w:type="character" w:styleId="Strong">
    <w:name w:val="Strong"/>
    <w:qFormat/>
    <w:rsid w:val="00023109"/>
    <w:rPr>
      <w:b/>
      <w:bCs/>
    </w:rPr>
  </w:style>
  <w:style w:type="character" w:styleId="Emphasis">
    <w:name w:val="Emphasis"/>
    <w:qFormat/>
    <w:rsid w:val="00023109"/>
    <w:rPr>
      <w:i/>
      <w:iCs/>
    </w:rPr>
  </w:style>
  <w:style w:type="paragraph" w:customStyle="1" w:styleId="c71indicateur">
    <w:name w:val="c71indicateur"/>
    <w:basedOn w:val="Normal"/>
    <w:rsid w:val="00023109"/>
    <w:pPr>
      <w:spacing w:before="600" w:after="560"/>
      <w:ind w:left="567"/>
      <w:jc w:val="center"/>
    </w:pPr>
    <w:rPr>
      <w:szCs w:val="24"/>
      <w:lang w:eastAsia="fr-FR"/>
    </w:rPr>
  </w:style>
  <w:style w:type="paragraph" w:customStyle="1" w:styleId="c02alineaalta">
    <w:name w:val="c02alineaalta"/>
    <w:basedOn w:val="Normal"/>
    <w:rsid w:val="00023109"/>
    <w:pPr>
      <w:spacing w:after="240"/>
      <w:ind w:left="567"/>
    </w:pPr>
    <w:rPr>
      <w:szCs w:val="24"/>
      <w:lang w:eastAsia="fr-FR"/>
    </w:rPr>
  </w:style>
  <w:style w:type="paragraph" w:customStyle="1" w:styleId="Char">
    <w:name w:val="Char 字元 字元"/>
    <w:basedOn w:val="Normal"/>
    <w:rsid w:val="00023109"/>
    <w:pPr>
      <w:spacing w:after="160" w:line="240" w:lineRule="exact"/>
      <w:jc w:val="left"/>
    </w:pPr>
    <w:rPr>
      <w:rFonts w:ascii="Verdana" w:eastAsia="PMingLiU" w:hAnsi="Verdana"/>
      <w:lang w:val="en-US"/>
    </w:rPr>
  </w:style>
  <w:style w:type="paragraph" w:customStyle="1" w:styleId="tableaheadital">
    <w:name w:val="tableaheadital"/>
    <w:basedOn w:val="Normal"/>
    <w:rsid w:val="00023109"/>
    <w:pPr>
      <w:spacing w:before="100" w:beforeAutospacing="1" w:after="100" w:afterAutospacing="1"/>
      <w:jc w:val="left"/>
    </w:pPr>
    <w:rPr>
      <w:rFonts w:ascii="Times New Roman" w:eastAsia="MS Mincho" w:hAnsi="Times New Roman"/>
      <w:sz w:val="24"/>
      <w:szCs w:val="24"/>
      <w:lang w:val="en-AU" w:eastAsia="ja-JP"/>
    </w:rPr>
  </w:style>
  <w:style w:type="character" w:customStyle="1" w:styleId="hps">
    <w:name w:val="hps"/>
    <w:rsid w:val="00023109"/>
  </w:style>
  <w:style w:type="character" w:customStyle="1" w:styleId="apple-converted-space">
    <w:name w:val="apple-converted-space"/>
    <w:basedOn w:val="DefaultParagraphFont"/>
    <w:rsid w:val="00023109"/>
  </w:style>
  <w:style w:type="paragraph" w:customStyle="1" w:styleId="a">
    <w:name w:val="바탕글"/>
    <w:uiPriority w:val="99"/>
    <w:rsid w:val="00023109"/>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Batang" w:eastAsia="Batang" w:cs="Batang"/>
      <w:color w:val="000000"/>
      <w:sz w:val="24"/>
      <w:szCs w:val="24"/>
      <w:lang w:eastAsia="ko-KR"/>
    </w:rPr>
  </w:style>
  <w:style w:type="character" w:styleId="FollowedHyperlink">
    <w:name w:val="FollowedHyperlink"/>
    <w:basedOn w:val="DefaultParagraphFont"/>
    <w:rsid w:val="00023109"/>
    <w:rPr>
      <w:color w:val="800080" w:themeColor="followedHyperlink"/>
      <w:u w:val="single"/>
    </w:rPr>
  </w:style>
  <w:style w:type="character" w:customStyle="1" w:styleId="HeaderChar">
    <w:name w:val="Header Char"/>
    <w:basedOn w:val="DefaultParagraphFont"/>
    <w:link w:val="Header"/>
    <w:uiPriority w:val="99"/>
    <w:rsid w:val="00BD634F"/>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yperlink" Target="https://www.retsinformation.dk/Forms/R0710.aspx?id=173645" TargetMode="External"/><Relationship Id="rId26" Type="http://schemas.openxmlformats.org/officeDocument/2006/relationships/header" Target="header9.xml"/><Relationship Id="rId39" Type="http://schemas.openxmlformats.org/officeDocument/2006/relationships/hyperlink" Target="http://www.cpvo.europa.eu/main/fr/home/methods-of-payment/applicable-fees/examination-fees" TargetMode="External"/><Relationship Id="rId3" Type="http://schemas.openxmlformats.org/officeDocument/2006/relationships/styles" Target="styles.xml"/><Relationship Id="rId21" Type="http://schemas.openxmlformats.org/officeDocument/2006/relationships/hyperlink" Target="mailto:upov.mail@upov.int" TargetMode="External"/><Relationship Id="rId34" Type="http://schemas.openxmlformats.org/officeDocument/2006/relationships/hyperlink" Target="http://www.uzb.minpolj.gov.rs/index.php?lang=en" TargetMode="External"/><Relationship Id="rId42" Type="http://schemas.openxmlformats.org/officeDocument/2006/relationships/chart" Target="charts/chart3.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s://www.retsinformation.dk/Forms/R0710.aspx?id=123418" TargetMode="Externa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tystofte.dk/wp-content/uploads/2015/08/prisliste-2016-pricelist-2016.pdf" TargetMode="External"/><Relationship Id="rId29" Type="http://schemas.openxmlformats.org/officeDocument/2006/relationships/hyperlink" Target="http://www.coboru.pl" TargetMode="External"/><Relationship Id="rId41"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yperlink" Target="http://www.agepi.gov.md" TargetMode="External"/><Relationship Id="rId37" Type="http://schemas.openxmlformats.org/officeDocument/2006/relationships/header" Target="header14.xml"/><Relationship Id="rId40" Type="http://schemas.openxmlformats.org/officeDocument/2006/relationships/image" Target="media/image4.emf"/><Relationship Id="rId45"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image" Target="media/image3.emf"/><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yperlink" Target="http://www.tystofte.dk/wp-content/uploads/2015/06/prisliste-2015-pricelist-2015.pdf" TargetMode="External"/><Relationship Id="rId31" Type="http://schemas.openxmlformats.org/officeDocument/2006/relationships/header" Target="header11.xml"/><Relationship Id="rId44"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image" Target="media/image2.emf"/><Relationship Id="rId27" Type="http://schemas.openxmlformats.org/officeDocument/2006/relationships/header" Target="header10.xml"/><Relationship Id="rId30" Type="http://schemas.openxmlformats.org/officeDocument/2006/relationships/hyperlink" Target="http://www.coboru.pl" TargetMode="External"/><Relationship Id="rId35" Type="http://schemas.openxmlformats.org/officeDocument/2006/relationships/hyperlink" Target="http://www.uzb.minpolj.gov.rs/index.php?option=com_content&amp;view=article&amp;id=61&amp;Itemid=14&amp;lang=en" TargetMode="External"/><Relationship Id="rId43" Type="http://schemas.openxmlformats.org/officeDocument/2006/relationships/image" Target="media/image6.emf"/><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9\templates\C_49_FR.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jeimy.velasquez\Desktop\informe%20201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Wipogvafs01\DAT2\ORGLAN\AEM\POOL\38160\c_49_15_annex_graph_38160_FR.doc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a:pPr>
            <a:r>
              <a:rPr lang="es-CO" sz="1100"/>
              <a:t>DEMANDES</a:t>
            </a:r>
            <a:r>
              <a:rPr lang="es-CO" sz="1100" baseline="0"/>
              <a:t> REÇUES PAR ESPÈCES </a:t>
            </a:r>
          </a:p>
          <a:p>
            <a:pPr algn="ctr">
              <a:defRPr/>
            </a:pPr>
            <a:r>
              <a:rPr lang="es-CO" sz="1000" baseline="0"/>
              <a:t>OCTOBRE 2014 - SEPTEMBRE 2015</a:t>
            </a:r>
          </a:p>
          <a:p>
            <a:pPr algn="ctr">
              <a:defRPr/>
            </a:pPr>
            <a:r>
              <a:rPr lang="es-CO" sz="1100" baseline="0"/>
              <a:t> (214)</a:t>
            </a:r>
            <a:endParaRPr lang="es-CO" sz="1100"/>
          </a:p>
        </c:rich>
      </c:tx>
      <c:layout>
        <c:manualLayout>
          <c:xMode val="edge"/>
          <c:yMode val="edge"/>
          <c:x val="0.32369410047454217"/>
          <c:y val="3.5870082845483729E-2"/>
        </c:manualLayout>
      </c:layout>
      <c:overlay val="0"/>
    </c:title>
    <c:autoTitleDeleted val="0"/>
    <c:plotArea>
      <c:layout/>
      <c:barChart>
        <c:barDir val="col"/>
        <c:grouping val="clustered"/>
        <c:varyColors val="0"/>
        <c:ser>
          <c:idx val="0"/>
          <c:order val="0"/>
          <c:invertIfNegative val="0"/>
          <c:dPt>
            <c:idx val="0"/>
            <c:invertIfNegative val="0"/>
            <c:bubble3D val="0"/>
            <c:spPr>
              <a:solidFill>
                <a:srgbClr val="FF0000"/>
              </a:solidFill>
            </c:spPr>
          </c:dPt>
          <c:dPt>
            <c:idx val="1"/>
            <c:invertIfNegative val="0"/>
            <c:bubble3D val="0"/>
            <c:spPr>
              <a:solidFill>
                <a:srgbClr val="92D050"/>
              </a:solidFill>
            </c:spPr>
          </c:dPt>
          <c:dPt>
            <c:idx val="2"/>
            <c:invertIfNegative val="0"/>
            <c:bubble3D val="0"/>
            <c:spPr>
              <a:solidFill>
                <a:srgbClr val="FF33CC"/>
              </a:solidFill>
            </c:spPr>
          </c:dPt>
          <c:dPt>
            <c:idx val="3"/>
            <c:invertIfNegative val="0"/>
            <c:bubble3D val="0"/>
            <c:spPr>
              <a:solidFill>
                <a:srgbClr val="00CCFF"/>
              </a:solidFill>
            </c:spPr>
          </c:dPt>
          <c:dPt>
            <c:idx val="4"/>
            <c:invertIfNegative val="0"/>
            <c:bubble3D val="0"/>
            <c:spPr>
              <a:solidFill>
                <a:srgbClr val="FFFF00"/>
              </a:solidFill>
            </c:spPr>
          </c:dPt>
          <c:dPt>
            <c:idx val="5"/>
            <c:invertIfNegative val="0"/>
            <c:bubble3D val="0"/>
            <c:spPr>
              <a:solidFill>
                <a:srgbClr val="00CC00"/>
              </a:solidFill>
            </c:spPr>
          </c:dPt>
          <c:dPt>
            <c:idx val="7"/>
            <c:invertIfNegative val="0"/>
            <c:bubble3D val="0"/>
            <c:spPr>
              <a:solidFill>
                <a:srgbClr val="FFCC00"/>
              </a:solidFill>
            </c:spPr>
          </c:dPt>
          <c:dPt>
            <c:idx val="8"/>
            <c:invertIfNegative val="0"/>
            <c:bubble3D val="0"/>
            <c:spPr>
              <a:solidFill>
                <a:srgbClr val="6699FF"/>
              </a:solidFill>
            </c:spPr>
          </c:dPt>
          <c:dPt>
            <c:idx val="9"/>
            <c:invertIfNegative val="0"/>
            <c:bubble3D val="0"/>
            <c:spPr>
              <a:solidFill>
                <a:srgbClr val="990099"/>
              </a:solidFill>
            </c:spPr>
          </c:dPt>
          <c:dPt>
            <c:idx val="10"/>
            <c:invertIfNegative val="0"/>
            <c:bubble3D val="0"/>
            <c:spPr>
              <a:solidFill>
                <a:srgbClr val="CCCC00"/>
              </a:solidFill>
            </c:spPr>
          </c:dPt>
          <c:dPt>
            <c:idx val="11"/>
            <c:invertIfNegative val="0"/>
            <c:bubble3D val="0"/>
            <c:spPr>
              <a:solidFill>
                <a:srgbClr val="FF6600"/>
              </a:solidFill>
            </c:spPr>
          </c:dPt>
          <c:dPt>
            <c:idx val="12"/>
            <c:invertIfNegative val="0"/>
            <c:bubble3D val="0"/>
            <c:spPr>
              <a:solidFill>
                <a:srgbClr val="FF66CC"/>
              </a:solidFill>
            </c:spPr>
          </c:dPt>
          <c:dPt>
            <c:idx val="13"/>
            <c:invertIfNegative val="0"/>
            <c:bubble3D val="0"/>
            <c:spPr>
              <a:solidFill>
                <a:srgbClr val="0099FF"/>
              </a:solidFill>
            </c:spPr>
          </c:dPt>
          <c:dPt>
            <c:idx val="14"/>
            <c:invertIfNegative val="0"/>
            <c:bubble3D val="0"/>
            <c:spPr>
              <a:solidFill>
                <a:srgbClr val="808000"/>
              </a:solidFill>
            </c:spPr>
          </c:dPt>
          <c:dPt>
            <c:idx val="15"/>
            <c:invertIfNegative val="0"/>
            <c:bubble3D val="0"/>
            <c:spPr>
              <a:solidFill>
                <a:srgbClr val="FF33CC"/>
              </a:solidFill>
            </c:spPr>
          </c:dPt>
          <c:dPt>
            <c:idx val="16"/>
            <c:invertIfNegative val="0"/>
            <c:bubble3D val="0"/>
            <c:spPr>
              <a:solidFill>
                <a:srgbClr val="FFCC00"/>
              </a:solidFill>
            </c:spPr>
          </c:dPt>
          <c:dPt>
            <c:idx val="17"/>
            <c:invertIfNegative val="0"/>
            <c:bubble3D val="0"/>
            <c:spPr>
              <a:solidFill>
                <a:srgbClr val="66FF66"/>
              </a:solidFill>
            </c:spPr>
          </c:dPt>
          <c:dPt>
            <c:idx val="18"/>
            <c:invertIfNegative val="0"/>
            <c:bubble3D val="0"/>
            <c:spPr>
              <a:solidFill>
                <a:srgbClr val="00B050"/>
              </a:solidFill>
            </c:spPr>
          </c:dPt>
          <c:dPt>
            <c:idx val="20"/>
            <c:invertIfNegative val="0"/>
            <c:bubble3D val="0"/>
            <c:spPr>
              <a:solidFill>
                <a:srgbClr val="FA2E18"/>
              </a:solidFill>
            </c:spPr>
          </c:dPt>
          <c:dLbls>
            <c:dLbl>
              <c:idx val="0"/>
              <c:layout>
                <c:manualLayout>
                  <c:x val="0"/>
                  <c:y val="-1.3036102646762744E-4"/>
                </c:manualLayout>
              </c:layout>
              <c:dLblPos val="outEnd"/>
              <c:showLegendKey val="0"/>
              <c:showVal val="1"/>
              <c:showCatName val="0"/>
              <c:showSerName val="0"/>
              <c:showPercent val="0"/>
              <c:showBubbleSize val="0"/>
            </c:dLbl>
            <c:dLbl>
              <c:idx val="3"/>
              <c:layout>
                <c:manualLayout>
                  <c:x val="-2.0800828626395171E-3"/>
                  <c:y val="2.8871854545015493E-3"/>
                </c:manualLayout>
              </c:layout>
              <c:dLblPos val="outEnd"/>
              <c:showLegendKey val="0"/>
              <c:showVal val="1"/>
              <c:showCatName val="0"/>
              <c:showSerName val="0"/>
              <c:showPercent val="0"/>
              <c:showBubbleSize val="0"/>
            </c:dLbl>
            <c:dLbl>
              <c:idx val="5"/>
              <c:layout>
                <c:manualLayout>
                  <c:x val="0"/>
                  <c:y val="2.8871854545014612E-3"/>
                </c:manualLayout>
              </c:layout>
              <c:dLblPos val="outEnd"/>
              <c:showLegendKey val="0"/>
              <c:showVal val="1"/>
              <c:showCatName val="0"/>
              <c:showSerName val="0"/>
              <c:showPercent val="0"/>
              <c:showBubbleSize val="0"/>
            </c:dLbl>
            <c:dLbl>
              <c:idx val="7"/>
              <c:layout>
                <c:manualLayout>
                  <c:x val="-3.8134411949743502E-17"/>
                  <c:y val="2.2655652197535129E-3"/>
                </c:manualLayout>
              </c:layout>
              <c:dLblPos val="outEnd"/>
              <c:showLegendKey val="0"/>
              <c:showVal val="1"/>
              <c:showCatName val="0"/>
              <c:showSerName val="0"/>
              <c:showPercent val="0"/>
              <c:showBubbleSize val="0"/>
            </c:dLbl>
            <c:dLbl>
              <c:idx val="8"/>
              <c:layout>
                <c:manualLayout>
                  <c:x val="-3.8134411949743502E-17"/>
                  <c:y val="4.9125920828032112E-4"/>
                </c:manualLayout>
              </c:layout>
              <c:dLblPos val="outEnd"/>
              <c:showLegendKey val="0"/>
              <c:showVal val="1"/>
              <c:showCatName val="0"/>
              <c:showSerName val="0"/>
              <c:showPercent val="0"/>
              <c:showBubbleSize val="0"/>
            </c:dLbl>
            <c:dLbl>
              <c:idx val="9"/>
              <c:layout>
                <c:manualLayout>
                  <c:x val="7.6268823899487004E-17"/>
                  <c:y val="4.1387267708346605E-3"/>
                </c:manualLayout>
              </c:layout>
              <c:dLblPos val="outEnd"/>
              <c:showLegendKey val="0"/>
              <c:showVal val="1"/>
              <c:showCatName val="0"/>
              <c:showSerName val="0"/>
              <c:showPercent val="0"/>
              <c:showBubbleSize val="0"/>
            </c:dLbl>
            <c:dLbl>
              <c:idx val="10"/>
              <c:layout>
                <c:manualLayout>
                  <c:x val="0"/>
                  <c:y val="1.74280052461352E-3"/>
                </c:manualLayout>
              </c:layout>
              <c:dLblPos val="outEnd"/>
              <c:showLegendKey val="0"/>
              <c:showVal val="1"/>
              <c:showCatName val="0"/>
              <c:showSerName val="0"/>
              <c:showPercent val="0"/>
              <c:showBubbleSize val="0"/>
            </c:dLbl>
            <c:dLbl>
              <c:idx val="11"/>
              <c:layout>
                <c:manualLayout>
                  <c:x val="0"/>
                  <c:y val="1.8607804767292402E-2"/>
                </c:manualLayout>
              </c:layout>
              <c:dLblPos val="outEnd"/>
              <c:showLegendKey val="0"/>
              <c:showVal val="1"/>
              <c:showCatName val="0"/>
              <c:showSerName val="0"/>
              <c:showPercent val="0"/>
              <c:showBubbleSize val="0"/>
            </c:dLbl>
            <c:dLbl>
              <c:idx val="12"/>
              <c:layout>
                <c:manualLayout>
                  <c:x val="7.6268823899487004E-17"/>
                  <c:y val="1.8607804767292402E-2"/>
                </c:manualLayout>
              </c:layout>
              <c:dLblPos val="outEnd"/>
              <c:showLegendKey val="0"/>
              <c:showVal val="1"/>
              <c:showCatName val="0"/>
              <c:showSerName val="0"/>
              <c:showPercent val="0"/>
              <c:showBubbleSize val="0"/>
            </c:dLbl>
            <c:dLbl>
              <c:idx val="13"/>
              <c:layout>
                <c:manualLayout>
                  <c:x val="0"/>
                  <c:y val="1.836373707143193E-3"/>
                </c:manualLayout>
              </c:layout>
              <c:dLblPos val="outEnd"/>
              <c:showLegendKey val="0"/>
              <c:showVal val="1"/>
              <c:showCatName val="0"/>
              <c:showSerName val="0"/>
              <c:showPercent val="0"/>
              <c:showBubbleSize val="0"/>
            </c:dLbl>
            <c:dLbl>
              <c:idx val="14"/>
              <c:layout>
                <c:manualLayout>
                  <c:x val="0"/>
                  <c:y val="4.5782943419918716E-3"/>
                </c:manualLayout>
              </c:layout>
              <c:dLblPos val="outEnd"/>
              <c:showLegendKey val="0"/>
              <c:showVal val="1"/>
              <c:showCatName val="0"/>
              <c:showSerName val="0"/>
              <c:showPercent val="0"/>
              <c:showBubbleSize val="0"/>
            </c:dLbl>
            <c:dLbl>
              <c:idx val="15"/>
              <c:layout>
                <c:manualLayout>
                  <c:x val="0"/>
                  <c:y val="1.2844712800264764E-2"/>
                </c:manualLayout>
              </c:layout>
              <c:dLblPos val="outEnd"/>
              <c:showLegendKey val="0"/>
              <c:showVal val="1"/>
              <c:showCatName val="0"/>
              <c:showSerName val="0"/>
              <c:showPercent val="0"/>
              <c:showBubbleSize val="0"/>
            </c:dLbl>
            <c:dLbl>
              <c:idx val="16"/>
              <c:layout>
                <c:manualLayout>
                  <c:x val="0"/>
                  <c:y val="9.7901129095569056E-3"/>
                </c:manualLayout>
              </c:layout>
              <c:dLblPos val="outEnd"/>
              <c:showLegendKey val="0"/>
              <c:showVal val="1"/>
              <c:showCatName val="0"/>
              <c:showSerName val="0"/>
              <c:showPercent val="0"/>
              <c:showBubbleSize val="0"/>
            </c:dLbl>
            <c:dLbl>
              <c:idx val="17"/>
              <c:layout>
                <c:manualLayout>
                  <c:x val="0"/>
                  <c:y val="9.7901129095569056E-3"/>
                </c:manualLayout>
              </c:layout>
              <c:dLblPos val="outEnd"/>
              <c:showLegendKey val="0"/>
              <c:showVal val="1"/>
              <c:showCatName val="0"/>
              <c:showSerName val="0"/>
              <c:showPercent val="0"/>
              <c:showBubbleSize val="0"/>
            </c:dLbl>
            <c:dLbl>
              <c:idx val="18"/>
              <c:layout>
                <c:manualLayout>
                  <c:x val="0"/>
                  <c:y val="6.7355130188490459E-3"/>
                </c:manualLayout>
              </c:layout>
              <c:dLblPos val="outEnd"/>
              <c:showLegendKey val="0"/>
              <c:showVal val="1"/>
              <c:showCatName val="0"/>
              <c:showSerName val="0"/>
              <c:showPercent val="0"/>
              <c:showBubbleSize val="0"/>
            </c:dLbl>
            <c:dLbl>
              <c:idx val="19"/>
              <c:layout>
                <c:manualLayout>
                  <c:x val="0"/>
                  <c:y val="9.7901129095568484E-3"/>
                </c:manualLayout>
              </c:layout>
              <c:dLblPos val="outEnd"/>
              <c:showLegendKey val="0"/>
              <c:showVal val="1"/>
              <c:showCatName val="0"/>
              <c:showSerName val="0"/>
              <c:showPercent val="0"/>
              <c:showBubbleSize val="0"/>
            </c:dLbl>
            <c:dLbl>
              <c:idx val="20"/>
              <c:layout>
                <c:manualLayout>
                  <c:x val="0"/>
                  <c:y val="6.7355130188490459E-3"/>
                </c:manualLayout>
              </c:layout>
              <c:dLblPos val="outEnd"/>
              <c:showLegendKey val="0"/>
              <c:showVal val="1"/>
              <c:showCatName val="0"/>
              <c:showSerName val="0"/>
              <c:showPercent val="0"/>
              <c:showBubbleSize val="0"/>
            </c:dLbl>
            <c:dLbl>
              <c:idx val="22"/>
              <c:layout>
                <c:manualLayout>
                  <c:x val="1.5253764779897401E-16"/>
                  <c:y val="1.2470890439386461E-2"/>
                </c:manualLayout>
              </c:layout>
              <c:dLblPos val="outEnd"/>
              <c:showLegendKey val="0"/>
              <c:showVal val="1"/>
              <c:showCatName val="0"/>
              <c:showSerName val="0"/>
              <c:showPercent val="0"/>
              <c:showBubbleSize val="0"/>
            </c:dLbl>
            <c:dLbl>
              <c:idx val="25"/>
              <c:layout>
                <c:manualLayout>
                  <c:x val="0"/>
                  <c:y val="1.5378073388541511E-2"/>
                </c:manualLayout>
              </c:layout>
              <c:dLblPos val="outEnd"/>
              <c:showLegendKey val="0"/>
              <c:showVal val="1"/>
              <c:showCatName val="0"/>
              <c:showSerName val="0"/>
              <c:showPercent val="0"/>
              <c:showBubbleSize val="0"/>
            </c:dLbl>
            <c:dLblPos val="inEnd"/>
            <c:showLegendKey val="0"/>
            <c:showVal val="1"/>
            <c:showCatName val="0"/>
            <c:showSerName val="0"/>
            <c:showPercent val="0"/>
            <c:showBubbleSize val="0"/>
            <c:showLeaderLines val="0"/>
          </c:dLbls>
          <c:cat>
            <c:strRef>
              <c:f>Hoja1!$B$3:$B$29</c:f>
              <c:strCache>
                <c:ptCount val="27"/>
                <c:pt idx="0">
                  <c:v>AGUACATE</c:v>
                </c:pt>
                <c:pt idx="1">
                  <c:v>AJENJO</c:v>
                </c:pt>
                <c:pt idx="2">
                  <c:v>ALGODÓN </c:v>
                </c:pt>
                <c:pt idx="3">
                  <c:v>ALSTROEMERIA </c:v>
                </c:pt>
                <c:pt idx="4">
                  <c:v>ARANDANO</c:v>
                </c:pt>
                <c:pt idx="5">
                  <c:v>ARROZ </c:v>
                </c:pt>
                <c:pt idx="6">
                  <c:v>BRAQUIARIA</c:v>
                </c:pt>
                <c:pt idx="7">
                  <c:v>CACAO</c:v>
                </c:pt>
                <c:pt idx="8">
                  <c:v>CAFÉ </c:v>
                </c:pt>
                <c:pt idx="9">
                  <c:v>CALA </c:v>
                </c:pt>
                <c:pt idx="10">
                  <c:v>CAÑA DE AZÚCAR </c:v>
                </c:pt>
                <c:pt idx="11">
                  <c:v>CAPIN COLONIÁO</c:v>
                </c:pt>
                <c:pt idx="12">
                  <c:v>CEBOLLA</c:v>
                </c:pt>
                <c:pt idx="13">
                  <c:v>CLAVEL</c:v>
                </c:pt>
                <c:pt idx="14">
                  <c:v>CRISANTEMO </c:v>
                </c:pt>
                <c:pt idx="15">
                  <c:v>FRESA</c:v>
                </c:pt>
                <c:pt idx="16">
                  <c:v>GYPSOPHILA </c:v>
                </c:pt>
                <c:pt idx="17">
                  <c:v>HYPERICUM</c:v>
                </c:pt>
                <c:pt idx="18">
                  <c:v>LIMONIUM</c:v>
                </c:pt>
                <c:pt idx="19">
                  <c:v>MELON </c:v>
                </c:pt>
                <c:pt idx="20">
                  <c:v>PALMA DE ACEITE</c:v>
                </c:pt>
                <c:pt idx="21">
                  <c:v>PEPPEGRASS</c:v>
                </c:pt>
                <c:pt idx="22">
                  <c:v>ROSA</c:v>
                </c:pt>
                <c:pt idx="23">
                  <c:v>SANDIA</c:v>
                </c:pt>
                <c:pt idx="24">
                  <c:v>SOLIDAGO</c:v>
                </c:pt>
                <c:pt idx="25">
                  <c:v>TOMATE</c:v>
                </c:pt>
                <c:pt idx="26">
                  <c:v>VID</c:v>
                </c:pt>
              </c:strCache>
            </c:strRef>
          </c:cat>
          <c:val>
            <c:numRef>
              <c:f>Hoja1!$C$3:$C$29</c:f>
              <c:numCache>
                <c:formatCode>General</c:formatCode>
                <c:ptCount val="27"/>
                <c:pt idx="0">
                  <c:v>2</c:v>
                </c:pt>
                <c:pt idx="1">
                  <c:v>1</c:v>
                </c:pt>
                <c:pt idx="2">
                  <c:v>1</c:v>
                </c:pt>
                <c:pt idx="3">
                  <c:v>18</c:v>
                </c:pt>
                <c:pt idx="4">
                  <c:v>1</c:v>
                </c:pt>
                <c:pt idx="5">
                  <c:v>7</c:v>
                </c:pt>
                <c:pt idx="6">
                  <c:v>1</c:v>
                </c:pt>
                <c:pt idx="7">
                  <c:v>2</c:v>
                </c:pt>
                <c:pt idx="8">
                  <c:v>10</c:v>
                </c:pt>
                <c:pt idx="9">
                  <c:v>5</c:v>
                </c:pt>
                <c:pt idx="10">
                  <c:v>5</c:v>
                </c:pt>
                <c:pt idx="11">
                  <c:v>1</c:v>
                </c:pt>
                <c:pt idx="12">
                  <c:v>1</c:v>
                </c:pt>
                <c:pt idx="13">
                  <c:v>12</c:v>
                </c:pt>
                <c:pt idx="14">
                  <c:v>58</c:v>
                </c:pt>
                <c:pt idx="15">
                  <c:v>6</c:v>
                </c:pt>
                <c:pt idx="16">
                  <c:v>1</c:v>
                </c:pt>
                <c:pt idx="17">
                  <c:v>1</c:v>
                </c:pt>
                <c:pt idx="18">
                  <c:v>5</c:v>
                </c:pt>
                <c:pt idx="19">
                  <c:v>3</c:v>
                </c:pt>
                <c:pt idx="20">
                  <c:v>3</c:v>
                </c:pt>
                <c:pt idx="21">
                  <c:v>1</c:v>
                </c:pt>
                <c:pt idx="22">
                  <c:v>62</c:v>
                </c:pt>
                <c:pt idx="23">
                  <c:v>1</c:v>
                </c:pt>
                <c:pt idx="24">
                  <c:v>1</c:v>
                </c:pt>
                <c:pt idx="25">
                  <c:v>3</c:v>
                </c:pt>
                <c:pt idx="26">
                  <c:v>2</c:v>
                </c:pt>
              </c:numCache>
            </c:numRef>
          </c:val>
        </c:ser>
        <c:dLbls>
          <c:showLegendKey val="0"/>
          <c:showVal val="0"/>
          <c:showCatName val="0"/>
          <c:showSerName val="0"/>
          <c:showPercent val="0"/>
          <c:showBubbleSize val="0"/>
        </c:dLbls>
        <c:gapWidth val="75"/>
        <c:overlap val="40"/>
        <c:axId val="122394880"/>
        <c:axId val="122429440"/>
      </c:barChart>
      <c:catAx>
        <c:axId val="122394880"/>
        <c:scaling>
          <c:orientation val="minMax"/>
        </c:scaling>
        <c:delete val="0"/>
        <c:axPos val="b"/>
        <c:majorTickMark val="none"/>
        <c:minorTickMark val="none"/>
        <c:tickLblPos val="nextTo"/>
        <c:crossAx val="122429440"/>
        <c:crosses val="autoZero"/>
        <c:auto val="1"/>
        <c:lblAlgn val="ctr"/>
        <c:lblOffset val="100"/>
        <c:noMultiLvlLbl val="0"/>
      </c:catAx>
      <c:valAx>
        <c:axId val="122429440"/>
        <c:scaling>
          <c:orientation val="minMax"/>
          <c:max val="70"/>
          <c:min val="0"/>
        </c:scaling>
        <c:delete val="0"/>
        <c:axPos val="l"/>
        <c:majorGridlines/>
        <c:numFmt formatCode="General" sourceLinked="1"/>
        <c:majorTickMark val="none"/>
        <c:minorTickMark val="none"/>
        <c:tickLblPos val="nextTo"/>
        <c:crossAx val="122394880"/>
        <c:crosses val="autoZero"/>
        <c:crossBetween val="between"/>
      </c:valAx>
      <c:spPr>
        <a:noFill/>
        <a:ln w="25400">
          <a:noFill/>
        </a:ln>
      </c:spPr>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s-CO" sz="1200" b="1" i="0" baseline="0">
                <a:effectLst/>
              </a:rPr>
              <a:t>CERTIFICATS DÉLIVRÉS </a:t>
            </a:r>
            <a:endParaRPr lang="en-US" sz="1000">
              <a:effectLst/>
            </a:endParaRPr>
          </a:p>
          <a:p>
            <a:pPr>
              <a:defRPr sz="1000"/>
            </a:pPr>
            <a:r>
              <a:rPr lang="es-CO" sz="1200" b="1" i="0" baseline="0">
                <a:effectLst/>
              </a:rPr>
              <a:t>OCTOBRE 2014 - SEPTEMBRE 2015</a:t>
            </a:r>
            <a:endParaRPr lang="en-US" sz="1000">
              <a:effectLst/>
            </a:endParaRPr>
          </a:p>
          <a:p>
            <a:pPr>
              <a:defRPr sz="1000"/>
            </a:pPr>
            <a:r>
              <a:rPr lang="es-CO" sz="1200" b="1" i="0" baseline="0">
                <a:effectLst/>
              </a:rPr>
              <a:t>170</a:t>
            </a:r>
            <a:endParaRPr lang="en-US" sz="1000">
              <a:effectLst/>
            </a:endParaRPr>
          </a:p>
        </c:rich>
      </c:tx>
      <c:overlay val="0"/>
    </c:title>
    <c:autoTitleDeleted val="0"/>
    <c:plotArea>
      <c:layout/>
      <c:pieChart>
        <c:varyColors val="1"/>
        <c:ser>
          <c:idx val="0"/>
          <c:order val="0"/>
          <c:explosion val="25"/>
          <c:dLbls>
            <c:dLbl>
              <c:idx val="0"/>
              <c:layout>
                <c:manualLayout>
                  <c:x val="1.7524648361262534E-2"/>
                  <c:y val="-9.1397090988626417E-2"/>
                </c:manualLayout>
              </c:layout>
              <c:tx>
                <c:rich>
                  <a:bodyPr/>
                  <a:lstStyle/>
                  <a:p>
                    <a:r>
                      <a:rPr lang="en-US"/>
                      <a:t>PAYS-BAS, 96</a:t>
                    </a:r>
                  </a:p>
                </c:rich>
              </c:tx>
              <c:showLegendKey val="0"/>
              <c:showVal val="1"/>
              <c:showCatName val="1"/>
              <c:showSerName val="0"/>
              <c:showPercent val="0"/>
              <c:showBubbleSize val="0"/>
            </c:dLbl>
            <c:dLbl>
              <c:idx val="1"/>
              <c:tx>
                <c:rich>
                  <a:bodyPr/>
                  <a:lstStyle/>
                  <a:p>
                    <a:r>
                      <a:rPr lang="en-US"/>
                      <a:t>FRANCE, 6</a:t>
                    </a:r>
                  </a:p>
                </c:rich>
              </c:tx>
              <c:showLegendKey val="0"/>
              <c:showVal val="1"/>
              <c:showCatName val="1"/>
              <c:showSerName val="0"/>
              <c:showPercent val="0"/>
              <c:showBubbleSize val="0"/>
            </c:dLbl>
            <c:dLbl>
              <c:idx val="2"/>
              <c:tx>
                <c:rich>
                  <a:bodyPr/>
                  <a:lstStyle/>
                  <a:p>
                    <a:r>
                      <a:rPr lang="en-US"/>
                      <a:t>ÉTATS-UNIS</a:t>
                    </a:r>
                    <a:r>
                      <a:rPr lang="en-US" baseline="0"/>
                      <a:t> D'AMÉRIQUE</a:t>
                    </a:r>
                    <a:r>
                      <a:rPr lang="en-US"/>
                      <a:t>, 6</a:t>
                    </a:r>
                  </a:p>
                </c:rich>
              </c:tx>
              <c:showLegendKey val="0"/>
              <c:showVal val="1"/>
              <c:showCatName val="1"/>
              <c:showSerName val="0"/>
              <c:showPercent val="0"/>
              <c:showBubbleSize val="0"/>
            </c:dLbl>
            <c:dLbl>
              <c:idx val="3"/>
              <c:layout>
                <c:manualLayout>
                  <c:x val="-7.4141934181304256E-2"/>
                  <c:y val="-4.260936132983377E-2"/>
                </c:manualLayout>
              </c:layout>
              <c:tx>
                <c:rich>
                  <a:bodyPr/>
                  <a:lstStyle/>
                  <a:p>
                    <a:r>
                      <a:rPr lang="en-US"/>
                      <a:t>ESPAGNE, 1</a:t>
                    </a:r>
                  </a:p>
                </c:rich>
              </c:tx>
              <c:showLegendKey val="0"/>
              <c:showVal val="1"/>
              <c:showCatName val="1"/>
              <c:showSerName val="0"/>
              <c:showPercent val="0"/>
              <c:showBubbleSize val="0"/>
            </c:dLbl>
            <c:dLbl>
              <c:idx val="4"/>
              <c:layout>
                <c:manualLayout>
                  <c:x val="-6.7639814253987476E-2"/>
                  <c:y val="-1.9980041557305338E-2"/>
                </c:manualLayout>
              </c:layout>
              <c:tx>
                <c:rich>
                  <a:bodyPr/>
                  <a:lstStyle/>
                  <a:p>
                    <a:r>
                      <a:rPr lang="en-US"/>
                      <a:t>COLOMBIE, 18</a:t>
                    </a:r>
                  </a:p>
                </c:rich>
              </c:tx>
              <c:showLegendKey val="0"/>
              <c:showVal val="1"/>
              <c:showCatName val="1"/>
              <c:showSerName val="0"/>
              <c:showPercent val="0"/>
              <c:showBubbleSize val="0"/>
            </c:dLbl>
            <c:dLbl>
              <c:idx val="5"/>
              <c:layout>
                <c:manualLayout>
                  <c:x val="-2.7016959418534221E-2"/>
                  <c:y val="-6.0091316710411203E-3"/>
                </c:manualLayout>
              </c:layout>
              <c:tx>
                <c:rich>
                  <a:bodyPr/>
                  <a:lstStyle/>
                  <a:p>
                    <a:r>
                      <a:rPr lang="en-US"/>
                      <a:t>CHILI, 2</a:t>
                    </a:r>
                  </a:p>
                </c:rich>
              </c:tx>
              <c:showLegendKey val="0"/>
              <c:showVal val="1"/>
              <c:showCatName val="1"/>
              <c:showSerName val="0"/>
              <c:showPercent val="0"/>
              <c:showBubbleSize val="0"/>
            </c:dLbl>
            <c:dLbl>
              <c:idx val="6"/>
              <c:layout>
                <c:manualLayout>
                  <c:x val="-4.2486876640419951E-3"/>
                  <c:y val="-2.4848261154855642E-2"/>
                </c:manualLayout>
              </c:layout>
              <c:tx>
                <c:rich>
                  <a:bodyPr/>
                  <a:lstStyle/>
                  <a:p>
                    <a:r>
                      <a:rPr lang="en-US"/>
                      <a:t>AUSTRALIE, 6</a:t>
                    </a:r>
                  </a:p>
                </c:rich>
              </c:tx>
              <c:showLegendKey val="0"/>
              <c:showVal val="1"/>
              <c:showCatName val="1"/>
              <c:showSerName val="0"/>
              <c:showPercent val="0"/>
              <c:showBubbleSize val="0"/>
            </c:dLbl>
            <c:dLbl>
              <c:idx val="7"/>
              <c:tx>
                <c:rich>
                  <a:bodyPr/>
                  <a:lstStyle/>
                  <a:p>
                    <a:r>
                      <a:rPr lang="en-US"/>
                      <a:t>ALLEMAGNE, 20</a:t>
                    </a:r>
                  </a:p>
                </c:rich>
              </c:tx>
              <c:showLegendKey val="0"/>
              <c:showVal val="1"/>
              <c:showCatName val="1"/>
              <c:showSerName val="0"/>
              <c:showPercent val="0"/>
              <c:showBubbleSize val="0"/>
            </c:dLbl>
            <c:dLbl>
              <c:idx val="8"/>
              <c:layout>
                <c:manualLayout>
                  <c:x val="-0.10733949121744397"/>
                  <c:y val="3.6183836395450572E-2"/>
                </c:manualLayout>
              </c:layout>
              <c:tx>
                <c:rich>
                  <a:bodyPr/>
                  <a:lstStyle/>
                  <a:p>
                    <a:r>
                      <a:rPr lang="en-US"/>
                      <a:t>NOUVELLE-ZÉLANDE, 1</a:t>
                    </a:r>
                  </a:p>
                </c:rich>
              </c:tx>
              <c:showLegendKey val="0"/>
              <c:showVal val="1"/>
              <c:showCatName val="1"/>
              <c:showSerName val="0"/>
              <c:showPercent val="0"/>
              <c:showBubbleSize val="0"/>
            </c:dLbl>
            <c:dLbl>
              <c:idx val="9"/>
              <c:tx>
                <c:rich>
                  <a:bodyPr/>
                  <a:lstStyle/>
                  <a:p>
                    <a:r>
                      <a:rPr lang="en-US"/>
                      <a:t>ITALIE, 4</a:t>
                    </a:r>
                  </a:p>
                </c:rich>
              </c:tx>
              <c:showLegendKey val="0"/>
              <c:showVal val="1"/>
              <c:showCatName val="1"/>
              <c:showSerName val="0"/>
              <c:showPercent val="0"/>
              <c:showBubbleSize val="0"/>
            </c:dLbl>
            <c:dLbl>
              <c:idx val="10"/>
              <c:layout>
                <c:manualLayout>
                  <c:x val="2.0747947371963119E-2"/>
                  <c:y val="-1.8753554243219596E-2"/>
                </c:manualLayout>
              </c:layout>
              <c:tx>
                <c:rich>
                  <a:bodyPr/>
                  <a:lstStyle/>
                  <a:p>
                    <a:r>
                      <a:rPr lang="en-US"/>
                      <a:t>ISRAËL, 6</a:t>
                    </a:r>
                  </a:p>
                </c:rich>
              </c:tx>
              <c:showLegendKey val="0"/>
              <c:showVal val="1"/>
              <c:showCatName val="1"/>
              <c:showSerName val="0"/>
              <c:showPercent val="0"/>
              <c:showBubbleSize val="0"/>
            </c:dLbl>
            <c:dLbl>
              <c:idx val="11"/>
              <c:layout>
                <c:manualLayout>
                  <c:x val="0.12716518608250893"/>
                  <c:y val="-5.2280183727034125E-3"/>
                </c:manualLayout>
              </c:layout>
              <c:tx>
                <c:rich>
                  <a:bodyPr/>
                  <a:lstStyle/>
                  <a:p>
                    <a:r>
                      <a:rPr lang="en-US"/>
                      <a:t>ROYAUME</a:t>
                    </a:r>
                    <a:r>
                      <a:rPr lang="en-US" baseline="0"/>
                      <a:t>-UNI</a:t>
                    </a:r>
                    <a:r>
                      <a:rPr lang="en-US"/>
                      <a:t>, 4</a:t>
                    </a:r>
                  </a:p>
                </c:rich>
              </c:tx>
              <c:showLegendKey val="0"/>
              <c:showVal val="1"/>
              <c:showCatName val="1"/>
              <c:showSerName val="0"/>
              <c:showPercent val="0"/>
              <c:showBubbleSize val="0"/>
            </c:dLbl>
            <c:showLegendKey val="0"/>
            <c:showVal val="1"/>
            <c:showCatName val="1"/>
            <c:showSerName val="0"/>
            <c:showPercent val="0"/>
            <c:showBubbleSize val="0"/>
            <c:showLeaderLines val="1"/>
          </c:dLbls>
          <c:cat>
            <c:strRef>
              <c:f>Sheet2!$A$2:$A$13</c:f>
              <c:strCache>
                <c:ptCount val="12"/>
                <c:pt idx="0">
                  <c:v>DUTCH</c:v>
                </c:pt>
                <c:pt idx="1">
                  <c:v>FRENCH</c:v>
                </c:pt>
                <c:pt idx="2">
                  <c:v>AMERICAN</c:v>
                </c:pt>
                <c:pt idx="3">
                  <c:v>SPANISH</c:v>
                </c:pt>
                <c:pt idx="4">
                  <c:v>COLOMBIAN</c:v>
                </c:pt>
                <c:pt idx="5">
                  <c:v>CHILEAN</c:v>
                </c:pt>
                <c:pt idx="6">
                  <c:v>AUSTRALIAN</c:v>
                </c:pt>
                <c:pt idx="7">
                  <c:v>GERMAN</c:v>
                </c:pt>
                <c:pt idx="8">
                  <c:v>NEW ZEALANDER</c:v>
                </c:pt>
                <c:pt idx="9">
                  <c:v>ITALIAN</c:v>
                </c:pt>
                <c:pt idx="10">
                  <c:v>ISRAELI</c:v>
                </c:pt>
                <c:pt idx="11">
                  <c:v>ENGLISH</c:v>
                </c:pt>
              </c:strCache>
            </c:strRef>
          </c:cat>
          <c:val>
            <c:numRef>
              <c:f>Sheet2!$B$2:$B$13</c:f>
              <c:numCache>
                <c:formatCode>General</c:formatCode>
                <c:ptCount val="12"/>
                <c:pt idx="0">
                  <c:v>96</c:v>
                </c:pt>
                <c:pt idx="1">
                  <c:v>6</c:v>
                </c:pt>
                <c:pt idx="2">
                  <c:v>6</c:v>
                </c:pt>
                <c:pt idx="3">
                  <c:v>1</c:v>
                </c:pt>
                <c:pt idx="4">
                  <c:v>18</c:v>
                </c:pt>
                <c:pt idx="5">
                  <c:v>2</c:v>
                </c:pt>
                <c:pt idx="6">
                  <c:v>6</c:v>
                </c:pt>
                <c:pt idx="7">
                  <c:v>20</c:v>
                </c:pt>
                <c:pt idx="8">
                  <c:v>1</c:v>
                </c:pt>
                <c:pt idx="9">
                  <c:v>4</c:v>
                </c:pt>
                <c:pt idx="10">
                  <c:v>6</c:v>
                </c:pt>
                <c:pt idx="11">
                  <c:v>4</c:v>
                </c:pt>
              </c:numCache>
            </c:numRef>
          </c:val>
        </c:ser>
        <c:dLbls>
          <c:showLegendKey val="0"/>
          <c:showVal val="1"/>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Utilisation de l’outil de recherche “Recherche de variétés” en  2014
(nombre de pages téléchargées)</a:t>
            </a:r>
          </a:p>
        </c:rich>
      </c:tx>
      <c:overlay val="0"/>
    </c:title>
    <c:autoTitleDeleted val="0"/>
    <c:plotArea>
      <c:layout/>
      <c:barChart>
        <c:barDir val="col"/>
        <c:grouping val="clustered"/>
        <c:varyColors val="0"/>
        <c:ser>
          <c:idx val="0"/>
          <c:order val="0"/>
          <c:spPr>
            <a:solidFill>
              <a:srgbClr val="1F497D"/>
            </a:solidFill>
          </c:spPr>
          <c:invertIfNegative val="0"/>
          <c:dLbls>
            <c:txPr>
              <a:bodyPr/>
              <a:lstStyle/>
              <a:p>
                <a:pPr>
                  <a:defRPr sz="1100"/>
                </a:pPr>
                <a:endParaRPr lang="en-US"/>
              </a:p>
            </c:txPr>
            <c:dLblPos val="outEnd"/>
            <c:showLegendKey val="0"/>
            <c:showVal val="1"/>
            <c:showCatName val="0"/>
            <c:showSerName val="0"/>
            <c:showPercent val="0"/>
            <c:showBubbleSize val="0"/>
            <c:showLeaderLines val="0"/>
          </c:dLbls>
          <c:cat>
            <c:numRef>
              <c:f>Sheet3!$A$1:$A$12</c:f>
              <c:numCache>
                <c:formatCode>mmm\ yyyy</c:formatCode>
                <c:ptCount val="12"/>
                <c:pt idx="0">
                  <c:v>41640</c:v>
                </c:pt>
                <c:pt idx="1">
                  <c:v>41671</c:v>
                </c:pt>
                <c:pt idx="2">
                  <c:v>41699</c:v>
                </c:pt>
                <c:pt idx="3">
                  <c:v>41730</c:v>
                </c:pt>
                <c:pt idx="4">
                  <c:v>41760</c:v>
                </c:pt>
                <c:pt idx="5">
                  <c:v>41791</c:v>
                </c:pt>
                <c:pt idx="6">
                  <c:v>41821</c:v>
                </c:pt>
                <c:pt idx="7">
                  <c:v>41852</c:v>
                </c:pt>
                <c:pt idx="8">
                  <c:v>41883</c:v>
                </c:pt>
                <c:pt idx="9">
                  <c:v>41913</c:v>
                </c:pt>
                <c:pt idx="10">
                  <c:v>41944</c:v>
                </c:pt>
                <c:pt idx="11">
                  <c:v>41974</c:v>
                </c:pt>
              </c:numCache>
            </c:numRef>
          </c:cat>
          <c:val>
            <c:numRef>
              <c:f>Sheet3!$B$1:$B$12</c:f>
              <c:numCache>
                <c:formatCode>#,##0</c:formatCode>
                <c:ptCount val="12"/>
                <c:pt idx="0">
                  <c:v>6418</c:v>
                </c:pt>
                <c:pt idx="1">
                  <c:v>7716</c:v>
                </c:pt>
                <c:pt idx="2">
                  <c:v>6676</c:v>
                </c:pt>
                <c:pt idx="3">
                  <c:v>5751</c:v>
                </c:pt>
                <c:pt idx="4">
                  <c:v>5839</c:v>
                </c:pt>
                <c:pt idx="5">
                  <c:v>3679</c:v>
                </c:pt>
                <c:pt idx="6">
                  <c:v>4943</c:v>
                </c:pt>
                <c:pt idx="7">
                  <c:v>5324</c:v>
                </c:pt>
                <c:pt idx="8">
                  <c:v>10907</c:v>
                </c:pt>
                <c:pt idx="9">
                  <c:v>19587</c:v>
                </c:pt>
                <c:pt idx="10">
                  <c:v>18946</c:v>
                </c:pt>
                <c:pt idx="11">
                  <c:v>15849</c:v>
                </c:pt>
              </c:numCache>
            </c:numRef>
          </c:val>
        </c:ser>
        <c:dLbls>
          <c:dLblPos val="outEnd"/>
          <c:showLegendKey val="0"/>
          <c:showVal val="1"/>
          <c:showCatName val="0"/>
          <c:showSerName val="0"/>
          <c:showPercent val="0"/>
          <c:showBubbleSize val="0"/>
        </c:dLbls>
        <c:gapWidth val="150"/>
        <c:axId val="122467456"/>
        <c:axId val="122527744"/>
      </c:barChart>
      <c:dateAx>
        <c:axId val="122467456"/>
        <c:scaling>
          <c:orientation val="minMax"/>
        </c:scaling>
        <c:delete val="0"/>
        <c:axPos val="b"/>
        <c:numFmt formatCode="mmm\ yyyy" sourceLinked="1"/>
        <c:majorTickMark val="out"/>
        <c:minorTickMark val="none"/>
        <c:tickLblPos val="nextTo"/>
        <c:txPr>
          <a:bodyPr/>
          <a:lstStyle/>
          <a:p>
            <a:pPr>
              <a:defRPr sz="1100"/>
            </a:pPr>
            <a:endParaRPr lang="en-US"/>
          </a:p>
        </c:txPr>
        <c:crossAx val="122527744"/>
        <c:crosses val="autoZero"/>
        <c:auto val="1"/>
        <c:lblOffset val="100"/>
        <c:baseTimeUnit val="months"/>
      </c:dateAx>
      <c:valAx>
        <c:axId val="122527744"/>
        <c:scaling>
          <c:orientation val="minMax"/>
        </c:scaling>
        <c:delete val="1"/>
        <c:axPos val="l"/>
        <c:majorGridlines/>
        <c:numFmt formatCode="#,##0" sourceLinked="1"/>
        <c:majorTickMark val="out"/>
        <c:minorTickMark val="none"/>
        <c:tickLblPos val="nextTo"/>
        <c:crossAx val="12246745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2EE59-F390-4152-9A59-24047E0D6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C_49_FR.dotx</Template>
  <TotalTime>75</TotalTime>
  <Pages>53</Pages>
  <Words>19803</Words>
  <Characters>112657</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C/49/15</vt:lpstr>
    </vt:vector>
  </TitlesOfParts>
  <Company>UPOV</Company>
  <LinksUpToDate>false</LinksUpToDate>
  <CharactersWithSpaces>132196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C/49/15</dc:title>
  <dc:creator>BESSE Ariane</dc:creator>
  <cp:lastModifiedBy>SANCHEZ-VIZCAINO GOMEZ Rosa Maria</cp:lastModifiedBy>
  <cp:revision>31</cp:revision>
  <cp:lastPrinted>2015-10-20T08:23:00Z</cp:lastPrinted>
  <dcterms:created xsi:type="dcterms:W3CDTF">2015-10-12T09:28:00Z</dcterms:created>
  <dcterms:modified xsi:type="dcterms:W3CDTF">2015-10-20T08:23:00Z</dcterms:modified>
</cp:coreProperties>
</file>