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9505F" w:rsidRPr="00C258AE" w:rsidTr="00F9505F">
        <w:trPr>
          <w:trHeight w:val="1760"/>
        </w:trPr>
        <w:tc>
          <w:tcPr>
            <w:tcW w:w="4243" w:type="dxa"/>
          </w:tcPr>
          <w:p w:rsidR="00F9505F" w:rsidRPr="0085565C" w:rsidRDefault="00F9505F" w:rsidP="00F9505F">
            <w:pPr>
              <w:rPr>
                <w:lang w:val="fr-FR"/>
              </w:rPr>
            </w:pPr>
          </w:p>
        </w:tc>
        <w:tc>
          <w:tcPr>
            <w:tcW w:w="1646" w:type="dxa"/>
            <w:vAlign w:val="center"/>
          </w:tcPr>
          <w:p w:rsidR="00F9505F" w:rsidRPr="0085565C" w:rsidRDefault="008F403F" w:rsidP="00F9505F">
            <w:pPr>
              <w:pStyle w:val="LogoUPOV"/>
              <w:rPr>
                <w:lang w:val="fr-FR"/>
              </w:rPr>
            </w:pPr>
            <w:r w:rsidRPr="0085565C">
              <w:rPr>
                <w:noProof/>
              </w:rPr>
              <w:drawing>
                <wp:inline distT="0" distB="0" distL="0" distR="0" wp14:anchorId="5EE4D05C" wp14:editId="0B1A4998">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F9505F" w:rsidRPr="0085565C" w:rsidRDefault="00F9505F" w:rsidP="00F9505F">
            <w:pPr>
              <w:pStyle w:val="Lettrine"/>
              <w:rPr>
                <w:lang w:val="fr-FR"/>
              </w:rPr>
            </w:pPr>
            <w:r w:rsidRPr="0085565C">
              <w:rPr>
                <w:lang w:val="fr-FR"/>
              </w:rPr>
              <w:t>F</w:t>
            </w:r>
          </w:p>
          <w:p w:rsidR="00F9505F" w:rsidRPr="0085565C" w:rsidRDefault="009D655A" w:rsidP="00F9505F">
            <w:pPr>
              <w:pStyle w:val="Docoriginal"/>
              <w:rPr>
                <w:lang w:val="fr-FR"/>
              </w:rPr>
            </w:pPr>
            <w:r w:rsidRPr="0085565C">
              <w:rPr>
                <w:lang w:val="fr-FR"/>
              </w:rPr>
              <w:t>C/49</w:t>
            </w:r>
            <w:r w:rsidR="00F9505F" w:rsidRPr="0085565C">
              <w:rPr>
                <w:lang w:val="fr-FR"/>
              </w:rPr>
              <w:t>/</w:t>
            </w:r>
            <w:bookmarkStart w:id="0" w:name="Code"/>
            <w:bookmarkEnd w:id="0"/>
            <w:r w:rsidR="00BB30A7" w:rsidRPr="0085565C">
              <w:rPr>
                <w:lang w:val="fr-FR"/>
              </w:rPr>
              <w:t>10</w:t>
            </w:r>
          </w:p>
          <w:p w:rsidR="00F9505F" w:rsidRPr="0085565C" w:rsidRDefault="00F9505F" w:rsidP="00F9505F">
            <w:pPr>
              <w:pStyle w:val="Docoriginal"/>
              <w:rPr>
                <w:b w:val="0"/>
                <w:spacing w:val="0"/>
                <w:lang w:val="fr-FR"/>
              </w:rPr>
            </w:pPr>
            <w:r w:rsidRPr="0085565C">
              <w:rPr>
                <w:rStyle w:val="StyleDoclangBold"/>
                <w:b/>
                <w:bCs/>
                <w:spacing w:val="0"/>
                <w:lang w:val="fr-FR"/>
              </w:rPr>
              <w:t>ORIGINAL :</w:t>
            </w:r>
            <w:r w:rsidRPr="0085565C">
              <w:rPr>
                <w:rStyle w:val="StyleDocoriginalNotBold1"/>
                <w:spacing w:val="0"/>
                <w:lang w:val="fr-FR"/>
              </w:rPr>
              <w:t xml:space="preserve"> </w:t>
            </w:r>
            <w:bookmarkStart w:id="1" w:name="Original"/>
            <w:bookmarkEnd w:id="1"/>
            <w:r w:rsidRPr="0085565C">
              <w:rPr>
                <w:b w:val="0"/>
                <w:spacing w:val="0"/>
                <w:lang w:val="fr-FR"/>
              </w:rPr>
              <w:t>anglais</w:t>
            </w:r>
          </w:p>
          <w:p w:rsidR="00F9505F" w:rsidRPr="0085565C" w:rsidRDefault="00F9505F" w:rsidP="00C258AE">
            <w:pPr>
              <w:pStyle w:val="Docoriginal"/>
              <w:rPr>
                <w:lang w:val="fr-FR"/>
              </w:rPr>
            </w:pPr>
            <w:r w:rsidRPr="00C258AE">
              <w:rPr>
                <w:spacing w:val="0"/>
                <w:lang w:val="fr-FR"/>
              </w:rPr>
              <w:t>DATE :</w:t>
            </w:r>
            <w:r w:rsidRPr="00C258AE">
              <w:rPr>
                <w:rStyle w:val="StyleDocoriginalNotBold1"/>
                <w:spacing w:val="0"/>
                <w:lang w:val="fr-FR"/>
              </w:rPr>
              <w:t xml:space="preserve"> </w:t>
            </w:r>
            <w:bookmarkStart w:id="2" w:name="Date"/>
            <w:bookmarkEnd w:id="2"/>
            <w:r w:rsidR="00C258AE" w:rsidRPr="00C258AE">
              <w:rPr>
                <w:b w:val="0"/>
                <w:spacing w:val="0"/>
                <w:lang w:val="fr-FR"/>
              </w:rPr>
              <w:t xml:space="preserve">14 septembre </w:t>
            </w:r>
            <w:r w:rsidR="00BB30A7" w:rsidRPr="00C258AE">
              <w:rPr>
                <w:b w:val="0"/>
                <w:spacing w:val="0"/>
                <w:lang w:val="fr-FR"/>
              </w:rPr>
              <w:t>2015</w:t>
            </w:r>
          </w:p>
        </w:tc>
      </w:tr>
      <w:tr w:rsidR="00F9505F" w:rsidRPr="00C258AE" w:rsidTr="00F9505F">
        <w:tc>
          <w:tcPr>
            <w:tcW w:w="10131" w:type="dxa"/>
            <w:gridSpan w:val="3"/>
          </w:tcPr>
          <w:p w:rsidR="00F9505F" w:rsidRPr="0085565C" w:rsidRDefault="00F9505F" w:rsidP="00F9505F">
            <w:pPr>
              <w:pStyle w:val="upove"/>
              <w:rPr>
                <w:sz w:val="28"/>
                <w:lang w:val="fr-FR"/>
              </w:rPr>
            </w:pPr>
            <w:r w:rsidRPr="0085565C">
              <w:rPr>
                <w:spacing w:val="6"/>
                <w:lang w:val="fr-FR"/>
              </w:rPr>
              <w:t>UNION INTERNATIONALE POUR LA PROTECTION DES OBTENTIONS VÉGÉTALES</w:t>
            </w:r>
          </w:p>
        </w:tc>
      </w:tr>
      <w:tr w:rsidR="00F9505F" w:rsidRPr="0085565C" w:rsidTr="00F9505F">
        <w:tc>
          <w:tcPr>
            <w:tcW w:w="10131" w:type="dxa"/>
            <w:gridSpan w:val="3"/>
          </w:tcPr>
          <w:p w:rsidR="00F9505F" w:rsidRPr="0085565C" w:rsidRDefault="00F9505F" w:rsidP="00F9505F">
            <w:pPr>
              <w:pStyle w:val="Country"/>
              <w:rPr>
                <w:lang w:val="fr-FR"/>
              </w:rPr>
            </w:pPr>
            <w:r w:rsidRPr="0085565C">
              <w:rPr>
                <w:lang w:val="fr-FR"/>
              </w:rPr>
              <w:t>Genève</w:t>
            </w:r>
          </w:p>
        </w:tc>
      </w:tr>
    </w:tbl>
    <w:p w:rsidR="00F9505F" w:rsidRPr="0085565C" w:rsidRDefault="00F9505F" w:rsidP="00F9505F">
      <w:pPr>
        <w:pStyle w:val="Sessiontc"/>
        <w:rPr>
          <w:lang w:val="fr-FR"/>
        </w:rPr>
      </w:pPr>
      <w:r w:rsidRPr="0085565C">
        <w:rPr>
          <w:lang w:val="fr-FR"/>
        </w:rPr>
        <w:t>CONSEIL</w:t>
      </w:r>
    </w:p>
    <w:p w:rsidR="009D655A" w:rsidRPr="0085565C" w:rsidRDefault="009D655A" w:rsidP="009D655A">
      <w:pPr>
        <w:pStyle w:val="Sessiontcplacedate"/>
        <w:rPr>
          <w:lang w:val="fr-FR"/>
        </w:rPr>
      </w:pPr>
      <w:bookmarkStart w:id="3" w:name="TitleOfDoc"/>
      <w:bookmarkEnd w:id="3"/>
      <w:r w:rsidRPr="0085565C">
        <w:rPr>
          <w:lang w:val="fr-FR"/>
        </w:rPr>
        <w:t>Quarante-neuvième session ordinaire</w:t>
      </w:r>
      <w:r w:rsidRPr="0085565C">
        <w:rPr>
          <w:lang w:val="fr-FR"/>
        </w:rPr>
        <w:br/>
        <w:t>Genève, 29 octobre 2015</w:t>
      </w:r>
    </w:p>
    <w:p w:rsidR="00F9505F" w:rsidRPr="0085565C" w:rsidRDefault="00BB30A7" w:rsidP="00F9505F">
      <w:pPr>
        <w:pStyle w:val="Titleofdoc0"/>
        <w:rPr>
          <w:lang w:val="fr-FR"/>
        </w:rPr>
      </w:pPr>
      <w:r w:rsidRPr="0085565C">
        <w:rPr>
          <w:lang w:val="fr-FR"/>
        </w:rPr>
        <w:t xml:space="preserve">Rapport sur l’état d’avancement des travaux du Comité technique, </w:t>
      </w:r>
      <w:r w:rsidRPr="0085565C">
        <w:rPr>
          <w:lang w:val="fr-FR"/>
        </w:rPr>
        <w:br/>
        <w:t>des groupes de travail techniques et du Groupe de travail sur les techniques biochimiques et moléculaires, notamment les profils d’ADN</w:t>
      </w:r>
    </w:p>
    <w:p w:rsidR="00F9505F" w:rsidRPr="0085565C" w:rsidRDefault="00F9505F" w:rsidP="00F9505F">
      <w:pPr>
        <w:pStyle w:val="preparedby1"/>
        <w:rPr>
          <w:color w:val="A6A6A6" w:themeColor="background1" w:themeShade="A6"/>
          <w:lang w:val="fr-FR"/>
        </w:rPr>
      </w:pPr>
      <w:bookmarkStart w:id="4" w:name="Prepared"/>
      <w:bookmarkEnd w:id="4"/>
      <w:proofErr w:type="gramStart"/>
      <w:r w:rsidRPr="0085565C">
        <w:rPr>
          <w:lang w:val="fr-FR"/>
        </w:rPr>
        <w:t>établi</w:t>
      </w:r>
      <w:proofErr w:type="gramEnd"/>
      <w:r w:rsidRPr="0085565C">
        <w:rPr>
          <w:lang w:val="fr-FR"/>
        </w:rPr>
        <w:t xml:space="preserve"> par le Bureau de l’Union</w:t>
      </w:r>
      <w:r w:rsidR="00813041" w:rsidRPr="0085565C">
        <w:rPr>
          <w:lang w:val="fr-FR"/>
        </w:rPr>
        <w:br/>
      </w:r>
      <w:r w:rsidR="00813041" w:rsidRPr="0085565C">
        <w:rPr>
          <w:lang w:val="fr-FR"/>
        </w:rPr>
        <w:br/>
      </w:r>
      <w:r w:rsidR="00415D2A" w:rsidRPr="0085565C">
        <w:rPr>
          <w:color w:val="A6A6A6" w:themeColor="background1" w:themeShade="A6"/>
          <w:lang w:val="fr-FR"/>
        </w:rPr>
        <w:t>Avertissement : le présent document ne représente pas les principe</w:t>
      </w:r>
      <w:r w:rsidR="00066C42" w:rsidRPr="0085565C">
        <w:rPr>
          <w:color w:val="A6A6A6" w:themeColor="background1" w:themeShade="A6"/>
          <w:lang w:val="fr-FR"/>
        </w:rPr>
        <w:t>s ou les orientations de l’UPOV</w:t>
      </w:r>
    </w:p>
    <w:p w:rsidR="00BB30A7" w:rsidRPr="0085565C" w:rsidRDefault="00F31E19" w:rsidP="00BB30A7">
      <w:pPr>
        <w:pStyle w:val="Heading1"/>
        <w:rPr>
          <w:lang w:val="fr-FR"/>
        </w:rPr>
      </w:pPr>
      <w:bookmarkStart w:id="5" w:name="_Toc428287693"/>
      <w:r w:rsidRPr="0085565C">
        <w:rPr>
          <w:lang w:val="fr-FR"/>
        </w:rPr>
        <w:t>RÉSUMÉ</w:t>
      </w:r>
      <w:bookmarkEnd w:id="5"/>
    </w:p>
    <w:p w:rsidR="00BB30A7" w:rsidRPr="0085565C" w:rsidRDefault="00BB30A7" w:rsidP="00BB30A7">
      <w:pPr>
        <w:rPr>
          <w:lang w:val="fr-FR"/>
        </w:rPr>
      </w:pPr>
    </w:p>
    <w:p w:rsidR="00BB30A7" w:rsidRPr="0085565C" w:rsidRDefault="00BB30A7" w:rsidP="00BB30A7">
      <w:pPr>
        <w:rPr>
          <w:szCs w:val="24"/>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r>
      <w:r w:rsidR="00F31E19" w:rsidRPr="0085565C">
        <w:rPr>
          <w:lang w:val="fr-FR"/>
        </w:rPr>
        <w:t>Le présent document indique l’état d’avancement des travaux du Comité technique (TC) et de ses groupes de travail techniques, y compris le Groupe de travail sur les techniques biochimiques et moléculaires, notamment les profils d’ADN (BMT).</w:t>
      </w:r>
    </w:p>
    <w:p w:rsidR="00BB30A7" w:rsidRPr="0085565C" w:rsidRDefault="00BB30A7" w:rsidP="00BB30A7">
      <w:pPr>
        <w:rPr>
          <w:szCs w:val="24"/>
          <w:lang w:val="fr-FR"/>
        </w:rPr>
      </w:pPr>
    </w:p>
    <w:p w:rsidR="00BB30A7" w:rsidRPr="0085565C" w:rsidRDefault="00BB30A7" w:rsidP="00BB30A7">
      <w:pPr>
        <w:rPr>
          <w:szCs w:val="24"/>
          <w:lang w:val="fr-FR"/>
        </w:rPr>
      </w:pPr>
      <w:r w:rsidRPr="0085565C">
        <w:rPr>
          <w:szCs w:val="24"/>
          <w:lang w:val="fr-FR"/>
        </w:rPr>
        <w:fldChar w:fldCharType="begin"/>
      </w:r>
      <w:r w:rsidRPr="0085565C">
        <w:rPr>
          <w:szCs w:val="24"/>
          <w:lang w:val="fr-FR"/>
        </w:rPr>
        <w:instrText xml:space="preserve"> AUTONUM  </w:instrText>
      </w:r>
      <w:r w:rsidRPr="0085565C">
        <w:rPr>
          <w:szCs w:val="24"/>
          <w:lang w:val="fr-FR"/>
        </w:rPr>
        <w:fldChar w:fldCharType="end"/>
      </w:r>
      <w:r w:rsidRPr="0085565C">
        <w:rPr>
          <w:szCs w:val="24"/>
          <w:lang w:val="fr-FR"/>
        </w:rPr>
        <w:tab/>
      </w:r>
      <w:r w:rsidR="00F31E19" w:rsidRPr="0085565C">
        <w:rPr>
          <w:szCs w:val="24"/>
          <w:lang w:val="fr-FR"/>
        </w:rPr>
        <w:t>Le Conseil sera invit</w:t>
      </w:r>
      <w:r w:rsidR="00165DC7">
        <w:rPr>
          <w:szCs w:val="24"/>
          <w:lang w:val="fr-FR"/>
        </w:rPr>
        <w:t>é</w:t>
      </w:r>
      <w:r w:rsidR="00F31E19" w:rsidRPr="0085565C">
        <w:rPr>
          <w:szCs w:val="24"/>
          <w:lang w:val="fr-FR"/>
        </w:rPr>
        <w:t xml:space="preserve"> à </w:t>
      </w:r>
      <w:r w:rsidRPr="0085565C">
        <w:rPr>
          <w:szCs w:val="24"/>
          <w:lang w:val="fr-FR"/>
        </w:rPr>
        <w:t>:</w:t>
      </w:r>
    </w:p>
    <w:p w:rsidR="00BB30A7" w:rsidRPr="0085565C" w:rsidRDefault="00BB30A7" w:rsidP="00BB30A7">
      <w:pPr>
        <w:rPr>
          <w:szCs w:val="24"/>
          <w:lang w:val="fr-FR"/>
        </w:rPr>
      </w:pPr>
    </w:p>
    <w:p w:rsidR="00DF1BB7" w:rsidRPr="0085565C" w:rsidRDefault="00DF1BB7" w:rsidP="00DF1BB7">
      <w:pPr>
        <w:rPr>
          <w:szCs w:val="24"/>
          <w:lang w:val="fr-FR"/>
        </w:rPr>
      </w:pPr>
      <w:r w:rsidRPr="0085565C">
        <w:rPr>
          <w:szCs w:val="24"/>
          <w:lang w:val="fr-FR"/>
        </w:rPr>
        <w:tab/>
        <w:t>a)</w:t>
      </w:r>
      <w:r w:rsidRPr="0085565C">
        <w:rPr>
          <w:szCs w:val="24"/>
          <w:lang w:val="fr-FR"/>
        </w:rPr>
        <w:tab/>
        <w:t>prendre note des travaux du TC, ainsi que de ceux des groupes de travail techniques et du BMT dont il a été rendu compte au TC, comme indiqué dans le présent document;  et</w:t>
      </w:r>
    </w:p>
    <w:p w:rsidR="00DF1BB7" w:rsidRPr="0085565C" w:rsidRDefault="00DF1BB7" w:rsidP="00DF1BB7">
      <w:pPr>
        <w:rPr>
          <w:szCs w:val="24"/>
          <w:lang w:val="fr-FR"/>
        </w:rPr>
      </w:pPr>
    </w:p>
    <w:p w:rsidR="00BB30A7" w:rsidRPr="0085565C" w:rsidRDefault="00DF1BB7" w:rsidP="00DF1BB7">
      <w:pPr>
        <w:rPr>
          <w:szCs w:val="24"/>
          <w:lang w:val="fr-FR"/>
        </w:rPr>
      </w:pPr>
      <w:r w:rsidRPr="0085565C">
        <w:rPr>
          <w:szCs w:val="24"/>
          <w:lang w:val="fr-FR"/>
        </w:rPr>
        <w:tab/>
        <w:t>b)</w:t>
      </w:r>
      <w:r w:rsidRPr="0085565C">
        <w:rPr>
          <w:szCs w:val="24"/>
          <w:lang w:val="fr-FR"/>
        </w:rPr>
        <w:tab/>
        <w:t>approuver les travaux du TC et les programmes de travail des groupes de travail techniques et du BMT qui ont été présentés au TC, comme indiqué dans le présent document.</w:t>
      </w:r>
    </w:p>
    <w:p w:rsidR="00DF1BB7" w:rsidRPr="0085565C" w:rsidRDefault="00DF1BB7" w:rsidP="00DF1BB7">
      <w:pPr>
        <w:rPr>
          <w:szCs w:val="24"/>
          <w:lang w:val="fr-FR"/>
        </w:rPr>
      </w:pPr>
    </w:p>
    <w:p w:rsidR="00DF1BB7" w:rsidRPr="0085565C" w:rsidRDefault="00DF1BB7" w:rsidP="00DF1BB7">
      <w:pPr>
        <w:rPr>
          <w:szCs w:val="24"/>
          <w:highlight w:val="lightGray"/>
          <w:lang w:val="fr-FR"/>
        </w:rPr>
      </w:pPr>
    </w:p>
    <w:p w:rsidR="00F31E19" w:rsidRPr="0085565C" w:rsidRDefault="00F31E19" w:rsidP="00F31E19">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Les abréviations ci</w:t>
      </w:r>
      <w:r w:rsidRPr="0085565C">
        <w:rPr>
          <w:lang w:val="fr-FR"/>
        </w:rPr>
        <w:noBreakHyphen/>
        <w:t>après sont utilisées dans le présent document :</w:t>
      </w:r>
    </w:p>
    <w:p w:rsidR="00F31E19" w:rsidRPr="0085565C" w:rsidRDefault="00F31E19" w:rsidP="00F31E19">
      <w:pPr>
        <w:rPr>
          <w:lang w:val="fr-FR"/>
        </w:rPr>
      </w:pPr>
    </w:p>
    <w:p w:rsidR="00F31E19" w:rsidRPr="0085565C" w:rsidRDefault="00F31E19" w:rsidP="00F31E19">
      <w:pPr>
        <w:tabs>
          <w:tab w:val="left" w:pos="567"/>
        </w:tabs>
        <w:ind w:left="2552" w:right="-1" w:hanging="2552"/>
        <w:jc w:val="left"/>
        <w:rPr>
          <w:lang w:val="fr-FR"/>
        </w:rPr>
      </w:pPr>
      <w:r w:rsidRPr="0085565C">
        <w:rPr>
          <w:lang w:val="fr-FR"/>
        </w:rPr>
        <w:tab/>
        <w:t>CAJ :</w:t>
      </w:r>
      <w:r w:rsidRPr="0085565C">
        <w:rPr>
          <w:lang w:val="fr-FR"/>
        </w:rPr>
        <w:tab/>
        <w:t>Comité administratif et juridique</w:t>
      </w:r>
    </w:p>
    <w:p w:rsidR="00F31E19" w:rsidRPr="0085565C" w:rsidRDefault="00F31E19" w:rsidP="00F31E19">
      <w:pPr>
        <w:tabs>
          <w:tab w:val="left" w:pos="567"/>
        </w:tabs>
        <w:ind w:left="2552" w:right="-1" w:hanging="2552"/>
        <w:jc w:val="left"/>
        <w:rPr>
          <w:lang w:val="fr-FR"/>
        </w:rPr>
      </w:pPr>
      <w:r w:rsidRPr="0085565C">
        <w:rPr>
          <w:lang w:val="fr-FR"/>
        </w:rPr>
        <w:tab/>
        <w:t>TC :</w:t>
      </w:r>
      <w:r w:rsidRPr="0085565C">
        <w:rPr>
          <w:lang w:val="fr-FR"/>
        </w:rPr>
        <w:tab/>
        <w:t>Comité technique</w:t>
      </w:r>
    </w:p>
    <w:p w:rsidR="00F31E19" w:rsidRPr="0085565C" w:rsidRDefault="00F31E19" w:rsidP="00F31E19">
      <w:pPr>
        <w:tabs>
          <w:tab w:val="left" w:pos="567"/>
        </w:tabs>
        <w:ind w:left="2552" w:right="-1" w:hanging="2552"/>
        <w:jc w:val="left"/>
        <w:rPr>
          <w:lang w:val="fr-FR"/>
        </w:rPr>
      </w:pPr>
      <w:r w:rsidRPr="0085565C">
        <w:rPr>
          <w:lang w:val="fr-FR"/>
        </w:rPr>
        <w:tab/>
        <w:t>TC</w:t>
      </w:r>
      <w:r w:rsidRPr="0085565C">
        <w:rPr>
          <w:lang w:val="fr-FR"/>
        </w:rPr>
        <w:noBreakHyphen/>
        <w:t>EDC :</w:t>
      </w:r>
      <w:r w:rsidRPr="0085565C">
        <w:rPr>
          <w:lang w:val="fr-FR"/>
        </w:rPr>
        <w:tab/>
        <w:t>Comité de rédaction élargi du Comité technique</w:t>
      </w:r>
    </w:p>
    <w:p w:rsidR="00F31E19" w:rsidRPr="0085565C" w:rsidRDefault="00F31E19" w:rsidP="00F31E19">
      <w:pPr>
        <w:tabs>
          <w:tab w:val="left" w:pos="567"/>
        </w:tabs>
        <w:ind w:left="2552" w:right="-1" w:hanging="2552"/>
        <w:jc w:val="left"/>
        <w:rPr>
          <w:lang w:val="fr-FR"/>
        </w:rPr>
      </w:pPr>
      <w:r w:rsidRPr="0085565C">
        <w:rPr>
          <w:lang w:val="fr-FR"/>
        </w:rPr>
        <w:tab/>
        <w:t>TWP</w:t>
      </w:r>
      <w:r w:rsidR="00F3569F" w:rsidRPr="0085565C">
        <w:rPr>
          <w:lang w:val="fr-FR"/>
        </w:rPr>
        <w:t> :</w:t>
      </w:r>
      <w:r w:rsidR="00F3569F" w:rsidRPr="0085565C">
        <w:rPr>
          <w:lang w:val="fr-FR"/>
        </w:rPr>
        <w:tab/>
        <w:t>Groupe</w:t>
      </w:r>
      <w:r w:rsidRPr="0085565C">
        <w:rPr>
          <w:lang w:val="fr-FR"/>
        </w:rPr>
        <w:t xml:space="preserve"> de travail technique</w:t>
      </w:r>
    </w:p>
    <w:p w:rsidR="00F31E19" w:rsidRPr="0085565C" w:rsidRDefault="00F31E19" w:rsidP="00F31E19">
      <w:pPr>
        <w:tabs>
          <w:tab w:val="left" w:pos="567"/>
        </w:tabs>
        <w:ind w:left="2552" w:right="-1" w:hanging="2552"/>
        <w:jc w:val="left"/>
        <w:rPr>
          <w:lang w:val="fr-FR"/>
        </w:rPr>
      </w:pPr>
      <w:r w:rsidRPr="0085565C">
        <w:rPr>
          <w:lang w:val="fr-FR"/>
        </w:rPr>
        <w:tab/>
        <w:t>TWA :</w:t>
      </w:r>
      <w:r w:rsidRPr="0085565C">
        <w:rPr>
          <w:lang w:val="fr-FR"/>
        </w:rPr>
        <w:tab/>
        <w:t>Groupe de travail technique sur les plantes agricoles</w:t>
      </w:r>
    </w:p>
    <w:p w:rsidR="00F31E19" w:rsidRPr="0085565C" w:rsidRDefault="00F31E19" w:rsidP="00F31E19">
      <w:pPr>
        <w:tabs>
          <w:tab w:val="left" w:pos="567"/>
        </w:tabs>
        <w:ind w:left="2552" w:right="-1" w:hanging="2552"/>
        <w:jc w:val="left"/>
        <w:rPr>
          <w:lang w:val="fr-FR"/>
        </w:rPr>
      </w:pPr>
      <w:r w:rsidRPr="0085565C">
        <w:rPr>
          <w:lang w:val="fr-FR"/>
        </w:rPr>
        <w:tab/>
        <w:t>TWC :</w:t>
      </w:r>
      <w:r w:rsidRPr="0085565C">
        <w:rPr>
          <w:lang w:val="fr-FR"/>
        </w:rPr>
        <w:tab/>
        <w:t>Groupe de travail technique sur les systèmes d’automatisation et les programmes d’ordinateurs</w:t>
      </w:r>
    </w:p>
    <w:p w:rsidR="00F31E19" w:rsidRPr="0085565C" w:rsidRDefault="00F31E19" w:rsidP="00F31E19">
      <w:pPr>
        <w:tabs>
          <w:tab w:val="left" w:pos="567"/>
        </w:tabs>
        <w:ind w:left="2552" w:right="-1" w:hanging="2552"/>
        <w:jc w:val="left"/>
        <w:rPr>
          <w:lang w:val="fr-FR"/>
        </w:rPr>
      </w:pPr>
      <w:r w:rsidRPr="0085565C">
        <w:rPr>
          <w:lang w:val="fr-FR"/>
        </w:rPr>
        <w:tab/>
        <w:t>TWF :</w:t>
      </w:r>
      <w:r w:rsidRPr="0085565C">
        <w:rPr>
          <w:lang w:val="fr-FR"/>
        </w:rPr>
        <w:tab/>
        <w:t>Groupe de travail technique sur les plantes fruitières</w:t>
      </w:r>
    </w:p>
    <w:p w:rsidR="00F31E19" w:rsidRPr="0085565C" w:rsidRDefault="00F31E19" w:rsidP="00F31E19">
      <w:pPr>
        <w:tabs>
          <w:tab w:val="left" w:pos="567"/>
        </w:tabs>
        <w:ind w:left="2552" w:right="-1" w:hanging="2552"/>
        <w:jc w:val="left"/>
        <w:rPr>
          <w:lang w:val="fr-FR"/>
        </w:rPr>
      </w:pPr>
      <w:r w:rsidRPr="0085565C">
        <w:rPr>
          <w:lang w:val="fr-FR"/>
        </w:rPr>
        <w:tab/>
        <w:t>TWO :</w:t>
      </w:r>
      <w:r w:rsidRPr="0085565C">
        <w:rPr>
          <w:lang w:val="fr-FR"/>
        </w:rPr>
        <w:tab/>
        <w:t>Groupe de travail technique sur les plantes ornementales et les arbres forestiers</w:t>
      </w:r>
    </w:p>
    <w:p w:rsidR="00F31E19" w:rsidRPr="0085565C" w:rsidRDefault="00F31E19" w:rsidP="00F31E19">
      <w:pPr>
        <w:tabs>
          <w:tab w:val="left" w:pos="567"/>
        </w:tabs>
        <w:ind w:left="2552" w:right="-1" w:hanging="2552"/>
        <w:jc w:val="left"/>
        <w:rPr>
          <w:lang w:val="fr-FR"/>
        </w:rPr>
      </w:pPr>
      <w:r w:rsidRPr="0085565C">
        <w:rPr>
          <w:lang w:val="fr-FR"/>
        </w:rPr>
        <w:tab/>
        <w:t>TWV :</w:t>
      </w:r>
      <w:r w:rsidRPr="0085565C">
        <w:rPr>
          <w:lang w:val="fr-FR"/>
        </w:rPr>
        <w:tab/>
        <w:t>Groupe de travail technique sur les plantes potagères</w:t>
      </w:r>
    </w:p>
    <w:p w:rsidR="00F31E19" w:rsidRPr="0085565C" w:rsidRDefault="00F31E19" w:rsidP="00F31E19">
      <w:pPr>
        <w:tabs>
          <w:tab w:val="left" w:pos="567"/>
        </w:tabs>
        <w:ind w:left="2552" w:right="-1" w:hanging="2552"/>
        <w:jc w:val="left"/>
        <w:rPr>
          <w:lang w:val="fr-FR"/>
        </w:rPr>
      </w:pPr>
      <w:r w:rsidRPr="0085565C">
        <w:rPr>
          <w:lang w:val="fr-FR"/>
        </w:rPr>
        <w:tab/>
        <w:t>BMT :</w:t>
      </w:r>
      <w:r w:rsidRPr="0085565C">
        <w:rPr>
          <w:lang w:val="fr-FR"/>
        </w:rPr>
        <w:tab/>
        <w:t>Groupe de travail sur les techniques biochimiques et moléculaires, notamment les profils d’ADN</w:t>
      </w:r>
    </w:p>
    <w:p w:rsidR="00F31E19" w:rsidRPr="0085565C" w:rsidRDefault="00F31E19" w:rsidP="00F31E19">
      <w:pPr>
        <w:tabs>
          <w:tab w:val="left" w:pos="567"/>
        </w:tabs>
        <w:ind w:left="2552" w:right="-1" w:hanging="2552"/>
        <w:jc w:val="left"/>
        <w:rPr>
          <w:lang w:val="fr-FR"/>
        </w:rPr>
      </w:pPr>
      <w:r w:rsidRPr="0085565C">
        <w:rPr>
          <w:lang w:val="fr-FR"/>
        </w:rPr>
        <w:tab/>
        <w:t>DHS :</w:t>
      </w:r>
      <w:r w:rsidRPr="0085565C">
        <w:rPr>
          <w:lang w:val="fr-FR"/>
        </w:rPr>
        <w:tab/>
        <w:t>Distinction, homogénéité et stabilité</w:t>
      </w:r>
    </w:p>
    <w:p w:rsidR="00BB30A7" w:rsidRPr="0085565C" w:rsidRDefault="00BB30A7" w:rsidP="00F31E19">
      <w:pPr>
        <w:rPr>
          <w:lang w:val="fr-FR"/>
        </w:rPr>
      </w:pPr>
    </w:p>
    <w:p w:rsidR="00BB30A7" w:rsidRPr="0085565C" w:rsidRDefault="00BB30A7" w:rsidP="00BB30A7">
      <w:pPr>
        <w:rPr>
          <w:lang w:val="fr-FR"/>
        </w:rPr>
      </w:pPr>
    </w:p>
    <w:p w:rsidR="00BB30A7" w:rsidRPr="0085565C" w:rsidRDefault="00BB30A7" w:rsidP="00BB30A7">
      <w:pPr>
        <w:rPr>
          <w:rFonts w:cs="Arial"/>
          <w:lang w:val="fr-FR"/>
        </w:rPr>
      </w:pPr>
      <w:r w:rsidRPr="0085565C">
        <w:rPr>
          <w:rFonts w:cs="Arial"/>
          <w:lang w:val="fr-FR"/>
        </w:rPr>
        <w:br w:type="page"/>
      </w:r>
    </w:p>
    <w:p w:rsidR="00BB30A7" w:rsidRPr="00165DC7" w:rsidRDefault="00BB30A7" w:rsidP="00BB30A7">
      <w:pPr>
        <w:rPr>
          <w:u w:val="single"/>
          <w:lang w:val="fr-FR"/>
        </w:rPr>
      </w:pPr>
      <w:r w:rsidRPr="00165DC7">
        <w:rPr>
          <w:u w:val="single"/>
          <w:lang w:val="fr-FR"/>
        </w:rPr>
        <w:lastRenderedPageBreak/>
        <w:t xml:space="preserve">TABLE </w:t>
      </w:r>
      <w:r w:rsidR="00F31E19" w:rsidRPr="00165DC7">
        <w:rPr>
          <w:u w:val="single"/>
          <w:lang w:val="fr-FR"/>
        </w:rPr>
        <w:t>DES MATIÈRES</w:t>
      </w:r>
    </w:p>
    <w:p w:rsidR="00BB30A7" w:rsidRPr="00165DC7" w:rsidRDefault="00BB30A7" w:rsidP="00BB30A7">
      <w:pPr>
        <w:rPr>
          <w:lang w:val="fr-FR"/>
        </w:rPr>
      </w:pPr>
    </w:p>
    <w:p w:rsidR="005C2FEA" w:rsidRDefault="00BB30A7">
      <w:pPr>
        <w:pStyle w:val="TOC1"/>
        <w:rPr>
          <w:rFonts w:asciiTheme="minorHAnsi" w:eastAsiaTheme="minorEastAsia" w:hAnsiTheme="minorHAnsi" w:cstheme="minorBidi"/>
          <w:caps w:val="0"/>
          <w:sz w:val="22"/>
          <w:szCs w:val="22"/>
        </w:rPr>
      </w:pPr>
      <w:r w:rsidRPr="0085565C">
        <w:rPr>
          <w:snapToGrid w:val="0"/>
          <w:highlight w:val="yellow"/>
          <w:lang w:val="fr-FR"/>
        </w:rPr>
        <w:fldChar w:fldCharType="begin"/>
      </w:r>
      <w:r w:rsidRPr="0085565C">
        <w:rPr>
          <w:snapToGrid w:val="0"/>
          <w:highlight w:val="yellow"/>
          <w:lang w:val="fr-FR"/>
        </w:rPr>
        <w:instrText xml:space="preserve"> TOC \o "1-3" \h \z \u </w:instrText>
      </w:r>
      <w:r w:rsidRPr="0085565C">
        <w:rPr>
          <w:snapToGrid w:val="0"/>
          <w:highlight w:val="yellow"/>
          <w:lang w:val="fr-FR"/>
        </w:rPr>
        <w:fldChar w:fldCharType="separate"/>
      </w:r>
      <w:hyperlink w:anchor="_Toc428287693" w:history="1">
        <w:r w:rsidR="005C2FEA" w:rsidRPr="004C6ED0">
          <w:rPr>
            <w:rStyle w:val="Hyperlink"/>
            <w:lang w:val="fr-FR"/>
          </w:rPr>
          <w:t>RÉSUMÉ</w:t>
        </w:r>
        <w:r w:rsidR="005C2FEA">
          <w:rPr>
            <w:webHidden/>
          </w:rPr>
          <w:tab/>
        </w:r>
        <w:r w:rsidR="005C2FEA">
          <w:rPr>
            <w:webHidden/>
          </w:rPr>
          <w:fldChar w:fldCharType="begin"/>
        </w:r>
        <w:r w:rsidR="005C2FEA">
          <w:rPr>
            <w:webHidden/>
          </w:rPr>
          <w:instrText xml:space="preserve"> PAGEREF _Toc428287693 \h </w:instrText>
        </w:r>
        <w:r w:rsidR="005C2FEA">
          <w:rPr>
            <w:webHidden/>
          </w:rPr>
        </w:r>
        <w:r w:rsidR="005C2FEA">
          <w:rPr>
            <w:webHidden/>
          </w:rPr>
          <w:fldChar w:fldCharType="separate"/>
        </w:r>
        <w:r w:rsidR="002E0818">
          <w:rPr>
            <w:webHidden/>
          </w:rPr>
          <w:t>1</w:t>
        </w:r>
        <w:r w:rsidR="005C2FEA">
          <w:rPr>
            <w:webHidden/>
          </w:rPr>
          <w:fldChar w:fldCharType="end"/>
        </w:r>
      </w:hyperlink>
    </w:p>
    <w:p w:rsidR="005C2FEA" w:rsidRDefault="00C258AE">
      <w:pPr>
        <w:pStyle w:val="TOC1"/>
        <w:rPr>
          <w:rFonts w:asciiTheme="minorHAnsi" w:eastAsiaTheme="minorEastAsia" w:hAnsiTheme="minorHAnsi" w:cstheme="minorBidi"/>
          <w:caps w:val="0"/>
          <w:sz w:val="22"/>
          <w:szCs w:val="22"/>
        </w:rPr>
      </w:pPr>
      <w:hyperlink w:anchor="_Toc428287694" w:history="1">
        <w:r w:rsidR="005C2FEA" w:rsidRPr="004C6ED0">
          <w:rPr>
            <w:rStyle w:val="Hyperlink"/>
            <w:lang w:val="fr-FR"/>
          </w:rPr>
          <w:t>RAPPORT SUR L’ÉTAT D’AVANCEMENT DES TRAVAUX DU COMITÉ TECHNIQUE</w:t>
        </w:r>
        <w:r w:rsidR="005C2FEA">
          <w:rPr>
            <w:webHidden/>
          </w:rPr>
          <w:tab/>
        </w:r>
        <w:r w:rsidR="005C2FEA">
          <w:rPr>
            <w:webHidden/>
          </w:rPr>
          <w:fldChar w:fldCharType="begin"/>
        </w:r>
        <w:r w:rsidR="005C2FEA">
          <w:rPr>
            <w:webHidden/>
          </w:rPr>
          <w:instrText xml:space="preserve"> PAGEREF _Toc428287694 \h </w:instrText>
        </w:r>
        <w:r w:rsidR="005C2FEA">
          <w:rPr>
            <w:webHidden/>
          </w:rPr>
        </w:r>
        <w:r w:rsidR="005C2FEA">
          <w:rPr>
            <w:webHidden/>
          </w:rPr>
          <w:fldChar w:fldCharType="separate"/>
        </w:r>
        <w:r w:rsidR="002E0818">
          <w:rPr>
            <w:webHidden/>
          </w:rPr>
          <w:t>3</w:t>
        </w:r>
        <w:r w:rsidR="005C2FEA">
          <w:rPr>
            <w:webHidden/>
          </w:rPr>
          <w:fldChar w:fldCharType="end"/>
        </w:r>
      </w:hyperlink>
    </w:p>
    <w:p w:rsidR="005C2FEA" w:rsidRDefault="00C258AE">
      <w:pPr>
        <w:pStyle w:val="TOC2"/>
        <w:rPr>
          <w:rFonts w:asciiTheme="minorHAnsi" w:eastAsiaTheme="minorEastAsia" w:hAnsiTheme="minorHAnsi" w:cstheme="minorBidi"/>
          <w:sz w:val="22"/>
          <w:szCs w:val="22"/>
        </w:rPr>
      </w:pPr>
      <w:hyperlink w:anchor="_Toc428287695" w:history="1">
        <w:r w:rsidR="005C2FEA" w:rsidRPr="004C6ED0">
          <w:rPr>
            <w:rStyle w:val="Hyperlink"/>
            <w:lang w:val="fr-FR"/>
          </w:rPr>
          <w:t>Rapport sur les faits nouveaux intervenus au sein de l’UPOV, y compris certaines questions examinées lors des dernières sessions du Comité administratif et juridique, du Comité consultatif et du Conseil (rapport verbal du Secrétaire général adjoint)</w:t>
        </w:r>
        <w:r w:rsidR="005C2FEA">
          <w:rPr>
            <w:webHidden/>
          </w:rPr>
          <w:tab/>
        </w:r>
        <w:r w:rsidR="005C2FEA">
          <w:rPr>
            <w:webHidden/>
          </w:rPr>
          <w:fldChar w:fldCharType="begin"/>
        </w:r>
        <w:r w:rsidR="005C2FEA">
          <w:rPr>
            <w:webHidden/>
          </w:rPr>
          <w:instrText xml:space="preserve"> PAGEREF _Toc428287695 \h </w:instrText>
        </w:r>
        <w:r w:rsidR="005C2FEA">
          <w:rPr>
            <w:webHidden/>
          </w:rPr>
        </w:r>
        <w:r w:rsidR="005C2FEA">
          <w:rPr>
            <w:webHidden/>
          </w:rPr>
          <w:fldChar w:fldCharType="separate"/>
        </w:r>
        <w:r w:rsidR="002E0818">
          <w:rPr>
            <w:webHidden/>
          </w:rPr>
          <w:t>3</w:t>
        </w:r>
        <w:r w:rsidR="005C2FEA">
          <w:rPr>
            <w:webHidden/>
          </w:rPr>
          <w:fldChar w:fldCharType="end"/>
        </w:r>
      </w:hyperlink>
    </w:p>
    <w:p w:rsidR="005C2FEA" w:rsidRDefault="00C258AE">
      <w:pPr>
        <w:pStyle w:val="TOC2"/>
        <w:rPr>
          <w:rFonts w:asciiTheme="minorHAnsi" w:eastAsiaTheme="minorEastAsia" w:hAnsiTheme="minorHAnsi" w:cstheme="minorBidi"/>
          <w:sz w:val="22"/>
          <w:szCs w:val="22"/>
        </w:rPr>
      </w:pPr>
      <w:hyperlink w:anchor="_Toc428287696" w:history="1">
        <w:r w:rsidR="005C2FEA" w:rsidRPr="004C6ED0">
          <w:rPr>
            <w:rStyle w:val="Hyperlink"/>
            <w:lang w:val="fr-FR"/>
          </w:rPr>
          <w:t>Questions découlant des travaux des groupes de travail techniques</w:t>
        </w:r>
        <w:r w:rsidR="005C2FEA">
          <w:rPr>
            <w:webHidden/>
          </w:rPr>
          <w:tab/>
        </w:r>
        <w:r w:rsidR="005C2FEA">
          <w:rPr>
            <w:webHidden/>
          </w:rPr>
          <w:fldChar w:fldCharType="begin"/>
        </w:r>
        <w:r w:rsidR="005C2FEA">
          <w:rPr>
            <w:webHidden/>
          </w:rPr>
          <w:instrText xml:space="preserve"> PAGEREF _Toc428287696 \h </w:instrText>
        </w:r>
        <w:r w:rsidR="005C2FEA">
          <w:rPr>
            <w:webHidden/>
          </w:rPr>
        </w:r>
        <w:r w:rsidR="005C2FEA">
          <w:rPr>
            <w:webHidden/>
          </w:rPr>
          <w:fldChar w:fldCharType="separate"/>
        </w:r>
        <w:r w:rsidR="002E0818">
          <w:rPr>
            <w:webHidden/>
          </w:rPr>
          <w:t>3</w:t>
        </w:r>
        <w:r w:rsidR="005C2FEA">
          <w:rPr>
            <w:webHidden/>
          </w:rPr>
          <w:fldChar w:fldCharType="end"/>
        </w:r>
      </w:hyperlink>
    </w:p>
    <w:p w:rsidR="005C2FEA" w:rsidRDefault="00C258AE">
      <w:pPr>
        <w:pStyle w:val="TOC2"/>
        <w:rPr>
          <w:rFonts w:asciiTheme="minorHAnsi" w:eastAsiaTheme="minorEastAsia" w:hAnsiTheme="minorHAnsi" w:cstheme="minorBidi"/>
          <w:sz w:val="22"/>
          <w:szCs w:val="22"/>
        </w:rPr>
      </w:pPr>
      <w:hyperlink w:anchor="_Toc428287697" w:history="1">
        <w:r w:rsidR="005C2FEA" w:rsidRPr="004C6ED0">
          <w:rPr>
            <w:rStyle w:val="Hyperlink"/>
            <w:lang w:val="fr-FR"/>
          </w:rPr>
          <w:t>Documents TGP</w:t>
        </w:r>
        <w:r w:rsidR="005C2FEA">
          <w:rPr>
            <w:webHidden/>
          </w:rPr>
          <w:tab/>
        </w:r>
        <w:r w:rsidR="005C2FEA">
          <w:rPr>
            <w:webHidden/>
          </w:rPr>
          <w:fldChar w:fldCharType="begin"/>
        </w:r>
        <w:r w:rsidR="005C2FEA">
          <w:rPr>
            <w:webHidden/>
          </w:rPr>
          <w:instrText xml:space="preserve"> PAGEREF _Toc428287697 \h </w:instrText>
        </w:r>
        <w:r w:rsidR="005C2FEA">
          <w:rPr>
            <w:webHidden/>
          </w:rPr>
        </w:r>
        <w:r w:rsidR="005C2FEA">
          <w:rPr>
            <w:webHidden/>
          </w:rPr>
          <w:fldChar w:fldCharType="separate"/>
        </w:r>
        <w:r w:rsidR="002E0818">
          <w:rPr>
            <w:webHidden/>
          </w:rPr>
          <w:t>3</w:t>
        </w:r>
        <w:r w:rsidR="005C2FEA">
          <w:rPr>
            <w:webHidden/>
          </w:rPr>
          <w:fldChar w:fldCharType="end"/>
        </w:r>
      </w:hyperlink>
    </w:p>
    <w:p w:rsidR="005C2FEA" w:rsidRDefault="00C258AE">
      <w:pPr>
        <w:pStyle w:val="TOC3"/>
        <w:rPr>
          <w:rFonts w:asciiTheme="minorHAnsi" w:eastAsiaTheme="minorEastAsia" w:hAnsiTheme="minorHAnsi" w:cstheme="minorBidi"/>
          <w:i w:val="0"/>
          <w:sz w:val="22"/>
          <w:szCs w:val="22"/>
          <w:lang w:val="en-US"/>
        </w:rPr>
      </w:pPr>
      <w:hyperlink w:anchor="_Toc428287698" w:history="1">
        <w:r w:rsidR="005C2FEA" w:rsidRPr="004C6ED0">
          <w:rPr>
            <w:rStyle w:val="Hyperlink"/>
          </w:rPr>
          <w:t>Questions pour adoption par le conseil en 2015</w:t>
        </w:r>
        <w:r w:rsidR="005C2FEA">
          <w:rPr>
            <w:webHidden/>
          </w:rPr>
          <w:tab/>
        </w:r>
        <w:r w:rsidR="005C2FEA">
          <w:rPr>
            <w:webHidden/>
          </w:rPr>
          <w:fldChar w:fldCharType="begin"/>
        </w:r>
        <w:r w:rsidR="005C2FEA">
          <w:rPr>
            <w:webHidden/>
          </w:rPr>
          <w:instrText xml:space="preserve"> PAGEREF _Toc428287698 \h </w:instrText>
        </w:r>
        <w:r w:rsidR="005C2FEA">
          <w:rPr>
            <w:webHidden/>
          </w:rPr>
        </w:r>
        <w:r w:rsidR="005C2FEA">
          <w:rPr>
            <w:webHidden/>
          </w:rPr>
          <w:fldChar w:fldCharType="separate"/>
        </w:r>
        <w:r w:rsidR="002E0818">
          <w:rPr>
            <w:webHidden/>
          </w:rPr>
          <w:t>3</w:t>
        </w:r>
        <w:r w:rsidR="005C2FEA">
          <w:rPr>
            <w:webHidden/>
          </w:rPr>
          <w:fldChar w:fldCharType="end"/>
        </w:r>
      </w:hyperlink>
    </w:p>
    <w:p w:rsidR="005C2FEA" w:rsidRDefault="00C258AE">
      <w:pPr>
        <w:pStyle w:val="TOC3"/>
        <w:rPr>
          <w:rFonts w:asciiTheme="minorHAnsi" w:eastAsiaTheme="minorEastAsia" w:hAnsiTheme="minorHAnsi" w:cstheme="minorBidi"/>
          <w:i w:val="0"/>
          <w:sz w:val="22"/>
          <w:szCs w:val="22"/>
          <w:lang w:val="en-US"/>
        </w:rPr>
      </w:pPr>
      <w:hyperlink w:anchor="_Toc428287699" w:history="1">
        <w:r w:rsidR="005C2FEA" w:rsidRPr="004C6ED0">
          <w:rPr>
            <w:rStyle w:val="Hyperlink"/>
            <w:snapToGrid w:val="0"/>
          </w:rPr>
          <w:t>Future révision des documents TGP</w:t>
        </w:r>
        <w:r w:rsidR="005C2FEA">
          <w:rPr>
            <w:webHidden/>
          </w:rPr>
          <w:tab/>
        </w:r>
        <w:r w:rsidR="005C2FEA">
          <w:rPr>
            <w:webHidden/>
          </w:rPr>
          <w:fldChar w:fldCharType="begin"/>
        </w:r>
        <w:r w:rsidR="005C2FEA">
          <w:rPr>
            <w:webHidden/>
          </w:rPr>
          <w:instrText xml:space="preserve"> PAGEREF _Toc428287699 \h </w:instrText>
        </w:r>
        <w:r w:rsidR="005C2FEA">
          <w:rPr>
            <w:webHidden/>
          </w:rPr>
        </w:r>
        <w:r w:rsidR="005C2FEA">
          <w:rPr>
            <w:webHidden/>
          </w:rPr>
          <w:fldChar w:fldCharType="separate"/>
        </w:r>
        <w:r w:rsidR="002E0818">
          <w:rPr>
            <w:webHidden/>
          </w:rPr>
          <w:t>6</w:t>
        </w:r>
        <w:r w:rsidR="005C2FEA">
          <w:rPr>
            <w:webHidden/>
          </w:rPr>
          <w:fldChar w:fldCharType="end"/>
        </w:r>
      </w:hyperlink>
    </w:p>
    <w:p w:rsidR="005C2FEA" w:rsidRDefault="00C258AE">
      <w:pPr>
        <w:pStyle w:val="TOC3"/>
        <w:rPr>
          <w:rFonts w:asciiTheme="minorHAnsi" w:eastAsiaTheme="minorEastAsia" w:hAnsiTheme="minorHAnsi" w:cstheme="minorBidi"/>
          <w:i w:val="0"/>
          <w:sz w:val="22"/>
          <w:szCs w:val="22"/>
          <w:lang w:val="en-US"/>
        </w:rPr>
      </w:pPr>
      <w:hyperlink w:anchor="_Toc428287700" w:history="1">
        <w:r w:rsidR="005C2FEA" w:rsidRPr="004C6ED0">
          <w:rPr>
            <w:rStyle w:val="Hyperlink"/>
          </w:rPr>
          <w:t>Éventuelle future révision de documents TGP</w:t>
        </w:r>
        <w:r w:rsidR="005C2FEA">
          <w:rPr>
            <w:webHidden/>
          </w:rPr>
          <w:tab/>
        </w:r>
        <w:r w:rsidR="005C2FEA">
          <w:rPr>
            <w:webHidden/>
          </w:rPr>
          <w:fldChar w:fldCharType="begin"/>
        </w:r>
        <w:r w:rsidR="005C2FEA">
          <w:rPr>
            <w:webHidden/>
          </w:rPr>
          <w:instrText xml:space="preserve"> PAGEREF _Toc428287700 \h </w:instrText>
        </w:r>
        <w:r w:rsidR="005C2FEA">
          <w:rPr>
            <w:webHidden/>
          </w:rPr>
        </w:r>
        <w:r w:rsidR="005C2FEA">
          <w:rPr>
            <w:webHidden/>
          </w:rPr>
          <w:fldChar w:fldCharType="separate"/>
        </w:r>
        <w:r w:rsidR="002E0818">
          <w:rPr>
            <w:webHidden/>
          </w:rPr>
          <w:t>9</w:t>
        </w:r>
        <w:r w:rsidR="005C2FEA">
          <w:rPr>
            <w:webHidden/>
          </w:rPr>
          <w:fldChar w:fldCharType="end"/>
        </w:r>
      </w:hyperlink>
    </w:p>
    <w:p w:rsidR="005C2FEA" w:rsidRDefault="00C258AE">
      <w:pPr>
        <w:pStyle w:val="TOC3"/>
        <w:rPr>
          <w:rFonts w:asciiTheme="minorHAnsi" w:eastAsiaTheme="minorEastAsia" w:hAnsiTheme="minorHAnsi" w:cstheme="minorBidi"/>
          <w:i w:val="0"/>
          <w:sz w:val="22"/>
          <w:szCs w:val="22"/>
          <w:lang w:val="en-US"/>
        </w:rPr>
      </w:pPr>
      <w:hyperlink w:anchor="_Toc428287701" w:history="1">
        <w:r w:rsidR="005C2FEA" w:rsidRPr="004C6ED0">
          <w:rPr>
            <w:rStyle w:val="Hyperlink"/>
          </w:rPr>
          <w:t>Programme d’élaboration des documents TGP</w:t>
        </w:r>
        <w:r w:rsidR="005C2FEA">
          <w:rPr>
            <w:webHidden/>
          </w:rPr>
          <w:tab/>
        </w:r>
        <w:r w:rsidR="005C2FEA">
          <w:rPr>
            <w:webHidden/>
          </w:rPr>
          <w:fldChar w:fldCharType="begin"/>
        </w:r>
        <w:r w:rsidR="005C2FEA">
          <w:rPr>
            <w:webHidden/>
          </w:rPr>
          <w:instrText xml:space="preserve"> PAGEREF _Toc428287701 \h </w:instrText>
        </w:r>
        <w:r w:rsidR="005C2FEA">
          <w:rPr>
            <w:webHidden/>
          </w:rPr>
        </w:r>
        <w:r w:rsidR="005C2FEA">
          <w:rPr>
            <w:webHidden/>
          </w:rPr>
          <w:fldChar w:fldCharType="separate"/>
        </w:r>
        <w:r w:rsidR="002E0818">
          <w:rPr>
            <w:webHidden/>
          </w:rPr>
          <w:t>10</w:t>
        </w:r>
        <w:r w:rsidR="005C2FEA">
          <w:rPr>
            <w:webHidden/>
          </w:rPr>
          <w:fldChar w:fldCharType="end"/>
        </w:r>
      </w:hyperlink>
    </w:p>
    <w:p w:rsidR="005C2FEA" w:rsidRDefault="00C258AE">
      <w:pPr>
        <w:pStyle w:val="TOC2"/>
        <w:rPr>
          <w:rFonts w:asciiTheme="minorHAnsi" w:eastAsiaTheme="minorEastAsia" w:hAnsiTheme="minorHAnsi" w:cstheme="minorBidi"/>
          <w:sz w:val="22"/>
          <w:szCs w:val="22"/>
        </w:rPr>
      </w:pPr>
      <w:hyperlink w:anchor="_Toc428287702" w:history="1">
        <w:r w:rsidR="005C2FEA" w:rsidRPr="004C6ED0">
          <w:rPr>
            <w:rStyle w:val="Hyperlink"/>
            <w:lang w:val="fr-FR"/>
          </w:rPr>
          <w:t>Techniques moléculaires</w:t>
        </w:r>
        <w:r w:rsidR="005C2FEA">
          <w:rPr>
            <w:webHidden/>
          </w:rPr>
          <w:tab/>
        </w:r>
        <w:r w:rsidR="005C2FEA">
          <w:rPr>
            <w:webHidden/>
          </w:rPr>
          <w:fldChar w:fldCharType="begin"/>
        </w:r>
        <w:r w:rsidR="005C2FEA">
          <w:rPr>
            <w:webHidden/>
          </w:rPr>
          <w:instrText xml:space="preserve"> PAGEREF _Toc428287702 \h </w:instrText>
        </w:r>
        <w:r w:rsidR="005C2FEA">
          <w:rPr>
            <w:webHidden/>
          </w:rPr>
        </w:r>
        <w:r w:rsidR="005C2FEA">
          <w:rPr>
            <w:webHidden/>
          </w:rPr>
          <w:fldChar w:fldCharType="separate"/>
        </w:r>
        <w:r w:rsidR="002E0818">
          <w:rPr>
            <w:webHidden/>
          </w:rPr>
          <w:t>10</w:t>
        </w:r>
        <w:r w:rsidR="005C2FEA">
          <w:rPr>
            <w:webHidden/>
          </w:rPr>
          <w:fldChar w:fldCharType="end"/>
        </w:r>
      </w:hyperlink>
    </w:p>
    <w:p w:rsidR="005C2FEA" w:rsidRDefault="00C258AE">
      <w:pPr>
        <w:pStyle w:val="TOC3"/>
        <w:rPr>
          <w:rFonts w:asciiTheme="minorHAnsi" w:eastAsiaTheme="minorEastAsia" w:hAnsiTheme="minorHAnsi" w:cstheme="minorBidi"/>
          <w:i w:val="0"/>
          <w:sz w:val="22"/>
          <w:szCs w:val="22"/>
          <w:lang w:val="en-US"/>
        </w:rPr>
      </w:pPr>
      <w:hyperlink w:anchor="_Toc428287703" w:history="1">
        <w:r w:rsidR="005C2FEA" w:rsidRPr="004C6ED0">
          <w:rPr>
            <w:rStyle w:val="Hyperlink"/>
          </w:rPr>
          <w:t>Débat sur les techniques moléculaires</w:t>
        </w:r>
        <w:r w:rsidR="005C2FEA">
          <w:rPr>
            <w:webHidden/>
          </w:rPr>
          <w:tab/>
        </w:r>
        <w:r w:rsidR="005C2FEA">
          <w:rPr>
            <w:webHidden/>
          </w:rPr>
          <w:fldChar w:fldCharType="begin"/>
        </w:r>
        <w:r w:rsidR="005C2FEA">
          <w:rPr>
            <w:webHidden/>
          </w:rPr>
          <w:instrText xml:space="preserve"> PAGEREF _Toc428287703 \h </w:instrText>
        </w:r>
        <w:r w:rsidR="005C2FEA">
          <w:rPr>
            <w:webHidden/>
          </w:rPr>
        </w:r>
        <w:r w:rsidR="005C2FEA">
          <w:rPr>
            <w:webHidden/>
          </w:rPr>
          <w:fldChar w:fldCharType="separate"/>
        </w:r>
        <w:r w:rsidR="002E0818">
          <w:rPr>
            <w:webHidden/>
          </w:rPr>
          <w:t>10</w:t>
        </w:r>
        <w:r w:rsidR="005C2FEA">
          <w:rPr>
            <w:webHidden/>
          </w:rPr>
          <w:fldChar w:fldCharType="end"/>
        </w:r>
      </w:hyperlink>
    </w:p>
    <w:p w:rsidR="005C2FEA" w:rsidRDefault="00C258AE">
      <w:pPr>
        <w:pStyle w:val="TOC2"/>
        <w:rPr>
          <w:rFonts w:asciiTheme="minorHAnsi" w:eastAsiaTheme="minorEastAsia" w:hAnsiTheme="minorHAnsi" w:cstheme="minorBidi"/>
          <w:sz w:val="22"/>
          <w:szCs w:val="22"/>
        </w:rPr>
      </w:pPr>
      <w:hyperlink w:anchor="_Toc428287704" w:history="1">
        <w:r w:rsidR="005C2FEA" w:rsidRPr="004C6ED0">
          <w:rPr>
            <w:rStyle w:val="Hyperlink"/>
            <w:lang w:val="fr-FR"/>
          </w:rPr>
          <w:t>Dénominations variétales</w:t>
        </w:r>
        <w:r w:rsidR="005C2FEA">
          <w:rPr>
            <w:webHidden/>
          </w:rPr>
          <w:tab/>
        </w:r>
        <w:r w:rsidR="005C2FEA">
          <w:rPr>
            <w:webHidden/>
          </w:rPr>
          <w:fldChar w:fldCharType="begin"/>
        </w:r>
        <w:r w:rsidR="005C2FEA">
          <w:rPr>
            <w:webHidden/>
          </w:rPr>
          <w:instrText xml:space="preserve"> PAGEREF _Toc428287704 \h </w:instrText>
        </w:r>
        <w:r w:rsidR="005C2FEA">
          <w:rPr>
            <w:webHidden/>
          </w:rPr>
        </w:r>
        <w:r w:rsidR="005C2FEA">
          <w:rPr>
            <w:webHidden/>
          </w:rPr>
          <w:fldChar w:fldCharType="separate"/>
        </w:r>
        <w:r w:rsidR="002E0818">
          <w:rPr>
            <w:webHidden/>
          </w:rPr>
          <w:t>12</w:t>
        </w:r>
        <w:r w:rsidR="005C2FEA">
          <w:rPr>
            <w:webHidden/>
          </w:rPr>
          <w:fldChar w:fldCharType="end"/>
        </w:r>
      </w:hyperlink>
    </w:p>
    <w:p w:rsidR="005C2FEA" w:rsidRDefault="00C258AE">
      <w:pPr>
        <w:pStyle w:val="TOC2"/>
        <w:rPr>
          <w:rFonts w:asciiTheme="minorHAnsi" w:eastAsiaTheme="minorEastAsia" w:hAnsiTheme="minorHAnsi" w:cstheme="minorBidi"/>
          <w:sz w:val="22"/>
          <w:szCs w:val="22"/>
        </w:rPr>
      </w:pPr>
      <w:hyperlink w:anchor="_Toc428287705" w:history="1">
        <w:r w:rsidR="005C2FEA" w:rsidRPr="004C6ED0">
          <w:rPr>
            <w:rStyle w:val="Hyperlink"/>
            <w:lang w:val="fr-FR"/>
          </w:rPr>
          <w:t>Informations et bases de données</w:t>
        </w:r>
        <w:r w:rsidR="005C2FEA">
          <w:rPr>
            <w:webHidden/>
          </w:rPr>
          <w:tab/>
        </w:r>
        <w:r w:rsidR="005C2FEA">
          <w:rPr>
            <w:webHidden/>
          </w:rPr>
          <w:fldChar w:fldCharType="begin"/>
        </w:r>
        <w:r w:rsidR="005C2FEA">
          <w:rPr>
            <w:webHidden/>
          </w:rPr>
          <w:instrText xml:space="preserve"> PAGEREF _Toc428287705 \h </w:instrText>
        </w:r>
        <w:r w:rsidR="005C2FEA">
          <w:rPr>
            <w:webHidden/>
          </w:rPr>
        </w:r>
        <w:r w:rsidR="005C2FEA">
          <w:rPr>
            <w:webHidden/>
          </w:rPr>
          <w:fldChar w:fldCharType="separate"/>
        </w:r>
        <w:r w:rsidR="002E0818">
          <w:rPr>
            <w:webHidden/>
          </w:rPr>
          <w:t>12</w:t>
        </w:r>
        <w:r w:rsidR="005C2FEA">
          <w:rPr>
            <w:webHidden/>
          </w:rPr>
          <w:fldChar w:fldCharType="end"/>
        </w:r>
      </w:hyperlink>
    </w:p>
    <w:p w:rsidR="005C2FEA" w:rsidRDefault="00C258AE">
      <w:pPr>
        <w:pStyle w:val="TOC3"/>
        <w:tabs>
          <w:tab w:val="left" w:pos="1134"/>
        </w:tabs>
        <w:rPr>
          <w:rFonts w:asciiTheme="minorHAnsi" w:eastAsiaTheme="minorEastAsia" w:hAnsiTheme="minorHAnsi" w:cstheme="minorBidi"/>
          <w:i w:val="0"/>
          <w:sz w:val="22"/>
          <w:szCs w:val="22"/>
          <w:lang w:val="en-US"/>
        </w:rPr>
      </w:pPr>
      <w:hyperlink w:anchor="_Toc428287706" w:history="1">
        <w:r w:rsidR="005C2FEA" w:rsidRPr="004C6ED0">
          <w:rPr>
            <w:rStyle w:val="Hyperlink"/>
          </w:rPr>
          <w:t>a)</w:t>
        </w:r>
        <w:r w:rsidR="005C2FEA">
          <w:rPr>
            <w:rFonts w:asciiTheme="minorHAnsi" w:eastAsiaTheme="minorEastAsia" w:hAnsiTheme="minorHAnsi" w:cstheme="minorBidi"/>
            <w:i w:val="0"/>
            <w:sz w:val="22"/>
            <w:szCs w:val="22"/>
            <w:lang w:val="en-US"/>
          </w:rPr>
          <w:tab/>
        </w:r>
        <w:r w:rsidR="005C2FEA" w:rsidRPr="004C6ED0">
          <w:rPr>
            <w:rStyle w:val="Hyperlink"/>
          </w:rPr>
          <w:t>Bases de données d’information de l’UPOV</w:t>
        </w:r>
        <w:r w:rsidR="005C2FEA">
          <w:rPr>
            <w:webHidden/>
          </w:rPr>
          <w:tab/>
        </w:r>
        <w:r w:rsidR="005C2FEA">
          <w:rPr>
            <w:webHidden/>
          </w:rPr>
          <w:fldChar w:fldCharType="begin"/>
        </w:r>
        <w:r w:rsidR="005C2FEA">
          <w:rPr>
            <w:webHidden/>
          </w:rPr>
          <w:instrText xml:space="preserve"> PAGEREF _Toc428287706 \h </w:instrText>
        </w:r>
        <w:r w:rsidR="005C2FEA">
          <w:rPr>
            <w:webHidden/>
          </w:rPr>
        </w:r>
        <w:r w:rsidR="005C2FEA">
          <w:rPr>
            <w:webHidden/>
          </w:rPr>
          <w:fldChar w:fldCharType="separate"/>
        </w:r>
        <w:r w:rsidR="002E0818">
          <w:rPr>
            <w:webHidden/>
          </w:rPr>
          <w:t>12</w:t>
        </w:r>
        <w:r w:rsidR="005C2FEA">
          <w:rPr>
            <w:webHidden/>
          </w:rPr>
          <w:fldChar w:fldCharType="end"/>
        </w:r>
      </w:hyperlink>
    </w:p>
    <w:p w:rsidR="005C2FEA" w:rsidRDefault="00C258AE">
      <w:pPr>
        <w:pStyle w:val="TOC3"/>
        <w:tabs>
          <w:tab w:val="left" w:pos="1134"/>
        </w:tabs>
        <w:rPr>
          <w:rFonts w:asciiTheme="minorHAnsi" w:eastAsiaTheme="minorEastAsia" w:hAnsiTheme="minorHAnsi" w:cstheme="minorBidi"/>
          <w:i w:val="0"/>
          <w:sz w:val="22"/>
          <w:szCs w:val="22"/>
          <w:lang w:val="en-US"/>
        </w:rPr>
      </w:pPr>
      <w:hyperlink w:anchor="_Toc428287707" w:history="1">
        <w:r w:rsidR="005C2FEA" w:rsidRPr="004C6ED0">
          <w:rPr>
            <w:rStyle w:val="Hyperlink"/>
          </w:rPr>
          <w:t>b)</w:t>
        </w:r>
        <w:r w:rsidR="005C2FEA">
          <w:rPr>
            <w:rFonts w:asciiTheme="minorHAnsi" w:eastAsiaTheme="minorEastAsia" w:hAnsiTheme="minorHAnsi" w:cstheme="minorBidi"/>
            <w:i w:val="0"/>
            <w:sz w:val="22"/>
            <w:szCs w:val="22"/>
            <w:lang w:val="en-US"/>
          </w:rPr>
          <w:tab/>
        </w:r>
        <w:r w:rsidR="005C2FEA" w:rsidRPr="004C6ED0">
          <w:rPr>
            <w:rStyle w:val="Hyperlink"/>
          </w:rPr>
          <w:t>Systèmes de dépôt électronique des demandes</w:t>
        </w:r>
        <w:r w:rsidR="005C2FEA">
          <w:rPr>
            <w:webHidden/>
          </w:rPr>
          <w:tab/>
        </w:r>
        <w:r w:rsidR="005C2FEA">
          <w:rPr>
            <w:webHidden/>
          </w:rPr>
          <w:fldChar w:fldCharType="begin"/>
        </w:r>
        <w:r w:rsidR="005C2FEA">
          <w:rPr>
            <w:webHidden/>
          </w:rPr>
          <w:instrText xml:space="preserve"> PAGEREF _Toc428287707 \h </w:instrText>
        </w:r>
        <w:r w:rsidR="005C2FEA">
          <w:rPr>
            <w:webHidden/>
          </w:rPr>
        </w:r>
        <w:r w:rsidR="005C2FEA">
          <w:rPr>
            <w:webHidden/>
          </w:rPr>
          <w:fldChar w:fldCharType="separate"/>
        </w:r>
        <w:r w:rsidR="002E0818">
          <w:rPr>
            <w:webHidden/>
          </w:rPr>
          <w:t>13</w:t>
        </w:r>
        <w:r w:rsidR="005C2FEA">
          <w:rPr>
            <w:webHidden/>
          </w:rPr>
          <w:fldChar w:fldCharType="end"/>
        </w:r>
      </w:hyperlink>
    </w:p>
    <w:p w:rsidR="005C2FEA" w:rsidRDefault="00C258AE">
      <w:pPr>
        <w:pStyle w:val="TOC3"/>
        <w:tabs>
          <w:tab w:val="left" w:pos="1134"/>
        </w:tabs>
        <w:rPr>
          <w:rFonts w:asciiTheme="minorHAnsi" w:eastAsiaTheme="minorEastAsia" w:hAnsiTheme="minorHAnsi" w:cstheme="minorBidi"/>
          <w:i w:val="0"/>
          <w:sz w:val="22"/>
          <w:szCs w:val="22"/>
          <w:lang w:val="en-US"/>
        </w:rPr>
      </w:pPr>
      <w:hyperlink w:anchor="_Toc428287708" w:history="1">
        <w:r w:rsidR="005C2FEA" w:rsidRPr="004C6ED0">
          <w:rPr>
            <w:rStyle w:val="Hyperlink"/>
          </w:rPr>
          <w:t>c)</w:t>
        </w:r>
        <w:r w:rsidR="005C2FEA">
          <w:rPr>
            <w:rFonts w:asciiTheme="minorHAnsi" w:eastAsiaTheme="minorEastAsia" w:hAnsiTheme="minorHAnsi" w:cstheme="minorBidi"/>
            <w:i w:val="0"/>
            <w:sz w:val="22"/>
            <w:szCs w:val="22"/>
            <w:lang w:val="en-US"/>
          </w:rPr>
          <w:tab/>
        </w:r>
        <w:r w:rsidR="005C2FEA" w:rsidRPr="004C6ED0">
          <w:rPr>
            <w:rStyle w:val="Hyperlink"/>
          </w:rPr>
          <w:t>Logiciels échangeables</w:t>
        </w:r>
        <w:r w:rsidR="005C2FEA">
          <w:rPr>
            <w:webHidden/>
          </w:rPr>
          <w:tab/>
        </w:r>
        <w:r w:rsidR="005C2FEA">
          <w:rPr>
            <w:webHidden/>
          </w:rPr>
          <w:fldChar w:fldCharType="begin"/>
        </w:r>
        <w:r w:rsidR="005C2FEA">
          <w:rPr>
            <w:webHidden/>
          </w:rPr>
          <w:instrText xml:space="preserve"> PAGEREF _Toc428287708 \h </w:instrText>
        </w:r>
        <w:r w:rsidR="005C2FEA">
          <w:rPr>
            <w:webHidden/>
          </w:rPr>
        </w:r>
        <w:r w:rsidR="005C2FEA">
          <w:rPr>
            <w:webHidden/>
          </w:rPr>
          <w:fldChar w:fldCharType="separate"/>
        </w:r>
        <w:r w:rsidR="002E0818">
          <w:rPr>
            <w:webHidden/>
          </w:rPr>
          <w:t>13</w:t>
        </w:r>
        <w:r w:rsidR="005C2FEA">
          <w:rPr>
            <w:webHidden/>
          </w:rPr>
          <w:fldChar w:fldCharType="end"/>
        </w:r>
      </w:hyperlink>
    </w:p>
    <w:p w:rsidR="005C2FEA" w:rsidRDefault="00C258AE">
      <w:pPr>
        <w:pStyle w:val="TOC3"/>
        <w:tabs>
          <w:tab w:val="left" w:pos="1134"/>
        </w:tabs>
        <w:rPr>
          <w:rFonts w:asciiTheme="minorHAnsi" w:eastAsiaTheme="minorEastAsia" w:hAnsiTheme="minorHAnsi" w:cstheme="minorBidi"/>
          <w:i w:val="0"/>
          <w:sz w:val="22"/>
          <w:szCs w:val="22"/>
          <w:lang w:val="en-US"/>
        </w:rPr>
      </w:pPr>
      <w:hyperlink w:anchor="_Toc428287709" w:history="1">
        <w:r w:rsidR="005C2FEA" w:rsidRPr="004C6ED0">
          <w:rPr>
            <w:rStyle w:val="Hyperlink"/>
          </w:rPr>
          <w:t>d)</w:t>
        </w:r>
        <w:r w:rsidR="005C2FEA">
          <w:rPr>
            <w:rFonts w:asciiTheme="minorHAnsi" w:eastAsiaTheme="minorEastAsia" w:hAnsiTheme="minorHAnsi" w:cstheme="minorBidi"/>
            <w:i w:val="0"/>
            <w:sz w:val="22"/>
            <w:szCs w:val="22"/>
            <w:lang w:val="en-US"/>
          </w:rPr>
          <w:tab/>
        </w:r>
        <w:r w:rsidR="005C2FEA" w:rsidRPr="004C6ED0">
          <w:rPr>
            <w:rStyle w:val="Hyperlink"/>
          </w:rPr>
          <w:t>Bases de données sur les descriptions variétales</w:t>
        </w:r>
        <w:r w:rsidR="005C2FEA">
          <w:rPr>
            <w:webHidden/>
          </w:rPr>
          <w:tab/>
        </w:r>
        <w:r w:rsidR="005C2FEA">
          <w:rPr>
            <w:webHidden/>
          </w:rPr>
          <w:fldChar w:fldCharType="begin"/>
        </w:r>
        <w:r w:rsidR="005C2FEA">
          <w:rPr>
            <w:webHidden/>
          </w:rPr>
          <w:instrText xml:space="preserve"> PAGEREF _Toc428287709 \h </w:instrText>
        </w:r>
        <w:r w:rsidR="005C2FEA">
          <w:rPr>
            <w:webHidden/>
          </w:rPr>
        </w:r>
        <w:r w:rsidR="005C2FEA">
          <w:rPr>
            <w:webHidden/>
          </w:rPr>
          <w:fldChar w:fldCharType="separate"/>
        </w:r>
        <w:r w:rsidR="002E0818">
          <w:rPr>
            <w:webHidden/>
          </w:rPr>
          <w:t>14</w:t>
        </w:r>
        <w:r w:rsidR="005C2FEA">
          <w:rPr>
            <w:webHidden/>
          </w:rPr>
          <w:fldChar w:fldCharType="end"/>
        </w:r>
      </w:hyperlink>
    </w:p>
    <w:p w:rsidR="005C2FEA" w:rsidRDefault="00C258AE">
      <w:pPr>
        <w:pStyle w:val="TOC2"/>
        <w:rPr>
          <w:rFonts w:asciiTheme="minorHAnsi" w:eastAsiaTheme="minorEastAsia" w:hAnsiTheme="minorHAnsi" w:cstheme="minorBidi"/>
          <w:sz w:val="22"/>
          <w:szCs w:val="22"/>
        </w:rPr>
      </w:pPr>
      <w:hyperlink w:anchor="_Toc428287710" w:history="1">
        <w:r w:rsidR="005C2FEA" w:rsidRPr="004C6ED0">
          <w:rPr>
            <w:rStyle w:val="Hyperlink"/>
            <w:lang w:val="fr-FR"/>
          </w:rPr>
          <w:t>Questions concernant les descriptions variétales</w:t>
        </w:r>
        <w:r w:rsidR="005C2FEA">
          <w:rPr>
            <w:webHidden/>
          </w:rPr>
          <w:tab/>
        </w:r>
        <w:r w:rsidR="005C2FEA">
          <w:rPr>
            <w:webHidden/>
          </w:rPr>
          <w:fldChar w:fldCharType="begin"/>
        </w:r>
        <w:r w:rsidR="005C2FEA">
          <w:rPr>
            <w:webHidden/>
          </w:rPr>
          <w:instrText xml:space="preserve"> PAGEREF _Toc428287710 \h </w:instrText>
        </w:r>
        <w:r w:rsidR="005C2FEA">
          <w:rPr>
            <w:webHidden/>
          </w:rPr>
        </w:r>
        <w:r w:rsidR="005C2FEA">
          <w:rPr>
            <w:webHidden/>
          </w:rPr>
          <w:fldChar w:fldCharType="separate"/>
        </w:r>
        <w:r w:rsidR="002E0818">
          <w:rPr>
            <w:webHidden/>
          </w:rPr>
          <w:t>14</w:t>
        </w:r>
        <w:r w:rsidR="005C2FEA">
          <w:rPr>
            <w:webHidden/>
          </w:rPr>
          <w:fldChar w:fldCharType="end"/>
        </w:r>
      </w:hyperlink>
    </w:p>
    <w:p w:rsidR="005C2FEA" w:rsidRDefault="00C258AE">
      <w:pPr>
        <w:pStyle w:val="TOC3"/>
        <w:rPr>
          <w:rFonts w:asciiTheme="minorHAnsi" w:eastAsiaTheme="minorEastAsia" w:hAnsiTheme="minorHAnsi" w:cstheme="minorBidi"/>
          <w:i w:val="0"/>
          <w:sz w:val="22"/>
          <w:szCs w:val="22"/>
          <w:lang w:val="en-US"/>
        </w:rPr>
      </w:pPr>
      <w:hyperlink w:anchor="_Toc428287711" w:history="1">
        <w:r w:rsidR="005C2FEA" w:rsidRPr="004C6ED0">
          <w:rPr>
            <w:rStyle w:val="Hyperlink"/>
          </w:rPr>
          <w:t>Contrôle du maintien de la variété</w:t>
        </w:r>
        <w:r w:rsidR="005C2FEA">
          <w:rPr>
            <w:webHidden/>
          </w:rPr>
          <w:tab/>
        </w:r>
        <w:r w:rsidR="005C2FEA">
          <w:rPr>
            <w:webHidden/>
          </w:rPr>
          <w:fldChar w:fldCharType="begin"/>
        </w:r>
        <w:r w:rsidR="005C2FEA">
          <w:rPr>
            <w:webHidden/>
          </w:rPr>
          <w:instrText xml:space="preserve"> PAGEREF _Toc428287711 \h </w:instrText>
        </w:r>
        <w:r w:rsidR="005C2FEA">
          <w:rPr>
            <w:webHidden/>
          </w:rPr>
        </w:r>
        <w:r w:rsidR="005C2FEA">
          <w:rPr>
            <w:webHidden/>
          </w:rPr>
          <w:fldChar w:fldCharType="separate"/>
        </w:r>
        <w:r w:rsidR="002E0818">
          <w:rPr>
            <w:webHidden/>
          </w:rPr>
          <w:t>14</w:t>
        </w:r>
        <w:r w:rsidR="005C2FEA">
          <w:rPr>
            <w:webHidden/>
          </w:rPr>
          <w:fldChar w:fldCharType="end"/>
        </w:r>
      </w:hyperlink>
    </w:p>
    <w:p w:rsidR="005C2FEA" w:rsidRDefault="00C258AE">
      <w:pPr>
        <w:pStyle w:val="TOC3"/>
        <w:rPr>
          <w:rFonts w:asciiTheme="minorHAnsi" w:eastAsiaTheme="minorEastAsia" w:hAnsiTheme="minorHAnsi" w:cstheme="minorBidi"/>
          <w:i w:val="0"/>
          <w:sz w:val="22"/>
          <w:szCs w:val="22"/>
          <w:lang w:val="en-US"/>
        </w:rPr>
      </w:pPr>
      <w:hyperlink w:anchor="_Toc428287712" w:history="1">
        <w:r w:rsidR="005C2FEA" w:rsidRPr="004C6ED0">
          <w:rPr>
            <w:rStyle w:val="Hyperlink"/>
          </w:rPr>
          <w:t>Questions concernant les descriptions variétales</w:t>
        </w:r>
        <w:r w:rsidR="005C2FEA">
          <w:rPr>
            <w:webHidden/>
          </w:rPr>
          <w:tab/>
        </w:r>
        <w:r w:rsidR="005C2FEA">
          <w:rPr>
            <w:webHidden/>
          </w:rPr>
          <w:fldChar w:fldCharType="begin"/>
        </w:r>
        <w:r w:rsidR="005C2FEA">
          <w:rPr>
            <w:webHidden/>
          </w:rPr>
          <w:instrText xml:space="preserve"> PAGEREF _Toc428287712 \h </w:instrText>
        </w:r>
        <w:r w:rsidR="005C2FEA">
          <w:rPr>
            <w:webHidden/>
          </w:rPr>
        </w:r>
        <w:r w:rsidR="005C2FEA">
          <w:rPr>
            <w:webHidden/>
          </w:rPr>
          <w:fldChar w:fldCharType="separate"/>
        </w:r>
        <w:r w:rsidR="002E0818">
          <w:rPr>
            <w:webHidden/>
          </w:rPr>
          <w:t>15</w:t>
        </w:r>
        <w:r w:rsidR="005C2FEA">
          <w:rPr>
            <w:webHidden/>
          </w:rPr>
          <w:fldChar w:fldCharType="end"/>
        </w:r>
      </w:hyperlink>
    </w:p>
    <w:p w:rsidR="005C2FEA" w:rsidRDefault="00C258AE">
      <w:pPr>
        <w:pStyle w:val="TOC2"/>
        <w:rPr>
          <w:rFonts w:asciiTheme="minorHAnsi" w:eastAsiaTheme="minorEastAsia" w:hAnsiTheme="minorHAnsi" w:cstheme="minorBidi"/>
          <w:sz w:val="22"/>
          <w:szCs w:val="22"/>
        </w:rPr>
      </w:pPr>
      <w:hyperlink w:anchor="_Toc428287713" w:history="1">
        <w:r w:rsidR="005C2FEA" w:rsidRPr="004C6ED0">
          <w:rPr>
            <w:rStyle w:val="Hyperlink"/>
            <w:lang w:val="fr-FR"/>
          </w:rPr>
          <w:t>Examen des moyens possibles d’améliorer l’efficacité du Comité technique, des groupes de travail techniques et des ateliers préparatoires</w:t>
        </w:r>
        <w:r w:rsidR="005C2FEA">
          <w:rPr>
            <w:webHidden/>
          </w:rPr>
          <w:tab/>
        </w:r>
        <w:r w:rsidR="005C2FEA">
          <w:rPr>
            <w:webHidden/>
          </w:rPr>
          <w:fldChar w:fldCharType="begin"/>
        </w:r>
        <w:r w:rsidR="005C2FEA">
          <w:rPr>
            <w:webHidden/>
          </w:rPr>
          <w:instrText xml:space="preserve"> PAGEREF _Toc428287713 \h </w:instrText>
        </w:r>
        <w:r w:rsidR="005C2FEA">
          <w:rPr>
            <w:webHidden/>
          </w:rPr>
        </w:r>
        <w:r w:rsidR="005C2FEA">
          <w:rPr>
            <w:webHidden/>
          </w:rPr>
          <w:fldChar w:fldCharType="separate"/>
        </w:r>
        <w:r w:rsidR="002E0818">
          <w:rPr>
            <w:webHidden/>
          </w:rPr>
          <w:t>15</w:t>
        </w:r>
        <w:r w:rsidR="005C2FEA">
          <w:rPr>
            <w:webHidden/>
          </w:rPr>
          <w:fldChar w:fldCharType="end"/>
        </w:r>
      </w:hyperlink>
    </w:p>
    <w:p w:rsidR="005C2FEA" w:rsidRDefault="00C258AE">
      <w:pPr>
        <w:pStyle w:val="TOC2"/>
        <w:rPr>
          <w:rFonts w:asciiTheme="minorHAnsi" w:eastAsiaTheme="minorEastAsia" w:hAnsiTheme="minorHAnsi" w:cstheme="minorBidi"/>
          <w:sz w:val="22"/>
          <w:szCs w:val="22"/>
        </w:rPr>
      </w:pPr>
      <w:hyperlink w:anchor="_Toc428287714" w:history="1">
        <w:r w:rsidR="005C2FEA" w:rsidRPr="004C6ED0">
          <w:rPr>
            <w:rStyle w:val="Hyperlink"/>
            <w:lang w:val="fr-FR"/>
          </w:rPr>
          <w:t>Ateliers préparatoires</w:t>
        </w:r>
        <w:r w:rsidR="005C2FEA">
          <w:rPr>
            <w:webHidden/>
          </w:rPr>
          <w:tab/>
        </w:r>
        <w:r w:rsidR="005C2FEA">
          <w:rPr>
            <w:webHidden/>
          </w:rPr>
          <w:fldChar w:fldCharType="begin"/>
        </w:r>
        <w:r w:rsidR="005C2FEA">
          <w:rPr>
            <w:webHidden/>
          </w:rPr>
          <w:instrText xml:space="preserve"> PAGEREF _Toc428287714 \h </w:instrText>
        </w:r>
        <w:r w:rsidR="005C2FEA">
          <w:rPr>
            <w:webHidden/>
          </w:rPr>
        </w:r>
        <w:r w:rsidR="005C2FEA">
          <w:rPr>
            <w:webHidden/>
          </w:rPr>
          <w:fldChar w:fldCharType="separate"/>
        </w:r>
        <w:r w:rsidR="002E0818">
          <w:rPr>
            <w:webHidden/>
          </w:rPr>
          <w:t>16</w:t>
        </w:r>
        <w:r w:rsidR="005C2FEA">
          <w:rPr>
            <w:webHidden/>
          </w:rPr>
          <w:fldChar w:fldCharType="end"/>
        </w:r>
      </w:hyperlink>
    </w:p>
    <w:p w:rsidR="005C2FEA" w:rsidRDefault="00C258AE">
      <w:pPr>
        <w:pStyle w:val="TOC2"/>
        <w:rPr>
          <w:rFonts w:asciiTheme="minorHAnsi" w:eastAsiaTheme="minorEastAsia" w:hAnsiTheme="minorHAnsi" w:cstheme="minorBidi"/>
          <w:sz w:val="22"/>
          <w:szCs w:val="22"/>
        </w:rPr>
      </w:pPr>
      <w:hyperlink w:anchor="_Toc428287715" w:history="1">
        <w:r w:rsidR="005C2FEA" w:rsidRPr="004C6ED0">
          <w:rPr>
            <w:rStyle w:val="Hyperlink"/>
            <w:lang w:val="fr-FR"/>
          </w:rPr>
          <w:t>Principes directeurs d’examen</w:t>
        </w:r>
        <w:r w:rsidR="005C2FEA">
          <w:rPr>
            <w:webHidden/>
          </w:rPr>
          <w:tab/>
        </w:r>
        <w:r w:rsidR="005C2FEA">
          <w:rPr>
            <w:webHidden/>
          </w:rPr>
          <w:fldChar w:fldCharType="begin"/>
        </w:r>
        <w:r w:rsidR="005C2FEA">
          <w:rPr>
            <w:webHidden/>
          </w:rPr>
          <w:instrText xml:space="preserve"> PAGEREF _Toc428287715 \h </w:instrText>
        </w:r>
        <w:r w:rsidR="005C2FEA">
          <w:rPr>
            <w:webHidden/>
          </w:rPr>
        </w:r>
        <w:r w:rsidR="005C2FEA">
          <w:rPr>
            <w:webHidden/>
          </w:rPr>
          <w:fldChar w:fldCharType="separate"/>
        </w:r>
        <w:r w:rsidR="002E0818">
          <w:rPr>
            <w:webHidden/>
          </w:rPr>
          <w:t>16</w:t>
        </w:r>
        <w:r w:rsidR="005C2FEA">
          <w:rPr>
            <w:webHidden/>
          </w:rPr>
          <w:fldChar w:fldCharType="end"/>
        </w:r>
      </w:hyperlink>
    </w:p>
    <w:p w:rsidR="005C2FEA" w:rsidRDefault="00C258AE">
      <w:pPr>
        <w:pStyle w:val="TOC3"/>
        <w:rPr>
          <w:rFonts w:asciiTheme="minorHAnsi" w:eastAsiaTheme="minorEastAsia" w:hAnsiTheme="minorHAnsi" w:cstheme="minorBidi"/>
          <w:i w:val="0"/>
          <w:sz w:val="22"/>
          <w:szCs w:val="22"/>
          <w:lang w:val="en-US"/>
        </w:rPr>
      </w:pPr>
      <w:hyperlink w:anchor="_Toc428287716" w:history="1">
        <w:r w:rsidR="005C2FEA" w:rsidRPr="004C6ED0">
          <w:rPr>
            <w:rStyle w:val="Hyperlink"/>
          </w:rPr>
          <w:t>Corrections de principes directeurs d’examen</w:t>
        </w:r>
        <w:r w:rsidR="005C2FEA">
          <w:rPr>
            <w:webHidden/>
          </w:rPr>
          <w:tab/>
        </w:r>
        <w:r w:rsidR="005C2FEA">
          <w:rPr>
            <w:webHidden/>
          </w:rPr>
          <w:fldChar w:fldCharType="begin"/>
        </w:r>
        <w:r w:rsidR="005C2FEA">
          <w:rPr>
            <w:webHidden/>
          </w:rPr>
          <w:instrText xml:space="preserve"> PAGEREF _Toc428287716 \h </w:instrText>
        </w:r>
        <w:r w:rsidR="005C2FEA">
          <w:rPr>
            <w:webHidden/>
          </w:rPr>
        </w:r>
        <w:r w:rsidR="005C2FEA">
          <w:rPr>
            <w:webHidden/>
          </w:rPr>
          <w:fldChar w:fldCharType="separate"/>
        </w:r>
        <w:r w:rsidR="002E0818">
          <w:rPr>
            <w:webHidden/>
          </w:rPr>
          <w:t>19</w:t>
        </w:r>
        <w:r w:rsidR="005C2FEA">
          <w:rPr>
            <w:webHidden/>
          </w:rPr>
          <w:fldChar w:fldCharType="end"/>
        </w:r>
      </w:hyperlink>
    </w:p>
    <w:p w:rsidR="005C2FEA" w:rsidRDefault="00C258AE">
      <w:pPr>
        <w:pStyle w:val="TOC3"/>
        <w:rPr>
          <w:rFonts w:asciiTheme="minorHAnsi" w:eastAsiaTheme="minorEastAsia" w:hAnsiTheme="minorHAnsi" w:cstheme="minorBidi"/>
          <w:i w:val="0"/>
          <w:sz w:val="22"/>
          <w:szCs w:val="22"/>
          <w:lang w:val="en-US"/>
        </w:rPr>
      </w:pPr>
      <w:hyperlink w:anchor="_Toc428287717" w:history="1">
        <w:r w:rsidR="005C2FEA" w:rsidRPr="004C6ED0">
          <w:rPr>
            <w:rStyle w:val="Hyperlink"/>
          </w:rPr>
          <w:t>Projets de principes directeurs d’examen examinés par les groupes de travail techniques en 2014</w:t>
        </w:r>
        <w:r w:rsidR="005C2FEA">
          <w:rPr>
            <w:webHidden/>
          </w:rPr>
          <w:tab/>
        </w:r>
        <w:r w:rsidR="005C2FEA">
          <w:rPr>
            <w:webHidden/>
          </w:rPr>
          <w:fldChar w:fldCharType="begin"/>
        </w:r>
        <w:r w:rsidR="005C2FEA">
          <w:rPr>
            <w:webHidden/>
          </w:rPr>
          <w:instrText xml:space="preserve"> PAGEREF _Toc428287717 \h </w:instrText>
        </w:r>
        <w:r w:rsidR="005C2FEA">
          <w:rPr>
            <w:webHidden/>
          </w:rPr>
        </w:r>
        <w:r w:rsidR="005C2FEA">
          <w:rPr>
            <w:webHidden/>
          </w:rPr>
          <w:fldChar w:fldCharType="separate"/>
        </w:r>
        <w:r w:rsidR="002E0818">
          <w:rPr>
            <w:webHidden/>
          </w:rPr>
          <w:t>19</w:t>
        </w:r>
        <w:r w:rsidR="005C2FEA">
          <w:rPr>
            <w:webHidden/>
          </w:rPr>
          <w:fldChar w:fldCharType="end"/>
        </w:r>
      </w:hyperlink>
    </w:p>
    <w:p w:rsidR="005C2FEA" w:rsidRDefault="00C258AE">
      <w:pPr>
        <w:pStyle w:val="TOC3"/>
        <w:rPr>
          <w:rFonts w:asciiTheme="minorHAnsi" w:eastAsiaTheme="minorEastAsia" w:hAnsiTheme="minorHAnsi" w:cstheme="minorBidi"/>
          <w:i w:val="0"/>
          <w:sz w:val="22"/>
          <w:szCs w:val="22"/>
          <w:lang w:val="en-US"/>
        </w:rPr>
      </w:pPr>
      <w:hyperlink w:anchor="_Toc428287718" w:history="1">
        <w:r w:rsidR="005C2FEA" w:rsidRPr="004C6ED0">
          <w:rPr>
            <w:rStyle w:val="Hyperlink"/>
            <w:rFonts w:cs="Arial"/>
          </w:rPr>
          <w:t>Projets de principes directeurs d’examen à examiner par les TWP en 2015</w:t>
        </w:r>
        <w:r w:rsidR="005C2FEA">
          <w:rPr>
            <w:webHidden/>
          </w:rPr>
          <w:tab/>
        </w:r>
        <w:r w:rsidR="005C2FEA">
          <w:rPr>
            <w:webHidden/>
          </w:rPr>
          <w:fldChar w:fldCharType="begin"/>
        </w:r>
        <w:r w:rsidR="005C2FEA">
          <w:rPr>
            <w:webHidden/>
          </w:rPr>
          <w:instrText xml:space="preserve"> PAGEREF _Toc428287718 \h </w:instrText>
        </w:r>
        <w:r w:rsidR="005C2FEA">
          <w:rPr>
            <w:webHidden/>
          </w:rPr>
        </w:r>
        <w:r w:rsidR="005C2FEA">
          <w:rPr>
            <w:webHidden/>
          </w:rPr>
          <w:fldChar w:fldCharType="separate"/>
        </w:r>
        <w:r w:rsidR="002E0818">
          <w:rPr>
            <w:webHidden/>
          </w:rPr>
          <w:t>19</w:t>
        </w:r>
        <w:r w:rsidR="005C2FEA">
          <w:rPr>
            <w:webHidden/>
          </w:rPr>
          <w:fldChar w:fldCharType="end"/>
        </w:r>
      </w:hyperlink>
    </w:p>
    <w:p w:rsidR="005C2FEA" w:rsidRDefault="00C258AE">
      <w:pPr>
        <w:pStyle w:val="TOC3"/>
        <w:rPr>
          <w:rFonts w:asciiTheme="minorHAnsi" w:eastAsiaTheme="minorEastAsia" w:hAnsiTheme="minorHAnsi" w:cstheme="minorBidi"/>
          <w:i w:val="0"/>
          <w:sz w:val="22"/>
          <w:szCs w:val="22"/>
          <w:lang w:val="en-US"/>
        </w:rPr>
      </w:pPr>
      <w:hyperlink w:anchor="_Toc428287719" w:history="1">
        <w:r w:rsidR="005C2FEA" w:rsidRPr="004C6ED0">
          <w:rPr>
            <w:rStyle w:val="Hyperlink"/>
          </w:rPr>
          <w:t>Principes directeurs d’examen sur le site Web de l’UPOV</w:t>
        </w:r>
        <w:r w:rsidR="005C2FEA">
          <w:rPr>
            <w:webHidden/>
          </w:rPr>
          <w:tab/>
        </w:r>
        <w:r w:rsidR="005C2FEA">
          <w:rPr>
            <w:webHidden/>
          </w:rPr>
          <w:fldChar w:fldCharType="begin"/>
        </w:r>
        <w:r w:rsidR="005C2FEA">
          <w:rPr>
            <w:webHidden/>
          </w:rPr>
          <w:instrText xml:space="preserve"> PAGEREF _Toc428287719 \h </w:instrText>
        </w:r>
        <w:r w:rsidR="005C2FEA">
          <w:rPr>
            <w:webHidden/>
          </w:rPr>
        </w:r>
        <w:r w:rsidR="005C2FEA">
          <w:rPr>
            <w:webHidden/>
          </w:rPr>
          <w:fldChar w:fldCharType="separate"/>
        </w:r>
        <w:r w:rsidR="002E0818">
          <w:rPr>
            <w:webHidden/>
          </w:rPr>
          <w:t>20</w:t>
        </w:r>
        <w:r w:rsidR="005C2FEA">
          <w:rPr>
            <w:webHidden/>
          </w:rPr>
          <w:fldChar w:fldCharType="end"/>
        </w:r>
      </w:hyperlink>
    </w:p>
    <w:p w:rsidR="005C2FEA" w:rsidRDefault="00C258AE">
      <w:pPr>
        <w:pStyle w:val="TOC2"/>
        <w:rPr>
          <w:rFonts w:asciiTheme="minorHAnsi" w:eastAsiaTheme="minorEastAsia" w:hAnsiTheme="minorHAnsi" w:cstheme="minorBidi"/>
          <w:sz w:val="22"/>
          <w:szCs w:val="22"/>
        </w:rPr>
      </w:pPr>
      <w:hyperlink w:anchor="_Toc428287720" w:history="1">
        <w:r w:rsidR="005C2FEA" w:rsidRPr="004C6ED0">
          <w:rPr>
            <w:rStyle w:val="Hyperlink"/>
            <w:lang w:val="fr-FR"/>
          </w:rPr>
          <w:t>Modèle de principes directeurs d’examen fondé sur le Web</w:t>
        </w:r>
        <w:r w:rsidR="005C2FEA">
          <w:rPr>
            <w:webHidden/>
          </w:rPr>
          <w:tab/>
        </w:r>
        <w:r w:rsidR="005C2FEA">
          <w:rPr>
            <w:webHidden/>
          </w:rPr>
          <w:fldChar w:fldCharType="begin"/>
        </w:r>
        <w:r w:rsidR="005C2FEA">
          <w:rPr>
            <w:webHidden/>
          </w:rPr>
          <w:instrText xml:space="preserve"> PAGEREF _Toc428287720 \h </w:instrText>
        </w:r>
        <w:r w:rsidR="005C2FEA">
          <w:rPr>
            <w:webHidden/>
          </w:rPr>
        </w:r>
        <w:r w:rsidR="005C2FEA">
          <w:rPr>
            <w:webHidden/>
          </w:rPr>
          <w:fldChar w:fldCharType="separate"/>
        </w:r>
        <w:r w:rsidR="002E0818">
          <w:rPr>
            <w:webHidden/>
          </w:rPr>
          <w:t>20</w:t>
        </w:r>
        <w:r w:rsidR="005C2FEA">
          <w:rPr>
            <w:webHidden/>
          </w:rPr>
          <w:fldChar w:fldCharType="end"/>
        </w:r>
      </w:hyperlink>
    </w:p>
    <w:p w:rsidR="005C2FEA" w:rsidRDefault="00C258AE">
      <w:pPr>
        <w:pStyle w:val="TOC2"/>
        <w:rPr>
          <w:rFonts w:asciiTheme="minorHAnsi" w:eastAsiaTheme="minorEastAsia" w:hAnsiTheme="minorHAnsi" w:cstheme="minorBidi"/>
          <w:sz w:val="22"/>
          <w:szCs w:val="22"/>
        </w:rPr>
      </w:pPr>
      <w:hyperlink w:anchor="_Toc428287721" w:history="1">
        <w:r w:rsidR="005C2FEA" w:rsidRPr="004C6ED0">
          <w:rPr>
            <w:rStyle w:val="Hyperlink"/>
            <w:lang w:val="fr-FR"/>
          </w:rPr>
          <w:t>Liste des genres et espèces pour lesquels les services ont une expérience pratique en matière d’examen de la distinction, de l’homogénéité et de la stabilité</w:t>
        </w:r>
        <w:r w:rsidR="005C2FEA">
          <w:rPr>
            <w:webHidden/>
          </w:rPr>
          <w:tab/>
        </w:r>
        <w:r w:rsidR="005C2FEA">
          <w:rPr>
            <w:webHidden/>
          </w:rPr>
          <w:fldChar w:fldCharType="begin"/>
        </w:r>
        <w:r w:rsidR="005C2FEA">
          <w:rPr>
            <w:webHidden/>
          </w:rPr>
          <w:instrText xml:space="preserve"> PAGEREF _Toc428287721 \h </w:instrText>
        </w:r>
        <w:r w:rsidR="005C2FEA">
          <w:rPr>
            <w:webHidden/>
          </w:rPr>
        </w:r>
        <w:r w:rsidR="005C2FEA">
          <w:rPr>
            <w:webHidden/>
          </w:rPr>
          <w:fldChar w:fldCharType="separate"/>
        </w:r>
        <w:r w:rsidR="002E0818">
          <w:rPr>
            <w:webHidden/>
          </w:rPr>
          <w:t>20</w:t>
        </w:r>
        <w:r w:rsidR="005C2FEA">
          <w:rPr>
            <w:webHidden/>
          </w:rPr>
          <w:fldChar w:fldCharType="end"/>
        </w:r>
      </w:hyperlink>
    </w:p>
    <w:p w:rsidR="005C2FEA" w:rsidRDefault="00C258AE">
      <w:pPr>
        <w:pStyle w:val="TOC2"/>
        <w:rPr>
          <w:rFonts w:asciiTheme="minorHAnsi" w:eastAsiaTheme="minorEastAsia" w:hAnsiTheme="minorHAnsi" w:cstheme="minorBidi"/>
          <w:sz w:val="22"/>
          <w:szCs w:val="22"/>
        </w:rPr>
      </w:pPr>
      <w:hyperlink w:anchor="_Toc428287722" w:history="1">
        <w:r w:rsidR="005C2FEA" w:rsidRPr="004C6ED0">
          <w:rPr>
            <w:rStyle w:val="Hyperlink"/>
            <w:lang w:val="fr-FR"/>
          </w:rPr>
          <w:t>Programme de la cinquante</w:t>
        </w:r>
        <w:r w:rsidR="005C2FEA" w:rsidRPr="004C6ED0">
          <w:rPr>
            <w:rStyle w:val="Hyperlink"/>
            <w:lang w:val="fr-FR"/>
          </w:rPr>
          <w:noBreakHyphen/>
          <w:t>deuxième session</w:t>
        </w:r>
        <w:r w:rsidR="005C2FEA">
          <w:rPr>
            <w:webHidden/>
          </w:rPr>
          <w:tab/>
        </w:r>
        <w:r w:rsidR="005C2FEA">
          <w:rPr>
            <w:webHidden/>
          </w:rPr>
          <w:fldChar w:fldCharType="begin"/>
        </w:r>
        <w:r w:rsidR="005C2FEA">
          <w:rPr>
            <w:webHidden/>
          </w:rPr>
          <w:instrText xml:space="preserve"> PAGEREF _Toc428287722 \h </w:instrText>
        </w:r>
        <w:r w:rsidR="005C2FEA">
          <w:rPr>
            <w:webHidden/>
          </w:rPr>
        </w:r>
        <w:r w:rsidR="005C2FEA">
          <w:rPr>
            <w:webHidden/>
          </w:rPr>
          <w:fldChar w:fldCharType="separate"/>
        </w:r>
        <w:r w:rsidR="002E0818">
          <w:rPr>
            <w:webHidden/>
          </w:rPr>
          <w:t>20</w:t>
        </w:r>
        <w:r w:rsidR="005C2FEA">
          <w:rPr>
            <w:webHidden/>
          </w:rPr>
          <w:fldChar w:fldCharType="end"/>
        </w:r>
      </w:hyperlink>
    </w:p>
    <w:p w:rsidR="005C2FEA" w:rsidRDefault="00C258AE">
      <w:pPr>
        <w:pStyle w:val="TOC1"/>
        <w:rPr>
          <w:rFonts w:asciiTheme="minorHAnsi" w:eastAsiaTheme="minorEastAsia" w:hAnsiTheme="minorHAnsi" w:cstheme="minorBidi"/>
          <w:caps w:val="0"/>
          <w:sz w:val="22"/>
          <w:szCs w:val="22"/>
        </w:rPr>
      </w:pPr>
      <w:hyperlink w:anchor="_Toc428287723" w:history="1">
        <w:r w:rsidR="005C2FEA" w:rsidRPr="004C6ED0">
          <w:rPr>
            <w:rStyle w:val="Hyperlink"/>
            <w:lang w:val="fr-FR"/>
          </w:rPr>
          <w:t>RAPPORT SUR L’ÉTAT D’AVANCEMENT DES TRAVAUX DES GROUPES DE TRAVAIL TECHNIQUES ET DU GROUPE DE TRAVAIL SUR LES TECHNIQUES BIOCHIMIQUES ET MOLÉCULAIRES, NOTAMMENT LES PROFILS D’ADN EN 2014</w:t>
        </w:r>
        <w:r w:rsidR="005C2FEA">
          <w:rPr>
            <w:webHidden/>
          </w:rPr>
          <w:tab/>
        </w:r>
        <w:r w:rsidR="005C2FEA">
          <w:rPr>
            <w:webHidden/>
          </w:rPr>
          <w:fldChar w:fldCharType="begin"/>
        </w:r>
        <w:r w:rsidR="005C2FEA">
          <w:rPr>
            <w:webHidden/>
          </w:rPr>
          <w:instrText xml:space="preserve"> PAGEREF _Toc428287723 \h </w:instrText>
        </w:r>
        <w:r w:rsidR="005C2FEA">
          <w:rPr>
            <w:webHidden/>
          </w:rPr>
        </w:r>
        <w:r w:rsidR="005C2FEA">
          <w:rPr>
            <w:webHidden/>
          </w:rPr>
          <w:fldChar w:fldCharType="separate"/>
        </w:r>
        <w:r w:rsidR="002E0818">
          <w:rPr>
            <w:webHidden/>
          </w:rPr>
          <w:t>21</w:t>
        </w:r>
        <w:r w:rsidR="005C2FEA">
          <w:rPr>
            <w:webHidden/>
          </w:rPr>
          <w:fldChar w:fldCharType="end"/>
        </w:r>
      </w:hyperlink>
    </w:p>
    <w:p w:rsidR="005C2FEA" w:rsidRDefault="00C258AE">
      <w:pPr>
        <w:pStyle w:val="TOC2"/>
        <w:rPr>
          <w:rFonts w:asciiTheme="minorHAnsi" w:eastAsiaTheme="minorEastAsia" w:hAnsiTheme="minorHAnsi" w:cstheme="minorBidi"/>
          <w:sz w:val="22"/>
          <w:szCs w:val="22"/>
        </w:rPr>
      </w:pPr>
      <w:hyperlink w:anchor="_Toc428287724" w:history="1">
        <w:r w:rsidR="005C2FEA" w:rsidRPr="004C6ED0">
          <w:rPr>
            <w:rStyle w:val="Hyperlink"/>
            <w:lang w:val="fr-FR"/>
          </w:rPr>
          <w:t>Groupe de travail technique sur les plantes agricoles (TWA)</w:t>
        </w:r>
        <w:r w:rsidR="005C2FEA">
          <w:rPr>
            <w:webHidden/>
          </w:rPr>
          <w:tab/>
        </w:r>
        <w:r w:rsidR="005C2FEA">
          <w:rPr>
            <w:webHidden/>
          </w:rPr>
          <w:fldChar w:fldCharType="begin"/>
        </w:r>
        <w:r w:rsidR="005C2FEA">
          <w:rPr>
            <w:webHidden/>
          </w:rPr>
          <w:instrText xml:space="preserve"> PAGEREF _Toc428287724 \h </w:instrText>
        </w:r>
        <w:r w:rsidR="005C2FEA">
          <w:rPr>
            <w:webHidden/>
          </w:rPr>
        </w:r>
        <w:r w:rsidR="005C2FEA">
          <w:rPr>
            <w:webHidden/>
          </w:rPr>
          <w:fldChar w:fldCharType="separate"/>
        </w:r>
        <w:r w:rsidR="002E0818">
          <w:rPr>
            <w:webHidden/>
          </w:rPr>
          <w:t>21</w:t>
        </w:r>
        <w:r w:rsidR="005C2FEA">
          <w:rPr>
            <w:webHidden/>
          </w:rPr>
          <w:fldChar w:fldCharType="end"/>
        </w:r>
      </w:hyperlink>
    </w:p>
    <w:p w:rsidR="005C2FEA" w:rsidRDefault="00C258AE">
      <w:pPr>
        <w:pStyle w:val="TOC2"/>
        <w:rPr>
          <w:rFonts w:asciiTheme="minorHAnsi" w:eastAsiaTheme="minorEastAsia" w:hAnsiTheme="minorHAnsi" w:cstheme="minorBidi"/>
          <w:sz w:val="22"/>
          <w:szCs w:val="22"/>
        </w:rPr>
      </w:pPr>
      <w:hyperlink w:anchor="_Toc428287725" w:history="1">
        <w:r w:rsidR="005C2FEA" w:rsidRPr="004C6ED0">
          <w:rPr>
            <w:rStyle w:val="Hyperlink"/>
            <w:lang w:val="fr-FR"/>
          </w:rPr>
          <w:t>Groupe de travail technique sur les systèmes d’automatisation et les programmes d’ordinateur (TWC)</w:t>
        </w:r>
        <w:r w:rsidR="005C2FEA">
          <w:rPr>
            <w:webHidden/>
          </w:rPr>
          <w:tab/>
        </w:r>
        <w:r w:rsidR="005C2FEA">
          <w:rPr>
            <w:webHidden/>
          </w:rPr>
          <w:fldChar w:fldCharType="begin"/>
        </w:r>
        <w:r w:rsidR="005C2FEA">
          <w:rPr>
            <w:webHidden/>
          </w:rPr>
          <w:instrText xml:space="preserve"> PAGEREF _Toc428287725 \h </w:instrText>
        </w:r>
        <w:r w:rsidR="005C2FEA">
          <w:rPr>
            <w:webHidden/>
          </w:rPr>
        </w:r>
        <w:r w:rsidR="005C2FEA">
          <w:rPr>
            <w:webHidden/>
          </w:rPr>
          <w:fldChar w:fldCharType="separate"/>
        </w:r>
        <w:r w:rsidR="002E0818">
          <w:rPr>
            <w:webHidden/>
          </w:rPr>
          <w:t>24</w:t>
        </w:r>
        <w:r w:rsidR="005C2FEA">
          <w:rPr>
            <w:webHidden/>
          </w:rPr>
          <w:fldChar w:fldCharType="end"/>
        </w:r>
      </w:hyperlink>
    </w:p>
    <w:p w:rsidR="005C2FEA" w:rsidRDefault="00C258AE">
      <w:pPr>
        <w:pStyle w:val="TOC2"/>
        <w:rPr>
          <w:rFonts w:asciiTheme="minorHAnsi" w:eastAsiaTheme="minorEastAsia" w:hAnsiTheme="minorHAnsi" w:cstheme="minorBidi"/>
          <w:sz w:val="22"/>
          <w:szCs w:val="22"/>
        </w:rPr>
      </w:pPr>
      <w:hyperlink w:anchor="_Toc428287726" w:history="1">
        <w:r w:rsidR="005C2FEA" w:rsidRPr="004C6ED0">
          <w:rPr>
            <w:rStyle w:val="Hyperlink"/>
            <w:lang w:val="fr-FR"/>
          </w:rPr>
          <w:t>Groupe de travail technique sur les plantes fruitières (TWF)</w:t>
        </w:r>
        <w:r w:rsidR="005C2FEA">
          <w:rPr>
            <w:webHidden/>
          </w:rPr>
          <w:tab/>
        </w:r>
        <w:r w:rsidR="005C2FEA">
          <w:rPr>
            <w:webHidden/>
          </w:rPr>
          <w:fldChar w:fldCharType="begin"/>
        </w:r>
        <w:r w:rsidR="005C2FEA">
          <w:rPr>
            <w:webHidden/>
          </w:rPr>
          <w:instrText xml:space="preserve"> PAGEREF _Toc428287726 \h </w:instrText>
        </w:r>
        <w:r w:rsidR="005C2FEA">
          <w:rPr>
            <w:webHidden/>
          </w:rPr>
        </w:r>
        <w:r w:rsidR="005C2FEA">
          <w:rPr>
            <w:webHidden/>
          </w:rPr>
          <w:fldChar w:fldCharType="separate"/>
        </w:r>
        <w:r w:rsidR="002E0818">
          <w:rPr>
            <w:webHidden/>
          </w:rPr>
          <w:t>26</w:t>
        </w:r>
        <w:r w:rsidR="005C2FEA">
          <w:rPr>
            <w:webHidden/>
          </w:rPr>
          <w:fldChar w:fldCharType="end"/>
        </w:r>
      </w:hyperlink>
    </w:p>
    <w:p w:rsidR="005C2FEA" w:rsidRDefault="00C258AE">
      <w:pPr>
        <w:pStyle w:val="TOC2"/>
        <w:rPr>
          <w:rFonts w:asciiTheme="minorHAnsi" w:eastAsiaTheme="minorEastAsia" w:hAnsiTheme="minorHAnsi" w:cstheme="minorBidi"/>
          <w:sz w:val="22"/>
          <w:szCs w:val="22"/>
        </w:rPr>
      </w:pPr>
      <w:hyperlink w:anchor="_Toc428287727" w:history="1">
        <w:r w:rsidR="005C2FEA" w:rsidRPr="004C6ED0">
          <w:rPr>
            <w:rStyle w:val="Hyperlink"/>
            <w:lang w:val="fr-FR"/>
          </w:rPr>
          <w:t>Groupe de travail technique sur les plantes ornementales et les arbres forestiers (TWO)</w:t>
        </w:r>
        <w:r w:rsidR="005C2FEA">
          <w:rPr>
            <w:webHidden/>
          </w:rPr>
          <w:tab/>
        </w:r>
        <w:r w:rsidR="005C2FEA">
          <w:rPr>
            <w:webHidden/>
          </w:rPr>
          <w:fldChar w:fldCharType="begin"/>
        </w:r>
        <w:r w:rsidR="005C2FEA">
          <w:rPr>
            <w:webHidden/>
          </w:rPr>
          <w:instrText xml:space="preserve"> PAGEREF _Toc428287727 \h </w:instrText>
        </w:r>
        <w:r w:rsidR="005C2FEA">
          <w:rPr>
            <w:webHidden/>
          </w:rPr>
        </w:r>
        <w:r w:rsidR="005C2FEA">
          <w:rPr>
            <w:webHidden/>
          </w:rPr>
          <w:fldChar w:fldCharType="separate"/>
        </w:r>
        <w:r w:rsidR="002E0818">
          <w:rPr>
            <w:webHidden/>
          </w:rPr>
          <w:t>29</w:t>
        </w:r>
        <w:r w:rsidR="005C2FEA">
          <w:rPr>
            <w:webHidden/>
          </w:rPr>
          <w:fldChar w:fldCharType="end"/>
        </w:r>
      </w:hyperlink>
    </w:p>
    <w:p w:rsidR="005C2FEA" w:rsidRDefault="00C258AE">
      <w:pPr>
        <w:pStyle w:val="TOC2"/>
        <w:rPr>
          <w:rFonts w:asciiTheme="minorHAnsi" w:eastAsiaTheme="minorEastAsia" w:hAnsiTheme="minorHAnsi" w:cstheme="minorBidi"/>
          <w:sz w:val="22"/>
          <w:szCs w:val="22"/>
        </w:rPr>
      </w:pPr>
      <w:hyperlink w:anchor="_Toc428287728" w:history="1">
        <w:r w:rsidR="005C2FEA" w:rsidRPr="004C6ED0">
          <w:rPr>
            <w:rStyle w:val="Hyperlink"/>
            <w:lang w:val="fr-FR"/>
          </w:rPr>
          <w:t>Groupe de travail technique sur les plantes potagères (TWV)</w:t>
        </w:r>
        <w:r w:rsidR="005C2FEA">
          <w:rPr>
            <w:webHidden/>
          </w:rPr>
          <w:tab/>
        </w:r>
        <w:r w:rsidR="005C2FEA">
          <w:rPr>
            <w:webHidden/>
          </w:rPr>
          <w:fldChar w:fldCharType="begin"/>
        </w:r>
        <w:r w:rsidR="005C2FEA">
          <w:rPr>
            <w:webHidden/>
          </w:rPr>
          <w:instrText xml:space="preserve"> PAGEREF _Toc428287728 \h </w:instrText>
        </w:r>
        <w:r w:rsidR="005C2FEA">
          <w:rPr>
            <w:webHidden/>
          </w:rPr>
        </w:r>
        <w:r w:rsidR="005C2FEA">
          <w:rPr>
            <w:webHidden/>
          </w:rPr>
          <w:fldChar w:fldCharType="separate"/>
        </w:r>
        <w:r w:rsidR="002E0818">
          <w:rPr>
            <w:webHidden/>
          </w:rPr>
          <w:t>31</w:t>
        </w:r>
        <w:r w:rsidR="005C2FEA">
          <w:rPr>
            <w:webHidden/>
          </w:rPr>
          <w:fldChar w:fldCharType="end"/>
        </w:r>
      </w:hyperlink>
    </w:p>
    <w:p w:rsidR="005C2FEA" w:rsidRDefault="00C258AE">
      <w:pPr>
        <w:pStyle w:val="TOC2"/>
        <w:rPr>
          <w:rFonts w:asciiTheme="minorHAnsi" w:eastAsiaTheme="minorEastAsia" w:hAnsiTheme="minorHAnsi" w:cstheme="minorBidi"/>
          <w:sz w:val="22"/>
          <w:szCs w:val="22"/>
        </w:rPr>
      </w:pPr>
      <w:hyperlink w:anchor="_Toc428287729" w:history="1">
        <w:r w:rsidR="005C2FEA" w:rsidRPr="004C6ED0">
          <w:rPr>
            <w:rStyle w:val="Hyperlink"/>
            <w:lang w:val="fr-FR"/>
          </w:rPr>
          <w:t>Groupe de travail sur les techniques biochimiques et moléculaires, notamment les profils d’AND (BMT)</w:t>
        </w:r>
        <w:r w:rsidR="005C2FEA">
          <w:rPr>
            <w:webHidden/>
          </w:rPr>
          <w:tab/>
        </w:r>
        <w:r w:rsidR="005C2FEA">
          <w:rPr>
            <w:webHidden/>
          </w:rPr>
          <w:fldChar w:fldCharType="begin"/>
        </w:r>
        <w:r w:rsidR="005C2FEA">
          <w:rPr>
            <w:webHidden/>
          </w:rPr>
          <w:instrText xml:space="preserve"> PAGEREF _Toc428287729 \h </w:instrText>
        </w:r>
        <w:r w:rsidR="005C2FEA">
          <w:rPr>
            <w:webHidden/>
          </w:rPr>
        </w:r>
        <w:r w:rsidR="005C2FEA">
          <w:rPr>
            <w:webHidden/>
          </w:rPr>
          <w:fldChar w:fldCharType="separate"/>
        </w:r>
        <w:r w:rsidR="002E0818">
          <w:rPr>
            <w:webHidden/>
          </w:rPr>
          <w:t>33</w:t>
        </w:r>
        <w:r w:rsidR="005C2FEA">
          <w:rPr>
            <w:webHidden/>
          </w:rPr>
          <w:fldChar w:fldCharType="end"/>
        </w:r>
      </w:hyperlink>
    </w:p>
    <w:p w:rsidR="00BB30A7" w:rsidRPr="0085565C" w:rsidRDefault="00BB30A7" w:rsidP="00F31E19">
      <w:pPr>
        <w:rPr>
          <w:highlight w:val="yellow"/>
          <w:lang w:val="fr-FR"/>
        </w:rPr>
      </w:pPr>
      <w:r w:rsidRPr="0085565C">
        <w:rPr>
          <w:snapToGrid w:val="0"/>
          <w:highlight w:val="yellow"/>
          <w:lang w:val="fr-FR"/>
        </w:rPr>
        <w:fldChar w:fldCharType="end"/>
      </w:r>
    </w:p>
    <w:p w:rsidR="00F31E19" w:rsidRPr="0085565C" w:rsidRDefault="00F31E19" w:rsidP="00F31E19">
      <w:pPr>
        <w:tabs>
          <w:tab w:val="left" w:pos="1701"/>
        </w:tabs>
        <w:rPr>
          <w:lang w:val="fr-FR"/>
        </w:rPr>
      </w:pPr>
      <w:r w:rsidRPr="0085565C">
        <w:rPr>
          <w:lang w:val="fr-FR"/>
        </w:rPr>
        <w:t xml:space="preserve">ANNEXE : </w:t>
      </w:r>
      <w:r w:rsidRPr="0085565C">
        <w:rPr>
          <w:lang w:val="fr-FR"/>
        </w:rPr>
        <w:tab/>
        <w:t>PROGRAMME CONCERNANT LES DOCUMENTS TGP</w:t>
      </w:r>
    </w:p>
    <w:p w:rsidR="00F31E19" w:rsidRPr="0085565C" w:rsidRDefault="00F31E19" w:rsidP="00F31E19">
      <w:pPr>
        <w:tabs>
          <w:tab w:val="left" w:pos="1701"/>
        </w:tabs>
        <w:rPr>
          <w:lang w:val="fr-FR"/>
        </w:rPr>
      </w:pPr>
    </w:p>
    <w:p w:rsidR="00F31E19" w:rsidRPr="0085565C" w:rsidRDefault="00F31E19" w:rsidP="00F31E19">
      <w:pPr>
        <w:tabs>
          <w:tab w:val="left" w:pos="1701"/>
        </w:tabs>
        <w:rPr>
          <w:lang w:val="fr-FR"/>
        </w:rPr>
      </w:pPr>
      <w:r w:rsidRPr="0085565C">
        <w:rPr>
          <w:lang w:val="fr-FR"/>
        </w:rPr>
        <w:t xml:space="preserve">APPENDICE : </w:t>
      </w:r>
      <w:r w:rsidRPr="0085565C">
        <w:rPr>
          <w:lang w:val="fr-FR"/>
        </w:rPr>
        <w:tab/>
        <w:t>PROGRAMME DE RÉVISION DU DOCUMENT TGP/8</w:t>
      </w:r>
    </w:p>
    <w:p w:rsidR="00BB30A7" w:rsidRPr="0085565C" w:rsidRDefault="00BB30A7" w:rsidP="00BB30A7">
      <w:pPr>
        <w:jc w:val="left"/>
        <w:rPr>
          <w:lang w:val="fr-FR"/>
        </w:rPr>
      </w:pPr>
      <w:r w:rsidRPr="0085565C">
        <w:rPr>
          <w:lang w:val="fr-FR"/>
        </w:rPr>
        <w:br w:type="page"/>
      </w:r>
    </w:p>
    <w:p w:rsidR="00BB30A7" w:rsidRPr="0085565C" w:rsidRDefault="00AC249E" w:rsidP="00BB30A7">
      <w:pPr>
        <w:pStyle w:val="Heading1"/>
        <w:rPr>
          <w:highlight w:val="lightGray"/>
          <w:lang w:val="fr-FR"/>
        </w:rPr>
      </w:pPr>
      <w:bookmarkStart w:id="6" w:name="_Toc428287694"/>
      <w:r w:rsidRPr="0085565C">
        <w:rPr>
          <w:lang w:val="fr-FR"/>
        </w:rPr>
        <w:lastRenderedPageBreak/>
        <w:t>RAPPORT SUR L’ÉTAT D’AVANCEMENT DES TRAVAUX DU COMITÉ TECHNIQUE</w:t>
      </w:r>
      <w:bookmarkEnd w:id="6"/>
    </w:p>
    <w:p w:rsidR="00BB30A7" w:rsidRPr="0085565C" w:rsidRDefault="00BB30A7" w:rsidP="00BB30A7">
      <w:pPr>
        <w:rPr>
          <w:snapToGrid w:val="0"/>
          <w:highlight w:val="lightGray"/>
          <w:u w:val="single"/>
          <w:lang w:val="fr-FR"/>
        </w:rPr>
      </w:pPr>
    </w:p>
    <w:p w:rsidR="00AC249E" w:rsidRPr="0085565C" w:rsidRDefault="00AC249E" w:rsidP="00AC249E">
      <w:pPr>
        <w:rPr>
          <w:lang w:val="fr-FR"/>
        </w:rPr>
      </w:pPr>
      <w:r w:rsidRPr="0085565C">
        <w:rPr>
          <w:lang w:val="fr-FR"/>
        </w:rPr>
        <w:fldChar w:fldCharType="begin"/>
      </w:r>
      <w:r w:rsidRPr="0085565C">
        <w:rPr>
          <w:lang w:val="fr-FR"/>
        </w:rPr>
        <w:instrText xml:space="preserve"> AUTONUM  \* Arabic </w:instrText>
      </w:r>
      <w:r w:rsidRPr="0085565C">
        <w:rPr>
          <w:lang w:val="fr-FR"/>
        </w:rPr>
        <w:fldChar w:fldCharType="end"/>
      </w:r>
      <w:r w:rsidRPr="0085565C">
        <w:rPr>
          <w:lang w:val="fr-FR"/>
        </w:rPr>
        <w:tab/>
        <w:t>Le Comité technique (TC) a tenu sa cinquante et unième session à Genève du 23 au 25 mars 2015, sous la présidence de M. Alejandro </w:t>
      </w:r>
      <w:proofErr w:type="spellStart"/>
      <w:r w:rsidRPr="0085565C">
        <w:rPr>
          <w:lang w:val="fr-FR"/>
        </w:rPr>
        <w:t>Barrientos</w:t>
      </w:r>
      <w:proofErr w:type="spellEnd"/>
      <w:r w:rsidRPr="0085565C">
        <w:rPr>
          <w:lang w:val="fr-FR"/>
        </w:rPr>
        <w:t> </w:t>
      </w:r>
      <w:proofErr w:type="spellStart"/>
      <w:r w:rsidRPr="0085565C">
        <w:rPr>
          <w:lang w:val="fr-FR"/>
        </w:rPr>
        <w:t>Priego</w:t>
      </w:r>
      <w:proofErr w:type="spellEnd"/>
      <w:r w:rsidRPr="0085565C">
        <w:rPr>
          <w:lang w:val="fr-FR"/>
        </w:rPr>
        <w:t xml:space="preserve"> (Mexique), président du TC.  Le compte rendu de cette session figure dans le document TC/51/39 “Compte rendu”.</w:t>
      </w:r>
    </w:p>
    <w:p w:rsidR="00AC249E" w:rsidRPr="0085565C" w:rsidRDefault="00AC249E" w:rsidP="00AC249E">
      <w:pPr>
        <w:rPr>
          <w:lang w:val="fr-FR"/>
        </w:rPr>
      </w:pPr>
    </w:p>
    <w:p w:rsidR="00AC249E" w:rsidRPr="0085565C" w:rsidRDefault="00AC249E" w:rsidP="00AC249E">
      <w:pPr>
        <w:rPr>
          <w:snapToGrid w:val="0"/>
          <w:lang w:val="fr-FR"/>
        </w:rPr>
      </w:pPr>
      <w:r w:rsidRPr="0085565C">
        <w:rPr>
          <w:snapToGrid w:val="0"/>
          <w:lang w:val="fr-FR"/>
        </w:rPr>
        <w:fldChar w:fldCharType="begin"/>
      </w:r>
      <w:r w:rsidRPr="0085565C">
        <w:rPr>
          <w:snapToGrid w:val="0"/>
          <w:lang w:val="fr-FR"/>
        </w:rPr>
        <w:instrText xml:space="preserve"> AUTONUM  </w:instrText>
      </w:r>
      <w:r w:rsidRPr="0085565C">
        <w:rPr>
          <w:snapToGrid w:val="0"/>
          <w:lang w:val="fr-FR"/>
        </w:rPr>
        <w:fldChar w:fldCharType="end"/>
      </w:r>
      <w:r w:rsidRPr="0085565C">
        <w:rPr>
          <w:snapToGrid w:val="0"/>
          <w:lang w:val="fr-FR"/>
        </w:rPr>
        <w:tab/>
        <w:t>Quatre-vingt participants, représentant 44 membres de l’Union, un État ayant le statut d’observateur et sept organisations ayant le statut d’observateur, ont participé à la réunion.</w:t>
      </w:r>
    </w:p>
    <w:p w:rsidR="00AC249E" w:rsidRPr="0085565C" w:rsidRDefault="00AC249E" w:rsidP="00BB30A7">
      <w:pPr>
        <w:rPr>
          <w:snapToGrid w:val="0"/>
          <w:lang w:val="fr-FR"/>
        </w:rPr>
      </w:pPr>
    </w:p>
    <w:p w:rsidR="00BB30A7" w:rsidRPr="0085565C" w:rsidRDefault="00BB30A7" w:rsidP="00BB30A7">
      <w:pPr>
        <w:rPr>
          <w:snapToGrid w:val="0"/>
          <w:lang w:val="fr-FR"/>
        </w:rPr>
      </w:pPr>
    </w:p>
    <w:p w:rsidR="00BB30A7" w:rsidRPr="0085565C" w:rsidRDefault="00A554AA" w:rsidP="00BB30A7">
      <w:pPr>
        <w:pStyle w:val="Heading2"/>
        <w:rPr>
          <w:lang w:val="fr-FR"/>
        </w:rPr>
      </w:pPr>
      <w:bookmarkStart w:id="7" w:name="_Toc428287695"/>
      <w:r w:rsidRPr="0085565C">
        <w:rPr>
          <w:lang w:val="fr-FR"/>
        </w:rPr>
        <w:t>Rapport sur les faits nouveaux intervenus au sein de l’UPOV, y compris certaines questions examinées lors des dernières sessions du Comité administratif et juridique, du Comité consultatif et du Conseil (rapport verbal du Secrétaire général adjoint)</w:t>
      </w:r>
      <w:bookmarkEnd w:id="7"/>
    </w:p>
    <w:p w:rsidR="00BB30A7" w:rsidRPr="0085565C" w:rsidRDefault="00BB30A7" w:rsidP="00BB30A7">
      <w:pPr>
        <w:keepNext/>
        <w:rPr>
          <w:snapToGrid w:val="0"/>
          <w:lang w:val="fr-FR"/>
        </w:rPr>
      </w:pPr>
    </w:p>
    <w:p w:rsidR="00A554AA" w:rsidRPr="0085565C" w:rsidRDefault="00A554AA" w:rsidP="00A554AA">
      <w:pPr>
        <w:keepNext/>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examine le document TC/51/10 et entend un rapport verbal du secrétaire général adjoint.</w:t>
      </w:r>
    </w:p>
    <w:p w:rsidR="00A554AA" w:rsidRPr="0085565C" w:rsidRDefault="00A554AA" w:rsidP="00A554AA">
      <w:pPr>
        <w:rPr>
          <w:lang w:val="fr-FR"/>
        </w:rPr>
      </w:pPr>
    </w:p>
    <w:p w:rsidR="00A554AA" w:rsidRPr="0085565C" w:rsidRDefault="00A554AA" w:rsidP="00A554AA">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prend note des faits nouveaux intervenus au sein de l’UPOV et des questions examinées lors des dernières sessions du Comité administratif et juridique, du Comité consultatif et du Conseil, dont il est fait rapport aux paragraphes 3 à 35 du document TC</w:t>
      </w:r>
      <w:r w:rsidRPr="0085565C">
        <w:rPr>
          <w:snapToGrid w:val="0"/>
          <w:lang w:val="fr-FR"/>
        </w:rPr>
        <w:t>/51/10</w:t>
      </w:r>
      <w:r w:rsidRPr="0085565C">
        <w:rPr>
          <w:lang w:val="fr-FR"/>
        </w:rPr>
        <w:t>.</w:t>
      </w:r>
    </w:p>
    <w:p w:rsidR="00A554AA" w:rsidRPr="0085565C" w:rsidRDefault="00A554AA" w:rsidP="00A554AA">
      <w:pPr>
        <w:rPr>
          <w:lang w:val="fr-FR"/>
        </w:rPr>
      </w:pPr>
    </w:p>
    <w:p w:rsidR="00A554AA" w:rsidRPr="0085565C" w:rsidRDefault="00A554AA" w:rsidP="00A554AA">
      <w:pPr>
        <w:keepNext/>
        <w:rPr>
          <w:lang w:val="fr-FR"/>
        </w:rPr>
      </w:pPr>
      <w:r w:rsidRPr="0085565C">
        <w:rPr>
          <w:snapToGrid w:val="0"/>
          <w:lang w:val="fr-FR"/>
        </w:rPr>
        <w:fldChar w:fldCharType="begin"/>
      </w:r>
      <w:r w:rsidRPr="0085565C">
        <w:rPr>
          <w:snapToGrid w:val="0"/>
          <w:lang w:val="fr-FR"/>
        </w:rPr>
        <w:instrText xml:space="preserve"> AUTONUM  </w:instrText>
      </w:r>
      <w:r w:rsidRPr="0085565C">
        <w:rPr>
          <w:snapToGrid w:val="0"/>
          <w:lang w:val="fr-FR"/>
        </w:rPr>
        <w:fldChar w:fldCharType="end"/>
      </w:r>
      <w:r w:rsidRPr="0085565C">
        <w:rPr>
          <w:snapToGrid w:val="0"/>
          <w:lang w:val="fr-FR"/>
        </w:rPr>
        <w:tab/>
      </w:r>
      <w:r w:rsidRPr="0085565C">
        <w:rPr>
          <w:lang w:val="fr-FR"/>
        </w:rPr>
        <w:t>La délégation de l’Espagne fait savoir qu’en Espagne, les cours d’enseignement à distance de l’UPOV servent à former les fonctionnaires qui ne font pas partie de l’office de la protection des obtentions végétales, par exemple des policiers et des agents du contrôle des frontières.  Le secrétaire général adjoint accueille avec satisfaction les informations fournies par l’Espagne et rappelle que les cours d’enseignement à distance de l’UPOV sont gratuits pour les fonctionnaires des membres de l’Union désignés par le représentant auprès du Conseil de l’UPOV.  Il a également remercié les experts des membres de l’Union qui ont volontairement joué le rôle de tuteur dans le cadre des cours d’enseignement à distance de l’UPOV et sans lesquels il serait impossible de dispenser ces cours de la même manière.</w:t>
      </w:r>
    </w:p>
    <w:p w:rsidR="00BB30A7" w:rsidRPr="0085565C" w:rsidRDefault="00BB30A7" w:rsidP="00BB30A7">
      <w:pPr>
        <w:rPr>
          <w:lang w:val="fr-FR"/>
        </w:rPr>
      </w:pPr>
    </w:p>
    <w:p w:rsidR="00BB30A7" w:rsidRPr="0085565C" w:rsidRDefault="00BB30A7" w:rsidP="00BB30A7">
      <w:pPr>
        <w:rPr>
          <w:lang w:val="fr-FR"/>
        </w:rPr>
      </w:pPr>
    </w:p>
    <w:p w:rsidR="00BB30A7" w:rsidRPr="0085565C" w:rsidRDefault="00A554AA" w:rsidP="00BB30A7">
      <w:pPr>
        <w:pStyle w:val="Heading2"/>
        <w:rPr>
          <w:lang w:val="fr-FR"/>
        </w:rPr>
      </w:pPr>
      <w:bookmarkStart w:id="8" w:name="_Toc428287696"/>
      <w:r w:rsidRPr="0085565C">
        <w:rPr>
          <w:lang w:val="fr-FR"/>
        </w:rPr>
        <w:t>Questions découlant des travaux des groupes de travail techniques</w:t>
      </w:r>
      <w:bookmarkEnd w:id="8"/>
    </w:p>
    <w:p w:rsidR="00BB30A7" w:rsidRPr="0085565C" w:rsidRDefault="00BB30A7" w:rsidP="00BB30A7">
      <w:pPr>
        <w:keepNext/>
        <w:rPr>
          <w:lang w:val="fr-FR"/>
        </w:rPr>
      </w:pPr>
    </w:p>
    <w:p w:rsidR="00AF7A00" w:rsidRPr="0085565C" w:rsidRDefault="00AF7A00" w:rsidP="00AF7A00">
      <w:pPr>
        <w:keepNext/>
        <w:rPr>
          <w:lang w:val="fr-FR"/>
        </w:rPr>
      </w:pPr>
      <w:r w:rsidRPr="0085565C">
        <w:rPr>
          <w:lang w:val="fr-FR"/>
        </w:rPr>
        <w:fldChar w:fldCharType="begin"/>
      </w:r>
      <w:r w:rsidRPr="0085565C">
        <w:rPr>
          <w:lang w:val="fr-FR"/>
        </w:rPr>
        <w:instrText xml:space="preserve"> AUTONUM  \* Arabic </w:instrText>
      </w:r>
      <w:r w:rsidRPr="0085565C">
        <w:rPr>
          <w:lang w:val="fr-FR"/>
        </w:rPr>
        <w:fldChar w:fldCharType="end"/>
      </w:r>
      <w:r w:rsidRPr="0085565C">
        <w:rPr>
          <w:lang w:val="fr-FR"/>
        </w:rPr>
        <w:tab/>
        <w:t>Le TC examine le document TC/51/3 et prend note des faits nouveaux intervenus au sein des TWP concernant :</w:t>
      </w:r>
    </w:p>
    <w:p w:rsidR="00AF7A00" w:rsidRPr="0085565C" w:rsidRDefault="00AF7A00" w:rsidP="00AF7A00">
      <w:pPr>
        <w:rPr>
          <w:lang w:val="fr-FR"/>
        </w:rPr>
      </w:pPr>
    </w:p>
    <w:p w:rsidR="00AF7A00" w:rsidRPr="0085565C" w:rsidRDefault="00AF7A00" w:rsidP="00AF7A00">
      <w:pPr>
        <w:ind w:left="567"/>
        <w:rPr>
          <w:lang w:val="fr-FR"/>
        </w:rPr>
      </w:pPr>
      <w:r w:rsidRPr="0085565C">
        <w:rPr>
          <w:lang w:val="fr-FR"/>
        </w:rPr>
        <w:t>a)</w:t>
      </w:r>
      <w:r w:rsidRPr="0085565C">
        <w:rPr>
          <w:lang w:val="fr-FR"/>
        </w:rPr>
        <w:tab/>
        <w:t>durée des examens DHS dans le secteur des fruits;</w:t>
      </w:r>
    </w:p>
    <w:p w:rsidR="00AF7A00" w:rsidRPr="0085565C" w:rsidRDefault="00AF7A00" w:rsidP="00AF7A00">
      <w:pPr>
        <w:ind w:left="567"/>
        <w:rPr>
          <w:lang w:val="fr-FR"/>
        </w:rPr>
      </w:pPr>
      <w:r w:rsidRPr="0085565C">
        <w:rPr>
          <w:lang w:val="fr-FR"/>
        </w:rPr>
        <w:t>b)</w:t>
      </w:r>
      <w:r w:rsidRPr="0085565C">
        <w:rPr>
          <w:lang w:val="fr-FR"/>
        </w:rPr>
        <w:tab/>
        <w:t>utilisation de caractères de résistance aux maladies dans l’examen DHS;</w:t>
      </w:r>
    </w:p>
    <w:p w:rsidR="00AF7A00" w:rsidRPr="0085565C" w:rsidRDefault="00AF7A00" w:rsidP="00AF7A00">
      <w:pPr>
        <w:ind w:left="567"/>
        <w:rPr>
          <w:lang w:val="fr-FR"/>
        </w:rPr>
      </w:pPr>
      <w:r w:rsidRPr="0085565C">
        <w:rPr>
          <w:lang w:val="fr-FR"/>
        </w:rPr>
        <w:t>c)</w:t>
      </w:r>
      <w:r w:rsidRPr="0085565C">
        <w:rPr>
          <w:lang w:val="fr-FR"/>
        </w:rPr>
        <w:tab/>
        <w:t>enregistreurs de données;</w:t>
      </w:r>
    </w:p>
    <w:p w:rsidR="00AF7A00" w:rsidRPr="0085565C" w:rsidRDefault="00AF7A00" w:rsidP="00AF7A00">
      <w:pPr>
        <w:ind w:left="567"/>
        <w:rPr>
          <w:lang w:val="fr-FR"/>
        </w:rPr>
      </w:pPr>
      <w:r w:rsidRPr="0085565C">
        <w:rPr>
          <w:lang w:val="fr-FR"/>
        </w:rPr>
        <w:t>d)</w:t>
      </w:r>
      <w:r w:rsidRPr="0085565C">
        <w:rPr>
          <w:lang w:val="fr-FR"/>
        </w:rPr>
        <w:tab/>
        <w:t>expériences de nouveaux types et espèces;</w:t>
      </w:r>
    </w:p>
    <w:p w:rsidR="00AF7A00" w:rsidRPr="0085565C" w:rsidRDefault="00AF7A00" w:rsidP="00AF7A00">
      <w:pPr>
        <w:ind w:left="567"/>
        <w:rPr>
          <w:lang w:val="fr-FR"/>
        </w:rPr>
      </w:pPr>
      <w:r w:rsidRPr="0085565C">
        <w:rPr>
          <w:lang w:val="fr-FR"/>
        </w:rPr>
        <w:t>e)</w:t>
      </w:r>
      <w:r w:rsidRPr="0085565C">
        <w:rPr>
          <w:lang w:val="fr-FR"/>
        </w:rPr>
        <w:tab/>
        <w:t>gestion des collections de variétés aux fins de l’examen DHS;  et</w:t>
      </w:r>
    </w:p>
    <w:p w:rsidR="00AF7A00" w:rsidRPr="0085565C" w:rsidRDefault="00AF7A00" w:rsidP="00AF7A00">
      <w:pPr>
        <w:ind w:left="567"/>
        <w:rPr>
          <w:lang w:val="fr-FR"/>
        </w:rPr>
      </w:pPr>
      <w:r w:rsidRPr="0085565C">
        <w:rPr>
          <w:lang w:val="fr-FR"/>
        </w:rPr>
        <w:t>f)</w:t>
      </w:r>
      <w:r w:rsidRPr="0085565C">
        <w:rPr>
          <w:lang w:val="fr-FR"/>
        </w:rPr>
        <w:tab/>
        <w:t>utilisation de méthodes statistiques dans l’examen DHS.</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 xml:space="preserve">Le TC prend note que </w:t>
      </w:r>
      <w:r w:rsidRPr="0085565C">
        <w:rPr>
          <w:rFonts w:cs="Arial"/>
          <w:lang w:val="fr-FR"/>
        </w:rPr>
        <w:t>l’Office communautaire des variétés végétales (OCVV) de l’Union européenne</w:t>
      </w:r>
      <w:r w:rsidRPr="0085565C">
        <w:rPr>
          <w:lang w:val="fr-FR"/>
        </w:rPr>
        <w:t xml:space="preserve"> présenterait au TWA en 2016 un exposé sur les résultats d’une étude aux fins d’évaluation des effets éventuels sur l’expression des caractères DHS d’une infection à base d’</w:t>
      </w:r>
      <w:proofErr w:type="spellStart"/>
      <w:r w:rsidRPr="0085565C">
        <w:rPr>
          <w:lang w:val="fr-FR"/>
        </w:rPr>
        <w:t>endophytes</w:t>
      </w:r>
      <w:proofErr w:type="spellEnd"/>
      <w:r w:rsidRPr="0085565C">
        <w:rPr>
          <w:lang w:val="fr-FR"/>
        </w:rPr>
        <w:t xml:space="preserve"> chez le ray</w:t>
      </w:r>
      <w:r w:rsidRPr="0085565C">
        <w:rPr>
          <w:lang w:val="fr-FR"/>
        </w:rPr>
        <w:noBreakHyphen/>
        <w:t>grass et la fétuque élevée.  Le TC prend également note que des experts de l’Union européenne dresseraient la liste des options établies par les experts principaux et s’efforceraient d’élaborer de nouvelles options éventuelles de texte standard quant à la période minimum d’examen DHS et au nombre de cycles de végétation pour les principes directeurs d’examen de certains fruits.  L</w:t>
      </w:r>
      <w:r w:rsidRPr="0085565C">
        <w:rPr>
          <w:rFonts w:cs="Arial"/>
          <w:lang w:val="fr-FR"/>
        </w:rPr>
        <w:t>’Union européenne</w:t>
      </w:r>
      <w:r w:rsidRPr="0085565C">
        <w:rPr>
          <w:lang w:val="fr-FR"/>
        </w:rPr>
        <w:t xml:space="preserve"> suggère que cela serait un exercice également utile pour d’autres groupes de travail techniques.</w:t>
      </w:r>
    </w:p>
    <w:p w:rsidR="00AF7A00" w:rsidRPr="0085565C" w:rsidRDefault="00AF7A00" w:rsidP="00AF7A00">
      <w:pPr>
        <w:rPr>
          <w:lang w:val="fr-FR"/>
        </w:rPr>
      </w:pPr>
    </w:p>
    <w:p w:rsidR="00AF7A00" w:rsidRPr="0085565C" w:rsidRDefault="00AF7A00" w:rsidP="00AF7A00">
      <w:pPr>
        <w:rPr>
          <w:lang w:val="fr-FR"/>
        </w:rPr>
      </w:pPr>
    </w:p>
    <w:p w:rsidR="00AF7A00" w:rsidRPr="0085565C" w:rsidRDefault="00AF7A00" w:rsidP="0085565C">
      <w:pPr>
        <w:pStyle w:val="Heading2"/>
        <w:rPr>
          <w:lang w:val="fr-FR"/>
        </w:rPr>
      </w:pPr>
      <w:bookmarkStart w:id="9" w:name="_Toc428287697"/>
      <w:r w:rsidRPr="0085565C">
        <w:rPr>
          <w:lang w:val="fr-FR"/>
        </w:rPr>
        <w:t>Documents TGP</w:t>
      </w:r>
      <w:bookmarkEnd w:id="9"/>
    </w:p>
    <w:p w:rsidR="00AF7A00" w:rsidRPr="0085565C" w:rsidRDefault="00AF7A00" w:rsidP="00AF7A00">
      <w:pPr>
        <w:keepNext/>
        <w:ind w:left="567" w:hanging="567"/>
        <w:rPr>
          <w:lang w:val="fr-FR"/>
        </w:rPr>
      </w:pPr>
    </w:p>
    <w:p w:rsidR="00AF7A00" w:rsidRPr="0085565C" w:rsidRDefault="00AF7A00" w:rsidP="00AF7A00">
      <w:pPr>
        <w:pStyle w:val="Heading3"/>
      </w:pPr>
      <w:bookmarkStart w:id="10" w:name="_Toc428287698"/>
      <w:r w:rsidRPr="0085565C">
        <w:t>Questions pour adoption par le conseil en 2015</w:t>
      </w:r>
      <w:bookmarkEnd w:id="10"/>
    </w:p>
    <w:p w:rsidR="00AF7A00" w:rsidRPr="0085565C" w:rsidRDefault="00AF7A00" w:rsidP="00AF7A00">
      <w:pPr>
        <w:keepNext/>
        <w:ind w:left="567" w:hanging="567"/>
        <w:rPr>
          <w:lang w:val="fr-FR"/>
        </w:rPr>
      </w:pPr>
    </w:p>
    <w:p w:rsidR="00AF7A00" w:rsidRPr="0085565C" w:rsidRDefault="00AF7A00" w:rsidP="00AF7A00">
      <w:pPr>
        <w:pStyle w:val="Heading4"/>
      </w:pPr>
      <w:r w:rsidRPr="0085565C">
        <w:t>TGP/0 : Liste des documents TGP et date de la version la plus récente de ces documents</w:t>
      </w:r>
    </w:p>
    <w:p w:rsidR="00AF7A00" w:rsidRPr="0085565C" w:rsidRDefault="00AF7A00" w:rsidP="00AF7A00">
      <w:pPr>
        <w:keepNext/>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examine le document TC/51/5 “Documents TGP” et prend note du fait que le Conseil serait invité à adopter le document TGP/0/8 afin de prendre en compte l’adoption de documents TGP.</w:t>
      </w:r>
    </w:p>
    <w:p w:rsidR="00AF7A00" w:rsidRPr="0085565C" w:rsidRDefault="00AF7A00" w:rsidP="00AF7A00">
      <w:pPr>
        <w:rPr>
          <w:lang w:val="fr-FR"/>
        </w:rPr>
      </w:pPr>
    </w:p>
    <w:p w:rsidR="00AF7A00" w:rsidRPr="0085565C" w:rsidRDefault="00AF7A00" w:rsidP="00AF7A00">
      <w:pPr>
        <w:pStyle w:val="Heading4"/>
      </w:pPr>
      <w:r w:rsidRPr="0085565C">
        <w:lastRenderedPageBreak/>
        <w:t>TGP/9 : Examen de la distinction</w:t>
      </w:r>
    </w:p>
    <w:p w:rsidR="00AF7A00" w:rsidRPr="0085565C" w:rsidRDefault="00AF7A00" w:rsidP="00AF7A00">
      <w:pPr>
        <w:keepNext/>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prend note de la nouvelle section concernant les “Conseils sur le nombre de plantes à examiner (aux fins de la distinction)” déjà approuvée par le TC pour le document TGP/9, telle qu’elle figure dans l’annexe I du document TC/51/5.</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examine le document TC/51/23 ainsi que les suggestions concernant les sections suivantes du document TGP/9 :</w:t>
      </w:r>
    </w:p>
    <w:p w:rsidR="00AF7A00" w:rsidRPr="0085565C" w:rsidRDefault="00AF7A00" w:rsidP="00AF7A00">
      <w:pPr>
        <w:rPr>
          <w:lang w:val="fr-FR"/>
        </w:rPr>
      </w:pPr>
    </w:p>
    <w:p w:rsidR="00AF7A00" w:rsidRPr="0085565C" w:rsidRDefault="00AF7A00" w:rsidP="00AF7A00">
      <w:pPr>
        <w:pStyle w:val="Heading5"/>
        <w:rPr>
          <w:lang w:val="fr-FR"/>
        </w:rPr>
      </w:pPr>
      <w:r w:rsidRPr="0085565C">
        <w:rPr>
          <w:lang w:val="fr-FR"/>
        </w:rPr>
        <w:t>i)</w:t>
      </w:r>
      <w:r w:rsidRPr="0085565C">
        <w:rPr>
          <w:lang w:val="fr-FR"/>
        </w:rPr>
        <w:tab/>
        <w:t>Révision du document TGP/9 : section 1.6 : Élaboration du contenu des documents TGP sur la distinction</w:t>
      </w:r>
    </w:p>
    <w:p w:rsidR="00AF7A00" w:rsidRPr="0085565C" w:rsidRDefault="00AF7A00" w:rsidP="00AF7A00">
      <w:pPr>
        <w:keepNext/>
        <w:ind w:left="1418" w:hanging="851"/>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convient que le schéma de la section 1.6 “Élaboration du contenu des documents TGP sur la distinction” du document TGP/9 devrait être révisé tel qu’indiqué dans les annexes I et II du document TC/51/23.</w:t>
      </w:r>
    </w:p>
    <w:p w:rsidR="00AF7A00" w:rsidRPr="0085565C" w:rsidRDefault="00AF7A00" w:rsidP="00AF7A00">
      <w:pPr>
        <w:rPr>
          <w:lang w:val="fr-FR"/>
        </w:rPr>
      </w:pPr>
    </w:p>
    <w:p w:rsidR="00AF7A00" w:rsidRPr="0085565C" w:rsidRDefault="00AF7A00" w:rsidP="00AF7A00">
      <w:pPr>
        <w:pStyle w:val="Heading5"/>
        <w:rPr>
          <w:lang w:val="fr-FR"/>
        </w:rPr>
      </w:pPr>
      <w:r w:rsidRPr="0085565C">
        <w:rPr>
          <w:lang w:val="fr-FR"/>
        </w:rPr>
        <w:t>ii)</w:t>
      </w:r>
      <w:r w:rsidRPr="0085565C">
        <w:rPr>
          <w:lang w:val="fr-FR"/>
        </w:rPr>
        <w:tab/>
        <w:t>Révision du document TGP/9 : section 2.5 : Photographies</w:t>
      </w:r>
    </w:p>
    <w:p w:rsidR="00AF7A00" w:rsidRPr="0085565C" w:rsidRDefault="00AF7A00" w:rsidP="00AF7A00">
      <w:pPr>
        <w:ind w:left="1418" w:hanging="851"/>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examine les propositions de conseils concernant les photographies, pour inclusion dans la section 2.5 “Photographies” du document TGP/9, et convient que les conseils seraient libellés comme suit :</w:t>
      </w:r>
    </w:p>
    <w:p w:rsidR="00AF7A00" w:rsidRPr="0085565C" w:rsidRDefault="00AF7A00" w:rsidP="00AF7A00">
      <w:pPr>
        <w:rPr>
          <w:lang w:val="fr-FR"/>
        </w:rPr>
      </w:pPr>
    </w:p>
    <w:p w:rsidR="00AF7A00" w:rsidRPr="0085565C" w:rsidRDefault="00AF7A00" w:rsidP="00AF7A00">
      <w:pPr>
        <w:autoSpaceDE w:val="0"/>
        <w:autoSpaceDN w:val="0"/>
        <w:adjustRightInd w:val="0"/>
        <w:ind w:left="567" w:right="567"/>
        <w:rPr>
          <w:lang w:val="fr-FR"/>
        </w:rPr>
      </w:pPr>
      <w:r w:rsidRPr="0085565C">
        <w:rPr>
          <w:rFonts w:cs="Arial"/>
          <w:sz w:val="18"/>
          <w:lang w:val="fr-FR"/>
        </w:rPr>
        <w:t>“2.5.3</w:t>
      </w:r>
      <w:r w:rsidRPr="0085565C">
        <w:rPr>
          <w:rFonts w:cs="Arial"/>
          <w:sz w:val="18"/>
          <w:lang w:val="fr-FR"/>
        </w:rPr>
        <w:tab/>
        <w:t>La pertinence des photographies pour l’identification de variétés voisines dépend fortement de la qualité des photographies des variétés figurant dans la collection de référence qui ont été prises par l’autorité et de la photographie de la variété candidate remise par le déposant avec le questionnaire technique.  Des conseils détaillés pour la prise de photographies pertinentes sont fournis dans la note indicative GN 35 du document TGP/7.  Ces conseils ont été établis notamment pour permettre aux déposants de remettre des photographies pertinentes de la variété candidate.  Ces instructions sont importantes et utiles pour permettre aux autorités de prendre des photographies des variétés figurant dans la collection de variétés dans des conditions normalisées”.</w:t>
      </w:r>
    </w:p>
    <w:p w:rsidR="00AF7A00" w:rsidRPr="0085565C" w:rsidRDefault="00AF7A00" w:rsidP="00AF7A00">
      <w:pPr>
        <w:ind w:left="1418" w:hanging="851"/>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prend note que des modifications rédactionnelles doivent être apportées au projet de texte en allemand et rappelle que les experts linguistiques du Comité d’édition éditorial seraient appelés à vérifier les traductions française, allemande et espagnole avant leur finalisation aux fins d’adoption par le Conseil.</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La traduction en allemand devrait être libellée de la manière suivante :</w:t>
      </w:r>
    </w:p>
    <w:p w:rsidR="00AF7A00" w:rsidRPr="0085565C" w:rsidRDefault="00AF7A00" w:rsidP="00AF7A00">
      <w:pPr>
        <w:rPr>
          <w:lang w:val="fr-FR"/>
        </w:rPr>
      </w:pPr>
    </w:p>
    <w:p w:rsidR="00AF7A00" w:rsidRPr="0085565C" w:rsidRDefault="00AF7A00" w:rsidP="00AF7A00">
      <w:pPr>
        <w:ind w:left="567" w:right="567"/>
        <w:rPr>
          <w:lang w:val="fr-FR"/>
        </w:rPr>
      </w:pPr>
      <w:r w:rsidRPr="0085565C">
        <w:rPr>
          <w:i/>
          <w:sz w:val="18"/>
          <w:lang w:val="fr-FR"/>
        </w:rPr>
        <w:t>„</w:t>
      </w:r>
      <w:r w:rsidRPr="0085565C">
        <w:rPr>
          <w:rFonts w:cs="Arial"/>
          <w:sz w:val="18"/>
          <w:lang w:val="fr-FR"/>
        </w:rPr>
        <w:t>2.5.3</w:t>
      </w:r>
      <w:r w:rsidRPr="0085565C">
        <w:rPr>
          <w:rFonts w:cs="Arial"/>
          <w:sz w:val="18"/>
          <w:lang w:val="fr-FR"/>
        </w:rPr>
        <w:tab/>
        <w:t xml:space="preserve">Die </w:t>
      </w:r>
      <w:proofErr w:type="spellStart"/>
      <w:r w:rsidRPr="0085565C">
        <w:rPr>
          <w:rFonts w:cs="Arial"/>
          <w:sz w:val="18"/>
          <w:lang w:val="fr-FR"/>
        </w:rPr>
        <w:t>Eignung</w:t>
      </w:r>
      <w:proofErr w:type="spellEnd"/>
      <w:r w:rsidRPr="0085565C">
        <w:rPr>
          <w:rFonts w:cs="Arial"/>
          <w:sz w:val="18"/>
          <w:lang w:val="fr-FR"/>
        </w:rPr>
        <w:t xml:space="preserve"> </w:t>
      </w:r>
      <w:proofErr w:type="spellStart"/>
      <w:r w:rsidRPr="0085565C">
        <w:rPr>
          <w:rFonts w:cs="Arial"/>
          <w:sz w:val="18"/>
          <w:lang w:val="fr-FR"/>
        </w:rPr>
        <w:t>von</w:t>
      </w:r>
      <w:proofErr w:type="spellEnd"/>
      <w:r w:rsidRPr="0085565C">
        <w:rPr>
          <w:rFonts w:cs="Arial"/>
          <w:sz w:val="18"/>
          <w:lang w:val="fr-FR"/>
        </w:rPr>
        <w:t xml:space="preserve"> </w:t>
      </w:r>
      <w:proofErr w:type="spellStart"/>
      <w:r w:rsidRPr="0085565C">
        <w:rPr>
          <w:rFonts w:cs="Arial"/>
          <w:sz w:val="18"/>
          <w:lang w:val="fr-FR"/>
        </w:rPr>
        <w:t>Fotos</w:t>
      </w:r>
      <w:proofErr w:type="spellEnd"/>
      <w:r w:rsidRPr="0085565C">
        <w:rPr>
          <w:rFonts w:cs="Arial"/>
          <w:sz w:val="18"/>
          <w:lang w:val="fr-FR"/>
        </w:rPr>
        <w:t xml:space="preserve"> </w:t>
      </w:r>
      <w:proofErr w:type="spellStart"/>
      <w:r w:rsidRPr="0085565C">
        <w:rPr>
          <w:rFonts w:cs="Arial"/>
          <w:sz w:val="18"/>
          <w:lang w:val="fr-FR"/>
        </w:rPr>
        <w:t>für</w:t>
      </w:r>
      <w:proofErr w:type="spellEnd"/>
      <w:r w:rsidRPr="0085565C">
        <w:rPr>
          <w:rFonts w:cs="Arial"/>
          <w:sz w:val="18"/>
          <w:lang w:val="fr-FR"/>
        </w:rPr>
        <w:t xml:space="preserve"> die </w:t>
      </w:r>
      <w:proofErr w:type="spellStart"/>
      <w:r w:rsidRPr="0085565C">
        <w:rPr>
          <w:rFonts w:cs="Arial"/>
          <w:sz w:val="18"/>
          <w:lang w:val="fr-FR"/>
        </w:rPr>
        <w:t>Identifikation</w:t>
      </w:r>
      <w:proofErr w:type="spellEnd"/>
      <w:r w:rsidRPr="0085565C">
        <w:rPr>
          <w:rFonts w:cs="Arial"/>
          <w:sz w:val="18"/>
          <w:lang w:val="fr-FR"/>
        </w:rPr>
        <w:t xml:space="preserve"> </w:t>
      </w:r>
      <w:proofErr w:type="spellStart"/>
      <w:r w:rsidRPr="0085565C">
        <w:rPr>
          <w:rFonts w:cs="Arial"/>
          <w:sz w:val="18"/>
          <w:lang w:val="fr-FR"/>
        </w:rPr>
        <w:t>ähnlicher</w:t>
      </w:r>
      <w:proofErr w:type="spellEnd"/>
      <w:r w:rsidRPr="0085565C">
        <w:rPr>
          <w:rFonts w:cs="Arial"/>
          <w:sz w:val="18"/>
          <w:lang w:val="fr-FR"/>
        </w:rPr>
        <w:t xml:space="preserve"> </w:t>
      </w:r>
      <w:proofErr w:type="spellStart"/>
      <w:r w:rsidRPr="0085565C">
        <w:rPr>
          <w:rFonts w:cs="Arial"/>
          <w:sz w:val="18"/>
          <w:lang w:val="fr-FR"/>
        </w:rPr>
        <w:t>Sorten</w:t>
      </w:r>
      <w:proofErr w:type="spellEnd"/>
      <w:r w:rsidRPr="0085565C">
        <w:rPr>
          <w:rFonts w:cs="Arial"/>
          <w:sz w:val="18"/>
          <w:lang w:val="fr-FR"/>
        </w:rPr>
        <w:t xml:space="preserve"> </w:t>
      </w:r>
      <w:proofErr w:type="spellStart"/>
      <w:r w:rsidRPr="0085565C">
        <w:rPr>
          <w:rFonts w:cs="Arial"/>
          <w:sz w:val="18"/>
          <w:lang w:val="fr-FR"/>
        </w:rPr>
        <w:t>wird</w:t>
      </w:r>
      <w:proofErr w:type="spellEnd"/>
      <w:r w:rsidRPr="0085565C">
        <w:rPr>
          <w:rFonts w:cs="Arial"/>
          <w:sz w:val="18"/>
          <w:lang w:val="fr-FR"/>
        </w:rPr>
        <w:t xml:space="preserve"> </w:t>
      </w:r>
      <w:proofErr w:type="spellStart"/>
      <w:r w:rsidRPr="0085565C">
        <w:rPr>
          <w:rFonts w:cs="Arial"/>
          <w:sz w:val="18"/>
          <w:lang w:val="fr-FR"/>
        </w:rPr>
        <w:t>durch</w:t>
      </w:r>
      <w:proofErr w:type="spellEnd"/>
      <w:r w:rsidRPr="0085565C">
        <w:rPr>
          <w:rFonts w:cs="Arial"/>
          <w:sz w:val="18"/>
          <w:lang w:val="fr-FR"/>
        </w:rPr>
        <w:t xml:space="preserve"> die </w:t>
      </w:r>
      <w:proofErr w:type="spellStart"/>
      <w:r w:rsidRPr="0085565C">
        <w:rPr>
          <w:rFonts w:cs="Arial"/>
          <w:sz w:val="18"/>
          <w:lang w:val="fr-FR"/>
        </w:rPr>
        <w:t>Qualität</w:t>
      </w:r>
      <w:proofErr w:type="spellEnd"/>
      <w:r w:rsidRPr="0085565C">
        <w:rPr>
          <w:rFonts w:cs="Arial"/>
          <w:sz w:val="18"/>
          <w:lang w:val="fr-FR"/>
        </w:rPr>
        <w:t xml:space="preserve"> der </w:t>
      </w:r>
      <w:proofErr w:type="spellStart"/>
      <w:r w:rsidRPr="0085565C">
        <w:rPr>
          <w:rFonts w:cs="Arial"/>
          <w:sz w:val="18"/>
          <w:lang w:val="fr-FR"/>
        </w:rPr>
        <w:t>von</w:t>
      </w:r>
      <w:proofErr w:type="spellEnd"/>
      <w:r w:rsidRPr="0085565C">
        <w:rPr>
          <w:rFonts w:cs="Arial"/>
          <w:sz w:val="18"/>
          <w:lang w:val="fr-FR"/>
        </w:rPr>
        <w:t xml:space="preserve"> der </w:t>
      </w:r>
      <w:proofErr w:type="spellStart"/>
      <w:r w:rsidRPr="0085565C">
        <w:rPr>
          <w:rFonts w:cs="Arial"/>
          <w:sz w:val="18"/>
          <w:lang w:val="fr-FR"/>
        </w:rPr>
        <w:t>Behörde</w:t>
      </w:r>
      <w:proofErr w:type="spellEnd"/>
      <w:r w:rsidRPr="0085565C">
        <w:rPr>
          <w:rFonts w:cs="Arial"/>
          <w:sz w:val="18"/>
          <w:lang w:val="fr-FR"/>
        </w:rPr>
        <w:t xml:space="preserve"> </w:t>
      </w:r>
      <w:proofErr w:type="spellStart"/>
      <w:r w:rsidRPr="0085565C">
        <w:rPr>
          <w:rFonts w:cs="Arial"/>
          <w:sz w:val="18"/>
          <w:lang w:val="fr-FR"/>
        </w:rPr>
        <w:t>für</w:t>
      </w:r>
      <w:proofErr w:type="spellEnd"/>
      <w:r w:rsidRPr="0085565C">
        <w:rPr>
          <w:rFonts w:cs="Arial"/>
          <w:sz w:val="18"/>
          <w:lang w:val="fr-FR"/>
        </w:rPr>
        <w:t xml:space="preserve"> die </w:t>
      </w:r>
      <w:proofErr w:type="spellStart"/>
      <w:r w:rsidRPr="0085565C">
        <w:rPr>
          <w:rFonts w:cs="Arial"/>
          <w:sz w:val="18"/>
          <w:lang w:val="fr-FR"/>
        </w:rPr>
        <w:t>Sorten</w:t>
      </w:r>
      <w:proofErr w:type="spellEnd"/>
      <w:r w:rsidRPr="0085565C">
        <w:rPr>
          <w:rFonts w:cs="Arial"/>
          <w:sz w:val="18"/>
          <w:lang w:val="fr-FR"/>
        </w:rPr>
        <w:t xml:space="preserve"> in der </w:t>
      </w:r>
      <w:proofErr w:type="spellStart"/>
      <w:r w:rsidRPr="0085565C">
        <w:rPr>
          <w:rFonts w:cs="Arial"/>
          <w:sz w:val="18"/>
          <w:lang w:val="fr-FR"/>
        </w:rPr>
        <w:t>Sortensammlung</w:t>
      </w:r>
      <w:proofErr w:type="spellEnd"/>
      <w:r w:rsidRPr="0085565C">
        <w:rPr>
          <w:rFonts w:cs="Arial"/>
          <w:sz w:val="18"/>
          <w:lang w:val="fr-FR"/>
        </w:rPr>
        <w:t xml:space="preserve"> </w:t>
      </w:r>
      <w:proofErr w:type="spellStart"/>
      <w:r w:rsidRPr="0085565C">
        <w:rPr>
          <w:rFonts w:cs="Arial"/>
          <w:sz w:val="18"/>
          <w:lang w:val="fr-FR"/>
        </w:rPr>
        <w:t>erstellten</w:t>
      </w:r>
      <w:proofErr w:type="spellEnd"/>
      <w:r w:rsidRPr="0085565C">
        <w:rPr>
          <w:rFonts w:cs="Arial"/>
          <w:sz w:val="18"/>
          <w:lang w:val="fr-FR"/>
        </w:rPr>
        <w:t xml:space="preserve"> </w:t>
      </w:r>
      <w:proofErr w:type="spellStart"/>
      <w:r w:rsidRPr="0085565C">
        <w:rPr>
          <w:rFonts w:cs="Arial"/>
          <w:sz w:val="18"/>
          <w:lang w:val="fr-FR"/>
        </w:rPr>
        <w:t>Fotos</w:t>
      </w:r>
      <w:proofErr w:type="spellEnd"/>
      <w:r w:rsidRPr="0085565C">
        <w:rPr>
          <w:rFonts w:cs="Arial"/>
          <w:sz w:val="18"/>
          <w:lang w:val="fr-FR"/>
        </w:rPr>
        <w:t xml:space="preserve"> </w:t>
      </w:r>
      <w:proofErr w:type="spellStart"/>
      <w:r w:rsidRPr="0085565C">
        <w:rPr>
          <w:rFonts w:cs="Arial"/>
          <w:sz w:val="18"/>
          <w:lang w:val="fr-FR"/>
        </w:rPr>
        <w:t>und</w:t>
      </w:r>
      <w:proofErr w:type="spellEnd"/>
      <w:r w:rsidRPr="0085565C">
        <w:rPr>
          <w:rFonts w:cs="Arial"/>
          <w:sz w:val="18"/>
          <w:lang w:val="fr-FR"/>
        </w:rPr>
        <w:t xml:space="preserve"> der </w:t>
      </w:r>
      <w:proofErr w:type="spellStart"/>
      <w:r w:rsidRPr="0085565C">
        <w:rPr>
          <w:rFonts w:cs="Arial"/>
          <w:sz w:val="18"/>
          <w:lang w:val="fr-FR"/>
        </w:rPr>
        <w:t>vom</w:t>
      </w:r>
      <w:proofErr w:type="spellEnd"/>
      <w:r w:rsidRPr="0085565C">
        <w:rPr>
          <w:rFonts w:cs="Arial"/>
          <w:sz w:val="18"/>
          <w:lang w:val="fr-FR"/>
        </w:rPr>
        <w:t xml:space="preserve"> </w:t>
      </w:r>
      <w:proofErr w:type="spellStart"/>
      <w:r w:rsidRPr="0085565C">
        <w:rPr>
          <w:rFonts w:cs="Arial"/>
          <w:sz w:val="18"/>
          <w:lang w:val="fr-FR"/>
        </w:rPr>
        <w:t>Antragsteller</w:t>
      </w:r>
      <w:proofErr w:type="spellEnd"/>
      <w:r w:rsidRPr="0085565C">
        <w:rPr>
          <w:rFonts w:cs="Arial"/>
          <w:sz w:val="18"/>
          <w:lang w:val="fr-FR"/>
        </w:rPr>
        <w:t xml:space="preserve"> </w:t>
      </w:r>
      <w:proofErr w:type="spellStart"/>
      <w:r w:rsidRPr="0085565C">
        <w:rPr>
          <w:rFonts w:cs="Arial"/>
          <w:sz w:val="18"/>
          <w:lang w:val="fr-FR"/>
        </w:rPr>
        <w:t>zusammen</w:t>
      </w:r>
      <w:proofErr w:type="spellEnd"/>
      <w:r w:rsidRPr="0085565C">
        <w:rPr>
          <w:rFonts w:cs="Arial"/>
          <w:sz w:val="18"/>
          <w:lang w:val="fr-FR"/>
        </w:rPr>
        <w:t xml:space="preserve"> mit </w:t>
      </w:r>
      <w:proofErr w:type="spellStart"/>
      <w:r w:rsidRPr="0085565C">
        <w:rPr>
          <w:rFonts w:cs="Arial"/>
          <w:sz w:val="18"/>
          <w:lang w:val="fr-FR"/>
        </w:rPr>
        <w:t>dem</w:t>
      </w:r>
      <w:proofErr w:type="spellEnd"/>
      <w:r w:rsidRPr="0085565C">
        <w:rPr>
          <w:rFonts w:cs="Arial"/>
          <w:sz w:val="18"/>
          <w:lang w:val="fr-FR"/>
        </w:rPr>
        <w:t xml:space="preserve"> </w:t>
      </w:r>
      <w:proofErr w:type="spellStart"/>
      <w:r w:rsidRPr="0085565C">
        <w:rPr>
          <w:rFonts w:cs="Arial"/>
          <w:sz w:val="18"/>
          <w:lang w:val="fr-FR"/>
        </w:rPr>
        <w:t>Technischen</w:t>
      </w:r>
      <w:proofErr w:type="spellEnd"/>
      <w:r w:rsidRPr="0085565C">
        <w:rPr>
          <w:rFonts w:cs="Arial"/>
          <w:sz w:val="18"/>
          <w:lang w:val="fr-FR"/>
        </w:rPr>
        <w:t xml:space="preserve"> </w:t>
      </w:r>
      <w:proofErr w:type="spellStart"/>
      <w:r w:rsidRPr="0085565C">
        <w:rPr>
          <w:rFonts w:cs="Arial"/>
          <w:sz w:val="18"/>
          <w:lang w:val="fr-FR"/>
        </w:rPr>
        <w:t>Fragebogen</w:t>
      </w:r>
      <w:proofErr w:type="spellEnd"/>
      <w:r w:rsidRPr="0085565C">
        <w:rPr>
          <w:rFonts w:cs="Arial"/>
          <w:sz w:val="18"/>
          <w:lang w:val="fr-FR"/>
        </w:rPr>
        <w:t xml:space="preserve"> </w:t>
      </w:r>
      <w:proofErr w:type="spellStart"/>
      <w:r w:rsidRPr="0085565C">
        <w:rPr>
          <w:rFonts w:cs="Arial"/>
          <w:sz w:val="18"/>
          <w:lang w:val="fr-FR"/>
        </w:rPr>
        <w:t>eingereichten</w:t>
      </w:r>
      <w:proofErr w:type="spellEnd"/>
      <w:r w:rsidRPr="0085565C">
        <w:rPr>
          <w:rFonts w:cs="Arial"/>
          <w:sz w:val="18"/>
          <w:lang w:val="fr-FR"/>
        </w:rPr>
        <w:t xml:space="preserve"> </w:t>
      </w:r>
      <w:proofErr w:type="spellStart"/>
      <w:r w:rsidRPr="0085565C">
        <w:rPr>
          <w:rFonts w:cs="Arial"/>
          <w:sz w:val="18"/>
          <w:lang w:val="fr-FR"/>
        </w:rPr>
        <w:t>Fotos</w:t>
      </w:r>
      <w:proofErr w:type="spellEnd"/>
      <w:r w:rsidRPr="0085565C">
        <w:rPr>
          <w:rFonts w:cs="Arial"/>
          <w:sz w:val="18"/>
          <w:lang w:val="fr-FR"/>
        </w:rPr>
        <w:t xml:space="preserve"> </w:t>
      </w:r>
      <w:proofErr w:type="spellStart"/>
      <w:r w:rsidRPr="0085565C">
        <w:rPr>
          <w:rFonts w:cs="Arial"/>
          <w:sz w:val="18"/>
          <w:lang w:val="fr-FR"/>
        </w:rPr>
        <w:t>stark</w:t>
      </w:r>
      <w:proofErr w:type="spellEnd"/>
      <w:r w:rsidRPr="0085565C">
        <w:rPr>
          <w:rFonts w:cs="Arial"/>
          <w:sz w:val="18"/>
          <w:lang w:val="fr-FR"/>
        </w:rPr>
        <w:t xml:space="preserve"> </w:t>
      </w:r>
      <w:proofErr w:type="spellStart"/>
      <w:r w:rsidRPr="0085565C">
        <w:rPr>
          <w:rFonts w:cs="Arial"/>
          <w:sz w:val="18"/>
          <w:lang w:val="fr-FR"/>
        </w:rPr>
        <w:t>beeinflußt</w:t>
      </w:r>
      <w:proofErr w:type="spellEnd"/>
      <w:r w:rsidRPr="0085565C">
        <w:rPr>
          <w:rFonts w:cs="Arial"/>
          <w:sz w:val="18"/>
          <w:lang w:val="fr-FR"/>
        </w:rPr>
        <w:t xml:space="preserve">.  </w:t>
      </w:r>
      <w:proofErr w:type="spellStart"/>
      <w:r w:rsidRPr="0085565C">
        <w:rPr>
          <w:rFonts w:cs="Arial"/>
          <w:sz w:val="18"/>
          <w:lang w:val="fr-FR"/>
        </w:rPr>
        <w:t>Eine</w:t>
      </w:r>
      <w:proofErr w:type="spellEnd"/>
      <w:r w:rsidRPr="0085565C">
        <w:rPr>
          <w:rFonts w:cs="Arial"/>
          <w:sz w:val="18"/>
          <w:lang w:val="fr-FR"/>
        </w:rPr>
        <w:t xml:space="preserve"> </w:t>
      </w:r>
      <w:proofErr w:type="spellStart"/>
      <w:r w:rsidRPr="0085565C">
        <w:rPr>
          <w:rFonts w:cs="Arial"/>
          <w:sz w:val="18"/>
          <w:lang w:val="fr-FR"/>
        </w:rPr>
        <w:t>ausführliche</w:t>
      </w:r>
      <w:proofErr w:type="spellEnd"/>
      <w:r w:rsidRPr="0085565C">
        <w:rPr>
          <w:rFonts w:cs="Arial"/>
          <w:sz w:val="18"/>
          <w:lang w:val="fr-FR"/>
        </w:rPr>
        <w:t xml:space="preserve"> </w:t>
      </w:r>
      <w:proofErr w:type="spellStart"/>
      <w:r w:rsidRPr="0085565C">
        <w:rPr>
          <w:rFonts w:cs="Arial"/>
          <w:sz w:val="18"/>
          <w:lang w:val="fr-FR"/>
        </w:rPr>
        <w:t>Anleitung</w:t>
      </w:r>
      <w:proofErr w:type="spellEnd"/>
      <w:r w:rsidRPr="0085565C">
        <w:rPr>
          <w:rFonts w:cs="Arial"/>
          <w:sz w:val="18"/>
          <w:lang w:val="fr-FR"/>
        </w:rPr>
        <w:t xml:space="preserve"> </w:t>
      </w:r>
      <w:proofErr w:type="spellStart"/>
      <w:r w:rsidRPr="0085565C">
        <w:rPr>
          <w:rFonts w:cs="Arial"/>
          <w:sz w:val="18"/>
          <w:lang w:val="fr-FR"/>
        </w:rPr>
        <w:t>für</w:t>
      </w:r>
      <w:proofErr w:type="spellEnd"/>
      <w:r w:rsidRPr="0085565C">
        <w:rPr>
          <w:rFonts w:cs="Arial"/>
          <w:sz w:val="18"/>
          <w:lang w:val="fr-FR"/>
        </w:rPr>
        <w:t xml:space="preserve"> die </w:t>
      </w:r>
      <w:proofErr w:type="spellStart"/>
      <w:r w:rsidRPr="0085565C">
        <w:rPr>
          <w:rFonts w:cs="Arial"/>
          <w:sz w:val="18"/>
          <w:lang w:val="fr-FR"/>
        </w:rPr>
        <w:t>Aufnahme</w:t>
      </w:r>
      <w:proofErr w:type="spellEnd"/>
      <w:r w:rsidRPr="0085565C">
        <w:rPr>
          <w:rFonts w:cs="Arial"/>
          <w:sz w:val="18"/>
          <w:lang w:val="fr-FR"/>
        </w:rPr>
        <w:t xml:space="preserve"> </w:t>
      </w:r>
      <w:proofErr w:type="spellStart"/>
      <w:r w:rsidRPr="0085565C">
        <w:rPr>
          <w:rFonts w:cs="Arial"/>
          <w:sz w:val="18"/>
          <w:lang w:val="fr-FR"/>
        </w:rPr>
        <w:t>geeigneter</w:t>
      </w:r>
      <w:proofErr w:type="spellEnd"/>
      <w:r w:rsidRPr="0085565C">
        <w:rPr>
          <w:rFonts w:cs="Arial"/>
          <w:sz w:val="18"/>
          <w:lang w:val="fr-FR"/>
        </w:rPr>
        <w:t xml:space="preserve"> </w:t>
      </w:r>
      <w:proofErr w:type="spellStart"/>
      <w:r w:rsidRPr="0085565C">
        <w:rPr>
          <w:rFonts w:cs="Arial"/>
          <w:sz w:val="18"/>
          <w:lang w:val="fr-FR"/>
        </w:rPr>
        <w:t>Fotos</w:t>
      </w:r>
      <w:proofErr w:type="spellEnd"/>
      <w:r w:rsidRPr="0085565C">
        <w:rPr>
          <w:rFonts w:cs="Arial"/>
          <w:sz w:val="18"/>
          <w:lang w:val="fr-FR"/>
        </w:rPr>
        <w:t xml:space="preserve"> </w:t>
      </w:r>
      <w:proofErr w:type="spellStart"/>
      <w:r w:rsidRPr="0085565C">
        <w:rPr>
          <w:rFonts w:cs="Arial"/>
          <w:sz w:val="18"/>
          <w:lang w:val="fr-FR"/>
        </w:rPr>
        <w:t>wird</w:t>
      </w:r>
      <w:proofErr w:type="spellEnd"/>
      <w:r w:rsidRPr="0085565C">
        <w:rPr>
          <w:rFonts w:cs="Arial"/>
          <w:sz w:val="18"/>
          <w:lang w:val="fr-FR"/>
        </w:rPr>
        <w:t xml:space="preserve"> in </w:t>
      </w:r>
      <w:proofErr w:type="spellStart"/>
      <w:r w:rsidRPr="0085565C">
        <w:rPr>
          <w:rFonts w:cs="Arial"/>
          <w:sz w:val="18"/>
          <w:lang w:val="fr-FR"/>
        </w:rPr>
        <w:t>Dokument</w:t>
      </w:r>
      <w:proofErr w:type="spellEnd"/>
      <w:r w:rsidRPr="0085565C">
        <w:rPr>
          <w:rFonts w:cs="Arial"/>
          <w:sz w:val="18"/>
          <w:lang w:val="fr-FR"/>
        </w:rPr>
        <w:t xml:space="preserve"> TGP/7, GN 35, </w:t>
      </w:r>
      <w:proofErr w:type="spellStart"/>
      <w:r w:rsidRPr="0085565C">
        <w:rPr>
          <w:rFonts w:cs="Arial"/>
          <w:sz w:val="18"/>
          <w:lang w:val="fr-FR"/>
        </w:rPr>
        <w:t>erteilt</w:t>
      </w:r>
      <w:proofErr w:type="spellEnd"/>
      <w:r w:rsidRPr="0085565C">
        <w:rPr>
          <w:rFonts w:cs="Arial"/>
          <w:sz w:val="18"/>
          <w:lang w:val="fr-FR"/>
        </w:rPr>
        <w:t xml:space="preserve">.  Die </w:t>
      </w:r>
      <w:proofErr w:type="spellStart"/>
      <w:r w:rsidRPr="0085565C">
        <w:rPr>
          <w:rFonts w:cs="Arial"/>
          <w:sz w:val="18"/>
          <w:lang w:val="fr-FR"/>
        </w:rPr>
        <w:t>Anleitung</w:t>
      </w:r>
      <w:proofErr w:type="spellEnd"/>
      <w:r w:rsidRPr="0085565C">
        <w:rPr>
          <w:rFonts w:cs="Arial"/>
          <w:sz w:val="18"/>
          <w:lang w:val="fr-FR"/>
        </w:rPr>
        <w:t xml:space="preserve"> </w:t>
      </w:r>
      <w:proofErr w:type="spellStart"/>
      <w:r w:rsidRPr="0085565C">
        <w:rPr>
          <w:rFonts w:cs="Arial"/>
          <w:sz w:val="18"/>
          <w:lang w:val="fr-FR"/>
        </w:rPr>
        <w:t>wurde</w:t>
      </w:r>
      <w:proofErr w:type="spellEnd"/>
      <w:r w:rsidRPr="0085565C">
        <w:rPr>
          <w:rFonts w:cs="Arial"/>
          <w:sz w:val="18"/>
          <w:lang w:val="fr-FR"/>
        </w:rPr>
        <w:t xml:space="preserve"> </w:t>
      </w:r>
      <w:proofErr w:type="spellStart"/>
      <w:r w:rsidRPr="0085565C">
        <w:rPr>
          <w:rFonts w:cs="Arial"/>
          <w:sz w:val="18"/>
          <w:lang w:val="fr-FR"/>
        </w:rPr>
        <w:t>insbesondere</w:t>
      </w:r>
      <w:proofErr w:type="spellEnd"/>
      <w:r w:rsidRPr="0085565C">
        <w:rPr>
          <w:rFonts w:cs="Arial"/>
          <w:sz w:val="18"/>
          <w:lang w:val="fr-FR"/>
        </w:rPr>
        <w:t xml:space="preserve"> </w:t>
      </w:r>
      <w:proofErr w:type="spellStart"/>
      <w:r w:rsidRPr="0085565C">
        <w:rPr>
          <w:rFonts w:cs="Arial"/>
          <w:sz w:val="18"/>
          <w:lang w:val="fr-FR"/>
        </w:rPr>
        <w:t>für</w:t>
      </w:r>
      <w:proofErr w:type="spellEnd"/>
      <w:r w:rsidRPr="0085565C">
        <w:rPr>
          <w:rFonts w:cs="Arial"/>
          <w:sz w:val="18"/>
          <w:lang w:val="fr-FR"/>
        </w:rPr>
        <w:t xml:space="preserve"> die </w:t>
      </w:r>
      <w:proofErr w:type="spellStart"/>
      <w:r w:rsidRPr="0085565C">
        <w:rPr>
          <w:rFonts w:cs="Arial"/>
          <w:sz w:val="18"/>
          <w:lang w:val="fr-FR"/>
        </w:rPr>
        <w:t>Antragsteller</w:t>
      </w:r>
      <w:proofErr w:type="spellEnd"/>
      <w:r w:rsidRPr="0085565C">
        <w:rPr>
          <w:rFonts w:cs="Arial"/>
          <w:sz w:val="18"/>
          <w:lang w:val="fr-FR"/>
        </w:rPr>
        <w:t xml:space="preserve"> </w:t>
      </w:r>
      <w:proofErr w:type="spellStart"/>
      <w:r w:rsidRPr="0085565C">
        <w:rPr>
          <w:rFonts w:cs="Arial"/>
          <w:sz w:val="18"/>
          <w:lang w:val="fr-FR"/>
        </w:rPr>
        <w:t>ausgearbeitet</w:t>
      </w:r>
      <w:proofErr w:type="spellEnd"/>
      <w:r w:rsidRPr="0085565C">
        <w:rPr>
          <w:rFonts w:cs="Arial"/>
          <w:sz w:val="18"/>
          <w:lang w:val="fr-FR"/>
        </w:rPr>
        <w:t xml:space="preserve">, </w:t>
      </w:r>
      <w:proofErr w:type="spellStart"/>
      <w:r w:rsidRPr="0085565C">
        <w:rPr>
          <w:rFonts w:cs="Arial"/>
          <w:sz w:val="18"/>
          <w:lang w:val="fr-FR"/>
        </w:rPr>
        <w:t>damit</w:t>
      </w:r>
      <w:proofErr w:type="spellEnd"/>
      <w:r w:rsidRPr="0085565C">
        <w:rPr>
          <w:rFonts w:cs="Arial"/>
          <w:sz w:val="18"/>
          <w:lang w:val="fr-FR"/>
        </w:rPr>
        <w:t xml:space="preserve"> </w:t>
      </w:r>
      <w:proofErr w:type="spellStart"/>
      <w:r w:rsidRPr="0085565C">
        <w:rPr>
          <w:rFonts w:cs="Arial"/>
          <w:sz w:val="18"/>
          <w:lang w:val="fr-FR"/>
        </w:rPr>
        <w:t>sie</w:t>
      </w:r>
      <w:proofErr w:type="spellEnd"/>
      <w:r w:rsidRPr="0085565C">
        <w:rPr>
          <w:rFonts w:cs="Arial"/>
          <w:sz w:val="18"/>
          <w:lang w:val="fr-FR"/>
        </w:rPr>
        <w:t xml:space="preserve"> </w:t>
      </w:r>
      <w:proofErr w:type="spellStart"/>
      <w:r w:rsidRPr="0085565C">
        <w:rPr>
          <w:rFonts w:cs="Arial"/>
          <w:sz w:val="18"/>
          <w:lang w:val="fr-FR"/>
        </w:rPr>
        <w:t>geeignete</w:t>
      </w:r>
      <w:proofErr w:type="spellEnd"/>
      <w:r w:rsidRPr="0085565C">
        <w:rPr>
          <w:rFonts w:cs="Arial"/>
          <w:sz w:val="18"/>
          <w:lang w:val="fr-FR"/>
        </w:rPr>
        <w:t xml:space="preserve"> </w:t>
      </w:r>
      <w:proofErr w:type="spellStart"/>
      <w:r w:rsidRPr="0085565C">
        <w:rPr>
          <w:rFonts w:cs="Arial"/>
          <w:sz w:val="18"/>
          <w:lang w:val="fr-FR"/>
        </w:rPr>
        <w:t>Fotos</w:t>
      </w:r>
      <w:proofErr w:type="spellEnd"/>
      <w:r w:rsidRPr="0085565C">
        <w:rPr>
          <w:rFonts w:cs="Arial"/>
          <w:sz w:val="18"/>
          <w:lang w:val="fr-FR"/>
        </w:rPr>
        <w:t xml:space="preserve"> der </w:t>
      </w:r>
      <w:proofErr w:type="spellStart"/>
      <w:r w:rsidRPr="0085565C">
        <w:rPr>
          <w:rFonts w:cs="Arial"/>
          <w:sz w:val="18"/>
          <w:lang w:val="fr-FR"/>
        </w:rPr>
        <w:t>Kandidatensorte</w:t>
      </w:r>
      <w:proofErr w:type="spellEnd"/>
      <w:r w:rsidRPr="0085565C">
        <w:rPr>
          <w:rFonts w:cs="Arial"/>
          <w:sz w:val="18"/>
          <w:lang w:val="fr-FR"/>
        </w:rPr>
        <w:t xml:space="preserve"> </w:t>
      </w:r>
      <w:proofErr w:type="spellStart"/>
      <w:r w:rsidRPr="0085565C">
        <w:rPr>
          <w:rFonts w:cs="Arial"/>
          <w:sz w:val="18"/>
          <w:lang w:val="fr-FR"/>
        </w:rPr>
        <w:t>einreichen</w:t>
      </w:r>
      <w:proofErr w:type="spellEnd"/>
      <w:r w:rsidRPr="0085565C">
        <w:rPr>
          <w:rFonts w:cs="Arial"/>
          <w:sz w:val="18"/>
          <w:lang w:val="fr-FR"/>
        </w:rPr>
        <w:t xml:space="preserve">.  </w:t>
      </w:r>
      <w:proofErr w:type="spellStart"/>
      <w:r w:rsidRPr="0085565C">
        <w:rPr>
          <w:rFonts w:cs="Arial"/>
          <w:sz w:val="18"/>
          <w:lang w:val="fr-FR"/>
        </w:rPr>
        <w:t>Dieselben</w:t>
      </w:r>
      <w:proofErr w:type="spellEnd"/>
      <w:r w:rsidRPr="0085565C">
        <w:rPr>
          <w:rFonts w:cs="Arial"/>
          <w:sz w:val="18"/>
          <w:lang w:val="fr-FR"/>
        </w:rPr>
        <w:t xml:space="preserve"> </w:t>
      </w:r>
      <w:proofErr w:type="spellStart"/>
      <w:r w:rsidRPr="0085565C">
        <w:rPr>
          <w:rFonts w:cs="Arial"/>
          <w:sz w:val="18"/>
          <w:lang w:val="fr-FR"/>
        </w:rPr>
        <w:t>Anweisungen</w:t>
      </w:r>
      <w:proofErr w:type="spellEnd"/>
      <w:r w:rsidRPr="0085565C">
        <w:rPr>
          <w:rFonts w:cs="Arial"/>
          <w:sz w:val="18"/>
          <w:lang w:val="fr-FR"/>
        </w:rPr>
        <w:t xml:space="preserve"> </w:t>
      </w:r>
      <w:proofErr w:type="spellStart"/>
      <w:r w:rsidRPr="0085565C">
        <w:rPr>
          <w:rFonts w:cs="Arial"/>
          <w:sz w:val="18"/>
          <w:lang w:val="fr-FR"/>
        </w:rPr>
        <w:t>sind</w:t>
      </w:r>
      <w:proofErr w:type="spellEnd"/>
      <w:r w:rsidRPr="0085565C">
        <w:rPr>
          <w:rFonts w:cs="Arial"/>
          <w:sz w:val="18"/>
          <w:lang w:val="fr-FR"/>
        </w:rPr>
        <w:t xml:space="preserve"> </w:t>
      </w:r>
      <w:proofErr w:type="spellStart"/>
      <w:r w:rsidRPr="0085565C">
        <w:rPr>
          <w:rFonts w:cs="Arial"/>
          <w:sz w:val="18"/>
          <w:lang w:val="fr-FR"/>
        </w:rPr>
        <w:t>auch</w:t>
      </w:r>
      <w:proofErr w:type="spellEnd"/>
      <w:r w:rsidRPr="0085565C">
        <w:rPr>
          <w:rFonts w:cs="Arial"/>
          <w:sz w:val="18"/>
          <w:lang w:val="fr-FR"/>
        </w:rPr>
        <w:t xml:space="preserve"> </w:t>
      </w:r>
      <w:proofErr w:type="spellStart"/>
      <w:r w:rsidRPr="0085565C">
        <w:rPr>
          <w:rFonts w:cs="Arial"/>
          <w:sz w:val="18"/>
          <w:lang w:val="fr-FR"/>
        </w:rPr>
        <w:t>für</w:t>
      </w:r>
      <w:proofErr w:type="spellEnd"/>
      <w:r w:rsidRPr="0085565C">
        <w:rPr>
          <w:rFonts w:cs="Arial"/>
          <w:sz w:val="18"/>
          <w:lang w:val="fr-FR"/>
        </w:rPr>
        <w:t xml:space="preserve"> die </w:t>
      </w:r>
      <w:proofErr w:type="spellStart"/>
      <w:r w:rsidRPr="0085565C">
        <w:rPr>
          <w:rFonts w:cs="Arial"/>
          <w:sz w:val="18"/>
          <w:lang w:val="fr-FR"/>
        </w:rPr>
        <w:t>Behörden</w:t>
      </w:r>
      <w:proofErr w:type="spellEnd"/>
      <w:r w:rsidRPr="0085565C">
        <w:rPr>
          <w:rFonts w:cs="Arial"/>
          <w:sz w:val="18"/>
          <w:lang w:val="fr-FR"/>
        </w:rPr>
        <w:t xml:space="preserve"> </w:t>
      </w:r>
      <w:proofErr w:type="spellStart"/>
      <w:r w:rsidRPr="0085565C">
        <w:rPr>
          <w:rFonts w:cs="Arial"/>
          <w:sz w:val="18"/>
          <w:lang w:val="fr-FR"/>
        </w:rPr>
        <w:t>wichtig</w:t>
      </w:r>
      <w:proofErr w:type="spellEnd"/>
      <w:r w:rsidRPr="0085565C">
        <w:rPr>
          <w:rFonts w:cs="Arial"/>
          <w:sz w:val="18"/>
          <w:lang w:val="fr-FR"/>
        </w:rPr>
        <w:t xml:space="preserve"> </w:t>
      </w:r>
      <w:proofErr w:type="spellStart"/>
      <w:r w:rsidRPr="0085565C">
        <w:rPr>
          <w:rFonts w:cs="Arial"/>
          <w:sz w:val="18"/>
          <w:lang w:val="fr-FR"/>
        </w:rPr>
        <w:t>und</w:t>
      </w:r>
      <w:proofErr w:type="spellEnd"/>
      <w:r w:rsidRPr="0085565C">
        <w:rPr>
          <w:rFonts w:cs="Arial"/>
          <w:sz w:val="18"/>
          <w:lang w:val="fr-FR"/>
        </w:rPr>
        <w:t xml:space="preserve"> </w:t>
      </w:r>
      <w:proofErr w:type="spellStart"/>
      <w:r w:rsidRPr="0085565C">
        <w:rPr>
          <w:rFonts w:cs="Arial"/>
          <w:sz w:val="18"/>
          <w:lang w:val="fr-FR"/>
        </w:rPr>
        <w:t>zweckdienlich</w:t>
      </w:r>
      <w:proofErr w:type="spellEnd"/>
      <w:r w:rsidRPr="0085565C">
        <w:rPr>
          <w:rFonts w:cs="Arial"/>
          <w:sz w:val="18"/>
          <w:lang w:val="fr-FR"/>
        </w:rPr>
        <w:t xml:space="preserve">, </w:t>
      </w:r>
      <w:proofErr w:type="spellStart"/>
      <w:r w:rsidRPr="0085565C">
        <w:rPr>
          <w:rFonts w:cs="Arial"/>
          <w:sz w:val="18"/>
          <w:lang w:val="fr-FR"/>
        </w:rPr>
        <w:t>um</w:t>
      </w:r>
      <w:proofErr w:type="spellEnd"/>
      <w:r w:rsidRPr="0085565C">
        <w:rPr>
          <w:rFonts w:cs="Arial"/>
          <w:sz w:val="18"/>
          <w:lang w:val="fr-FR"/>
        </w:rPr>
        <w:t xml:space="preserve"> </w:t>
      </w:r>
      <w:proofErr w:type="spellStart"/>
      <w:r w:rsidRPr="0085565C">
        <w:rPr>
          <w:rFonts w:cs="Arial"/>
          <w:sz w:val="18"/>
          <w:lang w:val="fr-FR"/>
        </w:rPr>
        <w:t>Fotos</w:t>
      </w:r>
      <w:proofErr w:type="spellEnd"/>
      <w:r w:rsidRPr="0085565C">
        <w:rPr>
          <w:rFonts w:cs="Arial"/>
          <w:sz w:val="18"/>
          <w:lang w:val="fr-FR"/>
        </w:rPr>
        <w:t xml:space="preserve"> der </w:t>
      </w:r>
      <w:proofErr w:type="spellStart"/>
      <w:r w:rsidRPr="0085565C">
        <w:rPr>
          <w:rFonts w:cs="Arial"/>
          <w:sz w:val="18"/>
          <w:lang w:val="fr-FR"/>
        </w:rPr>
        <w:t>Sorten</w:t>
      </w:r>
      <w:proofErr w:type="spellEnd"/>
      <w:r w:rsidRPr="0085565C">
        <w:rPr>
          <w:rFonts w:cs="Arial"/>
          <w:sz w:val="18"/>
          <w:lang w:val="fr-FR"/>
        </w:rPr>
        <w:t xml:space="preserve"> in der </w:t>
      </w:r>
      <w:proofErr w:type="spellStart"/>
      <w:r w:rsidRPr="0085565C">
        <w:rPr>
          <w:rFonts w:cs="Arial"/>
          <w:sz w:val="18"/>
          <w:lang w:val="fr-FR"/>
        </w:rPr>
        <w:t>Sortensammlung</w:t>
      </w:r>
      <w:proofErr w:type="spellEnd"/>
      <w:r w:rsidRPr="0085565C">
        <w:rPr>
          <w:rFonts w:cs="Arial"/>
          <w:sz w:val="18"/>
          <w:lang w:val="fr-FR"/>
        </w:rPr>
        <w:t xml:space="preserve"> </w:t>
      </w:r>
      <w:proofErr w:type="spellStart"/>
      <w:r w:rsidRPr="0085565C">
        <w:rPr>
          <w:rFonts w:cs="Arial"/>
          <w:sz w:val="18"/>
          <w:lang w:val="fr-FR"/>
        </w:rPr>
        <w:t>unter</w:t>
      </w:r>
      <w:proofErr w:type="spellEnd"/>
      <w:r w:rsidRPr="0085565C">
        <w:rPr>
          <w:rFonts w:cs="Arial"/>
          <w:sz w:val="18"/>
          <w:lang w:val="fr-FR"/>
        </w:rPr>
        <w:t xml:space="preserve"> </w:t>
      </w:r>
      <w:proofErr w:type="spellStart"/>
      <w:r w:rsidRPr="0085565C">
        <w:rPr>
          <w:rFonts w:cs="Arial"/>
          <w:sz w:val="18"/>
          <w:lang w:val="fr-FR"/>
        </w:rPr>
        <w:t>genormten</w:t>
      </w:r>
      <w:proofErr w:type="spellEnd"/>
      <w:r w:rsidRPr="0085565C">
        <w:rPr>
          <w:rFonts w:cs="Arial"/>
          <w:sz w:val="18"/>
          <w:lang w:val="fr-FR"/>
        </w:rPr>
        <w:t xml:space="preserve"> </w:t>
      </w:r>
      <w:proofErr w:type="spellStart"/>
      <w:r w:rsidRPr="0085565C">
        <w:rPr>
          <w:rFonts w:cs="Arial"/>
          <w:sz w:val="18"/>
          <w:lang w:val="fr-FR"/>
        </w:rPr>
        <w:t>Bedingungen</w:t>
      </w:r>
      <w:proofErr w:type="spellEnd"/>
      <w:r w:rsidRPr="0085565C">
        <w:rPr>
          <w:rFonts w:cs="Arial"/>
          <w:sz w:val="18"/>
          <w:lang w:val="fr-FR"/>
        </w:rPr>
        <w:t xml:space="preserve"> </w:t>
      </w:r>
      <w:proofErr w:type="spellStart"/>
      <w:r w:rsidRPr="0085565C">
        <w:rPr>
          <w:rFonts w:cs="Arial"/>
          <w:sz w:val="18"/>
          <w:lang w:val="fr-FR"/>
        </w:rPr>
        <w:t>zu</w:t>
      </w:r>
      <w:proofErr w:type="spellEnd"/>
      <w:r w:rsidRPr="0085565C">
        <w:rPr>
          <w:rFonts w:cs="Arial"/>
          <w:sz w:val="18"/>
          <w:lang w:val="fr-FR"/>
        </w:rPr>
        <w:t xml:space="preserve"> </w:t>
      </w:r>
      <w:proofErr w:type="spellStart"/>
      <w:r w:rsidRPr="0085565C">
        <w:rPr>
          <w:rFonts w:cs="Arial"/>
          <w:sz w:val="18"/>
          <w:lang w:val="fr-FR"/>
        </w:rPr>
        <w:t>erstellen</w:t>
      </w:r>
      <w:proofErr w:type="spellEnd"/>
      <w:proofErr w:type="gramStart"/>
      <w:r w:rsidRPr="0085565C">
        <w:rPr>
          <w:rFonts w:cs="Arial"/>
          <w:sz w:val="18"/>
          <w:lang w:val="fr-FR"/>
        </w:rPr>
        <w:t>.“</w:t>
      </w:r>
      <w:proofErr w:type="gramEnd"/>
    </w:p>
    <w:p w:rsidR="00AF7A00" w:rsidRPr="0085565C" w:rsidRDefault="00AF7A00" w:rsidP="00AF7A00">
      <w:pPr>
        <w:rPr>
          <w:lang w:val="fr-FR"/>
        </w:rPr>
      </w:pPr>
    </w:p>
    <w:p w:rsidR="00AF7A00" w:rsidRPr="0085565C" w:rsidRDefault="00AF7A00" w:rsidP="00AF7A00">
      <w:pPr>
        <w:pStyle w:val="Heading5"/>
        <w:rPr>
          <w:lang w:val="fr-FR"/>
        </w:rPr>
      </w:pPr>
      <w:bookmarkStart w:id="11" w:name="_Toc412193715"/>
      <w:r w:rsidRPr="0085565C">
        <w:rPr>
          <w:lang w:val="fr-FR"/>
        </w:rPr>
        <w:t>iii)</w:t>
      </w:r>
      <w:r w:rsidRPr="0085565C">
        <w:rPr>
          <w:lang w:val="fr-FR"/>
        </w:rPr>
        <w:tab/>
        <w:t xml:space="preserve">Révision du document TGP/9 : sections 4.3.2 “ Notation globale pour un groupe de plantes ou parties de plantes (G)” et 4.3.4 </w:t>
      </w:r>
      <w:bookmarkEnd w:id="11"/>
      <w:r w:rsidRPr="0085565C">
        <w:rPr>
          <w:lang w:val="fr-FR"/>
        </w:rPr>
        <w:t>“ Résumé analytique “</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examine la proposition d’exemple de notation globale pour un certain nombre de plantes (MG) effectuée sur des parties de plantes pour inclusion dans une révision future des sections 4.3.2 “Notation globale pour un groupe de plantes ou parties de plantes (G)” et 4.3.4 “Résumé analytique” du document TGP/9, et convient que les conseils seraient libellés comme suit :</w:t>
      </w:r>
    </w:p>
    <w:p w:rsidR="00AF7A00" w:rsidRPr="0085565C" w:rsidRDefault="00AF7A00" w:rsidP="00AF7A00">
      <w:pPr>
        <w:rPr>
          <w:lang w:val="fr-FR"/>
        </w:rPr>
      </w:pPr>
    </w:p>
    <w:p w:rsidR="00AF7A00" w:rsidRPr="0085565C" w:rsidRDefault="00AF7A00" w:rsidP="00AF7A00">
      <w:pPr>
        <w:autoSpaceDE w:val="0"/>
        <w:autoSpaceDN w:val="0"/>
        <w:adjustRightInd w:val="0"/>
        <w:ind w:left="567" w:right="567"/>
        <w:rPr>
          <w:rFonts w:cs="Arial"/>
          <w:sz w:val="18"/>
          <w:lang w:val="fr-FR"/>
        </w:rPr>
      </w:pPr>
      <w:r w:rsidRPr="0085565C">
        <w:rPr>
          <w:rFonts w:cs="Arial"/>
          <w:sz w:val="18"/>
          <w:lang w:val="fr-FR"/>
        </w:rPr>
        <w:t>“Exemple (MG)</w:t>
      </w:r>
    </w:p>
    <w:p w:rsidR="00AF7A00" w:rsidRPr="0085565C" w:rsidRDefault="00AF7A00" w:rsidP="00AF7A00">
      <w:pPr>
        <w:autoSpaceDE w:val="0"/>
        <w:autoSpaceDN w:val="0"/>
        <w:adjustRightInd w:val="0"/>
        <w:ind w:left="567" w:right="567"/>
        <w:rPr>
          <w:rFonts w:cs="Arial"/>
          <w:sz w:val="18"/>
          <w:lang w:val="fr-FR"/>
        </w:rPr>
      </w:pPr>
    </w:p>
    <w:p w:rsidR="00AF7A00" w:rsidRPr="0085565C" w:rsidRDefault="00AF7A00" w:rsidP="00AF7A00">
      <w:pPr>
        <w:autoSpaceDE w:val="0"/>
        <w:autoSpaceDN w:val="0"/>
        <w:adjustRightInd w:val="0"/>
        <w:ind w:left="567" w:right="567"/>
        <w:rPr>
          <w:rFonts w:cs="Arial"/>
          <w:sz w:val="18"/>
          <w:lang w:val="fr-FR"/>
        </w:rPr>
      </w:pPr>
      <w:r w:rsidRPr="0085565C">
        <w:rPr>
          <w:rFonts w:cs="Arial"/>
          <w:sz w:val="18"/>
          <w:lang w:val="fr-FR"/>
        </w:rPr>
        <w:t xml:space="preserve">“Mesure (MG) : ‘Limbe : largeur’ chez le </w:t>
      </w:r>
      <w:proofErr w:type="spellStart"/>
      <w:r w:rsidRPr="0085565C">
        <w:rPr>
          <w:rFonts w:cs="Arial"/>
          <w:sz w:val="18"/>
          <w:lang w:val="fr-FR"/>
        </w:rPr>
        <w:t>funkia</w:t>
      </w:r>
      <w:proofErr w:type="spellEnd"/>
      <w:r w:rsidRPr="0085565C">
        <w:rPr>
          <w:rFonts w:cs="Arial"/>
          <w:sz w:val="18"/>
          <w:lang w:val="fr-FR"/>
        </w:rPr>
        <w:t xml:space="preserve"> (multiplication végétative) : mesure représentative de la parcelle”.</w:t>
      </w:r>
    </w:p>
    <w:p w:rsidR="00AF7A00" w:rsidRPr="0085565C" w:rsidRDefault="00AF7A00" w:rsidP="00AF7A00">
      <w:pPr>
        <w:rPr>
          <w:rFonts w:cs="Arial"/>
          <w:lang w:val="fr-FR"/>
        </w:rPr>
      </w:pPr>
    </w:p>
    <w:p w:rsidR="00AF7A00" w:rsidRPr="0085565C" w:rsidRDefault="00AF7A00">
      <w:pPr>
        <w:jc w:val="left"/>
        <w:rPr>
          <w:lang w:val="fr-FR"/>
        </w:rPr>
      </w:pPr>
      <w:r w:rsidRPr="0085565C">
        <w:rPr>
          <w:lang w:val="fr-FR"/>
        </w:rPr>
        <w:br w:type="page"/>
      </w:r>
    </w:p>
    <w:p w:rsidR="00AF7A00" w:rsidRPr="0085565C" w:rsidRDefault="00AF7A00" w:rsidP="00AF7A00">
      <w:pPr>
        <w:rPr>
          <w:lang w:val="fr-FR"/>
        </w:rPr>
      </w:pPr>
      <w:r w:rsidRPr="0085565C">
        <w:rPr>
          <w:lang w:val="fr-FR"/>
        </w:rPr>
        <w:lastRenderedPageBreak/>
        <w:fldChar w:fldCharType="begin"/>
      </w:r>
      <w:r w:rsidRPr="0085565C">
        <w:rPr>
          <w:lang w:val="fr-FR"/>
        </w:rPr>
        <w:instrText xml:space="preserve"> AUTONUM  </w:instrText>
      </w:r>
      <w:r w:rsidRPr="0085565C">
        <w:rPr>
          <w:lang w:val="fr-FR"/>
        </w:rPr>
        <w:fldChar w:fldCharType="end"/>
      </w:r>
      <w:r w:rsidRPr="0085565C">
        <w:rPr>
          <w:lang w:val="fr-FR"/>
        </w:rPr>
        <w:tab/>
        <w:t>Le TC convient que l’illustration pour inclusion à la section 4.3.4 devrait être modifiée afin de figurer comme suit :</w:t>
      </w:r>
    </w:p>
    <w:p w:rsidR="00AF7A00" w:rsidRPr="0085565C" w:rsidRDefault="00AF7A00" w:rsidP="00AF7A00">
      <w:pPr>
        <w:rPr>
          <w:sz w:val="14"/>
          <w:lang w:val="fr-FR"/>
        </w:rPr>
      </w:pPr>
    </w:p>
    <w:p w:rsidR="00AF7A00" w:rsidRPr="0085565C" w:rsidRDefault="00AF7A00" w:rsidP="00AF7A00">
      <w:pPr>
        <w:ind w:left="567"/>
        <w:rPr>
          <w:lang w:val="fr-FR"/>
        </w:rPr>
      </w:pPr>
      <w:r w:rsidRPr="0085565C">
        <w:rPr>
          <w:noProof/>
        </w:rPr>
        <w:drawing>
          <wp:inline distT="0" distB="0" distL="0" distR="0" wp14:anchorId="0A85FC7A" wp14:editId="513386E5">
            <wp:extent cx="1452880" cy="25019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2880" cy="2501900"/>
                    </a:xfrm>
                    <a:prstGeom prst="rect">
                      <a:avLst/>
                    </a:prstGeom>
                    <a:noFill/>
                    <a:ln>
                      <a:noFill/>
                    </a:ln>
                  </pic:spPr>
                </pic:pic>
              </a:graphicData>
            </a:graphic>
          </wp:inline>
        </w:drawing>
      </w:r>
    </w:p>
    <w:p w:rsidR="00AF7A00" w:rsidRPr="0085565C" w:rsidRDefault="00AF7A00" w:rsidP="00AF7A00">
      <w:pPr>
        <w:rPr>
          <w:lang w:val="fr-FR"/>
        </w:rPr>
      </w:pPr>
    </w:p>
    <w:p w:rsidR="00AF7A00" w:rsidRPr="0085565C" w:rsidRDefault="00AF7A00" w:rsidP="00AF7A00">
      <w:pPr>
        <w:pStyle w:val="Heading4"/>
      </w:pPr>
      <w:r w:rsidRPr="0085565C">
        <w:t>TGP/14 : Glossaire des termes utilisés dans les documents de l’UPOV</w:t>
      </w:r>
      <w:r w:rsidRPr="0085565C">
        <w:rPr>
          <w:i w:val="0"/>
        </w:rPr>
        <w:t> :</w:t>
      </w:r>
    </w:p>
    <w:p w:rsidR="00AF7A00" w:rsidRPr="0085565C" w:rsidRDefault="00AF7A00" w:rsidP="00AF7A00">
      <w:pPr>
        <w:rPr>
          <w:lang w:val="fr-FR"/>
        </w:rPr>
      </w:pPr>
    </w:p>
    <w:p w:rsidR="00AF7A00" w:rsidRPr="0085565C" w:rsidRDefault="00AF7A00" w:rsidP="00AF7A00">
      <w:pPr>
        <w:pStyle w:val="Heading5"/>
        <w:rPr>
          <w:lang w:val="fr-FR"/>
        </w:rPr>
      </w:pPr>
      <w:r w:rsidRPr="0085565C">
        <w:rPr>
          <w:lang w:val="fr-FR"/>
        </w:rPr>
        <w:t>i)</w:t>
      </w:r>
      <w:r w:rsidRPr="0085565C">
        <w:rPr>
          <w:lang w:val="fr-FR"/>
        </w:rPr>
        <w:tab/>
        <w:t>Section 2.4 : “Caractères liés à la forme de l’apex ou de l’extrémité”</w:t>
      </w:r>
    </w:p>
    <w:p w:rsidR="00AF7A00" w:rsidRPr="0085565C" w:rsidRDefault="00AF7A00" w:rsidP="00AF7A00">
      <w:pPr>
        <w:rPr>
          <w:lang w:val="fr-FR"/>
        </w:rPr>
      </w:pPr>
    </w:p>
    <w:p w:rsidR="00AF7A00" w:rsidRPr="0085565C" w:rsidRDefault="00AF7A00" w:rsidP="00AF7A00">
      <w:pPr>
        <w:keepNext/>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examine la révision de la section 2.4 du document TGP/14 telle qu’elle figure dans le document TC/51/25 et convient que le texte devrait être libellé comme suit :</w:t>
      </w:r>
    </w:p>
    <w:p w:rsidR="00AF7A00" w:rsidRPr="0085565C" w:rsidRDefault="00AF7A00" w:rsidP="00AF7A00">
      <w:pPr>
        <w:rPr>
          <w:lang w:val="fr-FR"/>
        </w:rPr>
      </w:pPr>
    </w:p>
    <w:p w:rsidR="00AF7A00" w:rsidRPr="0085565C" w:rsidRDefault="00AF7A00" w:rsidP="00AF7A00">
      <w:pPr>
        <w:keepNext/>
        <w:ind w:left="567"/>
        <w:outlineLvl w:val="3"/>
        <w:rPr>
          <w:i/>
          <w:sz w:val="18"/>
          <w:lang w:val="fr-FR"/>
        </w:rPr>
      </w:pPr>
      <w:r w:rsidRPr="0085565C">
        <w:rPr>
          <w:i/>
          <w:sz w:val="18"/>
          <w:lang w:val="fr-FR"/>
        </w:rPr>
        <w:t>“2.4</w:t>
      </w:r>
      <w:r w:rsidRPr="0085565C">
        <w:rPr>
          <w:sz w:val="18"/>
          <w:lang w:val="fr-FR"/>
        </w:rPr>
        <w:tab/>
      </w:r>
      <w:r w:rsidRPr="0085565C">
        <w:rPr>
          <w:i/>
          <w:sz w:val="18"/>
          <w:lang w:val="fr-FR"/>
        </w:rPr>
        <w:t>Caractères liés à la forme de l’apex ou de l’extrémité</w:t>
      </w:r>
    </w:p>
    <w:p w:rsidR="00AF7A00" w:rsidRPr="0085565C" w:rsidRDefault="00AF7A00" w:rsidP="00AF7A00">
      <w:pPr>
        <w:keepNext/>
        <w:ind w:left="567" w:right="567"/>
        <w:rPr>
          <w:rFonts w:cs="Arial"/>
          <w:sz w:val="18"/>
          <w:lang w:val="fr-FR"/>
        </w:rPr>
      </w:pPr>
    </w:p>
    <w:p w:rsidR="00AF7A00" w:rsidRPr="0085565C" w:rsidRDefault="00AF7A00" w:rsidP="00AF7A00">
      <w:pPr>
        <w:keepNext/>
        <w:ind w:left="567" w:right="567"/>
        <w:rPr>
          <w:sz w:val="18"/>
          <w:lang w:val="fr-FR"/>
        </w:rPr>
      </w:pPr>
      <w:r w:rsidRPr="0085565C">
        <w:rPr>
          <w:sz w:val="18"/>
          <w:lang w:val="fr-FR"/>
        </w:rPr>
        <w:t>“2.4.1</w:t>
      </w:r>
      <w:r w:rsidRPr="0085565C">
        <w:rPr>
          <w:sz w:val="18"/>
          <w:lang w:val="fr-FR"/>
        </w:rPr>
        <w:tab/>
        <w:t>L’APEX (partie sommitale ou distale) d’un organe ou d’une partie de plante est l’extrémité la plus éloignée de son point d’attache.  Dans certains cas, l’extrémité distale de l’apex peut être différenciée en une ‘EXTRÉMITÉ’.</w:t>
      </w:r>
    </w:p>
    <w:p w:rsidR="00AF7A00" w:rsidRPr="0085565C" w:rsidRDefault="00AF7A00" w:rsidP="00AF7A00">
      <w:pPr>
        <w:keepNext/>
        <w:ind w:left="567" w:right="567"/>
        <w:rPr>
          <w:sz w:val="18"/>
          <w:lang w:val="fr-FR"/>
        </w:rPr>
      </w:pPr>
    </w:p>
    <w:p w:rsidR="00AF7A00" w:rsidRPr="0085565C" w:rsidRDefault="00AF7A00" w:rsidP="00AF7A00">
      <w:pPr>
        <w:ind w:left="567" w:right="567"/>
        <w:rPr>
          <w:sz w:val="18"/>
          <w:lang w:val="fr-FR"/>
        </w:rPr>
      </w:pPr>
      <w:r w:rsidRPr="0085565C">
        <w:rPr>
          <w:sz w:val="18"/>
          <w:shd w:val="clear" w:color="auto" w:fill="FFFFFF"/>
          <w:lang w:val="fr-FR"/>
        </w:rPr>
        <w:t>“2.4.2</w:t>
      </w:r>
      <w:r w:rsidRPr="0085565C">
        <w:rPr>
          <w:sz w:val="18"/>
          <w:shd w:val="clear" w:color="auto" w:fill="FFFFFF"/>
          <w:lang w:val="fr-FR"/>
        </w:rPr>
        <w:tab/>
        <w:t xml:space="preserve">Afin de décrire l’apex, la taille de l’organe et les différentes formes de l’apex doivent être prises en considération.  Les caractères liés à l’apex peuvent être décrits en utilisant des termes simples et lorsque l’extrémité est différenciée, il est possible de recourir à un caractère indépendant pour la décrire.  En règle générale, il n’est pas nécessaire de </w:t>
      </w:r>
      <w:r w:rsidRPr="0085565C">
        <w:rPr>
          <w:sz w:val="18"/>
          <w:lang w:val="fr-FR"/>
        </w:rPr>
        <w:t>différencier les caractères liés à l’extrémité de ceux liés à l’apex</w:t>
      </w:r>
      <w:r w:rsidRPr="0085565C">
        <w:rPr>
          <w:sz w:val="18"/>
          <w:shd w:val="clear" w:color="auto" w:fill="FFFFFF"/>
          <w:lang w:val="fr-FR"/>
        </w:rPr>
        <w:t>.</w:t>
      </w:r>
    </w:p>
    <w:p w:rsidR="00AF7A00" w:rsidRPr="0085565C" w:rsidRDefault="00AF7A00" w:rsidP="00AF7A00">
      <w:pPr>
        <w:ind w:left="567" w:right="567"/>
        <w:rPr>
          <w:sz w:val="18"/>
          <w:lang w:val="fr-FR"/>
        </w:rPr>
      </w:pPr>
    </w:p>
    <w:p w:rsidR="00AF7A00" w:rsidRPr="0085565C" w:rsidRDefault="00AF7A00" w:rsidP="00AF7A00">
      <w:pPr>
        <w:ind w:left="567" w:right="567"/>
        <w:rPr>
          <w:sz w:val="18"/>
          <w:lang w:val="fr-FR"/>
        </w:rPr>
      </w:pPr>
      <w:r w:rsidRPr="0085565C">
        <w:rPr>
          <w:sz w:val="18"/>
          <w:lang w:val="fr-FR"/>
        </w:rPr>
        <w:t>“2.4.3</w:t>
      </w:r>
      <w:r w:rsidRPr="0085565C">
        <w:rPr>
          <w:sz w:val="18"/>
          <w:lang w:val="fr-FR"/>
        </w:rPr>
        <w:tab/>
        <w:t>Dans les cas où il y a lieu de différencier les caractères liés à l’extrémité de ceux liés à l’apex, la forme de l’apex est alors considérée comme la forme générale, à l’exclusion d’une extrémité différenciée (si elle est présente) et la différenciation entre l’extrémité et l’apex doit être indiquée dans l’explication du caractère.  Par exemple :</w:t>
      </w:r>
    </w:p>
    <w:p w:rsidR="00AF7A00" w:rsidRPr="0085565C" w:rsidRDefault="00AF7A00" w:rsidP="00AF7A00">
      <w:pPr>
        <w:ind w:left="567" w:right="567"/>
        <w:rPr>
          <w:sz w:val="18"/>
          <w:lang w:val="fr-FR"/>
        </w:rPr>
      </w:pPr>
    </w:p>
    <w:p w:rsidR="00AF7A00" w:rsidRPr="0085565C" w:rsidRDefault="00AF7A00" w:rsidP="00AF7A00">
      <w:pPr>
        <w:ind w:left="567" w:right="567"/>
        <w:rPr>
          <w:sz w:val="18"/>
          <w:lang w:val="fr-FR"/>
        </w:rPr>
      </w:pPr>
      <w:r w:rsidRPr="0085565C">
        <w:rPr>
          <w:sz w:val="18"/>
          <w:lang w:val="fr-FR"/>
        </w:rPr>
        <w:t>[…]”</w:t>
      </w:r>
    </w:p>
    <w:p w:rsidR="00AF7A00" w:rsidRPr="0085565C" w:rsidRDefault="00AF7A00" w:rsidP="00AF7A00">
      <w:pPr>
        <w:ind w:left="567" w:right="567"/>
        <w:rPr>
          <w:sz w:val="18"/>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prend note que des modifications rédactionnelles doivent être apportées au projet de texte en allemand et rappelle que les experts linguistiques du Comité d’édition éditorial seraient appelés à vérifier les traductions française, allemande et espagnole avant leur finalisation aux fins d’adoption par le Conseil.</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La traduction en allemand devrait être libellée de la manière suivante :</w:t>
      </w:r>
    </w:p>
    <w:p w:rsidR="00AF7A00" w:rsidRPr="0085565C" w:rsidRDefault="00AF7A00" w:rsidP="00AF7A00">
      <w:pPr>
        <w:ind w:firstLine="567"/>
        <w:rPr>
          <w:lang w:val="fr-FR"/>
        </w:rPr>
      </w:pPr>
    </w:p>
    <w:p w:rsidR="00AF7A00" w:rsidRPr="0085565C" w:rsidRDefault="00AF7A00" w:rsidP="00AF7A00">
      <w:pPr>
        <w:ind w:left="567" w:right="567"/>
        <w:rPr>
          <w:i/>
          <w:sz w:val="18"/>
          <w:lang w:val="fr-FR"/>
        </w:rPr>
      </w:pPr>
      <w:r w:rsidRPr="0085565C">
        <w:rPr>
          <w:i/>
          <w:sz w:val="18"/>
          <w:lang w:val="fr-FR"/>
        </w:rPr>
        <w:t>„2.4</w:t>
      </w:r>
      <w:r w:rsidRPr="0085565C">
        <w:rPr>
          <w:i/>
          <w:sz w:val="18"/>
          <w:lang w:val="fr-FR"/>
        </w:rPr>
        <w:tab/>
      </w:r>
      <w:proofErr w:type="spellStart"/>
      <w:r w:rsidRPr="0085565C">
        <w:rPr>
          <w:i/>
          <w:sz w:val="18"/>
          <w:szCs w:val="18"/>
          <w:lang w:val="fr-FR"/>
        </w:rPr>
        <w:t>Merkmale</w:t>
      </w:r>
      <w:proofErr w:type="spellEnd"/>
      <w:r w:rsidRPr="0085565C">
        <w:rPr>
          <w:i/>
          <w:sz w:val="18"/>
          <w:szCs w:val="18"/>
          <w:lang w:val="fr-FR"/>
        </w:rPr>
        <w:t xml:space="preserve"> </w:t>
      </w:r>
      <w:proofErr w:type="spellStart"/>
      <w:r w:rsidRPr="0085565C">
        <w:rPr>
          <w:i/>
          <w:sz w:val="18"/>
          <w:szCs w:val="18"/>
          <w:lang w:val="fr-FR"/>
        </w:rPr>
        <w:t>für</w:t>
      </w:r>
      <w:proofErr w:type="spellEnd"/>
      <w:r w:rsidRPr="0085565C">
        <w:rPr>
          <w:i/>
          <w:sz w:val="18"/>
          <w:szCs w:val="18"/>
          <w:lang w:val="fr-FR"/>
        </w:rPr>
        <w:t xml:space="preserve"> die </w:t>
      </w:r>
      <w:proofErr w:type="spellStart"/>
      <w:r w:rsidRPr="0085565C">
        <w:rPr>
          <w:i/>
          <w:sz w:val="18"/>
          <w:szCs w:val="18"/>
          <w:lang w:val="fr-FR"/>
        </w:rPr>
        <w:t>Form</w:t>
      </w:r>
      <w:proofErr w:type="spellEnd"/>
      <w:r w:rsidRPr="0085565C">
        <w:rPr>
          <w:i/>
          <w:sz w:val="18"/>
          <w:szCs w:val="18"/>
          <w:lang w:val="fr-FR"/>
        </w:rPr>
        <w:t xml:space="preserve"> des Apex/der </w:t>
      </w:r>
      <w:proofErr w:type="spellStart"/>
      <w:r w:rsidRPr="0085565C">
        <w:rPr>
          <w:i/>
          <w:sz w:val="18"/>
          <w:szCs w:val="18"/>
          <w:lang w:val="fr-FR"/>
        </w:rPr>
        <w:t>Spitze</w:t>
      </w:r>
      <w:proofErr w:type="spellEnd"/>
    </w:p>
    <w:p w:rsidR="00AF7A00" w:rsidRPr="0085565C" w:rsidRDefault="00AF7A00" w:rsidP="00AF7A00">
      <w:pPr>
        <w:keepNext/>
        <w:ind w:left="567" w:right="567"/>
        <w:rPr>
          <w:rFonts w:cs="Arial"/>
          <w:sz w:val="18"/>
          <w:lang w:val="fr-FR"/>
        </w:rPr>
      </w:pPr>
    </w:p>
    <w:p w:rsidR="00AF7A00" w:rsidRPr="0085565C" w:rsidRDefault="00AF7A00" w:rsidP="00AF7A00">
      <w:pPr>
        <w:keepNext/>
        <w:ind w:left="567" w:right="567"/>
        <w:rPr>
          <w:sz w:val="18"/>
          <w:szCs w:val="18"/>
          <w:lang w:val="fr-FR"/>
        </w:rPr>
      </w:pPr>
      <w:r w:rsidRPr="0085565C">
        <w:rPr>
          <w:sz w:val="18"/>
          <w:szCs w:val="18"/>
          <w:lang w:val="fr-FR"/>
        </w:rPr>
        <w:t>2.4.1</w:t>
      </w:r>
      <w:r w:rsidRPr="0085565C">
        <w:rPr>
          <w:sz w:val="18"/>
          <w:szCs w:val="18"/>
          <w:lang w:val="fr-FR"/>
        </w:rPr>
        <w:tab/>
        <w:t>Der APEX (</w:t>
      </w:r>
      <w:proofErr w:type="spellStart"/>
      <w:r w:rsidRPr="0085565C">
        <w:rPr>
          <w:sz w:val="18"/>
          <w:szCs w:val="18"/>
          <w:lang w:val="fr-FR"/>
        </w:rPr>
        <w:t>apikaler</w:t>
      </w:r>
      <w:proofErr w:type="spellEnd"/>
      <w:r w:rsidRPr="0085565C">
        <w:rPr>
          <w:sz w:val="18"/>
          <w:szCs w:val="18"/>
          <w:lang w:val="fr-FR"/>
        </w:rPr>
        <w:t xml:space="preserve"> </w:t>
      </w:r>
      <w:proofErr w:type="spellStart"/>
      <w:r w:rsidRPr="0085565C">
        <w:rPr>
          <w:sz w:val="18"/>
          <w:szCs w:val="18"/>
          <w:lang w:val="fr-FR"/>
        </w:rPr>
        <w:t>oder</w:t>
      </w:r>
      <w:proofErr w:type="spellEnd"/>
      <w:r w:rsidRPr="0085565C">
        <w:rPr>
          <w:sz w:val="18"/>
          <w:szCs w:val="18"/>
          <w:lang w:val="fr-FR"/>
        </w:rPr>
        <w:t xml:space="preserve"> </w:t>
      </w:r>
      <w:proofErr w:type="spellStart"/>
      <w:r w:rsidRPr="0085565C">
        <w:rPr>
          <w:sz w:val="18"/>
          <w:szCs w:val="18"/>
          <w:lang w:val="fr-FR"/>
        </w:rPr>
        <w:t>distaler</w:t>
      </w:r>
      <w:proofErr w:type="spellEnd"/>
      <w:r w:rsidRPr="0085565C">
        <w:rPr>
          <w:sz w:val="18"/>
          <w:szCs w:val="18"/>
          <w:lang w:val="fr-FR"/>
        </w:rPr>
        <w:t xml:space="preserve"> Teil) </w:t>
      </w:r>
      <w:proofErr w:type="spellStart"/>
      <w:r w:rsidRPr="0085565C">
        <w:rPr>
          <w:sz w:val="18"/>
          <w:szCs w:val="18"/>
          <w:lang w:val="fr-FR"/>
        </w:rPr>
        <w:t>eines</w:t>
      </w:r>
      <w:proofErr w:type="spellEnd"/>
      <w:r w:rsidRPr="0085565C">
        <w:rPr>
          <w:sz w:val="18"/>
          <w:szCs w:val="18"/>
          <w:lang w:val="fr-FR"/>
        </w:rPr>
        <w:t xml:space="preserve"> </w:t>
      </w:r>
      <w:proofErr w:type="spellStart"/>
      <w:r w:rsidRPr="0085565C">
        <w:rPr>
          <w:sz w:val="18"/>
          <w:szCs w:val="18"/>
          <w:lang w:val="fr-FR"/>
        </w:rPr>
        <w:t>Organs</w:t>
      </w:r>
      <w:proofErr w:type="spellEnd"/>
      <w:r w:rsidRPr="0085565C">
        <w:rPr>
          <w:sz w:val="18"/>
          <w:szCs w:val="18"/>
          <w:lang w:val="fr-FR"/>
        </w:rPr>
        <w:t xml:space="preserve"> </w:t>
      </w:r>
      <w:proofErr w:type="spellStart"/>
      <w:r w:rsidRPr="0085565C">
        <w:rPr>
          <w:sz w:val="18"/>
          <w:szCs w:val="18"/>
          <w:lang w:val="fr-FR"/>
        </w:rPr>
        <w:t>oder</w:t>
      </w:r>
      <w:proofErr w:type="spellEnd"/>
      <w:r w:rsidRPr="0085565C">
        <w:rPr>
          <w:sz w:val="18"/>
          <w:szCs w:val="18"/>
          <w:lang w:val="fr-FR"/>
        </w:rPr>
        <w:t xml:space="preserve"> </w:t>
      </w:r>
      <w:proofErr w:type="spellStart"/>
      <w:r w:rsidRPr="0085565C">
        <w:rPr>
          <w:sz w:val="18"/>
          <w:szCs w:val="18"/>
          <w:lang w:val="fr-FR"/>
        </w:rPr>
        <w:t>eines</w:t>
      </w:r>
      <w:proofErr w:type="spellEnd"/>
      <w:r w:rsidRPr="0085565C">
        <w:rPr>
          <w:sz w:val="18"/>
          <w:szCs w:val="18"/>
          <w:lang w:val="fr-FR"/>
        </w:rPr>
        <w:t xml:space="preserve"> </w:t>
      </w:r>
      <w:proofErr w:type="spellStart"/>
      <w:r w:rsidRPr="0085565C">
        <w:rPr>
          <w:sz w:val="18"/>
          <w:szCs w:val="18"/>
          <w:lang w:val="fr-FR"/>
        </w:rPr>
        <w:t>Pflanzenteils</w:t>
      </w:r>
      <w:proofErr w:type="spellEnd"/>
      <w:r w:rsidRPr="0085565C">
        <w:rPr>
          <w:sz w:val="18"/>
          <w:szCs w:val="18"/>
          <w:lang w:val="fr-FR"/>
        </w:rPr>
        <w:t xml:space="preserve"> </w:t>
      </w:r>
      <w:proofErr w:type="spellStart"/>
      <w:r w:rsidRPr="0085565C">
        <w:rPr>
          <w:sz w:val="18"/>
          <w:szCs w:val="18"/>
          <w:lang w:val="fr-FR"/>
        </w:rPr>
        <w:t>ist</w:t>
      </w:r>
      <w:proofErr w:type="spellEnd"/>
      <w:r w:rsidRPr="0085565C">
        <w:rPr>
          <w:sz w:val="18"/>
          <w:szCs w:val="18"/>
          <w:lang w:val="fr-FR"/>
        </w:rPr>
        <w:t xml:space="preserve"> </w:t>
      </w:r>
      <w:proofErr w:type="spellStart"/>
      <w:r w:rsidRPr="0085565C">
        <w:rPr>
          <w:sz w:val="18"/>
          <w:szCs w:val="18"/>
          <w:lang w:val="fr-FR"/>
        </w:rPr>
        <w:t>das</w:t>
      </w:r>
      <w:proofErr w:type="spellEnd"/>
      <w:r w:rsidRPr="0085565C">
        <w:rPr>
          <w:sz w:val="18"/>
          <w:szCs w:val="18"/>
          <w:lang w:val="fr-FR"/>
        </w:rPr>
        <w:t xml:space="preserve"> </w:t>
      </w:r>
      <w:proofErr w:type="spellStart"/>
      <w:r w:rsidRPr="0085565C">
        <w:rPr>
          <w:sz w:val="18"/>
          <w:szCs w:val="18"/>
          <w:lang w:val="fr-FR"/>
        </w:rPr>
        <w:t>am</w:t>
      </w:r>
      <w:proofErr w:type="spellEnd"/>
      <w:r w:rsidRPr="0085565C">
        <w:rPr>
          <w:sz w:val="18"/>
          <w:szCs w:val="18"/>
          <w:lang w:val="fr-FR"/>
        </w:rPr>
        <w:t xml:space="preserve"> </w:t>
      </w:r>
      <w:proofErr w:type="spellStart"/>
      <w:r w:rsidRPr="0085565C">
        <w:rPr>
          <w:sz w:val="18"/>
          <w:szCs w:val="18"/>
          <w:lang w:val="fr-FR"/>
        </w:rPr>
        <w:t>weitesten</w:t>
      </w:r>
      <w:proofErr w:type="spellEnd"/>
      <w:r w:rsidRPr="0085565C">
        <w:rPr>
          <w:sz w:val="18"/>
          <w:szCs w:val="18"/>
          <w:lang w:val="fr-FR"/>
        </w:rPr>
        <w:t xml:space="preserve"> </w:t>
      </w:r>
      <w:proofErr w:type="spellStart"/>
      <w:r w:rsidRPr="0085565C">
        <w:rPr>
          <w:sz w:val="18"/>
          <w:szCs w:val="18"/>
          <w:lang w:val="fr-FR"/>
        </w:rPr>
        <w:t>von</w:t>
      </w:r>
      <w:proofErr w:type="spellEnd"/>
      <w:r w:rsidRPr="0085565C">
        <w:rPr>
          <w:sz w:val="18"/>
          <w:szCs w:val="18"/>
          <w:lang w:val="fr-FR"/>
        </w:rPr>
        <w:t xml:space="preserve"> der </w:t>
      </w:r>
      <w:proofErr w:type="spellStart"/>
      <w:r w:rsidRPr="0085565C">
        <w:rPr>
          <w:sz w:val="18"/>
          <w:szCs w:val="18"/>
          <w:lang w:val="fr-FR"/>
        </w:rPr>
        <w:t>Ansatzstelle</w:t>
      </w:r>
      <w:proofErr w:type="spellEnd"/>
      <w:r w:rsidRPr="0085565C">
        <w:rPr>
          <w:sz w:val="18"/>
          <w:szCs w:val="18"/>
          <w:lang w:val="fr-FR"/>
        </w:rPr>
        <w:t xml:space="preserve"> </w:t>
      </w:r>
      <w:proofErr w:type="spellStart"/>
      <w:r w:rsidRPr="0085565C">
        <w:rPr>
          <w:sz w:val="18"/>
          <w:szCs w:val="18"/>
          <w:lang w:val="fr-FR"/>
        </w:rPr>
        <w:t>entfernte</w:t>
      </w:r>
      <w:proofErr w:type="spellEnd"/>
      <w:r w:rsidRPr="0085565C">
        <w:rPr>
          <w:sz w:val="18"/>
          <w:szCs w:val="18"/>
          <w:lang w:val="fr-FR"/>
        </w:rPr>
        <w:t xml:space="preserve"> Ende.  In </w:t>
      </w:r>
      <w:proofErr w:type="spellStart"/>
      <w:r w:rsidRPr="0085565C">
        <w:rPr>
          <w:sz w:val="18"/>
          <w:szCs w:val="18"/>
          <w:lang w:val="fr-FR"/>
        </w:rPr>
        <w:t>einigen</w:t>
      </w:r>
      <w:proofErr w:type="spellEnd"/>
      <w:r w:rsidRPr="0085565C">
        <w:rPr>
          <w:sz w:val="18"/>
          <w:szCs w:val="18"/>
          <w:lang w:val="fr-FR"/>
        </w:rPr>
        <w:t xml:space="preserve"> </w:t>
      </w:r>
      <w:proofErr w:type="spellStart"/>
      <w:r w:rsidRPr="0085565C">
        <w:rPr>
          <w:sz w:val="18"/>
          <w:szCs w:val="18"/>
          <w:lang w:val="fr-FR"/>
        </w:rPr>
        <w:t>Fällen</w:t>
      </w:r>
      <w:proofErr w:type="spellEnd"/>
      <w:r w:rsidRPr="0085565C">
        <w:rPr>
          <w:sz w:val="18"/>
          <w:szCs w:val="18"/>
          <w:lang w:val="fr-FR"/>
        </w:rPr>
        <w:t xml:space="preserve"> </w:t>
      </w:r>
      <w:proofErr w:type="spellStart"/>
      <w:r w:rsidRPr="0085565C">
        <w:rPr>
          <w:sz w:val="18"/>
          <w:szCs w:val="18"/>
          <w:lang w:val="fr-FR"/>
        </w:rPr>
        <w:t>kann</w:t>
      </w:r>
      <w:proofErr w:type="spellEnd"/>
      <w:r w:rsidRPr="0085565C">
        <w:rPr>
          <w:sz w:val="18"/>
          <w:szCs w:val="18"/>
          <w:lang w:val="fr-FR"/>
        </w:rPr>
        <w:t xml:space="preserve"> </w:t>
      </w:r>
      <w:proofErr w:type="spellStart"/>
      <w:r w:rsidRPr="0085565C">
        <w:rPr>
          <w:sz w:val="18"/>
          <w:szCs w:val="18"/>
          <w:lang w:val="fr-FR"/>
        </w:rPr>
        <w:t>das</w:t>
      </w:r>
      <w:proofErr w:type="spellEnd"/>
      <w:r w:rsidRPr="0085565C">
        <w:rPr>
          <w:sz w:val="18"/>
          <w:szCs w:val="18"/>
          <w:lang w:val="fr-FR"/>
        </w:rPr>
        <w:t xml:space="preserve"> distale Ende des Apex in </w:t>
      </w:r>
      <w:proofErr w:type="spellStart"/>
      <w:r w:rsidRPr="0085565C">
        <w:rPr>
          <w:sz w:val="18"/>
          <w:szCs w:val="18"/>
          <w:lang w:val="fr-FR"/>
        </w:rPr>
        <w:t>eine</w:t>
      </w:r>
      <w:proofErr w:type="spellEnd"/>
      <w:r w:rsidRPr="0085565C">
        <w:rPr>
          <w:sz w:val="18"/>
          <w:szCs w:val="18"/>
          <w:lang w:val="fr-FR"/>
        </w:rPr>
        <w:t xml:space="preserve"> ‚AUFGESETZTE SPITZE’ </w:t>
      </w:r>
      <w:proofErr w:type="spellStart"/>
      <w:r w:rsidRPr="0085565C">
        <w:rPr>
          <w:sz w:val="18"/>
          <w:szCs w:val="18"/>
          <w:lang w:val="fr-FR"/>
        </w:rPr>
        <w:t>differenziert</w:t>
      </w:r>
      <w:proofErr w:type="spellEnd"/>
      <w:r w:rsidRPr="0085565C">
        <w:rPr>
          <w:sz w:val="18"/>
          <w:szCs w:val="18"/>
          <w:lang w:val="fr-FR"/>
        </w:rPr>
        <w:t xml:space="preserve"> sein.</w:t>
      </w:r>
    </w:p>
    <w:p w:rsidR="00AF7A00" w:rsidRPr="0085565C" w:rsidRDefault="00AF7A00" w:rsidP="00AF7A00">
      <w:pPr>
        <w:keepNext/>
        <w:ind w:left="567" w:right="567"/>
        <w:rPr>
          <w:sz w:val="18"/>
          <w:szCs w:val="18"/>
          <w:lang w:val="fr-FR"/>
        </w:rPr>
      </w:pPr>
    </w:p>
    <w:p w:rsidR="00AF7A00" w:rsidRPr="00C258AE" w:rsidRDefault="00AF7A00" w:rsidP="00AF7A00">
      <w:pPr>
        <w:keepNext/>
        <w:ind w:left="567" w:right="567"/>
        <w:rPr>
          <w:sz w:val="18"/>
          <w:szCs w:val="18"/>
        </w:rPr>
      </w:pPr>
      <w:r w:rsidRPr="0085565C">
        <w:rPr>
          <w:sz w:val="18"/>
          <w:szCs w:val="18"/>
          <w:lang w:val="fr-FR"/>
        </w:rPr>
        <w:t>2.4.2</w:t>
      </w:r>
      <w:r w:rsidRPr="0085565C">
        <w:rPr>
          <w:sz w:val="18"/>
          <w:szCs w:val="18"/>
          <w:lang w:val="fr-FR"/>
        </w:rPr>
        <w:tab/>
        <w:t xml:space="preserve">Die </w:t>
      </w:r>
      <w:proofErr w:type="spellStart"/>
      <w:r w:rsidRPr="0085565C">
        <w:rPr>
          <w:sz w:val="18"/>
          <w:szCs w:val="18"/>
          <w:lang w:val="fr-FR"/>
        </w:rPr>
        <w:t>Vorgehensweise</w:t>
      </w:r>
      <w:proofErr w:type="spellEnd"/>
      <w:r w:rsidRPr="0085565C">
        <w:rPr>
          <w:sz w:val="18"/>
          <w:szCs w:val="18"/>
          <w:lang w:val="fr-FR"/>
        </w:rPr>
        <w:t xml:space="preserve"> </w:t>
      </w:r>
      <w:proofErr w:type="spellStart"/>
      <w:r w:rsidRPr="0085565C">
        <w:rPr>
          <w:sz w:val="18"/>
          <w:szCs w:val="18"/>
          <w:lang w:val="fr-FR"/>
        </w:rPr>
        <w:t>zur</w:t>
      </w:r>
      <w:proofErr w:type="spellEnd"/>
      <w:r w:rsidRPr="0085565C">
        <w:rPr>
          <w:sz w:val="18"/>
          <w:szCs w:val="18"/>
          <w:lang w:val="fr-FR"/>
        </w:rPr>
        <w:t xml:space="preserve"> </w:t>
      </w:r>
      <w:proofErr w:type="spellStart"/>
      <w:r w:rsidRPr="0085565C">
        <w:rPr>
          <w:sz w:val="18"/>
          <w:szCs w:val="18"/>
          <w:lang w:val="fr-FR"/>
        </w:rPr>
        <w:t>Beschreibung</w:t>
      </w:r>
      <w:proofErr w:type="spellEnd"/>
      <w:r w:rsidRPr="0085565C">
        <w:rPr>
          <w:sz w:val="18"/>
          <w:szCs w:val="18"/>
          <w:lang w:val="fr-FR"/>
        </w:rPr>
        <w:t xml:space="preserve"> des Apex </w:t>
      </w:r>
      <w:proofErr w:type="spellStart"/>
      <w:r w:rsidRPr="0085565C">
        <w:rPr>
          <w:sz w:val="18"/>
          <w:szCs w:val="18"/>
          <w:lang w:val="fr-FR"/>
        </w:rPr>
        <w:t>sollte</w:t>
      </w:r>
      <w:proofErr w:type="spellEnd"/>
      <w:r w:rsidRPr="0085565C">
        <w:rPr>
          <w:sz w:val="18"/>
          <w:szCs w:val="18"/>
          <w:lang w:val="fr-FR"/>
        </w:rPr>
        <w:t xml:space="preserve"> die </w:t>
      </w:r>
      <w:proofErr w:type="spellStart"/>
      <w:r w:rsidRPr="0085565C">
        <w:rPr>
          <w:sz w:val="18"/>
          <w:szCs w:val="18"/>
          <w:lang w:val="fr-FR"/>
        </w:rPr>
        <w:t>Größe</w:t>
      </w:r>
      <w:proofErr w:type="spellEnd"/>
      <w:r w:rsidRPr="0085565C">
        <w:rPr>
          <w:sz w:val="18"/>
          <w:szCs w:val="18"/>
          <w:lang w:val="fr-FR"/>
        </w:rPr>
        <w:t xml:space="preserve"> des </w:t>
      </w:r>
      <w:proofErr w:type="spellStart"/>
      <w:r w:rsidRPr="0085565C">
        <w:rPr>
          <w:sz w:val="18"/>
          <w:szCs w:val="18"/>
          <w:lang w:val="fr-FR"/>
        </w:rPr>
        <w:t>Organs</w:t>
      </w:r>
      <w:proofErr w:type="spellEnd"/>
      <w:r w:rsidRPr="0085565C">
        <w:rPr>
          <w:sz w:val="18"/>
          <w:szCs w:val="18"/>
          <w:lang w:val="fr-FR"/>
        </w:rPr>
        <w:t xml:space="preserve"> </w:t>
      </w:r>
      <w:proofErr w:type="spellStart"/>
      <w:r w:rsidRPr="0085565C">
        <w:rPr>
          <w:sz w:val="18"/>
          <w:szCs w:val="18"/>
          <w:lang w:val="fr-FR"/>
        </w:rPr>
        <w:t>und</w:t>
      </w:r>
      <w:proofErr w:type="spellEnd"/>
      <w:r w:rsidRPr="0085565C">
        <w:rPr>
          <w:sz w:val="18"/>
          <w:szCs w:val="18"/>
          <w:lang w:val="fr-FR"/>
        </w:rPr>
        <w:t xml:space="preserve"> die </w:t>
      </w:r>
      <w:proofErr w:type="spellStart"/>
      <w:r w:rsidRPr="0085565C">
        <w:rPr>
          <w:sz w:val="18"/>
          <w:szCs w:val="18"/>
          <w:lang w:val="fr-FR"/>
        </w:rPr>
        <w:t>Anzahl</w:t>
      </w:r>
      <w:proofErr w:type="spellEnd"/>
      <w:r w:rsidRPr="0085565C">
        <w:rPr>
          <w:sz w:val="18"/>
          <w:szCs w:val="18"/>
          <w:lang w:val="fr-FR"/>
        </w:rPr>
        <w:t xml:space="preserve"> der </w:t>
      </w:r>
      <w:proofErr w:type="spellStart"/>
      <w:r w:rsidRPr="0085565C">
        <w:rPr>
          <w:sz w:val="18"/>
          <w:szCs w:val="18"/>
          <w:lang w:val="fr-FR"/>
        </w:rPr>
        <w:t>Formen</w:t>
      </w:r>
      <w:proofErr w:type="spellEnd"/>
      <w:r w:rsidRPr="0085565C">
        <w:rPr>
          <w:sz w:val="18"/>
          <w:szCs w:val="18"/>
          <w:lang w:val="fr-FR"/>
        </w:rPr>
        <w:t xml:space="preserve"> </w:t>
      </w:r>
      <w:proofErr w:type="spellStart"/>
      <w:r w:rsidRPr="0085565C">
        <w:rPr>
          <w:sz w:val="18"/>
          <w:szCs w:val="18"/>
          <w:lang w:val="fr-FR"/>
        </w:rPr>
        <w:t>für</w:t>
      </w:r>
      <w:proofErr w:type="spellEnd"/>
      <w:r w:rsidRPr="0085565C">
        <w:rPr>
          <w:sz w:val="18"/>
          <w:szCs w:val="18"/>
          <w:lang w:val="fr-FR"/>
        </w:rPr>
        <w:t xml:space="preserve"> den Apex </w:t>
      </w:r>
      <w:proofErr w:type="spellStart"/>
      <w:r w:rsidRPr="0085565C">
        <w:rPr>
          <w:sz w:val="18"/>
          <w:szCs w:val="18"/>
          <w:lang w:val="fr-FR"/>
        </w:rPr>
        <w:t>berücksichtigen</w:t>
      </w:r>
      <w:proofErr w:type="spellEnd"/>
      <w:r w:rsidRPr="0085565C">
        <w:rPr>
          <w:sz w:val="18"/>
          <w:szCs w:val="18"/>
          <w:lang w:val="fr-FR"/>
        </w:rPr>
        <w:t xml:space="preserve">.  </w:t>
      </w:r>
      <w:r w:rsidRPr="00C258AE">
        <w:rPr>
          <w:sz w:val="18"/>
          <w:szCs w:val="18"/>
        </w:rPr>
        <w:t>Die Merkmale für den Apex lassen sich in einfachen Begriffen beschreiben.  Wenn eine differenzierte Spitze vorhanden ist, könnte diese als getrenntes Merkmal näher beschrieben werden.  In der Regel ist es jedoch nicht notwendig, die Merkmale für die Apex</w:t>
      </w:r>
      <w:r w:rsidRPr="00C258AE">
        <w:rPr>
          <w:sz w:val="18"/>
          <w:szCs w:val="18"/>
        </w:rPr>
        <w:noBreakHyphen/>
        <w:t>Form in aufgesetzte Spitze und Apex aufzuteilen.</w:t>
      </w:r>
    </w:p>
    <w:p w:rsidR="00AF7A00" w:rsidRPr="00C258AE" w:rsidRDefault="00AF7A00" w:rsidP="00AF7A00">
      <w:pPr>
        <w:keepNext/>
        <w:ind w:left="567" w:right="567"/>
        <w:rPr>
          <w:sz w:val="18"/>
          <w:szCs w:val="18"/>
        </w:rPr>
      </w:pPr>
    </w:p>
    <w:p w:rsidR="00AF7A00" w:rsidRPr="00C258AE" w:rsidRDefault="00AF7A00" w:rsidP="00AF7A00">
      <w:pPr>
        <w:keepNext/>
        <w:ind w:left="567" w:right="567"/>
        <w:rPr>
          <w:sz w:val="18"/>
        </w:rPr>
      </w:pPr>
      <w:r w:rsidRPr="00C258AE">
        <w:rPr>
          <w:sz w:val="18"/>
          <w:szCs w:val="18"/>
        </w:rPr>
        <w:t>2.4.3</w:t>
      </w:r>
      <w:r w:rsidRPr="00C258AE">
        <w:rPr>
          <w:sz w:val="18"/>
          <w:szCs w:val="18"/>
        </w:rPr>
        <w:tab/>
        <w:t xml:space="preserve">Wenn es angebracht ist, differenzierte Spitze und Apex in getrennte Merkmale aufzuteilen, wird die Form des Apex als allgemeine Form, ohne differenzierte Spitze (sofern vorhanden), angenommen, und die </w:t>
      </w:r>
      <w:r w:rsidRPr="00C258AE">
        <w:rPr>
          <w:sz w:val="18"/>
          <w:szCs w:val="18"/>
        </w:rPr>
        <w:lastRenderedPageBreak/>
        <w:t>Aufteilung von aufgesetzter Spitze und Apex sollte in der Erläuterung des Merkmals angegeben werden,</w:t>
      </w:r>
      <w:r w:rsidRPr="00C258AE">
        <w:rPr>
          <w:sz w:val="18"/>
        </w:rPr>
        <w:t xml:space="preserve"> beispielsweise :</w:t>
      </w:r>
    </w:p>
    <w:p w:rsidR="00AF7A00" w:rsidRPr="00C258AE" w:rsidRDefault="00AF7A00" w:rsidP="00AF7A00">
      <w:pPr>
        <w:ind w:left="567" w:right="567"/>
        <w:rPr>
          <w:sz w:val="18"/>
        </w:rPr>
      </w:pPr>
    </w:p>
    <w:p w:rsidR="00AF7A00" w:rsidRPr="0085565C" w:rsidRDefault="00AF7A00" w:rsidP="00AF7A00">
      <w:pPr>
        <w:ind w:left="567" w:right="567"/>
        <w:rPr>
          <w:sz w:val="18"/>
          <w:lang w:val="fr-FR"/>
        </w:rPr>
      </w:pPr>
      <w:r w:rsidRPr="0085565C">
        <w:rPr>
          <w:sz w:val="18"/>
          <w:lang w:val="fr-FR"/>
        </w:rPr>
        <w:t>[…]“</w:t>
      </w:r>
    </w:p>
    <w:p w:rsidR="00AF7A00" w:rsidRPr="0085565C" w:rsidRDefault="00AF7A00" w:rsidP="00AF7A00">
      <w:pPr>
        <w:ind w:left="567" w:right="567"/>
        <w:rPr>
          <w:sz w:val="18"/>
          <w:lang w:val="fr-FR"/>
        </w:rPr>
      </w:pPr>
    </w:p>
    <w:p w:rsidR="00AF7A00" w:rsidRPr="0085565C" w:rsidRDefault="00AF7A00" w:rsidP="00AF7A00">
      <w:pPr>
        <w:ind w:left="567" w:right="567"/>
        <w:rPr>
          <w:sz w:val="18"/>
          <w:lang w:val="fr-FR"/>
        </w:rPr>
      </w:pPr>
    </w:p>
    <w:p w:rsidR="00AF7A00" w:rsidRPr="0085565C" w:rsidRDefault="00AF7A00" w:rsidP="00AF7A00">
      <w:pPr>
        <w:pStyle w:val="Heading5"/>
        <w:rPr>
          <w:lang w:val="fr-FR"/>
        </w:rPr>
      </w:pPr>
      <w:r w:rsidRPr="0085565C">
        <w:rPr>
          <w:lang w:val="fr-FR"/>
        </w:rPr>
        <w:t>ii)</w:t>
      </w:r>
      <w:r w:rsidRPr="0085565C">
        <w:rPr>
          <w:lang w:val="fr-FR"/>
        </w:rPr>
        <w:tab/>
        <w:t>Sous</w:t>
      </w:r>
      <w:r w:rsidRPr="0085565C">
        <w:rPr>
          <w:lang w:val="fr-FR"/>
        </w:rPr>
        <w:noBreakHyphen/>
        <w:t>section 3 : “Couleur”</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prend note que la correction apportée à la version française du terme anglais désignant le groupe de couleur “</w:t>
      </w:r>
      <w:proofErr w:type="spellStart"/>
      <w:r w:rsidRPr="0085565C">
        <w:rPr>
          <w:lang w:val="fr-FR"/>
        </w:rPr>
        <w:t>dark</w:t>
      </w:r>
      <w:proofErr w:type="spellEnd"/>
      <w:r w:rsidRPr="0085565C">
        <w:rPr>
          <w:lang w:val="fr-FR"/>
        </w:rPr>
        <w:t xml:space="preserve"> </w:t>
      </w:r>
      <w:proofErr w:type="spellStart"/>
      <w:r w:rsidRPr="0085565C">
        <w:rPr>
          <w:lang w:val="fr-FR"/>
        </w:rPr>
        <w:t>purple</w:t>
      </w:r>
      <w:proofErr w:type="spellEnd"/>
      <w:r w:rsidRPr="0085565C">
        <w:rPr>
          <w:lang w:val="fr-FR"/>
        </w:rPr>
        <w:t xml:space="preserve"> </w:t>
      </w:r>
      <w:proofErr w:type="spellStart"/>
      <w:r w:rsidRPr="0085565C">
        <w:rPr>
          <w:lang w:val="fr-FR"/>
        </w:rPr>
        <w:t>red</w:t>
      </w:r>
      <w:proofErr w:type="spellEnd"/>
      <w:r w:rsidRPr="0085565C">
        <w:rPr>
          <w:lang w:val="fr-FR"/>
        </w:rPr>
        <w:t>” devient “rouge</w:t>
      </w:r>
      <w:r w:rsidRPr="0085565C">
        <w:rPr>
          <w:lang w:val="fr-FR"/>
        </w:rPr>
        <w:noBreakHyphen/>
        <w:t>pourpre foncé” dans la sous</w:t>
      </w:r>
      <w:r w:rsidRPr="0085565C">
        <w:rPr>
          <w:lang w:val="fr-FR"/>
        </w:rPr>
        <w:noBreakHyphen/>
        <w:t>section 3 : “Couleur” du document TGP/14.</w:t>
      </w:r>
    </w:p>
    <w:p w:rsidR="00AF7A00" w:rsidRPr="0085565C" w:rsidRDefault="00AF7A00" w:rsidP="00AF7A00">
      <w:pPr>
        <w:rPr>
          <w:lang w:val="fr-FR"/>
        </w:rPr>
      </w:pPr>
    </w:p>
    <w:p w:rsidR="00AF7A00" w:rsidRPr="0085565C" w:rsidRDefault="00AF7A00" w:rsidP="00AF7A00">
      <w:pPr>
        <w:rPr>
          <w:lang w:val="fr-FR"/>
        </w:rPr>
      </w:pPr>
    </w:p>
    <w:p w:rsidR="00AF7A00" w:rsidRPr="0085565C" w:rsidRDefault="00AF7A00" w:rsidP="00AF7A00">
      <w:pPr>
        <w:pStyle w:val="Heading3"/>
        <w:rPr>
          <w:snapToGrid w:val="0"/>
        </w:rPr>
      </w:pPr>
      <w:bookmarkStart w:id="12" w:name="_Toc428287699"/>
      <w:r w:rsidRPr="0085565C">
        <w:rPr>
          <w:snapToGrid w:val="0"/>
        </w:rPr>
        <w:t>Future révision des documents TGP</w:t>
      </w:r>
      <w:bookmarkEnd w:id="12"/>
    </w:p>
    <w:p w:rsidR="00AF7A00" w:rsidRPr="0085565C" w:rsidRDefault="00AF7A00" w:rsidP="00AF7A00">
      <w:pPr>
        <w:keepNext/>
        <w:rPr>
          <w:lang w:val="fr-FR"/>
        </w:rPr>
      </w:pPr>
    </w:p>
    <w:p w:rsidR="00AF7A00" w:rsidRPr="0085565C" w:rsidRDefault="00AF7A00" w:rsidP="00AF7A00">
      <w:pPr>
        <w:pStyle w:val="Heading4"/>
        <w:ind w:left="0" w:firstLine="567"/>
      </w:pPr>
      <w:r w:rsidRPr="0085565C">
        <w:t>TGP/7 :</w:t>
      </w:r>
      <w:r w:rsidRPr="0085565C">
        <w:rPr>
          <w:i w:val="0"/>
        </w:rPr>
        <w:t xml:space="preserve"> </w:t>
      </w:r>
      <w:r w:rsidRPr="0085565C">
        <w:t>Élaboration des principes directeurs d’examen</w:t>
      </w:r>
    </w:p>
    <w:p w:rsidR="00AF7A00" w:rsidRPr="0085565C" w:rsidRDefault="00AF7A00" w:rsidP="00AF7A00">
      <w:pPr>
        <w:keepNext/>
        <w:rPr>
          <w:lang w:val="fr-FR"/>
        </w:rPr>
      </w:pPr>
    </w:p>
    <w:p w:rsidR="00AF7A00" w:rsidRPr="0085565C" w:rsidRDefault="00AF7A00" w:rsidP="00AF7A00">
      <w:pPr>
        <w:pStyle w:val="Heading5"/>
        <w:rPr>
          <w:lang w:val="fr-FR"/>
        </w:rPr>
      </w:pPr>
      <w:r w:rsidRPr="0085565C">
        <w:rPr>
          <w:lang w:val="fr-FR"/>
        </w:rPr>
        <w:t>i)</w:t>
      </w:r>
      <w:r w:rsidRPr="0085565C">
        <w:rPr>
          <w:lang w:val="fr-FR"/>
        </w:rPr>
        <w:tab/>
        <w:t>Révision du document TGP/7 : Matériel pour les rédacteurs de principes directeurs d’examen</w:t>
      </w:r>
    </w:p>
    <w:p w:rsidR="00AF7A00" w:rsidRPr="0085565C" w:rsidRDefault="00AF7A00" w:rsidP="00AF7A00">
      <w:pPr>
        <w:keepNext/>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convient qu’un projet détaillé de révision du document TGP/7 devrait être présenté aux TWP à leurs sessions en 2015 afin de tenir compte de l’introduction du modèle des principes directeurs d’examen fondé sur le Web.</w:t>
      </w:r>
    </w:p>
    <w:p w:rsidR="00AF7A00" w:rsidRPr="0085565C" w:rsidRDefault="00AF7A00" w:rsidP="00AF7A00">
      <w:pPr>
        <w:rPr>
          <w:lang w:val="fr-FR"/>
        </w:rPr>
      </w:pPr>
    </w:p>
    <w:p w:rsidR="00AF7A00" w:rsidRPr="0085565C" w:rsidRDefault="00AF7A00" w:rsidP="00AF7A00">
      <w:pPr>
        <w:pStyle w:val="Heading5"/>
        <w:rPr>
          <w:lang w:val="fr-FR"/>
        </w:rPr>
      </w:pPr>
      <w:r w:rsidRPr="0085565C">
        <w:rPr>
          <w:lang w:val="fr-FR"/>
        </w:rPr>
        <w:t>ii)</w:t>
      </w:r>
      <w:r w:rsidRPr="0085565C">
        <w:rPr>
          <w:lang w:val="fr-FR"/>
        </w:rPr>
        <w:tab/>
        <w:t>Révision du document TGP/7 : Matériel végétal soumis pour examen</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prend note des renseignements fournis dans le document TC/51/14 </w:t>
      </w:r>
      <w:proofErr w:type="spellStart"/>
      <w:r w:rsidRPr="0085565C">
        <w:rPr>
          <w:lang w:val="fr-FR"/>
        </w:rPr>
        <w:t>Rev</w:t>
      </w:r>
      <w:proofErr w:type="spellEnd"/>
      <w:r w:rsidRPr="0085565C">
        <w:rPr>
          <w:lang w:val="fr-FR"/>
        </w:rPr>
        <w:t>.</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convient qu’il ne serait pas nécessaire d’élaborer d’autres conseils afin de résoudre les problèmes concernant le matériel végétal soumis pour examen en supplément de ceux figurant déjà dans les documents TG/1/3 “ Introduction générale à l’examen de la distinction, de l’homogénéité et de la stabilité et à l’harmonisation des descriptions variétales des obtentions végétales “, TGP/7 “ Élaboration des principes directeurs d’examen “ et TGP/9 “Examen de la distinction”.</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 xml:space="preserve">Le TC convient que les services concernés devraient fournir des conseils sur les conditions applicables au matériel soumis aux fins d’examen DHS pour éviter tout effet éventuel du type de reproduction ou de multiplication (par exemple, la </w:t>
      </w:r>
      <w:proofErr w:type="spellStart"/>
      <w:r w:rsidRPr="0085565C">
        <w:rPr>
          <w:lang w:val="fr-FR"/>
        </w:rPr>
        <w:t>micropropagation</w:t>
      </w:r>
      <w:proofErr w:type="spellEnd"/>
      <w:r w:rsidRPr="0085565C">
        <w:rPr>
          <w:lang w:val="fr-FR"/>
        </w:rPr>
        <w:t>) sur l’expression des caractères DHS.</w:t>
      </w:r>
    </w:p>
    <w:p w:rsidR="00AF7A00" w:rsidRPr="0085565C" w:rsidRDefault="00AF7A00" w:rsidP="00AF7A00">
      <w:pPr>
        <w:rPr>
          <w:lang w:val="fr-FR"/>
        </w:rPr>
      </w:pPr>
    </w:p>
    <w:p w:rsidR="00AF7A00" w:rsidRPr="0085565C" w:rsidRDefault="00AF7A00" w:rsidP="00AF7A00">
      <w:pPr>
        <w:pStyle w:val="Heading5"/>
        <w:rPr>
          <w:lang w:val="fr-FR"/>
        </w:rPr>
      </w:pPr>
      <w:bookmarkStart w:id="13" w:name="_Toc412193724"/>
      <w:r w:rsidRPr="0085565C">
        <w:rPr>
          <w:lang w:val="fr-FR"/>
        </w:rPr>
        <w:t>iii)</w:t>
      </w:r>
      <w:r w:rsidRPr="0085565C">
        <w:rPr>
          <w:lang w:val="fr-FR"/>
        </w:rPr>
        <w:tab/>
        <w:t xml:space="preserve">Révision du document TGP/7 : </w:t>
      </w:r>
      <w:bookmarkEnd w:id="13"/>
      <w:r w:rsidRPr="0085565C">
        <w:rPr>
          <w:lang w:val="fr-FR"/>
        </w:rPr>
        <w:t>Portée des principes directeurs</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examine le document TC/51/15.</w:t>
      </w:r>
    </w:p>
    <w:p w:rsidR="00AF7A00" w:rsidRPr="0085565C" w:rsidRDefault="00AF7A00" w:rsidP="00AF7A00">
      <w:pPr>
        <w:rPr>
          <w:lang w:val="fr-FR"/>
        </w:rPr>
      </w:pPr>
    </w:p>
    <w:p w:rsidR="00AF7A00" w:rsidRPr="0085565C" w:rsidRDefault="00AF7A00" w:rsidP="00AF7A00">
      <w:pPr>
        <w:rPr>
          <w:rFonts w:cs="Arial"/>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convient de la proposition de modifier le document TGP/7 par l’ajout d’un nouveau texte standard dans le modèle de principes directeurs d’examen, au chapitre 4.2 intitulé “Homogénéité” et de modifier ASW 8 c) afin de fournir des conseils pour les principes directeurs d’examen qui sont élaborés sur la base de variétés ayant un type de reproduction ou de multiplication lorsque des variétés peuvent être mises au point dans l’avenir avec d’autres types de reproduction ou de multiplication, comme suit </w:t>
      </w:r>
      <w:r w:rsidRPr="0085565C">
        <w:rPr>
          <w:rFonts w:cs="Arial"/>
          <w:lang w:val="fr-FR"/>
        </w:rPr>
        <w:t>:</w:t>
      </w:r>
    </w:p>
    <w:p w:rsidR="00AF7A00" w:rsidRPr="0085565C" w:rsidRDefault="00AF7A00" w:rsidP="00AF7A00">
      <w:pPr>
        <w:rPr>
          <w:lang w:val="fr-FR"/>
        </w:rPr>
      </w:pPr>
    </w:p>
    <w:p w:rsidR="00AF7A00" w:rsidRPr="0085565C" w:rsidRDefault="00AF7A00" w:rsidP="00AF7A00">
      <w:pPr>
        <w:ind w:left="567"/>
        <w:rPr>
          <w:sz w:val="18"/>
          <w:szCs w:val="18"/>
          <w:lang w:val="fr-FR"/>
        </w:rPr>
      </w:pPr>
      <w:bookmarkStart w:id="14" w:name="_Toc410382487"/>
      <w:r w:rsidRPr="0085565C">
        <w:rPr>
          <w:sz w:val="18"/>
          <w:szCs w:val="18"/>
          <w:lang w:val="fr-FR"/>
        </w:rPr>
        <w:t>“Nouveau texte standard : modèle de principes directeurs d’examen, chapitre 4.2 :</w:t>
      </w:r>
      <w:bookmarkEnd w:id="14"/>
    </w:p>
    <w:p w:rsidR="00AF7A00" w:rsidRPr="0085565C" w:rsidRDefault="00AF7A00" w:rsidP="00AF7A00">
      <w:pPr>
        <w:rPr>
          <w:lang w:val="fr-FR"/>
        </w:rPr>
      </w:pPr>
    </w:p>
    <w:p w:rsidR="00AF7A00" w:rsidRPr="0085565C" w:rsidRDefault="00AF7A00" w:rsidP="00AF7A00">
      <w:pPr>
        <w:autoSpaceDE w:val="0"/>
        <w:autoSpaceDN w:val="0"/>
        <w:adjustRightInd w:val="0"/>
        <w:ind w:left="1134" w:right="567"/>
        <w:rPr>
          <w:sz w:val="16"/>
          <w:lang w:val="fr-FR"/>
        </w:rPr>
      </w:pPr>
      <w:r w:rsidRPr="0085565C">
        <w:rPr>
          <w:sz w:val="16"/>
          <w:lang w:val="fr-FR"/>
        </w:rPr>
        <w:t>“Les présents principes directeurs d’examen ont été établis pour l’examen des variétés [type ou types de reproduction ou de multiplication].  En ce qui concerne les variétés ayant d’autres types de reproduction ou de multiplication, il convient de suivre les recommandations qui figurent dans l’introduction générale et le document TGP/13 intitulé ‘Conseils pour les nouveaux types et espèces’, à la section 4.5 : ‘Examen de l’homogénéité.’”</w:t>
      </w:r>
    </w:p>
    <w:p w:rsidR="00AF7A00" w:rsidRPr="0085565C" w:rsidRDefault="00AF7A00" w:rsidP="00AF7A00">
      <w:pPr>
        <w:rPr>
          <w:lang w:val="fr-FR"/>
        </w:rPr>
      </w:pPr>
    </w:p>
    <w:p w:rsidR="00AF7A00" w:rsidRPr="0085565C" w:rsidRDefault="00AF7A00" w:rsidP="00AF7A00">
      <w:pPr>
        <w:ind w:left="567"/>
        <w:rPr>
          <w:sz w:val="18"/>
          <w:szCs w:val="18"/>
          <w:lang w:val="fr-FR"/>
        </w:rPr>
      </w:pPr>
      <w:bookmarkStart w:id="15" w:name="_Toc410382488"/>
      <w:r w:rsidRPr="0085565C">
        <w:rPr>
          <w:sz w:val="18"/>
          <w:szCs w:val="18"/>
          <w:lang w:val="fr-FR"/>
        </w:rPr>
        <w:t>“ASW 8 c)</w:t>
      </w:r>
      <w:bookmarkEnd w:id="15"/>
    </w:p>
    <w:p w:rsidR="00AF7A00" w:rsidRPr="0085565C" w:rsidRDefault="00AF7A00" w:rsidP="00AF7A00">
      <w:pPr>
        <w:rPr>
          <w:lang w:val="fr-FR"/>
        </w:rPr>
      </w:pPr>
    </w:p>
    <w:p w:rsidR="00AF7A00" w:rsidRPr="0085565C" w:rsidRDefault="00AF7A00" w:rsidP="00AF7A00">
      <w:pPr>
        <w:autoSpaceDE w:val="0"/>
        <w:autoSpaceDN w:val="0"/>
        <w:adjustRightInd w:val="0"/>
        <w:ind w:left="1134" w:right="567"/>
        <w:rPr>
          <w:i/>
          <w:iCs/>
          <w:sz w:val="16"/>
          <w:lang w:val="fr-FR"/>
        </w:rPr>
      </w:pPr>
      <w:r w:rsidRPr="0085565C">
        <w:rPr>
          <w:i/>
          <w:iCs/>
          <w:sz w:val="16"/>
          <w:lang w:val="fr-FR"/>
        </w:rPr>
        <w:t>“c)</w:t>
      </w:r>
      <w:r w:rsidRPr="0085565C">
        <w:rPr>
          <w:iCs/>
          <w:sz w:val="16"/>
          <w:lang w:val="fr-FR"/>
        </w:rPr>
        <w:tab/>
      </w:r>
      <w:r w:rsidRPr="0085565C">
        <w:rPr>
          <w:i/>
          <w:iCs/>
          <w:sz w:val="16"/>
          <w:lang w:val="fr-FR"/>
        </w:rPr>
        <w:t>Détermination de l’homogénéité au moyen des plantes hors</w:t>
      </w:r>
      <w:r w:rsidRPr="0085565C">
        <w:rPr>
          <w:i/>
          <w:iCs/>
          <w:sz w:val="16"/>
          <w:lang w:val="fr-FR"/>
        </w:rPr>
        <w:noBreakHyphen/>
        <w:t>type (observation de tous les caractères sur un même échantillon)</w:t>
      </w:r>
    </w:p>
    <w:p w:rsidR="00AF7A00" w:rsidRPr="0085565C" w:rsidRDefault="00AF7A00" w:rsidP="00AF7A00">
      <w:pPr>
        <w:autoSpaceDE w:val="0"/>
        <w:autoSpaceDN w:val="0"/>
        <w:adjustRightInd w:val="0"/>
        <w:ind w:left="1134" w:right="567"/>
        <w:rPr>
          <w:i/>
          <w:iCs/>
          <w:sz w:val="16"/>
          <w:lang w:val="fr-FR"/>
        </w:rPr>
      </w:pPr>
    </w:p>
    <w:p w:rsidR="00AF7A00" w:rsidRPr="0085565C" w:rsidRDefault="00AF7A00" w:rsidP="00AF7A00">
      <w:pPr>
        <w:autoSpaceDE w:val="0"/>
        <w:autoSpaceDN w:val="0"/>
        <w:adjustRightInd w:val="0"/>
        <w:ind w:left="1134" w:right="567"/>
        <w:rPr>
          <w:sz w:val="16"/>
          <w:lang w:val="fr-FR"/>
        </w:rPr>
      </w:pPr>
      <w:r w:rsidRPr="0085565C">
        <w:rPr>
          <w:sz w:val="16"/>
          <w:lang w:val="fr-FR"/>
        </w:rPr>
        <w:t xml:space="preserve">“Pour l’évaluation de l’homogénéité de variétés [autogames] [multipliées par voie végétative] [reproduites par voie sexuée], il faut appliquer une norme de population de </w:t>
      </w:r>
      <w:proofErr w:type="gramStart"/>
      <w:r w:rsidRPr="0085565C">
        <w:rPr>
          <w:sz w:val="16"/>
          <w:lang w:val="fr-FR"/>
        </w:rPr>
        <w:t>{ x</w:t>
      </w:r>
      <w:proofErr w:type="gramEnd"/>
      <w:r w:rsidRPr="0085565C">
        <w:rPr>
          <w:sz w:val="16"/>
          <w:lang w:val="fr-FR"/>
        </w:rPr>
        <w:t xml:space="preserve"> }% et une probabilité d’acceptation d’au moins { y }%.  Dans le cas d’un échantillon de </w:t>
      </w:r>
      <w:proofErr w:type="gramStart"/>
      <w:r w:rsidRPr="0085565C">
        <w:rPr>
          <w:sz w:val="16"/>
          <w:lang w:val="fr-FR"/>
        </w:rPr>
        <w:t>{ a</w:t>
      </w:r>
      <w:proofErr w:type="gramEnd"/>
      <w:r w:rsidRPr="0085565C">
        <w:rPr>
          <w:sz w:val="16"/>
          <w:lang w:val="fr-FR"/>
        </w:rPr>
        <w:t> } plantes, [{ b } plantes hors types sont] / [une plante hors type est] toléré(es).”</w:t>
      </w:r>
    </w:p>
    <w:p w:rsidR="00AF7A00" w:rsidRPr="0085565C" w:rsidRDefault="00AF7A00" w:rsidP="00AF7A00">
      <w:pPr>
        <w:rPr>
          <w:lang w:val="fr-FR"/>
        </w:rPr>
      </w:pPr>
    </w:p>
    <w:p w:rsidR="00AF7A00" w:rsidRPr="0085565C" w:rsidRDefault="00AF7A00" w:rsidP="00AF7A00">
      <w:pPr>
        <w:rPr>
          <w:lang w:val="fr-FR"/>
        </w:rPr>
      </w:pPr>
    </w:p>
    <w:p w:rsidR="00AF7A00" w:rsidRPr="0085565C" w:rsidRDefault="00AF7A00" w:rsidP="00AF7A00">
      <w:pPr>
        <w:pStyle w:val="Heading4"/>
      </w:pPr>
      <w:r w:rsidRPr="0085565C">
        <w:lastRenderedPageBreak/>
        <w:t>TGP/8 :</w:t>
      </w:r>
      <w:r w:rsidRPr="0085565C">
        <w:rPr>
          <w:i w:val="0"/>
        </w:rPr>
        <w:t xml:space="preserve"> </w:t>
      </w:r>
      <w:r w:rsidRPr="0085565C">
        <w:t>Protocole d’essai et techniques utilisées dans l’examen de la distinction, de l’homogénéité et de la stabilité</w:t>
      </w:r>
    </w:p>
    <w:p w:rsidR="00AF7A00" w:rsidRPr="0085565C" w:rsidRDefault="00AF7A00" w:rsidP="00AF7A00">
      <w:pPr>
        <w:pStyle w:val="Heading2"/>
        <w:rPr>
          <w:lang w:val="fr-FR"/>
        </w:rPr>
      </w:pPr>
    </w:p>
    <w:p w:rsidR="00AF7A00" w:rsidRPr="0085565C" w:rsidRDefault="00AF7A00" w:rsidP="00AF7A00">
      <w:pPr>
        <w:pStyle w:val="Heading5"/>
        <w:rPr>
          <w:lang w:val="fr-FR"/>
        </w:rPr>
      </w:pPr>
      <w:bookmarkStart w:id="16" w:name="_Toc374385130"/>
      <w:bookmarkStart w:id="17" w:name="_Toc374631068"/>
      <w:bookmarkStart w:id="18" w:name="_Toc374632540"/>
      <w:bookmarkStart w:id="19" w:name="_Toc374635740"/>
      <w:bookmarkStart w:id="20" w:name="_Toc378251530"/>
      <w:bookmarkStart w:id="21" w:name="_Toc381279991"/>
      <w:r w:rsidRPr="0085565C">
        <w:rPr>
          <w:lang w:val="fr-FR"/>
        </w:rPr>
        <w:t>i)</w:t>
      </w:r>
      <w:r w:rsidRPr="0085565C">
        <w:rPr>
          <w:lang w:val="fr-FR"/>
        </w:rPr>
        <w:tab/>
        <w:t>Révision du document TGP/8 : Première partie : Protocole d’essai DHS et analyse des données, Nouvelle section : Réduction optimale de la variation due à différents observateurs</w:t>
      </w:r>
    </w:p>
    <w:p w:rsidR="00AF7A00" w:rsidRPr="0085565C" w:rsidRDefault="00AF7A00" w:rsidP="00AF7A00">
      <w:pPr>
        <w:keepNext/>
        <w:ind w:left="1418" w:hanging="851"/>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examine le document TC/51/16 et le projet de conseils à incorporer dans le document TGP/8 concernant la réduction optimale de la variation due à différents observateurs dans un même essai, figurant à l’annexe du document TC/51/16, ainsi que les observations formulées les groupes de travail techniques à leurs sessions en 2014.</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convient de demander à un de l’Australie de poursuivre l’élaboration du document devant être présenté aux groupes de travail techniques à leurs sessions en 2015, et de modifier le titre qui doit être remplacé par celui figurant en annexe du document TC/51/16 “Optimisation de la variation due à différents observateurs dans un même essai”.</w:t>
      </w:r>
    </w:p>
    <w:p w:rsidR="00AF7A00" w:rsidRPr="0085565C" w:rsidRDefault="00AF7A00" w:rsidP="00AF7A00">
      <w:pPr>
        <w:rPr>
          <w:lang w:val="fr-FR"/>
        </w:rPr>
      </w:pPr>
    </w:p>
    <w:p w:rsidR="00AF7A00" w:rsidRPr="0085565C" w:rsidRDefault="00AF7A00" w:rsidP="00AF7A00">
      <w:pPr>
        <w:pStyle w:val="Heading5"/>
        <w:rPr>
          <w:lang w:val="fr-FR"/>
        </w:rPr>
      </w:pPr>
      <w:r w:rsidRPr="0085565C">
        <w:rPr>
          <w:lang w:val="fr-FR"/>
        </w:rPr>
        <w:t>ii)</w:t>
      </w:r>
      <w:r w:rsidRPr="0085565C">
        <w:rPr>
          <w:lang w:val="fr-FR"/>
        </w:rPr>
        <w:tab/>
        <w:t>Révision du document TGP/8 : deuxième partie : quelques techniques utilisées dans l’examen DHS, section 9 : analyse globale de l’homogénéité sur plusieurs années (méthode d’analyse COYU)</w:t>
      </w:r>
    </w:p>
    <w:p w:rsidR="00AF7A00" w:rsidRPr="0085565C" w:rsidRDefault="00AF7A00" w:rsidP="00AF7A00">
      <w:pPr>
        <w:keepNext/>
        <w:rPr>
          <w:lang w:val="fr-FR"/>
        </w:rPr>
      </w:pPr>
    </w:p>
    <w:p w:rsidR="00AF7A00" w:rsidRPr="0085565C" w:rsidRDefault="00AF7A00" w:rsidP="00AF7A00">
      <w:pPr>
        <w:keepNext/>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examine le document TC/51/17 sur l’évolution des travaux concernant la méthode de calcul de la COYU, ainsi qu’un exercice pratique effectué à l’aide de données réelles afin de comparer les décisions prises au moyen de la méthode actuelle et celles prises au moyen de la méthode améliorée proposée.</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prend note que les participants à l’exercice visant à évaluer le logiciel de la nouvelle méthode de calcul de la COYU devraient :</w:t>
      </w:r>
    </w:p>
    <w:p w:rsidR="00AF7A00" w:rsidRPr="0085565C" w:rsidRDefault="00AF7A00" w:rsidP="00AF7A00">
      <w:pPr>
        <w:rPr>
          <w:lang w:val="fr-FR"/>
        </w:rPr>
      </w:pPr>
    </w:p>
    <w:p w:rsidR="00AF7A00" w:rsidRPr="0085565C" w:rsidRDefault="00AF7A00" w:rsidP="00AF7A00">
      <w:pPr>
        <w:ind w:left="1134" w:hanging="567"/>
        <w:rPr>
          <w:lang w:val="fr-FR"/>
        </w:rPr>
      </w:pPr>
      <w:r w:rsidRPr="0085565C">
        <w:rPr>
          <w:lang w:val="fr-FR"/>
        </w:rPr>
        <w:t>i)</w:t>
      </w:r>
      <w:r w:rsidRPr="0085565C">
        <w:rPr>
          <w:lang w:val="fr-FR"/>
        </w:rPr>
        <w:tab/>
        <w:t>chercher à définir les seuils de probabilité d’une correspondance avec les décisions prises au moyen de l’ancienne méthode de calcul de la COYU;</w:t>
      </w:r>
    </w:p>
    <w:p w:rsidR="00AF7A00" w:rsidRPr="0085565C" w:rsidRDefault="00AF7A00" w:rsidP="00AF7A00">
      <w:pPr>
        <w:ind w:left="567"/>
        <w:rPr>
          <w:lang w:val="fr-FR"/>
        </w:rPr>
      </w:pPr>
      <w:r w:rsidRPr="0085565C">
        <w:rPr>
          <w:lang w:val="fr-FR"/>
        </w:rPr>
        <w:t>ii)</w:t>
      </w:r>
      <w:r w:rsidRPr="0085565C">
        <w:rPr>
          <w:lang w:val="fr-FR"/>
        </w:rPr>
        <w:tab/>
        <w:t>effectuer le test sur la base de probabilités de rejet de 1, 2 et 5%;  et</w:t>
      </w:r>
    </w:p>
    <w:p w:rsidR="00AF7A00" w:rsidRPr="0085565C" w:rsidRDefault="00AF7A00" w:rsidP="00AF7A00">
      <w:pPr>
        <w:ind w:left="567"/>
        <w:rPr>
          <w:lang w:val="fr-FR"/>
        </w:rPr>
      </w:pPr>
      <w:r w:rsidRPr="0085565C">
        <w:rPr>
          <w:lang w:val="fr-FR"/>
        </w:rPr>
        <w:t>iii)</w:t>
      </w:r>
      <w:r w:rsidRPr="0085565C">
        <w:rPr>
          <w:lang w:val="fr-FR"/>
        </w:rPr>
        <w:tab/>
        <w:t>évaluer l’uniformité des résultats pour toutes les plantes</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prend note que l’expert du Royaume</w:t>
      </w:r>
      <w:r w:rsidRPr="0085565C">
        <w:rPr>
          <w:lang w:val="fr-FR"/>
        </w:rPr>
        <w:noBreakHyphen/>
        <w:t>Uni a distribué le module de logiciel pour le calcul de la COYU, ainsi que le document d’orientation, aux participants à l’exercice</w:t>
      </w:r>
      <w:r w:rsidRPr="0085565C">
        <w:rPr>
          <w:iCs/>
          <w:spacing w:val="-4"/>
          <w:lang w:val="fr-FR" w:eastAsia="ja-JP"/>
        </w:rPr>
        <w:t>.</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prend note que les experts de l’Allemagne, de la Finlande, de la France, du Kenya, de la Pologne, la République tchèque et du Royaume</w:t>
      </w:r>
      <w:r w:rsidRPr="0085565C">
        <w:rPr>
          <w:lang w:val="fr-FR"/>
        </w:rPr>
        <w:noBreakHyphen/>
        <w:t>Uni participeraient à l’exercice visant à tester le nouveau logiciel sur la COYU</w:t>
      </w:r>
      <w:r w:rsidRPr="0085565C">
        <w:rPr>
          <w:iCs/>
          <w:spacing w:val="-4"/>
          <w:lang w:val="fr-FR" w:eastAsia="ja-JP"/>
        </w:rPr>
        <w:t>.</w:t>
      </w:r>
    </w:p>
    <w:p w:rsidR="00AF7A00" w:rsidRPr="0085565C" w:rsidRDefault="00AF7A00" w:rsidP="00AF7A00">
      <w:pPr>
        <w:rPr>
          <w:lang w:val="fr-FR"/>
        </w:rPr>
      </w:pPr>
    </w:p>
    <w:p w:rsidR="00AF7A00" w:rsidRPr="0085565C" w:rsidRDefault="00AF7A00" w:rsidP="00AF7A00">
      <w:pPr>
        <w:rPr>
          <w:iCs/>
          <w:spacing w:val="-4"/>
          <w:lang w:val="fr-FR" w:eastAsia="ja-JP"/>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prend note qu’un compte rendu de l’exercice pratique et de l’élaboration du module DUST sera présenté à la trente</w:t>
      </w:r>
      <w:r w:rsidRPr="0085565C">
        <w:rPr>
          <w:lang w:val="fr-FR"/>
        </w:rPr>
        <w:noBreakHyphen/>
        <w:t>troisième session du TWC</w:t>
      </w:r>
      <w:r w:rsidRPr="0085565C">
        <w:rPr>
          <w:iCs/>
          <w:spacing w:val="-4"/>
          <w:lang w:val="fr-FR" w:eastAsia="ja-JP"/>
        </w:rPr>
        <w:t>.</w:t>
      </w:r>
      <w:bookmarkEnd w:id="16"/>
      <w:bookmarkEnd w:id="17"/>
      <w:bookmarkEnd w:id="18"/>
      <w:bookmarkEnd w:id="19"/>
      <w:bookmarkEnd w:id="20"/>
      <w:bookmarkEnd w:id="21"/>
    </w:p>
    <w:p w:rsidR="00AF7A00" w:rsidRPr="0085565C" w:rsidRDefault="00AF7A00" w:rsidP="00AF7A00">
      <w:pPr>
        <w:rPr>
          <w:lang w:val="fr-FR"/>
        </w:rPr>
      </w:pPr>
    </w:p>
    <w:p w:rsidR="00AF7A00" w:rsidRPr="0085565C" w:rsidRDefault="00AF7A00" w:rsidP="00AF7A00">
      <w:pPr>
        <w:pStyle w:val="Heading5"/>
        <w:rPr>
          <w:lang w:val="fr-FR"/>
        </w:rPr>
      </w:pPr>
      <w:bookmarkStart w:id="22" w:name="_Toc374385128"/>
      <w:bookmarkStart w:id="23" w:name="_Toc374631066"/>
      <w:bookmarkStart w:id="24" w:name="_Toc374632538"/>
      <w:bookmarkStart w:id="25" w:name="_Toc374635738"/>
      <w:bookmarkStart w:id="26" w:name="_Toc378251528"/>
      <w:bookmarkStart w:id="27" w:name="_Toc381279989"/>
      <w:r w:rsidRPr="0085565C">
        <w:rPr>
          <w:lang w:val="fr-FR"/>
        </w:rPr>
        <w:t>iii)</w:t>
      </w:r>
      <w:r w:rsidRPr="0085565C">
        <w:rPr>
          <w:lang w:val="fr-FR"/>
        </w:rPr>
        <w:tab/>
        <w:t>Révision du document TGP/8 : Deuxième partie : Quelques techniques utilisées dans l’examen DHS, nouvelle section : Examen DHS sur des échantillons globaux</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examine le document TC/51/18.</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convient de demander aux experts des Pays</w:t>
      </w:r>
      <w:r w:rsidRPr="0085565C">
        <w:rPr>
          <w:lang w:val="fr-FR"/>
        </w:rPr>
        <w:noBreakHyphen/>
        <w:t xml:space="preserve">Bas de fournir des informations complémentaires sur l’évaluation systématique de la teneur en </w:t>
      </w:r>
      <w:proofErr w:type="spellStart"/>
      <w:r w:rsidRPr="0085565C">
        <w:rPr>
          <w:lang w:val="fr-FR"/>
        </w:rPr>
        <w:t>glucoraphanine</w:t>
      </w:r>
      <w:proofErr w:type="spellEnd"/>
      <w:r w:rsidRPr="0085565C">
        <w:rPr>
          <w:lang w:val="fr-FR"/>
        </w:rPr>
        <w:t xml:space="preserve"> présentée dans l’annexe du document TC/51/18.</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convient que des informations complémentaires sur le respect des conditions relatives à un caractère DHS devraient être fournies dans l’exemple de caractère examiné sur la base d’un échantillon global qui figure à l’annexe du document TC/51/18.</w:t>
      </w:r>
    </w:p>
    <w:p w:rsidR="00AF7A00" w:rsidRPr="0085565C" w:rsidRDefault="00AF7A00" w:rsidP="00AF7A00">
      <w:pPr>
        <w:rPr>
          <w:lang w:val="fr-FR"/>
        </w:rPr>
      </w:pPr>
    </w:p>
    <w:p w:rsidR="00AF7A00" w:rsidRPr="0085565C" w:rsidRDefault="00AF7A00" w:rsidP="00AF7A00">
      <w:pPr>
        <w:rPr>
          <w:lang w:val="fr-FR" w:eastAsia="ja-JP"/>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 xml:space="preserve">Le TC convient d’examiner plus avant </w:t>
      </w:r>
      <w:r w:rsidRPr="0085565C">
        <w:rPr>
          <w:lang w:val="fr-FR" w:eastAsia="ja-JP"/>
        </w:rPr>
        <w:t>s’il serait nécessaire d’analyser les plantes isolées pour la validation des caractères examinés sur la base d’échantillons globaux, ainsi que les incidences éventuelles en termes de coût, et invite les groupes de travail techniques à proposer d’autres approches pour l’examen de l’homogénéité.  À cet égard, le TC propose que les travaux précédents du TWC, portant sur l’utilisation de sous</w:t>
      </w:r>
      <w:r w:rsidRPr="0085565C">
        <w:rPr>
          <w:lang w:val="fr-FR" w:eastAsia="ja-JP"/>
        </w:rPr>
        <w:noBreakHyphen/>
        <w:t>échantillons, servent de point de départ.</w:t>
      </w:r>
    </w:p>
    <w:p w:rsidR="00AF7A00" w:rsidRPr="0085565C" w:rsidRDefault="00AF7A00" w:rsidP="00AF7A00">
      <w:pPr>
        <w:rPr>
          <w:lang w:val="fr-FR" w:eastAsia="ja-JP"/>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convient d’examiner plus avant si les caractères examinés sur la base d’échantillons globaux devraient être évalués en se fondant sur le nombre de plantes recommandé dans les principes directeurs d’examen au chapitre 4.1.4.</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convient que la détermination des niveaux d’expression devrait être fondée sur la variation existante entre les variétés et tenir compte de l’influence de l’environnement.</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se félicite de l’offre de la France visant à fournir d’autres exemples de caractères sur la base d’échantillons globaux et invite d’autres membres à fournir des exemples.</w:t>
      </w:r>
    </w:p>
    <w:p w:rsidR="00AF7A00" w:rsidRPr="0085565C" w:rsidRDefault="00AF7A00" w:rsidP="00AF7A00">
      <w:pPr>
        <w:rPr>
          <w:lang w:val="fr-FR"/>
        </w:rPr>
      </w:pPr>
    </w:p>
    <w:p w:rsidR="00AF7A00" w:rsidRPr="0085565C" w:rsidRDefault="00AF7A00" w:rsidP="00AF7A00">
      <w:pPr>
        <w:pStyle w:val="Heading5"/>
        <w:rPr>
          <w:lang w:val="fr-FR"/>
        </w:rPr>
      </w:pPr>
      <w:r w:rsidRPr="0085565C">
        <w:rPr>
          <w:lang w:val="fr-FR"/>
        </w:rPr>
        <w:t>iv)</w:t>
      </w:r>
      <w:r w:rsidRPr="0085565C">
        <w:rPr>
          <w:lang w:val="fr-FR"/>
        </w:rPr>
        <w:tab/>
        <w:t>Révision du document TGP/8</w:t>
      </w:r>
      <w:r w:rsidRPr="0085565C">
        <w:rPr>
          <w:i/>
          <w:lang w:val="fr-FR"/>
        </w:rPr>
        <w:t xml:space="preserve"> : </w:t>
      </w:r>
      <w:r w:rsidRPr="0085565C">
        <w:rPr>
          <w:lang w:val="fr-FR"/>
        </w:rPr>
        <w:t>deuxième partie : Techniques utilisées dans l’examen DHS, nouvelle section : Méthodes de traitement des données pour l’évaluation de la distinction et l’établissement de descriptions variétales</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prend note des informations fournies dans le document TC/51/19.</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accueille avec satisfaction la proposition faite par le TWC, figurant au paragraphe 32 du document TC/51/19, de comparer les résultats de l’exercice pratique fournis par les participants pour repérer les différences dans les résultats obtenus et mieux comprendre les différentes méthodes employées, pour examen à la trente</w:t>
      </w:r>
      <w:r w:rsidRPr="0085565C">
        <w:rPr>
          <w:lang w:val="fr-FR"/>
        </w:rPr>
        <w:noBreakHyphen/>
        <w:t>troisième session du TWC qui se tiendra à Natal (Brésil).</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L’Union européenne indique que le projet de test d’étalonnage pour le pommier aux fins de gestion des descriptions variétales, qui devait être lancé en 2015, a été suspendu en raison des coûts élevés qu’il entraîne.</w:t>
      </w:r>
    </w:p>
    <w:p w:rsidR="00AF7A00" w:rsidRPr="0085565C" w:rsidRDefault="00AF7A00" w:rsidP="00AF7A00">
      <w:pPr>
        <w:rPr>
          <w:lang w:val="fr-FR"/>
        </w:rPr>
      </w:pPr>
    </w:p>
    <w:p w:rsidR="00AF7A00" w:rsidRPr="0085565C" w:rsidRDefault="00AF7A00" w:rsidP="00AF7A00">
      <w:pPr>
        <w:pStyle w:val="Heading5"/>
        <w:rPr>
          <w:lang w:val="fr-FR"/>
        </w:rPr>
      </w:pPr>
      <w:bookmarkStart w:id="28" w:name="_Toc412193730"/>
      <w:r w:rsidRPr="0085565C">
        <w:rPr>
          <w:lang w:val="fr-FR"/>
        </w:rPr>
        <w:t>v)</w:t>
      </w:r>
      <w:r w:rsidRPr="0085565C">
        <w:rPr>
          <w:lang w:val="fr-FR"/>
        </w:rPr>
        <w:tab/>
        <w:t>Révision du document TGP/8 : Deuxième partie : Techniques utilisées dans l’examen DHS, nouvelle section : Indications aux fins des essais aveugles aléatoires</w:t>
      </w:r>
      <w:bookmarkEnd w:id="28"/>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comité examine le document TC/51/20.</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prend note que les essais aléatoires en aveugle ne sont pas couramment utilisés et convient que les indications actuelles figurant dans les documents TGP/8 : Première partie : “Protocole d’essai DHS et analyse des données” et TGP/9 “Examen de la distinction” sont suffisantes pour traiter de la question.</w:t>
      </w:r>
    </w:p>
    <w:p w:rsidR="00AF7A00" w:rsidRPr="0085565C" w:rsidRDefault="00AF7A00" w:rsidP="00AF7A00">
      <w:pPr>
        <w:rPr>
          <w:lang w:val="fr-FR"/>
        </w:rPr>
      </w:pPr>
    </w:p>
    <w:bookmarkEnd w:id="22"/>
    <w:bookmarkEnd w:id="23"/>
    <w:bookmarkEnd w:id="24"/>
    <w:bookmarkEnd w:id="25"/>
    <w:bookmarkEnd w:id="26"/>
    <w:bookmarkEnd w:id="27"/>
    <w:p w:rsidR="00AF7A00" w:rsidRPr="0085565C" w:rsidRDefault="00AF7A00" w:rsidP="00AF7A00">
      <w:pPr>
        <w:pStyle w:val="Heading5"/>
        <w:rPr>
          <w:lang w:val="fr-FR"/>
        </w:rPr>
      </w:pPr>
      <w:r w:rsidRPr="0085565C">
        <w:rPr>
          <w:lang w:val="fr-FR"/>
        </w:rPr>
        <w:t>vi)</w:t>
      </w:r>
      <w:r w:rsidRPr="0085565C">
        <w:rPr>
          <w:lang w:val="fr-FR"/>
        </w:rPr>
        <w:tab/>
        <w:t>Révision du document TGP/8 : Deuxième partie : Techniques utilisées dans l’examen DHS, nouvelle section : Examen de caractères au moyen de l’analyse d’images</w:t>
      </w:r>
    </w:p>
    <w:p w:rsidR="00AF7A00" w:rsidRPr="0085565C" w:rsidRDefault="00AF7A00" w:rsidP="00AF7A00">
      <w:pPr>
        <w:keepNext/>
        <w:rPr>
          <w:lang w:val="fr-FR"/>
        </w:rPr>
      </w:pPr>
    </w:p>
    <w:p w:rsidR="00AF7A00" w:rsidRPr="0085565C" w:rsidRDefault="00AF7A00" w:rsidP="00AF7A00">
      <w:pPr>
        <w:rPr>
          <w:iCs/>
          <w:spacing w:val="-4"/>
          <w:lang w:val="fr-FR" w:eastAsia="ja-JP"/>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w:t>
      </w:r>
      <w:r w:rsidRPr="0085565C">
        <w:rPr>
          <w:iCs/>
          <w:spacing w:val="-4"/>
          <w:lang w:val="fr-FR"/>
        </w:rPr>
        <w:t xml:space="preserve"> examine le document TC/51/21 et la proposition de projet de principes directeurs concernant l’“Examen de caractères au moyen de l’analyse d’images”, qui figure à l’annexe du </w:t>
      </w:r>
      <w:r w:rsidRPr="0085565C">
        <w:rPr>
          <w:lang w:val="fr-FR"/>
        </w:rPr>
        <w:t>document TC/51/21,</w:t>
      </w:r>
      <w:r w:rsidRPr="0085565C">
        <w:rPr>
          <w:lang w:val="fr-FR" w:eastAsia="ja-JP"/>
        </w:rPr>
        <w:t xml:space="preserve"> ainsi que les observations formulées par le TC</w:t>
      </w:r>
      <w:r w:rsidRPr="0085565C">
        <w:rPr>
          <w:lang w:val="fr-FR" w:eastAsia="ja-JP"/>
        </w:rPr>
        <w:noBreakHyphen/>
        <w:t>EDC à sa réunion en 2015, telles qu’elles figurent au paragraphe</w:t>
      </w:r>
      <w:r w:rsidRPr="0085565C">
        <w:rPr>
          <w:iCs/>
          <w:spacing w:val="-4"/>
          <w:lang w:val="fr-FR" w:eastAsia="ja-JP"/>
        </w:rPr>
        <w:t xml:space="preserve"> 16 du </w:t>
      </w:r>
      <w:r w:rsidRPr="0085565C">
        <w:rPr>
          <w:lang w:val="fr-FR"/>
        </w:rPr>
        <w:t>document TC/51/21</w:t>
      </w:r>
      <w:r w:rsidRPr="0085565C">
        <w:rPr>
          <w:iCs/>
          <w:spacing w:val="-4"/>
          <w:lang w:val="fr-FR" w:eastAsia="ja-JP"/>
        </w:rPr>
        <w:t>.</w:t>
      </w:r>
    </w:p>
    <w:p w:rsidR="00AF7A00" w:rsidRPr="0085565C" w:rsidRDefault="00AF7A00" w:rsidP="00AF7A00">
      <w:pPr>
        <w:rPr>
          <w:iCs/>
          <w:spacing w:val="-4"/>
          <w:lang w:val="fr-FR" w:eastAsia="ja-JP"/>
        </w:rPr>
      </w:pPr>
    </w:p>
    <w:p w:rsidR="00AF7A00" w:rsidRPr="0085565C" w:rsidRDefault="00AF7A00" w:rsidP="00AF7A00">
      <w:pPr>
        <w:rPr>
          <w:iCs/>
          <w:spacing w:val="-4"/>
          <w:lang w:val="fr-FR" w:eastAsia="ja-JP"/>
        </w:rPr>
      </w:pPr>
      <w:r w:rsidRPr="0085565C">
        <w:rPr>
          <w:iCs/>
          <w:spacing w:val="-4"/>
          <w:lang w:val="fr-FR" w:eastAsia="ja-JP"/>
        </w:rPr>
        <w:fldChar w:fldCharType="begin"/>
      </w:r>
      <w:r w:rsidRPr="0085565C">
        <w:rPr>
          <w:iCs/>
          <w:spacing w:val="-4"/>
          <w:lang w:val="fr-FR" w:eastAsia="ja-JP"/>
        </w:rPr>
        <w:instrText xml:space="preserve"> AUTONUM  </w:instrText>
      </w:r>
      <w:r w:rsidRPr="0085565C">
        <w:rPr>
          <w:iCs/>
          <w:spacing w:val="-4"/>
          <w:lang w:val="fr-FR" w:eastAsia="ja-JP"/>
        </w:rPr>
        <w:fldChar w:fldCharType="end"/>
      </w:r>
      <w:r w:rsidRPr="0085565C">
        <w:rPr>
          <w:iCs/>
          <w:spacing w:val="-4"/>
          <w:lang w:val="fr-FR" w:eastAsia="ja-JP"/>
        </w:rPr>
        <w:tab/>
        <w:t>Le TC approuve les recommandations proposées concernant</w:t>
      </w:r>
      <w:r w:rsidRPr="0085565C">
        <w:rPr>
          <w:lang w:val="fr-FR"/>
        </w:rPr>
        <w:t xml:space="preserve"> l’“Examen de caractères au moyen de l’analyse d’images”, sous réserve des modifications suivantes :</w:t>
      </w:r>
    </w:p>
    <w:p w:rsidR="00AF7A00" w:rsidRPr="0085565C" w:rsidRDefault="00AF7A00" w:rsidP="00AF7A00">
      <w:pPr>
        <w:rPr>
          <w:iCs/>
          <w:spacing w:val="-4"/>
          <w:lang w:val="fr-FR" w:eastAsia="ja-JP"/>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659"/>
      </w:tblGrid>
      <w:tr w:rsidR="00AF7A00" w:rsidRPr="00C258AE" w:rsidTr="00697CEF">
        <w:tc>
          <w:tcPr>
            <w:tcW w:w="2122" w:type="dxa"/>
          </w:tcPr>
          <w:p w:rsidR="00AF7A00" w:rsidRPr="0085565C" w:rsidRDefault="00AF7A00" w:rsidP="00697CEF">
            <w:pPr>
              <w:jc w:val="left"/>
              <w:rPr>
                <w:rFonts w:cs="Arial"/>
                <w:lang w:val="fr-FR"/>
              </w:rPr>
            </w:pPr>
            <w:r w:rsidRPr="0085565C">
              <w:rPr>
                <w:rFonts w:cs="Arial"/>
                <w:lang w:val="fr-FR"/>
              </w:rPr>
              <w:t>Annexe, paragraphe 5</w:t>
            </w:r>
          </w:p>
        </w:tc>
        <w:tc>
          <w:tcPr>
            <w:tcW w:w="7659" w:type="dxa"/>
          </w:tcPr>
          <w:p w:rsidR="00AF7A00" w:rsidRPr="0085565C" w:rsidRDefault="00AF7A00" w:rsidP="00697CEF">
            <w:pPr>
              <w:keepNext/>
              <w:rPr>
                <w:rFonts w:cs="Arial"/>
                <w:lang w:val="fr-FR"/>
              </w:rPr>
            </w:pPr>
            <w:r w:rsidRPr="0085565C">
              <w:rPr>
                <w:rFonts w:cs="Arial"/>
                <w:lang w:val="fr-FR"/>
              </w:rPr>
              <w:t>ajouter “dans les cas où l’analyse d’images est automatisée” à la fin de la première phrase</w:t>
            </w:r>
          </w:p>
        </w:tc>
      </w:tr>
      <w:tr w:rsidR="00AF7A00" w:rsidRPr="00C258AE" w:rsidTr="00697CEF">
        <w:tc>
          <w:tcPr>
            <w:tcW w:w="2122" w:type="dxa"/>
          </w:tcPr>
          <w:p w:rsidR="00AF7A00" w:rsidRPr="0085565C" w:rsidRDefault="00AF7A00" w:rsidP="00697CEF">
            <w:pPr>
              <w:jc w:val="left"/>
              <w:rPr>
                <w:rFonts w:cs="Arial"/>
                <w:lang w:val="fr-FR"/>
              </w:rPr>
            </w:pPr>
            <w:r w:rsidRPr="0085565C">
              <w:rPr>
                <w:rFonts w:cs="Arial"/>
                <w:lang w:val="fr-FR"/>
              </w:rPr>
              <w:t>Annexe, paragraphe 14</w:t>
            </w:r>
          </w:p>
        </w:tc>
        <w:tc>
          <w:tcPr>
            <w:tcW w:w="7659" w:type="dxa"/>
          </w:tcPr>
          <w:p w:rsidR="00AF7A00" w:rsidRPr="0085565C" w:rsidRDefault="00AF7A00" w:rsidP="00697CEF">
            <w:pPr>
              <w:keepNext/>
              <w:rPr>
                <w:rFonts w:cs="Arial"/>
                <w:lang w:val="fr-FR"/>
              </w:rPr>
            </w:pPr>
            <w:r w:rsidRPr="0085565C">
              <w:rPr>
                <w:rFonts w:cs="Arial"/>
                <w:lang w:val="fr-FR"/>
              </w:rPr>
              <w:t>supprimer le titre au</w:t>
            </w:r>
            <w:r w:rsidRPr="0085565C">
              <w:rPr>
                <w:rFonts w:cs="Arial"/>
                <w:lang w:val="fr-FR"/>
              </w:rPr>
              <w:noBreakHyphen/>
              <w:t>dessus du paragraphe</w:t>
            </w:r>
          </w:p>
        </w:tc>
      </w:tr>
      <w:tr w:rsidR="00AF7A00" w:rsidRPr="00C258AE" w:rsidTr="00697CEF">
        <w:tc>
          <w:tcPr>
            <w:tcW w:w="2122" w:type="dxa"/>
          </w:tcPr>
          <w:p w:rsidR="00AF7A00" w:rsidRPr="0085565C" w:rsidRDefault="00AF7A00" w:rsidP="00697CEF">
            <w:pPr>
              <w:jc w:val="left"/>
              <w:rPr>
                <w:rFonts w:cs="Arial"/>
                <w:lang w:val="fr-FR"/>
              </w:rPr>
            </w:pPr>
            <w:r w:rsidRPr="0085565C">
              <w:rPr>
                <w:rFonts w:cs="Arial"/>
                <w:lang w:val="fr-FR"/>
              </w:rPr>
              <w:t>Annexe, paragraphe 18</w:t>
            </w:r>
          </w:p>
        </w:tc>
        <w:tc>
          <w:tcPr>
            <w:tcW w:w="7659" w:type="dxa"/>
          </w:tcPr>
          <w:p w:rsidR="00AF7A00" w:rsidRPr="0085565C" w:rsidRDefault="00AF7A00" w:rsidP="00697CEF">
            <w:pPr>
              <w:keepNext/>
              <w:rPr>
                <w:rFonts w:cs="Arial"/>
                <w:lang w:val="fr-FR"/>
              </w:rPr>
            </w:pPr>
            <w:r w:rsidRPr="0085565C">
              <w:rPr>
                <w:rFonts w:cs="Arial"/>
                <w:lang w:val="fr-FR"/>
              </w:rPr>
              <w:t>doit se lire “Code RHS des couleurs”</w:t>
            </w:r>
          </w:p>
        </w:tc>
      </w:tr>
      <w:tr w:rsidR="00AF7A00" w:rsidRPr="0085565C" w:rsidTr="00697CEF">
        <w:tc>
          <w:tcPr>
            <w:tcW w:w="2122" w:type="dxa"/>
          </w:tcPr>
          <w:p w:rsidR="00AF7A00" w:rsidRPr="0085565C" w:rsidRDefault="00AF7A00" w:rsidP="00697CEF">
            <w:pPr>
              <w:jc w:val="left"/>
              <w:rPr>
                <w:rFonts w:cs="Arial"/>
                <w:lang w:val="fr-FR"/>
              </w:rPr>
            </w:pPr>
            <w:r w:rsidRPr="0085565C">
              <w:rPr>
                <w:rFonts w:cs="Arial"/>
                <w:lang w:val="fr-FR"/>
              </w:rPr>
              <w:t>Annexe, paragraphe 19</w:t>
            </w:r>
          </w:p>
        </w:tc>
        <w:tc>
          <w:tcPr>
            <w:tcW w:w="7659" w:type="dxa"/>
          </w:tcPr>
          <w:p w:rsidR="00AF7A00" w:rsidRPr="0085565C" w:rsidRDefault="00AF7A00" w:rsidP="00697CEF">
            <w:pPr>
              <w:keepNext/>
              <w:rPr>
                <w:rFonts w:cs="Arial"/>
                <w:lang w:val="fr-FR"/>
              </w:rPr>
            </w:pPr>
            <w:r w:rsidRPr="0085565C">
              <w:rPr>
                <w:rFonts w:cs="Arial"/>
                <w:lang w:val="fr-FR"/>
              </w:rPr>
              <w:t>supprimer</w:t>
            </w:r>
          </w:p>
        </w:tc>
      </w:tr>
      <w:tr w:rsidR="00AF7A00" w:rsidRPr="00C258AE" w:rsidTr="00697CEF">
        <w:tc>
          <w:tcPr>
            <w:tcW w:w="2122" w:type="dxa"/>
          </w:tcPr>
          <w:p w:rsidR="00AF7A00" w:rsidRPr="0085565C" w:rsidRDefault="00AF7A00" w:rsidP="00697CEF">
            <w:pPr>
              <w:jc w:val="left"/>
              <w:rPr>
                <w:rFonts w:cs="Arial"/>
                <w:lang w:val="fr-FR"/>
              </w:rPr>
            </w:pPr>
            <w:r w:rsidRPr="0085565C">
              <w:rPr>
                <w:rFonts w:cs="Arial"/>
                <w:lang w:val="fr-FR"/>
              </w:rPr>
              <w:t>Annexe, paragraphe 20</w:t>
            </w:r>
          </w:p>
        </w:tc>
        <w:tc>
          <w:tcPr>
            <w:tcW w:w="7659" w:type="dxa"/>
          </w:tcPr>
          <w:p w:rsidR="00AF7A00" w:rsidRPr="0085565C" w:rsidRDefault="00AF7A00" w:rsidP="00697CEF">
            <w:pPr>
              <w:pStyle w:val="ListParagraph"/>
              <w:ind w:left="0"/>
              <w:rPr>
                <w:rFonts w:cs="Arial"/>
                <w:lang w:val="fr-FR"/>
              </w:rPr>
            </w:pPr>
            <w:r w:rsidRPr="0085565C">
              <w:rPr>
                <w:rFonts w:cs="Arial"/>
                <w:lang w:val="fr-FR"/>
              </w:rPr>
              <w:t>remplacer “maison” par “développés en interne”</w:t>
            </w:r>
          </w:p>
        </w:tc>
      </w:tr>
      <w:tr w:rsidR="00AF7A00" w:rsidRPr="00C258AE" w:rsidTr="00697CEF">
        <w:tc>
          <w:tcPr>
            <w:tcW w:w="2122" w:type="dxa"/>
          </w:tcPr>
          <w:p w:rsidR="00AF7A00" w:rsidRPr="0085565C" w:rsidRDefault="00AF7A00" w:rsidP="00697CEF">
            <w:pPr>
              <w:jc w:val="left"/>
              <w:rPr>
                <w:rFonts w:cs="Arial"/>
                <w:lang w:val="fr-FR"/>
              </w:rPr>
            </w:pPr>
            <w:r w:rsidRPr="0085565C">
              <w:rPr>
                <w:rFonts w:cs="Arial"/>
                <w:lang w:val="fr-FR"/>
              </w:rPr>
              <w:t>Annexe, paragraphe 22</w:t>
            </w:r>
          </w:p>
        </w:tc>
        <w:tc>
          <w:tcPr>
            <w:tcW w:w="7659" w:type="dxa"/>
          </w:tcPr>
          <w:p w:rsidR="00AF7A00" w:rsidRPr="0085565C" w:rsidRDefault="00AF7A00" w:rsidP="00697CEF">
            <w:pPr>
              <w:pStyle w:val="ListParagraph"/>
              <w:ind w:left="0"/>
              <w:rPr>
                <w:rFonts w:cs="Arial"/>
                <w:lang w:val="fr-FR"/>
              </w:rPr>
            </w:pPr>
            <w:r w:rsidRPr="0085565C">
              <w:rPr>
                <w:rFonts w:cs="Arial"/>
                <w:lang w:val="fr-FR"/>
              </w:rPr>
              <w:t xml:space="preserve">doit se lire “…possible de l’utiliser pour déterminer à l’avenir un plus large éventail de caractères standard de l’UPOV.” </w:t>
            </w:r>
          </w:p>
        </w:tc>
      </w:tr>
    </w:tbl>
    <w:p w:rsidR="00AF7A00" w:rsidRPr="0085565C" w:rsidRDefault="00AF7A00" w:rsidP="00AF7A00">
      <w:pPr>
        <w:rPr>
          <w:iCs/>
          <w:spacing w:val="-4"/>
          <w:lang w:val="fr-FR" w:eastAsia="ja-JP"/>
        </w:rPr>
      </w:pPr>
    </w:p>
    <w:p w:rsidR="00AF7A00" w:rsidRPr="0085565C" w:rsidRDefault="00AF7A00" w:rsidP="00AF7A00">
      <w:pPr>
        <w:rPr>
          <w:lang w:val="fr-FR"/>
        </w:rPr>
      </w:pPr>
    </w:p>
    <w:p w:rsidR="00AF7A00" w:rsidRPr="0085565C" w:rsidRDefault="00AF7A00" w:rsidP="00AF7A00">
      <w:pPr>
        <w:pStyle w:val="Heading5"/>
        <w:rPr>
          <w:lang w:val="fr-FR"/>
        </w:rPr>
      </w:pPr>
      <w:r w:rsidRPr="0085565C">
        <w:rPr>
          <w:lang w:val="fr-FR"/>
        </w:rPr>
        <w:t>vii)</w:t>
      </w:r>
      <w:r w:rsidRPr="0085565C">
        <w:rPr>
          <w:lang w:val="fr-FR"/>
        </w:rPr>
        <w:tab/>
        <w:t>Révision du document TGP/8 : deuxième partie : Techniques utilisées dans l’examen DHS, nouvelle section : méthodes statistiques applicables aux caractères observés visuellement</w:t>
      </w:r>
    </w:p>
    <w:p w:rsidR="00AF7A00" w:rsidRPr="0085565C" w:rsidRDefault="00AF7A00" w:rsidP="00AF7A00">
      <w:pPr>
        <w:rPr>
          <w:lang w:val="fr-FR"/>
        </w:rPr>
      </w:pPr>
    </w:p>
    <w:p w:rsidR="00AF7A00" w:rsidRPr="0085565C" w:rsidRDefault="00AF7A00" w:rsidP="00AF7A00">
      <w:pPr>
        <w:rPr>
          <w:rFonts w:cs="Arial"/>
          <w:snapToGrid w:val="0"/>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comité examine le document TC/51/22.</w:t>
      </w:r>
    </w:p>
    <w:p w:rsidR="00AF7A00" w:rsidRPr="0085565C" w:rsidRDefault="00AF7A00" w:rsidP="00AF7A00">
      <w:pPr>
        <w:rPr>
          <w:rFonts w:cs="Arial"/>
          <w:snapToGrid w:val="0"/>
          <w:lang w:val="fr-FR"/>
        </w:rPr>
      </w:pPr>
    </w:p>
    <w:p w:rsidR="00AF7A00" w:rsidRPr="0085565C" w:rsidRDefault="00AF7A00" w:rsidP="00AF7A00">
      <w:pPr>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 xml:space="preserve">Le TC </w:t>
      </w:r>
      <w:r w:rsidRPr="0085565C">
        <w:rPr>
          <w:lang w:val="fr-FR" w:eastAsia="ja-JP"/>
        </w:rPr>
        <w:t>encourage les membres de l’</w:t>
      </w:r>
      <w:r w:rsidRPr="0085565C">
        <w:rPr>
          <w:rFonts w:cs="Arial"/>
          <w:lang w:val="fr-FR"/>
        </w:rPr>
        <w:t>Union</w:t>
      </w:r>
      <w:r w:rsidRPr="0085565C">
        <w:rPr>
          <w:rFonts w:cs="Arial"/>
          <w:lang w:val="fr-FR" w:eastAsia="ja-JP"/>
        </w:rPr>
        <w:t xml:space="preserve"> à expliquer aux TWP comment ils envisagent d’utiliser la nouvelle méthode statistique applicable aux caractères observés visuellement aux fins de l’examen DHS</w:t>
      </w:r>
      <w:r w:rsidRPr="0085565C">
        <w:rPr>
          <w:rFonts w:cs="Arial"/>
          <w:lang w:val="fr-FR"/>
        </w:rPr>
        <w:t>.</w:t>
      </w:r>
    </w:p>
    <w:p w:rsidR="00AF7A00" w:rsidRPr="0085565C" w:rsidRDefault="00AF7A00" w:rsidP="00AF7A00">
      <w:pPr>
        <w:rPr>
          <w:rFonts w:cs="Arial"/>
          <w:lang w:val="fr-FR"/>
        </w:rPr>
      </w:pPr>
    </w:p>
    <w:p w:rsidR="00AF7A00" w:rsidRPr="0085565C" w:rsidRDefault="00AF7A00" w:rsidP="00AF7A00">
      <w:pPr>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 xml:space="preserve">Le TC convient de </w:t>
      </w:r>
      <w:r w:rsidRPr="0085565C">
        <w:rPr>
          <w:lang w:val="fr-FR" w:eastAsia="ja-JP"/>
        </w:rPr>
        <w:t>retirer le document “Méthodes statistiques applicables aux caractères observés visuellement” du programme de révision du document TGP/8 pour le moment et de l’examiner au titre d’un point de l’ordre du jour distinct</w:t>
      </w:r>
      <w:r w:rsidRPr="0085565C">
        <w:rPr>
          <w:rFonts w:cs="Arial"/>
          <w:lang w:val="fr-FR"/>
        </w:rPr>
        <w:t>.</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prend note qu’un expert de la Chine avait été invité à présenter, à la prochaine session du TWC, un exposé sur l’analyse des caractères observés visuellement effectuée avec le progiciel DUST China (DUSTC) en utilisant les données relatives au fétuque des prés fournies par la Finlande.</w:t>
      </w:r>
    </w:p>
    <w:p w:rsidR="00AF7A00" w:rsidRPr="0085565C" w:rsidRDefault="00AF7A00" w:rsidP="00AF7A00">
      <w:pPr>
        <w:rPr>
          <w:lang w:val="fr-FR"/>
        </w:rPr>
      </w:pPr>
    </w:p>
    <w:p w:rsidR="00AF7A00" w:rsidRPr="0085565C" w:rsidRDefault="00AF7A00" w:rsidP="00AF7A00">
      <w:pPr>
        <w:pStyle w:val="Heading4"/>
      </w:pPr>
      <w:r w:rsidRPr="0085565C">
        <w:t>TGP/10 : Examen de l’homogénéité</w:t>
      </w:r>
    </w:p>
    <w:p w:rsidR="00AF7A00" w:rsidRPr="0085565C" w:rsidRDefault="00AF7A00" w:rsidP="00AF7A00">
      <w:pPr>
        <w:keepNext/>
        <w:ind w:left="567"/>
        <w:rPr>
          <w:rFonts w:cs="Arial"/>
          <w:snapToGrid w:val="0"/>
          <w:lang w:val="fr-FR"/>
        </w:rPr>
      </w:pPr>
    </w:p>
    <w:p w:rsidR="00AF7A00" w:rsidRPr="0085565C" w:rsidRDefault="00AF7A00" w:rsidP="00AF7A00">
      <w:pPr>
        <w:pStyle w:val="Heading5"/>
        <w:rPr>
          <w:lang w:val="fr-FR"/>
        </w:rPr>
      </w:pPr>
      <w:r w:rsidRPr="0085565C">
        <w:rPr>
          <w:lang w:val="fr-FR"/>
        </w:rPr>
        <w:t>Révision du document TGP/10 : nouvelle section : évaluation de l’homogénéité d’après les plantes hors</w:t>
      </w:r>
      <w:r w:rsidRPr="0085565C">
        <w:rPr>
          <w:lang w:val="fr-FR"/>
        </w:rPr>
        <w:noBreakHyphen/>
        <w:t>type sur la base de plusieurs échantillons ou sous</w:t>
      </w:r>
      <w:r w:rsidRPr="0085565C">
        <w:rPr>
          <w:lang w:val="fr-FR"/>
        </w:rPr>
        <w:noBreakHyphen/>
        <w:t>échantillons</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comité examine le document TC/51/24.</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approuve les propositions faites par les TWP à leurs sessions en 2014 et par le TC</w:t>
      </w:r>
      <w:r w:rsidRPr="0085565C">
        <w:rPr>
          <w:lang w:val="fr-FR"/>
        </w:rPr>
        <w:noBreakHyphen/>
        <w:t>EDC à sa réunion en janvier 2015, concernant le projet d’orientations à inclure dans une future version révisée du document TGP/10, qui figure aux annexes I à IV du document TC/51/24.</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convient que le titre du document devra être modifié pour être libellé comme suit : “Évaluation de l’homogénéité d’après les plantes hors</w:t>
      </w:r>
      <w:r w:rsidRPr="0085565C">
        <w:rPr>
          <w:lang w:val="fr-FR"/>
        </w:rPr>
        <w:noBreakHyphen/>
        <w:t>type sur la base de plusieurs cycles de végétations ou sous</w:t>
      </w:r>
      <w:r w:rsidRPr="0085565C">
        <w:rPr>
          <w:lang w:val="fr-FR"/>
        </w:rPr>
        <w:noBreakHyphen/>
        <w:t>échantillons”;</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convient que les situations A et B présentées aux annexes I et II du document TC/51/14 devraient être combinées et des précisions fournies afin d’indiquer que deux cycles de végétation indépendants pourraient avoir lieu en un seul endroit sur plusieurs années ou en différents endroits la même année, selon ce qui figure dans le document TGP/8, première partie, sections 1.2 et 1.3.</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convient d’inviter les membres de l’Union à présenter aux TWP et au TC des informations sur les risques, les avantages, les coûts et autres éléments pertinents qui justifient leur choix de la méthode 1 ou 2, indiquées aux annexes I et II du document TC/51/24, aux fins de l’évaluation de l’homogénéité d’après les plantes hors</w:t>
      </w:r>
      <w:r w:rsidRPr="0085565C">
        <w:rPr>
          <w:lang w:val="fr-FR"/>
        </w:rPr>
        <w:noBreakHyphen/>
        <w:t>type sur la base de plusieurs échantillons ou sous</w:t>
      </w:r>
      <w:r w:rsidRPr="0085565C">
        <w:rPr>
          <w:lang w:val="fr-FR"/>
        </w:rPr>
        <w:noBreakHyphen/>
        <w:t>échantillons.</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décide de clarifier la possibilité de rejeter une variété en raison d’un manque d’homogénéité après un seul cycle de végétation.  Il convient également de réviser le cinquième exemple afin qu’il soit plus réaliste, étant donné qu’une variété avec 10 plantes hors</w:t>
      </w:r>
      <w:r w:rsidRPr="0085565C">
        <w:rPr>
          <w:lang w:val="fr-FR"/>
        </w:rPr>
        <w:noBreakHyphen/>
        <w:t>type lors du premier cycle de végétation serait vraisemblablement rejetée après le premier cycle de végétation.</w:t>
      </w:r>
    </w:p>
    <w:p w:rsidR="00AF7A00" w:rsidRPr="0085565C" w:rsidRDefault="00AF7A00" w:rsidP="00AF7A00">
      <w:pPr>
        <w:pStyle w:val="Heading3"/>
        <w:keepNext w:val="0"/>
      </w:pPr>
    </w:p>
    <w:p w:rsidR="00AF7A00" w:rsidRPr="0085565C" w:rsidRDefault="00AF7A00" w:rsidP="00AF7A00">
      <w:pPr>
        <w:pStyle w:val="Heading3"/>
        <w:keepNext w:val="0"/>
      </w:pPr>
      <w:bookmarkStart w:id="29" w:name="_Toc428287700"/>
      <w:r w:rsidRPr="0085565C">
        <w:t>Éventuelle future révision de documents TGP</w:t>
      </w:r>
      <w:bookmarkEnd w:id="29"/>
    </w:p>
    <w:p w:rsidR="00AF7A00" w:rsidRPr="0085565C" w:rsidRDefault="00AF7A00" w:rsidP="00AF7A00">
      <w:pPr>
        <w:keepNext/>
        <w:ind w:left="567" w:hanging="567"/>
        <w:rPr>
          <w:lang w:val="fr-FR"/>
        </w:rPr>
      </w:pPr>
    </w:p>
    <w:p w:rsidR="00AF7A00" w:rsidRPr="0085565C" w:rsidRDefault="00AF7A00" w:rsidP="00AF7A00">
      <w:pPr>
        <w:pStyle w:val="Heading4"/>
      </w:pPr>
      <w:bookmarkStart w:id="30" w:name="_Toc378251507"/>
      <w:bookmarkStart w:id="31" w:name="_Toc381279968"/>
      <w:bookmarkStart w:id="32" w:name="_Toc386185974"/>
      <w:r w:rsidRPr="0085565C">
        <w:t>TGP/5 : Expérience et coopération en matière d’examen DHS</w:t>
      </w:r>
    </w:p>
    <w:p w:rsidR="00AF7A00" w:rsidRPr="0085565C" w:rsidRDefault="00AF7A00" w:rsidP="00AF7A00">
      <w:pPr>
        <w:rPr>
          <w:lang w:val="fr-FR"/>
        </w:rPr>
      </w:pPr>
    </w:p>
    <w:p w:rsidR="00AF7A00" w:rsidRPr="0085565C" w:rsidRDefault="00AF7A00" w:rsidP="00AF7A00">
      <w:pPr>
        <w:pStyle w:val="Heading5"/>
        <w:rPr>
          <w:lang w:val="fr-FR"/>
        </w:rPr>
      </w:pPr>
      <w:r w:rsidRPr="0085565C">
        <w:rPr>
          <w:lang w:val="fr-FR"/>
        </w:rPr>
        <w:t>i)</w:t>
      </w:r>
      <w:r w:rsidRPr="0085565C">
        <w:rPr>
          <w:lang w:val="fr-FR"/>
        </w:rPr>
        <w:tab/>
        <w:t>Révision du document TGP/5 : section 3 : Questionnaire technique à remplir en relation avec une demande de certificat d’obtention végétale</w:t>
      </w:r>
    </w:p>
    <w:p w:rsidR="00AF7A00" w:rsidRPr="0085565C" w:rsidRDefault="00AF7A00" w:rsidP="00AF7A00">
      <w:pPr>
        <w:rPr>
          <w:lang w:val="fr-FR"/>
        </w:rPr>
      </w:pPr>
    </w:p>
    <w:p w:rsidR="00AF7A00" w:rsidRPr="0085565C" w:rsidRDefault="00AF7A00" w:rsidP="00165DC7">
      <w:pPr>
        <w:keepNext/>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convient que la section 3 du document TGP/5 devrait être libellée comme suit :</w:t>
      </w:r>
    </w:p>
    <w:p w:rsidR="00AF7A00" w:rsidRPr="0085565C" w:rsidRDefault="00AF7A00" w:rsidP="00165DC7">
      <w:pPr>
        <w:keepNext/>
        <w:rPr>
          <w:lang w:val="fr-FR"/>
        </w:rPr>
      </w:pPr>
    </w:p>
    <w:p w:rsidR="00AF7A00" w:rsidRPr="0085565C" w:rsidRDefault="00AF7A00" w:rsidP="00AF7A00">
      <w:pPr>
        <w:ind w:left="567" w:right="567" w:firstLine="567"/>
        <w:rPr>
          <w:sz w:val="18"/>
          <w:lang w:val="fr-FR"/>
        </w:rPr>
      </w:pPr>
      <w:r w:rsidRPr="0085565C">
        <w:rPr>
          <w:sz w:val="18"/>
          <w:lang w:val="fr-FR"/>
        </w:rPr>
        <w:t>“On trouvera un questionnaire technique type dans le document TGP/7, intitulé “Élaboration des principes directeurs d’examen” : annexe 1 : modèle de principes directeurs d’examen : chapitre 10.  Les principes directeurs d’examen de l’UPOV (</w:t>
      </w:r>
      <w:r w:rsidR="00C258AE">
        <w:fldChar w:fldCharType="begin"/>
      </w:r>
      <w:r w:rsidR="00C258AE" w:rsidRPr="00C258AE">
        <w:rPr>
          <w:lang w:val="fr-FR"/>
        </w:rPr>
        <w:instrText xml:space="preserve"> HYPERLINK "http://www.upov.int/edocs/tgpdocs/fr/tgp_7.pdf" </w:instrText>
      </w:r>
      <w:r w:rsidR="00C258AE">
        <w:fldChar w:fldCharType="separate"/>
      </w:r>
      <w:r w:rsidRPr="0085565C">
        <w:rPr>
          <w:rStyle w:val="Hyperlink"/>
          <w:color w:val="auto"/>
          <w:sz w:val="18"/>
          <w:lang w:val="fr-FR"/>
        </w:rPr>
        <w:t>http://www.upov.int/edocs/tgpdocs/fr/tgp_7.pdf</w:t>
      </w:r>
      <w:r w:rsidR="00C258AE">
        <w:rPr>
          <w:rStyle w:val="Hyperlink"/>
          <w:color w:val="auto"/>
          <w:sz w:val="18"/>
          <w:lang w:val="fr-FR"/>
        </w:rPr>
        <w:fldChar w:fldCharType="end"/>
      </w:r>
      <w:r w:rsidRPr="0085565C">
        <w:rPr>
          <w:sz w:val="18"/>
          <w:lang w:val="fr-FR"/>
        </w:rPr>
        <w:t>) contiennent, au chapitre 10, un questionnaire technique particulier pour les variétés sur lesquelles ils portent.”</w:t>
      </w:r>
    </w:p>
    <w:bookmarkEnd w:id="30"/>
    <w:bookmarkEnd w:id="31"/>
    <w:bookmarkEnd w:id="32"/>
    <w:p w:rsidR="00AF7A00" w:rsidRPr="0085565C" w:rsidRDefault="00AF7A00" w:rsidP="00AF7A00">
      <w:pPr>
        <w:jc w:val="left"/>
        <w:rPr>
          <w:rFonts w:cs="Arial"/>
          <w:snapToGrid w:val="0"/>
          <w:u w:val="single"/>
          <w:lang w:val="fr-FR"/>
        </w:rPr>
      </w:pPr>
    </w:p>
    <w:p w:rsidR="00AF7A00" w:rsidRPr="0085565C" w:rsidRDefault="00AF7A00" w:rsidP="00AF7A00">
      <w:pPr>
        <w:pStyle w:val="Heading5"/>
        <w:rPr>
          <w:lang w:val="fr-FR"/>
        </w:rPr>
      </w:pPr>
      <w:r w:rsidRPr="0085565C">
        <w:rPr>
          <w:lang w:val="fr-FR"/>
        </w:rPr>
        <w:t>ii)</w:t>
      </w:r>
      <w:r w:rsidRPr="0085565C">
        <w:rPr>
          <w:lang w:val="fr-FR"/>
        </w:rPr>
        <w:tab/>
        <w:t>Révision du document TGP/5 : section 8 : Coopération en matière d’examen</w:t>
      </w:r>
    </w:p>
    <w:p w:rsidR="00AF7A00" w:rsidRPr="0085565C" w:rsidRDefault="00AF7A00" w:rsidP="00AF7A00">
      <w:pPr>
        <w:jc w:val="left"/>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b/>
          <w:lang w:val="fr-FR"/>
        </w:rPr>
        <w:tab/>
      </w:r>
      <w:r w:rsidRPr="0085565C">
        <w:rPr>
          <w:lang w:val="fr-FR"/>
        </w:rPr>
        <w:t>Le TC convient que la section 8 du document TGP/5 devrait être libellée comme suit :</w:t>
      </w:r>
    </w:p>
    <w:p w:rsidR="00AF7A00" w:rsidRPr="0085565C" w:rsidRDefault="00AF7A00" w:rsidP="00AF7A00">
      <w:pPr>
        <w:rPr>
          <w:lang w:val="fr-FR"/>
        </w:rPr>
      </w:pPr>
    </w:p>
    <w:p w:rsidR="00AF7A00" w:rsidRPr="0085565C" w:rsidRDefault="00AF7A00" w:rsidP="00AF7A00">
      <w:pPr>
        <w:ind w:left="567" w:right="567"/>
        <w:rPr>
          <w:sz w:val="18"/>
          <w:lang w:val="fr-FR"/>
        </w:rPr>
      </w:pPr>
      <w:r w:rsidRPr="0085565C">
        <w:rPr>
          <w:sz w:val="18"/>
          <w:lang w:val="fr-FR"/>
        </w:rPr>
        <w:tab/>
        <w:t>“Une synthèse de la coopération en matière d’examen entre les différents services est publiée sous couvert d’un document du Conseil :</w:t>
      </w:r>
    </w:p>
    <w:p w:rsidR="00AF7A00" w:rsidRPr="0085565C" w:rsidRDefault="00AF7A00" w:rsidP="00AF7A00">
      <w:pPr>
        <w:ind w:left="567" w:right="567"/>
        <w:rPr>
          <w:sz w:val="18"/>
          <w:lang w:val="fr-FR"/>
        </w:rPr>
      </w:pPr>
    </w:p>
    <w:p w:rsidR="00AF7A00" w:rsidRPr="0085565C" w:rsidRDefault="00AF7A00" w:rsidP="00AF7A00">
      <w:pPr>
        <w:ind w:left="567" w:right="567" w:firstLine="567"/>
        <w:rPr>
          <w:sz w:val="18"/>
          <w:lang w:val="fr-FR"/>
        </w:rPr>
      </w:pPr>
      <w:r w:rsidRPr="0085565C">
        <w:rPr>
          <w:sz w:val="18"/>
          <w:lang w:val="fr-FR"/>
        </w:rPr>
        <w:t>“C</w:t>
      </w:r>
      <w:proofErr w:type="gramStart"/>
      <w:r w:rsidRPr="0085565C">
        <w:rPr>
          <w:sz w:val="18"/>
          <w:lang w:val="fr-FR"/>
        </w:rPr>
        <w:t>/[</w:t>
      </w:r>
      <w:proofErr w:type="gramEnd"/>
      <w:r w:rsidRPr="0085565C">
        <w:rPr>
          <w:sz w:val="18"/>
          <w:lang w:val="fr-FR"/>
        </w:rPr>
        <w:t>session]/5 (p. ex. C/49/5), (http://www.upov.int/meetings/</w:t>
      </w:r>
      <w:proofErr w:type="spellStart"/>
      <w:r w:rsidRPr="0085565C">
        <w:rPr>
          <w:sz w:val="18"/>
          <w:lang w:val="fr-FR"/>
        </w:rPr>
        <w:t>fr</w:t>
      </w:r>
      <w:proofErr w:type="spellEnd"/>
      <w:r w:rsidRPr="0085565C">
        <w:rPr>
          <w:sz w:val="18"/>
          <w:lang w:val="fr-FR"/>
        </w:rPr>
        <w:t>/</w:t>
      </w:r>
      <w:proofErr w:type="spellStart"/>
      <w:r w:rsidRPr="0085565C">
        <w:rPr>
          <w:sz w:val="18"/>
          <w:lang w:val="fr-FR"/>
        </w:rPr>
        <w:t>topic.jsp?group_id</w:t>
      </w:r>
      <w:proofErr w:type="spellEnd"/>
      <w:r w:rsidRPr="0085565C">
        <w:rPr>
          <w:sz w:val="18"/>
          <w:lang w:val="fr-FR"/>
        </w:rPr>
        <w:t>=251).”</w:t>
      </w:r>
    </w:p>
    <w:p w:rsidR="00AF7A00" w:rsidRPr="0085565C" w:rsidRDefault="00AF7A00" w:rsidP="00AF7A00">
      <w:pPr>
        <w:rPr>
          <w:lang w:val="fr-FR"/>
        </w:rPr>
      </w:pPr>
    </w:p>
    <w:p w:rsidR="00AF7A00" w:rsidRPr="0085565C" w:rsidRDefault="00AF7A00" w:rsidP="00AF7A00">
      <w:pPr>
        <w:pStyle w:val="Heading5"/>
        <w:rPr>
          <w:lang w:val="fr-FR"/>
        </w:rPr>
      </w:pPr>
      <w:r w:rsidRPr="0085565C">
        <w:rPr>
          <w:lang w:val="fr-FR"/>
        </w:rPr>
        <w:lastRenderedPageBreak/>
        <w:t>iii)</w:t>
      </w:r>
      <w:r w:rsidRPr="0085565C">
        <w:rPr>
          <w:lang w:val="fr-FR"/>
        </w:rPr>
        <w:tab/>
        <w:t>Révision du document TGP/5 : section 9 : Liste des espèces sur lesquelles des connaissances pratiques ont été acquises ou pour lesquelles des principes directeurs d’examen nationaux ont été établis</w:t>
      </w:r>
    </w:p>
    <w:p w:rsidR="00AF7A00" w:rsidRPr="0085565C" w:rsidRDefault="00AF7A00" w:rsidP="00AF7A00">
      <w:pPr>
        <w:keepNext/>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convient que la section 9 du document TGP/5 devrait être libellée comme suit :</w:t>
      </w:r>
    </w:p>
    <w:p w:rsidR="00AF7A00" w:rsidRPr="0085565C" w:rsidRDefault="00AF7A00" w:rsidP="00AF7A00">
      <w:pPr>
        <w:rPr>
          <w:lang w:val="fr-FR"/>
        </w:rPr>
      </w:pPr>
    </w:p>
    <w:p w:rsidR="00AF7A00" w:rsidRPr="0085565C" w:rsidRDefault="00AF7A00" w:rsidP="00AF7A00">
      <w:pPr>
        <w:ind w:left="567" w:right="567" w:firstLine="567"/>
        <w:rPr>
          <w:sz w:val="18"/>
          <w:lang w:val="fr-FR"/>
        </w:rPr>
      </w:pPr>
      <w:r w:rsidRPr="0085565C">
        <w:rPr>
          <w:sz w:val="18"/>
          <w:lang w:val="fr-FR"/>
        </w:rPr>
        <w:t>“Une liste des genres et espèces sur lesquels des connaissances pratiques ont été acquises ou pour lesquels des principes directeurs nationaux ont été établis a été publiée sous couvert d’un document du Comité technique :</w:t>
      </w:r>
    </w:p>
    <w:p w:rsidR="00AF7A00" w:rsidRPr="0085565C" w:rsidRDefault="00AF7A00" w:rsidP="00AF7A00">
      <w:pPr>
        <w:ind w:left="567" w:right="567"/>
        <w:rPr>
          <w:sz w:val="18"/>
          <w:lang w:val="fr-FR"/>
        </w:rPr>
      </w:pPr>
    </w:p>
    <w:p w:rsidR="00AF7A00" w:rsidRPr="0085565C" w:rsidRDefault="00AF7A00" w:rsidP="00AF7A00">
      <w:pPr>
        <w:ind w:left="567" w:right="567" w:firstLine="567"/>
        <w:rPr>
          <w:sz w:val="18"/>
          <w:lang w:val="fr-FR"/>
        </w:rPr>
      </w:pPr>
      <w:r w:rsidRPr="0085565C">
        <w:rPr>
          <w:sz w:val="18"/>
          <w:lang w:val="fr-FR"/>
        </w:rPr>
        <w:t>“TC</w:t>
      </w:r>
      <w:proofErr w:type="gramStart"/>
      <w:r w:rsidRPr="0085565C">
        <w:rPr>
          <w:sz w:val="18"/>
          <w:lang w:val="fr-FR"/>
        </w:rPr>
        <w:t>/[</w:t>
      </w:r>
      <w:proofErr w:type="gramEnd"/>
      <w:r w:rsidRPr="0085565C">
        <w:rPr>
          <w:sz w:val="18"/>
          <w:lang w:val="fr-FR"/>
        </w:rPr>
        <w:t>session]/4 (p. ex. TC/51/4), (http://www.upov.int/meetings/</w:t>
      </w:r>
      <w:proofErr w:type="spellStart"/>
      <w:r w:rsidRPr="0085565C">
        <w:rPr>
          <w:sz w:val="18"/>
          <w:lang w:val="fr-FR"/>
        </w:rPr>
        <w:t>fr</w:t>
      </w:r>
      <w:proofErr w:type="spellEnd"/>
      <w:r w:rsidRPr="0085565C">
        <w:rPr>
          <w:sz w:val="18"/>
          <w:lang w:val="fr-FR"/>
        </w:rPr>
        <w:t>/</w:t>
      </w:r>
      <w:proofErr w:type="spellStart"/>
      <w:r w:rsidRPr="0085565C">
        <w:rPr>
          <w:sz w:val="18"/>
          <w:lang w:val="fr-FR"/>
        </w:rPr>
        <w:t>topic.jsp?group_id</w:t>
      </w:r>
      <w:proofErr w:type="spellEnd"/>
      <w:r w:rsidRPr="0085565C">
        <w:rPr>
          <w:sz w:val="18"/>
          <w:lang w:val="fr-FR"/>
        </w:rPr>
        <w:t>=254).”</w:t>
      </w:r>
    </w:p>
    <w:p w:rsidR="00AF7A00" w:rsidRPr="0085565C" w:rsidRDefault="00AF7A00" w:rsidP="00AF7A00">
      <w:pPr>
        <w:keepNext/>
        <w:ind w:left="567" w:hanging="567"/>
        <w:rPr>
          <w:lang w:val="fr-FR"/>
        </w:rPr>
      </w:pPr>
    </w:p>
    <w:p w:rsidR="00AF7A00" w:rsidRPr="0085565C" w:rsidRDefault="00AF7A00" w:rsidP="00AF7A00">
      <w:pPr>
        <w:pStyle w:val="Heading4"/>
      </w:pPr>
      <w:r w:rsidRPr="0085565C">
        <w:t>TGP/7 : Élaboration des principes directeurs d’examen</w:t>
      </w:r>
    </w:p>
    <w:p w:rsidR="00AF7A00" w:rsidRPr="0085565C" w:rsidRDefault="00AF7A00" w:rsidP="00AF7A00">
      <w:pPr>
        <w:keepNext/>
        <w:rPr>
          <w:lang w:val="fr-FR"/>
        </w:rPr>
      </w:pPr>
    </w:p>
    <w:p w:rsidR="00AF7A00" w:rsidRPr="0085565C" w:rsidRDefault="00AF7A00" w:rsidP="00AF7A00">
      <w:pPr>
        <w:pStyle w:val="Heading5"/>
        <w:rPr>
          <w:lang w:val="fr-FR"/>
        </w:rPr>
      </w:pPr>
      <w:r w:rsidRPr="0085565C">
        <w:rPr>
          <w:lang w:val="fr-FR"/>
        </w:rPr>
        <w:t>i)</w:t>
      </w:r>
      <w:r w:rsidRPr="0085565C">
        <w:rPr>
          <w:lang w:val="fr-FR"/>
        </w:rPr>
        <w:tab/>
        <w:t>Utilisation de photographies et d’illustrations exclusives dans les principes directeurs d’examen</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convient que les conseils à l’intention des rédacteurs de principes directeurs d’examen devraient être élaborés au regard des textes, des photographies ou illustrations qui pourraient être soumis aux droits de tiers.</w:t>
      </w:r>
    </w:p>
    <w:p w:rsidR="00AF7A00" w:rsidRPr="0085565C" w:rsidRDefault="00AF7A00" w:rsidP="00AF7A00">
      <w:pPr>
        <w:rPr>
          <w:lang w:val="fr-FR"/>
        </w:rPr>
      </w:pPr>
    </w:p>
    <w:p w:rsidR="00AF7A00" w:rsidRPr="0085565C" w:rsidRDefault="00AF7A00" w:rsidP="00AF7A00">
      <w:pPr>
        <w:pStyle w:val="Heading5"/>
        <w:rPr>
          <w:lang w:val="fr-FR"/>
        </w:rPr>
      </w:pPr>
      <w:bookmarkStart w:id="33" w:name="_Toc412193741"/>
      <w:r w:rsidRPr="0085565C">
        <w:rPr>
          <w:lang w:val="fr-FR"/>
        </w:rPr>
        <w:t>ii)</w:t>
      </w:r>
      <w:r w:rsidRPr="0085565C">
        <w:rPr>
          <w:lang w:val="fr-FR"/>
        </w:rPr>
        <w:tab/>
      </w:r>
      <w:bookmarkEnd w:id="33"/>
      <w:r w:rsidRPr="0085565C">
        <w:rPr>
          <w:lang w:val="fr-FR"/>
        </w:rPr>
        <w:t>Séries régionales de variétés indiquées à titre d’exemple</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convient que des précisions doivent être apportées concernant le terme “région” ainsi que sur les critères de sélection des variétés indiquées à titre d’exemple dans une région par rapport à l’élaboration de séries régionales de variétés indiquées à titre d’exemple dans le cadre des principes directeurs d’examen.</w:t>
      </w:r>
    </w:p>
    <w:p w:rsidR="00AF7A00" w:rsidRPr="0085565C" w:rsidRDefault="00AF7A00" w:rsidP="00AF7A00">
      <w:pPr>
        <w:rPr>
          <w:lang w:val="fr-FR"/>
        </w:rPr>
      </w:pPr>
    </w:p>
    <w:p w:rsidR="00AF7A00" w:rsidRPr="0085565C" w:rsidRDefault="00AF7A00" w:rsidP="00AF7A00">
      <w:pPr>
        <w:pStyle w:val="Heading4"/>
      </w:pPr>
      <w:r w:rsidRPr="0085565C">
        <w:t>TGP/14 : Glossaire des termes utilisés dans les documents de l’UPOV</w:t>
      </w:r>
    </w:p>
    <w:p w:rsidR="00AF7A00" w:rsidRPr="0085565C" w:rsidRDefault="00AF7A00" w:rsidP="00AF7A00">
      <w:pPr>
        <w:rPr>
          <w:lang w:val="fr-FR"/>
        </w:rPr>
      </w:pPr>
    </w:p>
    <w:p w:rsidR="00AF7A00" w:rsidRPr="0085565C" w:rsidRDefault="00AF7A00" w:rsidP="00AF7A00">
      <w:pPr>
        <w:pStyle w:val="Heading5"/>
        <w:rPr>
          <w:lang w:val="fr-FR"/>
        </w:rPr>
      </w:pPr>
      <w:r w:rsidRPr="0085565C">
        <w:rPr>
          <w:lang w:val="fr-FR"/>
        </w:rPr>
        <w:t>i)</w:t>
      </w:r>
      <w:r w:rsidRPr="0085565C">
        <w:rPr>
          <w:lang w:val="fr-FR"/>
        </w:rPr>
        <w:tab/>
        <w:t>Définition des groupes de couleurs à partir du code RHS des couleurs</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convient d’inviter les membres de l’Union à indiquer aux TWP, à leurs sessions en 2015, la façon dont les variétés sont distribuées à des groupes de couleurs.</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convient en outre que des représentants de la Société royale d’horticulture (RHS) devraient être invités à participer aux débats sur la question lors la prochaine session du TWO, qui se tiendra à Cambridge (Royaume</w:t>
      </w:r>
      <w:r w:rsidRPr="0085565C">
        <w:rPr>
          <w:lang w:val="fr-FR"/>
        </w:rPr>
        <w:noBreakHyphen/>
        <w:t>Uni) en 2015, en vue d’une éventuelle harmonisation de la terminologie.</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convient que les délibérations concernant cette question devraient se dérouler au titre d’un point de l’ordre du jour distinct, en dehors du cadre de la révision du document TGP/14.</w:t>
      </w:r>
    </w:p>
    <w:p w:rsidR="00AF7A00" w:rsidRPr="0085565C" w:rsidRDefault="00AF7A00" w:rsidP="00AF7A00">
      <w:pPr>
        <w:rPr>
          <w:lang w:val="fr-FR"/>
        </w:rPr>
      </w:pPr>
    </w:p>
    <w:p w:rsidR="00AF7A00" w:rsidRPr="0085565C" w:rsidRDefault="00AF7A00" w:rsidP="00AF7A00">
      <w:pPr>
        <w:rPr>
          <w:lang w:val="fr-FR"/>
        </w:rPr>
      </w:pPr>
    </w:p>
    <w:p w:rsidR="00AF7A00" w:rsidRPr="0085565C" w:rsidRDefault="00AF7A00" w:rsidP="00AF7A00">
      <w:pPr>
        <w:pStyle w:val="Heading3"/>
      </w:pPr>
      <w:bookmarkStart w:id="34" w:name="_Toc428287701"/>
      <w:r w:rsidRPr="0085565C">
        <w:t>Programme d’élaboration des documents TGP</w:t>
      </w:r>
      <w:bookmarkEnd w:id="34"/>
    </w:p>
    <w:p w:rsidR="00AF7A00" w:rsidRPr="0085565C" w:rsidRDefault="00AF7A00" w:rsidP="00AF7A00">
      <w:pPr>
        <w:keepNext/>
        <w:rPr>
          <w:rFonts w:cs="Arial"/>
          <w:i/>
          <w:lang w:val="fr-FR" w:eastAsia="ja-JP"/>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donne son aval au programme d’élaboration des documents TGP tel qu’il figure à l’annexe II du document TC/51/5, sous réserve de ses conclusions ci</w:t>
      </w:r>
      <w:r w:rsidRPr="0085565C">
        <w:rPr>
          <w:lang w:val="fr-FR"/>
        </w:rPr>
        <w:noBreakHyphen/>
        <w:t>dessus.</w:t>
      </w:r>
    </w:p>
    <w:p w:rsidR="00AF7A00" w:rsidRPr="0085565C" w:rsidRDefault="00AF7A00" w:rsidP="00AF7A00">
      <w:pPr>
        <w:rPr>
          <w:lang w:val="fr-FR"/>
        </w:rPr>
      </w:pPr>
    </w:p>
    <w:p w:rsidR="00AF7A00" w:rsidRPr="0085565C" w:rsidRDefault="00AF7A00" w:rsidP="00AF7A00">
      <w:pPr>
        <w:jc w:val="left"/>
        <w:rPr>
          <w:u w:val="single"/>
          <w:lang w:val="fr-FR"/>
        </w:rPr>
      </w:pPr>
    </w:p>
    <w:p w:rsidR="00AF7A00" w:rsidRPr="0085565C" w:rsidRDefault="00AF7A00" w:rsidP="0085565C">
      <w:pPr>
        <w:pStyle w:val="Heading2"/>
        <w:rPr>
          <w:lang w:val="fr-FR"/>
        </w:rPr>
      </w:pPr>
      <w:bookmarkStart w:id="35" w:name="_Toc428287702"/>
      <w:r w:rsidRPr="0085565C">
        <w:rPr>
          <w:lang w:val="fr-FR"/>
        </w:rPr>
        <w:t>Techniques moléculaires</w:t>
      </w:r>
      <w:bookmarkEnd w:id="35"/>
    </w:p>
    <w:p w:rsidR="00AF7A00" w:rsidRPr="0085565C" w:rsidRDefault="00AF7A00" w:rsidP="00AF7A00">
      <w:pPr>
        <w:keepNext/>
        <w:rPr>
          <w:u w:val="single"/>
          <w:lang w:val="fr-FR"/>
        </w:rPr>
      </w:pPr>
    </w:p>
    <w:p w:rsidR="00AF7A00" w:rsidRPr="0085565C" w:rsidRDefault="00AF7A00" w:rsidP="0085565C">
      <w:pPr>
        <w:pStyle w:val="Heading3"/>
      </w:pPr>
      <w:bookmarkStart w:id="36" w:name="_Toc428287703"/>
      <w:r w:rsidRPr="0085565C">
        <w:t>Débat sur les techniques moléculaires</w:t>
      </w:r>
      <w:bookmarkEnd w:id="36"/>
    </w:p>
    <w:p w:rsidR="00AF7A00" w:rsidRPr="0085565C" w:rsidRDefault="00AF7A00" w:rsidP="00AF7A00">
      <w:pPr>
        <w:keepNext/>
        <w:rPr>
          <w:u w:val="single"/>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suit les exposés suivants sur les techniques moléculaires (dans l’ordre de présentation) :</w:t>
      </w:r>
    </w:p>
    <w:p w:rsidR="00AF7A00" w:rsidRPr="0085565C" w:rsidRDefault="00AF7A00" w:rsidP="00AF7A00">
      <w:pPr>
        <w:rPr>
          <w:lang w:val="fr-FR"/>
        </w:rPr>
      </w:pPr>
    </w:p>
    <w:tbl>
      <w:tblPr>
        <w:tblStyle w:val="TableGrid"/>
        <w:tblW w:w="949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827"/>
      </w:tblGrid>
      <w:tr w:rsidR="00AF7A00" w:rsidRPr="0085565C" w:rsidTr="00697CEF">
        <w:tc>
          <w:tcPr>
            <w:tcW w:w="5670" w:type="dxa"/>
            <w:vAlign w:val="center"/>
          </w:tcPr>
          <w:p w:rsidR="00AF7A00" w:rsidRPr="0085565C" w:rsidRDefault="00AF7A00" w:rsidP="00AF7A00">
            <w:pPr>
              <w:spacing w:before="60" w:after="60"/>
              <w:ind w:right="34"/>
              <w:jc w:val="left"/>
              <w:rPr>
                <w:lang w:val="fr-FR"/>
              </w:rPr>
            </w:pPr>
            <w:r w:rsidRPr="0085565C">
              <w:rPr>
                <w:lang w:val="fr-FR"/>
              </w:rPr>
              <w:t xml:space="preserve">Rapports sur les faits nouveaux survenus à l’UPOV en rapport avec les techniques biochimiques et moléculaires </w:t>
            </w:r>
          </w:p>
        </w:tc>
        <w:tc>
          <w:tcPr>
            <w:tcW w:w="3827" w:type="dxa"/>
          </w:tcPr>
          <w:p w:rsidR="00AF7A00" w:rsidRPr="0085565C" w:rsidRDefault="00AF7A00" w:rsidP="00AF7A00">
            <w:pPr>
              <w:spacing w:before="60" w:after="60"/>
              <w:jc w:val="left"/>
              <w:rPr>
                <w:lang w:val="fr-FR"/>
              </w:rPr>
            </w:pPr>
            <w:r w:rsidRPr="0085565C">
              <w:rPr>
                <w:lang w:val="fr-FR"/>
              </w:rPr>
              <w:t>Bureau de l’UPOV</w:t>
            </w:r>
          </w:p>
        </w:tc>
      </w:tr>
      <w:tr w:rsidR="00AF7A00" w:rsidRPr="00C258AE" w:rsidTr="00697CEF">
        <w:tc>
          <w:tcPr>
            <w:tcW w:w="5670" w:type="dxa"/>
            <w:vAlign w:val="center"/>
          </w:tcPr>
          <w:p w:rsidR="00AF7A00" w:rsidRPr="0085565C" w:rsidRDefault="00AF7A00" w:rsidP="00AF7A00">
            <w:pPr>
              <w:spacing w:before="60" w:after="60"/>
              <w:ind w:right="34"/>
              <w:jc w:val="left"/>
              <w:rPr>
                <w:lang w:val="fr-FR"/>
              </w:rPr>
            </w:pPr>
            <w:r w:rsidRPr="0085565C">
              <w:rPr>
                <w:lang w:val="fr-FR"/>
              </w:rPr>
              <w:t>Sélection assistée par marqueurs de “variétés voisines” dans le cadre de l’examen DHS</w:t>
            </w:r>
          </w:p>
        </w:tc>
        <w:tc>
          <w:tcPr>
            <w:tcW w:w="3827" w:type="dxa"/>
          </w:tcPr>
          <w:p w:rsidR="00AF7A00" w:rsidRPr="0085565C" w:rsidRDefault="00AF7A00" w:rsidP="00AF7A00">
            <w:pPr>
              <w:spacing w:before="60" w:after="60"/>
              <w:jc w:val="left"/>
              <w:rPr>
                <w:lang w:val="fr-FR"/>
              </w:rPr>
            </w:pPr>
            <w:r w:rsidRPr="0085565C">
              <w:rPr>
                <w:lang w:val="fr-FR"/>
              </w:rPr>
              <w:t>République de Corée (M. </w:t>
            </w:r>
            <w:proofErr w:type="spellStart"/>
            <w:r w:rsidRPr="0085565C">
              <w:rPr>
                <w:rFonts w:cs="Arial"/>
                <w:lang w:val="fr-FR" w:eastAsia="zh-CN"/>
              </w:rPr>
              <w:t>Seung</w:t>
            </w:r>
            <w:proofErr w:type="spellEnd"/>
            <w:r w:rsidRPr="0085565C">
              <w:rPr>
                <w:rFonts w:cs="Arial"/>
                <w:lang w:val="fr-FR" w:eastAsia="zh-CN"/>
              </w:rPr>
              <w:noBreakHyphen/>
              <w:t>In Yi)</w:t>
            </w:r>
          </w:p>
        </w:tc>
      </w:tr>
      <w:tr w:rsidR="00AF7A00" w:rsidRPr="00C258AE" w:rsidTr="00697CEF">
        <w:tc>
          <w:tcPr>
            <w:tcW w:w="5670" w:type="dxa"/>
            <w:vAlign w:val="center"/>
          </w:tcPr>
          <w:p w:rsidR="00AF7A00" w:rsidRPr="0085565C" w:rsidRDefault="00AF7A00" w:rsidP="00AF7A00">
            <w:pPr>
              <w:spacing w:before="60" w:after="60"/>
              <w:ind w:right="34"/>
              <w:jc w:val="left"/>
              <w:rPr>
                <w:lang w:val="fr-FR"/>
              </w:rPr>
            </w:pPr>
            <w:r w:rsidRPr="0085565C">
              <w:rPr>
                <w:lang w:val="fr-FR"/>
              </w:rPr>
              <w:t>Utilisation de variétés de référence pour l’examen de la distinction de variétés : méthode étudiée aux États</w:t>
            </w:r>
            <w:r w:rsidRPr="0085565C">
              <w:rPr>
                <w:lang w:val="fr-FR"/>
              </w:rPr>
              <w:noBreakHyphen/>
              <w:t>Unis d’Amérique potentiellement applicable à la protection des obtentions végétales</w:t>
            </w:r>
          </w:p>
        </w:tc>
        <w:tc>
          <w:tcPr>
            <w:tcW w:w="3827" w:type="dxa"/>
          </w:tcPr>
          <w:p w:rsidR="00AF7A00" w:rsidRPr="0085565C" w:rsidRDefault="00AF7A00" w:rsidP="00AF7A00">
            <w:pPr>
              <w:spacing w:before="60" w:after="60"/>
              <w:jc w:val="left"/>
              <w:rPr>
                <w:lang w:val="fr-FR"/>
              </w:rPr>
            </w:pPr>
            <w:r w:rsidRPr="0085565C">
              <w:rPr>
                <w:lang w:val="fr-FR"/>
              </w:rPr>
              <w:t>États</w:t>
            </w:r>
            <w:r w:rsidRPr="0085565C">
              <w:rPr>
                <w:lang w:val="fr-FR"/>
              </w:rPr>
              <w:noBreakHyphen/>
              <w:t>Unis d’Amérique (M. Paul Nelson)</w:t>
            </w:r>
          </w:p>
        </w:tc>
      </w:tr>
      <w:tr w:rsidR="00AF7A00" w:rsidRPr="00C258AE" w:rsidTr="00697CEF">
        <w:tc>
          <w:tcPr>
            <w:tcW w:w="5670" w:type="dxa"/>
            <w:vAlign w:val="center"/>
          </w:tcPr>
          <w:p w:rsidR="00AF7A00" w:rsidRPr="0085565C" w:rsidRDefault="00AF7A00" w:rsidP="00AF7A00">
            <w:pPr>
              <w:spacing w:before="60" w:after="60"/>
              <w:ind w:right="34"/>
              <w:jc w:val="left"/>
              <w:rPr>
                <w:lang w:val="fr-FR"/>
              </w:rPr>
            </w:pPr>
            <w:r w:rsidRPr="0085565C">
              <w:rPr>
                <w:lang w:val="fr-FR"/>
              </w:rPr>
              <w:lastRenderedPageBreak/>
              <w:t>Base de données européenne sur les pommes de terre pour la collecte centralisée des variétés notoirement connues</w:t>
            </w:r>
          </w:p>
        </w:tc>
        <w:tc>
          <w:tcPr>
            <w:tcW w:w="3827" w:type="dxa"/>
          </w:tcPr>
          <w:p w:rsidR="00AF7A00" w:rsidRPr="0085565C" w:rsidRDefault="00AF7A00" w:rsidP="00AF7A00">
            <w:pPr>
              <w:spacing w:before="60" w:after="60"/>
              <w:jc w:val="left"/>
              <w:rPr>
                <w:lang w:val="fr-FR"/>
              </w:rPr>
            </w:pPr>
            <w:r w:rsidRPr="0085565C">
              <w:rPr>
                <w:lang w:val="fr-FR"/>
              </w:rPr>
              <w:t>Royaume</w:t>
            </w:r>
            <w:r w:rsidRPr="0085565C">
              <w:rPr>
                <w:lang w:val="fr-FR"/>
              </w:rPr>
              <w:noBreakHyphen/>
              <w:t>Uni (M. Alex Reid)</w:t>
            </w:r>
          </w:p>
        </w:tc>
      </w:tr>
      <w:tr w:rsidR="00AF7A00" w:rsidRPr="00C258AE" w:rsidTr="00697CEF">
        <w:tc>
          <w:tcPr>
            <w:tcW w:w="5670" w:type="dxa"/>
            <w:vAlign w:val="center"/>
          </w:tcPr>
          <w:p w:rsidR="00AF7A00" w:rsidRPr="0085565C" w:rsidRDefault="00AF7A00" w:rsidP="00AF7A00">
            <w:pPr>
              <w:spacing w:before="60" w:after="60"/>
              <w:ind w:right="34"/>
              <w:jc w:val="left"/>
              <w:rPr>
                <w:lang w:val="fr-FR"/>
              </w:rPr>
            </w:pPr>
            <w:r w:rsidRPr="0085565C">
              <w:rPr>
                <w:lang w:val="fr-FR"/>
              </w:rPr>
              <w:t>Mise au point de marqueurs EST</w:t>
            </w:r>
            <w:r w:rsidRPr="0085565C">
              <w:rPr>
                <w:lang w:val="fr-FR"/>
              </w:rPr>
              <w:noBreakHyphen/>
              <w:t>SSR chez la laitue et identification de variétés au moyen de ces marqueurs</w:t>
            </w:r>
          </w:p>
        </w:tc>
        <w:tc>
          <w:tcPr>
            <w:tcW w:w="3827" w:type="dxa"/>
          </w:tcPr>
          <w:p w:rsidR="00AF7A00" w:rsidRPr="0085565C" w:rsidRDefault="00AF7A00" w:rsidP="00AF7A00">
            <w:pPr>
              <w:spacing w:before="60" w:after="60"/>
              <w:jc w:val="left"/>
              <w:rPr>
                <w:lang w:val="fr-FR"/>
              </w:rPr>
            </w:pPr>
            <w:r w:rsidRPr="0085565C">
              <w:rPr>
                <w:lang w:val="fr-FR"/>
              </w:rPr>
              <w:t>République de Corée (M. </w:t>
            </w:r>
            <w:proofErr w:type="spellStart"/>
            <w:r w:rsidRPr="0085565C">
              <w:rPr>
                <w:rFonts w:cs="Arial"/>
                <w:lang w:val="fr-FR" w:eastAsia="zh-CN"/>
              </w:rPr>
              <w:t>Seung</w:t>
            </w:r>
            <w:proofErr w:type="spellEnd"/>
            <w:r w:rsidRPr="0085565C">
              <w:rPr>
                <w:rFonts w:cs="Arial"/>
                <w:lang w:val="fr-FR" w:eastAsia="zh-CN"/>
              </w:rPr>
              <w:noBreakHyphen/>
              <w:t>In Yi)</w:t>
            </w:r>
          </w:p>
        </w:tc>
      </w:tr>
      <w:tr w:rsidR="00AF7A00" w:rsidRPr="00C258AE" w:rsidTr="00697CEF">
        <w:tblPrEx>
          <w:tblLook w:val="0000" w:firstRow="0" w:lastRow="0" w:firstColumn="0" w:lastColumn="0" w:noHBand="0" w:noVBand="0"/>
        </w:tblPrEx>
        <w:trPr>
          <w:trHeight w:val="300"/>
        </w:trPr>
        <w:tc>
          <w:tcPr>
            <w:tcW w:w="5670" w:type="dxa"/>
            <w:vAlign w:val="center"/>
          </w:tcPr>
          <w:p w:rsidR="00AF7A00" w:rsidRPr="0085565C" w:rsidRDefault="00AF7A00" w:rsidP="00AF7A00">
            <w:pPr>
              <w:spacing w:before="60" w:after="60"/>
              <w:ind w:right="34"/>
              <w:jc w:val="left"/>
              <w:rPr>
                <w:lang w:val="fr-FR"/>
              </w:rPr>
            </w:pPr>
            <w:r w:rsidRPr="0085565C">
              <w:rPr>
                <w:lang w:val="fr-FR"/>
              </w:rPr>
              <w:t>Propriété et utilisation d’échantillons utilisés dans un examen DHS, de l’ADN et des données relatives à l’ADN pendant et après un examen DHS</w:t>
            </w:r>
          </w:p>
        </w:tc>
        <w:tc>
          <w:tcPr>
            <w:tcW w:w="3827" w:type="dxa"/>
          </w:tcPr>
          <w:p w:rsidR="00AF7A00" w:rsidRPr="0085565C" w:rsidRDefault="00AF7A00" w:rsidP="00AF7A00">
            <w:pPr>
              <w:spacing w:before="60" w:after="60"/>
              <w:jc w:val="left"/>
              <w:rPr>
                <w:lang w:val="fr-FR"/>
              </w:rPr>
            </w:pPr>
            <w:r w:rsidRPr="0085565C">
              <w:rPr>
                <w:lang w:val="fr-FR"/>
              </w:rPr>
              <w:t>Pays</w:t>
            </w:r>
            <w:r w:rsidRPr="0085565C">
              <w:rPr>
                <w:lang w:val="fr-FR"/>
              </w:rPr>
              <w:noBreakHyphen/>
              <w:t>Bas (M. </w:t>
            </w:r>
            <w:proofErr w:type="spellStart"/>
            <w:r w:rsidRPr="0085565C">
              <w:rPr>
                <w:lang w:val="fr-FR"/>
              </w:rPr>
              <w:t>Kees</w:t>
            </w:r>
            <w:proofErr w:type="spellEnd"/>
            <w:r w:rsidRPr="0085565C">
              <w:rPr>
                <w:lang w:val="fr-FR"/>
              </w:rPr>
              <w:t> van </w:t>
            </w:r>
            <w:proofErr w:type="spellStart"/>
            <w:r w:rsidRPr="0085565C">
              <w:rPr>
                <w:lang w:val="fr-FR"/>
              </w:rPr>
              <w:t>Ettekoven</w:t>
            </w:r>
            <w:proofErr w:type="spellEnd"/>
            <w:r w:rsidRPr="0085565C">
              <w:rPr>
                <w:lang w:val="fr-FR"/>
              </w:rPr>
              <w:t>)</w:t>
            </w:r>
          </w:p>
        </w:tc>
      </w:tr>
      <w:tr w:rsidR="00AF7A00" w:rsidRPr="0085565C" w:rsidTr="00697CEF">
        <w:tblPrEx>
          <w:tblLook w:val="0000" w:firstRow="0" w:lastRow="0" w:firstColumn="0" w:lastColumn="0" w:noHBand="0" w:noVBand="0"/>
        </w:tblPrEx>
        <w:trPr>
          <w:trHeight w:val="300"/>
        </w:trPr>
        <w:tc>
          <w:tcPr>
            <w:tcW w:w="5670" w:type="dxa"/>
            <w:vAlign w:val="center"/>
          </w:tcPr>
          <w:p w:rsidR="00AF7A00" w:rsidRPr="0085565C" w:rsidRDefault="00AF7A00" w:rsidP="00AF7A00">
            <w:pPr>
              <w:spacing w:before="60" w:after="60"/>
              <w:ind w:right="34"/>
              <w:jc w:val="left"/>
              <w:rPr>
                <w:lang w:val="fr-FR"/>
              </w:rPr>
            </w:pPr>
            <w:r w:rsidRPr="0085565C">
              <w:rPr>
                <w:lang w:val="fr-FR"/>
              </w:rPr>
              <w:t xml:space="preserve">Domaines existants de coopération entre l’OCDE, l’UPOV et l’ISTA </w:t>
            </w:r>
          </w:p>
        </w:tc>
        <w:tc>
          <w:tcPr>
            <w:tcW w:w="3827" w:type="dxa"/>
          </w:tcPr>
          <w:p w:rsidR="00AF7A00" w:rsidRPr="0085565C" w:rsidRDefault="00AF7A00" w:rsidP="00AF7A00">
            <w:pPr>
              <w:spacing w:before="60" w:after="60"/>
              <w:jc w:val="left"/>
              <w:rPr>
                <w:lang w:val="fr-FR"/>
              </w:rPr>
            </w:pPr>
            <w:r w:rsidRPr="0085565C">
              <w:rPr>
                <w:lang w:val="fr-FR"/>
              </w:rPr>
              <w:t>Bureau de l’UPOV</w:t>
            </w:r>
          </w:p>
        </w:tc>
      </w:tr>
    </w:tbl>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prend note qu’une copie des exposés serait mise à disposition sur le site Web de l’UPOV.</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examine le document TC</w:t>
      </w:r>
      <w:r w:rsidRPr="0085565C">
        <w:rPr>
          <w:rFonts w:cs="Arial"/>
          <w:snapToGrid w:val="0"/>
          <w:lang w:val="fr-FR"/>
        </w:rPr>
        <w:t xml:space="preserve">/51/11 </w:t>
      </w:r>
      <w:proofErr w:type="spellStart"/>
      <w:r w:rsidRPr="0085565C">
        <w:rPr>
          <w:rFonts w:cs="Arial"/>
          <w:snapToGrid w:val="0"/>
          <w:lang w:val="fr-FR"/>
        </w:rPr>
        <w:t>Rev</w:t>
      </w:r>
      <w:proofErr w:type="spellEnd"/>
      <w:r w:rsidRPr="0085565C">
        <w:rPr>
          <w:rFonts w:cs="Arial"/>
          <w:snapToGrid w:val="0"/>
          <w:lang w:val="fr-FR"/>
        </w:rPr>
        <w:t>. “Techniques moléculaires”.</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prend note du rapport sur les faits nouveaux survenus au sein du TC, des TWP et du BMT, présenté aux paragraphes 4 à 22 du document TC</w:t>
      </w:r>
      <w:r w:rsidRPr="0085565C">
        <w:rPr>
          <w:rFonts w:cs="Arial"/>
          <w:snapToGrid w:val="0"/>
          <w:lang w:val="fr-FR"/>
        </w:rPr>
        <w:t xml:space="preserve">/51/11 </w:t>
      </w:r>
      <w:proofErr w:type="spellStart"/>
      <w:r w:rsidRPr="0085565C">
        <w:rPr>
          <w:rFonts w:cs="Arial"/>
          <w:snapToGrid w:val="0"/>
          <w:lang w:val="fr-FR"/>
        </w:rPr>
        <w:t>Rev</w:t>
      </w:r>
      <w:proofErr w:type="spellEnd"/>
      <w:r w:rsidRPr="0085565C">
        <w:rPr>
          <w:rFonts w:cs="Arial"/>
          <w:snapToGrid w:val="0"/>
          <w:lang w:val="fr-FR"/>
        </w:rPr>
        <w:t>.</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approuve le programme de la quinzième session du BMT, qui se tiendra en 2016, y compris la tenue d’une journée spéciale (“Journée des obtenteurs”), en ce qui concerne les points de l’ordre du jour relatifs à l’utilisation de techniques moléculaires pour l’appréciation de la notion de variété essentiellement dérivée et pour l’identification des variétés comme indiqué au paragraphe 22 du document TC/51/11 </w:t>
      </w:r>
      <w:proofErr w:type="spellStart"/>
      <w:r w:rsidRPr="0085565C">
        <w:rPr>
          <w:lang w:val="fr-FR"/>
        </w:rPr>
        <w:t>Rev</w:t>
      </w:r>
      <w:proofErr w:type="spellEnd"/>
      <w:r w:rsidRPr="0085565C">
        <w:rPr>
          <w:lang w:val="fr-FR"/>
        </w:rPr>
        <w:t>..</w:t>
      </w:r>
    </w:p>
    <w:p w:rsidR="00AF7A00" w:rsidRPr="0085565C" w:rsidRDefault="00AF7A00" w:rsidP="00AF7A00">
      <w:pPr>
        <w:rPr>
          <w:rFonts w:cs="Arial"/>
          <w:lang w:val="fr-FR" w:eastAsia="ja-JP"/>
        </w:rPr>
      </w:pPr>
    </w:p>
    <w:p w:rsidR="00AF7A00" w:rsidRPr="0085565C" w:rsidRDefault="00AF7A00" w:rsidP="00AF7A00">
      <w:pPr>
        <w:rPr>
          <w:rFonts w:cs="Arial"/>
          <w:lang w:val="fr-FR" w:eastAsia="ja-JP"/>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convient d’élaborer un document commun présentant les particularités des systèmes de l’OCDE, de l’UPOV et de l’ISTA (par exemple en matière d’examen DHS, d’identification des variétés, de pureté des variétés, etc.</w:t>
      </w:r>
      <w:r w:rsidRPr="0085565C">
        <w:rPr>
          <w:rFonts w:cs="Arial"/>
          <w:lang w:val="fr-FR" w:eastAsia="ja-JP"/>
        </w:rPr>
        <w:t>), sous réserve de l’approbation du Conseil et en concertation avec l’OCDE et l’ISTA.</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prend note qu’il avait été convenu à l’atelier conjoint de l’OCDE, de l’UPOV et de l’ISTA sur les techniques moléculaires qu’il serait utile d’organiser à nouveau cet atelier conjoint dans le cadre des réunions pertinentes de l’OCDE et de l’ISTA et que, à cet égard, le Groupe de travail technique était convenu qu’un autre Atelier conjoint de l’OCDE, de l’UPOV et de l’ISTA sur les techniques moléculaires devrait être organisé soit immédiatement avant ou après la Réunion annuelle des Systèmes de semences de l’OCDE qui se tiendra à Paris en juin 2015, soit en même temps que la Réunion du Groupe de travail technique qui se tiendra en janvier 2016.</w:t>
      </w:r>
    </w:p>
    <w:p w:rsidR="00AF7A00" w:rsidRPr="0085565C" w:rsidRDefault="00AF7A00" w:rsidP="00AF7A00">
      <w:pPr>
        <w:rPr>
          <w:lang w:val="fr-FR"/>
        </w:rPr>
      </w:pPr>
    </w:p>
    <w:p w:rsidR="00AF7A00" w:rsidRPr="0085565C" w:rsidRDefault="00AF7A00" w:rsidP="00AF7A00">
      <w:pPr>
        <w:rPr>
          <w:rFonts w:cs="Arial"/>
          <w:lang w:val="fr-FR" w:eastAsia="ja-JP"/>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convient de dresser un inventaire, par plante, de l’utilisation qui est faite des techniques faisant intervenir des marqueurs moléculaires, en vue de l’élaboration d’un document commun à l’OCDE, à l’UPOV et à l’ISTA contenant ces informations, dans un format semblable à celui du document UPOV/INF/16 “Logiciels échangeables”, comme indiqué au paragraphe 26 du document TC/51/11</w:t>
      </w:r>
      <w:r w:rsidRPr="0085565C">
        <w:rPr>
          <w:rFonts w:cs="Arial"/>
          <w:lang w:val="fr-FR" w:eastAsia="ja-JP"/>
        </w:rPr>
        <w:t>, sous réserve de l’approbation du Conseil et en concertation avec l’OCDE et l’ISTA.  Le TC convient qu’il sera nécessaire d’établir des critères et un processus afin d’ajouter des informations à ce document.</w:t>
      </w:r>
    </w:p>
    <w:p w:rsidR="00AF7A00" w:rsidRPr="0085565C" w:rsidRDefault="00AF7A00" w:rsidP="00AF7A00">
      <w:pPr>
        <w:rPr>
          <w:lang w:val="fr-FR"/>
        </w:rPr>
      </w:pPr>
    </w:p>
    <w:p w:rsidR="00AF7A00" w:rsidRPr="0085565C" w:rsidRDefault="00AF7A00" w:rsidP="00AF7A00">
      <w:pPr>
        <w:spacing w:after="240"/>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convient que le BMT, à sa quinzième session, dresse des listes d’initiatives conjointes possibles avec l’OCDE et l’ISTA dans le domaine des techniques moléculaires, aux fins d’examen par le TC.</w:t>
      </w: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examine l’élaboration d’un projet de questions et réponses concernant la diffusion d’informations à un large public, y compris le public en général, sur la situation à l’UPOV concernant l’utilisation de techniques moléculaires.  Le TC convient de demander aux TWP d’examiner, à leurs sessions de 2015, le premier projet ci</w:t>
      </w:r>
      <w:r w:rsidRPr="0085565C">
        <w:rPr>
          <w:lang w:val="fr-FR"/>
        </w:rPr>
        <w:noBreakHyphen/>
        <w:t>dessous débattu lors de la session du TC :</w:t>
      </w:r>
    </w:p>
    <w:p w:rsidR="00AF7A00" w:rsidRPr="0085565C" w:rsidRDefault="00AF7A00" w:rsidP="00AF7A00">
      <w:pPr>
        <w:rPr>
          <w:lang w:val="fr-FR"/>
        </w:rPr>
      </w:pPr>
    </w:p>
    <w:p w:rsidR="00AF7A00" w:rsidRPr="0085565C" w:rsidRDefault="00AF7A00" w:rsidP="00AF7A00">
      <w:pPr>
        <w:ind w:left="567" w:right="567"/>
        <w:rPr>
          <w:sz w:val="18"/>
          <w:lang w:val="fr-FR"/>
        </w:rPr>
      </w:pPr>
      <w:r w:rsidRPr="0085565C">
        <w:rPr>
          <w:sz w:val="18"/>
          <w:lang w:val="fr-FR"/>
        </w:rPr>
        <w:t>“Est</w:t>
      </w:r>
      <w:r w:rsidRPr="0085565C">
        <w:rPr>
          <w:sz w:val="18"/>
          <w:lang w:val="fr-FR"/>
        </w:rPr>
        <w:noBreakHyphen/>
        <w:t>il possible d’obtenir la protection d’une variété sur la base de son profil d’ADN?</w:t>
      </w:r>
    </w:p>
    <w:p w:rsidR="00AF7A00" w:rsidRPr="0085565C" w:rsidRDefault="00AF7A00" w:rsidP="00AF7A00">
      <w:pPr>
        <w:ind w:left="567" w:right="567"/>
        <w:rPr>
          <w:sz w:val="18"/>
          <w:lang w:val="fr-FR"/>
        </w:rPr>
      </w:pPr>
    </w:p>
    <w:p w:rsidR="00AF7A00" w:rsidRPr="0085565C" w:rsidRDefault="00AF7A00" w:rsidP="00AF7A00">
      <w:pPr>
        <w:ind w:left="567" w:right="567"/>
        <w:rPr>
          <w:sz w:val="18"/>
          <w:lang w:val="fr-FR"/>
        </w:rPr>
      </w:pPr>
      <w:r w:rsidRPr="0085565C">
        <w:rPr>
          <w:sz w:val="18"/>
          <w:lang w:val="fr-FR"/>
        </w:rPr>
        <w:t>“Pour pouvoir bénéficier d’une protection, une variété doit pouvoir être nettement distinguée de toute autre variété existante par des caractères exprimés physiquement, par exemple, la hauteur de la plante, l’époque de floraison, la couleur des fruits, la résistance aux maladies, etc.  [Les techniques moléculaires (les profils d’ADN) peuvent être utilisées en tant qu’informations complémentaires].</w:t>
      </w:r>
    </w:p>
    <w:p w:rsidR="00AF7A00" w:rsidRPr="0085565C" w:rsidRDefault="00AF7A00" w:rsidP="00AF7A00">
      <w:pPr>
        <w:ind w:left="567" w:right="567"/>
        <w:rPr>
          <w:sz w:val="18"/>
          <w:lang w:val="fr-FR"/>
        </w:rPr>
      </w:pPr>
    </w:p>
    <w:p w:rsidR="00AF7A00" w:rsidRPr="0085565C" w:rsidRDefault="00AF7A00" w:rsidP="00AF7A00">
      <w:pPr>
        <w:ind w:left="567" w:right="567"/>
        <w:rPr>
          <w:sz w:val="18"/>
          <w:lang w:val="fr-FR"/>
        </w:rPr>
      </w:pPr>
      <w:r w:rsidRPr="0085565C">
        <w:rPr>
          <w:sz w:val="18"/>
          <w:lang w:val="fr-FR"/>
        </w:rPr>
        <w:t>“Des explications plus détaillées sont fournies dans les réponses aux questions fréquemment posées ‘L’UPOV permet</w:t>
      </w:r>
      <w:r w:rsidRPr="0085565C">
        <w:rPr>
          <w:sz w:val="18"/>
          <w:lang w:val="fr-FR"/>
        </w:rPr>
        <w:noBreakHyphen/>
        <w:t>elle de recourir à des techniques moléculaires (profils d’ADN) dans l’examen de la distinction, de l’homogénéité et de la stabilité (examen DHS)?’</w:t>
      </w:r>
    </w:p>
    <w:p w:rsidR="00AF7A00" w:rsidRPr="0085565C" w:rsidRDefault="00AF7A00" w:rsidP="00AF7A00">
      <w:pPr>
        <w:ind w:left="567" w:right="567"/>
        <w:rPr>
          <w:sz w:val="18"/>
          <w:lang w:val="fr-FR"/>
        </w:rPr>
      </w:pPr>
    </w:p>
    <w:p w:rsidR="00AF7A00" w:rsidRPr="0085565C" w:rsidRDefault="00AF7A00" w:rsidP="00167941">
      <w:pPr>
        <w:keepNext/>
        <w:ind w:left="567" w:right="567"/>
        <w:rPr>
          <w:sz w:val="18"/>
          <w:lang w:val="fr-FR"/>
        </w:rPr>
      </w:pPr>
      <w:r w:rsidRPr="0085565C">
        <w:rPr>
          <w:sz w:val="18"/>
          <w:lang w:val="fr-FR"/>
        </w:rPr>
        <w:lastRenderedPageBreak/>
        <w:t>“Voir également :</w:t>
      </w:r>
    </w:p>
    <w:p w:rsidR="00AF7A00" w:rsidRPr="0085565C" w:rsidRDefault="00AF7A00" w:rsidP="00AF7A00">
      <w:pPr>
        <w:ind w:left="567" w:right="567"/>
        <w:rPr>
          <w:sz w:val="18"/>
          <w:lang w:val="fr-FR"/>
        </w:rPr>
      </w:pPr>
      <w:r w:rsidRPr="0085565C">
        <w:rPr>
          <w:sz w:val="18"/>
          <w:lang w:val="fr-FR"/>
        </w:rPr>
        <w:t>“Quelles sont les conditions à remplir pour pouvoir protéger une nouvelle variété végétale?”</w:t>
      </w:r>
    </w:p>
    <w:p w:rsidR="00AF7A00" w:rsidRPr="0085565C" w:rsidRDefault="00AF7A00" w:rsidP="00AF7A00">
      <w:pPr>
        <w:rPr>
          <w:highlight w:val="yellow"/>
          <w:lang w:val="fr-FR"/>
        </w:rPr>
      </w:pPr>
    </w:p>
    <w:p w:rsidR="00AF7A00" w:rsidRPr="0085565C" w:rsidRDefault="00AF7A00" w:rsidP="00AF7A00">
      <w:pPr>
        <w:rPr>
          <w:highlight w:val="yellow"/>
          <w:lang w:val="fr-FR"/>
        </w:rPr>
      </w:pPr>
    </w:p>
    <w:p w:rsidR="00AF7A00" w:rsidRPr="0085565C" w:rsidRDefault="00AF7A00" w:rsidP="0085565C">
      <w:pPr>
        <w:pStyle w:val="Heading2"/>
        <w:rPr>
          <w:lang w:val="fr-FR"/>
        </w:rPr>
      </w:pPr>
      <w:bookmarkStart w:id="37" w:name="_Toc428287704"/>
      <w:r w:rsidRPr="0085565C">
        <w:rPr>
          <w:lang w:val="fr-FR"/>
        </w:rPr>
        <w:t>Dénominations variétales</w:t>
      </w:r>
      <w:bookmarkEnd w:id="37"/>
    </w:p>
    <w:p w:rsidR="00AF7A00" w:rsidRPr="0085565C" w:rsidRDefault="00AF7A00" w:rsidP="00AF7A00">
      <w:pPr>
        <w:keepNext/>
        <w:ind w:left="567" w:hanging="567"/>
        <w:rPr>
          <w:lang w:val="fr-FR"/>
        </w:rPr>
      </w:pPr>
    </w:p>
    <w:p w:rsidR="00AF7A00" w:rsidRPr="0085565C" w:rsidRDefault="00AF7A00" w:rsidP="00AF7A00">
      <w:pPr>
        <w:ind w:left="567" w:hanging="567"/>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examine le document TC/51/12.</w:t>
      </w:r>
    </w:p>
    <w:p w:rsidR="00AF7A00" w:rsidRPr="0085565C" w:rsidRDefault="00AF7A00" w:rsidP="00AF7A00">
      <w:pPr>
        <w:ind w:left="567" w:hanging="567"/>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prend note des travaux sur la possibilité d’élaborer un outil de recherche de similarités de l’UPOV aux fins des dénominations variétales par le groupe de travail sur l’élaboration d’un outil de recherche de similarités de l’UPOV (WG</w:t>
      </w:r>
      <w:r w:rsidRPr="0085565C">
        <w:rPr>
          <w:lang w:val="fr-FR"/>
        </w:rPr>
        <w:noBreakHyphen/>
        <w:t>DST), y compris l’étude test, comme indiqué aux paragraphes 4 à 15 du document TC</w:t>
      </w:r>
      <w:r w:rsidRPr="0085565C">
        <w:rPr>
          <w:rFonts w:cs="Arial"/>
          <w:snapToGrid w:val="0"/>
          <w:lang w:val="fr-FR"/>
        </w:rPr>
        <w:t>/51/12.  Le TC prend également note que la conclusion de l’étude sera communiquée à la deuxième réunion du WG</w:t>
      </w:r>
      <w:r w:rsidRPr="0085565C">
        <w:rPr>
          <w:rFonts w:cs="Arial"/>
          <w:snapToGrid w:val="0"/>
          <w:lang w:val="fr-FR"/>
        </w:rPr>
        <w:noBreakHyphen/>
        <w:t>DST</w:t>
      </w:r>
      <w:r w:rsidRPr="0085565C">
        <w:rPr>
          <w:lang w:val="fr-FR" w:eastAsia="ja-JP"/>
        </w:rPr>
        <w:t xml:space="preserve"> et que l’outil de recherche le plus efficace sera décrit et commenté</w:t>
      </w:r>
      <w:r w:rsidRPr="0085565C">
        <w:rPr>
          <w:lang w:val="fr-FR"/>
        </w:rPr>
        <w:t>.</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prend note de la proposition de révision du document UPOV/INF/12 en ce qui concerne les modifications de dénominations variétales enregistrées, comme indiqué au paragraphe 20 du</w:t>
      </w:r>
      <w:r w:rsidRPr="0085565C">
        <w:rPr>
          <w:rFonts w:eastAsia="MS Mincho"/>
          <w:snapToGrid w:val="0"/>
          <w:lang w:val="fr-FR" w:eastAsia="ja-JP"/>
        </w:rPr>
        <w:t xml:space="preserve"> </w:t>
      </w:r>
      <w:r w:rsidRPr="0085565C">
        <w:rPr>
          <w:lang w:val="fr-FR"/>
        </w:rPr>
        <w:t>document TC</w:t>
      </w:r>
      <w:r w:rsidRPr="0085565C">
        <w:rPr>
          <w:rFonts w:cs="Arial"/>
          <w:snapToGrid w:val="0"/>
          <w:lang w:val="fr-FR"/>
        </w:rPr>
        <w:t>/51/12</w:t>
      </w:r>
      <w:r w:rsidRPr="0085565C">
        <w:rPr>
          <w:lang w:val="fr-FR"/>
        </w:rPr>
        <w:t>, et que, sous réserve de l’accord du CAJ, ladite révision sera proposée pour adoption par le Conseil à sa quarante</w:t>
      </w:r>
      <w:r w:rsidRPr="0085565C">
        <w:rPr>
          <w:lang w:val="fr-FR"/>
        </w:rPr>
        <w:noBreakHyphen/>
        <w:t>neuvième session ordinaire prévue le 28 octobre 2015.</w:t>
      </w:r>
    </w:p>
    <w:p w:rsidR="00AF7A00" w:rsidRPr="0085565C" w:rsidRDefault="00AF7A00" w:rsidP="00AF7A00">
      <w:pPr>
        <w:ind w:left="567" w:hanging="567"/>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prend note du fait que le CAJ, à sa soixante et onzième session, pourrait inviter le WG</w:t>
      </w:r>
      <w:r w:rsidRPr="0085565C">
        <w:rPr>
          <w:lang w:val="fr-FR"/>
        </w:rPr>
        <w:noBreakHyphen/>
        <w:t>DST à examiner les observations formulées par le CAJ</w:t>
      </w:r>
      <w:r w:rsidRPr="0085565C">
        <w:rPr>
          <w:lang w:val="fr-FR"/>
        </w:rPr>
        <w:noBreakHyphen/>
        <w:t xml:space="preserve">AG à sa neuvième session sur les propositions figurant dans le document UPOV/INF/12/5 </w:t>
      </w:r>
      <w:proofErr w:type="spellStart"/>
      <w:r w:rsidRPr="0085565C">
        <w:rPr>
          <w:lang w:val="fr-FR"/>
        </w:rPr>
        <w:t>Draft</w:t>
      </w:r>
      <w:proofErr w:type="spellEnd"/>
      <w:r w:rsidRPr="0085565C">
        <w:rPr>
          <w:lang w:val="fr-FR"/>
        </w:rPr>
        <w:t xml:space="preserve"> 2 concernant les sections 2.2.2.b), 2.3.1.c) et d), et 2.3.3, telles qu’elles figurent au paragraphe 26 du document TC</w:t>
      </w:r>
      <w:r w:rsidRPr="0085565C">
        <w:rPr>
          <w:rFonts w:cs="Arial"/>
          <w:snapToGrid w:val="0"/>
          <w:lang w:val="fr-FR"/>
        </w:rPr>
        <w:t>/51/12.</w:t>
      </w:r>
    </w:p>
    <w:p w:rsidR="00AF7A00" w:rsidRPr="0085565C" w:rsidRDefault="00AF7A00" w:rsidP="00AF7A00">
      <w:pPr>
        <w:ind w:left="567" w:hanging="567"/>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prend note du fait que le CAJ</w:t>
      </w:r>
      <w:r w:rsidRPr="0085565C">
        <w:rPr>
          <w:rFonts w:cs="Arial"/>
          <w:lang w:val="fr-FR"/>
        </w:rPr>
        <w:t>, à sa soixante et onzième session, pourrait suggérer que les propositions du CAJ</w:t>
      </w:r>
      <w:r w:rsidRPr="0085565C">
        <w:rPr>
          <w:rFonts w:cs="Arial"/>
          <w:lang w:val="fr-FR"/>
        </w:rPr>
        <w:noBreakHyphen/>
        <w:t>AG concernant les sections 2.2.2.c), 4.a) et 4.e)i) soient examinées par le CAJ, à sa soixante</w:t>
      </w:r>
      <w:r w:rsidRPr="0085565C">
        <w:rPr>
          <w:rFonts w:cs="Arial"/>
          <w:lang w:val="fr-FR"/>
        </w:rPr>
        <w:noBreakHyphen/>
        <w:t xml:space="preserve">douzième session, comme indiqué au paragraphe 27 du </w:t>
      </w:r>
      <w:r w:rsidRPr="0085565C">
        <w:rPr>
          <w:lang w:val="fr-FR"/>
        </w:rPr>
        <w:t>document TC</w:t>
      </w:r>
      <w:r w:rsidRPr="0085565C">
        <w:rPr>
          <w:rFonts w:cs="Arial"/>
          <w:snapToGrid w:val="0"/>
          <w:lang w:val="fr-FR"/>
        </w:rPr>
        <w:t>/51/12.</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La délégation de l’Argentine indique qu’elle mène une étude sur les dénominations variétales qui serait présentée au CAJ à sa session en octobre 2015.</w:t>
      </w:r>
    </w:p>
    <w:p w:rsidR="00AF7A00" w:rsidRPr="0085565C" w:rsidRDefault="00AF7A00" w:rsidP="00AF7A00">
      <w:pPr>
        <w:rPr>
          <w:lang w:val="fr-FR"/>
        </w:rPr>
      </w:pPr>
    </w:p>
    <w:p w:rsidR="00AF7A00" w:rsidRPr="0085565C" w:rsidRDefault="00AF7A00" w:rsidP="00AF7A00">
      <w:pPr>
        <w:rPr>
          <w:lang w:val="fr-FR"/>
        </w:rPr>
      </w:pPr>
    </w:p>
    <w:p w:rsidR="00AF7A00" w:rsidRPr="0085565C" w:rsidRDefault="00AF7A00" w:rsidP="0085565C">
      <w:pPr>
        <w:pStyle w:val="Heading2"/>
        <w:rPr>
          <w:lang w:val="fr-FR"/>
        </w:rPr>
      </w:pPr>
      <w:bookmarkStart w:id="38" w:name="_Toc428287705"/>
      <w:r w:rsidRPr="0085565C">
        <w:rPr>
          <w:lang w:val="fr-FR"/>
        </w:rPr>
        <w:t>Informations et bases de données</w:t>
      </w:r>
      <w:bookmarkEnd w:id="38"/>
    </w:p>
    <w:p w:rsidR="00AF7A00" w:rsidRPr="0085565C" w:rsidRDefault="00AF7A00" w:rsidP="00AF7A00">
      <w:pPr>
        <w:keepNext/>
        <w:ind w:left="567" w:hanging="567"/>
        <w:rPr>
          <w:u w:val="single"/>
          <w:lang w:val="fr-FR"/>
        </w:rPr>
      </w:pPr>
    </w:p>
    <w:p w:rsidR="00AF7A00" w:rsidRPr="0085565C" w:rsidRDefault="00AF7A00" w:rsidP="0085565C">
      <w:pPr>
        <w:pStyle w:val="Heading3"/>
      </w:pPr>
      <w:bookmarkStart w:id="39" w:name="_Toc428287706"/>
      <w:r w:rsidRPr="0085565C">
        <w:t>a)</w:t>
      </w:r>
      <w:r w:rsidRPr="0085565C">
        <w:tab/>
        <w:t>Bases de données d’information de l’UPOV</w:t>
      </w:r>
      <w:bookmarkEnd w:id="39"/>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examine le document TC/51/6.</w:t>
      </w:r>
    </w:p>
    <w:p w:rsidR="00AF7A00" w:rsidRPr="0085565C" w:rsidRDefault="00AF7A00" w:rsidP="00AF7A00">
      <w:pPr>
        <w:rPr>
          <w:lang w:val="fr-FR"/>
        </w:rPr>
      </w:pPr>
    </w:p>
    <w:p w:rsidR="00AF7A00" w:rsidRPr="0085565C" w:rsidRDefault="00AF7A00" w:rsidP="00AF7A00">
      <w:pPr>
        <w:pStyle w:val="Heading4"/>
      </w:pPr>
      <w:r w:rsidRPr="0085565C">
        <w:t>Base de données GENIE</w:t>
      </w:r>
    </w:p>
    <w:p w:rsidR="00AF7A00" w:rsidRPr="0085565C" w:rsidRDefault="00AF7A00" w:rsidP="00AF7A00">
      <w:pPr>
        <w:rPr>
          <w:lang w:val="fr-FR"/>
        </w:rPr>
      </w:pPr>
    </w:p>
    <w:p w:rsidR="00AF7A00" w:rsidRPr="0085565C" w:rsidRDefault="00AF7A00" w:rsidP="00AF7A00">
      <w:pPr>
        <w:pStyle w:val="Heading5"/>
        <w:rPr>
          <w:lang w:val="fr-FR"/>
        </w:rPr>
      </w:pPr>
      <w:r w:rsidRPr="0085565C">
        <w:rPr>
          <w:lang w:val="fr-FR"/>
        </w:rPr>
        <w:t>Informations sur le type de plante</w:t>
      </w:r>
    </w:p>
    <w:p w:rsidR="00AF7A00" w:rsidRPr="0085565C" w:rsidRDefault="00AF7A00" w:rsidP="00AF7A00">
      <w:pPr>
        <w:rPr>
          <w:lang w:val="fr-FR"/>
        </w:rPr>
      </w:pPr>
    </w:p>
    <w:p w:rsidR="00AF7A00" w:rsidRPr="0085565C" w:rsidRDefault="00AF7A00" w:rsidP="00AF7A00">
      <w:pPr>
        <w:rPr>
          <w:rFonts w:cs="Arial"/>
          <w:snapToGrid w:val="0"/>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prend note des informations sur l’attribution de type(s) de plante aux codes UPOV actuellement utilisés dans la base de données PLUTO, comme indiqué aux paragraphes 12 et 13 du document TC</w:t>
      </w:r>
      <w:r w:rsidRPr="0085565C">
        <w:rPr>
          <w:rFonts w:cs="Arial"/>
          <w:snapToGrid w:val="0"/>
          <w:lang w:val="fr-FR"/>
        </w:rPr>
        <w:t>/51/6.</w:t>
      </w:r>
    </w:p>
    <w:p w:rsidR="00AF7A00" w:rsidRPr="0085565C" w:rsidRDefault="00AF7A00" w:rsidP="00AF7A00">
      <w:pPr>
        <w:rPr>
          <w:rFonts w:cs="Arial"/>
          <w:snapToGrid w:val="0"/>
          <w:lang w:val="fr-FR"/>
        </w:rPr>
      </w:pPr>
    </w:p>
    <w:p w:rsidR="00AF7A00" w:rsidRPr="0085565C" w:rsidRDefault="00AF7A00" w:rsidP="00AF7A00">
      <w:pPr>
        <w:spacing w:after="240"/>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 xml:space="preserve">Le TC prend note que </w:t>
      </w:r>
      <w:r w:rsidRPr="0085565C">
        <w:rPr>
          <w:lang w:val="fr-FR" w:eastAsia="ja-JP"/>
        </w:rPr>
        <w:t>les informations relatives au(x) type(s) de plante seront introduites dans la base de données GENIE, qui sera modifiée pour indiquer le(s) type(s) de plante pour chaque code UPOV d’ici à la fin du mois de mars 2015.</w:t>
      </w:r>
    </w:p>
    <w:p w:rsidR="00AF7A00" w:rsidRPr="0085565C" w:rsidRDefault="00AF7A00" w:rsidP="00AF7A00">
      <w:pPr>
        <w:spacing w:after="240"/>
        <w:rPr>
          <w:snapToGrid w:val="0"/>
          <w:lang w:val="fr-FR" w:eastAsia="ja-JP"/>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 xml:space="preserve">Le TC prend </w:t>
      </w:r>
      <w:r w:rsidRPr="0085565C">
        <w:rPr>
          <w:lang w:val="fr-FR" w:eastAsia="ja-JP"/>
        </w:rPr>
        <w:t>note</w:t>
      </w:r>
      <w:r w:rsidRPr="0085565C">
        <w:rPr>
          <w:snapToGrid w:val="0"/>
          <w:lang w:val="fr-FR" w:eastAsia="ja-JP"/>
        </w:rPr>
        <w:t xml:space="preserve"> qu’un rapport standard sur les attributions des TWP pour les codes UPOV sera publié sur la page Web consacrée à la base de données GENIE d’ici à la fin du mois de mars 2015.</w:t>
      </w: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w:t>
      </w:r>
      <w:r w:rsidRPr="0085565C">
        <w:rPr>
          <w:lang w:val="fr-FR" w:eastAsia="ja-JP"/>
        </w:rPr>
        <w:t xml:space="preserve"> accepte que le Bureau de l’Union établisse des tableaux d’attribution de type(s) de plante aux codes UPOV qui sont utilisés dans la base de données PLUTO pour la première fois, aux fins de leur vérification par les services compétents, pour chacune des sessions des TWP en 2015.</w:t>
      </w:r>
    </w:p>
    <w:p w:rsidR="00AF7A00" w:rsidRPr="0085565C" w:rsidRDefault="00AF7A00" w:rsidP="00AF7A00">
      <w:pPr>
        <w:rPr>
          <w:lang w:val="fr-FR"/>
        </w:rPr>
      </w:pPr>
    </w:p>
    <w:p w:rsidR="00AF7A00" w:rsidRPr="0085565C" w:rsidRDefault="00AF7A00" w:rsidP="00AF7A00">
      <w:pPr>
        <w:pStyle w:val="Heading4"/>
      </w:pPr>
      <w:r w:rsidRPr="0085565C">
        <w:t>Système de codes UPOV</w:t>
      </w:r>
    </w:p>
    <w:p w:rsidR="00AF7A00" w:rsidRPr="0085565C" w:rsidRDefault="00AF7A00" w:rsidP="00AF7A00">
      <w:pPr>
        <w:keepNext/>
        <w:rPr>
          <w:lang w:val="fr-FR"/>
        </w:rPr>
      </w:pPr>
    </w:p>
    <w:p w:rsidR="00AF7A00" w:rsidRPr="0085565C" w:rsidRDefault="00AF7A00" w:rsidP="00AF7A00">
      <w:pPr>
        <w:rPr>
          <w:rFonts w:cs="Arial"/>
          <w:snapToGrid w:val="0"/>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 xml:space="preserve">Le TC examine les faits nouveaux concernant les codes UPOV, tels qu’ils figurent au paragraphe 17 du document TC/51/6.  Le TC prend note qu’en </w:t>
      </w:r>
      <w:r w:rsidRPr="0085565C">
        <w:rPr>
          <w:rFonts w:cs="Arial"/>
          <w:snapToGrid w:val="0"/>
          <w:lang w:val="fr-FR"/>
        </w:rPr>
        <w:t>201</w:t>
      </w:r>
      <w:r w:rsidRPr="0085565C">
        <w:rPr>
          <w:rFonts w:cs="Arial"/>
          <w:snapToGrid w:val="0"/>
          <w:lang w:val="fr-FR" w:eastAsia="ja-JP"/>
        </w:rPr>
        <w:t>4</w:t>
      </w:r>
      <w:r w:rsidRPr="0085565C">
        <w:rPr>
          <w:rFonts w:cs="Arial"/>
          <w:snapToGrid w:val="0"/>
          <w:lang w:val="fr-FR"/>
        </w:rPr>
        <w:t xml:space="preserve">, </w:t>
      </w:r>
      <w:r w:rsidRPr="0085565C">
        <w:rPr>
          <w:rFonts w:cs="Arial"/>
          <w:snapToGrid w:val="0"/>
          <w:lang w:val="fr-FR" w:eastAsia="ja-JP"/>
        </w:rPr>
        <w:t>577 nouveaux codes UPOV ont été créés et 37 codes UPOV existants ont été modifiés</w:t>
      </w:r>
      <w:r w:rsidRPr="0085565C">
        <w:rPr>
          <w:rFonts w:cs="Arial"/>
          <w:snapToGrid w:val="0"/>
          <w:lang w:val="fr-FR"/>
        </w:rPr>
        <w:t>.  Le TC note également que le nombre total de codes UPOV figurant dans la base de données GENIE était de 7808 à la fin de 2014.</w:t>
      </w:r>
    </w:p>
    <w:p w:rsidR="00AF7A00" w:rsidRPr="0085565C" w:rsidRDefault="00AF7A00" w:rsidP="00AF7A00">
      <w:pPr>
        <w:rPr>
          <w:lang w:val="fr-FR"/>
        </w:rPr>
      </w:pPr>
    </w:p>
    <w:p w:rsidR="00AF7A00" w:rsidRPr="0085565C" w:rsidRDefault="00AF7A00" w:rsidP="00AF7A00">
      <w:pPr>
        <w:rPr>
          <w:lang w:val="fr-FR"/>
        </w:rPr>
      </w:pPr>
      <w:r w:rsidRPr="0085565C">
        <w:rPr>
          <w:lang w:val="fr-FR"/>
        </w:rPr>
        <w:lastRenderedPageBreak/>
        <w:fldChar w:fldCharType="begin"/>
      </w:r>
      <w:r w:rsidRPr="0085565C">
        <w:rPr>
          <w:lang w:val="fr-FR"/>
        </w:rPr>
        <w:instrText xml:space="preserve"> AUTONUM  </w:instrText>
      </w:r>
      <w:r w:rsidRPr="0085565C">
        <w:rPr>
          <w:lang w:val="fr-FR"/>
        </w:rPr>
        <w:fldChar w:fldCharType="end"/>
      </w:r>
      <w:r w:rsidRPr="0085565C">
        <w:rPr>
          <w:lang w:val="fr-FR"/>
        </w:rPr>
        <w:tab/>
        <w:t>Le TC</w:t>
      </w:r>
      <w:r w:rsidRPr="0085565C">
        <w:rPr>
          <w:lang w:val="fr-FR" w:eastAsia="ja-JP"/>
        </w:rPr>
        <w:t xml:space="preserve"> convient que le Bureau de l’Union établira des tableaux des ajouts et des modifications apportés aux codes UPOV pour vérification par les services compétents pour chacune des sessions des TWP en 2015, comme indiqué au paragraphe 18 du document TC</w:t>
      </w:r>
      <w:r w:rsidRPr="0085565C">
        <w:rPr>
          <w:lang w:val="fr-FR"/>
        </w:rPr>
        <w:t>/51/6.</w:t>
      </w:r>
    </w:p>
    <w:p w:rsidR="00AF7A00" w:rsidRPr="0085565C" w:rsidRDefault="00AF7A00" w:rsidP="00AF7A00">
      <w:pPr>
        <w:pStyle w:val="Heading4"/>
      </w:pPr>
    </w:p>
    <w:p w:rsidR="00AF7A00" w:rsidRPr="0085565C" w:rsidRDefault="00AF7A00" w:rsidP="00AF7A00">
      <w:pPr>
        <w:pStyle w:val="Heading4"/>
      </w:pPr>
      <w:r w:rsidRPr="0085565C">
        <w:t>Base de données PLUTO</w:t>
      </w:r>
    </w:p>
    <w:p w:rsidR="00AF7A00" w:rsidRPr="0085565C" w:rsidRDefault="00AF7A00" w:rsidP="00AF7A00">
      <w:pPr>
        <w:keepNext/>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prend note de la synthèse des contributions à la base de données PLUTO de 2012 à 2014 et de l’état actuel des apports de données par les membres de l’Union, tel que présenté à l’annexe II du document TC/51/6.</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prend note du fait que le nombre d’apports de données à la base de données PLUTO figurant à l’annexe II du document TC/51/6 ne comprend pas tous les apports de données effectués par l’Office communautaire des variétés végétales (OCVV) au cours de l’application des dispositions transitoires aux fins de téléchargement de données en ligne et prend note que l’Office fournira une version corrigée de l’annexe II.</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prend note du fait qu’une colonne additionnelle indiquant la date à laquelle l’information a été fournie sera intégrée à l’écran de recherche PLUTO avant la fin du mois de mars 2015</w:t>
      </w:r>
      <w:r w:rsidRPr="0085565C">
        <w:rPr>
          <w:lang w:val="fr-FR" w:eastAsia="ja-JP"/>
        </w:rPr>
        <w:t>.</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convient que les champs “Dénomination” et “Référence de l’obtenteur” puissent être consultés, de manière individuelle ou combinée, au moyen des outils de recherche de dénomination sur la page “Recherche de dénomination” de la base de données PLUTO, comme indiqué aux paragraphes 28 et 29 du document TC</w:t>
      </w:r>
      <w:r w:rsidRPr="0085565C">
        <w:rPr>
          <w:lang w:val="fr-FR" w:eastAsia="ja-JP"/>
        </w:rPr>
        <w:t>/51/6</w:t>
      </w:r>
      <w:r w:rsidRPr="0085565C">
        <w:rPr>
          <w:lang w:val="fr-FR"/>
        </w:rPr>
        <w:t>, et prend note que les conclusions du TC sur cette question seront communiquées au CAJ à sa soixante et onzième session, prévue à Genève le 26 mars 2015</w:t>
      </w:r>
      <w:r w:rsidRPr="0085565C">
        <w:rPr>
          <w:lang w:val="fr-FR" w:eastAsia="ja-JP"/>
        </w:rPr>
        <w:t>.</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prend note des informations relatives au cours de formation sur les apports de données à la base de données PLUTO qui s’est tenu à Genève en décembre 2014, comme indiqué aux paragraphes 31 à 34 du document TC</w:t>
      </w:r>
      <w:r w:rsidRPr="0085565C">
        <w:rPr>
          <w:lang w:val="fr-FR" w:eastAsia="ja-JP"/>
        </w:rPr>
        <w:t>/51/6</w:t>
      </w:r>
      <w:r w:rsidRPr="0085565C">
        <w:rPr>
          <w:lang w:val="fr-FR"/>
        </w:rPr>
        <w:t>, ainsi que des projets relatifs à l’organisation de trois autres cours, en français, anglais et espagnol, en 2015</w:t>
      </w:r>
      <w:r w:rsidRPr="0085565C">
        <w:rPr>
          <w:snapToGrid w:val="0"/>
          <w:lang w:val="fr-FR"/>
        </w:rPr>
        <w:t>.</w:t>
      </w:r>
    </w:p>
    <w:p w:rsidR="00AF7A00" w:rsidRPr="0085565C" w:rsidRDefault="00AF7A00" w:rsidP="00AF7A00">
      <w:pPr>
        <w:rPr>
          <w:lang w:val="fr-FR"/>
        </w:rPr>
      </w:pPr>
    </w:p>
    <w:p w:rsidR="00AF7A00" w:rsidRPr="0085565C" w:rsidRDefault="00AF7A00" w:rsidP="0085565C">
      <w:pPr>
        <w:pStyle w:val="Heading3"/>
      </w:pPr>
      <w:bookmarkStart w:id="40" w:name="_Toc428287707"/>
      <w:r w:rsidRPr="0085565C">
        <w:t>b)</w:t>
      </w:r>
      <w:r w:rsidRPr="0085565C">
        <w:tab/>
        <w:t>Systèmes de dépôt électronique des demandes</w:t>
      </w:r>
      <w:bookmarkEnd w:id="40"/>
    </w:p>
    <w:p w:rsidR="00AF7A00" w:rsidRPr="0085565C" w:rsidRDefault="00AF7A00" w:rsidP="00AF7A00">
      <w:pPr>
        <w:keepNext/>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examine le document TC/51/7 “Systèmes de dépôt électronique des demandes”.</w:t>
      </w:r>
    </w:p>
    <w:p w:rsidR="00AF7A00" w:rsidRPr="0085565C" w:rsidRDefault="00AF7A00" w:rsidP="00AF7A00">
      <w:pPr>
        <w:rPr>
          <w:lang w:val="fr-FR"/>
        </w:rPr>
      </w:pPr>
    </w:p>
    <w:p w:rsidR="00AF7A00" w:rsidRPr="0085565C" w:rsidRDefault="00AF7A00" w:rsidP="00AF7A00">
      <w:pPr>
        <w:rPr>
          <w:snapToGrid w:val="0"/>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prend note des faits nouveaux concernant l’élaboration d’un prototype de formulaire électronique, tels qu’ils sont consignés dans le document TC/51/7.</w:t>
      </w:r>
    </w:p>
    <w:p w:rsidR="00AF7A00" w:rsidRPr="0085565C" w:rsidRDefault="00AF7A00" w:rsidP="00AF7A00">
      <w:pPr>
        <w:rPr>
          <w:snapToGrid w:val="0"/>
          <w:lang w:val="fr-FR"/>
        </w:rPr>
      </w:pPr>
    </w:p>
    <w:p w:rsidR="00AF7A00" w:rsidRPr="0085565C" w:rsidRDefault="00AF7A00" w:rsidP="00AF7A00">
      <w:pPr>
        <w:rPr>
          <w:snapToGrid w:val="0"/>
          <w:lang w:val="fr-FR"/>
        </w:rPr>
      </w:pPr>
      <w:r w:rsidRPr="0085565C">
        <w:rPr>
          <w:snapToGrid w:val="0"/>
          <w:lang w:val="fr-FR"/>
        </w:rPr>
        <w:fldChar w:fldCharType="begin"/>
      </w:r>
      <w:r w:rsidRPr="0085565C">
        <w:rPr>
          <w:snapToGrid w:val="0"/>
          <w:lang w:val="fr-FR"/>
        </w:rPr>
        <w:instrText xml:space="preserve"> AUTONUM  </w:instrText>
      </w:r>
      <w:r w:rsidRPr="0085565C">
        <w:rPr>
          <w:snapToGrid w:val="0"/>
          <w:lang w:val="fr-FR"/>
        </w:rPr>
        <w:fldChar w:fldCharType="end"/>
      </w:r>
      <w:r w:rsidRPr="0085565C">
        <w:rPr>
          <w:snapToGrid w:val="0"/>
          <w:lang w:val="fr-FR"/>
        </w:rPr>
        <w:tab/>
        <w:t xml:space="preserve">L’Union européenne demande à bénéficier d’un délai supplémentaire pour fournir des observations concernant l’élaboration du </w:t>
      </w:r>
      <w:r w:rsidRPr="0085565C">
        <w:rPr>
          <w:lang w:val="fr-FR"/>
        </w:rPr>
        <w:t>prototype de formulaire électronique</w:t>
      </w:r>
      <w:r w:rsidRPr="0085565C">
        <w:rPr>
          <w:snapToGrid w:val="0"/>
          <w:lang w:val="fr-FR"/>
        </w:rPr>
        <w:t>.  Le Bureau de l’UPOV précise que toutes observations reçues pourraient être prises en considération dans les versions ultérieures du prototype et invite tous les membres de l’UPOV et les obtenteurs à se joindre au projet.</w:t>
      </w:r>
    </w:p>
    <w:p w:rsidR="00AF7A00" w:rsidRPr="0085565C" w:rsidRDefault="00AF7A00" w:rsidP="00AF7A00">
      <w:pPr>
        <w:rPr>
          <w:lang w:val="fr-FR"/>
        </w:rPr>
      </w:pPr>
    </w:p>
    <w:p w:rsidR="00AF7A00" w:rsidRPr="0085565C" w:rsidRDefault="00AF7A00" w:rsidP="00AF7A00">
      <w:pPr>
        <w:rPr>
          <w:lang w:val="fr-FR"/>
        </w:rPr>
      </w:pPr>
    </w:p>
    <w:p w:rsidR="00AF7A00" w:rsidRPr="0085565C" w:rsidRDefault="00AF7A00" w:rsidP="00AF7A00">
      <w:pPr>
        <w:pStyle w:val="Heading3"/>
      </w:pPr>
      <w:bookmarkStart w:id="41" w:name="_Toc428287708"/>
      <w:r w:rsidRPr="0085565C">
        <w:t>c)</w:t>
      </w:r>
      <w:r w:rsidRPr="0085565C">
        <w:tab/>
        <w:t>Logiciels échangeables</w:t>
      </w:r>
      <w:bookmarkEnd w:id="41"/>
    </w:p>
    <w:p w:rsidR="00AF7A00" w:rsidRPr="0085565C" w:rsidRDefault="00AF7A00" w:rsidP="00AF7A00">
      <w:pPr>
        <w:keepNext/>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examine le document TC/51/8.</w:t>
      </w:r>
    </w:p>
    <w:p w:rsidR="00AF7A00" w:rsidRPr="0085565C" w:rsidRDefault="00AF7A00" w:rsidP="00AF7A00">
      <w:pPr>
        <w:rPr>
          <w:lang w:val="fr-FR"/>
        </w:rPr>
      </w:pPr>
    </w:p>
    <w:p w:rsidR="00AF7A00" w:rsidRPr="0085565C" w:rsidRDefault="00AF7A00" w:rsidP="00AF7A00">
      <w:pPr>
        <w:pStyle w:val="Heading4"/>
      </w:pPr>
      <w:r w:rsidRPr="0085565C">
        <w:t>Document UPOV/INF/16 “Logiciels échangeables”</w:t>
      </w:r>
    </w:p>
    <w:p w:rsidR="00AF7A00" w:rsidRPr="0085565C" w:rsidRDefault="00AF7A00" w:rsidP="00AF7A00">
      <w:pPr>
        <w:keepNext/>
        <w:rPr>
          <w:rFonts w:eastAsia="MS Mincho"/>
          <w:u w:val="single"/>
          <w:lang w:val="fr-FR"/>
        </w:rPr>
      </w:pPr>
    </w:p>
    <w:p w:rsidR="00AF7A00" w:rsidRPr="0085565C" w:rsidRDefault="00AF7A00" w:rsidP="00AF7A00">
      <w:pPr>
        <w:pStyle w:val="Heading5"/>
        <w:rPr>
          <w:lang w:val="fr-FR"/>
        </w:rPr>
      </w:pPr>
      <w:r w:rsidRPr="0085565C">
        <w:rPr>
          <w:lang w:val="fr-FR"/>
        </w:rPr>
        <w:t>Révision du document UPOV/INF/16</w:t>
      </w:r>
    </w:p>
    <w:p w:rsidR="00AF7A00" w:rsidRPr="0085565C" w:rsidRDefault="00AF7A00" w:rsidP="00AF7A00">
      <w:pPr>
        <w:keepNext/>
        <w:rPr>
          <w:rFonts w:eastAsia="MS Mincho"/>
          <w:lang w:val="fr-FR"/>
        </w:rPr>
      </w:pPr>
    </w:p>
    <w:p w:rsidR="00AF7A00" w:rsidRPr="0085565C" w:rsidRDefault="00AF7A00" w:rsidP="00AF7A00">
      <w:pPr>
        <w:rPr>
          <w:rFonts w:eastAsia="MS Mincho"/>
          <w:lang w:val="fr-FR"/>
        </w:rPr>
      </w:pPr>
      <w:r w:rsidRPr="0085565C">
        <w:rPr>
          <w:rFonts w:eastAsia="MS Mincho"/>
          <w:lang w:val="fr-FR"/>
        </w:rPr>
        <w:fldChar w:fldCharType="begin"/>
      </w:r>
      <w:r w:rsidRPr="0085565C">
        <w:rPr>
          <w:rFonts w:eastAsia="MS Mincho"/>
          <w:lang w:val="fr-FR"/>
        </w:rPr>
        <w:instrText xml:space="preserve"> AUTONUM  </w:instrText>
      </w:r>
      <w:r w:rsidRPr="0085565C">
        <w:rPr>
          <w:rFonts w:eastAsia="MS Mincho"/>
          <w:lang w:val="fr-FR"/>
        </w:rPr>
        <w:fldChar w:fldCharType="end"/>
      </w:r>
      <w:r w:rsidRPr="0085565C">
        <w:rPr>
          <w:rFonts w:eastAsia="MS Mincho"/>
          <w:lang w:val="fr-FR"/>
        </w:rPr>
        <w:tab/>
        <w:t>Le TC prend note du fait que le Conseil, à sa quarante</w:t>
      </w:r>
      <w:r w:rsidRPr="0085565C">
        <w:rPr>
          <w:rFonts w:eastAsia="MS Mincho"/>
          <w:lang w:val="fr-FR"/>
        </w:rPr>
        <w:noBreakHyphen/>
        <w:t>huitième session ordinaire tenue à Genève le 16 octobre 2014, avait adopté la révision du document UPOV/INF/16 “Logiciels échangeables” (document UPOV/INF/16/4).</w:t>
      </w:r>
    </w:p>
    <w:p w:rsidR="00AF7A00" w:rsidRPr="0085565C" w:rsidRDefault="00AF7A00" w:rsidP="00AF7A00">
      <w:pPr>
        <w:rPr>
          <w:rFonts w:eastAsia="MS Mincho"/>
          <w:lang w:val="fr-FR"/>
        </w:rPr>
      </w:pPr>
    </w:p>
    <w:p w:rsidR="00AF7A00" w:rsidRPr="0085565C" w:rsidRDefault="00AF7A00" w:rsidP="00AF7A00">
      <w:pPr>
        <w:pStyle w:val="Heading5"/>
        <w:rPr>
          <w:lang w:val="fr-FR"/>
        </w:rPr>
      </w:pPr>
      <w:r w:rsidRPr="0085565C">
        <w:rPr>
          <w:lang w:val="fr-FR"/>
        </w:rPr>
        <w:t>Logiciels proposés pour inclusion dans le document UPOV/INF/16 “Logiciels échangeables”</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prend note que les débats sur l’inclusion dans le document UPOV/INF/16 du logiciel SISNAVA se poursuivraient au sein du TWC, sous réserve de la conclusion des débats sur la variation des descriptions variétales au fil des ans en différents endroits.</w:t>
      </w:r>
    </w:p>
    <w:p w:rsidR="00AF7A00" w:rsidRPr="0085565C" w:rsidRDefault="00AF7A00" w:rsidP="00AF7A00">
      <w:pPr>
        <w:rPr>
          <w:lang w:val="fr-FR"/>
        </w:rPr>
      </w:pPr>
    </w:p>
    <w:p w:rsidR="00AF7A00" w:rsidRPr="0085565C" w:rsidRDefault="00AF7A00" w:rsidP="00167941">
      <w:pPr>
        <w:pStyle w:val="Heading5"/>
        <w:rPr>
          <w:lang w:val="fr-FR"/>
        </w:rPr>
      </w:pPr>
      <w:r w:rsidRPr="0085565C">
        <w:rPr>
          <w:lang w:val="fr-FR"/>
        </w:rPr>
        <w:lastRenderedPageBreak/>
        <w:t>Informations sur l’utilisation par les membres</w:t>
      </w:r>
    </w:p>
    <w:p w:rsidR="00AF7A00" w:rsidRPr="0085565C" w:rsidRDefault="00AF7A00" w:rsidP="00167941">
      <w:pPr>
        <w:keepNext/>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approuve la révision du document UPOV/INF/16/4 concernant l’inclusion d’informations sur l’utilisation de logiciels par les membres de l’Union, comme indiqué dans l’annexe I du document TC/51/8.</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prend note que les observations formulées par le TC à sa cinquante et unième session concernant l’utilisation de logiciels par les membres de l’Union, seraient communiquées au CAJ à sa soixante et onzième session, qui se tiendra à Genève le 26 mars 2015, et que, sous réserve de l’accord du CAJ, un projet de document UPOV/INF/16/5 serait présenté pour adoption par le Conseil à sa quarante</w:t>
      </w:r>
      <w:r w:rsidRPr="0085565C">
        <w:rPr>
          <w:lang w:val="fr-FR"/>
        </w:rPr>
        <w:noBreakHyphen/>
        <w:t>neuvième session ordinaire, qui se tiendra le 29 octobre 2015.</w:t>
      </w:r>
    </w:p>
    <w:p w:rsidR="00AF7A00" w:rsidRPr="0085565C" w:rsidRDefault="00AF7A00" w:rsidP="00AF7A00">
      <w:pPr>
        <w:rPr>
          <w:lang w:val="fr-FR"/>
        </w:rPr>
      </w:pPr>
    </w:p>
    <w:p w:rsidR="00AF7A00" w:rsidRPr="0085565C" w:rsidRDefault="00AF7A00" w:rsidP="00AF7A00">
      <w:pPr>
        <w:pStyle w:val="Heading4"/>
      </w:pPr>
      <w:r w:rsidRPr="0085565C">
        <w:t>Document UPOV/INF/22 “Logiciels et équipements utilisés par les membres de l’Union”</w:t>
      </w:r>
    </w:p>
    <w:p w:rsidR="00AF7A00" w:rsidRPr="0085565C" w:rsidRDefault="00AF7A00" w:rsidP="00AF7A00">
      <w:pPr>
        <w:keepNext/>
        <w:rPr>
          <w:lang w:val="fr-FR"/>
        </w:rPr>
      </w:pPr>
    </w:p>
    <w:p w:rsidR="00AF7A00" w:rsidRPr="0085565C" w:rsidRDefault="00AF7A00" w:rsidP="00AF7A00">
      <w:pPr>
        <w:pStyle w:val="Heading5"/>
        <w:rPr>
          <w:lang w:val="fr-FR"/>
        </w:rPr>
      </w:pPr>
      <w:r w:rsidRPr="0085565C">
        <w:rPr>
          <w:lang w:val="fr-FR"/>
        </w:rPr>
        <w:t>Adoption du document UPOV/INF/22/1</w:t>
      </w:r>
    </w:p>
    <w:p w:rsidR="00AF7A00" w:rsidRPr="0085565C" w:rsidRDefault="00AF7A00" w:rsidP="00AF7A00">
      <w:pPr>
        <w:keepNext/>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prend note du fait que le Conseil, à sa quarante</w:t>
      </w:r>
      <w:r w:rsidRPr="0085565C">
        <w:rPr>
          <w:lang w:val="fr-FR"/>
        </w:rPr>
        <w:noBreakHyphen/>
        <w:t>huitième session ordinaire, tenue à Genève le 16 octobre 2014, avait adopté le document UPOV/INF/22/1 “Logiciels et équipements utilisés par les membres de l’Union”.</w:t>
      </w:r>
    </w:p>
    <w:p w:rsidR="00AF7A00" w:rsidRPr="0085565C" w:rsidRDefault="00AF7A00" w:rsidP="00AF7A00">
      <w:pPr>
        <w:rPr>
          <w:lang w:val="fr-FR"/>
        </w:rPr>
      </w:pPr>
    </w:p>
    <w:p w:rsidR="00AF7A00" w:rsidRPr="0085565C" w:rsidRDefault="00AF7A00" w:rsidP="00AF7A00">
      <w:pPr>
        <w:pStyle w:val="Heading4"/>
      </w:pPr>
      <w:r w:rsidRPr="0085565C">
        <w:t>Logiciels et équipements qu’il est proposé d’inclure dans le document UPOV/INF/22</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prend note des informations figurant à l’annexe II du document TC/51/8 pour inclusion dans le document UPOV/INF/22, sous réserve de corrections devant être fournies par l’Allemagne et de la vérification des données fournies par l’Uruguay.</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prend note que, sous réserve de l’accord du TC à sa cinquante et unième session, les observations du TC concernant l’utilisation de logiciels par les membres de l’Union seraient communiquées au CAJ à sa soixante et onzième session, et que, sous réserve de l’accord du CAJ, un projet de document UPOV/INF/22/2 sera présenté pour adoption par le Conseil à sa quarante</w:t>
      </w:r>
      <w:r w:rsidRPr="0085565C">
        <w:rPr>
          <w:lang w:val="fr-FR"/>
        </w:rPr>
        <w:noBreakHyphen/>
        <w:t>neuvième session ordinaire, qui se tiendra le 29 octobre 2015.</w:t>
      </w:r>
    </w:p>
    <w:p w:rsidR="00AF7A00" w:rsidRPr="0085565C" w:rsidRDefault="00AF7A00" w:rsidP="00AF7A00">
      <w:pPr>
        <w:rPr>
          <w:lang w:val="fr-FR"/>
        </w:rPr>
      </w:pPr>
    </w:p>
    <w:p w:rsidR="00AF7A00" w:rsidRPr="0085565C" w:rsidRDefault="00AF7A00" w:rsidP="00AF7A00">
      <w:pPr>
        <w:pStyle w:val="Heading3"/>
      </w:pPr>
      <w:bookmarkStart w:id="42" w:name="_Toc428287709"/>
      <w:r w:rsidRPr="0085565C">
        <w:t>d)</w:t>
      </w:r>
      <w:r w:rsidRPr="0085565C">
        <w:tab/>
        <w:t>Bases de données sur les descriptions variétales</w:t>
      </w:r>
      <w:bookmarkEnd w:id="42"/>
    </w:p>
    <w:p w:rsidR="00AF7A00" w:rsidRPr="0085565C" w:rsidRDefault="00AF7A00" w:rsidP="00AF7A00">
      <w:pPr>
        <w:keepNext/>
        <w:rPr>
          <w:lang w:val="fr-FR"/>
        </w:rPr>
      </w:pPr>
    </w:p>
    <w:p w:rsidR="00AF7A00" w:rsidRPr="0085565C" w:rsidRDefault="00AF7A00" w:rsidP="00AF7A00">
      <w:pPr>
        <w:keepNext/>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examine le document TC/51/9 “Bases de données sur les descriptions variétales”.</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prend note des faits nouveaux concernant les bases de données sur les descriptions variétales, présentés dans le document TC/51/9 et notamment :</w:t>
      </w:r>
    </w:p>
    <w:p w:rsidR="00AF7A00" w:rsidRPr="0085565C" w:rsidRDefault="00AF7A00" w:rsidP="00AF7A00">
      <w:pPr>
        <w:rPr>
          <w:lang w:val="fr-FR"/>
        </w:rPr>
      </w:pPr>
    </w:p>
    <w:p w:rsidR="00AF7A00" w:rsidRPr="0085565C" w:rsidRDefault="00AF7A00" w:rsidP="00AF7A00">
      <w:pPr>
        <w:ind w:left="1134" w:hanging="567"/>
        <w:rPr>
          <w:lang w:val="fr-FR"/>
        </w:rPr>
      </w:pPr>
      <w:r w:rsidRPr="0085565C">
        <w:rPr>
          <w:lang w:val="fr-FR"/>
        </w:rPr>
        <w:t>a)</w:t>
      </w:r>
      <w:r w:rsidRPr="0085565C">
        <w:rPr>
          <w:lang w:val="fr-FR"/>
        </w:rPr>
        <w:tab/>
        <w:t>que le TWO est convenu qu’il ne serait pas approprié pour l’heure d’élaborer une base de données pour une espèce ornementale;  et</w:t>
      </w:r>
    </w:p>
    <w:p w:rsidR="00AF7A00" w:rsidRPr="0085565C" w:rsidRDefault="00AF7A00" w:rsidP="00AF7A00">
      <w:pPr>
        <w:rPr>
          <w:lang w:val="fr-FR"/>
        </w:rPr>
      </w:pPr>
    </w:p>
    <w:p w:rsidR="00AF7A00" w:rsidRPr="0085565C" w:rsidRDefault="00AF7A00" w:rsidP="00AF7A00">
      <w:pPr>
        <w:ind w:left="1134" w:hanging="567"/>
        <w:rPr>
          <w:lang w:val="fr-FR"/>
        </w:rPr>
      </w:pPr>
      <w:r w:rsidRPr="0085565C">
        <w:rPr>
          <w:lang w:val="fr-FR"/>
        </w:rPr>
        <w:t>b)</w:t>
      </w:r>
      <w:r w:rsidRPr="0085565C">
        <w:rPr>
          <w:lang w:val="fr-FR"/>
        </w:rPr>
        <w:tab/>
        <w:t>que le TWC a invité un expert de la Chine à présenter, à la trente</w:t>
      </w:r>
      <w:r w:rsidRPr="0085565C">
        <w:rPr>
          <w:lang w:val="fr-FR"/>
        </w:rPr>
        <w:noBreakHyphen/>
        <w:t>troisième session du TWC, un exposé sur l’analyse de la variance pour l’interaction “variété x site” (environnement) des caractères QN, dont il est question dans l’étude, au moyen du module statistique du nouveau logiciel “DUSTC” mis au point par la Chine.</w:t>
      </w:r>
    </w:p>
    <w:p w:rsidR="00AF7A00" w:rsidRPr="0085565C" w:rsidRDefault="00AF7A00" w:rsidP="00AF7A00">
      <w:pPr>
        <w:rPr>
          <w:snapToGrid w:val="0"/>
          <w:lang w:val="fr-FR"/>
        </w:rPr>
      </w:pPr>
    </w:p>
    <w:p w:rsidR="00AF7A00" w:rsidRPr="0085565C" w:rsidRDefault="00AF7A00" w:rsidP="00AF7A00">
      <w:pPr>
        <w:rPr>
          <w:snapToGrid w:val="0"/>
          <w:lang w:val="fr-FR"/>
        </w:rPr>
      </w:pPr>
      <w:r w:rsidRPr="0085565C">
        <w:rPr>
          <w:snapToGrid w:val="0"/>
          <w:lang w:val="fr-FR"/>
        </w:rPr>
        <w:fldChar w:fldCharType="begin"/>
      </w:r>
      <w:r w:rsidRPr="0085565C">
        <w:rPr>
          <w:snapToGrid w:val="0"/>
          <w:lang w:val="fr-FR"/>
        </w:rPr>
        <w:instrText xml:space="preserve"> AUTONUM  </w:instrText>
      </w:r>
      <w:r w:rsidRPr="0085565C">
        <w:rPr>
          <w:snapToGrid w:val="0"/>
          <w:lang w:val="fr-FR"/>
        </w:rPr>
        <w:fldChar w:fldCharType="end"/>
      </w:r>
      <w:r w:rsidRPr="0085565C">
        <w:rPr>
          <w:snapToGrid w:val="0"/>
          <w:lang w:val="fr-FR"/>
        </w:rPr>
        <w:tab/>
        <w:t>Le TC prend note de l’importance des bases de données pour les membres de l’UPOV et convient qu’il serait utile d’inscrire à l’ordre du jour de la cinquante</w:t>
      </w:r>
      <w:r w:rsidRPr="0085565C">
        <w:rPr>
          <w:snapToGrid w:val="0"/>
          <w:lang w:val="fr-FR"/>
        </w:rPr>
        <w:noBreakHyphen/>
        <w:t>deuxième session du Comité technique un sujet de discussion sur l’aide à la mise au point des bases de données.</w:t>
      </w:r>
    </w:p>
    <w:p w:rsidR="00AF7A00" w:rsidRPr="0085565C" w:rsidRDefault="00AF7A00" w:rsidP="00AF7A00">
      <w:pPr>
        <w:rPr>
          <w:snapToGrid w:val="0"/>
          <w:lang w:val="fr-FR"/>
        </w:rPr>
      </w:pPr>
    </w:p>
    <w:p w:rsidR="00AF7A00" w:rsidRPr="0085565C" w:rsidRDefault="00AF7A00" w:rsidP="00AF7A00">
      <w:pPr>
        <w:rPr>
          <w:snapToGrid w:val="0"/>
          <w:lang w:val="fr-FR"/>
        </w:rPr>
      </w:pPr>
    </w:p>
    <w:p w:rsidR="00AF7A00" w:rsidRPr="0085565C" w:rsidRDefault="00AF7A00" w:rsidP="0085565C">
      <w:pPr>
        <w:pStyle w:val="Heading2"/>
        <w:rPr>
          <w:lang w:val="fr-FR"/>
        </w:rPr>
      </w:pPr>
      <w:bookmarkStart w:id="43" w:name="_Toc428287710"/>
      <w:r w:rsidRPr="0085565C">
        <w:rPr>
          <w:lang w:val="fr-FR"/>
        </w:rPr>
        <w:t>Questions concernant les descriptions variétales</w:t>
      </w:r>
      <w:bookmarkEnd w:id="43"/>
    </w:p>
    <w:p w:rsidR="00AF7A00" w:rsidRPr="0085565C" w:rsidRDefault="00AF7A00" w:rsidP="00AF7A00">
      <w:pPr>
        <w:jc w:val="left"/>
        <w:rPr>
          <w:lang w:val="fr-FR"/>
        </w:rPr>
      </w:pPr>
    </w:p>
    <w:p w:rsidR="00AF7A00" w:rsidRPr="0085565C" w:rsidRDefault="00AF7A00" w:rsidP="00AF7A00">
      <w:pPr>
        <w:jc w:val="left"/>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examine le document TC/51/38 “Questions concernant les descriptions variétales”</w:t>
      </w:r>
    </w:p>
    <w:p w:rsidR="00AF7A00" w:rsidRPr="0085565C" w:rsidRDefault="00AF7A00" w:rsidP="00AF7A00">
      <w:pPr>
        <w:jc w:val="left"/>
        <w:rPr>
          <w:lang w:val="fr-FR"/>
        </w:rPr>
      </w:pPr>
    </w:p>
    <w:p w:rsidR="00AF7A00" w:rsidRPr="0085565C" w:rsidRDefault="00AF7A00" w:rsidP="00AF7A00">
      <w:pPr>
        <w:pStyle w:val="Heading3"/>
      </w:pPr>
      <w:bookmarkStart w:id="44" w:name="_Toc428287711"/>
      <w:r w:rsidRPr="0085565C">
        <w:t>Contrôle du maintien de la variété</w:t>
      </w:r>
      <w:bookmarkEnd w:id="44"/>
    </w:p>
    <w:p w:rsidR="00AF7A00" w:rsidRPr="0085565C" w:rsidRDefault="00AF7A00" w:rsidP="00AF7A00">
      <w:pPr>
        <w:jc w:val="left"/>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convient d’inviter des experts à faire part aux TWP, à leurs sessions de 2015, de leurs données d’expérience concernant l’utilisation des informations, des documents ou du matériel fournis par l’obtenteur aux fins du contrôle du maintien de la variété et l’utilisation de principes directeurs d’examen aux fins du contrôle du maintien de la variété, lorsque celles</w:t>
      </w:r>
      <w:r w:rsidRPr="0085565C">
        <w:rPr>
          <w:lang w:val="fr-FR"/>
        </w:rPr>
        <w:noBreakHyphen/>
        <w:t>ci se distinguent des principes directeurs utilisés pour l’examen DHS.</w:t>
      </w:r>
    </w:p>
    <w:p w:rsidR="00AF7A00" w:rsidRPr="0085565C" w:rsidRDefault="00AF7A00" w:rsidP="00AF7A00">
      <w:pPr>
        <w:jc w:val="left"/>
        <w:rPr>
          <w:lang w:val="fr-FR"/>
        </w:rPr>
      </w:pPr>
    </w:p>
    <w:p w:rsidR="00AF7A00" w:rsidRPr="0085565C" w:rsidRDefault="00AF7A00" w:rsidP="00AF7A00">
      <w:pPr>
        <w:pStyle w:val="Heading3"/>
      </w:pPr>
      <w:bookmarkStart w:id="45" w:name="_Toc428287712"/>
      <w:r w:rsidRPr="0085565C">
        <w:lastRenderedPageBreak/>
        <w:t>Questions concernant les descriptions variétales</w:t>
      </w:r>
      <w:bookmarkEnd w:id="45"/>
    </w:p>
    <w:p w:rsidR="00AF7A00" w:rsidRPr="0085565C" w:rsidRDefault="00AF7A00" w:rsidP="00AF7A00">
      <w:pPr>
        <w:jc w:val="left"/>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prend note de l’existence de différentes approches en matière d’élaboration des descriptions variétales et de contrôle du maintien de la variété au sein des membres de l’UPOV et selon les différents systèmes d’examen DHS.</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prend note des informations figurant aux paragraphes 9 à 12 du document TC/51/38, relatives aux questions concernant les descriptions variétales visées au paragraphe 8 du TC/51/38.</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 xml:space="preserve">Le TC convient d’inviter des experts à indiquer aux TWP, à leurs sessions de 2015, la façon dont les descriptions variétales </w:t>
      </w:r>
      <w:proofErr w:type="gramStart"/>
      <w:r w:rsidRPr="0085565C">
        <w:rPr>
          <w:lang w:val="fr-FR"/>
        </w:rPr>
        <w:t>sont</w:t>
      </w:r>
      <w:proofErr w:type="gramEnd"/>
      <w:r w:rsidRPr="0085565C">
        <w:rPr>
          <w:lang w:val="fr-FR"/>
        </w:rPr>
        <w:t xml:space="preserve"> élaborées lors de l’examen DHS, leur utilisation après l’octroi des droits d’obtenteur et la façon dont le maintien de la variété est vérifié.  En particulier, le TC prend note de l’incidence éventuelle de l’interaction entre génotype et environnement dans l’élaboration des descriptions variétales.</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convient d’inviter des experts à présenter aux TWP, à leurs sessions de 2015, le rôle du matériel végétal utilisé comme base de l’examen DHS en relation avec les questions visées au paragraphe 8 du document TC/51/38.</w:t>
      </w:r>
    </w:p>
    <w:p w:rsidR="00AF7A00" w:rsidRPr="0085565C" w:rsidRDefault="00AF7A00" w:rsidP="00AF7A00">
      <w:pPr>
        <w:rPr>
          <w:lang w:val="fr-FR"/>
        </w:rPr>
      </w:pPr>
    </w:p>
    <w:p w:rsidR="00AF7A00" w:rsidRPr="0085565C" w:rsidRDefault="00AF7A00" w:rsidP="00AF7A00">
      <w:pPr>
        <w:jc w:val="left"/>
        <w:rPr>
          <w:lang w:val="fr-FR"/>
        </w:rPr>
      </w:pPr>
    </w:p>
    <w:p w:rsidR="00AF7A00" w:rsidRPr="0085565C" w:rsidRDefault="00AF7A00" w:rsidP="00AF7A00">
      <w:pPr>
        <w:pStyle w:val="Heading2"/>
        <w:rPr>
          <w:lang w:val="fr-FR"/>
        </w:rPr>
      </w:pPr>
      <w:bookmarkStart w:id="46" w:name="_Toc428287713"/>
      <w:r w:rsidRPr="0085565C">
        <w:rPr>
          <w:lang w:val="fr-FR"/>
        </w:rPr>
        <w:t>Examen des moyens possibles d’améliorer l’efficacité du Comité technique, des groupes de travail techniques et des ateliers préparatoires</w:t>
      </w:r>
      <w:bookmarkEnd w:id="46"/>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examine le document TC/51/37 “Moyens possibles d’améliorer l’efficacité du Comité technique, des groupes de travail techniques et des ateliers préparatoires” et suit une présentation par le Bureau de l’UPOV.</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prend note de la participation à l’enquête menée auprès des participants aux sessions des TWP en 2014, telle qu’elle figure au paragraphe 20 du document TC/51/37.</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prend note des résultats des enquêtes menées en 2014, tels qu’ils sont présentés à l’annexe I du document TC/51/37.</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prend note des observations formulées par les TWP à leurs sessions de 2014 sur les propositions pouvant entraîner des modifications de coût ou de calendrier, telles que présentées à l’annexe II du document TC/51/37.</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donne son aval aux propositions suivantes concernant les moyens possibles d’améliorer l’efficacité des TWP, tels qu’ils figurent au paragraphe 24 du document TC/51/37 :</w:t>
      </w:r>
    </w:p>
    <w:p w:rsidR="00AF7A00" w:rsidRPr="0085565C" w:rsidRDefault="00AF7A00" w:rsidP="00AF7A00">
      <w:pPr>
        <w:rPr>
          <w:lang w:val="fr-FR"/>
        </w:rPr>
      </w:pPr>
    </w:p>
    <w:tbl>
      <w:tblPr>
        <w:tblStyle w:val="TableGrid"/>
        <w:tblW w:w="9889" w:type="dxa"/>
        <w:tblLayout w:type="fixed"/>
        <w:tblLook w:val="04A0" w:firstRow="1" w:lastRow="0" w:firstColumn="1" w:lastColumn="0" w:noHBand="0" w:noVBand="1"/>
      </w:tblPr>
      <w:tblGrid>
        <w:gridCol w:w="250"/>
        <w:gridCol w:w="9639"/>
      </w:tblGrid>
      <w:tr w:rsidR="00AF7A00" w:rsidRPr="0085565C" w:rsidTr="00697CEF">
        <w:trPr>
          <w:cantSplit/>
        </w:trPr>
        <w:tc>
          <w:tcPr>
            <w:tcW w:w="9889" w:type="dxa"/>
            <w:gridSpan w:val="2"/>
          </w:tcPr>
          <w:p w:rsidR="00AF7A00" w:rsidRPr="0085565C" w:rsidRDefault="00AF7A00" w:rsidP="00AF7A00">
            <w:pPr>
              <w:keepNext/>
              <w:rPr>
                <w:lang w:val="fr-FR"/>
              </w:rPr>
            </w:pPr>
            <w:r w:rsidRPr="0085565C">
              <w:rPr>
                <w:lang w:val="fr-FR"/>
              </w:rPr>
              <w:t>GÉNÉRALITÉS</w:t>
            </w:r>
          </w:p>
        </w:tc>
      </w:tr>
      <w:tr w:rsidR="00AF7A00" w:rsidRPr="00C258AE" w:rsidTr="00697CEF">
        <w:trPr>
          <w:cantSplit/>
        </w:trPr>
        <w:tc>
          <w:tcPr>
            <w:tcW w:w="250" w:type="dxa"/>
          </w:tcPr>
          <w:p w:rsidR="00AF7A00" w:rsidRPr="0085565C" w:rsidRDefault="00AF7A00" w:rsidP="00AF7A00">
            <w:pPr>
              <w:keepNext/>
              <w:rPr>
                <w:lang w:val="fr-FR"/>
              </w:rPr>
            </w:pPr>
          </w:p>
        </w:tc>
        <w:tc>
          <w:tcPr>
            <w:tcW w:w="9639" w:type="dxa"/>
          </w:tcPr>
          <w:p w:rsidR="00AF7A00" w:rsidRPr="0085565C" w:rsidRDefault="00AF7A00" w:rsidP="00AF7A00">
            <w:pPr>
              <w:keepNext/>
              <w:rPr>
                <w:lang w:val="fr-FR"/>
              </w:rPr>
            </w:pPr>
            <w:r w:rsidRPr="0085565C">
              <w:rPr>
                <w:lang w:val="fr-FR"/>
              </w:rPr>
              <w:t>Être plus précis pour chaque TWP, p. ex. :</w:t>
            </w:r>
          </w:p>
          <w:p w:rsidR="00AF7A00" w:rsidRPr="0085565C" w:rsidRDefault="00AF7A00" w:rsidP="00AF7A00">
            <w:pPr>
              <w:keepNext/>
              <w:numPr>
                <w:ilvl w:val="1"/>
                <w:numId w:val="25"/>
              </w:numPr>
              <w:rPr>
                <w:lang w:val="fr-FR"/>
              </w:rPr>
            </w:pPr>
            <w:r w:rsidRPr="0085565C">
              <w:rPr>
                <w:lang w:val="fr-FR"/>
              </w:rPr>
              <w:t>Visite technique</w:t>
            </w:r>
          </w:p>
          <w:p w:rsidR="00AF7A00" w:rsidRPr="0085565C" w:rsidRDefault="00AF7A00" w:rsidP="00AF7A00">
            <w:pPr>
              <w:keepNext/>
              <w:numPr>
                <w:ilvl w:val="1"/>
                <w:numId w:val="25"/>
              </w:numPr>
              <w:rPr>
                <w:lang w:val="fr-FR"/>
              </w:rPr>
            </w:pPr>
            <w:r w:rsidRPr="0085565C">
              <w:rPr>
                <w:lang w:val="fr-FR"/>
              </w:rPr>
              <w:t>Points à examiner</w:t>
            </w:r>
          </w:p>
          <w:p w:rsidR="00AF7A00" w:rsidRPr="0085565C" w:rsidDel="0031554F" w:rsidRDefault="00AF7A00" w:rsidP="00AF7A00">
            <w:pPr>
              <w:keepNext/>
              <w:numPr>
                <w:ilvl w:val="1"/>
                <w:numId w:val="25"/>
              </w:numPr>
              <w:spacing w:after="120"/>
              <w:rPr>
                <w:lang w:val="fr-FR"/>
              </w:rPr>
            </w:pPr>
            <w:r w:rsidRPr="0085565C">
              <w:rPr>
                <w:lang w:val="fr-FR"/>
              </w:rPr>
              <w:t>Programme de travail (p. ex. : temps accordé aux TGP par rapport aux TG)</w:t>
            </w:r>
          </w:p>
        </w:tc>
      </w:tr>
      <w:tr w:rsidR="00AF7A00" w:rsidRPr="00C258AE" w:rsidTr="00697CEF">
        <w:trPr>
          <w:cantSplit/>
        </w:trPr>
        <w:tc>
          <w:tcPr>
            <w:tcW w:w="250" w:type="dxa"/>
          </w:tcPr>
          <w:p w:rsidR="00AF7A00" w:rsidRPr="0085565C" w:rsidRDefault="00AF7A00" w:rsidP="00697CEF">
            <w:pPr>
              <w:rPr>
                <w:lang w:val="fr-FR"/>
              </w:rPr>
            </w:pPr>
          </w:p>
        </w:tc>
        <w:tc>
          <w:tcPr>
            <w:tcW w:w="9639" w:type="dxa"/>
          </w:tcPr>
          <w:p w:rsidR="00AF7A00" w:rsidRPr="0085565C" w:rsidRDefault="00AF7A00" w:rsidP="00697CEF">
            <w:pPr>
              <w:rPr>
                <w:lang w:val="fr-FR"/>
              </w:rPr>
            </w:pPr>
            <w:r w:rsidRPr="0085565C">
              <w:rPr>
                <w:lang w:val="fr-FR"/>
              </w:rPr>
              <w:t>Actualiser le document intitulé “Note indicative : Dispositions à l’intention des groupes de travail techniques de l’UPOV” (dispositions en vue des réunions et visites techniques) :</w:t>
            </w:r>
          </w:p>
          <w:p w:rsidR="00AF7A00" w:rsidRPr="0085565C" w:rsidRDefault="00AF7A00" w:rsidP="00697CEF">
            <w:pPr>
              <w:numPr>
                <w:ilvl w:val="1"/>
                <w:numId w:val="26"/>
              </w:numPr>
              <w:rPr>
                <w:lang w:val="fr-FR"/>
              </w:rPr>
            </w:pPr>
            <w:r w:rsidRPr="0085565C">
              <w:rPr>
                <w:lang w:val="fr-FR"/>
              </w:rPr>
              <w:t>Badges nominatifs</w:t>
            </w:r>
          </w:p>
          <w:p w:rsidR="00AF7A00" w:rsidRPr="0085565C" w:rsidRDefault="00AF7A00" w:rsidP="00697CEF">
            <w:pPr>
              <w:numPr>
                <w:ilvl w:val="1"/>
                <w:numId w:val="26"/>
              </w:numPr>
              <w:rPr>
                <w:lang w:val="fr-FR"/>
              </w:rPr>
            </w:pPr>
            <w:r w:rsidRPr="0085565C">
              <w:rPr>
                <w:lang w:val="fr-FR"/>
              </w:rPr>
              <w:t>Grand tableau d’affichage où figure la liste des participants</w:t>
            </w:r>
          </w:p>
          <w:p w:rsidR="00AF7A00" w:rsidRPr="0085565C" w:rsidRDefault="00AF7A00" w:rsidP="00697CEF">
            <w:pPr>
              <w:numPr>
                <w:ilvl w:val="1"/>
                <w:numId w:val="26"/>
              </w:numPr>
              <w:spacing w:after="120"/>
              <w:rPr>
                <w:lang w:val="fr-FR"/>
              </w:rPr>
            </w:pPr>
            <w:r w:rsidRPr="0085565C">
              <w:rPr>
                <w:lang w:val="fr-FR"/>
              </w:rPr>
              <w:t>Panneau d’affichage pour les annonces</w:t>
            </w:r>
          </w:p>
        </w:tc>
      </w:tr>
      <w:tr w:rsidR="00AF7A00" w:rsidRPr="00C258AE" w:rsidTr="00697CEF">
        <w:trPr>
          <w:cantSplit/>
        </w:trPr>
        <w:tc>
          <w:tcPr>
            <w:tcW w:w="250" w:type="dxa"/>
          </w:tcPr>
          <w:p w:rsidR="00AF7A00" w:rsidRPr="0085565C" w:rsidRDefault="00AF7A00" w:rsidP="00697CEF">
            <w:pPr>
              <w:rPr>
                <w:lang w:val="fr-FR"/>
              </w:rPr>
            </w:pPr>
          </w:p>
        </w:tc>
        <w:tc>
          <w:tcPr>
            <w:tcW w:w="9639" w:type="dxa"/>
          </w:tcPr>
          <w:p w:rsidR="00AF7A00" w:rsidRPr="0085565C" w:rsidRDefault="00AF7A00" w:rsidP="00697CEF">
            <w:pPr>
              <w:spacing w:after="120"/>
              <w:rPr>
                <w:lang w:val="fr-FR"/>
              </w:rPr>
            </w:pPr>
            <w:r w:rsidRPr="0085565C">
              <w:rPr>
                <w:lang w:val="fr-FR"/>
              </w:rPr>
              <w:t>Réviser le document “Note indicative : Dispositions à l’intention des groupes de travail techniques de l’UPOV” et inclure les points essentiels dans une lettre de couverture (p. ex. : favoriser la tenue d’ateliers nationaux en parallèle avec la session afin de tirer profit de la présence dans le pays des experts internationaux;  indiquer la première date possible pour le premier TWP devant se réunir après le TC)</w:t>
            </w:r>
          </w:p>
        </w:tc>
      </w:tr>
      <w:tr w:rsidR="00AF7A00" w:rsidRPr="00C258AE" w:rsidTr="00697CEF">
        <w:trPr>
          <w:cantSplit/>
        </w:trPr>
        <w:tc>
          <w:tcPr>
            <w:tcW w:w="250" w:type="dxa"/>
          </w:tcPr>
          <w:p w:rsidR="00AF7A00" w:rsidRPr="0085565C" w:rsidRDefault="00AF7A00" w:rsidP="00697CEF">
            <w:pPr>
              <w:rPr>
                <w:lang w:val="fr-FR"/>
              </w:rPr>
            </w:pPr>
          </w:p>
        </w:tc>
        <w:tc>
          <w:tcPr>
            <w:tcW w:w="9639" w:type="dxa"/>
          </w:tcPr>
          <w:p w:rsidR="00AF7A00" w:rsidRPr="0085565C" w:rsidRDefault="00AF7A00" w:rsidP="00697CEF">
            <w:pPr>
              <w:spacing w:after="120"/>
              <w:rPr>
                <w:lang w:val="fr-FR"/>
              </w:rPr>
            </w:pPr>
            <w:r w:rsidRPr="0085565C">
              <w:rPr>
                <w:lang w:val="fr-FR"/>
              </w:rPr>
              <w:t>Annoncer le lieu de réunion du prochain TWP le premier jour de la session afin que les participants aient suffisamment de temps pour réfléchir à des propositions pour l’ordre du jour et la visite technique (inviter l’hôte à présenter le programme prévu, par exemple la visite technique)</w:t>
            </w:r>
          </w:p>
        </w:tc>
      </w:tr>
      <w:tr w:rsidR="00AF7A00" w:rsidRPr="00C258AE" w:rsidTr="00697CEF">
        <w:trPr>
          <w:cantSplit/>
        </w:trPr>
        <w:tc>
          <w:tcPr>
            <w:tcW w:w="250" w:type="dxa"/>
          </w:tcPr>
          <w:p w:rsidR="00AF7A00" w:rsidRPr="0085565C" w:rsidRDefault="00AF7A00" w:rsidP="00697CEF">
            <w:pPr>
              <w:rPr>
                <w:lang w:val="fr-FR"/>
              </w:rPr>
            </w:pPr>
          </w:p>
        </w:tc>
        <w:tc>
          <w:tcPr>
            <w:tcW w:w="9639" w:type="dxa"/>
          </w:tcPr>
          <w:p w:rsidR="00AF7A00" w:rsidRPr="0085565C" w:rsidRDefault="00AF7A00" w:rsidP="00697CEF">
            <w:pPr>
              <w:spacing w:after="120"/>
              <w:rPr>
                <w:lang w:val="fr-FR"/>
              </w:rPr>
            </w:pPr>
            <w:r w:rsidRPr="0085565C">
              <w:rPr>
                <w:lang w:val="fr-FR"/>
              </w:rPr>
              <w:t>Organiser la tenue d’une session destinée à des débats ouverts, à l’instar de celle existant pour le TC</w:t>
            </w:r>
          </w:p>
        </w:tc>
      </w:tr>
      <w:tr w:rsidR="00AF7A00" w:rsidRPr="0085565C" w:rsidTr="00697CEF">
        <w:trPr>
          <w:cantSplit/>
        </w:trPr>
        <w:tc>
          <w:tcPr>
            <w:tcW w:w="9889" w:type="dxa"/>
            <w:gridSpan w:val="2"/>
          </w:tcPr>
          <w:p w:rsidR="00AF7A00" w:rsidRPr="0085565C" w:rsidRDefault="00AF7A00" w:rsidP="00697CEF">
            <w:pPr>
              <w:rPr>
                <w:lang w:val="fr-FR"/>
              </w:rPr>
            </w:pPr>
            <w:r w:rsidRPr="0085565C">
              <w:rPr>
                <w:lang w:val="fr-FR"/>
              </w:rPr>
              <w:t>PROGRAMME DE TRAVAIL</w:t>
            </w:r>
          </w:p>
        </w:tc>
      </w:tr>
      <w:tr w:rsidR="00AF7A00" w:rsidRPr="00C258AE" w:rsidTr="00697CEF">
        <w:trPr>
          <w:cantSplit/>
        </w:trPr>
        <w:tc>
          <w:tcPr>
            <w:tcW w:w="250" w:type="dxa"/>
          </w:tcPr>
          <w:p w:rsidR="00AF7A00" w:rsidRPr="0085565C" w:rsidRDefault="00AF7A00" w:rsidP="00697CEF">
            <w:pPr>
              <w:rPr>
                <w:lang w:val="fr-FR"/>
              </w:rPr>
            </w:pPr>
          </w:p>
        </w:tc>
        <w:tc>
          <w:tcPr>
            <w:tcW w:w="9639" w:type="dxa"/>
          </w:tcPr>
          <w:p w:rsidR="00AF7A00" w:rsidRPr="0085565C" w:rsidRDefault="00AF7A00" w:rsidP="00697CEF">
            <w:pPr>
              <w:spacing w:after="120"/>
              <w:rPr>
                <w:lang w:val="fr-FR"/>
              </w:rPr>
            </w:pPr>
            <w:r w:rsidRPr="0085565C">
              <w:rPr>
                <w:lang w:val="fr-FR"/>
              </w:rPr>
              <w:t>Distribuer à l’avance le projet de programme de travail de la semaine pour les TWP</w:t>
            </w:r>
          </w:p>
        </w:tc>
      </w:tr>
      <w:tr w:rsidR="00AF7A00" w:rsidRPr="00C258AE" w:rsidTr="00697CEF">
        <w:trPr>
          <w:cantSplit/>
        </w:trPr>
        <w:tc>
          <w:tcPr>
            <w:tcW w:w="250" w:type="dxa"/>
          </w:tcPr>
          <w:p w:rsidR="00AF7A00" w:rsidRPr="0085565C" w:rsidRDefault="00AF7A00" w:rsidP="00697CEF">
            <w:pPr>
              <w:rPr>
                <w:lang w:val="fr-FR"/>
              </w:rPr>
            </w:pPr>
          </w:p>
        </w:tc>
        <w:tc>
          <w:tcPr>
            <w:tcW w:w="9639" w:type="dxa"/>
          </w:tcPr>
          <w:p w:rsidR="00AF7A00" w:rsidRPr="0085565C" w:rsidRDefault="00AF7A00" w:rsidP="00697CEF">
            <w:pPr>
              <w:spacing w:after="120"/>
              <w:rPr>
                <w:lang w:val="fr-FR"/>
              </w:rPr>
            </w:pPr>
            <w:r w:rsidRPr="0085565C">
              <w:rPr>
                <w:lang w:val="fr-FR"/>
              </w:rPr>
              <w:t>Établir des liens vers les documents dans le programme de travail de la semaine sur le site Web de l’UPOV</w:t>
            </w:r>
          </w:p>
        </w:tc>
      </w:tr>
      <w:tr w:rsidR="00AF7A00" w:rsidRPr="0085565C" w:rsidTr="00697CEF">
        <w:trPr>
          <w:cantSplit/>
        </w:trPr>
        <w:tc>
          <w:tcPr>
            <w:tcW w:w="9889" w:type="dxa"/>
            <w:gridSpan w:val="2"/>
          </w:tcPr>
          <w:p w:rsidR="00AF7A00" w:rsidRPr="0085565C" w:rsidRDefault="00AF7A00" w:rsidP="00697CEF">
            <w:pPr>
              <w:rPr>
                <w:lang w:val="fr-FR"/>
              </w:rPr>
            </w:pPr>
            <w:r w:rsidRPr="0085565C">
              <w:rPr>
                <w:lang w:val="fr-FR"/>
              </w:rPr>
              <w:t>DOCUMENTS</w:t>
            </w:r>
          </w:p>
        </w:tc>
      </w:tr>
      <w:tr w:rsidR="00AF7A00" w:rsidRPr="00C258AE" w:rsidTr="00697CEF">
        <w:trPr>
          <w:cantSplit/>
        </w:trPr>
        <w:tc>
          <w:tcPr>
            <w:tcW w:w="250" w:type="dxa"/>
          </w:tcPr>
          <w:p w:rsidR="00AF7A00" w:rsidRPr="0085565C" w:rsidRDefault="00AF7A00" w:rsidP="00697CEF">
            <w:pPr>
              <w:rPr>
                <w:lang w:val="fr-FR"/>
              </w:rPr>
            </w:pPr>
          </w:p>
        </w:tc>
        <w:tc>
          <w:tcPr>
            <w:tcW w:w="9639" w:type="dxa"/>
          </w:tcPr>
          <w:p w:rsidR="00AF7A00" w:rsidRPr="0085565C" w:rsidRDefault="00AF7A00" w:rsidP="00697CEF">
            <w:pPr>
              <w:spacing w:after="120"/>
              <w:rPr>
                <w:lang w:val="fr-FR"/>
              </w:rPr>
            </w:pPr>
            <w:r w:rsidRPr="0085565C">
              <w:rPr>
                <w:lang w:val="fr-FR"/>
              </w:rPr>
              <w:t>Poursuivre la pratique consistant à faire figurer des paragraphes de décision dans les documents des TWP</w:t>
            </w:r>
          </w:p>
        </w:tc>
      </w:tr>
      <w:tr w:rsidR="00AF7A00" w:rsidRPr="00C258AE" w:rsidTr="00697CEF">
        <w:trPr>
          <w:cantSplit/>
        </w:trPr>
        <w:tc>
          <w:tcPr>
            <w:tcW w:w="250" w:type="dxa"/>
          </w:tcPr>
          <w:p w:rsidR="00AF7A00" w:rsidRPr="0085565C" w:rsidRDefault="00AF7A00" w:rsidP="00697CEF">
            <w:pPr>
              <w:rPr>
                <w:lang w:val="fr-FR"/>
              </w:rPr>
            </w:pPr>
          </w:p>
        </w:tc>
        <w:tc>
          <w:tcPr>
            <w:tcW w:w="9639" w:type="dxa"/>
          </w:tcPr>
          <w:p w:rsidR="00AF7A00" w:rsidRPr="0085565C" w:rsidRDefault="00AF7A00" w:rsidP="00697CEF">
            <w:pPr>
              <w:spacing w:after="120"/>
              <w:rPr>
                <w:lang w:val="fr-FR"/>
              </w:rPr>
            </w:pPr>
            <w:r w:rsidRPr="0085565C">
              <w:rPr>
                <w:lang w:val="fr-FR"/>
              </w:rPr>
              <w:t>Ajouter un résumé dans les documents des TWP</w:t>
            </w:r>
          </w:p>
        </w:tc>
      </w:tr>
      <w:tr w:rsidR="00AF7A00" w:rsidRPr="0085565C" w:rsidTr="00697CEF">
        <w:trPr>
          <w:cantSplit/>
        </w:trPr>
        <w:tc>
          <w:tcPr>
            <w:tcW w:w="9889" w:type="dxa"/>
            <w:gridSpan w:val="2"/>
          </w:tcPr>
          <w:p w:rsidR="00AF7A00" w:rsidRPr="0085565C" w:rsidRDefault="00AF7A00" w:rsidP="00697CEF">
            <w:pPr>
              <w:rPr>
                <w:lang w:val="fr-FR"/>
              </w:rPr>
            </w:pPr>
            <w:r w:rsidRPr="0085565C">
              <w:rPr>
                <w:lang w:val="fr-FR"/>
              </w:rPr>
              <w:t>PRINCIPES DIRECTEURS D’EXAMEN</w:t>
            </w:r>
          </w:p>
        </w:tc>
      </w:tr>
      <w:tr w:rsidR="00AF7A00" w:rsidRPr="00C258AE" w:rsidTr="00697CEF">
        <w:trPr>
          <w:cantSplit/>
        </w:trPr>
        <w:tc>
          <w:tcPr>
            <w:tcW w:w="250" w:type="dxa"/>
          </w:tcPr>
          <w:p w:rsidR="00AF7A00" w:rsidRPr="0085565C" w:rsidRDefault="00AF7A00" w:rsidP="00697CEF">
            <w:pPr>
              <w:rPr>
                <w:lang w:val="fr-FR"/>
              </w:rPr>
            </w:pPr>
          </w:p>
        </w:tc>
        <w:tc>
          <w:tcPr>
            <w:tcW w:w="9639" w:type="dxa"/>
          </w:tcPr>
          <w:p w:rsidR="00AF7A00" w:rsidRPr="0085565C" w:rsidRDefault="00AF7A00" w:rsidP="00697CEF">
            <w:pPr>
              <w:spacing w:after="120"/>
              <w:rPr>
                <w:lang w:val="fr-FR"/>
              </w:rPr>
            </w:pPr>
            <w:r w:rsidRPr="0085565C">
              <w:rPr>
                <w:lang w:val="fr-FR"/>
              </w:rPr>
              <w:t>Ajouter des informations concernant le TWP chargé des principes directeurs d’examen sur le site Web de l’UPOV</w:t>
            </w:r>
          </w:p>
        </w:tc>
      </w:tr>
      <w:tr w:rsidR="00AF7A00" w:rsidRPr="00C258AE" w:rsidTr="00697CEF">
        <w:trPr>
          <w:cantSplit/>
        </w:trPr>
        <w:tc>
          <w:tcPr>
            <w:tcW w:w="250" w:type="dxa"/>
          </w:tcPr>
          <w:p w:rsidR="00AF7A00" w:rsidRPr="0085565C" w:rsidRDefault="00AF7A00" w:rsidP="00697CEF">
            <w:pPr>
              <w:rPr>
                <w:lang w:val="fr-FR"/>
              </w:rPr>
            </w:pPr>
          </w:p>
        </w:tc>
        <w:tc>
          <w:tcPr>
            <w:tcW w:w="9639" w:type="dxa"/>
          </w:tcPr>
          <w:p w:rsidR="00AF7A00" w:rsidRPr="0085565C" w:rsidRDefault="00AF7A00" w:rsidP="00697CEF">
            <w:pPr>
              <w:spacing w:after="120"/>
              <w:rPr>
                <w:lang w:val="fr-FR"/>
              </w:rPr>
            </w:pPr>
            <w:r w:rsidRPr="0085565C">
              <w:rPr>
                <w:lang w:val="fr-FR"/>
              </w:rPr>
              <w:t>Étudier la possibilité d’un plan de travail pluriannuel pour les principes directeurs d’examen</w:t>
            </w:r>
          </w:p>
        </w:tc>
      </w:tr>
      <w:tr w:rsidR="00AF7A00" w:rsidRPr="0085565C" w:rsidTr="00697CEF">
        <w:trPr>
          <w:cantSplit/>
        </w:trPr>
        <w:tc>
          <w:tcPr>
            <w:tcW w:w="9889" w:type="dxa"/>
            <w:gridSpan w:val="2"/>
          </w:tcPr>
          <w:p w:rsidR="00AF7A00" w:rsidRPr="0085565C" w:rsidRDefault="00AF7A00" w:rsidP="00697CEF">
            <w:pPr>
              <w:rPr>
                <w:lang w:val="fr-FR"/>
              </w:rPr>
            </w:pPr>
            <w:r w:rsidRPr="0085565C">
              <w:rPr>
                <w:lang w:val="fr-FR"/>
              </w:rPr>
              <w:t>ATELIERS PRÉPARATOIRES</w:t>
            </w:r>
          </w:p>
        </w:tc>
      </w:tr>
      <w:tr w:rsidR="00AF7A00" w:rsidRPr="00C258AE" w:rsidTr="00697CEF">
        <w:trPr>
          <w:cantSplit/>
        </w:trPr>
        <w:tc>
          <w:tcPr>
            <w:tcW w:w="250" w:type="dxa"/>
          </w:tcPr>
          <w:p w:rsidR="00AF7A00" w:rsidRPr="0085565C" w:rsidRDefault="00AF7A00" w:rsidP="00697CEF">
            <w:pPr>
              <w:rPr>
                <w:lang w:val="fr-FR"/>
              </w:rPr>
            </w:pPr>
          </w:p>
        </w:tc>
        <w:tc>
          <w:tcPr>
            <w:tcW w:w="9639" w:type="dxa"/>
          </w:tcPr>
          <w:p w:rsidR="00AF7A00" w:rsidRPr="0085565C" w:rsidRDefault="00AF7A00" w:rsidP="00697CEF">
            <w:pPr>
              <w:spacing w:after="120"/>
              <w:rPr>
                <w:lang w:val="fr-FR"/>
              </w:rPr>
            </w:pPr>
            <w:r w:rsidRPr="0085565C">
              <w:rPr>
                <w:lang w:val="fr-FR"/>
              </w:rPr>
              <w:t>Encourager et organiser la participation d’experts chevronnés de membres de l’Union aux ateliers préparatoires</w:t>
            </w:r>
          </w:p>
        </w:tc>
      </w:tr>
      <w:tr w:rsidR="00AF7A00" w:rsidRPr="00C258AE" w:rsidTr="00697CEF">
        <w:trPr>
          <w:cantSplit/>
        </w:trPr>
        <w:tc>
          <w:tcPr>
            <w:tcW w:w="250" w:type="dxa"/>
          </w:tcPr>
          <w:p w:rsidR="00AF7A00" w:rsidRPr="0085565C" w:rsidRDefault="00AF7A00" w:rsidP="00697CEF">
            <w:pPr>
              <w:rPr>
                <w:lang w:val="fr-FR"/>
              </w:rPr>
            </w:pPr>
          </w:p>
        </w:tc>
        <w:tc>
          <w:tcPr>
            <w:tcW w:w="9639" w:type="dxa"/>
          </w:tcPr>
          <w:p w:rsidR="00AF7A00" w:rsidRPr="0085565C" w:rsidRDefault="00AF7A00" w:rsidP="00697CEF">
            <w:pPr>
              <w:spacing w:after="120"/>
              <w:rPr>
                <w:lang w:val="fr-FR"/>
              </w:rPr>
            </w:pPr>
            <w:r w:rsidRPr="0085565C">
              <w:rPr>
                <w:lang w:val="fr-FR"/>
              </w:rPr>
              <w:t>Organiser, dans la mesure du possible, des petits groupes de participants ayant différents niveaux d’expérience pour les exercices en groupe</w:t>
            </w:r>
          </w:p>
        </w:tc>
      </w:tr>
      <w:tr w:rsidR="00AF7A00" w:rsidRPr="00C258AE" w:rsidTr="00697CEF">
        <w:trPr>
          <w:cantSplit/>
        </w:trPr>
        <w:tc>
          <w:tcPr>
            <w:tcW w:w="250" w:type="dxa"/>
          </w:tcPr>
          <w:p w:rsidR="00AF7A00" w:rsidRPr="0085565C" w:rsidRDefault="00AF7A00" w:rsidP="00697CEF">
            <w:pPr>
              <w:rPr>
                <w:lang w:val="fr-FR"/>
              </w:rPr>
            </w:pPr>
          </w:p>
        </w:tc>
        <w:tc>
          <w:tcPr>
            <w:tcW w:w="9639" w:type="dxa"/>
          </w:tcPr>
          <w:p w:rsidR="00AF7A00" w:rsidRPr="0085565C" w:rsidRDefault="00AF7A00" w:rsidP="00697CEF">
            <w:pPr>
              <w:spacing w:after="120"/>
              <w:rPr>
                <w:lang w:val="fr-FR"/>
              </w:rPr>
            </w:pPr>
            <w:r w:rsidRPr="0085565C">
              <w:rPr>
                <w:lang w:val="fr-FR"/>
              </w:rPr>
              <w:t>Renouveler régulièrement les exercices pour les ateliers préparatoires</w:t>
            </w:r>
          </w:p>
        </w:tc>
      </w:tr>
      <w:tr w:rsidR="00AF7A00" w:rsidRPr="00C258AE" w:rsidTr="00697CEF">
        <w:trPr>
          <w:cantSplit/>
        </w:trPr>
        <w:tc>
          <w:tcPr>
            <w:tcW w:w="250" w:type="dxa"/>
          </w:tcPr>
          <w:p w:rsidR="00AF7A00" w:rsidRPr="0085565C" w:rsidRDefault="00AF7A00" w:rsidP="00697CEF">
            <w:pPr>
              <w:rPr>
                <w:lang w:val="fr-FR"/>
              </w:rPr>
            </w:pPr>
          </w:p>
        </w:tc>
        <w:tc>
          <w:tcPr>
            <w:tcW w:w="9639" w:type="dxa"/>
          </w:tcPr>
          <w:p w:rsidR="00AF7A00" w:rsidRPr="0085565C" w:rsidRDefault="00AF7A00" w:rsidP="00697CEF">
            <w:pPr>
              <w:spacing w:after="120"/>
              <w:rPr>
                <w:lang w:val="fr-FR"/>
              </w:rPr>
            </w:pPr>
            <w:r w:rsidRPr="0085565C">
              <w:rPr>
                <w:lang w:val="fr-FR"/>
              </w:rPr>
              <w:t>Organiser en parallèle avec les ateliers préparatoires des ateliers électroniques et physiques portant sur l’utilisation du modèle de principes directeurs d’examen sur le Web et sur les conseils relatifs à la présentation de ces principes aux sessions</w:t>
            </w:r>
          </w:p>
        </w:tc>
      </w:tr>
      <w:tr w:rsidR="00AF7A00" w:rsidRPr="00C258AE" w:rsidTr="00697CEF">
        <w:trPr>
          <w:cantSplit/>
        </w:trPr>
        <w:tc>
          <w:tcPr>
            <w:tcW w:w="250" w:type="dxa"/>
          </w:tcPr>
          <w:p w:rsidR="00AF7A00" w:rsidRPr="0085565C" w:rsidRDefault="00AF7A00" w:rsidP="00697CEF">
            <w:pPr>
              <w:rPr>
                <w:lang w:val="fr-FR"/>
              </w:rPr>
            </w:pPr>
          </w:p>
        </w:tc>
        <w:tc>
          <w:tcPr>
            <w:tcW w:w="9639" w:type="dxa"/>
          </w:tcPr>
          <w:p w:rsidR="00AF7A00" w:rsidRPr="0085565C" w:rsidRDefault="00AF7A00" w:rsidP="00697CEF">
            <w:pPr>
              <w:spacing w:after="120"/>
              <w:rPr>
                <w:lang w:val="fr-FR"/>
              </w:rPr>
            </w:pPr>
            <w:r w:rsidRPr="0085565C">
              <w:rPr>
                <w:lang w:val="fr-FR"/>
              </w:rPr>
              <w:t>Mettre à disposition sur le site Web les ateliers électroniques préalablement enregistrés</w:t>
            </w:r>
          </w:p>
        </w:tc>
      </w:tr>
    </w:tbl>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 xml:space="preserve">Le TC convient que les propositions suivantes </w:t>
      </w:r>
      <w:r w:rsidRPr="0085565C">
        <w:rPr>
          <w:rFonts w:cs="Arial"/>
          <w:lang w:val="fr-FR"/>
        </w:rPr>
        <w:t>ne devraient pas être examinées plus en détail</w:t>
      </w:r>
      <w:r w:rsidRPr="0085565C">
        <w:rPr>
          <w:lang w:val="fr-FR"/>
        </w:rPr>
        <w:t> :</w:t>
      </w:r>
    </w:p>
    <w:p w:rsidR="00AF7A00" w:rsidRPr="0085565C" w:rsidRDefault="00AF7A00" w:rsidP="00AF7A00">
      <w:pPr>
        <w:rPr>
          <w:lang w:val="fr-F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AF7A00" w:rsidRPr="0085565C" w:rsidTr="00697CEF">
        <w:trPr>
          <w:trHeight w:val="274"/>
        </w:trPr>
        <w:tc>
          <w:tcPr>
            <w:tcW w:w="9639" w:type="dxa"/>
            <w:tcBorders>
              <w:top w:val="single" w:sz="4" w:space="0" w:color="auto"/>
              <w:left w:val="single" w:sz="4" w:space="0" w:color="auto"/>
              <w:bottom w:val="single" w:sz="4" w:space="0" w:color="auto"/>
              <w:right w:val="single" w:sz="4" w:space="0" w:color="auto"/>
            </w:tcBorders>
            <w:shd w:val="clear" w:color="auto" w:fill="auto"/>
          </w:tcPr>
          <w:p w:rsidR="00AF7A00" w:rsidRPr="0085565C" w:rsidRDefault="00AF7A00" w:rsidP="00697CEF">
            <w:pPr>
              <w:rPr>
                <w:lang w:val="fr-FR"/>
              </w:rPr>
            </w:pPr>
            <w:r w:rsidRPr="0085565C">
              <w:rPr>
                <w:lang w:val="fr-FR"/>
              </w:rPr>
              <w:t>Réalisation d’une enquête en 2015</w:t>
            </w:r>
          </w:p>
        </w:tc>
      </w:tr>
      <w:tr w:rsidR="00AF7A00" w:rsidRPr="00C258AE" w:rsidTr="00697CEF">
        <w:trPr>
          <w:trHeight w:val="274"/>
        </w:trPr>
        <w:tc>
          <w:tcPr>
            <w:tcW w:w="9639" w:type="dxa"/>
            <w:tcBorders>
              <w:top w:val="single" w:sz="4" w:space="0" w:color="auto"/>
              <w:left w:val="single" w:sz="4" w:space="0" w:color="auto"/>
              <w:bottom w:val="single" w:sz="4" w:space="0" w:color="auto"/>
              <w:right w:val="single" w:sz="4" w:space="0" w:color="auto"/>
            </w:tcBorders>
            <w:shd w:val="clear" w:color="auto" w:fill="auto"/>
          </w:tcPr>
          <w:p w:rsidR="00AF7A00" w:rsidRPr="0085565C" w:rsidRDefault="00AF7A00" w:rsidP="00697CEF">
            <w:pPr>
              <w:rPr>
                <w:lang w:val="fr-FR"/>
              </w:rPr>
            </w:pPr>
            <w:r w:rsidRPr="0085565C">
              <w:rPr>
                <w:lang w:val="fr-FR"/>
              </w:rPr>
              <w:t>Modification des modalités relatives aux invitations et à leur diffusion</w:t>
            </w:r>
          </w:p>
        </w:tc>
      </w:tr>
      <w:tr w:rsidR="00AF7A00" w:rsidRPr="00C258AE" w:rsidTr="00697CEF">
        <w:trPr>
          <w:trHeight w:val="274"/>
        </w:trPr>
        <w:tc>
          <w:tcPr>
            <w:tcW w:w="9639" w:type="dxa"/>
            <w:tcBorders>
              <w:top w:val="single" w:sz="4" w:space="0" w:color="auto"/>
              <w:left w:val="single" w:sz="4" w:space="0" w:color="auto"/>
              <w:bottom w:val="single" w:sz="4" w:space="0" w:color="auto"/>
              <w:right w:val="single" w:sz="4" w:space="0" w:color="auto"/>
            </w:tcBorders>
            <w:shd w:val="clear" w:color="auto" w:fill="auto"/>
          </w:tcPr>
          <w:p w:rsidR="00AF7A00" w:rsidRPr="0085565C" w:rsidRDefault="00AF7A00" w:rsidP="00697CEF">
            <w:pPr>
              <w:rPr>
                <w:lang w:val="fr-FR"/>
              </w:rPr>
            </w:pPr>
            <w:r w:rsidRPr="0085565C">
              <w:rPr>
                <w:lang w:val="fr-FR"/>
              </w:rPr>
              <w:t>Présentation des documents (déjà améliorée depuis 2014)</w:t>
            </w:r>
          </w:p>
        </w:tc>
      </w:tr>
      <w:tr w:rsidR="00AF7A00" w:rsidRPr="00C258AE" w:rsidTr="00697CEF">
        <w:trPr>
          <w:trHeight w:val="274"/>
        </w:trPr>
        <w:tc>
          <w:tcPr>
            <w:tcW w:w="9639" w:type="dxa"/>
            <w:tcBorders>
              <w:top w:val="single" w:sz="4" w:space="0" w:color="auto"/>
              <w:left w:val="single" w:sz="4" w:space="0" w:color="auto"/>
              <w:bottom w:val="single" w:sz="4" w:space="0" w:color="auto"/>
              <w:right w:val="single" w:sz="4" w:space="0" w:color="auto"/>
            </w:tcBorders>
            <w:shd w:val="clear" w:color="auto" w:fill="auto"/>
          </w:tcPr>
          <w:p w:rsidR="00AF7A00" w:rsidRPr="0085565C" w:rsidRDefault="00AF7A00" w:rsidP="00697CEF">
            <w:pPr>
              <w:rPr>
                <w:lang w:val="fr-FR"/>
              </w:rPr>
            </w:pPr>
            <w:r w:rsidRPr="0085565C">
              <w:rPr>
                <w:lang w:val="fr-FR"/>
              </w:rPr>
              <w:t>Demande aux participants de soumettre à l’avance leurs observations concernant les principes directeurs d’examen</w:t>
            </w:r>
          </w:p>
        </w:tc>
      </w:tr>
      <w:tr w:rsidR="00AF7A00" w:rsidRPr="00C258AE" w:rsidTr="00697CEF">
        <w:trPr>
          <w:trHeight w:val="274"/>
        </w:trPr>
        <w:tc>
          <w:tcPr>
            <w:tcW w:w="9639" w:type="dxa"/>
            <w:tcBorders>
              <w:top w:val="single" w:sz="4" w:space="0" w:color="auto"/>
              <w:left w:val="single" w:sz="4" w:space="0" w:color="auto"/>
              <w:bottom w:val="single" w:sz="4" w:space="0" w:color="auto"/>
              <w:right w:val="single" w:sz="4" w:space="0" w:color="auto"/>
            </w:tcBorders>
            <w:shd w:val="clear" w:color="auto" w:fill="auto"/>
          </w:tcPr>
          <w:p w:rsidR="00AF7A00" w:rsidRPr="0085565C" w:rsidRDefault="00AF7A00" w:rsidP="00697CEF">
            <w:pPr>
              <w:rPr>
                <w:lang w:val="fr-FR"/>
              </w:rPr>
            </w:pPr>
            <w:r w:rsidRPr="0085565C">
              <w:rPr>
                <w:lang w:val="fr-FR"/>
              </w:rPr>
              <w:t>Réunion annuelle distincte afin de débattre des documents TGP</w:t>
            </w:r>
          </w:p>
        </w:tc>
      </w:tr>
      <w:tr w:rsidR="00AF7A00" w:rsidRPr="00C258AE" w:rsidTr="00697CEF">
        <w:trPr>
          <w:trHeight w:val="274"/>
        </w:trPr>
        <w:tc>
          <w:tcPr>
            <w:tcW w:w="9639" w:type="dxa"/>
            <w:tcBorders>
              <w:top w:val="single" w:sz="4" w:space="0" w:color="auto"/>
              <w:left w:val="single" w:sz="4" w:space="0" w:color="auto"/>
              <w:bottom w:val="single" w:sz="4" w:space="0" w:color="auto"/>
              <w:right w:val="single" w:sz="4" w:space="0" w:color="auto"/>
            </w:tcBorders>
            <w:shd w:val="clear" w:color="auto" w:fill="auto"/>
          </w:tcPr>
          <w:p w:rsidR="00AF7A00" w:rsidRPr="0085565C" w:rsidRDefault="00AF7A00" w:rsidP="00697CEF">
            <w:pPr>
              <w:rPr>
                <w:lang w:val="fr-FR"/>
              </w:rPr>
            </w:pPr>
            <w:r w:rsidRPr="0085565C">
              <w:rPr>
                <w:lang w:val="fr-FR"/>
              </w:rPr>
              <w:t>Modification du jour de la tenue des ateliers préparatoires (le dimanche)</w:t>
            </w:r>
          </w:p>
        </w:tc>
      </w:tr>
    </w:tbl>
    <w:p w:rsidR="00AF7A00" w:rsidRPr="0085565C" w:rsidRDefault="00AF7A00" w:rsidP="00AF7A00">
      <w:pPr>
        <w:rPr>
          <w:lang w:val="fr-FR"/>
        </w:rPr>
      </w:pPr>
    </w:p>
    <w:p w:rsidR="00AF7A00" w:rsidRPr="0085565C" w:rsidRDefault="00AF7A00" w:rsidP="0085565C">
      <w:pPr>
        <w:pStyle w:val="Heading2"/>
        <w:rPr>
          <w:lang w:val="fr-FR"/>
        </w:rPr>
      </w:pPr>
      <w:bookmarkStart w:id="47" w:name="_Toc428287714"/>
      <w:r w:rsidRPr="0085565C">
        <w:rPr>
          <w:lang w:val="fr-FR"/>
        </w:rPr>
        <w:t>Ateliers préparatoires</w:t>
      </w:r>
      <w:bookmarkEnd w:id="47"/>
    </w:p>
    <w:p w:rsidR="00AF7A00" w:rsidRPr="0085565C" w:rsidRDefault="00AF7A00" w:rsidP="00AF7A00">
      <w:pPr>
        <w:keepNext/>
        <w:rPr>
          <w:lang w:val="fr-FR"/>
        </w:rPr>
      </w:pPr>
    </w:p>
    <w:p w:rsidR="00AF7A00" w:rsidRPr="0085565C" w:rsidRDefault="00AF7A00" w:rsidP="00AF7A00">
      <w:pPr>
        <w:keepNext/>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examine le document TC/51/13 “Ateliers préparatoires”.</w:t>
      </w:r>
    </w:p>
    <w:p w:rsidR="00AF7A00" w:rsidRPr="0085565C" w:rsidRDefault="00AF7A00" w:rsidP="00AF7A00">
      <w:pPr>
        <w:keepNext/>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prend note du rapport des ateliers préparatoires tenus en 2014.</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approuve le programme proposé des ateliers préparatoires pour 2015, comme indiqué dans les paragraphes 10 et 11 du document TC/51/13.</w:t>
      </w:r>
    </w:p>
    <w:p w:rsidR="00AF7A00" w:rsidRPr="0085565C" w:rsidRDefault="00AF7A00" w:rsidP="00AF7A00">
      <w:pPr>
        <w:rPr>
          <w:lang w:val="fr-FR"/>
        </w:rPr>
      </w:pPr>
    </w:p>
    <w:p w:rsidR="00AF7A00" w:rsidRPr="0085565C" w:rsidRDefault="00AF7A00" w:rsidP="00AF7A00">
      <w:pPr>
        <w:rPr>
          <w:lang w:val="fr-FR"/>
        </w:rPr>
      </w:pPr>
    </w:p>
    <w:p w:rsidR="00AF7A00" w:rsidRPr="0085565C" w:rsidRDefault="00AF7A00" w:rsidP="0085565C">
      <w:pPr>
        <w:pStyle w:val="Heading2"/>
        <w:rPr>
          <w:lang w:val="fr-FR"/>
        </w:rPr>
      </w:pPr>
      <w:bookmarkStart w:id="48" w:name="_Toc428287715"/>
      <w:r w:rsidRPr="0085565C">
        <w:rPr>
          <w:lang w:val="fr-FR"/>
        </w:rPr>
        <w:t>Principes directeurs d’examen</w:t>
      </w:r>
      <w:bookmarkEnd w:id="48"/>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examine les documents TC/51/2, TC/51/26, TC/51/27, TC/51/28, TC/51/29, TC/51/30, TC/51/31, TC/51/32, TC/51/33, TC/51/34 et TC/51/35.</w:t>
      </w:r>
    </w:p>
    <w:p w:rsidR="00AF7A00" w:rsidRPr="0085565C" w:rsidRDefault="00AF7A00" w:rsidP="00AF7A00">
      <w:pPr>
        <w:rPr>
          <w:lang w:val="fr-FR"/>
        </w:rPr>
      </w:pPr>
    </w:p>
    <w:p w:rsidR="00AF7A00" w:rsidRPr="0085565C" w:rsidRDefault="00AF7A00" w:rsidP="00AF7A00">
      <w:pPr>
        <w:rPr>
          <w:rFonts w:cs="Arial"/>
          <w:snapToGrid w:val="0"/>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Conformément aux procédures établies dans le document TGP/7, le TC</w:t>
      </w:r>
      <w:r w:rsidRPr="0085565C">
        <w:rPr>
          <w:rFonts w:cs="Arial"/>
          <w:snapToGrid w:val="0"/>
          <w:lang w:val="fr-FR"/>
        </w:rPr>
        <w:t xml:space="preserve"> adopte </w:t>
      </w:r>
      <w:r w:rsidRPr="0085565C">
        <w:rPr>
          <w:snapToGrid w:val="0"/>
          <w:lang w:val="fr-FR"/>
        </w:rPr>
        <w:t>12 nouveaux principes directeurs d’examen</w:t>
      </w:r>
      <w:r w:rsidRPr="0085565C">
        <w:rPr>
          <w:lang w:val="fr-FR"/>
        </w:rPr>
        <w:t xml:space="preserve"> pour la conduite de l’examen de la distinction, de l’homogénéité et de la stabilité, cinq principes directeurs d’examen révisés</w:t>
      </w:r>
      <w:r w:rsidRPr="0085565C">
        <w:rPr>
          <w:snapToGrid w:val="0"/>
          <w:lang w:val="fr-FR"/>
        </w:rPr>
        <w:t xml:space="preserve"> et neuf principes directeurs d’examen partiellement révisés, énumérés dans le tableau ci</w:t>
      </w:r>
      <w:r w:rsidRPr="0085565C">
        <w:rPr>
          <w:snapToGrid w:val="0"/>
          <w:lang w:val="fr-FR"/>
        </w:rPr>
        <w:noBreakHyphen/>
        <w:t>dessous, sur la base des modifications figurant dans l’a</w:t>
      </w:r>
      <w:r w:rsidRPr="0085565C">
        <w:rPr>
          <w:rFonts w:cs="Arial"/>
          <w:snapToGrid w:val="0"/>
          <w:lang w:val="fr-FR"/>
        </w:rPr>
        <w:t>nnexe</w:t>
      </w:r>
      <w:r w:rsidRPr="0085565C">
        <w:rPr>
          <w:snapToGrid w:val="0"/>
          <w:lang w:val="fr-FR"/>
        </w:rPr>
        <w:t> </w:t>
      </w:r>
      <w:r w:rsidRPr="0085565C">
        <w:rPr>
          <w:rFonts w:cs="Arial"/>
          <w:snapToGrid w:val="0"/>
          <w:lang w:val="fr-FR"/>
        </w:rPr>
        <w:t>II du présent document et des modifications rédactionnelles recommandées par le TC</w:t>
      </w:r>
      <w:r w:rsidRPr="0085565C">
        <w:rPr>
          <w:rFonts w:cs="Arial"/>
          <w:snapToGrid w:val="0"/>
          <w:lang w:val="fr-FR"/>
        </w:rPr>
        <w:noBreakHyphen/>
        <w:t>EDC et convient qu’ils doivent être publiés sur le site Web de l’UPOV le plus tôt possible :</w:t>
      </w:r>
    </w:p>
    <w:p w:rsidR="00AF7A00" w:rsidRPr="0085565C" w:rsidRDefault="00AF7A00" w:rsidP="00AF7A00">
      <w:pPr>
        <w:rPr>
          <w:rFonts w:cs="Arial"/>
          <w:snapToGrid w:val="0"/>
          <w:lang w:val="fr-FR"/>
        </w:rPr>
      </w:pPr>
    </w:p>
    <w:tbl>
      <w:tblPr>
        <w:tblW w:w="9934" w:type="dxa"/>
        <w:tblInd w:w="96" w:type="dxa"/>
        <w:tblLayout w:type="fixed"/>
        <w:tblLook w:val="0000" w:firstRow="0" w:lastRow="0" w:firstColumn="0" w:lastColumn="0" w:noHBand="0" w:noVBand="0"/>
      </w:tblPr>
      <w:tblGrid>
        <w:gridCol w:w="484"/>
        <w:gridCol w:w="590"/>
        <w:gridCol w:w="1490"/>
        <w:gridCol w:w="1417"/>
        <w:gridCol w:w="1418"/>
        <w:gridCol w:w="1417"/>
        <w:gridCol w:w="1418"/>
        <w:gridCol w:w="1700"/>
      </w:tblGrid>
      <w:tr w:rsidR="00AF7A00" w:rsidRPr="0085565C" w:rsidTr="00697CEF">
        <w:trPr>
          <w:cantSplit/>
          <w:trHeight w:val="1050"/>
          <w:tblHeader/>
        </w:trPr>
        <w:tc>
          <w:tcPr>
            <w:tcW w:w="484" w:type="dxa"/>
            <w:tcBorders>
              <w:top w:val="single" w:sz="4" w:space="0" w:color="auto"/>
              <w:bottom w:val="single" w:sz="4" w:space="0" w:color="auto"/>
            </w:tcBorders>
            <w:shd w:val="clear" w:color="auto" w:fill="D9D9D9"/>
            <w:noWrap/>
            <w:vAlign w:val="center"/>
          </w:tcPr>
          <w:p w:rsidR="00AF7A00" w:rsidRPr="0085565C" w:rsidRDefault="00AF7A00" w:rsidP="00697CEF">
            <w:pPr>
              <w:jc w:val="left"/>
              <w:rPr>
                <w:rFonts w:eastAsia="MS Mincho" w:cs="Arial"/>
                <w:bCs/>
                <w:sz w:val="16"/>
                <w:szCs w:val="16"/>
                <w:lang w:val="fr-FR" w:eastAsia="ja-JP"/>
              </w:rPr>
            </w:pPr>
            <w:r w:rsidRPr="0085565C">
              <w:rPr>
                <w:rFonts w:eastAsia="MS Mincho" w:cs="Arial"/>
                <w:bCs/>
                <w:sz w:val="16"/>
                <w:szCs w:val="16"/>
                <w:lang w:val="fr-FR" w:eastAsia="ja-JP"/>
              </w:rPr>
              <w:lastRenderedPageBreak/>
              <w:t>**</w:t>
            </w:r>
          </w:p>
        </w:tc>
        <w:tc>
          <w:tcPr>
            <w:tcW w:w="590" w:type="dxa"/>
            <w:tcBorders>
              <w:top w:val="single" w:sz="4" w:space="0" w:color="auto"/>
              <w:bottom w:val="single" w:sz="4" w:space="0" w:color="auto"/>
            </w:tcBorders>
            <w:shd w:val="clear" w:color="auto" w:fill="D9D9D9"/>
            <w:vAlign w:val="center"/>
          </w:tcPr>
          <w:p w:rsidR="00AF7A00" w:rsidRPr="0085565C" w:rsidRDefault="00AF7A00" w:rsidP="00697CEF">
            <w:pPr>
              <w:jc w:val="left"/>
              <w:rPr>
                <w:rFonts w:eastAsia="MS Mincho" w:cs="Arial"/>
                <w:bCs/>
                <w:sz w:val="16"/>
                <w:szCs w:val="16"/>
                <w:lang w:val="fr-FR" w:eastAsia="ja-JP"/>
              </w:rPr>
            </w:pPr>
            <w:r w:rsidRPr="0085565C">
              <w:rPr>
                <w:rFonts w:eastAsia="MS Mincho" w:cs="Arial"/>
                <w:bCs/>
                <w:sz w:val="16"/>
                <w:szCs w:val="16"/>
                <w:lang w:val="fr-FR" w:eastAsia="ja-JP"/>
              </w:rPr>
              <w:t>TWP</w:t>
            </w:r>
          </w:p>
        </w:tc>
        <w:tc>
          <w:tcPr>
            <w:tcW w:w="1490" w:type="dxa"/>
            <w:tcBorders>
              <w:top w:val="single" w:sz="4" w:space="0" w:color="auto"/>
              <w:bottom w:val="single" w:sz="4" w:space="0" w:color="auto"/>
            </w:tcBorders>
            <w:shd w:val="clear" w:color="auto" w:fill="D9D9D9"/>
            <w:vAlign w:val="center"/>
          </w:tcPr>
          <w:p w:rsidR="00AF7A00" w:rsidRPr="0085565C" w:rsidRDefault="00AF7A00" w:rsidP="00697CEF">
            <w:pPr>
              <w:ind w:left="-36"/>
              <w:jc w:val="left"/>
              <w:rPr>
                <w:rFonts w:eastAsia="MS Mincho" w:cs="Arial"/>
                <w:bCs/>
                <w:sz w:val="16"/>
                <w:szCs w:val="16"/>
                <w:lang w:val="fr-FR" w:eastAsia="ja-JP"/>
              </w:rPr>
            </w:pPr>
            <w:r w:rsidRPr="0085565C">
              <w:rPr>
                <w:rFonts w:eastAsia="MS Mincho" w:cs="Arial"/>
                <w:bCs/>
                <w:sz w:val="16"/>
                <w:szCs w:val="16"/>
                <w:lang w:val="fr-FR" w:eastAsia="ja-JP"/>
              </w:rPr>
              <w:t xml:space="preserve">Document No.  </w:t>
            </w:r>
            <w:r w:rsidRPr="0085565C">
              <w:rPr>
                <w:rFonts w:eastAsia="MS Mincho" w:cs="Arial"/>
                <w:bCs/>
                <w:sz w:val="16"/>
                <w:szCs w:val="16"/>
                <w:lang w:val="fr-FR" w:eastAsia="ja-JP"/>
              </w:rPr>
              <w:br/>
              <w:t xml:space="preserve">N° du document </w:t>
            </w:r>
            <w:r w:rsidRPr="0085565C">
              <w:rPr>
                <w:rFonts w:eastAsia="MS Mincho" w:cs="Arial"/>
                <w:bCs/>
                <w:sz w:val="16"/>
                <w:szCs w:val="16"/>
                <w:lang w:val="fr-FR" w:eastAsia="ja-JP"/>
              </w:rPr>
              <w:br/>
            </w:r>
            <w:proofErr w:type="spellStart"/>
            <w:r w:rsidRPr="0085565C">
              <w:rPr>
                <w:rFonts w:eastAsia="MS Mincho" w:cs="Arial"/>
                <w:bCs/>
                <w:sz w:val="16"/>
                <w:szCs w:val="16"/>
                <w:lang w:val="fr-FR" w:eastAsia="ja-JP"/>
              </w:rPr>
              <w:t>Dokument</w:t>
            </w:r>
            <w:proofErr w:type="spellEnd"/>
            <w:r w:rsidRPr="0085565C">
              <w:rPr>
                <w:rFonts w:eastAsia="MS Mincho" w:cs="Arial"/>
                <w:bCs/>
                <w:sz w:val="16"/>
                <w:szCs w:val="16"/>
                <w:lang w:val="fr-FR" w:eastAsia="ja-JP"/>
              </w:rPr>
              <w:noBreakHyphen/>
              <w:t xml:space="preserve">Nr.  </w:t>
            </w:r>
            <w:r w:rsidRPr="0085565C">
              <w:rPr>
                <w:rFonts w:eastAsia="MS Mincho" w:cs="Arial"/>
                <w:bCs/>
                <w:sz w:val="16"/>
                <w:szCs w:val="16"/>
                <w:lang w:val="fr-FR" w:eastAsia="ja-JP"/>
              </w:rPr>
              <w:br/>
              <w:t xml:space="preserve">No del </w:t>
            </w:r>
            <w:proofErr w:type="spellStart"/>
            <w:r w:rsidRPr="0085565C">
              <w:rPr>
                <w:rFonts w:eastAsia="MS Mincho" w:cs="Arial"/>
                <w:bCs/>
                <w:sz w:val="16"/>
                <w:szCs w:val="16"/>
                <w:lang w:val="fr-FR" w:eastAsia="ja-JP"/>
              </w:rPr>
              <w:t>documento</w:t>
            </w:r>
            <w:proofErr w:type="spellEnd"/>
          </w:p>
        </w:tc>
        <w:tc>
          <w:tcPr>
            <w:tcW w:w="1417" w:type="dxa"/>
            <w:tcBorders>
              <w:top w:val="single" w:sz="4" w:space="0" w:color="auto"/>
              <w:bottom w:val="single" w:sz="4" w:space="0" w:color="auto"/>
            </w:tcBorders>
            <w:shd w:val="clear" w:color="auto" w:fill="D9D9D9"/>
            <w:vAlign w:val="center"/>
          </w:tcPr>
          <w:p w:rsidR="00AF7A00" w:rsidRPr="0085565C" w:rsidRDefault="00AF7A00" w:rsidP="00697CEF">
            <w:pPr>
              <w:jc w:val="left"/>
              <w:rPr>
                <w:rFonts w:eastAsia="MS Mincho" w:cs="Arial"/>
                <w:bCs/>
                <w:sz w:val="16"/>
                <w:szCs w:val="16"/>
                <w:lang w:val="fr-FR" w:eastAsia="ja-JP"/>
              </w:rPr>
            </w:pPr>
            <w:r w:rsidRPr="0085565C">
              <w:rPr>
                <w:rFonts w:eastAsia="MS Mincho" w:cs="Arial"/>
                <w:bCs/>
                <w:sz w:val="16"/>
                <w:szCs w:val="16"/>
                <w:lang w:val="fr-FR" w:eastAsia="ja-JP"/>
              </w:rPr>
              <w:t>English</w:t>
            </w:r>
          </w:p>
        </w:tc>
        <w:tc>
          <w:tcPr>
            <w:tcW w:w="1418" w:type="dxa"/>
            <w:tcBorders>
              <w:top w:val="single" w:sz="4" w:space="0" w:color="auto"/>
              <w:bottom w:val="single" w:sz="4" w:space="0" w:color="auto"/>
            </w:tcBorders>
            <w:shd w:val="clear" w:color="auto" w:fill="D9D9D9"/>
            <w:vAlign w:val="center"/>
          </w:tcPr>
          <w:p w:rsidR="00AF7A00" w:rsidRPr="0085565C" w:rsidRDefault="00AF7A00" w:rsidP="00697CEF">
            <w:pPr>
              <w:jc w:val="left"/>
              <w:rPr>
                <w:rFonts w:eastAsia="MS Mincho" w:cs="Arial"/>
                <w:sz w:val="16"/>
                <w:szCs w:val="16"/>
                <w:lang w:val="fr-FR" w:eastAsia="ja-JP"/>
              </w:rPr>
            </w:pPr>
            <w:r w:rsidRPr="0085565C">
              <w:rPr>
                <w:rFonts w:eastAsia="MS Mincho" w:cs="Arial"/>
                <w:sz w:val="16"/>
                <w:szCs w:val="16"/>
                <w:lang w:val="fr-FR" w:eastAsia="ja-JP"/>
              </w:rPr>
              <w:t>Français</w:t>
            </w:r>
          </w:p>
        </w:tc>
        <w:tc>
          <w:tcPr>
            <w:tcW w:w="1417" w:type="dxa"/>
            <w:tcBorders>
              <w:top w:val="single" w:sz="4" w:space="0" w:color="auto"/>
              <w:bottom w:val="single" w:sz="4" w:space="0" w:color="auto"/>
            </w:tcBorders>
            <w:shd w:val="clear" w:color="auto" w:fill="D9D9D9"/>
            <w:vAlign w:val="center"/>
          </w:tcPr>
          <w:p w:rsidR="00AF7A00" w:rsidRPr="0085565C" w:rsidRDefault="00AF7A00" w:rsidP="00697CEF">
            <w:pPr>
              <w:jc w:val="left"/>
              <w:rPr>
                <w:rFonts w:eastAsia="MS Mincho" w:cs="Arial"/>
                <w:sz w:val="16"/>
                <w:szCs w:val="16"/>
                <w:lang w:val="fr-FR" w:eastAsia="ja-JP"/>
              </w:rPr>
            </w:pPr>
            <w:r w:rsidRPr="0085565C">
              <w:rPr>
                <w:rFonts w:eastAsia="MS Mincho" w:cs="Arial"/>
                <w:sz w:val="16"/>
                <w:szCs w:val="16"/>
                <w:lang w:val="fr-FR" w:eastAsia="ja-JP"/>
              </w:rPr>
              <w:t>Deutsch</w:t>
            </w:r>
          </w:p>
        </w:tc>
        <w:tc>
          <w:tcPr>
            <w:tcW w:w="1418" w:type="dxa"/>
            <w:tcBorders>
              <w:top w:val="single" w:sz="4" w:space="0" w:color="auto"/>
              <w:bottom w:val="single" w:sz="4" w:space="0" w:color="auto"/>
            </w:tcBorders>
            <w:shd w:val="clear" w:color="auto" w:fill="D9D9D9"/>
            <w:vAlign w:val="center"/>
          </w:tcPr>
          <w:p w:rsidR="00AF7A00" w:rsidRPr="0085565C" w:rsidRDefault="00AF7A00" w:rsidP="00697CEF">
            <w:pPr>
              <w:jc w:val="left"/>
              <w:rPr>
                <w:rFonts w:eastAsia="MS Mincho" w:cs="Arial"/>
                <w:sz w:val="16"/>
                <w:szCs w:val="16"/>
                <w:lang w:val="fr-FR" w:eastAsia="ja-JP"/>
              </w:rPr>
            </w:pPr>
            <w:proofErr w:type="spellStart"/>
            <w:r w:rsidRPr="0085565C">
              <w:rPr>
                <w:rFonts w:eastAsia="MS Mincho" w:cs="Arial"/>
                <w:sz w:val="16"/>
                <w:szCs w:val="16"/>
                <w:lang w:val="fr-FR" w:eastAsia="ja-JP"/>
              </w:rPr>
              <w:t>Español</w:t>
            </w:r>
            <w:proofErr w:type="spellEnd"/>
          </w:p>
        </w:tc>
        <w:tc>
          <w:tcPr>
            <w:tcW w:w="1700" w:type="dxa"/>
            <w:tcBorders>
              <w:top w:val="single" w:sz="4" w:space="0" w:color="auto"/>
              <w:bottom w:val="single" w:sz="4" w:space="0" w:color="auto"/>
            </w:tcBorders>
            <w:shd w:val="clear" w:color="auto" w:fill="D9D9D9"/>
            <w:vAlign w:val="center"/>
          </w:tcPr>
          <w:p w:rsidR="00AF7A00" w:rsidRPr="0085565C" w:rsidRDefault="00AF7A00" w:rsidP="00697CEF">
            <w:pPr>
              <w:jc w:val="left"/>
              <w:rPr>
                <w:rFonts w:eastAsia="MS Mincho" w:cs="Arial"/>
                <w:sz w:val="16"/>
                <w:szCs w:val="16"/>
                <w:lang w:val="fr-FR" w:eastAsia="ja-JP"/>
              </w:rPr>
            </w:pPr>
            <w:proofErr w:type="spellStart"/>
            <w:r w:rsidRPr="0085565C">
              <w:rPr>
                <w:rFonts w:eastAsia="MS Mincho" w:cs="Arial"/>
                <w:sz w:val="16"/>
                <w:szCs w:val="16"/>
                <w:lang w:val="fr-FR" w:eastAsia="ja-JP"/>
              </w:rPr>
              <w:t>Botanical</w:t>
            </w:r>
            <w:proofErr w:type="spellEnd"/>
            <w:r w:rsidRPr="0085565C">
              <w:rPr>
                <w:rFonts w:eastAsia="MS Mincho" w:cs="Arial"/>
                <w:sz w:val="16"/>
                <w:szCs w:val="16"/>
                <w:lang w:val="fr-FR" w:eastAsia="ja-JP"/>
              </w:rPr>
              <w:t xml:space="preserve"> </w:t>
            </w:r>
            <w:proofErr w:type="spellStart"/>
            <w:r w:rsidRPr="0085565C">
              <w:rPr>
                <w:rFonts w:eastAsia="MS Mincho" w:cs="Arial"/>
                <w:sz w:val="16"/>
                <w:szCs w:val="16"/>
                <w:lang w:val="fr-FR" w:eastAsia="ja-JP"/>
              </w:rPr>
              <w:t>name</w:t>
            </w:r>
            <w:proofErr w:type="spellEnd"/>
          </w:p>
        </w:tc>
      </w:tr>
      <w:tr w:rsidR="00AF7A00" w:rsidRPr="00C258AE" w:rsidTr="00697CEF">
        <w:trPr>
          <w:cantSplit/>
          <w:trHeight w:val="255"/>
        </w:trPr>
        <w:tc>
          <w:tcPr>
            <w:tcW w:w="9934" w:type="dxa"/>
            <w:gridSpan w:val="8"/>
            <w:tcBorders>
              <w:top w:val="single" w:sz="4" w:space="0" w:color="auto"/>
              <w:left w:val="single" w:sz="4" w:space="0" w:color="auto"/>
              <w:bottom w:val="single" w:sz="4" w:space="0" w:color="auto"/>
              <w:right w:val="single" w:sz="4" w:space="0" w:color="auto"/>
            </w:tcBorders>
            <w:shd w:val="clear" w:color="auto" w:fill="auto"/>
            <w:noWrap/>
          </w:tcPr>
          <w:p w:rsidR="00AF7A00" w:rsidRPr="0085565C" w:rsidRDefault="00AF7A00" w:rsidP="00697CEF">
            <w:pPr>
              <w:spacing w:before="120" w:after="120"/>
              <w:ind w:left="-36"/>
              <w:jc w:val="left"/>
              <w:rPr>
                <w:rFonts w:eastAsia="MS Mincho" w:cs="Arial"/>
                <w:bCs/>
                <w:sz w:val="16"/>
                <w:szCs w:val="16"/>
                <w:u w:val="single"/>
                <w:lang w:val="fr-FR" w:eastAsia="ja-JP"/>
              </w:rPr>
            </w:pPr>
            <w:r w:rsidRPr="0085565C">
              <w:rPr>
                <w:rFonts w:cs="Arial"/>
                <w:bCs/>
                <w:sz w:val="16"/>
                <w:szCs w:val="16"/>
                <w:u w:val="single"/>
                <w:lang w:val="fr-FR"/>
              </w:rPr>
              <w:t>NEW TEST GUIDELINES / NOUVEAUX PRINCIPES DIRECTEURS D’EXAMEN / NEUE PRÜFUNGSRICHTILINIEN /</w:t>
            </w:r>
            <w:r w:rsidRPr="0085565C">
              <w:rPr>
                <w:rFonts w:cs="Arial"/>
                <w:bCs/>
                <w:sz w:val="16"/>
                <w:szCs w:val="16"/>
                <w:u w:val="single"/>
                <w:lang w:val="fr-FR"/>
              </w:rPr>
              <w:br/>
              <w:t>NUEVAS DIRECTRICES DE EXAMEN</w:t>
            </w:r>
          </w:p>
        </w:tc>
      </w:tr>
      <w:tr w:rsidR="00AF7A00" w:rsidRPr="0085565C" w:rsidTr="00697CEF">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F7A00" w:rsidRPr="0085565C" w:rsidRDefault="00AF7A00" w:rsidP="00697CEF">
            <w:pPr>
              <w:rPr>
                <w:rFonts w:cs="Arial"/>
                <w:sz w:val="16"/>
                <w:szCs w:val="16"/>
                <w:lang w:val="fr-FR"/>
              </w:rPr>
            </w:pPr>
            <w:r w:rsidRPr="0085565C">
              <w:rPr>
                <w:rFonts w:cs="Arial"/>
                <w:sz w:val="16"/>
                <w:szCs w:val="16"/>
                <w:lang w:val="fr-FR"/>
              </w:rPr>
              <w:t>NZ</w:t>
            </w:r>
          </w:p>
        </w:tc>
        <w:tc>
          <w:tcPr>
            <w:tcW w:w="5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rPr>
                <w:rFonts w:cs="Arial"/>
                <w:sz w:val="16"/>
                <w:szCs w:val="16"/>
                <w:lang w:val="fr-FR"/>
              </w:rPr>
            </w:pPr>
            <w:r w:rsidRPr="0085565C">
              <w:rPr>
                <w:rFonts w:cs="Arial"/>
                <w:sz w:val="16"/>
                <w:szCs w:val="16"/>
                <w:lang w:val="fr-FR"/>
              </w:rPr>
              <w:t>TWF</w:t>
            </w:r>
          </w:p>
        </w:tc>
        <w:tc>
          <w:tcPr>
            <w:tcW w:w="14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ind w:left="-36"/>
              <w:rPr>
                <w:rFonts w:cs="Arial"/>
                <w:sz w:val="16"/>
                <w:szCs w:val="16"/>
                <w:lang w:val="fr-FR"/>
              </w:rPr>
            </w:pPr>
            <w:r w:rsidRPr="0085565C">
              <w:rPr>
                <w:rFonts w:cs="Arial"/>
                <w:sz w:val="16"/>
                <w:szCs w:val="16"/>
                <w:lang w:val="fr-FR"/>
              </w:rPr>
              <w:t>TG/</w:t>
            </w:r>
            <w:proofErr w:type="gramStart"/>
            <w:r w:rsidRPr="0085565C">
              <w:rPr>
                <w:rFonts w:cs="Arial"/>
                <w:sz w:val="16"/>
                <w:szCs w:val="16"/>
                <w:lang w:val="fr-FR"/>
              </w:rPr>
              <w:t>ACCA(</w:t>
            </w:r>
            <w:proofErr w:type="gramEnd"/>
            <w:r w:rsidRPr="0085565C">
              <w:rPr>
                <w:rFonts w:cs="Arial"/>
                <w:sz w:val="16"/>
                <w:szCs w:val="16"/>
                <w:lang w:val="fr-FR"/>
              </w:rPr>
              <w:t>proj.5)</w:t>
            </w:r>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Feijoa</w:t>
            </w:r>
            <w:proofErr w:type="spellEnd"/>
            <w:r w:rsidRPr="0085565C">
              <w:rPr>
                <w:rFonts w:cs="Arial"/>
                <w:sz w:val="16"/>
                <w:szCs w:val="16"/>
                <w:lang w:val="fr-FR"/>
              </w:rPr>
              <w:t xml:space="preserve">, </w:t>
            </w:r>
            <w:proofErr w:type="spellStart"/>
            <w:r w:rsidRPr="0085565C">
              <w:rPr>
                <w:rFonts w:cs="Arial"/>
                <w:sz w:val="16"/>
                <w:szCs w:val="16"/>
                <w:lang w:val="fr-FR"/>
              </w:rPr>
              <w:t>Pineapple</w:t>
            </w:r>
            <w:proofErr w:type="spellEnd"/>
            <w:r w:rsidRPr="0085565C">
              <w:rPr>
                <w:rFonts w:cs="Arial"/>
                <w:sz w:val="16"/>
                <w:szCs w:val="16"/>
                <w:lang w:val="fr-FR"/>
              </w:rPr>
              <w:t xml:space="preserve"> </w:t>
            </w:r>
            <w:proofErr w:type="spellStart"/>
            <w:r w:rsidRPr="0085565C">
              <w:rPr>
                <w:rFonts w:cs="Arial"/>
                <w:sz w:val="16"/>
                <w:szCs w:val="16"/>
                <w:lang w:val="fr-FR"/>
              </w:rPr>
              <w:t>Guava</w:t>
            </w:r>
            <w:proofErr w:type="spellEnd"/>
            <w:r w:rsidRPr="0085565C">
              <w:rPr>
                <w:rFonts w:cs="Arial"/>
                <w:sz w:val="16"/>
                <w:szCs w:val="16"/>
                <w:lang w:val="fr-FR"/>
              </w:rPr>
              <w:t xml:space="preserve">, </w:t>
            </w:r>
            <w:proofErr w:type="spellStart"/>
            <w:r w:rsidRPr="0085565C">
              <w:rPr>
                <w:rFonts w:cs="Arial"/>
                <w:sz w:val="16"/>
                <w:szCs w:val="16"/>
                <w:lang w:val="fr-FR"/>
              </w:rPr>
              <w:t>Guavasteen</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Feijoa</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Feijoa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Feijoa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Acca</w:t>
            </w:r>
            <w:proofErr w:type="spellEnd"/>
            <w:r w:rsidRPr="0085565C">
              <w:rPr>
                <w:rFonts w:cs="Arial"/>
                <w:sz w:val="16"/>
                <w:szCs w:val="16"/>
                <w:lang w:val="fr-FR"/>
              </w:rPr>
              <w:t xml:space="preserve"> </w:t>
            </w:r>
            <w:proofErr w:type="spellStart"/>
            <w:r w:rsidRPr="0085565C">
              <w:rPr>
                <w:rFonts w:cs="Arial"/>
                <w:sz w:val="16"/>
                <w:szCs w:val="16"/>
                <w:lang w:val="fr-FR"/>
              </w:rPr>
              <w:t>sellowiana</w:t>
            </w:r>
            <w:proofErr w:type="spellEnd"/>
            <w:r w:rsidRPr="0085565C">
              <w:rPr>
                <w:rFonts w:cs="Arial"/>
                <w:sz w:val="16"/>
                <w:szCs w:val="16"/>
                <w:lang w:val="fr-FR"/>
              </w:rPr>
              <w:t xml:space="preserve"> (Berg) </w:t>
            </w:r>
            <w:proofErr w:type="spellStart"/>
            <w:r w:rsidRPr="0085565C">
              <w:rPr>
                <w:rFonts w:cs="Arial"/>
                <w:sz w:val="16"/>
                <w:szCs w:val="16"/>
                <w:lang w:val="fr-FR"/>
              </w:rPr>
              <w:t>Burret</w:t>
            </w:r>
            <w:proofErr w:type="spellEnd"/>
          </w:p>
        </w:tc>
      </w:tr>
      <w:tr w:rsidR="00AF7A00" w:rsidRPr="0085565C" w:rsidTr="00697CEF">
        <w:trPr>
          <w:cantSplit/>
          <w:trHeight w:val="742"/>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F7A00" w:rsidRPr="0085565C" w:rsidRDefault="00AF7A00" w:rsidP="00697CEF">
            <w:pPr>
              <w:rPr>
                <w:rFonts w:cs="Arial"/>
                <w:sz w:val="16"/>
                <w:szCs w:val="16"/>
                <w:lang w:val="fr-FR"/>
              </w:rPr>
            </w:pPr>
            <w:r w:rsidRPr="0085565C">
              <w:rPr>
                <w:rFonts w:cs="Arial"/>
                <w:sz w:val="16"/>
                <w:szCs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rPr>
                <w:rFonts w:cs="Arial"/>
                <w:sz w:val="16"/>
                <w:szCs w:val="16"/>
                <w:lang w:val="fr-FR"/>
              </w:rPr>
            </w:pPr>
            <w:r w:rsidRPr="0085565C">
              <w:rPr>
                <w:rFonts w:cs="Arial"/>
                <w:sz w:val="16"/>
                <w:szCs w:val="16"/>
                <w:lang w:val="fr-FR"/>
              </w:rPr>
              <w:t>TWA</w:t>
            </w:r>
          </w:p>
        </w:tc>
        <w:tc>
          <w:tcPr>
            <w:tcW w:w="14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ind w:left="-36"/>
              <w:rPr>
                <w:rFonts w:cs="Arial"/>
                <w:sz w:val="16"/>
                <w:szCs w:val="16"/>
                <w:lang w:val="fr-FR"/>
              </w:rPr>
            </w:pPr>
            <w:r w:rsidRPr="0085565C">
              <w:rPr>
                <w:rFonts w:cs="Arial"/>
                <w:sz w:val="16"/>
                <w:szCs w:val="16"/>
                <w:lang w:val="fr-FR"/>
              </w:rPr>
              <w:t>TG/ADZUK (proj.4)</w:t>
            </w:r>
          </w:p>
        </w:tc>
        <w:tc>
          <w:tcPr>
            <w:tcW w:w="1417" w:type="dxa"/>
            <w:tcBorders>
              <w:top w:val="single" w:sz="4" w:space="0" w:color="auto"/>
              <w:left w:val="nil"/>
              <w:bottom w:val="single" w:sz="4" w:space="0" w:color="auto"/>
              <w:right w:val="single" w:sz="4" w:space="0" w:color="auto"/>
            </w:tcBorders>
            <w:shd w:val="clear" w:color="auto" w:fill="auto"/>
          </w:tcPr>
          <w:p w:rsidR="00AF7A00" w:rsidRPr="00C258AE" w:rsidRDefault="00AF7A00" w:rsidP="00697CEF">
            <w:pPr>
              <w:jc w:val="left"/>
              <w:rPr>
                <w:rFonts w:cs="Arial"/>
                <w:sz w:val="16"/>
                <w:szCs w:val="16"/>
              </w:rPr>
            </w:pPr>
            <w:r w:rsidRPr="00C258AE">
              <w:rPr>
                <w:rFonts w:cs="Arial"/>
                <w:sz w:val="16"/>
                <w:szCs w:val="16"/>
              </w:rPr>
              <w:t>Adzuki Bean; Azuki Red Bean; Chinese Red Bean</w:t>
            </w:r>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r w:rsidRPr="0085565C">
              <w:rPr>
                <w:rFonts w:cs="Arial"/>
                <w:sz w:val="16"/>
                <w:szCs w:val="16"/>
                <w:lang w:val="fr-FR"/>
              </w:rPr>
              <w:t xml:space="preserve">Haricot </w:t>
            </w:r>
            <w:proofErr w:type="spellStart"/>
            <w:r w:rsidRPr="0085565C">
              <w:rPr>
                <w:rFonts w:cs="Arial"/>
                <w:sz w:val="16"/>
                <w:szCs w:val="16"/>
                <w:lang w:val="fr-FR"/>
              </w:rPr>
              <w:t>Adzuki</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Adzukibohne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Judía</w:t>
            </w:r>
            <w:proofErr w:type="spellEnd"/>
            <w:r w:rsidRPr="0085565C">
              <w:rPr>
                <w:rFonts w:cs="Arial"/>
                <w:sz w:val="16"/>
                <w:szCs w:val="16"/>
                <w:lang w:val="fr-FR"/>
              </w:rPr>
              <w:t xml:space="preserve"> </w:t>
            </w:r>
            <w:proofErr w:type="spellStart"/>
            <w:r w:rsidRPr="0085565C">
              <w:rPr>
                <w:rFonts w:cs="Arial"/>
                <w:sz w:val="16"/>
                <w:szCs w:val="16"/>
                <w:lang w:val="fr-FR"/>
              </w:rPr>
              <w:t>adzuki</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r w:rsidRPr="00C258AE">
              <w:rPr>
                <w:rFonts w:cs="Arial"/>
                <w:sz w:val="16"/>
                <w:szCs w:val="16"/>
              </w:rPr>
              <w:t xml:space="preserve">Vigna angularis (Willd.) Ohwi &amp; H.Ohashi, Phaseolus angularis (Willd.) </w:t>
            </w:r>
            <w:proofErr w:type="spellStart"/>
            <w:r w:rsidRPr="0085565C">
              <w:rPr>
                <w:rFonts w:cs="Arial"/>
                <w:sz w:val="16"/>
                <w:szCs w:val="16"/>
                <w:lang w:val="fr-FR"/>
              </w:rPr>
              <w:t>W.Wight</w:t>
            </w:r>
            <w:proofErr w:type="spellEnd"/>
          </w:p>
        </w:tc>
      </w:tr>
      <w:tr w:rsidR="00AF7A00" w:rsidRPr="0085565C" w:rsidTr="00697CEF">
        <w:trPr>
          <w:cantSplit/>
          <w:trHeight w:val="372"/>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F7A00" w:rsidRPr="0085565C" w:rsidRDefault="00AF7A00" w:rsidP="00697CEF">
            <w:pPr>
              <w:rPr>
                <w:rFonts w:cs="Arial"/>
                <w:sz w:val="16"/>
                <w:szCs w:val="16"/>
                <w:lang w:val="fr-FR"/>
              </w:rPr>
            </w:pPr>
            <w:r w:rsidRPr="0085565C">
              <w:rPr>
                <w:rFonts w:cs="Arial"/>
                <w:sz w:val="16"/>
                <w:szCs w:val="16"/>
                <w:lang w:val="fr-FR"/>
              </w:rPr>
              <w:t>ZA</w:t>
            </w:r>
          </w:p>
        </w:tc>
        <w:tc>
          <w:tcPr>
            <w:tcW w:w="5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rPr>
                <w:rFonts w:cs="Arial"/>
                <w:sz w:val="16"/>
                <w:szCs w:val="16"/>
                <w:lang w:val="fr-FR"/>
              </w:rPr>
            </w:pPr>
            <w:r w:rsidRPr="0085565C">
              <w:rPr>
                <w:rFonts w:cs="Arial"/>
                <w:sz w:val="16"/>
                <w:szCs w:val="16"/>
                <w:lang w:val="fr-FR"/>
              </w:rPr>
              <w:t>TWO</w:t>
            </w:r>
          </w:p>
        </w:tc>
        <w:tc>
          <w:tcPr>
            <w:tcW w:w="14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ind w:left="-36"/>
              <w:rPr>
                <w:rFonts w:cs="Arial"/>
                <w:sz w:val="16"/>
                <w:szCs w:val="16"/>
                <w:lang w:val="fr-FR"/>
              </w:rPr>
            </w:pPr>
            <w:r w:rsidRPr="0085565C">
              <w:rPr>
                <w:rFonts w:cs="Arial"/>
                <w:sz w:val="16"/>
                <w:szCs w:val="16"/>
                <w:lang w:val="fr-FR"/>
              </w:rPr>
              <w:t>TG/</w:t>
            </w:r>
            <w:proofErr w:type="gramStart"/>
            <w:r w:rsidRPr="0085565C">
              <w:rPr>
                <w:rFonts w:cs="Arial"/>
                <w:sz w:val="16"/>
                <w:szCs w:val="16"/>
                <w:lang w:val="fr-FR"/>
              </w:rPr>
              <w:t>ALOE(</w:t>
            </w:r>
            <w:proofErr w:type="gramEnd"/>
            <w:r w:rsidRPr="0085565C">
              <w:rPr>
                <w:rFonts w:cs="Arial"/>
                <w:sz w:val="16"/>
                <w:szCs w:val="16"/>
                <w:lang w:val="fr-FR"/>
              </w:rPr>
              <w:t>proj.5)</w:t>
            </w:r>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Aloe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r w:rsidRPr="0085565C">
              <w:rPr>
                <w:rFonts w:cs="Arial"/>
                <w:sz w:val="16"/>
                <w:szCs w:val="16"/>
                <w:lang w:val="fr-FR"/>
              </w:rPr>
              <w:t>Aloès</w:t>
            </w:r>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Aloe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Aloe</w:t>
            </w:r>
            <w:proofErr w:type="spellEnd"/>
            <w:r w:rsidRPr="0085565C">
              <w:rPr>
                <w:rFonts w:cs="Arial"/>
                <w:sz w:val="16"/>
                <w:szCs w:val="16"/>
                <w:lang w:val="fr-FR"/>
              </w:rPr>
              <w:t xml:space="preserve">, </w:t>
            </w:r>
            <w:proofErr w:type="spellStart"/>
            <w:r w:rsidRPr="0085565C">
              <w:rPr>
                <w:rFonts w:cs="Arial"/>
                <w:sz w:val="16"/>
                <w:szCs w:val="16"/>
                <w:lang w:val="fr-FR"/>
              </w:rPr>
              <w:t>Sabila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Aloe</w:t>
            </w:r>
            <w:proofErr w:type="spellEnd"/>
            <w:r w:rsidRPr="0085565C">
              <w:rPr>
                <w:rFonts w:cs="Arial"/>
                <w:sz w:val="16"/>
                <w:szCs w:val="16"/>
                <w:lang w:val="fr-FR"/>
              </w:rPr>
              <w:t xml:space="preserve"> L.</w:t>
            </w:r>
          </w:p>
        </w:tc>
      </w:tr>
      <w:tr w:rsidR="00AF7A00" w:rsidRPr="0085565C" w:rsidTr="00697CEF">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F7A00" w:rsidRPr="0085565C" w:rsidRDefault="00AF7A00" w:rsidP="00697CEF">
            <w:pPr>
              <w:rPr>
                <w:rFonts w:cs="Arial"/>
                <w:sz w:val="16"/>
                <w:szCs w:val="16"/>
                <w:lang w:val="fr-FR"/>
              </w:rPr>
            </w:pPr>
            <w:r w:rsidRPr="0085565C">
              <w:rPr>
                <w:rFonts w:cs="Arial"/>
                <w:sz w:val="16"/>
                <w:szCs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rPr>
                <w:rFonts w:cs="Arial"/>
                <w:sz w:val="16"/>
                <w:szCs w:val="16"/>
                <w:lang w:val="fr-FR"/>
              </w:rPr>
            </w:pPr>
            <w:r w:rsidRPr="0085565C">
              <w:rPr>
                <w:rFonts w:cs="Arial"/>
                <w:sz w:val="16"/>
                <w:szCs w:val="16"/>
                <w:lang w:val="fr-FR"/>
              </w:rPr>
              <w:t>TWO</w:t>
            </w:r>
          </w:p>
        </w:tc>
        <w:tc>
          <w:tcPr>
            <w:tcW w:w="14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ind w:left="-36"/>
              <w:rPr>
                <w:rFonts w:cs="Arial"/>
                <w:sz w:val="16"/>
                <w:szCs w:val="16"/>
                <w:lang w:val="fr-FR"/>
              </w:rPr>
            </w:pPr>
            <w:r w:rsidRPr="0085565C">
              <w:rPr>
                <w:rFonts w:cs="Arial"/>
                <w:sz w:val="16"/>
                <w:szCs w:val="16"/>
                <w:lang w:val="fr-FR"/>
              </w:rPr>
              <w:t>TG/CALSP (proj.5)</w:t>
            </w:r>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r w:rsidRPr="0085565C">
              <w:rPr>
                <w:rFonts w:cs="Arial"/>
                <w:sz w:val="16"/>
                <w:szCs w:val="16"/>
                <w:lang w:val="fr-FR"/>
              </w:rPr>
              <w:t xml:space="preserve">China Aster, </w:t>
            </w:r>
            <w:proofErr w:type="spellStart"/>
            <w:r w:rsidRPr="0085565C">
              <w:rPr>
                <w:rFonts w:cs="Arial"/>
                <w:sz w:val="16"/>
                <w:szCs w:val="16"/>
                <w:lang w:val="fr-FR"/>
              </w:rPr>
              <w:t>Annual</w:t>
            </w:r>
            <w:proofErr w:type="spellEnd"/>
            <w:r w:rsidRPr="0085565C">
              <w:rPr>
                <w:rFonts w:cs="Arial"/>
                <w:sz w:val="16"/>
                <w:szCs w:val="16"/>
                <w:lang w:val="fr-FR"/>
              </w:rPr>
              <w:t xml:space="preserve"> Aster</w:t>
            </w:r>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r w:rsidRPr="0085565C">
              <w:rPr>
                <w:rFonts w:cs="Arial"/>
                <w:sz w:val="16"/>
                <w:szCs w:val="16"/>
                <w:lang w:val="fr-FR"/>
              </w:rPr>
              <w:t>Aster; Aster de Chine; Reine-marguerite</w:t>
            </w:r>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Sommeraster</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r w:rsidRPr="0085565C">
              <w:rPr>
                <w:rFonts w:cs="Arial"/>
                <w:sz w:val="16"/>
                <w:szCs w:val="16"/>
                <w:lang w:val="fr-FR"/>
              </w:rPr>
              <w:t>Aster de China</w:t>
            </w:r>
          </w:p>
        </w:tc>
        <w:tc>
          <w:tcPr>
            <w:tcW w:w="170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Callistephus</w:t>
            </w:r>
            <w:proofErr w:type="spellEnd"/>
            <w:r w:rsidRPr="0085565C">
              <w:rPr>
                <w:rFonts w:cs="Arial"/>
                <w:sz w:val="16"/>
                <w:szCs w:val="16"/>
                <w:lang w:val="fr-FR"/>
              </w:rPr>
              <w:t xml:space="preserve"> </w:t>
            </w:r>
            <w:proofErr w:type="spellStart"/>
            <w:r w:rsidRPr="0085565C">
              <w:rPr>
                <w:rFonts w:cs="Arial"/>
                <w:sz w:val="16"/>
                <w:szCs w:val="16"/>
                <w:lang w:val="fr-FR"/>
              </w:rPr>
              <w:t>chinensis</w:t>
            </w:r>
            <w:proofErr w:type="spellEnd"/>
            <w:r w:rsidRPr="0085565C">
              <w:rPr>
                <w:rFonts w:cs="Arial"/>
                <w:sz w:val="16"/>
                <w:szCs w:val="16"/>
                <w:lang w:val="fr-FR"/>
              </w:rPr>
              <w:t xml:space="preserve"> (L.) </w:t>
            </w:r>
            <w:proofErr w:type="spellStart"/>
            <w:r w:rsidRPr="0085565C">
              <w:rPr>
                <w:rFonts w:cs="Arial"/>
                <w:sz w:val="16"/>
                <w:szCs w:val="16"/>
                <w:lang w:val="fr-FR"/>
              </w:rPr>
              <w:t>Nees</w:t>
            </w:r>
            <w:proofErr w:type="spellEnd"/>
          </w:p>
        </w:tc>
      </w:tr>
      <w:tr w:rsidR="00AF7A00" w:rsidRPr="0085565C" w:rsidTr="00697CEF">
        <w:trPr>
          <w:cantSplit/>
          <w:trHeight w:val="458"/>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F7A00" w:rsidRPr="0085565C" w:rsidRDefault="00AF7A00" w:rsidP="00697CEF">
            <w:pPr>
              <w:rPr>
                <w:rFonts w:cs="Arial"/>
                <w:sz w:val="16"/>
                <w:szCs w:val="16"/>
                <w:lang w:val="fr-FR"/>
              </w:rPr>
            </w:pPr>
            <w:r w:rsidRPr="0085565C">
              <w:rPr>
                <w:rFonts w:cs="Arial"/>
                <w:sz w:val="16"/>
                <w:szCs w:val="16"/>
                <w:lang w:val="fr-FR"/>
              </w:rPr>
              <w:t>GB</w:t>
            </w:r>
          </w:p>
        </w:tc>
        <w:tc>
          <w:tcPr>
            <w:tcW w:w="5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rPr>
                <w:rFonts w:cs="Arial"/>
                <w:sz w:val="16"/>
                <w:szCs w:val="16"/>
                <w:lang w:val="fr-FR"/>
              </w:rPr>
            </w:pPr>
            <w:r w:rsidRPr="0085565C">
              <w:rPr>
                <w:rFonts w:cs="Arial"/>
                <w:sz w:val="16"/>
                <w:szCs w:val="16"/>
                <w:lang w:val="fr-FR"/>
              </w:rPr>
              <w:t>TWO</w:t>
            </w:r>
          </w:p>
        </w:tc>
        <w:tc>
          <w:tcPr>
            <w:tcW w:w="14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ind w:left="-36"/>
              <w:rPr>
                <w:rFonts w:cs="Arial"/>
                <w:sz w:val="16"/>
                <w:szCs w:val="16"/>
                <w:lang w:val="fr-FR"/>
              </w:rPr>
            </w:pPr>
            <w:r w:rsidRPr="0085565C">
              <w:rPr>
                <w:rFonts w:cs="Arial"/>
                <w:sz w:val="16"/>
                <w:szCs w:val="16"/>
                <w:lang w:val="fr-FR"/>
              </w:rPr>
              <w:t>TG/CAMPA (proj.6)</w:t>
            </w:r>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Campanula</w:t>
            </w:r>
            <w:proofErr w:type="spellEnd"/>
            <w:r w:rsidRPr="0085565C">
              <w:rPr>
                <w:rFonts w:cs="Arial"/>
                <w:sz w:val="16"/>
                <w:szCs w:val="16"/>
                <w:lang w:val="fr-FR"/>
              </w:rPr>
              <w:t>, Bell Flower</w:t>
            </w:r>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r w:rsidRPr="0085565C">
              <w:rPr>
                <w:rFonts w:cs="Arial"/>
                <w:sz w:val="16"/>
                <w:szCs w:val="16"/>
                <w:lang w:val="fr-FR"/>
              </w:rPr>
              <w:t>Campanule</w:t>
            </w:r>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Glockenblume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Campánula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Campanula</w:t>
            </w:r>
            <w:proofErr w:type="spellEnd"/>
            <w:r w:rsidRPr="0085565C">
              <w:rPr>
                <w:rFonts w:cs="Arial"/>
                <w:sz w:val="16"/>
                <w:szCs w:val="16"/>
                <w:lang w:val="fr-FR"/>
              </w:rPr>
              <w:t xml:space="preserve"> L.</w:t>
            </w:r>
          </w:p>
        </w:tc>
      </w:tr>
      <w:tr w:rsidR="00AF7A00" w:rsidRPr="0085565C" w:rsidTr="00697CEF">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F7A00" w:rsidRPr="0085565C" w:rsidRDefault="00AF7A00" w:rsidP="00697CEF">
            <w:pPr>
              <w:rPr>
                <w:rFonts w:cs="Arial"/>
                <w:sz w:val="16"/>
                <w:szCs w:val="16"/>
                <w:lang w:val="fr-FR"/>
              </w:rPr>
            </w:pPr>
            <w:r w:rsidRPr="0085565C">
              <w:rPr>
                <w:rFonts w:cs="Arial"/>
                <w:sz w:val="16"/>
                <w:szCs w:val="16"/>
                <w:lang w:val="fr-FR"/>
              </w:rPr>
              <w:t>KE/BR</w:t>
            </w:r>
          </w:p>
        </w:tc>
        <w:tc>
          <w:tcPr>
            <w:tcW w:w="590" w:type="dxa"/>
            <w:tcBorders>
              <w:top w:val="single" w:sz="4" w:space="0" w:color="auto"/>
              <w:left w:val="nil"/>
              <w:bottom w:val="single" w:sz="4" w:space="0" w:color="auto"/>
              <w:right w:val="single" w:sz="4" w:space="0" w:color="auto"/>
            </w:tcBorders>
            <w:shd w:val="clear" w:color="auto" w:fill="auto"/>
            <w:tcMar>
              <w:left w:w="85" w:type="dxa"/>
              <w:right w:w="85" w:type="dxa"/>
            </w:tcMar>
          </w:tcPr>
          <w:p w:rsidR="00AF7A00" w:rsidRPr="0085565C" w:rsidRDefault="00AF7A00" w:rsidP="00697CEF">
            <w:pPr>
              <w:rPr>
                <w:rFonts w:cs="Arial"/>
                <w:sz w:val="16"/>
                <w:szCs w:val="16"/>
                <w:lang w:val="fr-FR"/>
              </w:rPr>
            </w:pPr>
            <w:r w:rsidRPr="0085565C">
              <w:rPr>
                <w:rFonts w:cs="Arial"/>
                <w:sz w:val="16"/>
                <w:szCs w:val="16"/>
                <w:lang w:val="fr-FR"/>
              </w:rPr>
              <w:t>TWA/TWV</w:t>
            </w:r>
          </w:p>
        </w:tc>
        <w:tc>
          <w:tcPr>
            <w:tcW w:w="14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ind w:left="-36"/>
              <w:rPr>
                <w:rFonts w:cs="Arial"/>
                <w:sz w:val="16"/>
                <w:szCs w:val="16"/>
                <w:lang w:val="fr-FR"/>
              </w:rPr>
            </w:pPr>
            <w:r w:rsidRPr="0085565C">
              <w:rPr>
                <w:rFonts w:cs="Arial"/>
                <w:sz w:val="16"/>
                <w:szCs w:val="16"/>
                <w:lang w:val="fr-FR"/>
              </w:rPr>
              <w:t>TG/CASSAV (proj.6)</w:t>
            </w:r>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Cassava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r w:rsidRPr="0085565C">
              <w:rPr>
                <w:rFonts w:cs="Arial"/>
                <w:sz w:val="16"/>
                <w:szCs w:val="16"/>
                <w:lang w:val="fr-FR"/>
              </w:rPr>
              <w:t> Manioc</w:t>
            </w:r>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Maniok</w:t>
            </w:r>
            <w:proofErr w:type="spellEnd"/>
            <w:r w:rsidRPr="0085565C">
              <w:rPr>
                <w:rFonts w:cs="Arial"/>
                <w:sz w:val="16"/>
                <w:szCs w:val="16"/>
                <w:lang w:val="fr-FR"/>
              </w:rPr>
              <w:t> </w:t>
            </w:r>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Mandioca</w:t>
            </w:r>
            <w:proofErr w:type="spellEnd"/>
            <w:r w:rsidRPr="0085565C">
              <w:rPr>
                <w:rFonts w:cs="Arial"/>
                <w:sz w:val="16"/>
                <w:szCs w:val="16"/>
                <w:lang w:val="fr-FR"/>
              </w:rPr>
              <w:t xml:space="preserve">, </w:t>
            </w:r>
            <w:proofErr w:type="spellStart"/>
            <w:r w:rsidRPr="0085565C">
              <w:rPr>
                <w:rFonts w:cs="Arial"/>
                <w:sz w:val="16"/>
                <w:szCs w:val="16"/>
                <w:lang w:val="fr-FR"/>
              </w:rPr>
              <w:t>Yuca</w:t>
            </w:r>
            <w:proofErr w:type="spellEnd"/>
            <w:r w:rsidRPr="0085565C">
              <w:rPr>
                <w:rFonts w:cs="Arial"/>
                <w:sz w:val="16"/>
                <w:szCs w:val="16"/>
                <w:lang w:val="fr-FR"/>
              </w:rPr>
              <w:t> </w:t>
            </w:r>
          </w:p>
        </w:tc>
        <w:tc>
          <w:tcPr>
            <w:tcW w:w="170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Manihot</w:t>
            </w:r>
            <w:proofErr w:type="spellEnd"/>
            <w:r w:rsidRPr="0085565C">
              <w:rPr>
                <w:rFonts w:cs="Arial"/>
                <w:sz w:val="16"/>
                <w:szCs w:val="16"/>
                <w:lang w:val="fr-FR"/>
              </w:rPr>
              <w:t xml:space="preserve"> </w:t>
            </w:r>
            <w:proofErr w:type="spellStart"/>
            <w:r w:rsidRPr="0085565C">
              <w:rPr>
                <w:rFonts w:cs="Arial"/>
                <w:sz w:val="16"/>
                <w:szCs w:val="16"/>
                <w:lang w:val="fr-FR"/>
              </w:rPr>
              <w:t>esculenta</w:t>
            </w:r>
            <w:proofErr w:type="spellEnd"/>
            <w:r w:rsidRPr="0085565C">
              <w:rPr>
                <w:rFonts w:cs="Arial"/>
                <w:sz w:val="16"/>
                <w:szCs w:val="16"/>
                <w:lang w:val="fr-FR"/>
              </w:rPr>
              <w:t xml:space="preserve"> </w:t>
            </w:r>
            <w:proofErr w:type="spellStart"/>
            <w:r w:rsidRPr="0085565C">
              <w:rPr>
                <w:rFonts w:cs="Arial"/>
                <w:sz w:val="16"/>
                <w:szCs w:val="16"/>
                <w:lang w:val="fr-FR"/>
              </w:rPr>
              <w:t>Crantz</w:t>
            </w:r>
            <w:proofErr w:type="spellEnd"/>
          </w:p>
        </w:tc>
      </w:tr>
      <w:tr w:rsidR="00AF7A00" w:rsidRPr="0085565C" w:rsidTr="00697CEF">
        <w:trPr>
          <w:cantSplit/>
          <w:trHeight w:val="4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F7A00" w:rsidRPr="0085565C" w:rsidRDefault="00AF7A00" w:rsidP="00697CEF">
            <w:pPr>
              <w:rPr>
                <w:rFonts w:cs="Arial"/>
                <w:sz w:val="16"/>
                <w:szCs w:val="16"/>
                <w:lang w:val="fr-FR"/>
              </w:rPr>
            </w:pPr>
            <w:r w:rsidRPr="0085565C">
              <w:rPr>
                <w:rFonts w:cs="Arial"/>
                <w:sz w:val="16"/>
                <w:szCs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rPr>
                <w:rFonts w:cs="Arial"/>
                <w:sz w:val="16"/>
                <w:szCs w:val="16"/>
                <w:lang w:val="fr-FR"/>
              </w:rPr>
            </w:pPr>
            <w:r w:rsidRPr="0085565C">
              <w:rPr>
                <w:rFonts w:cs="Arial"/>
                <w:sz w:val="16"/>
                <w:szCs w:val="16"/>
                <w:lang w:val="fr-FR"/>
              </w:rPr>
              <w:t>TWA</w:t>
            </w:r>
          </w:p>
        </w:tc>
        <w:tc>
          <w:tcPr>
            <w:tcW w:w="14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ind w:left="-36"/>
              <w:rPr>
                <w:rFonts w:cs="Arial"/>
                <w:sz w:val="16"/>
                <w:szCs w:val="16"/>
                <w:lang w:val="fr-FR"/>
              </w:rPr>
            </w:pPr>
            <w:r w:rsidRPr="0085565C">
              <w:rPr>
                <w:rFonts w:cs="Arial"/>
                <w:sz w:val="16"/>
                <w:szCs w:val="16"/>
                <w:lang w:val="fr-FR"/>
              </w:rPr>
              <w:t>TG/</w:t>
            </w:r>
            <w:proofErr w:type="gramStart"/>
            <w:r w:rsidRPr="0085565C">
              <w:rPr>
                <w:rFonts w:cs="Arial"/>
                <w:sz w:val="16"/>
                <w:szCs w:val="16"/>
                <w:lang w:val="fr-FR"/>
              </w:rPr>
              <w:t>COIX(</w:t>
            </w:r>
            <w:proofErr w:type="gramEnd"/>
            <w:r w:rsidRPr="0085565C">
              <w:rPr>
                <w:rFonts w:cs="Arial"/>
                <w:sz w:val="16"/>
                <w:szCs w:val="16"/>
                <w:lang w:val="fr-FR"/>
              </w:rPr>
              <w:t>proj.6)</w:t>
            </w:r>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Adlay</w:t>
            </w:r>
            <w:proofErr w:type="spellEnd"/>
            <w:r w:rsidRPr="0085565C">
              <w:rPr>
                <w:rFonts w:cs="Arial"/>
                <w:sz w:val="16"/>
                <w:szCs w:val="16"/>
                <w:lang w:val="fr-FR"/>
              </w:rPr>
              <w:t xml:space="preserve">, </w:t>
            </w:r>
            <w:proofErr w:type="spellStart"/>
            <w:r w:rsidRPr="0085565C">
              <w:rPr>
                <w:rFonts w:cs="Arial"/>
                <w:sz w:val="16"/>
                <w:szCs w:val="16"/>
                <w:lang w:val="fr-FR"/>
              </w:rPr>
              <w:t>Job’s</w:t>
            </w:r>
            <w:proofErr w:type="spellEnd"/>
            <w:r w:rsidRPr="0085565C">
              <w:rPr>
                <w:rFonts w:cs="Arial"/>
                <w:sz w:val="16"/>
                <w:szCs w:val="16"/>
                <w:lang w:val="fr-FR"/>
              </w:rPr>
              <w:t xml:space="preserve"> </w:t>
            </w:r>
            <w:proofErr w:type="spellStart"/>
            <w:r w:rsidRPr="0085565C">
              <w:rPr>
                <w:rFonts w:cs="Arial"/>
                <w:sz w:val="16"/>
                <w:szCs w:val="16"/>
                <w:lang w:val="fr-FR"/>
              </w:rPr>
              <w:t>tears</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r w:rsidRPr="0085565C">
              <w:rPr>
                <w:rFonts w:cs="Arial"/>
                <w:sz w:val="16"/>
                <w:szCs w:val="16"/>
                <w:lang w:val="fr-FR"/>
              </w:rPr>
              <w:t>Larmes de Job</w:t>
            </w:r>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Hiobsträne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Lágrimas</w:t>
            </w:r>
            <w:proofErr w:type="spellEnd"/>
            <w:r w:rsidRPr="0085565C">
              <w:rPr>
                <w:rFonts w:cs="Arial"/>
                <w:sz w:val="16"/>
                <w:szCs w:val="16"/>
                <w:lang w:val="fr-FR"/>
              </w:rPr>
              <w:t xml:space="preserve"> de San Pedro</w:t>
            </w:r>
          </w:p>
        </w:tc>
        <w:tc>
          <w:tcPr>
            <w:tcW w:w="170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Coix</w:t>
            </w:r>
            <w:proofErr w:type="spellEnd"/>
            <w:r w:rsidRPr="0085565C">
              <w:rPr>
                <w:rFonts w:cs="Arial"/>
                <w:sz w:val="16"/>
                <w:szCs w:val="16"/>
                <w:lang w:val="fr-FR"/>
              </w:rPr>
              <w:t xml:space="preserve"> </w:t>
            </w:r>
            <w:proofErr w:type="spellStart"/>
            <w:r w:rsidRPr="0085565C">
              <w:rPr>
                <w:rFonts w:cs="Arial"/>
                <w:sz w:val="16"/>
                <w:szCs w:val="16"/>
                <w:lang w:val="fr-FR"/>
              </w:rPr>
              <w:t>lacryma</w:t>
            </w:r>
            <w:r w:rsidRPr="0085565C">
              <w:rPr>
                <w:rFonts w:cs="Arial"/>
                <w:sz w:val="16"/>
                <w:szCs w:val="16"/>
                <w:lang w:val="fr-FR"/>
              </w:rPr>
              <w:noBreakHyphen/>
              <w:t>jobi</w:t>
            </w:r>
            <w:proofErr w:type="spellEnd"/>
            <w:r w:rsidRPr="0085565C">
              <w:rPr>
                <w:rFonts w:cs="Arial"/>
                <w:sz w:val="16"/>
                <w:szCs w:val="16"/>
                <w:lang w:val="fr-FR"/>
              </w:rPr>
              <w:t xml:space="preserve"> L.</w:t>
            </w:r>
          </w:p>
        </w:tc>
      </w:tr>
      <w:tr w:rsidR="00AF7A00" w:rsidRPr="0085565C" w:rsidTr="00697CEF">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F7A00" w:rsidRPr="0085565C" w:rsidRDefault="00AF7A00" w:rsidP="00697CEF">
            <w:pPr>
              <w:rPr>
                <w:rFonts w:cs="Arial"/>
                <w:sz w:val="16"/>
                <w:szCs w:val="16"/>
                <w:lang w:val="fr-FR"/>
              </w:rPr>
            </w:pPr>
            <w:r w:rsidRPr="0085565C">
              <w:rPr>
                <w:rFonts w:cs="Arial"/>
                <w:sz w:val="16"/>
                <w:szCs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rPr>
                <w:rFonts w:cs="Arial"/>
                <w:sz w:val="16"/>
                <w:szCs w:val="16"/>
                <w:lang w:val="fr-FR"/>
              </w:rPr>
            </w:pPr>
            <w:r w:rsidRPr="0085565C">
              <w:rPr>
                <w:rFonts w:cs="Arial"/>
                <w:sz w:val="16"/>
                <w:szCs w:val="16"/>
                <w:lang w:val="fr-FR"/>
              </w:rPr>
              <w:t>TWO</w:t>
            </w:r>
          </w:p>
        </w:tc>
        <w:tc>
          <w:tcPr>
            <w:tcW w:w="14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ind w:left="-36"/>
              <w:rPr>
                <w:rFonts w:cs="Arial"/>
                <w:sz w:val="16"/>
                <w:szCs w:val="16"/>
                <w:lang w:val="fr-FR"/>
              </w:rPr>
            </w:pPr>
            <w:r w:rsidRPr="0085565C">
              <w:rPr>
                <w:rFonts w:cs="Arial"/>
                <w:sz w:val="16"/>
                <w:szCs w:val="16"/>
                <w:lang w:val="fr-FR"/>
              </w:rPr>
              <w:t>TG/COSMOS (proj.8)</w:t>
            </w:r>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r w:rsidRPr="0085565C">
              <w:rPr>
                <w:rFonts w:cs="Arial"/>
                <w:sz w:val="16"/>
                <w:szCs w:val="16"/>
                <w:lang w:val="fr-FR"/>
              </w:rPr>
              <w:t>Cosmos</w:t>
            </w:r>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r w:rsidRPr="0085565C">
              <w:rPr>
                <w:rFonts w:cs="Arial"/>
                <w:sz w:val="16"/>
                <w:szCs w:val="16"/>
                <w:lang w:val="fr-FR"/>
              </w:rPr>
              <w:t>Cosmos</w:t>
            </w:r>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Kosmee</w:t>
            </w:r>
            <w:proofErr w:type="spellEnd"/>
            <w:r w:rsidRPr="0085565C">
              <w:rPr>
                <w:rFonts w:cs="Arial"/>
                <w:sz w:val="16"/>
                <w:szCs w:val="16"/>
                <w:lang w:val="fr-FR"/>
              </w:rPr>
              <w:t xml:space="preserve">, </w:t>
            </w:r>
            <w:proofErr w:type="spellStart"/>
            <w:r w:rsidRPr="0085565C">
              <w:rPr>
                <w:rFonts w:cs="Arial"/>
                <w:sz w:val="16"/>
                <w:szCs w:val="16"/>
                <w:lang w:val="fr-FR"/>
              </w:rPr>
              <w:t>Schmuckkörbchen</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Mirasol</w:t>
            </w:r>
            <w:proofErr w:type="spellEnd"/>
            <w:r w:rsidRPr="0085565C">
              <w:rPr>
                <w:rFonts w:cs="Arial"/>
                <w:sz w:val="16"/>
                <w:szCs w:val="16"/>
                <w:lang w:val="fr-FR"/>
              </w:rPr>
              <w:t>, Cosmos</w:t>
            </w:r>
          </w:p>
        </w:tc>
        <w:tc>
          <w:tcPr>
            <w:tcW w:w="170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r w:rsidRPr="0085565C">
              <w:rPr>
                <w:rFonts w:cs="Arial"/>
                <w:sz w:val="16"/>
                <w:szCs w:val="16"/>
                <w:lang w:val="fr-FR"/>
              </w:rPr>
              <w:t xml:space="preserve">Cosmos </w:t>
            </w:r>
            <w:proofErr w:type="spellStart"/>
            <w:r w:rsidRPr="0085565C">
              <w:rPr>
                <w:rFonts w:cs="Arial"/>
                <w:sz w:val="16"/>
                <w:szCs w:val="16"/>
                <w:lang w:val="fr-FR"/>
              </w:rPr>
              <w:t>Cav</w:t>
            </w:r>
            <w:proofErr w:type="spellEnd"/>
            <w:r w:rsidRPr="0085565C">
              <w:rPr>
                <w:rFonts w:cs="Arial"/>
                <w:sz w:val="16"/>
                <w:szCs w:val="16"/>
                <w:lang w:val="fr-FR"/>
              </w:rPr>
              <w:t>.</w:t>
            </w:r>
          </w:p>
        </w:tc>
      </w:tr>
      <w:tr w:rsidR="00AF7A00" w:rsidRPr="0085565C" w:rsidTr="00697CEF">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F7A00" w:rsidRPr="0085565C" w:rsidRDefault="00AF7A00" w:rsidP="00697CEF">
            <w:pPr>
              <w:rPr>
                <w:rFonts w:cs="Arial"/>
                <w:sz w:val="16"/>
                <w:szCs w:val="16"/>
                <w:lang w:val="fr-FR"/>
              </w:rPr>
            </w:pPr>
            <w:r w:rsidRPr="0085565C">
              <w:rPr>
                <w:rFonts w:cs="Arial"/>
                <w:sz w:val="16"/>
                <w:szCs w:val="16"/>
                <w:lang w:val="fr-FR"/>
              </w:rPr>
              <w:t>FR</w:t>
            </w:r>
          </w:p>
        </w:tc>
        <w:tc>
          <w:tcPr>
            <w:tcW w:w="5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rPr>
                <w:rFonts w:cs="Arial"/>
                <w:sz w:val="16"/>
                <w:szCs w:val="16"/>
                <w:lang w:val="fr-FR"/>
              </w:rPr>
            </w:pPr>
            <w:r w:rsidRPr="0085565C">
              <w:rPr>
                <w:rFonts w:cs="Arial"/>
                <w:sz w:val="16"/>
                <w:szCs w:val="16"/>
                <w:lang w:val="fr-FR"/>
              </w:rPr>
              <w:t>TWV</w:t>
            </w:r>
          </w:p>
        </w:tc>
        <w:tc>
          <w:tcPr>
            <w:tcW w:w="14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ind w:left="-36" w:right="-108"/>
              <w:rPr>
                <w:rFonts w:cs="Arial"/>
                <w:sz w:val="16"/>
                <w:szCs w:val="16"/>
                <w:lang w:val="fr-FR"/>
              </w:rPr>
            </w:pPr>
            <w:r w:rsidRPr="0085565C">
              <w:rPr>
                <w:rFonts w:cs="Arial"/>
                <w:sz w:val="16"/>
                <w:szCs w:val="16"/>
                <w:lang w:val="fr-FR"/>
              </w:rPr>
              <w:t>TG/CUCUR_MMO (proj.4)</w:t>
            </w:r>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Cucurbita</w:t>
            </w:r>
            <w:proofErr w:type="spellEnd"/>
            <w:r w:rsidRPr="0085565C">
              <w:rPr>
                <w:rFonts w:cs="Arial"/>
                <w:sz w:val="16"/>
                <w:szCs w:val="16"/>
                <w:lang w:val="fr-FR"/>
              </w:rPr>
              <w:t xml:space="preserve"> maxima X </w:t>
            </w:r>
            <w:proofErr w:type="spellStart"/>
            <w:r w:rsidRPr="0085565C">
              <w:rPr>
                <w:rFonts w:cs="Arial"/>
                <w:sz w:val="16"/>
                <w:szCs w:val="16"/>
                <w:lang w:val="fr-FR"/>
              </w:rPr>
              <w:t>Cucurbita</w:t>
            </w:r>
            <w:proofErr w:type="spellEnd"/>
            <w:r w:rsidRPr="0085565C">
              <w:rPr>
                <w:rFonts w:cs="Arial"/>
                <w:sz w:val="16"/>
                <w:szCs w:val="16"/>
                <w:lang w:val="fr-FR"/>
              </w:rPr>
              <w:t xml:space="preserve"> </w:t>
            </w:r>
            <w:proofErr w:type="spellStart"/>
            <w:r w:rsidRPr="0085565C">
              <w:rPr>
                <w:rFonts w:cs="Arial"/>
                <w:sz w:val="16"/>
                <w:szCs w:val="16"/>
                <w:lang w:val="fr-FR"/>
              </w:rPr>
              <w:t>moschata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Cucurbita</w:t>
            </w:r>
            <w:proofErr w:type="spellEnd"/>
            <w:r w:rsidRPr="0085565C">
              <w:rPr>
                <w:rFonts w:cs="Arial"/>
                <w:sz w:val="16"/>
                <w:szCs w:val="16"/>
                <w:lang w:val="fr-FR"/>
              </w:rPr>
              <w:t xml:space="preserve"> maxima X </w:t>
            </w:r>
            <w:proofErr w:type="spellStart"/>
            <w:r w:rsidRPr="0085565C">
              <w:rPr>
                <w:rFonts w:cs="Arial"/>
                <w:sz w:val="16"/>
                <w:szCs w:val="16"/>
                <w:lang w:val="fr-FR"/>
              </w:rPr>
              <w:t>Cucurbita</w:t>
            </w:r>
            <w:proofErr w:type="spellEnd"/>
            <w:r w:rsidRPr="0085565C">
              <w:rPr>
                <w:rFonts w:cs="Arial"/>
                <w:sz w:val="16"/>
                <w:szCs w:val="16"/>
                <w:lang w:val="fr-FR"/>
              </w:rPr>
              <w:t xml:space="preserve"> </w:t>
            </w:r>
            <w:proofErr w:type="spellStart"/>
            <w:r w:rsidRPr="0085565C">
              <w:rPr>
                <w:rFonts w:cs="Arial"/>
                <w:sz w:val="16"/>
                <w:szCs w:val="16"/>
                <w:lang w:val="fr-FR"/>
              </w:rPr>
              <w:t>moschata</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Cucurbita</w:t>
            </w:r>
            <w:proofErr w:type="spellEnd"/>
            <w:r w:rsidRPr="0085565C">
              <w:rPr>
                <w:rFonts w:cs="Arial"/>
                <w:sz w:val="16"/>
                <w:szCs w:val="16"/>
                <w:lang w:val="fr-FR"/>
              </w:rPr>
              <w:t xml:space="preserve"> maxima X </w:t>
            </w:r>
            <w:proofErr w:type="spellStart"/>
            <w:r w:rsidRPr="0085565C">
              <w:rPr>
                <w:rFonts w:cs="Arial"/>
                <w:sz w:val="16"/>
                <w:szCs w:val="16"/>
                <w:lang w:val="fr-FR"/>
              </w:rPr>
              <w:t>Cucurbita</w:t>
            </w:r>
            <w:proofErr w:type="spellEnd"/>
            <w:r w:rsidRPr="0085565C">
              <w:rPr>
                <w:rFonts w:cs="Arial"/>
                <w:sz w:val="16"/>
                <w:szCs w:val="16"/>
                <w:lang w:val="fr-FR"/>
              </w:rPr>
              <w:t xml:space="preserve"> </w:t>
            </w:r>
            <w:proofErr w:type="spellStart"/>
            <w:r w:rsidRPr="0085565C">
              <w:rPr>
                <w:rFonts w:cs="Arial"/>
                <w:sz w:val="16"/>
                <w:szCs w:val="16"/>
                <w:lang w:val="fr-FR"/>
              </w:rPr>
              <w:t>moschata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Cucurbita</w:t>
            </w:r>
            <w:proofErr w:type="spellEnd"/>
            <w:r w:rsidRPr="0085565C">
              <w:rPr>
                <w:rFonts w:cs="Arial"/>
                <w:sz w:val="16"/>
                <w:szCs w:val="16"/>
                <w:lang w:val="fr-FR"/>
              </w:rPr>
              <w:t xml:space="preserve"> maxima X </w:t>
            </w:r>
            <w:proofErr w:type="spellStart"/>
            <w:r w:rsidRPr="0085565C">
              <w:rPr>
                <w:rFonts w:cs="Arial"/>
                <w:sz w:val="16"/>
                <w:szCs w:val="16"/>
                <w:lang w:val="fr-FR"/>
              </w:rPr>
              <w:t>Cucurbita</w:t>
            </w:r>
            <w:proofErr w:type="spellEnd"/>
            <w:r w:rsidRPr="0085565C">
              <w:rPr>
                <w:rFonts w:cs="Arial"/>
                <w:sz w:val="16"/>
                <w:szCs w:val="16"/>
                <w:lang w:val="fr-FR"/>
              </w:rPr>
              <w:t xml:space="preserve"> </w:t>
            </w:r>
            <w:proofErr w:type="spellStart"/>
            <w:r w:rsidRPr="0085565C">
              <w:rPr>
                <w:rFonts w:cs="Arial"/>
                <w:sz w:val="16"/>
                <w:szCs w:val="16"/>
                <w:lang w:val="fr-FR"/>
              </w:rPr>
              <w:t>moschata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Cucurbita</w:t>
            </w:r>
            <w:proofErr w:type="spellEnd"/>
            <w:r w:rsidRPr="0085565C">
              <w:rPr>
                <w:rFonts w:cs="Arial"/>
                <w:sz w:val="16"/>
                <w:szCs w:val="16"/>
                <w:lang w:val="fr-FR"/>
              </w:rPr>
              <w:t xml:space="preserve"> maxima </w:t>
            </w:r>
            <w:proofErr w:type="spellStart"/>
            <w:r w:rsidRPr="0085565C">
              <w:rPr>
                <w:rFonts w:cs="Arial"/>
                <w:sz w:val="16"/>
                <w:szCs w:val="16"/>
                <w:lang w:val="fr-FR"/>
              </w:rPr>
              <w:t>Duch</w:t>
            </w:r>
            <w:proofErr w:type="spellEnd"/>
            <w:r w:rsidRPr="0085565C">
              <w:rPr>
                <w:rFonts w:cs="Arial"/>
                <w:sz w:val="16"/>
                <w:szCs w:val="16"/>
                <w:lang w:val="fr-FR"/>
              </w:rPr>
              <w:t xml:space="preserve">.  x </w:t>
            </w:r>
            <w:proofErr w:type="spellStart"/>
            <w:r w:rsidRPr="0085565C">
              <w:rPr>
                <w:rFonts w:cs="Arial"/>
                <w:sz w:val="16"/>
                <w:szCs w:val="16"/>
                <w:lang w:val="fr-FR"/>
              </w:rPr>
              <w:t>Cucurbita</w:t>
            </w:r>
            <w:proofErr w:type="spellEnd"/>
            <w:r w:rsidRPr="0085565C">
              <w:rPr>
                <w:rFonts w:cs="Arial"/>
                <w:sz w:val="16"/>
                <w:szCs w:val="16"/>
                <w:lang w:val="fr-FR"/>
              </w:rPr>
              <w:t xml:space="preserve"> </w:t>
            </w:r>
            <w:proofErr w:type="spellStart"/>
            <w:r w:rsidRPr="0085565C">
              <w:rPr>
                <w:rFonts w:cs="Arial"/>
                <w:sz w:val="16"/>
                <w:szCs w:val="16"/>
                <w:lang w:val="fr-FR"/>
              </w:rPr>
              <w:t>moschata</w:t>
            </w:r>
            <w:proofErr w:type="spellEnd"/>
            <w:r w:rsidRPr="0085565C">
              <w:rPr>
                <w:rFonts w:cs="Arial"/>
                <w:sz w:val="16"/>
                <w:szCs w:val="16"/>
                <w:lang w:val="fr-FR"/>
              </w:rPr>
              <w:t xml:space="preserve"> </w:t>
            </w:r>
            <w:proofErr w:type="spellStart"/>
            <w:r w:rsidRPr="0085565C">
              <w:rPr>
                <w:rFonts w:cs="Arial"/>
                <w:sz w:val="16"/>
                <w:szCs w:val="16"/>
                <w:lang w:val="fr-FR"/>
              </w:rPr>
              <w:t>Duch</w:t>
            </w:r>
            <w:proofErr w:type="spellEnd"/>
            <w:r w:rsidRPr="0085565C">
              <w:rPr>
                <w:rFonts w:cs="Arial"/>
                <w:sz w:val="16"/>
                <w:szCs w:val="16"/>
                <w:lang w:val="fr-FR"/>
              </w:rPr>
              <w:t>.</w:t>
            </w:r>
          </w:p>
        </w:tc>
      </w:tr>
      <w:tr w:rsidR="00AF7A00" w:rsidRPr="0085565C" w:rsidTr="00697CEF">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F7A00" w:rsidRPr="0085565C" w:rsidRDefault="00AF7A00" w:rsidP="00697CEF">
            <w:pPr>
              <w:rPr>
                <w:rFonts w:cs="Arial"/>
                <w:sz w:val="16"/>
                <w:szCs w:val="16"/>
                <w:lang w:val="fr-FR"/>
              </w:rPr>
            </w:pPr>
            <w:r w:rsidRPr="0085565C">
              <w:rPr>
                <w:rFonts w:cs="Arial"/>
                <w:sz w:val="16"/>
                <w:szCs w:val="16"/>
                <w:lang w:val="fr-FR"/>
              </w:rPr>
              <w:t>FR</w:t>
            </w:r>
          </w:p>
        </w:tc>
        <w:tc>
          <w:tcPr>
            <w:tcW w:w="5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rPr>
                <w:rFonts w:cs="Arial"/>
                <w:sz w:val="16"/>
                <w:szCs w:val="16"/>
                <w:lang w:val="fr-FR"/>
              </w:rPr>
            </w:pPr>
            <w:r w:rsidRPr="0085565C">
              <w:rPr>
                <w:rFonts w:cs="Arial"/>
                <w:sz w:val="16"/>
                <w:szCs w:val="16"/>
                <w:lang w:val="fr-FR"/>
              </w:rPr>
              <w:t>TWV</w:t>
            </w:r>
          </w:p>
        </w:tc>
        <w:tc>
          <w:tcPr>
            <w:tcW w:w="14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ind w:left="-36"/>
              <w:rPr>
                <w:rFonts w:cs="Arial"/>
                <w:sz w:val="16"/>
                <w:szCs w:val="16"/>
                <w:lang w:val="fr-FR"/>
              </w:rPr>
            </w:pPr>
            <w:r w:rsidRPr="0085565C">
              <w:rPr>
                <w:rFonts w:cs="Arial"/>
                <w:sz w:val="16"/>
                <w:szCs w:val="16"/>
                <w:lang w:val="fr-FR"/>
              </w:rPr>
              <w:t>TG/LAGEN (proj.5)</w:t>
            </w:r>
          </w:p>
        </w:tc>
        <w:tc>
          <w:tcPr>
            <w:tcW w:w="1417" w:type="dxa"/>
            <w:tcBorders>
              <w:top w:val="single" w:sz="4" w:space="0" w:color="auto"/>
              <w:left w:val="nil"/>
              <w:bottom w:val="single" w:sz="4" w:space="0" w:color="auto"/>
              <w:right w:val="single" w:sz="4" w:space="0" w:color="auto"/>
            </w:tcBorders>
            <w:shd w:val="clear" w:color="auto" w:fill="auto"/>
          </w:tcPr>
          <w:p w:rsidR="00AF7A00" w:rsidRPr="00C258AE" w:rsidRDefault="00AF7A00" w:rsidP="00697CEF">
            <w:pPr>
              <w:jc w:val="left"/>
              <w:rPr>
                <w:rFonts w:cs="Arial"/>
                <w:sz w:val="16"/>
                <w:szCs w:val="16"/>
              </w:rPr>
            </w:pPr>
            <w:r w:rsidRPr="00C258AE">
              <w:rPr>
                <w:rFonts w:cs="Arial"/>
                <w:sz w:val="16"/>
                <w:szCs w:val="16"/>
              </w:rPr>
              <w:t>Bottle Gourd; Calabash; Calabash Gourd; White</w:t>
            </w:r>
            <w:r w:rsidRPr="00C258AE">
              <w:rPr>
                <w:rFonts w:cs="Arial"/>
                <w:sz w:val="16"/>
                <w:szCs w:val="16"/>
              </w:rPr>
              <w:noBreakHyphen/>
              <w:t>flower Gourd</w:t>
            </w:r>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r w:rsidRPr="0085565C">
              <w:rPr>
                <w:rFonts w:cs="Arial"/>
                <w:sz w:val="16"/>
                <w:szCs w:val="16"/>
                <w:lang w:val="fr-FR"/>
              </w:rPr>
              <w:t>Calebassier; Gourde bouteille</w:t>
            </w:r>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Flaschenfrucht</w:t>
            </w:r>
            <w:proofErr w:type="spellEnd"/>
            <w:r w:rsidRPr="0085565C">
              <w:rPr>
                <w:rFonts w:cs="Arial"/>
                <w:sz w:val="16"/>
                <w:szCs w:val="16"/>
                <w:lang w:val="fr-FR"/>
              </w:rPr>
              <w:t xml:space="preserve">; </w:t>
            </w:r>
            <w:proofErr w:type="spellStart"/>
            <w:r w:rsidRPr="0085565C">
              <w:rPr>
                <w:rFonts w:cs="Arial"/>
                <w:sz w:val="16"/>
                <w:szCs w:val="16"/>
                <w:lang w:val="fr-FR"/>
              </w:rPr>
              <w:t>Flaschenkürbis</w:t>
            </w:r>
            <w:proofErr w:type="spellEnd"/>
            <w:r w:rsidRPr="0085565C">
              <w:rPr>
                <w:rFonts w:cs="Arial"/>
                <w:sz w:val="16"/>
                <w:szCs w:val="16"/>
                <w:lang w:val="fr-FR"/>
              </w:rPr>
              <w:t xml:space="preserve">; </w:t>
            </w:r>
            <w:proofErr w:type="spellStart"/>
            <w:r w:rsidRPr="0085565C">
              <w:rPr>
                <w:rFonts w:cs="Arial"/>
                <w:sz w:val="16"/>
                <w:szCs w:val="16"/>
                <w:lang w:val="fr-FR"/>
              </w:rPr>
              <w:t>Gewöhnlicher</w:t>
            </w:r>
            <w:proofErr w:type="spellEnd"/>
            <w:r w:rsidRPr="0085565C">
              <w:rPr>
                <w:rFonts w:cs="Arial"/>
                <w:sz w:val="16"/>
                <w:szCs w:val="16"/>
                <w:lang w:val="fr-FR"/>
              </w:rPr>
              <w:t xml:space="preserve"> </w:t>
            </w:r>
            <w:proofErr w:type="spellStart"/>
            <w:r w:rsidRPr="0085565C">
              <w:rPr>
                <w:rFonts w:cs="Arial"/>
                <w:sz w:val="16"/>
                <w:szCs w:val="16"/>
                <w:lang w:val="fr-FR"/>
              </w:rPr>
              <w:t>Flaschenkürbis</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AF7A00" w:rsidRPr="00C258AE" w:rsidRDefault="00AF7A00" w:rsidP="00697CEF">
            <w:pPr>
              <w:jc w:val="left"/>
              <w:rPr>
                <w:rFonts w:cs="Arial"/>
                <w:sz w:val="16"/>
                <w:szCs w:val="16"/>
                <w:lang w:val="es-ES_tradnl"/>
              </w:rPr>
            </w:pPr>
            <w:r w:rsidRPr="00C258AE">
              <w:rPr>
                <w:rFonts w:cs="Arial"/>
                <w:sz w:val="16"/>
                <w:szCs w:val="16"/>
                <w:lang w:val="es-ES_tradnl"/>
              </w:rPr>
              <w:t>Acocote; Cajombre; Calabaza; Guiro amargo</w:t>
            </w:r>
          </w:p>
        </w:tc>
        <w:tc>
          <w:tcPr>
            <w:tcW w:w="170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Lagenaria</w:t>
            </w:r>
            <w:proofErr w:type="spellEnd"/>
            <w:r w:rsidRPr="0085565C">
              <w:rPr>
                <w:rFonts w:cs="Arial"/>
                <w:sz w:val="16"/>
                <w:szCs w:val="16"/>
                <w:lang w:val="fr-FR"/>
              </w:rPr>
              <w:t xml:space="preserve"> </w:t>
            </w:r>
            <w:proofErr w:type="spellStart"/>
            <w:r w:rsidRPr="0085565C">
              <w:rPr>
                <w:rFonts w:cs="Arial"/>
                <w:sz w:val="16"/>
                <w:szCs w:val="16"/>
                <w:lang w:val="fr-FR"/>
              </w:rPr>
              <w:t>siceraria</w:t>
            </w:r>
            <w:proofErr w:type="spellEnd"/>
            <w:r w:rsidRPr="0085565C">
              <w:rPr>
                <w:rFonts w:cs="Arial"/>
                <w:sz w:val="16"/>
                <w:szCs w:val="16"/>
                <w:lang w:val="fr-FR"/>
              </w:rPr>
              <w:t xml:space="preserve"> (Molina) </w:t>
            </w:r>
            <w:proofErr w:type="spellStart"/>
            <w:r w:rsidRPr="0085565C">
              <w:rPr>
                <w:rFonts w:cs="Arial"/>
                <w:sz w:val="16"/>
                <w:szCs w:val="16"/>
                <w:lang w:val="fr-FR"/>
              </w:rPr>
              <w:t>Standl</w:t>
            </w:r>
            <w:proofErr w:type="spellEnd"/>
            <w:r w:rsidRPr="0085565C">
              <w:rPr>
                <w:rFonts w:cs="Arial"/>
                <w:sz w:val="16"/>
                <w:szCs w:val="16"/>
                <w:lang w:val="fr-FR"/>
              </w:rPr>
              <w:t>.</w:t>
            </w:r>
          </w:p>
        </w:tc>
      </w:tr>
      <w:tr w:rsidR="00AF7A00" w:rsidRPr="0085565C" w:rsidTr="00697CEF">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F7A00" w:rsidRPr="0085565C" w:rsidRDefault="00AF7A00" w:rsidP="00697CEF">
            <w:pPr>
              <w:rPr>
                <w:rFonts w:cs="Arial"/>
                <w:sz w:val="16"/>
                <w:szCs w:val="16"/>
                <w:lang w:val="fr-FR"/>
              </w:rPr>
            </w:pPr>
            <w:r w:rsidRPr="0085565C">
              <w:rPr>
                <w:rFonts w:cs="Arial"/>
                <w:sz w:val="16"/>
                <w:szCs w:val="16"/>
                <w:lang w:val="fr-FR"/>
              </w:rPr>
              <w:t>MX</w:t>
            </w:r>
          </w:p>
        </w:tc>
        <w:tc>
          <w:tcPr>
            <w:tcW w:w="5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rPr>
                <w:rFonts w:cs="Arial"/>
                <w:sz w:val="16"/>
                <w:szCs w:val="16"/>
                <w:lang w:val="fr-FR"/>
              </w:rPr>
            </w:pPr>
            <w:r w:rsidRPr="0085565C">
              <w:rPr>
                <w:rFonts w:cs="Arial"/>
                <w:sz w:val="16"/>
                <w:szCs w:val="16"/>
                <w:lang w:val="fr-FR"/>
              </w:rPr>
              <w:t>TWF</w:t>
            </w:r>
          </w:p>
        </w:tc>
        <w:tc>
          <w:tcPr>
            <w:tcW w:w="14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ind w:left="-36"/>
              <w:rPr>
                <w:rFonts w:cs="Arial"/>
                <w:sz w:val="16"/>
                <w:szCs w:val="16"/>
                <w:lang w:val="fr-FR"/>
              </w:rPr>
            </w:pPr>
            <w:r w:rsidRPr="0085565C">
              <w:rPr>
                <w:rFonts w:cs="Arial"/>
                <w:sz w:val="16"/>
                <w:szCs w:val="16"/>
                <w:lang w:val="fr-FR"/>
              </w:rPr>
              <w:t>TG/PECAN (proj.12)</w:t>
            </w:r>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r w:rsidRPr="0085565C">
              <w:rPr>
                <w:rFonts w:cs="Arial"/>
                <w:sz w:val="16"/>
                <w:szCs w:val="16"/>
                <w:lang w:val="fr-FR"/>
              </w:rPr>
              <w:t xml:space="preserve">Pecan </w:t>
            </w:r>
            <w:proofErr w:type="spellStart"/>
            <w:r w:rsidRPr="0085565C">
              <w:rPr>
                <w:rFonts w:cs="Arial"/>
                <w:sz w:val="16"/>
                <w:szCs w:val="16"/>
                <w:lang w:val="fr-FR"/>
              </w:rPr>
              <w:t>Nut</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r w:rsidRPr="0085565C">
              <w:rPr>
                <w:rFonts w:cs="Arial"/>
                <w:sz w:val="16"/>
                <w:szCs w:val="16"/>
                <w:lang w:val="fr-FR"/>
              </w:rPr>
              <w:t>Noix de pécan</w:t>
            </w:r>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Pekan</w:t>
            </w:r>
            <w:proofErr w:type="spellEnd"/>
            <w:r w:rsidRPr="0085565C">
              <w:rPr>
                <w:rFonts w:cs="Arial"/>
                <w:sz w:val="16"/>
                <w:szCs w:val="16"/>
                <w:lang w:val="fr-FR"/>
              </w:rPr>
              <w:t xml:space="preserve">, </w:t>
            </w:r>
            <w:proofErr w:type="spellStart"/>
            <w:r w:rsidRPr="0085565C">
              <w:rPr>
                <w:rFonts w:cs="Arial"/>
                <w:sz w:val="16"/>
                <w:szCs w:val="16"/>
                <w:lang w:val="fr-FR"/>
              </w:rPr>
              <w:t>Pekannuß</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AF7A00" w:rsidRPr="00C258AE" w:rsidRDefault="00AF7A00" w:rsidP="00697CEF">
            <w:pPr>
              <w:jc w:val="left"/>
              <w:rPr>
                <w:rFonts w:cs="Arial"/>
                <w:sz w:val="16"/>
                <w:szCs w:val="16"/>
                <w:lang w:val="es-ES_tradnl"/>
              </w:rPr>
            </w:pPr>
            <w:r w:rsidRPr="00C258AE">
              <w:rPr>
                <w:rFonts w:cs="Arial"/>
                <w:sz w:val="16"/>
                <w:szCs w:val="16"/>
                <w:lang w:val="es-ES_tradnl"/>
              </w:rPr>
              <w:t>Nuez pecán, Pecan, Nogal pecanero</w:t>
            </w:r>
          </w:p>
        </w:tc>
        <w:tc>
          <w:tcPr>
            <w:tcW w:w="1700" w:type="dxa"/>
            <w:tcBorders>
              <w:top w:val="single" w:sz="4" w:space="0" w:color="auto"/>
              <w:left w:val="nil"/>
              <w:bottom w:val="single" w:sz="4" w:space="0" w:color="auto"/>
              <w:right w:val="single" w:sz="4" w:space="0" w:color="auto"/>
            </w:tcBorders>
            <w:shd w:val="clear" w:color="auto" w:fill="auto"/>
          </w:tcPr>
          <w:p w:rsidR="00AF7A00" w:rsidRPr="00C258AE" w:rsidRDefault="00AF7A00" w:rsidP="00697CEF">
            <w:pPr>
              <w:jc w:val="left"/>
              <w:rPr>
                <w:rFonts w:cs="Arial"/>
                <w:sz w:val="16"/>
                <w:szCs w:val="16"/>
              </w:rPr>
            </w:pPr>
            <w:r w:rsidRPr="00C258AE">
              <w:rPr>
                <w:rFonts w:cs="Arial"/>
                <w:sz w:val="16"/>
                <w:szCs w:val="16"/>
              </w:rPr>
              <w:t>Carya illinoinensis (Wangenh.) K.Koch</w:t>
            </w:r>
          </w:p>
        </w:tc>
      </w:tr>
      <w:tr w:rsidR="00AF7A00" w:rsidRPr="0085565C" w:rsidTr="00697CEF">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F7A00" w:rsidRPr="0085565C" w:rsidRDefault="00AF7A00" w:rsidP="00697CEF">
            <w:pPr>
              <w:rPr>
                <w:rFonts w:cs="Arial"/>
                <w:sz w:val="16"/>
                <w:szCs w:val="16"/>
                <w:lang w:val="fr-FR"/>
              </w:rPr>
            </w:pPr>
            <w:r w:rsidRPr="0085565C">
              <w:rPr>
                <w:rFonts w:cs="Arial"/>
                <w:sz w:val="16"/>
                <w:szCs w:val="16"/>
                <w:lang w:val="fr-FR"/>
              </w:rPr>
              <w:lastRenderedPageBreak/>
              <w:t>BR</w:t>
            </w:r>
          </w:p>
        </w:tc>
        <w:tc>
          <w:tcPr>
            <w:tcW w:w="5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rPr>
                <w:rFonts w:cs="Arial"/>
                <w:sz w:val="16"/>
                <w:szCs w:val="16"/>
                <w:lang w:val="fr-FR"/>
              </w:rPr>
            </w:pPr>
            <w:r w:rsidRPr="0085565C">
              <w:rPr>
                <w:rFonts w:cs="Arial"/>
                <w:sz w:val="16"/>
                <w:szCs w:val="16"/>
                <w:lang w:val="fr-FR"/>
              </w:rPr>
              <w:t>TWA</w:t>
            </w:r>
          </w:p>
        </w:tc>
        <w:tc>
          <w:tcPr>
            <w:tcW w:w="14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ind w:left="-36"/>
              <w:rPr>
                <w:rFonts w:cs="Arial"/>
                <w:sz w:val="16"/>
                <w:szCs w:val="16"/>
                <w:lang w:val="fr-FR"/>
              </w:rPr>
            </w:pPr>
            <w:r w:rsidRPr="0085565C">
              <w:rPr>
                <w:rFonts w:cs="Arial"/>
                <w:sz w:val="16"/>
                <w:szCs w:val="16"/>
                <w:lang w:val="fr-FR"/>
              </w:rPr>
              <w:t>TG/UROCH (proj.9)</w:t>
            </w:r>
          </w:p>
        </w:tc>
        <w:tc>
          <w:tcPr>
            <w:tcW w:w="1417" w:type="dxa"/>
            <w:tcBorders>
              <w:top w:val="single" w:sz="4" w:space="0" w:color="auto"/>
              <w:left w:val="nil"/>
              <w:bottom w:val="single" w:sz="4" w:space="0" w:color="auto"/>
              <w:right w:val="single" w:sz="4" w:space="0" w:color="auto"/>
            </w:tcBorders>
            <w:shd w:val="clear" w:color="auto" w:fill="auto"/>
          </w:tcPr>
          <w:p w:rsidR="00AF7A00" w:rsidRPr="00C258AE" w:rsidRDefault="00AF7A00" w:rsidP="00697CEF">
            <w:pPr>
              <w:jc w:val="left"/>
              <w:rPr>
                <w:rFonts w:cs="Arial"/>
                <w:sz w:val="16"/>
                <w:szCs w:val="16"/>
              </w:rPr>
            </w:pPr>
            <w:r w:rsidRPr="00C258AE">
              <w:rPr>
                <w:rFonts w:cs="Arial"/>
                <w:sz w:val="16"/>
                <w:szCs w:val="16"/>
              </w:rPr>
              <w:t>Bread Grass, Palisade Grass, Palisade Signal Grass, Signal Grass;  Basilisk Signal Grass, Signal Grass, Spreading Liverseed Grass, Surinam Grass;  Creeping Signal Grass, Koronivia Grass;  Congo Grass, Congo Signal Grass, Ruzi Grass</w:t>
            </w:r>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r w:rsidRPr="0085565C">
              <w:rPr>
                <w:rFonts w:cs="Arial"/>
                <w:sz w:val="16"/>
                <w:szCs w:val="16"/>
                <w:lang w:val="fr-FR"/>
              </w:rPr>
              <w:t xml:space="preserve">Signal;  </w:t>
            </w:r>
            <w:proofErr w:type="spellStart"/>
            <w:r w:rsidRPr="0085565C">
              <w:rPr>
                <w:rFonts w:cs="Arial"/>
                <w:sz w:val="16"/>
                <w:szCs w:val="16"/>
                <w:lang w:val="fr-FR"/>
              </w:rPr>
              <w:t>Koronivia</w:t>
            </w:r>
            <w:proofErr w:type="spellEnd"/>
            <w:r w:rsidRPr="0085565C">
              <w:rPr>
                <w:rFonts w:cs="Arial"/>
                <w:sz w:val="16"/>
                <w:szCs w:val="16"/>
                <w:lang w:val="fr-FR"/>
              </w:rPr>
              <w:t>;</w:t>
            </w:r>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Palisadengras</w:t>
            </w:r>
            <w:proofErr w:type="spellEnd"/>
            <w:r w:rsidRPr="0085565C">
              <w:rPr>
                <w:rFonts w:cs="Arial"/>
                <w:sz w:val="16"/>
                <w:szCs w:val="16"/>
                <w:lang w:val="fr-FR"/>
              </w:rPr>
              <w:t xml:space="preserve">;  </w:t>
            </w:r>
            <w:proofErr w:type="spellStart"/>
            <w:r w:rsidRPr="0085565C">
              <w:rPr>
                <w:rFonts w:cs="Arial"/>
                <w:sz w:val="16"/>
                <w:szCs w:val="16"/>
                <w:lang w:val="fr-FR"/>
              </w:rPr>
              <w:t>Surinamgras</w:t>
            </w:r>
            <w:proofErr w:type="spellEnd"/>
            <w:r w:rsidRPr="0085565C">
              <w:rPr>
                <w:rFonts w:cs="Arial"/>
                <w:sz w:val="16"/>
                <w:szCs w:val="16"/>
                <w:lang w:val="fr-FR"/>
              </w:rPr>
              <w:t>;</w:t>
            </w:r>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r w:rsidRPr="0085565C">
              <w:rPr>
                <w:rFonts w:cs="Arial"/>
                <w:sz w:val="16"/>
                <w:szCs w:val="16"/>
                <w:lang w:val="fr-FR"/>
              </w:rPr>
              <w:t xml:space="preserve">Pasto </w:t>
            </w:r>
            <w:proofErr w:type="spellStart"/>
            <w:r w:rsidRPr="0085565C">
              <w:rPr>
                <w:rFonts w:cs="Arial"/>
                <w:sz w:val="16"/>
                <w:szCs w:val="16"/>
                <w:lang w:val="fr-FR"/>
              </w:rPr>
              <w:t>alambre</w:t>
            </w:r>
            <w:proofErr w:type="spellEnd"/>
            <w:r w:rsidRPr="0085565C">
              <w:rPr>
                <w:rFonts w:cs="Arial"/>
                <w:sz w:val="16"/>
                <w:szCs w:val="16"/>
                <w:lang w:val="fr-FR"/>
              </w:rPr>
              <w:t xml:space="preserve">, Pasto </w:t>
            </w:r>
            <w:proofErr w:type="spellStart"/>
            <w:r w:rsidRPr="0085565C">
              <w:rPr>
                <w:rFonts w:cs="Arial"/>
                <w:sz w:val="16"/>
                <w:szCs w:val="16"/>
                <w:lang w:val="fr-FR"/>
              </w:rPr>
              <w:t>señal</w:t>
            </w:r>
            <w:proofErr w:type="spellEnd"/>
            <w:r w:rsidRPr="0085565C">
              <w:rPr>
                <w:rFonts w:cs="Arial"/>
                <w:sz w:val="16"/>
                <w:szCs w:val="16"/>
                <w:lang w:val="fr-FR"/>
              </w:rPr>
              <w:t xml:space="preserve">, </w:t>
            </w:r>
            <w:proofErr w:type="spellStart"/>
            <w:r w:rsidRPr="0085565C">
              <w:rPr>
                <w:rFonts w:cs="Arial"/>
                <w:sz w:val="16"/>
                <w:szCs w:val="16"/>
                <w:lang w:val="fr-FR"/>
              </w:rPr>
              <w:t>Zacate</w:t>
            </w:r>
            <w:proofErr w:type="spellEnd"/>
            <w:r w:rsidRPr="0085565C">
              <w:rPr>
                <w:rFonts w:cs="Arial"/>
                <w:sz w:val="16"/>
                <w:szCs w:val="16"/>
                <w:lang w:val="fr-FR"/>
              </w:rPr>
              <w:t xml:space="preserve"> </w:t>
            </w:r>
            <w:proofErr w:type="spellStart"/>
            <w:r w:rsidRPr="0085565C">
              <w:rPr>
                <w:rFonts w:cs="Arial"/>
                <w:sz w:val="16"/>
                <w:szCs w:val="16"/>
                <w:lang w:val="fr-FR"/>
              </w:rPr>
              <w:t>señal</w:t>
            </w:r>
            <w:proofErr w:type="spellEnd"/>
            <w:r w:rsidRPr="0085565C">
              <w:rPr>
                <w:rFonts w:cs="Arial"/>
                <w:sz w:val="16"/>
                <w:szCs w:val="16"/>
                <w:lang w:val="fr-FR"/>
              </w:rPr>
              <w:t xml:space="preserve">, </w:t>
            </w:r>
            <w:proofErr w:type="spellStart"/>
            <w:r w:rsidRPr="0085565C">
              <w:rPr>
                <w:rFonts w:cs="Arial"/>
                <w:sz w:val="16"/>
                <w:szCs w:val="16"/>
                <w:lang w:val="fr-FR"/>
              </w:rPr>
              <w:t>Zacate</w:t>
            </w:r>
            <w:proofErr w:type="spellEnd"/>
            <w:r w:rsidRPr="0085565C">
              <w:rPr>
                <w:rFonts w:cs="Arial"/>
                <w:sz w:val="16"/>
                <w:szCs w:val="16"/>
                <w:lang w:val="fr-FR"/>
              </w:rPr>
              <w:t xml:space="preserve"> signal;  </w:t>
            </w:r>
            <w:proofErr w:type="spellStart"/>
            <w:r w:rsidRPr="0085565C">
              <w:rPr>
                <w:rFonts w:cs="Arial"/>
                <w:sz w:val="16"/>
                <w:szCs w:val="16"/>
                <w:lang w:val="fr-FR"/>
              </w:rPr>
              <w:t>Zacate</w:t>
            </w:r>
            <w:proofErr w:type="spellEnd"/>
            <w:r w:rsidRPr="0085565C">
              <w:rPr>
                <w:rFonts w:cs="Arial"/>
                <w:sz w:val="16"/>
                <w:szCs w:val="16"/>
                <w:lang w:val="fr-FR"/>
              </w:rPr>
              <w:t xml:space="preserve"> Surinam, Pasto </w:t>
            </w:r>
            <w:proofErr w:type="spellStart"/>
            <w:r w:rsidRPr="0085565C">
              <w:rPr>
                <w:rFonts w:cs="Arial"/>
                <w:sz w:val="16"/>
                <w:szCs w:val="16"/>
                <w:lang w:val="fr-FR"/>
              </w:rPr>
              <w:t>chontalpo</w:t>
            </w:r>
            <w:proofErr w:type="spellEnd"/>
            <w:r w:rsidRPr="0085565C">
              <w:rPr>
                <w:rFonts w:cs="Arial"/>
                <w:sz w:val="16"/>
                <w:szCs w:val="16"/>
                <w:lang w:val="fr-FR"/>
              </w:rPr>
              <w:t xml:space="preserve">, Pasto de la </w:t>
            </w:r>
            <w:proofErr w:type="spellStart"/>
            <w:r w:rsidRPr="0085565C">
              <w:rPr>
                <w:rFonts w:cs="Arial"/>
                <w:sz w:val="16"/>
                <w:szCs w:val="16"/>
                <w:lang w:val="fr-FR"/>
              </w:rPr>
              <w:t>palizada</w:t>
            </w:r>
            <w:proofErr w:type="spellEnd"/>
            <w:r w:rsidRPr="0085565C">
              <w:rPr>
                <w:rFonts w:cs="Arial"/>
                <w:sz w:val="16"/>
                <w:szCs w:val="16"/>
                <w:lang w:val="fr-FR"/>
              </w:rPr>
              <w:t xml:space="preserve">, Pasto de las </w:t>
            </w:r>
            <w:proofErr w:type="spellStart"/>
            <w:r w:rsidRPr="0085565C">
              <w:rPr>
                <w:rFonts w:cs="Arial"/>
                <w:sz w:val="16"/>
                <w:szCs w:val="16"/>
                <w:lang w:val="fr-FR"/>
              </w:rPr>
              <w:t>orillas</w:t>
            </w:r>
            <w:proofErr w:type="spellEnd"/>
            <w:r w:rsidRPr="0085565C">
              <w:rPr>
                <w:rFonts w:cs="Arial"/>
                <w:sz w:val="16"/>
                <w:szCs w:val="16"/>
                <w:lang w:val="fr-FR"/>
              </w:rPr>
              <w:t xml:space="preserve">, Pasto </w:t>
            </w:r>
            <w:proofErr w:type="spellStart"/>
            <w:r w:rsidRPr="0085565C">
              <w:rPr>
                <w:rFonts w:cs="Arial"/>
                <w:sz w:val="16"/>
                <w:szCs w:val="16"/>
                <w:lang w:val="fr-FR"/>
              </w:rPr>
              <w:t>peludo</w:t>
            </w:r>
            <w:proofErr w:type="spellEnd"/>
            <w:r w:rsidRPr="0085565C">
              <w:rPr>
                <w:rFonts w:cs="Arial"/>
                <w:sz w:val="16"/>
                <w:szCs w:val="16"/>
                <w:lang w:val="fr-FR"/>
              </w:rPr>
              <w:t xml:space="preserve">, Pasto </w:t>
            </w:r>
            <w:proofErr w:type="spellStart"/>
            <w:r w:rsidRPr="0085565C">
              <w:rPr>
                <w:rFonts w:cs="Arial"/>
                <w:sz w:val="16"/>
                <w:szCs w:val="16"/>
                <w:lang w:val="fr-FR"/>
              </w:rPr>
              <w:t>prodigio</w:t>
            </w:r>
            <w:proofErr w:type="spellEnd"/>
            <w:r w:rsidRPr="0085565C">
              <w:rPr>
                <w:rFonts w:cs="Arial"/>
                <w:sz w:val="16"/>
                <w:szCs w:val="16"/>
                <w:lang w:val="fr-FR"/>
              </w:rPr>
              <w:t xml:space="preserve">, </w:t>
            </w:r>
            <w:proofErr w:type="spellStart"/>
            <w:r w:rsidRPr="0085565C">
              <w:rPr>
                <w:rFonts w:cs="Arial"/>
                <w:sz w:val="16"/>
                <w:szCs w:val="16"/>
                <w:lang w:val="fr-FR"/>
              </w:rPr>
              <w:t>Zacate</w:t>
            </w:r>
            <w:proofErr w:type="spellEnd"/>
            <w:r w:rsidRPr="0085565C">
              <w:rPr>
                <w:rFonts w:cs="Arial"/>
                <w:sz w:val="16"/>
                <w:szCs w:val="16"/>
                <w:lang w:val="fr-FR"/>
              </w:rPr>
              <w:t xml:space="preserve"> </w:t>
            </w:r>
            <w:proofErr w:type="spellStart"/>
            <w:r w:rsidRPr="0085565C">
              <w:rPr>
                <w:rFonts w:cs="Arial"/>
                <w:sz w:val="16"/>
                <w:szCs w:val="16"/>
                <w:lang w:val="fr-FR"/>
              </w:rPr>
              <w:t>prodigio</w:t>
            </w:r>
            <w:proofErr w:type="spellEnd"/>
            <w:r w:rsidRPr="0085565C">
              <w:rPr>
                <w:rFonts w:cs="Arial"/>
                <w:sz w:val="16"/>
                <w:szCs w:val="16"/>
                <w:lang w:val="fr-FR"/>
              </w:rPr>
              <w:t xml:space="preserve">; </w:t>
            </w:r>
            <w:proofErr w:type="spellStart"/>
            <w:r w:rsidRPr="0085565C">
              <w:rPr>
                <w:rFonts w:cs="Arial"/>
                <w:sz w:val="16"/>
                <w:szCs w:val="16"/>
                <w:lang w:val="fr-FR"/>
              </w:rPr>
              <w:t>Braquiaria</w:t>
            </w:r>
            <w:proofErr w:type="spellEnd"/>
            <w:r w:rsidRPr="0085565C">
              <w:rPr>
                <w:rFonts w:cs="Arial"/>
                <w:sz w:val="16"/>
                <w:szCs w:val="16"/>
                <w:lang w:val="fr-FR"/>
              </w:rPr>
              <w:t xml:space="preserve"> </w:t>
            </w:r>
            <w:proofErr w:type="spellStart"/>
            <w:r w:rsidRPr="0085565C">
              <w:rPr>
                <w:rFonts w:cs="Arial"/>
                <w:sz w:val="16"/>
                <w:szCs w:val="16"/>
                <w:lang w:val="fr-FR"/>
              </w:rPr>
              <w:t>dulce</w:t>
            </w:r>
            <w:proofErr w:type="spellEnd"/>
            <w:r w:rsidRPr="0085565C">
              <w:rPr>
                <w:rFonts w:cs="Arial"/>
                <w:sz w:val="16"/>
                <w:szCs w:val="16"/>
                <w:lang w:val="fr-FR"/>
              </w:rPr>
              <w:t xml:space="preserve">, Kikuyu de la </w:t>
            </w:r>
            <w:proofErr w:type="spellStart"/>
            <w:r w:rsidRPr="0085565C">
              <w:rPr>
                <w:rFonts w:cs="Arial"/>
                <w:sz w:val="16"/>
                <w:szCs w:val="16"/>
                <w:lang w:val="fr-FR"/>
              </w:rPr>
              <w:t>Amazonía</w:t>
            </w:r>
            <w:proofErr w:type="spellEnd"/>
            <w:r w:rsidRPr="0085565C">
              <w:rPr>
                <w:rFonts w:cs="Arial"/>
                <w:sz w:val="16"/>
                <w:szCs w:val="16"/>
                <w:lang w:val="fr-FR"/>
              </w:rPr>
              <w:t xml:space="preserve">, Pasto </w:t>
            </w:r>
            <w:proofErr w:type="spellStart"/>
            <w:r w:rsidRPr="0085565C">
              <w:rPr>
                <w:rFonts w:cs="Arial"/>
                <w:sz w:val="16"/>
                <w:szCs w:val="16"/>
                <w:lang w:val="fr-FR"/>
              </w:rPr>
              <w:t>humidícola</w:t>
            </w:r>
            <w:proofErr w:type="spellEnd"/>
            <w:r w:rsidRPr="0085565C">
              <w:rPr>
                <w:rFonts w:cs="Arial"/>
                <w:sz w:val="16"/>
                <w:szCs w:val="16"/>
                <w:lang w:val="fr-FR"/>
              </w:rPr>
              <w:t xml:space="preserve">, Pasto </w:t>
            </w:r>
            <w:proofErr w:type="spellStart"/>
            <w:r w:rsidRPr="0085565C">
              <w:rPr>
                <w:rFonts w:cs="Arial"/>
                <w:sz w:val="16"/>
                <w:szCs w:val="16"/>
                <w:lang w:val="fr-FR"/>
              </w:rPr>
              <w:t>humidícola</w:t>
            </w:r>
            <w:proofErr w:type="spellEnd"/>
            <w:r w:rsidRPr="0085565C">
              <w:rPr>
                <w:rFonts w:cs="Arial"/>
                <w:sz w:val="16"/>
                <w:szCs w:val="16"/>
                <w:lang w:val="fr-FR"/>
              </w:rPr>
              <w:t xml:space="preserve"> </w:t>
            </w:r>
            <w:proofErr w:type="spellStart"/>
            <w:r w:rsidRPr="0085565C">
              <w:rPr>
                <w:rFonts w:cs="Arial"/>
                <w:sz w:val="16"/>
                <w:szCs w:val="16"/>
                <w:lang w:val="fr-FR"/>
              </w:rPr>
              <w:t>dulce</w:t>
            </w:r>
            <w:proofErr w:type="spellEnd"/>
            <w:r w:rsidRPr="0085565C">
              <w:rPr>
                <w:rFonts w:cs="Arial"/>
                <w:sz w:val="16"/>
                <w:szCs w:val="16"/>
                <w:lang w:val="fr-FR"/>
              </w:rPr>
              <w:t xml:space="preserve">;  Congo </w:t>
            </w:r>
            <w:proofErr w:type="spellStart"/>
            <w:r w:rsidRPr="0085565C">
              <w:rPr>
                <w:rFonts w:cs="Arial"/>
                <w:sz w:val="16"/>
                <w:szCs w:val="16"/>
                <w:lang w:val="fr-FR"/>
              </w:rPr>
              <w:t>señal</w:t>
            </w:r>
            <w:proofErr w:type="spellEnd"/>
            <w:r w:rsidRPr="0085565C">
              <w:rPr>
                <w:rFonts w:cs="Arial"/>
                <w:sz w:val="16"/>
                <w:szCs w:val="16"/>
                <w:lang w:val="fr-FR"/>
              </w:rPr>
              <w:t xml:space="preserve">, </w:t>
            </w:r>
            <w:proofErr w:type="spellStart"/>
            <w:r w:rsidRPr="0085565C">
              <w:rPr>
                <w:rFonts w:cs="Arial"/>
                <w:sz w:val="16"/>
                <w:szCs w:val="16"/>
                <w:lang w:val="fr-FR"/>
              </w:rPr>
              <w:t>Gambutera</w:t>
            </w:r>
            <w:proofErr w:type="spellEnd"/>
            <w:r w:rsidRPr="0085565C">
              <w:rPr>
                <w:rFonts w:cs="Arial"/>
                <w:sz w:val="16"/>
                <w:szCs w:val="16"/>
                <w:lang w:val="fr-FR"/>
              </w:rPr>
              <w:t xml:space="preserve">, </w:t>
            </w:r>
            <w:proofErr w:type="spellStart"/>
            <w:r w:rsidRPr="0085565C">
              <w:rPr>
                <w:rFonts w:cs="Arial"/>
                <w:sz w:val="16"/>
                <w:szCs w:val="16"/>
                <w:lang w:val="fr-FR"/>
              </w:rPr>
              <w:t>Kenia</w:t>
            </w:r>
            <w:proofErr w:type="spellEnd"/>
            <w:r w:rsidRPr="0085565C">
              <w:rPr>
                <w:rFonts w:cs="Arial"/>
                <w:sz w:val="16"/>
                <w:szCs w:val="16"/>
                <w:lang w:val="fr-FR"/>
              </w:rPr>
              <w:t xml:space="preserve">, Pasto Congo, Pasto </w:t>
            </w:r>
            <w:proofErr w:type="spellStart"/>
            <w:r w:rsidRPr="0085565C">
              <w:rPr>
                <w:rFonts w:cs="Arial"/>
                <w:sz w:val="16"/>
                <w:szCs w:val="16"/>
                <w:lang w:val="fr-FR"/>
              </w:rPr>
              <w:t>ruzi</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Urochloa</w:t>
            </w:r>
            <w:proofErr w:type="spellEnd"/>
            <w:r w:rsidRPr="0085565C">
              <w:rPr>
                <w:rFonts w:cs="Arial"/>
                <w:sz w:val="16"/>
                <w:szCs w:val="16"/>
                <w:lang w:val="fr-FR"/>
              </w:rPr>
              <w:t xml:space="preserve"> </w:t>
            </w:r>
            <w:proofErr w:type="spellStart"/>
            <w:r w:rsidRPr="0085565C">
              <w:rPr>
                <w:rFonts w:cs="Arial"/>
                <w:sz w:val="16"/>
                <w:szCs w:val="16"/>
                <w:lang w:val="fr-FR"/>
              </w:rPr>
              <w:t>brizantha</w:t>
            </w:r>
            <w:proofErr w:type="spellEnd"/>
            <w:r w:rsidRPr="0085565C">
              <w:rPr>
                <w:rFonts w:cs="Arial"/>
                <w:sz w:val="16"/>
                <w:szCs w:val="16"/>
                <w:lang w:val="fr-FR"/>
              </w:rPr>
              <w:t xml:space="preserve"> (</w:t>
            </w:r>
            <w:proofErr w:type="spellStart"/>
            <w:r w:rsidRPr="0085565C">
              <w:rPr>
                <w:rFonts w:cs="Arial"/>
                <w:sz w:val="16"/>
                <w:szCs w:val="16"/>
                <w:lang w:val="fr-FR"/>
              </w:rPr>
              <w:t>Hochst</w:t>
            </w:r>
            <w:proofErr w:type="spellEnd"/>
            <w:r w:rsidRPr="0085565C">
              <w:rPr>
                <w:rFonts w:cs="Arial"/>
                <w:sz w:val="16"/>
                <w:szCs w:val="16"/>
                <w:lang w:val="fr-FR"/>
              </w:rPr>
              <w:t>.  ex A. Rich.) R. D. Webster (</w:t>
            </w:r>
            <w:proofErr w:type="spellStart"/>
            <w:r w:rsidRPr="0085565C">
              <w:rPr>
                <w:rFonts w:cs="Arial"/>
                <w:sz w:val="16"/>
                <w:szCs w:val="16"/>
                <w:lang w:val="fr-FR"/>
              </w:rPr>
              <w:t>Brachiaria</w:t>
            </w:r>
            <w:proofErr w:type="spellEnd"/>
            <w:r w:rsidRPr="0085565C">
              <w:rPr>
                <w:rFonts w:cs="Arial"/>
                <w:sz w:val="16"/>
                <w:szCs w:val="16"/>
                <w:lang w:val="fr-FR"/>
              </w:rPr>
              <w:t xml:space="preserve"> </w:t>
            </w:r>
            <w:proofErr w:type="spellStart"/>
            <w:r w:rsidRPr="0085565C">
              <w:rPr>
                <w:rFonts w:cs="Arial"/>
                <w:sz w:val="16"/>
                <w:szCs w:val="16"/>
                <w:lang w:val="fr-FR"/>
              </w:rPr>
              <w:t>brizantha</w:t>
            </w:r>
            <w:proofErr w:type="spellEnd"/>
            <w:r w:rsidRPr="0085565C">
              <w:rPr>
                <w:rFonts w:cs="Arial"/>
                <w:sz w:val="16"/>
                <w:szCs w:val="16"/>
                <w:lang w:val="fr-FR"/>
              </w:rPr>
              <w:t xml:space="preserve"> (</w:t>
            </w:r>
            <w:proofErr w:type="spellStart"/>
            <w:r w:rsidRPr="0085565C">
              <w:rPr>
                <w:rFonts w:cs="Arial"/>
                <w:sz w:val="16"/>
                <w:szCs w:val="16"/>
                <w:lang w:val="fr-FR"/>
              </w:rPr>
              <w:t>Hochst</w:t>
            </w:r>
            <w:proofErr w:type="spellEnd"/>
            <w:r w:rsidRPr="0085565C">
              <w:rPr>
                <w:rFonts w:cs="Arial"/>
                <w:sz w:val="16"/>
                <w:szCs w:val="16"/>
                <w:lang w:val="fr-FR"/>
              </w:rPr>
              <w:t xml:space="preserve">. ex A. Rich.) </w:t>
            </w:r>
            <w:proofErr w:type="spellStart"/>
            <w:r w:rsidRPr="0085565C">
              <w:rPr>
                <w:rFonts w:cs="Arial"/>
                <w:sz w:val="16"/>
                <w:szCs w:val="16"/>
                <w:lang w:val="fr-FR"/>
              </w:rPr>
              <w:t>Stapf</w:t>
            </w:r>
            <w:proofErr w:type="spellEnd"/>
            <w:r w:rsidRPr="0085565C">
              <w:rPr>
                <w:rFonts w:cs="Arial"/>
                <w:sz w:val="16"/>
                <w:szCs w:val="16"/>
                <w:lang w:val="fr-FR"/>
              </w:rPr>
              <w:t xml:space="preserve">); </w:t>
            </w:r>
            <w:r w:rsidRPr="0085565C">
              <w:rPr>
                <w:rFonts w:cs="Arial"/>
                <w:sz w:val="16"/>
                <w:szCs w:val="16"/>
                <w:lang w:val="fr-FR"/>
              </w:rPr>
              <w:br/>
            </w:r>
            <w:proofErr w:type="spellStart"/>
            <w:r w:rsidRPr="0085565C">
              <w:rPr>
                <w:rFonts w:cs="Arial"/>
                <w:sz w:val="16"/>
                <w:szCs w:val="16"/>
                <w:lang w:val="fr-FR"/>
              </w:rPr>
              <w:t>Urochloa</w:t>
            </w:r>
            <w:proofErr w:type="spellEnd"/>
            <w:r w:rsidRPr="0085565C">
              <w:rPr>
                <w:rFonts w:cs="Arial"/>
                <w:sz w:val="16"/>
                <w:szCs w:val="16"/>
                <w:lang w:val="fr-FR"/>
              </w:rPr>
              <w:t xml:space="preserve"> </w:t>
            </w:r>
            <w:proofErr w:type="spellStart"/>
            <w:r w:rsidRPr="0085565C">
              <w:rPr>
                <w:rFonts w:cs="Arial"/>
                <w:sz w:val="16"/>
                <w:szCs w:val="16"/>
                <w:lang w:val="fr-FR"/>
              </w:rPr>
              <w:t>decumbens</w:t>
            </w:r>
            <w:proofErr w:type="spellEnd"/>
            <w:r w:rsidRPr="0085565C">
              <w:rPr>
                <w:rFonts w:cs="Arial"/>
                <w:sz w:val="16"/>
                <w:szCs w:val="16"/>
                <w:lang w:val="fr-FR"/>
              </w:rPr>
              <w:t xml:space="preserve"> (</w:t>
            </w:r>
            <w:proofErr w:type="spellStart"/>
            <w:r w:rsidRPr="0085565C">
              <w:rPr>
                <w:rFonts w:cs="Arial"/>
                <w:sz w:val="16"/>
                <w:szCs w:val="16"/>
                <w:lang w:val="fr-FR"/>
              </w:rPr>
              <w:t>Stapf</w:t>
            </w:r>
            <w:proofErr w:type="spellEnd"/>
            <w:r w:rsidRPr="0085565C">
              <w:rPr>
                <w:rFonts w:cs="Arial"/>
                <w:sz w:val="16"/>
                <w:szCs w:val="16"/>
                <w:lang w:val="fr-FR"/>
              </w:rPr>
              <w:t>) R. D. Webster (</w:t>
            </w:r>
            <w:proofErr w:type="spellStart"/>
            <w:r w:rsidRPr="0085565C">
              <w:rPr>
                <w:rFonts w:cs="Arial"/>
                <w:sz w:val="16"/>
                <w:szCs w:val="16"/>
                <w:lang w:val="fr-FR"/>
              </w:rPr>
              <w:t>Brachiaria</w:t>
            </w:r>
            <w:proofErr w:type="spellEnd"/>
            <w:r w:rsidRPr="0085565C">
              <w:rPr>
                <w:rFonts w:cs="Arial"/>
                <w:sz w:val="16"/>
                <w:szCs w:val="16"/>
                <w:lang w:val="fr-FR"/>
              </w:rPr>
              <w:t xml:space="preserve"> </w:t>
            </w:r>
            <w:proofErr w:type="spellStart"/>
            <w:r w:rsidRPr="0085565C">
              <w:rPr>
                <w:rFonts w:cs="Arial"/>
                <w:sz w:val="16"/>
                <w:szCs w:val="16"/>
                <w:lang w:val="fr-FR"/>
              </w:rPr>
              <w:t>decumbens</w:t>
            </w:r>
            <w:proofErr w:type="spellEnd"/>
            <w:r w:rsidRPr="0085565C">
              <w:rPr>
                <w:rFonts w:cs="Arial"/>
                <w:sz w:val="16"/>
                <w:szCs w:val="16"/>
                <w:lang w:val="fr-FR"/>
              </w:rPr>
              <w:t xml:space="preserve"> </w:t>
            </w:r>
            <w:proofErr w:type="spellStart"/>
            <w:r w:rsidRPr="0085565C">
              <w:rPr>
                <w:rFonts w:cs="Arial"/>
                <w:sz w:val="16"/>
                <w:szCs w:val="16"/>
                <w:lang w:val="fr-FR"/>
              </w:rPr>
              <w:t>Stapf</w:t>
            </w:r>
            <w:proofErr w:type="spellEnd"/>
            <w:r w:rsidRPr="0085565C">
              <w:rPr>
                <w:rFonts w:cs="Arial"/>
                <w:sz w:val="16"/>
                <w:szCs w:val="16"/>
                <w:lang w:val="fr-FR"/>
              </w:rPr>
              <w:t xml:space="preserve">); </w:t>
            </w:r>
            <w:proofErr w:type="spellStart"/>
            <w:r w:rsidRPr="0085565C">
              <w:rPr>
                <w:rFonts w:cs="Arial"/>
                <w:sz w:val="16"/>
                <w:szCs w:val="16"/>
                <w:lang w:val="fr-FR"/>
              </w:rPr>
              <w:t>Urochloa</w:t>
            </w:r>
            <w:proofErr w:type="spellEnd"/>
            <w:r w:rsidRPr="0085565C">
              <w:rPr>
                <w:rFonts w:cs="Arial"/>
                <w:sz w:val="16"/>
                <w:szCs w:val="16"/>
                <w:lang w:val="fr-FR"/>
              </w:rPr>
              <w:t xml:space="preserve"> </w:t>
            </w:r>
            <w:proofErr w:type="spellStart"/>
            <w:r w:rsidRPr="0085565C">
              <w:rPr>
                <w:rFonts w:cs="Arial"/>
                <w:sz w:val="16"/>
                <w:szCs w:val="16"/>
                <w:lang w:val="fr-FR"/>
              </w:rPr>
              <w:t>dictyoneura</w:t>
            </w:r>
            <w:proofErr w:type="spellEnd"/>
            <w:r w:rsidRPr="0085565C">
              <w:rPr>
                <w:rFonts w:cs="Arial"/>
                <w:sz w:val="16"/>
                <w:szCs w:val="16"/>
                <w:lang w:val="fr-FR"/>
              </w:rPr>
              <w:t xml:space="preserve"> (Fig. &amp; De Not.) </w:t>
            </w:r>
            <w:proofErr w:type="spellStart"/>
            <w:r w:rsidRPr="0085565C">
              <w:rPr>
                <w:rFonts w:cs="Arial"/>
                <w:sz w:val="16"/>
                <w:szCs w:val="16"/>
                <w:lang w:val="fr-FR"/>
              </w:rPr>
              <w:t>Veldkamp</w:t>
            </w:r>
            <w:proofErr w:type="spellEnd"/>
            <w:r w:rsidRPr="0085565C">
              <w:rPr>
                <w:rFonts w:cs="Arial"/>
                <w:sz w:val="16"/>
                <w:szCs w:val="16"/>
                <w:lang w:val="fr-FR"/>
              </w:rPr>
              <w:t xml:space="preserve"> P. (</w:t>
            </w:r>
            <w:proofErr w:type="spellStart"/>
            <w:r w:rsidRPr="0085565C">
              <w:rPr>
                <w:rFonts w:cs="Arial"/>
                <w:sz w:val="16"/>
                <w:szCs w:val="16"/>
                <w:lang w:val="fr-FR"/>
              </w:rPr>
              <w:t>Brachiaria</w:t>
            </w:r>
            <w:proofErr w:type="spellEnd"/>
            <w:r w:rsidRPr="0085565C">
              <w:rPr>
                <w:rFonts w:cs="Arial"/>
                <w:sz w:val="16"/>
                <w:szCs w:val="16"/>
                <w:lang w:val="fr-FR"/>
              </w:rPr>
              <w:t xml:space="preserve"> </w:t>
            </w:r>
            <w:proofErr w:type="spellStart"/>
            <w:r w:rsidRPr="0085565C">
              <w:rPr>
                <w:rFonts w:cs="Arial"/>
                <w:sz w:val="16"/>
                <w:szCs w:val="16"/>
                <w:lang w:val="fr-FR"/>
              </w:rPr>
              <w:t>dictyoneura</w:t>
            </w:r>
            <w:proofErr w:type="spellEnd"/>
            <w:r w:rsidRPr="0085565C">
              <w:rPr>
                <w:rFonts w:cs="Arial"/>
                <w:sz w:val="16"/>
                <w:szCs w:val="16"/>
                <w:lang w:val="fr-FR"/>
              </w:rPr>
              <w:t xml:space="preserve"> (Fig. &amp; De Not.) </w:t>
            </w:r>
            <w:proofErr w:type="spellStart"/>
            <w:r w:rsidRPr="0085565C">
              <w:rPr>
                <w:rFonts w:cs="Arial"/>
                <w:sz w:val="16"/>
                <w:szCs w:val="16"/>
                <w:lang w:val="fr-FR"/>
              </w:rPr>
              <w:t>Veldkamp</w:t>
            </w:r>
            <w:proofErr w:type="spellEnd"/>
            <w:r w:rsidRPr="0085565C">
              <w:rPr>
                <w:rFonts w:cs="Arial"/>
                <w:sz w:val="16"/>
                <w:szCs w:val="16"/>
                <w:lang w:val="fr-FR"/>
              </w:rPr>
              <w:t xml:space="preserve"> P.); </w:t>
            </w:r>
            <w:proofErr w:type="spellStart"/>
            <w:r w:rsidRPr="0085565C">
              <w:rPr>
                <w:rFonts w:cs="Arial"/>
                <w:sz w:val="16"/>
                <w:szCs w:val="16"/>
                <w:lang w:val="fr-FR"/>
              </w:rPr>
              <w:t>Urochloa</w:t>
            </w:r>
            <w:proofErr w:type="spellEnd"/>
            <w:r w:rsidRPr="0085565C">
              <w:rPr>
                <w:rFonts w:cs="Arial"/>
                <w:sz w:val="16"/>
                <w:szCs w:val="16"/>
                <w:lang w:val="fr-FR"/>
              </w:rPr>
              <w:t xml:space="preserve"> </w:t>
            </w:r>
            <w:proofErr w:type="spellStart"/>
            <w:r w:rsidRPr="0085565C">
              <w:rPr>
                <w:rFonts w:cs="Arial"/>
                <w:sz w:val="16"/>
                <w:szCs w:val="16"/>
                <w:lang w:val="fr-FR"/>
              </w:rPr>
              <w:t>humidicola</w:t>
            </w:r>
            <w:proofErr w:type="spellEnd"/>
            <w:r w:rsidRPr="0085565C">
              <w:rPr>
                <w:rFonts w:cs="Arial"/>
                <w:sz w:val="16"/>
                <w:szCs w:val="16"/>
                <w:lang w:val="fr-FR"/>
              </w:rPr>
              <w:t xml:space="preserve"> (</w:t>
            </w:r>
            <w:proofErr w:type="spellStart"/>
            <w:r w:rsidRPr="0085565C">
              <w:rPr>
                <w:rFonts w:cs="Arial"/>
                <w:sz w:val="16"/>
                <w:szCs w:val="16"/>
                <w:lang w:val="fr-FR"/>
              </w:rPr>
              <w:t>Rendle</w:t>
            </w:r>
            <w:proofErr w:type="spellEnd"/>
            <w:r w:rsidRPr="0085565C">
              <w:rPr>
                <w:rFonts w:cs="Arial"/>
                <w:sz w:val="16"/>
                <w:szCs w:val="16"/>
                <w:lang w:val="fr-FR"/>
              </w:rPr>
              <w:t xml:space="preserve">) </w:t>
            </w:r>
            <w:proofErr w:type="spellStart"/>
            <w:r w:rsidRPr="0085565C">
              <w:rPr>
                <w:rFonts w:cs="Arial"/>
                <w:sz w:val="16"/>
                <w:szCs w:val="16"/>
                <w:lang w:val="fr-FR"/>
              </w:rPr>
              <w:t>Morrone</w:t>
            </w:r>
            <w:proofErr w:type="spellEnd"/>
            <w:r w:rsidRPr="0085565C">
              <w:rPr>
                <w:rFonts w:cs="Arial"/>
                <w:sz w:val="16"/>
                <w:szCs w:val="16"/>
                <w:lang w:val="fr-FR"/>
              </w:rPr>
              <w:t xml:space="preserve"> &amp; </w:t>
            </w:r>
            <w:proofErr w:type="spellStart"/>
            <w:r w:rsidRPr="0085565C">
              <w:rPr>
                <w:rFonts w:cs="Arial"/>
                <w:sz w:val="16"/>
                <w:szCs w:val="16"/>
                <w:lang w:val="fr-FR"/>
              </w:rPr>
              <w:t>Zuloaga</w:t>
            </w:r>
            <w:proofErr w:type="spellEnd"/>
            <w:r w:rsidRPr="0085565C">
              <w:rPr>
                <w:rFonts w:cs="Arial"/>
                <w:sz w:val="16"/>
                <w:szCs w:val="16"/>
                <w:lang w:val="fr-FR"/>
              </w:rPr>
              <w:t xml:space="preserve"> (</w:t>
            </w:r>
            <w:proofErr w:type="spellStart"/>
            <w:r w:rsidRPr="0085565C">
              <w:rPr>
                <w:rFonts w:cs="Arial"/>
                <w:sz w:val="16"/>
                <w:szCs w:val="16"/>
                <w:lang w:val="fr-FR"/>
              </w:rPr>
              <w:t>Brachiaria</w:t>
            </w:r>
            <w:proofErr w:type="spellEnd"/>
            <w:r w:rsidRPr="0085565C">
              <w:rPr>
                <w:rFonts w:cs="Arial"/>
                <w:sz w:val="16"/>
                <w:szCs w:val="16"/>
                <w:lang w:val="fr-FR"/>
              </w:rPr>
              <w:t xml:space="preserve"> </w:t>
            </w:r>
            <w:proofErr w:type="spellStart"/>
            <w:r w:rsidRPr="0085565C">
              <w:rPr>
                <w:rFonts w:cs="Arial"/>
                <w:sz w:val="16"/>
                <w:szCs w:val="16"/>
                <w:lang w:val="fr-FR"/>
              </w:rPr>
              <w:t>humidicola</w:t>
            </w:r>
            <w:proofErr w:type="spellEnd"/>
            <w:r w:rsidRPr="0085565C">
              <w:rPr>
                <w:rFonts w:cs="Arial"/>
                <w:sz w:val="16"/>
                <w:szCs w:val="16"/>
                <w:lang w:val="fr-FR"/>
              </w:rPr>
              <w:t xml:space="preserve"> (</w:t>
            </w:r>
            <w:proofErr w:type="spellStart"/>
            <w:r w:rsidRPr="0085565C">
              <w:rPr>
                <w:rFonts w:cs="Arial"/>
                <w:sz w:val="16"/>
                <w:szCs w:val="16"/>
                <w:lang w:val="fr-FR"/>
              </w:rPr>
              <w:t>Rendle</w:t>
            </w:r>
            <w:proofErr w:type="spellEnd"/>
            <w:r w:rsidRPr="0085565C">
              <w:rPr>
                <w:rFonts w:cs="Arial"/>
                <w:sz w:val="16"/>
                <w:szCs w:val="16"/>
                <w:lang w:val="fr-FR"/>
              </w:rPr>
              <w:t xml:space="preserve">) </w:t>
            </w:r>
            <w:proofErr w:type="spellStart"/>
            <w:r w:rsidRPr="0085565C">
              <w:rPr>
                <w:rFonts w:cs="Arial"/>
                <w:sz w:val="16"/>
                <w:szCs w:val="16"/>
                <w:lang w:val="fr-FR"/>
              </w:rPr>
              <w:t>Schweick</w:t>
            </w:r>
            <w:proofErr w:type="spellEnd"/>
            <w:r w:rsidRPr="0085565C">
              <w:rPr>
                <w:rFonts w:cs="Arial"/>
                <w:sz w:val="16"/>
                <w:szCs w:val="16"/>
                <w:lang w:val="fr-FR"/>
              </w:rPr>
              <w:t xml:space="preserve">.);  </w:t>
            </w:r>
            <w:r w:rsidRPr="0085565C">
              <w:rPr>
                <w:rFonts w:cs="Arial"/>
                <w:sz w:val="16"/>
                <w:szCs w:val="16"/>
                <w:lang w:val="fr-FR"/>
              </w:rPr>
              <w:br/>
            </w:r>
            <w:proofErr w:type="spellStart"/>
            <w:r w:rsidRPr="0085565C">
              <w:rPr>
                <w:rFonts w:cs="Arial"/>
                <w:sz w:val="16"/>
                <w:szCs w:val="16"/>
                <w:lang w:val="fr-FR"/>
              </w:rPr>
              <w:t>Urochloa</w:t>
            </w:r>
            <w:proofErr w:type="spellEnd"/>
            <w:r w:rsidRPr="0085565C">
              <w:rPr>
                <w:rFonts w:cs="Arial"/>
                <w:sz w:val="16"/>
                <w:szCs w:val="16"/>
                <w:lang w:val="fr-FR"/>
              </w:rPr>
              <w:t xml:space="preserve"> </w:t>
            </w:r>
            <w:proofErr w:type="spellStart"/>
            <w:r w:rsidRPr="0085565C">
              <w:rPr>
                <w:rFonts w:cs="Arial"/>
                <w:sz w:val="16"/>
                <w:szCs w:val="16"/>
                <w:lang w:val="fr-FR"/>
              </w:rPr>
              <w:t>ruziziensis</w:t>
            </w:r>
            <w:proofErr w:type="spellEnd"/>
            <w:r w:rsidRPr="0085565C">
              <w:rPr>
                <w:rFonts w:cs="Arial"/>
                <w:sz w:val="16"/>
                <w:szCs w:val="16"/>
                <w:lang w:val="fr-FR"/>
              </w:rPr>
              <w:t xml:space="preserve"> (R. </w:t>
            </w:r>
            <w:proofErr w:type="spellStart"/>
            <w:r w:rsidRPr="0085565C">
              <w:rPr>
                <w:rFonts w:cs="Arial"/>
                <w:sz w:val="16"/>
                <w:szCs w:val="16"/>
                <w:lang w:val="fr-FR"/>
              </w:rPr>
              <w:t>Germ</w:t>
            </w:r>
            <w:proofErr w:type="spellEnd"/>
            <w:r w:rsidRPr="0085565C">
              <w:rPr>
                <w:rFonts w:cs="Arial"/>
                <w:sz w:val="16"/>
                <w:szCs w:val="16"/>
                <w:lang w:val="fr-FR"/>
              </w:rPr>
              <w:t xml:space="preserve">. &amp; C. M. Evrard) </w:t>
            </w:r>
            <w:proofErr w:type="spellStart"/>
            <w:r w:rsidRPr="0085565C">
              <w:rPr>
                <w:rFonts w:cs="Arial"/>
                <w:sz w:val="16"/>
                <w:szCs w:val="16"/>
                <w:lang w:val="fr-FR"/>
              </w:rPr>
              <w:t>Morrone</w:t>
            </w:r>
            <w:proofErr w:type="spellEnd"/>
            <w:r w:rsidRPr="0085565C">
              <w:rPr>
                <w:rFonts w:cs="Arial"/>
                <w:sz w:val="16"/>
                <w:szCs w:val="16"/>
                <w:lang w:val="fr-FR"/>
              </w:rPr>
              <w:t xml:space="preserve"> &amp; </w:t>
            </w:r>
            <w:proofErr w:type="spellStart"/>
            <w:r w:rsidRPr="0085565C">
              <w:rPr>
                <w:rFonts w:cs="Arial"/>
                <w:sz w:val="16"/>
                <w:szCs w:val="16"/>
                <w:lang w:val="fr-FR"/>
              </w:rPr>
              <w:t>Zuloaga</w:t>
            </w:r>
            <w:proofErr w:type="spellEnd"/>
            <w:r w:rsidRPr="0085565C">
              <w:rPr>
                <w:rFonts w:cs="Arial"/>
                <w:sz w:val="16"/>
                <w:szCs w:val="16"/>
                <w:lang w:val="fr-FR"/>
              </w:rPr>
              <w:t xml:space="preserve"> (</w:t>
            </w:r>
            <w:proofErr w:type="spellStart"/>
            <w:r w:rsidRPr="0085565C">
              <w:rPr>
                <w:rFonts w:cs="Arial"/>
                <w:sz w:val="16"/>
                <w:szCs w:val="16"/>
                <w:lang w:val="fr-FR"/>
              </w:rPr>
              <w:t>Brachiaria</w:t>
            </w:r>
            <w:proofErr w:type="spellEnd"/>
            <w:r w:rsidRPr="0085565C">
              <w:rPr>
                <w:rFonts w:cs="Arial"/>
                <w:sz w:val="16"/>
                <w:szCs w:val="16"/>
                <w:lang w:val="fr-FR"/>
              </w:rPr>
              <w:t xml:space="preserve"> </w:t>
            </w:r>
            <w:proofErr w:type="spellStart"/>
            <w:r w:rsidRPr="0085565C">
              <w:rPr>
                <w:rFonts w:cs="Arial"/>
                <w:sz w:val="16"/>
                <w:szCs w:val="16"/>
                <w:lang w:val="fr-FR"/>
              </w:rPr>
              <w:t>ruziziensis</w:t>
            </w:r>
            <w:proofErr w:type="spellEnd"/>
            <w:r w:rsidRPr="0085565C">
              <w:rPr>
                <w:rFonts w:cs="Arial"/>
                <w:sz w:val="16"/>
                <w:szCs w:val="16"/>
                <w:lang w:val="fr-FR"/>
              </w:rPr>
              <w:t xml:space="preserve"> R. </w:t>
            </w:r>
            <w:proofErr w:type="spellStart"/>
            <w:r w:rsidRPr="0085565C">
              <w:rPr>
                <w:rFonts w:cs="Arial"/>
                <w:sz w:val="16"/>
                <w:szCs w:val="16"/>
                <w:lang w:val="fr-FR"/>
              </w:rPr>
              <w:t>Germ</w:t>
            </w:r>
            <w:proofErr w:type="spellEnd"/>
            <w:r w:rsidRPr="0085565C">
              <w:rPr>
                <w:rFonts w:cs="Arial"/>
                <w:sz w:val="16"/>
                <w:szCs w:val="16"/>
                <w:lang w:val="fr-FR"/>
              </w:rPr>
              <w:t>. &amp; C. M. Evrard)</w:t>
            </w:r>
          </w:p>
        </w:tc>
      </w:tr>
      <w:tr w:rsidR="00AF7A00" w:rsidRPr="00C258AE" w:rsidTr="00697CEF">
        <w:trPr>
          <w:cantSplit/>
          <w:trHeight w:val="255"/>
        </w:trPr>
        <w:tc>
          <w:tcPr>
            <w:tcW w:w="9934" w:type="dxa"/>
            <w:gridSpan w:val="8"/>
            <w:tcBorders>
              <w:top w:val="nil"/>
              <w:left w:val="single" w:sz="4" w:space="0" w:color="auto"/>
              <w:bottom w:val="single" w:sz="4" w:space="0" w:color="auto"/>
              <w:right w:val="single" w:sz="4" w:space="0" w:color="auto"/>
            </w:tcBorders>
            <w:shd w:val="clear" w:color="auto" w:fill="auto"/>
          </w:tcPr>
          <w:p w:rsidR="00AF7A00" w:rsidRPr="0085565C" w:rsidRDefault="00AF7A00" w:rsidP="00697CEF">
            <w:pPr>
              <w:spacing w:before="60" w:after="120"/>
              <w:ind w:left="-36"/>
              <w:jc w:val="left"/>
              <w:rPr>
                <w:rFonts w:eastAsia="MS Mincho" w:cs="Arial"/>
                <w:bCs/>
                <w:sz w:val="16"/>
                <w:szCs w:val="16"/>
                <w:u w:val="single"/>
                <w:lang w:val="fr-FR" w:eastAsia="ja-JP"/>
              </w:rPr>
            </w:pPr>
            <w:r w:rsidRPr="0085565C">
              <w:rPr>
                <w:rFonts w:cs="Arial"/>
                <w:bCs/>
                <w:sz w:val="16"/>
                <w:szCs w:val="16"/>
                <w:u w:val="single"/>
                <w:lang w:val="fr-FR"/>
              </w:rPr>
              <w:t xml:space="preserve">REVISIONS OF TEST GUIDELINES / </w:t>
            </w:r>
            <w:r w:rsidRPr="0085565C">
              <w:rPr>
                <w:rFonts w:cs="Arial"/>
                <w:sz w:val="16"/>
                <w:szCs w:val="16"/>
                <w:u w:val="single"/>
                <w:lang w:val="fr-FR"/>
              </w:rPr>
              <w:t>RÉVISIONS DE PRINCIPES DIRECTEURS D’EXAMEN ADOPTÉS / REVISIONEN ANGENOMMENER PRÜFUNGSRICHTLINIEN / REVISIONES DE DIRECTRICES DE EXAMEN ADOPTADAS</w:t>
            </w:r>
          </w:p>
        </w:tc>
      </w:tr>
      <w:tr w:rsidR="00AF7A00" w:rsidRPr="0085565C" w:rsidTr="00697CEF">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F7A00" w:rsidRPr="0085565C" w:rsidRDefault="00AF7A00" w:rsidP="00697CEF">
            <w:pPr>
              <w:rPr>
                <w:rFonts w:cs="Arial"/>
                <w:sz w:val="16"/>
                <w:lang w:val="fr-FR"/>
              </w:rPr>
            </w:pPr>
            <w:r w:rsidRPr="0085565C">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rPr>
                <w:rFonts w:cs="Arial"/>
                <w:sz w:val="16"/>
                <w:lang w:val="fr-FR"/>
              </w:rPr>
            </w:pPr>
            <w:r w:rsidRPr="0085565C">
              <w:rPr>
                <w:rFonts w:cs="Arial"/>
                <w:sz w:val="16"/>
                <w:lang w:val="fr-FR"/>
              </w:rPr>
              <w:t>TWO</w:t>
            </w:r>
          </w:p>
        </w:tc>
        <w:tc>
          <w:tcPr>
            <w:tcW w:w="14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ind w:left="-36"/>
              <w:rPr>
                <w:rFonts w:cs="Arial"/>
                <w:sz w:val="16"/>
                <w:lang w:val="fr-FR"/>
              </w:rPr>
            </w:pPr>
            <w:r w:rsidRPr="0085565C">
              <w:rPr>
                <w:rFonts w:cs="Arial"/>
                <w:sz w:val="16"/>
                <w:lang w:val="fr-FR"/>
              </w:rPr>
              <w:t>TG/25/9(proj.9)</w:t>
            </w:r>
          </w:p>
        </w:tc>
        <w:tc>
          <w:tcPr>
            <w:tcW w:w="1417" w:type="dxa"/>
            <w:tcBorders>
              <w:top w:val="single" w:sz="4" w:space="0" w:color="auto"/>
              <w:left w:val="nil"/>
              <w:bottom w:val="single" w:sz="4" w:space="0" w:color="auto"/>
              <w:right w:val="single" w:sz="4" w:space="0" w:color="auto"/>
            </w:tcBorders>
            <w:shd w:val="clear" w:color="auto" w:fill="auto"/>
          </w:tcPr>
          <w:p w:rsidR="00AF7A00" w:rsidRPr="00C258AE" w:rsidRDefault="00AF7A00" w:rsidP="00697CEF">
            <w:pPr>
              <w:jc w:val="left"/>
              <w:rPr>
                <w:rFonts w:cs="Arial"/>
                <w:sz w:val="16"/>
              </w:rPr>
            </w:pPr>
            <w:r w:rsidRPr="00C258AE">
              <w:rPr>
                <w:rFonts w:cs="Arial"/>
                <w:sz w:val="16"/>
              </w:rPr>
              <w:t xml:space="preserve">Carnation, Clove Pink, Pink, Sweet William </w:t>
            </w:r>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lang w:val="fr-FR"/>
              </w:rPr>
            </w:pPr>
            <w:r w:rsidRPr="0085565C">
              <w:rPr>
                <w:rFonts w:cs="Arial"/>
                <w:sz w:val="16"/>
                <w:lang w:val="fr-FR"/>
              </w:rPr>
              <w:t>Œillet</w:t>
            </w:r>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lang w:val="fr-FR"/>
              </w:rPr>
            </w:pPr>
            <w:proofErr w:type="spellStart"/>
            <w:r w:rsidRPr="0085565C">
              <w:rPr>
                <w:rFonts w:cs="Arial"/>
                <w:sz w:val="16"/>
                <w:lang w:val="fr-FR"/>
              </w:rPr>
              <w:t>Nelke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lang w:val="fr-FR"/>
              </w:rPr>
            </w:pPr>
            <w:r w:rsidRPr="0085565C">
              <w:rPr>
                <w:rFonts w:cs="Arial"/>
                <w:sz w:val="16"/>
                <w:lang w:val="fr-FR"/>
              </w:rPr>
              <w:t>Clavel</w:t>
            </w:r>
          </w:p>
        </w:tc>
        <w:tc>
          <w:tcPr>
            <w:tcW w:w="170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lang w:val="fr-FR"/>
              </w:rPr>
            </w:pPr>
            <w:proofErr w:type="spellStart"/>
            <w:r w:rsidRPr="0085565C">
              <w:rPr>
                <w:rFonts w:cs="Arial"/>
                <w:sz w:val="16"/>
                <w:lang w:val="fr-FR"/>
              </w:rPr>
              <w:t>Dianthus</w:t>
            </w:r>
            <w:proofErr w:type="spellEnd"/>
            <w:r w:rsidRPr="0085565C">
              <w:rPr>
                <w:rFonts w:cs="Arial"/>
                <w:sz w:val="16"/>
                <w:lang w:val="fr-FR"/>
              </w:rPr>
              <w:t xml:space="preserve"> L.</w:t>
            </w:r>
          </w:p>
        </w:tc>
      </w:tr>
      <w:tr w:rsidR="00AF7A00" w:rsidRPr="00C258AE" w:rsidTr="00697CEF">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F7A00" w:rsidRPr="0085565C" w:rsidRDefault="00AF7A00" w:rsidP="00697CEF">
            <w:pPr>
              <w:rPr>
                <w:rFonts w:cs="Arial"/>
                <w:sz w:val="16"/>
                <w:lang w:val="fr-FR"/>
              </w:rPr>
            </w:pPr>
            <w:r w:rsidRPr="0085565C">
              <w:rPr>
                <w:rFonts w:cs="Arial"/>
                <w:sz w:val="16"/>
                <w:lang w:val="fr-FR"/>
              </w:rPr>
              <w:t>DE</w:t>
            </w:r>
          </w:p>
        </w:tc>
        <w:tc>
          <w:tcPr>
            <w:tcW w:w="5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rPr>
                <w:rFonts w:cs="Arial"/>
                <w:sz w:val="16"/>
                <w:lang w:val="fr-FR"/>
              </w:rPr>
            </w:pPr>
            <w:r w:rsidRPr="0085565C">
              <w:rPr>
                <w:rFonts w:cs="Arial"/>
                <w:sz w:val="16"/>
                <w:lang w:val="fr-FR"/>
              </w:rPr>
              <w:t>TWO</w:t>
            </w:r>
          </w:p>
        </w:tc>
        <w:tc>
          <w:tcPr>
            <w:tcW w:w="14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ind w:left="-36"/>
              <w:rPr>
                <w:rFonts w:cs="Arial"/>
                <w:sz w:val="16"/>
                <w:lang w:val="fr-FR"/>
              </w:rPr>
            </w:pPr>
            <w:r w:rsidRPr="0085565C">
              <w:rPr>
                <w:rFonts w:cs="Arial"/>
                <w:sz w:val="16"/>
                <w:lang w:val="fr-FR"/>
              </w:rPr>
              <w:t>TG/109/4(proj.4)</w:t>
            </w:r>
          </w:p>
        </w:tc>
        <w:tc>
          <w:tcPr>
            <w:tcW w:w="1417" w:type="dxa"/>
            <w:tcBorders>
              <w:top w:val="single" w:sz="4" w:space="0" w:color="auto"/>
              <w:left w:val="nil"/>
              <w:bottom w:val="single" w:sz="4" w:space="0" w:color="auto"/>
              <w:right w:val="single" w:sz="4" w:space="0" w:color="auto"/>
            </w:tcBorders>
            <w:shd w:val="clear" w:color="auto" w:fill="auto"/>
          </w:tcPr>
          <w:p w:rsidR="00AF7A00" w:rsidRPr="00C258AE" w:rsidRDefault="00AF7A00" w:rsidP="00697CEF">
            <w:pPr>
              <w:jc w:val="left"/>
              <w:rPr>
                <w:rFonts w:cs="Arial"/>
                <w:sz w:val="16"/>
                <w:lang w:val="pt-BR"/>
              </w:rPr>
            </w:pPr>
            <w:r w:rsidRPr="00C258AE">
              <w:rPr>
                <w:rFonts w:cs="Arial"/>
                <w:sz w:val="16"/>
                <w:lang w:val="pt-BR"/>
              </w:rPr>
              <w:t>Large</w:t>
            </w:r>
            <w:r w:rsidRPr="00C258AE">
              <w:rPr>
                <w:rFonts w:cs="Arial"/>
                <w:sz w:val="16"/>
                <w:lang w:val="pt-BR"/>
              </w:rPr>
              <w:noBreakHyphen/>
              <w:t>flower Pelargonium; Regal Pelargonium; Crisped</w:t>
            </w:r>
            <w:r w:rsidRPr="00C258AE">
              <w:rPr>
                <w:rFonts w:cs="Arial"/>
                <w:sz w:val="16"/>
                <w:lang w:val="pt-BR"/>
              </w:rPr>
              <w:noBreakHyphen/>
              <w:t>leaf Pelargonium</w:t>
            </w:r>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lang w:val="fr-FR"/>
              </w:rPr>
            </w:pPr>
            <w:r w:rsidRPr="0085565C">
              <w:rPr>
                <w:rFonts w:cs="Arial"/>
                <w:sz w:val="16"/>
                <w:lang w:val="fr-FR"/>
              </w:rPr>
              <w:t>Pélargonium des fleuristes</w:t>
            </w:r>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lang w:val="fr-FR"/>
              </w:rPr>
            </w:pPr>
            <w:proofErr w:type="spellStart"/>
            <w:r w:rsidRPr="0085565C">
              <w:rPr>
                <w:rFonts w:cs="Arial"/>
                <w:sz w:val="16"/>
                <w:lang w:val="fr-FR"/>
              </w:rPr>
              <w:t>Edelpelargonie</w:t>
            </w:r>
            <w:proofErr w:type="spellEnd"/>
            <w:r w:rsidRPr="0085565C">
              <w:rPr>
                <w:rFonts w:cs="Arial"/>
                <w:sz w:val="16"/>
                <w:lang w:val="fr-FR"/>
              </w:rPr>
              <w:t xml:space="preserve">; </w:t>
            </w:r>
            <w:proofErr w:type="spellStart"/>
            <w:r w:rsidRPr="0085565C">
              <w:rPr>
                <w:rFonts w:cs="Arial"/>
                <w:sz w:val="16"/>
                <w:lang w:val="fr-FR"/>
              </w:rPr>
              <w:t>Zitronenduft</w:t>
            </w:r>
            <w:r w:rsidRPr="0085565C">
              <w:rPr>
                <w:rFonts w:cs="Arial"/>
                <w:sz w:val="16"/>
                <w:lang w:val="fr-FR"/>
              </w:rPr>
              <w:noBreakHyphen/>
              <w:t>Pelargonie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lang w:val="fr-FR"/>
              </w:rPr>
            </w:pPr>
            <w:proofErr w:type="spellStart"/>
            <w:r w:rsidRPr="0085565C">
              <w:rPr>
                <w:rFonts w:cs="Arial"/>
                <w:sz w:val="16"/>
                <w:lang w:val="fr-FR"/>
              </w:rPr>
              <w:t>Pelargonio</w:t>
            </w:r>
            <w:proofErr w:type="spellEnd"/>
            <w:r w:rsidRPr="0085565C">
              <w:rPr>
                <w:rFonts w:cs="Arial"/>
                <w:sz w:val="16"/>
                <w:lang w:val="fr-FR"/>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lang w:val="fr-FR"/>
              </w:rPr>
            </w:pPr>
            <w:proofErr w:type="spellStart"/>
            <w:r w:rsidRPr="0085565C">
              <w:rPr>
                <w:rFonts w:cs="Arial"/>
                <w:sz w:val="16"/>
                <w:lang w:val="fr-FR"/>
              </w:rPr>
              <w:t>Pelargonium</w:t>
            </w:r>
            <w:proofErr w:type="spellEnd"/>
            <w:r w:rsidRPr="0085565C">
              <w:rPr>
                <w:rFonts w:cs="Arial"/>
                <w:sz w:val="16"/>
                <w:lang w:val="fr-FR"/>
              </w:rPr>
              <w:t xml:space="preserve"> </w:t>
            </w:r>
            <w:proofErr w:type="spellStart"/>
            <w:r w:rsidRPr="0085565C">
              <w:rPr>
                <w:rFonts w:cs="Arial"/>
                <w:sz w:val="16"/>
                <w:lang w:val="fr-FR"/>
              </w:rPr>
              <w:t>grandiflorum</w:t>
            </w:r>
            <w:proofErr w:type="spellEnd"/>
            <w:r w:rsidRPr="0085565C">
              <w:rPr>
                <w:rFonts w:cs="Arial"/>
                <w:sz w:val="16"/>
                <w:lang w:val="fr-FR"/>
              </w:rPr>
              <w:t xml:space="preserve"> (Andrews) </w:t>
            </w:r>
            <w:proofErr w:type="spellStart"/>
            <w:r w:rsidRPr="0085565C">
              <w:rPr>
                <w:rFonts w:cs="Arial"/>
                <w:sz w:val="16"/>
                <w:lang w:val="fr-FR"/>
              </w:rPr>
              <w:t>Willd</w:t>
            </w:r>
            <w:proofErr w:type="spellEnd"/>
            <w:r w:rsidRPr="0085565C">
              <w:rPr>
                <w:rFonts w:cs="Arial"/>
                <w:sz w:val="16"/>
                <w:lang w:val="fr-FR"/>
              </w:rPr>
              <w:t>.;  P. ×</w:t>
            </w:r>
            <w:proofErr w:type="spellStart"/>
            <w:r w:rsidRPr="0085565C">
              <w:rPr>
                <w:rFonts w:cs="Arial"/>
                <w:sz w:val="16"/>
                <w:lang w:val="fr-FR"/>
              </w:rPr>
              <w:t>domesticum</w:t>
            </w:r>
            <w:proofErr w:type="spellEnd"/>
            <w:r w:rsidRPr="0085565C">
              <w:rPr>
                <w:rFonts w:cs="Arial"/>
                <w:sz w:val="16"/>
                <w:lang w:val="fr-FR"/>
              </w:rPr>
              <w:t xml:space="preserve"> L. H. Bailey; P. </w:t>
            </w:r>
            <w:proofErr w:type="spellStart"/>
            <w:r w:rsidRPr="0085565C">
              <w:rPr>
                <w:rFonts w:cs="Arial"/>
                <w:sz w:val="16"/>
                <w:lang w:val="fr-FR"/>
              </w:rPr>
              <w:t>crispum</w:t>
            </w:r>
            <w:proofErr w:type="spellEnd"/>
            <w:r w:rsidRPr="0085565C">
              <w:rPr>
                <w:rFonts w:cs="Arial"/>
                <w:sz w:val="16"/>
                <w:lang w:val="fr-FR"/>
              </w:rPr>
              <w:t xml:space="preserve"> (P.J. Bergius) L’</w:t>
            </w:r>
            <w:proofErr w:type="spellStart"/>
            <w:r w:rsidRPr="0085565C">
              <w:rPr>
                <w:rFonts w:cs="Arial"/>
                <w:sz w:val="16"/>
                <w:lang w:val="fr-FR"/>
              </w:rPr>
              <w:t>Hér</w:t>
            </w:r>
            <w:proofErr w:type="spellEnd"/>
            <w:r w:rsidRPr="0085565C">
              <w:rPr>
                <w:rFonts w:cs="Arial"/>
                <w:sz w:val="16"/>
                <w:lang w:val="fr-FR"/>
              </w:rPr>
              <w:t xml:space="preserve">. and P. </w:t>
            </w:r>
            <w:proofErr w:type="spellStart"/>
            <w:r w:rsidRPr="0085565C">
              <w:rPr>
                <w:rFonts w:cs="Arial"/>
                <w:sz w:val="16"/>
                <w:lang w:val="fr-FR"/>
              </w:rPr>
              <w:t>crispum</w:t>
            </w:r>
            <w:proofErr w:type="spellEnd"/>
            <w:r w:rsidRPr="0085565C">
              <w:rPr>
                <w:rFonts w:cs="Arial"/>
                <w:sz w:val="16"/>
                <w:lang w:val="fr-FR"/>
              </w:rPr>
              <w:t xml:space="preserve"> x P. ×</w:t>
            </w:r>
            <w:proofErr w:type="spellStart"/>
            <w:r w:rsidRPr="0085565C">
              <w:rPr>
                <w:rFonts w:cs="Arial"/>
                <w:sz w:val="16"/>
                <w:lang w:val="fr-FR"/>
              </w:rPr>
              <w:t>domesticum</w:t>
            </w:r>
            <w:proofErr w:type="spellEnd"/>
          </w:p>
        </w:tc>
      </w:tr>
      <w:tr w:rsidR="00AF7A00" w:rsidRPr="0085565C" w:rsidTr="00697CEF">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F7A00" w:rsidRPr="0085565C" w:rsidRDefault="00AF7A00" w:rsidP="00697CEF">
            <w:pPr>
              <w:rPr>
                <w:rFonts w:cs="Arial"/>
                <w:sz w:val="16"/>
                <w:lang w:val="fr-FR"/>
              </w:rPr>
            </w:pPr>
            <w:r w:rsidRPr="0085565C">
              <w:rPr>
                <w:rFonts w:cs="Arial"/>
                <w:sz w:val="16"/>
                <w:lang w:val="fr-FR"/>
              </w:rPr>
              <w:t>ES</w:t>
            </w:r>
          </w:p>
        </w:tc>
        <w:tc>
          <w:tcPr>
            <w:tcW w:w="5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rPr>
                <w:rFonts w:cs="Arial"/>
                <w:sz w:val="16"/>
                <w:lang w:val="fr-FR"/>
              </w:rPr>
            </w:pPr>
            <w:r w:rsidRPr="0085565C">
              <w:rPr>
                <w:rFonts w:cs="Arial"/>
                <w:sz w:val="16"/>
                <w:lang w:val="fr-FR"/>
              </w:rPr>
              <w:t>TWA</w:t>
            </w:r>
          </w:p>
        </w:tc>
        <w:tc>
          <w:tcPr>
            <w:tcW w:w="14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ind w:left="-36"/>
              <w:rPr>
                <w:rFonts w:cs="Arial"/>
                <w:sz w:val="16"/>
                <w:lang w:val="fr-FR"/>
              </w:rPr>
            </w:pPr>
            <w:r w:rsidRPr="0085565C">
              <w:rPr>
                <w:rFonts w:cs="Arial"/>
                <w:sz w:val="16"/>
                <w:lang w:val="fr-FR"/>
              </w:rPr>
              <w:t>TG/122/4(proj.4)</w:t>
            </w:r>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lang w:val="fr-FR"/>
              </w:rPr>
            </w:pPr>
            <w:proofErr w:type="spellStart"/>
            <w:r w:rsidRPr="0085565C">
              <w:rPr>
                <w:rFonts w:cs="Arial"/>
                <w:sz w:val="16"/>
                <w:lang w:val="fr-FR"/>
              </w:rPr>
              <w:t>Broomcorn</w:t>
            </w:r>
            <w:proofErr w:type="spellEnd"/>
            <w:r w:rsidRPr="0085565C">
              <w:rPr>
                <w:rFonts w:cs="Arial"/>
                <w:sz w:val="16"/>
                <w:lang w:val="fr-FR"/>
              </w:rPr>
              <w:t xml:space="preserve">, </w:t>
            </w:r>
            <w:proofErr w:type="spellStart"/>
            <w:r w:rsidRPr="0085565C">
              <w:rPr>
                <w:rFonts w:cs="Arial"/>
                <w:sz w:val="16"/>
                <w:lang w:val="fr-FR"/>
              </w:rPr>
              <w:t>Durra</w:t>
            </w:r>
            <w:proofErr w:type="spellEnd"/>
            <w:r w:rsidRPr="0085565C">
              <w:rPr>
                <w:rFonts w:cs="Arial"/>
                <w:sz w:val="16"/>
                <w:lang w:val="fr-FR"/>
              </w:rPr>
              <w:t xml:space="preserve">, </w:t>
            </w:r>
            <w:proofErr w:type="spellStart"/>
            <w:r w:rsidRPr="0085565C">
              <w:rPr>
                <w:rFonts w:cs="Arial"/>
                <w:sz w:val="16"/>
                <w:lang w:val="fr-FR"/>
              </w:rPr>
              <w:t>Feterita</w:t>
            </w:r>
            <w:proofErr w:type="spellEnd"/>
            <w:r w:rsidRPr="0085565C">
              <w:rPr>
                <w:rFonts w:cs="Arial"/>
                <w:sz w:val="16"/>
                <w:lang w:val="fr-FR"/>
              </w:rPr>
              <w:t xml:space="preserve">, </w:t>
            </w:r>
            <w:r w:rsidRPr="0085565C">
              <w:rPr>
                <w:rFonts w:cs="Arial"/>
                <w:sz w:val="16"/>
                <w:lang w:val="fr-FR"/>
              </w:rPr>
              <w:br/>
              <w:t xml:space="preserve">Forage </w:t>
            </w:r>
            <w:proofErr w:type="spellStart"/>
            <w:r w:rsidRPr="0085565C">
              <w:rPr>
                <w:rFonts w:cs="Arial"/>
                <w:sz w:val="16"/>
                <w:lang w:val="fr-FR"/>
              </w:rPr>
              <w:t>Sorghum</w:t>
            </w:r>
            <w:proofErr w:type="spellEnd"/>
            <w:r w:rsidRPr="0085565C">
              <w:rPr>
                <w:rFonts w:cs="Arial"/>
                <w:sz w:val="16"/>
                <w:lang w:val="fr-FR"/>
              </w:rPr>
              <w:t xml:space="preserve">, Grain </w:t>
            </w:r>
            <w:proofErr w:type="spellStart"/>
            <w:r w:rsidRPr="0085565C">
              <w:rPr>
                <w:rFonts w:cs="Arial"/>
                <w:sz w:val="16"/>
                <w:lang w:val="fr-FR"/>
              </w:rPr>
              <w:t>sorghum</w:t>
            </w:r>
            <w:proofErr w:type="spellEnd"/>
            <w:r w:rsidRPr="0085565C">
              <w:rPr>
                <w:rFonts w:cs="Arial"/>
                <w:sz w:val="16"/>
                <w:lang w:val="fr-FR"/>
              </w:rPr>
              <w:t xml:space="preserve">, Great Millet, </w:t>
            </w:r>
            <w:r w:rsidRPr="0085565C">
              <w:rPr>
                <w:rFonts w:cs="Arial"/>
                <w:sz w:val="16"/>
                <w:lang w:val="fr-FR"/>
              </w:rPr>
              <w:br/>
            </w:r>
            <w:proofErr w:type="spellStart"/>
            <w:r w:rsidRPr="0085565C">
              <w:rPr>
                <w:rFonts w:cs="Arial"/>
                <w:sz w:val="16"/>
                <w:lang w:val="fr-FR"/>
              </w:rPr>
              <w:t>Kaffir</w:t>
            </w:r>
            <w:proofErr w:type="spellEnd"/>
            <w:r w:rsidRPr="0085565C">
              <w:rPr>
                <w:rFonts w:cs="Arial"/>
                <w:sz w:val="16"/>
                <w:lang w:val="fr-FR"/>
              </w:rPr>
              <w:noBreakHyphen/>
              <w:t xml:space="preserve">corn, Milo, </w:t>
            </w:r>
            <w:proofErr w:type="spellStart"/>
            <w:r w:rsidRPr="0085565C">
              <w:rPr>
                <w:rFonts w:cs="Arial"/>
                <w:sz w:val="16"/>
                <w:lang w:val="fr-FR"/>
              </w:rPr>
              <w:t>Shallu</w:t>
            </w:r>
            <w:proofErr w:type="spellEnd"/>
            <w:r w:rsidRPr="0085565C">
              <w:rPr>
                <w:rFonts w:cs="Arial"/>
                <w:sz w:val="16"/>
                <w:lang w:val="fr-FR"/>
              </w:rPr>
              <w:t xml:space="preserve">, </w:t>
            </w:r>
            <w:proofErr w:type="spellStart"/>
            <w:r w:rsidRPr="0085565C">
              <w:rPr>
                <w:rFonts w:cs="Arial"/>
                <w:sz w:val="16"/>
                <w:lang w:val="fr-FR"/>
              </w:rPr>
              <w:t>Sorghum</w:t>
            </w:r>
            <w:proofErr w:type="spellEnd"/>
            <w:r w:rsidRPr="0085565C">
              <w:rPr>
                <w:rFonts w:cs="Arial"/>
                <w:sz w:val="16"/>
                <w:lang w:val="fr-FR"/>
              </w:rPr>
              <w:t xml:space="preserve">, </w:t>
            </w:r>
            <w:proofErr w:type="spellStart"/>
            <w:r w:rsidRPr="0085565C">
              <w:rPr>
                <w:rFonts w:cs="Arial"/>
                <w:sz w:val="16"/>
                <w:lang w:val="fr-FR"/>
              </w:rPr>
              <w:t>Sweet</w:t>
            </w:r>
            <w:proofErr w:type="spellEnd"/>
            <w:r w:rsidRPr="0085565C">
              <w:rPr>
                <w:rFonts w:cs="Arial"/>
                <w:sz w:val="16"/>
                <w:lang w:val="fr-FR"/>
              </w:rPr>
              <w:t xml:space="preserve"> </w:t>
            </w:r>
            <w:proofErr w:type="spellStart"/>
            <w:r w:rsidRPr="0085565C">
              <w:rPr>
                <w:rFonts w:cs="Arial"/>
                <w:sz w:val="16"/>
                <w:lang w:val="fr-FR"/>
              </w:rPr>
              <w:t>sorghum</w:t>
            </w:r>
            <w:proofErr w:type="spellEnd"/>
            <w:r w:rsidRPr="0085565C">
              <w:rPr>
                <w:rFonts w:cs="Arial"/>
                <w:sz w:val="16"/>
                <w:lang w:val="fr-FR"/>
              </w:rPr>
              <w:t>;</w:t>
            </w:r>
            <w:r w:rsidRPr="0085565C">
              <w:rPr>
                <w:rFonts w:cs="Arial"/>
                <w:sz w:val="16"/>
                <w:lang w:val="fr-FR"/>
              </w:rPr>
              <w:br/>
            </w:r>
            <w:proofErr w:type="spellStart"/>
            <w:r w:rsidRPr="0085565C">
              <w:rPr>
                <w:rFonts w:cs="Arial"/>
                <w:sz w:val="16"/>
                <w:lang w:val="fr-FR"/>
              </w:rPr>
              <w:t>Chicken</w:t>
            </w:r>
            <w:proofErr w:type="spellEnd"/>
            <w:r w:rsidRPr="0085565C">
              <w:rPr>
                <w:rFonts w:cs="Arial"/>
                <w:sz w:val="16"/>
                <w:lang w:val="fr-FR"/>
              </w:rPr>
              <w:noBreakHyphen/>
              <w:t xml:space="preserve">corn, </w:t>
            </w:r>
            <w:proofErr w:type="spellStart"/>
            <w:r w:rsidRPr="0085565C">
              <w:rPr>
                <w:rFonts w:cs="Arial"/>
                <w:sz w:val="16"/>
                <w:lang w:val="fr-FR"/>
              </w:rPr>
              <w:t>Shattercane</w:t>
            </w:r>
            <w:proofErr w:type="spellEnd"/>
            <w:r w:rsidRPr="0085565C">
              <w:rPr>
                <w:rFonts w:cs="Arial"/>
                <w:sz w:val="16"/>
                <w:lang w:val="fr-FR"/>
              </w:rPr>
              <w:t xml:space="preserve">, </w:t>
            </w:r>
            <w:proofErr w:type="spellStart"/>
            <w:r w:rsidRPr="0085565C">
              <w:rPr>
                <w:rFonts w:cs="Arial"/>
                <w:sz w:val="16"/>
                <w:lang w:val="fr-FR"/>
              </w:rPr>
              <w:t>Sordan</w:t>
            </w:r>
            <w:proofErr w:type="spellEnd"/>
            <w:r w:rsidRPr="0085565C">
              <w:rPr>
                <w:rFonts w:cs="Arial"/>
                <w:sz w:val="16"/>
                <w:lang w:val="fr-FR"/>
              </w:rPr>
              <w:t xml:space="preserve">, </w:t>
            </w:r>
            <w:r w:rsidRPr="0085565C">
              <w:rPr>
                <w:rFonts w:cs="Arial"/>
                <w:sz w:val="16"/>
                <w:lang w:val="fr-FR"/>
              </w:rPr>
              <w:br/>
            </w:r>
            <w:proofErr w:type="spellStart"/>
            <w:r w:rsidRPr="0085565C">
              <w:rPr>
                <w:rFonts w:cs="Arial"/>
                <w:sz w:val="16"/>
                <w:lang w:val="fr-FR"/>
              </w:rPr>
              <w:t>Sorghum</w:t>
            </w:r>
            <w:proofErr w:type="spellEnd"/>
            <w:r w:rsidRPr="0085565C">
              <w:rPr>
                <w:rFonts w:cs="Arial"/>
                <w:sz w:val="16"/>
                <w:lang w:val="fr-FR"/>
              </w:rPr>
              <w:t xml:space="preserve"> x </w:t>
            </w:r>
            <w:proofErr w:type="spellStart"/>
            <w:r w:rsidRPr="0085565C">
              <w:rPr>
                <w:rFonts w:cs="Arial"/>
                <w:sz w:val="16"/>
                <w:lang w:val="fr-FR"/>
              </w:rPr>
              <w:t>Sudan</w:t>
            </w:r>
            <w:proofErr w:type="spellEnd"/>
            <w:r w:rsidRPr="0085565C">
              <w:rPr>
                <w:rFonts w:cs="Arial"/>
                <w:sz w:val="16"/>
                <w:lang w:val="fr-FR"/>
              </w:rPr>
              <w:t xml:space="preserve"> Grass, </w:t>
            </w:r>
            <w:proofErr w:type="spellStart"/>
            <w:r w:rsidRPr="0085565C">
              <w:rPr>
                <w:rFonts w:cs="Arial"/>
                <w:sz w:val="16"/>
                <w:lang w:val="fr-FR"/>
              </w:rPr>
              <w:t>Sorghum</w:t>
            </w:r>
            <w:r w:rsidRPr="0085565C">
              <w:rPr>
                <w:rFonts w:cs="Arial"/>
                <w:sz w:val="16"/>
                <w:lang w:val="fr-FR"/>
              </w:rPr>
              <w:noBreakHyphen/>
              <w:t>sudangrass</w:t>
            </w:r>
            <w:proofErr w:type="spellEnd"/>
            <w:r w:rsidRPr="0085565C">
              <w:rPr>
                <w:rFonts w:cs="Arial"/>
                <w:sz w:val="16"/>
                <w:lang w:val="fr-FR"/>
              </w:rPr>
              <w:t xml:space="preserve">, </w:t>
            </w:r>
            <w:proofErr w:type="spellStart"/>
            <w:r w:rsidRPr="0085565C">
              <w:rPr>
                <w:rFonts w:cs="Arial"/>
                <w:sz w:val="16"/>
                <w:lang w:val="fr-FR"/>
              </w:rPr>
              <w:t>Sudan</w:t>
            </w:r>
            <w:proofErr w:type="spellEnd"/>
            <w:r w:rsidRPr="0085565C">
              <w:rPr>
                <w:rFonts w:cs="Arial"/>
                <w:sz w:val="16"/>
                <w:lang w:val="fr-FR"/>
              </w:rPr>
              <w:t xml:space="preserve"> </w:t>
            </w:r>
            <w:proofErr w:type="spellStart"/>
            <w:r w:rsidRPr="0085565C">
              <w:rPr>
                <w:rFonts w:cs="Arial"/>
                <w:sz w:val="16"/>
                <w:lang w:val="fr-FR"/>
              </w:rPr>
              <w:t>grass</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lang w:val="fr-FR"/>
              </w:rPr>
            </w:pPr>
            <w:r w:rsidRPr="0085565C">
              <w:rPr>
                <w:rFonts w:cs="Arial"/>
                <w:sz w:val="16"/>
                <w:lang w:val="fr-FR"/>
              </w:rPr>
              <w:t>Gros mil, Sorgho;  Sorgho menu, Sorgho x Sorgho du Soudan</w:t>
            </w:r>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lang w:val="fr-FR"/>
              </w:rPr>
            </w:pPr>
            <w:proofErr w:type="spellStart"/>
            <w:r w:rsidRPr="0085565C">
              <w:rPr>
                <w:rFonts w:cs="Arial"/>
                <w:sz w:val="16"/>
                <w:lang w:val="fr-FR"/>
              </w:rPr>
              <w:t>Mohrenhirse</w:t>
            </w:r>
            <w:proofErr w:type="spellEnd"/>
            <w:r w:rsidRPr="0085565C">
              <w:rPr>
                <w:rFonts w:cs="Arial"/>
                <w:sz w:val="16"/>
                <w:lang w:val="fr-FR"/>
              </w:rPr>
              <w:t xml:space="preserve">; </w:t>
            </w:r>
            <w:proofErr w:type="spellStart"/>
            <w:r w:rsidRPr="0085565C">
              <w:rPr>
                <w:rFonts w:cs="Arial"/>
                <w:sz w:val="16"/>
                <w:lang w:val="fr-FR"/>
              </w:rPr>
              <w:t>Mohrenhirse</w:t>
            </w:r>
            <w:proofErr w:type="spellEnd"/>
            <w:r w:rsidRPr="0085565C">
              <w:rPr>
                <w:rFonts w:cs="Arial"/>
                <w:sz w:val="16"/>
                <w:lang w:val="fr-FR"/>
              </w:rPr>
              <w:t xml:space="preserve"> x </w:t>
            </w:r>
            <w:proofErr w:type="spellStart"/>
            <w:r w:rsidRPr="0085565C">
              <w:rPr>
                <w:rFonts w:cs="Arial"/>
                <w:sz w:val="16"/>
                <w:lang w:val="fr-FR"/>
              </w:rPr>
              <w:t>Sudangras</w:t>
            </w:r>
            <w:proofErr w:type="spellEnd"/>
            <w:r w:rsidRPr="0085565C">
              <w:rPr>
                <w:rFonts w:cs="Arial"/>
                <w:sz w:val="16"/>
                <w:lang w:val="fr-FR"/>
              </w:rPr>
              <w:t xml:space="preserve">, </w:t>
            </w:r>
            <w:proofErr w:type="spellStart"/>
            <w:r w:rsidRPr="0085565C">
              <w:rPr>
                <w:rFonts w:cs="Arial"/>
                <w:sz w:val="16"/>
                <w:lang w:val="fr-FR"/>
              </w:rPr>
              <w:t>Sudangrass</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AF7A00" w:rsidRPr="00C258AE" w:rsidRDefault="00AF7A00" w:rsidP="00697CEF">
            <w:pPr>
              <w:jc w:val="left"/>
              <w:rPr>
                <w:rFonts w:cs="Arial"/>
                <w:sz w:val="16"/>
                <w:lang w:val="es-ES_tradnl"/>
              </w:rPr>
            </w:pPr>
            <w:r w:rsidRPr="00C258AE">
              <w:rPr>
                <w:rFonts w:cs="Arial"/>
                <w:sz w:val="16"/>
                <w:lang w:val="es-ES_tradnl"/>
              </w:rPr>
              <w:t xml:space="preserve">Daza, Sorgo, Sorgo forrajero; Pasto del Sudán, Pasto Sudán, Sorgo x Pasto del Sudán, Sudangrass </w:t>
            </w:r>
          </w:p>
        </w:tc>
        <w:tc>
          <w:tcPr>
            <w:tcW w:w="170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lang w:val="fr-FR"/>
              </w:rPr>
            </w:pPr>
            <w:r w:rsidRPr="00C258AE">
              <w:rPr>
                <w:rFonts w:cs="Arial"/>
                <w:sz w:val="16"/>
              </w:rPr>
              <w:t xml:space="preserve">Sorghum bicolor (L.) Moench; Sorghum ×drummondii (Steud.) Millsp. </w:t>
            </w:r>
            <w:r w:rsidRPr="0085565C">
              <w:rPr>
                <w:rFonts w:cs="Arial"/>
                <w:sz w:val="16"/>
                <w:lang w:val="fr-FR"/>
              </w:rPr>
              <w:t>&amp; Chase</w:t>
            </w:r>
          </w:p>
        </w:tc>
      </w:tr>
      <w:tr w:rsidR="00AF7A00" w:rsidRPr="0085565C" w:rsidTr="00697CEF">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F7A00" w:rsidRPr="0085565C" w:rsidRDefault="00AF7A00" w:rsidP="00697CEF">
            <w:pPr>
              <w:rPr>
                <w:rFonts w:cs="Arial"/>
                <w:sz w:val="16"/>
                <w:lang w:val="fr-FR"/>
              </w:rPr>
            </w:pPr>
            <w:r w:rsidRPr="0085565C">
              <w:rPr>
                <w:rFonts w:cs="Arial"/>
                <w:sz w:val="16"/>
                <w:lang w:val="fr-FR"/>
              </w:rPr>
              <w:t>ZA</w:t>
            </w:r>
          </w:p>
        </w:tc>
        <w:tc>
          <w:tcPr>
            <w:tcW w:w="5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rPr>
                <w:rFonts w:cs="Arial"/>
                <w:sz w:val="16"/>
                <w:lang w:val="fr-FR"/>
              </w:rPr>
            </w:pPr>
            <w:r w:rsidRPr="0085565C">
              <w:rPr>
                <w:rFonts w:cs="Arial"/>
                <w:sz w:val="16"/>
                <w:lang w:val="fr-FR"/>
              </w:rPr>
              <w:t>TWF</w:t>
            </w:r>
          </w:p>
        </w:tc>
        <w:tc>
          <w:tcPr>
            <w:tcW w:w="14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ind w:left="-36"/>
              <w:rPr>
                <w:rFonts w:cs="Arial"/>
                <w:sz w:val="16"/>
                <w:lang w:val="fr-FR"/>
              </w:rPr>
            </w:pPr>
            <w:r w:rsidRPr="0085565C">
              <w:rPr>
                <w:rFonts w:cs="Arial"/>
                <w:sz w:val="16"/>
                <w:lang w:val="fr-FR"/>
              </w:rPr>
              <w:t>TG/163/4(proj.7)</w:t>
            </w:r>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lang w:val="fr-FR"/>
              </w:rPr>
            </w:pPr>
            <w:r w:rsidRPr="0085565C">
              <w:rPr>
                <w:rFonts w:cs="Arial"/>
                <w:sz w:val="16"/>
                <w:lang w:val="fr-FR"/>
              </w:rPr>
              <w:t xml:space="preserve">Apple </w:t>
            </w:r>
            <w:proofErr w:type="spellStart"/>
            <w:r w:rsidRPr="0085565C">
              <w:rPr>
                <w:rFonts w:cs="Arial"/>
                <w:sz w:val="16"/>
                <w:lang w:val="fr-FR"/>
              </w:rPr>
              <w:t>Rootstocks</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lang w:val="fr-FR"/>
              </w:rPr>
            </w:pPr>
            <w:r w:rsidRPr="0085565C">
              <w:rPr>
                <w:rFonts w:cs="Arial"/>
                <w:sz w:val="16"/>
                <w:lang w:val="fr-FR"/>
              </w:rPr>
              <w:t>Porte</w:t>
            </w:r>
            <w:r w:rsidRPr="0085565C">
              <w:rPr>
                <w:rFonts w:cs="Arial"/>
                <w:sz w:val="16"/>
                <w:lang w:val="fr-FR"/>
              </w:rPr>
              <w:noBreakHyphen/>
              <w:t>greffes du pommier</w:t>
            </w:r>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lang w:val="fr-FR"/>
              </w:rPr>
            </w:pPr>
            <w:r w:rsidRPr="0085565C">
              <w:rPr>
                <w:rFonts w:cs="Arial"/>
                <w:sz w:val="16"/>
                <w:lang w:val="fr-FR"/>
              </w:rPr>
              <w:t>Apfel</w:t>
            </w:r>
            <w:r w:rsidRPr="0085565C">
              <w:rPr>
                <w:rFonts w:cs="Arial"/>
                <w:sz w:val="16"/>
                <w:lang w:val="fr-FR"/>
              </w:rPr>
              <w:noBreakHyphen/>
            </w:r>
            <w:proofErr w:type="spellStart"/>
            <w:r w:rsidRPr="0085565C">
              <w:rPr>
                <w:rFonts w:cs="Arial"/>
                <w:sz w:val="16"/>
                <w:lang w:val="fr-FR"/>
              </w:rPr>
              <w:t>Unterlagen</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lang w:val="fr-FR"/>
              </w:rPr>
            </w:pPr>
            <w:proofErr w:type="spellStart"/>
            <w:r w:rsidRPr="0085565C">
              <w:rPr>
                <w:rFonts w:cs="Arial"/>
                <w:sz w:val="16"/>
                <w:lang w:val="fr-FR"/>
              </w:rPr>
              <w:t>Portainjertos</w:t>
            </w:r>
            <w:proofErr w:type="spellEnd"/>
            <w:r w:rsidRPr="0085565C">
              <w:rPr>
                <w:rFonts w:cs="Arial"/>
                <w:sz w:val="16"/>
                <w:lang w:val="fr-FR"/>
              </w:rPr>
              <w:t xml:space="preserve"> de </w:t>
            </w:r>
            <w:proofErr w:type="spellStart"/>
            <w:r w:rsidRPr="0085565C">
              <w:rPr>
                <w:rFonts w:cs="Arial"/>
                <w:sz w:val="16"/>
                <w:lang w:val="fr-FR"/>
              </w:rPr>
              <w:t>manzano</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lang w:val="fr-FR"/>
              </w:rPr>
            </w:pPr>
            <w:r w:rsidRPr="0085565C">
              <w:rPr>
                <w:rFonts w:cs="Arial"/>
                <w:sz w:val="16"/>
                <w:lang w:val="fr-FR"/>
              </w:rPr>
              <w:t>Malus Mill.</w:t>
            </w:r>
          </w:p>
        </w:tc>
      </w:tr>
      <w:tr w:rsidR="00AF7A00" w:rsidRPr="0085565C" w:rsidTr="00697CEF">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F7A00" w:rsidRPr="0085565C" w:rsidRDefault="00AF7A00" w:rsidP="00697CEF">
            <w:pPr>
              <w:rPr>
                <w:rFonts w:cs="Arial"/>
                <w:sz w:val="16"/>
                <w:lang w:val="fr-FR"/>
              </w:rPr>
            </w:pPr>
            <w:r w:rsidRPr="0085565C">
              <w:rPr>
                <w:rFonts w:cs="Arial"/>
                <w:sz w:val="16"/>
                <w:lang w:val="fr-FR"/>
              </w:rPr>
              <w:t>FR</w:t>
            </w:r>
          </w:p>
        </w:tc>
        <w:tc>
          <w:tcPr>
            <w:tcW w:w="5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rPr>
                <w:rFonts w:cs="Arial"/>
                <w:sz w:val="16"/>
                <w:lang w:val="fr-FR"/>
              </w:rPr>
            </w:pPr>
            <w:r w:rsidRPr="0085565C">
              <w:rPr>
                <w:rFonts w:cs="Arial"/>
                <w:sz w:val="16"/>
                <w:lang w:val="fr-FR"/>
              </w:rPr>
              <w:t>TWV</w:t>
            </w:r>
          </w:p>
        </w:tc>
        <w:tc>
          <w:tcPr>
            <w:tcW w:w="14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ind w:left="-36"/>
              <w:rPr>
                <w:rFonts w:cs="Arial"/>
                <w:sz w:val="16"/>
                <w:lang w:val="fr-FR"/>
              </w:rPr>
            </w:pPr>
            <w:r w:rsidRPr="0085565C">
              <w:rPr>
                <w:rFonts w:cs="Arial"/>
                <w:sz w:val="16"/>
                <w:lang w:val="fr-FR"/>
              </w:rPr>
              <w:t>TG/210/2(proj.4)</w:t>
            </w:r>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lang w:val="fr-FR"/>
              </w:rPr>
            </w:pPr>
            <w:proofErr w:type="spellStart"/>
            <w:r w:rsidRPr="0085565C">
              <w:rPr>
                <w:rFonts w:cs="Arial"/>
                <w:sz w:val="16"/>
                <w:lang w:val="fr-FR"/>
              </w:rPr>
              <w:t>Lentil</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lang w:val="fr-FR"/>
              </w:rPr>
            </w:pPr>
            <w:r w:rsidRPr="0085565C">
              <w:rPr>
                <w:rFonts w:cs="Arial"/>
                <w:sz w:val="16"/>
                <w:lang w:val="fr-FR"/>
              </w:rPr>
              <w:t>Lentille</w:t>
            </w:r>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lang w:val="fr-FR"/>
              </w:rPr>
            </w:pPr>
            <w:proofErr w:type="spellStart"/>
            <w:r w:rsidRPr="0085565C">
              <w:rPr>
                <w:rFonts w:cs="Arial"/>
                <w:sz w:val="16"/>
                <w:lang w:val="fr-FR"/>
              </w:rPr>
              <w:t>Linse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lang w:val="fr-FR"/>
              </w:rPr>
            </w:pPr>
            <w:proofErr w:type="spellStart"/>
            <w:r w:rsidRPr="0085565C">
              <w:rPr>
                <w:rFonts w:cs="Arial"/>
                <w:sz w:val="16"/>
                <w:lang w:val="fr-FR"/>
              </w:rPr>
              <w:t>Lenteja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lang w:val="fr-FR"/>
              </w:rPr>
            </w:pPr>
            <w:r w:rsidRPr="0085565C">
              <w:rPr>
                <w:rFonts w:cs="Arial"/>
                <w:sz w:val="16"/>
                <w:lang w:val="fr-FR"/>
              </w:rPr>
              <w:t xml:space="preserve">Lens </w:t>
            </w:r>
            <w:proofErr w:type="spellStart"/>
            <w:r w:rsidRPr="0085565C">
              <w:rPr>
                <w:rFonts w:cs="Arial"/>
                <w:sz w:val="16"/>
                <w:lang w:val="fr-FR"/>
              </w:rPr>
              <w:t>culinaris</w:t>
            </w:r>
            <w:proofErr w:type="spellEnd"/>
            <w:r w:rsidRPr="0085565C">
              <w:rPr>
                <w:rFonts w:cs="Arial"/>
                <w:sz w:val="16"/>
                <w:lang w:val="fr-FR"/>
              </w:rPr>
              <w:t xml:space="preserve"> </w:t>
            </w:r>
            <w:proofErr w:type="spellStart"/>
            <w:r w:rsidRPr="0085565C">
              <w:rPr>
                <w:rFonts w:cs="Arial"/>
                <w:sz w:val="16"/>
                <w:lang w:val="fr-FR"/>
              </w:rPr>
              <w:t>Medik</w:t>
            </w:r>
            <w:proofErr w:type="spellEnd"/>
            <w:r w:rsidRPr="0085565C">
              <w:rPr>
                <w:rFonts w:cs="Arial"/>
                <w:sz w:val="16"/>
                <w:lang w:val="fr-FR"/>
              </w:rPr>
              <w:t>.</w:t>
            </w:r>
          </w:p>
        </w:tc>
      </w:tr>
      <w:tr w:rsidR="00AF7A00" w:rsidRPr="00C258AE" w:rsidTr="00697CEF">
        <w:trPr>
          <w:cantSplit/>
          <w:trHeight w:val="255"/>
        </w:trPr>
        <w:tc>
          <w:tcPr>
            <w:tcW w:w="9934" w:type="dxa"/>
            <w:gridSpan w:val="8"/>
            <w:tcBorders>
              <w:top w:val="nil"/>
              <w:left w:val="single" w:sz="4" w:space="0" w:color="auto"/>
              <w:bottom w:val="single" w:sz="4" w:space="0" w:color="auto"/>
              <w:right w:val="single" w:sz="4" w:space="0" w:color="auto"/>
            </w:tcBorders>
            <w:shd w:val="clear" w:color="auto" w:fill="auto"/>
          </w:tcPr>
          <w:p w:rsidR="00AF7A00" w:rsidRPr="0085565C" w:rsidRDefault="00AF7A00" w:rsidP="00697CEF">
            <w:pPr>
              <w:keepNext/>
              <w:spacing w:before="60" w:after="120"/>
              <w:ind w:left="-36"/>
              <w:jc w:val="left"/>
              <w:rPr>
                <w:rFonts w:eastAsia="MS Mincho" w:cs="Arial"/>
                <w:bCs/>
                <w:sz w:val="16"/>
                <w:szCs w:val="16"/>
                <w:u w:val="single"/>
                <w:lang w:val="fr-FR" w:eastAsia="ja-JP"/>
              </w:rPr>
            </w:pPr>
            <w:r w:rsidRPr="0085565C">
              <w:rPr>
                <w:rFonts w:cs="Arial"/>
                <w:bCs/>
                <w:sz w:val="16"/>
                <w:szCs w:val="16"/>
                <w:u w:val="single"/>
                <w:lang w:val="fr-FR"/>
              </w:rPr>
              <w:lastRenderedPageBreak/>
              <w:t xml:space="preserve">PARTIAL REVISIONS OF TEST GUIDELINES / </w:t>
            </w:r>
            <w:r w:rsidRPr="0085565C">
              <w:rPr>
                <w:rFonts w:cs="Arial"/>
                <w:sz w:val="16"/>
                <w:szCs w:val="16"/>
                <w:u w:val="single"/>
                <w:lang w:val="fr-FR"/>
              </w:rPr>
              <w:t>RÉVISIONS PARTIELLES DE PRINCIPES DIRECTEURS D’EXAMEN ADOPTÉS /</w:t>
            </w:r>
            <w:r w:rsidRPr="0085565C">
              <w:rPr>
                <w:rFonts w:cs="Arial"/>
                <w:sz w:val="16"/>
                <w:szCs w:val="16"/>
                <w:u w:val="single"/>
                <w:lang w:val="fr-FR"/>
              </w:rPr>
              <w:br/>
              <w:t>TEILREVISIONEN ANGENOMMENER PRÜFUNGSRICHTLINIEN / REVISIONES PARCIALES DE DIRECTRICES DE EXAMEN ADOPTADAS</w:t>
            </w:r>
          </w:p>
        </w:tc>
      </w:tr>
      <w:tr w:rsidR="00AF7A00" w:rsidRPr="0085565C" w:rsidTr="00697CEF">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F7A00" w:rsidRPr="0085565C" w:rsidRDefault="00AF7A00" w:rsidP="00697CEF">
            <w:pPr>
              <w:keepNext/>
              <w:rPr>
                <w:rFonts w:cs="Arial"/>
                <w:sz w:val="16"/>
                <w:szCs w:val="16"/>
                <w:lang w:val="fr-FR"/>
              </w:rPr>
            </w:pPr>
            <w:r w:rsidRPr="0085565C">
              <w:rPr>
                <w:rFonts w:cs="Arial"/>
                <w:sz w:val="16"/>
                <w:szCs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keepNext/>
              <w:rPr>
                <w:rFonts w:cs="Arial"/>
                <w:sz w:val="16"/>
                <w:szCs w:val="16"/>
                <w:lang w:val="fr-FR"/>
              </w:rPr>
            </w:pPr>
            <w:r w:rsidRPr="0085565C">
              <w:rPr>
                <w:rFonts w:cs="Arial"/>
                <w:sz w:val="16"/>
                <w:szCs w:val="16"/>
                <w:lang w:val="fr-FR"/>
              </w:rPr>
              <w:t>TWV</w:t>
            </w:r>
          </w:p>
        </w:tc>
        <w:tc>
          <w:tcPr>
            <w:tcW w:w="1490" w:type="dxa"/>
            <w:tcBorders>
              <w:top w:val="single" w:sz="4" w:space="0" w:color="auto"/>
              <w:left w:val="nil"/>
              <w:bottom w:val="single" w:sz="4" w:space="0" w:color="auto"/>
              <w:right w:val="single" w:sz="4" w:space="0" w:color="auto"/>
            </w:tcBorders>
            <w:shd w:val="clear" w:color="auto" w:fill="auto"/>
          </w:tcPr>
          <w:p w:rsidR="00AF7A00" w:rsidRPr="00C258AE" w:rsidRDefault="00AF7A00" w:rsidP="00697CEF">
            <w:pPr>
              <w:keepNext/>
              <w:ind w:left="-36"/>
              <w:jc w:val="left"/>
              <w:rPr>
                <w:rFonts w:cs="Arial"/>
                <w:sz w:val="16"/>
                <w:szCs w:val="16"/>
              </w:rPr>
            </w:pPr>
            <w:r w:rsidRPr="00C258AE">
              <w:rPr>
                <w:rFonts w:cs="Arial"/>
                <w:sz w:val="16"/>
                <w:szCs w:val="16"/>
              </w:rPr>
              <w:t xml:space="preserve">TG/12/9 Rev. and document TC/51/27 </w:t>
            </w:r>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keepNext/>
              <w:jc w:val="left"/>
              <w:rPr>
                <w:rFonts w:cs="Arial"/>
                <w:sz w:val="16"/>
                <w:szCs w:val="16"/>
                <w:lang w:val="fr-FR"/>
              </w:rPr>
            </w:pPr>
            <w:r w:rsidRPr="0085565C">
              <w:rPr>
                <w:rFonts w:cs="Arial"/>
                <w:sz w:val="16"/>
                <w:szCs w:val="16"/>
                <w:lang w:val="fr-FR"/>
              </w:rPr>
              <w:t>French Bean</w:t>
            </w:r>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keepNext/>
              <w:jc w:val="left"/>
              <w:rPr>
                <w:rFonts w:cs="Arial"/>
                <w:sz w:val="16"/>
                <w:szCs w:val="16"/>
                <w:lang w:val="fr-FR"/>
              </w:rPr>
            </w:pPr>
            <w:r w:rsidRPr="0085565C">
              <w:rPr>
                <w:rFonts w:cs="Arial"/>
                <w:sz w:val="16"/>
                <w:szCs w:val="16"/>
                <w:lang w:val="fr-FR"/>
              </w:rPr>
              <w:t>Haricot</w:t>
            </w:r>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keepNext/>
              <w:jc w:val="left"/>
              <w:rPr>
                <w:rFonts w:cs="Arial"/>
                <w:sz w:val="16"/>
                <w:szCs w:val="16"/>
                <w:lang w:val="fr-FR"/>
              </w:rPr>
            </w:pPr>
            <w:proofErr w:type="spellStart"/>
            <w:r w:rsidRPr="0085565C">
              <w:rPr>
                <w:rFonts w:cs="Arial"/>
                <w:sz w:val="16"/>
                <w:szCs w:val="16"/>
                <w:lang w:val="fr-FR"/>
              </w:rPr>
              <w:t>Gartenbohne</w:t>
            </w:r>
            <w:proofErr w:type="spellEnd"/>
            <w:r w:rsidRPr="0085565C">
              <w:rPr>
                <w:rFonts w:cs="Arial"/>
                <w:sz w:val="16"/>
                <w:szCs w:val="16"/>
                <w:lang w:val="fr-FR"/>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keepNext/>
              <w:jc w:val="left"/>
              <w:rPr>
                <w:rFonts w:cs="Arial"/>
                <w:sz w:val="16"/>
                <w:szCs w:val="16"/>
                <w:lang w:val="fr-FR"/>
              </w:rPr>
            </w:pPr>
            <w:proofErr w:type="spellStart"/>
            <w:r w:rsidRPr="0085565C">
              <w:rPr>
                <w:rFonts w:cs="Arial"/>
                <w:sz w:val="16"/>
                <w:szCs w:val="16"/>
                <w:lang w:val="fr-FR"/>
              </w:rPr>
              <w:t>Judía</w:t>
            </w:r>
            <w:proofErr w:type="spellEnd"/>
            <w:r w:rsidRPr="0085565C">
              <w:rPr>
                <w:rFonts w:cs="Arial"/>
                <w:sz w:val="16"/>
                <w:szCs w:val="16"/>
                <w:lang w:val="fr-FR"/>
              </w:rPr>
              <w:t xml:space="preserve"> </w:t>
            </w:r>
            <w:proofErr w:type="spellStart"/>
            <w:r w:rsidRPr="0085565C">
              <w:rPr>
                <w:rFonts w:cs="Arial"/>
                <w:sz w:val="16"/>
                <w:szCs w:val="16"/>
                <w:lang w:val="fr-FR"/>
              </w:rPr>
              <w:t>común</w:t>
            </w:r>
            <w:proofErr w:type="spellEnd"/>
            <w:r w:rsidRPr="0085565C">
              <w:rPr>
                <w:rFonts w:cs="Arial"/>
                <w:sz w:val="16"/>
                <w:szCs w:val="16"/>
                <w:lang w:val="fr-FR"/>
              </w:rPr>
              <w:t xml:space="preserve">, </w:t>
            </w:r>
            <w:proofErr w:type="spellStart"/>
            <w:r w:rsidRPr="0085565C">
              <w:rPr>
                <w:rFonts w:cs="Arial"/>
                <w:sz w:val="16"/>
                <w:szCs w:val="16"/>
                <w:lang w:val="fr-FR"/>
              </w:rPr>
              <w:t>Alubia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keepNext/>
              <w:jc w:val="left"/>
              <w:rPr>
                <w:rFonts w:cs="Arial"/>
                <w:sz w:val="16"/>
                <w:szCs w:val="16"/>
                <w:lang w:val="fr-FR"/>
              </w:rPr>
            </w:pPr>
            <w:proofErr w:type="spellStart"/>
            <w:r w:rsidRPr="0085565C">
              <w:rPr>
                <w:rFonts w:cs="Arial"/>
                <w:sz w:val="16"/>
                <w:szCs w:val="16"/>
                <w:lang w:val="fr-FR"/>
              </w:rPr>
              <w:t>Phaseolus</w:t>
            </w:r>
            <w:proofErr w:type="spellEnd"/>
            <w:r w:rsidRPr="0085565C">
              <w:rPr>
                <w:rFonts w:cs="Arial"/>
                <w:sz w:val="16"/>
                <w:szCs w:val="16"/>
                <w:lang w:val="fr-FR"/>
              </w:rPr>
              <w:t xml:space="preserve"> </w:t>
            </w:r>
            <w:proofErr w:type="spellStart"/>
            <w:r w:rsidRPr="0085565C">
              <w:rPr>
                <w:rFonts w:cs="Arial"/>
                <w:sz w:val="16"/>
                <w:szCs w:val="16"/>
                <w:lang w:val="fr-FR"/>
              </w:rPr>
              <w:t>vulgaris</w:t>
            </w:r>
            <w:proofErr w:type="spellEnd"/>
            <w:r w:rsidRPr="0085565C">
              <w:rPr>
                <w:rFonts w:cs="Arial"/>
                <w:sz w:val="16"/>
                <w:szCs w:val="16"/>
                <w:lang w:val="fr-FR"/>
              </w:rPr>
              <w:t xml:space="preserve"> L.</w:t>
            </w:r>
          </w:p>
        </w:tc>
      </w:tr>
      <w:tr w:rsidR="00AF7A00" w:rsidRPr="0085565C" w:rsidTr="00697CEF">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F7A00" w:rsidRPr="0085565C" w:rsidRDefault="00AF7A00" w:rsidP="00697CEF">
            <w:pPr>
              <w:rPr>
                <w:rFonts w:cs="Arial"/>
                <w:sz w:val="16"/>
                <w:szCs w:val="16"/>
                <w:lang w:val="fr-FR"/>
              </w:rPr>
            </w:pPr>
            <w:r w:rsidRPr="0085565C">
              <w:rPr>
                <w:rFonts w:cs="Arial"/>
                <w:sz w:val="16"/>
                <w:szCs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rPr>
                <w:rFonts w:cs="Arial"/>
                <w:sz w:val="16"/>
                <w:szCs w:val="16"/>
                <w:lang w:val="fr-FR"/>
              </w:rPr>
            </w:pPr>
            <w:r w:rsidRPr="0085565C">
              <w:rPr>
                <w:rFonts w:cs="Arial"/>
                <w:sz w:val="16"/>
                <w:szCs w:val="16"/>
                <w:lang w:val="fr-FR"/>
              </w:rPr>
              <w:t>TWV</w:t>
            </w:r>
          </w:p>
        </w:tc>
        <w:tc>
          <w:tcPr>
            <w:tcW w:w="1490" w:type="dxa"/>
            <w:tcBorders>
              <w:top w:val="single" w:sz="4" w:space="0" w:color="auto"/>
              <w:left w:val="nil"/>
              <w:bottom w:val="single" w:sz="4" w:space="0" w:color="auto"/>
              <w:right w:val="single" w:sz="4" w:space="0" w:color="auto"/>
            </w:tcBorders>
            <w:shd w:val="clear" w:color="auto" w:fill="auto"/>
          </w:tcPr>
          <w:p w:rsidR="00AF7A00" w:rsidRPr="00C258AE" w:rsidRDefault="00AF7A00" w:rsidP="00697CEF">
            <w:pPr>
              <w:ind w:left="-36"/>
              <w:jc w:val="left"/>
              <w:rPr>
                <w:rFonts w:cs="Arial"/>
                <w:sz w:val="16"/>
                <w:szCs w:val="16"/>
              </w:rPr>
            </w:pPr>
            <w:r w:rsidRPr="00C258AE">
              <w:rPr>
                <w:rFonts w:cs="Arial"/>
                <w:sz w:val="16"/>
                <w:szCs w:val="16"/>
              </w:rPr>
              <w:t xml:space="preserve">TG/55/7 Rev. 2 and document TC/51/29 </w:t>
            </w:r>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Spinach</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r w:rsidRPr="0085565C">
              <w:rPr>
                <w:rFonts w:cs="Arial"/>
                <w:sz w:val="16"/>
                <w:szCs w:val="16"/>
                <w:lang w:val="fr-FR"/>
              </w:rPr>
              <w:t>Épinard</w:t>
            </w:r>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Spinat</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Espinaca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Spinacia</w:t>
            </w:r>
            <w:proofErr w:type="spellEnd"/>
            <w:r w:rsidRPr="0085565C">
              <w:rPr>
                <w:rFonts w:cs="Arial"/>
                <w:sz w:val="16"/>
                <w:szCs w:val="16"/>
                <w:lang w:val="fr-FR"/>
              </w:rPr>
              <w:t xml:space="preserve"> </w:t>
            </w:r>
            <w:proofErr w:type="spellStart"/>
            <w:r w:rsidRPr="0085565C">
              <w:rPr>
                <w:rFonts w:cs="Arial"/>
                <w:sz w:val="16"/>
                <w:szCs w:val="16"/>
                <w:lang w:val="fr-FR"/>
              </w:rPr>
              <w:t>oleracea</w:t>
            </w:r>
            <w:proofErr w:type="spellEnd"/>
            <w:r w:rsidRPr="0085565C">
              <w:rPr>
                <w:rFonts w:cs="Arial"/>
                <w:sz w:val="16"/>
                <w:szCs w:val="16"/>
                <w:lang w:val="fr-FR"/>
              </w:rPr>
              <w:t xml:space="preserve"> L.</w:t>
            </w:r>
          </w:p>
        </w:tc>
      </w:tr>
      <w:tr w:rsidR="00AF7A00" w:rsidRPr="0085565C" w:rsidTr="00697CEF">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F7A00" w:rsidRPr="0085565C" w:rsidRDefault="00AF7A00" w:rsidP="00697CEF">
            <w:pPr>
              <w:rPr>
                <w:rFonts w:cs="Arial"/>
                <w:sz w:val="16"/>
                <w:szCs w:val="16"/>
                <w:lang w:val="fr-FR"/>
              </w:rPr>
            </w:pPr>
            <w:r w:rsidRPr="0085565C">
              <w:rPr>
                <w:rFonts w:cs="Arial"/>
                <w:sz w:val="16"/>
                <w:szCs w:val="16"/>
                <w:lang w:val="fr-FR"/>
              </w:rPr>
              <w:t>ES</w:t>
            </w:r>
          </w:p>
        </w:tc>
        <w:tc>
          <w:tcPr>
            <w:tcW w:w="5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rPr>
                <w:rFonts w:cs="Arial"/>
                <w:sz w:val="16"/>
                <w:szCs w:val="16"/>
                <w:lang w:val="fr-FR"/>
              </w:rPr>
            </w:pPr>
            <w:r w:rsidRPr="0085565C">
              <w:rPr>
                <w:rFonts w:cs="Arial"/>
                <w:sz w:val="16"/>
                <w:szCs w:val="16"/>
                <w:lang w:val="fr-FR"/>
              </w:rPr>
              <w:t>TWV</w:t>
            </w:r>
          </w:p>
        </w:tc>
        <w:tc>
          <w:tcPr>
            <w:tcW w:w="1490" w:type="dxa"/>
            <w:tcBorders>
              <w:top w:val="single" w:sz="4" w:space="0" w:color="auto"/>
              <w:left w:val="nil"/>
              <w:bottom w:val="single" w:sz="4" w:space="0" w:color="auto"/>
              <w:right w:val="single" w:sz="4" w:space="0" w:color="auto"/>
            </w:tcBorders>
            <w:shd w:val="clear" w:color="auto" w:fill="auto"/>
          </w:tcPr>
          <w:p w:rsidR="00AF7A00" w:rsidRPr="00C258AE" w:rsidRDefault="00AF7A00" w:rsidP="00697CEF">
            <w:pPr>
              <w:ind w:left="-36"/>
              <w:jc w:val="left"/>
              <w:rPr>
                <w:rFonts w:cs="Arial"/>
                <w:sz w:val="16"/>
                <w:szCs w:val="16"/>
              </w:rPr>
            </w:pPr>
            <w:r w:rsidRPr="00C258AE">
              <w:rPr>
                <w:rFonts w:cs="Arial"/>
                <w:sz w:val="16"/>
                <w:szCs w:val="16"/>
              </w:rPr>
              <w:t xml:space="preserve">TG/61/7 Rev. and document TC/51/26 </w:t>
            </w:r>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Cucumber</w:t>
            </w:r>
            <w:proofErr w:type="spellEnd"/>
            <w:r w:rsidRPr="0085565C">
              <w:rPr>
                <w:rFonts w:cs="Arial"/>
                <w:sz w:val="16"/>
                <w:szCs w:val="16"/>
                <w:lang w:val="fr-FR"/>
              </w:rPr>
              <w:t xml:space="preserve">, </w:t>
            </w:r>
            <w:proofErr w:type="spellStart"/>
            <w:r w:rsidRPr="0085565C">
              <w:rPr>
                <w:rFonts w:cs="Arial"/>
                <w:sz w:val="16"/>
                <w:szCs w:val="16"/>
                <w:lang w:val="fr-FR"/>
              </w:rPr>
              <w:t>Gherkin</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r w:rsidRPr="0085565C">
              <w:rPr>
                <w:rFonts w:cs="Arial"/>
                <w:sz w:val="16"/>
                <w:szCs w:val="16"/>
                <w:lang w:val="fr-FR"/>
              </w:rPr>
              <w:t>Concombre, Cornichon</w:t>
            </w:r>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Gurke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Pepino</w:t>
            </w:r>
            <w:proofErr w:type="spellEnd"/>
            <w:r w:rsidRPr="0085565C">
              <w:rPr>
                <w:rFonts w:cs="Arial"/>
                <w:sz w:val="16"/>
                <w:szCs w:val="16"/>
                <w:lang w:val="fr-FR"/>
              </w:rPr>
              <w:t xml:space="preserve">, </w:t>
            </w:r>
            <w:proofErr w:type="spellStart"/>
            <w:r w:rsidRPr="0085565C">
              <w:rPr>
                <w:rFonts w:cs="Arial"/>
                <w:sz w:val="16"/>
                <w:szCs w:val="16"/>
                <w:lang w:val="fr-FR"/>
              </w:rPr>
              <w:t>Pepinillo</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Cucumis</w:t>
            </w:r>
            <w:proofErr w:type="spellEnd"/>
            <w:r w:rsidRPr="0085565C">
              <w:rPr>
                <w:rFonts w:cs="Arial"/>
                <w:sz w:val="16"/>
                <w:szCs w:val="16"/>
                <w:lang w:val="fr-FR"/>
              </w:rPr>
              <w:t xml:space="preserve"> </w:t>
            </w:r>
            <w:proofErr w:type="spellStart"/>
            <w:r w:rsidRPr="0085565C">
              <w:rPr>
                <w:rFonts w:cs="Arial"/>
                <w:sz w:val="16"/>
                <w:szCs w:val="16"/>
                <w:lang w:val="fr-FR"/>
              </w:rPr>
              <w:t>sativus</w:t>
            </w:r>
            <w:proofErr w:type="spellEnd"/>
            <w:r w:rsidRPr="0085565C">
              <w:rPr>
                <w:rFonts w:cs="Arial"/>
                <w:sz w:val="16"/>
                <w:szCs w:val="16"/>
                <w:lang w:val="fr-FR"/>
              </w:rPr>
              <w:t xml:space="preserve"> L.</w:t>
            </w:r>
          </w:p>
        </w:tc>
      </w:tr>
      <w:tr w:rsidR="00AF7A00" w:rsidRPr="0085565C" w:rsidTr="00697CEF">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F7A00" w:rsidRPr="0085565C" w:rsidRDefault="00AF7A00" w:rsidP="00697CEF">
            <w:pPr>
              <w:rPr>
                <w:rFonts w:cs="Arial"/>
                <w:sz w:val="16"/>
                <w:szCs w:val="16"/>
                <w:lang w:val="fr-FR"/>
              </w:rPr>
            </w:pPr>
            <w:r w:rsidRPr="0085565C">
              <w:rPr>
                <w:rFonts w:cs="Arial"/>
                <w:sz w:val="16"/>
                <w:szCs w:val="16"/>
                <w:lang w:val="fr-FR"/>
              </w:rPr>
              <w:t>NL/FR</w:t>
            </w:r>
          </w:p>
        </w:tc>
        <w:tc>
          <w:tcPr>
            <w:tcW w:w="5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rPr>
                <w:rFonts w:cs="Arial"/>
                <w:sz w:val="16"/>
                <w:szCs w:val="16"/>
                <w:lang w:val="fr-FR"/>
              </w:rPr>
            </w:pPr>
            <w:r w:rsidRPr="0085565C">
              <w:rPr>
                <w:rFonts w:cs="Arial"/>
                <w:sz w:val="16"/>
                <w:szCs w:val="16"/>
                <w:lang w:val="fr-FR"/>
              </w:rPr>
              <w:t>TWV</w:t>
            </w:r>
          </w:p>
        </w:tc>
        <w:tc>
          <w:tcPr>
            <w:tcW w:w="14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ind w:left="-36"/>
              <w:jc w:val="left"/>
              <w:rPr>
                <w:rFonts w:cs="Arial"/>
                <w:sz w:val="16"/>
                <w:szCs w:val="16"/>
                <w:lang w:val="fr-FR"/>
              </w:rPr>
            </w:pPr>
            <w:r w:rsidRPr="0085565C">
              <w:rPr>
                <w:rFonts w:cs="Arial"/>
                <w:sz w:val="16"/>
                <w:szCs w:val="16"/>
                <w:lang w:val="fr-FR"/>
              </w:rPr>
              <w:t xml:space="preserve">TG/76/8 and document TC/51/30 </w:t>
            </w:r>
          </w:p>
        </w:tc>
        <w:tc>
          <w:tcPr>
            <w:tcW w:w="1417" w:type="dxa"/>
            <w:tcBorders>
              <w:top w:val="single" w:sz="4" w:space="0" w:color="auto"/>
              <w:left w:val="nil"/>
              <w:bottom w:val="single" w:sz="4" w:space="0" w:color="auto"/>
              <w:right w:val="single" w:sz="4" w:space="0" w:color="auto"/>
            </w:tcBorders>
            <w:shd w:val="clear" w:color="auto" w:fill="auto"/>
          </w:tcPr>
          <w:p w:rsidR="00AF7A00" w:rsidRPr="00C258AE" w:rsidRDefault="00AF7A00" w:rsidP="00697CEF">
            <w:pPr>
              <w:jc w:val="left"/>
              <w:rPr>
                <w:rFonts w:cs="Arial"/>
                <w:sz w:val="16"/>
                <w:szCs w:val="16"/>
              </w:rPr>
            </w:pPr>
            <w:r w:rsidRPr="00C258AE">
              <w:rPr>
                <w:rFonts w:cs="Arial"/>
                <w:sz w:val="16"/>
                <w:szCs w:val="16"/>
              </w:rPr>
              <w:t>Sweet Pepper, Hot Pepper, Paprika, Chili</w:t>
            </w:r>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r w:rsidRPr="0085565C">
              <w:rPr>
                <w:rFonts w:cs="Arial"/>
                <w:sz w:val="16"/>
                <w:szCs w:val="16"/>
                <w:lang w:val="fr-FR"/>
              </w:rPr>
              <w:t>Piment, Poivron</w:t>
            </w:r>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r w:rsidRPr="0085565C">
              <w:rPr>
                <w:rFonts w:cs="Arial"/>
                <w:sz w:val="16"/>
                <w:szCs w:val="16"/>
                <w:lang w:val="fr-FR"/>
              </w:rPr>
              <w:t>Paprika</w:t>
            </w:r>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Aji</w:t>
            </w:r>
            <w:proofErr w:type="spellEnd"/>
            <w:r w:rsidRPr="0085565C">
              <w:rPr>
                <w:rFonts w:cs="Arial"/>
                <w:sz w:val="16"/>
                <w:szCs w:val="16"/>
                <w:lang w:val="fr-FR"/>
              </w:rPr>
              <w:t xml:space="preserve">, Chile, </w:t>
            </w:r>
            <w:proofErr w:type="spellStart"/>
            <w:r w:rsidRPr="0085565C">
              <w:rPr>
                <w:rFonts w:cs="Arial"/>
                <w:sz w:val="16"/>
                <w:szCs w:val="16"/>
                <w:lang w:val="fr-FR"/>
              </w:rPr>
              <w:t>Pimiento</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Capsicum</w:t>
            </w:r>
            <w:proofErr w:type="spellEnd"/>
            <w:r w:rsidRPr="0085565C">
              <w:rPr>
                <w:rFonts w:cs="Arial"/>
                <w:sz w:val="16"/>
                <w:szCs w:val="16"/>
                <w:lang w:val="fr-FR"/>
              </w:rPr>
              <w:t xml:space="preserve"> </w:t>
            </w:r>
            <w:proofErr w:type="spellStart"/>
            <w:r w:rsidRPr="0085565C">
              <w:rPr>
                <w:rFonts w:cs="Arial"/>
                <w:sz w:val="16"/>
                <w:szCs w:val="16"/>
                <w:lang w:val="fr-FR"/>
              </w:rPr>
              <w:t>annuum</w:t>
            </w:r>
            <w:proofErr w:type="spellEnd"/>
            <w:r w:rsidRPr="0085565C">
              <w:rPr>
                <w:rFonts w:cs="Arial"/>
                <w:sz w:val="16"/>
                <w:szCs w:val="16"/>
                <w:lang w:val="fr-FR"/>
              </w:rPr>
              <w:t xml:space="preserve"> L.</w:t>
            </w:r>
          </w:p>
        </w:tc>
      </w:tr>
      <w:tr w:rsidR="00AF7A00" w:rsidRPr="0085565C" w:rsidTr="00697CEF">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F7A00" w:rsidRPr="0085565C" w:rsidRDefault="00AF7A00" w:rsidP="00697CEF">
            <w:pPr>
              <w:rPr>
                <w:rFonts w:cs="Arial"/>
                <w:sz w:val="16"/>
                <w:szCs w:val="16"/>
                <w:lang w:val="fr-FR"/>
              </w:rPr>
            </w:pPr>
            <w:r w:rsidRPr="0085565C">
              <w:rPr>
                <w:rFonts w:cs="Arial"/>
                <w:sz w:val="16"/>
                <w:szCs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rPr>
                <w:rFonts w:cs="Arial"/>
                <w:sz w:val="16"/>
                <w:szCs w:val="16"/>
                <w:lang w:val="fr-FR"/>
              </w:rPr>
            </w:pPr>
            <w:r w:rsidRPr="0085565C">
              <w:rPr>
                <w:rFonts w:cs="Arial"/>
                <w:sz w:val="16"/>
                <w:szCs w:val="16"/>
                <w:lang w:val="fr-FR"/>
              </w:rPr>
              <w:t>TWO</w:t>
            </w:r>
          </w:p>
        </w:tc>
        <w:tc>
          <w:tcPr>
            <w:tcW w:w="14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ind w:left="-36"/>
              <w:jc w:val="left"/>
              <w:rPr>
                <w:rFonts w:cs="Arial"/>
                <w:sz w:val="16"/>
                <w:szCs w:val="16"/>
                <w:lang w:val="fr-FR"/>
              </w:rPr>
            </w:pPr>
            <w:r w:rsidRPr="0085565C">
              <w:rPr>
                <w:rFonts w:cs="Arial"/>
                <w:sz w:val="16"/>
                <w:szCs w:val="16"/>
                <w:lang w:val="fr-FR"/>
              </w:rPr>
              <w:t xml:space="preserve">TG/108/4 and document TC/51/32 </w:t>
            </w:r>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Gladiolus</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r w:rsidRPr="0085565C">
              <w:rPr>
                <w:rFonts w:cs="Arial"/>
                <w:sz w:val="16"/>
                <w:szCs w:val="16"/>
                <w:lang w:val="fr-FR"/>
              </w:rPr>
              <w:t>Glaïeul</w:t>
            </w:r>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Gladiole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Gladiolo</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Gladiolus</w:t>
            </w:r>
            <w:proofErr w:type="spellEnd"/>
            <w:r w:rsidRPr="0085565C">
              <w:rPr>
                <w:rFonts w:cs="Arial"/>
                <w:sz w:val="16"/>
                <w:szCs w:val="16"/>
                <w:lang w:val="fr-FR"/>
              </w:rPr>
              <w:t xml:space="preserve"> L.</w:t>
            </w:r>
          </w:p>
        </w:tc>
      </w:tr>
      <w:tr w:rsidR="00AF7A00" w:rsidRPr="0085565C" w:rsidTr="00697CEF">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F7A00" w:rsidRPr="0085565C" w:rsidRDefault="00AF7A00" w:rsidP="00697CEF">
            <w:pPr>
              <w:rPr>
                <w:rFonts w:cs="Arial"/>
                <w:sz w:val="16"/>
                <w:szCs w:val="16"/>
                <w:lang w:val="fr-FR"/>
              </w:rPr>
            </w:pPr>
            <w:r w:rsidRPr="0085565C">
              <w:rPr>
                <w:rFonts w:cs="Arial"/>
                <w:sz w:val="16"/>
                <w:szCs w:val="16"/>
                <w:lang w:val="fr-FR"/>
              </w:rPr>
              <w:t>ES</w:t>
            </w:r>
          </w:p>
        </w:tc>
        <w:tc>
          <w:tcPr>
            <w:tcW w:w="5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rPr>
                <w:rFonts w:cs="Arial"/>
                <w:sz w:val="16"/>
                <w:szCs w:val="16"/>
                <w:lang w:val="fr-FR"/>
              </w:rPr>
            </w:pPr>
            <w:r w:rsidRPr="0085565C">
              <w:rPr>
                <w:rFonts w:cs="Arial"/>
                <w:sz w:val="16"/>
                <w:szCs w:val="16"/>
                <w:lang w:val="fr-FR"/>
              </w:rPr>
              <w:t>TWF</w:t>
            </w:r>
          </w:p>
        </w:tc>
        <w:tc>
          <w:tcPr>
            <w:tcW w:w="14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ind w:left="-36"/>
              <w:jc w:val="left"/>
              <w:rPr>
                <w:rFonts w:cs="Arial"/>
                <w:sz w:val="16"/>
                <w:szCs w:val="16"/>
                <w:lang w:val="fr-FR"/>
              </w:rPr>
            </w:pPr>
            <w:r w:rsidRPr="0085565C">
              <w:rPr>
                <w:rFonts w:cs="Arial"/>
                <w:sz w:val="16"/>
                <w:szCs w:val="16"/>
                <w:lang w:val="fr-FR"/>
              </w:rPr>
              <w:t>TG/201/1 and document TC/51/33</w:t>
            </w:r>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r w:rsidRPr="0085565C">
              <w:rPr>
                <w:rFonts w:cs="Arial"/>
                <w:sz w:val="16"/>
                <w:szCs w:val="16"/>
                <w:lang w:val="fr-FR"/>
              </w:rPr>
              <w:t>Mandarins</w:t>
            </w:r>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r w:rsidRPr="0085565C">
              <w:rPr>
                <w:rFonts w:cs="Arial"/>
                <w:sz w:val="16"/>
                <w:szCs w:val="16"/>
                <w:lang w:val="fr-FR"/>
              </w:rPr>
              <w:t>Mandarinier</w:t>
            </w:r>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Mandarinen</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r w:rsidRPr="0085565C">
              <w:rPr>
                <w:rFonts w:cs="Arial"/>
                <w:sz w:val="16"/>
                <w:szCs w:val="16"/>
                <w:lang w:val="fr-FR"/>
              </w:rPr>
              <w:t>Mandarino</w:t>
            </w:r>
          </w:p>
        </w:tc>
        <w:tc>
          <w:tcPr>
            <w:tcW w:w="170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r w:rsidRPr="0085565C">
              <w:rPr>
                <w:rFonts w:cs="Arial"/>
                <w:sz w:val="16"/>
                <w:szCs w:val="16"/>
                <w:lang w:val="fr-FR"/>
              </w:rPr>
              <w:t xml:space="preserve">Citrus;  </w:t>
            </w:r>
            <w:proofErr w:type="spellStart"/>
            <w:r w:rsidRPr="0085565C">
              <w:rPr>
                <w:rFonts w:cs="Arial"/>
                <w:sz w:val="16"/>
                <w:szCs w:val="16"/>
                <w:lang w:val="fr-FR"/>
              </w:rPr>
              <w:t>Grp</w:t>
            </w:r>
            <w:proofErr w:type="spellEnd"/>
            <w:r w:rsidRPr="0085565C">
              <w:rPr>
                <w:rFonts w:cs="Arial"/>
                <w:sz w:val="16"/>
                <w:szCs w:val="16"/>
                <w:lang w:val="fr-FR"/>
              </w:rPr>
              <w:t xml:space="preserve"> 1</w:t>
            </w:r>
          </w:p>
        </w:tc>
      </w:tr>
      <w:tr w:rsidR="00AF7A00" w:rsidRPr="0085565C" w:rsidTr="00697CEF">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F7A00" w:rsidRPr="0085565C" w:rsidRDefault="00AF7A00" w:rsidP="00697CEF">
            <w:pPr>
              <w:rPr>
                <w:rFonts w:cs="Arial"/>
                <w:sz w:val="16"/>
                <w:szCs w:val="16"/>
                <w:lang w:val="fr-FR"/>
              </w:rPr>
            </w:pPr>
            <w:r w:rsidRPr="0085565C">
              <w:rPr>
                <w:rFonts w:cs="Arial"/>
                <w:sz w:val="16"/>
                <w:szCs w:val="16"/>
                <w:lang w:val="fr-FR"/>
              </w:rPr>
              <w:t>FR</w:t>
            </w:r>
          </w:p>
        </w:tc>
        <w:tc>
          <w:tcPr>
            <w:tcW w:w="5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rPr>
                <w:rFonts w:cs="Arial"/>
                <w:sz w:val="16"/>
                <w:szCs w:val="16"/>
                <w:lang w:val="fr-FR"/>
              </w:rPr>
            </w:pPr>
            <w:r w:rsidRPr="0085565C">
              <w:rPr>
                <w:rFonts w:cs="Arial"/>
                <w:sz w:val="16"/>
                <w:szCs w:val="16"/>
                <w:lang w:val="fr-FR"/>
              </w:rPr>
              <w:t>TWO</w:t>
            </w:r>
          </w:p>
        </w:tc>
        <w:tc>
          <w:tcPr>
            <w:tcW w:w="14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ind w:left="-36"/>
              <w:jc w:val="left"/>
              <w:rPr>
                <w:rFonts w:cs="Arial"/>
                <w:sz w:val="16"/>
                <w:szCs w:val="16"/>
                <w:lang w:val="fr-FR"/>
              </w:rPr>
            </w:pPr>
            <w:r w:rsidRPr="0085565C">
              <w:rPr>
                <w:rFonts w:cs="Arial"/>
                <w:sz w:val="16"/>
                <w:szCs w:val="16"/>
                <w:lang w:val="fr-FR"/>
              </w:rPr>
              <w:t xml:space="preserve">TG/263/1 and document TC/51/31 </w:t>
            </w:r>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r w:rsidRPr="0085565C">
              <w:rPr>
                <w:rFonts w:cs="Arial"/>
                <w:sz w:val="16"/>
                <w:szCs w:val="16"/>
                <w:lang w:val="fr-FR"/>
              </w:rPr>
              <w:t xml:space="preserve">Buddleia, </w:t>
            </w:r>
            <w:proofErr w:type="spellStart"/>
            <w:r w:rsidRPr="0085565C">
              <w:rPr>
                <w:rFonts w:cs="Arial"/>
                <w:sz w:val="16"/>
                <w:szCs w:val="16"/>
                <w:lang w:val="fr-FR"/>
              </w:rPr>
              <w:t>Butterfly</w:t>
            </w:r>
            <w:proofErr w:type="spellEnd"/>
            <w:r w:rsidRPr="0085565C">
              <w:rPr>
                <w:rFonts w:cs="Arial"/>
                <w:sz w:val="16"/>
                <w:szCs w:val="16"/>
                <w:lang w:val="fr-FR"/>
              </w:rPr>
              <w:noBreakHyphen/>
              <w:t>bush</w:t>
            </w:r>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r w:rsidRPr="0085565C">
              <w:rPr>
                <w:rFonts w:cs="Arial"/>
                <w:sz w:val="16"/>
                <w:szCs w:val="16"/>
                <w:lang w:val="fr-FR"/>
              </w:rPr>
              <w:t>Buddleia, Arbre aux papillons</w:t>
            </w:r>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Buddleie</w:t>
            </w:r>
            <w:proofErr w:type="spellEnd"/>
            <w:r w:rsidRPr="0085565C">
              <w:rPr>
                <w:rFonts w:cs="Arial"/>
                <w:sz w:val="16"/>
                <w:szCs w:val="16"/>
                <w:lang w:val="fr-FR"/>
              </w:rPr>
              <w:t xml:space="preserve">, </w:t>
            </w:r>
            <w:proofErr w:type="spellStart"/>
            <w:r w:rsidRPr="0085565C">
              <w:rPr>
                <w:rFonts w:cs="Arial"/>
                <w:sz w:val="16"/>
                <w:szCs w:val="16"/>
                <w:lang w:val="fr-FR"/>
              </w:rPr>
              <w:t>Schmetterlingsstrauch</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Budleya</w:t>
            </w:r>
            <w:proofErr w:type="spellEnd"/>
            <w:r w:rsidRPr="0085565C">
              <w:rPr>
                <w:rFonts w:cs="Arial"/>
                <w:sz w:val="16"/>
                <w:szCs w:val="16"/>
                <w:lang w:val="fr-FR"/>
              </w:rPr>
              <w:t xml:space="preserve">, </w:t>
            </w:r>
            <w:proofErr w:type="spellStart"/>
            <w:r w:rsidRPr="0085565C">
              <w:rPr>
                <w:rFonts w:cs="Arial"/>
                <w:sz w:val="16"/>
                <w:szCs w:val="16"/>
                <w:lang w:val="fr-FR"/>
              </w:rPr>
              <w:t>Mariposa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Buddleja</w:t>
            </w:r>
            <w:proofErr w:type="spellEnd"/>
            <w:r w:rsidRPr="0085565C">
              <w:rPr>
                <w:rFonts w:cs="Arial"/>
                <w:sz w:val="16"/>
                <w:szCs w:val="16"/>
                <w:lang w:val="fr-FR"/>
              </w:rPr>
              <w:t xml:space="preserve"> L.</w:t>
            </w:r>
          </w:p>
        </w:tc>
      </w:tr>
      <w:tr w:rsidR="00AF7A00" w:rsidRPr="0085565C" w:rsidTr="00697CEF">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F7A00" w:rsidRPr="0085565C" w:rsidRDefault="00AF7A00" w:rsidP="00697CEF">
            <w:pPr>
              <w:rPr>
                <w:rFonts w:cs="Arial"/>
                <w:sz w:val="16"/>
                <w:szCs w:val="16"/>
                <w:lang w:val="fr-FR"/>
              </w:rPr>
            </w:pPr>
            <w:r w:rsidRPr="0085565C">
              <w:rPr>
                <w:rFonts w:cs="Arial"/>
                <w:sz w:val="16"/>
                <w:szCs w:val="16"/>
                <w:lang w:val="fr-FR"/>
              </w:rPr>
              <w:t>UA</w:t>
            </w:r>
          </w:p>
        </w:tc>
        <w:tc>
          <w:tcPr>
            <w:tcW w:w="5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rPr>
                <w:rFonts w:cs="Arial"/>
                <w:sz w:val="16"/>
                <w:szCs w:val="16"/>
                <w:lang w:val="fr-FR"/>
              </w:rPr>
            </w:pPr>
            <w:r w:rsidRPr="0085565C">
              <w:rPr>
                <w:rFonts w:cs="Arial"/>
                <w:sz w:val="16"/>
                <w:szCs w:val="16"/>
                <w:lang w:val="fr-FR"/>
              </w:rPr>
              <w:t>TWV</w:t>
            </w:r>
          </w:p>
        </w:tc>
        <w:tc>
          <w:tcPr>
            <w:tcW w:w="14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ind w:left="-36"/>
              <w:jc w:val="left"/>
              <w:rPr>
                <w:rFonts w:cs="Arial"/>
                <w:sz w:val="16"/>
                <w:szCs w:val="16"/>
                <w:lang w:val="fr-FR"/>
              </w:rPr>
            </w:pPr>
            <w:r w:rsidRPr="0085565C">
              <w:rPr>
                <w:rFonts w:cs="Arial"/>
                <w:sz w:val="16"/>
                <w:szCs w:val="16"/>
                <w:lang w:val="fr-FR"/>
              </w:rPr>
              <w:t>TG/268/1 and document TC/51/34</w:t>
            </w:r>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r w:rsidRPr="0085565C">
              <w:rPr>
                <w:rFonts w:cs="Arial"/>
                <w:sz w:val="16"/>
                <w:szCs w:val="16"/>
                <w:lang w:val="fr-FR"/>
              </w:rPr>
              <w:t>Garden Sorrel</w:t>
            </w:r>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r w:rsidRPr="0085565C">
              <w:rPr>
                <w:rFonts w:cs="Arial"/>
                <w:sz w:val="16"/>
                <w:szCs w:val="16"/>
                <w:lang w:val="fr-FR"/>
              </w:rPr>
              <w:t>Grande oseille</w:t>
            </w:r>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Wiesensauerampfer</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Acedera</w:t>
            </w:r>
            <w:proofErr w:type="spellEnd"/>
            <w:r w:rsidRPr="0085565C">
              <w:rPr>
                <w:rFonts w:cs="Arial"/>
                <w:sz w:val="16"/>
                <w:szCs w:val="16"/>
                <w:lang w:val="fr-FR"/>
              </w:rPr>
              <w:t xml:space="preserve"> </w:t>
            </w:r>
            <w:proofErr w:type="spellStart"/>
            <w:r w:rsidRPr="0085565C">
              <w:rPr>
                <w:rFonts w:cs="Arial"/>
                <w:sz w:val="16"/>
                <w:szCs w:val="16"/>
                <w:lang w:val="fr-FR"/>
              </w:rPr>
              <w:t>común</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r w:rsidRPr="0085565C">
              <w:rPr>
                <w:rFonts w:cs="Arial"/>
                <w:sz w:val="16"/>
                <w:szCs w:val="16"/>
                <w:lang w:val="fr-FR"/>
              </w:rPr>
              <w:t xml:space="preserve">Rumex </w:t>
            </w:r>
            <w:proofErr w:type="spellStart"/>
            <w:r w:rsidRPr="0085565C">
              <w:rPr>
                <w:rFonts w:cs="Arial"/>
                <w:sz w:val="16"/>
                <w:szCs w:val="16"/>
                <w:lang w:val="fr-FR"/>
              </w:rPr>
              <w:t>acetosa</w:t>
            </w:r>
            <w:proofErr w:type="spellEnd"/>
            <w:r w:rsidRPr="0085565C">
              <w:rPr>
                <w:rFonts w:cs="Arial"/>
                <w:sz w:val="16"/>
                <w:szCs w:val="16"/>
                <w:lang w:val="fr-FR"/>
              </w:rPr>
              <w:t xml:space="preserve"> L.</w:t>
            </w:r>
          </w:p>
        </w:tc>
      </w:tr>
      <w:tr w:rsidR="00AF7A00" w:rsidRPr="0085565C" w:rsidTr="00697CEF">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F7A00" w:rsidRPr="0085565C" w:rsidRDefault="00AF7A00" w:rsidP="00697CEF">
            <w:pPr>
              <w:rPr>
                <w:rFonts w:cs="Arial"/>
                <w:sz w:val="16"/>
                <w:szCs w:val="16"/>
                <w:lang w:val="fr-FR"/>
              </w:rPr>
            </w:pPr>
            <w:r w:rsidRPr="0085565C">
              <w:rPr>
                <w:rFonts w:cs="Arial"/>
                <w:sz w:val="16"/>
                <w:szCs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rPr>
                <w:rFonts w:cs="Arial"/>
                <w:sz w:val="16"/>
                <w:szCs w:val="16"/>
                <w:lang w:val="fr-FR"/>
              </w:rPr>
            </w:pPr>
            <w:r w:rsidRPr="0085565C">
              <w:rPr>
                <w:rFonts w:cs="Arial"/>
                <w:sz w:val="16"/>
                <w:szCs w:val="16"/>
                <w:lang w:val="fr-FR"/>
              </w:rPr>
              <w:t>TWV</w:t>
            </w:r>
          </w:p>
        </w:tc>
        <w:tc>
          <w:tcPr>
            <w:tcW w:w="149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ind w:left="-36"/>
              <w:jc w:val="left"/>
              <w:rPr>
                <w:rFonts w:cs="Arial"/>
                <w:sz w:val="16"/>
                <w:szCs w:val="16"/>
                <w:lang w:val="fr-FR"/>
              </w:rPr>
            </w:pPr>
            <w:r w:rsidRPr="0085565C">
              <w:rPr>
                <w:rFonts w:cs="Arial"/>
                <w:sz w:val="16"/>
                <w:szCs w:val="16"/>
                <w:lang w:val="fr-FR"/>
              </w:rPr>
              <w:t xml:space="preserve">TG/282/1 and document TC/51/28 </w:t>
            </w:r>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r w:rsidRPr="0085565C">
              <w:rPr>
                <w:rFonts w:cs="Arial"/>
                <w:sz w:val="16"/>
                <w:szCs w:val="16"/>
                <w:lang w:val="fr-FR"/>
              </w:rPr>
              <w:t>Shiitake</w:t>
            </w:r>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r w:rsidRPr="0085565C">
              <w:rPr>
                <w:rFonts w:cs="Arial"/>
                <w:sz w:val="16"/>
                <w:szCs w:val="16"/>
                <w:lang w:val="fr-FR"/>
              </w:rPr>
              <w:t>Shiitake</w:t>
            </w:r>
          </w:p>
        </w:tc>
        <w:tc>
          <w:tcPr>
            <w:tcW w:w="1417"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Pasaniapilz</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r w:rsidRPr="0085565C">
              <w:rPr>
                <w:rFonts w:cs="Arial"/>
                <w:sz w:val="16"/>
                <w:szCs w:val="16"/>
                <w:lang w:val="fr-FR"/>
              </w:rPr>
              <w:t>Shiitake</w:t>
            </w:r>
          </w:p>
        </w:tc>
        <w:tc>
          <w:tcPr>
            <w:tcW w:w="1700" w:type="dxa"/>
            <w:tcBorders>
              <w:top w:val="single" w:sz="4" w:space="0" w:color="auto"/>
              <w:left w:val="nil"/>
              <w:bottom w:val="single" w:sz="4" w:space="0" w:color="auto"/>
              <w:right w:val="single" w:sz="4" w:space="0" w:color="auto"/>
            </w:tcBorders>
            <w:shd w:val="clear" w:color="auto" w:fill="auto"/>
          </w:tcPr>
          <w:p w:rsidR="00AF7A00" w:rsidRPr="0085565C" w:rsidRDefault="00AF7A00" w:rsidP="00697CEF">
            <w:pPr>
              <w:jc w:val="left"/>
              <w:rPr>
                <w:rFonts w:cs="Arial"/>
                <w:sz w:val="16"/>
                <w:szCs w:val="16"/>
                <w:lang w:val="fr-FR"/>
              </w:rPr>
            </w:pPr>
            <w:proofErr w:type="spellStart"/>
            <w:r w:rsidRPr="0085565C">
              <w:rPr>
                <w:rFonts w:cs="Arial"/>
                <w:sz w:val="16"/>
                <w:szCs w:val="16"/>
                <w:lang w:val="fr-FR"/>
              </w:rPr>
              <w:t>Lentinula</w:t>
            </w:r>
            <w:proofErr w:type="spellEnd"/>
            <w:r w:rsidRPr="0085565C">
              <w:rPr>
                <w:rFonts w:cs="Arial"/>
                <w:sz w:val="16"/>
                <w:szCs w:val="16"/>
                <w:lang w:val="fr-FR"/>
              </w:rPr>
              <w:t xml:space="preserve"> </w:t>
            </w:r>
            <w:proofErr w:type="spellStart"/>
            <w:r w:rsidRPr="0085565C">
              <w:rPr>
                <w:rFonts w:cs="Arial"/>
                <w:sz w:val="16"/>
                <w:szCs w:val="16"/>
                <w:lang w:val="fr-FR"/>
              </w:rPr>
              <w:t>edodes</w:t>
            </w:r>
            <w:proofErr w:type="spellEnd"/>
            <w:r w:rsidRPr="0085565C">
              <w:rPr>
                <w:rFonts w:cs="Arial"/>
                <w:sz w:val="16"/>
                <w:szCs w:val="16"/>
                <w:lang w:val="fr-FR"/>
              </w:rPr>
              <w:t xml:space="preserve"> (Berk.) </w:t>
            </w:r>
            <w:proofErr w:type="spellStart"/>
            <w:r w:rsidRPr="0085565C">
              <w:rPr>
                <w:rFonts w:cs="Arial"/>
                <w:sz w:val="16"/>
                <w:szCs w:val="16"/>
                <w:lang w:val="fr-FR"/>
              </w:rPr>
              <w:t>Pegler</w:t>
            </w:r>
            <w:proofErr w:type="spellEnd"/>
          </w:p>
        </w:tc>
      </w:tr>
    </w:tbl>
    <w:p w:rsidR="00AF7A00" w:rsidRPr="0085565C" w:rsidRDefault="00AF7A00" w:rsidP="00AF7A00">
      <w:pPr>
        <w:rPr>
          <w:rFonts w:cs="Arial"/>
          <w:lang w:val="fr-FR"/>
        </w:rPr>
      </w:pPr>
    </w:p>
    <w:p w:rsidR="00AF7A00" w:rsidRPr="0085565C" w:rsidRDefault="00AF7A00" w:rsidP="00AF7A00">
      <w:pPr>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Le TC adopte les principes directeurs d’examen pour les larmes de Job, sous réserve de l’approbation par correspondance par le TWA de l’ajout d’astérisques aux caractères 1, 13, 14 et 20, comme indiqué à l’annexe II du présent compte rendu.</w:t>
      </w:r>
    </w:p>
    <w:p w:rsidR="00AF7A00" w:rsidRPr="0085565C" w:rsidRDefault="00AF7A00" w:rsidP="00AF7A00">
      <w:pPr>
        <w:rPr>
          <w:rFonts w:cs="Arial"/>
          <w:lang w:val="fr-FR"/>
        </w:rPr>
      </w:pPr>
    </w:p>
    <w:p w:rsidR="00AF7A00" w:rsidRPr="0085565C" w:rsidRDefault="00AF7A00" w:rsidP="00AF7A00">
      <w:pPr>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Le TC adopte les principes directeurs d’examen pour le calebassier, sous réserve de l’approbation par correspondance par le TWV de la suppression des caractères 17 “Col : plissement à la base”, comme indiqué à l’annexe II du présent compte rendu.</w:t>
      </w:r>
    </w:p>
    <w:p w:rsidR="00AF7A00" w:rsidRPr="0085565C" w:rsidRDefault="00AF7A00" w:rsidP="00AF7A00">
      <w:pPr>
        <w:rPr>
          <w:rFonts w:cs="Arial"/>
          <w:lang w:val="fr-FR"/>
        </w:rPr>
      </w:pPr>
    </w:p>
    <w:p w:rsidR="00AF7A00" w:rsidRPr="0085565C" w:rsidRDefault="00AF7A00" w:rsidP="00AF7A00">
      <w:pPr>
        <w:rPr>
          <w:lang w:val="fr-FR"/>
        </w:rPr>
      </w:pPr>
      <w:r w:rsidRPr="0085565C">
        <w:rPr>
          <w:snapToGrid w:val="0"/>
          <w:lang w:val="fr-FR"/>
        </w:rPr>
        <w:fldChar w:fldCharType="begin"/>
      </w:r>
      <w:r w:rsidRPr="0085565C">
        <w:rPr>
          <w:snapToGrid w:val="0"/>
          <w:lang w:val="fr-FR"/>
        </w:rPr>
        <w:instrText xml:space="preserve"> AUTONUM  </w:instrText>
      </w:r>
      <w:r w:rsidRPr="0085565C">
        <w:rPr>
          <w:snapToGrid w:val="0"/>
          <w:lang w:val="fr-FR"/>
        </w:rPr>
        <w:fldChar w:fldCharType="end"/>
      </w:r>
      <w:r w:rsidRPr="0085565C">
        <w:rPr>
          <w:snapToGrid w:val="0"/>
          <w:lang w:val="fr-FR"/>
        </w:rPr>
        <w:tab/>
        <w:t>L’UPOV a adopté 313 principes directeurs d’examen, tous disponibles gratuitement sur le site Web de l’UPOV (</w:t>
      </w:r>
      <w:r w:rsidRPr="0085565C">
        <w:rPr>
          <w:snapToGrid w:val="0"/>
          <w:u w:val="single"/>
          <w:lang w:val="fr-FR"/>
        </w:rPr>
        <w:t>http://www.upov.int/test_guidelines/fr/</w:t>
      </w:r>
      <w:r w:rsidRPr="0085565C">
        <w:rPr>
          <w:snapToGrid w:val="0"/>
          <w:lang w:val="fr-FR"/>
        </w:rPr>
        <w:t>).</w:t>
      </w:r>
    </w:p>
    <w:p w:rsidR="00AF7A00" w:rsidRPr="0085565C" w:rsidRDefault="00AF7A00" w:rsidP="00AF7A00">
      <w:pPr>
        <w:outlineLvl w:val="0"/>
        <w:rPr>
          <w:lang w:val="fr-FR"/>
        </w:rPr>
      </w:pPr>
    </w:p>
    <w:p w:rsidR="00AF7A00" w:rsidRPr="0085565C" w:rsidRDefault="00AF7A00" w:rsidP="00AF7A00">
      <w:pPr>
        <w:pStyle w:val="Heading3"/>
      </w:pPr>
      <w:bookmarkStart w:id="49" w:name="_Toc428287716"/>
      <w:r w:rsidRPr="0085565C">
        <w:t>Corrections de principes directeurs d’examen</w:t>
      </w:r>
      <w:bookmarkEnd w:id="49"/>
    </w:p>
    <w:p w:rsidR="00AF7A00" w:rsidRPr="0085565C" w:rsidRDefault="00AF7A00" w:rsidP="00AF7A00">
      <w:pPr>
        <w:keepNext/>
        <w:outlineLvl w:val="0"/>
        <w:rPr>
          <w:rFonts w:ascii="ArialMT" w:eastAsia="MS Mincho" w:hAnsi="ArialMT" w:cs="ArialMT"/>
          <w:lang w:val="fr-FR" w:eastAsia="ja-JP"/>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prend note des corrections apportées aux principes directeurs d’examen adoptés pour la carotte</w:t>
      </w:r>
      <w:r w:rsidRPr="0085565C">
        <w:rPr>
          <w:rFonts w:eastAsia="MS Mincho"/>
          <w:lang w:val="fr-FR" w:eastAsia="ja-JP"/>
        </w:rPr>
        <w:t xml:space="preserve"> </w:t>
      </w:r>
      <w:r w:rsidRPr="0085565C">
        <w:rPr>
          <w:lang w:val="fr-FR"/>
        </w:rPr>
        <w:t>(document TG/49/8), en se fondant sur le document TC/51/35.</w:t>
      </w:r>
    </w:p>
    <w:p w:rsidR="00AF7A00" w:rsidRDefault="00AF7A00" w:rsidP="00AF7A00">
      <w:pPr>
        <w:outlineLvl w:val="0"/>
        <w:rPr>
          <w:lang w:val="fr-FR"/>
        </w:rPr>
      </w:pPr>
    </w:p>
    <w:p w:rsidR="00AF7A00" w:rsidRPr="0085565C" w:rsidRDefault="00AF7A00" w:rsidP="00AF7A00">
      <w:pPr>
        <w:pStyle w:val="Heading3"/>
      </w:pPr>
      <w:bookmarkStart w:id="50" w:name="_Toc428287717"/>
      <w:r w:rsidRPr="0085565C">
        <w:t>Projets de principes directeurs d’examen examinés par les groupes de travail techniques en 2014</w:t>
      </w:r>
      <w:bookmarkEnd w:id="50"/>
    </w:p>
    <w:p w:rsidR="00AF7A00" w:rsidRPr="0085565C" w:rsidRDefault="00AF7A00" w:rsidP="00AF7A00">
      <w:pPr>
        <w:keepNext/>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prend note des projets de principes directeurs d’examen examinés par les groupes de travail techniques à leurs sessions en 2014, tels qu’ils figurent à l’annexe II du document TC/51/2.</w:t>
      </w:r>
    </w:p>
    <w:p w:rsidR="00AF7A00" w:rsidRPr="0085565C" w:rsidRDefault="00AF7A00" w:rsidP="00AF7A00">
      <w:pPr>
        <w:rPr>
          <w:lang w:val="fr-FR"/>
        </w:rPr>
      </w:pPr>
    </w:p>
    <w:p w:rsidR="00AF7A00" w:rsidRPr="0085565C" w:rsidRDefault="00AF7A00" w:rsidP="00AF7A00">
      <w:pPr>
        <w:pStyle w:val="Heading3"/>
        <w:rPr>
          <w:rFonts w:cs="Arial"/>
        </w:rPr>
      </w:pPr>
      <w:bookmarkStart w:id="51" w:name="_Toc428287718"/>
      <w:r w:rsidRPr="0085565C">
        <w:rPr>
          <w:rFonts w:cs="Arial"/>
        </w:rPr>
        <w:t>Projets de principes directeurs d’examen à examiner par les TWP en 2015</w:t>
      </w:r>
      <w:bookmarkEnd w:id="51"/>
    </w:p>
    <w:p w:rsidR="00AF7A00" w:rsidRPr="0085565C" w:rsidRDefault="00AF7A00" w:rsidP="00AF7A00">
      <w:pPr>
        <w:keepNext/>
        <w:tabs>
          <w:tab w:val="left" w:pos="567"/>
        </w:tabs>
        <w:ind w:left="567" w:hanging="567"/>
        <w:outlineLvl w:val="0"/>
        <w:rPr>
          <w:rFonts w:cs="Arial"/>
          <w:lang w:val="fr-FR"/>
        </w:rPr>
      </w:pPr>
    </w:p>
    <w:p w:rsidR="00AF7A00" w:rsidRPr="0085565C" w:rsidRDefault="00AF7A00" w:rsidP="00AF7A00">
      <w:pPr>
        <w:rPr>
          <w:rFonts w:cs="Arial"/>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approuve le programme d’élaboration de nouveaux principes directeurs d’examen et de révision des principes directeurs d’examen existants, comme indiqué à l’annexe III du document TC/51/2.</w:t>
      </w:r>
    </w:p>
    <w:p w:rsidR="00AF7A00" w:rsidRPr="0085565C" w:rsidRDefault="00AF7A00" w:rsidP="00AF7A00">
      <w:pPr>
        <w:rPr>
          <w:rFonts w:cs="Arial"/>
          <w:lang w:val="fr-FR"/>
        </w:rPr>
      </w:pPr>
    </w:p>
    <w:p w:rsidR="00AF7A00" w:rsidRPr="0085565C" w:rsidRDefault="00AF7A00" w:rsidP="00AF7A00">
      <w:pPr>
        <w:rPr>
          <w:rFonts w:cs="Arial"/>
          <w:lang w:val="fr-FR"/>
        </w:rPr>
      </w:pPr>
      <w:r w:rsidRPr="0085565C">
        <w:rPr>
          <w:rFonts w:cs="Arial"/>
          <w:lang w:val="fr-FR"/>
        </w:rPr>
        <w:lastRenderedPageBreak/>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Le TC prend note que l’expert principal pour les principes directeurs du trèfle violet a sollicité le report de la rédaction de ces principes directeurs jusqu’en 2016 et leur retrait de l’ordre du jour de la quarante</w:t>
      </w:r>
      <w:r w:rsidRPr="0085565C">
        <w:rPr>
          <w:rFonts w:cs="Arial"/>
          <w:lang w:val="fr-FR"/>
        </w:rPr>
        <w:noBreakHyphen/>
        <w:t>septième session du TWA en 2015.</w:t>
      </w:r>
    </w:p>
    <w:p w:rsidR="00AF7A00" w:rsidRPr="0085565C" w:rsidRDefault="00AF7A00" w:rsidP="00AF7A00">
      <w:pPr>
        <w:rPr>
          <w:rFonts w:cs="Arial"/>
          <w:lang w:val="fr-FR"/>
        </w:rPr>
      </w:pPr>
    </w:p>
    <w:p w:rsidR="00AF7A00" w:rsidRPr="0085565C" w:rsidRDefault="00AF7A00" w:rsidP="00AF7A00">
      <w:pPr>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Le TC prend note de l’état des principes directeurs existants tel qu’il figure dans l’annexe IV du TC/51/2.</w:t>
      </w:r>
    </w:p>
    <w:p w:rsidR="00AF7A00" w:rsidRPr="0085565C" w:rsidRDefault="00AF7A00" w:rsidP="00AF7A00">
      <w:pPr>
        <w:rPr>
          <w:lang w:val="fr-FR"/>
        </w:rPr>
      </w:pPr>
    </w:p>
    <w:p w:rsidR="00AF7A00" w:rsidRPr="0085565C" w:rsidRDefault="00AF7A00" w:rsidP="00AF7A00">
      <w:pPr>
        <w:pStyle w:val="Heading3"/>
      </w:pPr>
      <w:bookmarkStart w:id="52" w:name="_Toc428287719"/>
      <w:r w:rsidRPr="0085565C">
        <w:t>Principes directeurs d’examen sur le site Web de l’UPOV</w:t>
      </w:r>
      <w:bookmarkEnd w:id="52"/>
    </w:p>
    <w:p w:rsidR="00AF7A00" w:rsidRPr="0085565C" w:rsidRDefault="00AF7A00" w:rsidP="00AF7A00">
      <w:pPr>
        <w:keepNext/>
        <w:tabs>
          <w:tab w:val="center" w:pos="4820"/>
          <w:tab w:val="center" w:pos="5245"/>
        </w:tabs>
        <w:jc w:val="left"/>
        <w:rPr>
          <w:rFonts w:cs="Arial"/>
          <w:u w:val="single"/>
          <w:lang w:val="fr-FR"/>
        </w:rPr>
      </w:pPr>
    </w:p>
    <w:p w:rsidR="00AF7A00" w:rsidRPr="0085565C" w:rsidRDefault="00AF7A00" w:rsidP="00AF7A00">
      <w:pPr>
        <w:pStyle w:val="Heading4"/>
      </w:pPr>
      <w:r w:rsidRPr="0085565C">
        <w:t>Versions remplacées des principes directeurs d’examen</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prend note de la liste des versions remplacées des principes directeurs d’examen telle qu’elle figure dans l’annexe V du document TC/51/2.</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prend note du fait que les versions remplacées des principes directeurs d’examen peuvent actuellement être consultées sur le site Web de l’UPOV :</w:t>
      </w:r>
    </w:p>
    <w:p w:rsidR="00AF7A00" w:rsidRPr="0085565C" w:rsidRDefault="00AF7A00" w:rsidP="00AF7A00">
      <w:pPr>
        <w:rPr>
          <w:rFonts w:cs="Arial"/>
          <w:lang w:val="fr-FR"/>
        </w:rPr>
      </w:pPr>
      <w:r w:rsidRPr="0085565C">
        <w:rPr>
          <w:lang w:val="fr-FR"/>
        </w:rPr>
        <w:t>(</w:t>
      </w:r>
      <w:r w:rsidR="00C258AE">
        <w:fldChar w:fldCharType="begin"/>
      </w:r>
      <w:r w:rsidR="00C258AE" w:rsidRPr="00C258AE">
        <w:rPr>
          <w:lang w:val="fr-FR"/>
        </w:rPr>
        <w:instrText xml:space="preserve"> HYPERLINK "http://upov.int/test_guidelines/en/list_supersede.jsp" </w:instrText>
      </w:r>
      <w:r w:rsidR="00C258AE">
        <w:fldChar w:fldCharType="separate"/>
      </w:r>
      <w:r w:rsidRPr="0085565C">
        <w:rPr>
          <w:rStyle w:val="Hyperlink"/>
          <w:color w:val="auto"/>
          <w:lang w:val="fr-FR"/>
        </w:rPr>
        <w:t>http://upov.int/test_guidelines/en/list_supersede.jsp</w:t>
      </w:r>
      <w:r w:rsidR="00C258AE">
        <w:rPr>
          <w:rStyle w:val="Hyperlink"/>
          <w:color w:val="auto"/>
          <w:lang w:val="fr-FR"/>
        </w:rPr>
        <w:fldChar w:fldCharType="end"/>
      </w:r>
      <w:r w:rsidRPr="0085565C">
        <w:rPr>
          <w:lang w:val="fr-FR"/>
        </w:rPr>
        <w:t>).</w:t>
      </w:r>
    </w:p>
    <w:p w:rsidR="00AF7A00" w:rsidRPr="0085565C" w:rsidRDefault="00AF7A00" w:rsidP="00AF7A00">
      <w:pPr>
        <w:rPr>
          <w:szCs w:val="24"/>
          <w:lang w:val="fr-FR"/>
        </w:rPr>
      </w:pPr>
    </w:p>
    <w:p w:rsidR="00AF7A00" w:rsidRPr="0085565C" w:rsidRDefault="00AF7A00" w:rsidP="00AF7A00">
      <w:pPr>
        <w:rPr>
          <w:szCs w:val="24"/>
          <w:lang w:val="fr-FR"/>
        </w:rPr>
      </w:pPr>
    </w:p>
    <w:p w:rsidR="00AF7A00" w:rsidRPr="0085565C" w:rsidRDefault="00AF7A00" w:rsidP="0085565C">
      <w:pPr>
        <w:pStyle w:val="Heading2"/>
        <w:rPr>
          <w:lang w:val="fr-FR"/>
        </w:rPr>
      </w:pPr>
      <w:bookmarkStart w:id="53" w:name="_Toc428287720"/>
      <w:r w:rsidRPr="0085565C">
        <w:rPr>
          <w:lang w:val="fr-FR"/>
        </w:rPr>
        <w:t>Modèle de principes directeurs d’examen fondé sur le Web</w:t>
      </w:r>
      <w:bookmarkEnd w:id="53"/>
    </w:p>
    <w:p w:rsidR="00AF7A00" w:rsidRPr="0085565C" w:rsidRDefault="00AF7A00" w:rsidP="00AF7A00">
      <w:pPr>
        <w:keepNext/>
        <w:rPr>
          <w:szCs w:val="24"/>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examine le document TC/51/36 “Modèle de principes directeurs d’examen fondé sur le Web”.</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assiste à une démonstration de la version n° 1 du modèle de principes directeurs d’examen fondé sur le Web faite par le Bureau de l’UPOV.</w:t>
      </w:r>
    </w:p>
    <w:p w:rsidR="00AF7A00" w:rsidRPr="0085565C" w:rsidRDefault="00AF7A00" w:rsidP="00AF7A00">
      <w:pPr>
        <w:rPr>
          <w:lang w:val="fr-FR"/>
        </w:rPr>
      </w:pPr>
    </w:p>
    <w:p w:rsidR="00AF7A00" w:rsidRPr="0085565C" w:rsidRDefault="00AF7A00" w:rsidP="00AF7A00">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prend note des faits nouveaux concernant le modèle de principes directeurs d’examen fondé sur le Web et, notamment :</w:t>
      </w:r>
    </w:p>
    <w:p w:rsidR="00AF7A00" w:rsidRPr="0085565C" w:rsidRDefault="00AF7A00" w:rsidP="00AF7A00">
      <w:pPr>
        <w:rPr>
          <w:lang w:val="fr-FR"/>
        </w:rPr>
      </w:pPr>
    </w:p>
    <w:p w:rsidR="00AF7A00" w:rsidRPr="0085565C" w:rsidRDefault="00AF7A00" w:rsidP="00AF7A00">
      <w:pPr>
        <w:ind w:left="426"/>
        <w:rPr>
          <w:lang w:val="fr-FR"/>
        </w:rPr>
      </w:pPr>
      <w:r w:rsidRPr="0085565C">
        <w:rPr>
          <w:lang w:val="fr-FR"/>
        </w:rPr>
        <w:t>a)</w:t>
      </w:r>
      <w:r w:rsidRPr="0085565C">
        <w:rPr>
          <w:lang w:val="fr-FR"/>
        </w:rPr>
        <w:tab/>
        <w:t>que des ateliers électroniques ont été organisés, enregistrés et mis à disposition des experts principaux et des experts intéressés en matière de principes directeurs d’examen et qu’une vidéo pédagogique de démonstration a été produite;  et</w:t>
      </w:r>
    </w:p>
    <w:p w:rsidR="00AF7A00" w:rsidRPr="0085565C" w:rsidRDefault="00AF7A00" w:rsidP="00AF7A00">
      <w:pPr>
        <w:ind w:left="426"/>
        <w:rPr>
          <w:lang w:val="fr-FR"/>
        </w:rPr>
      </w:pPr>
    </w:p>
    <w:p w:rsidR="00AF7A00" w:rsidRPr="0085565C" w:rsidRDefault="00AF7A00" w:rsidP="00AF7A00">
      <w:pPr>
        <w:ind w:left="426"/>
        <w:rPr>
          <w:lang w:val="fr-FR"/>
        </w:rPr>
      </w:pPr>
      <w:r w:rsidRPr="0085565C">
        <w:rPr>
          <w:lang w:val="fr-FR"/>
        </w:rPr>
        <w:t>b)</w:t>
      </w:r>
      <w:r w:rsidRPr="0085565C">
        <w:rPr>
          <w:lang w:val="fr-FR"/>
        </w:rPr>
        <w:tab/>
        <w:t>que la mise au point de la version n° 2 du modèle de principes directeurs d’examen fondé sur le Web doit débuter en 2016, sous réserve des ressources disponibles.</w:t>
      </w:r>
    </w:p>
    <w:p w:rsidR="00AF7A00" w:rsidRPr="0085565C" w:rsidRDefault="00AF7A00" w:rsidP="00AF7A00">
      <w:pPr>
        <w:ind w:left="426"/>
        <w:rPr>
          <w:lang w:val="fr-FR"/>
        </w:rPr>
      </w:pPr>
    </w:p>
    <w:p w:rsidR="00AF7A00" w:rsidRPr="0085565C" w:rsidRDefault="00AF7A00" w:rsidP="00AF7A00">
      <w:pPr>
        <w:ind w:left="426"/>
        <w:rPr>
          <w:lang w:val="fr-FR"/>
        </w:rPr>
      </w:pPr>
    </w:p>
    <w:p w:rsidR="00AF7A00" w:rsidRPr="0085565C" w:rsidRDefault="00AF7A00" w:rsidP="0085565C">
      <w:pPr>
        <w:pStyle w:val="Heading2"/>
        <w:rPr>
          <w:lang w:val="fr-FR"/>
        </w:rPr>
      </w:pPr>
      <w:bookmarkStart w:id="54" w:name="_Toc428287721"/>
      <w:r w:rsidRPr="0085565C">
        <w:rPr>
          <w:lang w:val="fr-FR"/>
        </w:rPr>
        <w:t>Liste des genres et espèces pour lesquels les services ont une expérience pratique en matière d’examen de la distinction, de l’homogénéité et de la stabilité</w:t>
      </w:r>
      <w:bookmarkEnd w:id="54"/>
    </w:p>
    <w:p w:rsidR="00AF7A00" w:rsidRPr="0085565C" w:rsidRDefault="00AF7A00" w:rsidP="00AF7A00">
      <w:pPr>
        <w:rPr>
          <w:lang w:val="fr-FR"/>
        </w:rPr>
      </w:pPr>
    </w:p>
    <w:p w:rsidR="00AF7A00" w:rsidRPr="0085565C" w:rsidRDefault="00AF7A00" w:rsidP="00AF7A00">
      <w:pPr>
        <w:rPr>
          <w:rFonts w:cs="Arial"/>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TC examine le document TC/51/4 et prend note que le nombre de genres et d’espèces pour lesquels les membres de l’Union faisaient part d’une expérience dans l’examen DHS était passé de 3305 en 2014 à 3382 en 2015 (+ 2,3%).  Les informations sur les membres de l’Union ayant une expérience pratique en matière d’examen DHS sont librement accessibles au moyen de la base de données GENIE.</w:t>
      </w:r>
    </w:p>
    <w:p w:rsidR="00AF7A00" w:rsidRPr="0085565C" w:rsidRDefault="00AF7A00" w:rsidP="00AF7A00">
      <w:pPr>
        <w:rPr>
          <w:lang w:val="fr-FR"/>
        </w:rPr>
      </w:pPr>
    </w:p>
    <w:p w:rsidR="00AF7A00" w:rsidRPr="0085565C" w:rsidRDefault="00AF7A00" w:rsidP="00AF7A00">
      <w:pPr>
        <w:rPr>
          <w:lang w:val="fr-FR"/>
        </w:rPr>
      </w:pPr>
    </w:p>
    <w:p w:rsidR="00AF7A00" w:rsidRPr="0085565C" w:rsidRDefault="00AF7A00" w:rsidP="0085565C">
      <w:pPr>
        <w:pStyle w:val="Heading2"/>
        <w:rPr>
          <w:lang w:val="fr-FR"/>
        </w:rPr>
      </w:pPr>
      <w:bookmarkStart w:id="55" w:name="_Toc428287722"/>
      <w:r w:rsidRPr="0085565C">
        <w:rPr>
          <w:lang w:val="fr-FR"/>
        </w:rPr>
        <w:t>Programme de la cinquante</w:t>
      </w:r>
      <w:r w:rsidRPr="0085565C">
        <w:rPr>
          <w:lang w:val="fr-FR"/>
        </w:rPr>
        <w:noBreakHyphen/>
        <w:t>deuxième session</w:t>
      </w:r>
      <w:bookmarkEnd w:id="55"/>
    </w:p>
    <w:p w:rsidR="00AF7A00" w:rsidRPr="0085565C" w:rsidRDefault="00AF7A00" w:rsidP="00AF7A00">
      <w:pPr>
        <w:rPr>
          <w:lang w:val="fr-FR"/>
        </w:rPr>
      </w:pPr>
    </w:p>
    <w:p w:rsidR="00AF7A00" w:rsidRPr="0085565C" w:rsidRDefault="00AF7A00" w:rsidP="00AF7A00">
      <w:pPr>
        <w:rPr>
          <w:lang w:val="fr-FR"/>
        </w:rPr>
      </w:pPr>
      <w:r w:rsidRPr="0085565C">
        <w:rPr>
          <w:snapToGrid w:val="0"/>
          <w:lang w:val="fr-FR"/>
        </w:rPr>
        <w:fldChar w:fldCharType="begin"/>
      </w:r>
      <w:r w:rsidRPr="0085565C">
        <w:rPr>
          <w:snapToGrid w:val="0"/>
          <w:lang w:val="fr-FR"/>
        </w:rPr>
        <w:instrText xml:space="preserve"> AUTONUM  </w:instrText>
      </w:r>
      <w:r w:rsidRPr="0085565C">
        <w:rPr>
          <w:snapToGrid w:val="0"/>
          <w:lang w:val="fr-FR"/>
        </w:rPr>
        <w:fldChar w:fldCharType="end"/>
      </w:r>
      <w:r w:rsidRPr="0085565C">
        <w:rPr>
          <w:snapToGrid w:val="0"/>
          <w:lang w:val="fr-FR"/>
        </w:rPr>
        <w:tab/>
        <w:t>Le projet d’ordre du jour ci</w:t>
      </w:r>
      <w:r w:rsidRPr="0085565C">
        <w:rPr>
          <w:snapToGrid w:val="0"/>
          <w:lang w:val="fr-FR"/>
        </w:rPr>
        <w:noBreakHyphen/>
        <w:t>après est approuvé pour la cinquante</w:t>
      </w:r>
      <w:r w:rsidRPr="0085565C">
        <w:rPr>
          <w:snapToGrid w:val="0"/>
          <w:lang w:val="fr-FR"/>
        </w:rPr>
        <w:noBreakHyphen/>
        <w:t>deuxième session du TC, qui se tiendra à Genève en 2016 :</w:t>
      </w:r>
    </w:p>
    <w:p w:rsidR="00AF7A00" w:rsidRPr="0085565C" w:rsidRDefault="00AF7A00" w:rsidP="00AF7A00">
      <w:pPr>
        <w:rPr>
          <w:snapToGrid w:val="0"/>
          <w:lang w:val="fr-FR"/>
        </w:rPr>
      </w:pPr>
    </w:p>
    <w:p w:rsidR="00AF7A00" w:rsidRPr="0085565C" w:rsidRDefault="00AF7A00" w:rsidP="00AF7A00">
      <w:pPr>
        <w:spacing w:after="120"/>
        <w:ind w:left="1134" w:hanging="567"/>
        <w:rPr>
          <w:rFonts w:cs="Arial"/>
          <w:snapToGrid w:val="0"/>
          <w:lang w:val="fr-FR"/>
        </w:rPr>
      </w:pPr>
      <w:r w:rsidRPr="0085565C">
        <w:rPr>
          <w:rFonts w:cs="Arial"/>
          <w:snapToGrid w:val="0"/>
          <w:lang w:val="fr-FR"/>
        </w:rPr>
        <w:t>1.</w:t>
      </w:r>
      <w:r w:rsidRPr="0085565C">
        <w:rPr>
          <w:rFonts w:cs="Arial"/>
          <w:snapToGrid w:val="0"/>
          <w:lang w:val="fr-FR"/>
        </w:rPr>
        <w:tab/>
        <w:t>Ouverture de la session</w:t>
      </w:r>
    </w:p>
    <w:p w:rsidR="00AF7A00" w:rsidRPr="0085565C" w:rsidRDefault="00AF7A00" w:rsidP="00AF7A00">
      <w:pPr>
        <w:spacing w:after="120"/>
        <w:ind w:left="1134" w:hanging="567"/>
        <w:rPr>
          <w:rFonts w:cs="Arial"/>
          <w:snapToGrid w:val="0"/>
          <w:lang w:val="fr-FR"/>
        </w:rPr>
      </w:pPr>
      <w:r w:rsidRPr="0085565C">
        <w:rPr>
          <w:rFonts w:cs="Arial"/>
          <w:snapToGrid w:val="0"/>
          <w:lang w:val="fr-FR"/>
        </w:rPr>
        <w:t>2.</w:t>
      </w:r>
      <w:r w:rsidRPr="0085565C">
        <w:rPr>
          <w:rFonts w:cs="Arial"/>
          <w:snapToGrid w:val="0"/>
          <w:lang w:val="fr-FR"/>
        </w:rPr>
        <w:tab/>
        <w:t>Adoption de l’ordre du jour</w:t>
      </w:r>
    </w:p>
    <w:p w:rsidR="00AF7A00" w:rsidRPr="0085565C" w:rsidRDefault="00AF7A00" w:rsidP="00AF7A00">
      <w:pPr>
        <w:spacing w:after="120"/>
        <w:ind w:left="1134" w:hanging="567"/>
        <w:rPr>
          <w:rFonts w:cs="Arial"/>
          <w:snapToGrid w:val="0"/>
          <w:lang w:val="fr-FR"/>
        </w:rPr>
      </w:pPr>
      <w:r w:rsidRPr="0085565C">
        <w:rPr>
          <w:rFonts w:cs="Arial"/>
          <w:snapToGrid w:val="0"/>
          <w:lang w:val="fr-FR"/>
        </w:rPr>
        <w:t>3.</w:t>
      </w:r>
      <w:r w:rsidRPr="0085565C">
        <w:rPr>
          <w:rFonts w:cs="Arial"/>
          <w:snapToGrid w:val="0"/>
          <w:lang w:val="fr-FR"/>
        </w:rPr>
        <w:tab/>
        <w:t>Débat sur :</w:t>
      </w:r>
    </w:p>
    <w:p w:rsidR="00AF7A00" w:rsidRPr="0085565C" w:rsidRDefault="00AF7A00" w:rsidP="00AF7A00">
      <w:pPr>
        <w:spacing w:after="120"/>
        <w:ind w:left="1701" w:hanging="567"/>
        <w:rPr>
          <w:lang w:val="fr-FR"/>
        </w:rPr>
      </w:pPr>
      <w:r w:rsidRPr="0085565C">
        <w:rPr>
          <w:lang w:val="fr-FR"/>
        </w:rPr>
        <w:t>a)</w:t>
      </w:r>
      <w:r w:rsidRPr="0085565C">
        <w:rPr>
          <w:lang w:val="fr-FR"/>
        </w:rPr>
        <w:tab/>
        <w:t>les descriptions variétales et le rôle du matériel végétal, y compris le nombre minimum de cycles de végétations pour l’examen DHS</w:t>
      </w:r>
    </w:p>
    <w:p w:rsidR="00AF7A00" w:rsidRPr="0085565C" w:rsidRDefault="00AF7A00" w:rsidP="00AF7A00">
      <w:pPr>
        <w:spacing w:after="120"/>
        <w:ind w:left="1701" w:hanging="567"/>
        <w:rPr>
          <w:lang w:val="fr-FR"/>
        </w:rPr>
      </w:pPr>
      <w:r w:rsidRPr="0085565C">
        <w:rPr>
          <w:lang w:val="fr-FR"/>
        </w:rPr>
        <w:t>b)</w:t>
      </w:r>
      <w:r w:rsidRPr="0085565C">
        <w:rPr>
          <w:lang w:val="fr-FR"/>
        </w:rPr>
        <w:tab/>
        <w:t>les paramètres qualitatifs pour l’examen DHS</w:t>
      </w:r>
    </w:p>
    <w:p w:rsidR="00AF7A00" w:rsidRPr="0085565C" w:rsidRDefault="00AF7A00" w:rsidP="00AF7A00">
      <w:pPr>
        <w:spacing w:after="120"/>
        <w:ind w:left="1701" w:hanging="567"/>
        <w:rPr>
          <w:lang w:val="fr-FR"/>
        </w:rPr>
      </w:pPr>
      <w:r w:rsidRPr="0085565C">
        <w:rPr>
          <w:lang w:val="fr-FR"/>
        </w:rPr>
        <w:t>c)</w:t>
      </w:r>
      <w:r w:rsidRPr="0085565C">
        <w:rPr>
          <w:lang w:val="fr-FR"/>
        </w:rPr>
        <w:tab/>
        <w:t>faciliter la mise au point de bases de données</w:t>
      </w:r>
    </w:p>
    <w:p w:rsidR="00AF7A00" w:rsidRPr="0085565C" w:rsidRDefault="00AF7A00" w:rsidP="00AF7A00">
      <w:pPr>
        <w:spacing w:after="120"/>
        <w:ind w:left="1701" w:hanging="567"/>
        <w:rPr>
          <w:lang w:val="fr-FR"/>
        </w:rPr>
      </w:pPr>
      <w:r w:rsidRPr="0085565C">
        <w:rPr>
          <w:lang w:val="fr-FR"/>
        </w:rPr>
        <w:t>d)</w:t>
      </w:r>
      <w:r w:rsidRPr="0085565C">
        <w:rPr>
          <w:lang w:val="fr-FR"/>
        </w:rPr>
        <w:tab/>
        <w:t>l’écart minimal entre les variétés</w:t>
      </w:r>
    </w:p>
    <w:p w:rsidR="00AF7A00" w:rsidRPr="0085565C" w:rsidRDefault="00AF7A00" w:rsidP="00AF7A00">
      <w:pPr>
        <w:spacing w:after="120"/>
        <w:ind w:left="1134" w:hanging="567"/>
        <w:rPr>
          <w:rFonts w:cs="Arial"/>
          <w:snapToGrid w:val="0"/>
          <w:lang w:val="fr-FR"/>
        </w:rPr>
      </w:pPr>
      <w:r w:rsidRPr="0085565C">
        <w:rPr>
          <w:rFonts w:cs="Arial"/>
          <w:snapToGrid w:val="0"/>
          <w:lang w:val="fr-FR"/>
        </w:rPr>
        <w:lastRenderedPageBreak/>
        <w:t>4.</w:t>
      </w:r>
      <w:r w:rsidRPr="0085565C">
        <w:rPr>
          <w:rFonts w:cs="Arial"/>
          <w:snapToGrid w:val="0"/>
          <w:lang w:val="fr-FR"/>
        </w:rPr>
        <w:tab/>
        <w:t>Rapport sur les faits nouveaux intervenus au sein de l’UPOV, y compris certaines questions examinées lors des dernières sessions du Comité administratif et juridique, du Comité consultatif et du Conseil</w:t>
      </w:r>
    </w:p>
    <w:p w:rsidR="00AF7A00" w:rsidRPr="0085565C" w:rsidRDefault="00AF7A00" w:rsidP="00AF7A00">
      <w:pPr>
        <w:spacing w:after="120"/>
        <w:ind w:left="1134" w:hanging="567"/>
        <w:rPr>
          <w:lang w:val="fr-FR"/>
        </w:rPr>
      </w:pPr>
      <w:r w:rsidRPr="0085565C">
        <w:rPr>
          <w:lang w:val="fr-FR"/>
        </w:rPr>
        <w:t>5.</w:t>
      </w:r>
      <w:r w:rsidRPr="0085565C">
        <w:rPr>
          <w:lang w:val="fr-FR"/>
        </w:rPr>
        <w:tab/>
        <w:t>Rapports sur l’état d’avancement des travaux des groupes de travail techniques, y compris le Groupe de travail sur les techniques biochimiques et moléculaires, notamment les profils d’ADN (BMT)</w:t>
      </w:r>
    </w:p>
    <w:p w:rsidR="00AF7A00" w:rsidRPr="0085565C" w:rsidRDefault="00AF7A00" w:rsidP="00AF7A00">
      <w:pPr>
        <w:spacing w:after="120"/>
        <w:ind w:left="1134" w:hanging="567"/>
        <w:rPr>
          <w:rFonts w:cs="Arial"/>
          <w:snapToGrid w:val="0"/>
          <w:lang w:val="fr-FR"/>
        </w:rPr>
      </w:pPr>
      <w:r w:rsidRPr="0085565C">
        <w:rPr>
          <w:rFonts w:cs="Arial"/>
          <w:snapToGrid w:val="0"/>
          <w:lang w:val="fr-FR"/>
        </w:rPr>
        <w:t>6.</w:t>
      </w:r>
      <w:r w:rsidRPr="0085565C">
        <w:rPr>
          <w:rFonts w:cs="Arial"/>
          <w:snapToGrid w:val="0"/>
          <w:lang w:val="fr-FR"/>
        </w:rPr>
        <w:tab/>
        <w:t>Questions découlant des travaux des groupes de travail techniques</w:t>
      </w:r>
    </w:p>
    <w:p w:rsidR="00AF7A00" w:rsidRPr="0085565C" w:rsidRDefault="00AF7A00" w:rsidP="00AF7A00">
      <w:pPr>
        <w:keepLines/>
        <w:spacing w:after="120"/>
        <w:ind w:left="567"/>
        <w:jc w:val="left"/>
        <w:rPr>
          <w:rFonts w:cs="Arial"/>
          <w:snapToGrid w:val="0"/>
          <w:lang w:val="fr-FR"/>
        </w:rPr>
      </w:pPr>
      <w:r w:rsidRPr="0085565C">
        <w:rPr>
          <w:rFonts w:cs="Arial"/>
          <w:snapToGrid w:val="0"/>
          <w:lang w:val="fr-FR"/>
        </w:rPr>
        <w:t>7.</w:t>
      </w:r>
      <w:r w:rsidRPr="0085565C">
        <w:rPr>
          <w:rFonts w:cs="Arial"/>
          <w:snapToGrid w:val="0"/>
          <w:lang w:val="fr-FR"/>
        </w:rPr>
        <w:tab/>
        <w:t>Documents TGP</w:t>
      </w:r>
    </w:p>
    <w:p w:rsidR="00AF7A00" w:rsidRPr="0085565C" w:rsidRDefault="00AF7A00" w:rsidP="00AF7A00">
      <w:pPr>
        <w:spacing w:after="120"/>
        <w:ind w:left="1134" w:hanging="567"/>
        <w:rPr>
          <w:rFonts w:cs="Arial"/>
          <w:lang w:val="fr-FR"/>
        </w:rPr>
      </w:pPr>
      <w:r w:rsidRPr="0085565C">
        <w:rPr>
          <w:rFonts w:cs="Arial"/>
          <w:lang w:val="fr-FR"/>
        </w:rPr>
        <w:t>8.</w:t>
      </w:r>
      <w:r w:rsidRPr="0085565C">
        <w:rPr>
          <w:rFonts w:cs="Arial"/>
          <w:lang w:val="fr-FR"/>
        </w:rPr>
        <w:tab/>
        <w:t>Techniques moléculaires</w:t>
      </w:r>
    </w:p>
    <w:p w:rsidR="00AF7A00" w:rsidRPr="0085565C" w:rsidRDefault="00AF7A00" w:rsidP="00AF7A00">
      <w:pPr>
        <w:spacing w:after="120"/>
        <w:ind w:left="1134" w:hanging="567"/>
        <w:rPr>
          <w:rFonts w:cs="Arial"/>
          <w:snapToGrid w:val="0"/>
          <w:lang w:val="fr-FR"/>
        </w:rPr>
      </w:pPr>
      <w:r w:rsidRPr="0085565C">
        <w:rPr>
          <w:rFonts w:cs="Arial"/>
          <w:snapToGrid w:val="0"/>
          <w:lang w:val="fr-FR"/>
        </w:rPr>
        <w:t>9.</w:t>
      </w:r>
      <w:r w:rsidRPr="0085565C">
        <w:rPr>
          <w:rFonts w:cs="Arial"/>
          <w:snapToGrid w:val="0"/>
          <w:lang w:val="fr-FR"/>
        </w:rPr>
        <w:tab/>
        <w:t>Dénominations variétales</w:t>
      </w:r>
    </w:p>
    <w:p w:rsidR="00AF7A00" w:rsidRPr="0085565C" w:rsidRDefault="00AF7A00" w:rsidP="00AF7A00">
      <w:pPr>
        <w:spacing w:after="120"/>
        <w:ind w:left="1134" w:hanging="567"/>
        <w:rPr>
          <w:rFonts w:cs="Arial"/>
          <w:snapToGrid w:val="0"/>
          <w:lang w:val="fr-FR"/>
        </w:rPr>
      </w:pPr>
      <w:r w:rsidRPr="0085565C">
        <w:rPr>
          <w:rFonts w:cs="Arial"/>
          <w:snapToGrid w:val="0"/>
          <w:lang w:val="fr-FR"/>
        </w:rPr>
        <w:t>10.</w:t>
      </w:r>
      <w:r w:rsidRPr="0085565C">
        <w:rPr>
          <w:rFonts w:cs="Arial"/>
          <w:snapToGrid w:val="0"/>
          <w:lang w:val="fr-FR"/>
        </w:rPr>
        <w:tab/>
        <w:t>Information et bases de données</w:t>
      </w:r>
    </w:p>
    <w:p w:rsidR="00AF7A00" w:rsidRPr="0085565C" w:rsidRDefault="00AF7A00" w:rsidP="00AF7A00">
      <w:pPr>
        <w:spacing w:after="120"/>
        <w:ind w:left="1701" w:hanging="567"/>
        <w:rPr>
          <w:rFonts w:cs="Arial"/>
          <w:snapToGrid w:val="0"/>
          <w:lang w:val="fr-FR"/>
        </w:rPr>
      </w:pPr>
      <w:r w:rsidRPr="0085565C">
        <w:rPr>
          <w:rFonts w:cs="Arial"/>
          <w:snapToGrid w:val="0"/>
          <w:lang w:val="fr-FR"/>
        </w:rPr>
        <w:t>a)</w:t>
      </w:r>
      <w:r w:rsidRPr="0085565C">
        <w:rPr>
          <w:rFonts w:cs="Arial"/>
          <w:snapToGrid w:val="0"/>
          <w:lang w:val="fr-FR"/>
        </w:rPr>
        <w:tab/>
        <w:t>Base de données d’information de l’UPOV</w:t>
      </w:r>
    </w:p>
    <w:p w:rsidR="00AF7A00" w:rsidRPr="0085565C" w:rsidRDefault="00AF7A00" w:rsidP="00AF7A00">
      <w:pPr>
        <w:spacing w:after="120"/>
        <w:ind w:left="1701" w:hanging="567"/>
        <w:rPr>
          <w:rFonts w:cs="Arial"/>
          <w:snapToGrid w:val="0"/>
          <w:lang w:val="fr-FR"/>
        </w:rPr>
      </w:pPr>
      <w:r w:rsidRPr="0085565C">
        <w:rPr>
          <w:rFonts w:cs="Arial"/>
          <w:snapToGrid w:val="0"/>
          <w:lang w:val="fr-FR"/>
        </w:rPr>
        <w:t>b)</w:t>
      </w:r>
      <w:r w:rsidRPr="0085565C">
        <w:rPr>
          <w:rFonts w:cs="Arial"/>
          <w:snapToGrid w:val="0"/>
          <w:lang w:val="fr-FR"/>
        </w:rPr>
        <w:tab/>
        <w:t>Systèmes de dépôt électronique des demandes</w:t>
      </w:r>
    </w:p>
    <w:p w:rsidR="00AF7A00" w:rsidRPr="0085565C" w:rsidRDefault="00AF7A00" w:rsidP="00AF7A00">
      <w:pPr>
        <w:spacing w:after="120"/>
        <w:ind w:left="1701" w:hanging="567"/>
        <w:rPr>
          <w:rFonts w:cs="Arial"/>
          <w:snapToGrid w:val="0"/>
          <w:lang w:val="fr-FR"/>
        </w:rPr>
      </w:pPr>
      <w:r w:rsidRPr="0085565C">
        <w:rPr>
          <w:rFonts w:cs="Arial"/>
          <w:snapToGrid w:val="0"/>
          <w:lang w:val="fr-FR"/>
        </w:rPr>
        <w:t>c)</w:t>
      </w:r>
      <w:r w:rsidRPr="0085565C">
        <w:rPr>
          <w:rFonts w:cs="Arial"/>
          <w:snapToGrid w:val="0"/>
          <w:lang w:val="fr-FR"/>
        </w:rPr>
        <w:tab/>
        <w:t>Logiciels échangeables</w:t>
      </w:r>
    </w:p>
    <w:p w:rsidR="00AF7A00" w:rsidRPr="0085565C" w:rsidRDefault="00AF7A00" w:rsidP="00AF7A00">
      <w:pPr>
        <w:spacing w:after="120"/>
        <w:ind w:left="1701" w:hanging="567"/>
        <w:rPr>
          <w:rFonts w:cs="Arial"/>
          <w:snapToGrid w:val="0"/>
          <w:lang w:val="fr-FR"/>
        </w:rPr>
      </w:pPr>
      <w:r w:rsidRPr="0085565C">
        <w:rPr>
          <w:rFonts w:cs="Arial"/>
          <w:snapToGrid w:val="0"/>
          <w:lang w:val="fr-FR"/>
        </w:rPr>
        <w:t>d)</w:t>
      </w:r>
      <w:r w:rsidRPr="0085565C">
        <w:rPr>
          <w:rFonts w:cs="Arial"/>
          <w:snapToGrid w:val="0"/>
          <w:lang w:val="fr-FR"/>
        </w:rPr>
        <w:tab/>
        <w:t>Bases de données sur les descriptions variétales</w:t>
      </w:r>
    </w:p>
    <w:p w:rsidR="00AF7A00" w:rsidRPr="0085565C" w:rsidRDefault="00AF7A00" w:rsidP="00AF7A00">
      <w:pPr>
        <w:spacing w:after="120"/>
        <w:ind w:left="1134" w:hanging="567"/>
        <w:rPr>
          <w:rFonts w:cs="Arial"/>
          <w:snapToGrid w:val="0"/>
          <w:lang w:val="fr-FR"/>
        </w:rPr>
      </w:pPr>
      <w:r w:rsidRPr="0085565C">
        <w:rPr>
          <w:rFonts w:cs="Arial"/>
          <w:snapToGrid w:val="0"/>
          <w:lang w:val="fr-FR"/>
        </w:rPr>
        <w:t>11.</w:t>
      </w:r>
      <w:r w:rsidRPr="0085565C">
        <w:rPr>
          <w:rFonts w:cs="Arial"/>
          <w:snapToGrid w:val="0"/>
          <w:lang w:val="fr-FR"/>
        </w:rPr>
        <w:tab/>
        <w:t>Évaluation de l’homogénéité par plante hors type sur la base de plus d’un exemple ou sous</w:t>
      </w:r>
      <w:r w:rsidRPr="0085565C">
        <w:rPr>
          <w:rFonts w:cs="Arial"/>
          <w:snapToGrid w:val="0"/>
          <w:lang w:val="fr-FR"/>
        </w:rPr>
        <w:noBreakHyphen/>
        <w:t>exemple</w:t>
      </w:r>
    </w:p>
    <w:p w:rsidR="00AF7A00" w:rsidRPr="0085565C" w:rsidRDefault="00AF7A00" w:rsidP="00AF7A00">
      <w:pPr>
        <w:spacing w:after="120"/>
        <w:ind w:left="1134" w:hanging="567"/>
        <w:rPr>
          <w:rFonts w:cs="Arial"/>
          <w:snapToGrid w:val="0"/>
          <w:lang w:val="fr-FR"/>
        </w:rPr>
      </w:pPr>
      <w:r w:rsidRPr="0085565C">
        <w:rPr>
          <w:rFonts w:cs="Arial"/>
          <w:snapToGrid w:val="0"/>
          <w:lang w:val="fr-FR"/>
        </w:rPr>
        <w:t>12.</w:t>
      </w:r>
      <w:r w:rsidRPr="0085565C">
        <w:rPr>
          <w:rFonts w:cs="Arial"/>
          <w:snapToGrid w:val="0"/>
          <w:lang w:val="fr-FR"/>
        </w:rPr>
        <w:tab/>
        <w:t>Méthodes statistiques applicables aux caractères observés visuellement</w:t>
      </w:r>
    </w:p>
    <w:p w:rsidR="00AF7A00" w:rsidRPr="0085565C" w:rsidRDefault="00AF7A00" w:rsidP="00AF7A00">
      <w:pPr>
        <w:spacing w:after="120"/>
        <w:ind w:left="1134" w:hanging="567"/>
        <w:rPr>
          <w:rFonts w:cs="Arial"/>
          <w:snapToGrid w:val="0"/>
          <w:lang w:val="fr-FR"/>
        </w:rPr>
      </w:pPr>
      <w:r w:rsidRPr="0085565C">
        <w:rPr>
          <w:rFonts w:cs="Arial"/>
          <w:snapToGrid w:val="0"/>
          <w:lang w:val="fr-FR"/>
        </w:rPr>
        <w:t>13.</w:t>
      </w:r>
      <w:r w:rsidRPr="0085565C">
        <w:rPr>
          <w:rFonts w:cs="Arial"/>
          <w:snapToGrid w:val="0"/>
          <w:lang w:val="fr-FR"/>
        </w:rPr>
        <w:tab/>
        <w:t>Ateliers préparatoires</w:t>
      </w:r>
    </w:p>
    <w:p w:rsidR="00AF7A00" w:rsidRPr="0085565C" w:rsidRDefault="00AF7A00" w:rsidP="00AF7A00">
      <w:pPr>
        <w:spacing w:after="120"/>
        <w:ind w:left="1134" w:hanging="567"/>
        <w:rPr>
          <w:rFonts w:cs="Arial"/>
          <w:snapToGrid w:val="0"/>
          <w:lang w:val="fr-FR"/>
        </w:rPr>
      </w:pPr>
      <w:r w:rsidRPr="0085565C">
        <w:rPr>
          <w:rFonts w:cs="Arial"/>
          <w:snapToGrid w:val="0"/>
          <w:lang w:val="fr-FR"/>
        </w:rPr>
        <w:t>14.</w:t>
      </w:r>
      <w:r w:rsidRPr="0085565C">
        <w:rPr>
          <w:rFonts w:cs="Arial"/>
          <w:snapToGrid w:val="0"/>
          <w:lang w:val="fr-FR"/>
        </w:rPr>
        <w:tab/>
        <w:t>Principes directeurs d’examen</w:t>
      </w:r>
    </w:p>
    <w:p w:rsidR="00AF7A00" w:rsidRPr="0085565C" w:rsidRDefault="00AF7A00" w:rsidP="00AF7A00">
      <w:pPr>
        <w:spacing w:after="120"/>
        <w:ind w:left="1134" w:hanging="567"/>
        <w:rPr>
          <w:rFonts w:cs="Arial"/>
          <w:snapToGrid w:val="0"/>
          <w:lang w:val="fr-FR"/>
        </w:rPr>
      </w:pPr>
      <w:r w:rsidRPr="0085565C">
        <w:rPr>
          <w:rFonts w:cs="Arial"/>
          <w:snapToGrid w:val="0"/>
          <w:lang w:val="fr-FR"/>
        </w:rPr>
        <w:t>15.</w:t>
      </w:r>
      <w:r w:rsidRPr="0085565C">
        <w:rPr>
          <w:rFonts w:cs="Arial"/>
          <w:snapToGrid w:val="0"/>
          <w:lang w:val="fr-FR"/>
        </w:rPr>
        <w:tab/>
        <w:t>Liste des genres et espèces pour lesquels les services ont une expérience pratique en matière d’examen de la distinction, de l’homogénéité et de la stabilité</w:t>
      </w:r>
    </w:p>
    <w:p w:rsidR="00AF7A00" w:rsidRPr="0085565C" w:rsidRDefault="00AF7A00" w:rsidP="00AF7A00">
      <w:pPr>
        <w:spacing w:after="120"/>
        <w:ind w:left="1134" w:hanging="567"/>
        <w:rPr>
          <w:rFonts w:cs="Arial"/>
          <w:snapToGrid w:val="0"/>
          <w:lang w:val="fr-FR"/>
        </w:rPr>
      </w:pPr>
      <w:r w:rsidRPr="0085565C">
        <w:rPr>
          <w:rFonts w:cs="Arial"/>
          <w:snapToGrid w:val="0"/>
          <w:lang w:val="fr-FR"/>
        </w:rPr>
        <w:t>16.</w:t>
      </w:r>
      <w:r w:rsidRPr="0085565C">
        <w:rPr>
          <w:rFonts w:cs="Arial"/>
          <w:snapToGrid w:val="0"/>
          <w:lang w:val="fr-FR"/>
        </w:rPr>
        <w:tab/>
        <w:t>Programme de la cinquante</w:t>
      </w:r>
      <w:r w:rsidRPr="0085565C">
        <w:rPr>
          <w:rFonts w:cs="Arial"/>
          <w:snapToGrid w:val="0"/>
          <w:lang w:val="fr-FR"/>
        </w:rPr>
        <w:noBreakHyphen/>
        <w:t>troisième session</w:t>
      </w:r>
    </w:p>
    <w:p w:rsidR="00AF7A00" w:rsidRPr="0085565C" w:rsidRDefault="00AF7A00" w:rsidP="00AF7A00">
      <w:pPr>
        <w:spacing w:after="120"/>
        <w:ind w:left="1134" w:hanging="567"/>
        <w:rPr>
          <w:rFonts w:cs="Arial"/>
          <w:snapToGrid w:val="0"/>
          <w:lang w:val="fr-FR"/>
        </w:rPr>
      </w:pPr>
      <w:r w:rsidRPr="0085565C">
        <w:rPr>
          <w:rFonts w:cs="Arial"/>
          <w:snapToGrid w:val="0"/>
          <w:lang w:val="fr-FR"/>
        </w:rPr>
        <w:t>17.</w:t>
      </w:r>
      <w:r w:rsidRPr="0085565C">
        <w:rPr>
          <w:rFonts w:cs="Arial"/>
          <w:snapToGrid w:val="0"/>
          <w:lang w:val="fr-FR"/>
        </w:rPr>
        <w:tab/>
      </w:r>
      <w:r w:rsidRPr="0085565C">
        <w:rPr>
          <w:rFonts w:cs="Arial"/>
          <w:lang w:val="fr-FR"/>
        </w:rPr>
        <w:t>Adoption du compte rendu (selon le temps disponible)</w:t>
      </w:r>
    </w:p>
    <w:p w:rsidR="00AF7A00" w:rsidRPr="0085565C" w:rsidRDefault="00AF7A00" w:rsidP="00AF7A00">
      <w:pPr>
        <w:ind w:left="567"/>
        <w:rPr>
          <w:snapToGrid w:val="0"/>
          <w:lang w:val="fr-FR"/>
        </w:rPr>
      </w:pPr>
      <w:r w:rsidRPr="0085565C">
        <w:rPr>
          <w:snapToGrid w:val="0"/>
          <w:lang w:val="fr-FR"/>
        </w:rPr>
        <w:t>18.</w:t>
      </w:r>
      <w:r w:rsidRPr="0085565C">
        <w:rPr>
          <w:snapToGrid w:val="0"/>
          <w:lang w:val="fr-FR"/>
        </w:rPr>
        <w:tab/>
        <w:t>Clôture de la session</w:t>
      </w:r>
    </w:p>
    <w:p w:rsidR="00AF7A00" w:rsidRPr="0085565C" w:rsidRDefault="00AF7A00" w:rsidP="00AF7A00">
      <w:pPr>
        <w:rPr>
          <w:lang w:val="fr-FR"/>
        </w:rPr>
      </w:pPr>
    </w:p>
    <w:p w:rsidR="00BB30A7" w:rsidRPr="0085565C" w:rsidRDefault="00BB30A7" w:rsidP="00BB30A7">
      <w:pPr>
        <w:rPr>
          <w:lang w:val="fr-FR"/>
        </w:rPr>
      </w:pPr>
    </w:p>
    <w:p w:rsidR="00BB30A7" w:rsidRPr="0085565C" w:rsidRDefault="00BB30A7" w:rsidP="00BB30A7">
      <w:pPr>
        <w:rPr>
          <w:lang w:val="fr-FR"/>
        </w:rPr>
      </w:pPr>
    </w:p>
    <w:p w:rsidR="00BB30A7" w:rsidRPr="0085565C" w:rsidRDefault="00697CEF" w:rsidP="00BB30A7">
      <w:pPr>
        <w:pStyle w:val="Heading1"/>
        <w:rPr>
          <w:lang w:val="fr-FR"/>
        </w:rPr>
      </w:pPr>
      <w:bookmarkStart w:id="56" w:name="_Toc393187184"/>
      <w:bookmarkStart w:id="57" w:name="_Toc428287723"/>
      <w:r w:rsidRPr="0085565C">
        <w:rPr>
          <w:lang w:val="fr-FR"/>
        </w:rPr>
        <w:t xml:space="preserve">RAPPORT SUR L’ÉTAT D’AVANCEMENT DES TRAVAUX DES GROUPES DE TRAVAIL TECHNIQUES ET DU GROUPE DE TRAVAIL SUR LES TECHNIQUES BIOCHIMIQUES ET MOLÉCULAIRES, NOTAMMENT LES PROFILS D’ADN EN </w:t>
      </w:r>
      <w:r w:rsidR="00BB30A7" w:rsidRPr="0085565C">
        <w:rPr>
          <w:lang w:val="fr-FR"/>
        </w:rPr>
        <w:t>201</w:t>
      </w:r>
      <w:bookmarkEnd w:id="56"/>
      <w:r w:rsidR="00BB30A7" w:rsidRPr="0085565C">
        <w:rPr>
          <w:lang w:val="fr-FR"/>
        </w:rPr>
        <w:t>4</w:t>
      </w:r>
      <w:bookmarkEnd w:id="57"/>
    </w:p>
    <w:p w:rsidR="00BB30A7" w:rsidRPr="0085565C" w:rsidRDefault="00BB30A7" w:rsidP="00BB30A7">
      <w:pPr>
        <w:rPr>
          <w:lang w:val="fr-FR"/>
        </w:rPr>
      </w:pPr>
    </w:p>
    <w:p w:rsidR="00697CEF" w:rsidRPr="0085565C" w:rsidRDefault="00697CEF" w:rsidP="00697CEF">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À sa cinquante et unième session, le TC a entendu les rapports présentés verbalement par les présidents des groupes concernés sur les travaux du TWA, du TWC, du TWF, du TWO, du TWV et du BMT.</w:t>
      </w:r>
    </w:p>
    <w:p w:rsidR="00697CEF" w:rsidRPr="0085565C" w:rsidRDefault="00697CEF" w:rsidP="00BB30A7">
      <w:pPr>
        <w:rPr>
          <w:lang w:val="fr-FR"/>
        </w:rPr>
      </w:pPr>
    </w:p>
    <w:p w:rsidR="00BB30A7" w:rsidRPr="0085565C" w:rsidRDefault="00BB30A7" w:rsidP="00BB30A7">
      <w:pPr>
        <w:rPr>
          <w:lang w:val="fr-FR"/>
        </w:rPr>
      </w:pPr>
    </w:p>
    <w:p w:rsidR="00697CEF" w:rsidRPr="0085565C" w:rsidRDefault="00697CEF" w:rsidP="00697CEF">
      <w:pPr>
        <w:pStyle w:val="Heading2"/>
        <w:rPr>
          <w:lang w:val="fr-FR"/>
        </w:rPr>
      </w:pPr>
      <w:bookmarkStart w:id="58" w:name="_Toc428287724"/>
      <w:r w:rsidRPr="0085565C">
        <w:rPr>
          <w:lang w:val="fr-FR"/>
        </w:rPr>
        <w:t>Groupe de travail technique sur les plantes agricoles (TWA)</w:t>
      </w:r>
      <w:bookmarkEnd w:id="58"/>
    </w:p>
    <w:p w:rsidR="00697CEF" w:rsidRPr="0085565C" w:rsidRDefault="00697CEF" w:rsidP="00697CEF">
      <w:pPr>
        <w:pStyle w:val="Heading2"/>
        <w:rPr>
          <w:lang w:val="fr-FR"/>
        </w:rPr>
      </w:pPr>
    </w:p>
    <w:p w:rsidR="00697CEF" w:rsidRPr="0085565C" w:rsidRDefault="00697CEF" w:rsidP="00697CEF">
      <w:pPr>
        <w:contextualSpacing/>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Le TWA a tenu sa quarante</w:t>
      </w:r>
      <w:r w:rsidRPr="0085565C">
        <w:rPr>
          <w:rFonts w:cs="Arial"/>
          <w:lang w:val="fr-FR"/>
        </w:rPr>
        <w:noBreakHyphen/>
        <w:t xml:space="preserve">troisième session à Mar del </w:t>
      </w:r>
      <w:proofErr w:type="spellStart"/>
      <w:r w:rsidRPr="0085565C">
        <w:rPr>
          <w:rFonts w:cs="Arial"/>
          <w:lang w:val="fr-FR"/>
        </w:rPr>
        <w:t>Plata</w:t>
      </w:r>
      <w:proofErr w:type="spellEnd"/>
      <w:r w:rsidRPr="0085565C">
        <w:rPr>
          <w:rFonts w:cs="Arial"/>
          <w:lang w:val="fr-FR"/>
        </w:rPr>
        <w:t xml:space="preserve"> (Argentine), du 17 au 21 novembre 2014, sous la présidence de Mme Robyn </w:t>
      </w:r>
      <w:proofErr w:type="spellStart"/>
      <w:r w:rsidRPr="0085565C">
        <w:rPr>
          <w:rFonts w:cs="Arial"/>
          <w:lang w:val="fr-FR"/>
        </w:rPr>
        <w:t>Hierse</w:t>
      </w:r>
      <w:proofErr w:type="spellEnd"/>
      <w:r w:rsidRPr="0085565C">
        <w:rPr>
          <w:rFonts w:cs="Arial"/>
          <w:lang w:val="fr-FR"/>
        </w:rPr>
        <w:t xml:space="preserve"> (Afrique du Sud).  Le compte rendu détaillé de la session fait l’objet du document TWA/43/27 “Report”.</w:t>
      </w:r>
    </w:p>
    <w:p w:rsidR="00697CEF" w:rsidRPr="0085565C" w:rsidRDefault="00697CEF" w:rsidP="00697CEF">
      <w:pPr>
        <w:contextualSpacing/>
        <w:rPr>
          <w:rFonts w:cs="Arial"/>
          <w:lang w:val="fr-FR"/>
        </w:rPr>
      </w:pPr>
    </w:p>
    <w:p w:rsidR="00697CEF" w:rsidRPr="0085565C" w:rsidRDefault="00697CEF" w:rsidP="00697CEF">
      <w:pPr>
        <w:contextualSpacing/>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La session du TWA a réuni 45 participants représentant 23 membres de l’Union, 6 États ayant le statut d’observateur et 3 organisations ayant le statut d’observateur.  L’atelier préparatoire a eu lieu durant l’après</w:t>
      </w:r>
      <w:r w:rsidRPr="0085565C">
        <w:rPr>
          <w:rFonts w:cs="Arial"/>
          <w:lang w:val="fr-FR"/>
        </w:rPr>
        <w:noBreakHyphen/>
        <w:t>midi du 16 juin et a réuni 24 participants représentant 13 membres de l’Union et 5 États ayant le statut d’observateur.</w:t>
      </w:r>
    </w:p>
    <w:p w:rsidR="00697CEF" w:rsidRPr="0085565C" w:rsidRDefault="00697CEF" w:rsidP="00697CEF">
      <w:pPr>
        <w:rPr>
          <w:rFonts w:cs="Arial"/>
          <w:lang w:val="fr-FR"/>
        </w:rPr>
      </w:pPr>
    </w:p>
    <w:p w:rsidR="00697CEF" w:rsidRPr="0085565C" w:rsidRDefault="00697CEF" w:rsidP="00697CEF">
      <w:pPr>
        <w:contextualSpacing/>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M. Raimund</w:t>
      </w:r>
      <w:r w:rsidRPr="0085565C">
        <w:rPr>
          <w:lang w:val="fr-FR"/>
        </w:rPr>
        <w:t>o Lavignolle, président de l’Institut national des semences (INASE</w:t>
      </w:r>
      <w:r w:rsidRPr="0085565C">
        <w:rPr>
          <w:rFonts w:cs="Arial"/>
          <w:lang w:val="fr-FR"/>
        </w:rPr>
        <w:t>), a souhaité la bienvenue aux participants de la session.  Le TWA a assisté à un exposé sur la protection des obtentions végétales en Argentine, présenté par M. Alberto </w:t>
      </w:r>
      <w:proofErr w:type="spellStart"/>
      <w:r w:rsidRPr="0085565C">
        <w:rPr>
          <w:rFonts w:cs="Arial"/>
          <w:lang w:val="fr-FR"/>
        </w:rPr>
        <w:t>Ballesteros</w:t>
      </w:r>
      <w:proofErr w:type="spellEnd"/>
      <w:r w:rsidRPr="0085565C">
        <w:rPr>
          <w:rFonts w:cs="Arial"/>
          <w:lang w:val="fr-FR"/>
        </w:rPr>
        <w:t>, examinateur pour les céréales, le coton, le riz et les cultures fourragères.</w:t>
      </w:r>
    </w:p>
    <w:p w:rsidR="00697CEF" w:rsidRPr="0085565C" w:rsidRDefault="00697CEF" w:rsidP="00697CEF">
      <w:pPr>
        <w:contextualSpacing/>
        <w:rPr>
          <w:rFonts w:cs="Arial"/>
          <w:lang w:val="fr-FR"/>
        </w:rPr>
      </w:pPr>
    </w:p>
    <w:p w:rsidR="00697CEF" w:rsidRPr="0085565C" w:rsidRDefault="00697CEF" w:rsidP="00697CEF">
      <w:pPr>
        <w:contextualSpacing/>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Le TWA a adopté l’ordre du jour tel qu’il figure dans le document TWA/43/1 </w:t>
      </w:r>
      <w:proofErr w:type="spellStart"/>
      <w:r w:rsidRPr="0085565C">
        <w:rPr>
          <w:rFonts w:cs="Arial"/>
          <w:lang w:val="fr-FR"/>
        </w:rPr>
        <w:t>Rev</w:t>
      </w:r>
      <w:proofErr w:type="spellEnd"/>
      <w:r w:rsidRPr="0085565C">
        <w:rPr>
          <w:rFonts w:cs="Arial"/>
          <w:lang w:val="fr-FR"/>
        </w:rPr>
        <w:t>.</w:t>
      </w:r>
    </w:p>
    <w:p w:rsidR="00697CEF" w:rsidRPr="0085565C" w:rsidRDefault="00697CEF" w:rsidP="00697CEF">
      <w:pPr>
        <w:contextualSpacing/>
        <w:rPr>
          <w:rFonts w:cs="Arial"/>
          <w:lang w:val="fr-FR"/>
        </w:rPr>
      </w:pPr>
    </w:p>
    <w:p w:rsidR="00697CEF" w:rsidRPr="0085565C" w:rsidRDefault="00697CEF" w:rsidP="00697CEF">
      <w:pPr>
        <w:contextualSpacing/>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Le TWA a pris note des informations sur les faits nouveaux en matière de protection des variétés végétales présentées par des membres ou des observateurs dans le document TWA/43/25, puis le Bureau de l’Union a présenté un exposé sur les faits nouveaux intervenus à l’UPOV (document TWA/43/24).</w:t>
      </w:r>
    </w:p>
    <w:p w:rsidR="00697CEF" w:rsidRPr="0085565C" w:rsidRDefault="00697CEF" w:rsidP="00697CEF">
      <w:pPr>
        <w:contextualSpacing/>
        <w:rPr>
          <w:rFonts w:cs="Arial"/>
          <w:lang w:val="fr-FR"/>
        </w:rPr>
      </w:pPr>
    </w:p>
    <w:p w:rsidR="00697CEF" w:rsidRPr="0085565C" w:rsidRDefault="00697CEF" w:rsidP="00697CEF">
      <w:pPr>
        <w:contextualSpacing/>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Le TWA a examiné le document TWA/43/11, qui évaluait l’efficacité du Comité technique, des groupes de travail techniques et des ateliers préparatoires.  Le TWA a examiné les propositions relatives aux moyens possibles d’améliorer l’efficacité de ces organismes, exposées dans le document TWA/43/11 et a formulé une série d’observations.  Ces observations figurent dans le document TWA/43/27 “Report”.</w:t>
      </w:r>
    </w:p>
    <w:p w:rsidR="00697CEF" w:rsidRPr="0085565C" w:rsidRDefault="00697CEF" w:rsidP="00697CEF">
      <w:pPr>
        <w:contextualSpacing/>
        <w:rPr>
          <w:rFonts w:cs="Arial"/>
          <w:lang w:val="fr-FR"/>
        </w:rPr>
      </w:pPr>
    </w:p>
    <w:p w:rsidR="00697CEF" w:rsidRPr="0085565C" w:rsidRDefault="00697CEF" w:rsidP="00697CEF">
      <w:pPr>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 xml:space="preserve">Le TWA a pris note des </w:t>
      </w:r>
      <w:proofErr w:type="spellStart"/>
      <w:r w:rsidRPr="0085565C">
        <w:rPr>
          <w:rFonts w:cs="Arial"/>
          <w:lang w:val="fr-FR"/>
        </w:rPr>
        <w:t>revisions</w:t>
      </w:r>
      <w:proofErr w:type="spellEnd"/>
      <w:r w:rsidRPr="0085565C">
        <w:rPr>
          <w:rFonts w:cs="Arial"/>
          <w:lang w:val="fr-FR"/>
        </w:rPr>
        <w:t xml:space="preserve"> apportées aux documents TGP/0 “Liste des documents TGP et date de la version la plus récente de ces documents”, TGP/2 “Liste des principes directeurs d’examen adoptés par l’UPOV”, TGP/5 “Expérience et coopération en matière d’examen DHS”, TGP/7 “Élaboration des principes directeurs d’examen” et TGP/8 “Protocole d’essai et techniques utilisés dans l’examen de la distinction, de l’homogénéité et de la stabilité”, qui ont été adoptées par le Conseil à sa quarante</w:t>
      </w:r>
      <w:r w:rsidRPr="0085565C">
        <w:rPr>
          <w:rFonts w:cs="Arial"/>
          <w:lang w:val="fr-FR"/>
        </w:rPr>
        <w:noBreakHyphen/>
        <w:t>huitième session ordinaire, comme il ressort des paragraphes 5 à 21 du document TWA/43/3.  Le TWA a également noté que les propositions de futures révisions de documents TGP seraient traitées dans des documents différents.</w:t>
      </w:r>
    </w:p>
    <w:p w:rsidR="00697CEF" w:rsidRPr="0085565C" w:rsidRDefault="00697CEF" w:rsidP="00697CEF">
      <w:pPr>
        <w:rPr>
          <w:rFonts w:cs="Arial"/>
          <w:lang w:val="fr-FR"/>
        </w:rPr>
      </w:pPr>
    </w:p>
    <w:p w:rsidR="00697CEF" w:rsidRPr="0085565C" w:rsidRDefault="00697CEF" w:rsidP="00697CEF">
      <w:pPr>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 xml:space="preserve">Le TWA a examiné le document TWA/43/12, concernant la </w:t>
      </w:r>
      <w:proofErr w:type="spellStart"/>
      <w:r w:rsidRPr="0085565C">
        <w:rPr>
          <w:rFonts w:cs="Arial"/>
          <w:lang w:val="fr-FR"/>
        </w:rPr>
        <w:t>revision</w:t>
      </w:r>
      <w:proofErr w:type="spellEnd"/>
      <w:r w:rsidRPr="0085565C">
        <w:rPr>
          <w:rFonts w:cs="Arial"/>
          <w:lang w:val="fr-FR"/>
        </w:rPr>
        <w:t xml:space="preserve"> du document TGP/7 : Matériel végétal soumis pour examen.  Le TWA a noté que de nombreux facteurs pouvaient influer sur le matériel végétal soumis pour examen et a reconnu que les documents TG/1/3 “Introduction générale à l’examen de la distinction, de l’homogénéité et de la stabilité et à l’harmonisation des descriptions des obtentions végétales” et TGP/9 “Examen de la distinction” offraient une bonne base aux services pour prévenir et résoudre la plupart des problèmes.</w:t>
      </w:r>
      <w:r w:rsidRPr="0085565C">
        <w:rPr>
          <w:lang w:val="fr-FR"/>
        </w:rPr>
        <w:t xml:space="preserve"> </w:t>
      </w:r>
      <w:r w:rsidRPr="0085565C">
        <w:rPr>
          <w:rFonts w:cs="Arial"/>
          <w:lang w:val="fr-FR"/>
        </w:rPr>
        <w:t xml:space="preserve"> Le TWA est </w:t>
      </w:r>
      <w:proofErr w:type="gramStart"/>
      <w:r w:rsidRPr="0085565C">
        <w:rPr>
          <w:rFonts w:cs="Arial"/>
          <w:lang w:val="fr-FR"/>
        </w:rPr>
        <w:t>convenu</w:t>
      </w:r>
      <w:proofErr w:type="gramEnd"/>
      <w:r w:rsidRPr="0085565C">
        <w:rPr>
          <w:rFonts w:cs="Arial"/>
          <w:lang w:val="fr-FR"/>
        </w:rPr>
        <w:t xml:space="preserve"> qu’il ne serait pas nécessaire d’élaborer d’autres orientations sur le matériel végétal soumis pour examen.</w:t>
      </w:r>
    </w:p>
    <w:p w:rsidR="00697CEF" w:rsidRPr="0085565C" w:rsidRDefault="00697CEF" w:rsidP="00697CEF">
      <w:pPr>
        <w:rPr>
          <w:lang w:val="fr-FR"/>
        </w:rPr>
      </w:pPr>
    </w:p>
    <w:p w:rsidR="00697CEF" w:rsidRPr="0085565C" w:rsidRDefault="00697CEF" w:rsidP="00697CEF">
      <w:pPr>
        <w:rPr>
          <w:lang w:val="fr-FR"/>
        </w:rPr>
      </w:pPr>
      <w:r w:rsidRPr="0085565C">
        <w:rPr>
          <w:snapToGrid w:val="0"/>
          <w:lang w:val="fr-FR"/>
        </w:rPr>
        <w:fldChar w:fldCharType="begin"/>
      </w:r>
      <w:r w:rsidRPr="0085565C">
        <w:rPr>
          <w:snapToGrid w:val="0"/>
          <w:lang w:val="fr-FR"/>
        </w:rPr>
        <w:instrText xml:space="preserve"> AUTONUM  </w:instrText>
      </w:r>
      <w:r w:rsidRPr="0085565C">
        <w:rPr>
          <w:snapToGrid w:val="0"/>
          <w:lang w:val="fr-FR"/>
        </w:rPr>
        <w:fldChar w:fldCharType="end"/>
      </w:r>
      <w:r w:rsidRPr="0085565C">
        <w:rPr>
          <w:snapToGrid w:val="0"/>
          <w:lang w:val="fr-FR"/>
        </w:rPr>
        <w:tab/>
        <w:t xml:space="preserve">Le TWA a examiné le document </w:t>
      </w:r>
      <w:r w:rsidRPr="0085565C">
        <w:rPr>
          <w:lang w:val="fr-FR"/>
        </w:rPr>
        <w:t xml:space="preserve">TWA/43/13, </w:t>
      </w:r>
      <w:r w:rsidRPr="0085565C">
        <w:rPr>
          <w:rFonts w:cs="Arial"/>
          <w:lang w:val="fr-FR"/>
        </w:rPr>
        <w:t xml:space="preserve">concernant la </w:t>
      </w:r>
      <w:proofErr w:type="spellStart"/>
      <w:r w:rsidRPr="0085565C">
        <w:rPr>
          <w:rFonts w:cs="Arial"/>
          <w:lang w:val="fr-FR"/>
        </w:rPr>
        <w:t>revision</w:t>
      </w:r>
      <w:proofErr w:type="spellEnd"/>
      <w:r w:rsidRPr="0085565C">
        <w:rPr>
          <w:rFonts w:cs="Arial"/>
          <w:lang w:val="fr-FR"/>
        </w:rPr>
        <w:t xml:space="preserve"> du document </w:t>
      </w:r>
      <w:r w:rsidRPr="0085565C">
        <w:rPr>
          <w:lang w:val="fr-FR"/>
        </w:rPr>
        <w:t>TGP/7 : Portée des principes directeurs.  Le TWA est convenu que le nouveau paragraphe proposé dans la méthode n° 3 comprenant les orientations en matière de procédures applicables aux variétés pouvant être mises au point dans l’avenir avec d’autres types de reproduction ou de multiplication deviendrait redondant si les principes directeurs d’examen étaient élaborés sur la base de variétés ayant plus d’un type de reproduction ou de multiplication et est convenu que ASW 8 devrait être modifié.</w:t>
      </w:r>
    </w:p>
    <w:p w:rsidR="00697CEF" w:rsidRPr="0085565C" w:rsidRDefault="00697CEF" w:rsidP="00697CEF">
      <w:pPr>
        <w:rPr>
          <w:rFonts w:cs="Arial"/>
          <w:lang w:val="fr-FR"/>
        </w:rPr>
      </w:pPr>
    </w:p>
    <w:p w:rsidR="00697CEF" w:rsidRPr="0085565C" w:rsidRDefault="00697CEF" w:rsidP="00697CEF">
      <w:pPr>
        <w:rPr>
          <w:rFonts w:cs="Arial"/>
          <w:shd w:val="clear" w:color="auto" w:fill="FFFFFF"/>
          <w:lang w:val="fr-FR"/>
        </w:rPr>
      </w:pPr>
      <w:r w:rsidRPr="0085565C">
        <w:rPr>
          <w:rFonts w:cs="Arial"/>
          <w:snapToGrid w:val="0"/>
          <w:lang w:val="fr-FR"/>
        </w:rPr>
        <w:fldChar w:fldCharType="begin"/>
      </w:r>
      <w:r w:rsidRPr="0085565C">
        <w:rPr>
          <w:rFonts w:cs="Arial"/>
          <w:snapToGrid w:val="0"/>
          <w:lang w:val="fr-FR"/>
        </w:rPr>
        <w:instrText xml:space="preserve"> AUTONUM  </w:instrText>
      </w:r>
      <w:r w:rsidRPr="0085565C">
        <w:rPr>
          <w:rFonts w:cs="Arial"/>
          <w:snapToGrid w:val="0"/>
          <w:lang w:val="fr-FR"/>
        </w:rPr>
        <w:fldChar w:fldCharType="end"/>
      </w:r>
      <w:r w:rsidRPr="0085565C">
        <w:rPr>
          <w:rFonts w:cs="Arial"/>
          <w:snapToGrid w:val="0"/>
          <w:lang w:val="fr-FR"/>
        </w:rPr>
        <w:tab/>
        <w:t xml:space="preserve">S’agissant du document </w:t>
      </w:r>
      <w:r w:rsidRPr="0085565C">
        <w:rPr>
          <w:rFonts w:cs="Arial"/>
          <w:lang w:val="fr-FR"/>
        </w:rPr>
        <w:t>TWA/43/15 “</w:t>
      </w:r>
      <w:r w:rsidRPr="0085565C">
        <w:rPr>
          <w:rFonts w:cs="Arial"/>
          <w:shd w:val="clear" w:color="auto" w:fill="FFFFFF"/>
          <w:lang w:val="fr-FR"/>
        </w:rPr>
        <w:t>Réduction optimale de la variation due à différents observateurs”, le TWA a ex</w:t>
      </w:r>
      <w:r w:rsidRPr="0085565C">
        <w:rPr>
          <w:lang w:val="fr-FR"/>
        </w:rPr>
        <w:t>aminé le projet d’orientations f</w:t>
      </w:r>
      <w:r w:rsidRPr="0085565C">
        <w:rPr>
          <w:rFonts w:cs="Arial"/>
          <w:shd w:val="clear" w:color="auto" w:fill="FFFFFF"/>
          <w:lang w:val="fr-FR"/>
        </w:rPr>
        <w:t>igurant à l’annexe du document TWA/43/15 en vue de son incorporation dans une future version révisée du document TGP/8, concernant l’optimisation de la variation due à différents observateurs, y compris des conseils sur les caractères PQ et QN/MG.</w:t>
      </w:r>
    </w:p>
    <w:p w:rsidR="00697CEF" w:rsidRPr="0085565C" w:rsidRDefault="00697CEF" w:rsidP="00697CEF">
      <w:pPr>
        <w:rPr>
          <w:rFonts w:cs="Arial"/>
          <w:shd w:val="clear" w:color="auto" w:fill="FFFFFF"/>
          <w:lang w:val="fr-FR"/>
        </w:rPr>
      </w:pPr>
    </w:p>
    <w:p w:rsidR="00697CEF" w:rsidRPr="0085565C" w:rsidRDefault="00697CEF" w:rsidP="00697CEF">
      <w:pPr>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Le TWA a examiné le document TWA/43/19 “I</w:t>
      </w:r>
      <w:r w:rsidRPr="0085565C">
        <w:rPr>
          <w:rFonts w:cs="Arial"/>
          <w:shd w:val="clear" w:color="auto" w:fill="FFFFFF"/>
          <w:lang w:val="fr-FR"/>
        </w:rPr>
        <w:t>ndications aux fins des essais aveugles aléatoires”</w:t>
      </w:r>
      <w:r w:rsidRPr="0085565C">
        <w:rPr>
          <w:rFonts w:cs="Arial"/>
          <w:lang w:val="fr-FR"/>
        </w:rPr>
        <w:t xml:space="preserve">.  Le TWA est </w:t>
      </w:r>
      <w:proofErr w:type="gramStart"/>
      <w:r w:rsidRPr="0085565C">
        <w:rPr>
          <w:rFonts w:cs="Arial"/>
          <w:lang w:val="fr-FR"/>
        </w:rPr>
        <w:t>convenu</w:t>
      </w:r>
      <w:proofErr w:type="gramEnd"/>
      <w:r w:rsidRPr="0085565C">
        <w:rPr>
          <w:rFonts w:cs="Arial"/>
          <w:lang w:val="fr-FR"/>
        </w:rPr>
        <w:t xml:space="preserve"> que les indications à élaborer devraient contenir des explications sur l’importance de la taille de l’échantillon et sur la manière de réduire à un minimum les biais dans la méthode employée.</w:t>
      </w:r>
    </w:p>
    <w:p w:rsidR="00697CEF" w:rsidRPr="0085565C" w:rsidRDefault="00697CEF" w:rsidP="00697CEF">
      <w:pPr>
        <w:rPr>
          <w:rFonts w:cs="Arial"/>
          <w:lang w:val="fr-FR"/>
        </w:rPr>
      </w:pPr>
    </w:p>
    <w:p w:rsidR="00697CEF" w:rsidRPr="0085565C" w:rsidRDefault="00697CEF" w:rsidP="00697CEF">
      <w:pPr>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S’agissant du document TWA/43/20 “</w:t>
      </w:r>
      <w:r w:rsidRPr="0085565C">
        <w:rPr>
          <w:rFonts w:cs="Arial"/>
          <w:shd w:val="clear" w:color="auto" w:fill="FFFFFF"/>
          <w:lang w:val="fr-FR"/>
        </w:rPr>
        <w:t xml:space="preserve">Examen de caractères au moyen de l’analyse d’images”, le TWA </w:t>
      </w:r>
      <w:r w:rsidRPr="0085565C">
        <w:rPr>
          <w:rFonts w:cs="Arial"/>
          <w:lang w:val="fr-FR"/>
        </w:rPr>
        <w:t>est convenu de l’importance de définir précisément les caractères à évaluer au moyen de l’analyse d’images.  Le TWA a pris note de la proposition de l’expert de l’Union européenne d’établir un nouveau projet pour la nouvelle section “Examen de caractères au moyen de l’analyse d’images” à inclure dans le document TGP/8 pour examen par le TC et les TWP à leurs sessions en 2015.</w:t>
      </w:r>
    </w:p>
    <w:p w:rsidR="00697CEF" w:rsidRPr="0085565C" w:rsidRDefault="00697CEF" w:rsidP="00697CEF">
      <w:pPr>
        <w:rPr>
          <w:rFonts w:cs="Arial"/>
          <w:lang w:val="fr-FR"/>
        </w:rPr>
      </w:pPr>
    </w:p>
    <w:p w:rsidR="00697CEF" w:rsidRPr="0085565C" w:rsidRDefault="00697CEF" w:rsidP="00697CEF">
      <w:pPr>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Le TWA a examiné le document TWA/43/21 “</w:t>
      </w:r>
      <w:r w:rsidRPr="0085565C">
        <w:rPr>
          <w:rFonts w:cs="Arial"/>
          <w:shd w:val="clear" w:color="auto" w:fill="FFFFFF"/>
          <w:lang w:val="fr-FR"/>
        </w:rPr>
        <w:t>Méthodes statistiques applicables aux caractères observés visuellement”</w:t>
      </w:r>
      <w:r w:rsidRPr="0085565C">
        <w:rPr>
          <w:rFonts w:cs="Arial"/>
          <w:lang w:val="fr-FR"/>
        </w:rPr>
        <w:t xml:space="preserve">.  Le TWA a pris note des faits nouveaux concernant une nouvelle section éventuelle intitulée “Méthodes statistiques applicables aux caractères observés visuellement” aux fins de son inclusion dans la deuxième partie “Techniques utilisées dans l’examen DHS” du document TGP/8, au titre d’une future version révisée du document TGP/8.  Le TWA est </w:t>
      </w:r>
      <w:proofErr w:type="gramStart"/>
      <w:r w:rsidRPr="0085565C">
        <w:rPr>
          <w:rFonts w:cs="Arial"/>
          <w:lang w:val="fr-FR"/>
        </w:rPr>
        <w:t>convenu</w:t>
      </w:r>
      <w:proofErr w:type="gramEnd"/>
      <w:r w:rsidRPr="0085565C">
        <w:rPr>
          <w:rFonts w:cs="Arial"/>
          <w:lang w:val="fr-FR"/>
        </w:rPr>
        <w:t xml:space="preserve"> de demander au TWC de préciser si la méthode COYD pour les caractères ordinaux était recommandée pour toutes les données ordinales ou si d’autres conditions devraient aussi être prises en considération lors du choix de la méthode d’analyse.</w:t>
      </w:r>
    </w:p>
    <w:p w:rsidR="00697CEF" w:rsidRPr="0085565C" w:rsidRDefault="00697CEF" w:rsidP="00697CEF">
      <w:pPr>
        <w:rPr>
          <w:rFonts w:cs="Arial"/>
          <w:lang w:val="fr-FR"/>
        </w:rPr>
      </w:pPr>
    </w:p>
    <w:p w:rsidR="00697CEF" w:rsidRPr="0085565C" w:rsidRDefault="00697CEF" w:rsidP="00697CEF">
      <w:pPr>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Le TWA a examiné le document TWA/43/22 et la proposition d’exemple de notation globale pour un certain nombre de plantes (MG) effectuée sur des parties de plantes pour inclusion dans une future version révisée du document TGP/9.  Le TWA a souscrit à l’observation formulée par le TWO, le TWF et le TWV concernant l’exemple de notation globale pour un certain nombre de plantes (MG) effectuée sur des parties de plantes pour inclusion dans une future version révisée du document TGP/9.</w:t>
      </w:r>
    </w:p>
    <w:p w:rsidR="00697CEF" w:rsidRPr="0085565C" w:rsidRDefault="00697CEF" w:rsidP="00697CEF">
      <w:pPr>
        <w:rPr>
          <w:rFonts w:cs="Arial"/>
          <w:lang w:val="fr-FR"/>
        </w:rPr>
      </w:pPr>
    </w:p>
    <w:p w:rsidR="00697CEF" w:rsidRPr="0085565C" w:rsidRDefault="00697CEF" w:rsidP="00697CEF">
      <w:pPr>
        <w:rPr>
          <w:rFonts w:cs="Arial"/>
          <w:lang w:val="fr-FR"/>
        </w:rPr>
      </w:pPr>
      <w:r w:rsidRPr="0085565C">
        <w:rPr>
          <w:rFonts w:cs="Arial"/>
          <w:lang w:val="fr-FR"/>
        </w:rPr>
        <w:lastRenderedPageBreak/>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S’agissant du document TWA/43/9 “Évaluation de l’homogénéité au moyen des plantes hors</w:t>
      </w:r>
      <w:r w:rsidRPr="0085565C">
        <w:rPr>
          <w:rFonts w:cs="Arial"/>
          <w:lang w:val="fr-FR"/>
        </w:rPr>
        <w:noBreakHyphen/>
        <w:t>type sur la base de plusieurs échantillons ou sous</w:t>
      </w:r>
      <w:r w:rsidRPr="0085565C">
        <w:rPr>
          <w:rFonts w:cs="Arial"/>
          <w:lang w:val="fr-FR"/>
        </w:rPr>
        <w:noBreakHyphen/>
        <w:t>échantillons”, le TWA a souscrit à l’observation formulée par le TWC selon laquelle les orientations fournies dans le document TGP/10 étaient suffisantes en ce qui concerne la situation C “Plus d’un échantillon ou sous</w:t>
      </w:r>
      <w:r w:rsidRPr="0085565C">
        <w:rPr>
          <w:rFonts w:cs="Arial"/>
          <w:lang w:val="fr-FR"/>
        </w:rPr>
        <w:noBreakHyphen/>
        <w:t>échantillon pour un caractère dans le même cycle de végétation”, figurant à l’annexe III document TWA/43/9.</w:t>
      </w:r>
    </w:p>
    <w:p w:rsidR="00697CEF" w:rsidRPr="0085565C" w:rsidRDefault="00697CEF" w:rsidP="00697CEF">
      <w:pPr>
        <w:rPr>
          <w:rFonts w:cs="Arial"/>
          <w:lang w:val="fr-FR"/>
        </w:rPr>
      </w:pPr>
    </w:p>
    <w:p w:rsidR="00697CEF" w:rsidRPr="0085565C" w:rsidRDefault="00697CEF" w:rsidP="00697CEF">
      <w:pPr>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Concernant les expériences de nouveaux types et espèces, le TWA a suivi par voie électronique un exposé d’un expert de la Nouvelle</w:t>
      </w:r>
      <w:r w:rsidRPr="0085565C">
        <w:rPr>
          <w:rFonts w:cs="Arial"/>
          <w:lang w:val="fr-FR"/>
        </w:rPr>
        <w:noBreakHyphen/>
        <w:t xml:space="preserve">Zélande sur des expériences menées avec des </w:t>
      </w:r>
      <w:proofErr w:type="spellStart"/>
      <w:r w:rsidRPr="0085565C">
        <w:rPr>
          <w:rFonts w:cs="Arial"/>
          <w:lang w:val="fr-FR"/>
        </w:rPr>
        <w:t>endophytes</w:t>
      </w:r>
      <w:proofErr w:type="spellEnd"/>
      <w:r w:rsidRPr="0085565C">
        <w:rPr>
          <w:rFonts w:cs="Arial"/>
          <w:lang w:val="fr-FR"/>
        </w:rPr>
        <w:t xml:space="preserve"> fongiques du genre </w:t>
      </w:r>
      <w:proofErr w:type="spellStart"/>
      <w:r w:rsidRPr="0085565C">
        <w:rPr>
          <w:rFonts w:cs="Arial"/>
          <w:i/>
          <w:lang w:val="fr-FR"/>
        </w:rPr>
        <w:t>Neotyphodium</w:t>
      </w:r>
      <w:proofErr w:type="spellEnd"/>
      <w:r w:rsidRPr="0085565C">
        <w:rPr>
          <w:rFonts w:cs="Arial"/>
          <w:lang w:val="fr-FR"/>
        </w:rPr>
        <w:t xml:space="preserve">, et a suivi l’exposé d’un expert de l’Argentine sur des expériences avec </w:t>
      </w:r>
      <w:proofErr w:type="spellStart"/>
      <w:r w:rsidRPr="0085565C">
        <w:rPr>
          <w:rFonts w:cs="Arial"/>
          <w:i/>
          <w:lang w:val="fr-FR"/>
        </w:rPr>
        <w:t>Cyamopsis</w:t>
      </w:r>
      <w:proofErr w:type="spellEnd"/>
      <w:r w:rsidRPr="0085565C">
        <w:rPr>
          <w:rFonts w:cs="Arial"/>
          <w:i/>
          <w:lang w:val="fr-FR"/>
        </w:rPr>
        <w:t xml:space="preserve"> </w:t>
      </w:r>
      <w:proofErr w:type="spellStart"/>
      <w:r w:rsidRPr="0085565C">
        <w:rPr>
          <w:rFonts w:cs="Arial"/>
          <w:i/>
          <w:lang w:val="fr-FR"/>
        </w:rPr>
        <w:t>tetragonoloba</w:t>
      </w:r>
      <w:proofErr w:type="spellEnd"/>
      <w:r w:rsidRPr="0085565C">
        <w:rPr>
          <w:rFonts w:cs="Arial"/>
          <w:lang w:val="fr-FR"/>
        </w:rPr>
        <w:t>.</w:t>
      </w:r>
    </w:p>
    <w:p w:rsidR="00697CEF" w:rsidRPr="0085565C" w:rsidRDefault="00697CEF" w:rsidP="00697CEF">
      <w:pPr>
        <w:rPr>
          <w:rFonts w:cs="Arial"/>
          <w:lang w:val="fr-FR"/>
        </w:rPr>
      </w:pPr>
    </w:p>
    <w:p w:rsidR="00697CEF" w:rsidRPr="0085565C" w:rsidRDefault="00697CEF" w:rsidP="00697CEF">
      <w:pPr>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Le TWA a suivi l’exposé d’un expert du Brésil sur un projet d’harmonisation des variétés indiquées à titre d’exemple du blé, du soja et du riz en Argentine, au Brésil, en Bolivie, au Chili, en Colombie, au Paraguay et en Uruguay, dont une copie est jointe au document TWA/43/25.</w:t>
      </w:r>
    </w:p>
    <w:p w:rsidR="00697CEF" w:rsidRPr="0085565C" w:rsidRDefault="00697CEF" w:rsidP="00697CEF">
      <w:pPr>
        <w:rPr>
          <w:rFonts w:cs="Arial"/>
          <w:lang w:val="fr-FR"/>
        </w:rPr>
      </w:pPr>
    </w:p>
    <w:p w:rsidR="00697CEF" w:rsidRPr="0085565C" w:rsidRDefault="00697CEF" w:rsidP="00697CEF">
      <w:pPr>
        <w:contextualSpacing/>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Le TWA a examiné 9 </w:t>
      </w:r>
      <w:r w:rsidRPr="0085565C">
        <w:rPr>
          <w:lang w:val="fr-FR"/>
        </w:rPr>
        <w:t xml:space="preserve">projets de principes directeurs d’examen et est convenu de soumettre au TC les projets de principes directeurs d’examen suivants : </w:t>
      </w:r>
      <w:proofErr w:type="spellStart"/>
      <w:r w:rsidRPr="0085565C">
        <w:rPr>
          <w:lang w:val="fr-FR"/>
        </w:rPr>
        <w:t>adlay</w:t>
      </w:r>
      <w:proofErr w:type="spellEnd"/>
      <w:r w:rsidRPr="0085565C">
        <w:rPr>
          <w:lang w:val="fr-FR"/>
        </w:rPr>
        <w:t xml:space="preserve">, </w:t>
      </w:r>
      <w:proofErr w:type="spellStart"/>
      <w:r w:rsidRPr="0085565C">
        <w:rPr>
          <w:lang w:val="fr-FR"/>
        </w:rPr>
        <w:t>adzuki</w:t>
      </w:r>
      <w:proofErr w:type="spellEnd"/>
      <w:r w:rsidRPr="0085565C">
        <w:rPr>
          <w:lang w:val="fr-FR"/>
        </w:rPr>
        <w:t xml:space="preserve">/haricot rouge, manioc, sorgho et </w:t>
      </w:r>
      <w:proofErr w:type="spellStart"/>
      <w:r w:rsidRPr="0085565C">
        <w:rPr>
          <w:lang w:val="fr-FR"/>
        </w:rPr>
        <w:t>urochloa</w:t>
      </w:r>
      <w:proofErr w:type="spellEnd"/>
      <w:r w:rsidRPr="0085565C">
        <w:rPr>
          <w:lang w:val="fr-FR"/>
        </w:rPr>
        <w:t>.  Il a été conv</w:t>
      </w:r>
      <w:r w:rsidRPr="0085565C">
        <w:rPr>
          <w:rFonts w:cs="Arial"/>
          <w:lang w:val="fr-FR"/>
        </w:rPr>
        <w:t xml:space="preserve">enu d’examiner en 2015 les projets de principes directeurs d’examen suivants : graine de ricin, coton (révision), chiendent, haricot (révision), petit mil, avoine (révision), quinoa, trèfle violet, </w:t>
      </w:r>
      <w:proofErr w:type="spellStart"/>
      <w:r w:rsidRPr="0085565C">
        <w:rPr>
          <w:rFonts w:cs="Arial"/>
          <w:lang w:val="fr-FR"/>
        </w:rPr>
        <w:t>phacélie</w:t>
      </w:r>
      <w:proofErr w:type="spellEnd"/>
      <w:r w:rsidRPr="0085565C">
        <w:rPr>
          <w:rFonts w:cs="Arial"/>
          <w:lang w:val="fr-FR"/>
        </w:rPr>
        <w:t xml:space="preserve"> à feuilles de tanaisie, soja (révision) et blé (révision).</w:t>
      </w:r>
    </w:p>
    <w:p w:rsidR="00697CEF" w:rsidRPr="0085565C" w:rsidRDefault="00697CEF" w:rsidP="00697CEF">
      <w:pPr>
        <w:contextualSpacing/>
        <w:rPr>
          <w:rFonts w:cs="Arial"/>
          <w:lang w:val="fr-FR"/>
        </w:rPr>
      </w:pPr>
    </w:p>
    <w:p w:rsidR="00697CEF" w:rsidRPr="0085565C" w:rsidRDefault="00697CEF" w:rsidP="00697CEF">
      <w:pPr>
        <w:contextualSpacing/>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 xml:space="preserve">Le TWA est </w:t>
      </w:r>
      <w:proofErr w:type="gramStart"/>
      <w:r w:rsidRPr="0085565C">
        <w:rPr>
          <w:rFonts w:cs="Arial"/>
          <w:lang w:val="fr-FR"/>
        </w:rPr>
        <w:t>convenu</w:t>
      </w:r>
      <w:proofErr w:type="gramEnd"/>
      <w:r w:rsidRPr="0085565C">
        <w:rPr>
          <w:rFonts w:cs="Arial"/>
          <w:lang w:val="fr-FR"/>
        </w:rPr>
        <w:t xml:space="preserve"> d’examiner 11 principes directeurs d’examen en 2015 et a souligné l’intérêt de </w:t>
      </w:r>
      <w:proofErr w:type="spellStart"/>
      <w:r w:rsidRPr="0085565C">
        <w:rPr>
          <w:rFonts w:cs="Arial"/>
          <w:lang w:val="fr-FR"/>
        </w:rPr>
        <w:t>reviser</w:t>
      </w:r>
      <w:proofErr w:type="spellEnd"/>
      <w:r w:rsidRPr="0085565C">
        <w:rPr>
          <w:rFonts w:cs="Arial"/>
          <w:lang w:val="fr-FR"/>
        </w:rPr>
        <w:t xml:space="preserve"> les principes directeurs d’examen pour le ginseng (document TG/224/1) et l’orge (document TG/19/7) en 2016.</w:t>
      </w:r>
    </w:p>
    <w:p w:rsidR="00697CEF" w:rsidRPr="0085565C" w:rsidRDefault="00697CEF" w:rsidP="00697CEF">
      <w:pPr>
        <w:contextualSpacing/>
        <w:rPr>
          <w:rFonts w:cs="Arial"/>
          <w:lang w:val="fr-FR"/>
        </w:rPr>
      </w:pPr>
    </w:p>
    <w:p w:rsidR="00697CEF" w:rsidRPr="0085565C" w:rsidRDefault="00697CEF" w:rsidP="00697CEF">
      <w:pPr>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À l’invitation du Japon, le TWA est convenu de tenir sa quarante</w:t>
      </w:r>
      <w:r w:rsidRPr="0085565C">
        <w:rPr>
          <w:rFonts w:cs="Arial"/>
          <w:lang w:val="fr-FR"/>
        </w:rPr>
        <w:noBreakHyphen/>
        <w:t>quatrième session à Obihiro (Japon) du 6 au 10 juillet 2015, un atelier préparatoire étant prévu le 5 juillet 2015.</w:t>
      </w:r>
    </w:p>
    <w:p w:rsidR="00697CEF" w:rsidRPr="0085565C" w:rsidRDefault="00697CEF" w:rsidP="00697CEF">
      <w:pPr>
        <w:rPr>
          <w:rFonts w:cs="Arial"/>
          <w:lang w:val="fr-FR"/>
        </w:rPr>
      </w:pPr>
    </w:p>
    <w:p w:rsidR="00697CEF" w:rsidRPr="0085565C" w:rsidRDefault="00697CEF" w:rsidP="00697CEF">
      <w:pPr>
        <w:keepNext/>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Le TWA a proposé que les points ci</w:t>
      </w:r>
      <w:r w:rsidRPr="0085565C">
        <w:rPr>
          <w:rFonts w:cs="Arial"/>
          <w:lang w:val="fr-FR"/>
        </w:rPr>
        <w:noBreakHyphen/>
        <w:t>après soient discutés à cette session :</w:t>
      </w:r>
    </w:p>
    <w:p w:rsidR="00697CEF" w:rsidRPr="0085565C" w:rsidRDefault="00697CEF" w:rsidP="00697CEF">
      <w:pPr>
        <w:keepNext/>
        <w:rPr>
          <w:rFonts w:cs="Arial"/>
          <w:lang w:val="fr-FR"/>
        </w:rPr>
      </w:pP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1.</w:t>
      </w:r>
      <w:r w:rsidRPr="0085565C">
        <w:rPr>
          <w:rFonts w:cs="Arial"/>
          <w:lang w:val="fr-FR"/>
        </w:rPr>
        <w:tab/>
        <w:t>Ouverture de la session</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2.</w:t>
      </w:r>
      <w:r w:rsidRPr="0085565C">
        <w:rPr>
          <w:rFonts w:cs="Arial"/>
          <w:lang w:val="fr-FR"/>
        </w:rPr>
        <w:tab/>
        <w:t>Adoption de l’ordre du jour</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3.</w:t>
      </w:r>
      <w:r w:rsidRPr="0085565C">
        <w:rPr>
          <w:rFonts w:cs="Arial"/>
          <w:lang w:val="fr-FR"/>
        </w:rPr>
        <w:tab/>
        <w:t>Rapports succincts sur l’évolution de la situation en matière de protection des obtentions végétales :</w:t>
      </w:r>
    </w:p>
    <w:p w:rsidR="00697CEF" w:rsidRPr="0085565C" w:rsidRDefault="00697CEF" w:rsidP="00697CEF">
      <w:pPr>
        <w:tabs>
          <w:tab w:val="num" w:pos="1134"/>
        </w:tabs>
        <w:spacing w:before="20" w:afterLines="20" w:after="48"/>
        <w:ind w:left="1134"/>
        <w:rPr>
          <w:rFonts w:cs="Arial"/>
          <w:lang w:val="fr-FR"/>
        </w:rPr>
      </w:pPr>
      <w:r w:rsidRPr="0085565C">
        <w:rPr>
          <w:rFonts w:cs="Arial"/>
          <w:lang w:val="fr-FR"/>
        </w:rPr>
        <w:t>a)</w:t>
      </w:r>
      <w:r w:rsidRPr="0085565C">
        <w:rPr>
          <w:rFonts w:cs="Arial"/>
          <w:lang w:val="fr-FR"/>
        </w:rPr>
        <w:tab/>
        <w:t>Rapports des membres et des observateurs</w:t>
      </w:r>
    </w:p>
    <w:p w:rsidR="00697CEF" w:rsidRPr="0085565C" w:rsidRDefault="00697CEF" w:rsidP="00697CEF">
      <w:pPr>
        <w:tabs>
          <w:tab w:val="num" w:pos="1134"/>
        </w:tabs>
        <w:spacing w:before="20" w:afterLines="20" w:after="48"/>
        <w:ind w:left="1134"/>
        <w:rPr>
          <w:rFonts w:cs="Arial"/>
          <w:lang w:val="fr-FR"/>
        </w:rPr>
      </w:pPr>
      <w:r w:rsidRPr="0085565C">
        <w:rPr>
          <w:rFonts w:cs="Arial"/>
          <w:lang w:val="fr-FR"/>
        </w:rPr>
        <w:t>b)</w:t>
      </w:r>
      <w:r w:rsidRPr="0085565C">
        <w:rPr>
          <w:rFonts w:cs="Arial"/>
          <w:lang w:val="fr-FR"/>
        </w:rPr>
        <w:tab/>
        <w:t>Rapports sur les faits nouveaux intervenus à l’UPOV</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4.</w:t>
      </w:r>
      <w:r w:rsidRPr="0085565C">
        <w:rPr>
          <w:rFonts w:cs="Arial"/>
          <w:lang w:val="fr-FR"/>
        </w:rPr>
        <w:tab/>
        <w:t>Techniques moléculaires</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5.</w:t>
      </w:r>
      <w:r w:rsidRPr="0085565C">
        <w:rPr>
          <w:rFonts w:cs="Arial"/>
          <w:lang w:val="fr-FR"/>
        </w:rPr>
        <w:tab/>
        <w:t>Documents TGP</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6.</w:t>
      </w:r>
      <w:r w:rsidRPr="0085565C">
        <w:rPr>
          <w:rFonts w:cs="Arial"/>
          <w:lang w:val="fr-FR"/>
        </w:rPr>
        <w:tab/>
        <w:t>Dénominations variétales</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7.</w:t>
      </w:r>
      <w:r w:rsidRPr="0085565C">
        <w:rPr>
          <w:rFonts w:cs="Arial"/>
          <w:lang w:val="fr-FR"/>
        </w:rPr>
        <w:tab/>
        <w:t>Informations et bases de données</w:t>
      </w:r>
    </w:p>
    <w:p w:rsidR="00697CEF" w:rsidRPr="0085565C" w:rsidRDefault="00697CEF" w:rsidP="00697CEF">
      <w:pPr>
        <w:tabs>
          <w:tab w:val="num" w:pos="1134"/>
        </w:tabs>
        <w:spacing w:before="20" w:afterLines="20" w:after="48"/>
        <w:ind w:left="1134"/>
        <w:rPr>
          <w:rFonts w:cs="Arial"/>
          <w:lang w:val="fr-FR"/>
        </w:rPr>
      </w:pPr>
      <w:r w:rsidRPr="0085565C">
        <w:rPr>
          <w:rFonts w:cs="Arial"/>
          <w:lang w:val="fr-FR"/>
        </w:rPr>
        <w:t>a)</w:t>
      </w:r>
      <w:r w:rsidRPr="0085565C">
        <w:rPr>
          <w:rFonts w:cs="Arial"/>
          <w:lang w:val="fr-FR"/>
        </w:rPr>
        <w:tab/>
        <w:t>Base de données d’information de l’UPOV</w:t>
      </w:r>
    </w:p>
    <w:p w:rsidR="00697CEF" w:rsidRPr="0085565C" w:rsidRDefault="00697CEF" w:rsidP="00697CEF">
      <w:pPr>
        <w:tabs>
          <w:tab w:val="num" w:pos="1134"/>
        </w:tabs>
        <w:spacing w:before="20" w:afterLines="20" w:after="48"/>
        <w:ind w:left="1134"/>
        <w:rPr>
          <w:rFonts w:cs="Arial"/>
          <w:lang w:val="fr-FR"/>
        </w:rPr>
      </w:pPr>
      <w:r w:rsidRPr="0085565C">
        <w:rPr>
          <w:rFonts w:cs="Arial"/>
          <w:lang w:val="fr-FR"/>
        </w:rPr>
        <w:t>b)</w:t>
      </w:r>
      <w:r w:rsidRPr="0085565C">
        <w:rPr>
          <w:rFonts w:cs="Arial"/>
          <w:lang w:val="fr-FR"/>
        </w:rPr>
        <w:tab/>
        <w:t>Bases de données sur les descriptions variétales</w:t>
      </w:r>
    </w:p>
    <w:p w:rsidR="00697CEF" w:rsidRPr="0085565C" w:rsidRDefault="00697CEF" w:rsidP="00697CEF">
      <w:pPr>
        <w:tabs>
          <w:tab w:val="num" w:pos="1134"/>
        </w:tabs>
        <w:spacing w:before="20" w:afterLines="20" w:after="48"/>
        <w:ind w:left="1134"/>
        <w:rPr>
          <w:rFonts w:cs="Arial"/>
          <w:lang w:val="fr-FR"/>
        </w:rPr>
      </w:pPr>
      <w:r w:rsidRPr="0085565C">
        <w:rPr>
          <w:rFonts w:cs="Arial"/>
          <w:lang w:val="fr-FR"/>
        </w:rPr>
        <w:t>c)</w:t>
      </w:r>
      <w:r w:rsidRPr="0085565C">
        <w:rPr>
          <w:rFonts w:cs="Arial"/>
          <w:lang w:val="fr-FR"/>
        </w:rPr>
        <w:tab/>
        <w:t>Logiciels échangeables</w:t>
      </w:r>
    </w:p>
    <w:p w:rsidR="00697CEF" w:rsidRPr="0085565C" w:rsidRDefault="00697CEF" w:rsidP="00697CEF">
      <w:pPr>
        <w:tabs>
          <w:tab w:val="num" w:pos="1134"/>
        </w:tabs>
        <w:spacing w:before="20" w:afterLines="20" w:after="48"/>
        <w:ind w:left="1134"/>
        <w:rPr>
          <w:rFonts w:cs="Arial"/>
          <w:lang w:val="fr-FR"/>
        </w:rPr>
      </w:pPr>
      <w:r w:rsidRPr="0085565C">
        <w:rPr>
          <w:rFonts w:cs="Arial"/>
          <w:lang w:val="fr-FR"/>
        </w:rPr>
        <w:t>d)</w:t>
      </w:r>
      <w:r w:rsidRPr="0085565C">
        <w:rPr>
          <w:rFonts w:cs="Arial"/>
          <w:lang w:val="fr-FR"/>
        </w:rPr>
        <w:tab/>
        <w:t>Systèmes de dépôt électronique des demandes</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8.</w:t>
      </w:r>
      <w:r w:rsidRPr="0085565C">
        <w:rPr>
          <w:rFonts w:cs="Arial"/>
          <w:lang w:val="fr-FR"/>
        </w:rPr>
        <w:tab/>
        <w:t>Évaluation de l’homogénéité</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9.</w:t>
      </w:r>
      <w:r w:rsidRPr="0085565C">
        <w:rPr>
          <w:rFonts w:cs="Arial"/>
          <w:lang w:val="fr-FR"/>
        </w:rPr>
        <w:tab/>
        <w:t>Questions en suspens concernant les principes directeurs d’examen adoptés par le Comité technique (le cas échéant)</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10.</w:t>
      </w:r>
      <w:r w:rsidRPr="0085565C">
        <w:rPr>
          <w:rFonts w:cs="Arial"/>
          <w:lang w:val="fr-FR"/>
        </w:rPr>
        <w:tab/>
        <w:t>Examen des projets de principes directeurs d’examen (sous</w:t>
      </w:r>
      <w:r w:rsidRPr="0085565C">
        <w:rPr>
          <w:rFonts w:cs="Arial"/>
          <w:lang w:val="fr-FR"/>
        </w:rPr>
        <w:noBreakHyphen/>
        <w:t>groupes)</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11.</w:t>
      </w:r>
      <w:r w:rsidRPr="0085565C">
        <w:rPr>
          <w:rFonts w:cs="Arial"/>
          <w:lang w:val="fr-FR"/>
        </w:rPr>
        <w:tab/>
        <w:t>Recommandations concernant les projets de principes directeurs d’examen</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12.</w:t>
      </w:r>
      <w:r w:rsidRPr="0085565C">
        <w:rPr>
          <w:rFonts w:cs="Arial"/>
          <w:lang w:val="fr-FR"/>
        </w:rPr>
        <w:tab/>
        <w:t>Orientations pour les rédacteurs de principes directeurs d’examen</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13.</w:t>
      </w:r>
      <w:r w:rsidRPr="0085565C">
        <w:rPr>
          <w:rFonts w:cs="Arial"/>
          <w:lang w:val="fr-FR"/>
        </w:rPr>
        <w:tab/>
        <w:t>Date et lieu de la prochaine session</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14.</w:t>
      </w:r>
      <w:r w:rsidRPr="0085565C">
        <w:rPr>
          <w:rFonts w:cs="Arial"/>
          <w:lang w:val="fr-FR"/>
        </w:rPr>
        <w:tab/>
        <w:t>Programme futur</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15.</w:t>
      </w:r>
      <w:r w:rsidRPr="0085565C">
        <w:rPr>
          <w:rFonts w:cs="Arial"/>
          <w:lang w:val="fr-FR"/>
        </w:rPr>
        <w:tab/>
        <w:t>Compte rendu de la session (selon le temps disponible)</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16.</w:t>
      </w:r>
      <w:r w:rsidRPr="0085565C">
        <w:rPr>
          <w:rFonts w:cs="Arial"/>
          <w:lang w:val="fr-FR"/>
        </w:rPr>
        <w:tab/>
        <w:t>Clôture de la session</w:t>
      </w:r>
    </w:p>
    <w:p w:rsidR="00697CEF" w:rsidRPr="0085565C" w:rsidRDefault="00697CEF" w:rsidP="00697CEF">
      <w:pPr>
        <w:rPr>
          <w:rFonts w:cs="Arial"/>
          <w:lang w:val="fr-FR"/>
        </w:rPr>
      </w:pPr>
    </w:p>
    <w:p w:rsidR="00697CEF" w:rsidRPr="0085565C" w:rsidRDefault="00697CEF" w:rsidP="00697CEF">
      <w:pPr>
        <w:rPr>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r>
      <w:r w:rsidRPr="0085565C">
        <w:rPr>
          <w:lang w:val="fr-FR"/>
        </w:rPr>
        <w:t xml:space="preserve">Le 9 novembre 2014, le TWA a visité la station expérimentale agricole de l’Institut national de technologie agricole (INTA) à </w:t>
      </w:r>
      <w:proofErr w:type="spellStart"/>
      <w:r w:rsidRPr="0085565C">
        <w:rPr>
          <w:lang w:val="fr-FR"/>
        </w:rPr>
        <w:t>Balcarce</w:t>
      </w:r>
      <w:proofErr w:type="spellEnd"/>
      <w:r w:rsidRPr="0085565C">
        <w:rPr>
          <w:lang w:val="fr-FR"/>
        </w:rPr>
        <w:t xml:space="preserve">.  Le TWA a également visité un centre de traitement des semences </w:t>
      </w:r>
      <w:r w:rsidRPr="0085565C">
        <w:rPr>
          <w:lang w:val="fr-FR"/>
        </w:rPr>
        <w:lastRenderedPageBreak/>
        <w:t xml:space="preserve">du maïs, du blé, du tournesol et du soja appartenant à la </w:t>
      </w:r>
      <w:proofErr w:type="spellStart"/>
      <w:r w:rsidRPr="0085565C">
        <w:rPr>
          <w:lang w:val="fr-FR"/>
        </w:rPr>
        <w:t>Nidera</w:t>
      </w:r>
      <w:proofErr w:type="spellEnd"/>
      <w:r w:rsidRPr="0085565C">
        <w:rPr>
          <w:lang w:val="fr-FR"/>
        </w:rPr>
        <w:t xml:space="preserve"> </w:t>
      </w:r>
      <w:proofErr w:type="spellStart"/>
      <w:r w:rsidRPr="0085565C">
        <w:rPr>
          <w:lang w:val="fr-FR"/>
        </w:rPr>
        <w:t>Seeds</w:t>
      </w:r>
      <w:proofErr w:type="spellEnd"/>
      <w:r w:rsidRPr="0085565C">
        <w:rPr>
          <w:lang w:val="fr-FR"/>
        </w:rPr>
        <w:t xml:space="preserve"> </w:t>
      </w:r>
      <w:proofErr w:type="spellStart"/>
      <w:r w:rsidRPr="0085565C">
        <w:rPr>
          <w:lang w:val="fr-FR"/>
        </w:rPr>
        <w:t>Company</w:t>
      </w:r>
      <w:proofErr w:type="spellEnd"/>
      <w:r w:rsidRPr="0085565C">
        <w:rPr>
          <w:lang w:val="fr-FR"/>
        </w:rPr>
        <w:t xml:space="preserve"> et un site de mise en culture faisant partie du programme de sélection de blé.</w:t>
      </w:r>
    </w:p>
    <w:p w:rsidR="00697CEF" w:rsidRPr="0085565C" w:rsidRDefault="00697CEF" w:rsidP="00697CEF">
      <w:pPr>
        <w:contextualSpacing/>
        <w:rPr>
          <w:rFonts w:cs="Arial"/>
          <w:lang w:val="fr-FR"/>
        </w:rPr>
      </w:pPr>
    </w:p>
    <w:p w:rsidR="00697CEF" w:rsidRPr="0085565C" w:rsidRDefault="00697CEF" w:rsidP="00697CEF">
      <w:pPr>
        <w:contextualSpacing/>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 xml:space="preserve">Une médaille de bronze de l’UPOV a été décernée à Mme Robyn </w:t>
      </w:r>
      <w:proofErr w:type="spellStart"/>
      <w:r w:rsidRPr="0085565C">
        <w:rPr>
          <w:rFonts w:cs="Arial"/>
          <w:lang w:val="fr-FR"/>
        </w:rPr>
        <w:t>Hierse</w:t>
      </w:r>
      <w:proofErr w:type="spellEnd"/>
      <w:r w:rsidRPr="0085565C">
        <w:rPr>
          <w:rFonts w:cs="Arial"/>
          <w:lang w:val="fr-FR"/>
        </w:rPr>
        <w:t xml:space="preserve"> pour la remercier d’avoir présidé le TWA de 2012 à 2014.</w:t>
      </w:r>
    </w:p>
    <w:p w:rsidR="00697CEF" w:rsidRPr="0085565C" w:rsidRDefault="00697CEF" w:rsidP="00697CEF">
      <w:pPr>
        <w:pStyle w:val="Heading2"/>
        <w:rPr>
          <w:lang w:val="fr-FR"/>
        </w:rPr>
      </w:pPr>
    </w:p>
    <w:p w:rsidR="00697CEF" w:rsidRPr="0085565C" w:rsidRDefault="00697CEF" w:rsidP="00697CEF">
      <w:pPr>
        <w:rPr>
          <w:lang w:val="fr-FR"/>
        </w:rPr>
      </w:pPr>
    </w:p>
    <w:p w:rsidR="00697CEF" w:rsidRPr="0085565C" w:rsidRDefault="00697CEF" w:rsidP="00697CEF">
      <w:pPr>
        <w:pStyle w:val="Heading2"/>
        <w:rPr>
          <w:lang w:val="fr-FR"/>
        </w:rPr>
      </w:pPr>
      <w:bookmarkStart w:id="59" w:name="_Toc428287725"/>
      <w:r w:rsidRPr="0085565C">
        <w:rPr>
          <w:lang w:val="fr-FR"/>
        </w:rPr>
        <w:t>Groupe de travail technique sur les systèmes d’automatisation et les programmes d’ordinateur (TWC)</w:t>
      </w:r>
      <w:bookmarkEnd w:id="59"/>
    </w:p>
    <w:p w:rsidR="00697CEF" w:rsidRPr="0085565C" w:rsidRDefault="00697CEF" w:rsidP="00697CEF">
      <w:pPr>
        <w:pStyle w:val="Heading2"/>
        <w:rPr>
          <w:lang w:val="fr-FR"/>
        </w:rPr>
      </w:pPr>
    </w:p>
    <w:p w:rsidR="00697CEF" w:rsidRPr="0085565C" w:rsidRDefault="00697CEF" w:rsidP="00697CEF">
      <w:pPr>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Le TWC a tenu sa trente</w:t>
      </w:r>
      <w:r w:rsidRPr="0085565C">
        <w:rPr>
          <w:rFonts w:cs="Arial"/>
          <w:lang w:val="fr-FR"/>
        </w:rPr>
        <w:noBreakHyphen/>
        <w:t>deuxième session à Helsinki (Finlande), du 3 au 6 juin 2014, sous la présidence de M. Sami </w:t>
      </w:r>
      <w:proofErr w:type="spellStart"/>
      <w:r w:rsidRPr="0085565C">
        <w:rPr>
          <w:rFonts w:cs="Arial"/>
          <w:lang w:val="fr-FR"/>
        </w:rPr>
        <w:t>Markkanen</w:t>
      </w:r>
      <w:proofErr w:type="spellEnd"/>
      <w:r w:rsidRPr="0085565C">
        <w:rPr>
          <w:rFonts w:cs="Arial"/>
          <w:lang w:val="fr-FR"/>
        </w:rPr>
        <w:t xml:space="preserve"> (Finlande), président du TWC.</w:t>
      </w:r>
    </w:p>
    <w:p w:rsidR="00697CEF" w:rsidRPr="0085565C" w:rsidRDefault="00697CEF" w:rsidP="00697CEF">
      <w:pPr>
        <w:rPr>
          <w:rFonts w:cs="Arial"/>
          <w:lang w:val="fr-FR"/>
        </w:rPr>
      </w:pPr>
    </w:p>
    <w:p w:rsidR="00697CEF" w:rsidRPr="0085565C" w:rsidRDefault="00697CEF" w:rsidP="00697CEF">
      <w:pPr>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La session du TWC a réuni 27 participants représentant 15 membres de l’Union.  L’atelier préparatoire, tenu dans l’après</w:t>
      </w:r>
      <w:r w:rsidRPr="0085565C">
        <w:rPr>
          <w:rFonts w:cs="Arial"/>
          <w:lang w:val="fr-FR"/>
        </w:rPr>
        <w:noBreakHyphen/>
        <w:t>midi du lundi 2 juin, a réuni 15 participants représentant 9 membres de l’Union.</w:t>
      </w:r>
    </w:p>
    <w:p w:rsidR="00697CEF" w:rsidRPr="0085565C" w:rsidRDefault="00697CEF" w:rsidP="00697CEF">
      <w:pPr>
        <w:rPr>
          <w:rFonts w:cs="Arial"/>
          <w:lang w:val="fr-FR"/>
        </w:rPr>
      </w:pPr>
    </w:p>
    <w:p w:rsidR="00697CEF" w:rsidRPr="0085565C" w:rsidRDefault="00697CEF" w:rsidP="00697CEF">
      <w:pPr>
        <w:autoSpaceDE w:val="0"/>
        <w:autoSpaceDN w:val="0"/>
        <w:adjustRightInd w:val="0"/>
        <w:rPr>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Mme </w:t>
      </w:r>
      <w:proofErr w:type="spellStart"/>
      <w:r w:rsidRPr="0085565C">
        <w:rPr>
          <w:rFonts w:cs="Arial"/>
          <w:lang w:val="fr-FR"/>
        </w:rPr>
        <w:t>Riitta</w:t>
      </w:r>
      <w:proofErr w:type="spellEnd"/>
      <w:r w:rsidRPr="0085565C">
        <w:rPr>
          <w:rFonts w:cs="Arial"/>
          <w:lang w:val="fr-FR"/>
        </w:rPr>
        <w:t xml:space="preserve"> </w:t>
      </w:r>
      <w:proofErr w:type="spellStart"/>
      <w:r w:rsidRPr="0085565C">
        <w:rPr>
          <w:rFonts w:cs="Arial"/>
          <w:lang w:val="fr-FR"/>
        </w:rPr>
        <w:t>Heinonen</w:t>
      </w:r>
      <w:proofErr w:type="spellEnd"/>
      <w:r w:rsidRPr="0085565C">
        <w:rPr>
          <w:rFonts w:cs="Arial"/>
          <w:lang w:val="fr-FR"/>
        </w:rPr>
        <w:t>, vice</w:t>
      </w:r>
      <w:r w:rsidRPr="0085565C">
        <w:rPr>
          <w:rFonts w:cs="Arial"/>
          <w:lang w:val="fr-FR"/>
        </w:rPr>
        <w:noBreakHyphen/>
        <w:t xml:space="preserve">directrice générale, Ministère de l’agriculture et des </w:t>
      </w:r>
      <w:proofErr w:type="spellStart"/>
      <w:r w:rsidRPr="0085565C">
        <w:rPr>
          <w:rFonts w:cs="Arial"/>
          <w:lang w:val="fr-FR"/>
        </w:rPr>
        <w:t>fôrets</w:t>
      </w:r>
      <w:proofErr w:type="spellEnd"/>
      <w:r w:rsidRPr="0085565C">
        <w:rPr>
          <w:rFonts w:cs="Arial"/>
          <w:lang w:val="fr-FR"/>
        </w:rPr>
        <w:t xml:space="preserve"> de la Finlande, et Mme </w:t>
      </w:r>
      <w:proofErr w:type="spellStart"/>
      <w:r w:rsidRPr="0085565C">
        <w:rPr>
          <w:rFonts w:cs="Arial"/>
          <w:lang w:val="fr-FR"/>
        </w:rPr>
        <w:t>Marja</w:t>
      </w:r>
      <w:proofErr w:type="spellEnd"/>
      <w:r w:rsidRPr="0085565C">
        <w:rPr>
          <w:rFonts w:cs="Arial"/>
          <w:lang w:val="fr-FR"/>
        </w:rPr>
        <w:t xml:space="preserve"> </w:t>
      </w:r>
      <w:proofErr w:type="spellStart"/>
      <w:r w:rsidRPr="0085565C">
        <w:rPr>
          <w:rFonts w:cs="Arial"/>
          <w:lang w:val="fr-FR"/>
        </w:rPr>
        <w:t>Savonmaki</w:t>
      </w:r>
      <w:proofErr w:type="spellEnd"/>
      <w:r w:rsidRPr="0085565C">
        <w:rPr>
          <w:rFonts w:cs="Arial"/>
          <w:lang w:val="fr-FR"/>
        </w:rPr>
        <w:t xml:space="preserve">, spécialiste principale, Ministère de l’agriculture et des </w:t>
      </w:r>
      <w:proofErr w:type="spellStart"/>
      <w:r w:rsidRPr="0085565C">
        <w:rPr>
          <w:rFonts w:cs="Arial"/>
          <w:lang w:val="fr-FR"/>
        </w:rPr>
        <w:t>fôrets</w:t>
      </w:r>
      <w:proofErr w:type="spellEnd"/>
      <w:r w:rsidRPr="0085565C">
        <w:rPr>
          <w:rFonts w:cs="Arial"/>
          <w:lang w:val="fr-FR"/>
        </w:rPr>
        <w:t xml:space="preserve"> de la Finlande ont souhaité la bienvenue aux participants du TWC.  Le TWC a suivi un exposé sur le système de protection des obtentions végétales de la Finlande présenté par Mme </w:t>
      </w:r>
      <w:proofErr w:type="spellStart"/>
      <w:r w:rsidRPr="0085565C">
        <w:rPr>
          <w:rFonts w:cs="Arial"/>
          <w:lang w:val="fr-FR"/>
        </w:rPr>
        <w:t>Tarja</w:t>
      </w:r>
      <w:proofErr w:type="spellEnd"/>
      <w:r w:rsidRPr="0085565C">
        <w:rPr>
          <w:rFonts w:cs="Arial"/>
          <w:lang w:val="fr-FR"/>
        </w:rPr>
        <w:t xml:space="preserve"> </w:t>
      </w:r>
      <w:proofErr w:type="spellStart"/>
      <w:r w:rsidRPr="0085565C">
        <w:rPr>
          <w:rFonts w:cs="Arial"/>
          <w:lang w:val="fr-FR"/>
        </w:rPr>
        <w:t>Hietaranta</w:t>
      </w:r>
      <w:proofErr w:type="spellEnd"/>
      <w:r w:rsidRPr="0085565C">
        <w:rPr>
          <w:rFonts w:cs="Arial"/>
          <w:lang w:val="fr-FR"/>
        </w:rPr>
        <w:t>, haut fonctionnaire, Unité de la certification des semences,</w:t>
      </w:r>
      <w:r w:rsidRPr="0085565C">
        <w:rPr>
          <w:rFonts w:cs="Arial"/>
          <w:b/>
          <w:lang w:val="fr-FR"/>
        </w:rPr>
        <w:t xml:space="preserve"> </w:t>
      </w:r>
      <w:r w:rsidRPr="0085565C">
        <w:rPr>
          <w:rFonts w:cs="Arial"/>
          <w:lang w:val="fr-FR"/>
        </w:rPr>
        <w:t>Autorité de sécurité alimentaire (Finlande).</w:t>
      </w:r>
    </w:p>
    <w:p w:rsidR="00697CEF" w:rsidRPr="0085565C" w:rsidRDefault="00697CEF" w:rsidP="00697CEF">
      <w:pPr>
        <w:autoSpaceDE w:val="0"/>
        <w:autoSpaceDN w:val="0"/>
        <w:adjustRightInd w:val="0"/>
        <w:rPr>
          <w:rFonts w:cs="Arial"/>
          <w:lang w:val="fr-FR"/>
        </w:rPr>
      </w:pPr>
    </w:p>
    <w:p w:rsidR="00697CEF" w:rsidRPr="0085565C" w:rsidRDefault="00697CEF" w:rsidP="00697CEF">
      <w:pPr>
        <w:autoSpaceDE w:val="0"/>
        <w:autoSpaceDN w:val="0"/>
        <w:adjustRightInd w:val="0"/>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 xml:space="preserve">Le TWC a pris note des informations sur les faits nouveaux en matière de protection des variétés végétales présentées par des membres ou des observateurs dans le document TWC/32/26 “Reports on </w:t>
      </w:r>
      <w:proofErr w:type="spellStart"/>
      <w:r w:rsidRPr="0085565C">
        <w:rPr>
          <w:rFonts w:cs="Arial"/>
          <w:lang w:val="fr-FR"/>
        </w:rPr>
        <w:t>Development</w:t>
      </w:r>
      <w:proofErr w:type="spellEnd"/>
      <w:r w:rsidRPr="0085565C">
        <w:rPr>
          <w:rFonts w:cs="Arial"/>
          <w:lang w:val="fr-FR"/>
        </w:rPr>
        <w:t xml:space="preserve"> in Plant </w:t>
      </w:r>
      <w:proofErr w:type="spellStart"/>
      <w:r w:rsidRPr="0085565C">
        <w:rPr>
          <w:rFonts w:cs="Arial"/>
          <w:lang w:val="fr-FR"/>
        </w:rPr>
        <w:t>Variety</w:t>
      </w:r>
      <w:proofErr w:type="spellEnd"/>
      <w:r w:rsidRPr="0085565C">
        <w:rPr>
          <w:rFonts w:cs="Arial"/>
          <w:lang w:val="fr-FR"/>
        </w:rPr>
        <w:t xml:space="preserve"> Protection </w:t>
      </w:r>
      <w:proofErr w:type="spellStart"/>
      <w:r w:rsidRPr="0085565C">
        <w:rPr>
          <w:rFonts w:cs="Arial"/>
          <w:lang w:val="fr-FR"/>
        </w:rPr>
        <w:t>from</w:t>
      </w:r>
      <w:proofErr w:type="spellEnd"/>
      <w:r w:rsidRPr="0085565C">
        <w:rPr>
          <w:rFonts w:cs="Arial"/>
          <w:lang w:val="fr-FR"/>
        </w:rPr>
        <w:t xml:space="preserve"> </w:t>
      </w:r>
      <w:proofErr w:type="spellStart"/>
      <w:r w:rsidRPr="0085565C">
        <w:rPr>
          <w:rFonts w:cs="Arial"/>
          <w:lang w:val="fr-FR"/>
        </w:rPr>
        <w:t>Members</w:t>
      </w:r>
      <w:proofErr w:type="spellEnd"/>
      <w:r w:rsidRPr="0085565C">
        <w:rPr>
          <w:rFonts w:cs="Arial"/>
          <w:lang w:val="fr-FR"/>
        </w:rPr>
        <w:t xml:space="preserve"> and </w:t>
      </w:r>
      <w:proofErr w:type="spellStart"/>
      <w:r w:rsidRPr="0085565C">
        <w:rPr>
          <w:rFonts w:cs="Arial"/>
          <w:lang w:val="fr-FR"/>
        </w:rPr>
        <w:t>Observers</w:t>
      </w:r>
      <w:proofErr w:type="spellEnd"/>
      <w:r w:rsidRPr="0085565C">
        <w:rPr>
          <w:rFonts w:cs="Arial"/>
          <w:lang w:val="fr-FR"/>
        </w:rPr>
        <w:t>”.  Le TWC a également suivi un exposé du Bureau de l’Union sur les faits nouveaux intervenus à l’UPOV (document TWC/32/24).</w:t>
      </w:r>
    </w:p>
    <w:p w:rsidR="00697CEF" w:rsidRPr="0085565C" w:rsidRDefault="00697CEF" w:rsidP="00697CEF">
      <w:pPr>
        <w:autoSpaceDE w:val="0"/>
        <w:autoSpaceDN w:val="0"/>
        <w:adjustRightInd w:val="0"/>
        <w:rPr>
          <w:rFonts w:cs="Arial"/>
          <w:lang w:val="fr-FR"/>
        </w:rPr>
      </w:pPr>
    </w:p>
    <w:p w:rsidR="00697CEF" w:rsidRPr="0085565C" w:rsidRDefault="00697CEF" w:rsidP="00697CEF">
      <w:pPr>
        <w:autoSpaceDE w:val="0"/>
        <w:autoSpaceDN w:val="0"/>
        <w:adjustRightInd w:val="0"/>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Le TWC a examiné les documents TWC/32/16 “Révision du document TGP/8 : deuxième partie : Quelques techniques utilisées dans l’examen DHS, section 3 : Méthode de calcul de la COYU” et TWC/32/16 </w:t>
      </w:r>
      <w:proofErr w:type="spellStart"/>
      <w:r w:rsidRPr="0085565C">
        <w:rPr>
          <w:rFonts w:cs="Arial"/>
          <w:lang w:val="fr-FR"/>
        </w:rPr>
        <w:t>Add</w:t>
      </w:r>
      <w:proofErr w:type="spellEnd"/>
      <w:r w:rsidRPr="0085565C">
        <w:rPr>
          <w:rFonts w:cs="Arial"/>
          <w:lang w:val="fr-FR"/>
        </w:rPr>
        <w:t xml:space="preserve">. </w:t>
      </w:r>
      <w:r w:rsidRPr="00C258AE">
        <w:rPr>
          <w:rFonts w:cs="Arial"/>
        </w:rPr>
        <w:t>“Addendum to Development of the Combined</w:t>
      </w:r>
      <w:r w:rsidRPr="00C258AE">
        <w:rPr>
          <w:rFonts w:cs="Arial"/>
        </w:rPr>
        <w:noBreakHyphen/>
        <w:t>Over</w:t>
      </w:r>
      <w:r w:rsidRPr="00C258AE">
        <w:rPr>
          <w:rFonts w:cs="Arial"/>
        </w:rPr>
        <w:noBreakHyphen/>
        <w:t xml:space="preserve">Year Uniformity Criterion”.  </w:t>
      </w:r>
      <w:r w:rsidRPr="0085565C">
        <w:rPr>
          <w:rFonts w:cs="Arial"/>
          <w:lang w:val="fr-FR"/>
        </w:rPr>
        <w:t>Un expert du Royaume</w:t>
      </w:r>
      <w:r w:rsidRPr="0085565C">
        <w:rPr>
          <w:rFonts w:cs="Arial"/>
          <w:lang w:val="fr-FR"/>
        </w:rPr>
        <w:noBreakHyphen/>
        <w:t>Uni a présenté un exposé.  Il a été rappelé que la méthode actuelle de calcul de la COYU était trop stricte en raison de la méthode de lissage utilisée et que des niveaux de probabilité très faibles étaient utilisés à des fins de compensation.</w:t>
      </w:r>
      <w:r w:rsidRPr="0085565C">
        <w:rPr>
          <w:lang w:val="fr-FR"/>
        </w:rPr>
        <w:t xml:space="preserve"> </w:t>
      </w:r>
      <w:r w:rsidRPr="0085565C">
        <w:rPr>
          <w:rFonts w:cs="Arial"/>
          <w:lang w:val="fr-FR"/>
        </w:rPr>
        <w:t xml:space="preserve"> À sa trente et unième session, le TWC était convenu qu’il serait possible de remédier aux erreurs systématiques de la méthode actuelle de calcul de la COYU en passant de la méthode de lissage de la “moyenne mobile” à la méthode de la “</w:t>
      </w:r>
      <w:proofErr w:type="spellStart"/>
      <w:r w:rsidRPr="0085565C">
        <w:rPr>
          <w:rFonts w:cs="Arial"/>
          <w:lang w:val="fr-FR"/>
        </w:rPr>
        <w:t>spline</w:t>
      </w:r>
      <w:proofErr w:type="spellEnd"/>
      <w:r w:rsidRPr="0085565C">
        <w:rPr>
          <w:rFonts w:cs="Arial"/>
          <w:lang w:val="fr-FR"/>
        </w:rPr>
        <w:t xml:space="preserve"> cubique”.  L’expert du </w:t>
      </w:r>
      <w:r w:rsidRPr="0085565C">
        <w:rPr>
          <w:lang w:val="fr-FR"/>
        </w:rPr>
        <w:t>Royaume</w:t>
      </w:r>
      <w:r w:rsidRPr="0085565C">
        <w:rPr>
          <w:lang w:val="fr-FR"/>
        </w:rPr>
        <w:noBreakHyphen/>
        <w:t xml:space="preserve">Uni a fait la démonstration d’un module pour le logiciel DUST qui comprend une version modifiée de la COYU impliquant l’utilisation de </w:t>
      </w:r>
      <w:proofErr w:type="spellStart"/>
      <w:r w:rsidRPr="0085565C">
        <w:rPr>
          <w:lang w:val="fr-FR"/>
        </w:rPr>
        <w:t>splines</w:t>
      </w:r>
      <w:proofErr w:type="spellEnd"/>
      <w:r w:rsidRPr="0085565C">
        <w:rPr>
          <w:lang w:val="fr-FR"/>
        </w:rPr>
        <w:t>.  Le TWC est convenu d’inviter d’autres experts à</w:t>
      </w:r>
      <w:r w:rsidRPr="0085565C">
        <w:rPr>
          <w:rFonts w:cs="Arial"/>
          <w:lang w:val="fr-FR"/>
        </w:rPr>
        <w:t xml:space="preserve"> évaluer la </w:t>
      </w:r>
      <w:r w:rsidRPr="0085565C">
        <w:rPr>
          <w:lang w:val="fr-FR"/>
        </w:rPr>
        <w:t>nouvelle méthode et le logiciel.  Le logiciel serait disponible pour les experts intéressés qui utilisent aussi bien DUST que le progiciel “R”.  Le TWC est convenu que les participants chercheraient à définir les</w:t>
      </w:r>
      <w:r w:rsidRPr="0085565C">
        <w:rPr>
          <w:rFonts w:cs="Arial"/>
          <w:lang w:val="fr-FR"/>
        </w:rPr>
        <w:t xml:space="preserve"> seuils de probabilité d’une correspondance avec les décisions prises au moyen de l’ancienne méthode COYU afin d’assurer une continuité.  Il est convenu que les participants à cet exercice pratique devraient envoyer un compte rendu de leur expérience à l’expert du Royaume</w:t>
      </w:r>
      <w:r w:rsidRPr="0085565C">
        <w:rPr>
          <w:rFonts w:cs="Arial"/>
          <w:lang w:val="fr-FR"/>
        </w:rPr>
        <w:noBreakHyphen/>
        <w:t>Uni de là au 15 mars 2015 et que l’expert du Royaume</w:t>
      </w:r>
      <w:r w:rsidRPr="0085565C">
        <w:rPr>
          <w:rFonts w:cs="Arial"/>
          <w:lang w:val="fr-FR"/>
        </w:rPr>
        <w:noBreakHyphen/>
        <w:t>Uni</w:t>
      </w:r>
      <w:r w:rsidRPr="0085565C">
        <w:rPr>
          <w:lang w:val="fr-FR"/>
        </w:rPr>
        <w:t xml:space="preserve"> </w:t>
      </w:r>
      <w:r w:rsidRPr="0085565C">
        <w:rPr>
          <w:rFonts w:cs="Arial"/>
          <w:lang w:val="fr-FR"/>
        </w:rPr>
        <w:t>rédigerait un rapport sur l’exercice pratique qui serait présenté à la trente</w:t>
      </w:r>
      <w:r w:rsidRPr="0085565C">
        <w:rPr>
          <w:rFonts w:cs="Arial"/>
          <w:lang w:val="fr-FR"/>
        </w:rPr>
        <w:noBreakHyphen/>
        <w:t>troisième session du TWC.</w:t>
      </w:r>
    </w:p>
    <w:p w:rsidR="00697CEF" w:rsidRPr="0085565C" w:rsidRDefault="00697CEF" w:rsidP="00697CEF">
      <w:pPr>
        <w:autoSpaceDE w:val="0"/>
        <w:autoSpaceDN w:val="0"/>
        <w:adjustRightInd w:val="0"/>
        <w:rPr>
          <w:rFonts w:cs="Arial"/>
          <w:lang w:val="fr-FR"/>
        </w:rPr>
      </w:pPr>
    </w:p>
    <w:p w:rsidR="00697CEF" w:rsidRPr="0085565C" w:rsidRDefault="00697CEF" w:rsidP="00697CEF">
      <w:pPr>
        <w:autoSpaceDE w:val="0"/>
        <w:autoSpaceDN w:val="0"/>
        <w:adjustRightInd w:val="0"/>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 xml:space="preserve">Le TWC a examiné le document TWC/32/18 “Révision du document TGP/8 : deuxième partie : Techniques utilisées dans l’examen DHS, Nouvelle section : Méthodes de traitement des données pour l’évaluation de la distinction et l’établissement de descriptions variétales”.  L’additif à ce document </w:t>
      </w:r>
      <w:r w:rsidRPr="0085565C">
        <w:rPr>
          <w:lang w:val="fr-FR"/>
        </w:rPr>
        <w:t>faisait rapport d’un exercice pratique se fondant sur une seule caractéristique quantitative pour le lin afin de présenter différentes méthodes servant à établir une description variétale.  Des experts de la</w:t>
      </w:r>
      <w:r w:rsidRPr="0085565C">
        <w:rPr>
          <w:rFonts w:cs="Arial"/>
          <w:lang w:val="fr-FR"/>
        </w:rPr>
        <w:t xml:space="preserve"> France, de l’Allemagne, de l’Italie, du Japon et du Royaume</w:t>
      </w:r>
      <w:r w:rsidRPr="0085565C">
        <w:rPr>
          <w:rFonts w:cs="Arial"/>
          <w:lang w:val="fr-FR"/>
        </w:rPr>
        <w:noBreakHyphen/>
        <w:t>Uni y avaient participé.  Le TWC est convenu de demander à un expert de la France d’utiliser les informations obtenues pour expliquer les étapes de chaque méthode et les différences qui existaient entre elles.  Le TWC est convenu que ces explications devraient être présentées pour examen à sa trente</w:t>
      </w:r>
      <w:r w:rsidRPr="0085565C">
        <w:rPr>
          <w:rFonts w:cs="Arial"/>
          <w:lang w:val="fr-FR"/>
        </w:rPr>
        <w:noBreakHyphen/>
        <w:t>troisième session.  Le TWC a suivi un exposé présenté par un expert de l’Italie concernant la méthode d’élaboration des descriptions végétales utilisées en Italie (annexe III au document TWC/32/18).  Un expert de l’Allemagne a également donné des explications concernant l’annexe II “</w:t>
      </w:r>
      <w:proofErr w:type="spellStart"/>
      <w:r w:rsidRPr="0085565C">
        <w:rPr>
          <w:rFonts w:cs="Arial"/>
          <w:lang w:val="fr-FR"/>
        </w:rPr>
        <w:t>Different</w:t>
      </w:r>
      <w:proofErr w:type="spellEnd"/>
      <w:r w:rsidRPr="0085565C">
        <w:rPr>
          <w:rFonts w:cs="Arial"/>
          <w:lang w:val="fr-FR"/>
        </w:rPr>
        <w:t xml:space="preserve"> </w:t>
      </w:r>
      <w:proofErr w:type="spellStart"/>
      <w:r w:rsidRPr="0085565C">
        <w:rPr>
          <w:rFonts w:cs="Arial"/>
          <w:lang w:val="fr-FR"/>
        </w:rPr>
        <w:t>forms</w:t>
      </w:r>
      <w:proofErr w:type="spellEnd"/>
      <w:r w:rsidRPr="0085565C">
        <w:rPr>
          <w:rFonts w:cs="Arial"/>
          <w:lang w:val="fr-FR"/>
        </w:rPr>
        <w:t xml:space="preserve"> </w:t>
      </w:r>
      <w:proofErr w:type="spellStart"/>
      <w:r w:rsidRPr="0085565C">
        <w:rPr>
          <w:rFonts w:cs="Arial"/>
          <w:lang w:val="fr-FR"/>
        </w:rPr>
        <w:t>that</w:t>
      </w:r>
      <w:proofErr w:type="spellEnd"/>
      <w:r w:rsidRPr="0085565C">
        <w:rPr>
          <w:rFonts w:cs="Arial"/>
          <w:lang w:val="fr-FR"/>
        </w:rPr>
        <w:t xml:space="preserve"> </w:t>
      </w:r>
      <w:proofErr w:type="spellStart"/>
      <w:r w:rsidRPr="0085565C">
        <w:rPr>
          <w:rFonts w:cs="Arial"/>
          <w:lang w:val="fr-FR"/>
        </w:rPr>
        <w:t>variety</w:t>
      </w:r>
      <w:proofErr w:type="spellEnd"/>
      <w:r w:rsidRPr="0085565C">
        <w:rPr>
          <w:rFonts w:cs="Arial"/>
          <w:lang w:val="fr-FR"/>
        </w:rPr>
        <w:t xml:space="preserve"> descriptions </w:t>
      </w:r>
      <w:proofErr w:type="spellStart"/>
      <w:r w:rsidRPr="0085565C">
        <w:rPr>
          <w:rFonts w:cs="Arial"/>
          <w:lang w:val="fr-FR"/>
        </w:rPr>
        <w:t>could</w:t>
      </w:r>
      <w:proofErr w:type="spellEnd"/>
      <w:r w:rsidRPr="0085565C">
        <w:rPr>
          <w:rFonts w:cs="Arial"/>
          <w:lang w:val="fr-FR"/>
        </w:rPr>
        <w:t xml:space="preserve"> </w:t>
      </w:r>
      <w:proofErr w:type="spellStart"/>
      <w:r w:rsidRPr="0085565C">
        <w:rPr>
          <w:rFonts w:cs="Arial"/>
          <w:lang w:val="fr-FR"/>
        </w:rPr>
        <w:t>take</w:t>
      </w:r>
      <w:proofErr w:type="spellEnd"/>
      <w:r w:rsidRPr="0085565C">
        <w:rPr>
          <w:rFonts w:cs="Arial"/>
          <w:lang w:val="fr-FR"/>
        </w:rPr>
        <w:t xml:space="preserve"> and the relevance of </w:t>
      </w:r>
      <w:proofErr w:type="spellStart"/>
      <w:r w:rsidRPr="0085565C">
        <w:rPr>
          <w:rFonts w:cs="Arial"/>
          <w:lang w:val="fr-FR"/>
        </w:rPr>
        <w:t>scale</w:t>
      </w:r>
      <w:proofErr w:type="spellEnd"/>
      <w:r w:rsidRPr="0085565C">
        <w:rPr>
          <w:rFonts w:cs="Arial"/>
          <w:lang w:val="fr-FR"/>
        </w:rPr>
        <w:t xml:space="preserve"> </w:t>
      </w:r>
      <w:proofErr w:type="spellStart"/>
      <w:r w:rsidRPr="0085565C">
        <w:rPr>
          <w:rFonts w:cs="Arial"/>
          <w:lang w:val="fr-FR"/>
        </w:rPr>
        <w:t>levels</w:t>
      </w:r>
      <w:proofErr w:type="spellEnd"/>
      <w:r w:rsidRPr="0085565C">
        <w:rPr>
          <w:rFonts w:cs="Arial"/>
          <w:lang w:val="fr-FR"/>
        </w:rPr>
        <w:t>”, en décrivant le rapport entre les niveaux d’échelle et les descriptions végétales.  Le TWC est convenu que cela pourrait servir d’introduction aux futurs principes directeurs qui seront consacrés aux descriptions végétales.</w:t>
      </w:r>
    </w:p>
    <w:p w:rsidR="00697CEF" w:rsidRPr="0085565C" w:rsidRDefault="00697CEF" w:rsidP="00697CEF">
      <w:pPr>
        <w:autoSpaceDE w:val="0"/>
        <w:autoSpaceDN w:val="0"/>
        <w:adjustRightInd w:val="0"/>
        <w:rPr>
          <w:rFonts w:cs="Arial"/>
          <w:lang w:val="fr-FR"/>
        </w:rPr>
      </w:pPr>
    </w:p>
    <w:p w:rsidR="00697CEF" w:rsidRPr="0085565C" w:rsidRDefault="00697CEF" w:rsidP="00697CEF">
      <w:pPr>
        <w:autoSpaceDE w:val="0"/>
        <w:autoSpaceDN w:val="0"/>
        <w:adjustRightInd w:val="0"/>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 xml:space="preserve">Le TWC a suivi un exposé présenté par un expert de la Chine sur le thème de la “Variation des descriptions variétales au fil des ans en différents endroits”, qui figure à l’annexe I du document TWC/32/6.  </w:t>
      </w:r>
      <w:r w:rsidRPr="0085565C">
        <w:rPr>
          <w:rFonts w:cs="Arial"/>
          <w:lang w:val="fr-FR"/>
        </w:rPr>
        <w:lastRenderedPageBreak/>
        <w:t>Le TWC est convenu que les informations fournies étaient utiles pour démontrer la robustesse de certains caractères et pour définir les caractères de groupement.</w:t>
      </w:r>
    </w:p>
    <w:p w:rsidR="00697CEF" w:rsidRPr="0085565C" w:rsidRDefault="00697CEF" w:rsidP="00697CEF">
      <w:pPr>
        <w:autoSpaceDE w:val="0"/>
        <w:autoSpaceDN w:val="0"/>
        <w:adjustRightInd w:val="0"/>
        <w:rPr>
          <w:rFonts w:cs="Arial"/>
          <w:lang w:val="fr-FR"/>
        </w:rPr>
      </w:pPr>
    </w:p>
    <w:p w:rsidR="00697CEF" w:rsidRPr="0085565C" w:rsidRDefault="00697CEF" w:rsidP="00697CEF">
      <w:pPr>
        <w:autoSpaceDE w:val="0"/>
        <w:autoSpaceDN w:val="0"/>
        <w:adjustRightInd w:val="0"/>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Le TWC a suivi un exposé d’un expert des Pays</w:t>
      </w:r>
      <w:r w:rsidRPr="0085565C">
        <w:rPr>
          <w:rFonts w:cs="Arial"/>
          <w:lang w:val="fr-FR"/>
        </w:rPr>
        <w:noBreakHyphen/>
        <w:t xml:space="preserve">Bas sur l’utilisation de la teneur caractéristique en </w:t>
      </w:r>
      <w:proofErr w:type="spellStart"/>
      <w:r w:rsidRPr="0085565C">
        <w:rPr>
          <w:rFonts w:cs="Arial"/>
          <w:lang w:val="fr-FR"/>
        </w:rPr>
        <w:t>glucoraphanine</w:t>
      </w:r>
      <w:proofErr w:type="spellEnd"/>
      <w:r w:rsidRPr="0085565C">
        <w:rPr>
          <w:rFonts w:cs="Arial"/>
          <w:lang w:val="fr-FR"/>
        </w:rPr>
        <w:t xml:space="preserve"> du brocoli sur la base d’échantillons globaux, comme indiqué à l’annexe du document TWC/32/17.  Le TWC est convenu que, s’agissant de la validation des caractères sur la base d’échantillons globaux, il conviendrait de prendre en considération l’analyse des plantes isolées, mais a noté que cela pourrait entraîner des coûts imprévus.</w:t>
      </w:r>
    </w:p>
    <w:p w:rsidR="00697CEF" w:rsidRPr="0085565C" w:rsidRDefault="00697CEF" w:rsidP="00697CEF">
      <w:pPr>
        <w:autoSpaceDE w:val="0"/>
        <w:autoSpaceDN w:val="0"/>
        <w:adjustRightInd w:val="0"/>
        <w:rPr>
          <w:rFonts w:cs="Arial"/>
          <w:lang w:val="fr-FR"/>
        </w:rPr>
      </w:pPr>
    </w:p>
    <w:p w:rsidR="00697CEF" w:rsidRPr="0085565C" w:rsidRDefault="00697CEF" w:rsidP="00697CEF">
      <w:pPr>
        <w:autoSpaceDE w:val="0"/>
        <w:autoSpaceDN w:val="0"/>
        <w:adjustRightInd w:val="0"/>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Le TWC a examiné le document TWC/32/21 “Révision du document TGP/8 : deuxième partie : nouvelle section : Méthodes statistiques applicables aux caractères observés visuellement”.  Le TWC a suivi un exposé d’un expert de la Finlande, comparant les résultats des décisions prises en matière de distinction relatives à la fétuque des prés obtenus avec le test du khi carré et une nouvelle méthode présentée précédemment au TWC par un expert du Danemark.  Cette méthode ressemble à la méthode COYD, mais convient aux données ordinales.  Le TWC a estimé que la nouvelle méthode était conçue pour l’analyse des caractères observés visuellement et bénéficiait d’une meilleure base que le test du khi carré.</w:t>
      </w:r>
      <w:r w:rsidRPr="0085565C">
        <w:rPr>
          <w:lang w:val="fr-FR"/>
        </w:rPr>
        <w:t xml:space="preserve">  </w:t>
      </w:r>
      <w:r w:rsidRPr="0085565C">
        <w:rPr>
          <w:rFonts w:cs="Arial"/>
          <w:lang w:val="fr-FR"/>
        </w:rPr>
        <w:t>Le TWC est convenu que cette méthode devait être développée davantage, notamment en vue de mettre au point un logiciel.  En outre, le TWC est convenu d’inviter un expert de la Chine à présenter, à sa trente</w:t>
      </w:r>
      <w:r w:rsidRPr="0085565C">
        <w:rPr>
          <w:rFonts w:cs="Arial"/>
          <w:lang w:val="fr-FR"/>
        </w:rPr>
        <w:noBreakHyphen/>
        <w:t>troisième session, un exposé sur l’analyse des caractères observés visuellement, effectuée avec le progiciel DUST China (DUSTC) en utilisant les données relatives à la fétuque des prés fournies par la Finlande.</w:t>
      </w:r>
    </w:p>
    <w:p w:rsidR="00697CEF" w:rsidRPr="0085565C" w:rsidRDefault="00697CEF" w:rsidP="00697CEF">
      <w:pPr>
        <w:autoSpaceDE w:val="0"/>
        <w:autoSpaceDN w:val="0"/>
        <w:adjustRightInd w:val="0"/>
        <w:rPr>
          <w:rFonts w:cs="Arial"/>
          <w:lang w:val="fr-FR"/>
        </w:rPr>
      </w:pPr>
    </w:p>
    <w:p w:rsidR="00697CEF" w:rsidRPr="0085565C" w:rsidRDefault="00697CEF" w:rsidP="00697CEF">
      <w:pPr>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Le TWC a examiné le document TWC/32/9 “Évaluation de l’homogénéité d’après les plantes hors</w:t>
      </w:r>
      <w:r w:rsidRPr="0085565C">
        <w:rPr>
          <w:rFonts w:cs="Arial"/>
          <w:lang w:val="fr-FR"/>
        </w:rPr>
        <w:noBreakHyphen/>
        <w:t>type sur la base de plusieurs échantillons ou sous</w:t>
      </w:r>
      <w:r w:rsidRPr="0085565C">
        <w:rPr>
          <w:rFonts w:cs="Arial"/>
          <w:lang w:val="fr-FR"/>
        </w:rPr>
        <w:noBreakHyphen/>
        <w:t>échantillons”.  Le TWC est convenu que les valeurs pour les probabilités d’erreurs de type I et de type II devraient figurer dans chacun des exemples décrits dans les situations A et B pour l’élaboration d’orientations dans le document TGP/10.  L’erreur de type I est associée à une décision relative à l’hétérogénéité (rejet de l’hypothèse nulle vraie) et l’erreur de type II est associée à une décision relative à l’homogénéité (acceptation de l’hypothèse alternative).  Le TWC est convenu que les orientations fournies dans le document TGP/10 étaient suffisantes en ce qui concerne la situation C.  L’annexe V du document TWC/32/9 donne un exemple d’approche séquentielle appliquée à un seul cycle de végétation et a été présentée par un expert de l’Allemagne.  L’exposé comprenait également des informations sur les erreurs de type I et de type II.  Le TWC s’est accordé sur la formulation des principes directeurs pour la situation D.</w:t>
      </w:r>
    </w:p>
    <w:p w:rsidR="00697CEF" w:rsidRPr="0085565C" w:rsidRDefault="00697CEF" w:rsidP="00697CEF">
      <w:pPr>
        <w:autoSpaceDE w:val="0"/>
        <w:autoSpaceDN w:val="0"/>
        <w:adjustRightInd w:val="0"/>
        <w:rPr>
          <w:rFonts w:cs="Arial"/>
          <w:lang w:val="fr-FR"/>
        </w:rPr>
      </w:pPr>
    </w:p>
    <w:p w:rsidR="00697CEF" w:rsidRPr="0085565C" w:rsidRDefault="00697CEF" w:rsidP="00697CEF">
      <w:pPr>
        <w:autoSpaceDE w:val="0"/>
        <w:autoSpaceDN w:val="0"/>
        <w:adjustRightInd w:val="0"/>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 xml:space="preserve">Le TWC a suivi un exposé par voie électronique d’un expert du Mexique sur le logiciel SISNAVA que le Mexique proposait d’ajouter à la liste établie dans le document UPOV/INF/16 “Logiciels échangeables” et est convenu que la question devait être étudiée davantage.  Le TWC a pris note des explications concernant le logiciel “Information System (IS) </w:t>
      </w:r>
      <w:proofErr w:type="spellStart"/>
      <w:r w:rsidRPr="0085565C">
        <w:rPr>
          <w:rFonts w:cs="Arial"/>
          <w:lang w:val="fr-FR"/>
        </w:rPr>
        <w:t>used</w:t>
      </w:r>
      <w:proofErr w:type="spellEnd"/>
      <w:r w:rsidRPr="0085565C">
        <w:rPr>
          <w:rFonts w:cs="Arial"/>
          <w:lang w:val="fr-FR"/>
        </w:rPr>
        <w:t xml:space="preserve"> for Test and Protection of Plant </w:t>
      </w:r>
      <w:proofErr w:type="spellStart"/>
      <w:r w:rsidRPr="0085565C">
        <w:rPr>
          <w:rFonts w:cs="Arial"/>
          <w:lang w:val="fr-FR"/>
        </w:rPr>
        <w:t>Varieties</w:t>
      </w:r>
      <w:proofErr w:type="spellEnd"/>
      <w:r w:rsidRPr="0085565C">
        <w:rPr>
          <w:rFonts w:cs="Arial"/>
          <w:lang w:val="fr-FR"/>
        </w:rPr>
        <w:t xml:space="preserve"> in the </w:t>
      </w:r>
      <w:proofErr w:type="spellStart"/>
      <w:r w:rsidRPr="0085565C">
        <w:rPr>
          <w:rFonts w:cs="Arial"/>
          <w:lang w:val="fr-FR"/>
        </w:rPr>
        <w:t>Russian</w:t>
      </w:r>
      <w:proofErr w:type="spellEnd"/>
      <w:r w:rsidRPr="0085565C">
        <w:rPr>
          <w:rFonts w:cs="Arial"/>
          <w:lang w:val="fr-FR"/>
        </w:rPr>
        <w:t xml:space="preserve"> </w:t>
      </w:r>
      <w:proofErr w:type="spellStart"/>
      <w:r w:rsidRPr="0085565C">
        <w:rPr>
          <w:rFonts w:cs="Arial"/>
          <w:lang w:val="fr-FR"/>
        </w:rPr>
        <w:t>Federation</w:t>
      </w:r>
      <w:proofErr w:type="spellEnd"/>
      <w:r w:rsidRPr="0085565C">
        <w:rPr>
          <w:rFonts w:cs="Arial"/>
          <w:lang w:val="fr-FR"/>
        </w:rPr>
        <w:t>”, présentées à l’annexe IV du document TWC/32/7.</w:t>
      </w:r>
    </w:p>
    <w:p w:rsidR="00697CEF" w:rsidRPr="0085565C" w:rsidRDefault="00697CEF" w:rsidP="00697CEF">
      <w:pPr>
        <w:autoSpaceDE w:val="0"/>
        <w:autoSpaceDN w:val="0"/>
        <w:adjustRightInd w:val="0"/>
        <w:rPr>
          <w:rFonts w:cs="Arial"/>
          <w:lang w:val="fr-FR"/>
        </w:rPr>
      </w:pPr>
    </w:p>
    <w:p w:rsidR="00697CEF" w:rsidRPr="0085565C" w:rsidRDefault="00697CEF" w:rsidP="00697CEF">
      <w:pPr>
        <w:autoSpaceDE w:val="0"/>
        <w:autoSpaceDN w:val="0"/>
        <w:adjustRightInd w:val="0"/>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Le TWC a suivi un exposé présenté par la Chine sur le thème des “Bases de données sur la protection des obtentions végétales en Chine”, qui figure à l’annexe II du document TWC/32/6.  Le TWC a noté que le nouveau logiciel comprenait des modules pour la gestion des demandes, les bases de données sur les descriptions variétales, l’analyse des données et l’analyse d’images.</w:t>
      </w:r>
    </w:p>
    <w:p w:rsidR="00697CEF" w:rsidRPr="0085565C" w:rsidRDefault="00697CEF" w:rsidP="00697CEF">
      <w:pPr>
        <w:autoSpaceDE w:val="0"/>
        <w:autoSpaceDN w:val="0"/>
        <w:adjustRightInd w:val="0"/>
        <w:rPr>
          <w:rFonts w:cs="Arial"/>
          <w:lang w:val="fr-FR"/>
        </w:rPr>
      </w:pPr>
    </w:p>
    <w:p w:rsidR="00697CEF" w:rsidRPr="0085565C" w:rsidRDefault="00697CEF" w:rsidP="00697CEF">
      <w:pPr>
        <w:autoSpaceDE w:val="0"/>
        <w:autoSpaceDN w:val="0"/>
        <w:adjustRightInd w:val="0"/>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Le TWC a écouté l’exposé d’un expert de l’Allemagne, qui est reproduit à l’annexe II du document TWC/32/25 et qui est consacré sur la mise au point et les paramètres d’un système de gestion des documents ayant trait aux variétés en Allemagne.</w:t>
      </w:r>
    </w:p>
    <w:p w:rsidR="00697CEF" w:rsidRPr="0085565C" w:rsidRDefault="00697CEF" w:rsidP="00697CEF">
      <w:pPr>
        <w:autoSpaceDE w:val="0"/>
        <w:autoSpaceDN w:val="0"/>
        <w:adjustRightInd w:val="0"/>
        <w:rPr>
          <w:rFonts w:cs="Arial"/>
          <w:lang w:val="fr-FR"/>
        </w:rPr>
      </w:pPr>
    </w:p>
    <w:p w:rsidR="00697CEF" w:rsidRPr="0085565C" w:rsidRDefault="00697CEF" w:rsidP="00697CEF">
      <w:pPr>
        <w:autoSpaceDE w:val="0"/>
        <w:autoSpaceDN w:val="0"/>
        <w:adjustRightInd w:val="0"/>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Le TWC a pris note d’un résumé d’informations issues de l’enquête actualisée sur les dispositifs portatifs de saisie des données, qui figure à l’annexe I du document TWC/32/27, et a fait savoir que ces informations pourraient être incluses dans le document UPOV/INF/22 “Logiciels et équipements utilisés par les membres de l’Union”.  Un expert de l’Allemagne a présenté un exposé sur l’utilisation des dispositifs portatifs de saisie de données dans le cadre de l’examen DHS en Allemagne (document TWC/32/27, annexe II).</w:t>
      </w:r>
    </w:p>
    <w:p w:rsidR="00697CEF" w:rsidRPr="0085565C" w:rsidRDefault="00697CEF" w:rsidP="00697CEF">
      <w:pPr>
        <w:autoSpaceDE w:val="0"/>
        <w:autoSpaceDN w:val="0"/>
        <w:adjustRightInd w:val="0"/>
        <w:rPr>
          <w:rFonts w:cs="Arial"/>
          <w:lang w:val="fr-FR"/>
        </w:rPr>
      </w:pPr>
    </w:p>
    <w:p w:rsidR="00697CEF" w:rsidRPr="0085565C" w:rsidRDefault="00697CEF" w:rsidP="00697CEF">
      <w:pPr>
        <w:autoSpaceDE w:val="0"/>
        <w:autoSpaceDN w:val="0"/>
        <w:adjustRightInd w:val="0"/>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Le TWC a examiné le document TWC/32/11, consacré à l’amélioration de l’efficacité du Comité technique, des groupes de travail techniques et des ateliers préparatoires.  Les participants ont examiné les propositions relatives aux moyens possibles d’améliorer l’efficacité de ces organes et ont formulé des commentaires.</w:t>
      </w:r>
    </w:p>
    <w:p w:rsidR="00697CEF" w:rsidRPr="0085565C" w:rsidRDefault="00697CEF" w:rsidP="00697CEF">
      <w:pPr>
        <w:autoSpaceDE w:val="0"/>
        <w:autoSpaceDN w:val="0"/>
        <w:adjustRightInd w:val="0"/>
        <w:rPr>
          <w:rFonts w:cs="Arial"/>
          <w:lang w:val="fr-FR"/>
        </w:rPr>
      </w:pPr>
    </w:p>
    <w:p w:rsidR="00697CEF" w:rsidRPr="0085565C" w:rsidRDefault="00697CEF" w:rsidP="00697CEF">
      <w:pPr>
        <w:autoSpaceDE w:val="0"/>
        <w:autoSpaceDN w:val="0"/>
        <w:adjustRightInd w:val="0"/>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 xml:space="preserve">Une médaille de bronze de l’UPOV a été décernée à M. Sami </w:t>
      </w:r>
      <w:proofErr w:type="spellStart"/>
      <w:r w:rsidRPr="0085565C">
        <w:rPr>
          <w:rFonts w:cs="Arial"/>
          <w:lang w:val="fr-FR"/>
        </w:rPr>
        <w:t>Markkanen</w:t>
      </w:r>
      <w:proofErr w:type="spellEnd"/>
      <w:r w:rsidRPr="0085565C">
        <w:rPr>
          <w:rFonts w:cs="Arial"/>
          <w:lang w:val="fr-FR"/>
        </w:rPr>
        <w:t xml:space="preserve"> pour le remercier d’avoir présidé le TWC de 2012 à 2014.</w:t>
      </w:r>
    </w:p>
    <w:p w:rsidR="00697CEF" w:rsidRPr="0085565C" w:rsidRDefault="00697CEF" w:rsidP="00697CEF">
      <w:pPr>
        <w:autoSpaceDE w:val="0"/>
        <w:autoSpaceDN w:val="0"/>
        <w:adjustRightInd w:val="0"/>
        <w:rPr>
          <w:rFonts w:cs="Arial"/>
          <w:lang w:val="fr-FR"/>
        </w:rPr>
      </w:pPr>
    </w:p>
    <w:p w:rsidR="00697CEF" w:rsidRPr="0085565C" w:rsidRDefault="00697CEF" w:rsidP="00697CEF">
      <w:pPr>
        <w:autoSpaceDE w:val="0"/>
        <w:autoSpaceDN w:val="0"/>
        <w:adjustRightInd w:val="0"/>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Le TWC est convenu de tenir sa trente</w:t>
      </w:r>
      <w:r w:rsidRPr="0085565C">
        <w:rPr>
          <w:rFonts w:cs="Arial"/>
          <w:lang w:val="fr-FR"/>
        </w:rPr>
        <w:noBreakHyphen/>
        <w:t>troisième session à Natal (Brésil) du 30 juin au 3 juillet 2015, un atelier préparatoire étant prévu le 29 juin 2015.</w:t>
      </w:r>
    </w:p>
    <w:p w:rsidR="00697CEF" w:rsidRPr="0085565C" w:rsidRDefault="00697CEF" w:rsidP="00697CEF">
      <w:pPr>
        <w:autoSpaceDE w:val="0"/>
        <w:autoSpaceDN w:val="0"/>
        <w:adjustRightInd w:val="0"/>
        <w:rPr>
          <w:rFonts w:cs="Arial"/>
          <w:lang w:val="fr-FR"/>
        </w:rPr>
      </w:pPr>
    </w:p>
    <w:p w:rsidR="00697CEF" w:rsidRPr="0085565C" w:rsidRDefault="00697CEF" w:rsidP="00697CEF">
      <w:pPr>
        <w:autoSpaceDE w:val="0"/>
        <w:autoSpaceDN w:val="0"/>
        <w:adjustRightInd w:val="0"/>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Le TWC a proposé d’examiner les points suivants à sa trente</w:t>
      </w:r>
      <w:r w:rsidRPr="0085565C">
        <w:rPr>
          <w:rFonts w:cs="Arial"/>
          <w:lang w:val="fr-FR"/>
        </w:rPr>
        <w:noBreakHyphen/>
        <w:t>troisième session :</w:t>
      </w:r>
    </w:p>
    <w:p w:rsidR="00697CEF" w:rsidRPr="0085565C" w:rsidRDefault="00697CEF" w:rsidP="00697CEF">
      <w:pPr>
        <w:autoSpaceDE w:val="0"/>
        <w:autoSpaceDN w:val="0"/>
        <w:adjustRightInd w:val="0"/>
        <w:rPr>
          <w:rFonts w:cs="Arial"/>
          <w:lang w:val="fr-FR"/>
        </w:rPr>
      </w:pP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1.</w:t>
      </w:r>
      <w:r w:rsidRPr="0085565C">
        <w:rPr>
          <w:rFonts w:cs="Arial"/>
          <w:lang w:val="fr-FR"/>
        </w:rPr>
        <w:tab/>
        <w:t>Ouverture de la session</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2.</w:t>
      </w:r>
      <w:r w:rsidRPr="0085565C">
        <w:rPr>
          <w:rFonts w:cs="Arial"/>
          <w:lang w:val="fr-FR"/>
        </w:rPr>
        <w:tab/>
        <w:t>Adoption de l’ordre du jour</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3.</w:t>
      </w:r>
      <w:r w:rsidRPr="0085565C">
        <w:rPr>
          <w:rFonts w:cs="Arial"/>
          <w:lang w:val="fr-FR"/>
        </w:rPr>
        <w:tab/>
        <w:t>Rapports succincts sur l’évolution de la situation en matière de protection des obtentions végétales :</w:t>
      </w:r>
    </w:p>
    <w:p w:rsidR="00697CEF" w:rsidRPr="0085565C" w:rsidRDefault="00697CEF" w:rsidP="00697CEF">
      <w:pPr>
        <w:tabs>
          <w:tab w:val="num" w:pos="1134"/>
          <w:tab w:val="left" w:pos="1630"/>
          <w:tab w:val="left" w:pos="1843"/>
        </w:tabs>
        <w:spacing w:before="20" w:afterLines="20" w:after="48"/>
        <w:ind w:left="1134" w:hanging="567"/>
        <w:rPr>
          <w:rFonts w:cs="Arial"/>
          <w:lang w:val="fr-FR"/>
        </w:rPr>
      </w:pPr>
      <w:r w:rsidRPr="0085565C">
        <w:rPr>
          <w:rFonts w:cs="Arial"/>
          <w:lang w:val="fr-FR"/>
        </w:rPr>
        <w:tab/>
        <w:t>a)</w:t>
      </w:r>
      <w:r w:rsidRPr="0085565C">
        <w:rPr>
          <w:rFonts w:cs="Arial"/>
          <w:lang w:val="fr-FR"/>
        </w:rPr>
        <w:tab/>
        <w:t>Rapports des membres et des observateurs</w:t>
      </w:r>
    </w:p>
    <w:p w:rsidR="00697CEF" w:rsidRPr="0085565C" w:rsidRDefault="00697CEF" w:rsidP="00697CEF">
      <w:pPr>
        <w:tabs>
          <w:tab w:val="num" w:pos="1134"/>
          <w:tab w:val="left" w:pos="1620"/>
          <w:tab w:val="left" w:pos="1900"/>
        </w:tabs>
        <w:spacing w:before="20" w:afterLines="20" w:after="48"/>
        <w:ind w:left="1134" w:hanging="567"/>
        <w:rPr>
          <w:rFonts w:cs="Arial"/>
          <w:lang w:val="fr-FR"/>
        </w:rPr>
      </w:pPr>
      <w:r w:rsidRPr="0085565C">
        <w:rPr>
          <w:rFonts w:cs="Arial"/>
          <w:lang w:val="fr-FR"/>
        </w:rPr>
        <w:tab/>
        <w:t>b)</w:t>
      </w:r>
      <w:r w:rsidRPr="0085565C">
        <w:rPr>
          <w:rFonts w:cs="Arial"/>
          <w:lang w:val="fr-FR"/>
        </w:rPr>
        <w:tab/>
        <w:t>Rapports sur les faits nouveaux intervenus à l’UPOV</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4.</w:t>
      </w:r>
      <w:r w:rsidRPr="0085565C">
        <w:rPr>
          <w:rFonts w:cs="Arial"/>
          <w:lang w:val="fr-FR"/>
        </w:rPr>
        <w:tab/>
        <w:t>Techniques moléculaires</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5.</w:t>
      </w:r>
      <w:r w:rsidRPr="0085565C">
        <w:rPr>
          <w:rFonts w:cs="Arial"/>
          <w:lang w:val="fr-FR"/>
        </w:rPr>
        <w:tab/>
        <w:t>Amélioration de l’efficacité du Comité technique, des groupes de travail techniques et des ateliers préparatoires</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6.</w:t>
      </w:r>
      <w:r w:rsidRPr="0085565C">
        <w:rPr>
          <w:rFonts w:cs="Arial"/>
          <w:lang w:val="fr-FR"/>
        </w:rPr>
        <w:tab/>
        <w:t>Documents TGP</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7.</w:t>
      </w:r>
      <w:r w:rsidRPr="0085565C">
        <w:rPr>
          <w:rFonts w:cs="Arial"/>
          <w:lang w:val="fr-FR"/>
        </w:rPr>
        <w:tab/>
        <w:t>Informations et bases de données</w:t>
      </w:r>
    </w:p>
    <w:p w:rsidR="00697CEF" w:rsidRPr="0085565C" w:rsidRDefault="00697CEF" w:rsidP="00697CEF">
      <w:pPr>
        <w:tabs>
          <w:tab w:val="num" w:pos="1134"/>
          <w:tab w:val="left" w:pos="1620"/>
        </w:tabs>
        <w:spacing w:before="20" w:afterLines="20" w:after="48"/>
        <w:ind w:left="1134" w:hanging="567"/>
        <w:rPr>
          <w:rFonts w:cs="Arial"/>
          <w:lang w:val="fr-FR"/>
        </w:rPr>
      </w:pPr>
      <w:r w:rsidRPr="0085565C">
        <w:rPr>
          <w:rFonts w:cs="Arial"/>
          <w:lang w:val="fr-FR"/>
        </w:rPr>
        <w:tab/>
        <w:t>a)</w:t>
      </w:r>
      <w:r w:rsidRPr="0085565C">
        <w:rPr>
          <w:rFonts w:cs="Arial"/>
          <w:lang w:val="fr-FR"/>
        </w:rPr>
        <w:tab/>
        <w:t>Bases de données d’information de l’UPOV</w:t>
      </w:r>
    </w:p>
    <w:p w:rsidR="00697CEF" w:rsidRPr="0085565C" w:rsidRDefault="00697CEF" w:rsidP="00697CEF">
      <w:pPr>
        <w:tabs>
          <w:tab w:val="num" w:pos="1134"/>
          <w:tab w:val="left" w:pos="1630"/>
        </w:tabs>
        <w:spacing w:before="20" w:afterLines="20" w:after="48"/>
        <w:ind w:left="1134" w:hanging="567"/>
        <w:rPr>
          <w:rFonts w:cs="Arial"/>
          <w:lang w:val="fr-FR"/>
        </w:rPr>
      </w:pPr>
      <w:r w:rsidRPr="0085565C">
        <w:rPr>
          <w:rFonts w:cs="Arial"/>
          <w:lang w:val="fr-FR"/>
        </w:rPr>
        <w:tab/>
        <w:t>b)</w:t>
      </w:r>
      <w:r w:rsidRPr="0085565C">
        <w:rPr>
          <w:rFonts w:cs="Arial"/>
          <w:lang w:val="fr-FR"/>
        </w:rPr>
        <w:tab/>
        <w:t>Bases de données sur les descriptions variétales</w:t>
      </w:r>
    </w:p>
    <w:p w:rsidR="00697CEF" w:rsidRPr="0085565C" w:rsidRDefault="00697CEF" w:rsidP="00697CEF">
      <w:pPr>
        <w:tabs>
          <w:tab w:val="num" w:pos="1134"/>
          <w:tab w:val="left" w:pos="1624"/>
        </w:tabs>
        <w:spacing w:before="20" w:afterLines="20" w:after="48"/>
        <w:ind w:left="1134" w:hanging="567"/>
        <w:rPr>
          <w:rFonts w:cs="Arial"/>
          <w:lang w:val="fr-FR"/>
        </w:rPr>
      </w:pPr>
      <w:r w:rsidRPr="0085565C">
        <w:rPr>
          <w:rFonts w:cs="Arial"/>
          <w:lang w:val="fr-FR"/>
        </w:rPr>
        <w:tab/>
        <w:t>c)</w:t>
      </w:r>
      <w:r w:rsidRPr="0085565C">
        <w:rPr>
          <w:rFonts w:cs="Arial"/>
          <w:lang w:val="fr-FR"/>
        </w:rPr>
        <w:tab/>
        <w:t>Logiciels échangeables</w:t>
      </w:r>
    </w:p>
    <w:p w:rsidR="00697CEF" w:rsidRPr="0085565C" w:rsidRDefault="00697CEF" w:rsidP="00697CEF">
      <w:pPr>
        <w:tabs>
          <w:tab w:val="num" w:pos="1134"/>
          <w:tab w:val="left" w:pos="1624"/>
        </w:tabs>
        <w:spacing w:before="20" w:afterLines="20" w:after="48"/>
        <w:ind w:left="1134" w:hanging="567"/>
        <w:rPr>
          <w:rFonts w:cs="Arial"/>
          <w:lang w:val="fr-FR"/>
        </w:rPr>
      </w:pPr>
      <w:r w:rsidRPr="0085565C">
        <w:rPr>
          <w:rFonts w:cs="Arial"/>
          <w:lang w:val="fr-FR"/>
        </w:rPr>
        <w:tab/>
        <w:t>d)</w:t>
      </w:r>
      <w:r w:rsidRPr="0085565C">
        <w:rPr>
          <w:rFonts w:cs="Arial"/>
          <w:lang w:val="fr-FR"/>
        </w:rPr>
        <w:tab/>
        <w:t>Systèmes de dépôt électronique des demandes</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8.</w:t>
      </w:r>
      <w:r w:rsidRPr="0085565C">
        <w:rPr>
          <w:rFonts w:cs="Arial"/>
          <w:lang w:val="fr-FR"/>
        </w:rPr>
        <w:tab/>
        <w:t>Dénominations variétales</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9.</w:t>
      </w:r>
      <w:r w:rsidRPr="0085565C">
        <w:rPr>
          <w:rFonts w:cs="Arial"/>
          <w:lang w:val="fr-FR"/>
        </w:rPr>
        <w:tab/>
        <w:t>Détermination de l’homogénéité au moyen des plantes hors</w:t>
      </w:r>
      <w:r w:rsidRPr="0085565C">
        <w:rPr>
          <w:rFonts w:cs="Arial"/>
          <w:lang w:val="fr-FR"/>
        </w:rPr>
        <w:noBreakHyphen/>
        <w:t>type</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10.</w:t>
      </w:r>
      <w:r w:rsidRPr="0085565C">
        <w:rPr>
          <w:rFonts w:cs="Arial"/>
          <w:lang w:val="fr-FR"/>
        </w:rPr>
        <w:tab/>
        <w:t>Expériences de nouveaux types et espèces</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11.</w:t>
      </w:r>
      <w:r w:rsidRPr="0085565C">
        <w:rPr>
          <w:rFonts w:cs="Arial"/>
          <w:lang w:val="fr-FR"/>
        </w:rPr>
        <w:tab/>
        <w:t>Informations sur les méthodes utilisées pour le traitement des données aux fins de l’évaluation de la distinction et de l’établissement de descriptions variétales en Chine</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12.</w:t>
      </w:r>
      <w:r w:rsidRPr="0085565C">
        <w:rPr>
          <w:rFonts w:cs="Arial"/>
          <w:lang w:val="fr-FR"/>
        </w:rPr>
        <w:tab/>
        <w:t>Méthodes statistiques applicables aux caractères observés visuellement effectuées avec le progiciel DUSTC</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13.</w:t>
      </w:r>
      <w:r w:rsidRPr="0085565C">
        <w:rPr>
          <w:rFonts w:cs="Arial"/>
          <w:lang w:val="fr-FR"/>
        </w:rPr>
        <w:tab/>
        <w:t>Analyse de la variance due à l’interaction “variété x site” (environnement) des caractères QN</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14.</w:t>
      </w:r>
      <w:r w:rsidRPr="0085565C">
        <w:rPr>
          <w:rFonts w:cs="Arial"/>
          <w:lang w:val="fr-FR"/>
        </w:rPr>
        <w:tab/>
        <w:t>Système d’analyse d’image en Chine</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15.</w:t>
      </w:r>
      <w:r w:rsidRPr="0085565C">
        <w:rPr>
          <w:rFonts w:cs="Arial"/>
          <w:lang w:val="fr-FR"/>
        </w:rPr>
        <w:tab/>
        <w:t>Méthode de calcul de la COYU : analyse de l’exercice pratique</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16.</w:t>
      </w:r>
      <w:r w:rsidRPr="0085565C">
        <w:rPr>
          <w:rFonts w:cs="Arial"/>
          <w:lang w:val="fr-FR"/>
        </w:rPr>
        <w:tab/>
        <w:t>Comparaison des méthodes employées pour élaborer des descriptions variétales</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17.</w:t>
      </w:r>
      <w:r w:rsidRPr="0085565C">
        <w:rPr>
          <w:rFonts w:cs="Arial"/>
          <w:lang w:val="fr-FR"/>
        </w:rPr>
        <w:tab/>
        <w:t>Informations sur les échantillons globaux</w:t>
      </w:r>
      <w:r w:rsidRPr="0085565C">
        <w:rPr>
          <w:lang w:val="fr-FR"/>
        </w:rPr>
        <w:t xml:space="preserve"> dans le cadre de </w:t>
      </w:r>
      <w:r w:rsidRPr="0085565C">
        <w:rPr>
          <w:rFonts w:cs="Arial"/>
          <w:lang w:val="fr-FR"/>
        </w:rPr>
        <w:t xml:space="preserve">l’évaluation systématique de la teneur en </w:t>
      </w:r>
      <w:proofErr w:type="spellStart"/>
      <w:r w:rsidRPr="0085565C">
        <w:rPr>
          <w:rFonts w:cs="Arial"/>
          <w:lang w:val="fr-FR"/>
        </w:rPr>
        <w:t>glucoraphanine</w:t>
      </w:r>
      <w:proofErr w:type="spellEnd"/>
      <w:r w:rsidRPr="0085565C">
        <w:rPr>
          <w:rFonts w:cs="Arial"/>
          <w:lang w:val="fr-FR"/>
        </w:rPr>
        <w:t xml:space="preserve"> du brocoli</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18.</w:t>
      </w:r>
      <w:r w:rsidRPr="0085565C">
        <w:rPr>
          <w:rFonts w:cs="Arial"/>
          <w:lang w:val="fr-FR"/>
        </w:rPr>
        <w:tab/>
        <w:t>Matrice de pondération dans le logiciel GAÏA pour le soja</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19.</w:t>
      </w:r>
      <w:r w:rsidRPr="0085565C">
        <w:rPr>
          <w:rFonts w:cs="Arial"/>
          <w:lang w:val="fr-FR"/>
        </w:rPr>
        <w:tab/>
        <w:t>Raisons d’exclure les variétés notoirement connues du second cycle de végétation lorsque l’on applique la méthode COYD</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20.</w:t>
      </w:r>
      <w:r w:rsidRPr="0085565C">
        <w:rPr>
          <w:rFonts w:cs="Arial"/>
          <w:lang w:val="fr-FR"/>
        </w:rPr>
        <w:tab/>
        <w:t>Date et lieu de la prochaine session</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21.</w:t>
      </w:r>
      <w:r w:rsidRPr="0085565C">
        <w:rPr>
          <w:rFonts w:cs="Arial"/>
          <w:lang w:val="fr-FR"/>
        </w:rPr>
        <w:tab/>
        <w:t>Programme futur.</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22.</w:t>
      </w:r>
      <w:r w:rsidRPr="0085565C">
        <w:rPr>
          <w:rFonts w:cs="Arial"/>
          <w:lang w:val="fr-FR"/>
        </w:rPr>
        <w:tab/>
        <w:t>Compte rendu de la session (selon le temps disponible)</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23.</w:t>
      </w:r>
      <w:r w:rsidRPr="0085565C">
        <w:rPr>
          <w:rFonts w:cs="Arial"/>
          <w:lang w:val="fr-FR"/>
        </w:rPr>
        <w:tab/>
        <w:t>Clôture de la session</w:t>
      </w:r>
    </w:p>
    <w:p w:rsidR="00697CEF" w:rsidRPr="0085565C" w:rsidRDefault="00697CEF" w:rsidP="00697CEF">
      <w:pPr>
        <w:autoSpaceDE w:val="0"/>
        <w:autoSpaceDN w:val="0"/>
        <w:adjustRightInd w:val="0"/>
        <w:rPr>
          <w:rFonts w:cs="Arial"/>
          <w:lang w:val="fr-FR"/>
        </w:rPr>
      </w:pPr>
    </w:p>
    <w:p w:rsidR="00697CEF" w:rsidRPr="0085565C" w:rsidRDefault="00697CEF" w:rsidP="00697CEF">
      <w:pPr>
        <w:autoSpaceDE w:val="0"/>
        <w:autoSpaceDN w:val="0"/>
        <w:adjustRightInd w:val="0"/>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L’après</w:t>
      </w:r>
      <w:r w:rsidRPr="0085565C">
        <w:rPr>
          <w:rFonts w:cs="Arial"/>
          <w:lang w:val="fr-FR"/>
        </w:rPr>
        <w:noBreakHyphen/>
        <w:t xml:space="preserve">midi du 4 juin, le TWC a visité la station d’examen de l’Autorité de sécurité alimentaire </w:t>
      </w:r>
      <w:proofErr w:type="spellStart"/>
      <w:r w:rsidRPr="0085565C">
        <w:rPr>
          <w:rFonts w:cs="Arial"/>
          <w:lang w:val="fr-FR"/>
        </w:rPr>
        <w:t>Evira</w:t>
      </w:r>
      <w:proofErr w:type="spellEnd"/>
      <w:r w:rsidRPr="0085565C">
        <w:rPr>
          <w:rFonts w:cs="Arial"/>
          <w:lang w:val="fr-FR"/>
        </w:rPr>
        <w:t xml:space="preserve"> (Finlande) à </w:t>
      </w:r>
      <w:proofErr w:type="spellStart"/>
      <w:r w:rsidRPr="0085565C">
        <w:rPr>
          <w:rFonts w:cs="Arial"/>
          <w:lang w:val="fr-FR"/>
        </w:rPr>
        <w:t>Loimaa</w:t>
      </w:r>
      <w:proofErr w:type="spellEnd"/>
      <w:r w:rsidRPr="0085565C">
        <w:rPr>
          <w:rFonts w:cs="Arial"/>
          <w:lang w:val="fr-FR"/>
        </w:rPr>
        <w:t xml:space="preserve"> et a observé des essais en plein champ portant sur l’orge, le blé, le seigle, le trèfle blanc, le trèfle violet et la fétuque des prés.</w:t>
      </w:r>
    </w:p>
    <w:p w:rsidR="00697CEF" w:rsidRPr="0085565C" w:rsidRDefault="00697CEF" w:rsidP="00697CEF">
      <w:pPr>
        <w:rPr>
          <w:lang w:val="fr-FR"/>
        </w:rPr>
      </w:pPr>
    </w:p>
    <w:p w:rsidR="00697CEF" w:rsidRPr="0085565C" w:rsidRDefault="00697CEF" w:rsidP="00697CEF">
      <w:pPr>
        <w:rPr>
          <w:lang w:val="fr-FR"/>
        </w:rPr>
      </w:pPr>
    </w:p>
    <w:p w:rsidR="00697CEF" w:rsidRPr="0085565C" w:rsidRDefault="00697CEF" w:rsidP="00697CEF">
      <w:pPr>
        <w:pStyle w:val="Heading2"/>
        <w:rPr>
          <w:lang w:val="fr-FR"/>
        </w:rPr>
      </w:pPr>
      <w:bookmarkStart w:id="60" w:name="_Toc428287726"/>
      <w:r w:rsidRPr="0085565C">
        <w:rPr>
          <w:lang w:val="fr-FR"/>
        </w:rPr>
        <w:t>Groupe de travail technique sur les plantes fruitières (TWF)</w:t>
      </w:r>
      <w:bookmarkEnd w:id="60"/>
    </w:p>
    <w:p w:rsidR="00697CEF" w:rsidRPr="0085565C" w:rsidRDefault="00697CEF" w:rsidP="00697CEF">
      <w:pPr>
        <w:keepNext/>
        <w:rPr>
          <w:u w:val="single"/>
          <w:lang w:val="fr-FR"/>
        </w:rPr>
      </w:pPr>
    </w:p>
    <w:p w:rsidR="00697CEF" w:rsidRPr="0085565C" w:rsidRDefault="00697CEF" w:rsidP="00697CEF">
      <w:pPr>
        <w:rPr>
          <w:rFonts w:cstheme="majorHAnsi"/>
          <w:lang w:val="fr-FR"/>
        </w:rPr>
      </w:pPr>
      <w:r w:rsidRPr="0085565C">
        <w:rPr>
          <w:rFonts w:cstheme="majorHAnsi"/>
          <w:lang w:val="fr-FR"/>
        </w:rPr>
        <w:fldChar w:fldCharType="begin"/>
      </w:r>
      <w:r w:rsidRPr="0085565C">
        <w:rPr>
          <w:rFonts w:cstheme="majorHAnsi"/>
          <w:lang w:val="fr-FR"/>
        </w:rPr>
        <w:instrText xml:space="preserve"> AUTONUM  </w:instrText>
      </w:r>
      <w:r w:rsidRPr="0085565C">
        <w:rPr>
          <w:rFonts w:cstheme="majorHAnsi"/>
          <w:lang w:val="fr-FR"/>
        </w:rPr>
        <w:fldChar w:fldCharType="end"/>
      </w:r>
      <w:r w:rsidRPr="0085565C">
        <w:rPr>
          <w:rFonts w:cstheme="majorHAnsi"/>
          <w:lang w:val="fr-FR"/>
        </w:rPr>
        <w:tab/>
        <w:t>Le TWF a tenu sa quarante</w:t>
      </w:r>
      <w:r w:rsidRPr="0085565C">
        <w:rPr>
          <w:rFonts w:cstheme="majorHAnsi"/>
          <w:lang w:val="fr-FR"/>
        </w:rPr>
        <w:noBreakHyphen/>
        <w:t>cinquième session à Marrakech (Maroc) du 26 au 30 mai 2014.  La session a été ouverte par Mme </w:t>
      </w:r>
      <w:proofErr w:type="spellStart"/>
      <w:r w:rsidRPr="0085565C">
        <w:rPr>
          <w:rFonts w:cstheme="majorHAnsi"/>
          <w:lang w:val="fr-FR"/>
        </w:rPr>
        <w:t>Carensa</w:t>
      </w:r>
      <w:proofErr w:type="spellEnd"/>
      <w:r w:rsidRPr="0085565C">
        <w:rPr>
          <w:rFonts w:cstheme="majorHAnsi"/>
          <w:lang w:val="fr-FR"/>
        </w:rPr>
        <w:t> </w:t>
      </w:r>
      <w:proofErr w:type="spellStart"/>
      <w:r w:rsidRPr="0085565C">
        <w:rPr>
          <w:rFonts w:cstheme="majorHAnsi"/>
          <w:lang w:val="fr-FR"/>
        </w:rPr>
        <w:t>Petzer</w:t>
      </w:r>
      <w:proofErr w:type="spellEnd"/>
      <w:r w:rsidRPr="0085565C">
        <w:rPr>
          <w:rFonts w:cstheme="majorHAnsi"/>
          <w:lang w:val="fr-FR"/>
        </w:rPr>
        <w:t xml:space="preserve"> (Afrique du Sud), présidente du TWF.</w:t>
      </w:r>
    </w:p>
    <w:p w:rsidR="00697CEF" w:rsidRPr="0085565C" w:rsidRDefault="00697CEF" w:rsidP="00697CEF">
      <w:pPr>
        <w:rPr>
          <w:rFonts w:cstheme="majorHAnsi"/>
          <w:lang w:val="fr-FR"/>
        </w:rPr>
      </w:pPr>
    </w:p>
    <w:p w:rsidR="00697CEF" w:rsidRPr="0085565C" w:rsidRDefault="00697CEF" w:rsidP="00697CEF">
      <w:pPr>
        <w:rPr>
          <w:rFonts w:cstheme="majorHAnsi"/>
          <w:lang w:val="fr-FR"/>
        </w:rPr>
      </w:pPr>
      <w:r w:rsidRPr="0085565C">
        <w:rPr>
          <w:rFonts w:cstheme="majorHAnsi"/>
          <w:lang w:val="fr-FR"/>
        </w:rPr>
        <w:fldChar w:fldCharType="begin"/>
      </w:r>
      <w:r w:rsidRPr="0085565C">
        <w:rPr>
          <w:rFonts w:cstheme="majorHAnsi"/>
          <w:lang w:val="fr-FR"/>
        </w:rPr>
        <w:instrText xml:space="preserve"> AUTONUM  </w:instrText>
      </w:r>
      <w:r w:rsidRPr="0085565C">
        <w:rPr>
          <w:rFonts w:cstheme="majorHAnsi"/>
          <w:lang w:val="fr-FR"/>
        </w:rPr>
        <w:fldChar w:fldCharType="end"/>
      </w:r>
      <w:r w:rsidRPr="0085565C">
        <w:rPr>
          <w:rFonts w:cstheme="majorHAnsi"/>
          <w:lang w:val="fr-FR"/>
        </w:rPr>
        <w:tab/>
        <w:t>La session du TWF a réuni 39 participants représentant 18 membres de l’Union, 4 États ayant le statut d’observateur et 2 organisations ayant le statut d’observateur.  L’atelier préparatoire a réuni 17 participants représentant neuf membres de l’Union et 3 États ayant le statut d’observateur.</w:t>
      </w:r>
    </w:p>
    <w:p w:rsidR="00697CEF" w:rsidRPr="0085565C" w:rsidRDefault="00697CEF" w:rsidP="00697CEF">
      <w:pPr>
        <w:rPr>
          <w:rFonts w:cstheme="majorHAnsi"/>
          <w:lang w:val="fr-FR"/>
        </w:rPr>
      </w:pPr>
    </w:p>
    <w:p w:rsidR="00697CEF" w:rsidRPr="0085565C" w:rsidRDefault="00697CEF" w:rsidP="00697CEF">
      <w:pPr>
        <w:rPr>
          <w:rFonts w:cstheme="majorHAnsi"/>
          <w:lang w:val="fr-FR"/>
        </w:rPr>
      </w:pPr>
      <w:r w:rsidRPr="0085565C">
        <w:rPr>
          <w:rFonts w:cstheme="majorHAnsi"/>
          <w:lang w:val="fr-FR"/>
        </w:rPr>
        <w:lastRenderedPageBreak/>
        <w:fldChar w:fldCharType="begin"/>
      </w:r>
      <w:r w:rsidRPr="0085565C">
        <w:rPr>
          <w:rFonts w:cstheme="majorHAnsi"/>
          <w:lang w:val="fr-FR"/>
        </w:rPr>
        <w:instrText xml:space="preserve"> AUTONUM  </w:instrText>
      </w:r>
      <w:r w:rsidRPr="0085565C">
        <w:rPr>
          <w:rFonts w:cstheme="majorHAnsi"/>
          <w:lang w:val="fr-FR"/>
        </w:rPr>
        <w:fldChar w:fldCharType="end"/>
      </w:r>
      <w:r w:rsidRPr="0085565C">
        <w:rPr>
          <w:rFonts w:cstheme="majorHAnsi"/>
          <w:lang w:val="fr-FR"/>
        </w:rPr>
        <w:tab/>
        <w:t>M. Mohammed </w:t>
      </w:r>
      <w:proofErr w:type="spellStart"/>
      <w:r w:rsidRPr="0085565C">
        <w:rPr>
          <w:rFonts w:cstheme="majorHAnsi"/>
          <w:lang w:val="fr-FR"/>
        </w:rPr>
        <w:t>Sadiki</w:t>
      </w:r>
      <w:proofErr w:type="spellEnd"/>
      <w:r w:rsidRPr="0085565C">
        <w:rPr>
          <w:rFonts w:cstheme="majorHAnsi"/>
          <w:lang w:val="fr-FR"/>
        </w:rPr>
        <w:t xml:space="preserve">, secrétaire général, Ministère de l’Agriculture et de la Pêche Maritime du Maroc, et M. Amar </w:t>
      </w:r>
      <w:proofErr w:type="spellStart"/>
      <w:r w:rsidRPr="0085565C">
        <w:rPr>
          <w:rFonts w:cstheme="majorHAnsi"/>
          <w:lang w:val="fr-FR"/>
        </w:rPr>
        <w:t>Tahiri</w:t>
      </w:r>
      <w:proofErr w:type="spellEnd"/>
      <w:r w:rsidRPr="0085565C">
        <w:rPr>
          <w:rFonts w:cstheme="majorHAnsi"/>
          <w:lang w:val="fr-FR"/>
        </w:rPr>
        <w:t xml:space="preserve">, Chef de la Division du contrôle des semences et plants, Office National de Sécurité sanitaire des Produits alimentaires (ONSSA) ont souhaité la bienvenue aux participants.  M. Amar </w:t>
      </w:r>
      <w:proofErr w:type="spellStart"/>
      <w:r w:rsidRPr="0085565C">
        <w:rPr>
          <w:rFonts w:cstheme="majorHAnsi"/>
          <w:lang w:val="fr-FR"/>
        </w:rPr>
        <w:t>Tahiri</w:t>
      </w:r>
      <w:proofErr w:type="spellEnd"/>
      <w:r w:rsidRPr="0085565C">
        <w:rPr>
          <w:rFonts w:cstheme="majorHAnsi"/>
          <w:lang w:val="fr-FR"/>
        </w:rPr>
        <w:t xml:space="preserve"> a présenté un exposé sur la protection des variétés végétales au Maroc.</w:t>
      </w:r>
    </w:p>
    <w:p w:rsidR="00697CEF" w:rsidRPr="0085565C" w:rsidRDefault="00697CEF" w:rsidP="00697CEF">
      <w:pPr>
        <w:rPr>
          <w:rFonts w:cstheme="majorHAnsi"/>
          <w:lang w:val="fr-FR"/>
        </w:rPr>
      </w:pPr>
    </w:p>
    <w:p w:rsidR="00697CEF" w:rsidRPr="0085565C" w:rsidRDefault="00697CEF" w:rsidP="00697CEF">
      <w:pPr>
        <w:rPr>
          <w:rFonts w:cstheme="majorHAnsi"/>
          <w:lang w:val="fr-FR"/>
        </w:rPr>
      </w:pPr>
      <w:r w:rsidRPr="0085565C">
        <w:rPr>
          <w:rFonts w:cstheme="majorHAnsi"/>
          <w:lang w:val="fr-FR"/>
        </w:rPr>
        <w:fldChar w:fldCharType="begin"/>
      </w:r>
      <w:r w:rsidRPr="0085565C">
        <w:rPr>
          <w:rFonts w:cstheme="majorHAnsi"/>
          <w:lang w:val="fr-FR"/>
        </w:rPr>
        <w:instrText xml:space="preserve"> AUTONUM  </w:instrText>
      </w:r>
      <w:r w:rsidRPr="0085565C">
        <w:rPr>
          <w:rFonts w:cstheme="majorHAnsi"/>
          <w:lang w:val="fr-FR"/>
        </w:rPr>
        <w:fldChar w:fldCharType="end"/>
      </w:r>
      <w:r w:rsidRPr="0085565C">
        <w:rPr>
          <w:rFonts w:cstheme="majorHAnsi"/>
          <w:lang w:val="fr-FR"/>
        </w:rPr>
        <w:tab/>
        <w:t>Le TWF a examiné les propositions relatives aux moyens possibles d’améliorer l’efficacité des TWP et des ateliers préparatoires et a formulé des commentaires, qui figurent au paragraphe 9 du document TWF/45/32 “Report”.</w:t>
      </w:r>
    </w:p>
    <w:p w:rsidR="00697CEF" w:rsidRPr="0085565C" w:rsidRDefault="00697CEF" w:rsidP="00697CEF">
      <w:pPr>
        <w:rPr>
          <w:rFonts w:cstheme="majorHAnsi"/>
          <w:lang w:val="fr-FR"/>
        </w:rPr>
      </w:pPr>
    </w:p>
    <w:p w:rsidR="00697CEF" w:rsidRPr="0085565C" w:rsidRDefault="00697CEF" w:rsidP="00697CEF">
      <w:pPr>
        <w:rPr>
          <w:rFonts w:cstheme="majorHAnsi"/>
          <w:lang w:val="fr-FR"/>
        </w:rPr>
      </w:pPr>
      <w:r w:rsidRPr="0085565C">
        <w:rPr>
          <w:rFonts w:cstheme="majorHAnsi"/>
          <w:lang w:val="fr-FR"/>
        </w:rPr>
        <w:fldChar w:fldCharType="begin"/>
      </w:r>
      <w:r w:rsidRPr="0085565C">
        <w:rPr>
          <w:rFonts w:cstheme="majorHAnsi"/>
          <w:lang w:val="fr-FR"/>
        </w:rPr>
        <w:instrText xml:space="preserve"> AUTONUM  </w:instrText>
      </w:r>
      <w:r w:rsidRPr="0085565C">
        <w:rPr>
          <w:rFonts w:cstheme="majorHAnsi"/>
          <w:lang w:val="fr-FR"/>
        </w:rPr>
        <w:fldChar w:fldCharType="end"/>
      </w:r>
      <w:r w:rsidRPr="0085565C">
        <w:rPr>
          <w:rFonts w:cstheme="majorHAnsi"/>
          <w:lang w:val="fr-FR"/>
        </w:rPr>
        <w:tab/>
        <w:t xml:space="preserve">Le TWF a examiné le document TWF/45/27 “The duration of DUS test in the fruit </w:t>
      </w:r>
      <w:proofErr w:type="spellStart"/>
      <w:r w:rsidRPr="0085565C">
        <w:rPr>
          <w:rFonts w:cstheme="majorHAnsi"/>
          <w:lang w:val="fr-FR"/>
        </w:rPr>
        <w:t>sector</w:t>
      </w:r>
      <w:proofErr w:type="spellEnd"/>
      <w:r w:rsidRPr="0085565C">
        <w:rPr>
          <w:rFonts w:cstheme="majorHAnsi"/>
          <w:lang w:val="fr-FR"/>
        </w:rPr>
        <w:t>” et a suivi un exposé d’un expert de l’Union européenne sur un projet de l’Office communautaire des variétés végétales (OCVV) de l’Union européenne concernant la “Réduction du nombre de périodes d’observation obligatoires dans l’examen DHS de variétés candidates dans le secteur des plantes fruitières”.  Le TWF a demandé aux experts principaux de proposer un texte approprié pour la durée minimale et le nombre de cycles de végétation à ajouter à leur projet de principes directeurs d’examen en 2015 et à l’expert de l’Union européenne de dresser la liste des options établies par les experts principaux et de s’efforcer d’élaborer de nouvelles options éventuelles de texte standard.</w:t>
      </w:r>
    </w:p>
    <w:p w:rsidR="00697CEF" w:rsidRPr="0085565C" w:rsidRDefault="00697CEF" w:rsidP="00697CEF">
      <w:pPr>
        <w:rPr>
          <w:rFonts w:cstheme="majorHAnsi"/>
          <w:lang w:val="fr-FR"/>
        </w:rPr>
      </w:pPr>
    </w:p>
    <w:p w:rsidR="00697CEF" w:rsidRPr="0085565C" w:rsidRDefault="00697CEF" w:rsidP="00697CEF">
      <w:pPr>
        <w:rPr>
          <w:rFonts w:cstheme="majorHAnsi"/>
          <w:lang w:val="fr-FR"/>
        </w:rPr>
      </w:pPr>
      <w:r w:rsidRPr="0085565C">
        <w:rPr>
          <w:rFonts w:cstheme="majorHAnsi"/>
          <w:lang w:val="fr-FR"/>
        </w:rPr>
        <w:fldChar w:fldCharType="begin"/>
      </w:r>
      <w:r w:rsidRPr="0085565C">
        <w:rPr>
          <w:rFonts w:cstheme="majorHAnsi"/>
          <w:lang w:val="fr-FR"/>
        </w:rPr>
        <w:instrText xml:space="preserve"> AUTONUM  </w:instrText>
      </w:r>
      <w:r w:rsidRPr="0085565C">
        <w:rPr>
          <w:rFonts w:cstheme="majorHAnsi"/>
          <w:lang w:val="fr-FR"/>
        </w:rPr>
        <w:fldChar w:fldCharType="end"/>
      </w:r>
      <w:r w:rsidRPr="0085565C">
        <w:rPr>
          <w:rFonts w:cstheme="majorHAnsi"/>
          <w:lang w:val="fr-FR"/>
        </w:rPr>
        <w:tab/>
        <w:t>Le TWF a suivi un exposé présenté par les experts de l’Allemagne et de la Nouvelle</w:t>
      </w:r>
      <w:r w:rsidRPr="0085565C">
        <w:rPr>
          <w:rFonts w:cstheme="majorHAnsi"/>
          <w:lang w:val="fr-FR"/>
        </w:rPr>
        <w:noBreakHyphen/>
        <w:t>Zélande sur les travaux réalisés précédemment sur l’harmonisation des descriptions variétales de la pomme pour un ensemble convenu de variétés, qui figure dans le document TWF/45/28.  Le TWF a reçu des informations d’un expert de l’Union européenne concernant un projet de test d’étalonnage pour le pommier aux fins de la gestion des descriptions variétales, qui sera lancé en 2015.  Le projet aura pour objet d’identifier la cause des différences entre les descriptions variétales en Europe lorsque des variétés voisines et le même porte</w:t>
      </w:r>
      <w:r w:rsidRPr="0085565C">
        <w:rPr>
          <w:rFonts w:cstheme="majorHAnsi"/>
          <w:lang w:val="fr-FR"/>
        </w:rPr>
        <w:noBreakHyphen/>
        <w:t>greffe sont utilisés.  Le TWF a demandé à un expert de l’Union européenne de faire rapport sur l’état d’avancement de ce projet à sa quarante</w:t>
      </w:r>
      <w:r w:rsidRPr="0085565C">
        <w:rPr>
          <w:rFonts w:cstheme="majorHAnsi"/>
          <w:lang w:val="fr-FR"/>
        </w:rPr>
        <w:noBreakHyphen/>
        <w:t>sixième session</w:t>
      </w:r>
    </w:p>
    <w:p w:rsidR="00697CEF" w:rsidRPr="0085565C" w:rsidRDefault="00697CEF" w:rsidP="00697CEF">
      <w:pPr>
        <w:rPr>
          <w:rFonts w:cstheme="majorHAnsi"/>
          <w:lang w:val="fr-FR"/>
        </w:rPr>
      </w:pPr>
    </w:p>
    <w:p w:rsidR="00697CEF" w:rsidRPr="0085565C" w:rsidRDefault="00697CEF" w:rsidP="00697CEF">
      <w:pPr>
        <w:rPr>
          <w:rFonts w:cstheme="majorHAnsi"/>
          <w:lang w:val="fr-FR"/>
        </w:rPr>
      </w:pPr>
      <w:r w:rsidRPr="0085565C">
        <w:rPr>
          <w:rFonts w:cstheme="majorHAnsi"/>
          <w:lang w:val="fr-FR"/>
        </w:rPr>
        <w:fldChar w:fldCharType="begin"/>
      </w:r>
      <w:r w:rsidRPr="0085565C">
        <w:rPr>
          <w:rFonts w:cstheme="majorHAnsi"/>
          <w:lang w:val="fr-FR"/>
        </w:rPr>
        <w:instrText xml:space="preserve"> AUTONUM  </w:instrText>
      </w:r>
      <w:r w:rsidRPr="0085565C">
        <w:rPr>
          <w:rFonts w:cstheme="majorHAnsi"/>
          <w:lang w:val="fr-FR"/>
        </w:rPr>
        <w:fldChar w:fldCharType="end"/>
      </w:r>
      <w:r w:rsidRPr="0085565C">
        <w:rPr>
          <w:rFonts w:cstheme="majorHAnsi"/>
          <w:lang w:val="fr-FR"/>
        </w:rPr>
        <w:tab/>
        <w:t>Le TWF a examiné le document TWF/45/2 “Techniques moléculaires”.  Le TWF a également suivi un exposé présenté par l’expert de la France sur l’étude concernant les techniques moléculaires et l’examen DHS réalisée par le Groupe d’étude et de contrôle des variétés et des semences (GEVES).  Au cours de cet exposé, l’expert a expliqué comment ces techniques sont utilisées en France notamment aux fins de la détection de gènes de résistance, et aussi sur les arbres fruitiers.  Le TWF est convenu qu’il serait utile de disposer de plus d’informations concernant l’utilisation de techniques moléculaires dans l’examen DHS et, à cet égard, a invité les experts de l’Espagne à fournir des renseignements sur l’utilisation faite de ces outils par l’</w:t>
      </w:r>
      <w:proofErr w:type="spellStart"/>
      <w:r w:rsidRPr="0085565C">
        <w:rPr>
          <w:rFonts w:cstheme="majorHAnsi"/>
          <w:lang w:val="fr-FR"/>
        </w:rPr>
        <w:t>Oficina</w:t>
      </w:r>
      <w:proofErr w:type="spellEnd"/>
      <w:r w:rsidRPr="0085565C">
        <w:rPr>
          <w:rFonts w:cstheme="majorHAnsi"/>
          <w:lang w:val="fr-FR"/>
        </w:rPr>
        <w:t xml:space="preserve"> </w:t>
      </w:r>
      <w:proofErr w:type="spellStart"/>
      <w:r w:rsidRPr="0085565C">
        <w:rPr>
          <w:rFonts w:cstheme="majorHAnsi"/>
          <w:lang w:val="fr-FR"/>
        </w:rPr>
        <w:t>Española</w:t>
      </w:r>
      <w:proofErr w:type="spellEnd"/>
      <w:r w:rsidRPr="0085565C">
        <w:rPr>
          <w:rFonts w:cstheme="majorHAnsi"/>
          <w:lang w:val="fr-FR"/>
        </w:rPr>
        <w:t xml:space="preserve"> de </w:t>
      </w:r>
      <w:proofErr w:type="spellStart"/>
      <w:r w:rsidRPr="0085565C">
        <w:rPr>
          <w:rFonts w:cstheme="majorHAnsi"/>
          <w:lang w:val="fr-FR"/>
        </w:rPr>
        <w:t>Variedades</w:t>
      </w:r>
      <w:proofErr w:type="spellEnd"/>
      <w:r w:rsidRPr="0085565C">
        <w:rPr>
          <w:rFonts w:cstheme="majorHAnsi"/>
          <w:lang w:val="fr-FR"/>
        </w:rPr>
        <w:t xml:space="preserve"> </w:t>
      </w:r>
      <w:proofErr w:type="spellStart"/>
      <w:r w:rsidRPr="0085565C">
        <w:rPr>
          <w:rFonts w:cstheme="majorHAnsi"/>
          <w:lang w:val="fr-FR"/>
        </w:rPr>
        <w:t>Vegetales</w:t>
      </w:r>
      <w:proofErr w:type="spellEnd"/>
      <w:r w:rsidRPr="0085565C">
        <w:rPr>
          <w:rFonts w:cstheme="majorHAnsi"/>
          <w:lang w:val="fr-FR"/>
        </w:rPr>
        <w:t xml:space="preserve"> (OEVV).  Le TWF a également invité d’autres participants à présenter leur expérience relative à l’utilisation des techniques biochimiques et moléculaires dans le domaine des plantes fruitières à la session du TWF en 2015.</w:t>
      </w:r>
    </w:p>
    <w:p w:rsidR="00697CEF" w:rsidRPr="0085565C" w:rsidRDefault="00697CEF" w:rsidP="00697CEF">
      <w:pPr>
        <w:rPr>
          <w:rFonts w:cstheme="majorHAnsi"/>
          <w:lang w:val="fr-FR"/>
        </w:rPr>
      </w:pPr>
    </w:p>
    <w:p w:rsidR="00697CEF" w:rsidRPr="0085565C" w:rsidRDefault="00697CEF" w:rsidP="00697CEF">
      <w:pPr>
        <w:rPr>
          <w:rFonts w:cstheme="majorHAnsi"/>
          <w:lang w:val="fr-FR"/>
        </w:rPr>
      </w:pPr>
      <w:r w:rsidRPr="0085565C">
        <w:rPr>
          <w:rFonts w:cstheme="majorHAnsi"/>
          <w:lang w:val="fr-FR"/>
        </w:rPr>
        <w:fldChar w:fldCharType="begin"/>
      </w:r>
      <w:r w:rsidRPr="0085565C">
        <w:rPr>
          <w:rFonts w:cstheme="majorHAnsi"/>
          <w:lang w:val="fr-FR"/>
        </w:rPr>
        <w:instrText xml:space="preserve"> AUTONUM  </w:instrText>
      </w:r>
      <w:r w:rsidRPr="0085565C">
        <w:rPr>
          <w:rFonts w:cstheme="majorHAnsi"/>
          <w:lang w:val="fr-FR"/>
        </w:rPr>
        <w:fldChar w:fldCharType="end"/>
      </w:r>
      <w:r w:rsidRPr="0085565C">
        <w:rPr>
          <w:rFonts w:cstheme="majorHAnsi"/>
          <w:lang w:val="fr-FR"/>
        </w:rPr>
        <w:tab/>
        <w:t>Le TWF a suivi un exposé présenté par M. Jean Maison (Union européenne), coordonnateur de ce sous</w:t>
      </w:r>
      <w:r w:rsidRPr="0085565C">
        <w:rPr>
          <w:rFonts w:cstheme="majorHAnsi"/>
          <w:lang w:val="fr-FR"/>
        </w:rPr>
        <w:noBreakHyphen/>
        <w:t>groupe, qui figure dans le document TWF/45/31 </w:t>
      </w:r>
      <w:proofErr w:type="spellStart"/>
      <w:r w:rsidRPr="0085565C">
        <w:rPr>
          <w:rFonts w:cstheme="majorHAnsi"/>
          <w:lang w:val="fr-FR"/>
        </w:rPr>
        <w:t>Rev</w:t>
      </w:r>
      <w:proofErr w:type="spellEnd"/>
      <w:r w:rsidRPr="0085565C">
        <w:rPr>
          <w:rFonts w:cstheme="majorHAnsi"/>
          <w:lang w:val="fr-FR"/>
        </w:rPr>
        <w:t xml:space="preserve">. “Partial </w:t>
      </w:r>
      <w:proofErr w:type="spellStart"/>
      <w:r w:rsidRPr="0085565C">
        <w:rPr>
          <w:rFonts w:cstheme="majorHAnsi"/>
          <w:lang w:val="fr-FR"/>
        </w:rPr>
        <w:t>Revision</w:t>
      </w:r>
      <w:proofErr w:type="spellEnd"/>
      <w:r w:rsidRPr="0085565C">
        <w:rPr>
          <w:rFonts w:cstheme="majorHAnsi"/>
          <w:lang w:val="fr-FR"/>
        </w:rPr>
        <w:t xml:space="preserve"> of the Test Guidelines for Mandarins”.  L’expert principal a présenté la proposition portant sur une révision partielle des principes directeurs d’examen pour le mandarinier.  Le TWF est convenu de modifier le caractère 25 “Anthère : pollen viable”.</w:t>
      </w:r>
    </w:p>
    <w:p w:rsidR="00697CEF" w:rsidRPr="0085565C" w:rsidRDefault="00697CEF" w:rsidP="00697CEF">
      <w:pPr>
        <w:rPr>
          <w:rFonts w:cstheme="majorHAnsi"/>
          <w:lang w:val="fr-FR"/>
        </w:rPr>
      </w:pPr>
    </w:p>
    <w:p w:rsidR="00697CEF" w:rsidRPr="0085565C" w:rsidRDefault="00697CEF" w:rsidP="00697CEF">
      <w:pPr>
        <w:rPr>
          <w:rFonts w:cstheme="majorHAnsi"/>
          <w:lang w:val="fr-FR"/>
        </w:rPr>
      </w:pPr>
      <w:r w:rsidRPr="0085565C">
        <w:rPr>
          <w:rFonts w:cstheme="majorHAnsi"/>
          <w:lang w:val="fr-FR"/>
        </w:rPr>
        <w:fldChar w:fldCharType="begin"/>
      </w:r>
      <w:r w:rsidRPr="0085565C">
        <w:rPr>
          <w:rFonts w:cstheme="majorHAnsi"/>
          <w:lang w:val="fr-FR"/>
        </w:rPr>
        <w:instrText xml:space="preserve"> AUTONUM  </w:instrText>
      </w:r>
      <w:r w:rsidRPr="0085565C">
        <w:rPr>
          <w:rFonts w:cstheme="majorHAnsi"/>
          <w:lang w:val="fr-FR"/>
        </w:rPr>
        <w:fldChar w:fldCharType="end"/>
      </w:r>
      <w:r w:rsidRPr="0085565C">
        <w:rPr>
          <w:rFonts w:cstheme="majorHAnsi"/>
          <w:lang w:val="fr-FR"/>
        </w:rPr>
        <w:tab/>
        <w:t>Le TWF a examiné le document TWF/45/12 “Révision du document TGP/7 : Matériel végétal soumis pour examen”.  Le TWF a examiné les exemples présentés par les experts de l’Union européenne et de l’Allemagne sur leurs expériences concernant le matériel végétal soumis pour examen et les solutions qui avaient été élaborées pour résoudre les problèmes rencontrés.</w:t>
      </w:r>
      <w:r w:rsidRPr="0085565C">
        <w:rPr>
          <w:lang w:val="fr-FR"/>
        </w:rPr>
        <w:t xml:space="preserve">  </w:t>
      </w:r>
      <w:r w:rsidRPr="0085565C">
        <w:rPr>
          <w:rFonts w:cstheme="majorHAnsi"/>
          <w:lang w:val="fr-FR"/>
        </w:rPr>
        <w:t>Concernant l’examen d’espèces fruitières, le TWF a noté que l’effet de “</w:t>
      </w:r>
      <w:proofErr w:type="spellStart"/>
      <w:r w:rsidRPr="0085565C">
        <w:rPr>
          <w:rFonts w:cstheme="majorHAnsi"/>
          <w:lang w:val="fr-FR"/>
        </w:rPr>
        <w:t>cyclophyse</w:t>
      </w:r>
      <w:proofErr w:type="spellEnd"/>
      <w:r w:rsidRPr="0085565C">
        <w:rPr>
          <w:rFonts w:cstheme="majorHAnsi"/>
          <w:lang w:val="fr-FR"/>
        </w:rPr>
        <w:t>”, c’est</w:t>
      </w:r>
      <w:r w:rsidRPr="0085565C">
        <w:rPr>
          <w:rFonts w:cstheme="majorHAnsi"/>
          <w:lang w:val="fr-FR"/>
        </w:rPr>
        <w:noBreakHyphen/>
        <w:t>à</w:t>
      </w:r>
      <w:r w:rsidRPr="0085565C">
        <w:rPr>
          <w:rFonts w:cstheme="majorHAnsi"/>
          <w:lang w:val="fr-FR"/>
        </w:rPr>
        <w:noBreakHyphen/>
        <w:t>dire l’influence de l’endroit où le scion est prélevé sur la plante mère, en raison des différents degrés de maturité, pouvait avoir un effet spécifique sur l’expression d’un caractère particulier.  Par exemple, si le matériel de greffe est prélevé sur des arbres plus anciens pour produire de jeunes arbres en vue de les comparer avec les plantes d’une variété candidate du même âge, la jeune greffe produira immédiatement des inflorescences qu’il conviendra de retirer durant la période de mise en place afin de permettre la production d’un véritable arbre, doté d’une flèche centrale à laquelle se rattachent un nombre suffisant de pousses latérales.</w:t>
      </w:r>
    </w:p>
    <w:p w:rsidR="00697CEF" w:rsidRPr="0085565C" w:rsidRDefault="00697CEF" w:rsidP="00697CEF">
      <w:pPr>
        <w:rPr>
          <w:rFonts w:cstheme="majorHAnsi"/>
          <w:lang w:val="fr-FR"/>
        </w:rPr>
      </w:pPr>
    </w:p>
    <w:p w:rsidR="00697CEF" w:rsidRPr="0085565C" w:rsidRDefault="00697CEF" w:rsidP="00697CEF">
      <w:pPr>
        <w:rPr>
          <w:rFonts w:cstheme="majorHAnsi"/>
          <w:lang w:val="fr-FR"/>
        </w:rPr>
      </w:pPr>
      <w:r w:rsidRPr="0085565C">
        <w:rPr>
          <w:rFonts w:cstheme="majorHAnsi"/>
          <w:lang w:val="fr-FR"/>
        </w:rPr>
        <w:fldChar w:fldCharType="begin"/>
      </w:r>
      <w:r w:rsidRPr="0085565C">
        <w:rPr>
          <w:rFonts w:cstheme="majorHAnsi"/>
          <w:lang w:val="fr-FR"/>
        </w:rPr>
        <w:instrText xml:space="preserve"> AUTONUM  </w:instrText>
      </w:r>
      <w:r w:rsidRPr="0085565C">
        <w:rPr>
          <w:rFonts w:cstheme="majorHAnsi"/>
          <w:lang w:val="fr-FR"/>
        </w:rPr>
        <w:fldChar w:fldCharType="end"/>
      </w:r>
      <w:r w:rsidRPr="0085565C">
        <w:rPr>
          <w:rFonts w:cstheme="majorHAnsi"/>
          <w:lang w:val="fr-FR"/>
        </w:rPr>
        <w:tab/>
        <w:t xml:space="preserve">Le TWF a noté les mesures prises pour éviter l’influence de la méthode de reproduction ou de multiplication sur les résultats de l’examen DHS pour certaines plantes dans l’Union européenne et en Allemagne.  Il a également noté que, dans le cas de la myrtille et de la vigne, le matériel végétal issu de tissu </w:t>
      </w:r>
      <w:proofErr w:type="spellStart"/>
      <w:r w:rsidRPr="0085565C">
        <w:rPr>
          <w:rFonts w:cstheme="majorHAnsi"/>
          <w:lang w:val="fr-FR"/>
        </w:rPr>
        <w:t>méristématique</w:t>
      </w:r>
      <w:proofErr w:type="spellEnd"/>
      <w:r w:rsidRPr="0085565C">
        <w:rPr>
          <w:rFonts w:cstheme="majorHAnsi"/>
          <w:lang w:val="fr-FR"/>
        </w:rPr>
        <w:t xml:space="preserve"> ne pouvait pas être accepté pour examen en raison du risque de variation </w:t>
      </w:r>
      <w:proofErr w:type="spellStart"/>
      <w:r w:rsidRPr="0085565C">
        <w:rPr>
          <w:rFonts w:cstheme="majorHAnsi"/>
          <w:lang w:val="fr-FR"/>
        </w:rPr>
        <w:t>somaclonale</w:t>
      </w:r>
      <w:proofErr w:type="spellEnd"/>
      <w:r w:rsidRPr="0085565C">
        <w:rPr>
          <w:rFonts w:cstheme="majorHAnsi"/>
          <w:lang w:val="fr-FR"/>
        </w:rPr>
        <w:t>.  Le TWF est convenu que les services chargés de recevoir le matériel végétal pour examen devraient donner des conseils sur les conditions applicables au matériel soumis tels que la qualité et l’âge.</w:t>
      </w:r>
    </w:p>
    <w:p w:rsidR="00697CEF" w:rsidRPr="0085565C" w:rsidRDefault="00697CEF" w:rsidP="00697CEF">
      <w:pPr>
        <w:rPr>
          <w:rFonts w:cstheme="majorHAnsi"/>
          <w:lang w:val="fr-FR"/>
        </w:rPr>
      </w:pPr>
    </w:p>
    <w:p w:rsidR="00697CEF" w:rsidRPr="0085565C" w:rsidRDefault="00697CEF" w:rsidP="00697CEF">
      <w:pPr>
        <w:rPr>
          <w:rFonts w:cstheme="majorHAnsi"/>
          <w:lang w:val="fr-FR"/>
        </w:rPr>
      </w:pPr>
      <w:r w:rsidRPr="0085565C">
        <w:rPr>
          <w:rFonts w:cstheme="majorHAnsi"/>
          <w:lang w:val="fr-FR"/>
        </w:rPr>
        <w:lastRenderedPageBreak/>
        <w:fldChar w:fldCharType="begin"/>
      </w:r>
      <w:r w:rsidRPr="0085565C">
        <w:rPr>
          <w:rFonts w:cstheme="majorHAnsi"/>
          <w:lang w:val="fr-FR"/>
        </w:rPr>
        <w:instrText xml:space="preserve"> AUTONUM  </w:instrText>
      </w:r>
      <w:r w:rsidRPr="0085565C">
        <w:rPr>
          <w:rFonts w:cstheme="majorHAnsi"/>
          <w:lang w:val="fr-FR"/>
        </w:rPr>
        <w:fldChar w:fldCharType="end"/>
      </w:r>
      <w:r w:rsidRPr="0085565C">
        <w:rPr>
          <w:rFonts w:cstheme="majorHAnsi"/>
          <w:lang w:val="fr-FR"/>
        </w:rPr>
        <w:tab/>
        <w:t>Le TWF est convenu que les principes directeurs d’examen ci</w:t>
      </w:r>
      <w:r w:rsidRPr="0085565C">
        <w:rPr>
          <w:rFonts w:cstheme="majorHAnsi"/>
          <w:lang w:val="fr-FR"/>
        </w:rPr>
        <w:noBreakHyphen/>
        <w:t xml:space="preserve">après devraient être soumis au TC pour adoption : </w:t>
      </w:r>
      <w:proofErr w:type="spellStart"/>
      <w:r w:rsidRPr="0085565C">
        <w:rPr>
          <w:rFonts w:cstheme="majorHAnsi"/>
          <w:lang w:val="fr-FR"/>
        </w:rPr>
        <w:t>acca</w:t>
      </w:r>
      <w:proofErr w:type="spellEnd"/>
      <w:r w:rsidRPr="0085565C">
        <w:rPr>
          <w:rFonts w:cstheme="majorHAnsi"/>
          <w:lang w:val="fr-FR"/>
        </w:rPr>
        <w:t>, porte</w:t>
      </w:r>
      <w:r w:rsidRPr="0085565C">
        <w:rPr>
          <w:rFonts w:cstheme="majorHAnsi"/>
          <w:lang w:val="fr-FR"/>
        </w:rPr>
        <w:noBreakHyphen/>
        <w:t>greffe de pommier, mandarines et noix de pécan.  Le TWF est convenu d’examiner 12 projets de principes directeurs d’examen à sa quarante</w:t>
      </w:r>
      <w:r w:rsidRPr="0085565C">
        <w:rPr>
          <w:rFonts w:cstheme="majorHAnsi"/>
          <w:lang w:val="fr-FR"/>
        </w:rPr>
        <w:noBreakHyphen/>
        <w:t>sixième session.</w:t>
      </w:r>
    </w:p>
    <w:p w:rsidR="00697CEF" w:rsidRPr="0085565C" w:rsidRDefault="00697CEF" w:rsidP="00697CEF">
      <w:pPr>
        <w:rPr>
          <w:rFonts w:cstheme="majorHAnsi"/>
          <w:lang w:val="fr-FR"/>
        </w:rPr>
      </w:pPr>
    </w:p>
    <w:p w:rsidR="00697CEF" w:rsidRPr="0085565C" w:rsidRDefault="00697CEF" w:rsidP="00697CEF">
      <w:pPr>
        <w:rPr>
          <w:rFonts w:cstheme="majorHAnsi"/>
          <w:lang w:val="fr-FR"/>
        </w:rPr>
      </w:pPr>
      <w:r w:rsidRPr="0085565C">
        <w:rPr>
          <w:rFonts w:cstheme="majorHAnsi"/>
          <w:lang w:val="fr-FR"/>
        </w:rPr>
        <w:fldChar w:fldCharType="begin"/>
      </w:r>
      <w:r w:rsidRPr="0085565C">
        <w:rPr>
          <w:rFonts w:cstheme="majorHAnsi"/>
          <w:lang w:val="fr-FR"/>
        </w:rPr>
        <w:instrText xml:space="preserve"> AUTONUM  </w:instrText>
      </w:r>
      <w:r w:rsidRPr="0085565C">
        <w:rPr>
          <w:rFonts w:cstheme="majorHAnsi"/>
          <w:lang w:val="fr-FR"/>
        </w:rPr>
        <w:fldChar w:fldCharType="end"/>
      </w:r>
      <w:r w:rsidRPr="0085565C">
        <w:rPr>
          <w:rFonts w:cstheme="majorHAnsi"/>
          <w:lang w:val="fr-FR"/>
        </w:rPr>
        <w:tab/>
        <w:t>À l’invitation de l’Afrique du Sud, le TWF est convenu de tenir sa quarante</w:t>
      </w:r>
      <w:r w:rsidRPr="0085565C">
        <w:rPr>
          <w:rFonts w:cstheme="majorHAnsi"/>
          <w:lang w:val="fr-FR"/>
        </w:rPr>
        <w:noBreakHyphen/>
        <w:t>sixième session à Mpumalanga (Afrique du Sud), du 24 au 28 août 2015, un atelier préparatoire étant prévu le 23 août 2015.</w:t>
      </w:r>
    </w:p>
    <w:p w:rsidR="00697CEF" w:rsidRPr="0085565C" w:rsidRDefault="00697CEF" w:rsidP="00697CEF">
      <w:pPr>
        <w:rPr>
          <w:rFonts w:cstheme="majorHAnsi"/>
          <w:lang w:val="fr-FR"/>
        </w:rPr>
      </w:pPr>
    </w:p>
    <w:p w:rsidR="00697CEF" w:rsidRPr="0085565C" w:rsidRDefault="00697CEF" w:rsidP="00697CEF">
      <w:pPr>
        <w:rPr>
          <w:rFonts w:cstheme="majorHAnsi"/>
          <w:lang w:val="fr-FR"/>
        </w:rPr>
      </w:pPr>
      <w:r w:rsidRPr="0085565C">
        <w:rPr>
          <w:rFonts w:cstheme="majorHAnsi"/>
          <w:lang w:val="fr-FR"/>
        </w:rPr>
        <w:fldChar w:fldCharType="begin"/>
      </w:r>
      <w:r w:rsidRPr="0085565C">
        <w:rPr>
          <w:rFonts w:cstheme="majorHAnsi"/>
          <w:lang w:val="fr-FR"/>
        </w:rPr>
        <w:instrText xml:space="preserve"> AUTONUM  </w:instrText>
      </w:r>
      <w:r w:rsidRPr="0085565C">
        <w:rPr>
          <w:rFonts w:cstheme="majorHAnsi"/>
          <w:lang w:val="fr-FR"/>
        </w:rPr>
        <w:fldChar w:fldCharType="end"/>
      </w:r>
      <w:r w:rsidRPr="0085565C">
        <w:rPr>
          <w:rFonts w:cstheme="majorHAnsi"/>
          <w:lang w:val="fr-FR"/>
        </w:rPr>
        <w:tab/>
        <w:t>Le TWF a proposé d’examiner les points suivants à cette session :</w:t>
      </w:r>
    </w:p>
    <w:p w:rsidR="00697CEF" w:rsidRPr="0085565C" w:rsidRDefault="00697CEF" w:rsidP="00697CEF">
      <w:pPr>
        <w:rPr>
          <w:rFonts w:cstheme="majorHAnsi"/>
          <w:lang w:val="fr-FR"/>
        </w:rPr>
      </w:pP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1.</w:t>
      </w:r>
      <w:r w:rsidRPr="0085565C">
        <w:rPr>
          <w:rFonts w:cs="Arial"/>
          <w:lang w:val="fr-FR"/>
        </w:rPr>
        <w:tab/>
        <w:t>Ouverture de la session</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2.</w:t>
      </w:r>
      <w:r w:rsidRPr="0085565C">
        <w:rPr>
          <w:rFonts w:cs="Arial"/>
          <w:lang w:val="fr-FR"/>
        </w:rPr>
        <w:tab/>
        <w:t>Adoption de l’ordre du jour</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3.</w:t>
      </w:r>
      <w:r w:rsidRPr="0085565C">
        <w:rPr>
          <w:rFonts w:cs="Arial"/>
          <w:lang w:val="fr-FR"/>
        </w:rPr>
        <w:tab/>
        <w:t>Rapports succincts sur l’évolution de la situation en matière de protection des obtentions végétales :</w:t>
      </w:r>
    </w:p>
    <w:p w:rsidR="00697CEF" w:rsidRPr="0085565C" w:rsidRDefault="00697CEF" w:rsidP="00697CEF">
      <w:pPr>
        <w:tabs>
          <w:tab w:val="num" w:pos="1134"/>
        </w:tabs>
        <w:spacing w:before="20" w:afterLines="20" w:after="48"/>
        <w:ind w:left="1134"/>
        <w:rPr>
          <w:rFonts w:cs="Arial"/>
          <w:lang w:val="fr-FR"/>
        </w:rPr>
      </w:pPr>
      <w:r w:rsidRPr="0085565C">
        <w:rPr>
          <w:rFonts w:cs="Arial"/>
          <w:lang w:val="fr-FR"/>
        </w:rPr>
        <w:t>a)</w:t>
      </w:r>
      <w:r w:rsidRPr="0085565C">
        <w:rPr>
          <w:rFonts w:cs="Arial"/>
          <w:lang w:val="fr-FR"/>
        </w:rPr>
        <w:tab/>
        <w:t>Rapports des membres et des observateurs</w:t>
      </w:r>
    </w:p>
    <w:p w:rsidR="00697CEF" w:rsidRPr="0085565C" w:rsidRDefault="00697CEF" w:rsidP="00697CEF">
      <w:pPr>
        <w:tabs>
          <w:tab w:val="num" w:pos="1134"/>
        </w:tabs>
        <w:spacing w:before="20" w:afterLines="20" w:after="48"/>
        <w:ind w:left="1134"/>
        <w:rPr>
          <w:rFonts w:cs="Arial"/>
          <w:lang w:val="fr-FR"/>
        </w:rPr>
      </w:pPr>
      <w:r w:rsidRPr="0085565C">
        <w:rPr>
          <w:rFonts w:cs="Arial"/>
          <w:lang w:val="fr-FR"/>
        </w:rPr>
        <w:t>b)</w:t>
      </w:r>
      <w:r w:rsidRPr="0085565C">
        <w:rPr>
          <w:rFonts w:cs="Arial"/>
          <w:lang w:val="fr-FR"/>
        </w:rPr>
        <w:tab/>
        <w:t>Rapports sur les faits nouveaux intervenus à l’UPOV</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 xml:space="preserve">4.  </w:t>
      </w:r>
      <w:r w:rsidRPr="0085565C">
        <w:rPr>
          <w:rFonts w:cs="Arial"/>
          <w:lang w:val="fr-FR"/>
        </w:rPr>
        <w:tab/>
        <w:t>Amélioration de l’efficacité du Comité technique, des groupes de travail techniques et des ateliers préparatoires</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5.</w:t>
      </w:r>
      <w:r w:rsidRPr="0085565C">
        <w:rPr>
          <w:rFonts w:cs="Arial"/>
          <w:lang w:val="fr-FR"/>
        </w:rPr>
        <w:tab/>
        <w:t>Techniques moléculaires</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6.</w:t>
      </w:r>
      <w:r w:rsidRPr="0085565C">
        <w:rPr>
          <w:rFonts w:cs="Arial"/>
          <w:lang w:val="fr-FR"/>
        </w:rPr>
        <w:tab/>
        <w:t>Documents TGP</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7.</w:t>
      </w:r>
      <w:r w:rsidRPr="0085565C">
        <w:rPr>
          <w:rFonts w:cs="Arial"/>
          <w:lang w:val="fr-FR"/>
        </w:rPr>
        <w:tab/>
        <w:t>Dénominations variétales</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8.</w:t>
      </w:r>
      <w:r w:rsidRPr="0085565C">
        <w:rPr>
          <w:rFonts w:cs="Arial"/>
          <w:lang w:val="fr-FR"/>
        </w:rPr>
        <w:tab/>
        <w:t>Information et bases de données</w:t>
      </w:r>
    </w:p>
    <w:p w:rsidR="00697CEF" w:rsidRPr="0085565C" w:rsidRDefault="00697CEF" w:rsidP="00697CEF">
      <w:pPr>
        <w:tabs>
          <w:tab w:val="num" w:pos="1134"/>
        </w:tabs>
        <w:spacing w:before="20" w:afterLines="20" w:after="48"/>
        <w:ind w:left="1134"/>
        <w:rPr>
          <w:rFonts w:cs="Arial"/>
          <w:lang w:val="fr-FR"/>
        </w:rPr>
      </w:pPr>
      <w:r w:rsidRPr="0085565C">
        <w:rPr>
          <w:rFonts w:cs="Arial"/>
          <w:lang w:val="fr-FR"/>
        </w:rPr>
        <w:t>a)</w:t>
      </w:r>
      <w:r w:rsidRPr="0085565C">
        <w:rPr>
          <w:rFonts w:cs="Arial"/>
          <w:lang w:val="fr-FR"/>
        </w:rPr>
        <w:tab/>
        <w:t>Base de données d’information de l’UPOV</w:t>
      </w:r>
    </w:p>
    <w:p w:rsidR="00697CEF" w:rsidRPr="0085565C" w:rsidRDefault="00697CEF" w:rsidP="00697CEF">
      <w:pPr>
        <w:tabs>
          <w:tab w:val="num" w:pos="1134"/>
        </w:tabs>
        <w:spacing w:before="20" w:afterLines="20" w:after="48"/>
        <w:ind w:left="1134"/>
        <w:rPr>
          <w:rFonts w:cs="Arial"/>
          <w:lang w:val="fr-FR"/>
        </w:rPr>
      </w:pPr>
      <w:r w:rsidRPr="0085565C">
        <w:rPr>
          <w:rFonts w:cs="Arial"/>
          <w:lang w:val="fr-FR"/>
        </w:rPr>
        <w:t>b)</w:t>
      </w:r>
      <w:r w:rsidRPr="0085565C">
        <w:rPr>
          <w:rFonts w:cs="Arial"/>
          <w:lang w:val="fr-FR"/>
        </w:rPr>
        <w:tab/>
        <w:t>Bases de données sur les descriptions variétales</w:t>
      </w:r>
    </w:p>
    <w:p w:rsidR="00697CEF" w:rsidRPr="0085565C" w:rsidRDefault="00697CEF" w:rsidP="00697CEF">
      <w:pPr>
        <w:tabs>
          <w:tab w:val="num" w:pos="1134"/>
        </w:tabs>
        <w:spacing w:before="20" w:afterLines="20" w:after="48"/>
        <w:ind w:left="1134"/>
        <w:rPr>
          <w:rFonts w:cs="Arial"/>
          <w:lang w:val="fr-FR"/>
        </w:rPr>
      </w:pPr>
      <w:r w:rsidRPr="0085565C">
        <w:rPr>
          <w:rFonts w:cs="Arial"/>
          <w:lang w:val="fr-FR"/>
        </w:rPr>
        <w:t>c)</w:t>
      </w:r>
      <w:r w:rsidRPr="0085565C">
        <w:rPr>
          <w:rFonts w:cs="Arial"/>
          <w:lang w:val="fr-FR"/>
        </w:rPr>
        <w:tab/>
        <w:t>Logiciels échangeables</w:t>
      </w:r>
    </w:p>
    <w:p w:rsidR="00697CEF" w:rsidRPr="0085565C" w:rsidRDefault="00697CEF" w:rsidP="00697CEF">
      <w:pPr>
        <w:tabs>
          <w:tab w:val="num" w:pos="1134"/>
        </w:tabs>
        <w:spacing w:before="20" w:afterLines="20" w:after="48"/>
        <w:ind w:left="1134"/>
        <w:rPr>
          <w:rFonts w:cs="Arial"/>
          <w:lang w:val="fr-FR"/>
        </w:rPr>
      </w:pPr>
      <w:r w:rsidRPr="0085565C">
        <w:rPr>
          <w:rFonts w:cs="Arial"/>
          <w:lang w:val="fr-FR"/>
        </w:rPr>
        <w:t>d)</w:t>
      </w:r>
      <w:r w:rsidRPr="0085565C">
        <w:rPr>
          <w:rFonts w:cs="Arial"/>
          <w:lang w:val="fr-FR"/>
        </w:rPr>
        <w:tab/>
        <w:t>Systèmes de dépôt électronique des demandes</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9.</w:t>
      </w:r>
      <w:r w:rsidRPr="0085565C">
        <w:rPr>
          <w:rFonts w:cs="Arial"/>
          <w:lang w:val="fr-FR"/>
        </w:rPr>
        <w:tab/>
        <w:t>Évaluation de l’homogénéité</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10.</w:t>
      </w:r>
      <w:r w:rsidRPr="0085565C">
        <w:rPr>
          <w:rFonts w:cs="Arial"/>
          <w:lang w:val="fr-FR"/>
        </w:rPr>
        <w:tab/>
        <w:t>Expériences de nouveaux types et espèces</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11.</w:t>
      </w:r>
      <w:r w:rsidRPr="0085565C">
        <w:rPr>
          <w:rFonts w:cs="Arial"/>
          <w:lang w:val="fr-FR"/>
        </w:rPr>
        <w:tab/>
        <w:t>Gestion des collections de variétés aux fins de l’examen DHS</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12.</w:t>
      </w:r>
      <w:r w:rsidRPr="0085565C">
        <w:rPr>
          <w:rFonts w:cs="Arial"/>
          <w:lang w:val="fr-FR"/>
        </w:rPr>
        <w:tab/>
        <w:t>Durée des examens DHS dans le secteur des fruits</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 xml:space="preserve">13.  </w:t>
      </w:r>
      <w:r w:rsidRPr="0085565C">
        <w:rPr>
          <w:rFonts w:cs="Arial"/>
          <w:lang w:val="fr-FR"/>
        </w:rPr>
        <w:tab/>
        <w:t>Variétés harmonisées indiquées à titre d’exemples pour le pommier : données historiques et faits nouveaux éventuels</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14.</w:t>
      </w:r>
      <w:r w:rsidRPr="0085565C">
        <w:rPr>
          <w:rFonts w:cs="Arial"/>
          <w:lang w:val="fr-FR"/>
        </w:rPr>
        <w:tab/>
        <w:t>Questions en suspens concernant les principes directeurs d’examen adoptés par le Comité technique</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 xml:space="preserve">15.  </w:t>
      </w:r>
      <w:r w:rsidRPr="0085565C">
        <w:rPr>
          <w:rFonts w:cs="Arial"/>
          <w:lang w:val="fr-FR"/>
        </w:rPr>
        <w:tab/>
        <w:t>Propositions relatives à des révisions partielles ou des corrections des principes directeurs d’examen</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16.</w:t>
      </w:r>
      <w:r w:rsidRPr="0085565C">
        <w:rPr>
          <w:rFonts w:cs="Arial"/>
          <w:lang w:val="fr-FR"/>
        </w:rPr>
        <w:tab/>
        <w:t>Examen des projets de principes directeurs d’examen (sous</w:t>
      </w:r>
      <w:r w:rsidRPr="0085565C">
        <w:rPr>
          <w:rFonts w:cs="Arial"/>
          <w:lang w:val="fr-FR"/>
        </w:rPr>
        <w:noBreakHyphen/>
        <w:t>groupes)</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17.</w:t>
      </w:r>
      <w:r w:rsidRPr="0085565C">
        <w:rPr>
          <w:rFonts w:cs="Arial"/>
          <w:lang w:val="fr-FR"/>
        </w:rPr>
        <w:tab/>
        <w:t>Recommandations concernant les projets de principes directeurs d’examen</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18.</w:t>
      </w:r>
      <w:r w:rsidRPr="0085565C">
        <w:rPr>
          <w:rFonts w:cs="Arial"/>
          <w:lang w:val="fr-FR"/>
        </w:rPr>
        <w:tab/>
        <w:t>Orientations pour les rédacteurs de principes directeurs d’examen</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19.</w:t>
      </w:r>
      <w:r w:rsidRPr="0085565C">
        <w:rPr>
          <w:rFonts w:cs="Arial"/>
          <w:lang w:val="fr-FR"/>
        </w:rPr>
        <w:tab/>
        <w:t>Date et lieu de la prochaine session</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20.</w:t>
      </w:r>
      <w:r w:rsidRPr="0085565C">
        <w:rPr>
          <w:rFonts w:cs="Arial"/>
          <w:lang w:val="fr-FR"/>
        </w:rPr>
        <w:tab/>
        <w:t>Programme futur.</w:t>
      </w:r>
    </w:p>
    <w:p w:rsidR="00697CEF" w:rsidRPr="0085565C" w:rsidRDefault="00697CEF" w:rsidP="00165DC7">
      <w:pPr>
        <w:keepNext/>
        <w:tabs>
          <w:tab w:val="num" w:pos="1134"/>
        </w:tabs>
        <w:spacing w:before="20" w:afterLines="20" w:after="48"/>
        <w:ind w:left="1134" w:hanging="567"/>
        <w:rPr>
          <w:rFonts w:cs="Arial"/>
          <w:lang w:val="fr-FR"/>
        </w:rPr>
      </w:pPr>
      <w:r w:rsidRPr="0085565C">
        <w:rPr>
          <w:rFonts w:cs="Arial"/>
          <w:lang w:val="fr-FR"/>
        </w:rPr>
        <w:t>21.</w:t>
      </w:r>
      <w:r w:rsidRPr="0085565C">
        <w:rPr>
          <w:rFonts w:cs="Arial"/>
          <w:lang w:val="fr-FR"/>
        </w:rPr>
        <w:tab/>
        <w:t>Adoption du compte rendu de la session (selon le temps disponible)</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22.</w:t>
      </w:r>
      <w:r w:rsidRPr="0085565C">
        <w:rPr>
          <w:rFonts w:cs="Arial"/>
          <w:lang w:val="fr-FR"/>
        </w:rPr>
        <w:tab/>
        <w:t>Clôture de la session</w:t>
      </w:r>
    </w:p>
    <w:p w:rsidR="00697CEF" w:rsidRPr="0085565C" w:rsidRDefault="00697CEF" w:rsidP="00697CEF">
      <w:pPr>
        <w:rPr>
          <w:rFonts w:cstheme="majorHAnsi"/>
          <w:lang w:val="fr-FR"/>
        </w:rPr>
      </w:pPr>
    </w:p>
    <w:p w:rsidR="00697CEF" w:rsidRPr="0085565C" w:rsidRDefault="00697CEF" w:rsidP="00697CEF">
      <w:pPr>
        <w:rPr>
          <w:rFonts w:cstheme="majorHAnsi"/>
          <w:lang w:val="fr-FR"/>
        </w:rPr>
      </w:pPr>
      <w:r w:rsidRPr="0085565C">
        <w:rPr>
          <w:rFonts w:cstheme="majorHAnsi"/>
          <w:lang w:val="fr-FR"/>
        </w:rPr>
        <w:fldChar w:fldCharType="begin"/>
      </w:r>
      <w:r w:rsidRPr="0085565C">
        <w:rPr>
          <w:rFonts w:cstheme="majorHAnsi"/>
          <w:lang w:val="fr-FR"/>
        </w:rPr>
        <w:instrText xml:space="preserve"> AUTONUM  </w:instrText>
      </w:r>
      <w:r w:rsidRPr="0085565C">
        <w:rPr>
          <w:rFonts w:cstheme="majorHAnsi"/>
          <w:lang w:val="fr-FR"/>
        </w:rPr>
        <w:fldChar w:fldCharType="end"/>
      </w:r>
      <w:r w:rsidRPr="0085565C">
        <w:rPr>
          <w:rFonts w:cstheme="majorHAnsi"/>
          <w:lang w:val="fr-FR"/>
        </w:rPr>
        <w:tab/>
        <w:t xml:space="preserve">Le 29 mai, le TWF a visité le Domaine </w:t>
      </w:r>
      <w:proofErr w:type="spellStart"/>
      <w:r w:rsidRPr="0085565C">
        <w:rPr>
          <w:rFonts w:cstheme="majorHAnsi"/>
          <w:lang w:val="fr-FR"/>
        </w:rPr>
        <w:t>Tabouhanit</w:t>
      </w:r>
      <w:proofErr w:type="spellEnd"/>
      <w:r w:rsidRPr="0085565C">
        <w:rPr>
          <w:rFonts w:cstheme="majorHAnsi"/>
          <w:lang w:val="fr-FR"/>
        </w:rPr>
        <w:t>, un verger de 425 hectares à proximité de Marrakech où sont cultivés des agrumes (principalement des oranges, des citrons et des clémentines), des nectarines, des olives et des vignes.  Le TWF a été accueilli par M. Ben </w:t>
      </w:r>
      <w:proofErr w:type="spellStart"/>
      <w:r w:rsidRPr="0085565C">
        <w:rPr>
          <w:rFonts w:cstheme="majorHAnsi"/>
          <w:lang w:val="fr-FR"/>
        </w:rPr>
        <w:t>Arirou</w:t>
      </w:r>
      <w:proofErr w:type="spellEnd"/>
      <w:r w:rsidRPr="0085565C">
        <w:rPr>
          <w:rFonts w:cstheme="majorHAnsi"/>
          <w:lang w:val="fr-FR"/>
        </w:rPr>
        <w:t> </w:t>
      </w:r>
      <w:proofErr w:type="spellStart"/>
      <w:r w:rsidRPr="0085565C">
        <w:rPr>
          <w:rFonts w:cstheme="majorHAnsi"/>
          <w:lang w:val="fr-FR"/>
        </w:rPr>
        <w:t>Lahcen</w:t>
      </w:r>
      <w:proofErr w:type="spellEnd"/>
      <w:r w:rsidRPr="0085565C">
        <w:rPr>
          <w:rFonts w:cstheme="majorHAnsi"/>
          <w:lang w:val="fr-FR"/>
        </w:rPr>
        <w:t xml:space="preserve">, le gérant du verger.  Le TWF a également visité la Pépinière </w:t>
      </w:r>
      <w:proofErr w:type="spellStart"/>
      <w:r w:rsidRPr="0085565C">
        <w:rPr>
          <w:rFonts w:cstheme="majorHAnsi"/>
          <w:lang w:val="fr-FR"/>
        </w:rPr>
        <w:t>Essnoussi</w:t>
      </w:r>
      <w:proofErr w:type="spellEnd"/>
      <w:r w:rsidRPr="0085565C">
        <w:rPr>
          <w:rFonts w:cstheme="majorHAnsi"/>
          <w:lang w:val="fr-FR"/>
        </w:rPr>
        <w:t>, créée par M. </w:t>
      </w:r>
      <w:proofErr w:type="spellStart"/>
      <w:r w:rsidRPr="0085565C">
        <w:rPr>
          <w:rFonts w:cstheme="majorHAnsi"/>
          <w:lang w:val="fr-FR"/>
        </w:rPr>
        <w:t>Essnoussi</w:t>
      </w:r>
      <w:proofErr w:type="spellEnd"/>
      <w:r w:rsidRPr="0085565C">
        <w:rPr>
          <w:rFonts w:cstheme="majorHAnsi"/>
          <w:lang w:val="fr-FR"/>
        </w:rPr>
        <w:t xml:space="preserve"> et gérée par son fils, Noureddine </w:t>
      </w:r>
      <w:proofErr w:type="spellStart"/>
      <w:r w:rsidRPr="0085565C">
        <w:rPr>
          <w:rFonts w:cstheme="majorHAnsi"/>
          <w:lang w:val="fr-FR"/>
        </w:rPr>
        <w:t>Essnoussi</w:t>
      </w:r>
      <w:proofErr w:type="spellEnd"/>
      <w:r w:rsidRPr="0085565C">
        <w:rPr>
          <w:rFonts w:cstheme="majorHAnsi"/>
          <w:lang w:val="fr-FR"/>
        </w:rPr>
        <w:t>, qui a accueilli le TWF.  La pépinière cultive des plants certifiés d’oliviers et d’amandiers, ainsi que des plantules de caroubier et de grenadier.  Le propriétaire a expliqué quelle procédure était suivie pour produire des plants certifiés.  Le TWF a visité le Laboratoire de biochimie végétale du Centre régional de l’Institut National de Recherche Agronomique (INRA) à Marrakech.  Il a été accueilli par M. Mohamed </w:t>
      </w:r>
      <w:proofErr w:type="spellStart"/>
      <w:r w:rsidRPr="0085565C">
        <w:rPr>
          <w:rFonts w:cstheme="majorHAnsi"/>
          <w:lang w:val="fr-FR"/>
        </w:rPr>
        <w:t>Anjarne</w:t>
      </w:r>
      <w:proofErr w:type="spellEnd"/>
      <w:r w:rsidRPr="0085565C">
        <w:rPr>
          <w:rFonts w:cstheme="majorHAnsi"/>
          <w:lang w:val="fr-FR"/>
        </w:rPr>
        <w:t>, vice</w:t>
      </w:r>
      <w:r w:rsidRPr="0085565C">
        <w:rPr>
          <w:rFonts w:cstheme="majorHAnsi"/>
          <w:lang w:val="fr-FR"/>
        </w:rPr>
        <w:noBreakHyphen/>
        <w:t>directeur, qui a expliqué que le Laboratoire était principalement chargé de multiplier le palmier dattier en utilisant des techniques d’organogénèse (embryogenèse somatique et techniques de floraison utilisées pour la recherche) et de mettre en œuvre le programme d’amélioration aux fins de résistance aux maladies.</w:t>
      </w:r>
    </w:p>
    <w:p w:rsidR="00697CEF" w:rsidRPr="0085565C" w:rsidRDefault="00697CEF" w:rsidP="00697CEF">
      <w:pPr>
        <w:rPr>
          <w:rFonts w:cstheme="majorHAnsi"/>
          <w:lang w:val="fr-FR"/>
        </w:rPr>
      </w:pPr>
    </w:p>
    <w:p w:rsidR="00697CEF" w:rsidRPr="0085565C" w:rsidRDefault="00697CEF" w:rsidP="00697CEF">
      <w:pPr>
        <w:autoSpaceDE w:val="0"/>
        <w:autoSpaceDN w:val="0"/>
        <w:adjustRightInd w:val="0"/>
        <w:rPr>
          <w:rFonts w:cs="Arial"/>
          <w:lang w:val="fr-FR"/>
        </w:rPr>
      </w:pPr>
      <w:r w:rsidRPr="0085565C">
        <w:rPr>
          <w:rFonts w:cs="Arial"/>
          <w:lang w:val="fr-FR"/>
        </w:rPr>
        <w:lastRenderedPageBreak/>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Une médaille de bronze de l’UPOV a été décernée à Mme </w:t>
      </w:r>
      <w:proofErr w:type="spellStart"/>
      <w:r w:rsidRPr="0085565C">
        <w:rPr>
          <w:rFonts w:cs="Arial"/>
          <w:lang w:val="fr-FR"/>
        </w:rPr>
        <w:t>Carensa</w:t>
      </w:r>
      <w:proofErr w:type="spellEnd"/>
      <w:r w:rsidRPr="0085565C">
        <w:rPr>
          <w:rFonts w:cs="Arial"/>
          <w:lang w:val="fr-FR"/>
        </w:rPr>
        <w:t> </w:t>
      </w:r>
      <w:proofErr w:type="spellStart"/>
      <w:r w:rsidRPr="0085565C">
        <w:rPr>
          <w:rFonts w:cs="Arial"/>
          <w:lang w:val="fr-FR"/>
        </w:rPr>
        <w:t>Petzer</w:t>
      </w:r>
      <w:proofErr w:type="spellEnd"/>
      <w:r w:rsidRPr="0085565C">
        <w:rPr>
          <w:rFonts w:cs="Arial"/>
          <w:lang w:val="fr-FR"/>
        </w:rPr>
        <w:t xml:space="preserve"> pour la remercier d’avoir présidé le TWF de 2012 à 2014.</w:t>
      </w:r>
    </w:p>
    <w:p w:rsidR="00697CEF" w:rsidRPr="0085565C" w:rsidRDefault="00697CEF" w:rsidP="00697CEF">
      <w:pPr>
        <w:autoSpaceDE w:val="0"/>
        <w:autoSpaceDN w:val="0"/>
        <w:adjustRightInd w:val="0"/>
        <w:rPr>
          <w:rFonts w:cs="Arial"/>
          <w:lang w:val="fr-FR"/>
        </w:rPr>
      </w:pPr>
    </w:p>
    <w:p w:rsidR="00697CEF" w:rsidRPr="0085565C" w:rsidRDefault="00697CEF" w:rsidP="00697CEF">
      <w:pPr>
        <w:rPr>
          <w:rFonts w:cstheme="majorHAnsi"/>
          <w:lang w:val="fr-FR"/>
        </w:rPr>
      </w:pPr>
    </w:p>
    <w:p w:rsidR="00697CEF" w:rsidRPr="0085565C" w:rsidRDefault="00697CEF" w:rsidP="00697CEF">
      <w:pPr>
        <w:pStyle w:val="Heading2"/>
        <w:rPr>
          <w:lang w:val="fr-FR"/>
        </w:rPr>
      </w:pPr>
      <w:bookmarkStart w:id="61" w:name="_Toc428287727"/>
      <w:r w:rsidRPr="0085565C">
        <w:rPr>
          <w:lang w:val="fr-FR"/>
        </w:rPr>
        <w:t>Groupe de travail technique sur les plantes ornementales et les arbres forestiers (TWO)</w:t>
      </w:r>
      <w:bookmarkEnd w:id="61"/>
    </w:p>
    <w:p w:rsidR="00697CEF" w:rsidRPr="0085565C" w:rsidRDefault="00697CEF" w:rsidP="00697CEF">
      <w:pPr>
        <w:pStyle w:val="Heading2"/>
        <w:rPr>
          <w:lang w:val="fr-FR"/>
        </w:rPr>
      </w:pPr>
    </w:p>
    <w:p w:rsidR="00697CEF" w:rsidRPr="0085565C" w:rsidRDefault="00697CEF" w:rsidP="00697CEF">
      <w:pPr>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Le TWO a tenu sa quarante</w:t>
      </w:r>
      <w:r w:rsidRPr="0085565C">
        <w:rPr>
          <w:rFonts w:cs="Arial"/>
          <w:lang w:val="fr-FR"/>
        </w:rPr>
        <w:noBreakHyphen/>
        <w:t xml:space="preserve">septième session à </w:t>
      </w:r>
      <w:proofErr w:type="spellStart"/>
      <w:r w:rsidRPr="0085565C">
        <w:rPr>
          <w:rFonts w:cs="Arial"/>
          <w:lang w:val="fr-FR"/>
        </w:rPr>
        <w:t>Naivasha</w:t>
      </w:r>
      <w:proofErr w:type="spellEnd"/>
      <w:r w:rsidRPr="0085565C">
        <w:rPr>
          <w:rFonts w:cs="Arial"/>
          <w:lang w:val="fr-FR"/>
        </w:rPr>
        <w:t xml:space="preserve"> (Kenya) du 19 au 23 mai 2014, sous la présidence de M. Nik Hulse (Australie), président du TWO.  Le compte rendu détaillé de la session fait l’objet du document TWO/47/28.</w:t>
      </w:r>
    </w:p>
    <w:p w:rsidR="00697CEF" w:rsidRPr="0085565C" w:rsidRDefault="00697CEF" w:rsidP="00697CEF">
      <w:pPr>
        <w:rPr>
          <w:rFonts w:cs="Arial"/>
          <w:lang w:val="fr-FR"/>
        </w:rPr>
      </w:pPr>
    </w:p>
    <w:p w:rsidR="00697CEF" w:rsidRPr="0085565C" w:rsidRDefault="00697CEF" w:rsidP="00697CEF">
      <w:pPr>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La session du TWO a réuni 45 participants représentant 16 membres de l’Union, 3 États ayant le statut d’observateur et 1 organisation ayant le statut d’observateur.  L’atelier préparatoire, tenu dans la matinée du 18 mai, a réuni 40 participants.</w:t>
      </w:r>
    </w:p>
    <w:p w:rsidR="00697CEF" w:rsidRPr="0085565C" w:rsidRDefault="00697CEF" w:rsidP="00697CEF">
      <w:pPr>
        <w:rPr>
          <w:rFonts w:cs="Arial"/>
          <w:lang w:val="fr-FR"/>
        </w:rPr>
      </w:pPr>
    </w:p>
    <w:p w:rsidR="00697CEF" w:rsidRPr="0085565C" w:rsidRDefault="00697CEF" w:rsidP="00697CEF">
      <w:pPr>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M. James </w:t>
      </w:r>
      <w:proofErr w:type="spellStart"/>
      <w:r w:rsidRPr="0085565C">
        <w:rPr>
          <w:rFonts w:cs="Arial"/>
          <w:lang w:val="fr-FR"/>
        </w:rPr>
        <w:t>Onsando</w:t>
      </w:r>
      <w:proofErr w:type="spellEnd"/>
      <w:r w:rsidRPr="0085565C">
        <w:rPr>
          <w:rFonts w:cs="Arial"/>
          <w:lang w:val="fr-FR"/>
        </w:rPr>
        <w:t xml:space="preserve">, directeur général du Service </w:t>
      </w:r>
      <w:proofErr w:type="spellStart"/>
      <w:r w:rsidRPr="0085565C">
        <w:rPr>
          <w:rFonts w:cs="Arial"/>
          <w:lang w:val="fr-FR"/>
        </w:rPr>
        <w:t>kenyen</w:t>
      </w:r>
      <w:proofErr w:type="spellEnd"/>
      <w:r w:rsidRPr="0085565C">
        <w:rPr>
          <w:rFonts w:cs="Arial"/>
          <w:lang w:val="fr-FR"/>
        </w:rPr>
        <w:t xml:space="preserve"> d’inspection phytosanitaire (KEPHIS), a souhaité la bienvenue aux participants du TWO et a présenté un exposé sur la situation en matière de protection des obtentions végétales au Kenya.  Mme Jane </w:t>
      </w:r>
      <w:proofErr w:type="spellStart"/>
      <w:r w:rsidRPr="0085565C">
        <w:rPr>
          <w:rFonts w:cs="Arial"/>
          <w:lang w:val="fr-FR"/>
        </w:rPr>
        <w:t>Ngige</w:t>
      </w:r>
      <w:proofErr w:type="spellEnd"/>
      <w:r w:rsidRPr="0085565C">
        <w:rPr>
          <w:rFonts w:cs="Arial"/>
          <w:lang w:val="fr-FR"/>
        </w:rPr>
        <w:t>, secrétaire générale du Kenya Flower Council, a également souhaité la bienvenue aux participants et a présenté un exposé sur le Kenya Flower Council.</w:t>
      </w:r>
    </w:p>
    <w:p w:rsidR="00697CEF" w:rsidRPr="0085565C" w:rsidRDefault="00697CEF" w:rsidP="00697CEF">
      <w:pPr>
        <w:rPr>
          <w:rFonts w:cs="Arial"/>
          <w:lang w:val="fr-FR"/>
        </w:rPr>
      </w:pPr>
    </w:p>
    <w:p w:rsidR="00697CEF" w:rsidRPr="0085565C" w:rsidRDefault="00697CEF" w:rsidP="00697CEF">
      <w:pPr>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Le TWO a examiné le document TWO/47/11 consacré à l’amélioration de l’efficacité du Comité technique, des groupes de travail techniques et des ateliers préparatoires, et a formulé des observations au sujet des propositions concernant les moyens possibles de renforcer l’efficacité des groupes de travail et des ateliers préparatoires.  Le TWO est convenu que les ateliers électroniques, y compris l’utilisation du modèle des principes directeurs d’examen fondé sur le Web et les conseils relatifs à la présentation de ces principes, devraient être enregistrés et être mis à disposition sur le site Web de l’UPOV, et être répétés pendant les ateliers préparatoires afin d’améliorer la préparation des principes directeurs d’examen et la présentation de ces principes aux TWP par l’expert principal.</w:t>
      </w:r>
    </w:p>
    <w:p w:rsidR="00697CEF" w:rsidRPr="0085565C" w:rsidRDefault="00697CEF" w:rsidP="00697CEF">
      <w:pPr>
        <w:rPr>
          <w:rFonts w:cs="Arial"/>
          <w:lang w:val="fr-FR"/>
        </w:rPr>
      </w:pPr>
    </w:p>
    <w:p w:rsidR="00697CEF" w:rsidRPr="0085565C" w:rsidRDefault="00697CEF" w:rsidP="00697CEF">
      <w:pPr>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 xml:space="preserve">Le TWO a examiné le document TWA/43/12, concernant la </w:t>
      </w:r>
      <w:proofErr w:type="spellStart"/>
      <w:r w:rsidRPr="0085565C">
        <w:rPr>
          <w:rFonts w:cs="Arial"/>
          <w:lang w:val="fr-FR"/>
        </w:rPr>
        <w:t>revision</w:t>
      </w:r>
      <w:proofErr w:type="spellEnd"/>
      <w:r w:rsidRPr="0085565C">
        <w:rPr>
          <w:rFonts w:cs="Arial"/>
          <w:lang w:val="fr-FR"/>
        </w:rPr>
        <w:t xml:space="preserve"> du document TGP/7 : Matériel végétal soumis pour examen.</w:t>
      </w:r>
      <w:r w:rsidRPr="0085565C">
        <w:rPr>
          <w:lang w:val="fr-FR"/>
        </w:rPr>
        <w:t xml:space="preserve">  </w:t>
      </w:r>
      <w:r w:rsidRPr="0085565C">
        <w:rPr>
          <w:rFonts w:cs="Arial"/>
          <w:lang w:val="fr-FR"/>
        </w:rPr>
        <w:t>Le TWO a écouté les exposés présentés par les experts de l’Union européenne et des Pays</w:t>
      </w:r>
      <w:r w:rsidRPr="0085565C">
        <w:rPr>
          <w:rFonts w:cs="Arial"/>
          <w:lang w:val="fr-FR"/>
        </w:rPr>
        <w:noBreakHyphen/>
        <w:t>Bas sur leurs expériences concernant le matériel végétal soumis pour examen et les solutions qui avaient été élaborées pour résoudre les problèmes rencontrés.</w:t>
      </w:r>
      <w:r w:rsidRPr="0085565C">
        <w:rPr>
          <w:lang w:val="fr-FR"/>
        </w:rPr>
        <w:t xml:space="preserve">  </w:t>
      </w:r>
      <w:r w:rsidRPr="0085565C">
        <w:rPr>
          <w:rFonts w:cs="Arial"/>
          <w:lang w:val="fr-FR"/>
        </w:rPr>
        <w:t>Il a noté que ces exposés seraient reproduits dans un additif au document TWO/47/12.  Le TWO est convenu que les services chargés de recevoir le matériel végétal pour examen devraient élaborer des orientations concernant les conditions applicables au matériel soumis tels que la qualité et l’âge.</w:t>
      </w:r>
    </w:p>
    <w:p w:rsidR="00697CEF" w:rsidRPr="0085565C" w:rsidRDefault="00697CEF" w:rsidP="00697CEF">
      <w:pPr>
        <w:rPr>
          <w:rFonts w:cs="Arial"/>
          <w:lang w:val="fr-FR"/>
        </w:rPr>
      </w:pPr>
    </w:p>
    <w:p w:rsidR="00697CEF" w:rsidRPr="0085565C" w:rsidRDefault="00697CEF" w:rsidP="00697CEF">
      <w:pPr>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Le TWO a examiné le document TWO/47/13 “Révision du document TGP/7 : Portée des principes directeurs” et est convenu que la méthode n° 3 “indiquer le type de reproduction ou de multiplication existant et anticiper les évolutions futures” constituait l’orientation la plus appropriée pour les principes directeurs d’examen qui sont élaborés sur la base de variétés ayant un type de reproduction ou de multiplication lorsque des variétés peuvent être mises au point dans l’avenir avec d’autres types de reproduction ou de multiplication.</w:t>
      </w:r>
    </w:p>
    <w:p w:rsidR="00697CEF" w:rsidRPr="0085565C" w:rsidRDefault="00697CEF" w:rsidP="00697CEF">
      <w:pPr>
        <w:rPr>
          <w:rFonts w:cs="Arial"/>
          <w:lang w:val="fr-FR"/>
        </w:rPr>
      </w:pPr>
    </w:p>
    <w:p w:rsidR="00697CEF" w:rsidRPr="0085565C" w:rsidRDefault="00697CEF" w:rsidP="00697CEF">
      <w:pPr>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Le TWO a examiné le document TWO/47/14 “Révision du document TGP/7 : Matériel pour les rédacteurs de principes directeurs d’examen” et a pris note des projets de révision du document TGP/7 et de la page Web du rédacteur aux fins de leur cohérence avec l’introduction en 2014 du modèle de principes directeurs d’examen sur le Web, comme prévu aux paragraphes 6 à 8 du document TWO/47/14.</w:t>
      </w:r>
    </w:p>
    <w:p w:rsidR="00697CEF" w:rsidRPr="0085565C" w:rsidRDefault="00697CEF" w:rsidP="00697CEF">
      <w:pPr>
        <w:rPr>
          <w:rFonts w:cs="Arial"/>
          <w:lang w:val="fr-FR"/>
        </w:rPr>
      </w:pPr>
    </w:p>
    <w:p w:rsidR="00697CEF" w:rsidRPr="0085565C" w:rsidRDefault="00697CEF" w:rsidP="00697CEF">
      <w:pPr>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Le TWO a examiné le document TWO/45/15 “</w:t>
      </w:r>
      <w:proofErr w:type="spellStart"/>
      <w:r w:rsidRPr="0085565C">
        <w:rPr>
          <w:rFonts w:cs="Arial"/>
          <w:lang w:val="fr-FR"/>
        </w:rPr>
        <w:t>Revision</w:t>
      </w:r>
      <w:proofErr w:type="spellEnd"/>
      <w:r w:rsidRPr="0085565C">
        <w:rPr>
          <w:rFonts w:cs="Arial"/>
          <w:lang w:val="fr-FR"/>
        </w:rPr>
        <w:t xml:space="preserve"> of Document TGP/8 : Part I : DUS Trial Design and Data </w:t>
      </w:r>
      <w:proofErr w:type="spellStart"/>
      <w:r w:rsidRPr="0085565C">
        <w:rPr>
          <w:rFonts w:cs="Arial"/>
          <w:lang w:val="fr-FR"/>
        </w:rPr>
        <w:t>Analysis</w:t>
      </w:r>
      <w:proofErr w:type="spellEnd"/>
      <w:r w:rsidRPr="0085565C">
        <w:rPr>
          <w:rFonts w:cs="Arial"/>
          <w:lang w:val="fr-FR"/>
        </w:rPr>
        <w:t xml:space="preserve">, New Section : </w:t>
      </w:r>
      <w:proofErr w:type="spellStart"/>
      <w:r w:rsidRPr="0085565C">
        <w:rPr>
          <w:rFonts w:cs="Arial"/>
          <w:lang w:val="fr-FR"/>
        </w:rPr>
        <w:t>Minimizing</w:t>
      </w:r>
      <w:proofErr w:type="spellEnd"/>
      <w:r w:rsidRPr="0085565C">
        <w:rPr>
          <w:rFonts w:cs="Arial"/>
          <w:lang w:val="fr-FR"/>
        </w:rPr>
        <w:t xml:space="preserve"> the Variation due to </w:t>
      </w:r>
      <w:proofErr w:type="spellStart"/>
      <w:r w:rsidRPr="0085565C">
        <w:rPr>
          <w:rFonts w:cs="Arial"/>
          <w:lang w:val="fr-FR"/>
        </w:rPr>
        <w:t>Different</w:t>
      </w:r>
      <w:proofErr w:type="spellEnd"/>
      <w:r w:rsidRPr="0085565C">
        <w:rPr>
          <w:rFonts w:cs="Arial"/>
          <w:lang w:val="fr-FR"/>
        </w:rPr>
        <w:t xml:space="preserve"> </w:t>
      </w:r>
      <w:proofErr w:type="spellStart"/>
      <w:r w:rsidRPr="0085565C">
        <w:rPr>
          <w:rFonts w:cs="Arial"/>
          <w:lang w:val="fr-FR"/>
        </w:rPr>
        <w:t>Observers</w:t>
      </w:r>
      <w:proofErr w:type="spellEnd"/>
      <w:r w:rsidRPr="0085565C">
        <w:rPr>
          <w:rFonts w:cs="Arial"/>
          <w:lang w:val="fr-FR"/>
        </w:rPr>
        <w:t>” et est convenu que l’élaboration du projet d’orientations figurant à l’annexe du document TWO/47/15 devrait être poursuivie afin que ces orientations puissent être incorporées dans la future version révisée du document TGP/8, concernant l’optimisation de la variation due à différents observateurs, y compris des orientations sur les caractères PQ et QN/MG, compte tenu des points soulevés par l’expert de l’Australie.  Le TWO est convenu que le document devrait mettre l’accent sur la variation entre observateurs au niveau du service et non pas sur l’optimisation de la variation entre services.</w:t>
      </w:r>
    </w:p>
    <w:p w:rsidR="00697CEF" w:rsidRPr="0085565C" w:rsidRDefault="00697CEF" w:rsidP="00697CEF">
      <w:pPr>
        <w:rPr>
          <w:rFonts w:cs="Arial"/>
          <w:lang w:val="fr-FR"/>
        </w:rPr>
      </w:pPr>
    </w:p>
    <w:p w:rsidR="00697CEF" w:rsidRPr="0085565C" w:rsidRDefault="00697CEF" w:rsidP="00697CEF">
      <w:pPr>
        <w:rPr>
          <w:rFonts w:cs="Arial"/>
          <w:lang w:val="fr-FR"/>
        </w:rPr>
      </w:pPr>
      <w:r w:rsidRPr="0085565C">
        <w:rPr>
          <w:rFonts w:cs="Arial"/>
          <w:lang w:val="fr-FR"/>
        </w:rPr>
        <w:fldChar w:fldCharType="begin"/>
      </w:r>
      <w:r w:rsidRPr="00C258AE">
        <w:rPr>
          <w:rFonts w:cs="Arial"/>
        </w:rPr>
        <w:instrText xml:space="preserve"> AUTONUM  </w:instrText>
      </w:r>
      <w:r w:rsidRPr="0085565C">
        <w:rPr>
          <w:rFonts w:cs="Arial"/>
          <w:lang w:val="fr-FR"/>
        </w:rPr>
        <w:fldChar w:fldCharType="end"/>
      </w:r>
      <w:r w:rsidRPr="00C258AE">
        <w:rPr>
          <w:rFonts w:cs="Arial"/>
        </w:rPr>
        <w:tab/>
        <w:t>Le TWO a examiné le document TWO/47/19 “Revision of Document TGP/8 : Part II : Techniques Used in DUS Examination, New Section : Guidance of Data Analysis for Blind Randomized Trials”.</w:t>
      </w:r>
      <w:r w:rsidRPr="00C258AE">
        <w:t xml:space="preserve">  </w:t>
      </w:r>
      <w:r w:rsidRPr="0085565C">
        <w:rPr>
          <w:rFonts w:cs="Arial"/>
          <w:lang w:val="fr-FR"/>
        </w:rPr>
        <w:t xml:space="preserve">Le TWO est convenu que les essais aveugles aléatoires étaient rarement utilisés.  Il a noté que les essais aveugles aléatoires étaient utilisés : au Brésil, pour confirmer, dans certains cas, l’évaluation de la distinction dans le cadre d’un système d’examen basé sur les renseignements fournis par l’obtenteur pour les plantes agricoles </w:t>
      </w:r>
      <w:r w:rsidRPr="0085565C">
        <w:rPr>
          <w:rFonts w:cs="Arial"/>
          <w:lang w:val="fr-FR"/>
        </w:rPr>
        <w:lastRenderedPageBreak/>
        <w:t>et potagères;  en Nouvelle</w:t>
      </w:r>
      <w:r w:rsidRPr="0085565C">
        <w:rPr>
          <w:rFonts w:cs="Arial"/>
          <w:lang w:val="fr-FR"/>
        </w:rPr>
        <w:noBreakHyphen/>
        <w:t>Zélande, pour certaines plantes fruitières et en cas de litige concernant la distinction;  et au Royaume</w:t>
      </w:r>
      <w:r w:rsidRPr="0085565C">
        <w:rPr>
          <w:rFonts w:cs="Arial"/>
          <w:lang w:val="fr-FR"/>
        </w:rPr>
        <w:noBreakHyphen/>
        <w:t>Uni et aux Pays</w:t>
      </w:r>
      <w:r w:rsidRPr="0085565C">
        <w:rPr>
          <w:rFonts w:cs="Arial"/>
          <w:lang w:val="fr-FR"/>
        </w:rPr>
        <w:noBreakHyphen/>
        <w:t>Bas pour confirmer l’absence de distinction entre des variétés.</w:t>
      </w:r>
    </w:p>
    <w:p w:rsidR="00697CEF" w:rsidRPr="0085565C" w:rsidRDefault="00697CEF" w:rsidP="00697CEF">
      <w:pPr>
        <w:rPr>
          <w:rFonts w:cs="Arial"/>
          <w:lang w:val="fr-FR"/>
        </w:rPr>
      </w:pPr>
    </w:p>
    <w:p w:rsidR="00697CEF" w:rsidRPr="0085565C" w:rsidRDefault="00697CEF" w:rsidP="00697CEF">
      <w:pPr>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Le TWO a examiné le document TWO/47/22 “Révision du document TGP/9 : section 2.5 : Photographies” et est convenu d’incorporer les orientations proposées concernant les photographies dans le document TGP/9 : section 2.5 : “Photographies”.</w:t>
      </w:r>
    </w:p>
    <w:p w:rsidR="00697CEF" w:rsidRPr="0085565C" w:rsidRDefault="00697CEF" w:rsidP="00697CEF">
      <w:pPr>
        <w:rPr>
          <w:rFonts w:cs="Arial"/>
          <w:lang w:val="fr-FR"/>
        </w:rPr>
      </w:pPr>
    </w:p>
    <w:p w:rsidR="00697CEF" w:rsidRPr="0085565C" w:rsidRDefault="00697CEF" w:rsidP="00697CEF">
      <w:pPr>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Le TWO a examiné le document TWO/47/9 “Évaluation de l’homogénéité par plante hors</w:t>
      </w:r>
      <w:r w:rsidRPr="0085565C">
        <w:rPr>
          <w:rFonts w:cs="Arial"/>
          <w:lang w:val="fr-FR"/>
        </w:rPr>
        <w:noBreakHyphen/>
        <w:t>type sur la base de plus d’un échantillon ou sous</w:t>
      </w:r>
      <w:r w:rsidRPr="0085565C">
        <w:rPr>
          <w:rFonts w:cs="Arial"/>
          <w:lang w:val="fr-FR"/>
        </w:rPr>
        <w:noBreakHyphen/>
        <w:t>échantillon” les situations décrites aux annexes I à IV comme base pour l’élaboration d’orientations dans le document TGP/10.  Il est convenu que des précisions devraient être fournies quant à la décision à prendre dans la situation B, option a) “l’essai est répété aux deux endroits une deuxième année”, dans le cas où, après avoir répété l’essai une deuxième année, la variété se situe dans les limites de la norme d’homogénéité en un endroit de végétation mais ne l’est pas dans l’autre.</w:t>
      </w:r>
    </w:p>
    <w:p w:rsidR="00697CEF" w:rsidRPr="0085565C" w:rsidRDefault="00697CEF" w:rsidP="00697CEF">
      <w:pPr>
        <w:rPr>
          <w:rFonts w:cs="Arial"/>
          <w:lang w:val="fr-FR"/>
        </w:rPr>
      </w:pPr>
    </w:p>
    <w:p w:rsidR="00697CEF" w:rsidRPr="0085565C" w:rsidRDefault="00697CEF" w:rsidP="00697CEF">
      <w:pPr>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Le TWO a examiné le document TWO/47/23 “Révision du document TGP/14 : Section 2.4 : caractères liés à la forme de l’Apex ou de l’extrémité”, a étudié la proposition visant à élaborer une explication sur le fait qu’un caractère lié à l’apex pourrait comprendre un niveau d’expression fondé sur une extrémité différenciée et a proposé que le document TGP/14 : section 2.4 soit modifié en conséquence.  Le TWO est convenu que l’approche décrite dans le document TGP/14 concernant les caractères liés à la forme de l’apex ou de l’extrémité est celle qui se prête le mieux aux feuilles et aux grandes structures et ne doit être utilisée que dans des cas particuliers.</w:t>
      </w:r>
    </w:p>
    <w:p w:rsidR="00697CEF" w:rsidRPr="0085565C" w:rsidRDefault="00697CEF" w:rsidP="00697CEF">
      <w:pPr>
        <w:rPr>
          <w:rFonts w:cs="Arial"/>
          <w:lang w:val="fr-FR"/>
        </w:rPr>
      </w:pPr>
    </w:p>
    <w:p w:rsidR="00697CEF" w:rsidRPr="0085565C" w:rsidRDefault="00697CEF" w:rsidP="00697CEF">
      <w:pPr>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Le TWO a examiné le document TWO/47/10 et a suivi par voie électronique un exposé du Bureau de l’Union sur un modèle de principes directeurs d’examen fondé sur le Web (modèle TG) pour les rédacteurs de principes directeurs d’examen.  Le TWO a pris note de la demande adressée à tous les experts principaux de participer à l’essai de la version n° 1.  Le TWO est convenu que le modèle de principes directeurs d’examen fondé sur le Web devrait permettre d’imprimer les observations émanant d’experts intéressés, classées par expert ou par caractère, et a pris note qu’une assistance sera fournie par le Bureau de l’UPOV, sur demande, aux experts principaux concernant l’utilisation du modèle de principes directeurs d’examen fondé sur le Web, si cela est demandé.</w:t>
      </w:r>
    </w:p>
    <w:p w:rsidR="00697CEF" w:rsidRPr="0085565C" w:rsidRDefault="00697CEF" w:rsidP="00697CEF">
      <w:pPr>
        <w:rPr>
          <w:rFonts w:cs="Arial"/>
          <w:lang w:val="fr-FR"/>
        </w:rPr>
      </w:pPr>
    </w:p>
    <w:p w:rsidR="00697CEF" w:rsidRPr="0085565C" w:rsidRDefault="00697CEF" w:rsidP="00697CEF">
      <w:pPr>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Le TWO a examiné le document TWO/47/25 “Révision partielle des principes directeurs d’examen du Buddleia (Document TG/263/1)” et le document TWO/47/26 “Révision partielle des principes directeurs d’examen du glaïeul (document TG/108/4)”.  Le TWO est convenu que ces principes directeurs d’examen, tels que modifiés par le TWO, devraient être soumis au Comité technique pour adoption.</w:t>
      </w:r>
    </w:p>
    <w:p w:rsidR="00697CEF" w:rsidRPr="0085565C" w:rsidRDefault="00697CEF" w:rsidP="00697CEF">
      <w:pPr>
        <w:rPr>
          <w:rFonts w:cs="Arial"/>
          <w:lang w:val="fr-FR"/>
        </w:rPr>
      </w:pPr>
    </w:p>
    <w:p w:rsidR="00697CEF" w:rsidRPr="0085565C" w:rsidRDefault="00697CEF" w:rsidP="00697CEF">
      <w:pPr>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 xml:space="preserve">Le TWO est convenu de soumettre six principes directeurs d’examen au Comité technique pour adoption : </w:t>
      </w:r>
      <w:proofErr w:type="spellStart"/>
      <w:r w:rsidRPr="0085565C">
        <w:rPr>
          <w:rFonts w:cs="Arial"/>
          <w:lang w:val="fr-FR"/>
        </w:rPr>
        <w:t>aloe</w:t>
      </w:r>
      <w:proofErr w:type="spellEnd"/>
      <w:r w:rsidRPr="0085565C">
        <w:rPr>
          <w:rFonts w:cs="Arial"/>
          <w:lang w:val="fr-FR"/>
        </w:rPr>
        <w:t>;  campanule;  œillet (révision);  aster de Chine;  cosmos;  et pélargonium des fleuristes (révision).  À sa quarante</w:t>
      </w:r>
      <w:r w:rsidRPr="0085565C">
        <w:rPr>
          <w:rFonts w:cs="Arial"/>
          <w:lang w:val="fr-FR"/>
        </w:rPr>
        <w:noBreakHyphen/>
        <w:t>huitième session qui se tiendra en 2015, le TWO a prévu d’examiner 13 principes directeurs d’examen, soit 4 révisions et 9 nouveaux principes.</w:t>
      </w:r>
    </w:p>
    <w:p w:rsidR="00697CEF" w:rsidRPr="0085565C" w:rsidRDefault="00697CEF" w:rsidP="00697CEF">
      <w:pPr>
        <w:rPr>
          <w:rFonts w:cs="Arial"/>
          <w:i/>
          <w:lang w:val="fr-FR"/>
        </w:rPr>
      </w:pPr>
    </w:p>
    <w:p w:rsidR="00697CEF" w:rsidRPr="0085565C" w:rsidRDefault="00697CEF" w:rsidP="00697CEF">
      <w:pPr>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À l’invitation du Royaume</w:t>
      </w:r>
      <w:r w:rsidRPr="0085565C">
        <w:rPr>
          <w:rFonts w:cs="Arial"/>
          <w:lang w:val="fr-FR"/>
        </w:rPr>
        <w:noBreakHyphen/>
        <w:t>Uni, le TWO est convenu de tenir sa quarante</w:t>
      </w:r>
      <w:r w:rsidRPr="0085565C">
        <w:rPr>
          <w:rFonts w:cs="Arial"/>
          <w:lang w:val="fr-FR"/>
        </w:rPr>
        <w:noBreakHyphen/>
        <w:t>huitième session à Cambridge, du 14 au 18 septembre 2015, un atelier préparatoire étant prévu le 13 septembre 2015.</w:t>
      </w:r>
    </w:p>
    <w:p w:rsidR="00697CEF" w:rsidRPr="0085565C" w:rsidRDefault="00697CEF" w:rsidP="00697CEF">
      <w:pPr>
        <w:rPr>
          <w:rFonts w:cs="Arial"/>
          <w:lang w:val="fr-FR"/>
        </w:rPr>
      </w:pPr>
    </w:p>
    <w:p w:rsidR="00697CEF" w:rsidRPr="0085565C" w:rsidRDefault="00697CEF" w:rsidP="00697CEF">
      <w:pPr>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Le TWO a proposé d’examiner les points suivants à sa prochaine session :</w:t>
      </w:r>
    </w:p>
    <w:p w:rsidR="00697CEF" w:rsidRPr="0085565C" w:rsidRDefault="00697CEF" w:rsidP="00697CEF">
      <w:pPr>
        <w:rPr>
          <w:rFonts w:cs="Arial"/>
          <w:lang w:val="fr-FR"/>
        </w:rPr>
      </w:pP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1.</w:t>
      </w:r>
      <w:r w:rsidRPr="0085565C">
        <w:rPr>
          <w:rFonts w:cs="Arial"/>
          <w:lang w:val="fr-FR"/>
        </w:rPr>
        <w:tab/>
        <w:t>Ouverture de la session</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2.</w:t>
      </w:r>
      <w:r w:rsidRPr="0085565C">
        <w:rPr>
          <w:rFonts w:cs="Arial"/>
          <w:lang w:val="fr-FR"/>
        </w:rPr>
        <w:tab/>
        <w:t>Adoption de l’ordre du jour</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3.</w:t>
      </w:r>
      <w:r w:rsidRPr="0085565C">
        <w:rPr>
          <w:rFonts w:cs="Arial"/>
          <w:lang w:val="fr-FR"/>
        </w:rPr>
        <w:tab/>
        <w:t>Rapports succincts sur l’évolution de la situation en matière de protection des obtentions végétales :</w:t>
      </w:r>
    </w:p>
    <w:p w:rsidR="00697CEF" w:rsidRPr="0085565C" w:rsidRDefault="00697CEF" w:rsidP="00697CEF">
      <w:pPr>
        <w:tabs>
          <w:tab w:val="num" w:pos="1134"/>
        </w:tabs>
        <w:spacing w:before="20" w:afterLines="20" w:after="48"/>
        <w:ind w:left="1134"/>
        <w:rPr>
          <w:rFonts w:cs="Arial"/>
          <w:lang w:val="fr-FR"/>
        </w:rPr>
      </w:pPr>
      <w:r w:rsidRPr="0085565C">
        <w:rPr>
          <w:rFonts w:cs="Arial"/>
          <w:lang w:val="fr-FR"/>
        </w:rPr>
        <w:t>a)</w:t>
      </w:r>
      <w:r w:rsidRPr="0085565C">
        <w:rPr>
          <w:rFonts w:cs="Arial"/>
          <w:lang w:val="fr-FR"/>
        </w:rPr>
        <w:tab/>
        <w:t>Rapports des membres et des observateurs</w:t>
      </w:r>
    </w:p>
    <w:p w:rsidR="00697CEF" w:rsidRPr="0085565C" w:rsidRDefault="00697CEF" w:rsidP="00697CEF">
      <w:pPr>
        <w:tabs>
          <w:tab w:val="num" w:pos="1134"/>
        </w:tabs>
        <w:spacing w:before="20" w:afterLines="20" w:after="48"/>
        <w:ind w:left="1134"/>
        <w:rPr>
          <w:rFonts w:cs="Arial"/>
          <w:lang w:val="fr-FR"/>
        </w:rPr>
      </w:pPr>
      <w:r w:rsidRPr="0085565C">
        <w:rPr>
          <w:rFonts w:cs="Arial"/>
          <w:lang w:val="fr-FR"/>
        </w:rPr>
        <w:t>b)</w:t>
      </w:r>
      <w:r w:rsidRPr="0085565C">
        <w:rPr>
          <w:rFonts w:cs="Arial"/>
          <w:lang w:val="fr-FR"/>
        </w:rPr>
        <w:tab/>
        <w:t>Rapports sur les faits nouveaux intervenus à l’UPOV</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4.</w:t>
      </w:r>
      <w:r w:rsidRPr="0085565C">
        <w:rPr>
          <w:rFonts w:cs="Arial"/>
          <w:lang w:val="fr-FR"/>
        </w:rPr>
        <w:tab/>
        <w:t>Techniques moléculaires</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5.</w:t>
      </w:r>
      <w:r w:rsidRPr="0085565C">
        <w:rPr>
          <w:rFonts w:cs="Arial"/>
          <w:lang w:val="fr-FR"/>
        </w:rPr>
        <w:tab/>
        <w:t>Documents TGP</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6.</w:t>
      </w:r>
      <w:r w:rsidRPr="0085565C">
        <w:rPr>
          <w:rFonts w:cs="Arial"/>
          <w:lang w:val="fr-FR"/>
        </w:rPr>
        <w:tab/>
        <w:t>Dénominations variétales</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7.</w:t>
      </w:r>
      <w:r w:rsidRPr="0085565C">
        <w:rPr>
          <w:rFonts w:cs="Arial"/>
          <w:lang w:val="fr-FR"/>
        </w:rPr>
        <w:tab/>
        <w:t>Informations et bases de données</w:t>
      </w:r>
    </w:p>
    <w:p w:rsidR="00697CEF" w:rsidRPr="0085565C" w:rsidRDefault="00697CEF" w:rsidP="00697CEF">
      <w:pPr>
        <w:tabs>
          <w:tab w:val="num" w:pos="1134"/>
        </w:tabs>
        <w:spacing w:before="20" w:afterLines="20" w:after="48"/>
        <w:ind w:left="1134"/>
        <w:rPr>
          <w:rFonts w:cs="Arial"/>
          <w:lang w:val="fr-FR"/>
        </w:rPr>
      </w:pPr>
      <w:r w:rsidRPr="0085565C">
        <w:rPr>
          <w:rFonts w:cs="Arial"/>
          <w:lang w:val="fr-FR"/>
        </w:rPr>
        <w:t>a)</w:t>
      </w:r>
      <w:r w:rsidRPr="0085565C">
        <w:rPr>
          <w:rFonts w:cs="Arial"/>
          <w:lang w:val="fr-FR"/>
        </w:rPr>
        <w:tab/>
        <w:t>Bases de données d’information de l’UPOV</w:t>
      </w:r>
    </w:p>
    <w:p w:rsidR="00697CEF" w:rsidRPr="0085565C" w:rsidRDefault="00697CEF" w:rsidP="00697CEF">
      <w:pPr>
        <w:tabs>
          <w:tab w:val="num" w:pos="1134"/>
        </w:tabs>
        <w:spacing w:before="20" w:afterLines="20" w:after="48"/>
        <w:ind w:left="1134"/>
        <w:rPr>
          <w:rFonts w:cs="Arial"/>
          <w:lang w:val="fr-FR"/>
        </w:rPr>
      </w:pPr>
      <w:r w:rsidRPr="0085565C">
        <w:rPr>
          <w:rFonts w:cs="Arial"/>
          <w:lang w:val="fr-FR"/>
        </w:rPr>
        <w:t>b)</w:t>
      </w:r>
      <w:r w:rsidRPr="0085565C">
        <w:rPr>
          <w:rFonts w:cs="Arial"/>
          <w:lang w:val="fr-FR"/>
        </w:rPr>
        <w:tab/>
        <w:t>Bases de données sur les descriptions variétales</w:t>
      </w:r>
    </w:p>
    <w:p w:rsidR="00697CEF" w:rsidRPr="0085565C" w:rsidRDefault="00697CEF" w:rsidP="00697CEF">
      <w:pPr>
        <w:tabs>
          <w:tab w:val="num" w:pos="1134"/>
        </w:tabs>
        <w:spacing w:before="20" w:afterLines="20" w:after="48"/>
        <w:ind w:left="1134"/>
        <w:rPr>
          <w:rFonts w:cs="Arial"/>
          <w:lang w:val="fr-FR"/>
        </w:rPr>
      </w:pPr>
      <w:r w:rsidRPr="0085565C">
        <w:rPr>
          <w:rFonts w:cs="Arial"/>
          <w:lang w:val="fr-FR"/>
        </w:rPr>
        <w:t>c)</w:t>
      </w:r>
      <w:r w:rsidRPr="0085565C">
        <w:rPr>
          <w:rFonts w:cs="Arial"/>
          <w:lang w:val="fr-FR"/>
        </w:rPr>
        <w:tab/>
        <w:t>Logiciels échangeables</w:t>
      </w:r>
    </w:p>
    <w:p w:rsidR="00697CEF" w:rsidRPr="0085565C" w:rsidRDefault="00697CEF" w:rsidP="00697CEF">
      <w:pPr>
        <w:tabs>
          <w:tab w:val="num" w:pos="1134"/>
        </w:tabs>
        <w:spacing w:before="20" w:afterLines="20" w:after="48"/>
        <w:ind w:left="1134"/>
        <w:rPr>
          <w:rFonts w:cs="Arial"/>
          <w:lang w:val="fr-FR"/>
        </w:rPr>
      </w:pPr>
      <w:r w:rsidRPr="0085565C">
        <w:rPr>
          <w:rFonts w:cs="Arial"/>
          <w:lang w:val="fr-FR"/>
        </w:rPr>
        <w:t>d)</w:t>
      </w:r>
      <w:r w:rsidRPr="0085565C">
        <w:rPr>
          <w:rFonts w:cs="Arial"/>
          <w:lang w:val="fr-FR"/>
        </w:rPr>
        <w:tab/>
        <w:t>Systèmes de dépôt électronique des demandes</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lastRenderedPageBreak/>
        <w:t>8.</w:t>
      </w:r>
      <w:r w:rsidRPr="0085565C">
        <w:rPr>
          <w:rFonts w:cs="Arial"/>
          <w:lang w:val="fr-FR"/>
        </w:rPr>
        <w:tab/>
        <w:t>Évaluation de l’homogénéité</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9.</w:t>
      </w:r>
      <w:r w:rsidRPr="0085565C">
        <w:rPr>
          <w:rFonts w:cs="Arial"/>
          <w:lang w:val="fr-FR"/>
        </w:rPr>
        <w:tab/>
        <w:t>Expériences de nouveaux types et espèces</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10.</w:t>
      </w:r>
      <w:r w:rsidRPr="0085565C">
        <w:rPr>
          <w:rFonts w:cs="Arial"/>
          <w:lang w:val="fr-FR"/>
        </w:rPr>
        <w:tab/>
        <w:t>Amélioration de l’efficacité du Comité technique, des groupes de travail techniques et des ateliers préparatoires</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11.</w:t>
      </w:r>
      <w:r w:rsidRPr="0085565C">
        <w:rPr>
          <w:rFonts w:cs="Arial"/>
          <w:lang w:val="fr-FR"/>
        </w:rPr>
        <w:tab/>
        <w:t>Influence de différentes sources sur le matériel multiplié par voie végétative utilisé dans l’examen DHS</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12.</w:t>
      </w:r>
      <w:r w:rsidRPr="0085565C">
        <w:rPr>
          <w:rFonts w:cs="Arial"/>
          <w:lang w:val="fr-FR"/>
        </w:rPr>
        <w:tab/>
        <w:t>Exemples de différentes pratiques de plus en plus fréquentes en matière d’examen DHS</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13.</w:t>
      </w:r>
      <w:r w:rsidRPr="0085565C">
        <w:rPr>
          <w:rFonts w:cs="Arial"/>
          <w:lang w:val="fr-FR"/>
        </w:rPr>
        <w:tab/>
        <w:t>Questions en suspens concernant les principes directeurs d’examen adoptés par le Comité technique</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14.</w:t>
      </w:r>
      <w:r w:rsidRPr="0085565C">
        <w:rPr>
          <w:rFonts w:cs="Arial"/>
          <w:lang w:val="fr-FR"/>
        </w:rPr>
        <w:tab/>
        <w:t>Examen des projets de principes directeurs d’examen</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15.</w:t>
      </w:r>
      <w:r w:rsidRPr="0085565C">
        <w:rPr>
          <w:rFonts w:cs="Arial"/>
          <w:lang w:val="fr-FR"/>
        </w:rPr>
        <w:tab/>
        <w:t>Recommandations concernant le projet de principes directeurs d’examen</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16.</w:t>
      </w:r>
      <w:r w:rsidRPr="0085565C">
        <w:rPr>
          <w:rFonts w:cs="Arial"/>
          <w:lang w:val="fr-FR"/>
        </w:rPr>
        <w:tab/>
        <w:t>Orientations pour les rédacteurs de principes directeurs d’examen</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17.</w:t>
      </w:r>
      <w:r w:rsidRPr="0085565C">
        <w:rPr>
          <w:rFonts w:cs="Arial"/>
          <w:lang w:val="fr-FR"/>
        </w:rPr>
        <w:tab/>
        <w:t>Date et lieu de la prochaine session</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18.</w:t>
      </w:r>
      <w:r w:rsidRPr="0085565C">
        <w:rPr>
          <w:rFonts w:cs="Arial"/>
          <w:lang w:val="fr-FR"/>
        </w:rPr>
        <w:tab/>
        <w:t>Programme futur</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19.</w:t>
      </w:r>
      <w:r w:rsidRPr="0085565C">
        <w:rPr>
          <w:rFonts w:cs="Arial"/>
          <w:lang w:val="fr-FR"/>
        </w:rPr>
        <w:tab/>
        <w:t>Compte rendu de la session (selon le temps disponible)</w:t>
      </w:r>
    </w:p>
    <w:p w:rsidR="00697CEF" w:rsidRPr="0085565C" w:rsidRDefault="00697CEF" w:rsidP="00697CEF">
      <w:pPr>
        <w:tabs>
          <w:tab w:val="num" w:pos="1134"/>
        </w:tabs>
        <w:spacing w:before="20" w:afterLines="20" w:after="48"/>
        <w:ind w:left="1134" w:hanging="567"/>
        <w:rPr>
          <w:rFonts w:cs="Arial"/>
          <w:lang w:val="fr-FR"/>
        </w:rPr>
      </w:pPr>
      <w:r w:rsidRPr="0085565C">
        <w:rPr>
          <w:rFonts w:cs="Arial"/>
          <w:lang w:val="fr-FR"/>
        </w:rPr>
        <w:t>20.</w:t>
      </w:r>
      <w:r w:rsidRPr="0085565C">
        <w:rPr>
          <w:rFonts w:cs="Arial"/>
          <w:lang w:val="fr-FR"/>
        </w:rPr>
        <w:tab/>
        <w:t>Clôture de la session</w:t>
      </w:r>
    </w:p>
    <w:p w:rsidR="00697CEF" w:rsidRPr="0085565C" w:rsidRDefault="00697CEF" w:rsidP="00697CEF">
      <w:pPr>
        <w:rPr>
          <w:lang w:val="fr-FR"/>
        </w:rPr>
      </w:pPr>
    </w:p>
    <w:p w:rsidR="00697CEF" w:rsidRPr="0085565C" w:rsidRDefault="00697CEF" w:rsidP="00697CEF">
      <w:pPr>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Dans l’après</w:t>
      </w:r>
      <w:r w:rsidRPr="0085565C">
        <w:rPr>
          <w:rFonts w:cs="Arial"/>
          <w:lang w:val="fr-FR"/>
        </w:rPr>
        <w:noBreakHyphen/>
        <w:t xml:space="preserve">midi du 21 mai 2014, le TWO a visité les locaux de </w:t>
      </w:r>
      <w:proofErr w:type="spellStart"/>
      <w:r w:rsidRPr="0085565C">
        <w:rPr>
          <w:rFonts w:cs="Arial"/>
          <w:lang w:val="fr-FR"/>
        </w:rPr>
        <w:t>Nini</w:t>
      </w:r>
      <w:proofErr w:type="spellEnd"/>
      <w:r w:rsidRPr="0085565C">
        <w:rPr>
          <w:rFonts w:cs="Arial"/>
          <w:lang w:val="fr-FR"/>
        </w:rPr>
        <w:t xml:space="preserve"> Limited, une entreprise de roses coupées à </w:t>
      </w:r>
      <w:proofErr w:type="spellStart"/>
      <w:r w:rsidRPr="0085565C">
        <w:rPr>
          <w:rFonts w:cs="Arial"/>
          <w:lang w:val="fr-FR"/>
        </w:rPr>
        <w:t>Naivasha</w:t>
      </w:r>
      <w:proofErr w:type="spellEnd"/>
      <w:r w:rsidRPr="0085565C">
        <w:rPr>
          <w:rFonts w:cs="Arial"/>
          <w:lang w:val="fr-FR"/>
        </w:rPr>
        <w:t>.  Le TWO a été accueilli par M. Philip </w:t>
      </w:r>
      <w:proofErr w:type="spellStart"/>
      <w:r w:rsidRPr="0085565C">
        <w:rPr>
          <w:rFonts w:cs="Arial"/>
          <w:lang w:val="fr-FR"/>
        </w:rPr>
        <w:t>Kuria</w:t>
      </w:r>
      <w:proofErr w:type="spellEnd"/>
      <w:r w:rsidRPr="0085565C">
        <w:rPr>
          <w:rFonts w:cs="Arial"/>
          <w:lang w:val="fr-FR"/>
        </w:rPr>
        <w:t>, responsable post</w:t>
      </w:r>
      <w:r w:rsidRPr="0085565C">
        <w:rPr>
          <w:rFonts w:cs="Arial"/>
          <w:lang w:val="fr-FR"/>
        </w:rPr>
        <w:noBreakHyphen/>
        <w:t>récolte et des exportations, et Mme Faith </w:t>
      </w:r>
      <w:proofErr w:type="spellStart"/>
      <w:r w:rsidRPr="0085565C">
        <w:rPr>
          <w:rFonts w:cs="Arial"/>
          <w:lang w:val="fr-FR"/>
        </w:rPr>
        <w:t>Ndunge</w:t>
      </w:r>
      <w:proofErr w:type="spellEnd"/>
      <w:r w:rsidRPr="0085565C">
        <w:rPr>
          <w:rFonts w:cs="Arial"/>
          <w:lang w:val="fr-FR"/>
        </w:rPr>
        <w:t xml:space="preserve">, administratrice, KEPHIS, </w:t>
      </w:r>
      <w:proofErr w:type="spellStart"/>
      <w:r w:rsidRPr="0085565C">
        <w:rPr>
          <w:rFonts w:cs="Arial"/>
          <w:lang w:val="fr-FR"/>
        </w:rPr>
        <w:t>Naivasha</w:t>
      </w:r>
      <w:proofErr w:type="spellEnd"/>
      <w:r w:rsidRPr="0085565C">
        <w:rPr>
          <w:rFonts w:cs="Arial"/>
          <w:lang w:val="fr-FR"/>
        </w:rPr>
        <w:t>, et a suivi un exposé présenté par M. Moses </w:t>
      </w:r>
      <w:proofErr w:type="spellStart"/>
      <w:r w:rsidRPr="0085565C">
        <w:rPr>
          <w:rFonts w:cs="Arial"/>
          <w:lang w:val="fr-FR"/>
        </w:rPr>
        <w:t>Wachira</w:t>
      </w:r>
      <w:proofErr w:type="spellEnd"/>
      <w:r w:rsidRPr="0085565C">
        <w:rPr>
          <w:rFonts w:cs="Arial"/>
          <w:lang w:val="fr-FR"/>
        </w:rPr>
        <w:t>, haut</w:t>
      </w:r>
      <w:r w:rsidRPr="0085565C">
        <w:rPr>
          <w:rFonts w:cs="Arial"/>
          <w:lang w:val="fr-FR"/>
        </w:rPr>
        <w:noBreakHyphen/>
        <w:t>responsable chargé de la production.  Il a été expliqué que l’entreprise avait commencé son activité en 1998 et avait grandi pour compter 44 hectares de serres et 600 employés permanents, dont 70% étaient des femmes.  L’entreprise cultivait 25 variétés de huit couleurs différentes provenant de sept obtenteurs et produisait deux millions de fleurs coupées par semaine.  M. </w:t>
      </w:r>
      <w:proofErr w:type="spellStart"/>
      <w:r w:rsidRPr="0085565C">
        <w:rPr>
          <w:rFonts w:cs="Arial"/>
          <w:lang w:val="fr-FR"/>
        </w:rPr>
        <w:t>Kuria</w:t>
      </w:r>
      <w:proofErr w:type="spellEnd"/>
      <w:r w:rsidRPr="0085565C">
        <w:rPr>
          <w:rFonts w:cs="Arial"/>
          <w:lang w:val="fr-FR"/>
        </w:rPr>
        <w:t xml:space="preserve"> a rendu compte de la collaboration établie avec les obtenteurs des variétés utilisées en vue de développer ce marché et a souligné l’importance du rôle que la protection des variétés végétales jouait, dans le succès des activités de l’entreprise.</w:t>
      </w:r>
    </w:p>
    <w:p w:rsidR="00697CEF" w:rsidRPr="0085565C" w:rsidRDefault="00697CEF" w:rsidP="00697CEF">
      <w:pPr>
        <w:rPr>
          <w:lang w:val="fr-FR"/>
        </w:rPr>
      </w:pPr>
    </w:p>
    <w:p w:rsidR="00697CEF" w:rsidRPr="0085565C" w:rsidRDefault="00697CEF" w:rsidP="00697CEF">
      <w:pPr>
        <w:autoSpaceDE w:val="0"/>
        <w:autoSpaceDN w:val="0"/>
        <w:adjustRightInd w:val="0"/>
        <w:rPr>
          <w:rFonts w:cs="Arial"/>
          <w:lang w:val="fr-FR"/>
        </w:rPr>
      </w:pPr>
      <w:r w:rsidRPr="0085565C">
        <w:rPr>
          <w:rFonts w:cs="Arial"/>
          <w:lang w:val="fr-FR"/>
        </w:rPr>
        <w:fldChar w:fldCharType="begin"/>
      </w:r>
      <w:r w:rsidRPr="0085565C">
        <w:rPr>
          <w:rFonts w:cs="Arial"/>
          <w:lang w:val="fr-FR"/>
        </w:rPr>
        <w:instrText xml:space="preserve"> AUTONUM  </w:instrText>
      </w:r>
      <w:r w:rsidRPr="0085565C">
        <w:rPr>
          <w:rFonts w:cs="Arial"/>
          <w:lang w:val="fr-FR"/>
        </w:rPr>
        <w:fldChar w:fldCharType="end"/>
      </w:r>
      <w:r w:rsidRPr="0085565C">
        <w:rPr>
          <w:rFonts w:cs="Arial"/>
          <w:lang w:val="fr-FR"/>
        </w:rPr>
        <w:tab/>
        <w:t>Une médaille de bronze de l’UPOV a été décernée à M. </w:t>
      </w:r>
      <w:r w:rsidRPr="0085565C">
        <w:rPr>
          <w:rFonts w:cstheme="majorHAnsi"/>
          <w:lang w:val="fr-FR"/>
        </w:rPr>
        <w:t>Nik Hulse</w:t>
      </w:r>
      <w:r w:rsidRPr="0085565C">
        <w:rPr>
          <w:rFonts w:cs="Arial"/>
          <w:lang w:val="fr-FR"/>
        </w:rPr>
        <w:t xml:space="preserve"> pour le remercier d’avoir présidé le TWO de 2012 à 2014.</w:t>
      </w:r>
    </w:p>
    <w:p w:rsidR="00697CEF" w:rsidRPr="0085565C" w:rsidRDefault="00697CEF" w:rsidP="00697CEF">
      <w:pPr>
        <w:rPr>
          <w:rFonts w:cstheme="majorHAnsi"/>
          <w:lang w:val="fr-FR"/>
        </w:rPr>
      </w:pPr>
    </w:p>
    <w:p w:rsidR="00697CEF" w:rsidRPr="0085565C" w:rsidRDefault="00697CEF" w:rsidP="00697CEF">
      <w:pPr>
        <w:rPr>
          <w:rFonts w:cstheme="majorHAnsi"/>
          <w:lang w:val="fr-FR"/>
        </w:rPr>
      </w:pPr>
    </w:p>
    <w:p w:rsidR="00697CEF" w:rsidRPr="0085565C" w:rsidRDefault="00697CEF" w:rsidP="00697CEF">
      <w:pPr>
        <w:pStyle w:val="Heading2"/>
        <w:rPr>
          <w:lang w:val="fr-FR"/>
        </w:rPr>
      </w:pPr>
      <w:bookmarkStart w:id="62" w:name="_Toc428287728"/>
      <w:r w:rsidRPr="0085565C">
        <w:rPr>
          <w:lang w:val="fr-FR"/>
        </w:rPr>
        <w:t>Groupe de travail technique sur les plantes potagères (TWV)</w:t>
      </w:r>
      <w:bookmarkEnd w:id="62"/>
    </w:p>
    <w:p w:rsidR="00697CEF" w:rsidRPr="0085565C" w:rsidRDefault="00697CEF" w:rsidP="00697CEF">
      <w:pPr>
        <w:rPr>
          <w:lang w:val="fr-FR"/>
        </w:rPr>
      </w:pPr>
    </w:p>
    <w:p w:rsidR="00697CEF" w:rsidRPr="0085565C" w:rsidRDefault="00697CEF" w:rsidP="00697CEF">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Groupe de travail technique sur les plantes potagères (TWV) a tenu sa quarante</w:t>
      </w:r>
      <w:r w:rsidRPr="0085565C">
        <w:rPr>
          <w:lang w:val="fr-FR"/>
        </w:rPr>
        <w:noBreakHyphen/>
        <w:t>huitième session du 23 au 27 juin 2014 à Paestum (Italie), près du centre d’essais et de certification de semences CRA</w:t>
      </w:r>
      <w:r w:rsidRPr="0085565C">
        <w:rPr>
          <w:lang w:val="fr-FR"/>
        </w:rPr>
        <w:noBreakHyphen/>
        <w:t xml:space="preserve">SCS, la station nationale italienne d’examen DHS pour les plantes potagères, située à </w:t>
      </w:r>
      <w:proofErr w:type="spellStart"/>
      <w:r w:rsidRPr="0085565C">
        <w:rPr>
          <w:lang w:val="fr-FR"/>
        </w:rPr>
        <w:t>Battipaglia</w:t>
      </w:r>
      <w:proofErr w:type="spellEnd"/>
      <w:r w:rsidRPr="0085565C">
        <w:rPr>
          <w:lang w:val="fr-FR"/>
        </w:rPr>
        <w:t>.</w:t>
      </w:r>
    </w:p>
    <w:p w:rsidR="00697CEF" w:rsidRPr="0085565C" w:rsidRDefault="00697CEF" w:rsidP="00697CEF">
      <w:pPr>
        <w:rPr>
          <w:lang w:val="fr-FR"/>
        </w:rPr>
      </w:pPr>
    </w:p>
    <w:p w:rsidR="00697CEF" w:rsidRPr="0085565C" w:rsidRDefault="00697CEF" w:rsidP="00697CEF">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 xml:space="preserve">Au début de la session, les participants ont observé une minute de silence en commémoration de la disparition regrettable de M. François </w:t>
      </w:r>
      <w:proofErr w:type="spellStart"/>
      <w:r w:rsidRPr="0085565C">
        <w:rPr>
          <w:lang w:val="fr-FR"/>
        </w:rPr>
        <w:t>Boulineau</w:t>
      </w:r>
      <w:proofErr w:type="spellEnd"/>
      <w:r w:rsidRPr="0085565C">
        <w:rPr>
          <w:lang w:val="fr-FR"/>
        </w:rPr>
        <w:t>, le président du Groupe de travail technique sur les plantes potagères.</w:t>
      </w:r>
    </w:p>
    <w:p w:rsidR="00697CEF" w:rsidRPr="0085565C" w:rsidRDefault="00697CEF" w:rsidP="00697CEF">
      <w:pPr>
        <w:rPr>
          <w:lang w:val="fr-FR"/>
        </w:rPr>
      </w:pPr>
    </w:p>
    <w:p w:rsidR="00697CEF" w:rsidRPr="0085565C" w:rsidRDefault="00697CEF" w:rsidP="00697CEF">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TWV a élu M. </w:t>
      </w:r>
      <w:proofErr w:type="spellStart"/>
      <w:r w:rsidRPr="0085565C">
        <w:rPr>
          <w:lang w:val="fr-FR"/>
        </w:rPr>
        <w:t>Kees</w:t>
      </w:r>
      <w:proofErr w:type="spellEnd"/>
      <w:r w:rsidRPr="0085565C">
        <w:rPr>
          <w:lang w:val="fr-FR"/>
        </w:rPr>
        <w:t xml:space="preserve"> van </w:t>
      </w:r>
      <w:proofErr w:type="spellStart"/>
      <w:r w:rsidRPr="0085565C">
        <w:rPr>
          <w:lang w:val="fr-FR"/>
        </w:rPr>
        <w:t>Ettekoven</w:t>
      </w:r>
      <w:proofErr w:type="spellEnd"/>
      <w:r w:rsidRPr="0085565C">
        <w:rPr>
          <w:lang w:val="fr-FR"/>
        </w:rPr>
        <w:t xml:space="preserve"> (Pays</w:t>
      </w:r>
      <w:r w:rsidRPr="0085565C">
        <w:rPr>
          <w:lang w:val="fr-FR"/>
        </w:rPr>
        <w:noBreakHyphen/>
        <w:t>Bas) et Mme </w:t>
      </w:r>
      <w:proofErr w:type="spellStart"/>
      <w:r w:rsidRPr="0085565C">
        <w:rPr>
          <w:lang w:val="fr-FR"/>
        </w:rPr>
        <w:t>Swenja</w:t>
      </w:r>
      <w:proofErr w:type="spellEnd"/>
      <w:r w:rsidRPr="0085565C">
        <w:rPr>
          <w:lang w:val="fr-FR"/>
        </w:rPr>
        <w:t> </w:t>
      </w:r>
      <w:proofErr w:type="spellStart"/>
      <w:r w:rsidRPr="0085565C">
        <w:rPr>
          <w:lang w:val="fr-FR"/>
        </w:rPr>
        <w:t>Tams</w:t>
      </w:r>
      <w:proofErr w:type="spellEnd"/>
      <w:r w:rsidRPr="0085565C">
        <w:rPr>
          <w:lang w:val="fr-FR"/>
        </w:rPr>
        <w:t xml:space="preserve"> (Allemagne) coprésidents </w:t>
      </w:r>
      <w:r w:rsidRPr="0085565C">
        <w:rPr>
          <w:i/>
          <w:lang w:val="fr-FR"/>
        </w:rPr>
        <w:t>ad hoc</w:t>
      </w:r>
      <w:r w:rsidRPr="0085565C">
        <w:rPr>
          <w:lang w:val="fr-FR"/>
        </w:rPr>
        <w:t>.</w:t>
      </w:r>
    </w:p>
    <w:p w:rsidR="00697CEF" w:rsidRPr="0085565C" w:rsidRDefault="00697CEF" w:rsidP="00697CEF">
      <w:pPr>
        <w:rPr>
          <w:lang w:val="fr-FR"/>
        </w:rPr>
      </w:pPr>
    </w:p>
    <w:p w:rsidR="00697CEF" w:rsidRPr="0085565C" w:rsidRDefault="00697CEF" w:rsidP="00697CEF">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L’atelier préparatoire tenu le 22 juin 2014 a réuni 19 participants représentant huit membres.  La session du TWV a réuni 32 participants représentant 17 membres de l’Union et trois organisations ayant le statut d’observateur.</w:t>
      </w:r>
    </w:p>
    <w:p w:rsidR="00697CEF" w:rsidRPr="0085565C" w:rsidRDefault="00697CEF" w:rsidP="00697CEF">
      <w:pPr>
        <w:rPr>
          <w:lang w:val="fr-FR"/>
        </w:rPr>
      </w:pPr>
    </w:p>
    <w:p w:rsidR="00697CEF" w:rsidRPr="0085565C" w:rsidRDefault="00697CEF" w:rsidP="00697CEF">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Dans un message vidéo, le directeur du Conseil de la recherche agricole, dont dépend le CRA</w:t>
      </w:r>
      <w:r w:rsidRPr="0085565C">
        <w:rPr>
          <w:lang w:val="fr-FR"/>
        </w:rPr>
        <w:noBreakHyphen/>
        <w:t>SCS, M. Pier Giacomo Bianchi, a souhaité la bienvenue aux participants.  Au nom de M. Bianchi, Mme Anna </w:t>
      </w:r>
      <w:proofErr w:type="spellStart"/>
      <w:r w:rsidRPr="0085565C">
        <w:rPr>
          <w:lang w:val="fr-FR"/>
        </w:rPr>
        <w:t>Giulini</w:t>
      </w:r>
      <w:proofErr w:type="spellEnd"/>
      <w:r w:rsidRPr="0085565C">
        <w:rPr>
          <w:lang w:val="fr-FR"/>
        </w:rPr>
        <w:t>, chercheuse au CRA</w:t>
      </w:r>
      <w:r w:rsidRPr="0085565C">
        <w:rPr>
          <w:lang w:val="fr-FR"/>
        </w:rPr>
        <w:noBreakHyphen/>
        <w:t xml:space="preserve">SCS a présenté un exposé concernant les droits d’obtenteur en Italie intitulé “PBR at a </w:t>
      </w:r>
      <w:proofErr w:type="spellStart"/>
      <w:r w:rsidRPr="0085565C">
        <w:rPr>
          <w:lang w:val="fr-FR"/>
        </w:rPr>
        <w:t>glance</w:t>
      </w:r>
      <w:proofErr w:type="spellEnd"/>
      <w:r w:rsidRPr="0085565C">
        <w:rPr>
          <w:lang w:val="fr-FR"/>
        </w:rPr>
        <w:t xml:space="preserve"> in </w:t>
      </w:r>
      <w:proofErr w:type="spellStart"/>
      <w:r w:rsidRPr="0085565C">
        <w:rPr>
          <w:lang w:val="fr-FR"/>
        </w:rPr>
        <w:t>Italy</w:t>
      </w:r>
      <w:proofErr w:type="spellEnd"/>
      <w:r w:rsidRPr="0085565C">
        <w:rPr>
          <w:lang w:val="fr-FR"/>
        </w:rPr>
        <w:t>”.</w:t>
      </w:r>
    </w:p>
    <w:p w:rsidR="00697CEF" w:rsidRPr="0085565C" w:rsidRDefault="00697CEF" w:rsidP="00697CEF">
      <w:pPr>
        <w:rPr>
          <w:lang w:val="fr-FR"/>
        </w:rPr>
      </w:pPr>
    </w:p>
    <w:p w:rsidR="00697CEF" w:rsidRPr="0085565C" w:rsidRDefault="00697CEF" w:rsidP="00697CEF">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L’après</w:t>
      </w:r>
      <w:r w:rsidRPr="0085565C">
        <w:rPr>
          <w:lang w:val="fr-FR"/>
        </w:rPr>
        <w:noBreakHyphen/>
        <w:t>midi du 26 juin 2014, le TWV a visité le centre d’essais et de certification de semences CRA</w:t>
      </w:r>
      <w:r w:rsidRPr="0085565C">
        <w:rPr>
          <w:lang w:val="fr-FR"/>
        </w:rPr>
        <w:noBreakHyphen/>
        <w:t xml:space="preserve">SCS à </w:t>
      </w:r>
      <w:proofErr w:type="spellStart"/>
      <w:r w:rsidRPr="0085565C">
        <w:rPr>
          <w:lang w:val="fr-FR"/>
        </w:rPr>
        <w:t>Battipaglia</w:t>
      </w:r>
      <w:proofErr w:type="spellEnd"/>
      <w:r w:rsidRPr="0085565C">
        <w:rPr>
          <w:lang w:val="fr-FR"/>
        </w:rPr>
        <w:t xml:space="preserve">, où il a assisté à une présentation par la directrice du bureau de </w:t>
      </w:r>
      <w:proofErr w:type="spellStart"/>
      <w:r w:rsidRPr="0085565C">
        <w:rPr>
          <w:lang w:val="fr-FR"/>
        </w:rPr>
        <w:t>Battipaglia</w:t>
      </w:r>
      <w:proofErr w:type="spellEnd"/>
      <w:r w:rsidRPr="0085565C">
        <w:rPr>
          <w:lang w:val="fr-FR"/>
        </w:rPr>
        <w:t xml:space="preserve"> du CRA</w:t>
      </w:r>
      <w:r w:rsidRPr="0085565C">
        <w:rPr>
          <w:lang w:val="fr-FR"/>
        </w:rPr>
        <w:noBreakHyphen/>
        <w:t>SCS, Mme Romana Bravi.  Le TWV a pu voir les essais en vue de l’examen DHS de plusieurs plantes potagères, dont la tomate, le melon, la courgette, le concombre ainsi que d’autres variétés.</w:t>
      </w:r>
    </w:p>
    <w:p w:rsidR="00697CEF" w:rsidRPr="0085565C" w:rsidRDefault="00697CEF" w:rsidP="00697CEF">
      <w:pPr>
        <w:rPr>
          <w:lang w:val="fr-FR"/>
        </w:rPr>
      </w:pPr>
    </w:p>
    <w:p w:rsidR="00697CEF" w:rsidRPr="0085565C" w:rsidRDefault="00697CEF" w:rsidP="00697CEF">
      <w:pPr>
        <w:keepNext/>
        <w:rPr>
          <w:lang w:val="fr-FR"/>
        </w:rPr>
      </w:pPr>
      <w:r w:rsidRPr="0085565C">
        <w:rPr>
          <w:lang w:val="fr-FR"/>
        </w:rPr>
        <w:lastRenderedPageBreak/>
        <w:fldChar w:fldCharType="begin"/>
      </w:r>
      <w:r w:rsidRPr="0085565C">
        <w:rPr>
          <w:lang w:val="fr-FR"/>
        </w:rPr>
        <w:instrText xml:space="preserve"> AUTONUM  </w:instrText>
      </w:r>
      <w:r w:rsidRPr="0085565C">
        <w:rPr>
          <w:lang w:val="fr-FR"/>
        </w:rPr>
        <w:fldChar w:fldCharType="end"/>
      </w:r>
      <w:r w:rsidRPr="0085565C">
        <w:rPr>
          <w:lang w:val="fr-FR"/>
        </w:rPr>
        <w:tab/>
        <w:t>Le TWV a examiné la révision des documents TGP.  Lors des discussions concernant les documents TGP, le TWV a examiné le document TWV/48/12 “</w:t>
      </w:r>
      <w:proofErr w:type="spellStart"/>
      <w:r w:rsidRPr="0085565C">
        <w:rPr>
          <w:shd w:val="clear" w:color="auto" w:fill="FFFFFF"/>
          <w:lang w:val="fr-FR"/>
        </w:rPr>
        <w:t>Revision</w:t>
      </w:r>
      <w:proofErr w:type="spellEnd"/>
      <w:r w:rsidRPr="0085565C">
        <w:rPr>
          <w:shd w:val="clear" w:color="auto" w:fill="FFFFFF"/>
          <w:lang w:val="fr-FR"/>
        </w:rPr>
        <w:t xml:space="preserve"> of Document TGP/7 : Plant </w:t>
      </w:r>
      <w:proofErr w:type="spellStart"/>
      <w:r w:rsidRPr="0085565C">
        <w:rPr>
          <w:shd w:val="clear" w:color="auto" w:fill="FFFFFF"/>
          <w:lang w:val="fr-FR"/>
        </w:rPr>
        <w:t>Material</w:t>
      </w:r>
      <w:proofErr w:type="spellEnd"/>
      <w:r w:rsidRPr="0085565C">
        <w:rPr>
          <w:shd w:val="clear" w:color="auto" w:fill="FFFFFF"/>
          <w:lang w:val="fr-FR"/>
        </w:rPr>
        <w:t xml:space="preserve"> </w:t>
      </w:r>
      <w:proofErr w:type="spellStart"/>
      <w:r w:rsidRPr="0085565C">
        <w:rPr>
          <w:shd w:val="clear" w:color="auto" w:fill="FFFFFF"/>
          <w:lang w:val="fr-FR"/>
        </w:rPr>
        <w:t>Submitted</w:t>
      </w:r>
      <w:proofErr w:type="spellEnd"/>
      <w:r w:rsidRPr="0085565C">
        <w:rPr>
          <w:shd w:val="clear" w:color="auto" w:fill="FFFFFF"/>
          <w:lang w:val="fr-FR"/>
        </w:rPr>
        <w:t xml:space="preserve"> for </w:t>
      </w:r>
      <w:proofErr w:type="spellStart"/>
      <w:r w:rsidRPr="0085565C">
        <w:rPr>
          <w:shd w:val="clear" w:color="auto" w:fill="FFFFFF"/>
          <w:lang w:val="fr-FR"/>
        </w:rPr>
        <w:t>Examination</w:t>
      </w:r>
      <w:proofErr w:type="spellEnd"/>
      <w:r w:rsidRPr="0085565C">
        <w:rPr>
          <w:shd w:val="clear" w:color="auto" w:fill="FFFFFF"/>
          <w:lang w:val="fr-FR"/>
        </w:rPr>
        <w:t xml:space="preserve">” et a débattu de l’incidence des demandes </w:t>
      </w:r>
      <w:r w:rsidRPr="0085565C">
        <w:rPr>
          <w:lang w:val="fr-FR"/>
        </w:rPr>
        <w:t>pour des variétés multipliées par voie végétative appartenant communément à des espèces reproduites par voie sexuée.  Une autre question importante pour le TWV était celle de l’utilisation des caractères de résistance aux maladies dans le cadre de l’examen DHS et de l’examen obligatoire de ces caractères.</w:t>
      </w:r>
    </w:p>
    <w:p w:rsidR="00697CEF" w:rsidRPr="0085565C" w:rsidRDefault="00697CEF" w:rsidP="00697CEF">
      <w:pPr>
        <w:keepNext/>
        <w:rPr>
          <w:lang w:val="fr-FR"/>
        </w:rPr>
      </w:pPr>
    </w:p>
    <w:p w:rsidR="00697CEF" w:rsidRPr="0085565C" w:rsidRDefault="00697CEF" w:rsidP="00697CEF">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Plusieurs nouveaux principes directeurs d’examen ont été finalisés afin d’être soumis au TC, à savoir : la calebasse, la gourde (</w:t>
      </w:r>
      <w:proofErr w:type="spellStart"/>
      <w:r w:rsidRPr="0085565C">
        <w:rPr>
          <w:i/>
          <w:lang w:val="fr-FR"/>
        </w:rPr>
        <w:t>Lagenaria</w:t>
      </w:r>
      <w:proofErr w:type="spellEnd"/>
      <w:r w:rsidRPr="0085565C">
        <w:rPr>
          <w:i/>
          <w:lang w:val="fr-FR"/>
        </w:rPr>
        <w:t xml:space="preserve"> </w:t>
      </w:r>
      <w:proofErr w:type="spellStart"/>
      <w:r w:rsidRPr="0085565C">
        <w:rPr>
          <w:i/>
          <w:lang w:val="fr-FR"/>
        </w:rPr>
        <w:t>siceraria</w:t>
      </w:r>
      <w:proofErr w:type="spellEnd"/>
      <w:r w:rsidRPr="0085565C">
        <w:rPr>
          <w:lang w:val="fr-FR"/>
        </w:rPr>
        <w:t xml:space="preserve"> (Molina) </w:t>
      </w:r>
      <w:proofErr w:type="spellStart"/>
      <w:r w:rsidRPr="0085565C">
        <w:rPr>
          <w:lang w:val="fr-FR"/>
        </w:rPr>
        <w:t>Standl</w:t>
      </w:r>
      <w:proofErr w:type="spellEnd"/>
      <w:r w:rsidRPr="0085565C">
        <w:rPr>
          <w:lang w:val="fr-FR"/>
        </w:rPr>
        <w:t xml:space="preserve">.);  et également </w:t>
      </w:r>
      <w:r w:rsidRPr="0085565C">
        <w:rPr>
          <w:i/>
          <w:lang w:val="fr-FR"/>
        </w:rPr>
        <w:t>‘</w:t>
      </w:r>
      <w:proofErr w:type="spellStart"/>
      <w:r w:rsidRPr="0085565C">
        <w:rPr>
          <w:i/>
          <w:lang w:val="fr-FR"/>
        </w:rPr>
        <w:t>Cucurbita</w:t>
      </w:r>
      <w:proofErr w:type="spellEnd"/>
      <w:r w:rsidRPr="0085565C">
        <w:rPr>
          <w:i/>
          <w:lang w:val="fr-FR"/>
        </w:rPr>
        <w:t xml:space="preserve"> maxima</w:t>
      </w:r>
      <w:r w:rsidRPr="0085565C">
        <w:rPr>
          <w:lang w:val="fr-FR"/>
        </w:rPr>
        <w:t xml:space="preserve"> x </w:t>
      </w:r>
      <w:proofErr w:type="spellStart"/>
      <w:r w:rsidRPr="0085565C">
        <w:rPr>
          <w:i/>
          <w:lang w:val="fr-FR"/>
        </w:rPr>
        <w:t>Cucurbita</w:t>
      </w:r>
      <w:proofErr w:type="spellEnd"/>
      <w:r w:rsidRPr="0085565C">
        <w:rPr>
          <w:i/>
          <w:lang w:val="fr-FR"/>
        </w:rPr>
        <w:t xml:space="preserve"> </w:t>
      </w:r>
      <w:proofErr w:type="spellStart"/>
      <w:r w:rsidRPr="0085565C">
        <w:rPr>
          <w:i/>
          <w:lang w:val="fr-FR"/>
        </w:rPr>
        <w:t>moschata</w:t>
      </w:r>
      <w:proofErr w:type="spellEnd"/>
      <w:r w:rsidRPr="0085565C">
        <w:rPr>
          <w:i/>
          <w:lang w:val="fr-FR"/>
        </w:rPr>
        <w:t>’</w:t>
      </w:r>
      <w:r w:rsidRPr="0085565C">
        <w:rPr>
          <w:lang w:val="fr-FR"/>
        </w:rPr>
        <w:t>.  Les deux espèces sont utilisées comme porte</w:t>
      </w:r>
      <w:r w:rsidRPr="0085565C">
        <w:rPr>
          <w:lang w:val="fr-FR"/>
        </w:rPr>
        <w:noBreakHyphen/>
        <w:t>greffes pour des variétés multipliées par voie végétative.  Les principes directeurs du manioc (</w:t>
      </w:r>
      <w:proofErr w:type="spellStart"/>
      <w:r w:rsidRPr="0085565C">
        <w:rPr>
          <w:i/>
          <w:lang w:val="fr-FR"/>
        </w:rPr>
        <w:t>Manihot</w:t>
      </w:r>
      <w:proofErr w:type="spellEnd"/>
      <w:r w:rsidRPr="0085565C">
        <w:rPr>
          <w:i/>
          <w:lang w:val="fr-FR"/>
        </w:rPr>
        <w:t xml:space="preserve"> </w:t>
      </w:r>
      <w:proofErr w:type="spellStart"/>
      <w:r w:rsidRPr="0085565C">
        <w:rPr>
          <w:i/>
          <w:lang w:val="fr-FR"/>
        </w:rPr>
        <w:t>esculenta</w:t>
      </w:r>
      <w:proofErr w:type="spellEnd"/>
      <w:r w:rsidRPr="0085565C">
        <w:rPr>
          <w:lang w:val="fr-FR"/>
        </w:rPr>
        <w:t xml:space="preserve"> </w:t>
      </w:r>
      <w:proofErr w:type="spellStart"/>
      <w:r w:rsidRPr="0085565C">
        <w:rPr>
          <w:lang w:val="fr-FR"/>
        </w:rPr>
        <w:t>Crantz</w:t>
      </w:r>
      <w:proofErr w:type="spellEnd"/>
      <w:r w:rsidRPr="0085565C">
        <w:rPr>
          <w:lang w:val="fr-FR"/>
        </w:rPr>
        <w:t>.) ont également été finalisés.</w:t>
      </w:r>
    </w:p>
    <w:p w:rsidR="00697CEF" w:rsidRPr="0085565C" w:rsidRDefault="00697CEF" w:rsidP="00697CEF">
      <w:pPr>
        <w:rPr>
          <w:lang w:val="fr-FR"/>
        </w:rPr>
      </w:pPr>
    </w:p>
    <w:p w:rsidR="00697CEF" w:rsidRPr="0085565C" w:rsidRDefault="00697CEF" w:rsidP="00697CEF">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 xml:space="preserve">Il a été convenu des révisions partielles des principes directeurs du concombre, du haricot, du Shiitake, de l’épinard ainsi que d’un certain nombre de principes directeurs couvrant les espèces de </w:t>
      </w:r>
      <w:proofErr w:type="spellStart"/>
      <w:r w:rsidRPr="0085565C">
        <w:rPr>
          <w:i/>
          <w:lang w:val="fr-FR"/>
        </w:rPr>
        <w:t>Brassica</w:t>
      </w:r>
      <w:proofErr w:type="spellEnd"/>
      <w:r w:rsidRPr="0085565C">
        <w:rPr>
          <w:lang w:val="fr-FR"/>
        </w:rPr>
        <w:t>.  La révision des principes directeurs de la lentille a également été finalisée.</w:t>
      </w:r>
    </w:p>
    <w:p w:rsidR="00697CEF" w:rsidRPr="0085565C" w:rsidRDefault="00697CEF" w:rsidP="00697CEF">
      <w:pPr>
        <w:rPr>
          <w:lang w:val="fr-FR"/>
        </w:rPr>
      </w:pPr>
    </w:p>
    <w:p w:rsidR="00697CEF" w:rsidRPr="0085565C" w:rsidRDefault="00697CEF" w:rsidP="00697CEF">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r>
      <w:r w:rsidRPr="0085565C">
        <w:rPr>
          <w:rFonts w:cs="Arial"/>
          <w:lang w:val="fr-FR"/>
        </w:rPr>
        <w:t>À</w:t>
      </w:r>
      <w:r w:rsidRPr="0085565C">
        <w:rPr>
          <w:lang w:val="fr-FR"/>
        </w:rPr>
        <w:t xml:space="preserve"> la quarante</w:t>
      </w:r>
      <w:r w:rsidRPr="0085565C">
        <w:rPr>
          <w:lang w:val="fr-FR"/>
        </w:rPr>
        <w:noBreakHyphen/>
        <w:t>neuvième session, il est prévu d’examiner deux nouveaux principes directeurs, six révisions et quatre révisions partielles.</w:t>
      </w:r>
    </w:p>
    <w:p w:rsidR="00697CEF" w:rsidRPr="0085565C" w:rsidRDefault="00697CEF" w:rsidP="00697CEF">
      <w:pPr>
        <w:rPr>
          <w:lang w:val="fr-FR"/>
        </w:rPr>
      </w:pPr>
    </w:p>
    <w:p w:rsidR="00697CEF" w:rsidRPr="0085565C" w:rsidRDefault="00697CEF" w:rsidP="00697CEF">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r>
      <w:r w:rsidRPr="0085565C">
        <w:rPr>
          <w:rFonts w:cs="Arial"/>
          <w:lang w:val="fr-FR"/>
        </w:rPr>
        <w:t>À</w:t>
      </w:r>
      <w:r w:rsidRPr="0085565C">
        <w:rPr>
          <w:lang w:val="fr-FR"/>
        </w:rPr>
        <w:t xml:space="preserve"> l’invitation de l’Union européenne, le TWV est convenu de tenir sa prochaine réunion à Angers (France), du 15 au 19 juin 2015, son atelier préparatoire se tenant le 14 juin 2015.</w:t>
      </w:r>
    </w:p>
    <w:p w:rsidR="00697CEF" w:rsidRPr="0085565C" w:rsidRDefault="00697CEF" w:rsidP="00697CEF">
      <w:pPr>
        <w:rPr>
          <w:lang w:val="fr-FR"/>
        </w:rPr>
      </w:pPr>
    </w:p>
    <w:p w:rsidR="00697CEF" w:rsidRPr="0085565C" w:rsidRDefault="00697CEF" w:rsidP="00697CEF">
      <w:pPr>
        <w:keepNext/>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TWV a proposé d’examiner les points suivants à sa prochaine session :</w:t>
      </w:r>
    </w:p>
    <w:p w:rsidR="00697CEF" w:rsidRPr="0085565C" w:rsidRDefault="00697CEF" w:rsidP="00697CEF">
      <w:pPr>
        <w:keepNext/>
        <w:rPr>
          <w:lang w:val="fr-FR"/>
        </w:rPr>
      </w:pPr>
    </w:p>
    <w:p w:rsidR="00697CEF" w:rsidRPr="0085565C" w:rsidRDefault="00697CEF" w:rsidP="00697CEF">
      <w:pPr>
        <w:numPr>
          <w:ilvl w:val="0"/>
          <w:numId w:val="19"/>
        </w:numPr>
        <w:tabs>
          <w:tab w:val="clear" w:pos="360"/>
          <w:tab w:val="num" w:pos="1134"/>
        </w:tabs>
        <w:spacing w:before="20" w:afterLines="20" w:after="48"/>
        <w:ind w:left="1134" w:hanging="567"/>
        <w:rPr>
          <w:lang w:val="fr-FR"/>
        </w:rPr>
      </w:pPr>
      <w:r w:rsidRPr="0085565C">
        <w:rPr>
          <w:lang w:val="fr-FR"/>
        </w:rPr>
        <w:t>Ouverture de la session</w:t>
      </w:r>
    </w:p>
    <w:p w:rsidR="00697CEF" w:rsidRPr="0085565C" w:rsidRDefault="00697CEF" w:rsidP="00697CEF">
      <w:pPr>
        <w:numPr>
          <w:ilvl w:val="0"/>
          <w:numId w:val="19"/>
        </w:numPr>
        <w:tabs>
          <w:tab w:val="clear" w:pos="360"/>
          <w:tab w:val="num" w:pos="1134"/>
        </w:tabs>
        <w:spacing w:before="20" w:afterLines="20" w:after="48"/>
        <w:ind w:left="1134" w:hanging="567"/>
        <w:rPr>
          <w:lang w:val="fr-FR"/>
        </w:rPr>
      </w:pPr>
      <w:r w:rsidRPr="0085565C">
        <w:rPr>
          <w:lang w:val="fr-FR"/>
        </w:rPr>
        <w:t>Adoption de l’ordre du jour</w:t>
      </w:r>
    </w:p>
    <w:p w:rsidR="00697CEF" w:rsidRPr="0085565C" w:rsidRDefault="00697CEF" w:rsidP="00697CEF">
      <w:pPr>
        <w:numPr>
          <w:ilvl w:val="0"/>
          <w:numId w:val="19"/>
        </w:numPr>
        <w:tabs>
          <w:tab w:val="clear" w:pos="360"/>
          <w:tab w:val="num" w:pos="1134"/>
        </w:tabs>
        <w:spacing w:before="20" w:afterLines="20" w:after="48"/>
        <w:ind w:left="1134" w:hanging="567"/>
        <w:rPr>
          <w:lang w:val="fr-FR"/>
        </w:rPr>
      </w:pPr>
      <w:r w:rsidRPr="0085565C">
        <w:rPr>
          <w:lang w:val="fr-FR"/>
        </w:rPr>
        <w:t>Rapports succincts sur l’évolution de la situation en matière de protection des obtentions végétales</w:t>
      </w:r>
    </w:p>
    <w:p w:rsidR="00697CEF" w:rsidRPr="0085565C" w:rsidRDefault="00697CEF" w:rsidP="00697CEF">
      <w:pPr>
        <w:numPr>
          <w:ilvl w:val="0"/>
          <w:numId w:val="20"/>
        </w:numPr>
        <w:tabs>
          <w:tab w:val="clear" w:pos="360"/>
          <w:tab w:val="num" w:pos="1134"/>
          <w:tab w:val="num" w:pos="1701"/>
        </w:tabs>
        <w:spacing w:before="20" w:afterLines="20" w:after="48"/>
        <w:ind w:left="1134" w:firstLine="0"/>
        <w:rPr>
          <w:lang w:val="fr-FR"/>
        </w:rPr>
      </w:pPr>
      <w:r w:rsidRPr="0085565C">
        <w:rPr>
          <w:lang w:val="fr-FR"/>
        </w:rPr>
        <w:t>rapports des membres et des observateurs</w:t>
      </w:r>
    </w:p>
    <w:p w:rsidR="00697CEF" w:rsidRPr="0085565C" w:rsidRDefault="00697CEF" w:rsidP="00697CEF">
      <w:pPr>
        <w:numPr>
          <w:ilvl w:val="0"/>
          <w:numId w:val="20"/>
        </w:numPr>
        <w:tabs>
          <w:tab w:val="clear" w:pos="360"/>
          <w:tab w:val="num" w:pos="1134"/>
          <w:tab w:val="num" w:pos="1701"/>
        </w:tabs>
        <w:spacing w:before="20" w:afterLines="20" w:after="48"/>
        <w:ind w:left="1134" w:firstLine="0"/>
        <w:rPr>
          <w:lang w:val="fr-FR"/>
        </w:rPr>
      </w:pPr>
      <w:r w:rsidRPr="0085565C">
        <w:rPr>
          <w:lang w:val="fr-FR"/>
        </w:rPr>
        <w:t>rapports sur les faits nouveaux au sein de l’UPOV;</w:t>
      </w:r>
    </w:p>
    <w:p w:rsidR="00697CEF" w:rsidRPr="0085565C" w:rsidRDefault="00697CEF" w:rsidP="00697CEF">
      <w:pPr>
        <w:numPr>
          <w:ilvl w:val="0"/>
          <w:numId w:val="19"/>
        </w:numPr>
        <w:tabs>
          <w:tab w:val="clear" w:pos="360"/>
        </w:tabs>
        <w:spacing w:before="20" w:afterLines="20" w:after="48"/>
        <w:ind w:left="1134" w:hanging="567"/>
        <w:rPr>
          <w:lang w:val="fr-FR"/>
        </w:rPr>
      </w:pPr>
      <w:r w:rsidRPr="0085565C">
        <w:rPr>
          <w:lang w:val="fr-FR"/>
        </w:rPr>
        <w:t>Techniques moléculaires</w:t>
      </w:r>
    </w:p>
    <w:p w:rsidR="00697CEF" w:rsidRPr="0085565C" w:rsidRDefault="00697CEF" w:rsidP="00697CEF">
      <w:pPr>
        <w:numPr>
          <w:ilvl w:val="0"/>
          <w:numId w:val="20"/>
        </w:numPr>
        <w:tabs>
          <w:tab w:val="clear" w:pos="360"/>
          <w:tab w:val="num" w:pos="1134"/>
          <w:tab w:val="num" w:pos="1701"/>
        </w:tabs>
        <w:spacing w:before="20" w:afterLines="20" w:after="48"/>
        <w:ind w:left="1134" w:firstLine="0"/>
        <w:rPr>
          <w:lang w:val="fr-FR"/>
        </w:rPr>
      </w:pPr>
      <w:r w:rsidRPr="0085565C">
        <w:rPr>
          <w:lang w:val="fr-FR"/>
        </w:rPr>
        <w:t>les faits nouveaux au sein de l’UPOV</w:t>
      </w:r>
    </w:p>
    <w:p w:rsidR="00697CEF" w:rsidRPr="0085565C" w:rsidRDefault="00697CEF" w:rsidP="00697CEF">
      <w:pPr>
        <w:numPr>
          <w:ilvl w:val="0"/>
          <w:numId w:val="20"/>
        </w:numPr>
        <w:tabs>
          <w:tab w:val="clear" w:pos="360"/>
          <w:tab w:val="num" w:pos="1134"/>
          <w:tab w:val="num" w:pos="1701"/>
        </w:tabs>
        <w:spacing w:before="20" w:afterLines="20" w:after="48"/>
        <w:ind w:left="1134" w:firstLine="0"/>
        <w:rPr>
          <w:lang w:val="fr-FR"/>
        </w:rPr>
      </w:pPr>
      <w:r w:rsidRPr="0085565C">
        <w:rPr>
          <w:lang w:val="fr-FR"/>
        </w:rPr>
        <w:t>exposé sur l’utilisation de techniques moléculaires dans l’examen DHS</w:t>
      </w:r>
    </w:p>
    <w:p w:rsidR="00697CEF" w:rsidRPr="0085565C" w:rsidRDefault="00697CEF" w:rsidP="00697CEF">
      <w:pPr>
        <w:numPr>
          <w:ilvl w:val="0"/>
          <w:numId w:val="19"/>
        </w:numPr>
        <w:tabs>
          <w:tab w:val="clear" w:pos="360"/>
        </w:tabs>
        <w:spacing w:before="20" w:afterLines="20" w:after="48"/>
        <w:ind w:left="1134" w:hanging="567"/>
        <w:rPr>
          <w:lang w:val="fr-FR"/>
        </w:rPr>
      </w:pPr>
      <w:r w:rsidRPr="0085565C">
        <w:rPr>
          <w:lang w:val="fr-FR"/>
        </w:rPr>
        <w:t>Documents TGP</w:t>
      </w:r>
    </w:p>
    <w:p w:rsidR="00697CEF" w:rsidRPr="0085565C" w:rsidRDefault="00697CEF" w:rsidP="00697CEF">
      <w:pPr>
        <w:numPr>
          <w:ilvl w:val="0"/>
          <w:numId w:val="19"/>
        </w:numPr>
        <w:tabs>
          <w:tab w:val="clear" w:pos="360"/>
        </w:tabs>
        <w:spacing w:before="20" w:afterLines="20" w:after="48"/>
        <w:ind w:left="1134" w:hanging="567"/>
        <w:rPr>
          <w:lang w:val="fr-FR"/>
        </w:rPr>
      </w:pPr>
      <w:r w:rsidRPr="0085565C">
        <w:rPr>
          <w:lang w:val="fr-FR"/>
        </w:rPr>
        <w:t>Dénominations variétales</w:t>
      </w:r>
    </w:p>
    <w:p w:rsidR="00697CEF" w:rsidRPr="0085565C" w:rsidRDefault="00697CEF" w:rsidP="00697CEF">
      <w:pPr>
        <w:numPr>
          <w:ilvl w:val="0"/>
          <w:numId w:val="19"/>
        </w:numPr>
        <w:tabs>
          <w:tab w:val="clear" w:pos="360"/>
        </w:tabs>
        <w:spacing w:before="20" w:afterLines="20" w:after="48"/>
        <w:ind w:left="1134" w:hanging="567"/>
        <w:rPr>
          <w:lang w:val="fr-FR"/>
        </w:rPr>
      </w:pPr>
      <w:r w:rsidRPr="0085565C">
        <w:rPr>
          <w:lang w:val="fr-FR"/>
        </w:rPr>
        <w:t>Information et bases de données</w:t>
      </w:r>
    </w:p>
    <w:p w:rsidR="00697CEF" w:rsidRPr="0085565C" w:rsidRDefault="00697CEF" w:rsidP="00697CEF">
      <w:pPr>
        <w:numPr>
          <w:ilvl w:val="0"/>
          <w:numId w:val="24"/>
        </w:numPr>
        <w:tabs>
          <w:tab w:val="clear" w:pos="360"/>
        </w:tabs>
        <w:spacing w:before="20" w:afterLines="20" w:after="48"/>
        <w:ind w:firstLine="774"/>
        <w:rPr>
          <w:lang w:val="fr-FR"/>
        </w:rPr>
      </w:pPr>
      <w:r w:rsidRPr="0085565C">
        <w:rPr>
          <w:lang w:val="fr-FR"/>
        </w:rPr>
        <w:t>bases de données d’information de l’UPOV</w:t>
      </w:r>
    </w:p>
    <w:p w:rsidR="00697CEF" w:rsidRPr="0085565C" w:rsidRDefault="00697CEF" w:rsidP="00697CEF">
      <w:pPr>
        <w:numPr>
          <w:ilvl w:val="0"/>
          <w:numId w:val="24"/>
        </w:numPr>
        <w:tabs>
          <w:tab w:val="clear" w:pos="360"/>
          <w:tab w:val="num" w:pos="1134"/>
          <w:tab w:val="num" w:pos="1701"/>
        </w:tabs>
        <w:spacing w:before="20" w:afterLines="20" w:after="48"/>
        <w:ind w:left="1134" w:firstLine="0"/>
        <w:rPr>
          <w:lang w:val="fr-FR"/>
        </w:rPr>
      </w:pPr>
      <w:r w:rsidRPr="0085565C">
        <w:rPr>
          <w:lang w:val="fr-FR"/>
        </w:rPr>
        <w:t>base de données sur les descriptions variétales</w:t>
      </w:r>
    </w:p>
    <w:p w:rsidR="00697CEF" w:rsidRPr="0085565C" w:rsidRDefault="00697CEF" w:rsidP="00697CEF">
      <w:pPr>
        <w:numPr>
          <w:ilvl w:val="0"/>
          <w:numId w:val="24"/>
        </w:numPr>
        <w:tabs>
          <w:tab w:val="clear" w:pos="360"/>
          <w:tab w:val="num" w:pos="1134"/>
          <w:tab w:val="num" w:pos="1701"/>
        </w:tabs>
        <w:spacing w:before="20" w:afterLines="20" w:after="48"/>
        <w:ind w:left="1134" w:firstLine="0"/>
        <w:rPr>
          <w:lang w:val="fr-FR"/>
        </w:rPr>
      </w:pPr>
      <w:r w:rsidRPr="0085565C">
        <w:rPr>
          <w:lang w:val="fr-FR"/>
        </w:rPr>
        <w:t>logiciels échangeables</w:t>
      </w:r>
    </w:p>
    <w:p w:rsidR="00697CEF" w:rsidRPr="0085565C" w:rsidRDefault="00697CEF" w:rsidP="00697CEF">
      <w:pPr>
        <w:numPr>
          <w:ilvl w:val="0"/>
          <w:numId w:val="24"/>
        </w:numPr>
        <w:tabs>
          <w:tab w:val="clear" w:pos="360"/>
          <w:tab w:val="num" w:pos="1134"/>
          <w:tab w:val="num" w:pos="1701"/>
        </w:tabs>
        <w:spacing w:before="20" w:afterLines="20" w:after="48"/>
        <w:ind w:left="1134" w:firstLine="0"/>
        <w:rPr>
          <w:lang w:val="fr-FR"/>
        </w:rPr>
      </w:pPr>
      <w:r w:rsidRPr="0085565C">
        <w:rPr>
          <w:lang w:val="fr-FR"/>
        </w:rPr>
        <w:t>systèmes de dépôt électronique des demandes</w:t>
      </w:r>
    </w:p>
    <w:p w:rsidR="00697CEF" w:rsidRPr="0085565C" w:rsidRDefault="00697CEF" w:rsidP="00697CEF">
      <w:pPr>
        <w:numPr>
          <w:ilvl w:val="0"/>
          <w:numId w:val="19"/>
        </w:numPr>
        <w:tabs>
          <w:tab w:val="clear" w:pos="360"/>
        </w:tabs>
        <w:spacing w:before="20" w:afterLines="20" w:after="48"/>
        <w:ind w:left="1134" w:hanging="567"/>
        <w:rPr>
          <w:lang w:val="fr-FR"/>
        </w:rPr>
      </w:pPr>
      <w:r w:rsidRPr="0085565C">
        <w:rPr>
          <w:lang w:val="fr-FR"/>
        </w:rPr>
        <w:t>Évaluation de l’homogénéité</w:t>
      </w:r>
    </w:p>
    <w:p w:rsidR="00697CEF" w:rsidRPr="0085565C" w:rsidRDefault="00697CEF" w:rsidP="00697CEF">
      <w:pPr>
        <w:numPr>
          <w:ilvl w:val="0"/>
          <w:numId w:val="19"/>
        </w:numPr>
        <w:tabs>
          <w:tab w:val="clear" w:pos="360"/>
        </w:tabs>
        <w:spacing w:before="20" w:afterLines="20" w:after="48"/>
        <w:ind w:left="1134" w:hanging="567"/>
        <w:rPr>
          <w:lang w:val="fr-FR"/>
        </w:rPr>
      </w:pPr>
      <w:r w:rsidRPr="0085565C">
        <w:rPr>
          <w:lang w:val="fr-FR"/>
        </w:rPr>
        <w:t>La gestion des collections de référence</w:t>
      </w:r>
    </w:p>
    <w:p w:rsidR="00697CEF" w:rsidRPr="0085565C" w:rsidRDefault="00697CEF" w:rsidP="00697CEF">
      <w:pPr>
        <w:numPr>
          <w:ilvl w:val="0"/>
          <w:numId w:val="19"/>
        </w:numPr>
        <w:tabs>
          <w:tab w:val="clear" w:pos="360"/>
        </w:tabs>
        <w:spacing w:before="20" w:afterLines="20" w:after="48"/>
        <w:ind w:left="1134" w:hanging="567"/>
        <w:rPr>
          <w:lang w:val="fr-FR"/>
        </w:rPr>
      </w:pPr>
      <w:r w:rsidRPr="0085565C">
        <w:rPr>
          <w:lang w:val="fr-FR"/>
        </w:rPr>
        <w:t>Nouvelles questions se posant pour l’examen DHS</w:t>
      </w:r>
    </w:p>
    <w:p w:rsidR="00697CEF" w:rsidRPr="0085565C" w:rsidRDefault="00697CEF" w:rsidP="00697CEF">
      <w:pPr>
        <w:numPr>
          <w:ilvl w:val="0"/>
          <w:numId w:val="19"/>
        </w:numPr>
        <w:tabs>
          <w:tab w:val="clear" w:pos="360"/>
        </w:tabs>
        <w:spacing w:before="20" w:afterLines="20" w:after="48"/>
        <w:ind w:left="1134" w:hanging="567"/>
        <w:rPr>
          <w:lang w:val="fr-FR"/>
        </w:rPr>
      </w:pPr>
      <w:r w:rsidRPr="0085565C">
        <w:rPr>
          <w:lang w:val="fr-FR"/>
        </w:rPr>
        <w:t>Utilisation de caractères de résistance aux maladies dans l’examen DHS</w:t>
      </w:r>
    </w:p>
    <w:p w:rsidR="00697CEF" w:rsidRPr="0085565C" w:rsidRDefault="00697CEF" w:rsidP="00697CEF">
      <w:pPr>
        <w:numPr>
          <w:ilvl w:val="0"/>
          <w:numId w:val="19"/>
        </w:numPr>
        <w:tabs>
          <w:tab w:val="clear" w:pos="360"/>
        </w:tabs>
        <w:spacing w:before="20" w:afterLines="20" w:after="48"/>
        <w:ind w:left="1134" w:hanging="567"/>
        <w:rPr>
          <w:lang w:val="fr-FR"/>
        </w:rPr>
      </w:pPr>
      <w:r w:rsidRPr="0085565C">
        <w:rPr>
          <w:lang w:val="fr-FR"/>
        </w:rPr>
        <w:t>Questions à résoudre concernant les principes directeurs adoptés par le Comité technique (le cas échéant)</w:t>
      </w:r>
    </w:p>
    <w:p w:rsidR="00697CEF" w:rsidRPr="0085565C" w:rsidRDefault="00697CEF" w:rsidP="00697CEF">
      <w:pPr>
        <w:numPr>
          <w:ilvl w:val="0"/>
          <w:numId w:val="19"/>
        </w:numPr>
        <w:tabs>
          <w:tab w:val="clear" w:pos="360"/>
        </w:tabs>
        <w:spacing w:before="20" w:afterLines="20" w:after="48"/>
        <w:ind w:left="1134" w:hanging="567"/>
        <w:rPr>
          <w:lang w:val="fr-FR"/>
        </w:rPr>
      </w:pPr>
      <w:r w:rsidRPr="0085565C">
        <w:rPr>
          <w:lang w:val="fr-FR"/>
        </w:rPr>
        <w:t>Examen des projets de principes directeurs d’examen (sous</w:t>
      </w:r>
      <w:r w:rsidRPr="0085565C">
        <w:rPr>
          <w:lang w:val="fr-FR"/>
        </w:rPr>
        <w:noBreakHyphen/>
        <w:t>groupes)</w:t>
      </w:r>
    </w:p>
    <w:p w:rsidR="00697CEF" w:rsidRPr="0085565C" w:rsidRDefault="00697CEF" w:rsidP="00697CEF">
      <w:pPr>
        <w:numPr>
          <w:ilvl w:val="0"/>
          <w:numId w:val="19"/>
        </w:numPr>
        <w:tabs>
          <w:tab w:val="clear" w:pos="360"/>
        </w:tabs>
        <w:spacing w:before="20" w:afterLines="20" w:after="48"/>
        <w:ind w:left="1134" w:hanging="567"/>
        <w:rPr>
          <w:lang w:val="fr-FR"/>
        </w:rPr>
      </w:pPr>
      <w:r w:rsidRPr="0085565C">
        <w:rPr>
          <w:lang w:val="fr-FR"/>
        </w:rPr>
        <w:t>recommandations concernant les projets de principes directeurs d’examen</w:t>
      </w:r>
    </w:p>
    <w:p w:rsidR="00697CEF" w:rsidRPr="0085565C" w:rsidRDefault="00697CEF" w:rsidP="00697CEF">
      <w:pPr>
        <w:numPr>
          <w:ilvl w:val="0"/>
          <w:numId w:val="19"/>
        </w:numPr>
        <w:tabs>
          <w:tab w:val="clear" w:pos="360"/>
        </w:tabs>
        <w:spacing w:before="20" w:afterLines="20" w:after="48"/>
        <w:ind w:left="1134" w:hanging="567"/>
        <w:rPr>
          <w:lang w:val="fr-FR"/>
        </w:rPr>
      </w:pPr>
      <w:r w:rsidRPr="0085565C">
        <w:rPr>
          <w:lang w:val="fr-FR"/>
        </w:rPr>
        <w:t>Orientations pour les rédacteurs de principes directeurs d’examen</w:t>
      </w:r>
    </w:p>
    <w:p w:rsidR="00697CEF" w:rsidRPr="0085565C" w:rsidRDefault="00697CEF" w:rsidP="00697CEF">
      <w:pPr>
        <w:numPr>
          <w:ilvl w:val="0"/>
          <w:numId w:val="19"/>
        </w:numPr>
        <w:tabs>
          <w:tab w:val="clear" w:pos="360"/>
        </w:tabs>
        <w:spacing w:before="20" w:afterLines="20" w:after="48"/>
        <w:ind w:left="1134" w:hanging="567"/>
        <w:rPr>
          <w:lang w:val="fr-FR"/>
        </w:rPr>
      </w:pPr>
      <w:r w:rsidRPr="0085565C">
        <w:rPr>
          <w:lang w:val="fr-FR"/>
        </w:rPr>
        <w:t>Date et lieu de la prochaine session</w:t>
      </w:r>
    </w:p>
    <w:p w:rsidR="00697CEF" w:rsidRPr="0085565C" w:rsidRDefault="00697CEF" w:rsidP="00697CEF">
      <w:pPr>
        <w:numPr>
          <w:ilvl w:val="0"/>
          <w:numId w:val="19"/>
        </w:numPr>
        <w:tabs>
          <w:tab w:val="clear" w:pos="360"/>
        </w:tabs>
        <w:spacing w:before="20" w:afterLines="20" w:after="48"/>
        <w:ind w:left="1134" w:hanging="567"/>
        <w:rPr>
          <w:lang w:val="fr-FR"/>
        </w:rPr>
      </w:pPr>
      <w:r w:rsidRPr="0085565C">
        <w:rPr>
          <w:lang w:val="fr-FR"/>
        </w:rPr>
        <w:t>Programme futur</w:t>
      </w:r>
    </w:p>
    <w:p w:rsidR="00697CEF" w:rsidRPr="0085565C" w:rsidRDefault="00697CEF" w:rsidP="00697CEF">
      <w:pPr>
        <w:numPr>
          <w:ilvl w:val="0"/>
          <w:numId w:val="19"/>
        </w:numPr>
        <w:tabs>
          <w:tab w:val="clear" w:pos="360"/>
        </w:tabs>
        <w:spacing w:before="20" w:afterLines="20" w:after="48"/>
        <w:ind w:left="1134" w:hanging="567"/>
        <w:rPr>
          <w:lang w:val="fr-FR"/>
        </w:rPr>
      </w:pPr>
      <w:r w:rsidRPr="0085565C">
        <w:rPr>
          <w:lang w:val="fr-FR"/>
        </w:rPr>
        <w:t>Compte rendu de la session (selon le temps disponible)</w:t>
      </w:r>
    </w:p>
    <w:p w:rsidR="00697CEF" w:rsidRPr="0085565C" w:rsidRDefault="00697CEF" w:rsidP="00697CEF">
      <w:pPr>
        <w:numPr>
          <w:ilvl w:val="0"/>
          <w:numId w:val="19"/>
        </w:numPr>
        <w:tabs>
          <w:tab w:val="clear" w:pos="360"/>
        </w:tabs>
        <w:spacing w:before="20" w:afterLines="20" w:after="48"/>
        <w:ind w:left="1134" w:hanging="567"/>
        <w:rPr>
          <w:lang w:val="fr-FR"/>
        </w:rPr>
      </w:pPr>
      <w:r w:rsidRPr="0085565C">
        <w:rPr>
          <w:lang w:val="fr-FR"/>
        </w:rPr>
        <w:t>Clôture de la session</w:t>
      </w:r>
    </w:p>
    <w:p w:rsidR="00697CEF" w:rsidRPr="0085565C" w:rsidRDefault="00697CEF" w:rsidP="00697CEF">
      <w:pPr>
        <w:rPr>
          <w:lang w:val="fr-FR"/>
        </w:rPr>
      </w:pPr>
    </w:p>
    <w:p w:rsidR="00697CEF" w:rsidRPr="0085565C" w:rsidRDefault="00697CEF" w:rsidP="00697CEF">
      <w:pPr>
        <w:rPr>
          <w:lang w:val="fr-FR"/>
        </w:rPr>
      </w:pPr>
    </w:p>
    <w:p w:rsidR="00697CEF" w:rsidRPr="0085565C" w:rsidRDefault="00697CEF" w:rsidP="00167941">
      <w:pPr>
        <w:pStyle w:val="Heading2"/>
        <w:rPr>
          <w:lang w:val="fr-FR"/>
        </w:rPr>
      </w:pPr>
      <w:bookmarkStart w:id="63" w:name="_Toc428287729"/>
      <w:r w:rsidRPr="0085565C">
        <w:rPr>
          <w:lang w:val="fr-FR"/>
        </w:rPr>
        <w:lastRenderedPageBreak/>
        <w:t>Groupe de travail sur les techniques biochimiques et moléculaires, notamment les profils d’AND (BMT)</w:t>
      </w:r>
      <w:bookmarkEnd w:id="63"/>
    </w:p>
    <w:p w:rsidR="00697CEF" w:rsidRPr="0085565C" w:rsidRDefault="00697CEF" w:rsidP="00167941">
      <w:pPr>
        <w:keepNext/>
        <w:rPr>
          <w:lang w:val="fr-FR"/>
        </w:rPr>
      </w:pPr>
    </w:p>
    <w:p w:rsidR="00697CEF" w:rsidRPr="0085565C" w:rsidRDefault="00697CEF" w:rsidP="00697CEF">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BMT a tenu sa quatorzième session à Séoul (République de Corée) du 10 au 13 novembre 2014.  M. </w:t>
      </w:r>
      <w:proofErr w:type="spellStart"/>
      <w:r w:rsidRPr="0085565C">
        <w:rPr>
          <w:lang w:val="fr-FR" w:eastAsia="ja-JP"/>
        </w:rPr>
        <w:t>Hyun</w:t>
      </w:r>
      <w:proofErr w:type="spellEnd"/>
      <w:r w:rsidRPr="0085565C">
        <w:rPr>
          <w:lang w:val="fr-FR" w:eastAsia="ja-JP"/>
        </w:rPr>
        <w:t xml:space="preserve"> Kwan Shin, directeur général du Service coréen des semences et des variétés (KSVS) a souhaité la bienvenue aux participants de la session, qui ont suivi un exposé par M. </w:t>
      </w:r>
      <w:proofErr w:type="spellStart"/>
      <w:r w:rsidRPr="0085565C">
        <w:rPr>
          <w:lang w:val="fr-FR" w:eastAsia="ja-JP"/>
        </w:rPr>
        <w:t>Moo</w:t>
      </w:r>
      <w:proofErr w:type="spellEnd"/>
      <w:r w:rsidRPr="0085565C">
        <w:rPr>
          <w:lang w:val="fr-FR" w:eastAsia="ja-JP"/>
        </w:rPr>
        <w:t xml:space="preserve"> </w:t>
      </w:r>
      <w:proofErr w:type="spellStart"/>
      <w:r w:rsidRPr="0085565C">
        <w:rPr>
          <w:lang w:val="fr-FR" w:eastAsia="ja-JP"/>
        </w:rPr>
        <w:t>Kyung</w:t>
      </w:r>
      <w:proofErr w:type="spellEnd"/>
      <w:r w:rsidRPr="0085565C">
        <w:rPr>
          <w:lang w:val="fr-FR" w:eastAsia="ja-JP"/>
        </w:rPr>
        <w:t> Yoon, directeur de la Division de la protection des obtentions végétales au KSVS sur la protection des obtentions végétales en République de Corée.</w:t>
      </w:r>
      <w:r w:rsidRPr="0085565C">
        <w:rPr>
          <w:lang w:val="fr-FR"/>
        </w:rPr>
        <w:t xml:space="preserve">  M.</w:t>
      </w:r>
      <w:r w:rsidRPr="0085565C">
        <w:rPr>
          <w:lang w:val="fr-FR" w:eastAsia="ja-JP"/>
        </w:rPr>
        <w:t> </w:t>
      </w:r>
      <w:r w:rsidRPr="0085565C">
        <w:rPr>
          <w:lang w:val="fr-FR"/>
        </w:rPr>
        <w:t>Alejandro F. </w:t>
      </w:r>
      <w:proofErr w:type="spellStart"/>
      <w:r w:rsidRPr="0085565C">
        <w:rPr>
          <w:lang w:val="fr-FR"/>
        </w:rPr>
        <w:t>Barrientos</w:t>
      </w:r>
      <w:proofErr w:type="spellEnd"/>
      <w:r w:rsidRPr="0085565C">
        <w:rPr>
          <w:lang w:val="fr-FR"/>
        </w:rPr>
        <w:t xml:space="preserve"> </w:t>
      </w:r>
      <w:proofErr w:type="spellStart"/>
      <w:r w:rsidRPr="0085565C">
        <w:rPr>
          <w:lang w:val="fr-FR"/>
        </w:rPr>
        <w:t>Priego</w:t>
      </w:r>
      <w:proofErr w:type="spellEnd"/>
      <w:r w:rsidRPr="0085565C">
        <w:rPr>
          <w:lang w:val="fr-FR"/>
        </w:rPr>
        <w:t xml:space="preserve"> (Mexique), président du BMT, a ouvert la session.</w:t>
      </w:r>
    </w:p>
    <w:p w:rsidR="00697CEF" w:rsidRPr="0085565C" w:rsidRDefault="00697CEF" w:rsidP="00697CEF">
      <w:pPr>
        <w:rPr>
          <w:lang w:val="fr-FR"/>
        </w:rPr>
      </w:pPr>
    </w:p>
    <w:p w:rsidR="00697CEF" w:rsidRPr="0085565C" w:rsidRDefault="00697CEF" w:rsidP="00697CEF">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Un atelier préparatoire s’est tenu le 9 novembre 2014, et a rassemblé 20 participants représentant sept membres de l’Union, un État ayant le statut d’observateur et une organisation ayant le statut d’observateur.  La session du BMT a réuni 44 participants représentant 10 membres de l’Union, un État ayant le statut d’observateur et deux organisations ayant le statut d’observateur.</w:t>
      </w:r>
    </w:p>
    <w:p w:rsidR="00697CEF" w:rsidRPr="0085565C" w:rsidRDefault="00697CEF" w:rsidP="00697CEF">
      <w:pPr>
        <w:rPr>
          <w:lang w:val="fr-FR"/>
        </w:rPr>
      </w:pPr>
    </w:p>
    <w:p w:rsidR="00697CEF" w:rsidRPr="0085565C" w:rsidRDefault="00697CEF" w:rsidP="00697CEF">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BMT a suivi les exposés suivants sur les faits nouveaux survenus en matière de techniques biochimiques et moléculaires, présentés par les spécialistes de l’examen DHS, des spécialistes des techniques biochimiques et moléculaires, des obtenteurs et les organisations internationales concernées :</w:t>
      </w:r>
    </w:p>
    <w:p w:rsidR="00697CEF" w:rsidRPr="0085565C" w:rsidRDefault="00697CEF" w:rsidP="00697CEF">
      <w:pPr>
        <w:rPr>
          <w:lang w:val="fr-FR"/>
        </w:rPr>
      </w:pPr>
    </w:p>
    <w:p w:rsidR="00697CEF" w:rsidRPr="0085565C" w:rsidRDefault="00697CEF" w:rsidP="00697CEF">
      <w:pPr>
        <w:pStyle w:val="ListParagraph"/>
        <w:numPr>
          <w:ilvl w:val="0"/>
          <w:numId w:val="27"/>
        </w:numPr>
        <w:ind w:left="1134" w:hanging="567"/>
        <w:rPr>
          <w:lang w:val="fr-FR"/>
        </w:rPr>
      </w:pPr>
      <w:r w:rsidRPr="0085565C">
        <w:rPr>
          <w:lang w:val="fr-FR"/>
        </w:rPr>
        <w:t>Utilisation de variétés de référence pour l’examen de la distinction de variétés : méthode étudiée aux États</w:t>
      </w:r>
      <w:r w:rsidRPr="0085565C">
        <w:rPr>
          <w:lang w:val="fr-FR"/>
        </w:rPr>
        <w:noBreakHyphen/>
        <w:t>Unis d’Amérique potentiellement applicable à la protection des obtentions végétales</w:t>
      </w:r>
    </w:p>
    <w:p w:rsidR="00697CEF" w:rsidRPr="0085565C" w:rsidRDefault="00697CEF" w:rsidP="00697CEF">
      <w:pPr>
        <w:pStyle w:val="ListParagraph"/>
        <w:numPr>
          <w:ilvl w:val="0"/>
          <w:numId w:val="27"/>
        </w:numPr>
        <w:ind w:left="1134" w:hanging="567"/>
        <w:rPr>
          <w:iCs/>
          <w:lang w:val="fr-FR" w:eastAsia="ja-JP"/>
        </w:rPr>
      </w:pPr>
      <w:r w:rsidRPr="0085565C">
        <w:rPr>
          <w:lang w:val="fr-FR" w:eastAsia="ja-JP"/>
        </w:rPr>
        <w:t>Utilisation de marqueurs génétiques liés à trois caractères DHS pour l’i</w:t>
      </w:r>
      <w:r w:rsidRPr="0085565C">
        <w:rPr>
          <w:lang w:val="fr-FR"/>
        </w:rPr>
        <w:t>dentification des variétés de riz</w:t>
      </w:r>
    </w:p>
    <w:p w:rsidR="00697CEF" w:rsidRPr="0085565C" w:rsidRDefault="00697CEF" w:rsidP="00697CEF">
      <w:pPr>
        <w:pStyle w:val="ListParagraph"/>
        <w:numPr>
          <w:ilvl w:val="0"/>
          <w:numId w:val="27"/>
        </w:numPr>
        <w:ind w:left="1134" w:hanging="567"/>
        <w:rPr>
          <w:iCs/>
          <w:lang w:val="fr-FR" w:eastAsia="ja-JP"/>
        </w:rPr>
      </w:pPr>
      <w:r w:rsidRPr="0085565C">
        <w:rPr>
          <w:lang w:val="fr-FR"/>
        </w:rPr>
        <w:t>Utilisation de marqueurs moléculaires (SNP) pour l’examen DHS du maïs</w:t>
      </w:r>
    </w:p>
    <w:p w:rsidR="00697CEF" w:rsidRPr="0085565C" w:rsidRDefault="00697CEF" w:rsidP="00697CEF">
      <w:pPr>
        <w:pStyle w:val="ListParagraph"/>
        <w:numPr>
          <w:ilvl w:val="0"/>
          <w:numId w:val="27"/>
        </w:numPr>
        <w:ind w:left="1134" w:hanging="567"/>
        <w:rPr>
          <w:lang w:val="fr-FR" w:eastAsia="ja-JP"/>
        </w:rPr>
      </w:pPr>
      <w:r w:rsidRPr="0085565C">
        <w:rPr>
          <w:lang w:val="fr-FR" w:eastAsia="ja-JP"/>
        </w:rPr>
        <w:t>Utilisations potentielles de marqueurs moléculaires dans la gestion des variétés de roses pour le système de protection des obtentions végétales</w:t>
      </w:r>
    </w:p>
    <w:p w:rsidR="00697CEF" w:rsidRPr="0085565C" w:rsidRDefault="00697CEF" w:rsidP="00697CEF">
      <w:pPr>
        <w:pStyle w:val="ListParagraph"/>
        <w:numPr>
          <w:ilvl w:val="0"/>
          <w:numId w:val="27"/>
        </w:numPr>
        <w:ind w:left="1134" w:hanging="567"/>
        <w:rPr>
          <w:lang w:val="fr-FR"/>
        </w:rPr>
      </w:pPr>
      <w:r w:rsidRPr="0085565C">
        <w:rPr>
          <w:lang w:val="fr-FR"/>
        </w:rPr>
        <w:t>Mise au point de marqueurs EST</w:t>
      </w:r>
      <w:r w:rsidRPr="0085565C">
        <w:rPr>
          <w:lang w:val="fr-FR"/>
        </w:rPr>
        <w:noBreakHyphen/>
        <w:t>SSR chez la laitue et identification de variétés au moyen de ces marqueurs</w:t>
      </w:r>
    </w:p>
    <w:p w:rsidR="00697CEF" w:rsidRPr="0085565C" w:rsidRDefault="00697CEF" w:rsidP="00697CEF">
      <w:pPr>
        <w:pStyle w:val="ListParagraph"/>
        <w:numPr>
          <w:ilvl w:val="0"/>
          <w:numId w:val="27"/>
        </w:numPr>
        <w:ind w:left="1134" w:hanging="567"/>
        <w:rPr>
          <w:lang w:val="fr-FR"/>
        </w:rPr>
      </w:pPr>
      <w:r w:rsidRPr="0085565C">
        <w:rPr>
          <w:lang w:val="fr-FR"/>
        </w:rPr>
        <w:t>Utilisation de marqueurs SSR pour l’élaboration d’une base de données de profil d’ADN des variétés de fraises</w:t>
      </w:r>
    </w:p>
    <w:p w:rsidR="00697CEF" w:rsidRPr="0085565C" w:rsidRDefault="00697CEF" w:rsidP="00697CEF">
      <w:pPr>
        <w:pStyle w:val="ListParagraph"/>
        <w:numPr>
          <w:ilvl w:val="0"/>
          <w:numId w:val="27"/>
        </w:numPr>
        <w:ind w:left="1134" w:hanging="567"/>
        <w:rPr>
          <w:lang w:val="fr-FR"/>
        </w:rPr>
      </w:pPr>
      <w:r w:rsidRPr="0085565C">
        <w:rPr>
          <w:lang w:val="fr-FR"/>
        </w:rPr>
        <w:t>Utilisation de techniques faisant intervenir des marqueurs moléculaires aux fins de la sélection d’une “variété voisine” d’une “variété candidate”</w:t>
      </w:r>
    </w:p>
    <w:p w:rsidR="00697CEF" w:rsidRPr="0085565C" w:rsidRDefault="00697CEF" w:rsidP="00697CEF">
      <w:pPr>
        <w:pStyle w:val="ListParagraph"/>
        <w:numPr>
          <w:ilvl w:val="0"/>
          <w:numId w:val="27"/>
        </w:numPr>
        <w:ind w:left="1134" w:hanging="567"/>
        <w:rPr>
          <w:lang w:val="fr-FR"/>
        </w:rPr>
      </w:pPr>
      <w:r w:rsidRPr="0085565C">
        <w:rPr>
          <w:lang w:val="fr-FR"/>
        </w:rPr>
        <w:t>Amélioration de l’examen DHS du ray</w:t>
      </w:r>
      <w:r w:rsidRPr="0085565C">
        <w:rPr>
          <w:lang w:val="fr-FR"/>
        </w:rPr>
        <w:noBreakHyphen/>
        <w:t>grass pérenne en combinant les écarts morphologiques et moléculaires des variétés</w:t>
      </w:r>
    </w:p>
    <w:p w:rsidR="00697CEF" w:rsidRPr="0085565C" w:rsidRDefault="00697CEF" w:rsidP="00697CEF">
      <w:pPr>
        <w:pStyle w:val="ListParagraph"/>
        <w:numPr>
          <w:ilvl w:val="0"/>
          <w:numId w:val="27"/>
        </w:numPr>
        <w:ind w:left="1134" w:hanging="567"/>
        <w:rPr>
          <w:lang w:val="fr-FR" w:eastAsia="ja-JP"/>
        </w:rPr>
      </w:pPr>
      <w:r w:rsidRPr="0085565C">
        <w:rPr>
          <w:lang w:val="fr-FR" w:eastAsia="ja-JP"/>
        </w:rPr>
        <w:t>Base de données européenne sur les pommes de terre pour la collecte centralisée des variétés notoirement connues</w:t>
      </w:r>
    </w:p>
    <w:p w:rsidR="00697CEF" w:rsidRPr="0085565C" w:rsidRDefault="00697CEF" w:rsidP="00697CEF">
      <w:pPr>
        <w:pStyle w:val="ListParagraph"/>
        <w:numPr>
          <w:ilvl w:val="0"/>
          <w:numId w:val="27"/>
        </w:numPr>
        <w:ind w:left="1134" w:hanging="567"/>
        <w:rPr>
          <w:lang w:val="fr-FR"/>
        </w:rPr>
      </w:pPr>
      <w:r w:rsidRPr="0085565C">
        <w:rPr>
          <w:lang w:val="fr-FR"/>
        </w:rPr>
        <w:t>Utilisation de marqueurs moléculaires comme prédicteurs de caractères “traditionnels”</w:t>
      </w:r>
    </w:p>
    <w:p w:rsidR="00697CEF" w:rsidRPr="0085565C" w:rsidRDefault="00697CEF" w:rsidP="00697CEF">
      <w:pPr>
        <w:pStyle w:val="ListParagraph"/>
        <w:numPr>
          <w:ilvl w:val="0"/>
          <w:numId w:val="27"/>
        </w:numPr>
        <w:ind w:left="1134" w:hanging="567"/>
        <w:rPr>
          <w:lang w:val="fr-FR"/>
        </w:rPr>
      </w:pPr>
      <w:r w:rsidRPr="0085565C">
        <w:rPr>
          <w:lang w:val="fr-FR"/>
        </w:rPr>
        <w:t>Propriété et utilisation d’échantillons utilisés dans un examen DHS, de l’ADN et des données relatives à l’ADN pendant et après un examen DHS</w:t>
      </w:r>
    </w:p>
    <w:p w:rsidR="00697CEF" w:rsidRPr="0085565C" w:rsidRDefault="00697CEF" w:rsidP="00697CEF">
      <w:pPr>
        <w:rPr>
          <w:lang w:val="fr-FR"/>
        </w:rPr>
      </w:pPr>
    </w:p>
    <w:p w:rsidR="00697CEF" w:rsidRPr="0085565C" w:rsidRDefault="00697CEF" w:rsidP="00165DC7">
      <w:pPr>
        <w:keepNext/>
        <w:rPr>
          <w:lang w:val="fr-FR" w:eastAsia="ja-JP"/>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 xml:space="preserve">Le BMT a suivi les exposés suivants concernant </w:t>
      </w:r>
      <w:r w:rsidRPr="0085565C">
        <w:rPr>
          <w:lang w:val="fr-FR" w:eastAsia="ja-JP"/>
        </w:rPr>
        <w:t>l’utilisation de techniques moléculaires pour l’appréciation de la notion de variété essentiellement dérivée :</w:t>
      </w:r>
    </w:p>
    <w:p w:rsidR="00697CEF" w:rsidRPr="0085565C" w:rsidRDefault="00697CEF" w:rsidP="00165DC7">
      <w:pPr>
        <w:keepNext/>
        <w:rPr>
          <w:lang w:val="fr-FR" w:eastAsia="ja-JP"/>
        </w:rPr>
      </w:pPr>
    </w:p>
    <w:p w:rsidR="00697CEF" w:rsidRPr="0085565C" w:rsidRDefault="00697CEF" w:rsidP="00697CEF">
      <w:pPr>
        <w:pStyle w:val="ListParagraph"/>
        <w:numPr>
          <w:ilvl w:val="0"/>
          <w:numId w:val="27"/>
        </w:numPr>
        <w:rPr>
          <w:lang w:val="fr-FR"/>
        </w:rPr>
      </w:pPr>
      <w:r w:rsidRPr="0085565C">
        <w:rPr>
          <w:lang w:val="fr-FR"/>
        </w:rPr>
        <w:t>Identification de marqueurs SNP afin d’aider dans l’évaluation des variétés essentiellement dérivées du maïs</w:t>
      </w:r>
    </w:p>
    <w:p w:rsidR="00697CEF" w:rsidRPr="0085565C" w:rsidRDefault="00697CEF" w:rsidP="00697CEF">
      <w:pPr>
        <w:rPr>
          <w:lang w:val="fr-FR"/>
        </w:rPr>
      </w:pPr>
    </w:p>
    <w:p w:rsidR="00697CEF" w:rsidRPr="0085565C" w:rsidRDefault="00697CEF" w:rsidP="00697CEF">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 xml:space="preserve">Le BMT a suivi les exposés suivants concernant </w:t>
      </w:r>
      <w:r w:rsidRPr="0085565C">
        <w:rPr>
          <w:lang w:val="fr-FR" w:eastAsia="ja-JP"/>
        </w:rPr>
        <w:t xml:space="preserve">l’utilisation de techniques moléculaires pour </w:t>
      </w:r>
      <w:r w:rsidRPr="0085565C">
        <w:rPr>
          <w:lang w:val="fr-FR"/>
        </w:rPr>
        <w:t>l’identification des variétés :</w:t>
      </w:r>
    </w:p>
    <w:p w:rsidR="00697CEF" w:rsidRPr="0085565C" w:rsidRDefault="00697CEF" w:rsidP="00697CEF">
      <w:pPr>
        <w:rPr>
          <w:lang w:val="fr-FR"/>
        </w:rPr>
      </w:pPr>
    </w:p>
    <w:p w:rsidR="00697CEF" w:rsidRPr="0085565C" w:rsidRDefault="00697CEF" w:rsidP="00697CEF">
      <w:pPr>
        <w:pStyle w:val="ListParagraph"/>
        <w:numPr>
          <w:ilvl w:val="0"/>
          <w:numId w:val="27"/>
        </w:numPr>
        <w:ind w:left="1134" w:hanging="567"/>
        <w:rPr>
          <w:lang w:val="fr-FR"/>
        </w:rPr>
      </w:pPr>
      <w:r w:rsidRPr="0085565C">
        <w:rPr>
          <w:lang w:val="fr-FR"/>
        </w:rPr>
        <w:t>Utilisation des techniques d’identification moléculaire (ADN) des variétés aux fins d’élaboration de mesures contre les atteintes aux droits des obtenteurs au japon</w:t>
      </w:r>
    </w:p>
    <w:p w:rsidR="00697CEF" w:rsidRPr="0085565C" w:rsidRDefault="00697CEF" w:rsidP="00697CEF">
      <w:pPr>
        <w:pStyle w:val="ListParagraph"/>
        <w:numPr>
          <w:ilvl w:val="0"/>
          <w:numId w:val="27"/>
        </w:numPr>
        <w:ind w:left="1134" w:hanging="567"/>
        <w:rPr>
          <w:lang w:val="fr-FR"/>
        </w:rPr>
      </w:pPr>
      <w:r w:rsidRPr="0085565C">
        <w:rPr>
          <w:lang w:val="fr-FR"/>
        </w:rPr>
        <w:t>Déterminer un seuil de conformité génétique pour les plants de pommes de terre</w:t>
      </w:r>
    </w:p>
    <w:p w:rsidR="00697CEF" w:rsidRPr="0085565C" w:rsidRDefault="00697CEF" w:rsidP="00697CEF">
      <w:pPr>
        <w:pStyle w:val="ListParagraph"/>
        <w:ind w:left="1134"/>
        <w:rPr>
          <w:lang w:val="fr-FR"/>
        </w:rPr>
      </w:pPr>
    </w:p>
    <w:p w:rsidR="00697CEF" w:rsidRPr="0085565C" w:rsidRDefault="00697CEF" w:rsidP="00697CEF">
      <w:pPr>
        <w:keepLines/>
        <w:rPr>
          <w:lang w:val="fr-FR" w:eastAsia="ja-JP"/>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Le 12 novembre 2014, l’OECD, l’UPOV, et l’ISTA ont organisé conjointement un atelier à Séoul (République de Corée), parallèlement à la session du BMT et sous la présidence de M. </w:t>
      </w:r>
      <w:proofErr w:type="spellStart"/>
      <w:r w:rsidRPr="0085565C">
        <w:rPr>
          <w:lang w:val="fr-FR" w:eastAsia="ja-JP"/>
        </w:rPr>
        <w:t>Kees</w:t>
      </w:r>
      <w:proofErr w:type="spellEnd"/>
      <w:r w:rsidRPr="0085565C">
        <w:rPr>
          <w:lang w:val="fr-FR" w:eastAsia="ja-JP"/>
        </w:rPr>
        <w:t xml:space="preserve"> van </w:t>
      </w:r>
      <w:proofErr w:type="spellStart"/>
      <w:r w:rsidRPr="0085565C">
        <w:rPr>
          <w:lang w:val="fr-FR" w:eastAsia="ja-JP"/>
        </w:rPr>
        <w:t>Ettekoven</w:t>
      </w:r>
      <w:proofErr w:type="spellEnd"/>
      <w:r w:rsidRPr="0085565C">
        <w:rPr>
          <w:lang w:val="fr-FR" w:eastAsia="ja-JP"/>
        </w:rPr>
        <w:t xml:space="preserve"> (Pays</w:t>
      </w:r>
      <w:r w:rsidRPr="0085565C">
        <w:rPr>
          <w:lang w:val="fr-FR" w:eastAsia="ja-JP"/>
        </w:rPr>
        <w:noBreakHyphen/>
        <w:t>Bas).  Les participants à cet atelier conjoint ont suivi les exposés suivants sur utilisation des techniques d’analyse de l’ADN à l’OECD, l’UPOV, l’ISTA et l’ISO :</w:t>
      </w:r>
    </w:p>
    <w:p w:rsidR="00697CEF" w:rsidRPr="0085565C" w:rsidRDefault="00697CEF" w:rsidP="00697CEF">
      <w:pPr>
        <w:rPr>
          <w:lang w:val="fr-FR" w:eastAsia="ja-JP"/>
        </w:rPr>
      </w:pPr>
    </w:p>
    <w:p w:rsidR="00697CEF" w:rsidRPr="0085565C" w:rsidRDefault="00697CEF" w:rsidP="00697CEF">
      <w:pPr>
        <w:pStyle w:val="ListParagraph"/>
        <w:numPr>
          <w:ilvl w:val="0"/>
          <w:numId w:val="27"/>
        </w:numPr>
        <w:ind w:left="1134" w:hanging="567"/>
        <w:rPr>
          <w:lang w:val="fr-FR"/>
        </w:rPr>
      </w:pPr>
      <w:r w:rsidRPr="0085565C">
        <w:rPr>
          <w:lang w:val="fr-FR"/>
        </w:rPr>
        <w:t>Introduction au système de certification des semences de l’OCDE et situation de l’OCDE concernant l’utilisation de techniques moléculaires</w:t>
      </w:r>
    </w:p>
    <w:p w:rsidR="00697CEF" w:rsidRPr="0085565C" w:rsidRDefault="00697CEF" w:rsidP="00697CEF">
      <w:pPr>
        <w:pStyle w:val="ListParagraph"/>
        <w:numPr>
          <w:ilvl w:val="0"/>
          <w:numId w:val="27"/>
        </w:numPr>
        <w:ind w:left="1134" w:hanging="567"/>
        <w:rPr>
          <w:lang w:val="fr-FR"/>
        </w:rPr>
      </w:pPr>
      <w:r w:rsidRPr="0085565C">
        <w:rPr>
          <w:lang w:val="fr-FR"/>
        </w:rPr>
        <w:t>Introduction à l’UPOV et situation de l’UPOV concernant l’utilisation de techniques moléculaires</w:t>
      </w:r>
    </w:p>
    <w:p w:rsidR="00697CEF" w:rsidRPr="0085565C" w:rsidRDefault="00697CEF" w:rsidP="00697CEF">
      <w:pPr>
        <w:pStyle w:val="ListParagraph"/>
        <w:numPr>
          <w:ilvl w:val="0"/>
          <w:numId w:val="27"/>
        </w:numPr>
        <w:ind w:left="1134" w:hanging="567"/>
        <w:rPr>
          <w:lang w:val="fr-FR"/>
        </w:rPr>
      </w:pPr>
      <w:r w:rsidRPr="0085565C">
        <w:rPr>
          <w:lang w:val="fr-FR"/>
        </w:rPr>
        <w:t>Introduction à l’ISTA et situation de l’ISTA concernant l’utilisation de techniques moléculaires</w:t>
      </w:r>
    </w:p>
    <w:p w:rsidR="00697CEF" w:rsidRPr="0085565C" w:rsidRDefault="00697CEF" w:rsidP="00697CEF">
      <w:pPr>
        <w:pStyle w:val="ListParagraph"/>
        <w:numPr>
          <w:ilvl w:val="0"/>
          <w:numId w:val="27"/>
        </w:numPr>
        <w:ind w:left="1134" w:hanging="567"/>
        <w:rPr>
          <w:lang w:val="fr-FR"/>
        </w:rPr>
      </w:pPr>
      <w:r w:rsidRPr="0085565C">
        <w:rPr>
          <w:lang w:val="fr-FR"/>
        </w:rPr>
        <w:t>Introduction à l’ISO et situation de l’ISO concernant l’utilisation de techniques moléculaires</w:t>
      </w:r>
    </w:p>
    <w:p w:rsidR="00697CEF" w:rsidRPr="0085565C" w:rsidRDefault="00697CEF" w:rsidP="00697CEF">
      <w:pPr>
        <w:pStyle w:val="ListParagraph"/>
        <w:numPr>
          <w:ilvl w:val="0"/>
          <w:numId w:val="27"/>
        </w:numPr>
        <w:ind w:left="1134" w:hanging="567"/>
        <w:rPr>
          <w:lang w:val="fr-FR"/>
        </w:rPr>
      </w:pPr>
      <w:r w:rsidRPr="0085565C">
        <w:rPr>
          <w:lang w:val="fr-FR"/>
        </w:rPr>
        <w:lastRenderedPageBreak/>
        <w:t>Domaines existants de coopération entre l’OCDE, l’UPOV et l’ISTA</w:t>
      </w:r>
    </w:p>
    <w:p w:rsidR="00697CEF" w:rsidRPr="0085565C" w:rsidRDefault="00697CEF" w:rsidP="00697CEF">
      <w:pPr>
        <w:pStyle w:val="ListParagraph"/>
        <w:numPr>
          <w:ilvl w:val="0"/>
          <w:numId w:val="27"/>
        </w:numPr>
        <w:ind w:left="1134" w:hanging="567"/>
        <w:rPr>
          <w:lang w:val="fr-FR"/>
        </w:rPr>
      </w:pPr>
      <w:r w:rsidRPr="0085565C">
        <w:rPr>
          <w:lang w:val="fr-FR"/>
        </w:rPr>
        <w:t>Possibilités de coopération entre l’OCDE, l’UPOV, l’ISO et l’ISTA concernant les techniques moléculaires</w:t>
      </w:r>
    </w:p>
    <w:p w:rsidR="00697CEF" w:rsidRPr="0085565C" w:rsidRDefault="00697CEF" w:rsidP="00697CEF">
      <w:pPr>
        <w:rPr>
          <w:lang w:val="fr-FR"/>
        </w:rPr>
      </w:pPr>
    </w:p>
    <w:p w:rsidR="00697CEF" w:rsidRPr="0085565C" w:rsidRDefault="00697CEF" w:rsidP="00697CEF">
      <w:pPr>
        <w:rPr>
          <w:lang w:val="fr-FR"/>
        </w:rPr>
      </w:pPr>
      <w:r w:rsidRPr="0085565C">
        <w:rPr>
          <w:lang w:val="fr-FR" w:eastAsia="ja-JP"/>
        </w:rPr>
        <w:fldChar w:fldCharType="begin"/>
      </w:r>
      <w:r w:rsidRPr="0085565C">
        <w:rPr>
          <w:lang w:val="fr-FR" w:eastAsia="ja-JP"/>
        </w:rPr>
        <w:instrText xml:space="preserve"> AUTONUM  </w:instrText>
      </w:r>
      <w:r w:rsidRPr="0085565C">
        <w:rPr>
          <w:lang w:val="fr-FR" w:eastAsia="ja-JP"/>
        </w:rPr>
        <w:fldChar w:fldCharType="end"/>
      </w:r>
      <w:r w:rsidRPr="0085565C">
        <w:rPr>
          <w:lang w:val="fr-FR" w:eastAsia="ja-JP"/>
        </w:rPr>
        <w:tab/>
        <w:t>Les participants ont convenu qu’il serait utile d’élaborer un document commun présentant les particularités (p. ex. en matière d’examen DHS, d’identification des variétés, de pureté des variétés, etc.) de chacun des systèmes de l’OCDE, de l’UPOV et de l’ISTA.  Il a également été convenu qu’il serait utile, aux fins d’une bonne compréhension mutuelle, d’organiser à nouveau cet atelier conjoint dans le cadre des réunions pertinentes de l’OCDE et de l’ISTA.</w:t>
      </w:r>
    </w:p>
    <w:p w:rsidR="00697CEF" w:rsidRPr="0085565C" w:rsidRDefault="00697CEF" w:rsidP="00697CEF">
      <w:pPr>
        <w:rPr>
          <w:lang w:val="fr-FR"/>
        </w:rPr>
      </w:pPr>
    </w:p>
    <w:p w:rsidR="00697CEF" w:rsidRPr="0085565C" w:rsidRDefault="00697CEF" w:rsidP="00697CEF">
      <w:pPr>
        <w:rPr>
          <w:lang w:val="fr-FR" w:eastAsia="ja-JP"/>
        </w:rPr>
      </w:pPr>
      <w:r w:rsidRPr="0085565C">
        <w:rPr>
          <w:lang w:val="fr-FR" w:eastAsia="ja-JP"/>
        </w:rPr>
        <w:fldChar w:fldCharType="begin"/>
      </w:r>
      <w:r w:rsidRPr="0085565C">
        <w:rPr>
          <w:lang w:val="fr-FR" w:eastAsia="ja-JP"/>
        </w:rPr>
        <w:instrText xml:space="preserve"> AUTONUM  </w:instrText>
      </w:r>
      <w:r w:rsidRPr="0085565C">
        <w:rPr>
          <w:lang w:val="fr-FR" w:eastAsia="ja-JP"/>
        </w:rPr>
        <w:fldChar w:fldCharType="end"/>
      </w:r>
      <w:r w:rsidRPr="0085565C">
        <w:rPr>
          <w:lang w:val="fr-FR" w:eastAsia="ja-JP"/>
        </w:rPr>
        <w:tab/>
        <w:t>Les participants sont convenus de proposer que l’UPOV, l’OCDE et l’ISTA dressent un inventaire, par plante, de l’utilisation qu’ils font des techniques faisant intervenir des marqueurs moléculaires, en vue de l’élaboration d’un document contenant ces informations, dans un format semblable à celui du document UPOV/INF/16 “Logiciels échangeables”.  Il a été relevé que l’OCDE avait déjà recueilli des informations sur l’utilisation faite par ses autorités désignées des techniques moléculaires.</w:t>
      </w:r>
    </w:p>
    <w:p w:rsidR="00697CEF" w:rsidRPr="0085565C" w:rsidRDefault="00697CEF" w:rsidP="00697CEF">
      <w:pPr>
        <w:rPr>
          <w:lang w:val="fr-FR"/>
        </w:rPr>
      </w:pPr>
    </w:p>
    <w:p w:rsidR="00697CEF" w:rsidRPr="0085565C" w:rsidRDefault="00697CEF" w:rsidP="00697CEF">
      <w:pPr>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En réponse à l’invitation de la Fédération de Russie, le BMT est convenu de tenir sa quinzième session à Moscou en mai 2016, un atelier préparatoire étant prévu en mai 2016.</w:t>
      </w:r>
    </w:p>
    <w:p w:rsidR="00697CEF" w:rsidRPr="0085565C" w:rsidRDefault="00697CEF" w:rsidP="00697CEF">
      <w:pPr>
        <w:rPr>
          <w:lang w:val="fr-FR"/>
        </w:rPr>
      </w:pPr>
    </w:p>
    <w:p w:rsidR="00697CEF" w:rsidRPr="0085565C" w:rsidRDefault="00697CEF" w:rsidP="00697CEF">
      <w:pPr>
        <w:rPr>
          <w:lang w:val="fr-FR" w:eastAsia="ja-JP"/>
        </w:rPr>
      </w:pPr>
      <w:r w:rsidRPr="0085565C">
        <w:rPr>
          <w:lang w:val="fr-FR" w:eastAsia="ja-JP"/>
        </w:rPr>
        <w:fldChar w:fldCharType="begin"/>
      </w:r>
      <w:r w:rsidRPr="0085565C">
        <w:rPr>
          <w:lang w:val="fr-FR" w:eastAsia="ja-JP"/>
        </w:rPr>
        <w:instrText xml:space="preserve"> AUTONUM  </w:instrText>
      </w:r>
      <w:r w:rsidRPr="0085565C">
        <w:rPr>
          <w:lang w:val="fr-FR" w:eastAsia="ja-JP"/>
        </w:rPr>
        <w:fldChar w:fldCharType="end"/>
      </w:r>
      <w:r w:rsidRPr="0085565C">
        <w:rPr>
          <w:lang w:val="fr-FR" w:eastAsia="ja-JP"/>
        </w:rPr>
        <w:tab/>
      </w:r>
      <w:r w:rsidRPr="0085565C">
        <w:rPr>
          <w:lang w:val="fr-FR"/>
        </w:rPr>
        <w:t>À sa quinzième session, l</w:t>
      </w:r>
      <w:r w:rsidRPr="0085565C">
        <w:rPr>
          <w:lang w:val="fr-FR" w:eastAsia="ja-JP"/>
        </w:rPr>
        <w:t>e</w:t>
      </w:r>
      <w:r w:rsidRPr="0085565C">
        <w:rPr>
          <w:lang w:val="fr-FR"/>
        </w:rPr>
        <w:t> </w:t>
      </w:r>
      <w:r w:rsidRPr="0085565C">
        <w:rPr>
          <w:lang w:val="fr-FR" w:eastAsia="ja-JP"/>
        </w:rPr>
        <w:t>BMT a prévu d’examiner les questions suivantes :</w:t>
      </w:r>
    </w:p>
    <w:p w:rsidR="00697CEF" w:rsidRPr="0085565C" w:rsidRDefault="00697CEF" w:rsidP="00697CEF">
      <w:pPr>
        <w:rPr>
          <w:lang w:val="fr-FR"/>
        </w:rPr>
      </w:pPr>
    </w:p>
    <w:p w:rsidR="00697CEF" w:rsidRPr="0085565C" w:rsidRDefault="00697CEF" w:rsidP="00697CEF">
      <w:pPr>
        <w:spacing w:before="20" w:afterLines="20" w:after="48"/>
        <w:ind w:left="1134" w:hanging="567"/>
        <w:rPr>
          <w:lang w:val="fr-FR"/>
        </w:rPr>
      </w:pPr>
      <w:r w:rsidRPr="0085565C">
        <w:rPr>
          <w:lang w:val="fr-FR"/>
        </w:rPr>
        <w:t>1.</w:t>
      </w:r>
      <w:r w:rsidRPr="0085565C">
        <w:rPr>
          <w:lang w:val="fr-FR"/>
        </w:rPr>
        <w:tab/>
        <w:t>Ouverture de la session</w:t>
      </w:r>
    </w:p>
    <w:p w:rsidR="00697CEF" w:rsidRPr="0085565C" w:rsidRDefault="00697CEF" w:rsidP="00697CEF">
      <w:pPr>
        <w:spacing w:before="20" w:afterLines="20" w:after="48"/>
        <w:ind w:left="1134" w:hanging="567"/>
        <w:rPr>
          <w:lang w:val="fr-FR"/>
        </w:rPr>
      </w:pPr>
      <w:r w:rsidRPr="0085565C">
        <w:rPr>
          <w:lang w:val="fr-FR"/>
        </w:rPr>
        <w:t>2.</w:t>
      </w:r>
      <w:r w:rsidRPr="0085565C">
        <w:rPr>
          <w:lang w:val="fr-FR"/>
        </w:rPr>
        <w:tab/>
        <w:t>Adoption de l’ordre du jour</w:t>
      </w:r>
    </w:p>
    <w:p w:rsidR="00697CEF" w:rsidRPr="0085565C" w:rsidRDefault="00697CEF" w:rsidP="00697CEF">
      <w:pPr>
        <w:spacing w:before="20" w:afterLines="20" w:after="48"/>
        <w:ind w:left="1134" w:hanging="567"/>
        <w:rPr>
          <w:lang w:val="fr-FR"/>
        </w:rPr>
      </w:pPr>
      <w:r w:rsidRPr="0085565C">
        <w:rPr>
          <w:lang w:val="fr-FR"/>
        </w:rPr>
        <w:t>3.</w:t>
      </w:r>
      <w:r w:rsidRPr="0085565C">
        <w:rPr>
          <w:lang w:val="fr-FR"/>
        </w:rPr>
        <w:tab/>
        <w:t>Rapports sur les faits nouveaux survenus à l’UPOV en rapport avec les techniques biochimiques et moléculaires</w:t>
      </w:r>
    </w:p>
    <w:p w:rsidR="00697CEF" w:rsidRPr="0085565C" w:rsidRDefault="00697CEF" w:rsidP="00697CEF">
      <w:pPr>
        <w:spacing w:before="20" w:afterLines="20" w:after="48"/>
        <w:ind w:left="1134" w:hanging="567"/>
        <w:rPr>
          <w:lang w:val="fr-FR"/>
        </w:rPr>
      </w:pPr>
      <w:r w:rsidRPr="0085565C">
        <w:rPr>
          <w:lang w:val="fr-FR"/>
        </w:rPr>
        <w:t>4.</w:t>
      </w:r>
      <w:r w:rsidRPr="0085565C">
        <w:rPr>
          <w:lang w:val="fr-FR"/>
        </w:rPr>
        <w:tab/>
        <w:t>Exposés succincts sur les faits nouveaux survenus dans le domaine des techniques biochimiques et moléculaires présentés par des spécialistes de l’examen DHS, des spécialistes des techniques biochimiques et moléculaires, des obtenteurs et les organisations internationales concernées</w:t>
      </w:r>
    </w:p>
    <w:p w:rsidR="00697CEF" w:rsidRPr="0085565C" w:rsidRDefault="00697CEF" w:rsidP="00697CEF">
      <w:pPr>
        <w:spacing w:before="20" w:afterLines="20" w:after="48"/>
        <w:ind w:left="1134" w:hanging="567"/>
        <w:rPr>
          <w:lang w:val="fr-FR" w:eastAsia="ja-JP"/>
        </w:rPr>
      </w:pPr>
      <w:r w:rsidRPr="0085565C">
        <w:rPr>
          <w:lang w:val="fr-FR" w:eastAsia="ja-JP"/>
        </w:rPr>
        <w:t>5.</w:t>
      </w:r>
      <w:r w:rsidRPr="0085565C">
        <w:rPr>
          <w:lang w:val="fr-FR" w:eastAsia="ja-JP"/>
        </w:rPr>
        <w:tab/>
        <w:t>Compte rendu des travaux sur l’utilisation des techniques moléculaires dans le cadre de l’examen DHS</w:t>
      </w:r>
    </w:p>
    <w:p w:rsidR="00697CEF" w:rsidRPr="0085565C" w:rsidRDefault="00697CEF" w:rsidP="00697CEF">
      <w:pPr>
        <w:spacing w:before="20" w:afterLines="20" w:after="48"/>
        <w:ind w:left="1134" w:hanging="567"/>
        <w:rPr>
          <w:lang w:val="fr-FR"/>
        </w:rPr>
      </w:pPr>
      <w:r w:rsidRPr="0085565C">
        <w:rPr>
          <w:lang w:val="fr-FR"/>
        </w:rPr>
        <w:t>6.</w:t>
      </w:r>
      <w:r w:rsidRPr="0085565C">
        <w:rPr>
          <w:lang w:val="fr-FR"/>
        </w:rPr>
        <w:tab/>
        <w:t>Directives internationales en matière de techniques moléculaires</w:t>
      </w:r>
    </w:p>
    <w:p w:rsidR="00697CEF" w:rsidRPr="0085565C" w:rsidRDefault="00697CEF" w:rsidP="00697CEF">
      <w:pPr>
        <w:spacing w:before="20" w:afterLines="20" w:after="48"/>
        <w:ind w:left="1134" w:hanging="567"/>
        <w:rPr>
          <w:lang w:val="fr-FR"/>
        </w:rPr>
      </w:pPr>
      <w:r w:rsidRPr="0085565C">
        <w:rPr>
          <w:lang w:val="fr-FR"/>
        </w:rPr>
        <w:t>7.</w:t>
      </w:r>
      <w:r w:rsidRPr="0085565C">
        <w:rPr>
          <w:lang w:val="fr-FR"/>
        </w:rPr>
        <w:tab/>
        <w:t>Bases de données sur les descriptions variétales</w:t>
      </w:r>
    </w:p>
    <w:p w:rsidR="00697CEF" w:rsidRPr="0085565C" w:rsidRDefault="00697CEF" w:rsidP="00697CEF">
      <w:pPr>
        <w:spacing w:before="20" w:afterLines="20" w:after="48"/>
        <w:ind w:left="1134" w:hanging="567"/>
        <w:rPr>
          <w:lang w:val="fr-FR"/>
        </w:rPr>
      </w:pPr>
      <w:r w:rsidRPr="0085565C">
        <w:rPr>
          <w:lang w:val="fr-FR"/>
        </w:rPr>
        <w:t>8.</w:t>
      </w:r>
      <w:r w:rsidRPr="0085565C">
        <w:rPr>
          <w:lang w:val="fr-FR"/>
        </w:rPr>
        <w:tab/>
        <w:t>Méthodes d’analyse des données moléculaires</w:t>
      </w:r>
    </w:p>
    <w:p w:rsidR="00697CEF" w:rsidRPr="0085565C" w:rsidRDefault="00697CEF" w:rsidP="00697CEF">
      <w:pPr>
        <w:spacing w:before="20" w:afterLines="20" w:after="48"/>
        <w:ind w:left="1134" w:hanging="567"/>
        <w:rPr>
          <w:lang w:val="fr-FR"/>
        </w:rPr>
      </w:pPr>
      <w:r w:rsidRPr="0085565C">
        <w:rPr>
          <w:lang w:val="fr-FR"/>
        </w:rPr>
        <w:t>9.</w:t>
      </w:r>
      <w:r w:rsidRPr="0085565C">
        <w:rPr>
          <w:lang w:val="fr-FR"/>
        </w:rPr>
        <w:tab/>
        <w:t>Utilisation des techniques moléculaires pour l’examen de variétés essentiellement dérivées</w:t>
      </w:r>
      <w:r w:rsidRPr="0085565C">
        <w:rPr>
          <w:rStyle w:val="FootnoteReference"/>
          <w:lang w:val="fr-FR"/>
        </w:rPr>
        <w:footnoteReference w:id="2"/>
      </w:r>
    </w:p>
    <w:p w:rsidR="00697CEF" w:rsidRPr="0085565C" w:rsidRDefault="00697CEF" w:rsidP="00697CEF">
      <w:pPr>
        <w:spacing w:before="20" w:afterLines="20" w:after="48"/>
        <w:ind w:left="1134" w:hanging="567"/>
        <w:rPr>
          <w:lang w:val="fr-FR"/>
        </w:rPr>
      </w:pPr>
      <w:r w:rsidRPr="0085565C">
        <w:rPr>
          <w:lang w:val="fr-FR"/>
        </w:rPr>
        <w:t>10.</w:t>
      </w:r>
      <w:r w:rsidRPr="0085565C">
        <w:rPr>
          <w:lang w:val="fr-FR"/>
        </w:rPr>
        <w:tab/>
        <w:t>Utilisation des techniques moléculaires pour l’identification des variétés</w:t>
      </w:r>
      <w:r w:rsidRPr="0085565C">
        <w:rPr>
          <w:vertAlign w:val="superscript"/>
          <w:lang w:val="fr-FR"/>
        </w:rPr>
        <w:t>1</w:t>
      </w:r>
    </w:p>
    <w:p w:rsidR="00697CEF" w:rsidRPr="0085565C" w:rsidRDefault="00697CEF" w:rsidP="00697CEF">
      <w:pPr>
        <w:spacing w:before="20" w:afterLines="20" w:after="48"/>
        <w:ind w:left="1134" w:hanging="567"/>
        <w:rPr>
          <w:lang w:val="fr-FR" w:eastAsia="ja-JP"/>
        </w:rPr>
      </w:pPr>
      <w:r w:rsidRPr="0085565C">
        <w:rPr>
          <w:lang w:val="fr-FR" w:eastAsia="ja-JP"/>
        </w:rPr>
        <w:t>11.</w:t>
      </w:r>
      <w:r w:rsidRPr="0085565C">
        <w:rPr>
          <w:lang w:val="fr-FR" w:eastAsia="ja-JP"/>
        </w:rPr>
        <w:tab/>
        <w:t>Coopération entre l’OCDE, l’UPOV, l’ISTA et l’ISO</w:t>
      </w:r>
    </w:p>
    <w:p w:rsidR="00697CEF" w:rsidRPr="0085565C" w:rsidRDefault="00697CEF" w:rsidP="00697CEF">
      <w:pPr>
        <w:spacing w:before="20" w:afterLines="20" w:after="48"/>
        <w:ind w:left="1134" w:hanging="567"/>
        <w:rPr>
          <w:lang w:val="fr-FR"/>
        </w:rPr>
      </w:pPr>
      <w:r w:rsidRPr="0085565C">
        <w:rPr>
          <w:lang w:val="fr-FR"/>
        </w:rPr>
        <w:t>12.</w:t>
      </w:r>
      <w:r w:rsidRPr="0085565C">
        <w:rPr>
          <w:lang w:val="fr-FR"/>
        </w:rPr>
        <w:tab/>
        <w:t>Date et lieu de la prochaine session</w:t>
      </w:r>
    </w:p>
    <w:p w:rsidR="00697CEF" w:rsidRPr="0085565C" w:rsidRDefault="00697CEF" w:rsidP="00697CEF">
      <w:pPr>
        <w:spacing w:before="20" w:afterLines="20" w:after="48"/>
        <w:ind w:left="1134" w:hanging="567"/>
        <w:rPr>
          <w:lang w:val="fr-FR"/>
        </w:rPr>
      </w:pPr>
      <w:r w:rsidRPr="0085565C">
        <w:rPr>
          <w:lang w:val="fr-FR"/>
        </w:rPr>
        <w:t>13.</w:t>
      </w:r>
      <w:r w:rsidRPr="0085565C">
        <w:rPr>
          <w:lang w:val="fr-FR"/>
        </w:rPr>
        <w:tab/>
        <w:t>Programme futur</w:t>
      </w:r>
    </w:p>
    <w:p w:rsidR="00697CEF" w:rsidRPr="0085565C" w:rsidRDefault="00697CEF" w:rsidP="00697CEF">
      <w:pPr>
        <w:spacing w:before="20" w:afterLines="20" w:after="48"/>
        <w:ind w:left="1134" w:hanging="567"/>
        <w:rPr>
          <w:lang w:val="fr-FR"/>
        </w:rPr>
      </w:pPr>
      <w:r w:rsidRPr="0085565C">
        <w:rPr>
          <w:lang w:val="fr-FR"/>
        </w:rPr>
        <w:t>14.</w:t>
      </w:r>
      <w:r w:rsidRPr="0085565C">
        <w:rPr>
          <w:lang w:val="fr-FR"/>
        </w:rPr>
        <w:tab/>
        <w:t>Compte rendu de la session (selon le temps disponible)</w:t>
      </w:r>
    </w:p>
    <w:p w:rsidR="00697CEF" w:rsidRPr="0085565C" w:rsidRDefault="00697CEF" w:rsidP="00697CEF">
      <w:pPr>
        <w:spacing w:before="20" w:afterLines="20" w:after="48"/>
        <w:ind w:left="1134" w:hanging="567"/>
        <w:rPr>
          <w:lang w:val="fr-FR"/>
        </w:rPr>
      </w:pPr>
      <w:r w:rsidRPr="0085565C">
        <w:rPr>
          <w:lang w:val="fr-FR"/>
        </w:rPr>
        <w:t>15.</w:t>
      </w:r>
      <w:r w:rsidRPr="0085565C">
        <w:rPr>
          <w:lang w:val="fr-FR"/>
        </w:rPr>
        <w:tab/>
        <w:t>Clôture de la session</w:t>
      </w:r>
    </w:p>
    <w:p w:rsidR="00697CEF" w:rsidRPr="0085565C" w:rsidRDefault="00697CEF" w:rsidP="00697CEF">
      <w:pPr>
        <w:rPr>
          <w:lang w:val="fr-FR"/>
        </w:rPr>
      </w:pPr>
    </w:p>
    <w:p w:rsidR="00697CEF" w:rsidRPr="0085565C" w:rsidRDefault="00697CEF" w:rsidP="00697CEF">
      <w:pPr>
        <w:autoSpaceDE w:val="0"/>
        <w:autoSpaceDN w:val="0"/>
        <w:adjustRightInd w:val="0"/>
        <w:rPr>
          <w:lang w:val="fr-FR"/>
        </w:rPr>
      </w:pPr>
      <w:r w:rsidRPr="0085565C">
        <w:rPr>
          <w:lang w:val="fr-FR"/>
        </w:rPr>
        <w:fldChar w:fldCharType="begin"/>
      </w:r>
      <w:r w:rsidRPr="0085565C">
        <w:rPr>
          <w:lang w:val="fr-FR"/>
        </w:rPr>
        <w:instrText xml:space="preserve"> AUTONUM  </w:instrText>
      </w:r>
      <w:r w:rsidRPr="0085565C">
        <w:rPr>
          <w:lang w:val="fr-FR"/>
        </w:rPr>
        <w:fldChar w:fldCharType="end"/>
      </w:r>
      <w:r w:rsidRPr="0085565C">
        <w:rPr>
          <w:lang w:val="fr-FR"/>
        </w:rPr>
        <w:tab/>
        <w:t>Une médaille de bronze de l’UPOV a été décernée à M. Alejandro F. </w:t>
      </w:r>
      <w:proofErr w:type="spellStart"/>
      <w:r w:rsidRPr="0085565C">
        <w:rPr>
          <w:lang w:val="fr-FR"/>
        </w:rPr>
        <w:t>Barrientos</w:t>
      </w:r>
      <w:proofErr w:type="spellEnd"/>
      <w:r w:rsidRPr="0085565C">
        <w:rPr>
          <w:lang w:val="fr-FR"/>
        </w:rPr>
        <w:t> </w:t>
      </w:r>
      <w:proofErr w:type="spellStart"/>
      <w:r w:rsidRPr="0085565C">
        <w:rPr>
          <w:lang w:val="fr-FR"/>
        </w:rPr>
        <w:t>Priego</w:t>
      </w:r>
      <w:proofErr w:type="spellEnd"/>
      <w:r w:rsidRPr="0085565C">
        <w:rPr>
          <w:lang w:val="fr-FR"/>
        </w:rPr>
        <w:t xml:space="preserve"> pour le remercier d’avoir présidé le BMT de 2012 à 2014.</w:t>
      </w:r>
    </w:p>
    <w:p w:rsidR="00BB30A7" w:rsidRPr="0085565C" w:rsidRDefault="00BB30A7" w:rsidP="00BB30A7">
      <w:pPr>
        <w:rPr>
          <w:lang w:val="fr-FR"/>
        </w:rPr>
      </w:pPr>
    </w:p>
    <w:p w:rsidR="00167941" w:rsidRDefault="00167941">
      <w:pPr>
        <w:jc w:val="left"/>
        <w:rPr>
          <w:i/>
          <w:lang w:val="fr-FR"/>
        </w:rPr>
      </w:pPr>
      <w:r>
        <w:rPr>
          <w:lang w:val="fr-FR"/>
        </w:rPr>
        <w:br w:type="page"/>
      </w:r>
    </w:p>
    <w:p w:rsidR="00697CEF" w:rsidRPr="0085565C" w:rsidRDefault="00697CEF" w:rsidP="00697CEF">
      <w:pPr>
        <w:pStyle w:val="DecisionParagraphs"/>
        <w:keepNext/>
        <w:rPr>
          <w:lang w:val="fr-FR"/>
        </w:rPr>
      </w:pPr>
      <w:r w:rsidRPr="0085565C">
        <w:rPr>
          <w:lang w:val="fr-FR"/>
        </w:rPr>
        <w:lastRenderedPageBreak/>
        <w:fldChar w:fldCharType="begin"/>
      </w:r>
      <w:r w:rsidRPr="0085565C">
        <w:rPr>
          <w:lang w:val="fr-FR"/>
        </w:rPr>
        <w:instrText xml:space="preserve"> AUTONUM  </w:instrText>
      </w:r>
      <w:r w:rsidRPr="0085565C">
        <w:rPr>
          <w:lang w:val="fr-FR"/>
        </w:rPr>
        <w:fldChar w:fldCharType="end"/>
      </w:r>
      <w:r w:rsidRPr="0085565C">
        <w:rPr>
          <w:lang w:val="fr-FR"/>
        </w:rPr>
        <w:tab/>
        <w:t>Le Conseil est invité à :</w:t>
      </w:r>
    </w:p>
    <w:p w:rsidR="00697CEF" w:rsidRPr="0085565C" w:rsidRDefault="00697CEF" w:rsidP="00697CEF">
      <w:pPr>
        <w:pStyle w:val="DecisionParagraphs"/>
        <w:keepNext/>
        <w:rPr>
          <w:lang w:val="fr-FR"/>
        </w:rPr>
      </w:pPr>
    </w:p>
    <w:p w:rsidR="00697CEF" w:rsidRPr="0085565C" w:rsidRDefault="00697CEF" w:rsidP="00697CEF">
      <w:pPr>
        <w:pStyle w:val="DecisionParagraphs"/>
        <w:keepNext/>
        <w:tabs>
          <w:tab w:val="left" w:pos="5954"/>
        </w:tabs>
        <w:rPr>
          <w:lang w:val="fr-FR"/>
        </w:rPr>
      </w:pPr>
      <w:r w:rsidRPr="0085565C">
        <w:rPr>
          <w:lang w:val="fr-FR"/>
        </w:rPr>
        <w:tab/>
        <w:t>a)</w:t>
      </w:r>
      <w:r w:rsidRPr="0085565C">
        <w:rPr>
          <w:lang w:val="fr-FR"/>
        </w:rPr>
        <w:tab/>
        <w:t>prendre note des travaux du TC, ainsi que de ceux des groupes de travail techniques et du BMT dont il a été rendu compte au TC, comme indiqué dans le présent document;  et</w:t>
      </w:r>
    </w:p>
    <w:p w:rsidR="00697CEF" w:rsidRPr="0085565C" w:rsidRDefault="00697CEF" w:rsidP="00697CEF">
      <w:pPr>
        <w:pStyle w:val="DecisionParagraphs"/>
        <w:keepNext/>
        <w:tabs>
          <w:tab w:val="left" w:pos="5954"/>
        </w:tabs>
        <w:rPr>
          <w:lang w:val="fr-FR"/>
        </w:rPr>
      </w:pPr>
    </w:p>
    <w:p w:rsidR="00697CEF" w:rsidRPr="0085565C" w:rsidRDefault="00697CEF" w:rsidP="00697CEF">
      <w:pPr>
        <w:pStyle w:val="DecisionParagraphs"/>
        <w:tabs>
          <w:tab w:val="left" w:pos="5954"/>
        </w:tabs>
        <w:rPr>
          <w:lang w:val="fr-FR"/>
        </w:rPr>
      </w:pPr>
      <w:r w:rsidRPr="0085565C">
        <w:rPr>
          <w:lang w:val="fr-FR"/>
        </w:rPr>
        <w:tab/>
        <w:t>b)</w:t>
      </w:r>
      <w:r w:rsidRPr="0085565C">
        <w:rPr>
          <w:lang w:val="fr-FR"/>
        </w:rPr>
        <w:tab/>
        <w:t>approuver les travaux du TC et les programmes de travail des groupes de travail techniques et du BMT qui ont été présentés au TC, comme indiqué dans le présent document.</w:t>
      </w:r>
    </w:p>
    <w:p w:rsidR="00BB30A7" w:rsidRPr="0085565C" w:rsidRDefault="00BB30A7" w:rsidP="00BB30A7">
      <w:pPr>
        <w:rPr>
          <w:lang w:val="fr-FR"/>
        </w:rPr>
      </w:pPr>
    </w:p>
    <w:p w:rsidR="00BB30A7" w:rsidRPr="0085565C" w:rsidRDefault="00BB30A7" w:rsidP="00BB30A7">
      <w:pPr>
        <w:rPr>
          <w:lang w:val="fr-FR"/>
        </w:rPr>
      </w:pPr>
    </w:p>
    <w:p w:rsidR="00697CEF" w:rsidRPr="0085565C" w:rsidRDefault="00697CEF" w:rsidP="00BB30A7">
      <w:pPr>
        <w:rPr>
          <w:lang w:val="fr-FR"/>
        </w:rPr>
      </w:pPr>
    </w:p>
    <w:p w:rsidR="00BB30A7" w:rsidRPr="0085565C" w:rsidRDefault="00BB30A7" w:rsidP="00BB30A7">
      <w:pPr>
        <w:jc w:val="right"/>
        <w:rPr>
          <w:lang w:val="fr-FR"/>
        </w:rPr>
      </w:pPr>
      <w:r w:rsidRPr="0085565C">
        <w:rPr>
          <w:lang w:val="fr-FR"/>
        </w:rPr>
        <w:t>[</w:t>
      </w:r>
      <w:r w:rsidR="00697CEF" w:rsidRPr="0085565C">
        <w:rPr>
          <w:lang w:val="fr-FR"/>
        </w:rPr>
        <w:t>L’annexe suit</w:t>
      </w:r>
      <w:r w:rsidRPr="0085565C">
        <w:rPr>
          <w:lang w:val="fr-FR"/>
        </w:rPr>
        <w:t>]</w:t>
      </w:r>
    </w:p>
    <w:p w:rsidR="00BB30A7" w:rsidRPr="0085565C" w:rsidRDefault="00BB30A7" w:rsidP="00BB30A7">
      <w:pPr>
        <w:rPr>
          <w:lang w:val="fr-FR"/>
        </w:rPr>
        <w:sectPr w:rsidR="00BB30A7" w:rsidRPr="0085565C" w:rsidSect="00906DDC">
          <w:headerReference w:type="default" r:id="rId10"/>
          <w:pgSz w:w="11907" w:h="16840" w:code="9"/>
          <w:pgMar w:top="510" w:right="1134" w:bottom="1134" w:left="1134" w:header="510" w:footer="680" w:gutter="0"/>
          <w:cols w:space="720"/>
          <w:titlePg/>
        </w:sectPr>
      </w:pPr>
    </w:p>
    <w:p w:rsidR="0011297B" w:rsidRDefault="00AB4726" w:rsidP="007F1801">
      <w:pPr>
        <w:rPr>
          <w:lang w:val="fr-FR"/>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8471535</wp:posOffset>
                </wp:positionH>
                <wp:positionV relativeFrom="paragraph">
                  <wp:posOffset>6237605</wp:posOffset>
                </wp:positionV>
                <wp:extent cx="1076325" cy="2000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07632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4726" w:rsidRDefault="00AB4726">
                            <w:r>
                              <w:t>[</w:t>
                            </w:r>
                            <w:proofErr w:type="spellStart"/>
                            <w:r>
                              <w:t>L’appendice</w:t>
                            </w:r>
                            <w:proofErr w:type="spellEnd"/>
                            <w:r>
                              <w:t xml:space="preserve"> suit]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67.05pt;margin-top:491.15pt;width:84.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" filled="f" stroked="f" strokeweight=".5pt">
                <v:textbox inset="0,0,0,0">
                  <w:txbxContent>
                    <w:p w:rsidR="00AB4726" w:rsidRDefault="00AB4726">
                      <w:r>
                        <w:t>[</w:t>
                      </w:r>
                      <w:proofErr w:type="spellStart"/>
                      <w:r>
                        <w:t>L’appendice</w:t>
                      </w:r>
                      <w:proofErr w:type="spellEnd"/>
                      <w:r>
                        <w:t xml:space="preserve"> suit]</w:t>
                      </w:r>
                    </w:p>
                  </w:txbxContent>
                </v:textbox>
              </v:shape>
            </w:pict>
          </mc:Fallback>
        </mc:AlternateContent>
      </w:r>
      <w:r w:rsidR="007F1801" w:rsidRPr="007F1801">
        <w:rPr>
          <w:noProof/>
        </w:rPr>
        <w:drawing>
          <wp:inline distT="0" distB="0" distL="0" distR="0" wp14:anchorId="2677E4AB" wp14:editId="608C480A">
            <wp:extent cx="9486900" cy="620622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94166" cy="6210979"/>
                    </a:xfrm>
                    <a:prstGeom prst="rect">
                      <a:avLst/>
                    </a:prstGeom>
                    <a:noFill/>
                    <a:ln>
                      <a:noFill/>
                    </a:ln>
                  </pic:spPr>
                </pic:pic>
              </a:graphicData>
            </a:graphic>
          </wp:inline>
        </w:drawing>
      </w:r>
      <w:r w:rsidR="0011297B">
        <w:rPr>
          <w:lang w:val="fr-FR"/>
        </w:rPr>
        <w:br w:type="page"/>
      </w:r>
    </w:p>
    <w:p w:rsidR="00BB30A7" w:rsidRPr="00CB314A" w:rsidRDefault="001A73FB" w:rsidP="00CB314A">
      <w:pPr>
        <w:rPr>
          <w:lang w:val="fr-FR"/>
        </w:rPr>
      </w:pPr>
      <w:r w:rsidRPr="001A73FB">
        <w:rPr>
          <w:noProof/>
        </w:rPr>
        <w:lastRenderedPageBreak/>
        <w:drawing>
          <wp:inline distT="0" distB="0" distL="0" distR="0" wp14:anchorId="14EEDA30" wp14:editId="2A351651">
            <wp:extent cx="9649460" cy="4684149"/>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49460" cy="4684149"/>
                    </a:xfrm>
                    <a:prstGeom prst="rect">
                      <a:avLst/>
                    </a:prstGeom>
                    <a:noFill/>
                    <a:ln>
                      <a:noFill/>
                    </a:ln>
                  </pic:spPr>
                </pic:pic>
              </a:graphicData>
            </a:graphic>
          </wp:inline>
        </w:drawing>
      </w:r>
    </w:p>
    <w:p w:rsidR="00900C26" w:rsidRPr="0085565C" w:rsidRDefault="00E4565F" w:rsidP="00E4565F">
      <w:pPr>
        <w:pStyle w:val="endofdoc"/>
        <w:rPr>
          <w:lang w:val="fr-FR"/>
        </w:rPr>
      </w:pPr>
      <w:r w:rsidRPr="0085565C">
        <w:rPr>
          <w:snapToGrid w:val="0"/>
          <w:lang w:val="fr-FR"/>
        </w:rPr>
        <w:t xml:space="preserve">[Fin </w:t>
      </w:r>
      <w:r w:rsidR="00F827D1">
        <w:rPr>
          <w:snapToGrid w:val="0"/>
          <w:lang w:val="fr-FR"/>
        </w:rPr>
        <w:t xml:space="preserve">de l’annexe et </w:t>
      </w:r>
      <w:r w:rsidRPr="0085565C">
        <w:rPr>
          <w:snapToGrid w:val="0"/>
          <w:lang w:val="fr-FR"/>
        </w:rPr>
        <w:t>du document]</w:t>
      </w:r>
      <w:bookmarkStart w:id="64" w:name="_GoBack"/>
      <w:bookmarkEnd w:id="64"/>
    </w:p>
    <w:sectPr w:rsidR="00900C26" w:rsidRPr="0085565C" w:rsidSect="007F1801">
      <w:headerReference w:type="default" r:id="rId13"/>
      <w:headerReference w:type="first" r:id="rId14"/>
      <w:footerReference w:type="first" r:id="rId15"/>
      <w:pgSz w:w="16840" w:h="11907" w:orient="landscape" w:code="9"/>
      <w:pgMar w:top="1134" w:right="510" w:bottom="426" w:left="1134" w:header="510" w:footer="4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CEF" w:rsidRDefault="00697CEF" w:rsidP="00F45372">
      <w:r>
        <w:separator/>
      </w:r>
    </w:p>
    <w:p w:rsidR="00697CEF" w:rsidRDefault="00697CEF" w:rsidP="00F45372"/>
    <w:p w:rsidR="00697CEF" w:rsidRDefault="00697CEF" w:rsidP="00F45372"/>
  </w:endnote>
  <w:endnote w:type="continuationSeparator" w:id="0">
    <w:p w:rsidR="00697CEF" w:rsidRDefault="00697CEF" w:rsidP="00F45372">
      <w:r>
        <w:separator/>
      </w:r>
    </w:p>
    <w:p w:rsidR="00697CEF" w:rsidRPr="00813041" w:rsidRDefault="00697CEF" w:rsidP="0014714C">
      <w:pPr>
        <w:pStyle w:val="Footer"/>
        <w:rPr>
          <w:lang w:val="fr-FR"/>
        </w:rPr>
      </w:pPr>
      <w:r w:rsidRPr="00813041">
        <w:rPr>
          <w:lang w:val="fr-FR"/>
        </w:rPr>
        <w:t>[Suite de la note de la page précédente]</w:t>
      </w:r>
    </w:p>
    <w:p w:rsidR="00697CEF" w:rsidRPr="00813041" w:rsidRDefault="00697CEF" w:rsidP="00F45372">
      <w:pPr>
        <w:rPr>
          <w:lang w:val="fr-FR"/>
        </w:rPr>
      </w:pPr>
    </w:p>
    <w:p w:rsidR="00697CEF" w:rsidRPr="00813041" w:rsidRDefault="00697CEF" w:rsidP="00F45372">
      <w:pPr>
        <w:rPr>
          <w:lang w:val="fr-FR"/>
        </w:rPr>
      </w:pPr>
    </w:p>
  </w:endnote>
  <w:endnote w:type="continuationNotice" w:id="1">
    <w:p w:rsidR="00697CEF" w:rsidRPr="00813041" w:rsidRDefault="00697CEF" w:rsidP="00F45372">
      <w:pPr>
        <w:rPr>
          <w:lang w:val="fr-FR"/>
        </w:rPr>
      </w:pPr>
      <w:r w:rsidRPr="00813041">
        <w:rPr>
          <w:lang w:val="fr-FR"/>
        </w:rPr>
        <w:t>[Suite de la note page suivante]</w:t>
      </w:r>
    </w:p>
    <w:p w:rsidR="00697CEF" w:rsidRPr="00813041" w:rsidRDefault="00697CEF" w:rsidP="00F45372">
      <w:pPr>
        <w:rPr>
          <w:lang w:val="fr-FR"/>
        </w:rPr>
      </w:pPr>
    </w:p>
    <w:p w:rsidR="00697CEF" w:rsidRPr="00813041" w:rsidRDefault="00697CEF"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CEF" w:rsidRPr="00F827D1" w:rsidRDefault="00697CEF" w:rsidP="00F827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CEF" w:rsidRDefault="00697CEF" w:rsidP="0014714C">
      <w:pPr>
        <w:spacing w:before="120"/>
      </w:pPr>
      <w:r>
        <w:separator/>
      </w:r>
    </w:p>
  </w:footnote>
  <w:footnote w:type="continuationSeparator" w:id="0">
    <w:p w:rsidR="00697CEF" w:rsidRDefault="00697CEF" w:rsidP="00F45372">
      <w:r>
        <w:separator/>
      </w:r>
    </w:p>
    <w:p w:rsidR="00697CEF" w:rsidRPr="00813041" w:rsidRDefault="00697CEF" w:rsidP="0014714C">
      <w:pPr>
        <w:pStyle w:val="Footer"/>
        <w:rPr>
          <w:lang w:val="fr-FR"/>
        </w:rPr>
      </w:pPr>
      <w:r w:rsidRPr="00813041">
        <w:rPr>
          <w:lang w:val="fr-FR"/>
        </w:rPr>
        <w:t>[Suite de la note de la page précédente]</w:t>
      </w:r>
    </w:p>
  </w:footnote>
  <w:footnote w:type="continuationNotice" w:id="1">
    <w:p w:rsidR="00697CEF" w:rsidRPr="00813041" w:rsidRDefault="00697CEF" w:rsidP="00F45372">
      <w:pPr>
        <w:rPr>
          <w:sz w:val="12"/>
          <w:lang w:val="fr-FR"/>
        </w:rPr>
      </w:pPr>
      <w:r w:rsidRPr="00813041">
        <w:rPr>
          <w:sz w:val="12"/>
          <w:lang w:val="fr-FR"/>
        </w:rPr>
        <w:t>[Suite de la note page suivante]</w:t>
      </w:r>
    </w:p>
  </w:footnote>
  <w:footnote w:id="2">
    <w:p w:rsidR="00697CEF" w:rsidRPr="00697CEF" w:rsidRDefault="00697CEF" w:rsidP="00697CEF">
      <w:pPr>
        <w:pStyle w:val="FootnoteText"/>
        <w:rPr>
          <w:lang w:val="fr-FR"/>
        </w:rPr>
      </w:pPr>
      <w:r w:rsidRPr="00697CEF">
        <w:rPr>
          <w:rStyle w:val="FootnoteReference"/>
          <w:lang w:val="fr-FR"/>
        </w:rPr>
        <w:footnoteRef/>
      </w:r>
      <w:r w:rsidRPr="00697CEF">
        <w:rPr>
          <w:lang w:val="fr-FR"/>
        </w:rPr>
        <w:t xml:space="preserve"> </w:t>
      </w:r>
      <w:r w:rsidRPr="00697CEF">
        <w:rPr>
          <w:lang w:val="fr-FR"/>
        </w:rPr>
        <w:tab/>
        <w:t>Journée des obtenteurs.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CEF" w:rsidRPr="00167941" w:rsidRDefault="00697CEF" w:rsidP="00167941">
    <w:pPr>
      <w:jc w:val="center"/>
      <w:rPr>
        <w:rStyle w:val="PageNumber"/>
      </w:rPr>
    </w:pPr>
    <w:r w:rsidRPr="00167941">
      <w:rPr>
        <w:rStyle w:val="PageNumber"/>
      </w:rPr>
      <w:t>C/49/10</w:t>
    </w:r>
  </w:p>
  <w:p w:rsidR="00697CEF" w:rsidRPr="00167941" w:rsidRDefault="00697CEF" w:rsidP="00167941">
    <w:pPr>
      <w:jc w:val="center"/>
    </w:pPr>
    <w:proofErr w:type="gramStart"/>
    <w:r w:rsidRPr="00167941">
      <w:t>page</w:t>
    </w:r>
    <w:proofErr w:type="gramEnd"/>
    <w:r w:rsidRPr="00167941">
      <w:t xml:space="preserve"> </w:t>
    </w:r>
    <w:r w:rsidRPr="00167941">
      <w:rPr>
        <w:rStyle w:val="PageNumber"/>
      </w:rPr>
      <w:fldChar w:fldCharType="begin"/>
    </w:r>
    <w:r w:rsidRPr="00167941">
      <w:rPr>
        <w:rStyle w:val="PageNumber"/>
      </w:rPr>
      <w:instrText xml:space="preserve"> PAGE </w:instrText>
    </w:r>
    <w:r w:rsidRPr="00167941">
      <w:rPr>
        <w:rStyle w:val="PageNumber"/>
      </w:rPr>
      <w:fldChar w:fldCharType="separate"/>
    </w:r>
    <w:r w:rsidR="00C258AE">
      <w:rPr>
        <w:rStyle w:val="PageNumber"/>
        <w:noProof/>
      </w:rPr>
      <w:t>35</w:t>
    </w:r>
    <w:r w:rsidRPr="00167941">
      <w:rPr>
        <w:rStyle w:val="PageNumber"/>
      </w:rPr>
      <w:fldChar w:fldCharType="end"/>
    </w:r>
  </w:p>
  <w:p w:rsidR="00697CEF" w:rsidRPr="00C5280D" w:rsidRDefault="00697CEF" w:rsidP="00697CE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97B" w:rsidRPr="0011297B" w:rsidRDefault="0011297B" w:rsidP="0011297B">
    <w:pPr>
      <w:pStyle w:val="Header"/>
    </w:pPr>
    <w:r w:rsidRPr="0011297B">
      <w:t>C/49/10</w:t>
    </w:r>
  </w:p>
  <w:p w:rsidR="0011297B" w:rsidRDefault="0011297B" w:rsidP="0011297B">
    <w:pPr>
      <w:pStyle w:val="Header"/>
    </w:pPr>
    <w:r w:rsidRPr="001F04B4">
      <w:t>ANNEXE</w:t>
    </w:r>
  </w:p>
  <w:p w:rsidR="00697CEF" w:rsidRPr="00C258AE" w:rsidRDefault="0011297B" w:rsidP="0011297B">
    <w:pPr>
      <w:pStyle w:val="Header"/>
      <w:rPr>
        <w:lang w:val="fr-FR"/>
      </w:rPr>
    </w:pPr>
    <w:r w:rsidRPr="00C258AE">
      <w:rPr>
        <w:lang w:val="fr-FR"/>
      </w:rPr>
      <w:t>APPENDICE : PROGRAMME DE RÉVISION DU DOCUMENT TGP/8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7D1" w:rsidRPr="00C258AE" w:rsidRDefault="00F827D1" w:rsidP="0011297B">
    <w:pPr>
      <w:pStyle w:val="Header"/>
      <w:rPr>
        <w:rStyle w:val="PageNumber"/>
        <w:caps w:val="0"/>
        <w:sz w:val="18"/>
        <w:lang w:val="fr-FR"/>
      </w:rPr>
    </w:pPr>
    <w:r w:rsidRPr="00C258AE">
      <w:rPr>
        <w:rStyle w:val="PageNumber"/>
        <w:sz w:val="18"/>
        <w:lang w:val="fr-FR"/>
      </w:rPr>
      <w:t>C/49/10</w:t>
    </w:r>
  </w:p>
  <w:p w:rsidR="00F827D1" w:rsidRPr="00C258AE" w:rsidRDefault="00F827D1" w:rsidP="0011297B">
    <w:pPr>
      <w:pStyle w:val="Header"/>
      <w:rPr>
        <w:lang w:val="fr-FR"/>
      </w:rPr>
    </w:pPr>
    <w:r w:rsidRPr="00C258AE">
      <w:rPr>
        <w:lang w:val="fr-FR"/>
      </w:rPr>
      <w:t>ANNEXE</w:t>
    </w:r>
  </w:p>
  <w:p w:rsidR="00F827D1" w:rsidRPr="00C258AE" w:rsidRDefault="00F827D1" w:rsidP="0011297B">
    <w:pPr>
      <w:pStyle w:val="Header"/>
      <w:rPr>
        <w:lang w:val="fr-FR"/>
      </w:rPr>
    </w:pPr>
    <w:r w:rsidRPr="00C258AE">
      <w:rPr>
        <w:lang w:val="fr-FR"/>
      </w:rPr>
      <w:t>PROGRAMME CONCERNANT LES DOCUMENTS TGP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46FE"/>
    <w:multiLevelType w:val="hybridMultilevel"/>
    <w:tmpl w:val="623C0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9D544D"/>
    <w:multiLevelType w:val="hybridMultilevel"/>
    <w:tmpl w:val="B5CCF9EE"/>
    <w:lvl w:ilvl="0" w:tplc="7FF8AC2C">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
    <w:nsid w:val="05EF5886"/>
    <w:multiLevelType w:val="hybridMultilevel"/>
    <w:tmpl w:val="D79622BA"/>
    <w:lvl w:ilvl="0" w:tplc="AFFCFE9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B4888"/>
    <w:multiLevelType w:val="hybridMultilevel"/>
    <w:tmpl w:val="BCD4A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595D18"/>
    <w:multiLevelType w:val="singleLevel"/>
    <w:tmpl w:val="04090019"/>
    <w:lvl w:ilvl="0">
      <w:start w:val="1"/>
      <w:numFmt w:val="lowerLetter"/>
      <w:lvlText w:val="(%1)"/>
      <w:lvlJc w:val="left"/>
      <w:pPr>
        <w:tabs>
          <w:tab w:val="num" w:pos="360"/>
        </w:tabs>
        <w:ind w:left="360" w:hanging="360"/>
      </w:pPr>
    </w:lvl>
  </w:abstractNum>
  <w:abstractNum w:abstractNumId="5">
    <w:nsid w:val="12F72F8B"/>
    <w:multiLevelType w:val="hybridMultilevel"/>
    <w:tmpl w:val="ADCAA96E"/>
    <w:lvl w:ilvl="0" w:tplc="0409000F">
      <w:start w:val="1"/>
      <w:numFmt w:val="decimal"/>
      <w:lvlText w:val="%1."/>
      <w:lvlJc w:val="left"/>
      <w:pPr>
        <w:ind w:left="1211" w:hanging="360"/>
      </w:pPr>
    </w:lvl>
    <w:lvl w:ilvl="1" w:tplc="85D01282">
      <w:start w:val="1"/>
      <w:numFmt w:val="lowerLetter"/>
      <w:lvlText w:val="(%2)"/>
      <w:lvlJc w:val="left"/>
      <w:pPr>
        <w:ind w:left="1943" w:hanging="372"/>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13D749C5"/>
    <w:multiLevelType w:val="hybridMultilevel"/>
    <w:tmpl w:val="490EFD98"/>
    <w:lvl w:ilvl="0" w:tplc="669CC76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77404A9"/>
    <w:multiLevelType w:val="hybridMultilevel"/>
    <w:tmpl w:val="4C6C24DC"/>
    <w:lvl w:ilvl="0" w:tplc="20C0E7D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nsid w:val="18152454"/>
    <w:multiLevelType w:val="hybridMultilevel"/>
    <w:tmpl w:val="A57A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06520C"/>
    <w:multiLevelType w:val="hybridMultilevel"/>
    <w:tmpl w:val="A6D2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092B0F"/>
    <w:multiLevelType w:val="hybridMultilevel"/>
    <w:tmpl w:val="62969500"/>
    <w:lvl w:ilvl="0" w:tplc="0409000F">
      <w:start w:val="1"/>
      <w:numFmt w:val="decimal"/>
      <w:lvlText w:val="%1."/>
      <w:lvlJc w:val="left"/>
      <w:pPr>
        <w:ind w:left="106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16D14F1"/>
    <w:multiLevelType w:val="hybridMultilevel"/>
    <w:tmpl w:val="135CE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4670F1"/>
    <w:multiLevelType w:val="hybridMultilevel"/>
    <w:tmpl w:val="2A546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152A2F"/>
    <w:multiLevelType w:val="singleLevel"/>
    <w:tmpl w:val="04090019"/>
    <w:lvl w:ilvl="0">
      <w:start w:val="1"/>
      <w:numFmt w:val="lowerLetter"/>
      <w:lvlText w:val="(%1)"/>
      <w:lvlJc w:val="left"/>
      <w:pPr>
        <w:tabs>
          <w:tab w:val="num" w:pos="360"/>
        </w:tabs>
        <w:ind w:left="360" w:hanging="360"/>
      </w:pPr>
    </w:lvl>
  </w:abstractNum>
  <w:abstractNum w:abstractNumId="14">
    <w:nsid w:val="2B3E11E2"/>
    <w:multiLevelType w:val="hybridMultilevel"/>
    <w:tmpl w:val="80444E96"/>
    <w:lvl w:ilvl="0" w:tplc="61600200">
      <w:start w:val="1"/>
      <w:numFmt w:val="bullet"/>
      <w:lvlText w:val="•"/>
      <w:lvlJc w:val="left"/>
      <w:pPr>
        <w:tabs>
          <w:tab w:val="num" w:pos="720"/>
        </w:tabs>
        <w:ind w:left="720" w:hanging="360"/>
      </w:pPr>
      <w:rPr>
        <w:rFonts w:ascii="Arial" w:hAnsi="Arial" w:hint="default"/>
      </w:rPr>
    </w:lvl>
    <w:lvl w:ilvl="1" w:tplc="2E004164">
      <w:start w:val="1864"/>
      <w:numFmt w:val="bullet"/>
      <w:lvlText w:val="–"/>
      <w:lvlJc w:val="left"/>
      <w:pPr>
        <w:tabs>
          <w:tab w:val="num" w:pos="1440"/>
        </w:tabs>
        <w:ind w:left="1440" w:hanging="360"/>
      </w:pPr>
      <w:rPr>
        <w:rFonts w:ascii="Arial" w:hAnsi="Arial" w:hint="default"/>
      </w:rPr>
    </w:lvl>
    <w:lvl w:ilvl="2" w:tplc="0004F5D2" w:tentative="1">
      <w:start w:val="1"/>
      <w:numFmt w:val="bullet"/>
      <w:lvlText w:val="•"/>
      <w:lvlJc w:val="left"/>
      <w:pPr>
        <w:tabs>
          <w:tab w:val="num" w:pos="2160"/>
        </w:tabs>
        <w:ind w:left="2160" w:hanging="360"/>
      </w:pPr>
      <w:rPr>
        <w:rFonts w:ascii="Arial" w:hAnsi="Arial" w:hint="default"/>
      </w:rPr>
    </w:lvl>
    <w:lvl w:ilvl="3" w:tplc="3D4870DC" w:tentative="1">
      <w:start w:val="1"/>
      <w:numFmt w:val="bullet"/>
      <w:lvlText w:val="•"/>
      <w:lvlJc w:val="left"/>
      <w:pPr>
        <w:tabs>
          <w:tab w:val="num" w:pos="2880"/>
        </w:tabs>
        <w:ind w:left="2880" w:hanging="360"/>
      </w:pPr>
      <w:rPr>
        <w:rFonts w:ascii="Arial" w:hAnsi="Arial" w:hint="default"/>
      </w:rPr>
    </w:lvl>
    <w:lvl w:ilvl="4" w:tplc="1E9EE928" w:tentative="1">
      <w:start w:val="1"/>
      <w:numFmt w:val="bullet"/>
      <w:lvlText w:val="•"/>
      <w:lvlJc w:val="left"/>
      <w:pPr>
        <w:tabs>
          <w:tab w:val="num" w:pos="3600"/>
        </w:tabs>
        <w:ind w:left="3600" w:hanging="360"/>
      </w:pPr>
      <w:rPr>
        <w:rFonts w:ascii="Arial" w:hAnsi="Arial" w:hint="default"/>
      </w:rPr>
    </w:lvl>
    <w:lvl w:ilvl="5" w:tplc="2612FC78" w:tentative="1">
      <w:start w:val="1"/>
      <w:numFmt w:val="bullet"/>
      <w:lvlText w:val="•"/>
      <w:lvlJc w:val="left"/>
      <w:pPr>
        <w:tabs>
          <w:tab w:val="num" w:pos="4320"/>
        </w:tabs>
        <w:ind w:left="4320" w:hanging="360"/>
      </w:pPr>
      <w:rPr>
        <w:rFonts w:ascii="Arial" w:hAnsi="Arial" w:hint="default"/>
      </w:rPr>
    </w:lvl>
    <w:lvl w:ilvl="6" w:tplc="1FCC54D8" w:tentative="1">
      <w:start w:val="1"/>
      <w:numFmt w:val="bullet"/>
      <w:lvlText w:val="•"/>
      <w:lvlJc w:val="left"/>
      <w:pPr>
        <w:tabs>
          <w:tab w:val="num" w:pos="5040"/>
        </w:tabs>
        <w:ind w:left="5040" w:hanging="360"/>
      </w:pPr>
      <w:rPr>
        <w:rFonts w:ascii="Arial" w:hAnsi="Arial" w:hint="default"/>
      </w:rPr>
    </w:lvl>
    <w:lvl w:ilvl="7" w:tplc="52BC7CD6" w:tentative="1">
      <w:start w:val="1"/>
      <w:numFmt w:val="bullet"/>
      <w:lvlText w:val="•"/>
      <w:lvlJc w:val="left"/>
      <w:pPr>
        <w:tabs>
          <w:tab w:val="num" w:pos="5760"/>
        </w:tabs>
        <w:ind w:left="5760" w:hanging="360"/>
      </w:pPr>
      <w:rPr>
        <w:rFonts w:ascii="Arial" w:hAnsi="Arial" w:hint="default"/>
      </w:rPr>
    </w:lvl>
    <w:lvl w:ilvl="8" w:tplc="8530EAC8" w:tentative="1">
      <w:start w:val="1"/>
      <w:numFmt w:val="bullet"/>
      <w:lvlText w:val="•"/>
      <w:lvlJc w:val="left"/>
      <w:pPr>
        <w:tabs>
          <w:tab w:val="num" w:pos="6480"/>
        </w:tabs>
        <w:ind w:left="6480" w:hanging="360"/>
      </w:pPr>
      <w:rPr>
        <w:rFonts w:ascii="Arial" w:hAnsi="Arial" w:hint="default"/>
      </w:rPr>
    </w:lvl>
  </w:abstractNum>
  <w:abstractNum w:abstractNumId="15">
    <w:nsid w:val="334A4B92"/>
    <w:multiLevelType w:val="singleLevel"/>
    <w:tmpl w:val="0409000F"/>
    <w:lvl w:ilvl="0">
      <w:start w:val="1"/>
      <w:numFmt w:val="decimal"/>
      <w:lvlText w:val="%1."/>
      <w:lvlJc w:val="left"/>
      <w:pPr>
        <w:tabs>
          <w:tab w:val="num" w:pos="360"/>
        </w:tabs>
        <w:ind w:left="360" w:hanging="360"/>
      </w:pPr>
    </w:lvl>
  </w:abstractNum>
  <w:abstractNum w:abstractNumId="16">
    <w:nsid w:val="33521739"/>
    <w:multiLevelType w:val="hybridMultilevel"/>
    <w:tmpl w:val="338CF4E4"/>
    <w:lvl w:ilvl="0" w:tplc="6F881EC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831E7F"/>
    <w:multiLevelType w:val="hybridMultilevel"/>
    <w:tmpl w:val="28C45210"/>
    <w:lvl w:ilvl="0" w:tplc="E7D0A81E">
      <w:numFmt w:val="bullet"/>
      <w:lvlText w:val="-"/>
      <w:lvlJc w:val="left"/>
      <w:pPr>
        <w:ind w:left="720" w:hanging="360"/>
      </w:pPr>
      <w:rPr>
        <w:rFonts w:ascii="Arial" w:eastAsiaTheme="minorEastAsia"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nsid w:val="35A82EAE"/>
    <w:multiLevelType w:val="hybridMultilevel"/>
    <w:tmpl w:val="D64E01D0"/>
    <w:lvl w:ilvl="0" w:tplc="CBE49D1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4D4BFB"/>
    <w:multiLevelType w:val="hybridMultilevel"/>
    <w:tmpl w:val="5F6C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E62735"/>
    <w:multiLevelType w:val="hybridMultilevel"/>
    <w:tmpl w:val="0854D8B0"/>
    <w:lvl w:ilvl="0" w:tplc="D124CC2A">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93B1444"/>
    <w:multiLevelType w:val="hybridMultilevel"/>
    <w:tmpl w:val="3016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311C9B"/>
    <w:multiLevelType w:val="hybridMultilevel"/>
    <w:tmpl w:val="9006A27C"/>
    <w:lvl w:ilvl="0" w:tplc="AC548EBE">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777821"/>
    <w:multiLevelType w:val="hybridMultilevel"/>
    <w:tmpl w:val="44A6EB50"/>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nsid w:val="4FD0192D"/>
    <w:multiLevelType w:val="hybridMultilevel"/>
    <w:tmpl w:val="16865A44"/>
    <w:lvl w:ilvl="0" w:tplc="C4B6094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nsid w:val="530C4336"/>
    <w:multiLevelType w:val="hybridMultilevel"/>
    <w:tmpl w:val="906CE284"/>
    <w:lvl w:ilvl="0" w:tplc="3F4A44D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C769DC"/>
    <w:multiLevelType w:val="hybridMultilevel"/>
    <w:tmpl w:val="3CD628DA"/>
    <w:lvl w:ilvl="0" w:tplc="290E460A">
      <w:start w:val="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5DB3637C"/>
    <w:multiLevelType w:val="hybridMultilevel"/>
    <w:tmpl w:val="3774D2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C31741"/>
    <w:multiLevelType w:val="hybridMultilevel"/>
    <w:tmpl w:val="0A92BE7A"/>
    <w:lvl w:ilvl="0" w:tplc="92AA238C">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nsid w:val="63B55E69"/>
    <w:multiLevelType w:val="hybridMultilevel"/>
    <w:tmpl w:val="A8007582"/>
    <w:lvl w:ilvl="0" w:tplc="68CE1F9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7D0907"/>
    <w:multiLevelType w:val="hybridMultilevel"/>
    <w:tmpl w:val="6E229894"/>
    <w:lvl w:ilvl="0" w:tplc="12E0936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8D7300"/>
    <w:multiLevelType w:val="hybridMultilevel"/>
    <w:tmpl w:val="1A6CE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C22635"/>
    <w:multiLevelType w:val="hybridMultilevel"/>
    <w:tmpl w:val="CBB43C8C"/>
    <w:lvl w:ilvl="0" w:tplc="3B78C056">
      <w:start w:val="1"/>
      <w:numFmt w:val="bullet"/>
      <w:lvlText w:val="•"/>
      <w:lvlJc w:val="left"/>
      <w:pPr>
        <w:tabs>
          <w:tab w:val="num" w:pos="720"/>
        </w:tabs>
        <w:ind w:left="720" w:hanging="360"/>
      </w:pPr>
      <w:rPr>
        <w:rFonts w:ascii="Arial" w:hAnsi="Arial" w:hint="default"/>
      </w:rPr>
    </w:lvl>
    <w:lvl w:ilvl="1" w:tplc="232E220A">
      <w:start w:val="2249"/>
      <w:numFmt w:val="bullet"/>
      <w:lvlText w:val="–"/>
      <w:lvlJc w:val="left"/>
      <w:pPr>
        <w:tabs>
          <w:tab w:val="num" w:pos="1440"/>
        </w:tabs>
        <w:ind w:left="1440" w:hanging="360"/>
      </w:pPr>
      <w:rPr>
        <w:rFonts w:ascii="Arial" w:hAnsi="Arial" w:hint="default"/>
      </w:rPr>
    </w:lvl>
    <w:lvl w:ilvl="2" w:tplc="56CC4ABE" w:tentative="1">
      <w:start w:val="1"/>
      <w:numFmt w:val="bullet"/>
      <w:lvlText w:val="•"/>
      <w:lvlJc w:val="left"/>
      <w:pPr>
        <w:tabs>
          <w:tab w:val="num" w:pos="2160"/>
        </w:tabs>
        <w:ind w:left="2160" w:hanging="360"/>
      </w:pPr>
      <w:rPr>
        <w:rFonts w:ascii="Arial" w:hAnsi="Arial" w:hint="default"/>
      </w:rPr>
    </w:lvl>
    <w:lvl w:ilvl="3" w:tplc="C45A2C30" w:tentative="1">
      <w:start w:val="1"/>
      <w:numFmt w:val="bullet"/>
      <w:lvlText w:val="•"/>
      <w:lvlJc w:val="left"/>
      <w:pPr>
        <w:tabs>
          <w:tab w:val="num" w:pos="2880"/>
        </w:tabs>
        <w:ind w:left="2880" w:hanging="360"/>
      </w:pPr>
      <w:rPr>
        <w:rFonts w:ascii="Arial" w:hAnsi="Arial" w:hint="default"/>
      </w:rPr>
    </w:lvl>
    <w:lvl w:ilvl="4" w:tplc="9948CDE8" w:tentative="1">
      <w:start w:val="1"/>
      <w:numFmt w:val="bullet"/>
      <w:lvlText w:val="•"/>
      <w:lvlJc w:val="left"/>
      <w:pPr>
        <w:tabs>
          <w:tab w:val="num" w:pos="3600"/>
        </w:tabs>
        <w:ind w:left="3600" w:hanging="360"/>
      </w:pPr>
      <w:rPr>
        <w:rFonts w:ascii="Arial" w:hAnsi="Arial" w:hint="default"/>
      </w:rPr>
    </w:lvl>
    <w:lvl w:ilvl="5" w:tplc="BD8AE3BC" w:tentative="1">
      <w:start w:val="1"/>
      <w:numFmt w:val="bullet"/>
      <w:lvlText w:val="•"/>
      <w:lvlJc w:val="left"/>
      <w:pPr>
        <w:tabs>
          <w:tab w:val="num" w:pos="4320"/>
        </w:tabs>
        <w:ind w:left="4320" w:hanging="360"/>
      </w:pPr>
      <w:rPr>
        <w:rFonts w:ascii="Arial" w:hAnsi="Arial" w:hint="default"/>
      </w:rPr>
    </w:lvl>
    <w:lvl w:ilvl="6" w:tplc="279AAF3A" w:tentative="1">
      <w:start w:val="1"/>
      <w:numFmt w:val="bullet"/>
      <w:lvlText w:val="•"/>
      <w:lvlJc w:val="left"/>
      <w:pPr>
        <w:tabs>
          <w:tab w:val="num" w:pos="5040"/>
        </w:tabs>
        <w:ind w:left="5040" w:hanging="360"/>
      </w:pPr>
      <w:rPr>
        <w:rFonts w:ascii="Arial" w:hAnsi="Arial" w:hint="default"/>
      </w:rPr>
    </w:lvl>
    <w:lvl w:ilvl="7" w:tplc="E10E83F6" w:tentative="1">
      <w:start w:val="1"/>
      <w:numFmt w:val="bullet"/>
      <w:lvlText w:val="•"/>
      <w:lvlJc w:val="left"/>
      <w:pPr>
        <w:tabs>
          <w:tab w:val="num" w:pos="5760"/>
        </w:tabs>
        <w:ind w:left="5760" w:hanging="360"/>
      </w:pPr>
      <w:rPr>
        <w:rFonts w:ascii="Arial" w:hAnsi="Arial" w:hint="default"/>
      </w:rPr>
    </w:lvl>
    <w:lvl w:ilvl="8" w:tplc="DD2EE926" w:tentative="1">
      <w:start w:val="1"/>
      <w:numFmt w:val="bullet"/>
      <w:lvlText w:val="•"/>
      <w:lvlJc w:val="left"/>
      <w:pPr>
        <w:tabs>
          <w:tab w:val="num" w:pos="6480"/>
        </w:tabs>
        <w:ind w:left="6480" w:hanging="360"/>
      </w:pPr>
      <w:rPr>
        <w:rFonts w:ascii="Arial" w:hAnsi="Arial" w:hint="default"/>
      </w:rPr>
    </w:lvl>
  </w:abstractNum>
  <w:abstractNum w:abstractNumId="33">
    <w:nsid w:val="73391E4D"/>
    <w:multiLevelType w:val="hybridMultilevel"/>
    <w:tmpl w:val="CA14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BA74FD"/>
    <w:multiLevelType w:val="hybridMultilevel"/>
    <w:tmpl w:val="B478163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AD51284"/>
    <w:multiLevelType w:val="hybridMultilevel"/>
    <w:tmpl w:val="E94EF58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9"/>
  </w:num>
  <w:num w:numId="2">
    <w:abstractNumId w:val="21"/>
  </w:num>
  <w:num w:numId="3">
    <w:abstractNumId w:val="33"/>
  </w:num>
  <w:num w:numId="4">
    <w:abstractNumId w:val="27"/>
  </w:num>
  <w:num w:numId="5">
    <w:abstractNumId w:val="34"/>
  </w:num>
  <w:num w:numId="6">
    <w:abstractNumId w:val="23"/>
  </w:num>
  <w:num w:numId="7">
    <w:abstractNumId w:val="35"/>
  </w:num>
  <w:num w:numId="8">
    <w:abstractNumId w:val="7"/>
  </w:num>
  <w:num w:numId="9">
    <w:abstractNumId w:val="28"/>
  </w:num>
  <w:num w:numId="10">
    <w:abstractNumId w:val="26"/>
  </w:num>
  <w:num w:numId="11">
    <w:abstractNumId w:val="3"/>
  </w:num>
  <w:num w:numId="12">
    <w:abstractNumId w:val="12"/>
  </w:num>
  <w:num w:numId="13">
    <w:abstractNumId w:val="6"/>
  </w:num>
  <w:num w:numId="14">
    <w:abstractNumId w:val="6"/>
    <w:lvlOverride w:ilvl="0">
      <w:startOverride w:val="1"/>
    </w:lvlOverride>
  </w:num>
  <w:num w:numId="15">
    <w:abstractNumId w:val="11"/>
  </w:num>
  <w:num w:numId="16">
    <w:abstractNumId w:val="6"/>
    <w:lvlOverride w:ilvl="0">
      <w:startOverride w:val="1"/>
    </w:lvlOverride>
  </w:num>
  <w:num w:numId="17">
    <w:abstractNumId w:val="22"/>
  </w:num>
  <w:num w:numId="18">
    <w:abstractNumId w:val="17"/>
  </w:num>
  <w:num w:numId="19">
    <w:abstractNumId w:val="15"/>
  </w:num>
  <w:num w:numId="20">
    <w:abstractNumId w:val="13"/>
  </w:num>
  <w:num w:numId="21">
    <w:abstractNumId w:val="5"/>
  </w:num>
  <w:num w:numId="22">
    <w:abstractNumId w:val="0"/>
  </w:num>
  <w:num w:numId="23">
    <w:abstractNumId w:val="24"/>
  </w:num>
  <w:num w:numId="24">
    <w:abstractNumId w:val="4"/>
  </w:num>
  <w:num w:numId="25">
    <w:abstractNumId w:val="14"/>
  </w:num>
  <w:num w:numId="26">
    <w:abstractNumId w:val="32"/>
  </w:num>
  <w:num w:numId="27">
    <w:abstractNumId w:val="19"/>
  </w:num>
  <w:num w:numId="28">
    <w:abstractNumId w:val="31"/>
  </w:num>
  <w:num w:numId="29">
    <w:abstractNumId w:val="9"/>
  </w:num>
  <w:num w:numId="30">
    <w:abstractNumId w:val="20"/>
  </w:num>
  <w:num w:numId="31">
    <w:abstractNumId w:val="10"/>
  </w:num>
  <w:num w:numId="32">
    <w:abstractNumId w:val="8"/>
  </w:num>
  <w:num w:numId="33">
    <w:abstractNumId w:val="1"/>
  </w:num>
  <w:num w:numId="34">
    <w:abstractNumId w:val="30"/>
  </w:num>
  <w:num w:numId="35">
    <w:abstractNumId w:val="16"/>
  </w:num>
  <w:num w:numId="36">
    <w:abstractNumId w:val="2"/>
  </w:num>
  <w:num w:numId="37">
    <w:abstractNumId w:val="18"/>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0A7"/>
    <w:rsid w:val="00010CF3"/>
    <w:rsid w:val="00011E27"/>
    <w:rsid w:val="000148BC"/>
    <w:rsid w:val="00024AB8"/>
    <w:rsid w:val="00030854"/>
    <w:rsid w:val="00036028"/>
    <w:rsid w:val="00044642"/>
    <w:rsid w:val="000446B9"/>
    <w:rsid w:val="00047E21"/>
    <w:rsid w:val="00066C42"/>
    <w:rsid w:val="00085505"/>
    <w:rsid w:val="000B6E8B"/>
    <w:rsid w:val="000C7021"/>
    <w:rsid w:val="000D6BBC"/>
    <w:rsid w:val="000D7780"/>
    <w:rsid w:val="00105929"/>
    <w:rsid w:val="0011297B"/>
    <w:rsid w:val="001131D5"/>
    <w:rsid w:val="00141DB8"/>
    <w:rsid w:val="0014714C"/>
    <w:rsid w:val="00165DC7"/>
    <w:rsid w:val="00167941"/>
    <w:rsid w:val="0017474A"/>
    <w:rsid w:val="001758C6"/>
    <w:rsid w:val="00176792"/>
    <w:rsid w:val="001A5206"/>
    <w:rsid w:val="001A73FB"/>
    <w:rsid w:val="001C272F"/>
    <w:rsid w:val="0021332C"/>
    <w:rsid w:val="00213982"/>
    <w:rsid w:val="00235267"/>
    <w:rsid w:val="0024416D"/>
    <w:rsid w:val="00276F75"/>
    <w:rsid w:val="002800A0"/>
    <w:rsid w:val="002801B3"/>
    <w:rsid w:val="00281060"/>
    <w:rsid w:val="002940E8"/>
    <w:rsid w:val="002A6E50"/>
    <w:rsid w:val="002C256A"/>
    <w:rsid w:val="002E0818"/>
    <w:rsid w:val="00305A7F"/>
    <w:rsid w:val="003152FE"/>
    <w:rsid w:val="00320AE8"/>
    <w:rsid w:val="00327436"/>
    <w:rsid w:val="00344BD6"/>
    <w:rsid w:val="0035528D"/>
    <w:rsid w:val="00361821"/>
    <w:rsid w:val="003D12A9"/>
    <w:rsid w:val="003D227C"/>
    <w:rsid w:val="003D2B4D"/>
    <w:rsid w:val="003D7E71"/>
    <w:rsid w:val="00415D2A"/>
    <w:rsid w:val="00422BD2"/>
    <w:rsid w:val="0043005A"/>
    <w:rsid w:val="00444A88"/>
    <w:rsid w:val="00474DA4"/>
    <w:rsid w:val="00483F7E"/>
    <w:rsid w:val="004D047D"/>
    <w:rsid w:val="004E242A"/>
    <w:rsid w:val="004F305A"/>
    <w:rsid w:val="00512164"/>
    <w:rsid w:val="00520297"/>
    <w:rsid w:val="005338F9"/>
    <w:rsid w:val="0054281C"/>
    <w:rsid w:val="0055268D"/>
    <w:rsid w:val="00576BE4"/>
    <w:rsid w:val="005A400A"/>
    <w:rsid w:val="005C2FEA"/>
    <w:rsid w:val="00612379"/>
    <w:rsid w:val="0061555F"/>
    <w:rsid w:val="00641200"/>
    <w:rsid w:val="006657AB"/>
    <w:rsid w:val="00687EB4"/>
    <w:rsid w:val="00697CEF"/>
    <w:rsid w:val="006B17D2"/>
    <w:rsid w:val="006C224E"/>
    <w:rsid w:val="006D780A"/>
    <w:rsid w:val="00732DEC"/>
    <w:rsid w:val="00735BD5"/>
    <w:rsid w:val="007556F6"/>
    <w:rsid w:val="00760EEF"/>
    <w:rsid w:val="00777EE5"/>
    <w:rsid w:val="00784836"/>
    <w:rsid w:val="007855E2"/>
    <w:rsid w:val="0079023E"/>
    <w:rsid w:val="007A2854"/>
    <w:rsid w:val="007D0B9D"/>
    <w:rsid w:val="007D19B0"/>
    <w:rsid w:val="007D4543"/>
    <w:rsid w:val="007F1801"/>
    <w:rsid w:val="007F498F"/>
    <w:rsid w:val="0080679D"/>
    <w:rsid w:val="008108B0"/>
    <w:rsid w:val="00811B20"/>
    <w:rsid w:val="00813041"/>
    <w:rsid w:val="0082296E"/>
    <w:rsid w:val="00824099"/>
    <w:rsid w:val="0085565C"/>
    <w:rsid w:val="00857FCB"/>
    <w:rsid w:val="00867AC1"/>
    <w:rsid w:val="008A743F"/>
    <w:rsid w:val="008B48DF"/>
    <w:rsid w:val="008C0970"/>
    <w:rsid w:val="008D2CF7"/>
    <w:rsid w:val="008D3729"/>
    <w:rsid w:val="008F403F"/>
    <w:rsid w:val="00900C26"/>
    <w:rsid w:val="0090197F"/>
    <w:rsid w:val="00906DDC"/>
    <w:rsid w:val="0090786F"/>
    <w:rsid w:val="00934E09"/>
    <w:rsid w:val="00936253"/>
    <w:rsid w:val="00952DD4"/>
    <w:rsid w:val="00970FED"/>
    <w:rsid w:val="009809C6"/>
    <w:rsid w:val="00997029"/>
    <w:rsid w:val="009D655A"/>
    <w:rsid w:val="009D690D"/>
    <w:rsid w:val="009E65B6"/>
    <w:rsid w:val="009F40E4"/>
    <w:rsid w:val="00A42AC3"/>
    <w:rsid w:val="00A430CF"/>
    <w:rsid w:val="00A47CDB"/>
    <w:rsid w:val="00A54309"/>
    <w:rsid w:val="00A554AA"/>
    <w:rsid w:val="00AB2B93"/>
    <w:rsid w:val="00AB4726"/>
    <w:rsid w:val="00AB7E5B"/>
    <w:rsid w:val="00AC249E"/>
    <w:rsid w:val="00AD6403"/>
    <w:rsid w:val="00AE0EF1"/>
    <w:rsid w:val="00AF7A00"/>
    <w:rsid w:val="00B07301"/>
    <w:rsid w:val="00B224DE"/>
    <w:rsid w:val="00B314D5"/>
    <w:rsid w:val="00B438DE"/>
    <w:rsid w:val="00B55555"/>
    <w:rsid w:val="00B84BBD"/>
    <w:rsid w:val="00BA43FB"/>
    <w:rsid w:val="00BB30A7"/>
    <w:rsid w:val="00BC127D"/>
    <w:rsid w:val="00BC1FE6"/>
    <w:rsid w:val="00C061B6"/>
    <w:rsid w:val="00C13808"/>
    <w:rsid w:val="00C23554"/>
    <w:rsid w:val="00C2446C"/>
    <w:rsid w:val="00C258AE"/>
    <w:rsid w:val="00C36AE5"/>
    <w:rsid w:val="00C41F17"/>
    <w:rsid w:val="00C5791C"/>
    <w:rsid w:val="00C66290"/>
    <w:rsid w:val="00C72B7A"/>
    <w:rsid w:val="00C734F7"/>
    <w:rsid w:val="00C973F2"/>
    <w:rsid w:val="00CA774A"/>
    <w:rsid w:val="00CB314A"/>
    <w:rsid w:val="00CC11B0"/>
    <w:rsid w:val="00CF7E36"/>
    <w:rsid w:val="00D3708D"/>
    <w:rsid w:val="00D40426"/>
    <w:rsid w:val="00D57C96"/>
    <w:rsid w:val="00D91203"/>
    <w:rsid w:val="00D95174"/>
    <w:rsid w:val="00DA6F36"/>
    <w:rsid w:val="00DB596E"/>
    <w:rsid w:val="00DC00EA"/>
    <w:rsid w:val="00DF1BB7"/>
    <w:rsid w:val="00E4565F"/>
    <w:rsid w:val="00E72D49"/>
    <w:rsid w:val="00E72E18"/>
    <w:rsid w:val="00E7593C"/>
    <w:rsid w:val="00E7678A"/>
    <w:rsid w:val="00E935F1"/>
    <w:rsid w:val="00E94A81"/>
    <w:rsid w:val="00EA1FFB"/>
    <w:rsid w:val="00EA5245"/>
    <w:rsid w:val="00EB048E"/>
    <w:rsid w:val="00ED7F5E"/>
    <w:rsid w:val="00EE34DF"/>
    <w:rsid w:val="00EF2F89"/>
    <w:rsid w:val="00F1237A"/>
    <w:rsid w:val="00F22CBD"/>
    <w:rsid w:val="00F24255"/>
    <w:rsid w:val="00F31E19"/>
    <w:rsid w:val="00F3569F"/>
    <w:rsid w:val="00F45372"/>
    <w:rsid w:val="00F560F7"/>
    <w:rsid w:val="00F6334D"/>
    <w:rsid w:val="00F827D1"/>
    <w:rsid w:val="00F9505F"/>
    <w:rsid w:val="00FA49AB"/>
    <w:rsid w:val="00FA63F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941"/>
    <w:pPr>
      <w:jc w:val="both"/>
    </w:pPr>
    <w:rPr>
      <w:rFonts w:ascii="Arial" w:hAnsi="Arial"/>
    </w:rPr>
  </w:style>
  <w:style w:type="paragraph" w:styleId="Heading1">
    <w:name w:val="heading 1"/>
    <w:next w:val="Normal"/>
    <w:autoRedefine/>
    <w:qFormat/>
    <w:rsid w:val="00AC249E"/>
    <w:pPr>
      <w:keepNext/>
      <w:jc w:val="both"/>
      <w:outlineLvl w:val="0"/>
    </w:pPr>
    <w:rPr>
      <w:rFonts w:ascii="Arial" w:hAnsi="Arial"/>
      <w:caps/>
    </w:rPr>
  </w:style>
  <w:style w:type="paragraph" w:styleId="Heading2">
    <w:name w:val="heading 2"/>
    <w:next w:val="Normal"/>
    <w:link w:val="Heading2Char"/>
    <w:autoRedefine/>
    <w:qFormat/>
    <w:rsid w:val="00AC249E"/>
    <w:pPr>
      <w:keepNext/>
      <w:jc w:val="both"/>
      <w:outlineLvl w:val="1"/>
    </w:pPr>
    <w:rPr>
      <w:rFonts w:ascii="Arial" w:hAnsi="Arial"/>
      <w:u w:val="single"/>
    </w:rPr>
  </w:style>
  <w:style w:type="paragraph" w:styleId="Heading3">
    <w:name w:val="heading 3"/>
    <w:next w:val="Normal"/>
    <w:link w:val="Heading3Char"/>
    <w:autoRedefine/>
    <w:qFormat/>
    <w:rsid w:val="0085565C"/>
    <w:pPr>
      <w:keepNext/>
      <w:jc w:val="both"/>
      <w:outlineLvl w:val="2"/>
    </w:pPr>
    <w:rPr>
      <w:rFonts w:ascii="Arial" w:hAnsi="Arial"/>
      <w:i/>
      <w:lang w:val="fr-FR"/>
    </w:rPr>
  </w:style>
  <w:style w:type="paragraph" w:styleId="Heading4">
    <w:name w:val="heading 4"/>
    <w:next w:val="Normal"/>
    <w:link w:val="Heading4Char"/>
    <w:autoRedefine/>
    <w:qFormat/>
    <w:rsid w:val="00AC249E"/>
    <w:pPr>
      <w:keepNext/>
      <w:ind w:left="567"/>
      <w:jc w:val="both"/>
      <w:outlineLvl w:val="3"/>
    </w:pPr>
    <w:rPr>
      <w:rFonts w:ascii="Arial" w:hAnsi="Arial"/>
      <w:i/>
      <w:lang w:val="fr-FR"/>
    </w:rPr>
  </w:style>
  <w:style w:type="paragraph" w:styleId="Heading5">
    <w:name w:val="heading 5"/>
    <w:next w:val="Normal"/>
    <w:link w:val="Heading5Char"/>
    <w:autoRedefine/>
    <w:qFormat/>
    <w:rsid w:val="00AF7A00"/>
    <w:pPr>
      <w:keepNext/>
      <w:ind w:left="567"/>
      <w:jc w:val="both"/>
      <w:outlineLvl w:val="4"/>
    </w:pPr>
    <w:rPr>
      <w:rFonts w:ascii="Arial" w:hAnsi="Arial"/>
      <w:sz w:val="18"/>
      <w:szCs w:val="18"/>
    </w:rPr>
  </w:style>
  <w:style w:type="paragraph" w:styleId="Heading6">
    <w:name w:val="heading 6"/>
    <w:basedOn w:val="Normal"/>
    <w:next w:val="Normal"/>
    <w:link w:val="Heading6Char"/>
    <w:qFormat/>
    <w:rsid w:val="00AC249E"/>
    <w:pPr>
      <w:outlineLvl w:val="5"/>
    </w:pPr>
    <w:rPr>
      <w:lang w:val="es-ES_tradnl"/>
    </w:rPr>
  </w:style>
  <w:style w:type="paragraph" w:styleId="Heading7">
    <w:name w:val="heading 7"/>
    <w:basedOn w:val="Normal"/>
    <w:next w:val="Normal"/>
    <w:link w:val="Heading7Char"/>
    <w:qFormat/>
    <w:rsid w:val="00AC249E"/>
    <w:pPr>
      <w:spacing w:before="240" w:after="60"/>
      <w:outlineLvl w:val="6"/>
    </w:pPr>
    <w:rPr>
      <w:szCs w:val="24"/>
    </w:rPr>
  </w:style>
  <w:style w:type="paragraph" w:styleId="Heading8">
    <w:name w:val="heading 8"/>
    <w:basedOn w:val="Normal"/>
    <w:next w:val="Normal"/>
    <w:link w:val="Heading8Char"/>
    <w:qFormat/>
    <w:rsid w:val="00AC249E"/>
    <w:pPr>
      <w:keepNext/>
      <w:jc w:val="center"/>
      <w:outlineLvl w:val="7"/>
    </w:pPr>
    <w:rPr>
      <w:u w:val="single"/>
    </w:rPr>
  </w:style>
  <w:style w:type="paragraph" w:styleId="Heading9">
    <w:name w:val="heading 9"/>
    <w:basedOn w:val="Normal"/>
    <w:next w:val="Normal"/>
    <w:qFormat/>
    <w:rsid w:val="00AC249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11297B"/>
    <w:pPr>
      <w:tabs>
        <w:tab w:val="center" w:pos="4536"/>
        <w:tab w:val="right" w:pos="9072"/>
      </w:tabs>
      <w:spacing w:line="360" w:lineRule="auto"/>
      <w:jc w:val="center"/>
    </w:pPr>
    <w:rPr>
      <w:rFonts w:ascii="Arial" w:hAnsi="Arial"/>
      <w:caps/>
      <w:sz w:val="18"/>
    </w:rPr>
  </w:style>
  <w:style w:type="paragraph" w:styleId="Footer">
    <w:name w:val="footer"/>
    <w:aliases w:val="doc_path_name"/>
    <w:link w:val="FooterChar"/>
    <w:autoRedefine/>
    <w:rsid w:val="00AC249E"/>
    <w:pPr>
      <w:jc w:val="both"/>
    </w:pPr>
    <w:rPr>
      <w:rFonts w:ascii="Arial" w:hAnsi="Arial"/>
      <w:sz w:val="14"/>
    </w:rPr>
  </w:style>
  <w:style w:type="character" w:styleId="PageNumber">
    <w:name w:val="page number"/>
    <w:basedOn w:val="DefaultParagraphFont"/>
    <w:rsid w:val="00AC249E"/>
    <w:rPr>
      <w:rFonts w:ascii="Arial" w:hAnsi="Arial"/>
      <w:sz w:val="20"/>
    </w:rPr>
  </w:style>
  <w:style w:type="paragraph" w:styleId="Title">
    <w:name w:val="Title"/>
    <w:basedOn w:val="Normal"/>
    <w:qFormat/>
    <w:rsid w:val="00AC249E"/>
    <w:pPr>
      <w:spacing w:after="300"/>
      <w:jc w:val="center"/>
    </w:pPr>
    <w:rPr>
      <w:b/>
      <w:caps/>
      <w:kern w:val="28"/>
      <w:sz w:val="30"/>
    </w:rPr>
  </w:style>
  <w:style w:type="paragraph" w:customStyle="1" w:styleId="preparedby">
    <w:name w:val="preparedby"/>
    <w:basedOn w:val="Normal"/>
    <w:next w:val="Normal"/>
    <w:rsid w:val="00AC249E"/>
    <w:pPr>
      <w:spacing w:after="600"/>
      <w:jc w:val="center"/>
    </w:pPr>
    <w:rPr>
      <w:i/>
    </w:rPr>
  </w:style>
  <w:style w:type="paragraph" w:customStyle="1" w:styleId="Docoriginal">
    <w:name w:val="Doc_original"/>
    <w:basedOn w:val="Normal"/>
    <w:link w:val="DocoriginalChar"/>
    <w:rsid w:val="00AC249E"/>
    <w:pPr>
      <w:spacing w:line="280" w:lineRule="exact"/>
      <w:ind w:left="1361"/>
    </w:pPr>
    <w:rPr>
      <w:b/>
      <w:bCs/>
      <w:spacing w:val="10"/>
    </w:rPr>
  </w:style>
  <w:style w:type="paragraph" w:customStyle="1" w:styleId="DecisionParagraphs">
    <w:name w:val="DecisionParagraphs"/>
    <w:basedOn w:val="Normal"/>
    <w:link w:val="DecisionParagraphsChar"/>
    <w:qFormat/>
    <w:rsid w:val="00AC249E"/>
    <w:pPr>
      <w:tabs>
        <w:tab w:val="left" w:pos="5387"/>
      </w:tabs>
      <w:ind w:left="4820"/>
    </w:pPr>
    <w:rPr>
      <w:i/>
    </w:rPr>
  </w:style>
  <w:style w:type="paragraph" w:styleId="FootnoteText">
    <w:name w:val="footnote text"/>
    <w:link w:val="FootnoteTextChar"/>
    <w:autoRedefine/>
    <w:rsid w:val="00AC249E"/>
    <w:pPr>
      <w:spacing w:before="60"/>
      <w:ind w:left="567" w:hanging="567"/>
      <w:jc w:val="both"/>
    </w:pPr>
    <w:rPr>
      <w:rFonts w:ascii="Arial" w:hAnsi="Arial"/>
      <w:sz w:val="16"/>
    </w:rPr>
  </w:style>
  <w:style w:type="character" w:styleId="FootnoteReference">
    <w:name w:val="footnote reference"/>
    <w:basedOn w:val="DefaultParagraphFont"/>
    <w:rsid w:val="00AC249E"/>
    <w:rPr>
      <w:vertAlign w:val="superscript"/>
    </w:rPr>
  </w:style>
  <w:style w:type="paragraph" w:styleId="Closing">
    <w:name w:val="Closing"/>
    <w:basedOn w:val="Normal"/>
    <w:rsid w:val="00AC249E"/>
    <w:pPr>
      <w:ind w:left="4536"/>
      <w:jc w:val="center"/>
    </w:pPr>
  </w:style>
  <w:style w:type="paragraph" w:styleId="Index1">
    <w:name w:val="index 1"/>
    <w:basedOn w:val="Normal"/>
    <w:next w:val="Normal"/>
    <w:semiHidden/>
    <w:rsid w:val="00AC249E"/>
    <w:pPr>
      <w:tabs>
        <w:tab w:val="right" w:leader="dot" w:pos="9071"/>
      </w:tabs>
      <w:ind w:left="284" w:hanging="284"/>
    </w:pPr>
    <w:rPr>
      <w:sz w:val="24"/>
    </w:rPr>
  </w:style>
  <w:style w:type="paragraph" w:styleId="Index2">
    <w:name w:val="index 2"/>
    <w:basedOn w:val="Normal"/>
    <w:next w:val="Normal"/>
    <w:semiHidden/>
    <w:rsid w:val="00AC249E"/>
    <w:pPr>
      <w:tabs>
        <w:tab w:val="right" w:leader="dot" w:pos="9071"/>
      </w:tabs>
      <w:ind w:left="568" w:hanging="284"/>
    </w:pPr>
    <w:rPr>
      <w:sz w:val="24"/>
    </w:rPr>
  </w:style>
  <w:style w:type="paragraph" w:styleId="Index3">
    <w:name w:val="index 3"/>
    <w:basedOn w:val="Normal"/>
    <w:next w:val="Normal"/>
    <w:semiHidden/>
    <w:rsid w:val="00AC249E"/>
    <w:pPr>
      <w:tabs>
        <w:tab w:val="right" w:leader="dot" w:pos="9071"/>
      </w:tabs>
      <w:ind w:left="851" w:hanging="284"/>
    </w:pPr>
    <w:rPr>
      <w:sz w:val="24"/>
    </w:rPr>
  </w:style>
  <w:style w:type="paragraph" w:styleId="MacroText">
    <w:name w:val="macro"/>
    <w:semiHidden/>
    <w:rsid w:val="00AC249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AC249E"/>
    <w:pPr>
      <w:ind w:left="4536"/>
      <w:jc w:val="center"/>
    </w:pPr>
  </w:style>
  <w:style w:type="character" w:customStyle="1" w:styleId="Doclang">
    <w:name w:val="Doc_lang"/>
    <w:basedOn w:val="DefaultParagraphFont"/>
    <w:rsid w:val="00AC249E"/>
    <w:rPr>
      <w:rFonts w:ascii="Arial" w:hAnsi="Arial"/>
      <w:sz w:val="20"/>
      <w:lang w:val="en-US"/>
    </w:rPr>
  </w:style>
  <w:style w:type="paragraph" w:customStyle="1" w:styleId="Session">
    <w:name w:val="Session"/>
    <w:basedOn w:val="Normal"/>
    <w:rsid w:val="00AC249E"/>
    <w:pPr>
      <w:spacing w:before="60"/>
      <w:jc w:val="center"/>
    </w:pPr>
    <w:rPr>
      <w:b/>
    </w:rPr>
  </w:style>
  <w:style w:type="paragraph" w:customStyle="1" w:styleId="Organizer">
    <w:name w:val="Organizer"/>
    <w:basedOn w:val="Normal"/>
    <w:rsid w:val="00AC249E"/>
    <w:pPr>
      <w:spacing w:after="600"/>
      <w:ind w:left="-993" w:right="-994"/>
      <w:jc w:val="center"/>
    </w:pPr>
    <w:rPr>
      <w:b/>
      <w:caps/>
      <w:kern w:val="26"/>
      <w:sz w:val="26"/>
    </w:rPr>
  </w:style>
  <w:style w:type="paragraph" w:styleId="BodyText">
    <w:name w:val="Body Text"/>
    <w:basedOn w:val="Normal"/>
    <w:link w:val="BodyTextChar"/>
    <w:rsid w:val="00AC249E"/>
  </w:style>
  <w:style w:type="paragraph" w:customStyle="1" w:styleId="StyleDocoriginalNotBold">
    <w:name w:val="Style Doc_original + Not Bold"/>
    <w:basedOn w:val="Docoriginal"/>
    <w:link w:val="StyleDocoriginalNotBoldChar"/>
    <w:autoRedefine/>
    <w:rsid w:val="00AC249E"/>
    <w:pPr>
      <w:ind w:left="1589"/>
      <w:jc w:val="left"/>
    </w:pPr>
  </w:style>
  <w:style w:type="paragraph" w:customStyle="1" w:styleId="upove">
    <w:name w:val="upov_e"/>
    <w:basedOn w:val="Normal"/>
    <w:rsid w:val="00AC249E"/>
    <w:pPr>
      <w:spacing w:before="60"/>
      <w:jc w:val="center"/>
    </w:pPr>
    <w:rPr>
      <w:b/>
      <w:bCs/>
      <w:spacing w:val="8"/>
      <w:sz w:val="24"/>
    </w:rPr>
  </w:style>
  <w:style w:type="paragraph" w:customStyle="1" w:styleId="TitleofDoc">
    <w:name w:val="Title of Doc"/>
    <w:basedOn w:val="Normal"/>
    <w:rsid w:val="00AC249E"/>
    <w:pPr>
      <w:spacing w:before="1200"/>
      <w:jc w:val="center"/>
    </w:pPr>
    <w:rPr>
      <w:caps/>
    </w:rPr>
  </w:style>
  <w:style w:type="paragraph" w:customStyle="1" w:styleId="preparedby0">
    <w:name w:val="prepared by"/>
    <w:basedOn w:val="Normal"/>
    <w:semiHidden/>
    <w:rsid w:val="00AC249E"/>
    <w:pPr>
      <w:spacing w:before="600" w:after="600"/>
      <w:jc w:val="center"/>
    </w:pPr>
    <w:rPr>
      <w:i/>
    </w:rPr>
  </w:style>
  <w:style w:type="paragraph" w:customStyle="1" w:styleId="PlaceAndDate">
    <w:name w:val="PlaceAndDate"/>
    <w:basedOn w:val="Session"/>
    <w:rsid w:val="00AC249E"/>
  </w:style>
  <w:style w:type="paragraph" w:styleId="EndnoteText">
    <w:name w:val="endnote text"/>
    <w:basedOn w:val="Normal"/>
    <w:rsid w:val="00AC249E"/>
  </w:style>
  <w:style w:type="character" w:styleId="EndnoteReference">
    <w:name w:val="endnote reference"/>
    <w:basedOn w:val="DefaultParagraphFont"/>
    <w:rsid w:val="00AC249E"/>
    <w:rPr>
      <w:vertAlign w:val="superscript"/>
    </w:rPr>
  </w:style>
  <w:style w:type="paragraph" w:customStyle="1" w:styleId="SessionMeetingPlace">
    <w:name w:val="Session_MeetingPlace"/>
    <w:basedOn w:val="Normal"/>
    <w:semiHidden/>
    <w:rsid w:val="00AC249E"/>
    <w:pPr>
      <w:spacing w:before="480"/>
      <w:jc w:val="center"/>
    </w:pPr>
    <w:rPr>
      <w:b/>
      <w:bCs/>
      <w:kern w:val="28"/>
      <w:sz w:val="24"/>
    </w:rPr>
  </w:style>
  <w:style w:type="paragraph" w:customStyle="1" w:styleId="Original">
    <w:name w:val="Original"/>
    <w:basedOn w:val="Normal"/>
    <w:rsid w:val="00AC249E"/>
    <w:pPr>
      <w:spacing w:before="60"/>
      <w:ind w:left="1276"/>
    </w:pPr>
    <w:rPr>
      <w:b/>
      <w:sz w:val="22"/>
    </w:rPr>
  </w:style>
  <w:style w:type="paragraph" w:styleId="Date">
    <w:name w:val="Date"/>
    <w:basedOn w:val="Normal"/>
    <w:rsid w:val="00AC249E"/>
    <w:pPr>
      <w:spacing w:line="340" w:lineRule="exact"/>
      <w:ind w:left="1276"/>
    </w:pPr>
    <w:rPr>
      <w:b/>
      <w:sz w:val="22"/>
    </w:rPr>
  </w:style>
  <w:style w:type="paragraph" w:customStyle="1" w:styleId="Code">
    <w:name w:val="Code"/>
    <w:basedOn w:val="Normal"/>
    <w:link w:val="CodeChar"/>
    <w:semiHidden/>
    <w:rsid w:val="00AC249E"/>
    <w:pPr>
      <w:spacing w:line="340" w:lineRule="atLeast"/>
      <w:ind w:left="1276"/>
    </w:pPr>
    <w:rPr>
      <w:b/>
      <w:bCs/>
      <w:spacing w:val="10"/>
    </w:rPr>
  </w:style>
  <w:style w:type="paragraph" w:customStyle="1" w:styleId="Country">
    <w:name w:val="Country"/>
    <w:basedOn w:val="Normal"/>
    <w:semiHidden/>
    <w:rsid w:val="00AC249E"/>
    <w:pPr>
      <w:spacing w:before="60" w:after="480"/>
      <w:jc w:val="center"/>
    </w:pPr>
  </w:style>
  <w:style w:type="paragraph" w:customStyle="1" w:styleId="Lettrine">
    <w:name w:val="Lettrine"/>
    <w:basedOn w:val="Normal"/>
    <w:rsid w:val="00AC249E"/>
    <w:pPr>
      <w:spacing w:after="120" w:line="340" w:lineRule="atLeast"/>
      <w:jc w:val="right"/>
    </w:pPr>
    <w:rPr>
      <w:b/>
      <w:bCs/>
      <w:sz w:val="56"/>
    </w:rPr>
  </w:style>
  <w:style w:type="paragraph" w:customStyle="1" w:styleId="LogoUPOV">
    <w:name w:val="LogoUPOV"/>
    <w:basedOn w:val="Normal"/>
    <w:rsid w:val="00AC249E"/>
    <w:pPr>
      <w:spacing w:before="720"/>
      <w:jc w:val="center"/>
    </w:pPr>
  </w:style>
  <w:style w:type="paragraph" w:customStyle="1" w:styleId="Sessiontc">
    <w:name w:val="Session_tc"/>
    <w:basedOn w:val="StyleSessionAllcaps"/>
    <w:rsid w:val="00AC249E"/>
    <w:pPr>
      <w:spacing w:before="240"/>
    </w:pPr>
  </w:style>
  <w:style w:type="paragraph" w:customStyle="1" w:styleId="TitreUpov">
    <w:name w:val="TitreUpov"/>
    <w:basedOn w:val="Normal"/>
    <w:semiHidden/>
    <w:rsid w:val="00AC249E"/>
    <w:pPr>
      <w:spacing w:before="60"/>
      <w:jc w:val="center"/>
    </w:pPr>
    <w:rPr>
      <w:b/>
      <w:sz w:val="24"/>
    </w:rPr>
  </w:style>
  <w:style w:type="paragraph" w:customStyle="1" w:styleId="StyleSessionAllcaps">
    <w:name w:val="Style Session + All caps"/>
    <w:basedOn w:val="Session"/>
    <w:semiHidden/>
    <w:rsid w:val="00AC249E"/>
    <w:pPr>
      <w:spacing w:before="480"/>
    </w:pPr>
    <w:rPr>
      <w:bCs/>
      <w:caps/>
      <w:kern w:val="28"/>
      <w:sz w:val="24"/>
    </w:rPr>
  </w:style>
  <w:style w:type="paragraph" w:customStyle="1" w:styleId="plcountry">
    <w:name w:val="plcountry"/>
    <w:basedOn w:val="Normal"/>
    <w:link w:val="plcountryChar"/>
    <w:rsid w:val="00AC249E"/>
    <w:pPr>
      <w:keepNext/>
      <w:keepLines/>
      <w:spacing w:before="180" w:after="120"/>
      <w:jc w:val="left"/>
    </w:pPr>
    <w:rPr>
      <w:caps/>
      <w:noProof/>
      <w:snapToGrid w:val="0"/>
      <w:u w:val="single"/>
    </w:rPr>
  </w:style>
  <w:style w:type="paragraph" w:customStyle="1" w:styleId="pldetails">
    <w:name w:val="pldetails"/>
    <w:basedOn w:val="Normal"/>
    <w:link w:val="pldetailsChar"/>
    <w:rsid w:val="00AC249E"/>
    <w:pPr>
      <w:keepLines/>
      <w:spacing w:before="60" w:after="60"/>
      <w:jc w:val="left"/>
    </w:pPr>
    <w:rPr>
      <w:noProof/>
      <w:snapToGrid w:val="0"/>
    </w:rPr>
  </w:style>
  <w:style w:type="paragraph" w:customStyle="1" w:styleId="plheading">
    <w:name w:val="plheading"/>
    <w:basedOn w:val="Normal"/>
    <w:rsid w:val="00AC249E"/>
    <w:pPr>
      <w:keepNext/>
      <w:spacing w:before="480" w:after="120"/>
      <w:jc w:val="center"/>
    </w:pPr>
    <w:rPr>
      <w:caps/>
      <w:snapToGrid w:val="0"/>
      <w:u w:val="single"/>
    </w:rPr>
  </w:style>
  <w:style w:type="paragraph" w:customStyle="1" w:styleId="Sessiontcplacedate">
    <w:name w:val="Session_tc_place_date"/>
    <w:basedOn w:val="SessionMeetingPlace"/>
    <w:rsid w:val="00AC249E"/>
    <w:pPr>
      <w:spacing w:before="240"/>
    </w:pPr>
  </w:style>
  <w:style w:type="paragraph" w:customStyle="1" w:styleId="Titleofdoc0">
    <w:name w:val="Title_of_doc"/>
    <w:basedOn w:val="Normal"/>
    <w:rsid w:val="00AC249E"/>
    <w:pPr>
      <w:spacing w:before="600"/>
      <w:jc w:val="center"/>
    </w:pPr>
    <w:rPr>
      <w:caps/>
    </w:rPr>
  </w:style>
  <w:style w:type="paragraph" w:customStyle="1" w:styleId="preparedby1">
    <w:name w:val="prepared_by"/>
    <w:basedOn w:val="Normal"/>
    <w:rsid w:val="00AC249E"/>
    <w:pPr>
      <w:spacing w:before="240" w:after="600"/>
      <w:jc w:val="center"/>
    </w:pPr>
    <w:rPr>
      <w:i/>
    </w:rPr>
  </w:style>
  <w:style w:type="character" w:customStyle="1" w:styleId="CodeChar">
    <w:name w:val="Code Char"/>
    <w:basedOn w:val="DefaultParagraphFont"/>
    <w:link w:val="Code"/>
    <w:rsid w:val="00AC249E"/>
    <w:rPr>
      <w:rFonts w:ascii="Arial" w:hAnsi="Arial"/>
      <w:b/>
      <w:bCs/>
      <w:spacing w:val="10"/>
    </w:rPr>
  </w:style>
  <w:style w:type="paragraph" w:customStyle="1" w:styleId="endofdoc">
    <w:name w:val="end_of_doc"/>
    <w:autoRedefine/>
    <w:rsid w:val="00AC249E"/>
    <w:pPr>
      <w:spacing w:before="480"/>
      <w:ind w:left="567" w:hanging="567"/>
      <w:jc w:val="right"/>
    </w:pPr>
    <w:rPr>
      <w:rFonts w:ascii="Arial" w:hAnsi="Arial"/>
    </w:rPr>
  </w:style>
  <w:style w:type="character" w:customStyle="1" w:styleId="DocoriginalChar">
    <w:name w:val="Doc_original Char"/>
    <w:basedOn w:val="DefaultParagraphFont"/>
    <w:link w:val="Docoriginal"/>
    <w:rsid w:val="00AC249E"/>
    <w:rPr>
      <w:rFonts w:ascii="Arial" w:hAnsi="Arial"/>
      <w:b/>
      <w:bCs/>
      <w:spacing w:val="10"/>
    </w:rPr>
  </w:style>
  <w:style w:type="character" w:customStyle="1" w:styleId="StyleDocoriginalNotBoldChar">
    <w:name w:val="Style Doc_original + Not Bold Char"/>
    <w:basedOn w:val="DocoriginalChar"/>
    <w:link w:val="StyleDocoriginalNotBold"/>
    <w:rsid w:val="00AC249E"/>
    <w:rPr>
      <w:rFonts w:ascii="Arial" w:hAnsi="Arial"/>
      <w:b/>
      <w:bCs/>
      <w:spacing w:val="10"/>
    </w:rPr>
  </w:style>
  <w:style w:type="paragraph" w:customStyle="1" w:styleId="StyleDocnumber">
    <w:name w:val="Style Doc_number"/>
    <w:basedOn w:val="Docoriginal"/>
    <w:rsid w:val="00AC249E"/>
    <w:pPr>
      <w:ind w:left="1589"/>
    </w:pPr>
  </w:style>
  <w:style w:type="paragraph" w:customStyle="1" w:styleId="StyleDocoriginal">
    <w:name w:val="Style Doc_original"/>
    <w:basedOn w:val="Docoriginal"/>
    <w:link w:val="StyleDocoriginalChar"/>
    <w:rsid w:val="00AC249E"/>
  </w:style>
  <w:style w:type="character" w:customStyle="1" w:styleId="StyleDocoriginalChar">
    <w:name w:val="Style Doc_original Char"/>
    <w:basedOn w:val="DocoriginalChar"/>
    <w:link w:val="StyleDocoriginal"/>
    <w:rsid w:val="00AC249E"/>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AC249E"/>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C249E"/>
    <w:rPr>
      <w:rFonts w:ascii="Arial" w:hAnsi="Arial"/>
      <w:b w:val="0"/>
      <w:bCs w:val="0"/>
      <w:spacing w:val="10"/>
    </w:rPr>
  </w:style>
  <w:style w:type="character" w:customStyle="1" w:styleId="StyleDocoriginalNotBold1">
    <w:name w:val="Style Doc_original + Not Bold1"/>
    <w:basedOn w:val="DefaultParagraphFont"/>
    <w:rsid w:val="00AC249E"/>
    <w:rPr>
      <w:rFonts w:ascii="Arial" w:hAnsi="Arial"/>
      <w:b/>
      <w:bCs/>
      <w:spacing w:val="10"/>
      <w:lang w:val="en-US" w:eastAsia="en-US" w:bidi="ar-SA"/>
    </w:rPr>
  </w:style>
  <w:style w:type="character" w:customStyle="1" w:styleId="StyleDoclangBold">
    <w:name w:val="Style Doc_lang + Bold"/>
    <w:basedOn w:val="Doclang"/>
    <w:rsid w:val="00AC249E"/>
    <w:rPr>
      <w:rFonts w:ascii="Arial" w:hAnsi="Arial"/>
      <w:b/>
      <w:bCs/>
      <w:sz w:val="20"/>
      <w:lang w:val="en-US"/>
    </w:rPr>
  </w:style>
  <w:style w:type="paragraph" w:styleId="TOC2">
    <w:name w:val="toc 2"/>
    <w:next w:val="Normal"/>
    <w:autoRedefine/>
    <w:uiPriority w:val="39"/>
    <w:rsid w:val="007855E2"/>
    <w:pPr>
      <w:tabs>
        <w:tab w:val="right" w:leader="dot" w:pos="9639"/>
      </w:tabs>
      <w:spacing w:before="120"/>
      <w:ind w:left="284" w:right="141"/>
      <w:contextualSpacing/>
    </w:pPr>
    <w:rPr>
      <w:rFonts w:ascii="Arial" w:hAnsi="Arial"/>
      <w:noProof/>
    </w:rPr>
  </w:style>
  <w:style w:type="paragraph" w:styleId="TOC3">
    <w:name w:val="toc 3"/>
    <w:next w:val="Normal"/>
    <w:autoRedefine/>
    <w:uiPriority w:val="39"/>
    <w:rsid w:val="007855E2"/>
    <w:pPr>
      <w:tabs>
        <w:tab w:val="right" w:leader="dot" w:pos="9639"/>
      </w:tabs>
      <w:spacing w:before="120"/>
      <w:ind w:left="1134" w:right="425" w:hanging="567"/>
      <w:contextualSpacing/>
    </w:pPr>
    <w:rPr>
      <w:rFonts w:ascii="Arial" w:hAnsi="Arial"/>
      <w:i/>
      <w:noProof/>
      <w:lang w:val="fr-FR"/>
    </w:rPr>
  </w:style>
  <w:style w:type="character" w:styleId="Hyperlink">
    <w:name w:val="Hyperlink"/>
    <w:basedOn w:val="DefaultParagraphFont"/>
    <w:uiPriority w:val="99"/>
    <w:rsid w:val="00AC249E"/>
    <w:rPr>
      <w:rFonts w:ascii="Arial" w:hAnsi="Arial"/>
      <w:color w:val="0000FF"/>
      <w:u w:val="single"/>
    </w:rPr>
  </w:style>
  <w:style w:type="paragraph" w:styleId="TOC4">
    <w:name w:val="toc 4"/>
    <w:next w:val="Normal"/>
    <w:autoRedefine/>
    <w:rsid w:val="00AC249E"/>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AC249E"/>
    <w:pPr>
      <w:tabs>
        <w:tab w:val="right" w:leader="dot" w:pos="9639"/>
      </w:tabs>
      <w:spacing w:before="120" w:after="120"/>
      <w:ind w:right="284"/>
    </w:pPr>
    <w:rPr>
      <w:rFonts w:ascii="Arial" w:hAnsi="Arial"/>
      <w:caps/>
      <w:noProof/>
    </w:rPr>
  </w:style>
  <w:style w:type="paragraph" w:styleId="TOC5">
    <w:name w:val="toc 5"/>
    <w:next w:val="Normal"/>
    <w:autoRedefine/>
    <w:rsid w:val="00AC249E"/>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AC249E"/>
    <w:rPr>
      <w:rFonts w:ascii="Tahoma" w:hAnsi="Tahoma" w:cs="Tahoma"/>
      <w:sz w:val="16"/>
      <w:szCs w:val="16"/>
    </w:rPr>
  </w:style>
  <w:style w:type="character" w:customStyle="1" w:styleId="BalloonTextChar">
    <w:name w:val="Balloon Text Char"/>
    <w:basedOn w:val="DefaultParagraphFont"/>
    <w:link w:val="BalloonText"/>
    <w:rsid w:val="00AC249E"/>
    <w:rPr>
      <w:rFonts w:ascii="Tahoma" w:hAnsi="Tahoma" w:cs="Tahoma"/>
      <w:sz w:val="16"/>
      <w:szCs w:val="16"/>
    </w:rPr>
  </w:style>
  <w:style w:type="character" w:customStyle="1" w:styleId="Heading6Char">
    <w:name w:val="Heading 6 Char"/>
    <w:basedOn w:val="DefaultParagraphFont"/>
    <w:link w:val="Heading6"/>
    <w:rsid w:val="00AC249E"/>
    <w:rPr>
      <w:rFonts w:ascii="Arial" w:hAnsi="Arial"/>
      <w:lang w:val="es-ES_tradnl"/>
    </w:rPr>
  </w:style>
  <w:style w:type="character" w:customStyle="1" w:styleId="Heading7Char">
    <w:name w:val="Heading 7 Char"/>
    <w:basedOn w:val="DefaultParagraphFont"/>
    <w:link w:val="Heading7"/>
    <w:rsid w:val="00AC249E"/>
    <w:rPr>
      <w:rFonts w:ascii="Arial" w:hAnsi="Arial"/>
      <w:szCs w:val="24"/>
    </w:rPr>
  </w:style>
  <w:style w:type="character" w:customStyle="1" w:styleId="Heading8Char">
    <w:name w:val="Heading 8 Char"/>
    <w:basedOn w:val="DefaultParagraphFont"/>
    <w:link w:val="Heading8"/>
    <w:rsid w:val="00AC249E"/>
    <w:rPr>
      <w:rFonts w:ascii="Arial" w:hAnsi="Arial"/>
      <w:u w:val="single"/>
    </w:rPr>
  </w:style>
  <w:style w:type="character" w:customStyle="1" w:styleId="Heading2Char">
    <w:name w:val="Heading 2 Char"/>
    <w:link w:val="Heading2"/>
    <w:rsid w:val="00AC249E"/>
    <w:rPr>
      <w:rFonts w:ascii="Arial" w:hAnsi="Arial"/>
      <w:u w:val="single"/>
    </w:rPr>
  </w:style>
  <w:style w:type="character" w:customStyle="1" w:styleId="Heading3Char">
    <w:name w:val="Heading 3 Char"/>
    <w:link w:val="Heading3"/>
    <w:locked/>
    <w:rsid w:val="0085565C"/>
    <w:rPr>
      <w:rFonts w:ascii="Arial" w:hAnsi="Arial"/>
      <w:i/>
      <w:lang w:val="fr-FR"/>
    </w:rPr>
  </w:style>
  <w:style w:type="character" w:customStyle="1" w:styleId="Heading4Char">
    <w:name w:val="Heading 4 Char"/>
    <w:link w:val="Heading4"/>
    <w:rsid w:val="00AC249E"/>
    <w:rPr>
      <w:rFonts w:ascii="Arial" w:hAnsi="Arial"/>
      <w:i/>
      <w:lang w:val="fr-FR"/>
    </w:rPr>
  </w:style>
  <w:style w:type="character" w:customStyle="1" w:styleId="Heading5Char">
    <w:name w:val="Heading 5 Char"/>
    <w:link w:val="Heading5"/>
    <w:rsid w:val="00AF7A00"/>
    <w:rPr>
      <w:rFonts w:ascii="Arial" w:hAnsi="Arial"/>
      <w:sz w:val="18"/>
      <w:szCs w:val="18"/>
    </w:rPr>
  </w:style>
  <w:style w:type="character" w:customStyle="1" w:styleId="HeaderChar">
    <w:name w:val="Header Char"/>
    <w:basedOn w:val="DefaultParagraphFont"/>
    <w:link w:val="Header"/>
    <w:uiPriority w:val="99"/>
    <w:rsid w:val="0011297B"/>
    <w:rPr>
      <w:rFonts w:ascii="Arial" w:hAnsi="Arial"/>
      <w:caps/>
      <w:sz w:val="18"/>
    </w:rPr>
  </w:style>
  <w:style w:type="character" w:customStyle="1" w:styleId="FooterChar">
    <w:name w:val="Footer Char"/>
    <w:aliases w:val="doc_path_name Char"/>
    <w:link w:val="Footer"/>
    <w:rsid w:val="00AC249E"/>
    <w:rPr>
      <w:rFonts w:ascii="Arial" w:hAnsi="Arial"/>
      <w:sz w:val="14"/>
    </w:rPr>
  </w:style>
  <w:style w:type="character" w:customStyle="1" w:styleId="DecisionParagraphsChar">
    <w:name w:val="DecisionParagraphs Char"/>
    <w:link w:val="DecisionParagraphs"/>
    <w:rsid w:val="00AC249E"/>
    <w:rPr>
      <w:rFonts w:ascii="Arial" w:hAnsi="Arial"/>
      <w:i/>
    </w:rPr>
  </w:style>
  <w:style w:type="character" w:customStyle="1" w:styleId="FootnoteTextChar">
    <w:name w:val="Footnote Text Char"/>
    <w:basedOn w:val="DefaultParagraphFont"/>
    <w:link w:val="FootnoteText"/>
    <w:rsid w:val="00AC249E"/>
    <w:rPr>
      <w:rFonts w:ascii="Arial" w:hAnsi="Arial"/>
      <w:sz w:val="16"/>
    </w:rPr>
  </w:style>
  <w:style w:type="character" w:customStyle="1" w:styleId="BodyTextChar">
    <w:name w:val="Body Text Char"/>
    <w:link w:val="BodyText"/>
    <w:locked/>
    <w:rsid w:val="00AC249E"/>
    <w:rPr>
      <w:rFonts w:ascii="Arial" w:hAnsi="Arial"/>
    </w:rPr>
  </w:style>
  <w:style w:type="character" w:customStyle="1" w:styleId="plcountryChar">
    <w:name w:val="plcountry Char"/>
    <w:link w:val="plcountry"/>
    <w:rsid w:val="00AC249E"/>
    <w:rPr>
      <w:rFonts w:ascii="Arial" w:hAnsi="Arial"/>
      <w:caps/>
      <w:noProof/>
      <w:snapToGrid w:val="0"/>
      <w:u w:val="single"/>
    </w:rPr>
  </w:style>
  <w:style w:type="character" w:customStyle="1" w:styleId="pldetailsChar">
    <w:name w:val="pldetails Char"/>
    <w:link w:val="pldetails"/>
    <w:rsid w:val="00AC249E"/>
    <w:rPr>
      <w:rFonts w:ascii="Arial" w:hAnsi="Arial"/>
      <w:noProof/>
      <w:snapToGrid w:val="0"/>
    </w:rPr>
  </w:style>
  <w:style w:type="table" w:styleId="TableGrid">
    <w:name w:val="Table Grid"/>
    <w:basedOn w:val="TableNormal"/>
    <w:rsid w:val="00AC249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AC249E"/>
    <w:pPr>
      <w:tabs>
        <w:tab w:val="decimal" w:pos="907"/>
        <w:tab w:val="left" w:pos="1077"/>
      </w:tabs>
    </w:pPr>
    <w:rPr>
      <w:rFonts w:ascii="Times New Roman" w:eastAsia="MS Mincho" w:hAnsi="Times New Roman"/>
      <w:sz w:val="24"/>
    </w:rPr>
  </w:style>
  <w:style w:type="paragraph" w:customStyle="1" w:styleId="n">
    <w:name w:val="n"/>
    <w:basedOn w:val="Header"/>
    <w:rsid w:val="00AC249E"/>
    <w:rPr>
      <w:rFonts w:ascii="Times New Roman" w:hAnsi="Times New Roman"/>
      <w:sz w:val="24"/>
    </w:rPr>
  </w:style>
  <w:style w:type="paragraph" w:customStyle="1" w:styleId="Normalt">
    <w:name w:val="Normalt"/>
    <w:basedOn w:val="Normal"/>
    <w:rsid w:val="00AC249E"/>
    <w:pPr>
      <w:spacing w:before="120" w:after="120"/>
      <w:jc w:val="left"/>
    </w:pPr>
    <w:rPr>
      <w:rFonts w:ascii="Times New Roman" w:hAnsi="Times New Roman" w:cs="Angsana New"/>
      <w:noProof/>
      <w:lang w:eastAsia="zh-CN" w:bidi="th-TH"/>
    </w:rPr>
  </w:style>
  <w:style w:type="paragraph" w:customStyle="1" w:styleId="Normaltb">
    <w:name w:val="Normaltb"/>
    <w:basedOn w:val="Normalt"/>
    <w:rsid w:val="00AC249E"/>
    <w:pPr>
      <w:keepNext/>
    </w:pPr>
    <w:rPr>
      <w:b/>
      <w:bCs/>
    </w:rPr>
  </w:style>
  <w:style w:type="paragraph" w:styleId="NormalWeb">
    <w:name w:val="Normal (Web)"/>
    <w:basedOn w:val="Normal"/>
    <w:rsid w:val="00AC249E"/>
    <w:pPr>
      <w:spacing w:before="100" w:beforeAutospacing="1" w:after="100" w:afterAutospacing="1"/>
      <w:jc w:val="left"/>
    </w:pPr>
    <w:rPr>
      <w:szCs w:val="24"/>
    </w:rPr>
  </w:style>
  <w:style w:type="paragraph" w:customStyle="1" w:styleId="pdflink">
    <w:name w:val="pdflink"/>
    <w:basedOn w:val="Normal"/>
    <w:next w:val="Normal"/>
    <w:rsid w:val="00AC249E"/>
    <w:rPr>
      <w:color w:val="800000"/>
      <w:u w:val="words"/>
    </w:rPr>
  </w:style>
  <w:style w:type="paragraph" w:customStyle="1" w:styleId="Draft">
    <w:name w:val="Draft"/>
    <w:basedOn w:val="Normal"/>
    <w:next w:val="preparedby"/>
    <w:rsid w:val="00AC249E"/>
    <w:pPr>
      <w:spacing w:before="720" w:after="480"/>
      <w:jc w:val="center"/>
    </w:pPr>
    <w:rPr>
      <w:caps/>
      <w:sz w:val="28"/>
    </w:rPr>
  </w:style>
  <w:style w:type="paragraph" w:customStyle="1" w:styleId="tqparabox">
    <w:name w:val="tqparabox"/>
    <w:basedOn w:val="Normal"/>
    <w:rsid w:val="00AC249E"/>
    <w:pPr>
      <w:tabs>
        <w:tab w:val="left" w:pos="567"/>
        <w:tab w:val="left" w:pos="1134"/>
        <w:tab w:val="left" w:pos="2976"/>
        <w:tab w:val="left" w:pos="5856"/>
        <w:tab w:val="left" w:pos="7296"/>
      </w:tabs>
      <w:spacing w:before="40" w:after="40"/>
      <w:ind w:left="567"/>
      <w:jc w:val="left"/>
    </w:pPr>
  </w:style>
  <w:style w:type="paragraph" w:styleId="BodyTextIndent">
    <w:name w:val="Body Text Indent"/>
    <w:basedOn w:val="Normal"/>
    <w:link w:val="BodyTextIndentChar"/>
    <w:rsid w:val="00AC249E"/>
    <w:pPr>
      <w:ind w:left="567"/>
    </w:pPr>
    <w:rPr>
      <w:lang w:val="es-ES_tradnl"/>
    </w:rPr>
  </w:style>
  <w:style w:type="character" w:customStyle="1" w:styleId="BodyTextIndentChar">
    <w:name w:val="Body Text Indent Char"/>
    <w:basedOn w:val="DefaultParagraphFont"/>
    <w:link w:val="BodyTextIndent"/>
    <w:rsid w:val="00AC249E"/>
    <w:rPr>
      <w:rFonts w:ascii="Arial" w:hAnsi="Arial"/>
      <w:lang w:val="es-ES_tradnl"/>
    </w:rPr>
  </w:style>
  <w:style w:type="paragraph" w:customStyle="1" w:styleId="twpcheck">
    <w:name w:val="twpcheck"/>
    <w:basedOn w:val="Normal"/>
    <w:rsid w:val="00AC249E"/>
    <w:pPr>
      <w:spacing w:before="80" w:after="80"/>
      <w:jc w:val="left"/>
    </w:pPr>
    <w:rPr>
      <w:rFonts w:cs="Arial"/>
      <w:snapToGrid w:val="0"/>
      <w:sz w:val="16"/>
      <w:szCs w:val="16"/>
    </w:rPr>
  </w:style>
  <w:style w:type="paragraph" w:customStyle="1" w:styleId="DecisionInvitingPara">
    <w:name w:val="Decision Inviting Para."/>
    <w:basedOn w:val="Normal"/>
    <w:rsid w:val="00AC249E"/>
    <w:pPr>
      <w:ind w:left="4536"/>
    </w:pPr>
    <w:rPr>
      <w:i/>
      <w:lang w:val="es-ES_tradnl"/>
    </w:rPr>
  </w:style>
  <w:style w:type="paragraph" w:customStyle="1" w:styleId="Enttepair">
    <w:name w:val="Entête_pair"/>
    <w:basedOn w:val="Normal"/>
    <w:next w:val="Normal"/>
    <w:rsid w:val="00AC249E"/>
    <w:pPr>
      <w:pBdr>
        <w:bottom w:val="single" w:sz="4" w:space="1" w:color="auto"/>
      </w:pBdr>
      <w:jc w:val="left"/>
    </w:pPr>
    <w:rPr>
      <w:szCs w:val="24"/>
    </w:rPr>
  </w:style>
  <w:style w:type="paragraph" w:customStyle="1" w:styleId="Entteimpair">
    <w:name w:val="Entête_impair"/>
    <w:basedOn w:val="Normal"/>
    <w:next w:val="Normal"/>
    <w:rsid w:val="00AC249E"/>
    <w:pPr>
      <w:pBdr>
        <w:bottom w:val="single" w:sz="4" w:space="1" w:color="auto"/>
      </w:pBdr>
      <w:jc w:val="right"/>
    </w:pPr>
  </w:style>
  <w:style w:type="paragraph" w:styleId="ListBullet">
    <w:name w:val="List Bullet"/>
    <w:basedOn w:val="Normal"/>
    <w:autoRedefine/>
    <w:rsid w:val="00AC249E"/>
    <w:pPr>
      <w:tabs>
        <w:tab w:val="num" w:pos="360"/>
      </w:tabs>
      <w:ind w:left="360" w:hanging="360"/>
    </w:pPr>
    <w:rPr>
      <w:bCs/>
      <w:szCs w:val="24"/>
      <w:lang w:val="es-ES" w:eastAsia="zh-CN"/>
    </w:rPr>
  </w:style>
  <w:style w:type="character" w:styleId="FollowedHyperlink">
    <w:name w:val="FollowedHyperlink"/>
    <w:rsid w:val="00AC249E"/>
    <w:rPr>
      <w:color w:val="606420"/>
      <w:u w:val="single"/>
    </w:rPr>
  </w:style>
  <w:style w:type="paragraph" w:styleId="BlockText">
    <w:name w:val="Block Text"/>
    <w:basedOn w:val="Normal"/>
    <w:rsid w:val="00AC249E"/>
    <w:pPr>
      <w:ind w:left="567" w:right="566"/>
    </w:pPr>
    <w:rPr>
      <w:sz w:val="22"/>
    </w:rPr>
  </w:style>
  <w:style w:type="paragraph" w:styleId="CommentText">
    <w:name w:val="annotation text"/>
    <w:basedOn w:val="Normal"/>
    <w:link w:val="CommentTextChar"/>
    <w:rsid w:val="00AC249E"/>
    <w:rPr>
      <w:sz w:val="22"/>
      <w:lang w:val="es-ES_tradnl"/>
    </w:rPr>
  </w:style>
  <w:style w:type="character" w:customStyle="1" w:styleId="CommentTextChar">
    <w:name w:val="Comment Text Char"/>
    <w:basedOn w:val="DefaultParagraphFont"/>
    <w:link w:val="CommentText"/>
    <w:rsid w:val="00AC249E"/>
    <w:rPr>
      <w:rFonts w:ascii="Arial" w:hAnsi="Arial"/>
      <w:sz w:val="22"/>
      <w:lang w:val="es-ES_tradnl"/>
    </w:rPr>
  </w:style>
  <w:style w:type="paragraph" w:customStyle="1" w:styleId="Committee">
    <w:name w:val="Committee"/>
    <w:basedOn w:val="Title"/>
    <w:rsid w:val="00AC249E"/>
    <w:rPr>
      <w:caps w:val="0"/>
    </w:rPr>
  </w:style>
  <w:style w:type="paragraph" w:customStyle="1" w:styleId="TitleofSection">
    <w:name w:val="Title of Section"/>
    <w:basedOn w:val="TitleofDoc"/>
    <w:rsid w:val="00AC249E"/>
    <w:pPr>
      <w:spacing w:before="120" w:after="120"/>
    </w:pPr>
    <w:rPr>
      <w:b/>
      <w:caps w:val="0"/>
      <w:lang w:eastAsia="de-DE"/>
    </w:rPr>
  </w:style>
  <w:style w:type="paragraph" w:customStyle="1" w:styleId="TOCAnnex">
    <w:name w:val="TOC Annex"/>
    <w:basedOn w:val="Normal"/>
    <w:rsid w:val="00AC249E"/>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AC249E"/>
    <w:rPr>
      <w:rFonts w:ascii="Courier New" w:hAnsi="Courier New" w:cs="Courier New"/>
      <w:lang w:eastAsia="fr-FR"/>
    </w:rPr>
  </w:style>
  <w:style w:type="character" w:customStyle="1" w:styleId="PlainTextChar">
    <w:name w:val="Plain Text Char"/>
    <w:basedOn w:val="DefaultParagraphFont"/>
    <w:link w:val="PlainText"/>
    <w:rsid w:val="00AC249E"/>
    <w:rPr>
      <w:rFonts w:ascii="Courier New" w:hAnsi="Courier New" w:cs="Courier New"/>
      <w:lang w:eastAsia="fr-FR"/>
    </w:rPr>
  </w:style>
  <w:style w:type="paragraph" w:customStyle="1" w:styleId="Default">
    <w:name w:val="Default"/>
    <w:basedOn w:val="Normal"/>
    <w:rsid w:val="00AC249E"/>
    <w:pPr>
      <w:jc w:val="left"/>
    </w:pPr>
    <w:rPr>
      <w:rFonts w:eastAsia="SimSun" w:cs="Arial"/>
      <w:color w:val="000000"/>
      <w:sz w:val="24"/>
      <w:szCs w:val="24"/>
    </w:rPr>
  </w:style>
  <w:style w:type="paragraph" w:customStyle="1" w:styleId="tgcharnumber">
    <w:name w:val="tg_char_number"/>
    <w:basedOn w:val="Normal"/>
    <w:rsid w:val="00AC249E"/>
    <w:pPr>
      <w:keepNext/>
      <w:spacing w:before="80" w:after="80"/>
      <w:jc w:val="center"/>
    </w:pPr>
    <w:rPr>
      <w:b/>
      <w:sz w:val="16"/>
    </w:rPr>
  </w:style>
  <w:style w:type="paragraph" w:customStyle="1" w:styleId="tgchartitle">
    <w:name w:val="tg_char_title"/>
    <w:basedOn w:val="Normal"/>
    <w:rsid w:val="00AC249E"/>
    <w:pPr>
      <w:spacing w:before="80" w:after="80"/>
      <w:jc w:val="left"/>
    </w:pPr>
    <w:rPr>
      <w:b/>
      <w:sz w:val="16"/>
    </w:rPr>
  </w:style>
  <w:style w:type="paragraph" w:customStyle="1" w:styleId="tgchartext">
    <w:name w:val="tg_char_text"/>
    <w:basedOn w:val="Normal"/>
    <w:rsid w:val="00AC249E"/>
    <w:pPr>
      <w:spacing w:before="80" w:after="80"/>
      <w:jc w:val="left"/>
    </w:pPr>
    <w:rPr>
      <w:sz w:val="16"/>
    </w:rPr>
  </w:style>
  <w:style w:type="paragraph" w:styleId="ListParagraph">
    <w:name w:val="List Paragraph"/>
    <w:basedOn w:val="Normal"/>
    <w:uiPriority w:val="34"/>
    <w:qFormat/>
    <w:rsid w:val="00AC249E"/>
    <w:pPr>
      <w:ind w:left="720"/>
      <w:contextualSpacing/>
    </w:pPr>
  </w:style>
  <w:style w:type="paragraph" w:customStyle="1" w:styleId="dec">
    <w:name w:val="dec"/>
    <w:basedOn w:val="Normal"/>
    <w:link w:val="decChar"/>
    <w:qFormat/>
    <w:rsid w:val="00AC249E"/>
    <w:pPr>
      <w:ind w:left="4536"/>
    </w:pPr>
    <w:rPr>
      <w:i/>
      <w:spacing w:val="-2"/>
    </w:rPr>
  </w:style>
  <w:style w:type="character" w:customStyle="1" w:styleId="decChar">
    <w:name w:val="dec Char"/>
    <w:basedOn w:val="DefaultParagraphFont"/>
    <w:link w:val="dec"/>
    <w:rsid w:val="00AC249E"/>
    <w:rPr>
      <w:rFonts w:ascii="Arial" w:hAnsi="Arial"/>
      <w:i/>
      <w:spacing w:val="-2"/>
    </w:rPr>
  </w:style>
  <w:style w:type="paragraph" w:customStyle="1" w:styleId="EndOfDoc0">
    <w:name w:val="EndOfDoc"/>
    <w:basedOn w:val="Normal"/>
    <w:rsid w:val="00AC249E"/>
    <w:pPr>
      <w:ind w:left="4536"/>
      <w:jc w:val="center"/>
    </w:pPr>
    <w:rPr>
      <w:rFonts w:ascii="Times New Roman" w:hAnsi="Times New Roman"/>
      <w:sz w:val="24"/>
    </w:rPr>
  </w:style>
  <w:style w:type="paragraph" w:customStyle="1" w:styleId="decisionpara">
    <w:name w:val="decision para"/>
    <w:basedOn w:val="Normal"/>
    <w:rsid w:val="00AC249E"/>
    <w:pPr>
      <w:spacing w:line="240" w:lineRule="atLeast"/>
      <w:ind w:left="4536"/>
      <w:outlineLvl w:val="0"/>
    </w:pPr>
    <w:rPr>
      <w:rFonts w:ascii="Times New Roman" w:hAnsi="Times New Roman"/>
      <w:i/>
      <w:sz w:val="24"/>
    </w:rPr>
  </w:style>
  <w:style w:type="paragraph" w:styleId="TOC6">
    <w:name w:val="toc 6"/>
    <w:basedOn w:val="Normal"/>
    <w:next w:val="Normal"/>
    <w:autoRedefine/>
    <w:rsid w:val="00AC249E"/>
    <w:pPr>
      <w:ind w:left="1200"/>
    </w:pPr>
  </w:style>
  <w:style w:type="paragraph" w:styleId="E-mailSignature">
    <w:name w:val="E-mail Signature"/>
    <w:basedOn w:val="Normal"/>
    <w:link w:val="E-mailSignatureChar"/>
    <w:rsid w:val="00AC249E"/>
  </w:style>
  <w:style w:type="character" w:customStyle="1" w:styleId="E-mailSignatureChar">
    <w:name w:val="E-mail Signature Char"/>
    <w:basedOn w:val="DefaultParagraphFont"/>
    <w:link w:val="E-mailSignature"/>
    <w:rsid w:val="00AC249E"/>
    <w:rPr>
      <w:rFonts w:ascii="Arial" w:hAnsi="Arial"/>
    </w:rPr>
  </w:style>
  <w:style w:type="character" w:styleId="Emphasis">
    <w:name w:val="Emphasis"/>
    <w:basedOn w:val="DefaultParagraphFont"/>
    <w:qFormat/>
    <w:rsid w:val="00AC249E"/>
    <w:rPr>
      <w:i/>
      <w:iCs/>
    </w:rPr>
  </w:style>
  <w:style w:type="paragraph" w:styleId="EnvelopeAddress">
    <w:name w:val="envelope address"/>
    <w:basedOn w:val="Normal"/>
    <w:rsid w:val="00AC249E"/>
    <w:pPr>
      <w:framePr w:w="7920" w:h="1980" w:hRule="exact" w:hSpace="180" w:wrap="auto" w:hAnchor="page" w:xAlign="center" w:yAlign="bottom"/>
      <w:ind w:left="2880"/>
    </w:pPr>
    <w:rPr>
      <w:rFonts w:cs="Arial"/>
      <w:szCs w:val="24"/>
    </w:rPr>
  </w:style>
  <w:style w:type="paragraph" w:styleId="EnvelopeReturn">
    <w:name w:val="envelope return"/>
    <w:basedOn w:val="Normal"/>
    <w:rsid w:val="00AC249E"/>
    <w:rPr>
      <w:rFonts w:cs="Arial"/>
    </w:rPr>
  </w:style>
  <w:style w:type="character" w:styleId="HTMLAcronym">
    <w:name w:val="HTML Acronym"/>
    <w:basedOn w:val="DefaultParagraphFont"/>
    <w:rsid w:val="00AC249E"/>
  </w:style>
  <w:style w:type="paragraph" w:styleId="HTMLAddress">
    <w:name w:val="HTML Address"/>
    <w:basedOn w:val="Normal"/>
    <w:link w:val="HTMLAddressChar"/>
    <w:rsid w:val="00AC249E"/>
    <w:rPr>
      <w:i/>
      <w:iCs/>
    </w:rPr>
  </w:style>
  <w:style w:type="character" w:customStyle="1" w:styleId="HTMLAddressChar">
    <w:name w:val="HTML Address Char"/>
    <w:basedOn w:val="DefaultParagraphFont"/>
    <w:link w:val="HTMLAddress"/>
    <w:rsid w:val="00AC249E"/>
    <w:rPr>
      <w:rFonts w:ascii="Arial" w:hAnsi="Arial"/>
      <w:i/>
      <w:iCs/>
    </w:rPr>
  </w:style>
  <w:style w:type="character" w:styleId="HTMLCite">
    <w:name w:val="HTML Cite"/>
    <w:basedOn w:val="DefaultParagraphFont"/>
    <w:rsid w:val="00AC249E"/>
    <w:rPr>
      <w:i/>
      <w:iCs/>
    </w:rPr>
  </w:style>
  <w:style w:type="character" w:styleId="HTMLCode">
    <w:name w:val="HTML Code"/>
    <w:basedOn w:val="DefaultParagraphFont"/>
    <w:rsid w:val="00AC249E"/>
    <w:rPr>
      <w:rFonts w:ascii="Courier New" w:hAnsi="Courier New" w:cs="Courier New"/>
      <w:sz w:val="20"/>
      <w:szCs w:val="20"/>
    </w:rPr>
  </w:style>
  <w:style w:type="character" w:styleId="HTMLDefinition">
    <w:name w:val="HTML Definition"/>
    <w:basedOn w:val="DefaultParagraphFont"/>
    <w:rsid w:val="00AC249E"/>
    <w:rPr>
      <w:i/>
      <w:iCs/>
    </w:rPr>
  </w:style>
  <w:style w:type="character" w:styleId="HTMLKeyboard">
    <w:name w:val="HTML Keyboard"/>
    <w:basedOn w:val="DefaultParagraphFont"/>
    <w:rsid w:val="00AC249E"/>
    <w:rPr>
      <w:rFonts w:ascii="Courier New" w:hAnsi="Courier New" w:cs="Courier New"/>
      <w:sz w:val="20"/>
      <w:szCs w:val="20"/>
    </w:rPr>
  </w:style>
  <w:style w:type="paragraph" w:styleId="HTMLPreformatted">
    <w:name w:val="HTML Preformatted"/>
    <w:basedOn w:val="Normal"/>
    <w:link w:val="HTMLPreformattedChar"/>
    <w:rsid w:val="00AC249E"/>
    <w:rPr>
      <w:rFonts w:ascii="Courier New" w:hAnsi="Courier New" w:cs="Courier New"/>
    </w:rPr>
  </w:style>
  <w:style w:type="character" w:customStyle="1" w:styleId="HTMLPreformattedChar">
    <w:name w:val="HTML Preformatted Char"/>
    <w:basedOn w:val="DefaultParagraphFont"/>
    <w:link w:val="HTMLPreformatted"/>
    <w:rsid w:val="00AC249E"/>
    <w:rPr>
      <w:rFonts w:ascii="Courier New" w:hAnsi="Courier New" w:cs="Courier New"/>
    </w:rPr>
  </w:style>
  <w:style w:type="character" w:styleId="HTMLSample">
    <w:name w:val="HTML Sample"/>
    <w:basedOn w:val="DefaultParagraphFont"/>
    <w:rsid w:val="00AC249E"/>
    <w:rPr>
      <w:rFonts w:ascii="Courier New" w:hAnsi="Courier New" w:cs="Courier New"/>
    </w:rPr>
  </w:style>
  <w:style w:type="character" w:styleId="HTMLTypewriter">
    <w:name w:val="HTML Typewriter"/>
    <w:basedOn w:val="DefaultParagraphFont"/>
    <w:rsid w:val="00AC249E"/>
    <w:rPr>
      <w:rFonts w:ascii="Courier New" w:hAnsi="Courier New" w:cs="Courier New"/>
      <w:sz w:val="20"/>
      <w:szCs w:val="20"/>
    </w:rPr>
  </w:style>
  <w:style w:type="character" w:styleId="HTMLVariable">
    <w:name w:val="HTML Variable"/>
    <w:basedOn w:val="DefaultParagraphFont"/>
    <w:rsid w:val="00AC249E"/>
    <w:rPr>
      <w:i/>
      <w:iCs/>
    </w:rPr>
  </w:style>
  <w:style w:type="character" w:styleId="LineNumber">
    <w:name w:val="line number"/>
    <w:basedOn w:val="DefaultParagraphFont"/>
    <w:rsid w:val="00AC249E"/>
  </w:style>
  <w:style w:type="paragraph" w:styleId="List">
    <w:name w:val="List"/>
    <w:basedOn w:val="Normal"/>
    <w:rsid w:val="00AC249E"/>
    <w:pPr>
      <w:ind w:left="360" w:hanging="360"/>
    </w:pPr>
  </w:style>
  <w:style w:type="paragraph" w:styleId="List2">
    <w:name w:val="List 2"/>
    <w:basedOn w:val="Normal"/>
    <w:rsid w:val="00AC249E"/>
    <w:pPr>
      <w:ind w:left="720" w:hanging="360"/>
    </w:pPr>
  </w:style>
  <w:style w:type="paragraph" w:styleId="List3">
    <w:name w:val="List 3"/>
    <w:basedOn w:val="Normal"/>
    <w:rsid w:val="00AC249E"/>
    <w:pPr>
      <w:ind w:left="1080" w:hanging="360"/>
    </w:pPr>
  </w:style>
  <w:style w:type="paragraph" w:styleId="List4">
    <w:name w:val="List 4"/>
    <w:basedOn w:val="Normal"/>
    <w:rsid w:val="00AC249E"/>
    <w:pPr>
      <w:ind w:left="1440" w:hanging="360"/>
    </w:pPr>
  </w:style>
  <w:style w:type="paragraph" w:styleId="List5">
    <w:name w:val="List 5"/>
    <w:basedOn w:val="Normal"/>
    <w:rsid w:val="00AC249E"/>
    <w:pPr>
      <w:ind w:left="1800" w:hanging="360"/>
    </w:pPr>
  </w:style>
  <w:style w:type="paragraph" w:styleId="ListBullet2">
    <w:name w:val="List Bullet 2"/>
    <w:basedOn w:val="Normal"/>
    <w:rsid w:val="00AC249E"/>
    <w:pPr>
      <w:tabs>
        <w:tab w:val="num" w:pos="720"/>
      </w:tabs>
      <w:ind w:left="720" w:hanging="360"/>
    </w:pPr>
  </w:style>
  <w:style w:type="paragraph" w:styleId="ListBullet3">
    <w:name w:val="List Bullet 3"/>
    <w:basedOn w:val="Normal"/>
    <w:rsid w:val="00AC249E"/>
    <w:pPr>
      <w:tabs>
        <w:tab w:val="num" w:pos="1080"/>
      </w:tabs>
      <w:ind w:left="1080" w:hanging="360"/>
    </w:pPr>
  </w:style>
  <w:style w:type="paragraph" w:styleId="ListBullet4">
    <w:name w:val="List Bullet 4"/>
    <w:basedOn w:val="Normal"/>
    <w:rsid w:val="00AC249E"/>
    <w:pPr>
      <w:tabs>
        <w:tab w:val="num" w:pos="1440"/>
      </w:tabs>
      <w:ind w:left="1440" w:hanging="360"/>
    </w:pPr>
  </w:style>
  <w:style w:type="paragraph" w:styleId="ListBullet5">
    <w:name w:val="List Bullet 5"/>
    <w:basedOn w:val="Normal"/>
    <w:rsid w:val="00AC249E"/>
    <w:pPr>
      <w:tabs>
        <w:tab w:val="num" w:pos="1800"/>
      </w:tabs>
      <w:ind w:left="1800" w:hanging="360"/>
    </w:pPr>
  </w:style>
  <w:style w:type="paragraph" w:styleId="ListContinue">
    <w:name w:val="List Continue"/>
    <w:basedOn w:val="Normal"/>
    <w:rsid w:val="00AC249E"/>
    <w:pPr>
      <w:spacing w:after="120"/>
      <w:ind w:left="360"/>
    </w:pPr>
  </w:style>
  <w:style w:type="paragraph" w:styleId="ListContinue2">
    <w:name w:val="List Continue 2"/>
    <w:basedOn w:val="Normal"/>
    <w:rsid w:val="00AC249E"/>
    <w:pPr>
      <w:spacing w:after="120"/>
      <w:ind w:left="720"/>
    </w:pPr>
  </w:style>
  <w:style w:type="paragraph" w:styleId="ListContinue3">
    <w:name w:val="List Continue 3"/>
    <w:basedOn w:val="Normal"/>
    <w:rsid w:val="00AC249E"/>
    <w:pPr>
      <w:spacing w:after="120"/>
      <w:ind w:left="1080"/>
    </w:pPr>
  </w:style>
  <w:style w:type="paragraph" w:styleId="ListContinue4">
    <w:name w:val="List Continue 4"/>
    <w:basedOn w:val="Normal"/>
    <w:rsid w:val="00AC249E"/>
    <w:pPr>
      <w:spacing w:after="120"/>
      <w:ind w:left="1440"/>
    </w:pPr>
  </w:style>
  <w:style w:type="paragraph" w:styleId="ListContinue5">
    <w:name w:val="List Continue 5"/>
    <w:basedOn w:val="Normal"/>
    <w:rsid w:val="00AC249E"/>
    <w:pPr>
      <w:spacing w:after="120"/>
      <w:ind w:left="1800"/>
    </w:pPr>
  </w:style>
  <w:style w:type="paragraph" w:styleId="ListNumber">
    <w:name w:val="List Number"/>
    <w:basedOn w:val="Normal"/>
    <w:rsid w:val="00AC249E"/>
    <w:pPr>
      <w:tabs>
        <w:tab w:val="num" w:pos="360"/>
      </w:tabs>
      <w:ind w:left="360" w:hanging="360"/>
    </w:pPr>
  </w:style>
  <w:style w:type="paragraph" w:styleId="ListNumber2">
    <w:name w:val="List Number 2"/>
    <w:basedOn w:val="Normal"/>
    <w:rsid w:val="00AC249E"/>
    <w:pPr>
      <w:tabs>
        <w:tab w:val="num" w:pos="720"/>
      </w:tabs>
      <w:ind w:left="720" w:hanging="360"/>
    </w:pPr>
  </w:style>
  <w:style w:type="paragraph" w:styleId="ListNumber3">
    <w:name w:val="List Number 3"/>
    <w:basedOn w:val="Normal"/>
    <w:rsid w:val="00AC249E"/>
    <w:pPr>
      <w:tabs>
        <w:tab w:val="num" w:pos="1080"/>
      </w:tabs>
      <w:ind w:left="1080" w:hanging="360"/>
    </w:pPr>
  </w:style>
  <w:style w:type="paragraph" w:styleId="ListNumber4">
    <w:name w:val="List Number 4"/>
    <w:basedOn w:val="Normal"/>
    <w:rsid w:val="00AC249E"/>
    <w:pPr>
      <w:tabs>
        <w:tab w:val="num" w:pos="1440"/>
      </w:tabs>
      <w:ind w:left="1440" w:hanging="360"/>
    </w:pPr>
  </w:style>
  <w:style w:type="paragraph" w:styleId="ListNumber5">
    <w:name w:val="List Number 5"/>
    <w:basedOn w:val="Normal"/>
    <w:rsid w:val="00AC249E"/>
    <w:pPr>
      <w:tabs>
        <w:tab w:val="num" w:pos="1800"/>
      </w:tabs>
      <w:ind w:left="1800" w:hanging="360"/>
    </w:pPr>
  </w:style>
  <w:style w:type="paragraph" w:styleId="MessageHeader">
    <w:name w:val="Message Header"/>
    <w:basedOn w:val="Normal"/>
    <w:link w:val="MessageHeaderChar"/>
    <w:rsid w:val="00AC249E"/>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AC249E"/>
    <w:rPr>
      <w:rFonts w:ascii="Arial" w:hAnsi="Arial" w:cs="Arial"/>
      <w:szCs w:val="24"/>
      <w:shd w:val="pct20" w:color="auto" w:fill="auto"/>
    </w:rPr>
  </w:style>
  <w:style w:type="paragraph" w:styleId="NoteHeading">
    <w:name w:val="Note Heading"/>
    <w:basedOn w:val="Normal"/>
    <w:next w:val="Normal"/>
    <w:link w:val="NoteHeadingChar"/>
    <w:rsid w:val="00AC249E"/>
  </w:style>
  <w:style w:type="character" w:customStyle="1" w:styleId="NoteHeadingChar">
    <w:name w:val="Note Heading Char"/>
    <w:basedOn w:val="DefaultParagraphFont"/>
    <w:link w:val="NoteHeading"/>
    <w:rsid w:val="00AC249E"/>
    <w:rPr>
      <w:rFonts w:ascii="Arial" w:hAnsi="Arial"/>
    </w:rPr>
  </w:style>
  <w:style w:type="paragraph" w:styleId="Salutation">
    <w:name w:val="Salutation"/>
    <w:basedOn w:val="Normal"/>
    <w:next w:val="Normal"/>
    <w:link w:val="SalutationChar"/>
    <w:rsid w:val="00AC249E"/>
  </w:style>
  <w:style w:type="character" w:customStyle="1" w:styleId="SalutationChar">
    <w:name w:val="Salutation Char"/>
    <w:basedOn w:val="DefaultParagraphFont"/>
    <w:link w:val="Salutation"/>
    <w:rsid w:val="00AC249E"/>
    <w:rPr>
      <w:rFonts w:ascii="Arial" w:hAnsi="Arial"/>
    </w:rPr>
  </w:style>
  <w:style w:type="character" w:styleId="Strong">
    <w:name w:val="Strong"/>
    <w:basedOn w:val="DefaultParagraphFont"/>
    <w:qFormat/>
    <w:rsid w:val="00AC249E"/>
    <w:rPr>
      <w:b/>
      <w:bCs/>
    </w:rPr>
  </w:style>
  <w:style w:type="paragraph" w:styleId="Subtitle">
    <w:name w:val="Subtitle"/>
    <w:basedOn w:val="Normal"/>
    <w:link w:val="SubtitleChar"/>
    <w:qFormat/>
    <w:rsid w:val="00AC249E"/>
    <w:pPr>
      <w:spacing w:after="60"/>
      <w:jc w:val="center"/>
      <w:outlineLvl w:val="1"/>
    </w:pPr>
    <w:rPr>
      <w:rFonts w:cs="Arial"/>
      <w:szCs w:val="24"/>
    </w:rPr>
  </w:style>
  <w:style w:type="character" w:customStyle="1" w:styleId="SubtitleChar">
    <w:name w:val="Subtitle Char"/>
    <w:basedOn w:val="DefaultParagraphFont"/>
    <w:link w:val="Subtitle"/>
    <w:rsid w:val="00AC249E"/>
    <w:rPr>
      <w:rFonts w:ascii="Arial" w:hAnsi="Arial" w:cs="Arial"/>
      <w:szCs w:val="24"/>
    </w:rPr>
  </w:style>
  <w:style w:type="paragraph" w:styleId="TOC7">
    <w:name w:val="toc 7"/>
    <w:basedOn w:val="Normal"/>
    <w:next w:val="Normal"/>
    <w:autoRedefine/>
    <w:rsid w:val="00AC249E"/>
    <w:pPr>
      <w:ind w:left="1440"/>
    </w:pPr>
  </w:style>
  <w:style w:type="paragraph" w:styleId="TOC8">
    <w:name w:val="toc 8"/>
    <w:basedOn w:val="Normal"/>
    <w:next w:val="Normal"/>
    <w:autoRedefine/>
    <w:rsid w:val="00AC249E"/>
    <w:pPr>
      <w:ind w:left="1680"/>
    </w:pPr>
  </w:style>
  <w:style w:type="paragraph" w:styleId="TOC9">
    <w:name w:val="toc 9"/>
    <w:basedOn w:val="Normal"/>
    <w:next w:val="Normal"/>
    <w:autoRedefine/>
    <w:rsid w:val="00AC249E"/>
    <w:pPr>
      <w:ind w:left="1920"/>
    </w:pPr>
  </w:style>
  <w:style w:type="paragraph" w:styleId="Caption">
    <w:name w:val="caption"/>
    <w:basedOn w:val="Normal"/>
    <w:next w:val="Normal"/>
    <w:qFormat/>
    <w:rsid w:val="00AC249E"/>
    <w:pPr>
      <w:framePr w:w="11102" w:hSpace="181" w:wrap="around" w:vAnchor="page" w:hAnchor="page" w:x="438" w:y="15985" w:anchorLock="1"/>
      <w:jc w:val="center"/>
    </w:pPr>
    <w:rPr>
      <w:b/>
      <w:snapToGrid w:val="0"/>
    </w:rPr>
  </w:style>
  <w:style w:type="character" w:styleId="CommentReference">
    <w:name w:val="annotation reference"/>
    <w:basedOn w:val="DefaultParagraphFont"/>
    <w:rsid w:val="00AC249E"/>
    <w:rPr>
      <w:rFonts w:cs="Times New Roman"/>
      <w:sz w:val="16"/>
      <w:szCs w:val="16"/>
    </w:rPr>
  </w:style>
  <w:style w:type="paragraph" w:styleId="CommentSubject">
    <w:name w:val="annotation subject"/>
    <w:basedOn w:val="CommentText"/>
    <w:next w:val="CommentText"/>
    <w:link w:val="CommentSubjectChar"/>
    <w:rsid w:val="00AC249E"/>
    <w:rPr>
      <w:b/>
      <w:bCs/>
    </w:rPr>
  </w:style>
  <w:style w:type="character" w:customStyle="1" w:styleId="CommentSubjectChar">
    <w:name w:val="Comment Subject Char"/>
    <w:basedOn w:val="CommentTextChar"/>
    <w:link w:val="CommentSubject"/>
    <w:rsid w:val="00AC249E"/>
    <w:rPr>
      <w:rFonts w:ascii="Arial" w:hAnsi="Arial"/>
      <w:b/>
      <w:bCs/>
      <w:sz w:val="22"/>
      <w:lang w:val="es-ES_tradnl"/>
    </w:rPr>
  </w:style>
  <w:style w:type="paragraph" w:customStyle="1" w:styleId="Normaltg">
    <w:name w:val="Normaltg"/>
    <w:basedOn w:val="Normal"/>
    <w:link w:val="NormaltgChar"/>
    <w:rsid w:val="00AC249E"/>
    <w:rPr>
      <w:rFonts w:cs="Angsana New"/>
      <w:szCs w:val="24"/>
      <w:lang w:eastAsia="ja-JP" w:bidi="th-TH"/>
    </w:rPr>
  </w:style>
  <w:style w:type="character" w:customStyle="1" w:styleId="NormaltgChar">
    <w:name w:val="Normaltg Char"/>
    <w:link w:val="Normaltg"/>
    <w:rsid w:val="00AC249E"/>
    <w:rPr>
      <w:rFonts w:ascii="Arial" w:hAnsi="Arial" w:cs="Angsana New"/>
      <w:szCs w:val="24"/>
      <w:lang w:eastAsia="ja-JP" w:bidi="th-TH"/>
    </w:rPr>
  </w:style>
  <w:style w:type="character" w:customStyle="1" w:styleId="hps">
    <w:name w:val="hps"/>
    <w:basedOn w:val="DefaultParagraphFont"/>
    <w:rsid w:val="00AC249E"/>
  </w:style>
  <w:style w:type="character" w:customStyle="1" w:styleId="Standaardalinea-lettertype">
    <w:name w:val="Standaardalinea-lettertype"/>
    <w:rsid w:val="00AC249E"/>
  </w:style>
  <w:style w:type="paragraph" w:customStyle="1" w:styleId="quote1">
    <w:name w:val="quote1"/>
    <w:basedOn w:val="Normal"/>
    <w:semiHidden/>
    <w:rsid w:val="00AF7A00"/>
    <w:pPr>
      <w:ind w:left="567" w:right="565" w:firstLine="567"/>
    </w:pPr>
    <w:rPr>
      <w:snapToGrid w:val="0"/>
      <w:sz w:val="22"/>
      <w:szCs w:val="22"/>
    </w:rPr>
  </w:style>
  <w:style w:type="table" w:styleId="Table3Deffects1">
    <w:name w:val="Table 3D effects 1"/>
    <w:basedOn w:val="TableNormal"/>
    <w:rsid w:val="00AF7A0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F7A0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F7A0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F7A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F7A0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F7A0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F7A0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F7A0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F7A0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F7A0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F7A0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F7A0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F7A0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F7A0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F7A0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F7A0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F7A0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F7A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F7A0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F7A0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F7A0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F7A0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F7A0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F7A0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F7A0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F7A0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F7A0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F7A0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F7A0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F7A0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F7A0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F7A0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F7A0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F7A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F7A0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F7A0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F7A0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F7A0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F7A0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F7A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F7A0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F7A0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F7A0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hapter">
    <w:name w:val="Chapter"/>
    <w:basedOn w:val="Normal"/>
    <w:semiHidden/>
    <w:rsid w:val="00AF7A00"/>
    <w:pPr>
      <w:jc w:val="center"/>
    </w:pPr>
    <w:rPr>
      <w:b/>
      <w:caps/>
      <w:szCs w:val="24"/>
    </w:rPr>
  </w:style>
  <w:style w:type="paragraph" w:customStyle="1" w:styleId="Notetoarticle">
    <w:name w:val="Note to article"/>
    <w:basedOn w:val="Normal"/>
    <w:semiHidden/>
    <w:rsid w:val="00AF7A00"/>
  </w:style>
  <w:style w:type="paragraph" w:styleId="Revision">
    <w:name w:val="Revision"/>
    <w:hidden/>
    <w:uiPriority w:val="99"/>
    <w:semiHidden/>
    <w:rsid w:val="00AF7A00"/>
    <w:rPr>
      <w:rFonts w:ascii="Arial" w:hAnsi="Arial"/>
    </w:rPr>
  </w:style>
  <w:style w:type="character" w:customStyle="1" w:styleId="shorttext">
    <w:name w:val="short_text"/>
    <w:basedOn w:val="DefaultParagraphFont"/>
    <w:rsid w:val="00AF7A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941"/>
    <w:pPr>
      <w:jc w:val="both"/>
    </w:pPr>
    <w:rPr>
      <w:rFonts w:ascii="Arial" w:hAnsi="Arial"/>
    </w:rPr>
  </w:style>
  <w:style w:type="paragraph" w:styleId="Heading1">
    <w:name w:val="heading 1"/>
    <w:next w:val="Normal"/>
    <w:autoRedefine/>
    <w:qFormat/>
    <w:rsid w:val="00AC249E"/>
    <w:pPr>
      <w:keepNext/>
      <w:jc w:val="both"/>
      <w:outlineLvl w:val="0"/>
    </w:pPr>
    <w:rPr>
      <w:rFonts w:ascii="Arial" w:hAnsi="Arial"/>
      <w:caps/>
    </w:rPr>
  </w:style>
  <w:style w:type="paragraph" w:styleId="Heading2">
    <w:name w:val="heading 2"/>
    <w:next w:val="Normal"/>
    <w:link w:val="Heading2Char"/>
    <w:autoRedefine/>
    <w:qFormat/>
    <w:rsid w:val="00AC249E"/>
    <w:pPr>
      <w:keepNext/>
      <w:jc w:val="both"/>
      <w:outlineLvl w:val="1"/>
    </w:pPr>
    <w:rPr>
      <w:rFonts w:ascii="Arial" w:hAnsi="Arial"/>
      <w:u w:val="single"/>
    </w:rPr>
  </w:style>
  <w:style w:type="paragraph" w:styleId="Heading3">
    <w:name w:val="heading 3"/>
    <w:next w:val="Normal"/>
    <w:link w:val="Heading3Char"/>
    <w:autoRedefine/>
    <w:qFormat/>
    <w:rsid w:val="0085565C"/>
    <w:pPr>
      <w:keepNext/>
      <w:jc w:val="both"/>
      <w:outlineLvl w:val="2"/>
    </w:pPr>
    <w:rPr>
      <w:rFonts w:ascii="Arial" w:hAnsi="Arial"/>
      <w:i/>
      <w:lang w:val="fr-FR"/>
    </w:rPr>
  </w:style>
  <w:style w:type="paragraph" w:styleId="Heading4">
    <w:name w:val="heading 4"/>
    <w:next w:val="Normal"/>
    <w:link w:val="Heading4Char"/>
    <w:autoRedefine/>
    <w:qFormat/>
    <w:rsid w:val="00AC249E"/>
    <w:pPr>
      <w:keepNext/>
      <w:ind w:left="567"/>
      <w:jc w:val="both"/>
      <w:outlineLvl w:val="3"/>
    </w:pPr>
    <w:rPr>
      <w:rFonts w:ascii="Arial" w:hAnsi="Arial"/>
      <w:i/>
      <w:lang w:val="fr-FR"/>
    </w:rPr>
  </w:style>
  <w:style w:type="paragraph" w:styleId="Heading5">
    <w:name w:val="heading 5"/>
    <w:next w:val="Normal"/>
    <w:link w:val="Heading5Char"/>
    <w:autoRedefine/>
    <w:qFormat/>
    <w:rsid w:val="00AF7A00"/>
    <w:pPr>
      <w:keepNext/>
      <w:ind w:left="567"/>
      <w:jc w:val="both"/>
      <w:outlineLvl w:val="4"/>
    </w:pPr>
    <w:rPr>
      <w:rFonts w:ascii="Arial" w:hAnsi="Arial"/>
      <w:sz w:val="18"/>
      <w:szCs w:val="18"/>
    </w:rPr>
  </w:style>
  <w:style w:type="paragraph" w:styleId="Heading6">
    <w:name w:val="heading 6"/>
    <w:basedOn w:val="Normal"/>
    <w:next w:val="Normal"/>
    <w:link w:val="Heading6Char"/>
    <w:qFormat/>
    <w:rsid w:val="00AC249E"/>
    <w:pPr>
      <w:outlineLvl w:val="5"/>
    </w:pPr>
    <w:rPr>
      <w:lang w:val="es-ES_tradnl"/>
    </w:rPr>
  </w:style>
  <w:style w:type="paragraph" w:styleId="Heading7">
    <w:name w:val="heading 7"/>
    <w:basedOn w:val="Normal"/>
    <w:next w:val="Normal"/>
    <w:link w:val="Heading7Char"/>
    <w:qFormat/>
    <w:rsid w:val="00AC249E"/>
    <w:pPr>
      <w:spacing w:before="240" w:after="60"/>
      <w:outlineLvl w:val="6"/>
    </w:pPr>
    <w:rPr>
      <w:szCs w:val="24"/>
    </w:rPr>
  </w:style>
  <w:style w:type="paragraph" w:styleId="Heading8">
    <w:name w:val="heading 8"/>
    <w:basedOn w:val="Normal"/>
    <w:next w:val="Normal"/>
    <w:link w:val="Heading8Char"/>
    <w:qFormat/>
    <w:rsid w:val="00AC249E"/>
    <w:pPr>
      <w:keepNext/>
      <w:jc w:val="center"/>
      <w:outlineLvl w:val="7"/>
    </w:pPr>
    <w:rPr>
      <w:u w:val="single"/>
    </w:rPr>
  </w:style>
  <w:style w:type="paragraph" w:styleId="Heading9">
    <w:name w:val="heading 9"/>
    <w:basedOn w:val="Normal"/>
    <w:next w:val="Normal"/>
    <w:qFormat/>
    <w:rsid w:val="00AC249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11297B"/>
    <w:pPr>
      <w:tabs>
        <w:tab w:val="center" w:pos="4536"/>
        <w:tab w:val="right" w:pos="9072"/>
      </w:tabs>
      <w:spacing w:line="360" w:lineRule="auto"/>
      <w:jc w:val="center"/>
    </w:pPr>
    <w:rPr>
      <w:rFonts w:ascii="Arial" w:hAnsi="Arial"/>
      <w:caps/>
      <w:sz w:val="18"/>
    </w:rPr>
  </w:style>
  <w:style w:type="paragraph" w:styleId="Footer">
    <w:name w:val="footer"/>
    <w:aliases w:val="doc_path_name"/>
    <w:link w:val="FooterChar"/>
    <w:autoRedefine/>
    <w:rsid w:val="00AC249E"/>
    <w:pPr>
      <w:jc w:val="both"/>
    </w:pPr>
    <w:rPr>
      <w:rFonts w:ascii="Arial" w:hAnsi="Arial"/>
      <w:sz w:val="14"/>
    </w:rPr>
  </w:style>
  <w:style w:type="character" w:styleId="PageNumber">
    <w:name w:val="page number"/>
    <w:basedOn w:val="DefaultParagraphFont"/>
    <w:rsid w:val="00AC249E"/>
    <w:rPr>
      <w:rFonts w:ascii="Arial" w:hAnsi="Arial"/>
      <w:sz w:val="20"/>
    </w:rPr>
  </w:style>
  <w:style w:type="paragraph" w:styleId="Title">
    <w:name w:val="Title"/>
    <w:basedOn w:val="Normal"/>
    <w:qFormat/>
    <w:rsid w:val="00AC249E"/>
    <w:pPr>
      <w:spacing w:after="300"/>
      <w:jc w:val="center"/>
    </w:pPr>
    <w:rPr>
      <w:b/>
      <w:caps/>
      <w:kern w:val="28"/>
      <w:sz w:val="30"/>
    </w:rPr>
  </w:style>
  <w:style w:type="paragraph" w:customStyle="1" w:styleId="preparedby">
    <w:name w:val="preparedby"/>
    <w:basedOn w:val="Normal"/>
    <w:next w:val="Normal"/>
    <w:rsid w:val="00AC249E"/>
    <w:pPr>
      <w:spacing w:after="600"/>
      <w:jc w:val="center"/>
    </w:pPr>
    <w:rPr>
      <w:i/>
    </w:rPr>
  </w:style>
  <w:style w:type="paragraph" w:customStyle="1" w:styleId="Docoriginal">
    <w:name w:val="Doc_original"/>
    <w:basedOn w:val="Normal"/>
    <w:link w:val="DocoriginalChar"/>
    <w:rsid w:val="00AC249E"/>
    <w:pPr>
      <w:spacing w:line="280" w:lineRule="exact"/>
      <w:ind w:left="1361"/>
    </w:pPr>
    <w:rPr>
      <w:b/>
      <w:bCs/>
      <w:spacing w:val="10"/>
    </w:rPr>
  </w:style>
  <w:style w:type="paragraph" w:customStyle="1" w:styleId="DecisionParagraphs">
    <w:name w:val="DecisionParagraphs"/>
    <w:basedOn w:val="Normal"/>
    <w:link w:val="DecisionParagraphsChar"/>
    <w:qFormat/>
    <w:rsid w:val="00AC249E"/>
    <w:pPr>
      <w:tabs>
        <w:tab w:val="left" w:pos="5387"/>
      </w:tabs>
      <w:ind w:left="4820"/>
    </w:pPr>
    <w:rPr>
      <w:i/>
    </w:rPr>
  </w:style>
  <w:style w:type="paragraph" w:styleId="FootnoteText">
    <w:name w:val="footnote text"/>
    <w:link w:val="FootnoteTextChar"/>
    <w:autoRedefine/>
    <w:rsid w:val="00AC249E"/>
    <w:pPr>
      <w:spacing w:before="60"/>
      <w:ind w:left="567" w:hanging="567"/>
      <w:jc w:val="both"/>
    </w:pPr>
    <w:rPr>
      <w:rFonts w:ascii="Arial" w:hAnsi="Arial"/>
      <w:sz w:val="16"/>
    </w:rPr>
  </w:style>
  <w:style w:type="character" w:styleId="FootnoteReference">
    <w:name w:val="footnote reference"/>
    <w:basedOn w:val="DefaultParagraphFont"/>
    <w:rsid w:val="00AC249E"/>
    <w:rPr>
      <w:vertAlign w:val="superscript"/>
    </w:rPr>
  </w:style>
  <w:style w:type="paragraph" w:styleId="Closing">
    <w:name w:val="Closing"/>
    <w:basedOn w:val="Normal"/>
    <w:rsid w:val="00AC249E"/>
    <w:pPr>
      <w:ind w:left="4536"/>
      <w:jc w:val="center"/>
    </w:pPr>
  </w:style>
  <w:style w:type="paragraph" w:styleId="Index1">
    <w:name w:val="index 1"/>
    <w:basedOn w:val="Normal"/>
    <w:next w:val="Normal"/>
    <w:semiHidden/>
    <w:rsid w:val="00AC249E"/>
    <w:pPr>
      <w:tabs>
        <w:tab w:val="right" w:leader="dot" w:pos="9071"/>
      </w:tabs>
      <w:ind w:left="284" w:hanging="284"/>
    </w:pPr>
    <w:rPr>
      <w:sz w:val="24"/>
    </w:rPr>
  </w:style>
  <w:style w:type="paragraph" w:styleId="Index2">
    <w:name w:val="index 2"/>
    <w:basedOn w:val="Normal"/>
    <w:next w:val="Normal"/>
    <w:semiHidden/>
    <w:rsid w:val="00AC249E"/>
    <w:pPr>
      <w:tabs>
        <w:tab w:val="right" w:leader="dot" w:pos="9071"/>
      </w:tabs>
      <w:ind w:left="568" w:hanging="284"/>
    </w:pPr>
    <w:rPr>
      <w:sz w:val="24"/>
    </w:rPr>
  </w:style>
  <w:style w:type="paragraph" w:styleId="Index3">
    <w:name w:val="index 3"/>
    <w:basedOn w:val="Normal"/>
    <w:next w:val="Normal"/>
    <w:semiHidden/>
    <w:rsid w:val="00AC249E"/>
    <w:pPr>
      <w:tabs>
        <w:tab w:val="right" w:leader="dot" w:pos="9071"/>
      </w:tabs>
      <w:ind w:left="851" w:hanging="284"/>
    </w:pPr>
    <w:rPr>
      <w:sz w:val="24"/>
    </w:rPr>
  </w:style>
  <w:style w:type="paragraph" w:styleId="MacroText">
    <w:name w:val="macro"/>
    <w:semiHidden/>
    <w:rsid w:val="00AC249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AC249E"/>
    <w:pPr>
      <w:ind w:left="4536"/>
      <w:jc w:val="center"/>
    </w:pPr>
  </w:style>
  <w:style w:type="character" w:customStyle="1" w:styleId="Doclang">
    <w:name w:val="Doc_lang"/>
    <w:basedOn w:val="DefaultParagraphFont"/>
    <w:rsid w:val="00AC249E"/>
    <w:rPr>
      <w:rFonts w:ascii="Arial" w:hAnsi="Arial"/>
      <w:sz w:val="20"/>
      <w:lang w:val="en-US"/>
    </w:rPr>
  </w:style>
  <w:style w:type="paragraph" w:customStyle="1" w:styleId="Session">
    <w:name w:val="Session"/>
    <w:basedOn w:val="Normal"/>
    <w:rsid w:val="00AC249E"/>
    <w:pPr>
      <w:spacing w:before="60"/>
      <w:jc w:val="center"/>
    </w:pPr>
    <w:rPr>
      <w:b/>
    </w:rPr>
  </w:style>
  <w:style w:type="paragraph" w:customStyle="1" w:styleId="Organizer">
    <w:name w:val="Organizer"/>
    <w:basedOn w:val="Normal"/>
    <w:rsid w:val="00AC249E"/>
    <w:pPr>
      <w:spacing w:after="600"/>
      <w:ind w:left="-993" w:right="-994"/>
      <w:jc w:val="center"/>
    </w:pPr>
    <w:rPr>
      <w:b/>
      <w:caps/>
      <w:kern w:val="26"/>
      <w:sz w:val="26"/>
    </w:rPr>
  </w:style>
  <w:style w:type="paragraph" w:styleId="BodyText">
    <w:name w:val="Body Text"/>
    <w:basedOn w:val="Normal"/>
    <w:link w:val="BodyTextChar"/>
    <w:rsid w:val="00AC249E"/>
  </w:style>
  <w:style w:type="paragraph" w:customStyle="1" w:styleId="StyleDocoriginalNotBold">
    <w:name w:val="Style Doc_original + Not Bold"/>
    <w:basedOn w:val="Docoriginal"/>
    <w:link w:val="StyleDocoriginalNotBoldChar"/>
    <w:autoRedefine/>
    <w:rsid w:val="00AC249E"/>
    <w:pPr>
      <w:ind w:left="1589"/>
      <w:jc w:val="left"/>
    </w:pPr>
  </w:style>
  <w:style w:type="paragraph" w:customStyle="1" w:styleId="upove">
    <w:name w:val="upov_e"/>
    <w:basedOn w:val="Normal"/>
    <w:rsid w:val="00AC249E"/>
    <w:pPr>
      <w:spacing w:before="60"/>
      <w:jc w:val="center"/>
    </w:pPr>
    <w:rPr>
      <w:b/>
      <w:bCs/>
      <w:spacing w:val="8"/>
      <w:sz w:val="24"/>
    </w:rPr>
  </w:style>
  <w:style w:type="paragraph" w:customStyle="1" w:styleId="TitleofDoc">
    <w:name w:val="Title of Doc"/>
    <w:basedOn w:val="Normal"/>
    <w:rsid w:val="00AC249E"/>
    <w:pPr>
      <w:spacing w:before="1200"/>
      <w:jc w:val="center"/>
    </w:pPr>
    <w:rPr>
      <w:caps/>
    </w:rPr>
  </w:style>
  <w:style w:type="paragraph" w:customStyle="1" w:styleId="preparedby0">
    <w:name w:val="prepared by"/>
    <w:basedOn w:val="Normal"/>
    <w:semiHidden/>
    <w:rsid w:val="00AC249E"/>
    <w:pPr>
      <w:spacing w:before="600" w:after="600"/>
      <w:jc w:val="center"/>
    </w:pPr>
    <w:rPr>
      <w:i/>
    </w:rPr>
  </w:style>
  <w:style w:type="paragraph" w:customStyle="1" w:styleId="PlaceAndDate">
    <w:name w:val="PlaceAndDate"/>
    <w:basedOn w:val="Session"/>
    <w:rsid w:val="00AC249E"/>
  </w:style>
  <w:style w:type="paragraph" w:styleId="EndnoteText">
    <w:name w:val="endnote text"/>
    <w:basedOn w:val="Normal"/>
    <w:rsid w:val="00AC249E"/>
  </w:style>
  <w:style w:type="character" w:styleId="EndnoteReference">
    <w:name w:val="endnote reference"/>
    <w:basedOn w:val="DefaultParagraphFont"/>
    <w:rsid w:val="00AC249E"/>
    <w:rPr>
      <w:vertAlign w:val="superscript"/>
    </w:rPr>
  </w:style>
  <w:style w:type="paragraph" w:customStyle="1" w:styleId="SessionMeetingPlace">
    <w:name w:val="Session_MeetingPlace"/>
    <w:basedOn w:val="Normal"/>
    <w:semiHidden/>
    <w:rsid w:val="00AC249E"/>
    <w:pPr>
      <w:spacing w:before="480"/>
      <w:jc w:val="center"/>
    </w:pPr>
    <w:rPr>
      <w:b/>
      <w:bCs/>
      <w:kern w:val="28"/>
      <w:sz w:val="24"/>
    </w:rPr>
  </w:style>
  <w:style w:type="paragraph" w:customStyle="1" w:styleId="Original">
    <w:name w:val="Original"/>
    <w:basedOn w:val="Normal"/>
    <w:rsid w:val="00AC249E"/>
    <w:pPr>
      <w:spacing w:before="60"/>
      <w:ind w:left="1276"/>
    </w:pPr>
    <w:rPr>
      <w:b/>
      <w:sz w:val="22"/>
    </w:rPr>
  </w:style>
  <w:style w:type="paragraph" w:styleId="Date">
    <w:name w:val="Date"/>
    <w:basedOn w:val="Normal"/>
    <w:rsid w:val="00AC249E"/>
    <w:pPr>
      <w:spacing w:line="340" w:lineRule="exact"/>
      <w:ind w:left="1276"/>
    </w:pPr>
    <w:rPr>
      <w:b/>
      <w:sz w:val="22"/>
    </w:rPr>
  </w:style>
  <w:style w:type="paragraph" w:customStyle="1" w:styleId="Code">
    <w:name w:val="Code"/>
    <w:basedOn w:val="Normal"/>
    <w:link w:val="CodeChar"/>
    <w:semiHidden/>
    <w:rsid w:val="00AC249E"/>
    <w:pPr>
      <w:spacing w:line="340" w:lineRule="atLeast"/>
      <w:ind w:left="1276"/>
    </w:pPr>
    <w:rPr>
      <w:b/>
      <w:bCs/>
      <w:spacing w:val="10"/>
    </w:rPr>
  </w:style>
  <w:style w:type="paragraph" w:customStyle="1" w:styleId="Country">
    <w:name w:val="Country"/>
    <w:basedOn w:val="Normal"/>
    <w:semiHidden/>
    <w:rsid w:val="00AC249E"/>
    <w:pPr>
      <w:spacing w:before="60" w:after="480"/>
      <w:jc w:val="center"/>
    </w:pPr>
  </w:style>
  <w:style w:type="paragraph" w:customStyle="1" w:styleId="Lettrine">
    <w:name w:val="Lettrine"/>
    <w:basedOn w:val="Normal"/>
    <w:rsid w:val="00AC249E"/>
    <w:pPr>
      <w:spacing w:after="120" w:line="340" w:lineRule="atLeast"/>
      <w:jc w:val="right"/>
    </w:pPr>
    <w:rPr>
      <w:b/>
      <w:bCs/>
      <w:sz w:val="56"/>
    </w:rPr>
  </w:style>
  <w:style w:type="paragraph" w:customStyle="1" w:styleId="LogoUPOV">
    <w:name w:val="LogoUPOV"/>
    <w:basedOn w:val="Normal"/>
    <w:rsid w:val="00AC249E"/>
    <w:pPr>
      <w:spacing w:before="720"/>
      <w:jc w:val="center"/>
    </w:pPr>
  </w:style>
  <w:style w:type="paragraph" w:customStyle="1" w:styleId="Sessiontc">
    <w:name w:val="Session_tc"/>
    <w:basedOn w:val="StyleSessionAllcaps"/>
    <w:rsid w:val="00AC249E"/>
    <w:pPr>
      <w:spacing w:before="240"/>
    </w:pPr>
  </w:style>
  <w:style w:type="paragraph" w:customStyle="1" w:styleId="TitreUpov">
    <w:name w:val="TitreUpov"/>
    <w:basedOn w:val="Normal"/>
    <w:semiHidden/>
    <w:rsid w:val="00AC249E"/>
    <w:pPr>
      <w:spacing w:before="60"/>
      <w:jc w:val="center"/>
    </w:pPr>
    <w:rPr>
      <w:b/>
      <w:sz w:val="24"/>
    </w:rPr>
  </w:style>
  <w:style w:type="paragraph" w:customStyle="1" w:styleId="StyleSessionAllcaps">
    <w:name w:val="Style Session + All caps"/>
    <w:basedOn w:val="Session"/>
    <w:semiHidden/>
    <w:rsid w:val="00AC249E"/>
    <w:pPr>
      <w:spacing w:before="480"/>
    </w:pPr>
    <w:rPr>
      <w:bCs/>
      <w:caps/>
      <w:kern w:val="28"/>
      <w:sz w:val="24"/>
    </w:rPr>
  </w:style>
  <w:style w:type="paragraph" w:customStyle="1" w:styleId="plcountry">
    <w:name w:val="plcountry"/>
    <w:basedOn w:val="Normal"/>
    <w:link w:val="plcountryChar"/>
    <w:rsid w:val="00AC249E"/>
    <w:pPr>
      <w:keepNext/>
      <w:keepLines/>
      <w:spacing w:before="180" w:after="120"/>
      <w:jc w:val="left"/>
    </w:pPr>
    <w:rPr>
      <w:caps/>
      <w:noProof/>
      <w:snapToGrid w:val="0"/>
      <w:u w:val="single"/>
    </w:rPr>
  </w:style>
  <w:style w:type="paragraph" w:customStyle="1" w:styleId="pldetails">
    <w:name w:val="pldetails"/>
    <w:basedOn w:val="Normal"/>
    <w:link w:val="pldetailsChar"/>
    <w:rsid w:val="00AC249E"/>
    <w:pPr>
      <w:keepLines/>
      <w:spacing w:before="60" w:after="60"/>
      <w:jc w:val="left"/>
    </w:pPr>
    <w:rPr>
      <w:noProof/>
      <w:snapToGrid w:val="0"/>
    </w:rPr>
  </w:style>
  <w:style w:type="paragraph" w:customStyle="1" w:styleId="plheading">
    <w:name w:val="plheading"/>
    <w:basedOn w:val="Normal"/>
    <w:rsid w:val="00AC249E"/>
    <w:pPr>
      <w:keepNext/>
      <w:spacing w:before="480" w:after="120"/>
      <w:jc w:val="center"/>
    </w:pPr>
    <w:rPr>
      <w:caps/>
      <w:snapToGrid w:val="0"/>
      <w:u w:val="single"/>
    </w:rPr>
  </w:style>
  <w:style w:type="paragraph" w:customStyle="1" w:styleId="Sessiontcplacedate">
    <w:name w:val="Session_tc_place_date"/>
    <w:basedOn w:val="SessionMeetingPlace"/>
    <w:rsid w:val="00AC249E"/>
    <w:pPr>
      <w:spacing w:before="240"/>
    </w:pPr>
  </w:style>
  <w:style w:type="paragraph" w:customStyle="1" w:styleId="Titleofdoc0">
    <w:name w:val="Title_of_doc"/>
    <w:basedOn w:val="Normal"/>
    <w:rsid w:val="00AC249E"/>
    <w:pPr>
      <w:spacing w:before="600"/>
      <w:jc w:val="center"/>
    </w:pPr>
    <w:rPr>
      <w:caps/>
    </w:rPr>
  </w:style>
  <w:style w:type="paragraph" w:customStyle="1" w:styleId="preparedby1">
    <w:name w:val="prepared_by"/>
    <w:basedOn w:val="Normal"/>
    <w:rsid w:val="00AC249E"/>
    <w:pPr>
      <w:spacing w:before="240" w:after="600"/>
      <w:jc w:val="center"/>
    </w:pPr>
    <w:rPr>
      <w:i/>
    </w:rPr>
  </w:style>
  <w:style w:type="character" w:customStyle="1" w:styleId="CodeChar">
    <w:name w:val="Code Char"/>
    <w:basedOn w:val="DefaultParagraphFont"/>
    <w:link w:val="Code"/>
    <w:rsid w:val="00AC249E"/>
    <w:rPr>
      <w:rFonts w:ascii="Arial" w:hAnsi="Arial"/>
      <w:b/>
      <w:bCs/>
      <w:spacing w:val="10"/>
    </w:rPr>
  </w:style>
  <w:style w:type="paragraph" w:customStyle="1" w:styleId="endofdoc">
    <w:name w:val="end_of_doc"/>
    <w:autoRedefine/>
    <w:rsid w:val="00AC249E"/>
    <w:pPr>
      <w:spacing w:before="480"/>
      <w:ind w:left="567" w:hanging="567"/>
      <w:jc w:val="right"/>
    </w:pPr>
    <w:rPr>
      <w:rFonts w:ascii="Arial" w:hAnsi="Arial"/>
    </w:rPr>
  </w:style>
  <w:style w:type="character" w:customStyle="1" w:styleId="DocoriginalChar">
    <w:name w:val="Doc_original Char"/>
    <w:basedOn w:val="DefaultParagraphFont"/>
    <w:link w:val="Docoriginal"/>
    <w:rsid w:val="00AC249E"/>
    <w:rPr>
      <w:rFonts w:ascii="Arial" w:hAnsi="Arial"/>
      <w:b/>
      <w:bCs/>
      <w:spacing w:val="10"/>
    </w:rPr>
  </w:style>
  <w:style w:type="character" w:customStyle="1" w:styleId="StyleDocoriginalNotBoldChar">
    <w:name w:val="Style Doc_original + Not Bold Char"/>
    <w:basedOn w:val="DocoriginalChar"/>
    <w:link w:val="StyleDocoriginalNotBold"/>
    <w:rsid w:val="00AC249E"/>
    <w:rPr>
      <w:rFonts w:ascii="Arial" w:hAnsi="Arial"/>
      <w:b/>
      <w:bCs/>
      <w:spacing w:val="10"/>
    </w:rPr>
  </w:style>
  <w:style w:type="paragraph" w:customStyle="1" w:styleId="StyleDocnumber">
    <w:name w:val="Style Doc_number"/>
    <w:basedOn w:val="Docoriginal"/>
    <w:rsid w:val="00AC249E"/>
    <w:pPr>
      <w:ind w:left="1589"/>
    </w:pPr>
  </w:style>
  <w:style w:type="paragraph" w:customStyle="1" w:styleId="StyleDocoriginal">
    <w:name w:val="Style Doc_original"/>
    <w:basedOn w:val="Docoriginal"/>
    <w:link w:val="StyleDocoriginalChar"/>
    <w:rsid w:val="00AC249E"/>
  </w:style>
  <w:style w:type="character" w:customStyle="1" w:styleId="StyleDocoriginalChar">
    <w:name w:val="Style Doc_original Char"/>
    <w:basedOn w:val="DocoriginalChar"/>
    <w:link w:val="StyleDocoriginal"/>
    <w:rsid w:val="00AC249E"/>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AC249E"/>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C249E"/>
    <w:rPr>
      <w:rFonts w:ascii="Arial" w:hAnsi="Arial"/>
      <w:b w:val="0"/>
      <w:bCs w:val="0"/>
      <w:spacing w:val="10"/>
    </w:rPr>
  </w:style>
  <w:style w:type="character" w:customStyle="1" w:styleId="StyleDocoriginalNotBold1">
    <w:name w:val="Style Doc_original + Not Bold1"/>
    <w:basedOn w:val="DefaultParagraphFont"/>
    <w:rsid w:val="00AC249E"/>
    <w:rPr>
      <w:rFonts w:ascii="Arial" w:hAnsi="Arial"/>
      <w:b/>
      <w:bCs/>
      <w:spacing w:val="10"/>
      <w:lang w:val="en-US" w:eastAsia="en-US" w:bidi="ar-SA"/>
    </w:rPr>
  </w:style>
  <w:style w:type="character" w:customStyle="1" w:styleId="StyleDoclangBold">
    <w:name w:val="Style Doc_lang + Bold"/>
    <w:basedOn w:val="Doclang"/>
    <w:rsid w:val="00AC249E"/>
    <w:rPr>
      <w:rFonts w:ascii="Arial" w:hAnsi="Arial"/>
      <w:b/>
      <w:bCs/>
      <w:sz w:val="20"/>
      <w:lang w:val="en-US"/>
    </w:rPr>
  </w:style>
  <w:style w:type="paragraph" w:styleId="TOC2">
    <w:name w:val="toc 2"/>
    <w:next w:val="Normal"/>
    <w:autoRedefine/>
    <w:uiPriority w:val="39"/>
    <w:rsid w:val="007855E2"/>
    <w:pPr>
      <w:tabs>
        <w:tab w:val="right" w:leader="dot" w:pos="9639"/>
      </w:tabs>
      <w:spacing w:before="120"/>
      <w:ind w:left="284" w:right="141"/>
      <w:contextualSpacing/>
    </w:pPr>
    <w:rPr>
      <w:rFonts w:ascii="Arial" w:hAnsi="Arial"/>
      <w:noProof/>
    </w:rPr>
  </w:style>
  <w:style w:type="paragraph" w:styleId="TOC3">
    <w:name w:val="toc 3"/>
    <w:next w:val="Normal"/>
    <w:autoRedefine/>
    <w:uiPriority w:val="39"/>
    <w:rsid w:val="007855E2"/>
    <w:pPr>
      <w:tabs>
        <w:tab w:val="right" w:leader="dot" w:pos="9639"/>
      </w:tabs>
      <w:spacing w:before="120"/>
      <w:ind w:left="1134" w:right="425" w:hanging="567"/>
      <w:contextualSpacing/>
    </w:pPr>
    <w:rPr>
      <w:rFonts w:ascii="Arial" w:hAnsi="Arial"/>
      <w:i/>
      <w:noProof/>
      <w:lang w:val="fr-FR"/>
    </w:rPr>
  </w:style>
  <w:style w:type="character" w:styleId="Hyperlink">
    <w:name w:val="Hyperlink"/>
    <w:basedOn w:val="DefaultParagraphFont"/>
    <w:uiPriority w:val="99"/>
    <w:rsid w:val="00AC249E"/>
    <w:rPr>
      <w:rFonts w:ascii="Arial" w:hAnsi="Arial"/>
      <w:color w:val="0000FF"/>
      <w:u w:val="single"/>
    </w:rPr>
  </w:style>
  <w:style w:type="paragraph" w:styleId="TOC4">
    <w:name w:val="toc 4"/>
    <w:next w:val="Normal"/>
    <w:autoRedefine/>
    <w:rsid w:val="00AC249E"/>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AC249E"/>
    <w:pPr>
      <w:tabs>
        <w:tab w:val="right" w:leader="dot" w:pos="9639"/>
      </w:tabs>
      <w:spacing w:before="120" w:after="120"/>
      <w:ind w:right="284"/>
    </w:pPr>
    <w:rPr>
      <w:rFonts w:ascii="Arial" w:hAnsi="Arial"/>
      <w:caps/>
      <w:noProof/>
    </w:rPr>
  </w:style>
  <w:style w:type="paragraph" w:styleId="TOC5">
    <w:name w:val="toc 5"/>
    <w:next w:val="Normal"/>
    <w:autoRedefine/>
    <w:rsid w:val="00AC249E"/>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AC249E"/>
    <w:rPr>
      <w:rFonts w:ascii="Tahoma" w:hAnsi="Tahoma" w:cs="Tahoma"/>
      <w:sz w:val="16"/>
      <w:szCs w:val="16"/>
    </w:rPr>
  </w:style>
  <w:style w:type="character" w:customStyle="1" w:styleId="BalloonTextChar">
    <w:name w:val="Balloon Text Char"/>
    <w:basedOn w:val="DefaultParagraphFont"/>
    <w:link w:val="BalloonText"/>
    <w:rsid w:val="00AC249E"/>
    <w:rPr>
      <w:rFonts w:ascii="Tahoma" w:hAnsi="Tahoma" w:cs="Tahoma"/>
      <w:sz w:val="16"/>
      <w:szCs w:val="16"/>
    </w:rPr>
  </w:style>
  <w:style w:type="character" w:customStyle="1" w:styleId="Heading6Char">
    <w:name w:val="Heading 6 Char"/>
    <w:basedOn w:val="DefaultParagraphFont"/>
    <w:link w:val="Heading6"/>
    <w:rsid w:val="00AC249E"/>
    <w:rPr>
      <w:rFonts w:ascii="Arial" w:hAnsi="Arial"/>
      <w:lang w:val="es-ES_tradnl"/>
    </w:rPr>
  </w:style>
  <w:style w:type="character" w:customStyle="1" w:styleId="Heading7Char">
    <w:name w:val="Heading 7 Char"/>
    <w:basedOn w:val="DefaultParagraphFont"/>
    <w:link w:val="Heading7"/>
    <w:rsid w:val="00AC249E"/>
    <w:rPr>
      <w:rFonts w:ascii="Arial" w:hAnsi="Arial"/>
      <w:szCs w:val="24"/>
    </w:rPr>
  </w:style>
  <w:style w:type="character" w:customStyle="1" w:styleId="Heading8Char">
    <w:name w:val="Heading 8 Char"/>
    <w:basedOn w:val="DefaultParagraphFont"/>
    <w:link w:val="Heading8"/>
    <w:rsid w:val="00AC249E"/>
    <w:rPr>
      <w:rFonts w:ascii="Arial" w:hAnsi="Arial"/>
      <w:u w:val="single"/>
    </w:rPr>
  </w:style>
  <w:style w:type="character" w:customStyle="1" w:styleId="Heading2Char">
    <w:name w:val="Heading 2 Char"/>
    <w:link w:val="Heading2"/>
    <w:rsid w:val="00AC249E"/>
    <w:rPr>
      <w:rFonts w:ascii="Arial" w:hAnsi="Arial"/>
      <w:u w:val="single"/>
    </w:rPr>
  </w:style>
  <w:style w:type="character" w:customStyle="1" w:styleId="Heading3Char">
    <w:name w:val="Heading 3 Char"/>
    <w:link w:val="Heading3"/>
    <w:locked/>
    <w:rsid w:val="0085565C"/>
    <w:rPr>
      <w:rFonts w:ascii="Arial" w:hAnsi="Arial"/>
      <w:i/>
      <w:lang w:val="fr-FR"/>
    </w:rPr>
  </w:style>
  <w:style w:type="character" w:customStyle="1" w:styleId="Heading4Char">
    <w:name w:val="Heading 4 Char"/>
    <w:link w:val="Heading4"/>
    <w:rsid w:val="00AC249E"/>
    <w:rPr>
      <w:rFonts w:ascii="Arial" w:hAnsi="Arial"/>
      <w:i/>
      <w:lang w:val="fr-FR"/>
    </w:rPr>
  </w:style>
  <w:style w:type="character" w:customStyle="1" w:styleId="Heading5Char">
    <w:name w:val="Heading 5 Char"/>
    <w:link w:val="Heading5"/>
    <w:rsid w:val="00AF7A00"/>
    <w:rPr>
      <w:rFonts w:ascii="Arial" w:hAnsi="Arial"/>
      <w:sz w:val="18"/>
      <w:szCs w:val="18"/>
    </w:rPr>
  </w:style>
  <w:style w:type="character" w:customStyle="1" w:styleId="HeaderChar">
    <w:name w:val="Header Char"/>
    <w:basedOn w:val="DefaultParagraphFont"/>
    <w:link w:val="Header"/>
    <w:uiPriority w:val="99"/>
    <w:rsid w:val="0011297B"/>
    <w:rPr>
      <w:rFonts w:ascii="Arial" w:hAnsi="Arial"/>
      <w:caps/>
      <w:sz w:val="18"/>
    </w:rPr>
  </w:style>
  <w:style w:type="character" w:customStyle="1" w:styleId="FooterChar">
    <w:name w:val="Footer Char"/>
    <w:aliases w:val="doc_path_name Char"/>
    <w:link w:val="Footer"/>
    <w:rsid w:val="00AC249E"/>
    <w:rPr>
      <w:rFonts w:ascii="Arial" w:hAnsi="Arial"/>
      <w:sz w:val="14"/>
    </w:rPr>
  </w:style>
  <w:style w:type="character" w:customStyle="1" w:styleId="DecisionParagraphsChar">
    <w:name w:val="DecisionParagraphs Char"/>
    <w:link w:val="DecisionParagraphs"/>
    <w:rsid w:val="00AC249E"/>
    <w:rPr>
      <w:rFonts w:ascii="Arial" w:hAnsi="Arial"/>
      <w:i/>
    </w:rPr>
  </w:style>
  <w:style w:type="character" w:customStyle="1" w:styleId="FootnoteTextChar">
    <w:name w:val="Footnote Text Char"/>
    <w:basedOn w:val="DefaultParagraphFont"/>
    <w:link w:val="FootnoteText"/>
    <w:rsid w:val="00AC249E"/>
    <w:rPr>
      <w:rFonts w:ascii="Arial" w:hAnsi="Arial"/>
      <w:sz w:val="16"/>
    </w:rPr>
  </w:style>
  <w:style w:type="character" w:customStyle="1" w:styleId="BodyTextChar">
    <w:name w:val="Body Text Char"/>
    <w:link w:val="BodyText"/>
    <w:locked/>
    <w:rsid w:val="00AC249E"/>
    <w:rPr>
      <w:rFonts w:ascii="Arial" w:hAnsi="Arial"/>
    </w:rPr>
  </w:style>
  <w:style w:type="character" w:customStyle="1" w:styleId="plcountryChar">
    <w:name w:val="plcountry Char"/>
    <w:link w:val="plcountry"/>
    <w:rsid w:val="00AC249E"/>
    <w:rPr>
      <w:rFonts w:ascii="Arial" w:hAnsi="Arial"/>
      <w:caps/>
      <w:noProof/>
      <w:snapToGrid w:val="0"/>
      <w:u w:val="single"/>
    </w:rPr>
  </w:style>
  <w:style w:type="character" w:customStyle="1" w:styleId="pldetailsChar">
    <w:name w:val="pldetails Char"/>
    <w:link w:val="pldetails"/>
    <w:rsid w:val="00AC249E"/>
    <w:rPr>
      <w:rFonts w:ascii="Arial" w:hAnsi="Arial"/>
      <w:noProof/>
      <w:snapToGrid w:val="0"/>
    </w:rPr>
  </w:style>
  <w:style w:type="table" w:styleId="TableGrid">
    <w:name w:val="Table Grid"/>
    <w:basedOn w:val="TableNormal"/>
    <w:rsid w:val="00AC249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AC249E"/>
    <w:pPr>
      <w:tabs>
        <w:tab w:val="decimal" w:pos="907"/>
        <w:tab w:val="left" w:pos="1077"/>
      </w:tabs>
    </w:pPr>
    <w:rPr>
      <w:rFonts w:ascii="Times New Roman" w:eastAsia="MS Mincho" w:hAnsi="Times New Roman"/>
      <w:sz w:val="24"/>
    </w:rPr>
  </w:style>
  <w:style w:type="paragraph" w:customStyle="1" w:styleId="n">
    <w:name w:val="n"/>
    <w:basedOn w:val="Header"/>
    <w:rsid w:val="00AC249E"/>
    <w:rPr>
      <w:rFonts w:ascii="Times New Roman" w:hAnsi="Times New Roman"/>
      <w:sz w:val="24"/>
    </w:rPr>
  </w:style>
  <w:style w:type="paragraph" w:customStyle="1" w:styleId="Normalt">
    <w:name w:val="Normalt"/>
    <w:basedOn w:val="Normal"/>
    <w:rsid w:val="00AC249E"/>
    <w:pPr>
      <w:spacing w:before="120" w:after="120"/>
      <w:jc w:val="left"/>
    </w:pPr>
    <w:rPr>
      <w:rFonts w:ascii="Times New Roman" w:hAnsi="Times New Roman" w:cs="Angsana New"/>
      <w:noProof/>
      <w:lang w:eastAsia="zh-CN" w:bidi="th-TH"/>
    </w:rPr>
  </w:style>
  <w:style w:type="paragraph" w:customStyle="1" w:styleId="Normaltb">
    <w:name w:val="Normaltb"/>
    <w:basedOn w:val="Normalt"/>
    <w:rsid w:val="00AC249E"/>
    <w:pPr>
      <w:keepNext/>
    </w:pPr>
    <w:rPr>
      <w:b/>
      <w:bCs/>
    </w:rPr>
  </w:style>
  <w:style w:type="paragraph" w:styleId="NormalWeb">
    <w:name w:val="Normal (Web)"/>
    <w:basedOn w:val="Normal"/>
    <w:rsid w:val="00AC249E"/>
    <w:pPr>
      <w:spacing w:before="100" w:beforeAutospacing="1" w:after="100" w:afterAutospacing="1"/>
      <w:jc w:val="left"/>
    </w:pPr>
    <w:rPr>
      <w:szCs w:val="24"/>
    </w:rPr>
  </w:style>
  <w:style w:type="paragraph" w:customStyle="1" w:styleId="pdflink">
    <w:name w:val="pdflink"/>
    <w:basedOn w:val="Normal"/>
    <w:next w:val="Normal"/>
    <w:rsid w:val="00AC249E"/>
    <w:rPr>
      <w:color w:val="800000"/>
      <w:u w:val="words"/>
    </w:rPr>
  </w:style>
  <w:style w:type="paragraph" w:customStyle="1" w:styleId="Draft">
    <w:name w:val="Draft"/>
    <w:basedOn w:val="Normal"/>
    <w:next w:val="preparedby"/>
    <w:rsid w:val="00AC249E"/>
    <w:pPr>
      <w:spacing w:before="720" w:after="480"/>
      <w:jc w:val="center"/>
    </w:pPr>
    <w:rPr>
      <w:caps/>
      <w:sz w:val="28"/>
    </w:rPr>
  </w:style>
  <w:style w:type="paragraph" w:customStyle="1" w:styleId="tqparabox">
    <w:name w:val="tqparabox"/>
    <w:basedOn w:val="Normal"/>
    <w:rsid w:val="00AC249E"/>
    <w:pPr>
      <w:tabs>
        <w:tab w:val="left" w:pos="567"/>
        <w:tab w:val="left" w:pos="1134"/>
        <w:tab w:val="left" w:pos="2976"/>
        <w:tab w:val="left" w:pos="5856"/>
        <w:tab w:val="left" w:pos="7296"/>
      </w:tabs>
      <w:spacing w:before="40" w:after="40"/>
      <w:ind w:left="567"/>
      <w:jc w:val="left"/>
    </w:pPr>
  </w:style>
  <w:style w:type="paragraph" w:styleId="BodyTextIndent">
    <w:name w:val="Body Text Indent"/>
    <w:basedOn w:val="Normal"/>
    <w:link w:val="BodyTextIndentChar"/>
    <w:rsid w:val="00AC249E"/>
    <w:pPr>
      <w:ind w:left="567"/>
    </w:pPr>
    <w:rPr>
      <w:lang w:val="es-ES_tradnl"/>
    </w:rPr>
  </w:style>
  <w:style w:type="character" w:customStyle="1" w:styleId="BodyTextIndentChar">
    <w:name w:val="Body Text Indent Char"/>
    <w:basedOn w:val="DefaultParagraphFont"/>
    <w:link w:val="BodyTextIndent"/>
    <w:rsid w:val="00AC249E"/>
    <w:rPr>
      <w:rFonts w:ascii="Arial" w:hAnsi="Arial"/>
      <w:lang w:val="es-ES_tradnl"/>
    </w:rPr>
  </w:style>
  <w:style w:type="paragraph" w:customStyle="1" w:styleId="twpcheck">
    <w:name w:val="twpcheck"/>
    <w:basedOn w:val="Normal"/>
    <w:rsid w:val="00AC249E"/>
    <w:pPr>
      <w:spacing w:before="80" w:after="80"/>
      <w:jc w:val="left"/>
    </w:pPr>
    <w:rPr>
      <w:rFonts w:cs="Arial"/>
      <w:snapToGrid w:val="0"/>
      <w:sz w:val="16"/>
      <w:szCs w:val="16"/>
    </w:rPr>
  </w:style>
  <w:style w:type="paragraph" w:customStyle="1" w:styleId="DecisionInvitingPara">
    <w:name w:val="Decision Inviting Para."/>
    <w:basedOn w:val="Normal"/>
    <w:rsid w:val="00AC249E"/>
    <w:pPr>
      <w:ind w:left="4536"/>
    </w:pPr>
    <w:rPr>
      <w:i/>
      <w:lang w:val="es-ES_tradnl"/>
    </w:rPr>
  </w:style>
  <w:style w:type="paragraph" w:customStyle="1" w:styleId="Enttepair">
    <w:name w:val="Entête_pair"/>
    <w:basedOn w:val="Normal"/>
    <w:next w:val="Normal"/>
    <w:rsid w:val="00AC249E"/>
    <w:pPr>
      <w:pBdr>
        <w:bottom w:val="single" w:sz="4" w:space="1" w:color="auto"/>
      </w:pBdr>
      <w:jc w:val="left"/>
    </w:pPr>
    <w:rPr>
      <w:szCs w:val="24"/>
    </w:rPr>
  </w:style>
  <w:style w:type="paragraph" w:customStyle="1" w:styleId="Entteimpair">
    <w:name w:val="Entête_impair"/>
    <w:basedOn w:val="Normal"/>
    <w:next w:val="Normal"/>
    <w:rsid w:val="00AC249E"/>
    <w:pPr>
      <w:pBdr>
        <w:bottom w:val="single" w:sz="4" w:space="1" w:color="auto"/>
      </w:pBdr>
      <w:jc w:val="right"/>
    </w:pPr>
  </w:style>
  <w:style w:type="paragraph" w:styleId="ListBullet">
    <w:name w:val="List Bullet"/>
    <w:basedOn w:val="Normal"/>
    <w:autoRedefine/>
    <w:rsid w:val="00AC249E"/>
    <w:pPr>
      <w:tabs>
        <w:tab w:val="num" w:pos="360"/>
      </w:tabs>
      <w:ind w:left="360" w:hanging="360"/>
    </w:pPr>
    <w:rPr>
      <w:bCs/>
      <w:szCs w:val="24"/>
      <w:lang w:val="es-ES" w:eastAsia="zh-CN"/>
    </w:rPr>
  </w:style>
  <w:style w:type="character" w:styleId="FollowedHyperlink">
    <w:name w:val="FollowedHyperlink"/>
    <w:rsid w:val="00AC249E"/>
    <w:rPr>
      <w:color w:val="606420"/>
      <w:u w:val="single"/>
    </w:rPr>
  </w:style>
  <w:style w:type="paragraph" w:styleId="BlockText">
    <w:name w:val="Block Text"/>
    <w:basedOn w:val="Normal"/>
    <w:rsid w:val="00AC249E"/>
    <w:pPr>
      <w:ind w:left="567" w:right="566"/>
    </w:pPr>
    <w:rPr>
      <w:sz w:val="22"/>
    </w:rPr>
  </w:style>
  <w:style w:type="paragraph" w:styleId="CommentText">
    <w:name w:val="annotation text"/>
    <w:basedOn w:val="Normal"/>
    <w:link w:val="CommentTextChar"/>
    <w:rsid w:val="00AC249E"/>
    <w:rPr>
      <w:sz w:val="22"/>
      <w:lang w:val="es-ES_tradnl"/>
    </w:rPr>
  </w:style>
  <w:style w:type="character" w:customStyle="1" w:styleId="CommentTextChar">
    <w:name w:val="Comment Text Char"/>
    <w:basedOn w:val="DefaultParagraphFont"/>
    <w:link w:val="CommentText"/>
    <w:rsid w:val="00AC249E"/>
    <w:rPr>
      <w:rFonts w:ascii="Arial" w:hAnsi="Arial"/>
      <w:sz w:val="22"/>
      <w:lang w:val="es-ES_tradnl"/>
    </w:rPr>
  </w:style>
  <w:style w:type="paragraph" w:customStyle="1" w:styleId="Committee">
    <w:name w:val="Committee"/>
    <w:basedOn w:val="Title"/>
    <w:rsid w:val="00AC249E"/>
    <w:rPr>
      <w:caps w:val="0"/>
    </w:rPr>
  </w:style>
  <w:style w:type="paragraph" w:customStyle="1" w:styleId="TitleofSection">
    <w:name w:val="Title of Section"/>
    <w:basedOn w:val="TitleofDoc"/>
    <w:rsid w:val="00AC249E"/>
    <w:pPr>
      <w:spacing w:before="120" w:after="120"/>
    </w:pPr>
    <w:rPr>
      <w:b/>
      <w:caps w:val="0"/>
      <w:lang w:eastAsia="de-DE"/>
    </w:rPr>
  </w:style>
  <w:style w:type="paragraph" w:customStyle="1" w:styleId="TOCAnnex">
    <w:name w:val="TOC Annex"/>
    <w:basedOn w:val="Normal"/>
    <w:rsid w:val="00AC249E"/>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AC249E"/>
    <w:rPr>
      <w:rFonts w:ascii="Courier New" w:hAnsi="Courier New" w:cs="Courier New"/>
      <w:lang w:eastAsia="fr-FR"/>
    </w:rPr>
  </w:style>
  <w:style w:type="character" w:customStyle="1" w:styleId="PlainTextChar">
    <w:name w:val="Plain Text Char"/>
    <w:basedOn w:val="DefaultParagraphFont"/>
    <w:link w:val="PlainText"/>
    <w:rsid w:val="00AC249E"/>
    <w:rPr>
      <w:rFonts w:ascii="Courier New" w:hAnsi="Courier New" w:cs="Courier New"/>
      <w:lang w:eastAsia="fr-FR"/>
    </w:rPr>
  </w:style>
  <w:style w:type="paragraph" w:customStyle="1" w:styleId="Default">
    <w:name w:val="Default"/>
    <w:basedOn w:val="Normal"/>
    <w:rsid w:val="00AC249E"/>
    <w:pPr>
      <w:jc w:val="left"/>
    </w:pPr>
    <w:rPr>
      <w:rFonts w:eastAsia="SimSun" w:cs="Arial"/>
      <w:color w:val="000000"/>
      <w:sz w:val="24"/>
      <w:szCs w:val="24"/>
    </w:rPr>
  </w:style>
  <w:style w:type="paragraph" w:customStyle="1" w:styleId="tgcharnumber">
    <w:name w:val="tg_char_number"/>
    <w:basedOn w:val="Normal"/>
    <w:rsid w:val="00AC249E"/>
    <w:pPr>
      <w:keepNext/>
      <w:spacing w:before="80" w:after="80"/>
      <w:jc w:val="center"/>
    </w:pPr>
    <w:rPr>
      <w:b/>
      <w:sz w:val="16"/>
    </w:rPr>
  </w:style>
  <w:style w:type="paragraph" w:customStyle="1" w:styleId="tgchartitle">
    <w:name w:val="tg_char_title"/>
    <w:basedOn w:val="Normal"/>
    <w:rsid w:val="00AC249E"/>
    <w:pPr>
      <w:spacing w:before="80" w:after="80"/>
      <w:jc w:val="left"/>
    </w:pPr>
    <w:rPr>
      <w:b/>
      <w:sz w:val="16"/>
    </w:rPr>
  </w:style>
  <w:style w:type="paragraph" w:customStyle="1" w:styleId="tgchartext">
    <w:name w:val="tg_char_text"/>
    <w:basedOn w:val="Normal"/>
    <w:rsid w:val="00AC249E"/>
    <w:pPr>
      <w:spacing w:before="80" w:after="80"/>
      <w:jc w:val="left"/>
    </w:pPr>
    <w:rPr>
      <w:sz w:val="16"/>
    </w:rPr>
  </w:style>
  <w:style w:type="paragraph" w:styleId="ListParagraph">
    <w:name w:val="List Paragraph"/>
    <w:basedOn w:val="Normal"/>
    <w:uiPriority w:val="34"/>
    <w:qFormat/>
    <w:rsid w:val="00AC249E"/>
    <w:pPr>
      <w:ind w:left="720"/>
      <w:contextualSpacing/>
    </w:pPr>
  </w:style>
  <w:style w:type="paragraph" w:customStyle="1" w:styleId="dec">
    <w:name w:val="dec"/>
    <w:basedOn w:val="Normal"/>
    <w:link w:val="decChar"/>
    <w:qFormat/>
    <w:rsid w:val="00AC249E"/>
    <w:pPr>
      <w:ind w:left="4536"/>
    </w:pPr>
    <w:rPr>
      <w:i/>
      <w:spacing w:val="-2"/>
    </w:rPr>
  </w:style>
  <w:style w:type="character" w:customStyle="1" w:styleId="decChar">
    <w:name w:val="dec Char"/>
    <w:basedOn w:val="DefaultParagraphFont"/>
    <w:link w:val="dec"/>
    <w:rsid w:val="00AC249E"/>
    <w:rPr>
      <w:rFonts w:ascii="Arial" w:hAnsi="Arial"/>
      <w:i/>
      <w:spacing w:val="-2"/>
    </w:rPr>
  </w:style>
  <w:style w:type="paragraph" w:customStyle="1" w:styleId="EndOfDoc0">
    <w:name w:val="EndOfDoc"/>
    <w:basedOn w:val="Normal"/>
    <w:rsid w:val="00AC249E"/>
    <w:pPr>
      <w:ind w:left="4536"/>
      <w:jc w:val="center"/>
    </w:pPr>
    <w:rPr>
      <w:rFonts w:ascii="Times New Roman" w:hAnsi="Times New Roman"/>
      <w:sz w:val="24"/>
    </w:rPr>
  </w:style>
  <w:style w:type="paragraph" w:customStyle="1" w:styleId="decisionpara">
    <w:name w:val="decision para"/>
    <w:basedOn w:val="Normal"/>
    <w:rsid w:val="00AC249E"/>
    <w:pPr>
      <w:spacing w:line="240" w:lineRule="atLeast"/>
      <w:ind w:left="4536"/>
      <w:outlineLvl w:val="0"/>
    </w:pPr>
    <w:rPr>
      <w:rFonts w:ascii="Times New Roman" w:hAnsi="Times New Roman"/>
      <w:i/>
      <w:sz w:val="24"/>
    </w:rPr>
  </w:style>
  <w:style w:type="paragraph" w:styleId="TOC6">
    <w:name w:val="toc 6"/>
    <w:basedOn w:val="Normal"/>
    <w:next w:val="Normal"/>
    <w:autoRedefine/>
    <w:rsid w:val="00AC249E"/>
    <w:pPr>
      <w:ind w:left="1200"/>
    </w:pPr>
  </w:style>
  <w:style w:type="paragraph" w:styleId="E-mailSignature">
    <w:name w:val="E-mail Signature"/>
    <w:basedOn w:val="Normal"/>
    <w:link w:val="E-mailSignatureChar"/>
    <w:rsid w:val="00AC249E"/>
  </w:style>
  <w:style w:type="character" w:customStyle="1" w:styleId="E-mailSignatureChar">
    <w:name w:val="E-mail Signature Char"/>
    <w:basedOn w:val="DefaultParagraphFont"/>
    <w:link w:val="E-mailSignature"/>
    <w:rsid w:val="00AC249E"/>
    <w:rPr>
      <w:rFonts w:ascii="Arial" w:hAnsi="Arial"/>
    </w:rPr>
  </w:style>
  <w:style w:type="character" w:styleId="Emphasis">
    <w:name w:val="Emphasis"/>
    <w:basedOn w:val="DefaultParagraphFont"/>
    <w:qFormat/>
    <w:rsid w:val="00AC249E"/>
    <w:rPr>
      <w:i/>
      <w:iCs/>
    </w:rPr>
  </w:style>
  <w:style w:type="paragraph" w:styleId="EnvelopeAddress">
    <w:name w:val="envelope address"/>
    <w:basedOn w:val="Normal"/>
    <w:rsid w:val="00AC249E"/>
    <w:pPr>
      <w:framePr w:w="7920" w:h="1980" w:hRule="exact" w:hSpace="180" w:wrap="auto" w:hAnchor="page" w:xAlign="center" w:yAlign="bottom"/>
      <w:ind w:left="2880"/>
    </w:pPr>
    <w:rPr>
      <w:rFonts w:cs="Arial"/>
      <w:szCs w:val="24"/>
    </w:rPr>
  </w:style>
  <w:style w:type="paragraph" w:styleId="EnvelopeReturn">
    <w:name w:val="envelope return"/>
    <w:basedOn w:val="Normal"/>
    <w:rsid w:val="00AC249E"/>
    <w:rPr>
      <w:rFonts w:cs="Arial"/>
    </w:rPr>
  </w:style>
  <w:style w:type="character" w:styleId="HTMLAcronym">
    <w:name w:val="HTML Acronym"/>
    <w:basedOn w:val="DefaultParagraphFont"/>
    <w:rsid w:val="00AC249E"/>
  </w:style>
  <w:style w:type="paragraph" w:styleId="HTMLAddress">
    <w:name w:val="HTML Address"/>
    <w:basedOn w:val="Normal"/>
    <w:link w:val="HTMLAddressChar"/>
    <w:rsid w:val="00AC249E"/>
    <w:rPr>
      <w:i/>
      <w:iCs/>
    </w:rPr>
  </w:style>
  <w:style w:type="character" w:customStyle="1" w:styleId="HTMLAddressChar">
    <w:name w:val="HTML Address Char"/>
    <w:basedOn w:val="DefaultParagraphFont"/>
    <w:link w:val="HTMLAddress"/>
    <w:rsid w:val="00AC249E"/>
    <w:rPr>
      <w:rFonts w:ascii="Arial" w:hAnsi="Arial"/>
      <w:i/>
      <w:iCs/>
    </w:rPr>
  </w:style>
  <w:style w:type="character" w:styleId="HTMLCite">
    <w:name w:val="HTML Cite"/>
    <w:basedOn w:val="DefaultParagraphFont"/>
    <w:rsid w:val="00AC249E"/>
    <w:rPr>
      <w:i/>
      <w:iCs/>
    </w:rPr>
  </w:style>
  <w:style w:type="character" w:styleId="HTMLCode">
    <w:name w:val="HTML Code"/>
    <w:basedOn w:val="DefaultParagraphFont"/>
    <w:rsid w:val="00AC249E"/>
    <w:rPr>
      <w:rFonts w:ascii="Courier New" w:hAnsi="Courier New" w:cs="Courier New"/>
      <w:sz w:val="20"/>
      <w:szCs w:val="20"/>
    </w:rPr>
  </w:style>
  <w:style w:type="character" w:styleId="HTMLDefinition">
    <w:name w:val="HTML Definition"/>
    <w:basedOn w:val="DefaultParagraphFont"/>
    <w:rsid w:val="00AC249E"/>
    <w:rPr>
      <w:i/>
      <w:iCs/>
    </w:rPr>
  </w:style>
  <w:style w:type="character" w:styleId="HTMLKeyboard">
    <w:name w:val="HTML Keyboard"/>
    <w:basedOn w:val="DefaultParagraphFont"/>
    <w:rsid w:val="00AC249E"/>
    <w:rPr>
      <w:rFonts w:ascii="Courier New" w:hAnsi="Courier New" w:cs="Courier New"/>
      <w:sz w:val="20"/>
      <w:szCs w:val="20"/>
    </w:rPr>
  </w:style>
  <w:style w:type="paragraph" w:styleId="HTMLPreformatted">
    <w:name w:val="HTML Preformatted"/>
    <w:basedOn w:val="Normal"/>
    <w:link w:val="HTMLPreformattedChar"/>
    <w:rsid w:val="00AC249E"/>
    <w:rPr>
      <w:rFonts w:ascii="Courier New" w:hAnsi="Courier New" w:cs="Courier New"/>
    </w:rPr>
  </w:style>
  <w:style w:type="character" w:customStyle="1" w:styleId="HTMLPreformattedChar">
    <w:name w:val="HTML Preformatted Char"/>
    <w:basedOn w:val="DefaultParagraphFont"/>
    <w:link w:val="HTMLPreformatted"/>
    <w:rsid w:val="00AC249E"/>
    <w:rPr>
      <w:rFonts w:ascii="Courier New" w:hAnsi="Courier New" w:cs="Courier New"/>
    </w:rPr>
  </w:style>
  <w:style w:type="character" w:styleId="HTMLSample">
    <w:name w:val="HTML Sample"/>
    <w:basedOn w:val="DefaultParagraphFont"/>
    <w:rsid w:val="00AC249E"/>
    <w:rPr>
      <w:rFonts w:ascii="Courier New" w:hAnsi="Courier New" w:cs="Courier New"/>
    </w:rPr>
  </w:style>
  <w:style w:type="character" w:styleId="HTMLTypewriter">
    <w:name w:val="HTML Typewriter"/>
    <w:basedOn w:val="DefaultParagraphFont"/>
    <w:rsid w:val="00AC249E"/>
    <w:rPr>
      <w:rFonts w:ascii="Courier New" w:hAnsi="Courier New" w:cs="Courier New"/>
      <w:sz w:val="20"/>
      <w:szCs w:val="20"/>
    </w:rPr>
  </w:style>
  <w:style w:type="character" w:styleId="HTMLVariable">
    <w:name w:val="HTML Variable"/>
    <w:basedOn w:val="DefaultParagraphFont"/>
    <w:rsid w:val="00AC249E"/>
    <w:rPr>
      <w:i/>
      <w:iCs/>
    </w:rPr>
  </w:style>
  <w:style w:type="character" w:styleId="LineNumber">
    <w:name w:val="line number"/>
    <w:basedOn w:val="DefaultParagraphFont"/>
    <w:rsid w:val="00AC249E"/>
  </w:style>
  <w:style w:type="paragraph" w:styleId="List">
    <w:name w:val="List"/>
    <w:basedOn w:val="Normal"/>
    <w:rsid w:val="00AC249E"/>
    <w:pPr>
      <w:ind w:left="360" w:hanging="360"/>
    </w:pPr>
  </w:style>
  <w:style w:type="paragraph" w:styleId="List2">
    <w:name w:val="List 2"/>
    <w:basedOn w:val="Normal"/>
    <w:rsid w:val="00AC249E"/>
    <w:pPr>
      <w:ind w:left="720" w:hanging="360"/>
    </w:pPr>
  </w:style>
  <w:style w:type="paragraph" w:styleId="List3">
    <w:name w:val="List 3"/>
    <w:basedOn w:val="Normal"/>
    <w:rsid w:val="00AC249E"/>
    <w:pPr>
      <w:ind w:left="1080" w:hanging="360"/>
    </w:pPr>
  </w:style>
  <w:style w:type="paragraph" w:styleId="List4">
    <w:name w:val="List 4"/>
    <w:basedOn w:val="Normal"/>
    <w:rsid w:val="00AC249E"/>
    <w:pPr>
      <w:ind w:left="1440" w:hanging="360"/>
    </w:pPr>
  </w:style>
  <w:style w:type="paragraph" w:styleId="List5">
    <w:name w:val="List 5"/>
    <w:basedOn w:val="Normal"/>
    <w:rsid w:val="00AC249E"/>
    <w:pPr>
      <w:ind w:left="1800" w:hanging="360"/>
    </w:pPr>
  </w:style>
  <w:style w:type="paragraph" w:styleId="ListBullet2">
    <w:name w:val="List Bullet 2"/>
    <w:basedOn w:val="Normal"/>
    <w:rsid w:val="00AC249E"/>
    <w:pPr>
      <w:tabs>
        <w:tab w:val="num" w:pos="720"/>
      </w:tabs>
      <w:ind w:left="720" w:hanging="360"/>
    </w:pPr>
  </w:style>
  <w:style w:type="paragraph" w:styleId="ListBullet3">
    <w:name w:val="List Bullet 3"/>
    <w:basedOn w:val="Normal"/>
    <w:rsid w:val="00AC249E"/>
    <w:pPr>
      <w:tabs>
        <w:tab w:val="num" w:pos="1080"/>
      </w:tabs>
      <w:ind w:left="1080" w:hanging="360"/>
    </w:pPr>
  </w:style>
  <w:style w:type="paragraph" w:styleId="ListBullet4">
    <w:name w:val="List Bullet 4"/>
    <w:basedOn w:val="Normal"/>
    <w:rsid w:val="00AC249E"/>
    <w:pPr>
      <w:tabs>
        <w:tab w:val="num" w:pos="1440"/>
      </w:tabs>
      <w:ind w:left="1440" w:hanging="360"/>
    </w:pPr>
  </w:style>
  <w:style w:type="paragraph" w:styleId="ListBullet5">
    <w:name w:val="List Bullet 5"/>
    <w:basedOn w:val="Normal"/>
    <w:rsid w:val="00AC249E"/>
    <w:pPr>
      <w:tabs>
        <w:tab w:val="num" w:pos="1800"/>
      </w:tabs>
      <w:ind w:left="1800" w:hanging="360"/>
    </w:pPr>
  </w:style>
  <w:style w:type="paragraph" w:styleId="ListContinue">
    <w:name w:val="List Continue"/>
    <w:basedOn w:val="Normal"/>
    <w:rsid w:val="00AC249E"/>
    <w:pPr>
      <w:spacing w:after="120"/>
      <w:ind w:left="360"/>
    </w:pPr>
  </w:style>
  <w:style w:type="paragraph" w:styleId="ListContinue2">
    <w:name w:val="List Continue 2"/>
    <w:basedOn w:val="Normal"/>
    <w:rsid w:val="00AC249E"/>
    <w:pPr>
      <w:spacing w:after="120"/>
      <w:ind w:left="720"/>
    </w:pPr>
  </w:style>
  <w:style w:type="paragraph" w:styleId="ListContinue3">
    <w:name w:val="List Continue 3"/>
    <w:basedOn w:val="Normal"/>
    <w:rsid w:val="00AC249E"/>
    <w:pPr>
      <w:spacing w:after="120"/>
      <w:ind w:left="1080"/>
    </w:pPr>
  </w:style>
  <w:style w:type="paragraph" w:styleId="ListContinue4">
    <w:name w:val="List Continue 4"/>
    <w:basedOn w:val="Normal"/>
    <w:rsid w:val="00AC249E"/>
    <w:pPr>
      <w:spacing w:after="120"/>
      <w:ind w:left="1440"/>
    </w:pPr>
  </w:style>
  <w:style w:type="paragraph" w:styleId="ListContinue5">
    <w:name w:val="List Continue 5"/>
    <w:basedOn w:val="Normal"/>
    <w:rsid w:val="00AC249E"/>
    <w:pPr>
      <w:spacing w:after="120"/>
      <w:ind w:left="1800"/>
    </w:pPr>
  </w:style>
  <w:style w:type="paragraph" w:styleId="ListNumber">
    <w:name w:val="List Number"/>
    <w:basedOn w:val="Normal"/>
    <w:rsid w:val="00AC249E"/>
    <w:pPr>
      <w:tabs>
        <w:tab w:val="num" w:pos="360"/>
      </w:tabs>
      <w:ind w:left="360" w:hanging="360"/>
    </w:pPr>
  </w:style>
  <w:style w:type="paragraph" w:styleId="ListNumber2">
    <w:name w:val="List Number 2"/>
    <w:basedOn w:val="Normal"/>
    <w:rsid w:val="00AC249E"/>
    <w:pPr>
      <w:tabs>
        <w:tab w:val="num" w:pos="720"/>
      </w:tabs>
      <w:ind w:left="720" w:hanging="360"/>
    </w:pPr>
  </w:style>
  <w:style w:type="paragraph" w:styleId="ListNumber3">
    <w:name w:val="List Number 3"/>
    <w:basedOn w:val="Normal"/>
    <w:rsid w:val="00AC249E"/>
    <w:pPr>
      <w:tabs>
        <w:tab w:val="num" w:pos="1080"/>
      </w:tabs>
      <w:ind w:left="1080" w:hanging="360"/>
    </w:pPr>
  </w:style>
  <w:style w:type="paragraph" w:styleId="ListNumber4">
    <w:name w:val="List Number 4"/>
    <w:basedOn w:val="Normal"/>
    <w:rsid w:val="00AC249E"/>
    <w:pPr>
      <w:tabs>
        <w:tab w:val="num" w:pos="1440"/>
      </w:tabs>
      <w:ind w:left="1440" w:hanging="360"/>
    </w:pPr>
  </w:style>
  <w:style w:type="paragraph" w:styleId="ListNumber5">
    <w:name w:val="List Number 5"/>
    <w:basedOn w:val="Normal"/>
    <w:rsid w:val="00AC249E"/>
    <w:pPr>
      <w:tabs>
        <w:tab w:val="num" w:pos="1800"/>
      </w:tabs>
      <w:ind w:left="1800" w:hanging="360"/>
    </w:pPr>
  </w:style>
  <w:style w:type="paragraph" w:styleId="MessageHeader">
    <w:name w:val="Message Header"/>
    <w:basedOn w:val="Normal"/>
    <w:link w:val="MessageHeaderChar"/>
    <w:rsid w:val="00AC249E"/>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AC249E"/>
    <w:rPr>
      <w:rFonts w:ascii="Arial" w:hAnsi="Arial" w:cs="Arial"/>
      <w:szCs w:val="24"/>
      <w:shd w:val="pct20" w:color="auto" w:fill="auto"/>
    </w:rPr>
  </w:style>
  <w:style w:type="paragraph" w:styleId="NoteHeading">
    <w:name w:val="Note Heading"/>
    <w:basedOn w:val="Normal"/>
    <w:next w:val="Normal"/>
    <w:link w:val="NoteHeadingChar"/>
    <w:rsid w:val="00AC249E"/>
  </w:style>
  <w:style w:type="character" w:customStyle="1" w:styleId="NoteHeadingChar">
    <w:name w:val="Note Heading Char"/>
    <w:basedOn w:val="DefaultParagraphFont"/>
    <w:link w:val="NoteHeading"/>
    <w:rsid w:val="00AC249E"/>
    <w:rPr>
      <w:rFonts w:ascii="Arial" w:hAnsi="Arial"/>
    </w:rPr>
  </w:style>
  <w:style w:type="paragraph" w:styleId="Salutation">
    <w:name w:val="Salutation"/>
    <w:basedOn w:val="Normal"/>
    <w:next w:val="Normal"/>
    <w:link w:val="SalutationChar"/>
    <w:rsid w:val="00AC249E"/>
  </w:style>
  <w:style w:type="character" w:customStyle="1" w:styleId="SalutationChar">
    <w:name w:val="Salutation Char"/>
    <w:basedOn w:val="DefaultParagraphFont"/>
    <w:link w:val="Salutation"/>
    <w:rsid w:val="00AC249E"/>
    <w:rPr>
      <w:rFonts w:ascii="Arial" w:hAnsi="Arial"/>
    </w:rPr>
  </w:style>
  <w:style w:type="character" w:styleId="Strong">
    <w:name w:val="Strong"/>
    <w:basedOn w:val="DefaultParagraphFont"/>
    <w:qFormat/>
    <w:rsid w:val="00AC249E"/>
    <w:rPr>
      <w:b/>
      <w:bCs/>
    </w:rPr>
  </w:style>
  <w:style w:type="paragraph" w:styleId="Subtitle">
    <w:name w:val="Subtitle"/>
    <w:basedOn w:val="Normal"/>
    <w:link w:val="SubtitleChar"/>
    <w:qFormat/>
    <w:rsid w:val="00AC249E"/>
    <w:pPr>
      <w:spacing w:after="60"/>
      <w:jc w:val="center"/>
      <w:outlineLvl w:val="1"/>
    </w:pPr>
    <w:rPr>
      <w:rFonts w:cs="Arial"/>
      <w:szCs w:val="24"/>
    </w:rPr>
  </w:style>
  <w:style w:type="character" w:customStyle="1" w:styleId="SubtitleChar">
    <w:name w:val="Subtitle Char"/>
    <w:basedOn w:val="DefaultParagraphFont"/>
    <w:link w:val="Subtitle"/>
    <w:rsid w:val="00AC249E"/>
    <w:rPr>
      <w:rFonts w:ascii="Arial" w:hAnsi="Arial" w:cs="Arial"/>
      <w:szCs w:val="24"/>
    </w:rPr>
  </w:style>
  <w:style w:type="paragraph" w:styleId="TOC7">
    <w:name w:val="toc 7"/>
    <w:basedOn w:val="Normal"/>
    <w:next w:val="Normal"/>
    <w:autoRedefine/>
    <w:rsid w:val="00AC249E"/>
    <w:pPr>
      <w:ind w:left="1440"/>
    </w:pPr>
  </w:style>
  <w:style w:type="paragraph" w:styleId="TOC8">
    <w:name w:val="toc 8"/>
    <w:basedOn w:val="Normal"/>
    <w:next w:val="Normal"/>
    <w:autoRedefine/>
    <w:rsid w:val="00AC249E"/>
    <w:pPr>
      <w:ind w:left="1680"/>
    </w:pPr>
  </w:style>
  <w:style w:type="paragraph" w:styleId="TOC9">
    <w:name w:val="toc 9"/>
    <w:basedOn w:val="Normal"/>
    <w:next w:val="Normal"/>
    <w:autoRedefine/>
    <w:rsid w:val="00AC249E"/>
    <w:pPr>
      <w:ind w:left="1920"/>
    </w:pPr>
  </w:style>
  <w:style w:type="paragraph" w:styleId="Caption">
    <w:name w:val="caption"/>
    <w:basedOn w:val="Normal"/>
    <w:next w:val="Normal"/>
    <w:qFormat/>
    <w:rsid w:val="00AC249E"/>
    <w:pPr>
      <w:framePr w:w="11102" w:hSpace="181" w:wrap="around" w:vAnchor="page" w:hAnchor="page" w:x="438" w:y="15985" w:anchorLock="1"/>
      <w:jc w:val="center"/>
    </w:pPr>
    <w:rPr>
      <w:b/>
      <w:snapToGrid w:val="0"/>
    </w:rPr>
  </w:style>
  <w:style w:type="character" w:styleId="CommentReference">
    <w:name w:val="annotation reference"/>
    <w:basedOn w:val="DefaultParagraphFont"/>
    <w:rsid w:val="00AC249E"/>
    <w:rPr>
      <w:rFonts w:cs="Times New Roman"/>
      <w:sz w:val="16"/>
      <w:szCs w:val="16"/>
    </w:rPr>
  </w:style>
  <w:style w:type="paragraph" w:styleId="CommentSubject">
    <w:name w:val="annotation subject"/>
    <w:basedOn w:val="CommentText"/>
    <w:next w:val="CommentText"/>
    <w:link w:val="CommentSubjectChar"/>
    <w:rsid w:val="00AC249E"/>
    <w:rPr>
      <w:b/>
      <w:bCs/>
    </w:rPr>
  </w:style>
  <w:style w:type="character" w:customStyle="1" w:styleId="CommentSubjectChar">
    <w:name w:val="Comment Subject Char"/>
    <w:basedOn w:val="CommentTextChar"/>
    <w:link w:val="CommentSubject"/>
    <w:rsid w:val="00AC249E"/>
    <w:rPr>
      <w:rFonts w:ascii="Arial" w:hAnsi="Arial"/>
      <w:b/>
      <w:bCs/>
      <w:sz w:val="22"/>
      <w:lang w:val="es-ES_tradnl"/>
    </w:rPr>
  </w:style>
  <w:style w:type="paragraph" w:customStyle="1" w:styleId="Normaltg">
    <w:name w:val="Normaltg"/>
    <w:basedOn w:val="Normal"/>
    <w:link w:val="NormaltgChar"/>
    <w:rsid w:val="00AC249E"/>
    <w:rPr>
      <w:rFonts w:cs="Angsana New"/>
      <w:szCs w:val="24"/>
      <w:lang w:eastAsia="ja-JP" w:bidi="th-TH"/>
    </w:rPr>
  </w:style>
  <w:style w:type="character" w:customStyle="1" w:styleId="NormaltgChar">
    <w:name w:val="Normaltg Char"/>
    <w:link w:val="Normaltg"/>
    <w:rsid w:val="00AC249E"/>
    <w:rPr>
      <w:rFonts w:ascii="Arial" w:hAnsi="Arial" w:cs="Angsana New"/>
      <w:szCs w:val="24"/>
      <w:lang w:eastAsia="ja-JP" w:bidi="th-TH"/>
    </w:rPr>
  </w:style>
  <w:style w:type="character" w:customStyle="1" w:styleId="hps">
    <w:name w:val="hps"/>
    <w:basedOn w:val="DefaultParagraphFont"/>
    <w:rsid w:val="00AC249E"/>
  </w:style>
  <w:style w:type="character" w:customStyle="1" w:styleId="Standaardalinea-lettertype">
    <w:name w:val="Standaardalinea-lettertype"/>
    <w:rsid w:val="00AC249E"/>
  </w:style>
  <w:style w:type="paragraph" w:customStyle="1" w:styleId="quote1">
    <w:name w:val="quote1"/>
    <w:basedOn w:val="Normal"/>
    <w:semiHidden/>
    <w:rsid w:val="00AF7A00"/>
    <w:pPr>
      <w:ind w:left="567" w:right="565" w:firstLine="567"/>
    </w:pPr>
    <w:rPr>
      <w:snapToGrid w:val="0"/>
      <w:sz w:val="22"/>
      <w:szCs w:val="22"/>
    </w:rPr>
  </w:style>
  <w:style w:type="table" w:styleId="Table3Deffects1">
    <w:name w:val="Table 3D effects 1"/>
    <w:basedOn w:val="TableNormal"/>
    <w:rsid w:val="00AF7A0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F7A0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F7A0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F7A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F7A0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F7A0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F7A0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F7A0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F7A0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F7A0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F7A0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F7A0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F7A0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F7A0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F7A0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F7A0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F7A0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F7A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F7A0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F7A0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F7A0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F7A0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F7A0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F7A0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F7A0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F7A0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F7A0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F7A0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F7A0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F7A0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F7A0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F7A0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F7A0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F7A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F7A0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F7A0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F7A0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F7A0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F7A0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F7A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F7A0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F7A0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F7A0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hapter">
    <w:name w:val="Chapter"/>
    <w:basedOn w:val="Normal"/>
    <w:semiHidden/>
    <w:rsid w:val="00AF7A00"/>
    <w:pPr>
      <w:jc w:val="center"/>
    </w:pPr>
    <w:rPr>
      <w:b/>
      <w:caps/>
      <w:szCs w:val="24"/>
    </w:rPr>
  </w:style>
  <w:style w:type="paragraph" w:customStyle="1" w:styleId="Notetoarticle">
    <w:name w:val="Note to article"/>
    <w:basedOn w:val="Normal"/>
    <w:semiHidden/>
    <w:rsid w:val="00AF7A00"/>
  </w:style>
  <w:style w:type="paragraph" w:styleId="Revision">
    <w:name w:val="Revision"/>
    <w:hidden/>
    <w:uiPriority w:val="99"/>
    <w:semiHidden/>
    <w:rsid w:val="00AF7A00"/>
    <w:rPr>
      <w:rFonts w:ascii="Arial" w:hAnsi="Arial"/>
    </w:rPr>
  </w:style>
  <w:style w:type="character" w:customStyle="1" w:styleId="shorttext">
    <w:name w:val="short_text"/>
    <w:basedOn w:val="DefaultParagraphFont"/>
    <w:rsid w:val="00AF7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9\templates\C_49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C_49_FR</Template>
  <TotalTime>93</TotalTime>
  <Pages>37</Pages>
  <Words>18104</Words>
  <Characters>103968</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C/49/10</vt:lpstr>
    </vt:vector>
  </TitlesOfParts>
  <Company>UPOV</Company>
  <LinksUpToDate>false</LinksUpToDate>
  <CharactersWithSpaces>121829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C/49/10</dc:title>
  <dc:creator>SANCHEZ-VIZCAINO GOMEZ Rosa Maria</dc:creator>
  <cp:lastModifiedBy>GIACHINO Erika</cp:lastModifiedBy>
  <cp:revision>29</cp:revision>
  <cp:lastPrinted>2015-08-25T15:39:00Z</cp:lastPrinted>
  <dcterms:created xsi:type="dcterms:W3CDTF">2015-08-21T16:12:00Z</dcterms:created>
  <dcterms:modified xsi:type="dcterms:W3CDTF">2015-09-14T14:10:00Z</dcterms:modified>
</cp:coreProperties>
</file>