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3"/>
        <w:gridCol w:w="1646"/>
        <w:gridCol w:w="4242"/>
      </w:tblGrid>
      <w:tr w:rsidR="00644236" w:rsidRPr="00B87E09" w:rsidTr="007536F5">
        <w:trPr>
          <w:trHeight w:val="1760"/>
        </w:trPr>
        <w:tc>
          <w:tcPr>
            <w:tcW w:w="4243" w:type="dxa"/>
          </w:tcPr>
          <w:p w:rsidR="00644236" w:rsidRPr="00B87E09" w:rsidRDefault="00644236" w:rsidP="007536F5">
            <w:pPr>
              <w:rPr>
                <w:lang w:val="fr-FR"/>
              </w:rPr>
            </w:pPr>
          </w:p>
        </w:tc>
        <w:tc>
          <w:tcPr>
            <w:tcW w:w="1646" w:type="dxa"/>
            <w:vAlign w:val="center"/>
          </w:tcPr>
          <w:p w:rsidR="00644236" w:rsidRPr="00B87E09" w:rsidRDefault="00644236" w:rsidP="007536F5">
            <w:pPr>
              <w:pStyle w:val="LogoUPOV"/>
              <w:rPr>
                <w:lang w:val="fr-FR"/>
              </w:rPr>
            </w:pPr>
            <w:r w:rsidRPr="00B87E09">
              <w:rPr>
                <w:noProof/>
              </w:rPr>
              <w:drawing>
                <wp:inline distT="0" distB="0" distL="0" distR="0" wp14:anchorId="09FA4A58" wp14:editId="6202CA3D">
                  <wp:extent cx="981710" cy="481330"/>
                  <wp:effectExtent l="0" t="0" r="889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81710" cy="481330"/>
                          </a:xfrm>
                          <a:prstGeom prst="rect">
                            <a:avLst/>
                          </a:prstGeom>
                          <a:noFill/>
                        </pic:spPr>
                      </pic:pic>
                    </a:graphicData>
                  </a:graphic>
                </wp:inline>
              </w:drawing>
            </w:r>
          </w:p>
        </w:tc>
        <w:tc>
          <w:tcPr>
            <w:tcW w:w="4242" w:type="dxa"/>
            <w:vAlign w:val="center"/>
          </w:tcPr>
          <w:p w:rsidR="00644236" w:rsidRPr="00B9187D" w:rsidRDefault="00644236" w:rsidP="007536F5">
            <w:pPr>
              <w:pStyle w:val="Lettrine"/>
              <w:rPr>
                <w:lang w:val="fr-FR"/>
              </w:rPr>
            </w:pPr>
            <w:r w:rsidRPr="00B9187D">
              <w:rPr>
                <w:lang w:val="fr-FR"/>
              </w:rPr>
              <w:t>F</w:t>
            </w:r>
          </w:p>
          <w:p w:rsidR="00644236" w:rsidRPr="00B9187D" w:rsidRDefault="00644236" w:rsidP="007536F5">
            <w:pPr>
              <w:pStyle w:val="Docoriginal"/>
              <w:rPr>
                <w:lang w:val="fr-FR"/>
              </w:rPr>
            </w:pPr>
            <w:r w:rsidRPr="00B9187D">
              <w:rPr>
                <w:lang w:val="fr-FR"/>
              </w:rPr>
              <w:t>C/48/</w:t>
            </w:r>
            <w:bookmarkStart w:id="0" w:name="Code"/>
            <w:bookmarkEnd w:id="0"/>
            <w:r w:rsidRPr="00B9187D">
              <w:rPr>
                <w:lang w:val="fr-FR"/>
              </w:rPr>
              <w:t>9</w:t>
            </w:r>
          </w:p>
          <w:p w:rsidR="00644236" w:rsidRPr="00B9187D" w:rsidRDefault="00644236" w:rsidP="007536F5">
            <w:pPr>
              <w:pStyle w:val="Docoriginal"/>
              <w:rPr>
                <w:b w:val="0"/>
                <w:spacing w:val="0"/>
                <w:lang w:val="fr-FR"/>
              </w:rPr>
            </w:pPr>
            <w:r w:rsidRPr="00B9187D">
              <w:rPr>
                <w:rStyle w:val="StyleDoclangBold"/>
                <w:b/>
                <w:bCs/>
                <w:spacing w:val="0"/>
                <w:lang w:val="fr-FR"/>
              </w:rPr>
              <w:t>ORIGINAL :</w:t>
            </w:r>
            <w:r w:rsidRPr="00B9187D">
              <w:rPr>
                <w:rStyle w:val="StyleDocoriginalNotBold1"/>
                <w:spacing w:val="0"/>
                <w:lang w:val="fr-FR"/>
              </w:rPr>
              <w:t xml:space="preserve"> </w:t>
            </w:r>
            <w:bookmarkStart w:id="1" w:name="Original"/>
            <w:bookmarkEnd w:id="1"/>
            <w:r w:rsidRPr="00B9187D">
              <w:rPr>
                <w:b w:val="0"/>
                <w:spacing w:val="0"/>
                <w:lang w:val="fr-FR"/>
              </w:rPr>
              <w:t>anglais</w:t>
            </w:r>
          </w:p>
          <w:p w:rsidR="00644236" w:rsidRPr="00B9187D" w:rsidRDefault="00644236" w:rsidP="00644236">
            <w:pPr>
              <w:pStyle w:val="Docoriginal"/>
              <w:rPr>
                <w:lang w:val="fr-FR"/>
              </w:rPr>
            </w:pPr>
            <w:r w:rsidRPr="00B9187D">
              <w:rPr>
                <w:spacing w:val="0"/>
                <w:lang w:val="fr-FR"/>
              </w:rPr>
              <w:t>DATE :</w:t>
            </w:r>
            <w:r w:rsidRPr="00B9187D">
              <w:rPr>
                <w:rStyle w:val="StyleDocoriginalNotBold1"/>
                <w:spacing w:val="0"/>
                <w:lang w:val="fr-FR"/>
              </w:rPr>
              <w:t xml:space="preserve"> </w:t>
            </w:r>
            <w:bookmarkStart w:id="2" w:name="Date"/>
            <w:bookmarkEnd w:id="2"/>
            <w:r w:rsidR="00B9187D" w:rsidRPr="00B9187D">
              <w:rPr>
                <w:rStyle w:val="StyleDocoriginalNotBold1"/>
                <w:spacing w:val="0"/>
                <w:lang w:val="fr-FR"/>
              </w:rPr>
              <w:t>7</w:t>
            </w:r>
            <w:r w:rsidRPr="00B9187D">
              <w:rPr>
                <w:b w:val="0"/>
                <w:spacing w:val="0"/>
                <w:lang w:val="fr-FR"/>
              </w:rPr>
              <w:t> août 2014</w:t>
            </w:r>
          </w:p>
        </w:tc>
      </w:tr>
      <w:tr w:rsidR="00644236" w:rsidRPr="00B87E09" w:rsidTr="007536F5">
        <w:tc>
          <w:tcPr>
            <w:tcW w:w="10131" w:type="dxa"/>
            <w:gridSpan w:val="3"/>
          </w:tcPr>
          <w:p w:rsidR="00644236" w:rsidRPr="00B87E09" w:rsidRDefault="00644236" w:rsidP="007536F5">
            <w:pPr>
              <w:pStyle w:val="upove"/>
              <w:rPr>
                <w:sz w:val="28"/>
                <w:lang w:val="fr-FR"/>
              </w:rPr>
            </w:pPr>
            <w:r w:rsidRPr="00B87E09">
              <w:rPr>
                <w:spacing w:val="6"/>
                <w:lang w:val="fr-FR"/>
              </w:rPr>
              <w:t>UNION INTERNATIONALE POUR LA PROTECTION DES OBTENTIONS VÉGÉTALES</w:t>
            </w:r>
          </w:p>
        </w:tc>
      </w:tr>
      <w:tr w:rsidR="00644236" w:rsidRPr="00B87E09" w:rsidTr="007536F5">
        <w:tc>
          <w:tcPr>
            <w:tcW w:w="10131" w:type="dxa"/>
            <w:gridSpan w:val="3"/>
          </w:tcPr>
          <w:p w:rsidR="00644236" w:rsidRPr="00B87E09" w:rsidRDefault="00644236" w:rsidP="007536F5">
            <w:pPr>
              <w:pStyle w:val="Country"/>
              <w:rPr>
                <w:lang w:val="fr-FR"/>
              </w:rPr>
            </w:pPr>
            <w:r w:rsidRPr="00B87E09">
              <w:rPr>
                <w:lang w:val="fr-FR"/>
              </w:rPr>
              <w:t>Genève</w:t>
            </w:r>
          </w:p>
        </w:tc>
      </w:tr>
    </w:tbl>
    <w:p w:rsidR="00644236" w:rsidRPr="00B87E09" w:rsidRDefault="00644236" w:rsidP="00644236">
      <w:pPr>
        <w:pStyle w:val="Sessiontc"/>
        <w:rPr>
          <w:lang w:val="fr-FR"/>
        </w:rPr>
      </w:pPr>
      <w:r w:rsidRPr="00B87E09">
        <w:rPr>
          <w:lang w:val="fr-FR"/>
        </w:rPr>
        <w:t>CONSEIL</w:t>
      </w:r>
    </w:p>
    <w:p w:rsidR="00644236" w:rsidRPr="00B87E09" w:rsidRDefault="00644236" w:rsidP="00644236">
      <w:pPr>
        <w:pStyle w:val="Sessiontcplacedate"/>
        <w:rPr>
          <w:lang w:val="fr-FR"/>
        </w:rPr>
      </w:pPr>
      <w:r w:rsidRPr="00B87E09">
        <w:rPr>
          <w:lang w:val="fr-FR"/>
        </w:rPr>
        <w:t>Quarante</w:t>
      </w:r>
      <w:r w:rsidR="00B87E09" w:rsidRPr="00B87E09">
        <w:rPr>
          <w:lang w:val="fr-FR"/>
        </w:rPr>
        <w:noBreakHyphen/>
      </w:r>
      <w:r w:rsidRPr="00B87E09">
        <w:rPr>
          <w:lang w:val="fr-FR"/>
        </w:rPr>
        <w:t>huitième session ordinaire</w:t>
      </w:r>
      <w:r w:rsidRPr="00B87E09">
        <w:rPr>
          <w:lang w:val="fr-FR"/>
        </w:rPr>
        <w:br/>
        <w:t>Genève, 16 octobre 2014</w:t>
      </w:r>
    </w:p>
    <w:p w:rsidR="001342A1" w:rsidRPr="00B87E09" w:rsidRDefault="001342A1" w:rsidP="001342A1">
      <w:pPr>
        <w:pStyle w:val="Titleofdoc0"/>
        <w:rPr>
          <w:lang w:val="fr-FR"/>
        </w:rPr>
      </w:pPr>
      <w:r w:rsidRPr="00B87E09">
        <w:rPr>
          <w:lang w:val="fr-FR"/>
        </w:rPr>
        <w:t>RAPPORT SUR L</w:t>
      </w:r>
      <w:r w:rsidR="00CA38FC" w:rsidRPr="00B87E09">
        <w:rPr>
          <w:lang w:val="fr-FR"/>
        </w:rPr>
        <w:t>’</w:t>
      </w:r>
      <w:r w:rsidR="00462ADE" w:rsidRPr="00B87E09">
        <w:rPr>
          <w:lang w:val="fr-FR"/>
        </w:rPr>
        <w:t>ÉTAT D</w:t>
      </w:r>
      <w:r w:rsidR="00CA38FC" w:rsidRPr="00B87E09">
        <w:rPr>
          <w:lang w:val="fr-FR"/>
        </w:rPr>
        <w:t>’</w:t>
      </w:r>
      <w:r w:rsidR="00462ADE" w:rsidRPr="00B87E09">
        <w:rPr>
          <w:lang w:val="fr-FR"/>
        </w:rPr>
        <w:t xml:space="preserve">AVANCEMENT DES TRAVAUX </w:t>
      </w:r>
      <w:r w:rsidRPr="00B87E09">
        <w:rPr>
          <w:lang w:val="fr-FR"/>
        </w:rPr>
        <w:t>DU COMITÉ ADMINISTRATIF ET JURIDIQUE</w:t>
      </w:r>
    </w:p>
    <w:p w:rsidR="001342A1" w:rsidRPr="00F95C04" w:rsidRDefault="001342A1" w:rsidP="00F95C04">
      <w:pPr>
        <w:pStyle w:val="preparedby1"/>
        <w:rPr>
          <w:color w:val="A6A6A6" w:themeColor="background1" w:themeShade="A6"/>
        </w:rPr>
      </w:pPr>
      <w:bookmarkStart w:id="3" w:name="Prepared"/>
      <w:bookmarkEnd w:id="3"/>
      <w:r w:rsidRPr="00B87E09">
        <w:rPr>
          <w:lang w:val="fr-FR"/>
        </w:rPr>
        <w:t>Document établi par le Bureau de l</w:t>
      </w:r>
      <w:r w:rsidR="00CA38FC" w:rsidRPr="00B87E09">
        <w:rPr>
          <w:lang w:val="fr-FR"/>
        </w:rPr>
        <w:t>’</w:t>
      </w:r>
      <w:r w:rsidRPr="00B87E09">
        <w:rPr>
          <w:lang w:val="fr-FR"/>
        </w:rPr>
        <w:t xml:space="preserve">Union </w:t>
      </w:r>
      <w:r w:rsidR="00E44531" w:rsidRPr="00B87E09">
        <w:rPr>
          <w:lang w:val="fr-FR"/>
        </w:rPr>
        <w:br/>
      </w:r>
      <w:r w:rsidR="00E44531" w:rsidRPr="00B87E09">
        <w:rPr>
          <w:lang w:val="fr-FR"/>
        </w:rPr>
        <w:br/>
      </w:r>
      <w:r w:rsidRPr="00F95C04">
        <w:rPr>
          <w:color w:val="A6A6A6" w:themeColor="background1" w:themeShade="A6"/>
        </w:rPr>
        <w:t>Avertissement : le présent document ne représente pas les principes ou les orientations de l</w:t>
      </w:r>
      <w:r w:rsidR="00CA38FC" w:rsidRPr="00F95C04">
        <w:rPr>
          <w:color w:val="A6A6A6" w:themeColor="background1" w:themeShade="A6"/>
        </w:rPr>
        <w:t>’</w:t>
      </w:r>
      <w:r w:rsidR="00E44531" w:rsidRPr="00F95C04">
        <w:rPr>
          <w:color w:val="A6A6A6" w:themeColor="background1" w:themeShade="A6"/>
        </w:rPr>
        <w:t>UPOV</w:t>
      </w:r>
    </w:p>
    <w:p w:rsidR="001342A1" w:rsidRPr="00B87E09" w:rsidRDefault="00E55E8F" w:rsidP="001342A1">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r>
      <w:r w:rsidR="001342A1" w:rsidRPr="00B87E09">
        <w:rPr>
          <w:lang w:val="fr-FR"/>
        </w:rPr>
        <w:t>Le Comité administratif et juridique (CAJ) a tenu sa soixante</w:t>
      </w:r>
      <w:r w:rsidR="00B87E09" w:rsidRPr="00B87E09">
        <w:rPr>
          <w:lang w:val="fr-FR"/>
        </w:rPr>
        <w:noBreakHyphen/>
      </w:r>
      <w:r w:rsidR="001342A1" w:rsidRPr="00B87E09">
        <w:rPr>
          <w:lang w:val="fr-FR"/>
        </w:rPr>
        <w:t>neuvième session à Genève le 10 avril 2014, sous la présidence de M.</w:t>
      </w:r>
      <w:r w:rsidR="00C54380" w:rsidRPr="00B87E09">
        <w:rPr>
          <w:lang w:val="fr-FR"/>
        </w:rPr>
        <w:t> </w:t>
      </w:r>
      <w:r w:rsidR="001342A1" w:rsidRPr="00B87E09">
        <w:rPr>
          <w:lang w:val="fr-FR"/>
        </w:rPr>
        <w:t>Martin Ekvad (Union européenne).</w:t>
      </w:r>
      <w:r w:rsidR="00EB1143" w:rsidRPr="00B87E09">
        <w:rPr>
          <w:lang w:val="fr-FR"/>
        </w:rPr>
        <w:t xml:space="preserve">  </w:t>
      </w:r>
      <w:r w:rsidR="001342A1" w:rsidRPr="00B87E09">
        <w:rPr>
          <w:lang w:val="fr-FR"/>
        </w:rPr>
        <w:t>À la quarante</w:t>
      </w:r>
      <w:r w:rsidR="00B87E09" w:rsidRPr="00B87E09">
        <w:rPr>
          <w:lang w:val="fr-FR"/>
        </w:rPr>
        <w:noBreakHyphen/>
      </w:r>
      <w:r w:rsidR="001342A1" w:rsidRPr="00B87E09">
        <w:rPr>
          <w:lang w:val="fr-FR"/>
        </w:rPr>
        <w:t>huitième session ordinaire du Conseil, le président du CAJ présentera un rapport verbal sur la soixante</w:t>
      </w:r>
      <w:r w:rsidR="00B87E09" w:rsidRPr="00B87E09">
        <w:rPr>
          <w:lang w:val="fr-FR"/>
        </w:rPr>
        <w:noBreakHyphen/>
      </w:r>
      <w:r w:rsidR="001342A1" w:rsidRPr="00B87E09">
        <w:rPr>
          <w:lang w:val="fr-FR"/>
        </w:rPr>
        <w:t>dixième session du CAJ, prévue à Genève le 13 octobre 2014</w:t>
      </w:r>
      <w:r w:rsidR="00E44531" w:rsidRPr="00B87E09">
        <w:rPr>
          <w:lang w:val="fr-FR"/>
        </w:rPr>
        <w:t>,</w:t>
      </w:r>
      <w:r w:rsidR="001342A1" w:rsidRPr="00B87E09">
        <w:rPr>
          <w:lang w:val="fr-FR"/>
        </w:rPr>
        <w:t xml:space="preserve"> et sur le programme de sa </w:t>
      </w:r>
      <w:r w:rsidR="0085017E">
        <w:rPr>
          <w:lang w:val="fr-FR"/>
        </w:rPr>
        <w:t>soixante et onzième</w:t>
      </w:r>
      <w:r w:rsidR="00C54380" w:rsidRPr="00B87E09">
        <w:rPr>
          <w:lang w:val="fr-FR"/>
        </w:rPr>
        <w:t> </w:t>
      </w:r>
      <w:r w:rsidR="001342A1" w:rsidRPr="00B87E09">
        <w:rPr>
          <w:lang w:val="fr-FR"/>
        </w:rPr>
        <w:t>session.</w:t>
      </w:r>
    </w:p>
    <w:p w:rsidR="001342A1" w:rsidRPr="00B87E09" w:rsidRDefault="001342A1" w:rsidP="00EB1143">
      <w:pPr>
        <w:rPr>
          <w:lang w:val="fr-FR"/>
        </w:rPr>
      </w:pPr>
    </w:p>
    <w:p w:rsidR="001342A1" w:rsidRPr="00B87E09" w:rsidRDefault="001342A1" w:rsidP="00EB1143">
      <w:pPr>
        <w:rPr>
          <w:lang w:val="fr-FR"/>
        </w:rPr>
      </w:pPr>
    </w:p>
    <w:p w:rsidR="001342A1" w:rsidRPr="00B87E09" w:rsidRDefault="001342A1" w:rsidP="001342A1">
      <w:pPr>
        <w:rPr>
          <w:u w:val="single"/>
          <w:lang w:val="fr-FR"/>
        </w:rPr>
      </w:pPr>
      <w:r w:rsidRPr="00B87E09">
        <w:rPr>
          <w:color w:val="000000"/>
          <w:u w:val="single"/>
          <w:lang w:val="fr-FR"/>
        </w:rPr>
        <w:t>Table des matières</w:t>
      </w:r>
    </w:p>
    <w:p w:rsidR="001342A1" w:rsidRPr="00B87E09" w:rsidRDefault="001342A1" w:rsidP="00083942">
      <w:pPr>
        <w:rPr>
          <w:lang w:val="fr-FR"/>
        </w:rPr>
      </w:pPr>
    </w:p>
    <w:p w:rsidR="007070A2" w:rsidRDefault="003526DC">
      <w:pPr>
        <w:pStyle w:val="TOC1"/>
        <w:rPr>
          <w:rFonts w:asciiTheme="minorHAnsi" w:eastAsiaTheme="minorEastAsia" w:hAnsiTheme="minorHAnsi" w:cstheme="minorBidi"/>
          <w:caps w:val="0"/>
          <w:sz w:val="22"/>
          <w:szCs w:val="22"/>
        </w:rPr>
      </w:pPr>
      <w:r w:rsidRPr="00B87E09">
        <w:rPr>
          <w:noProof w:val="0"/>
          <w:lang w:val="fr-FR"/>
        </w:rPr>
        <w:fldChar w:fldCharType="begin"/>
      </w:r>
      <w:r w:rsidRPr="00B87E09">
        <w:rPr>
          <w:noProof w:val="0"/>
          <w:lang w:val="fr-FR"/>
        </w:rPr>
        <w:instrText xml:space="preserve"> TOC \o "1-3" \u </w:instrText>
      </w:r>
      <w:r w:rsidRPr="00B87E09">
        <w:rPr>
          <w:noProof w:val="0"/>
          <w:lang w:val="fr-FR"/>
        </w:rPr>
        <w:fldChar w:fldCharType="separate"/>
      </w:r>
      <w:r w:rsidR="007070A2">
        <w:t>Rapport sur la soixante</w:t>
      </w:r>
      <w:r w:rsidR="007070A2">
        <w:noBreakHyphen/>
        <w:t>neuvième session du CAJ.</w:t>
      </w:r>
      <w:r w:rsidR="007070A2">
        <w:tab/>
      </w:r>
      <w:r w:rsidR="007070A2">
        <w:fldChar w:fldCharType="begin"/>
      </w:r>
      <w:r w:rsidR="007070A2">
        <w:instrText xml:space="preserve"> PAGEREF _Toc398628756 \h </w:instrText>
      </w:r>
      <w:r w:rsidR="007070A2">
        <w:fldChar w:fldCharType="separate"/>
      </w:r>
      <w:r w:rsidR="007070A2">
        <w:t>2</w:t>
      </w:r>
      <w:r w:rsidR="007070A2">
        <w:fldChar w:fldCharType="end"/>
      </w:r>
    </w:p>
    <w:p w:rsidR="007070A2" w:rsidRDefault="007070A2">
      <w:pPr>
        <w:pStyle w:val="TOC3"/>
        <w:rPr>
          <w:rFonts w:asciiTheme="minorHAnsi" w:eastAsiaTheme="minorEastAsia" w:hAnsiTheme="minorHAnsi" w:cstheme="minorBidi"/>
          <w:sz w:val="22"/>
          <w:szCs w:val="22"/>
          <w:lang w:val="en-US"/>
        </w:rPr>
      </w:pPr>
      <w:r>
        <w:t>Rapport sur les faits nouveaux intervenus au sein du Comité technique</w:t>
      </w:r>
      <w:r>
        <w:tab/>
      </w:r>
      <w:r>
        <w:fldChar w:fldCharType="begin"/>
      </w:r>
      <w:r>
        <w:instrText xml:space="preserve"> PAGEREF _Toc398628757 \h </w:instrText>
      </w:r>
      <w:r>
        <w:fldChar w:fldCharType="separate"/>
      </w:r>
      <w:r>
        <w:t>2</w:t>
      </w:r>
      <w:r>
        <w:fldChar w:fldCharType="end"/>
      </w:r>
    </w:p>
    <w:p w:rsidR="007070A2" w:rsidRDefault="007070A2">
      <w:pPr>
        <w:pStyle w:val="TOC3"/>
        <w:rPr>
          <w:rFonts w:asciiTheme="minorHAnsi" w:eastAsiaTheme="minorEastAsia" w:hAnsiTheme="minorHAnsi" w:cstheme="minorBidi"/>
          <w:sz w:val="22"/>
          <w:szCs w:val="22"/>
          <w:lang w:val="en-US"/>
        </w:rPr>
      </w:pPr>
      <w:r>
        <w:t>Élaboration de matériel d’information concernant la Convention UPOV</w:t>
      </w:r>
      <w:r>
        <w:tab/>
      </w:r>
      <w:r>
        <w:fldChar w:fldCharType="begin"/>
      </w:r>
      <w:r>
        <w:instrText xml:space="preserve"> PAGEREF _Toc398628758 \h </w:instrText>
      </w:r>
      <w:r>
        <w:fldChar w:fldCharType="separate"/>
      </w:r>
      <w:r>
        <w:t>2</w:t>
      </w:r>
      <w:r>
        <w:fldChar w:fldCharType="end"/>
      </w:r>
    </w:p>
    <w:p w:rsidR="007070A2" w:rsidRDefault="007070A2">
      <w:pPr>
        <w:pStyle w:val="TOC3"/>
        <w:rPr>
          <w:rFonts w:asciiTheme="minorHAnsi" w:eastAsiaTheme="minorEastAsia" w:hAnsiTheme="minorHAnsi" w:cstheme="minorBidi"/>
          <w:sz w:val="22"/>
          <w:szCs w:val="22"/>
          <w:lang w:val="en-US"/>
        </w:rPr>
      </w:pPr>
      <w:r>
        <w:t>Bases de données d’information de l’UPOV</w:t>
      </w:r>
      <w:r>
        <w:tab/>
      </w:r>
      <w:r>
        <w:fldChar w:fldCharType="begin"/>
      </w:r>
      <w:r>
        <w:instrText xml:space="preserve"> PAGEREF _Toc398628759 \h </w:instrText>
      </w:r>
      <w:r>
        <w:fldChar w:fldCharType="separate"/>
      </w:r>
      <w:r>
        <w:t>5</w:t>
      </w:r>
      <w:r>
        <w:fldChar w:fldCharType="end"/>
      </w:r>
    </w:p>
    <w:p w:rsidR="007070A2" w:rsidRDefault="007070A2">
      <w:pPr>
        <w:pStyle w:val="TOC3"/>
        <w:rPr>
          <w:rFonts w:asciiTheme="minorHAnsi" w:eastAsiaTheme="minorEastAsia" w:hAnsiTheme="minorHAnsi" w:cstheme="minorBidi"/>
          <w:sz w:val="22"/>
          <w:szCs w:val="22"/>
          <w:lang w:val="en-US"/>
        </w:rPr>
      </w:pPr>
      <w:r>
        <w:t>Logiciels échangeables</w:t>
      </w:r>
      <w:r>
        <w:tab/>
      </w:r>
      <w:r>
        <w:fldChar w:fldCharType="begin"/>
      </w:r>
      <w:r>
        <w:instrText xml:space="preserve"> PAGEREF _Toc398628760 \h </w:instrText>
      </w:r>
      <w:r>
        <w:fldChar w:fldCharType="separate"/>
      </w:r>
      <w:r>
        <w:t>5</w:t>
      </w:r>
      <w:r>
        <w:fldChar w:fldCharType="end"/>
      </w:r>
    </w:p>
    <w:p w:rsidR="007070A2" w:rsidRDefault="007070A2">
      <w:pPr>
        <w:pStyle w:val="TOC3"/>
        <w:rPr>
          <w:rFonts w:asciiTheme="minorHAnsi" w:eastAsiaTheme="minorEastAsia" w:hAnsiTheme="minorHAnsi" w:cstheme="minorBidi"/>
          <w:sz w:val="22"/>
          <w:szCs w:val="22"/>
          <w:lang w:val="en-US"/>
        </w:rPr>
      </w:pPr>
      <w:r>
        <w:t>Systèmes de dépôt électronique des demandes</w:t>
      </w:r>
      <w:r>
        <w:tab/>
      </w:r>
      <w:r>
        <w:fldChar w:fldCharType="begin"/>
      </w:r>
      <w:r>
        <w:instrText xml:space="preserve"> PAGEREF _Toc398628761 \h </w:instrText>
      </w:r>
      <w:r>
        <w:fldChar w:fldCharType="separate"/>
      </w:r>
      <w:r>
        <w:t>6</w:t>
      </w:r>
      <w:r>
        <w:fldChar w:fldCharType="end"/>
      </w:r>
    </w:p>
    <w:p w:rsidR="007070A2" w:rsidRDefault="007070A2">
      <w:pPr>
        <w:pStyle w:val="TOC3"/>
        <w:rPr>
          <w:rFonts w:asciiTheme="minorHAnsi" w:eastAsiaTheme="minorEastAsia" w:hAnsiTheme="minorHAnsi" w:cstheme="minorBidi"/>
          <w:sz w:val="22"/>
          <w:szCs w:val="22"/>
          <w:lang w:val="en-US"/>
        </w:rPr>
      </w:pPr>
      <w:r>
        <w:t>Documents TGP</w:t>
      </w:r>
      <w:r>
        <w:tab/>
      </w:r>
      <w:r>
        <w:fldChar w:fldCharType="begin"/>
      </w:r>
      <w:r>
        <w:instrText xml:space="preserve"> PAGEREF _Toc398628762 \h </w:instrText>
      </w:r>
      <w:r>
        <w:fldChar w:fldCharType="separate"/>
      </w:r>
      <w:r>
        <w:t>7</w:t>
      </w:r>
      <w:r>
        <w:fldChar w:fldCharType="end"/>
      </w:r>
    </w:p>
    <w:p w:rsidR="007070A2" w:rsidRDefault="007070A2">
      <w:pPr>
        <w:pStyle w:val="TOC3"/>
        <w:rPr>
          <w:rFonts w:asciiTheme="minorHAnsi" w:eastAsiaTheme="minorEastAsia" w:hAnsiTheme="minorHAnsi" w:cstheme="minorBidi"/>
          <w:sz w:val="22"/>
          <w:szCs w:val="22"/>
          <w:lang w:val="en-US"/>
        </w:rPr>
      </w:pPr>
      <w:r>
        <w:t>Techniques moléculaires</w:t>
      </w:r>
      <w:r>
        <w:tab/>
      </w:r>
      <w:r>
        <w:fldChar w:fldCharType="begin"/>
      </w:r>
      <w:r>
        <w:instrText xml:space="preserve"> PAGEREF _Toc398628763 \h </w:instrText>
      </w:r>
      <w:r>
        <w:fldChar w:fldCharType="separate"/>
      </w:r>
      <w:r>
        <w:t>8</w:t>
      </w:r>
      <w:r>
        <w:fldChar w:fldCharType="end"/>
      </w:r>
    </w:p>
    <w:p w:rsidR="007070A2" w:rsidRDefault="007070A2">
      <w:pPr>
        <w:pStyle w:val="TOC3"/>
        <w:rPr>
          <w:rFonts w:asciiTheme="minorHAnsi" w:eastAsiaTheme="minorEastAsia" w:hAnsiTheme="minorHAnsi" w:cstheme="minorBidi"/>
          <w:sz w:val="22"/>
          <w:szCs w:val="22"/>
          <w:lang w:val="en-US"/>
        </w:rPr>
      </w:pPr>
      <w:r>
        <w:t>Dénominations variétales</w:t>
      </w:r>
      <w:r>
        <w:tab/>
      </w:r>
      <w:r>
        <w:fldChar w:fldCharType="begin"/>
      </w:r>
      <w:r>
        <w:instrText xml:space="preserve"> PAGEREF _Toc398628764 \h </w:instrText>
      </w:r>
      <w:r>
        <w:fldChar w:fldCharType="separate"/>
      </w:r>
      <w:r>
        <w:t>9</w:t>
      </w:r>
      <w:r>
        <w:fldChar w:fldCharType="end"/>
      </w:r>
    </w:p>
    <w:p w:rsidR="007070A2" w:rsidRDefault="007070A2">
      <w:pPr>
        <w:pStyle w:val="TOC3"/>
        <w:rPr>
          <w:rFonts w:asciiTheme="minorHAnsi" w:eastAsiaTheme="minorEastAsia" w:hAnsiTheme="minorHAnsi" w:cstheme="minorBidi"/>
          <w:sz w:val="22"/>
          <w:szCs w:val="22"/>
          <w:lang w:val="en-US"/>
        </w:rPr>
      </w:pPr>
      <w:r>
        <w:t>Possibilité d’élaboration d’un outil de recherche de l’UPOV de similarité aux fins de la dénomination variétale</w:t>
      </w:r>
      <w:r>
        <w:tab/>
      </w:r>
      <w:r>
        <w:fldChar w:fldCharType="begin"/>
      </w:r>
      <w:r>
        <w:instrText xml:space="preserve"> PAGEREF _Toc398628765 \h </w:instrText>
      </w:r>
      <w:r>
        <w:fldChar w:fldCharType="separate"/>
      </w:r>
      <w:r>
        <w:t>10</w:t>
      </w:r>
      <w:r>
        <w:fldChar w:fldCharType="end"/>
      </w:r>
    </w:p>
    <w:p w:rsidR="007070A2" w:rsidRDefault="007070A2">
      <w:pPr>
        <w:pStyle w:val="TOC3"/>
        <w:rPr>
          <w:rFonts w:asciiTheme="minorHAnsi" w:eastAsiaTheme="minorEastAsia" w:hAnsiTheme="minorHAnsi" w:cstheme="minorBidi"/>
          <w:sz w:val="22"/>
          <w:szCs w:val="22"/>
          <w:lang w:val="en-US"/>
        </w:rPr>
      </w:pPr>
      <w:r>
        <w:t>Questions soulevées par l’</w:t>
      </w:r>
      <w:r w:rsidRPr="00817349">
        <w:t>International Seed Feder</w:t>
      </w:r>
      <w:bookmarkStart w:id="4" w:name="_GoBack"/>
      <w:bookmarkEnd w:id="4"/>
      <w:r w:rsidRPr="00817349">
        <w:t>ation</w:t>
      </w:r>
      <w:r>
        <w:tab/>
      </w:r>
      <w:r>
        <w:fldChar w:fldCharType="begin"/>
      </w:r>
      <w:r>
        <w:instrText xml:space="preserve"> PAGEREF _Toc398628766 \h </w:instrText>
      </w:r>
      <w:r>
        <w:fldChar w:fldCharType="separate"/>
      </w:r>
      <w:r>
        <w:t>10</w:t>
      </w:r>
      <w:r>
        <w:fldChar w:fldCharType="end"/>
      </w:r>
    </w:p>
    <w:p w:rsidR="007070A2" w:rsidRDefault="007070A2">
      <w:pPr>
        <w:pStyle w:val="TOC1"/>
        <w:rPr>
          <w:rFonts w:asciiTheme="minorHAnsi" w:eastAsiaTheme="minorEastAsia" w:hAnsiTheme="minorHAnsi" w:cstheme="minorBidi"/>
          <w:caps w:val="0"/>
          <w:sz w:val="22"/>
          <w:szCs w:val="22"/>
        </w:rPr>
      </w:pPr>
      <w:r>
        <w:t>Programme de la soixante</w:t>
      </w:r>
      <w:r>
        <w:noBreakHyphen/>
        <w:t>dixième session</w:t>
      </w:r>
      <w:r>
        <w:tab/>
      </w:r>
      <w:r>
        <w:fldChar w:fldCharType="begin"/>
      </w:r>
      <w:r>
        <w:instrText xml:space="preserve"> PAGEREF _Toc398628767 \h </w:instrText>
      </w:r>
      <w:r>
        <w:fldChar w:fldCharType="separate"/>
      </w:r>
      <w:r>
        <w:t>11</w:t>
      </w:r>
      <w:r>
        <w:fldChar w:fldCharType="end"/>
      </w:r>
    </w:p>
    <w:p w:rsidR="001342A1" w:rsidRPr="00B87E09" w:rsidRDefault="003526DC" w:rsidP="00EB1143">
      <w:pPr>
        <w:rPr>
          <w:lang w:val="fr-FR"/>
        </w:rPr>
      </w:pPr>
      <w:r w:rsidRPr="00B87E09">
        <w:rPr>
          <w:lang w:val="fr-FR"/>
        </w:rPr>
        <w:fldChar w:fldCharType="end"/>
      </w:r>
    </w:p>
    <w:p w:rsidR="001342A1" w:rsidRPr="00B87E09" w:rsidRDefault="001342A1" w:rsidP="00EB1143">
      <w:pPr>
        <w:rPr>
          <w:lang w:val="fr-FR"/>
        </w:rPr>
      </w:pPr>
    </w:p>
    <w:p w:rsidR="001342A1" w:rsidRPr="00B87E09" w:rsidRDefault="00083942">
      <w:pPr>
        <w:jc w:val="left"/>
        <w:rPr>
          <w:u w:val="single"/>
          <w:lang w:val="fr-FR"/>
        </w:rPr>
      </w:pPr>
      <w:r w:rsidRPr="00B87E09">
        <w:rPr>
          <w:lang w:val="fr-FR"/>
        </w:rPr>
        <w:br w:type="page"/>
      </w:r>
    </w:p>
    <w:p w:rsidR="001342A1" w:rsidRPr="00B87E09" w:rsidRDefault="001342A1" w:rsidP="00FC72A5">
      <w:pPr>
        <w:pStyle w:val="Heading1"/>
      </w:pPr>
      <w:bookmarkStart w:id="5" w:name="_Toc398628756"/>
      <w:r w:rsidRPr="00B87E09">
        <w:lastRenderedPageBreak/>
        <w:t>Rapport sur la soixante</w:t>
      </w:r>
      <w:r w:rsidR="00B87E09" w:rsidRPr="00B87E09">
        <w:noBreakHyphen/>
      </w:r>
      <w:r w:rsidRPr="00B87E09">
        <w:t>neuvième</w:t>
      </w:r>
      <w:r w:rsidR="00C54380" w:rsidRPr="00B87E09">
        <w:t> </w:t>
      </w:r>
      <w:r w:rsidRPr="00B87E09">
        <w:t>session</w:t>
      </w:r>
      <w:r w:rsidR="00CA38FC" w:rsidRPr="00B87E09">
        <w:t xml:space="preserve"> du CAJ</w:t>
      </w:r>
      <w:r w:rsidRPr="00B87E09">
        <w:t>.</w:t>
      </w:r>
      <w:bookmarkEnd w:id="5"/>
    </w:p>
    <w:p w:rsidR="001342A1" w:rsidRPr="00B87E09" w:rsidRDefault="001342A1" w:rsidP="00FC72A5">
      <w:pPr>
        <w:pStyle w:val="Heading1"/>
        <w:rPr>
          <w:snapToGrid w:val="0"/>
        </w:rPr>
      </w:pPr>
    </w:p>
    <w:p w:rsidR="001342A1" w:rsidRPr="00B87E09" w:rsidRDefault="001342A1" w:rsidP="00B9187D">
      <w:pPr>
        <w:pStyle w:val="Heading3"/>
      </w:pPr>
      <w:bookmarkStart w:id="6" w:name="_Toc398628757"/>
      <w:r w:rsidRPr="00B87E09">
        <w:t>Rapport sur les faits nouveaux intervenus au sein du Comité technique</w:t>
      </w:r>
      <w:bookmarkEnd w:id="6"/>
    </w:p>
    <w:p w:rsidR="00341B7C" w:rsidRDefault="00341B7C" w:rsidP="008C1516">
      <w:pPr>
        <w:rPr>
          <w:lang w:val="fr-FR"/>
        </w:rPr>
      </w:pPr>
    </w:p>
    <w:p w:rsidR="001342A1" w:rsidRPr="00B87E09" w:rsidRDefault="003526DC"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r>
      <w:r w:rsidR="008C1516" w:rsidRPr="00B87E09">
        <w:rPr>
          <w:lang w:val="fr-FR"/>
        </w:rPr>
        <w:t>Le CAJ a pris note du rapport présenté par M. Alejandro Barrientos Priego (Mexique), président du Comité technique (TC), sur les faits nouveaux intervenus au sein du</w:t>
      </w:r>
      <w:r w:rsidR="00CA38FC" w:rsidRPr="00B87E09">
        <w:rPr>
          <w:lang w:val="fr-FR"/>
        </w:rPr>
        <w:t> TC</w:t>
      </w:r>
      <w:r w:rsidR="008C1516" w:rsidRPr="00B87E09">
        <w:rPr>
          <w:lang w:val="fr-FR"/>
        </w:rPr>
        <w:t xml:space="preserve"> à sa cinquantième session, tenue à Genève du 7 au 9 avril 2014.  Le CAJ a noté que les conc</w:t>
      </w:r>
      <w:r w:rsidR="00E44531" w:rsidRPr="00B87E09">
        <w:rPr>
          <w:lang w:val="fr-FR"/>
        </w:rPr>
        <w:t>lusions du</w:t>
      </w:r>
      <w:r w:rsidR="00CA38FC" w:rsidRPr="00B87E09">
        <w:rPr>
          <w:lang w:val="fr-FR"/>
        </w:rPr>
        <w:t> TC</w:t>
      </w:r>
      <w:r w:rsidR="00E44531" w:rsidRPr="00B87E09">
        <w:rPr>
          <w:lang w:val="fr-FR"/>
        </w:rPr>
        <w:t xml:space="preserve"> en ce qui concernait</w:t>
      </w:r>
      <w:r w:rsidR="008C1516" w:rsidRPr="00B87E09">
        <w:rPr>
          <w:lang w:val="fr-FR"/>
        </w:rPr>
        <w:t xml:space="preserve"> les questions devant être examinées par le CAJ figuraient dans le document CAJ/69/11.  Il a noté également que les conclusions du</w:t>
      </w:r>
      <w:r w:rsidR="00CA38FC" w:rsidRPr="00B87E09">
        <w:rPr>
          <w:lang w:val="fr-FR"/>
        </w:rPr>
        <w:t> TC</w:t>
      </w:r>
      <w:r w:rsidR="008C1516" w:rsidRPr="00B87E09">
        <w:rPr>
          <w:lang w:val="fr-FR"/>
        </w:rPr>
        <w:t xml:space="preserve"> </w:t>
      </w:r>
      <w:r w:rsidR="00E44531" w:rsidRPr="00B87E09">
        <w:rPr>
          <w:lang w:val="fr-FR"/>
        </w:rPr>
        <w:t>étaient</w:t>
      </w:r>
      <w:r w:rsidR="008C1516" w:rsidRPr="00B87E09">
        <w:rPr>
          <w:lang w:val="fr-FR"/>
        </w:rPr>
        <w:t xml:space="preserve"> consignées dans le </w:t>
      </w:r>
      <w:r w:rsidR="00CA38FC" w:rsidRPr="00B87E09">
        <w:rPr>
          <w:lang w:val="fr-FR"/>
        </w:rPr>
        <w:t>document TC</w:t>
      </w:r>
      <w:r w:rsidR="008C1516" w:rsidRPr="00B87E09">
        <w:rPr>
          <w:lang w:val="fr-FR"/>
        </w:rPr>
        <w:t>/50/36 “Compte rendu des conclusions”</w:t>
      </w:r>
      <w:r w:rsidR="00EB1143" w:rsidRPr="00B87E09">
        <w:rPr>
          <w:kern w:val="28"/>
          <w:lang w:val="fr-FR"/>
        </w:rPr>
        <w:t xml:space="preserve"> (</w:t>
      </w:r>
      <w:r w:rsidR="008C1516" w:rsidRPr="00B87E09">
        <w:rPr>
          <w:kern w:val="28"/>
          <w:lang w:val="fr-FR"/>
        </w:rPr>
        <w:t xml:space="preserve">voir le paragraphe 8 du </w:t>
      </w:r>
      <w:r w:rsidR="00EB1143" w:rsidRPr="00B87E09">
        <w:rPr>
          <w:kern w:val="28"/>
          <w:lang w:val="fr-FR"/>
        </w:rPr>
        <w:t>document CAJ/69/12 “</w:t>
      </w:r>
      <w:r w:rsidR="008C1516" w:rsidRPr="00B87E09">
        <w:rPr>
          <w:kern w:val="28"/>
          <w:lang w:val="fr-FR"/>
        </w:rPr>
        <w:t>Compte rendu des c</w:t>
      </w:r>
      <w:r w:rsidR="00EB1143" w:rsidRPr="00B87E09">
        <w:rPr>
          <w:kern w:val="28"/>
          <w:lang w:val="fr-FR"/>
        </w:rPr>
        <w:t>onclusions”)</w:t>
      </w:r>
      <w:r w:rsidRPr="00B87E09">
        <w:rPr>
          <w:kern w:val="28"/>
          <w:lang w:val="fr-FR"/>
        </w:rPr>
        <w:t>.</w:t>
      </w:r>
    </w:p>
    <w:p w:rsidR="001342A1" w:rsidRPr="00B87E09" w:rsidRDefault="001342A1" w:rsidP="00B9187D">
      <w:pPr>
        <w:spacing w:line="360" w:lineRule="auto"/>
        <w:rPr>
          <w:lang w:val="fr-FR"/>
        </w:rPr>
      </w:pPr>
    </w:p>
    <w:p w:rsidR="00CA38FC" w:rsidRPr="00B87E09" w:rsidRDefault="00281740" w:rsidP="00B9187D">
      <w:pPr>
        <w:pStyle w:val="Heading3"/>
      </w:pPr>
      <w:bookmarkStart w:id="7" w:name="_Toc398628758"/>
      <w:r w:rsidRPr="00B87E09">
        <w:t>Élaboration de matériel</w:t>
      </w:r>
      <w:r w:rsidR="008C1516" w:rsidRPr="00B87E09">
        <w:t xml:space="preserve"> d</w:t>
      </w:r>
      <w:r w:rsidR="00CA38FC" w:rsidRPr="00B87E09">
        <w:t>’</w:t>
      </w:r>
      <w:r w:rsidR="008C1516" w:rsidRPr="00B87E09">
        <w:t xml:space="preserve">information concernant la </w:t>
      </w:r>
      <w:r w:rsidR="00CA38FC" w:rsidRPr="00B87E09">
        <w:t>Convention UPOV</w:t>
      </w:r>
      <w:bookmarkEnd w:id="7"/>
    </w:p>
    <w:p w:rsidR="00B9187D" w:rsidRDefault="00B9187D" w:rsidP="00B9187D">
      <w:pPr>
        <w:keepNext/>
        <w:rPr>
          <w:lang w:val="fr-FR"/>
        </w:rPr>
      </w:pPr>
    </w:p>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CB6AC6" w:rsidRPr="00B87E09">
        <w:rPr>
          <w:lang w:val="fr-FR"/>
        </w:rPr>
        <w:t xml:space="preserve">a pris </w:t>
      </w:r>
      <w:r w:rsidRPr="00B87E09">
        <w:rPr>
          <w:lang w:val="fr-FR"/>
        </w:rPr>
        <w:t>note des faits nouveaux concernant la publication du séminaire sur les variétés essentiellement dérivées qui s</w:t>
      </w:r>
      <w:r w:rsidR="00CA38FC" w:rsidRPr="00B87E09">
        <w:rPr>
          <w:lang w:val="fr-FR"/>
        </w:rPr>
        <w:t>’</w:t>
      </w:r>
      <w:r w:rsidRPr="00B87E09">
        <w:rPr>
          <w:lang w:val="fr-FR"/>
        </w:rPr>
        <w:t>est tenu à Genève le 22 octobre 2013</w:t>
      </w:r>
      <w:r w:rsidR="00CB6AC6" w:rsidRPr="00B87E09">
        <w:rPr>
          <w:lang w:val="fr-FR"/>
        </w:rPr>
        <w:t xml:space="preserve"> (voir le paragraphe 10 du document CAJ/69/12 “Compte rendu des conclusions”).</w:t>
      </w:r>
    </w:p>
    <w:p w:rsidR="008C1516" w:rsidRPr="00B87E09" w:rsidRDefault="008C1516" w:rsidP="008C1516">
      <w:pPr>
        <w:rPr>
          <w:lang w:val="fr-FR"/>
        </w:rPr>
      </w:pPr>
    </w:p>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CB6AC6" w:rsidRPr="00B87E09">
        <w:rPr>
          <w:lang w:val="fr-FR"/>
        </w:rPr>
        <w:t xml:space="preserve">a pris </w:t>
      </w:r>
      <w:r w:rsidRPr="00B87E09">
        <w:rPr>
          <w:lang w:val="fr-FR"/>
        </w:rPr>
        <w:t>note des travaux du groupe consultatif du CAJ (CAJ</w:t>
      </w:r>
      <w:r w:rsidR="00B87E09" w:rsidRPr="00B87E09">
        <w:rPr>
          <w:lang w:val="fr-FR"/>
        </w:rPr>
        <w:noBreakHyphen/>
      </w:r>
      <w:r w:rsidRPr="00B87E09">
        <w:rPr>
          <w:lang w:val="fr-FR"/>
        </w:rPr>
        <w:t>AG), à sa huitième session, concernant un nouveau projet de document UPOV/EXN/EDV/2 “Notes explicatives sur les variétés essentiellement dérivées selon l</w:t>
      </w:r>
      <w:r w:rsidR="00CA38FC" w:rsidRPr="00B87E09">
        <w:rPr>
          <w:lang w:val="fr-FR"/>
        </w:rPr>
        <w:t>’</w:t>
      </w:r>
      <w:r w:rsidRPr="00B87E09">
        <w:rPr>
          <w:lang w:val="fr-FR"/>
        </w:rPr>
        <w:t xml:space="preserve">Acte de 1991 de la </w:t>
      </w:r>
      <w:r w:rsidR="00CA38FC" w:rsidRPr="00B87E09">
        <w:rPr>
          <w:lang w:val="fr-FR"/>
        </w:rPr>
        <w:t>Convention UPOV</w:t>
      </w:r>
      <w:r w:rsidR="00C54380" w:rsidRPr="00B87E09">
        <w:rPr>
          <w:lang w:val="fr-FR"/>
        </w:rPr>
        <w:t>”</w:t>
      </w:r>
      <w:r w:rsidR="00CB6AC6" w:rsidRPr="00B87E09">
        <w:rPr>
          <w:lang w:val="fr-FR"/>
        </w:rPr>
        <w:t xml:space="preserve"> (voir le paragraphe 11 du document CAJ/69/12 “Compte rendu des conclusions”)</w:t>
      </w:r>
      <w:r w:rsidRPr="00B87E09">
        <w:rPr>
          <w:lang w:val="fr-FR"/>
        </w:rPr>
        <w:t>.</w:t>
      </w:r>
    </w:p>
    <w:p w:rsidR="008C1516" w:rsidRPr="00B87E09" w:rsidRDefault="008C1516" w:rsidP="008C1516">
      <w:pPr>
        <w:rPr>
          <w:lang w:val="fr-FR"/>
        </w:rPr>
      </w:pPr>
    </w:p>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CB6AC6" w:rsidRPr="00B87E09">
        <w:rPr>
          <w:lang w:val="fr-FR"/>
        </w:rPr>
        <w:t xml:space="preserve">a </w:t>
      </w:r>
      <w:r w:rsidRPr="00B87E09">
        <w:rPr>
          <w:lang w:val="fr-FR"/>
        </w:rPr>
        <w:t>not</w:t>
      </w:r>
      <w:r w:rsidR="00CB6AC6" w:rsidRPr="00B87E09">
        <w:rPr>
          <w:lang w:val="fr-FR"/>
        </w:rPr>
        <w:t>é</w:t>
      </w:r>
      <w:r w:rsidRPr="00B87E09">
        <w:rPr>
          <w:lang w:val="fr-FR"/>
        </w:rPr>
        <w:t xml:space="preserve"> que, à sa huitième session, le CAJ</w:t>
      </w:r>
      <w:r w:rsidR="00B87E09" w:rsidRPr="00B87E09">
        <w:rPr>
          <w:lang w:val="fr-FR"/>
        </w:rPr>
        <w:noBreakHyphen/>
      </w:r>
      <w:r w:rsidRPr="00B87E09">
        <w:rPr>
          <w:lang w:val="fr-FR"/>
        </w:rPr>
        <w:t xml:space="preserve">AG </w:t>
      </w:r>
      <w:r w:rsidR="00CB6AC6" w:rsidRPr="00B87E09">
        <w:rPr>
          <w:lang w:val="fr-FR"/>
        </w:rPr>
        <w:t>était</w:t>
      </w:r>
      <w:r w:rsidRPr="00B87E09">
        <w:rPr>
          <w:lang w:val="fr-FR"/>
        </w:rPr>
        <w:t xml:space="preserve"> convenu d</w:t>
      </w:r>
      <w:r w:rsidR="00CA38FC" w:rsidRPr="00B87E09">
        <w:rPr>
          <w:lang w:val="fr-FR"/>
        </w:rPr>
        <w:t>’</w:t>
      </w:r>
      <w:r w:rsidRPr="00B87E09">
        <w:rPr>
          <w:lang w:val="fr-FR"/>
        </w:rPr>
        <w:t>envisager l</w:t>
      </w:r>
      <w:r w:rsidR="00CA38FC" w:rsidRPr="00B87E09">
        <w:rPr>
          <w:lang w:val="fr-FR"/>
        </w:rPr>
        <w:t>’</w:t>
      </w:r>
      <w:r w:rsidRPr="00B87E09">
        <w:rPr>
          <w:lang w:val="fr-FR"/>
        </w:rPr>
        <w:t>élaboration d</w:t>
      </w:r>
      <w:r w:rsidR="00CA38FC" w:rsidRPr="00B87E09">
        <w:rPr>
          <w:lang w:val="fr-FR"/>
        </w:rPr>
        <w:t>’</w:t>
      </w:r>
      <w:r w:rsidRPr="00B87E09">
        <w:rPr>
          <w:lang w:val="fr-FR"/>
        </w:rPr>
        <w:t>orientations concernant le statut des variétés essentiellement dérivées qui n</w:t>
      </w:r>
      <w:r w:rsidR="00CA38FC" w:rsidRPr="00B87E09">
        <w:rPr>
          <w:lang w:val="fr-FR"/>
        </w:rPr>
        <w:t>’</w:t>
      </w:r>
      <w:r w:rsidR="00E44531" w:rsidRPr="00B87E09">
        <w:rPr>
          <w:lang w:val="fr-FR"/>
        </w:rPr>
        <w:t>avaie</w:t>
      </w:r>
      <w:r w:rsidRPr="00B87E09">
        <w:rPr>
          <w:lang w:val="fr-FR"/>
        </w:rPr>
        <w:t>nt pas bénéficié de la protection de plein droit, après l</w:t>
      </w:r>
      <w:r w:rsidR="00CA38FC" w:rsidRPr="00B87E09">
        <w:rPr>
          <w:lang w:val="fr-FR"/>
        </w:rPr>
        <w:t>’</w:t>
      </w:r>
      <w:r w:rsidRPr="00B87E09">
        <w:rPr>
          <w:lang w:val="fr-FR"/>
        </w:rPr>
        <w:t>adoption du document révisé UPOV/EXN/EDV/2</w:t>
      </w:r>
      <w:r w:rsidR="00CB6AC6" w:rsidRPr="00B87E09">
        <w:rPr>
          <w:lang w:val="fr-FR"/>
        </w:rPr>
        <w:t xml:space="preserve"> (voir le paragraphe 12 du document CAJ/69/12 “Compte rendu des conclusions”).</w:t>
      </w:r>
    </w:p>
    <w:p w:rsidR="008C1516" w:rsidRPr="00B87E09" w:rsidRDefault="008C1516" w:rsidP="008C1516">
      <w:pPr>
        <w:rPr>
          <w:lang w:val="fr-FR"/>
        </w:rPr>
      </w:pPr>
    </w:p>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CB6AC6" w:rsidRPr="00B87E09">
        <w:rPr>
          <w:lang w:val="fr-FR"/>
        </w:rPr>
        <w:t xml:space="preserve">a </w:t>
      </w:r>
      <w:r w:rsidR="00E44531" w:rsidRPr="00B87E09">
        <w:rPr>
          <w:lang w:val="fr-FR"/>
        </w:rPr>
        <w:t>pris acte</w:t>
      </w:r>
      <w:r w:rsidRPr="00B87E09">
        <w:rPr>
          <w:lang w:val="fr-FR"/>
        </w:rPr>
        <w:t xml:space="preserve"> que, à sa huitième session, le CAJ</w:t>
      </w:r>
      <w:r w:rsidR="00B87E09" w:rsidRPr="00B87E09">
        <w:rPr>
          <w:lang w:val="fr-FR"/>
        </w:rPr>
        <w:noBreakHyphen/>
      </w:r>
      <w:r w:rsidRPr="00B87E09">
        <w:rPr>
          <w:lang w:val="fr-FR"/>
        </w:rPr>
        <w:t>AG a</w:t>
      </w:r>
      <w:r w:rsidR="00CB6AC6" w:rsidRPr="00B87E09">
        <w:rPr>
          <w:lang w:val="fr-FR"/>
        </w:rPr>
        <w:t>vait</w:t>
      </w:r>
      <w:r w:rsidRPr="00B87E09">
        <w:rPr>
          <w:lang w:val="fr-FR"/>
        </w:rPr>
        <w:t xml:space="preserve"> noté que, lors d</w:t>
      </w:r>
      <w:r w:rsidR="00CA38FC" w:rsidRPr="00B87E09">
        <w:rPr>
          <w:lang w:val="fr-FR"/>
        </w:rPr>
        <w:t>’</w:t>
      </w:r>
      <w:r w:rsidRPr="00B87E09">
        <w:rPr>
          <w:lang w:val="fr-FR"/>
        </w:rPr>
        <w:t>une future session du CAJ</w:t>
      </w:r>
      <w:r w:rsidR="00B87E09" w:rsidRPr="00B87E09">
        <w:rPr>
          <w:lang w:val="fr-FR"/>
        </w:rPr>
        <w:noBreakHyphen/>
      </w:r>
      <w:r w:rsidRPr="00B87E09">
        <w:rPr>
          <w:lang w:val="fr-FR"/>
        </w:rPr>
        <w:t>AG, les délégations de l</w:t>
      </w:r>
      <w:r w:rsidR="00CA38FC" w:rsidRPr="00B87E09">
        <w:rPr>
          <w:lang w:val="fr-FR"/>
        </w:rPr>
        <w:t>’</w:t>
      </w:r>
      <w:r w:rsidRPr="00B87E09">
        <w:rPr>
          <w:lang w:val="fr-FR"/>
        </w:rPr>
        <w:t>Australie, du Brésil et de l</w:t>
      </w:r>
      <w:r w:rsidR="00CA38FC" w:rsidRPr="00B87E09">
        <w:rPr>
          <w:lang w:val="fr-FR"/>
        </w:rPr>
        <w:t>’</w:t>
      </w:r>
      <w:r w:rsidRPr="00B87E09">
        <w:rPr>
          <w:lang w:val="fr-FR"/>
        </w:rPr>
        <w:t>Union européenne et d</w:t>
      </w:r>
      <w:r w:rsidR="00CA38FC" w:rsidRPr="00B87E09">
        <w:rPr>
          <w:lang w:val="fr-FR"/>
        </w:rPr>
        <w:t>’</w:t>
      </w:r>
      <w:r w:rsidRPr="00B87E09">
        <w:rPr>
          <w:lang w:val="fr-FR"/>
        </w:rPr>
        <w:t>autres membres de l</w:t>
      </w:r>
      <w:r w:rsidR="00CA38FC" w:rsidRPr="00B87E09">
        <w:rPr>
          <w:lang w:val="fr-FR"/>
        </w:rPr>
        <w:t>’</w:t>
      </w:r>
      <w:r w:rsidRPr="00B87E09">
        <w:rPr>
          <w:lang w:val="fr-FR"/>
        </w:rPr>
        <w:t>Union seraient invitées à présenter des exposés sur leurs systèmes concernant les variétés essentiellement dérivées</w:t>
      </w:r>
      <w:r w:rsidR="00CB6AC6" w:rsidRPr="00B87E09">
        <w:rPr>
          <w:lang w:val="fr-FR"/>
        </w:rPr>
        <w:t xml:space="preserve"> (voir le paragraphe 13 du document CAJ/69/12 “Compte rendu des conclusions”).</w:t>
      </w:r>
    </w:p>
    <w:p w:rsidR="008C1516" w:rsidRPr="00B87E09" w:rsidRDefault="008C1516" w:rsidP="008C1516">
      <w:pPr>
        <w:rPr>
          <w:lang w:val="fr-FR"/>
        </w:rPr>
      </w:pPr>
    </w:p>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CB6AC6" w:rsidRPr="00B87E09">
        <w:rPr>
          <w:lang w:val="fr-FR"/>
        </w:rPr>
        <w:t>a noté</w:t>
      </w:r>
      <w:r w:rsidRPr="00B87E09">
        <w:rPr>
          <w:lang w:val="fr-FR"/>
        </w:rPr>
        <w:t xml:space="preserve"> que, à sa huitième session, le CAJ</w:t>
      </w:r>
      <w:r w:rsidR="00B87E09" w:rsidRPr="00B87E09">
        <w:rPr>
          <w:lang w:val="fr-FR"/>
        </w:rPr>
        <w:noBreakHyphen/>
      </w:r>
      <w:r w:rsidRPr="00B87E09">
        <w:rPr>
          <w:lang w:val="fr-FR"/>
        </w:rPr>
        <w:t xml:space="preserve">AG </w:t>
      </w:r>
      <w:r w:rsidR="00CB6AC6" w:rsidRPr="00B87E09">
        <w:rPr>
          <w:lang w:val="fr-FR"/>
        </w:rPr>
        <w:t>était</w:t>
      </w:r>
      <w:r w:rsidRPr="00B87E09">
        <w:rPr>
          <w:lang w:val="fr-FR"/>
        </w:rPr>
        <w:t xml:space="preserve"> convenu que le Bureau de l</w:t>
      </w:r>
      <w:r w:rsidR="00CA38FC" w:rsidRPr="00B87E09">
        <w:rPr>
          <w:lang w:val="fr-FR"/>
        </w:rPr>
        <w:t>’</w:t>
      </w:r>
      <w:r w:rsidRPr="00B87E09">
        <w:rPr>
          <w:lang w:val="fr-FR"/>
        </w:rPr>
        <w:t>Union devrait établir un document d</w:t>
      </w:r>
      <w:r w:rsidR="00CA38FC" w:rsidRPr="00B87E09">
        <w:rPr>
          <w:lang w:val="fr-FR"/>
        </w:rPr>
        <w:t>’</w:t>
      </w:r>
      <w:r w:rsidRPr="00B87E09">
        <w:rPr>
          <w:lang w:val="fr-FR"/>
        </w:rPr>
        <w:t>information à l</w:t>
      </w:r>
      <w:r w:rsidR="00CA38FC" w:rsidRPr="00B87E09">
        <w:rPr>
          <w:lang w:val="fr-FR"/>
        </w:rPr>
        <w:t>’</w:t>
      </w:r>
      <w:r w:rsidRPr="00B87E09">
        <w:rPr>
          <w:lang w:val="fr-FR"/>
        </w:rPr>
        <w:t>intention du CAJ</w:t>
      </w:r>
      <w:r w:rsidR="00B87E09" w:rsidRPr="00B87E09">
        <w:rPr>
          <w:lang w:val="fr-FR"/>
        </w:rPr>
        <w:noBreakHyphen/>
      </w:r>
      <w:r w:rsidRPr="00B87E09">
        <w:rPr>
          <w:lang w:val="fr-FR"/>
        </w:rPr>
        <w:t>AG sur l</w:t>
      </w:r>
      <w:r w:rsidR="00CA38FC" w:rsidRPr="00B87E09">
        <w:rPr>
          <w:lang w:val="fr-FR"/>
        </w:rPr>
        <w:t>’</w:t>
      </w:r>
      <w:r w:rsidRPr="00B87E09">
        <w:rPr>
          <w:lang w:val="fr-FR"/>
        </w:rPr>
        <w:t>évolution des mécanismes extrajudiciaires de règlement des litiges à la Communauté internationale des obtenteurs de plantes ornementales et fruitières à reproduction asexuée (CIOPORA), à l</w:t>
      </w:r>
      <w:r w:rsidR="00CA38FC" w:rsidRPr="00B87E09">
        <w:rPr>
          <w:lang w:val="fr-FR"/>
        </w:rPr>
        <w:t>’</w:t>
      </w:r>
      <w:r w:rsidRPr="00341B7C">
        <w:rPr>
          <w:i/>
          <w:lang w:val="fr-FR"/>
        </w:rPr>
        <w:t>International Seed Federation</w:t>
      </w:r>
      <w:r w:rsidRPr="00B87E09">
        <w:rPr>
          <w:lang w:val="fr-FR"/>
        </w:rPr>
        <w:t xml:space="preserve"> (ISF) et à l</w:t>
      </w:r>
      <w:r w:rsidR="00CA38FC" w:rsidRPr="00B87E09">
        <w:rPr>
          <w:lang w:val="fr-FR"/>
        </w:rPr>
        <w:t>’</w:t>
      </w:r>
      <w:r w:rsidRPr="00B87E09">
        <w:rPr>
          <w:lang w:val="fr-FR"/>
        </w:rPr>
        <w:t>Organisation Mondiale de la Propriété Intellectuelle (OMPI) et que le CAJ</w:t>
      </w:r>
      <w:r w:rsidR="00B87E09" w:rsidRPr="00B87E09">
        <w:rPr>
          <w:lang w:val="fr-FR"/>
        </w:rPr>
        <w:noBreakHyphen/>
      </w:r>
      <w:r w:rsidRPr="00B87E09">
        <w:rPr>
          <w:lang w:val="fr-FR"/>
        </w:rPr>
        <w:t>AG a</w:t>
      </w:r>
      <w:r w:rsidR="00CB6AC6" w:rsidRPr="00B87E09">
        <w:rPr>
          <w:lang w:val="fr-FR"/>
        </w:rPr>
        <w:t>vait</w:t>
      </w:r>
      <w:r w:rsidRPr="00B87E09">
        <w:rPr>
          <w:lang w:val="fr-FR"/>
        </w:rPr>
        <w:t xml:space="preserve"> signalé qu</w:t>
      </w:r>
      <w:r w:rsidR="00CA38FC" w:rsidRPr="00B87E09">
        <w:rPr>
          <w:lang w:val="fr-FR"/>
        </w:rPr>
        <w:t>’</w:t>
      </w:r>
      <w:r w:rsidRPr="00B87E09">
        <w:rPr>
          <w:lang w:val="fr-FR"/>
        </w:rPr>
        <w:t>un aspect à prendre en considération serait le rôle que l</w:t>
      </w:r>
      <w:r w:rsidR="00CA38FC" w:rsidRPr="00B87E09">
        <w:rPr>
          <w:lang w:val="fr-FR"/>
        </w:rPr>
        <w:t>’</w:t>
      </w:r>
      <w:r w:rsidRPr="00B87E09">
        <w:rPr>
          <w:lang w:val="fr-FR"/>
        </w:rPr>
        <w:t>UPOV pourrait jouer dans la mise à disposition d</w:t>
      </w:r>
      <w:r w:rsidR="00CA38FC" w:rsidRPr="00B87E09">
        <w:rPr>
          <w:lang w:val="fr-FR"/>
        </w:rPr>
        <w:t>’</w:t>
      </w:r>
      <w:r w:rsidRPr="00B87E09">
        <w:rPr>
          <w:lang w:val="fr-FR"/>
        </w:rPr>
        <w:t>experts concernant les questions relatives aux variétés essentiellement dérivées</w:t>
      </w:r>
      <w:r w:rsidR="00CB6AC6" w:rsidRPr="00B87E09">
        <w:rPr>
          <w:lang w:val="fr-FR"/>
        </w:rPr>
        <w:t xml:space="preserve"> (voir le paragraphe 14 du document CAJ/69/12 “Compte rendu des conclusions”)</w:t>
      </w:r>
      <w:r w:rsidRPr="00B87E09">
        <w:rPr>
          <w:lang w:val="fr-FR"/>
        </w:rPr>
        <w:t>.</w:t>
      </w:r>
    </w:p>
    <w:p w:rsidR="008C1516" w:rsidRPr="00B87E09" w:rsidRDefault="008C1516" w:rsidP="008C1516">
      <w:pPr>
        <w:rPr>
          <w:snapToGrid w:val="0"/>
          <w:lang w:val="fr-FR"/>
        </w:rPr>
      </w:pPr>
    </w:p>
    <w:p w:rsidR="008C1516" w:rsidRPr="00B87E09" w:rsidRDefault="008C1516" w:rsidP="008C1516">
      <w:pPr>
        <w:rPr>
          <w:snapToGrid w:val="0"/>
          <w:lang w:val="fr-FR"/>
        </w:rPr>
      </w:pPr>
      <w:r w:rsidRPr="00B87E09">
        <w:rPr>
          <w:snapToGrid w:val="0"/>
          <w:lang w:val="fr-FR"/>
        </w:rPr>
        <w:fldChar w:fldCharType="begin"/>
      </w:r>
      <w:r w:rsidRPr="00B87E09">
        <w:rPr>
          <w:snapToGrid w:val="0"/>
          <w:lang w:val="fr-FR"/>
        </w:rPr>
        <w:instrText xml:space="preserve"> AUTONUM  </w:instrText>
      </w:r>
      <w:r w:rsidRPr="00B87E09">
        <w:rPr>
          <w:snapToGrid w:val="0"/>
          <w:lang w:val="fr-FR"/>
        </w:rPr>
        <w:fldChar w:fldCharType="end"/>
      </w:r>
      <w:r w:rsidRPr="00B87E09">
        <w:rPr>
          <w:snapToGrid w:val="0"/>
          <w:lang w:val="fr-FR"/>
        </w:rPr>
        <w:tab/>
      </w:r>
      <w:r w:rsidRPr="00B87E09">
        <w:rPr>
          <w:lang w:val="fr-FR"/>
        </w:rPr>
        <w:t>Le</w:t>
      </w:r>
      <w:r w:rsidRPr="00B87E09">
        <w:rPr>
          <w:snapToGrid w:val="0"/>
          <w:lang w:val="fr-FR"/>
        </w:rPr>
        <w:t xml:space="preserve"> CAJ </w:t>
      </w:r>
      <w:r w:rsidR="00CB6AC6" w:rsidRPr="00B87E09">
        <w:rPr>
          <w:snapToGrid w:val="0"/>
          <w:lang w:val="fr-FR"/>
        </w:rPr>
        <w:t>est convenu</w:t>
      </w:r>
      <w:r w:rsidRPr="00B87E09">
        <w:rPr>
          <w:snapToGrid w:val="0"/>
          <w:lang w:val="fr-FR"/>
        </w:rPr>
        <w:t xml:space="preserve"> que le Bureau de l</w:t>
      </w:r>
      <w:r w:rsidR="00CA38FC" w:rsidRPr="00B87E09">
        <w:rPr>
          <w:snapToGrid w:val="0"/>
          <w:lang w:val="fr-FR"/>
        </w:rPr>
        <w:t>’</w:t>
      </w:r>
      <w:r w:rsidRPr="00B87E09">
        <w:rPr>
          <w:snapToGrid w:val="0"/>
          <w:lang w:val="fr-FR"/>
        </w:rPr>
        <w:t>Union devrait établir un document, pour examen par le CAJ</w:t>
      </w:r>
      <w:r w:rsidR="00B87E09" w:rsidRPr="00B87E09">
        <w:rPr>
          <w:snapToGrid w:val="0"/>
          <w:lang w:val="fr-FR"/>
        </w:rPr>
        <w:noBreakHyphen/>
      </w:r>
      <w:r w:rsidRPr="00B87E09">
        <w:rPr>
          <w:snapToGrid w:val="0"/>
          <w:lang w:val="fr-FR"/>
        </w:rPr>
        <w:t>AG à sa neuvième session, portant sur le rôle éventuel des autorités chargées d</w:t>
      </w:r>
      <w:r w:rsidR="00CA38FC" w:rsidRPr="00B87E09">
        <w:rPr>
          <w:snapToGrid w:val="0"/>
          <w:lang w:val="fr-FR"/>
        </w:rPr>
        <w:t>’</w:t>
      </w:r>
      <w:r w:rsidRPr="00B87E09">
        <w:rPr>
          <w:snapToGrid w:val="0"/>
          <w:lang w:val="fr-FR"/>
        </w:rPr>
        <w:t>octroyer des droits d</w:t>
      </w:r>
      <w:r w:rsidR="00CA38FC" w:rsidRPr="00B87E09">
        <w:rPr>
          <w:snapToGrid w:val="0"/>
          <w:lang w:val="fr-FR"/>
        </w:rPr>
        <w:t>’</w:t>
      </w:r>
      <w:r w:rsidRPr="00B87E09">
        <w:rPr>
          <w:snapToGrid w:val="0"/>
          <w:lang w:val="fr-FR"/>
        </w:rPr>
        <w:t xml:space="preserve">obtenteur en matière de </w:t>
      </w:r>
      <w:r w:rsidRPr="00B87E09">
        <w:rPr>
          <w:lang w:val="fr-FR"/>
        </w:rPr>
        <w:t xml:space="preserve">variétés essentiellement dérivées, et </w:t>
      </w:r>
      <w:r w:rsidR="00CB6AC6" w:rsidRPr="00B87E09">
        <w:rPr>
          <w:lang w:val="fr-FR"/>
        </w:rPr>
        <w:t>est convenu</w:t>
      </w:r>
      <w:r w:rsidRPr="00B87E09">
        <w:rPr>
          <w:lang w:val="fr-FR"/>
        </w:rPr>
        <w:t xml:space="preserve"> d</w:t>
      </w:r>
      <w:r w:rsidR="00CA38FC" w:rsidRPr="00B87E09">
        <w:rPr>
          <w:lang w:val="fr-FR"/>
        </w:rPr>
        <w:t>’</w:t>
      </w:r>
      <w:r w:rsidRPr="00B87E09">
        <w:rPr>
          <w:lang w:val="fr-FR"/>
        </w:rPr>
        <w:t>inclure ce document au point 3 de l</w:t>
      </w:r>
      <w:r w:rsidR="00CA38FC" w:rsidRPr="00B87E09">
        <w:rPr>
          <w:lang w:val="fr-FR"/>
        </w:rPr>
        <w:t>’</w:t>
      </w:r>
      <w:r w:rsidRPr="00B87E09">
        <w:rPr>
          <w:lang w:val="fr-FR"/>
        </w:rPr>
        <w:t>ordre du jour de la neuvième session du </w:t>
      </w:r>
      <w:r w:rsidRPr="00B87E09">
        <w:rPr>
          <w:snapToGrid w:val="0"/>
          <w:lang w:val="fr-FR"/>
        </w:rPr>
        <w:t>CAJ</w:t>
      </w:r>
      <w:r w:rsidR="00B87E09" w:rsidRPr="00B87E09">
        <w:rPr>
          <w:snapToGrid w:val="0"/>
          <w:lang w:val="fr-FR"/>
        </w:rPr>
        <w:noBreakHyphen/>
      </w:r>
      <w:r w:rsidRPr="00B87E09">
        <w:rPr>
          <w:snapToGrid w:val="0"/>
          <w:lang w:val="fr-FR"/>
        </w:rPr>
        <w:t>AG.  Le CAJ s</w:t>
      </w:r>
      <w:r w:rsidR="00CA38FC" w:rsidRPr="00B87E09">
        <w:rPr>
          <w:snapToGrid w:val="0"/>
          <w:lang w:val="fr-FR"/>
        </w:rPr>
        <w:t>’</w:t>
      </w:r>
      <w:r w:rsidR="00CB6AC6" w:rsidRPr="00B87E09">
        <w:rPr>
          <w:snapToGrid w:val="0"/>
          <w:lang w:val="fr-FR"/>
        </w:rPr>
        <w:t>est félicité</w:t>
      </w:r>
      <w:r w:rsidRPr="00B87E09">
        <w:rPr>
          <w:snapToGrid w:val="0"/>
          <w:lang w:val="fr-FR"/>
        </w:rPr>
        <w:t xml:space="preserve"> de l</w:t>
      </w:r>
      <w:r w:rsidR="00CA38FC" w:rsidRPr="00B87E09">
        <w:rPr>
          <w:snapToGrid w:val="0"/>
          <w:lang w:val="fr-FR"/>
        </w:rPr>
        <w:t>’</w:t>
      </w:r>
      <w:r w:rsidRPr="00B87E09">
        <w:rPr>
          <w:snapToGrid w:val="0"/>
          <w:lang w:val="fr-FR"/>
        </w:rPr>
        <w:t>offre faite par la délégation de l</w:t>
      </w:r>
      <w:r w:rsidR="00CA38FC" w:rsidRPr="00B87E09">
        <w:rPr>
          <w:snapToGrid w:val="0"/>
          <w:lang w:val="fr-FR"/>
        </w:rPr>
        <w:t>’</w:t>
      </w:r>
      <w:r w:rsidRPr="00B87E09">
        <w:rPr>
          <w:snapToGrid w:val="0"/>
          <w:lang w:val="fr-FR"/>
        </w:rPr>
        <w:t>Argentine d</w:t>
      </w:r>
      <w:r w:rsidR="00CA38FC" w:rsidRPr="00B87E09">
        <w:rPr>
          <w:snapToGrid w:val="0"/>
          <w:lang w:val="fr-FR"/>
        </w:rPr>
        <w:t>’</w:t>
      </w:r>
      <w:r w:rsidRPr="00B87E09">
        <w:rPr>
          <w:snapToGrid w:val="0"/>
          <w:lang w:val="fr-FR"/>
        </w:rPr>
        <w:t>aider le Bureau de l</w:t>
      </w:r>
      <w:r w:rsidR="00CA38FC" w:rsidRPr="00B87E09">
        <w:rPr>
          <w:snapToGrid w:val="0"/>
          <w:lang w:val="fr-FR"/>
        </w:rPr>
        <w:t>’</w:t>
      </w:r>
      <w:r w:rsidRPr="00B87E09">
        <w:rPr>
          <w:snapToGrid w:val="0"/>
          <w:lang w:val="fr-FR"/>
        </w:rPr>
        <w:t>Union à élaborer ce document</w:t>
      </w:r>
      <w:r w:rsidR="00CB6AC6" w:rsidRPr="00B87E09">
        <w:rPr>
          <w:snapToGrid w:val="0"/>
          <w:lang w:val="fr-FR"/>
        </w:rPr>
        <w:t xml:space="preserve"> </w:t>
      </w:r>
      <w:r w:rsidR="00CB6AC6" w:rsidRPr="00B87E09">
        <w:rPr>
          <w:lang w:val="fr-FR"/>
        </w:rPr>
        <w:t>(voir le paragraphe 15 du document CAJ/69/12 “Compte rendu des conclusions”)</w:t>
      </w:r>
      <w:r w:rsidRPr="00B87E09">
        <w:rPr>
          <w:snapToGrid w:val="0"/>
          <w:lang w:val="fr-FR"/>
        </w:rPr>
        <w:t>.</w:t>
      </w:r>
    </w:p>
    <w:p w:rsidR="008C1516" w:rsidRPr="00F95C04" w:rsidRDefault="008C1516" w:rsidP="00F95C04"/>
    <w:p w:rsidR="008C1516" w:rsidRPr="00B87E09" w:rsidRDefault="008C1516" w:rsidP="008C1516">
      <w:pPr>
        <w:rPr>
          <w:lang w:val="fr-FR"/>
        </w:rPr>
      </w:pPr>
      <w:r w:rsidRPr="00B87E09">
        <w:rPr>
          <w:snapToGrid w:val="0"/>
          <w:lang w:val="fr-FR"/>
        </w:rPr>
        <w:fldChar w:fldCharType="begin"/>
      </w:r>
      <w:r w:rsidRPr="00B87E09">
        <w:rPr>
          <w:snapToGrid w:val="0"/>
          <w:lang w:val="fr-FR"/>
        </w:rPr>
        <w:instrText xml:space="preserve"> AUTONUM  </w:instrText>
      </w:r>
      <w:r w:rsidRPr="00B87E09">
        <w:rPr>
          <w:snapToGrid w:val="0"/>
          <w:lang w:val="fr-FR"/>
        </w:rPr>
        <w:fldChar w:fldCharType="end"/>
      </w:r>
      <w:r w:rsidRPr="00B87E09">
        <w:rPr>
          <w:snapToGrid w:val="0"/>
          <w:lang w:val="fr-FR"/>
        </w:rPr>
        <w:tab/>
      </w:r>
      <w:r w:rsidRPr="00B87E09">
        <w:rPr>
          <w:lang w:val="fr-FR"/>
        </w:rPr>
        <w:t xml:space="preserve">Le CAJ </w:t>
      </w:r>
      <w:r w:rsidR="00CB6AC6" w:rsidRPr="00B87E09">
        <w:rPr>
          <w:lang w:val="fr-FR"/>
        </w:rPr>
        <w:t>a pris</w:t>
      </w:r>
      <w:r w:rsidRPr="00B87E09">
        <w:rPr>
          <w:lang w:val="fr-FR"/>
        </w:rPr>
        <w:t xml:space="preserve"> note des questions concernant les descriptions variétales que le CAJ</w:t>
      </w:r>
      <w:r w:rsidR="00B87E09" w:rsidRPr="00B87E09">
        <w:rPr>
          <w:lang w:val="fr-FR"/>
        </w:rPr>
        <w:noBreakHyphen/>
      </w:r>
      <w:r w:rsidRPr="00B87E09">
        <w:rPr>
          <w:lang w:val="fr-FR"/>
        </w:rPr>
        <w:t>AG devra d</w:t>
      </w:r>
      <w:r w:rsidR="00CA38FC" w:rsidRPr="00B87E09">
        <w:rPr>
          <w:lang w:val="fr-FR"/>
        </w:rPr>
        <w:t>’</w:t>
      </w:r>
      <w:r w:rsidRPr="00B87E09">
        <w:rPr>
          <w:lang w:val="fr-FR"/>
        </w:rPr>
        <w:t>abord examiner</w:t>
      </w:r>
      <w:r w:rsidR="00CB6AC6" w:rsidRPr="00B87E09">
        <w:rPr>
          <w:lang w:val="fr-FR"/>
        </w:rPr>
        <w:t xml:space="preserve"> (voir le paragraphe 16 du document CAJ/69/12 “Compte rendu des conclusions”).  </w:t>
      </w:r>
      <w:r w:rsidRPr="00B87E09">
        <w:rPr>
          <w:lang w:val="fr-FR"/>
        </w:rPr>
        <w:tab/>
        <w:t>Le CAJ, conformément à la proposition faite par le CAJ</w:t>
      </w:r>
      <w:r w:rsidR="00B87E09" w:rsidRPr="00B87E09">
        <w:rPr>
          <w:lang w:val="fr-FR"/>
        </w:rPr>
        <w:noBreakHyphen/>
      </w:r>
      <w:r w:rsidRPr="00B87E09">
        <w:rPr>
          <w:lang w:val="fr-FR"/>
        </w:rPr>
        <w:t xml:space="preserve">AG, </w:t>
      </w:r>
      <w:r w:rsidR="00CB6AC6" w:rsidRPr="00B87E09">
        <w:rPr>
          <w:lang w:val="fr-FR"/>
        </w:rPr>
        <w:t>est convenu</w:t>
      </w:r>
      <w:r w:rsidRPr="00B87E09">
        <w:rPr>
          <w:lang w:val="fr-FR"/>
        </w:rPr>
        <w:t xml:space="preserve"> d</w:t>
      </w:r>
      <w:r w:rsidR="00CA38FC" w:rsidRPr="00B87E09">
        <w:rPr>
          <w:lang w:val="fr-FR"/>
        </w:rPr>
        <w:t>’</w:t>
      </w:r>
      <w:r w:rsidRPr="00B87E09">
        <w:rPr>
          <w:lang w:val="fr-FR"/>
        </w:rPr>
        <w:t>inviter le</w:t>
      </w:r>
      <w:r w:rsidR="00CA38FC" w:rsidRPr="00B87E09">
        <w:rPr>
          <w:lang w:val="fr-FR"/>
        </w:rPr>
        <w:t> TC</w:t>
      </w:r>
      <w:r w:rsidRPr="00B87E09">
        <w:rPr>
          <w:lang w:val="fr-FR"/>
        </w:rPr>
        <w:t xml:space="preserve"> à examiner l</w:t>
      </w:r>
      <w:r w:rsidR="00CA38FC" w:rsidRPr="00B87E09">
        <w:rPr>
          <w:lang w:val="fr-FR"/>
        </w:rPr>
        <w:t>’</w:t>
      </w:r>
      <w:r w:rsidRPr="00B87E09">
        <w:rPr>
          <w:lang w:val="fr-FR"/>
        </w:rPr>
        <w:t>élaboration d</w:t>
      </w:r>
      <w:r w:rsidR="00CA38FC" w:rsidRPr="00B87E09">
        <w:rPr>
          <w:lang w:val="fr-FR"/>
        </w:rPr>
        <w:t>’</w:t>
      </w:r>
      <w:r w:rsidRPr="00B87E09">
        <w:rPr>
          <w:lang w:val="fr-FR"/>
        </w:rPr>
        <w:t>orientations sur certaines questions concernant les descriptions variétales</w:t>
      </w:r>
      <w:r w:rsidR="00CB6AC6" w:rsidRPr="00B87E09">
        <w:rPr>
          <w:lang w:val="fr-FR"/>
        </w:rPr>
        <w:t xml:space="preserve"> (voir le paragraphe 17 du document CAJ/69/12 “Compte rendu des conclusions”).</w:t>
      </w:r>
    </w:p>
    <w:p w:rsidR="008C1516" w:rsidRPr="00AD4093" w:rsidRDefault="008C1516" w:rsidP="00AD4093"/>
    <w:p w:rsidR="008C1516" w:rsidRPr="00B87E09" w:rsidRDefault="008C1516" w:rsidP="008C1516">
      <w:pPr>
        <w:rPr>
          <w:lang w:val="fr-FR"/>
        </w:rPr>
      </w:pPr>
      <w:r w:rsidRPr="00B87E09">
        <w:rPr>
          <w:rFonts w:cs="Arial"/>
          <w:lang w:val="fr-FR"/>
        </w:rPr>
        <w:fldChar w:fldCharType="begin"/>
      </w:r>
      <w:r w:rsidRPr="00B87E09">
        <w:rPr>
          <w:rFonts w:cs="Arial"/>
          <w:lang w:val="fr-FR"/>
        </w:rPr>
        <w:instrText xml:space="preserve"> AUTONUM  </w:instrText>
      </w:r>
      <w:r w:rsidRPr="00B87E09">
        <w:rPr>
          <w:rFonts w:cs="Arial"/>
          <w:lang w:val="fr-FR"/>
        </w:rPr>
        <w:fldChar w:fldCharType="end"/>
      </w:r>
      <w:r w:rsidRPr="00B87E09">
        <w:rPr>
          <w:rFonts w:cs="Arial"/>
          <w:lang w:val="fr-FR"/>
        </w:rPr>
        <w:tab/>
        <w:t xml:space="preserve">Le CAJ </w:t>
      </w:r>
      <w:r w:rsidR="00CB6AC6" w:rsidRPr="00B87E09">
        <w:rPr>
          <w:rFonts w:cs="Arial"/>
          <w:lang w:val="fr-FR"/>
        </w:rPr>
        <w:t xml:space="preserve">a </w:t>
      </w:r>
      <w:r w:rsidRPr="00B87E09">
        <w:rPr>
          <w:rFonts w:cs="Arial"/>
          <w:lang w:val="fr-FR"/>
        </w:rPr>
        <w:t>not</w:t>
      </w:r>
      <w:r w:rsidR="00CB6AC6" w:rsidRPr="00B87E09">
        <w:rPr>
          <w:rFonts w:cs="Arial"/>
          <w:lang w:val="fr-FR"/>
        </w:rPr>
        <w:t>é</w:t>
      </w:r>
      <w:r w:rsidRPr="00B87E09">
        <w:rPr>
          <w:rFonts w:cs="Arial"/>
          <w:lang w:val="fr-FR"/>
        </w:rPr>
        <w:t xml:space="preserve"> que, à sa quatre</w:t>
      </w:r>
      <w:r w:rsidR="00B87E09" w:rsidRPr="00B87E09">
        <w:rPr>
          <w:rFonts w:cs="Arial"/>
          <w:lang w:val="fr-FR"/>
        </w:rPr>
        <w:noBreakHyphen/>
      </w:r>
      <w:r w:rsidRPr="00B87E09">
        <w:rPr>
          <w:rFonts w:cs="Arial"/>
          <w:lang w:val="fr-FR"/>
        </w:rPr>
        <w:t>vingt</w:t>
      </w:r>
      <w:r w:rsidR="00B87E09" w:rsidRPr="00B87E09">
        <w:rPr>
          <w:rFonts w:cs="Arial"/>
          <w:lang w:val="fr-FR"/>
        </w:rPr>
        <w:noBreakHyphen/>
      </w:r>
      <w:r w:rsidRPr="00B87E09">
        <w:rPr>
          <w:rFonts w:cs="Arial"/>
          <w:lang w:val="fr-FR"/>
        </w:rPr>
        <w:t>sixième session, le Comité consultatif a</w:t>
      </w:r>
      <w:r w:rsidR="00CB6AC6" w:rsidRPr="00B87E09">
        <w:rPr>
          <w:rFonts w:cs="Arial"/>
          <w:lang w:val="fr-FR"/>
        </w:rPr>
        <w:t>vait</w:t>
      </w:r>
      <w:r w:rsidRPr="00B87E09">
        <w:rPr>
          <w:rFonts w:cs="Arial"/>
          <w:lang w:val="fr-FR"/>
        </w:rPr>
        <w:t xml:space="preserve"> approuvé l</w:t>
      </w:r>
      <w:r w:rsidR="00CA38FC" w:rsidRPr="00B87E09">
        <w:rPr>
          <w:rFonts w:cs="Arial"/>
          <w:lang w:val="fr-FR"/>
        </w:rPr>
        <w:t>’</w:t>
      </w:r>
      <w:r w:rsidRPr="00B87E09">
        <w:rPr>
          <w:rFonts w:cs="Arial"/>
          <w:lang w:val="fr-FR"/>
        </w:rPr>
        <w:t>approche actuelle selon laquelle le CAJ</w:t>
      </w:r>
      <w:r w:rsidR="00B87E09" w:rsidRPr="00B87E09">
        <w:rPr>
          <w:rFonts w:cs="Arial"/>
          <w:lang w:val="fr-FR"/>
        </w:rPr>
        <w:noBreakHyphen/>
      </w:r>
      <w:r w:rsidRPr="00B87E09">
        <w:rPr>
          <w:rFonts w:cs="Arial"/>
          <w:lang w:val="fr-FR"/>
        </w:rPr>
        <w:t>AG invit</w:t>
      </w:r>
      <w:r w:rsidR="00F95C04">
        <w:rPr>
          <w:rFonts w:cs="Arial"/>
          <w:lang w:val="fr-FR"/>
        </w:rPr>
        <w:t>ait</w:t>
      </w:r>
      <w:r w:rsidRPr="00B87E09">
        <w:rPr>
          <w:rFonts w:cs="Arial"/>
          <w:lang w:val="fr-FR"/>
        </w:rPr>
        <w:t>, dans certains cas, les organisations ayant le statut d</w:t>
      </w:r>
      <w:r w:rsidR="00CA38FC" w:rsidRPr="00B87E09">
        <w:rPr>
          <w:rFonts w:cs="Arial"/>
          <w:lang w:val="fr-FR"/>
        </w:rPr>
        <w:t>’</w:t>
      </w:r>
      <w:r w:rsidRPr="00B87E09">
        <w:rPr>
          <w:rFonts w:cs="Arial"/>
          <w:lang w:val="fr-FR"/>
        </w:rPr>
        <w:t>observateur auprès du CAJ à présenter leur point de vue lors de l</w:t>
      </w:r>
      <w:r w:rsidR="00CA38FC" w:rsidRPr="00B87E09">
        <w:rPr>
          <w:rFonts w:cs="Arial"/>
          <w:lang w:val="fr-FR"/>
        </w:rPr>
        <w:t>’</w:t>
      </w:r>
      <w:r w:rsidRPr="00B87E09">
        <w:rPr>
          <w:rFonts w:cs="Arial"/>
          <w:lang w:val="fr-FR"/>
        </w:rPr>
        <w:t>examen d</w:t>
      </w:r>
      <w:r w:rsidR="00CA38FC" w:rsidRPr="00B87E09">
        <w:rPr>
          <w:rFonts w:cs="Arial"/>
          <w:lang w:val="fr-FR"/>
        </w:rPr>
        <w:t>’</w:t>
      </w:r>
      <w:r w:rsidRPr="00B87E09">
        <w:rPr>
          <w:rFonts w:cs="Arial"/>
          <w:lang w:val="fr-FR"/>
        </w:rPr>
        <w:t>une partie pertinente de sa session, s</w:t>
      </w:r>
      <w:r w:rsidR="00CA38FC" w:rsidRPr="00B87E09">
        <w:rPr>
          <w:rFonts w:cs="Arial"/>
          <w:lang w:val="fr-FR"/>
        </w:rPr>
        <w:t>’</w:t>
      </w:r>
      <w:r w:rsidRPr="00B87E09">
        <w:rPr>
          <w:rFonts w:cs="Arial"/>
          <w:lang w:val="fr-FR"/>
        </w:rPr>
        <w:t>il le juge</w:t>
      </w:r>
      <w:r w:rsidR="00F95C04">
        <w:rPr>
          <w:rFonts w:cs="Arial"/>
          <w:lang w:val="fr-FR"/>
        </w:rPr>
        <w:t>ait</w:t>
      </w:r>
      <w:r w:rsidRPr="00B87E09">
        <w:rPr>
          <w:rFonts w:cs="Arial"/>
          <w:lang w:val="fr-FR"/>
        </w:rPr>
        <w:t xml:space="preserve"> approprié</w:t>
      </w:r>
      <w:r w:rsidR="00CB6AC6" w:rsidRPr="00B87E09">
        <w:rPr>
          <w:rFonts w:cs="Arial"/>
          <w:lang w:val="fr-FR"/>
        </w:rPr>
        <w:t xml:space="preserve"> </w:t>
      </w:r>
      <w:r w:rsidR="00CB6AC6" w:rsidRPr="00B87E09">
        <w:rPr>
          <w:lang w:val="fr-FR"/>
        </w:rPr>
        <w:t>(voir le paragraphe 18 du document CAJ/69/12 “Compte rendu des conclusions”).</w:t>
      </w:r>
    </w:p>
    <w:p w:rsidR="008C1516" w:rsidRPr="00AD4093" w:rsidRDefault="008C1516" w:rsidP="00AD4093"/>
    <w:p w:rsidR="008C1516" w:rsidRDefault="008C1516" w:rsidP="00AD4093">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CB6AC6" w:rsidRPr="00B87E09">
        <w:rPr>
          <w:lang w:val="fr-FR"/>
        </w:rPr>
        <w:t>a noté</w:t>
      </w:r>
      <w:r w:rsidRPr="00B87E09">
        <w:rPr>
          <w:lang w:val="fr-FR"/>
        </w:rPr>
        <w:t xml:space="preserve"> que, à sa huitième session, le CAJ</w:t>
      </w:r>
      <w:r w:rsidR="00B87E09" w:rsidRPr="00B87E09">
        <w:rPr>
          <w:lang w:val="fr-FR"/>
        </w:rPr>
        <w:noBreakHyphen/>
      </w:r>
      <w:r w:rsidRPr="00B87E09">
        <w:rPr>
          <w:lang w:val="fr-FR"/>
        </w:rPr>
        <w:t>AG avait rappelé que les observateurs auprès du CAJ pouvaient faire part de leurs observations sur les questions pertinentes du programme du CAJ</w:t>
      </w:r>
      <w:r w:rsidR="00B87E09" w:rsidRPr="00B87E09">
        <w:rPr>
          <w:lang w:val="fr-FR"/>
        </w:rPr>
        <w:noBreakHyphen/>
      </w:r>
      <w:r w:rsidRPr="00B87E09">
        <w:rPr>
          <w:lang w:val="fr-FR"/>
        </w:rPr>
        <w:t xml:space="preserve">AG et que, dans les cas où des observateurs auprès du CAJ faisaient parvenir des commentaires écrits, </w:t>
      </w:r>
      <w:r w:rsidRPr="00B87E09">
        <w:rPr>
          <w:lang w:val="fr-FR"/>
        </w:rPr>
        <w:lastRenderedPageBreak/>
        <w:t>le CAJ</w:t>
      </w:r>
      <w:r w:rsidR="00B87E09" w:rsidRPr="00B87E09">
        <w:rPr>
          <w:lang w:val="fr-FR"/>
        </w:rPr>
        <w:noBreakHyphen/>
      </w:r>
      <w:r w:rsidRPr="00B87E09">
        <w:rPr>
          <w:lang w:val="fr-FR"/>
        </w:rPr>
        <w:t>AG était convenu d</w:t>
      </w:r>
      <w:r w:rsidR="00CA38FC" w:rsidRPr="00B87E09">
        <w:rPr>
          <w:lang w:val="fr-FR"/>
        </w:rPr>
        <w:t>’</w:t>
      </w:r>
      <w:r w:rsidRPr="00B87E09">
        <w:rPr>
          <w:lang w:val="fr-FR"/>
        </w:rPr>
        <w:t>inviter ces observateurs à la partie concernée de sa neuvième session et que le Bureau de l</w:t>
      </w:r>
      <w:r w:rsidR="00CA38FC" w:rsidRPr="00B87E09">
        <w:rPr>
          <w:lang w:val="fr-FR"/>
        </w:rPr>
        <w:t>’</w:t>
      </w:r>
      <w:r w:rsidRPr="00B87E09">
        <w:rPr>
          <w:lang w:val="fr-FR"/>
        </w:rPr>
        <w:t>Union enverrait les invitations ad hoc correspondantes</w:t>
      </w:r>
      <w:r w:rsidR="00CB6AC6" w:rsidRPr="00B87E09">
        <w:rPr>
          <w:lang w:val="fr-FR"/>
        </w:rPr>
        <w:t xml:space="preserve"> (voir le paragraphe 19 du document CAJ/69/12 “Compte rendu des conclusions”).</w:t>
      </w:r>
    </w:p>
    <w:p w:rsidR="00AD4093" w:rsidRPr="00B87E09" w:rsidRDefault="00AD4093" w:rsidP="00AD4093">
      <w:pPr>
        <w:rPr>
          <w:rFonts w:eastAsia="Batang"/>
          <w:snapToGrid w:val="0"/>
          <w:szCs w:val="24"/>
          <w:lang w:val="fr-FR" w:eastAsia="ko-KR"/>
        </w:rPr>
      </w:pPr>
    </w:p>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9404EE" w:rsidRPr="00B87E09">
        <w:rPr>
          <w:lang w:val="fr-FR"/>
        </w:rPr>
        <w:t>a demandé</w:t>
      </w:r>
      <w:r w:rsidRPr="00B87E09">
        <w:rPr>
          <w:lang w:val="fr-FR"/>
        </w:rPr>
        <w:t xml:space="preserve"> d</w:t>
      </w:r>
      <w:r w:rsidR="00CA38FC" w:rsidRPr="00B87E09">
        <w:rPr>
          <w:lang w:val="fr-FR"/>
        </w:rPr>
        <w:t>’</w:t>
      </w:r>
      <w:r w:rsidRPr="00B87E09">
        <w:rPr>
          <w:lang w:val="fr-FR"/>
        </w:rPr>
        <w:t>inviter le CAJ</w:t>
      </w:r>
      <w:r w:rsidR="00B87E09" w:rsidRPr="00B87E09">
        <w:rPr>
          <w:lang w:val="fr-FR"/>
        </w:rPr>
        <w:noBreakHyphen/>
      </w:r>
      <w:r w:rsidRPr="00B87E09">
        <w:rPr>
          <w:lang w:val="fr-FR"/>
        </w:rPr>
        <w:t>AG à se pencher, à sa neuvième session, sur la question de savoir si le CAJ</w:t>
      </w:r>
      <w:r w:rsidR="00B87E09" w:rsidRPr="00B87E09">
        <w:rPr>
          <w:lang w:val="fr-FR"/>
        </w:rPr>
        <w:noBreakHyphen/>
      </w:r>
      <w:r w:rsidRPr="00B87E09">
        <w:rPr>
          <w:lang w:val="fr-FR"/>
        </w:rPr>
        <w:t>AG devrait avoir la possibilité de disposer d</w:t>
      </w:r>
      <w:r w:rsidR="00CA38FC" w:rsidRPr="00B87E09">
        <w:rPr>
          <w:lang w:val="fr-FR"/>
        </w:rPr>
        <w:t>’</w:t>
      </w:r>
      <w:r w:rsidRPr="00B87E09">
        <w:rPr>
          <w:lang w:val="fr-FR"/>
        </w:rPr>
        <w:t>une certaine latitude dans l</w:t>
      </w:r>
      <w:r w:rsidR="00CA38FC" w:rsidRPr="00B87E09">
        <w:rPr>
          <w:lang w:val="fr-FR"/>
        </w:rPr>
        <w:t>’</w:t>
      </w:r>
      <w:r w:rsidRPr="00B87E09">
        <w:rPr>
          <w:lang w:val="fr-FR"/>
        </w:rPr>
        <w:t>envoi, aux observateurs ayant fait parvenir des commentaires écrits, d</w:t>
      </w:r>
      <w:r w:rsidR="00CA38FC" w:rsidRPr="00B87E09">
        <w:rPr>
          <w:lang w:val="fr-FR"/>
        </w:rPr>
        <w:t>’</w:t>
      </w:r>
      <w:r w:rsidRPr="00B87E09">
        <w:rPr>
          <w:lang w:val="fr-FR"/>
        </w:rPr>
        <w:t>invitations ad hoc</w:t>
      </w:r>
      <w:r w:rsidRPr="00B87E09">
        <w:rPr>
          <w:i/>
          <w:lang w:val="fr-FR"/>
        </w:rPr>
        <w:t xml:space="preserve"> </w:t>
      </w:r>
      <w:r w:rsidRPr="00B87E09">
        <w:rPr>
          <w:lang w:val="fr-FR"/>
        </w:rPr>
        <w:t>à participer à la partie concernée de la session du </w:t>
      </w:r>
      <w:r w:rsidRPr="00B87E09">
        <w:rPr>
          <w:rFonts w:eastAsia="Batang"/>
          <w:snapToGrid w:val="0"/>
          <w:szCs w:val="24"/>
          <w:lang w:val="fr-FR" w:eastAsia="ko-KR"/>
        </w:rPr>
        <w:t>CAJ</w:t>
      </w:r>
      <w:r w:rsidR="00B87E09" w:rsidRPr="00B87E09">
        <w:rPr>
          <w:rFonts w:eastAsia="Batang"/>
          <w:snapToGrid w:val="0"/>
          <w:szCs w:val="24"/>
          <w:lang w:val="fr-FR" w:eastAsia="ko-KR"/>
        </w:rPr>
        <w:noBreakHyphen/>
      </w:r>
      <w:r w:rsidRPr="00B87E09">
        <w:rPr>
          <w:rFonts w:eastAsia="Batang"/>
          <w:snapToGrid w:val="0"/>
          <w:szCs w:val="24"/>
          <w:lang w:val="fr-FR" w:eastAsia="ko-KR"/>
        </w:rPr>
        <w:t>AG et, le cas échéant, dans la mise en place du mécanisme d</w:t>
      </w:r>
      <w:r w:rsidR="00CA38FC" w:rsidRPr="00B87E09">
        <w:rPr>
          <w:rFonts w:eastAsia="Batang"/>
          <w:snapToGrid w:val="0"/>
          <w:szCs w:val="24"/>
          <w:lang w:val="fr-FR" w:eastAsia="ko-KR"/>
        </w:rPr>
        <w:t>’</w:t>
      </w:r>
      <w:r w:rsidRPr="00B87E09">
        <w:rPr>
          <w:rFonts w:eastAsia="Batang"/>
          <w:snapToGrid w:val="0"/>
          <w:szCs w:val="24"/>
          <w:lang w:val="fr-FR" w:eastAsia="ko-KR"/>
        </w:rPr>
        <w:t>exécution dans les délais requis</w:t>
      </w:r>
      <w:r w:rsidR="009404EE" w:rsidRPr="00B87E09">
        <w:rPr>
          <w:lang w:val="fr-FR"/>
        </w:rPr>
        <w:t xml:space="preserve"> (voir le paragraphe 20 du document CAJ/69/12 “Compte rendu des conclusions”).</w:t>
      </w:r>
    </w:p>
    <w:p w:rsidR="008C1516" w:rsidRPr="00B87E09" w:rsidRDefault="008C1516" w:rsidP="008C1516">
      <w:pPr>
        <w:rPr>
          <w:lang w:val="fr-FR"/>
        </w:rPr>
      </w:pPr>
    </w:p>
    <w:p w:rsidR="008C1516" w:rsidRPr="00AD4093" w:rsidRDefault="008C1516" w:rsidP="00AD4093">
      <w:r w:rsidRPr="00AD4093">
        <w:fldChar w:fldCharType="begin"/>
      </w:r>
      <w:r w:rsidRPr="00AD4093">
        <w:instrText xml:space="preserve"> AUTONUM  </w:instrText>
      </w:r>
      <w:r w:rsidRPr="00AD4093">
        <w:fldChar w:fldCharType="end"/>
      </w:r>
      <w:r w:rsidRPr="00AD4093">
        <w:tab/>
        <w:t xml:space="preserve">Le CAJ </w:t>
      </w:r>
      <w:r w:rsidR="009404EE" w:rsidRPr="00AD4093">
        <w:t>a pris</w:t>
      </w:r>
      <w:r w:rsidRPr="00AD4093">
        <w:t xml:space="preserve"> note des projets du CAJ</w:t>
      </w:r>
      <w:r w:rsidR="00B87E09" w:rsidRPr="00AD4093">
        <w:noBreakHyphen/>
      </w:r>
      <w:r w:rsidRPr="00AD4093">
        <w:t>AG concernant :</w:t>
      </w:r>
    </w:p>
    <w:p w:rsidR="008C1516" w:rsidRPr="00B87E09" w:rsidRDefault="008C1516" w:rsidP="008C1516">
      <w:pPr>
        <w:rPr>
          <w:lang w:val="fr-FR"/>
        </w:rPr>
      </w:pPr>
    </w:p>
    <w:p w:rsidR="008C1516" w:rsidRPr="00B87E09" w:rsidRDefault="008C1516" w:rsidP="008C1516">
      <w:pPr>
        <w:pStyle w:val="ListParagraph"/>
        <w:numPr>
          <w:ilvl w:val="0"/>
          <w:numId w:val="1"/>
        </w:numPr>
        <w:ind w:left="851" w:hanging="284"/>
        <w:rPr>
          <w:lang w:val="fr-FR"/>
        </w:rPr>
      </w:pPr>
      <w:r w:rsidRPr="00B87E09">
        <w:rPr>
          <w:lang w:val="fr-FR"/>
        </w:rPr>
        <w:t>l</w:t>
      </w:r>
      <w:r w:rsidR="00CA38FC" w:rsidRPr="00B87E09">
        <w:rPr>
          <w:lang w:val="fr-FR"/>
        </w:rPr>
        <w:t>’</w:t>
      </w:r>
      <w:r w:rsidRPr="00B87E09">
        <w:rPr>
          <w:lang w:val="fr-FR"/>
        </w:rPr>
        <w:t xml:space="preserve">élaboration des “Notes explicatives sur la reproduction ou la multiplication et sur le matériel de reproduction ou de multiplication selon la </w:t>
      </w:r>
      <w:r w:rsidR="00CA38FC" w:rsidRPr="00B87E09">
        <w:rPr>
          <w:lang w:val="fr-FR"/>
        </w:rPr>
        <w:t>Convention UPOV</w:t>
      </w:r>
      <w:r w:rsidRPr="00B87E09">
        <w:rPr>
          <w:lang w:val="fr-FR"/>
        </w:rPr>
        <w:t>”</w:t>
      </w:r>
      <w:r w:rsidR="009404EE" w:rsidRPr="00B87E09">
        <w:rPr>
          <w:lang w:val="fr-FR"/>
        </w:rPr>
        <w:t xml:space="preserve"> (voir le paragraphe 21 du document CAJ/69/12 “Compte rendu des conclusions”)</w:t>
      </w:r>
      <w:r w:rsidRPr="00B87E09">
        <w:rPr>
          <w:lang w:val="fr-FR"/>
        </w:rPr>
        <w:t>;</w:t>
      </w:r>
    </w:p>
    <w:p w:rsidR="008C1516" w:rsidRPr="00B87E09" w:rsidRDefault="008C1516" w:rsidP="008C1516">
      <w:pPr>
        <w:rPr>
          <w:lang w:val="fr-FR"/>
        </w:rPr>
      </w:pPr>
    </w:p>
    <w:p w:rsidR="008C1516" w:rsidRPr="00B87E09" w:rsidRDefault="008C1516" w:rsidP="008C1516">
      <w:pPr>
        <w:pStyle w:val="ListParagraph"/>
        <w:numPr>
          <w:ilvl w:val="0"/>
          <w:numId w:val="1"/>
        </w:numPr>
        <w:ind w:left="851" w:hanging="284"/>
        <w:rPr>
          <w:lang w:val="fr-FR"/>
        </w:rPr>
      </w:pPr>
      <w:r w:rsidRPr="00B87E09">
        <w:rPr>
          <w:lang w:val="fr-FR"/>
        </w:rPr>
        <w:t>la révision du document “Notes explicatives sur les actes à l</w:t>
      </w:r>
      <w:r w:rsidR="00CA38FC" w:rsidRPr="00B87E09">
        <w:rPr>
          <w:lang w:val="fr-FR"/>
        </w:rPr>
        <w:t>’</w:t>
      </w:r>
      <w:r w:rsidRPr="00B87E09">
        <w:rPr>
          <w:lang w:val="fr-FR"/>
        </w:rPr>
        <w:t>égard du produit de la récolte selon l</w:t>
      </w:r>
      <w:r w:rsidR="00CA38FC" w:rsidRPr="00B87E09">
        <w:rPr>
          <w:lang w:val="fr-FR"/>
        </w:rPr>
        <w:t>’</w:t>
      </w:r>
      <w:r w:rsidRPr="00B87E09">
        <w:rPr>
          <w:lang w:val="fr-FR"/>
        </w:rPr>
        <w:t xml:space="preserve">Acte de 1991 de la </w:t>
      </w:r>
      <w:r w:rsidR="00CA38FC" w:rsidRPr="00B87E09">
        <w:rPr>
          <w:lang w:val="fr-FR"/>
        </w:rPr>
        <w:t>Convention UPOV</w:t>
      </w:r>
      <w:r w:rsidRPr="00B87E09">
        <w:rPr>
          <w:lang w:val="fr-FR"/>
        </w:rPr>
        <w:t>”</w:t>
      </w:r>
      <w:r w:rsidR="009404EE" w:rsidRPr="00B87E09">
        <w:rPr>
          <w:lang w:val="fr-FR"/>
        </w:rPr>
        <w:t xml:space="preserve"> (voir le paragraphe 21 du document CAJ/69/12 “Compte rendu des conclusions”)</w:t>
      </w:r>
      <w:r w:rsidRPr="00B87E09">
        <w:rPr>
          <w:lang w:val="fr-FR"/>
        </w:rPr>
        <w:t>;</w:t>
      </w:r>
    </w:p>
    <w:p w:rsidR="008C1516" w:rsidRPr="00B87E09" w:rsidRDefault="008C1516" w:rsidP="008C1516">
      <w:pPr>
        <w:rPr>
          <w:snapToGrid w:val="0"/>
          <w:lang w:val="fr-FR"/>
        </w:rPr>
      </w:pPr>
    </w:p>
    <w:p w:rsidR="008C1516" w:rsidRPr="00B87E09" w:rsidRDefault="008C1516" w:rsidP="008C1516">
      <w:pPr>
        <w:pStyle w:val="ListParagraph"/>
        <w:numPr>
          <w:ilvl w:val="0"/>
          <w:numId w:val="1"/>
        </w:numPr>
        <w:ind w:left="851" w:hanging="284"/>
        <w:rPr>
          <w:lang w:val="fr-FR"/>
        </w:rPr>
      </w:pPr>
      <w:r w:rsidRPr="00B87E09">
        <w:rPr>
          <w:lang w:val="fr-FR"/>
        </w:rPr>
        <w:t>la révision éventuelle des “Notes explicatives sur la déchéance de l</w:t>
      </w:r>
      <w:r w:rsidR="00CA38FC" w:rsidRPr="00B87E09">
        <w:rPr>
          <w:lang w:val="fr-FR"/>
        </w:rPr>
        <w:t>’</w:t>
      </w:r>
      <w:r w:rsidRPr="00B87E09">
        <w:rPr>
          <w:lang w:val="fr-FR"/>
        </w:rPr>
        <w:t>obtenteur selon la </w:t>
      </w:r>
      <w:r w:rsidR="00CA38FC" w:rsidRPr="00B87E09">
        <w:rPr>
          <w:lang w:val="fr-FR"/>
        </w:rPr>
        <w:t>Convention UPOV</w:t>
      </w:r>
      <w:r w:rsidRPr="00B87E09">
        <w:rPr>
          <w:lang w:val="fr-FR"/>
        </w:rPr>
        <w:t>”</w:t>
      </w:r>
      <w:r w:rsidR="009404EE" w:rsidRPr="00B87E09">
        <w:rPr>
          <w:lang w:val="fr-FR"/>
        </w:rPr>
        <w:t xml:space="preserve"> (voir le paragraphe 21 du document CAJ/69/12 “Compte rendu des conclusions”)</w:t>
      </w:r>
      <w:r w:rsidRPr="00B87E09">
        <w:rPr>
          <w:lang w:val="fr-FR"/>
        </w:rPr>
        <w:t>;</w:t>
      </w:r>
    </w:p>
    <w:p w:rsidR="008C1516" w:rsidRPr="00B87E09" w:rsidRDefault="008C1516" w:rsidP="008C1516">
      <w:pPr>
        <w:rPr>
          <w:snapToGrid w:val="0"/>
          <w:lang w:val="fr-FR"/>
        </w:rPr>
      </w:pPr>
    </w:p>
    <w:p w:rsidR="008C1516" w:rsidRPr="00B87E09" w:rsidRDefault="008C1516" w:rsidP="008C1516">
      <w:pPr>
        <w:pStyle w:val="ListParagraph"/>
        <w:numPr>
          <w:ilvl w:val="0"/>
          <w:numId w:val="1"/>
        </w:numPr>
        <w:ind w:left="851" w:hanging="284"/>
        <w:rPr>
          <w:lang w:val="fr-FR"/>
        </w:rPr>
      </w:pPr>
      <w:r w:rsidRPr="00B87E09">
        <w:rPr>
          <w:lang w:val="fr-FR"/>
        </w:rPr>
        <w:t>la révision éventuelle des “Notes explicatives sur la nullité du droit d</w:t>
      </w:r>
      <w:r w:rsidR="00CA38FC" w:rsidRPr="00B87E09">
        <w:rPr>
          <w:lang w:val="fr-FR"/>
        </w:rPr>
        <w:t>’</w:t>
      </w:r>
      <w:r w:rsidRPr="00B87E09">
        <w:rPr>
          <w:lang w:val="fr-FR"/>
        </w:rPr>
        <w:t>obtenteur selon la </w:t>
      </w:r>
      <w:r w:rsidR="00CA38FC" w:rsidRPr="00B87E09">
        <w:rPr>
          <w:lang w:val="fr-FR"/>
        </w:rPr>
        <w:t>Convention UPOV</w:t>
      </w:r>
      <w:r w:rsidRPr="00B87E09">
        <w:rPr>
          <w:lang w:val="fr-FR"/>
        </w:rPr>
        <w:t>”</w:t>
      </w:r>
      <w:r w:rsidR="009404EE" w:rsidRPr="00B87E09">
        <w:rPr>
          <w:lang w:val="fr-FR"/>
        </w:rPr>
        <w:t xml:space="preserve"> (voir le paragraphe 21 du document CAJ/69/12 “Compte rendu des conclusions”)</w:t>
      </w:r>
      <w:r w:rsidRPr="00B87E09">
        <w:rPr>
          <w:lang w:val="fr-FR"/>
        </w:rPr>
        <w:t>;</w:t>
      </w:r>
    </w:p>
    <w:p w:rsidR="008C1516" w:rsidRPr="00B87E09" w:rsidRDefault="008C1516" w:rsidP="008C1516">
      <w:pPr>
        <w:rPr>
          <w:lang w:val="fr-FR"/>
        </w:rPr>
      </w:pPr>
    </w:p>
    <w:p w:rsidR="008C1516" w:rsidRPr="00B87E09" w:rsidRDefault="008C1516" w:rsidP="008C1516">
      <w:pPr>
        <w:pStyle w:val="ListParagraph"/>
        <w:numPr>
          <w:ilvl w:val="0"/>
          <w:numId w:val="1"/>
        </w:numPr>
        <w:ind w:left="851" w:hanging="284"/>
        <w:rPr>
          <w:lang w:val="fr-FR"/>
        </w:rPr>
      </w:pPr>
      <w:r w:rsidRPr="00B87E09">
        <w:rPr>
          <w:lang w:val="fr-FR"/>
        </w:rPr>
        <w:t xml:space="preserve">la révision éventuelle des “Notes explicatives concernant les dénominations variétales en vertu de la </w:t>
      </w:r>
      <w:r w:rsidR="00CA38FC" w:rsidRPr="00B87E09">
        <w:rPr>
          <w:lang w:val="fr-FR"/>
        </w:rPr>
        <w:t>Convention UPOV</w:t>
      </w:r>
      <w:r w:rsidRPr="00B87E09">
        <w:rPr>
          <w:lang w:val="fr-FR"/>
        </w:rPr>
        <w:t>”</w:t>
      </w:r>
      <w:r w:rsidR="009404EE" w:rsidRPr="00B87E09">
        <w:rPr>
          <w:lang w:val="fr-FR"/>
        </w:rPr>
        <w:t xml:space="preserve"> (voir le paragraphe 21 du document CAJ/69/12 “Compte rendu des conclusions”)</w:t>
      </w:r>
      <w:r w:rsidRPr="00B87E09">
        <w:rPr>
          <w:lang w:val="fr-FR"/>
        </w:rPr>
        <w:t>.</w:t>
      </w:r>
    </w:p>
    <w:p w:rsidR="008C1516" w:rsidRPr="00B87E09" w:rsidRDefault="008C1516" w:rsidP="008C1516">
      <w:pPr>
        <w:rPr>
          <w:lang w:val="fr-FR"/>
        </w:rPr>
      </w:pPr>
    </w:p>
    <w:p w:rsidR="008C1516" w:rsidRPr="00B87E09" w:rsidRDefault="008C1516" w:rsidP="008C1516">
      <w:pPr>
        <w:rPr>
          <w:rFonts w:cs="Arial"/>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630E58" w:rsidRPr="00B87E09">
        <w:rPr>
          <w:lang w:val="fr-FR"/>
        </w:rPr>
        <w:t xml:space="preserve">a </w:t>
      </w:r>
      <w:r w:rsidRPr="00B87E09">
        <w:rPr>
          <w:lang w:val="fr-FR"/>
        </w:rPr>
        <w:t>not</w:t>
      </w:r>
      <w:r w:rsidR="00630E58" w:rsidRPr="00B87E09">
        <w:rPr>
          <w:lang w:val="fr-FR"/>
        </w:rPr>
        <w:t>é</w:t>
      </w:r>
      <w:r w:rsidRPr="00B87E09">
        <w:rPr>
          <w:lang w:val="fr-FR"/>
        </w:rPr>
        <w:t xml:space="preserve"> que d</w:t>
      </w:r>
      <w:r w:rsidR="00CA38FC" w:rsidRPr="00B87E09">
        <w:rPr>
          <w:lang w:val="fr-FR"/>
        </w:rPr>
        <w:t>’</w:t>
      </w:r>
      <w:r w:rsidRPr="00B87E09">
        <w:rPr>
          <w:lang w:val="fr-FR"/>
        </w:rPr>
        <w:t>autres faits nouveaux relatifs aux dénominations variétales susceptibles de présenter un intérêt dans le contexte d</w:t>
      </w:r>
      <w:r w:rsidR="00CA38FC" w:rsidRPr="00B87E09">
        <w:rPr>
          <w:lang w:val="fr-FR"/>
        </w:rPr>
        <w:t>’</w:t>
      </w:r>
      <w:r w:rsidRPr="00B87E09">
        <w:rPr>
          <w:lang w:val="fr-FR"/>
        </w:rPr>
        <w:t xml:space="preserve">une révision éventuelle des “Notes explicatives concernant les dénominations variétales en vertu de la </w:t>
      </w:r>
      <w:r w:rsidR="00CA38FC" w:rsidRPr="00B87E09">
        <w:rPr>
          <w:lang w:val="fr-FR"/>
        </w:rPr>
        <w:t>Convention UPOV</w:t>
      </w:r>
      <w:r w:rsidRPr="00B87E09">
        <w:rPr>
          <w:lang w:val="fr-FR"/>
        </w:rPr>
        <w:t xml:space="preserve">” (document UPOV/INF/12/4) </w:t>
      </w:r>
      <w:r w:rsidR="00630E58" w:rsidRPr="00B87E09">
        <w:rPr>
          <w:lang w:val="fr-FR"/>
        </w:rPr>
        <w:t>avaient</w:t>
      </w:r>
      <w:r w:rsidRPr="00B87E09">
        <w:rPr>
          <w:lang w:val="fr-FR"/>
        </w:rPr>
        <w:t xml:space="preserve"> été examinés dans les documents CAJ/69/5 “Dénominations variétales” et CAJ/69/9 “Possibilité d</w:t>
      </w:r>
      <w:r w:rsidR="00CA38FC" w:rsidRPr="00B87E09">
        <w:rPr>
          <w:lang w:val="fr-FR"/>
        </w:rPr>
        <w:t>’</w:t>
      </w:r>
      <w:r w:rsidRPr="00B87E09">
        <w:rPr>
          <w:lang w:val="fr-FR"/>
        </w:rPr>
        <w:t>élaboration d</w:t>
      </w:r>
      <w:r w:rsidR="00CA38FC" w:rsidRPr="00B87E09">
        <w:rPr>
          <w:lang w:val="fr-FR"/>
        </w:rPr>
        <w:t>’</w:t>
      </w:r>
      <w:r w:rsidRPr="00B87E09">
        <w:rPr>
          <w:lang w:val="fr-FR"/>
        </w:rPr>
        <w:t>un outil de recherche de l</w:t>
      </w:r>
      <w:r w:rsidR="00CA38FC" w:rsidRPr="00B87E09">
        <w:rPr>
          <w:lang w:val="fr-FR"/>
        </w:rPr>
        <w:t>’</w:t>
      </w:r>
      <w:r w:rsidRPr="00B87E09">
        <w:rPr>
          <w:lang w:val="fr-FR"/>
        </w:rPr>
        <w:t>UPOV de similarité aux fins de la dénomination variétale”</w:t>
      </w:r>
      <w:r w:rsidR="00E44531" w:rsidRPr="00B87E09">
        <w:rPr>
          <w:lang w:val="fr-FR"/>
        </w:rPr>
        <w:t xml:space="preserve"> </w:t>
      </w:r>
      <w:r w:rsidR="00630E58" w:rsidRPr="00B87E09">
        <w:rPr>
          <w:lang w:val="fr-FR"/>
        </w:rPr>
        <w:t>(voir le paragraphe 22 du document CAJ/69/12 “Compte rendu des conclusions”).</w:t>
      </w:r>
    </w:p>
    <w:p w:rsidR="008C1516" w:rsidRPr="00B87E09" w:rsidRDefault="008C1516" w:rsidP="008C1516">
      <w:pPr>
        <w:rPr>
          <w:lang w:val="fr-FR"/>
        </w:rPr>
      </w:pPr>
    </w:p>
    <w:p w:rsidR="008C1516" w:rsidRPr="00B87E09" w:rsidRDefault="008C1516" w:rsidP="008C1516">
      <w:pPr>
        <w:rPr>
          <w:rFonts w:cs="Arial"/>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630E58" w:rsidRPr="00B87E09">
        <w:rPr>
          <w:lang w:val="fr-FR"/>
        </w:rPr>
        <w:t xml:space="preserve">a </w:t>
      </w:r>
      <w:r w:rsidRPr="00B87E09">
        <w:rPr>
          <w:lang w:val="fr-FR"/>
        </w:rPr>
        <w:t>not</w:t>
      </w:r>
      <w:r w:rsidR="00630E58" w:rsidRPr="00B87E09">
        <w:rPr>
          <w:lang w:val="fr-FR"/>
        </w:rPr>
        <w:t>é</w:t>
      </w:r>
      <w:r w:rsidRPr="00B87E09">
        <w:rPr>
          <w:lang w:val="fr-FR"/>
        </w:rPr>
        <w:t xml:space="preserve"> que le CAJ</w:t>
      </w:r>
      <w:r w:rsidR="00B87E09" w:rsidRPr="00B87E09">
        <w:rPr>
          <w:lang w:val="fr-FR"/>
        </w:rPr>
        <w:noBreakHyphen/>
      </w:r>
      <w:r w:rsidRPr="00B87E09">
        <w:rPr>
          <w:lang w:val="fr-FR"/>
        </w:rPr>
        <w:t>AG était convenu de ne pas envisager l</w:t>
      </w:r>
      <w:r w:rsidR="00CA38FC" w:rsidRPr="00B87E09">
        <w:rPr>
          <w:lang w:val="fr-FR"/>
        </w:rPr>
        <w:t>’</w:t>
      </w:r>
      <w:r w:rsidRPr="00B87E09">
        <w:rPr>
          <w:lang w:val="fr-FR"/>
        </w:rPr>
        <w:t>élaboration d</w:t>
      </w:r>
      <w:r w:rsidR="00CA38FC" w:rsidRPr="00B87E09">
        <w:rPr>
          <w:lang w:val="fr-FR"/>
        </w:rPr>
        <w:t>’</w:t>
      </w:r>
      <w:r w:rsidRPr="00B87E09">
        <w:rPr>
          <w:lang w:val="fr-FR"/>
        </w:rPr>
        <w:t>orientations sur les questions se posant après l</w:t>
      </w:r>
      <w:r w:rsidR="00CA38FC" w:rsidRPr="00B87E09">
        <w:rPr>
          <w:lang w:val="fr-FR"/>
        </w:rPr>
        <w:t>’</w:t>
      </w:r>
      <w:r w:rsidRPr="00B87E09">
        <w:rPr>
          <w:lang w:val="fr-FR"/>
        </w:rPr>
        <w:t>octroi du droit d</w:t>
      </w:r>
      <w:r w:rsidR="00CA38FC" w:rsidRPr="00B87E09">
        <w:rPr>
          <w:lang w:val="fr-FR"/>
        </w:rPr>
        <w:t>’</w:t>
      </w:r>
      <w:r w:rsidRPr="00B87E09">
        <w:rPr>
          <w:lang w:val="fr-FR"/>
        </w:rPr>
        <w:t>obtenteur concernant le dépôt des demandes et la défense des droits d</w:t>
      </w:r>
      <w:r w:rsidR="00CA38FC" w:rsidRPr="00B87E09">
        <w:rPr>
          <w:lang w:val="fr-FR"/>
        </w:rPr>
        <w:t>’</w:t>
      </w:r>
      <w:r w:rsidRPr="00B87E09">
        <w:rPr>
          <w:lang w:val="fr-FR"/>
        </w:rPr>
        <w:t>obtenteur</w:t>
      </w:r>
      <w:r w:rsidR="00630E58" w:rsidRPr="00B87E09">
        <w:rPr>
          <w:lang w:val="fr-FR"/>
        </w:rPr>
        <w:t xml:space="preserve"> (voir le paragraphe 23 du document CAJ/69/12 “Compte rendu des conclusions”)</w:t>
      </w:r>
      <w:r w:rsidRPr="00B87E09">
        <w:rPr>
          <w:lang w:val="fr-FR"/>
        </w:rPr>
        <w:t>.</w:t>
      </w:r>
    </w:p>
    <w:p w:rsidR="008C1516" w:rsidRPr="00B87E09" w:rsidRDefault="008C1516" w:rsidP="008C1516">
      <w:pPr>
        <w:rPr>
          <w:lang w:val="fr-FR"/>
        </w:rPr>
      </w:pPr>
    </w:p>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630E58" w:rsidRPr="00B87E09">
        <w:rPr>
          <w:lang w:val="fr-FR"/>
        </w:rPr>
        <w:t>a</w:t>
      </w:r>
      <w:r w:rsidRPr="00B87E09">
        <w:rPr>
          <w:lang w:val="fr-FR"/>
        </w:rPr>
        <w:t xml:space="preserve"> not</w:t>
      </w:r>
      <w:r w:rsidR="00630E58" w:rsidRPr="00B87E09">
        <w:rPr>
          <w:lang w:val="fr-FR"/>
        </w:rPr>
        <w:t>é</w:t>
      </w:r>
      <w:r w:rsidRPr="00B87E09">
        <w:rPr>
          <w:lang w:val="fr-FR"/>
        </w:rPr>
        <w:t xml:space="preserve"> que le </w:t>
      </w:r>
      <w:r w:rsidRPr="00B87E09">
        <w:rPr>
          <w:rFonts w:cs="Arial"/>
          <w:lang w:val="fr-FR"/>
        </w:rPr>
        <w:t>CAJ</w:t>
      </w:r>
      <w:r w:rsidR="00B87E09" w:rsidRPr="00B87E09">
        <w:rPr>
          <w:rFonts w:cs="Arial"/>
          <w:lang w:val="fr-FR"/>
        </w:rPr>
        <w:noBreakHyphen/>
      </w:r>
      <w:r w:rsidRPr="00B87E09">
        <w:rPr>
          <w:rFonts w:cs="Arial"/>
          <w:lang w:val="fr-FR"/>
        </w:rPr>
        <w:t xml:space="preserve">AG </w:t>
      </w:r>
      <w:r w:rsidR="00630E58" w:rsidRPr="00B87E09">
        <w:rPr>
          <w:rFonts w:cs="Arial"/>
          <w:lang w:val="fr-FR"/>
        </w:rPr>
        <w:t>était</w:t>
      </w:r>
      <w:r w:rsidRPr="00B87E09">
        <w:rPr>
          <w:rFonts w:cs="Arial"/>
          <w:lang w:val="fr-FR"/>
        </w:rPr>
        <w:t xml:space="preserve"> convenu d</w:t>
      </w:r>
      <w:r w:rsidR="00CA38FC" w:rsidRPr="00B87E09">
        <w:rPr>
          <w:rFonts w:cs="Arial"/>
          <w:lang w:val="fr-FR"/>
        </w:rPr>
        <w:t>’</w:t>
      </w:r>
      <w:r w:rsidRPr="00B87E09">
        <w:rPr>
          <w:rFonts w:cs="Arial"/>
          <w:lang w:val="fr-FR"/>
        </w:rPr>
        <w:t xml:space="preserve">envisager la révision éventuelle des “Notes explicatives sur la protection provisoire selon la </w:t>
      </w:r>
      <w:r w:rsidR="00CA38FC" w:rsidRPr="00B87E09">
        <w:rPr>
          <w:rFonts w:cs="Arial"/>
          <w:lang w:val="fr-FR"/>
        </w:rPr>
        <w:t>Convention UPOV</w:t>
      </w:r>
      <w:r w:rsidRPr="00B87E09">
        <w:rPr>
          <w:rFonts w:cs="Arial"/>
          <w:lang w:val="fr-FR"/>
        </w:rPr>
        <w:t>”</w:t>
      </w:r>
      <w:r w:rsidR="00630E58" w:rsidRPr="00B87E09">
        <w:rPr>
          <w:rFonts w:cs="Arial"/>
          <w:lang w:val="fr-FR"/>
        </w:rPr>
        <w:t xml:space="preserve"> </w:t>
      </w:r>
      <w:r w:rsidR="00630E58" w:rsidRPr="00B87E09">
        <w:rPr>
          <w:lang w:val="fr-FR"/>
        </w:rPr>
        <w:t>(voir le paragraphe 24 du document CAJ/69/12 “Compte rendu des conclusions”)</w:t>
      </w:r>
      <w:r w:rsidRPr="00B87E09">
        <w:rPr>
          <w:lang w:val="fr-FR"/>
        </w:rPr>
        <w:t>.</w:t>
      </w:r>
    </w:p>
    <w:p w:rsidR="008C1516" w:rsidRPr="00B87E09" w:rsidRDefault="008C1516" w:rsidP="008C1516">
      <w:pPr>
        <w:rPr>
          <w:lang w:val="fr-FR"/>
        </w:rPr>
      </w:pPr>
    </w:p>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630E58" w:rsidRPr="00B87E09">
        <w:rPr>
          <w:lang w:val="fr-FR"/>
        </w:rPr>
        <w:t>a pris</w:t>
      </w:r>
      <w:r w:rsidRPr="00B87E09">
        <w:rPr>
          <w:lang w:val="fr-FR"/>
        </w:rPr>
        <w:t xml:space="preserve"> note du compte rendu des travaux du CAJ</w:t>
      </w:r>
      <w:r w:rsidR="00B87E09" w:rsidRPr="00B87E09">
        <w:rPr>
          <w:lang w:val="fr-FR"/>
        </w:rPr>
        <w:noBreakHyphen/>
      </w:r>
      <w:r w:rsidRPr="00B87E09">
        <w:rPr>
          <w:lang w:val="fr-FR"/>
        </w:rPr>
        <w:t>AG à sa huitième session tel qu</w:t>
      </w:r>
      <w:r w:rsidR="00CA38FC" w:rsidRPr="00B87E09">
        <w:rPr>
          <w:lang w:val="fr-FR"/>
        </w:rPr>
        <w:t>’</w:t>
      </w:r>
      <w:r w:rsidRPr="00B87E09">
        <w:rPr>
          <w:lang w:val="fr-FR"/>
        </w:rPr>
        <w:t>il figure dans le document CAJ</w:t>
      </w:r>
      <w:r w:rsidR="00B87E09" w:rsidRPr="00B87E09">
        <w:rPr>
          <w:lang w:val="fr-FR"/>
        </w:rPr>
        <w:noBreakHyphen/>
      </w:r>
      <w:r w:rsidRPr="00B87E09">
        <w:rPr>
          <w:lang w:val="fr-FR"/>
        </w:rPr>
        <w:t>AG/13/8/10 “Compte rendu”</w:t>
      </w:r>
      <w:r w:rsidR="00630E58" w:rsidRPr="00B87E09">
        <w:rPr>
          <w:lang w:val="fr-FR"/>
        </w:rPr>
        <w:t xml:space="preserve"> (voir le paragraphe 25 du document CAJ/69/12 “Compte rendu des conclusions”)</w:t>
      </w:r>
      <w:r w:rsidRPr="00B87E09">
        <w:rPr>
          <w:lang w:val="fr-FR"/>
        </w:rPr>
        <w:t>.</w:t>
      </w:r>
    </w:p>
    <w:p w:rsidR="008C1516" w:rsidRPr="00AD4093" w:rsidRDefault="008C1516" w:rsidP="00AD4093"/>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630E58" w:rsidRPr="00B87E09">
        <w:rPr>
          <w:lang w:val="fr-FR"/>
        </w:rPr>
        <w:t xml:space="preserve">a </w:t>
      </w:r>
      <w:r w:rsidR="00630E58" w:rsidRPr="00B87E09">
        <w:rPr>
          <w:spacing w:val="-2"/>
          <w:lang w:val="fr-FR"/>
        </w:rPr>
        <w:t>approuvé</w:t>
      </w:r>
      <w:r w:rsidRPr="00B87E09">
        <w:rPr>
          <w:spacing w:val="-2"/>
          <w:lang w:val="fr-FR"/>
        </w:rPr>
        <w:t xml:space="preserve"> le programme de travail </w:t>
      </w:r>
      <w:r w:rsidR="00630E58" w:rsidRPr="00B87E09">
        <w:rPr>
          <w:spacing w:val="-2"/>
          <w:lang w:val="fr-FR"/>
        </w:rPr>
        <w:t xml:space="preserve">suivant </w:t>
      </w:r>
      <w:r w:rsidRPr="00B87E09">
        <w:rPr>
          <w:spacing w:val="-2"/>
          <w:lang w:val="fr-FR"/>
        </w:rPr>
        <w:t>relatif à l</w:t>
      </w:r>
      <w:r w:rsidR="00CA38FC" w:rsidRPr="00B87E09">
        <w:rPr>
          <w:spacing w:val="-2"/>
          <w:lang w:val="fr-FR"/>
        </w:rPr>
        <w:t>’</w:t>
      </w:r>
      <w:r w:rsidRPr="00B87E09">
        <w:rPr>
          <w:spacing w:val="-2"/>
          <w:lang w:val="fr-FR"/>
        </w:rPr>
        <w:t>élaboration de matériel d</w:t>
      </w:r>
      <w:r w:rsidR="00CA38FC" w:rsidRPr="00B87E09">
        <w:rPr>
          <w:spacing w:val="-2"/>
          <w:lang w:val="fr-FR"/>
        </w:rPr>
        <w:t>’</w:t>
      </w:r>
      <w:r w:rsidRPr="00B87E09">
        <w:rPr>
          <w:spacing w:val="-2"/>
          <w:lang w:val="fr-FR"/>
        </w:rPr>
        <w:t>information pour la neuvième session du </w:t>
      </w:r>
      <w:r w:rsidRPr="00B87E09">
        <w:rPr>
          <w:snapToGrid w:val="0"/>
          <w:lang w:val="fr-FR"/>
        </w:rPr>
        <w:t>CAJ</w:t>
      </w:r>
      <w:r w:rsidR="00B87E09" w:rsidRPr="00B87E09">
        <w:rPr>
          <w:snapToGrid w:val="0"/>
          <w:lang w:val="fr-FR"/>
        </w:rPr>
        <w:noBreakHyphen/>
      </w:r>
      <w:r w:rsidRPr="00B87E09">
        <w:rPr>
          <w:snapToGrid w:val="0"/>
          <w:lang w:val="fr-FR"/>
        </w:rPr>
        <w:t>AG, qui se tiendra en octobre 2014</w:t>
      </w:r>
      <w:r w:rsidR="00630E58" w:rsidRPr="00B87E09">
        <w:rPr>
          <w:snapToGrid w:val="0"/>
          <w:lang w:val="fr-FR"/>
        </w:rPr>
        <w:t xml:space="preserve"> </w:t>
      </w:r>
      <w:r w:rsidR="00630E58" w:rsidRPr="00B87E09">
        <w:rPr>
          <w:lang w:val="fr-FR"/>
        </w:rPr>
        <w:t>(voir le paragraphe 26 du document CAJ/69/12 “Compte rendu des conclusions”)</w:t>
      </w:r>
      <w:r w:rsidR="006F074F" w:rsidRPr="00B87E09">
        <w:rPr>
          <w:lang w:val="fr-FR"/>
        </w:rPr>
        <w:t> :</w:t>
      </w:r>
    </w:p>
    <w:p w:rsidR="006F074F" w:rsidRPr="00B87E09" w:rsidRDefault="006F074F" w:rsidP="008C1516">
      <w:pPr>
        <w:rPr>
          <w:lang w:val="fr-FR"/>
        </w:rPr>
      </w:pPr>
    </w:p>
    <w:p w:rsidR="006F074F" w:rsidRPr="00B87E09" w:rsidRDefault="006F074F" w:rsidP="006F074F">
      <w:pPr>
        <w:pStyle w:val="ListParagraph"/>
        <w:numPr>
          <w:ilvl w:val="0"/>
          <w:numId w:val="25"/>
        </w:numPr>
        <w:autoSpaceDE w:val="0"/>
        <w:autoSpaceDN w:val="0"/>
        <w:adjustRightInd w:val="0"/>
        <w:jc w:val="left"/>
        <w:rPr>
          <w:rFonts w:cs="Arial"/>
          <w:lang w:val="fr-FR"/>
        </w:rPr>
      </w:pPr>
      <w:r w:rsidRPr="00B87E09">
        <w:rPr>
          <w:rFonts w:cs="Arial"/>
          <w:lang w:val="fr-FR"/>
        </w:rPr>
        <w:t>Ouverture de la session</w:t>
      </w:r>
    </w:p>
    <w:p w:rsidR="006F074F" w:rsidRPr="007F070B" w:rsidRDefault="006F074F" w:rsidP="007F070B">
      <w:pPr>
        <w:autoSpaceDE w:val="0"/>
        <w:autoSpaceDN w:val="0"/>
        <w:adjustRightInd w:val="0"/>
        <w:ind w:left="567"/>
        <w:jc w:val="left"/>
        <w:rPr>
          <w:rFonts w:cs="Arial"/>
          <w:lang w:val="fr-FR"/>
        </w:rPr>
      </w:pPr>
    </w:p>
    <w:p w:rsidR="00E44531" w:rsidRPr="00B87E09" w:rsidRDefault="006F074F" w:rsidP="00E44531">
      <w:pPr>
        <w:pStyle w:val="ListParagraph"/>
        <w:numPr>
          <w:ilvl w:val="0"/>
          <w:numId w:val="25"/>
        </w:numPr>
        <w:autoSpaceDE w:val="0"/>
        <w:autoSpaceDN w:val="0"/>
        <w:adjustRightInd w:val="0"/>
        <w:jc w:val="left"/>
        <w:rPr>
          <w:rFonts w:cs="Arial"/>
          <w:lang w:val="fr-FR"/>
        </w:rPr>
      </w:pPr>
      <w:r w:rsidRPr="00B87E09">
        <w:rPr>
          <w:rFonts w:cs="Arial"/>
          <w:lang w:val="fr-FR"/>
        </w:rPr>
        <w:t>Adoption de l</w:t>
      </w:r>
      <w:r w:rsidR="00CA38FC" w:rsidRPr="00B87E09">
        <w:rPr>
          <w:rFonts w:cs="Arial"/>
          <w:lang w:val="fr-FR"/>
        </w:rPr>
        <w:t>’</w:t>
      </w:r>
      <w:r w:rsidRPr="00B87E09">
        <w:rPr>
          <w:rFonts w:cs="Arial"/>
          <w:lang w:val="fr-FR"/>
        </w:rPr>
        <w:t>ordre du jour</w:t>
      </w:r>
    </w:p>
    <w:p w:rsidR="00E44531" w:rsidRPr="007F070B" w:rsidRDefault="00E44531" w:rsidP="007F070B">
      <w:pPr>
        <w:ind w:left="567"/>
        <w:rPr>
          <w:rFonts w:cs="Arial"/>
          <w:lang w:val="fr-FR"/>
        </w:rPr>
      </w:pPr>
    </w:p>
    <w:p w:rsidR="006F074F" w:rsidRPr="007536F5" w:rsidRDefault="006F074F" w:rsidP="006F074F">
      <w:pPr>
        <w:pStyle w:val="ListParagraph"/>
        <w:numPr>
          <w:ilvl w:val="0"/>
          <w:numId w:val="25"/>
        </w:numPr>
        <w:autoSpaceDE w:val="0"/>
        <w:autoSpaceDN w:val="0"/>
        <w:adjustRightInd w:val="0"/>
        <w:jc w:val="left"/>
        <w:rPr>
          <w:rFonts w:cs="Arial"/>
          <w:lang w:val="fr-FR"/>
        </w:rPr>
      </w:pPr>
      <w:r w:rsidRPr="007536F5">
        <w:rPr>
          <w:rFonts w:cs="Arial"/>
          <w:lang w:val="fr-FR"/>
        </w:rPr>
        <w:t>Notes explicatives sur les variétés essentiellement dérivées selon l</w:t>
      </w:r>
      <w:r w:rsidR="00CA38FC" w:rsidRPr="007536F5">
        <w:rPr>
          <w:rFonts w:cs="Arial"/>
          <w:lang w:val="fr-FR"/>
        </w:rPr>
        <w:t>’</w:t>
      </w:r>
      <w:r w:rsidRPr="007536F5">
        <w:rPr>
          <w:rFonts w:cs="Arial"/>
          <w:lang w:val="fr-FR"/>
        </w:rPr>
        <w:t>Acte de</w:t>
      </w:r>
      <w:r w:rsidR="00C54380" w:rsidRPr="007536F5">
        <w:rPr>
          <w:rFonts w:cs="Arial"/>
          <w:lang w:val="fr-FR"/>
        </w:rPr>
        <w:t> </w:t>
      </w:r>
      <w:r w:rsidRPr="007536F5">
        <w:rPr>
          <w:rFonts w:cs="Arial"/>
          <w:lang w:val="fr-FR"/>
        </w:rPr>
        <w:t>1991</w:t>
      </w:r>
      <w:r w:rsidR="007536F5" w:rsidRPr="007536F5">
        <w:rPr>
          <w:rFonts w:cs="Arial"/>
          <w:lang w:val="fr-FR"/>
        </w:rPr>
        <w:t xml:space="preserve"> </w:t>
      </w:r>
      <w:r w:rsidRPr="007536F5">
        <w:rPr>
          <w:rFonts w:cs="Arial"/>
          <w:lang w:val="fr-FR"/>
        </w:rPr>
        <w:t xml:space="preserve">de la </w:t>
      </w:r>
      <w:r w:rsidR="00CA38FC" w:rsidRPr="007536F5">
        <w:rPr>
          <w:rFonts w:cs="Arial"/>
          <w:lang w:val="fr-FR"/>
        </w:rPr>
        <w:t>Convention UPOV</w:t>
      </w:r>
    </w:p>
    <w:p w:rsidR="006F074F" w:rsidRPr="00B87E09" w:rsidRDefault="006F074F" w:rsidP="007F070B">
      <w:pPr>
        <w:autoSpaceDE w:val="0"/>
        <w:autoSpaceDN w:val="0"/>
        <w:adjustRightInd w:val="0"/>
        <w:ind w:left="567"/>
        <w:jc w:val="left"/>
        <w:rPr>
          <w:rFonts w:cs="Arial"/>
          <w:lang w:val="fr-FR"/>
        </w:rPr>
      </w:pPr>
    </w:p>
    <w:p w:rsidR="006F074F" w:rsidRPr="00B87E09" w:rsidRDefault="006F074F" w:rsidP="006F074F">
      <w:pPr>
        <w:pStyle w:val="ListParagraph"/>
        <w:numPr>
          <w:ilvl w:val="0"/>
          <w:numId w:val="25"/>
        </w:numPr>
        <w:autoSpaceDE w:val="0"/>
        <w:autoSpaceDN w:val="0"/>
        <w:adjustRightInd w:val="0"/>
        <w:jc w:val="left"/>
        <w:rPr>
          <w:rFonts w:cs="Arial"/>
          <w:lang w:val="fr-FR"/>
        </w:rPr>
      </w:pPr>
      <w:r w:rsidRPr="00B87E09">
        <w:rPr>
          <w:rFonts w:cs="Arial"/>
          <w:lang w:val="fr-FR"/>
        </w:rPr>
        <w:lastRenderedPageBreak/>
        <w:t>Notes explicatives sur</w:t>
      </w:r>
      <w:r w:rsidR="00E44531" w:rsidRPr="00B87E09">
        <w:rPr>
          <w:rFonts w:cs="Arial"/>
          <w:lang w:val="fr-FR"/>
        </w:rPr>
        <w:t xml:space="preserve"> la reproduction ou la multiplication et sur</w:t>
      </w:r>
      <w:r w:rsidRPr="00B87E09">
        <w:rPr>
          <w:rFonts w:cs="Arial"/>
          <w:lang w:val="fr-FR"/>
        </w:rPr>
        <w:t xml:space="preserve"> le matériel de reproduction ou de multiplication</w:t>
      </w:r>
    </w:p>
    <w:p w:rsidR="006F074F" w:rsidRPr="00B87E09" w:rsidRDefault="006F074F" w:rsidP="006F074F">
      <w:pPr>
        <w:pStyle w:val="ListParagraph"/>
        <w:autoSpaceDE w:val="0"/>
        <w:autoSpaceDN w:val="0"/>
        <w:adjustRightInd w:val="0"/>
        <w:ind w:left="1137"/>
        <w:jc w:val="left"/>
        <w:rPr>
          <w:rFonts w:cs="Arial"/>
          <w:lang w:val="fr-FR"/>
        </w:rPr>
      </w:pPr>
    </w:p>
    <w:p w:rsidR="006F074F" w:rsidRDefault="006F074F" w:rsidP="007536F5">
      <w:pPr>
        <w:pStyle w:val="ListParagraph"/>
        <w:numPr>
          <w:ilvl w:val="0"/>
          <w:numId w:val="25"/>
        </w:numPr>
        <w:autoSpaceDE w:val="0"/>
        <w:autoSpaceDN w:val="0"/>
        <w:adjustRightInd w:val="0"/>
        <w:jc w:val="left"/>
        <w:rPr>
          <w:rFonts w:cs="Arial"/>
          <w:lang w:val="fr-FR"/>
        </w:rPr>
      </w:pPr>
      <w:r w:rsidRPr="007536F5">
        <w:rPr>
          <w:rFonts w:cs="Arial"/>
          <w:lang w:val="fr-FR"/>
        </w:rPr>
        <w:t>Notes explicatives sur les actes à</w:t>
      </w:r>
      <w:r w:rsidR="00C54380" w:rsidRPr="007536F5">
        <w:rPr>
          <w:rFonts w:cs="Arial"/>
          <w:lang w:val="fr-FR"/>
        </w:rPr>
        <w:t> </w:t>
      </w:r>
      <w:r w:rsidRPr="007536F5">
        <w:rPr>
          <w:rFonts w:cs="Arial"/>
          <w:lang w:val="fr-FR"/>
        </w:rPr>
        <w:t>l</w:t>
      </w:r>
      <w:r w:rsidR="00CA38FC" w:rsidRPr="007536F5">
        <w:rPr>
          <w:rFonts w:cs="Arial"/>
          <w:lang w:val="fr-FR"/>
        </w:rPr>
        <w:t>’</w:t>
      </w:r>
      <w:r w:rsidRPr="007536F5">
        <w:rPr>
          <w:rFonts w:cs="Arial"/>
          <w:lang w:val="fr-FR"/>
        </w:rPr>
        <w:t>égard du produit de la récolte selon l</w:t>
      </w:r>
      <w:r w:rsidR="00CA38FC" w:rsidRPr="007536F5">
        <w:rPr>
          <w:rFonts w:cs="Arial"/>
          <w:lang w:val="fr-FR"/>
        </w:rPr>
        <w:t>’</w:t>
      </w:r>
      <w:r w:rsidRPr="007536F5">
        <w:rPr>
          <w:rFonts w:cs="Arial"/>
          <w:lang w:val="fr-FR"/>
        </w:rPr>
        <w:t>Acte de</w:t>
      </w:r>
      <w:r w:rsidR="00C54380" w:rsidRPr="007536F5">
        <w:rPr>
          <w:rFonts w:cs="Arial"/>
          <w:lang w:val="fr-FR"/>
        </w:rPr>
        <w:t> </w:t>
      </w:r>
      <w:r w:rsidRPr="007536F5">
        <w:rPr>
          <w:rFonts w:cs="Arial"/>
          <w:lang w:val="fr-FR"/>
        </w:rPr>
        <w:t>1991 de</w:t>
      </w:r>
      <w:r w:rsidR="007536F5" w:rsidRPr="007536F5">
        <w:rPr>
          <w:rFonts w:cs="Arial"/>
          <w:lang w:val="fr-FR"/>
        </w:rPr>
        <w:t xml:space="preserve"> </w:t>
      </w:r>
      <w:r w:rsidRPr="007536F5">
        <w:rPr>
          <w:rFonts w:cs="Arial"/>
          <w:lang w:val="fr-FR"/>
        </w:rPr>
        <w:t xml:space="preserve">la </w:t>
      </w:r>
      <w:r w:rsidR="00CA38FC" w:rsidRPr="007536F5">
        <w:rPr>
          <w:rFonts w:cs="Arial"/>
          <w:lang w:val="fr-FR"/>
        </w:rPr>
        <w:t>Convention UPOV</w:t>
      </w:r>
    </w:p>
    <w:p w:rsidR="00F95C04" w:rsidRPr="00F95C04" w:rsidRDefault="00F95C04" w:rsidP="00F95C04">
      <w:pPr>
        <w:autoSpaceDE w:val="0"/>
        <w:autoSpaceDN w:val="0"/>
        <w:adjustRightInd w:val="0"/>
        <w:ind w:left="1134"/>
        <w:jc w:val="left"/>
        <w:rPr>
          <w:rFonts w:cs="Arial"/>
          <w:lang w:val="fr-FR"/>
        </w:rPr>
      </w:pPr>
    </w:p>
    <w:p w:rsidR="006F074F" w:rsidRPr="00B87E09" w:rsidRDefault="006F074F" w:rsidP="007536F5">
      <w:pPr>
        <w:pStyle w:val="ListParagraph"/>
        <w:numPr>
          <w:ilvl w:val="0"/>
          <w:numId w:val="25"/>
        </w:numPr>
        <w:autoSpaceDE w:val="0"/>
        <w:autoSpaceDN w:val="0"/>
        <w:adjustRightInd w:val="0"/>
        <w:jc w:val="left"/>
        <w:rPr>
          <w:rFonts w:cs="Arial"/>
          <w:lang w:val="fr-FR"/>
        </w:rPr>
      </w:pPr>
      <w:r w:rsidRPr="00B87E09">
        <w:rPr>
          <w:rFonts w:cs="Arial"/>
          <w:lang w:val="fr-FR"/>
        </w:rPr>
        <w:t>Questions concernant la déchéance de l</w:t>
      </w:r>
      <w:r w:rsidR="00CA38FC" w:rsidRPr="00B87E09">
        <w:rPr>
          <w:rFonts w:cs="Arial"/>
          <w:lang w:val="fr-FR"/>
        </w:rPr>
        <w:t>’</w:t>
      </w:r>
      <w:r w:rsidRPr="00B87E09">
        <w:rPr>
          <w:rFonts w:cs="Arial"/>
          <w:lang w:val="fr-FR"/>
        </w:rPr>
        <w:t>obtenteur</w:t>
      </w:r>
    </w:p>
    <w:p w:rsidR="006F074F" w:rsidRPr="00B87E09" w:rsidRDefault="006F074F" w:rsidP="007536F5">
      <w:pPr>
        <w:pStyle w:val="ListParagraph"/>
        <w:autoSpaceDE w:val="0"/>
        <w:autoSpaceDN w:val="0"/>
        <w:adjustRightInd w:val="0"/>
        <w:ind w:left="1137"/>
        <w:jc w:val="left"/>
        <w:rPr>
          <w:rFonts w:cs="Arial"/>
          <w:lang w:val="fr-FR"/>
        </w:rPr>
      </w:pPr>
    </w:p>
    <w:p w:rsidR="006F074F" w:rsidRPr="00B87E09" w:rsidRDefault="006F074F" w:rsidP="007536F5">
      <w:pPr>
        <w:pStyle w:val="ListParagraph"/>
        <w:numPr>
          <w:ilvl w:val="0"/>
          <w:numId w:val="25"/>
        </w:numPr>
        <w:autoSpaceDE w:val="0"/>
        <w:autoSpaceDN w:val="0"/>
        <w:adjustRightInd w:val="0"/>
        <w:jc w:val="left"/>
        <w:rPr>
          <w:rFonts w:cs="Arial"/>
          <w:lang w:val="fr-FR"/>
        </w:rPr>
      </w:pPr>
      <w:r w:rsidRPr="00B87E09">
        <w:rPr>
          <w:rFonts w:cs="Arial"/>
          <w:lang w:val="fr-FR"/>
        </w:rPr>
        <w:t>Questions concernant la nullité du droit d</w:t>
      </w:r>
      <w:r w:rsidR="00CA38FC" w:rsidRPr="00B87E09">
        <w:rPr>
          <w:rFonts w:cs="Arial"/>
          <w:lang w:val="fr-FR"/>
        </w:rPr>
        <w:t>’</w:t>
      </w:r>
      <w:r w:rsidRPr="00B87E09">
        <w:rPr>
          <w:rFonts w:cs="Arial"/>
          <w:lang w:val="fr-FR"/>
        </w:rPr>
        <w:t>obtenteur</w:t>
      </w:r>
    </w:p>
    <w:p w:rsidR="006F074F" w:rsidRPr="00B87E09" w:rsidRDefault="006F074F" w:rsidP="007536F5">
      <w:pPr>
        <w:pStyle w:val="ListParagraph"/>
        <w:autoSpaceDE w:val="0"/>
        <w:autoSpaceDN w:val="0"/>
        <w:adjustRightInd w:val="0"/>
        <w:ind w:left="1137"/>
        <w:jc w:val="left"/>
        <w:rPr>
          <w:rFonts w:cs="Arial"/>
          <w:lang w:val="fr-FR"/>
        </w:rPr>
      </w:pPr>
    </w:p>
    <w:p w:rsidR="006F074F" w:rsidRPr="00B87E09" w:rsidRDefault="006F074F" w:rsidP="007536F5">
      <w:pPr>
        <w:pStyle w:val="ListParagraph"/>
        <w:numPr>
          <w:ilvl w:val="0"/>
          <w:numId w:val="25"/>
        </w:numPr>
        <w:autoSpaceDE w:val="0"/>
        <w:autoSpaceDN w:val="0"/>
        <w:adjustRightInd w:val="0"/>
        <w:jc w:val="left"/>
        <w:rPr>
          <w:rFonts w:cs="Arial"/>
          <w:lang w:val="fr-FR"/>
        </w:rPr>
      </w:pPr>
      <w:r w:rsidRPr="00B87E09">
        <w:rPr>
          <w:rFonts w:cs="Arial"/>
          <w:lang w:val="fr-FR"/>
        </w:rPr>
        <w:t>Questions concernant les dénominations variétales</w:t>
      </w:r>
    </w:p>
    <w:p w:rsidR="006F074F" w:rsidRPr="00B87E09" w:rsidRDefault="006F074F" w:rsidP="007536F5">
      <w:pPr>
        <w:pStyle w:val="ListParagraph"/>
        <w:autoSpaceDE w:val="0"/>
        <w:autoSpaceDN w:val="0"/>
        <w:adjustRightInd w:val="0"/>
        <w:ind w:left="1137"/>
        <w:jc w:val="left"/>
        <w:rPr>
          <w:rFonts w:cs="Arial"/>
          <w:lang w:val="fr-FR"/>
        </w:rPr>
      </w:pPr>
    </w:p>
    <w:p w:rsidR="006F074F" w:rsidRPr="00B87E09" w:rsidRDefault="006F074F" w:rsidP="007536F5">
      <w:pPr>
        <w:pStyle w:val="ListParagraph"/>
        <w:numPr>
          <w:ilvl w:val="0"/>
          <w:numId w:val="25"/>
        </w:numPr>
        <w:autoSpaceDE w:val="0"/>
        <w:autoSpaceDN w:val="0"/>
        <w:adjustRightInd w:val="0"/>
        <w:jc w:val="left"/>
        <w:rPr>
          <w:rFonts w:cs="Arial"/>
          <w:lang w:val="fr-FR"/>
        </w:rPr>
      </w:pPr>
      <w:r w:rsidRPr="00B87E09">
        <w:rPr>
          <w:rFonts w:cs="Arial"/>
          <w:lang w:val="fr-FR"/>
        </w:rPr>
        <w:t>Questions concernant les descriptions variétales</w:t>
      </w:r>
    </w:p>
    <w:p w:rsidR="006F074F" w:rsidRPr="00B87E09" w:rsidRDefault="006F074F" w:rsidP="007536F5">
      <w:pPr>
        <w:pStyle w:val="ListParagraph"/>
        <w:autoSpaceDE w:val="0"/>
        <w:autoSpaceDN w:val="0"/>
        <w:adjustRightInd w:val="0"/>
        <w:ind w:left="1137"/>
        <w:jc w:val="left"/>
        <w:rPr>
          <w:rFonts w:cs="Arial"/>
          <w:lang w:val="fr-FR"/>
        </w:rPr>
      </w:pPr>
    </w:p>
    <w:p w:rsidR="006F074F" w:rsidRPr="00B87E09" w:rsidRDefault="006F074F" w:rsidP="007536F5">
      <w:pPr>
        <w:pStyle w:val="ListParagraph"/>
        <w:numPr>
          <w:ilvl w:val="0"/>
          <w:numId w:val="25"/>
        </w:numPr>
        <w:autoSpaceDE w:val="0"/>
        <w:autoSpaceDN w:val="0"/>
        <w:adjustRightInd w:val="0"/>
        <w:jc w:val="left"/>
        <w:rPr>
          <w:rFonts w:cs="Arial"/>
          <w:lang w:val="fr-FR"/>
        </w:rPr>
      </w:pPr>
      <w:r w:rsidRPr="00B87E09">
        <w:rPr>
          <w:rFonts w:cs="Arial"/>
          <w:lang w:val="fr-FR"/>
        </w:rPr>
        <w:t>Questions concernant la protection provisoire</w:t>
      </w:r>
    </w:p>
    <w:p w:rsidR="006F074F" w:rsidRPr="00B87E09" w:rsidRDefault="006F074F" w:rsidP="007536F5">
      <w:pPr>
        <w:pStyle w:val="ListParagraph"/>
        <w:autoSpaceDE w:val="0"/>
        <w:autoSpaceDN w:val="0"/>
        <w:adjustRightInd w:val="0"/>
        <w:ind w:left="1137"/>
        <w:jc w:val="left"/>
        <w:rPr>
          <w:rFonts w:cs="Arial"/>
          <w:lang w:val="fr-FR"/>
        </w:rPr>
      </w:pPr>
    </w:p>
    <w:p w:rsidR="006F074F" w:rsidRPr="00B87E09" w:rsidRDefault="006F074F" w:rsidP="007536F5">
      <w:pPr>
        <w:pStyle w:val="ListParagraph"/>
        <w:numPr>
          <w:ilvl w:val="0"/>
          <w:numId w:val="25"/>
        </w:numPr>
        <w:autoSpaceDE w:val="0"/>
        <w:autoSpaceDN w:val="0"/>
        <w:adjustRightInd w:val="0"/>
        <w:jc w:val="left"/>
        <w:rPr>
          <w:rFonts w:cs="Arial"/>
          <w:lang w:val="fr-FR"/>
        </w:rPr>
      </w:pPr>
      <w:r w:rsidRPr="00B87E09">
        <w:rPr>
          <w:rFonts w:cs="Arial"/>
          <w:lang w:val="fr-FR"/>
        </w:rPr>
        <w:t>Questions concernant la participation d</w:t>
      </w:r>
      <w:r w:rsidR="00CA38FC" w:rsidRPr="00B87E09">
        <w:rPr>
          <w:rFonts w:cs="Arial"/>
          <w:lang w:val="fr-FR"/>
        </w:rPr>
        <w:t>’</w:t>
      </w:r>
      <w:r w:rsidRPr="00B87E09">
        <w:rPr>
          <w:rFonts w:cs="Arial"/>
          <w:lang w:val="fr-FR"/>
        </w:rPr>
        <w:t>observateurs</w:t>
      </w:r>
      <w:r w:rsidR="00CA38FC" w:rsidRPr="00B87E09">
        <w:rPr>
          <w:rFonts w:cs="Arial"/>
          <w:lang w:val="fr-FR"/>
        </w:rPr>
        <w:t xml:space="preserve"> au CAJ</w:t>
      </w:r>
      <w:r w:rsidR="00B87E09" w:rsidRPr="00B87E09">
        <w:rPr>
          <w:rFonts w:cs="Arial"/>
          <w:lang w:val="fr-FR"/>
        </w:rPr>
        <w:noBreakHyphen/>
      </w:r>
      <w:r w:rsidRPr="00B87E09">
        <w:rPr>
          <w:rFonts w:cs="Arial"/>
          <w:lang w:val="fr-FR"/>
        </w:rPr>
        <w:t>AG</w:t>
      </w:r>
    </w:p>
    <w:p w:rsidR="006F074F" w:rsidRPr="00B87E09" w:rsidRDefault="006F074F" w:rsidP="007536F5">
      <w:pPr>
        <w:pStyle w:val="ListParagraph"/>
        <w:autoSpaceDE w:val="0"/>
        <w:autoSpaceDN w:val="0"/>
        <w:adjustRightInd w:val="0"/>
        <w:ind w:left="1137"/>
        <w:jc w:val="left"/>
        <w:rPr>
          <w:rFonts w:cs="Arial"/>
          <w:lang w:val="fr-FR"/>
        </w:rPr>
      </w:pPr>
    </w:p>
    <w:p w:rsidR="006F074F" w:rsidRPr="007536F5" w:rsidRDefault="006F074F" w:rsidP="007536F5">
      <w:pPr>
        <w:pStyle w:val="ListParagraph"/>
        <w:numPr>
          <w:ilvl w:val="0"/>
          <w:numId w:val="25"/>
        </w:numPr>
        <w:autoSpaceDE w:val="0"/>
        <w:autoSpaceDN w:val="0"/>
        <w:adjustRightInd w:val="0"/>
        <w:jc w:val="left"/>
        <w:rPr>
          <w:rFonts w:cs="Arial"/>
          <w:lang w:val="fr-FR"/>
        </w:rPr>
      </w:pPr>
      <w:r w:rsidRPr="007536F5">
        <w:rPr>
          <w:rFonts w:cs="Arial"/>
          <w:lang w:val="fr-FR"/>
        </w:rPr>
        <w:t>Possibles mécanismes extrajudiciaires de règlement des litiges pour les variétés</w:t>
      </w:r>
      <w:r w:rsidR="007536F5" w:rsidRPr="007536F5">
        <w:rPr>
          <w:rFonts w:cs="Arial"/>
          <w:lang w:val="fr-FR"/>
        </w:rPr>
        <w:t xml:space="preserve"> </w:t>
      </w:r>
      <w:r w:rsidRPr="007536F5">
        <w:rPr>
          <w:rFonts w:cs="Arial"/>
          <w:lang w:val="fr-FR"/>
        </w:rPr>
        <w:t>essentiellement dérivées</w:t>
      </w:r>
    </w:p>
    <w:p w:rsidR="006F074F" w:rsidRPr="00B87E09" w:rsidRDefault="006F074F" w:rsidP="007536F5">
      <w:pPr>
        <w:pStyle w:val="ListParagraph"/>
        <w:autoSpaceDE w:val="0"/>
        <w:autoSpaceDN w:val="0"/>
        <w:adjustRightInd w:val="0"/>
        <w:ind w:left="1137"/>
        <w:jc w:val="left"/>
        <w:rPr>
          <w:rFonts w:cs="Arial"/>
          <w:lang w:val="fr-FR"/>
        </w:rPr>
      </w:pPr>
    </w:p>
    <w:p w:rsidR="006F074F" w:rsidRPr="007536F5" w:rsidRDefault="006F074F" w:rsidP="007536F5">
      <w:pPr>
        <w:pStyle w:val="ListParagraph"/>
        <w:numPr>
          <w:ilvl w:val="0"/>
          <w:numId w:val="25"/>
        </w:numPr>
        <w:autoSpaceDE w:val="0"/>
        <w:autoSpaceDN w:val="0"/>
        <w:adjustRightInd w:val="0"/>
        <w:jc w:val="left"/>
        <w:rPr>
          <w:rFonts w:cs="Arial"/>
          <w:lang w:val="fr-FR"/>
        </w:rPr>
      </w:pPr>
      <w:r w:rsidRPr="007536F5">
        <w:rPr>
          <w:rFonts w:cs="Arial"/>
          <w:lang w:val="fr-FR"/>
        </w:rPr>
        <w:t>Questions soumises pour examen</w:t>
      </w:r>
      <w:r w:rsidR="00CA38FC" w:rsidRPr="007536F5">
        <w:rPr>
          <w:rFonts w:cs="Arial"/>
          <w:lang w:val="fr-FR"/>
        </w:rPr>
        <w:t xml:space="preserve"> au CAJ</w:t>
      </w:r>
      <w:r w:rsidR="00B87E09" w:rsidRPr="007536F5">
        <w:rPr>
          <w:rFonts w:cs="Arial"/>
          <w:lang w:val="fr-FR"/>
        </w:rPr>
        <w:noBreakHyphen/>
      </w:r>
      <w:r w:rsidRPr="007536F5">
        <w:rPr>
          <w:rFonts w:cs="Arial"/>
          <w:lang w:val="fr-FR"/>
        </w:rPr>
        <w:t>AG par</w:t>
      </w:r>
      <w:r w:rsidR="00CA38FC" w:rsidRPr="007536F5">
        <w:rPr>
          <w:rFonts w:cs="Arial"/>
          <w:lang w:val="fr-FR"/>
        </w:rPr>
        <w:t xml:space="preserve"> le CAJ</w:t>
      </w:r>
      <w:r w:rsidRPr="007536F5">
        <w:rPr>
          <w:rFonts w:cs="Arial"/>
          <w:lang w:val="fr-FR"/>
        </w:rPr>
        <w:t xml:space="preserve"> depuis la huitième</w:t>
      </w:r>
      <w:r w:rsidR="00C54380" w:rsidRPr="007536F5">
        <w:rPr>
          <w:rFonts w:cs="Arial"/>
          <w:lang w:val="fr-FR"/>
        </w:rPr>
        <w:t> </w:t>
      </w:r>
      <w:r w:rsidRPr="007536F5">
        <w:rPr>
          <w:rFonts w:cs="Arial"/>
          <w:lang w:val="fr-FR"/>
        </w:rPr>
        <w:t>session</w:t>
      </w:r>
      <w:r w:rsidR="007536F5" w:rsidRPr="007536F5">
        <w:rPr>
          <w:rFonts w:cs="Arial"/>
          <w:lang w:val="fr-FR"/>
        </w:rPr>
        <w:t xml:space="preserve"> </w:t>
      </w:r>
      <w:r w:rsidRPr="007536F5">
        <w:rPr>
          <w:rFonts w:cs="Arial"/>
          <w:lang w:val="fr-FR"/>
        </w:rPr>
        <w:t>du CAJ</w:t>
      </w:r>
      <w:r w:rsidR="00B87E09" w:rsidRPr="007536F5">
        <w:rPr>
          <w:rFonts w:cs="Arial"/>
          <w:lang w:val="fr-FR"/>
        </w:rPr>
        <w:noBreakHyphen/>
      </w:r>
      <w:r w:rsidRPr="007536F5">
        <w:rPr>
          <w:rFonts w:cs="Arial"/>
          <w:lang w:val="fr-FR"/>
        </w:rPr>
        <w:t>AG</w:t>
      </w:r>
    </w:p>
    <w:p w:rsidR="006F074F" w:rsidRPr="00B87E09" w:rsidRDefault="006F074F" w:rsidP="007536F5">
      <w:pPr>
        <w:pStyle w:val="ListParagraph"/>
        <w:autoSpaceDE w:val="0"/>
        <w:autoSpaceDN w:val="0"/>
        <w:adjustRightInd w:val="0"/>
        <w:ind w:left="1137"/>
        <w:jc w:val="left"/>
        <w:rPr>
          <w:rFonts w:cs="Arial"/>
          <w:lang w:val="fr-FR"/>
        </w:rPr>
      </w:pPr>
    </w:p>
    <w:p w:rsidR="006F074F" w:rsidRPr="007536F5" w:rsidRDefault="006F074F" w:rsidP="007536F5">
      <w:pPr>
        <w:pStyle w:val="ListParagraph"/>
        <w:numPr>
          <w:ilvl w:val="0"/>
          <w:numId w:val="25"/>
        </w:numPr>
        <w:autoSpaceDE w:val="0"/>
        <w:autoSpaceDN w:val="0"/>
        <w:adjustRightInd w:val="0"/>
        <w:jc w:val="left"/>
        <w:rPr>
          <w:rFonts w:cs="Arial"/>
          <w:lang w:val="fr-FR"/>
        </w:rPr>
      </w:pPr>
      <w:r w:rsidRPr="00B87E09">
        <w:rPr>
          <w:rFonts w:cs="Arial"/>
          <w:lang w:val="fr-FR"/>
        </w:rPr>
        <w:t>Date et programme de la dixième</w:t>
      </w:r>
      <w:r w:rsidR="00C54380" w:rsidRPr="00B87E09">
        <w:rPr>
          <w:rFonts w:cs="Arial"/>
          <w:lang w:val="fr-FR"/>
        </w:rPr>
        <w:t> </w:t>
      </w:r>
      <w:r w:rsidRPr="00B87E09">
        <w:rPr>
          <w:rFonts w:cs="Arial"/>
          <w:lang w:val="fr-FR"/>
        </w:rPr>
        <w:t>session</w:t>
      </w:r>
    </w:p>
    <w:p w:rsidR="008C1516" w:rsidRPr="00B87E09" w:rsidRDefault="008C1516" w:rsidP="008C1516">
      <w:pPr>
        <w:rPr>
          <w:lang w:val="fr-FR"/>
        </w:rPr>
      </w:pPr>
    </w:p>
    <w:p w:rsidR="008C1516" w:rsidRPr="00B87E09" w:rsidRDefault="008C1516" w:rsidP="008C1516">
      <w:pPr>
        <w:rPr>
          <w:lang w:val="fr-FR"/>
        </w:rPr>
      </w:pPr>
      <w:r w:rsidRPr="00B87E09">
        <w:rPr>
          <w:rFonts w:cs="Arial"/>
          <w:lang w:val="fr-FR"/>
        </w:rPr>
        <w:fldChar w:fldCharType="begin"/>
      </w:r>
      <w:r w:rsidRPr="00B87E09">
        <w:rPr>
          <w:rFonts w:cs="Arial"/>
          <w:lang w:val="fr-FR"/>
        </w:rPr>
        <w:instrText xml:space="preserve"> AUTONUM  </w:instrText>
      </w:r>
      <w:r w:rsidRPr="00B87E09">
        <w:rPr>
          <w:rFonts w:cs="Arial"/>
          <w:lang w:val="fr-FR"/>
        </w:rPr>
        <w:fldChar w:fldCharType="end"/>
      </w:r>
      <w:r w:rsidRPr="00B87E09">
        <w:rPr>
          <w:rFonts w:cs="Arial"/>
          <w:lang w:val="fr-FR"/>
        </w:rPr>
        <w:tab/>
      </w:r>
      <w:r w:rsidRPr="00B87E09">
        <w:rPr>
          <w:lang w:val="fr-FR"/>
        </w:rPr>
        <w:t>Le</w:t>
      </w:r>
      <w:r w:rsidRPr="00B87E09">
        <w:rPr>
          <w:rFonts w:cs="Arial"/>
          <w:lang w:val="fr-FR"/>
        </w:rPr>
        <w:t xml:space="preserve"> CAJ </w:t>
      </w:r>
      <w:r w:rsidR="006F074F" w:rsidRPr="00B87E09">
        <w:rPr>
          <w:rFonts w:cs="Arial"/>
          <w:lang w:val="fr-FR"/>
        </w:rPr>
        <w:t>est convenu</w:t>
      </w:r>
      <w:r w:rsidRPr="00B87E09">
        <w:rPr>
          <w:rFonts w:cs="Arial"/>
          <w:lang w:val="fr-FR"/>
        </w:rPr>
        <w:t xml:space="preserve"> </w:t>
      </w:r>
      <w:r w:rsidRPr="00B87E09">
        <w:rPr>
          <w:szCs w:val="24"/>
          <w:lang w:val="fr-FR"/>
        </w:rPr>
        <w:t>que les nouvelles versions suivantes des notes explicatives ser</w:t>
      </w:r>
      <w:r w:rsidR="006F074F" w:rsidRPr="00B87E09">
        <w:rPr>
          <w:szCs w:val="24"/>
          <w:lang w:val="fr-FR"/>
        </w:rPr>
        <w:t>aie</w:t>
      </w:r>
      <w:r w:rsidRPr="00B87E09">
        <w:rPr>
          <w:szCs w:val="24"/>
          <w:lang w:val="fr-FR"/>
        </w:rPr>
        <w:t xml:space="preserve">nt communiquées </w:t>
      </w:r>
      <w:r w:rsidRPr="00B87E09">
        <w:rPr>
          <w:rFonts w:cs="Arial"/>
          <w:lang w:val="fr-FR"/>
        </w:rPr>
        <w:t>au</w:t>
      </w:r>
      <w:r w:rsidRPr="00B87E09">
        <w:rPr>
          <w:szCs w:val="24"/>
          <w:lang w:val="fr-FR"/>
        </w:rPr>
        <w:t> CAJ</w:t>
      </w:r>
      <w:r w:rsidR="00B87E09" w:rsidRPr="00B87E09">
        <w:rPr>
          <w:szCs w:val="24"/>
          <w:lang w:val="fr-FR"/>
        </w:rPr>
        <w:noBreakHyphen/>
      </w:r>
      <w:r w:rsidRPr="00B87E09">
        <w:rPr>
          <w:szCs w:val="24"/>
          <w:lang w:val="fr-FR"/>
        </w:rPr>
        <w:t xml:space="preserve">AG, </w:t>
      </w:r>
      <w:r w:rsidR="00E44531" w:rsidRPr="00B87E09">
        <w:rPr>
          <w:szCs w:val="24"/>
          <w:lang w:val="fr-FR"/>
        </w:rPr>
        <w:t>avant le</w:t>
      </w:r>
      <w:r w:rsidRPr="00B87E09">
        <w:rPr>
          <w:szCs w:val="24"/>
          <w:lang w:val="fr-FR"/>
        </w:rPr>
        <w:t xml:space="preserve"> 9 mai 2014, </w:t>
      </w:r>
      <w:r w:rsidRPr="00B87E09">
        <w:rPr>
          <w:rFonts w:cs="Arial"/>
          <w:lang w:val="fr-FR"/>
        </w:rPr>
        <w:t>et que les membres du CAJ et les observateurs aur</w:t>
      </w:r>
      <w:r w:rsidR="006F074F" w:rsidRPr="00B87E09">
        <w:rPr>
          <w:rFonts w:cs="Arial"/>
          <w:lang w:val="fr-FR"/>
        </w:rPr>
        <w:t>aie</w:t>
      </w:r>
      <w:r w:rsidRPr="00B87E09">
        <w:rPr>
          <w:rFonts w:cs="Arial"/>
          <w:lang w:val="fr-FR"/>
        </w:rPr>
        <w:t>nt également la possibilité de formuler des observations </w:t>
      </w:r>
      <w:r w:rsidR="006F074F" w:rsidRPr="00B87E09">
        <w:rPr>
          <w:lang w:val="fr-FR"/>
        </w:rPr>
        <w:t>(voir le paragraphe 27 du document CAJ/69/12 “Compte rendu des conclusions”) </w:t>
      </w:r>
      <w:r w:rsidRPr="00B87E09">
        <w:rPr>
          <w:rFonts w:cs="Arial"/>
          <w:lang w:val="fr-FR"/>
        </w:rPr>
        <w:t>:</w:t>
      </w:r>
    </w:p>
    <w:p w:rsidR="008C1516" w:rsidRPr="00B87E09" w:rsidRDefault="008C1516" w:rsidP="008C1516">
      <w:pPr>
        <w:rPr>
          <w:szCs w:val="24"/>
          <w:lang w:val="fr-FR"/>
        </w:rPr>
      </w:pPr>
    </w:p>
    <w:p w:rsidR="008C1516" w:rsidRPr="00156B67" w:rsidRDefault="008C1516" w:rsidP="00156B67">
      <w:pPr>
        <w:pStyle w:val="ListParagraph"/>
        <w:numPr>
          <w:ilvl w:val="0"/>
          <w:numId w:val="26"/>
        </w:numPr>
        <w:ind w:left="851" w:hanging="284"/>
        <w:rPr>
          <w:lang w:val="fr-FR"/>
        </w:rPr>
      </w:pPr>
      <w:r w:rsidRPr="00156B67">
        <w:rPr>
          <w:lang w:val="fr-FR"/>
        </w:rPr>
        <w:t>Notes explicatives sur les variétés essentiellement dérivées selon l</w:t>
      </w:r>
      <w:r w:rsidR="00CA38FC" w:rsidRPr="00156B67">
        <w:rPr>
          <w:lang w:val="fr-FR"/>
        </w:rPr>
        <w:t>’</w:t>
      </w:r>
      <w:r w:rsidRPr="00156B67">
        <w:rPr>
          <w:lang w:val="fr-FR"/>
        </w:rPr>
        <w:t>Acte de 1991 de la </w:t>
      </w:r>
      <w:r w:rsidR="00CA38FC" w:rsidRPr="00156B67">
        <w:rPr>
          <w:lang w:val="fr-FR"/>
        </w:rPr>
        <w:t>Convention UPOV</w:t>
      </w:r>
      <w:r w:rsidRPr="00156B67">
        <w:rPr>
          <w:lang w:val="fr-FR"/>
        </w:rPr>
        <w:t xml:space="preserve"> (document UPOV/EXN/EDV/2 Draft 4)</w:t>
      </w:r>
    </w:p>
    <w:p w:rsidR="008C1516" w:rsidRPr="00B87E09" w:rsidRDefault="008C1516" w:rsidP="00156B67">
      <w:pPr>
        <w:ind w:left="851" w:hanging="284"/>
        <w:rPr>
          <w:lang w:val="fr-FR"/>
        </w:rPr>
      </w:pPr>
    </w:p>
    <w:p w:rsidR="008C1516" w:rsidRPr="00156B67" w:rsidRDefault="008C1516" w:rsidP="00156B67">
      <w:pPr>
        <w:pStyle w:val="ListParagraph"/>
        <w:numPr>
          <w:ilvl w:val="0"/>
          <w:numId w:val="26"/>
        </w:numPr>
        <w:ind w:left="851" w:hanging="284"/>
        <w:rPr>
          <w:lang w:val="fr-FR"/>
        </w:rPr>
      </w:pPr>
      <w:r w:rsidRPr="00156B67">
        <w:rPr>
          <w:lang w:val="fr-FR"/>
        </w:rPr>
        <w:t>Notes explicatives sur le matériel de reproduction ou de multiplication (document UPOV/EXN/PPM Draft 2)</w:t>
      </w:r>
    </w:p>
    <w:p w:rsidR="008C1516" w:rsidRPr="00B87E09" w:rsidRDefault="008C1516" w:rsidP="00156B67">
      <w:pPr>
        <w:ind w:left="851" w:hanging="284"/>
        <w:rPr>
          <w:lang w:val="fr-FR"/>
        </w:rPr>
      </w:pPr>
    </w:p>
    <w:p w:rsidR="008C1516" w:rsidRPr="00156B67" w:rsidRDefault="008C1516" w:rsidP="00156B67">
      <w:pPr>
        <w:pStyle w:val="ListParagraph"/>
        <w:numPr>
          <w:ilvl w:val="0"/>
          <w:numId w:val="26"/>
        </w:numPr>
        <w:ind w:left="851" w:hanging="284"/>
        <w:rPr>
          <w:lang w:val="fr-FR"/>
        </w:rPr>
      </w:pPr>
      <w:r w:rsidRPr="00156B67">
        <w:rPr>
          <w:lang w:val="fr-FR"/>
        </w:rPr>
        <w:t>Notes explicatives sur les actes à l</w:t>
      </w:r>
      <w:r w:rsidR="00CA38FC" w:rsidRPr="00156B67">
        <w:rPr>
          <w:lang w:val="fr-FR"/>
        </w:rPr>
        <w:t>’</w:t>
      </w:r>
      <w:r w:rsidRPr="00156B67">
        <w:rPr>
          <w:lang w:val="fr-FR"/>
        </w:rPr>
        <w:t>égard du produit de la récolte selon l</w:t>
      </w:r>
      <w:r w:rsidR="00CA38FC" w:rsidRPr="00156B67">
        <w:rPr>
          <w:lang w:val="fr-FR"/>
        </w:rPr>
        <w:t>’</w:t>
      </w:r>
      <w:r w:rsidRPr="00156B67">
        <w:rPr>
          <w:lang w:val="fr-FR"/>
        </w:rPr>
        <w:t xml:space="preserve">Acte de 1991 de la </w:t>
      </w:r>
      <w:r w:rsidR="00CA38FC" w:rsidRPr="00156B67">
        <w:rPr>
          <w:lang w:val="fr-FR"/>
        </w:rPr>
        <w:t>Convention UPOV</w:t>
      </w:r>
      <w:r w:rsidRPr="00156B67">
        <w:rPr>
          <w:lang w:val="fr-FR"/>
        </w:rPr>
        <w:t xml:space="preserve"> (document UPOV/EXN/HRV/2 Draft 1)</w:t>
      </w:r>
    </w:p>
    <w:p w:rsidR="008C1516" w:rsidRPr="00B87E09" w:rsidRDefault="008C1516" w:rsidP="00156B67">
      <w:pPr>
        <w:ind w:left="851" w:hanging="284"/>
        <w:rPr>
          <w:lang w:val="fr-FR"/>
        </w:rPr>
      </w:pPr>
    </w:p>
    <w:p w:rsidR="008C1516" w:rsidRPr="00156B67" w:rsidRDefault="008C1516" w:rsidP="00156B67">
      <w:pPr>
        <w:pStyle w:val="ListParagraph"/>
        <w:numPr>
          <w:ilvl w:val="0"/>
          <w:numId w:val="26"/>
        </w:numPr>
        <w:ind w:left="851" w:hanging="284"/>
        <w:rPr>
          <w:lang w:val="fr-FR"/>
        </w:rPr>
      </w:pPr>
      <w:r w:rsidRPr="00156B67">
        <w:rPr>
          <w:lang w:val="fr-FR"/>
        </w:rPr>
        <w:t>Notes explicatives sur la déchéance de l</w:t>
      </w:r>
      <w:r w:rsidR="00CA38FC" w:rsidRPr="00156B67">
        <w:rPr>
          <w:lang w:val="fr-FR"/>
        </w:rPr>
        <w:t>’</w:t>
      </w:r>
      <w:r w:rsidRPr="00156B67">
        <w:rPr>
          <w:lang w:val="fr-FR"/>
        </w:rPr>
        <w:t xml:space="preserve">obtenteur selon la </w:t>
      </w:r>
      <w:r w:rsidR="00CA38FC" w:rsidRPr="00156B67">
        <w:rPr>
          <w:lang w:val="fr-FR"/>
        </w:rPr>
        <w:t>Convention UPOV</w:t>
      </w:r>
      <w:r w:rsidRPr="00156B67">
        <w:rPr>
          <w:lang w:val="fr-FR"/>
        </w:rPr>
        <w:t xml:space="preserve"> (document UPOV/EXN/CAN/2 Draft 1)</w:t>
      </w:r>
    </w:p>
    <w:p w:rsidR="008C1516" w:rsidRPr="00B87E09" w:rsidRDefault="008C1516" w:rsidP="00156B67">
      <w:pPr>
        <w:ind w:left="851" w:hanging="284"/>
        <w:rPr>
          <w:lang w:val="fr-FR"/>
        </w:rPr>
      </w:pPr>
    </w:p>
    <w:p w:rsidR="008C1516" w:rsidRPr="00156B67" w:rsidRDefault="008C1516" w:rsidP="00156B67">
      <w:pPr>
        <w:pStyle w:val="ListParagraph"/>
        <w:numPr>
          <w:ilvl w:val="0"/>
          <w:numId w:val="26"/>
        </w:numPr>
        <w:ind w:left="851" w:hanging="284"/>
        <w:rPr>
          <w:lang w:val="fr-FR"/>
        </w:rPr>
      </w:pPr>
      <w:r w:rsidRPr="00156B67">
        <w:rPr>
          <w:lang w:val="fr-FR"/>
        </w:rPr>
        <w:t>Notes explicatives sur la nullité du droit d</w:t>
      </w:r>
      <w:r w:rsidR="00CA38FC" w:rsidRPr="00156B67">
        <w:rPr>
          <w:lang w:val="fr-FR"/>
        </w:rPr>
        <w:t>’</w:t>
      </w:r>
      <w:r w:rsidRPr="00156B67">
        <w:rPr>
          <w:lang w:val="fr-FR"/>
        </w:rPr>
        <w:t xml:space="preserve">obtenteur selon la </w:t>
      </w:r>
      <w:r w:rsidR="00CA38FC" w:rsidRPr="00156B67">
        <w:rPr>
          <w:lang w:val="fr-FR"/>
        </w:rPr>
        <w:t>Convention UPOV</w:t>
      </w:r>
      <w:r w:rsidRPr="00156B67">
        <w:rPr>
          <w:lang w:val="fr-FR"/>
        </w:rPr>
        <w:t xml:space="preserve"> (document UPOV/EXN/NUL/2 Draft 1)</w:t>
      </w:r>
    </w:p>
    <w:p w:rsidR="008C1516" w:rsidRPr="00B87E09" w:rsidRDefault="008C1516" w:rsidP="00156B67">
      <w:pPr>
        <w:ind w:left="851" w:hanging="284"/>
        <w:rPr>
          <w:lang w:val="fr-FR"/>
        </w:rPr>
      </w:pPr>
    </w:p>
    <w:p w:rsidR="008C1516" w:rsidRPr="00156B67" w:rsidRDefault="008C1516" w:rsidP="00156B67">
      <w:pPr>
        <w:pStyle w:val="ListParagraph"/>
        <w:numPr>
          <w:ilvl w:val="0"/>
          <w:numId w:val="26"/>
        </w:numPr>
        <w:ind w:left="851" w:hanging="284"/>
        <w:rPr>
          <w:lang w:val="fr-FR"/>
        </w:rPr>
      </w:pPr>
      <w:r w:rsidRPr="00156B67">
        <w:rPr>
          <w:lang w:val="fr-FR"/>
        </w:rPr>
        <w:t xml:space="preserve">Notes explicatives sur les dénominations variétales selon la </w:t>
      </w:r>
      <w:r w:rsidR="00CA38FC" w:rsidRPr="00156B67">
        <w:rPr>
          <w:lang w:val="fr-FR"/>
        </w:rPr>
        <w:t>Convention UPOV</w:t>
      </w:r>
      <w:r w:rsidRPr="00156B67">
        <w:rPr>
          <w:lang w:val="fr-FR"/>
        </w:rPr>
        <w:t xml:space="preserve"> (document UPOV/INF/12/5 Draft 1)</w:t>
      </w:r>
    </w:p>
    <w:p w:rsidR="008C1516" w:rsidRPr="00B87E09" w:rsidRDefault="008C1516" w:rsidP="00156B67">
      <w:pPr>
        <w:ind w:left="851" w:hanging="284"/>
        <w:rPr>
          <w:lang w:val="fr-FR"/>
        </w:rPr>
      </w:pPr>
    </w:p>
    <w:p w:rsidR="008C1516" w:rsidRPr="00156B67" w:rsidRDefault="008C1516" w:rsidP="00156B67">
      <w:pPr>
        <w:pStyle w:val="ListParagraph"/>
        <w:numPr>
          <w:ilvl w:val="0"/>
          <w:numId w:val="26"/>
        </w:numPr>
        <w:ind w:left="851" w:hanging="284"/>
        <w:rPr>
          <w:lang w:val="fr-FR"/>
        </w:rPr>
      </w:pPr>
      <w:r w:rsidRPr="00156B67">
        <w:rPr>
          <w:lang w:val="fr-FR"/>
        </w:rPr>
        <w:t xml:space="preserve">Notes explicatives sur la protection provisoire selon la </w:t>
      </w:r>
      <w:r w:rsidR="00CA38FC" w:rsidRPr="00156B67">
        <w:rPr>
          <w:lang w:val="fr-FR"/>
        </w:rPr>
        <w:t>Convention UPOV</w:t>
      </w:r>
      <w:r w:rsidRPr="00156B67">
        <w:rPr>
          <w:lang w:val="fr-FR"/>
        </w:rPr>
        <w:t xml:space="preserve"> (document UPOV/EXN/PRP/2 Draft 1)</w:t>
      </w:r>
    </w:p>
    <w:p w:rsidR="008C1516" w:rsidRPr="00B87E09" w:rsidRDefault="008C1516" w:rsidP="008C1516">
      <w:pPr>
        <w:rPr>
          <w:szCs w:val="24"/>
          <w:lang w:val="fr-FR"/>
        </w:rPr>
      </w:pPr>
    </w:p>
    <w:p w:rsidR="008C1516" w:rsidRPr="00B87E09" w:rsidRDefault="008C1516" w:rsidP="008C1516">
      <w:pPr>
        <w:rPr>
          <w:szCs w:val="24"/>
          <w:lang w:val="fr-FR"/>
        </w:rPr>
      </w:pPr>
      <w:r w:rsidRPr="00B87E09">
        <w:rPr>
          <w:szCs w:val="24"/>
          <w:lang w:val="fr-FR"/>
        </w:rPr>
        <w:t xml:space="preserve">Sur la base des observations reçues, le CAJ </w:t>
      </w:r>
      <w:r w:rsidR="00E623B9" w:rsidRPr="00B87E09">
        <w:rPr>
          <w:szCs w:val="24"/>
          <w:lang w:val="fr-FR"/>
        </w:rPr>
        <w:t>a pris</w:t>
      </w:r>
      <w:r w:rsidRPr="00B87E09">
        <w:rPr>
          <w:szCs w:val="24"/>
          <w:lang w:val="fr-FR"/>
        </w:rPr>
        <w:t xml:space="preserve"> note du fait que de nouvelles versions des notes explicatives précitées ser</w:t>
      </w:r>
      <w:r w:rsidR="00E623B9" w:rsidRPr="00B87E09">
        <w:rPr>
          <w:szCs w:val="24"/>
          <w:lang w:val="fr-FR"/>
        </w:rPr>
        <w:t>aie</w:t>
      </w:r>
      <w:r w:rsidRPr="00B87E09">
        <w:rPr>
          <w:szCs w:val="24"/>
          <w:lang w:val="fr-FR"/>
        </w:rPr>
        <w:t>nt publiées d</w:t>
      </w:r>
      <w:r w:rsidR="00CA38FC" w:rsidRPr="00B87E09">
        <w:rPr>
          <w:szCs w:val="24"/>
          <w:lang w:val="fr-FR"/>
        </w:rPr>
        <w:t>’</w:t>
      </w:r>
      <w:r w:rsidRPr="00B87E09">
        <w:rPr>
          <w:szCs w:val="24"/>
          <w:lang w:val="fr-FR"/>
        </w:rPr>
        <w:t>ici au 29 août 2014, et que les membres du CAJ et les observateurs en ser</w:t>
      </w:r>
      <w:r w:rsidR="00E623B9" w:rsidRPr="00B87E09">
        <w:rPr>
          <w:szCs w:val="24"/>
          <w:lang w:val="fr-FR"/>
        </w:rPr>
        <w:t>aie</w:t>
      </w:r>
      <w:r w:rsidRPr="00B87E09">
        <w:rPr>
          <w:szCs w:val="24"/>
          <w:lang w:val="fr-FR"/>
        </w:rPr>
        <w:t>nt avisés.  Le CAJ</w:t>
      </w:r>
      <w:r w:rsidR="00B87E09" w:rsidRPr="00B87E09">
        <w:rPr>
          <w:szCs w:val="24"/>
          <w:lang w:val="fr-FR"/>
        </w:rPr>
        <w:noBreakHyphen/>
      </w:r>
      <w:r w:rsidRPr="00B87E09">
        <w:rPr>
          <w:szCs w:val="24"/>
          <w:lang w:val="fr-FR"/>
        </w:rPr>
        <w:t>AG examiner</w:t>
      </w:r>
      <w:r w:rsidR="00E623B9" w:rsidRPr="00B87E09">
        <w:rPr>
          <w:szCs w:val="24"/>
          <w:lang w:val="fr-FR"/>
        </w:rPr>
        <w:t>ait</w:t>
      </w:r>
      <w:r w:rsidRPr="00B87E09">
        <w:rPr>
          <w:szCs w:val="24"/>
          <w:lang w:val="fr-FR"/>
        </w:rPr>
        <w:t xml:space="preserve"> ces nouvelles versions à sa neuvième session</w:t>
      </w:r>
      <w:r w:rsidR="00E623B9" w:rsidRPr="00B87E09">
        <w:rPr>
          <w:szCs w:val="24"/>
          <w:lang w:val="fr-FR"/>
        </w:rPr>
        <w:t xml:space="preserve"> </w:t>
      </w:r>
      <w:r w:rsidR="00E623B9" w:rsidRPr="00B87E09">
        <w:rPr>
          <w:lang w:val="fr-FR"/>
        </w:rPr>
        <w:t>(voir le paragraphe 28 du document CAJ/69/12 “Compte rendu des conclusions”)</w:t>
      </w:r>
      <w:r w:rsidRPr="00B87E09">
        <w:rPr>
          <w:szCs w:val="24"/>
          <w:lang w:val="fr-FR"/>
        </w:rPr>
        <w:t>.</w:t>
      </w:r>
    </w:p>
    <w:p w:rsidR="008C1516" w:rsidRPr="00B87E09" w:rsidRDefault="008C1516" w:rsidP="008C1516">
      <w:pPr>
        <w:rPr>
          <w:lang w:val="fr-FR"/>
        </w:rPr>
      </w:pPr>
    </w:p>
    <w:p w:rsidR="008C1516" w:rsidRPr="00B87E09" w:rsidRDefault="008C1516" w:rsidP="008C1516">
      <w:pPr>
        <w:rPr>
          <w:snapToGrid w:val="0"/>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E623B9" w:rsidRPr="00B87E09">
        <w:rPr>
          <w:spacing w:val="-2"/>
          <w:lang w:val="fr-FR"/>
        </w:rPr>
        <w:t>est convenu</w:t>
      </w:r>
      <w:r w:rsidRPr="00B87E09">
        <w:rPr>
          <w:spacing w:val="-2"/>
          <w:lang w:val="fr-FR"/>
        </w:rPr>
        <w:t xml:space="preserve"> que la neuvième session du </w:t>
      </w:r>
      <w:r w:rsidRPr="00B87E09">
        <w:rPr>
          <w:snapToGrid w:val="0"/>
          <w:lang w:val="fr-FR"/>
        </w:rPr>
        <w:t>CAJ</w:t>
      </w:r>
      <w:r w:rsidR="00B87E09" w:rsidRPr="00B87E09">
        <w:rPr>
          <w:snapToGrid w:val="0"/>
          <w:lang w:val="fr-FR"/>
        </w:rPr>
        <w:noBreakHyphen/>
      </w:r>
      <w:r w:rsidRPr="00B87E09">
        <w:rPr>
          <w:snapToGrid w:val="0"/>
          <w:lang w:val="fr-FR"/>
        </w:rPr>
        <w:t>AG se tiendra</w:t>
      </w:r>
      <w:r w:rsidR="00E44531" w:rsidRPr="00B87E09">
        <w:rPr>
          <w:snapToGrid w:val="0"/>
          <w:lang w:val="fr-FR"/>
        </w:rPr>
        <w:t>it</w:t>
      </w:r>
      <w:r w:rsidRPr="00B87E09">
        <w:rPr>
          <w:snapToGrid w:val="0"/>
          <w:lang w:val="fr-FR"/>
        </w:rPr>
        <w:t xml:space="preserve"> les 14 et 17 octobre 2014</w:t>
      </w:r>
      <w:r w:rsidR="00E623B9" w:rsidRPr="00B87E09">
        <w:rPr>
          <w:snapToGrid w:val="0"/>
          <w:lang w:val="fr-FR"/>
        </w:rPr>
        <w:t xml:space="preserve"> </w:t>
      </w:r>
      <w:r w:rsidR="00E623B9" w:rsidRPr="00B87E09">
        <w:rPr>
          <w:lang w:val="fr-FR"/>
        </w:rPr>
        <w:t>(voir le paragraphe 29 du document CAJ/69/12 “Compte rendu des conclusions”)</w:t>
      </w:r>
      <w:r w:rsidRPr="00B87E09">
        <w:rPr>
          <w:snapToGrid w:val="0"/>
          <w:lang w:val="fr-FR"/>
        </w:rPr>
        <w:t>.</w:t>
      </w:r>
    </w:p>
    <w:p w:rsidR="008C1516" w:rsidRPr="00B87E09" w:rsidRDefault="008C1516" w:rsidP="008C1516">
      <w:pPr>
        <w:keepNext/>
        <w:rPr>
          <w:lang w:val="fr-FR"/>
        </w:rPr>
      </w:pPr>
    </w:p>
    <w:p w:rsidR="008C1516" w:rsidRPr="00B87E09" w:rsidRDefault="008C1516" w:rsidP="008C1516">
      <w:pPr>
        <w:rPr>
          <w:lang w:val="fr-FR"/>
        </w:rPr>
      </w:pPr>
      <w:r w:rsidRPr="00B87E09">
        <w:rPr>
          <w:rFonts w:cs="Arial"/>
          <w:lang w:val="fr-FR"/>
        </w:rPr>
        <w:fldChar w:fldCharType="begin"/>
      </w:r>
      <w:r w:rsidRPr="00B87E09">
        <w:rPr>
          <w:rFonts w:cs="Arial"/>
          <w:lang w:val="fr-FR"/>
        </w:rPr>
        <w:instrText xml:space="preserve"> AUTONUM  </w:instrText>
      </w:r>
      <w:r w:rsidRPr="00B87E09">
        <w:rPr>
          <w:rFonts w:cs="Arial"/>
          <w:lang w:val="fr-FR"/>
        </w:rPr>
        <w:fldChar w:fldCharType="end"/>
      </w:r>
      <w:r w:rsidRPr="00B87E09">
        <w:rPr>
          <w:rFonts w:cs="Arial"/>
          <w:lang w:val="fr-FR"/>
        </w:rPr>
        <w:tab/>
      </w:r>
      <w:r w:rsidRPr="00B87E09">
        <w:rPr>
          <w:lang w:val="fr-FR"/>
        </w:rPr>
        <w:t>Le</w:t>
      </w:r>
      <w:r w:rsidRPr="00B87E09">
        <w:rPr>
          <w:rFonts w:cs="Arial"/>
          <w:lang w:val="fr-FR"/>
        </w:rPr>
        <w:t xml:space="preserve"> CAJ </w:t>
      </w:r>
      <w:r w:rsidR="00E623B9" w:rsidRPr="00B87E09">
        <w:rPr>
          <w:rFonts w:cs="Arial"/>
          <w:lang w:val="fr-FR"/>
        </w:rPr>
        <w:t>a</w:t>
      </w:r>
      <w:r w:rsidRPr="00B87E09">
        <w:rPr>
          <w:rFonts w:cs="Arial"/>
          <w:lang w:val="fr-FR"/>
        </w:rPr>
        <w:t xml:space="preserve"> </w:t>
      </w:r>
      <w:r w:rsidR="00E623B9" w:rsidRPr="00B87E09">
        <w:rPr>
          <w:lang w:val="fr-FR"/>
        </w:rPr>
        <w:t>noté</w:t>
      </w:r>
      <w:r w:rsidRPr="00B87E09">
        <w:rPr>
          <w:lang w:val="fr-FR"/>
        </w:rPr>
        <w:t xml:space="preserve"> qu</w:t>
      </w:r>
      <w:r w:rsidR="00CA38FC" w:rsidRPr="00B87E09">
        <w:rPr>
          <w:lang w:val="fr-FR"/>
        </w:rPr>
        <w:t>’</w:t>
      </w:r>
      <w:r w:rsidRPr="00B87E09">
        <w:rPr>
          <w:lang w:val="fr-FR"/>
        </w:rPr>
        <w:t>à sa soixante</w:t>
      </w:r>
      <w:r w:rsidR="00B87E09" w:rsidRPr="00B87E09">
        <w:rPr>
          <w:lang w:val="fr-FR"/>
        </w:rPr>
        <w:noBreakHyphen/>
      </w:r>
      <w:r w:rsidRPr="00B87E09">
        <w:rPr>
          <w:lang w:val="fr-FR"/>
        </w:rPr>
        <w:t xml:space="preserve">huitième session, tenue à Genève le 21 octobre 2013, </w:t>
      </w:r>
      <w:r w:rsidR="00F95C04">
        <w:rPr>
          <w:lang w:val="fr-FR"/>
        </w:rPr>
        <w:t>il</w:t>
      </w:r>
      <w:r w:rsidRPr="00B87E09">
        <w:rPr>
          <w:lang w:val="fr-FR"/>
        </w:rPr>
        <w:t xml:space="preserve"> était convenu d</w:t>
      </w:r>
      <w:r w:rsidR="00CA38FC" w:rsidRPr="00B87E09">
        <w:rPr>
          <w:lang w:val="fr-FR"/>
        </w:rPr>
        <w:t>’</w:t>
      </w:r>
      <w:r w:rsidRPr="00B87E09">
        <w:rPr>
          <w:lang w:val="fr-FR"/>
        </w:rPr>
        <w:t>inscrire à l</w:t>
      </w:r>
      <w:r w:rsidR="00CA38FC" w:rsidRPr="00B87E09">
        <w:rPr>
          <w:lang w:val="fr-FR"/>
        </w:rPr>
        <w:t>’</w:t>
      </w:r>
      <w:r w:rsidRPr="00B87E09">
        <w:rPr>
          <w:lang w:val="fr-FR"/>
        </w:rPr>
        <w:t>ordre du jour de sa soixante</w:t>
      </w:r>
      <w:r w:rsidR="00B87E09" w:rsidRPr="00B87E09">
        <w:rPr>
          <w:lang w:val="fr-FR"/>
        </w:rPr>
        <w:noBreakHyphen/>
      </w:r>
      <w:r w:rsidRPr="00B87E09">
        <w:rPr>
          <w:lang w:val="fr-FR"/>
        </w:rPr>
        <w:t xml:space="preserve">dixième session, prévue en octobre 2014, un point concernant </w:t>
      </w:r>
      <w:r w:rsidRPr="00B87E09">
        <w:rPr>
          <w:lang w:val="fr-FR"/>
        </w:rPr>
        <w:lastRenderedPageBreak/>
        <w:t>l</w:t>
      </w:r>
      <w:r w:rsidR="00CA38FC" w:rsidRPr="00B87E09">
        <w:rPr>
          <w:lang w:val="fr-FR"/>
        </w:rPr>
        <w:t>’</w:t>
      </w:r>
      <w:r w:rsidRPr="00B87E09">
        <w:rPr>
          <w:lang w:val="fr-FR"/>
        </w:rPr>
        <w:t>actualisation du document UPOV/INF/5 “Bulletin type de l</w:t>
      </w:r>
      <w:r w:rsidR="00CA38FC" w:rsidRPr="00B87E09">
        <w:rPr>
          <w:lang w:val="fr-FR"/>
        </w:rPr>
        <w:t>’</w:t>
      </w:r>
      <w:r w:rsidRPr="00B87E09">
        <w:rPr>
          <w:lang w:val="fr-FR"/>
        </w:rPr>
        <w:t>UPOV de la protection des obtentions végétales”</w:t>
      </w:r>
      <w:r w:rsidR="00E623B9" w:rsidRPr="00B87E09">
        <w:rPr>
          <w:lang w:val="fr-FR"/>
        </w:rPr>
        <w:t xml:space="preserve"> (voir le paragraphe 30 du document CAJ/69/12 “Compte rendu des conclusions”)</w:t>
      </w:r>
      <w:r w:rsidRPr="00B87E09">
        <w:rPr>
          <w:lang w:val="fr-FR"/>
        </w:rPr>
        <w:t>.</w:t>
      </w:r>
    </w:p>
    <w:p w:rsidR="008C1516" w:rsidRPr="00B87E09" w:rsidRDefault="008C1516" w:rsidP="00B9187D">
      <w:pPr>
        <w:spacing w:line="360" w:lineRule="auto"/>
        <w:rPr>
          <w:lang w:val="fr-FR"/>
        </w:rPr>
      </w:pPr>
    </w:p>
    <w:p w:rsidR="008C1516" w:rsidRPr="00B87E09" w:rsidRDefault="00557B14" w:rsidP="00B9187D">
      <w:pPr>
        <w:pStyle w:val="Heading3"/>
      </w:pPr>
      <w:bookmarkStart w:id="8" w:name="_Toc398628759"/>
      <w:r w:rsidRPr="00B87E09">
        <w:t>Bases de données d</w:t>
      </w:r>
      <w:r w:rsidR="00CA38FC" w:rsidRPr="00B87E09">
        <w:t>’</w:t>
      </w:r>
      <w:r w:rsidRPr="00B87E09">
        <w:t>information de l</w:t>
      </w:r>
      <w:r w:rsidR="00CA38FC" w:rsidRPr="00B87E09">
        <w:t>’</w:t>
      </w:r>
      <w:r w:rsidRPr="00B87E09">
        <w:t>UPOV</w:t>
      </w:r>
      <w:bookmarkEnd w:id="8"/>
    </w:p>
    <w:p w:rsidR="00B9187D" w:rsidRDefault="00B9187D" w:rsidP="008C1516">
      <w:pPr>
        <w:rPr>
          <w:lang w:val="fr-FR"/>
        </w:rPr>
      </w:pPr>
    </w:p>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557B14" w:rsidRPr="00B87E09">
        <w:rPr>
          <w:rFonts w:cs="Arial"/>
          <w:lang w:val="fr-FR"/>
        </w:rPr>
        <w:t xml:space="preserve">a pris </w:t>
      </w:r>
      <w:r w:rsidRPr="00B87E09">
        <w:rPr>
          <w:lang w:val="fr-FR"/>
        </w:rPr>
        <w:t xml:space="preserve">note des faits nouveaux concernant les codes </w:t>
      </w:r>
      <w:r w:rsidR="00557B14" w:rsidRPr="00B87E09">
        <w:rPr>
          <w:lang w:val="fr-FR"/>
        </w:rPr>
        <w:t>UPOV</w:t>
      </w:r>
      <w:r w:rsidR="00557B14" w:rsidRPr="00B87E09">
        <w:rPr>
          <w:snapToGrid w:val="0"/>
          <w:lang w:val="fr-FR"/>
        </w:rPr>
        <w:t xml:space="preserve"> </w:t>
      </w:r>
      <w:r w:rsidR="00557B14" w:rsidRPr="00B87E09">
        <w:rPr>
          <w:lang w:val="fr-FR"/>
        </w:rPr>
        <w:t>(voir le paragraphe 33 du document CAJ/69/12 “Compte rendu des conclusions”)</w:t>
      </w:r>
      <w:r w:rsidRPr="00B87E09">
        <w:rPr>
          <w:rFonts w:cs="Arial"/>
          <w:snapToGrid w:val="0"/>
          <w:lang w:val="fr-FR"/>
        </w:rPr>
        <w:t>.</w:t>
      </w:r>
    </w:p>
    <w:p w:rsidR="008C1516" w:rsidRPr="00B87E09" w:rsidRDefault="008C1516" w:rsidP="008C1516">
      <w:pPr>
        <w:rPr>
          <w:lang w:val="fr-FR"/>
        </w:rPr>
      </w:pPr>
    </w:p>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557B14" w:rsidRPr="00B87E09">
        <w:rPr>
          <w:rFonts w:cs="Arial"/>
          <w:lang w:val="fr-FR"/>
        </w:rPr>
        <w:t>a</w:t>
      </w:r>
      <w:r w:rsidRPr="00B87E09">
        <w:rPr>
          <w:rFonts w:cs="Arial"/>
          <w:lang w:val="fr-FR"/>
        </w:rPr>
        <w:t xml:space="preserve"> </w:t>
      </w:r>
      <w:r w:rsidRPr="00B87E09">
        <w:rPr>
          <w:lang w:val="fr-FR"/>
        </w:rPr>
        <w:t>not</w:t>
      </w:r>
      <w:r w:rsidR="00557B14" w:rsidRPr="00B87E09">
        <w:rPr>
          <w:lang w:val="fr-FR"/>
        </w:rPr>
        <w:t>é</w:t>
      </w:r>
      <w:r w:rsidRPr="00B87E09">
        <w:rPr>
          <w:lang w:val="fr-FR"/>
        </w:rPr>
        <w:t xml:space="preserve"> que le</w:t>
      </w:r>
      <w:r w:rsidR="00CA38FC" w:rsidRPr="00B87E09">
        <w:rPr>
          <w:lang w:val="fr-FR"/>
        </w:rPr>
        <w:t> TC</w:t>
      </w:r>
      <w:r w:rsidRPr="00B87E09">
        <w:rPr>
          <w:lang w:val="fr-FR"/>
        </w:rPr>
        <w:t xml:space="preserve"> </w:t>
      </w:r>
      <w:r w:rsidR="00557B14" w:rsidRPr="00B87E09">
        <w:rPr>
          <w:lang w:val="fr-FR"/>
        </w:rPr>
        <w:t>était</w:t>
      </w:r>
      <w:r w:rsidRPr="00B87E09">
        <w:rPr>
          <w:lang w:val="fr-FR"/>
        </w:rPr>
        <w:t xml:space="preserve"> convenu de fournir des informations sur le type de plante pour chaque code UPOV dans la base de données </w:t>
      </w:r>
      <w:r w:rsidR="00557B14" w:rsidRPr="00B87E09">
        <w:rPr>
          <w:lang w:val="fr-FR"/>
        </w:rPr>
        <w:t>GENIE</w:t>
      </w:r>
      <w:r w:rsidRPr="00B87E09">
        <w:rPr>
          <w:lang w:val="fr-FR"/>
        </w:rPr>
        <w:t xml:space="preserve">.  Il </w:t>
      </w:r>
      <w:r w:rsidR="00557B14" w:rsidRPr="00B87E09">
        <w:rPr>
          <w:lang w:val="fr-FR"/>
        </w:rPr>
        <w:t xml:space="preserve">a été </w:t>
      </w:r>
      <w:r w:rsidRPr="00B87E09">
        <w:rPr>
          <w:lang w:val="fr-FR"/>
        </w:rPr>
        <w:t>précisé qu</w:t>
      </w:r>
      <w:r w:rsidR="00CA38FC" w:rsidRPr="00B87E09">
        <w:rPr>
          <w:lang w:val="fr-FR"/>
        </w:rPr>
        <w:t>’</w:t>
      </w:r>
      <w:r w:rsidRPr="00B87E09">
        <w:rPr>
          <w:lang w:val="fr-FR"/>
        </w:rPr>
        <w:t xml:space="preserve">un seul et même code UPOV </w:t>
      </w:r>
      <w:r w:rsidR="00557B14" w:rsidRPr="00B87E09">
        <w:rPr>
          <w:lang w:val="fr-FR"/>
        </w:rPr>
        <w:t xml:space="preserve">pouvait </w:t>
      </w:r>
      <w:r w:rsidRPr="00B87E09">
        <w:rPr>
          <w:lang w:val="fr-FR"/>
        </w:rPr>
        <w:t>recouvrir plusieurs types de plante.</w:t>
      </w:r>
      <w:r w:rsidR="00557B14" w:rsidRPr="00B87E09">
        <w:rPr>
          <w:lang w:val="fr-FR"/>
        </w:rPr>
        <w:t xml:space="preserve"> </w:t>
      </w:r>
      <w:r w:rsidR="00CA38FC" w:rsidRPr="00B87E09">
        <w:rPr>
          <w:lang w:val="fr-FR"/>
        </w:rPr>
        <w:t xml:space="preserve"> </w:t>
      </w:r>
      <w:r w:rsidR="00CA38FC" w:rsidRPr="00B87E09">
        <w:rPr>
          <w:spacing w:val="-2"/>
          <w:lang w:val="fr-FR"/>
        </w:rPr>
        <w:t>Le</w:t>
      </w:r>
      <w:r w:rsidR="00CA38FC" w:rsidRPr="00B87E09">
        <w:rPr>
          <w:lang w:val="fr-FR"/>
        </w:rPr>
        <w:t> </w:t>
      </w:r>
      <w:r w:rsidR="00CA38FC" w:rsidRPr="00B87E09">
        <w:rPr>
          <w:spacing w:val="-2"/>
          <w:lang w:val="fr-FR"/>
        </w:rPr>
        <w:t>CAJ</w:t>
      </w:r>
      <w:r w:rsidRPr="00B87E09">
        <w:rPr>
          <w:lang w:val="fr-FR"/>
        </w:rPr>
        <w:t xml:space="preserve"> </w:t>
      </w:r>
      <w:r w:rsidR="00557B14" w:rsidRPr="00B87E09">
        <w:rPr>
          <w:rFonts w:cs="Arial"/>
          <w:lang w:val="fr-FR"/>
        </w:rPr>
        <w:t>a pris</w:t>
      </w:r>
      <w:r w:rsidRPr="00B87E09">
        <w:rPr>
          <w:rFonts w:cs="Arial"/>
          <w:lang w:val="fr-FR"/>
        </w:rPr>
        <w:t xml:space="preserve"> </w:t>
      </w:r>
      <w:r w:rsidRPr="00B87E09">
        <w:rPr>
          <w:lang w:val="fr-FR"/>
        </w:rPr>
        <w:t>note du fait que le</w:t>
      </w:r>
      <w:r w:rsidR="00CA38FC" w:rsidRPr="00B87E09">
        <w:rPr>
          <w:lang w:val="fr-FR"/>
        </w:rPr>
        <w:t> TC</w:t>
      </w:r>
      <w:r w:rsidRPr="00B87E09">
        <w:rPr>
          <w:lang w:val="fr-FR"/>
        </w:rPr>
        <w:t xml:space="preserve"> a</w:t>
      </w:r>
      <w:r w:rsidR="00557B14" w:rsidRPr="00B87E09">
        <w:rPr>
          <w:lang w:val="fr-FR"/>
        </w:rPr>
        <w:t>vait</w:t>
      </w:r>
      <w:r w:rsidRPr="00B87E09">
        <w:rPr>
          <w:lang w:val="fr-FR"/>
        </w:rPr>
        <w:t xml:space="preserve"> noté que l</w:t>
      </w:r>
      <w:r w:rsidR="00CA38FC" w:rsidRPr="00B87E09">
        <w:rPr>
          <w:lang w:val="fr-FR"/>
        </w:rPr>
        <w:t>’</w:t>
      </w:r>
      <w:r w:rsidRPr="00B87E09">
        <w:rPr>
          <w:lang w:val="fr-FR"/>
        </w:rPr>
        <w:t>approche proposée permettrait l</w:t>
      </w:r>
      <w:r w:rsidR="00CA38FC" w:rsidRPr="00B87E09">
        <w:rPr>
          <w:lang w:val="fr-FR"/>
        </w:rPr>
        <w:t>’</w:t>
      </w:r>
      <w:r w:rsidRPr="00B87E09">
        <w:rPr>
          <w:lang w:val="fr-FR"/>
        </w:rPr>
        <w:t>analyse des données conten</w:t>
      </w:r>
      <w:r w:rsidR="00F95C04">
        <w:rPr>
          <w:lang w:val="fr-FR"/>
        </w:rPr>
        <w:t>ues dans</w:t>
      </w:r>
      <w:r w:rsidRPr="00B87E09">
        <w:rPr>
          <w:lang w:val="fr-FR"/>
        </w:rPr>
        <w:t xml:space="preserve"> la base de données PLUTO pour ce qui est des demandes déposées, des titres délivrés et des titres ayant expiré, par type de plante, tout en observant que la multiplicité de types de plante couverts par certains codes UPOV impliquerait certaines limitations à cet égard</w:t>
      </w:r>
      <w:r w:rsidR="00557B14" w:rsidRPr="00B87E09">
        <w:rPr>
          <w:lang w:val="fr-FR"/>
        </w:rPr>
        <w:t xml:space="preserve"> (voir les paragraphes 34 et 35 du document CAJ/69/12 “Compte rendu des conclusions”)</w:t>
      </w:r>
      <w:r w:rsidRPr="00B87E09">
        <w:rPr>
          <w:lang w:val="fr-FR"/>
        </w:rPr>
        <w:t>.</w:t>
      </w:r>
    </w:p>
    <w:p w:rsidR="008C1516" w:rsidRPr="00B87E09" w:rsidRDefault="008C1516" w:rsidP="008C1516">
      <w:pPr>
        <w:rPr>
          <w:lang w:val="fr-FR"/>
        </w:rPr>
      </w:pPr>
    </w:p>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557B14" w:rsidRPr="00B87E09">
        <w:rPr>
          <w:rFonts w:cs="Arial"/>
          <w:lang w:val="fr-FR"/>
        </w:rPr>
        <w:t>a pris</w:t>
      </w:r>
      <w:r w:rsidRPr="00B87E09">
        <w:rPr>
          <w:rFonts w:cs="Arial"/>
          <w:lang w:val="fr-FR"/>
        </w:rPr>
        <w:t xml:space="preserve"> </w:t>
      </w:r>
      <w:r w:rsidRPr="00B87E09">
        <w:rPr>
          <w:lang w:val="fr-FR"/>
        </w:rPr>
        <w:t>note des faits nouveaux concernant le programme d</w:t>
      </w:r>
      <w:r w:rsidR="00CA38FC" w:rsidRPr="00B87E09">
        <w:rPr>
          <w:lang w:val="fr-FR"/>
        </w:rPr>
        <w:t>’</w:t>
      </w:r>
      <w:r w:rsidRPr="00B87E09">
        <w:rPr>
          <w:lang w:val="fr-FR"/>
        </w:rPr>
        <w:t>améliorations de la base de données sur les variétés végétales</w:t>
      </w:r>
      <w:r w:rsidR="00557B14" w:rsidRPr="00B87E09">
        <w:rPr>
          <w:lang w:val="fr-FR"/>
        </w:rPr>
        <w:t xml:space="preserve"> (voir le paragraphe 36 du document CAJ/69/12 “Compte rendu des conclusions”)</w:t>
      </w:r>
      <w:r w:rsidRPr="00B87E09">
        <w:rPr>
          <w:lang w:val="fr-FR"/>
        </w:rPr>
        <w:t>.</w:t>
      </w:r>
    </w:p>
    <w:p w:rsidR="008C1516" w:rsidRPr="00B87E09" w:rsidRDefault="008C1516" w:rsidP="008C1516">
      <w:pPr>
        <w:rPr>
          <w:snapToGrid w:val="0"/>
          <w:lang w:val="fr-FR"/>
        </w:rPr>
      </w:pPr>
    </w:p>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557B14" w:rsidRPr="00B87E09">
        <w:rPr>
          <w:lang w:val="fr-FR"/>
        </w:rPr>
        <w:t>a pris</w:t>
      </w:r>
      <w:r w:rsidRPr="00B87E09">
        <w:rPr>
          <w:lang w:val="fr-FR"/>
        </w:rPr>
        <w:t xml:space="preserve"> note des résultats de l</w:t>
      </w:r>
      <w:r w:rsidR="00CA38FC" w:rsidRPr="00B87E09">
        <w:rPr>
          <w:lang w:val="fr-FR"/>
        </w:rPr>
        <w:t>’</w:t>
      </w:r>
      <w:r w:rsidRPr="00B87E09">
        <w:rPr>
          <w:lang w:val="fr-FR"/>
        </w:rPr>
        <w:t>enquête auprès des membres de l</w:t>
      </w:r>
      <w:r w:rsidR="00CA38FC" w:rsidRPr="00B87E09">
        <w:rPr>
          <w:lang w:val="fr-FR"/>
        </w:rPr>
        <w:t>’</w:t>
      </w:r>
      <w:r w:rsidRPr="00B87E09">
        <w:rPr>
          <w:lang w:val="fr-FR"/>
        </w:rPr>
        <w:t>Union quant à leur utilisation de la base de données aux fins de la protection des obtentions végétales, ainsi que de leur utilisation des systèmes de dépôt électronique des demandes</w:t>
      </w:r>
      <w:r w:rsidR="00557B14" w:rsidRPr="00B87E09">
        <w:rPr>
          <w:lang w:val="fr-FR"/>
        </w:rPr>
        <w:t xml:space="preserve"> (voir le paragraphe 37 du document CAJ/69/12 “Compte rendu des conclusions”)</w:t>
      </w:r>
      <w:r w:rsidRPr="00B87E09">
        <w:rPr>
          <w:lang w:val="fr-FR"/>
        </w:rPr>
        <w:t>.</w:t>
      </w:r>
    </w:p>
    <w:p w:rsidR="008C1516" w:rsidRPr="00B87E09" w:rsidRDefault="008C1516" w:rsidP="008C1516">
      <w:pPr>
        <w:spacing w:line="360" w:lineRule="auto"/>
        <w:rPr>
          <w:lang w:val="fr-FR"/>
        </w:rPr>
      </w:pPr>
    </w:p>
    <w:p w:rsidR="008C1516" w:rsidRPr="00B87E09" w:rsidRDefault="008C1516" w:rsidP="00B9187D">
      <w:pPr>
        <w:pStyle w:val="Heading3"/>
      </w:pPr>
      <w:bookmarkStart w:id="9" w:name="_Toc398628760"/>
      <w:r w:rsidRPr="00B87E09">
        <w:t>Logiciels échangeables</w:t>
      </w:r>
      <w:bookmarkEnd w:id="9"/>
    </w:p>
    <w:p w:rsidR="00B9187D" w:rsidRDefault="00B9187D" w:rsidP="008C1516">
      <w:pPr>
        <w:rPr>
          <w:rFonts w:eastAsia="MS Mincho"/>
          <w:lang w:val="fr-FR"/>
        </w:rPr>
      </w:pPr>
    </w:p>
    <w:p w:rsidR="008C1516" w:rsidRPr="00B87E09" w:rsidRDefault="008C1516" w:rsidP="008C1516">
      <w:pPr>
        <w:rPr>
          <w:rFonts w:eastAsia="MS Mincho"/>
          <w:lang w:val="fr-FR"/>
        </w:rPr>
      </w:pPr>
      <w:r w:rsidRPr="00B87E09">
        <w:rPr>
          <w:rFonts w:eastAsia="MS Mincho"/>
          <w:lang w:val="fr-FR"/>
        </w:rPr>
        <w:fldChar w:fldCharType="begin"/>
      </w:r>
      <w:r w:rsidRPr="00B87E09">
        <w:rPr>
          <w:rFonts w:eastAsia="MS Mincho"/>
          <w:lang w:val="fr-FR"/>
        </w:rPr>
        <w:instrText xml:space="preserve"> AUTONUM  </w:instrText>
      </w:r>
      <w:r w:rsidRPr="00B87E09">
        <w:rPr>
          <w:rFonts w:eastAsia="MS Mincho"/>
          <w:lang w:val="fr-FR"/>
        </w:rPr>
        <w:fldChar w:fldCharType="end"/>
      </w:r>
      <w:r w:rsidRPr="00B87E09">
        <w:rPr>
          <w:rFonts w:eastAsia="MS Mincho"/>
          <w:lang w:val="fr-FR"/>
        </w:rPr>
        <w:tab/>
        <w:t xml:space="preserve">Le CAJ </w:t>
      </w:r>
      <w:r w:rsidR="00557B14" w:rsidRPr="00B87E09">
        <w:rPr>
          <w:rFonts w:eastAsia="MS Mincho"/>
          <w:lang w:val="fr-FR"/>
        </w:rPr>
        <w:t xml:space="preserve">a </w:t>
      </w:r>
      <w:r w:rsidRPr="00B87E09">
        <w:rPr>
          <w:rFonts w:eastAsia="MS Mincho"/>
          <w:lang w:val="fr-FR"/>
        </w:rPr>
        <w:t>approuv</w:t>
      </w:r>
      <w:r w:rsidR="00557B14" w:rsidRPr="00B87E09">
        <w:rPr>
          <w:rFonts w:eastAsia="MS Mincho"/>
          <w:lang w:val="fr-FR"/>
        </w:rPr>
        <w:t>é</w:t>
      </w:r>
      <w:r w:rsidRPr="00B87E09">
        <w:rPr>
          <w:rFonts w:eastAsia="MS Mincho"/>
          <w:lang w:val="fr-FR"/>
        </w:rPr>
        <w:t xml:space="preserve"> la proposition, faite par le</w:t>
      </w:r>
      <w:r w:rsidR="00CA38FC" w:rsidRPr="00B87E09">
        <w:rPr>
          <w:rFonts w:eastAsia="MS Mincho"/>
          <w:lang w:val="fr-FR"/>
        </w:rPr>
        <w:t> TC</w:t>
      </w:r>
      <w:r w:rsidRPr="00B87E09">
        <w:rPr>
          <w:rFonts w:eastAsia="MS Mincho"/>
          <w:lang w:val="fr-FR"/>
        </w:rPr>
        <w:t xml:space="preserve"> à sa cinquantième session, de présenter le document UPOV/INF/22 “</w:t>
      </w:r>
      <w:r w:rsidRPr="00B87E09">
        <w:rPr>
          <w:lang w:val="fr-FR"/>
        </w:rPr>
        <w:t>Logiciels et équipements utilisés par les membres de l</w:t>
      </w:r>
      <w:r w:rsidR="00CA38FC" w:rsidRPr="00B87E09">
        <w:rPr>
          <w:lang w:val="fr-FR"/>
        </w:rPr>
        <w:t>’</w:t>
      </w:r>
      <w:r w:rsidRPr="00B87E09">
        <w:rPr>
          <w:lang w:val="fr-FR"/>
        </w:rPr>
        <w:t>Union</w:t>
      </w:r>
      <w:r w:rsidRPr="00B87E09">
        <w:rPr>
          <w:rFonts w:eastAsia="MS Mincho"/>
          <w:lang w:val="fr-FR"/>
        </w:rPr>
        <w:t>” en vue de son adoption par le Conseil à sa quarante</w:t>
      </w:r>
      <w:r w:rsidR="00B87E09" w:rsidRPr="00B87E09">
        <w:rPr>
          <w:rFonts w:eastAsia="MS Mincho"/>
          <w:lang w:val="fr-FR"/>
        </w:rPr>
        <w:noBreakHyphen/>
      </w:r>
      <w:r w:rsidRPr="00B87E09">
        <w:rPr>
          <w:rFonts w:eastAsia="MS Mincho"/>
          <w:lang w:val="fr-FR"/>
        </w:rPr>
        <w:t>huitième session ordinaire, qui se tiendra à Genève le 16 octobre 2014</w:t>
      </w:r>
      <w:r w:rsidR="00557B14" w:rsidRPr="00B87E09">
        <w:rPr>
          <w:rFonts w:eastAsia="MS Mincho"/>
          <w:lang w:val="fr-FR"/>
        </w:rPr>
        <w:t xml:space="preserve"> </w:t>
      </w:r>
      <w:r w:rsidR="00557B14" w:rsidRPr="00B87E09">
        <w:rPr>
          <w:lang w:val="fr-FR"/>
        </w:rPr>
        <w:t>(voir le paragraphe 39 du document CAJ/69/12 “Compte rendu des conclusions”)</w:t>
      </w:r>
      <w:r w:rsidRPr="00B87E09">
        <w:rPr>
          <w:rFonts w:eastAsia="MS Mincho"/>
          <w:lang w:val="fr-FR"/>
        </w:rPr>
        <w:t>.</w:t>
      </w:r>
    </w:p>
    <w:p w:rsidR="008C1516" w:rsidRPr="00B87E09" w:rsidRDefault="008C1516" w:rsidP="008C1516">
      <w:pPr>
        <w:rPr>
          <w:rFonts w:eastAsia="MS Mincho"/>
          <w:lang w:val="fr-FR"/>
        </w:rPr>
      </w:pPr>
    </w:p>
    <w:p w:rsidR="008C1516" w:rsidRPr="00B87E09" w:rsidRDefault="008C1516" w:rsidP="008C1516">
      <w:pPr>
        <w:rPr>
          <w:rFonts w:eastAsia="MS Mincho"/>
          <w:lang w:val="fr-FR"/>
        </w:rPr>
      </w:pPr>
      <w:r w:rsidRPr="00B87E09">
        <w:rPr>
          <w:rFonts w:eastAsia="MS Mincho"/>
          <w:lang w:val="fr-FR"/>
        </w:rPr>
        <w:fldChar w:fldCharType="begin"/>
      </w:r>
      <w:r w:rsidRPr="00B87E09">
        <w:rPr>
          <w:rFonts w:eastAsia="MS Mincho"/>
          <w:lang w:val="fr-FR"/>
        </w:rPr>
        <w:instrText xml:space="preserve"> AUTONUM  </w:instrText>
      </w:r>
      <w:r w:rsidRPr="00B87E09">
        <w:rPr>
          <w:rFonts w:eastAsia="MS Mincho"/>
          <w:lang w:val="fr-FR"/>
        </w:rPr>
        <w:fldChar w:fldCharType="end"/>
      </w:r>
      <w:r w:rsidRPr="00B87E09">
        <w:rPr>
          <w:rFonts w:eastAsia="MS Mincho"/>
          <w:lang w:val="fr-FR"/>
        </w:rPr>
        <w:tab/>
        <w:t xml:space="preserve">Le CAJ </w:t>
      </w:r>
      <w:r w:rsidR="00557B14" w:rsidRPr="00B87E09">
        <w:rPr>
          <w:rFonts w:eastAsia="MS Mincho"/>
          <w:lang w:val="fr-FR"/>
        </w:rPr>
        <w:t>a pris</w:t>
      </w:r>
      <w:r w:rsidRPr="00B87E09">
        <w:rPr>
          <w:rFonts w:eastAsia="MS Mincho"/>
          <w:lang w:val="fr-FR"/>
        </w:rPr>
        <w:t xml:space="preserve"> note du projet, sous réserve de l</w:t>
      </w:r>
      <w:r w:rsidR="00CA38FC" w:rsidRPr="00B87E09">
        <w:rPr>
          <w:rFonts w:eastAsia="MS Mincho"/>
          <w:lang w:val="fr-FR"/>
        </w:rPr>
        <w:t>’</w:t>
      </w:r>
      <w:r w:rsidRPr="00B87E09">
        <w:rPr>
          <w:rFonts w:eastAsia="MS Mincho"/>
          <w:lang w:val="fr-FR"/>
        </w:rPr>
        <w:t>adoption du document UPOV/INF/22 par le Conseil à sa quarante</w:t>
      </w:r>
      <w:r w:rsidR="00B87E09" w:rsidRPr="00B87E09">
        <w:rPr>
          <w:rFonts w:eastAsia="MS Mincho"/>
          <w:lang w:val="fr-FR"/>
        </w:rPr>
        <w:noBreakHyphen/>
      </w:r>
      <w:r w:rsidRPr="00B87E09">
        <w:rPr>
          <w:rFonts w:eastAsia="MS Mincho"/>
          <w:lang w:val="fr-FR"/>
        </w:rPr>
        <w:t xml:space="preserve">huitième session ordinaire qui se tiendra à Genève le 16 octobre 2014, de diffuser une circulaire aux </w:t>
      </w:r>
      <w:r w:rsidR="00F95C04">
        <w:rPr>
          <w:rFonts w:eastAsia="MS Mincho"/>
          <w:lang w:val="fr-FR"/>
        </w:rPr>
        <w:t>représentant</w:t>
      </w:r>
      <w:r w:rsidRPr="00B87E09">
        <w:rPr>
          <w:rFonts w:eastAsia="MS Mincho"/>
          <w:lang w:val="fr-FR"/>
        </w:rPr>
        <w:t xml:space="preserve">s désignés </w:t>
      </w:r>
      <w:r w:rsidR="00F95C04">
        <w:rPr>
          <w:rFonts w:eastAsia="MS Mincho"/>
          <w:lang w:val="fr-FR"/>
        </w:rPr>
        <w:t>d</w:t>
      </w:r>
      <w:r w:rsidRPr="00B87E09">
        <w:rPr>
          <w:rFonts w:eastAsia="MS Mincho"/>
          <w:lang w:val="fr-FR"/>
        </w:rPr>
        <w:t>es membres de l</w:t>
      </w:r>
      <w:r w:rsidR="00CA38FC" w:rsidRPr="00B87E09">
        <w:rPr>
          <w:rFonts w:eastAsia="MS Mincho"/>
          <w:lang w:val="fr-FR"/>
        </w:rPr>
        <w:t>’</w:t>
      </w:r>
      <w:r w:rsidRPr="00B87E09">
        <w:rPr>
          <w:rFonts w:eastAsia="MS Mincho"/>
          <w:lang w:val="fr-FR"/>
        </w:rPr>
        <w:t xml:space="preserve">Union </w:t>
      </w:r>
      <w:r w:rsidR="00F95C04">
        <w:rPr>
          <w:rFonts w:eastAsia="MS Mincho"/>
          <w:lang w:val="fr-FR"/>
        </w:rPr>
        <w:t>a</w:t>
      </w:r>
      <w:r w:rsidRPr="00B87E09">
        <w:rPr>
          <w:rFonts w:eastAsia="MS Mincho"/>
          <w:lang w:val="fr-FR"/>
        </w:rPr>
        <w:t>u</w:t>
      </w:r>
      <w:r w:rsidR="00CA38FC" w:rsidRPr="00B87E09">
        <w:rPr>
          <w:rFonts w:eastAsia="MS Mincho"/>
          <w:lang w:val="fr-FR"/>
        </w:rPr>
        <w:t> TC</w:t>
      </w:r>
      <w:r w:rsidRPr="00B87E09">
        <w:rPr>
          <w:rFonts w:eastAsia="MS Mincho"/>
          <w:lang w:val="fr-FR"/>
        </w:rPr>
        <w:t>, les invitant à fournir des renseignements sur les logiciels et les équipements non personnalisés utilisés par les membres de l</w:t>
      </w:r>
      <w:r w:rsidR="00CA38FC" w:rsidRPr="00B87E09">
        <w:rPr>
          <w:rFonts w:eastAsia="MS Mincho"/>
          <w:lang w:val="fr-FR"/>
        </w:rPr>
        <w:t>’</w:t>
      </w:r>
      <w:r w:rsidRPr="00B87E09">
        <w:rPr>
          <w:rFonts w:eastAsia="MS Mincho"/>
          <w:lang w:val="fr-FR"/>
        </w:rPr>
        <w:t>Union, selon que de besoin</w:t>
      </w:r>
      <w:r w:rsidR="00557B14" w:rsidRPr="00B87E09">
        <w:rPr>
          <w:rFonts w:eastAsia="MS Mincho"/>
          <w:lang w:val="fr-FR"/>
        </w:rPr>
        <w:t xml:space="preserve"> </w:t>
      </w:r>
      <w:r w:rsidR="00557B14" w:rsidRPr="00B87E09">
        <w:rPr>
          <w:lang w:val="fr-FR"/>
        </w:rPr>
        <w:t>(voir le paragraphe 40 du document CAJ/69/12 “Compte rendu des conclusions”)</w:t>
      </w:r>
      <w:r w:rsidRPr="00B87E09">
        <w:rPr>
          <w:rFonts w:eastAsia="MS Mincho"/>
          <w:lang w:val="fr-FR"/>
        </w:rPr>
        <w:t>.</w:t>
      </w:r>
    </w:p>
    <w:p w:rsidR="008C1516" w:rsidRPr="00B87E09" w:rsidRDefault="008C1516" w:rsidP="008C1516">
      <w:pPr>
        <w:rPr>
          <w:rFonts w:eastAsia="MS Mincho"/>
          <w:lang w:val="fr-FR"/>
        </w:rPr>
      </w:pPr>
    </w:p>
    <w:p w:rsidR="008C1516" w:rsidRPr="00B87E09" w:rsidRDefault="008C1516" w:rsidP="008C1516">
      <w:pPr>
        <w:rPr>
          <w:rFonts w:eastAsia="MS Mincho"/>
          <w:color w:val="000000"/>
          <w:lang w:val="fr-FR"/>
        </w:rPr>
      </w:pPr>
      <w:r w:rsidRPr="00B87E09">
        <w:rPr>
          <w:rFonts w:eastAsia="MS Mincho"/>
          <w:lang w:val="fr-FR"/>
        </w:rPr>
        <w:fldChar w:fldCharType="begin"/>
      </w:r>
      <w:r w:rsidRPr="00B87E09">
        <w:rPr>
          <w:rFonts w:eastAsia="MS Mincho"/>
          <w:lang w:val="fr-FR"/>
        </w:rPr>
        <w:instrText xml:space="preserve"> AUTONUM  </w:instrText>
      </w:r>
      <w:r w:rsidRPr="00B87E09">
        <w:rPr>
          <w:rFonts w:eastAsia="MS Mincho"/>
          <w:lang w:val="fr-FR"/>
        </w:rPr>
        <w:fldChar w:fldCharType="end"/>
      </w:r>
      <w:r w:rsidRPr="00B87E09">
        <w:rPr>
          <w:rFonts w:eastAsia="MS Mincho"/>
          <w:lang w:val="fr-FR"/>
        </w:rPr>
        <w:tab/>
        <w:t xml:space="preserve">Le CAJ </w:t>
      </w:r>
      <w:r w:rsidR="00557B14" w:rsidRPr="00B87E09">
        <w:rPr>
          <w:rFonts w:eastAsia="MS Mincho"/>
          <w:lang w:val="fr-FR"/>
        </w:rPr>
        <w:t xml:space="preserve">a </w:t>
      </w:r>
      <w:r w:rsidR="00557B14" w:rsidRPr="00B87E09">
        <w:rPr>
          <w:rFonts w:eastAsia="MS Mincho"/>
          <w:color w:val="000000"/>
          <w:lang w:val="fr-FR"/>
        </w:rPr>
        <w:t>approuvé</w:t>
      </w:r>
      <w:r w:rsidRPr="00B87E09">
        <w:rPr>
          <w:rFonts w:eastAsia="MS Mincho"/>
          <w:color w:val="000000"/>
          <w:lang w:val="fr-FR"/>
        </w:rPr>
        <w:t xml:space="preserve"> l</w:t>
      </w:r>
      <w:r w:rsidR="00CA38FC" w:rsidRPr="00B87E09">
        <w:rPr>
          <w:rFonts w:eastAsia="MS Mincho"/>
          <w:color w:val="000000"/>
          <w:lang w:val="fr-FR"/>
        </w:rPr>
        <w:t>’</w:t>
      </w:r>
      <w:r w:rsidRPr="00B87E09">
        <w:rPr>
          <w:rFonts w:eastAsia="MS Mincho"/>
          <w:color w:val="000000"/>
          <w:lang w:val="fr-FR"/>
        </w:rPr>
        <w:t>inclusion du logiciel SIVAVE dans le document UPOV/INF/16</w:t>
      </w:r>
      <w:r w:rsidR="00557B14" w:rsidRPr="00B87E09">
        <w:rPr>
          <w:rFonts w:eastAsia="MS Mincho"/>
          <w:color w:val="000000"/>
          <w:lang w:val="fr-FR"/>
        </w:rPr>
        <w:t xml:space="preserve"> </w:t>
      </w:r>
      <w:r w:rsidR="00C54380" w:rsidRPr="00B87E09">
        <w:rPr>
          <w:rFonts w:eastAsia="MS Mincho"/>
          <w:color w:val="000000"/>
          <w:lang w:val="fr-FR"/>
        </w:rPr>
        <w:t>“</w:t>
      </w:r>
      <w:r w:rsidR="00E44531" w:rsidRPr="00B87E09">
        <w:rPr>
          <w:rFonts w:eastAsia="MS Mincho"/>
          <w:color w:val="000000"/>
          <w:lang w:val="fr-FR"/>
        </w:rPr>
        <w:t>Logiciels échangeables</w:t>
      </w:r>
      <w:r w:rsidR="00C54380" w:rsidRPr="00B87E09">
        <w:rPr>
          <w:rFonts w:eastAsia="MS Mincho"/>
          <w:color w:val="000000"/>
          <w:lang w:val="fr-FR"/>
        </w:rPr>
        <w:t>”</w:t>
      </w:r>
      <w:r w:rsidR="00E44531" w:rsidRPr="00B87E09">
        <w:rPr>
          <w:rFonts w:eastAsia="MS Mincho"/>
          <w:color w:val="000000"/>
          <w:lang w:val="fr-FR"/>
        </w:rPr>
        <w:t xml:space="preserve"> </w:t>
      </w:r>
      <w:r w:rsidR="00557B14" w:rsidRPr="00B87E09">
        <w:rPr>
          <w:lang w:val="fr-FR"/>
        </w:rPr>
        <w:t>(voir le paragraphe 41 du document CAJ/69/12 “Compte rendu des conclusions”)</w:t>
      </w:r>
      <w:r w:rsidRPr="00B87E09">
        <w:rPr>
          <w:rFonts w:eastAsia="MS Mincho"/>
          <w:color w:val="000000"/>
          <w:lang w:val="fr-FR"/>
        </w:rPr>
        <w:t>.</w:t>
      </w:r>
    </w:p>
    <w:p w:rsidR="008C1516" w:rsidRPr="00B87E09" w:rsidRDefault="008C1516" w:rsidP="008C1516">
      <w:pPr>
        <w:rPr>
          <w:rFonts w:eastAsia="MS Mincho"/>
          <w:color w:val="000000"/>
          <w:lang w:val="fr-FR"/>
        </w:rPr>
      </w:pPr>
    </w:p>
    <w:p w:rsidR="008C1516" w:rsidRPr="00B87E09" w:rsidRDefault="008C1516" w:rsidP="008C1516">
      <w:pPr>
        <w:rPr>
          <w:rFonts w:eastAsia="MS Mincho"/>
          <w:color w:val="000000"/>
          <w:lang w:val="fr-FR"/>
        </w:rPr>
      </w:pPr>
      <w:r w:rsidRPr="00B87E09">
        <w:rPr>
          <w:rFonts w:eastAsia="MS Mincho"/>
          <w:color w:val="000000"/>
          <w:lang w:val="fr-FR"/>
        </w:rPr>
        <w:fldChar w:fldCharType="begin"/>
      </w:r>
      <w:r w:rsidRPr="00B87E09">
        <w:rPr>
          <w:rFonts w:eastAsia="MS Mincho"/>
          <w:color w:val="000000"/>
          <w:lang w:val="fr-FR"/>
        </w:rPr>
        <w:instrText xml:space="preserve"> AUTONUM  </w:instrText>
      </w:r>
      <w:r w:rsidRPr="00B87E09">
        <w:rPr>
          <w:rFonts w:eastAsia="MS Mincho"/>
          <w:color w:val="000000"/>
          <w:lang w:val="fr-FR"/>
        </w:rPr>
        <w:fldChar w:fldCharType="end"/>
      </w:r>
      <w:r w:rsidRPr="00B87E09">
        <w:rPr>
          <w:rFonts w:eastAsia="MS Mincho"/>
          <w:color w:val="000000"/>
          <w:lang w:val="fr-FR"/>
        </w:rPr>
        <w:tab/>
        <w:t xml:space="preserve">Le CAJ </w:t>
      </w:r>
      <w:r w:rsidR="00557B14" w:rsidRPr="00B87E09">
        <w:rPr>
          <w:rFonts w:eastAsia="MS Mincho"/>
          <w:color w:val="000000"/>
          <w:lang w:val="fr-FR"/>
        </w:rPr>
        <w:t>est convenu</w:t>
      </w:r>
      <w:r w:rsidRPr="00B87E09">
        <w:rPr>
          <w:rFonts w:eastAsia="MS Mincho"/>
          <w:color w:val="000000"/>
          <w:lang w:val="fr-FR"/>
        </w:rPr>
        <w:t xml:space="preserve"> avec le</w:t>
      </w:r>
      <w:r w:rsidR="00CA38FC" w:rsidRPr="00B87E09">
        <w:rPr>
          <w:rFonts w:eastAsia="MS Mincho"/>
          <w:color w:val="000000"/>
          <w:lang w:val="fr-FR"/>
        </w:rPr>
        <w:t> TC</w:t>
      </w:r>
      <w:r w:rsidRPr="00B87E09">
        <w:rPr>
          <w:rFonts w:eastAsia="MS Mincho"/>
          <w:color w:val="000000"/>
          <w:lang w:val="fr-FR"/>
        </w:rPr>
        <w:t xml:space="preserve"> qu</w:t>
      </w:r>
      <w:r w:rsidR="00CA38FC" w:rsidRPr="00B87E09">
        <w:rPr>
          <w:rFonts w:eastAsia="MS Mincho"/>
          <w:color w:val="000000"/>
          <w:lang w:val="fr-FR"/>
        </w:rPr>
        <w:t>’</w:t>
      </w:r>
      <w:r w:rsidRPr="00B87E09">
        <w:rPr>
          <w:rFonts w:eastAsia="MS Mincho"/>
          <w:color w:val="000000"/>
          <w:lang w:val="fr-FR"/>
        </w:rPr>
        <w:t>une version révisée du document UPOV/INF/16/3 concernant l</w:t>
      </w:r>
      <w:r w:rsidR="00CA38FC" w:rsidRPr="00B87E09">
        <w:rPr>
          <w:rFonts w:eastAsia="MS Mincho"/>
          <w:color w:val="000000"/>
          <w:lang w:val="fr-FR"/>
        </w:rPr>
        <w:t>’</w:t>
      </w:r>
      <w:r w:rsidRPr="00B87E09">
        <w:rPr>
          <w:rFonts w:eastAsia="MS Mincho"/>
          <w:color w:val="000000"/>
          <w:lang w:val="fr-FR"/>
        </w:rPr>
        <w:t xml:space="preserve">inclusion du logiciel SIVAVE devrait être présentée pour adoption par le Conseil à sa </w:t>
      </w:r>
      <w:r w:rsidRPr="00B87E09">
        <w:rPr>
          <w:rFonts w:eastAsia="MS Mincho"/>
          <w:lang w:val="fr-FR"/>
        </w:rPr>
        <w:t>quarante</w:t>
      </w:r>
      <w:r w:rsidR="00B87E09" w:rsidRPr="00B87E09">
        <w:rPr>
          <w:rFonts w:eastAsia="MS Mincho"/>
          <w:lang w:val="fr-FR"/>
        </w:rPr>
        <w:noBreakHyphen/>
      </w:r>
      <w:r w:rsidRPr="00B87E09">
        <w:rPr>
          <w:rFonts w:eastAsia="MS Mincho"/>
          <w:lang w:val="fr-FR"/>
        </w:rPr>
        <w:t>huitième session ordinaire qui se tiendra le 16 octobre 2014</w:t>
      </w:r>
      <w:r w:rsidR="00557B14" w:rsidRPr="00B87E09">
        <w:rPr>
          <w:rFonts w:eastAsia="MS Mincho"/>
          <w:lang w:val="fr-FR"/>
        </w:rPr>
        <w:t xml:space="preserve"> </w:t>
      </w:r>
      <w:r w:rsidR="00557B14" w:rsidRPr="00B87E09">
        <w:rPr>
          <w:lang w:val="fr-FR"/>
        </w:rPr>
        <w:t>(voir le paragraphe 42 du document CAJ/69/12 “Compte rendu des conclusions”)</w:t>
      </w:r>
      <w:r w:rsidRPr="00B87E09">
        <w:rPr>
          <w:rFonts w:eastAsia="MS Mincho"/>
          <w:lang w:val="fr-FR"/>
        </w:rPr>
        <w:t>.</w:t>
      </w:r>
    </w:p>
    <w:p w:rsidR="008C1516" w:rsidRPr="00B87E09" w:rsidRDefault="008C1516" w:rsidP="008C1516">
      <w:pPr>
        <w:rPr>
          <w:rFonts w:eastAsia="MS Mincho"/>
          <w:color w:val="000000"/>
          <w:lang w:val="fr-FR"/>
        </w:rPr>
      </w:pPr>
    </w:p>
    <w:p w:rsidR="008C1516" w:rsidRPr="00B87E09" w:rsidRDefault="008C1516" w:rsidP="008C1516">
      <w:pPr>
        <w:rPr>
          <w:lang w:val="fr-FR"/>
        </w:rPr>
      </w:pPr>
      <w:r w:rsidRPr="00B87E09">
        <w:rPr>
          <w:rFonts w:eastAsia="MS Mincho"/>
          <w:color w:val="000000"/>
          <w:lang w:val="fr-FR"/>
        </w:rPr>
        <w:fldChar w:fldCharType="begin"/>
      </w:r>
      <w:r w:rsidRPr="00B87E09">
        <w:rPr>
          <w:rFonts w:eastAsia="MS Mincho"/>
          <w:color w:val="000000"/>
          <w:lang w:val="fr-FR"/>
        </w:rPr>
        <w:instrText xml:space="preserve"> AUTONUM  </w:instrText>
      </w:r>
      <w:r w:rsidRPr="00B87E09">
        <w:rPr>
          <w:rFonts w:eastAsia="MS Mincho"/>
          <w:color w:val="000000"/>
          <w:lang w:val="fr-FR"/>
        </w:rPr>
        <w:fldChar w:fldCharType="end"/>
      </w:r>
      <w:r w:rsidRPr="00B87E09">
        <w:rPr>
          <w:rFonts w:eastAsia="MS Mincho"/>
          <w:color w:val="000000"/>
          <w:lang w:val="fr-FR"/>
        </w:rPr>
        <w:tab/>
        <w:t xml:space="preserve">Le CAJ </w:t>
      </w:r>
      <w:r w:rsidR="00557B14" w:rsidRPr="00B87E09">
        <w:rPr>
          <w:rFonts w:cs="Arial"/>
          <w:lang w:val="fr-FR"/>
        </w:rPr>
        <w:t>a</w:t>
      </w:r>
      <w:r w:rsidRPr="00B87E09">
        <w:rPr>
          <w:rFonts w:cs="Arial"/>
          <w:lang w:val="fr-FR"/>
        </w:rPr>
        <w:t xml:space="preserve"> </w:t>
      </w:r>
      <w:r w:rsidRPr="00B87E09">
        <w:rPr>
          <w:lang w:val="fr-FR"/>
        </w:rPr>
        <w:t>not</w:t>
      </w:r>
      <w:r w:rsidR="00557B14" w:rsidRPr="00B87E09">
        <w:rPr>
          <w:lang w:val="fr-FR"/>
        </w:rPr>
        <w:t>é</w:t>
      </w:r>
      <w:r w:rsidRPr="00B87E09">
        <w:rPr>
          <w:lang w:val="fr-FR"/>
        </w:rPr>
        <w:t xml:space="preserve"> que le Mexique a</w:t>
      </w:r>
      <w:r w:rsidR="00557B14" w:rsidRPr="00B87E09">
        <w:rPr>
          <w:lang w:val="fr-FR"/>
        </w:rPr>
        <w:t>vait</w:t>
      </w:r>
      <w:r w:rsidRPr="00B87E09">
        <w:rPr>
          <w:lang w:val="fr-FR"/>
        </w:rPr>
        <w:t xml:space="preserve"> été invité à fournir des précisions sur le logiciel </w:t>
      </w:r>
      <w:r w:rsidRPr="00B87E09">
        <w:rPr>
          <w:rFonts w:eastAsia="MS Mincho"/>
          <w:snapToGrid w:val="0"/>
          <w:lang w:val="fr-FR"/>
        </w:rPr>
        <w:t>SISNAVA à la trente</w:t>
      </w:r>
      <w:r w:rsidR="00B87E09" w:rsidRPr="00B87E09">
        <w:rPr>
          <w:rFonts w:eastAsia="MS Mincho"/>
          <w:snapToGrid w:val="0"/>
          <w:lang w:val="fr-FR"/>
        </w:rPr>
        <w:noBreakHyphen/>
      </w:r>
      <w:r w:rsidRPr="00B87E09">
        <w:rPr>
          <w:rFonts w:eastAsia="MS Mincho"/>
          <w:snapToGrid w:val="0"/>
          <w:lang w:val="fr-FR"/>
        </w:rPr>
        <w:t xml:space="preserve">deuxième session du </w:t>
      </w:r>
      <w:r w:rsidRPr="00B87E09">
        <w:rPr>
          <w:lang w:val="fr-FR"/>
        </w:rPr>
        <w:t>Groupe de travail technique sur les systèmes d</w:t>
      </w:r>
      <w:r w:rsidR="00CA38FC" w:rsidRPr="00B87E09">
        <w:rPr>
          <w:lang w:val="fr-FR"/>
        </w:rPr>
        <w:t>’</w:t>
      </w:r>
      <w:r w:rsidRPr="00B87E09">
        <w:rPr>
          <w:lang w:val="fr-FR"/>
        </w:rPr>
        <w:t>automatisation et les programmes d</w:t>
      </w:r>
      <w:r w:rsidR="00CA38FC" w:rsidRPr="00B87E09">
        <w:rPr>
          <w:lang w:val="fr-FR"/>
        </w:rPr>
        <w:t>’</w:t>
      </w:r>
      <w:r w:rsidRPr="00B87E09">
        <w:rPr>
          <w:lang w:val="fr-FR"/>
        </w:rPr>
        <w:t>ordinateur (</w:t>
      </w:r>
      <w:r w:rsidRPr="00B87E09">
        <w:rPr>
          <w:rFonts w:eastAsia="MS Mincho"/>
          <w:snapToGrid w:val="0"/>
          <w:lang w:val="fr-FR"/>
        </w:rPr>
        <w:t xml:space="preserve">TWC), </w:t>
      </w:r>
      <w:r w:rsidR="00F95C04">
        <w:rPr>
          <w:rFonts w:eastAsia="MS Mincho"/>
          <w:snapToGrid w:val="0"/>
          <w:lang w:val="fr-FR"/>
        </w:rPr>
        <w:t>prévue</w:t>
      </w:r>
      <w:r w:rsidRPr="00B87E09">
        <w:rPr>
          <w:rFonts w:eastAsia="MS Mincho"/>
          <w:snapToGrid w:val="0"/>
          <w:lang w:val="fr-FR"/>
        </w:rPr>
        <w:t xml:space="preserve"> à Helsinki (Finlande) du 3 au 6 juin 2014</w:t>
      </w:r>
      <w:r w:rsidR="00557B14" w:rsidRPr="00B87E09">
        <w:rPr>
          <w:rFonts w:eastAsia="MS Mincho"/>
          <w:snapToGrid w:val="0"/>
          <w:lang w:val="fr-FR"/>
        </w:rPr>
        <w:t xml:space="preserve"> </w:t>
      </w:r>
      <w:r w:rsidR="00557B14" w:rsidRPr="00B87E09">
        <w:rPr>
          <w:lang w:val="fr-FR"/>
        </w:rPr>
        <w:t>(voir le paragraphe 43 du document CAJ/69/12 “Compte rendu des conclusions”)</w:t>
      </w:r>
      <w:r w:rsidRPr="00B87E09">
        <w:rPr>
          <w:rFonts w:eastAsia="MS Mincho"/>
          <w:snapToGrid w:val="0"/>
          <w:lang w:val="fr-FR"/>
        </w:rPr>
        <w:t>.</w:t>
      </w:r>
    </w:p>
    <w:p w:rsidR="008C1516" w:rsidRPr="00B87E09" w:rsidRDefault="008C1516" w:rsidP="008C1516">
      <w:pPr>
        <w:rPr>
          <w:lang w:val="fr-FR"/>
        </w:rPr>
      </w:pPr>
    </w:p>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557B14" w:rsidRPr="00B87E09">
        <w:rPr>
          <w:lang w:val="fr-FR"/>
        </w:rPr>
        <w:t>a approuvé</w:t>
      </w:r>
      <w:r w:rsidRPr="00B87E09">
        <w:rPr>
          <w:lang w:val="fr-FR"/>
        </w:rPr>
        <w:t xml:space="preserve"> la version révisée, telle que proposée, du document UPOV/INF/16 concernant l</w:t>
      </w:r>
      <w:r w:rsidR="00CA38FC" w:rsidRPr="00B87E09">
        <w:rPr>
          <w:lang w:val="fr-FR"/>
        </w:rPr>
        <w:t>’</w:t>
      </w:r>
      <w:r w:rsidRPr="00B87E09">
        <w:rPr>
          <w:lang w:val="fr-FR"/>
        </w:rPr>
        <w:t>inclusion d</w:t>
      </w:r>
      <w:r w:rsidR="00CA38FC" w:rsidRPr="00B87E09">
        <w:rPr>
          <w:lang w:val="fr-FR"/>
        </w:rPr>
        <w:t>’</w:t>
      </w:r>
      <w:r w:rsidRPr="00B87E09">
        <w:rPr>
          <w:lang w:val="fr-FR"/>
        </w:rPr>
        <w:t>informations sur l</w:t>
      </w:r>
      <w:r w:rsidR="00CA38FC" w:rsidRPr="00B87E09">
        <w:rPr>
          <w:lang w:val="fr-FR"/>
        </w:rPr>
        <w:t>’</w:t>
      </w:r>
      <w:r w:rsidRPr="00B87E09">
        <w:rPr>
          <w:lang w:val="fr-FR"/>
        </w:rPr>
        <w:t>utilisation de logiciels par les membres de l</w:t>
      </w:r>
      <w:r w:rsidR="00CA38FC" w:rsidRPr="00B87E09">
        <w:rPr>
          <w:lang w:val="fr-FR"/>
        </w:rPr>
        <w:t>’</w:t>
      </w:r>
      <w:r w:rsidRPr="00B87E09">
        <w:rPr>
          <w:lang w:val="fr-FR"/>
        </w:rPr>
        <w:t>Union, comme base de son adoption par le Conseil à sa quarante</w:t>
      </w:r>
      <w:r w:rsidR="00B87E09" w:rsidRPr="00B87E09">
        <w:rPr>
          <w:lang w:val="fr-FR"/>
        </w:rPr>
        <w:noBreakHyphen/>
      </w:r>
      <w:r w:rsidRPr="00B87E09">
        <w:rPr>
          <w:lang w:val="fr-FR"/>
        </w:rPr>
        <w:t>huitième session ordinaire, qui se tiendra le 16 octobre 2014</w:t>
      </w:r>
      <w:r w:rsidR="00557B14" w:rsidRPr="00B87E09">
        <w:rPr>
          <w:lang w:val="fr-FR"/>
        </w:rPr>
        <w:t xml:space="preserve"> (voir le paragraphe 44 du document CAJ/69/12 “Compte rendu des conclusions”)</w:t>
      </w:r>
      <w:r w:rsidRPr="00B87E09">
        <w:rPr>
          <w:lang w:val="fr-FR"/>
        </w:rPr>
        <w:t>.</w:t>
      </w:r>
    </w:p>
    <w:p w:rsidR="008C1516" w:rsidRPr="00B87E09" w:rsidRDefault="008C1516" w:rsidP="008C1516">
      <w:pPr>
        <w:rPr>
          <w:lang w:val="fr-FR"/>
        </w:rPr>
      </w:pPr>
    </w:p>
    <w:p w:rsidR="008C1516" w:rsidRPr="00B87E09" w:rsidRDefault="008C1516" w:rsidP="008C1516">
      <w:pPr>
        <w:rPr>
          <w:rFonts w:eastAsia="MS Mincho"/>
          <w:lang w:val="fr-FR"/>
        </w:rPr>
      </w:pPr>
      <w:r w:rsidRPr="00B87E09">
        <w:rPr>
          <w:rFonts w:eastAsia="MS Mincho"/>
          <w:lang w:val="fr-FR"/>
        </w:rPr>
        <w:fldChar w:fldCharType="begin"/>
      </w:r>
      <w:r w:rsidRPr="00B87E09">
        <w:rPr>
          <w:rFonts w:eastAsia="MS Mincho"/>
          <w:lang w:val="fr-FR"/>
        </w:rPr>
        <w:instrText xml:space="preserve"> AUTONUM  </w:instrText>
      </w:r>
      <w:r w:rsidRPr="00B87E09">
        <w:rPr>
          <w:rFonts w:eastAsia="MS Mincho"/>
          <w:lang w:val="fr-FR"/>
        </w:rPr>
        <w:fldChar w:fldCharType="end"/>
      </w:r>
      <w:r w:rsidRPr="00B87E09">
        <w:rPr>
          <w:rFonts w:eastAsia="MS Mincho"/>
          <w:lang w:val="fr-FR"/>
        </w:rPr>
        <w:tab/>
        <w:t xml:space="preserve">Le CAJ </w:t>
      </w:r>
      <w:r w:rsidR="00557B14" w:rsidRPr="00B87E09">
        <w:rPr>
          <w:rFonts w:cs="Arial"/>
          <w:lang w:val="fr-FR"/>
        </w:rPr>
        <w:t xml:space="preserve">a </w:t>
      </w:r>
      <w:r w:rsidR="00557B14" w:rsidRPr="00B87E09">
        <w:rPr>
          <w:lang w:val="fr-FR"/>
        </w:rPr>
        <w:t>noté</w:t>
      </w:r>
      <w:r w:rsidRPr="00B87E09">
        <w:rPr>
          <w:lang w:val="fr-FR"/>
        </w:rPr>
        <w:t xml:space="preserve"> </w:t>
      </w:r>
      <w:r w:rsidRPr="00B87E09">
        <w:rPr>
          <w:rFonts w:eastAsia="MS Mincho"/>
          <w:color w:val="000000"/>
          <w:lang w:val="fr-FR"/>
        </w:rPr>
        <w:t>qu</w:t>
      </w:r>
      <w:r w:rsidR="00CA38FC" w:rsidRPr="00B87E09">
        <w:rPr>
          <w:rFonts w:eastAsia="MS Mincho"/>
          <w:color w:val="000000"/>
          <w:lang w:val="fr-FR"/>
        </w:rPr>
        <w:t>’</w:t>
      </w:r>
      <w:r w:rsidRPr="00B87E09">
        <w:rPr>
          <w:rFonts w:eastAsia="MS Mincho"/>
          <w:color w:val="000000"/>
          <w:lang w:val="fr-FR"/>
        </w:rPr>
        <w:t>un expert de la France fera</w:t>
      </w:r>
      <w:r w:rsidR="00557B14" w:rsidRPr="00B87E09">
        <w:rPr>
          <w:rFonts w:eastAsia="MS Mincho"/>
          <w:color w:val="000000"/>
          <w:lang w:val="fr-FR"/>
        </w:rPr>
        <w:t>it</w:t>
      </w:r>
      <w:r w:rsidRPr="00B87E09">
        <w:rPr>
          <w:rFonts w:eastAsia="MS Mincho"/>
          <w:color w:val="000000"/>
          <w:lang w:val="fr-FR"/>
        </w:rPr>
        <w:t xml:space="preserve"> un exposé sur le logiciel AIM à la trente</w:t>
      </w:r>
      <w:r w:rsidR="00B87E09" w:rsidRPr="00B87E09">
        <w:rPr>
          <w:rFonts w:eastAsia="MS Mincho"/>
          <w:color w:val="000000"/>
          <w:lang w:val="fr-FR"/>
        </w:rPr>
        <w:noBreakHyphen/>
      </w:r>
      <w:r w:rsidRPr="00B87E09">
        <w:rPr>
          <w:rFonts w:eastAsia="MS Mincho"/>
          <w:color w:val="000000"/>
          <w:lang w:val="fr-FR"/>
        </w:rPr>
        <w:t>deuxième session du TWC, sur la base de la traduction du logiciel en langue anglaise</w:t>
      </w:r>
      <w:r w:rsidR="00557B14" w:rsidRPr="00B87E09">
        <w:rPr>
          <w:rFonts w:eastAsia="MS Mincho"/>
          <w:color w:val="000000"/>
          <w:lang w:val="fr-FR"/>
        </w:rPr>
        <w:t xml:space="preserve"> </w:t>
      </w:r>
      <w:r w:rsidR="00557B14" w:rsidRPr="00B87E09">
        <w:rPr>
          <w:lang w:val="fr-FR"/>
        </w:rPr>
        <w:t>(voir le paragraphe 45 du document CAJ/69/12 “Compte rendu des conclusions”)</w:t>
      </w:r>
      <w:r w:rsidRPr="00B87E09">
        <w:rPr>
          <w:rFonts w:eastAsia="MS Mincho"/>
          <w:color w:val="000000"/>
          <w:lang w:val="fr-FR"/>
        </w:rPr>
        <w:t>.</w:t>
      </w:r>
    </w:p>
    <w:p w:rsidR="008C1516" w:rsidRPr="00B87E09" w:rsidRDefault="008C1516" w:rsidP="008C1516">
      <w:pPr>
        <w:rPr>
          <w:rFonts w:eastAsia="MS Mincho"/>
          <w:lang w:val="fr-FR"/>
        </w:rPr>
      </w:pPr>
    </w:p>
    <w:p w:rsidR="008C1516" w:rsidRPr="00B87E09" w:rsidRDefault="008C1516" w:rsidP="008C1516">
      <w:pPr>
        <w:rPr>
          <w:rFonts w:eastAsia="MS Mincho"/>
          <w:snapToGrid w:val="0"/>
          <w:lang w:val="fr-FR"/>
        </w:rPr>
      </w:pPr>
      <w:r w:rsidRPr="00B87E09">
        <w:rPr>
          <w:rFonts w:eastAsia="MS Mincho"/>
          <w:snapToGrid w:val="0"/>
          <w:lang w:val="fr-FR"/>
        </w:rPr>
        <w:fldChar w:fldCharType="begin"/>
      </w:r>
      <w:r w:rsidRPr="00B87E09">
        <w:rPr>
          <w:rFonts w:eastAsia="MS Mincho"/>
          <w:snapToGrid w:val="0"/>
          <w:lang w:val="fr-FR"/>
        </w:rPr>
        <w:instrText xml:space="preserve"> AUTONUM  </w:instrText>
      </w:r>
      <w:r w:rsidRPr="00B87E09">
        <w:rPr>
          <w:rFonts w:eastAsia="MS Mincho"/>
          <w:snapToGrid w:val="0"/>
          <w:lang w:val="fr-FR"/>
        </w:rPr>
        <w:fldChar w:fldCharType="end"/>
      </w:r>
      <w:r w:rsidRPr="00B87E09">
        <w:rPr>
          <w:rFonts w:eastAsia="MS Mincho"/>
          <w:snapToGrid w:val="0"/>
          <w:lang w:val="fr-FR"/>
        </w:rPr>
        <w:tab/>
        <w:t xml:space="preserve">Le CAJ </w:t>
      </w:r>
      <w:r w:rsidR="00557B14" w:rsidRPr="00B87E09">
        <w:rPr>
          <w:rFonts w:eastAsia="MS Mincho"/>
          <w:snapToGrid w:val="0"/>
          <w:lang w:val="fr-FR"/>
        </w:rPr>
        <w:t>a pris</w:t>
      </w:r>
      <w:r w:rsidRPr="00B87E09">
        <w:rPr>
          <w:rFonts w:eastAsia="MS Mincho"/>
          <w:snapToGrid w:val="0"/>
          <w:lang w:val="fr-FR"/>
        </w:rPr>
        <w:t xml:space="preserve"> note de la proposition concernant les captures d</w:t>
      </w:r>
      <w:r w:rsidR="00CA38FC" w:rsidRPr="00B87E09">
        <w:rPr>
          <w:rFonts w:eastAsia="MS Mincho"/>
          <w:snapToGrid w:val="0"/>
          <w:lang w:val="fr-FR"/>
        </w:rPr>
        <w:t>’</w:t>
      </w:r>
      <w:r w:rsidRPr="00B87E09">
        <w:rPr>
          <w:rFonts w:eastAsia="MS Mincho"/>
          <w:snapToGrid w:val="0"/>
          <w:lang w:val="fr-FR"/>
        </w:rPr>
        <w:t xml:space="preserve">écran en anglais du logiciel “Information System (IS) used for Test and Protection of Plant Varieties in the Russian Federation” à </w:t>
      </w:r>
      <w:r w:rsidRPr="00B87E09">
        <w:rPr>
          <w:rFonts w:eastAsia="MS Mincho"/>
          <w:snapToGrid w:val="0"/>
          <w:lang w:val="fr-FR"/>
        </w:rPr>
        <w:lastRenderedPageBreak/>
        <w:t>présenter au TWC à sa trente</w:t>
      </w:r>
      <w:r w:rsidR="00B87E09" w:rsidRPr="00B87E09">
        <w:rPr>
          <w:rFonts w:eastAsia="MS Mincho"/>
          <w:snapToGrid w:val="0"/>
          <w:lang w:val="fr-FR"/>
        </w:rPr>
        <w:noBreakHyphen/>
      </w:r>
      <w:r w:rsidRPr="00B87E09">
        <w:rPr>
          <w:rFonts w:eastAsia="MS Mincho"/>
          <w:snapToGrid w:val="0"/>
          <w:lang w:val="fr-FR"/>
        </w:rPr>
        <w:t>deuxième session afin d</w:t>
      </w:r>
      <w:r w:rsidR="00CA38FC" w:rsidRPr="00B87E09">
        <w:rPr>
          <w:rFonts w:eastAsia="MS Mincho"/>
          <w:snapToGrid w:val="0"/>
          <w:lang w:val="fr-FR"/>
        </w:rPr>
        <w:t>’</w:t>
      </w:r>
      <w:r w:rsidRPr="00B87E09">
        <w:rPr>
          <w:rFonts w:eastAsia="MS Mincho"/>
          <w:snapToGrid w:val="0"/>
          <w:lang w:val="fr-FR"/>
        </w:rPr>
        <w:t>expliquer comment le logiciel fonctionne</w:t>
      </w:r>
      <w:r w:rsidR="00557B14" w:rsidRPr="00B87E09">
        <w:rPr>
          <w:rFonts w:eastAsia="MS Mincho"/>
          <w:snapToGrid w:val="0"/>
          <w:lang w:val="fr-FR"/>
        </w:rPr>
        <w:t xml:space="preserve"> </w:t>
      </w:r>
      <w:r w:rsidR="00557B14" w:rsidRPr="00B87E09">
        <w:rPr>
          <w:lang w:val="fr-FR"/>
        </w:rPr>
        <w:t>(voir le paragraphe 46 du document CAJ/69/12 “Compte rendu des conclusions”)</w:t>
      </w:r>
      <w:r w:rsidRPr="00B87E09">
        <w:rPr>
          <w:rFonts w:eastAsia="MS Mincho"/>
          <w:snapToGrid w:val="0"/>
          <w:lang w:val="fr-FR"/>
        </w:rPr>
        <w:t>.</w:t>
      </w:r>
    </w:p>
    <w:p w:rsidR="00557B14" w:rsidRPr="00B87E09" w:rsidRDefault="00557B14" w:rsidP="00B9187D">
      <w:pPr>
        <w:spacing w:line="360" w:lineRule="auto"/>
        <w:rPr>
          <w:rFonts w:eastAsia="MS Mincho"/>
          <w:lang w:val="fr-FR"/>
        </w:rPr>
      </w:pPr>
    </w:p>
    <w:p w:rsidR="008C1516" w:rsidRPr="00B87E09" w:rsidRDefault="008C1516" w:rsidP="00B9187D">
      <w:pPr>
        <w:pStyle w:val="Heading3"/>
      </w:pPr>
      <w:bookmarkStart w:id="10" w:name="_Toc398628761"/>
      <w:r w:rsidRPr="00B87E09">
        <w:t>Systèmes de dépôt électronique des demandes</w:t>
      </w:r>
      <w:bookmarkEnd w:id="10"/>
    </w:p>
    <w:p w:rsidR="00B9187D" w:rsidRDefault="00B9187D" w:rsidP="00B9187D">
      <w:pPr>
        <w:keepNext/>
        <w:rPr>
          <w:snapToGrid w:val="0"/>
          <w:lang w:val="fr-FR"/>
        </w:rPr>
      </w:pPr>
    </w:p>
    <w:p w:rsidR="008C1516" w:rsidRPr="00B87E09" w:rsidRDefault="008C1516" w:rsidP="008C1516">
      <w:pPr>
        <w:rPr>
          <w:snapToGrid w:val="0"/>
          <w:lang w:val="fr-FR"/>
        </w:rPr>
      </w:pPr>
      <w:r w:rsidRPr="00B87E09">
        <w:rPr>
          <w:snapToGrid w:val="0"/>
          <w:lang w:val="fr-FR"/>
        </w:rPr>
        <w:fldChar w:fldCharType="begin"/>
      </w:r>
      <w:r w:rsidRPr="00B87E09">
        <w:rPr>
          <w:snapToGrid w:val="0"/>
          <w:lang w:val="fr-FR"/>
        </w:rPr>
        <w:instrText xml:space="preserve"> AUTONUM  </w:instrText>
      </w:r>
      <w:r w:rsidRPr="00B87E09">
        <w:rPr>
          <w:snapToGrid w:val="0"/>
          <w:lang w:val="fr-FR"/>
        </w:rPr>
        <w:fldChar w:fldCharType="end"/>
      </w:r>
      <w:r w:rsidRPr="00B87E09">
        <w:rPr>
          <w:snapToGrid w:val="0"/>
          <w:lang w:val="fr-FR"/>
        </w:rPr>
        <w:tab/>
        <w:t xml:space="preserve">Le CAJ </w:t>
      </w:r>
      <w:r w:rsidR="004905B2" w:rsidRPr="00B87E09">
        <w:rPr>
          <w:rFonts w:cs="Arial"/>
          <w:lang w:val="fr-FR"/>
        </w:rPr>
        <w:t>a pris</w:t>
      </w:r>
      <w:r w:rsidRPr="00B87E09">
        <w:rPr>
          <w:rFonts w:cs="Arial"/>
          <w:lang w:val="fr-FR"/>
        </w:rPr>
        <w:t xml:space="preserve"> </w:t>
      </w:r>
      <w:r w:rsidRPr="00B87E09">
        <w:rPr>
          <w:lang w:val="fr-FR"/>
        </w:rPr>
        <w:t xml:space="preserve">note </w:t>
      </w:r>
      <w:r w:rsidRPr="00B87E09">
        <w:rPr>
          <w:snapToGrid w:val="0"/>
          <w:lang w:val="fr-FR"/>
        </w:rPr>
        <w:t>de l</w:t>
      </w:r>
      <w:r w:rsidR="00CA38FC" w:rsidRPr="00B87E09">
        <w:rPr>
          <w:snapToGrid w:val="0"/>
          <w:lang w:val="fr-FR"/>
        </w:rPr>
        <w:t>’</w:t>
      </w:r>
      <w:r w:rsidRPr="00B87E09">
        <w:rPr>
          <w:snapToGrid w:val="0"/>
          <w:lang w:val="fr-FR"/>
        </w:rPr>
        <w:t>évolution des travaux concernant l</w:t>
      </w:r>
      <w:r w:rsidR="00CA38FC" w:rsidRPr="00B87E09">
        <w:rPr>
          <w:snapToGrid w:val="0"/>
          <w:lang w:val="fr-FR"/>
        </w:rPr>
        <w:t>’</w:t>
      </w:r>
      <w:r w:rsidRPr="00B87E09">
        <w:rPr>
          <w:snapToGrid w:val="0"/>
          <w:lang w:val="fr-FR"/>
        </w:rPr>
        <w:t>élaboration d</w:t>
      </w:r>
      <w:r w:rsidR="00CA38FC" w:rsidRPr="00B87E09">
        <w:rPr>
          <w:snapToGrid w:val="0"/>
          <w:lang w:val="fr-FR"/>
        </w:rPr>
        <w:t>’</w:t>
      </w:r>
      <w:r w:rsidRPr="00B87E09">
        <w:rPr>
          <w:snapToGrid w:val="0"/>
          <w:lang w:val="fr-FR"/>
        </w:rPr>
        <w:t>un prototype de formulaire électronique</w:t>
      </w:r>
      <w:r w:rsidR="004905B2" w:rsidRPr="00B87E09">
        <w:rPr>
          <w:snapToGrid w:val="0"/>
          <w:lang w:val="fr-FR"/>
        </w:rPr>
        <w:t xml:space="preserve"> </w:t>
      </w:r>
      <w:r w:rsidR="004905B2" w:rsidRPr="00B87E09">
        <w:rPr>
          <w:lang w:val="fr-FR"/>
        </w:rPr>
        <w:t>(voir le paragraphe 48 du document CAJ/69/12 “Compte rendu des conclusions”)</w:t>
      </w:r>
      <w:r w:rsidRPr="00B87E09">
        <w:rPr>
          <w:snapToGrid w:val="0"/>
          <w:lang w:val="fr-FR"/>
        </w:rPr>
        <w:t>.</w:t>
      </w:r>
    </w:p>
    <w:p w:rsidR="008C1516" w:rsidRPr="00B87E09" w:rsidRDefault="008C1516" w:rsidP="008C1516">
      <w:pPr>
        <w:rPr>
          <w:snapToGrid w:val="0"/>
          <w:lang w:val="fr-FR"/>
        </w:rPr>
      </w:pPr>
    </w:p>
    <w:p w:rsidR="008C1516" w:rsidRPr="00B87E09" w:rsidRDefault="008C1516" w:rsidP="008C1516">
      <w:pPr>
        <w:spacing w:after="240"/>
        <w:rPr>
          <w:snapToGrid w:val="0"/>
          <w:lang w:val="fr-FR"/>
        </w:rPr>
      </w:pPr>
      <w:r w:rsidRPr="00B87E09">
        <w:rPr>
          <w:snapToGrid w:val="0"/>
          <w:lang w:val="fr-FR"/>
        </w:rPr>
        <w:fldChar w:fldCharType="begin"/>
      </w:r>
      <w:r w:rsidRPr="00B87E09">
        <w:rPr>
          <w:snapToGrid w:val="0"/>
          <w:lang w:val="fr-FR"/>
        </w:rPr>
        <w:instrText xml:space="preserve"> AUTONUM  </w:instrText>
      </w:r>
      <w:r w:rsidRPr="00B87E09">
        <w:rPr>
          <w:snapToGrid w:val="0"/>
          <w:lang w:val="fr-FR"/>
        </w:rPr>
        <w:fldChar w:fldCharType="end"/>
      </w:r>
      <w:r w:rsidRPr="00B87E09">
        <w:rPr>
          <w:snapToGrid w:val="0"/>
          <w:lang w:val="fr-FR"/>
        </w:rPr>
        <w:tab/>
        <w:t xml:space="preserve">Le CAJ a reçu un compte rendu de la réunion sur le prototype de formulaire électronique tenue à Genève le 9 avril 2014.  Il </w:t>
      </w:r>
      <w:r w:rsidR="004905B2" w:rsidRPr="00B87E09">
        <w:rPr>
          <w:snapToGrid w:val="0"/>
          <w:lang w:val="fr-FR"/>
        </w:rPr>
        <w:t>a noté</w:t>
      </w:r>
      <w:r w:rsidRPr="00B87E09">
        <w:rPr>
          <w:snapToGrid w:val="0"/>
          <w:lang w:val="fr-FR"/>
        </w:rPr>
        <w:t xml:space="preserve"> qu</w:t>
      </w:r>
      <w:r w:rsidR="00CA38FC" w:rsidRPr="00B87E09">
        <w:rPr>
          <w:snapToGrid w:val="0"/>
          <w:lang w:val="fr-FR"/>
        </w:rPr>
        <w:t>’</w:t>
      </w:r>
      <w:r w:rsidRPr="00B87E09">
        <w:rPr>
          <w:snapToGrid w:val="0"/>
          <w:lang w:val="fr-FR"/>
        </w:rPr>
        <w:t>il a</w:t>
      </w:r>
      <w:r w:rsidR="004905B2" w:rsidRPr="00B87E09">
        <w:rPr>
          <w:snapToGrid w:val="0"/>
          <w:lang w:val="fr-FR"/>
        </w:rPr>
        <w:t>vait</w:t>
      </w:r>
      <w:r w:rsidRPr="00B87E09">
        <w:rPr>
          <w:snapToGrid w:val="0"/>
          <w:lang w:val="fr-FR"/>
        </w:rPr>
        <w:t xml:space="preserve"> été convenu d</w:t>
      </w:r>
      <w:r w:rsidR="00CA38FC" w:rsidRPr="00B87E09">
        <w:rPr>
          <w:snapToGrid w:val="0"/>
          <w:lang w:val="fr-FR"/>
        </w:rPr>
        <w:t>’</w:t>
      </w:r>
      <w:r w:rsidRPr="00B87E09">
        <w:rPr>
          <w:snapToGrid w:val="0"/>
          <w:lang w:val="fr-FR"/>
        </w:rPr>
        <w:t xml:space="preserve">inclure les </w:t>
      </w:r>
      <w:r w:rsidRPr="00B87E09">
        <w:rPr>
          <w:lang w:val="fr-FR"/>
        </w:rPr>
        <w:t>fonctionnalités suivantes dans le prototype </w:t>
      </w:r>
      <w:r w:rsidR="004905B2" w:rsidRPr="00B87E09">
        <w:rPr>
          <w:lang w:val="fr-FR"/>
        </w:rPr>
        <w:t>(voir le paragraphe 49 du document CAJ/69/12 “Compte rendu des conclusions”) </w:t>
      </w:r>
      <w:r w:rsidRPr="00B87E09">
        <w:rPr>
          <w:lang w:val="fr-FR"/>
        </w:rPr>
        <w:t>:</w:t>
      </w:r>
    </w:p>
    <w:p w:rsidR="008C1516" w:rsidRPr="00B87E09" w:rsidRDefault="008C1516" w:rsidP="008C1516">
      <w:pPr>
        <w:pStyle w:val="ListParagraph"/>
        <w:numPr>
          <w:ilvl w:val="0"/>
          <w:numId w:val="2"/>
        </w:numPr>
        <w:spacing w:after="240"/>
        <w:ind w:left="714" w:hanging="357"/>
        <w:contextualSpacing w:val="0"/>
        <w:rPr>
          <w:lang w:val="fr-FR"/>
        </w:rPr>
      </w:pPr>
      <w:r w:rsidRPr="00B87E09">
        <w:rPr>
          <w:lang w:val="fr-FR"/>
        </w:rPr>
        <w:t>toutes les fonctionnalités présentées dans la maquette,</w:t>
      </w:r>
    </w:p>
    <w:p w:rsidR="008C1516" w:rsidRPr="00B87E09" w:rsidRDefault="008C1516" w:rsidP="008C1516">
      <w:pPr>
        <w:pStyle w:val="ListParagraph"/>
        <w:numPr>
          <w:ilvl w:val="0"/>
          <w:numId w:val="2"/>
        </w:numPr>
        <w:spacing w:after="240"/>
        <w:ind w:left="714" w:hanging="357"/>
        <w:contextualSpacing w:val="0"/>
        <w:rPr>
          <w:lang w:val="fr-FR"/>
        </w:rPr>
      </w:pPr>
      <w:r w:rsidRPr="00B87E09">
        <w:rPr>
          <w:lang w:val="fr-FR"/>
        </w:rPr>
        <w:t>une interface d</w:t>
      </w:r>
      <w:r w:rsidR="00CA38FC" w:rsidRPr="00B87E09">
        <w:rPr>
          <w:lang w:val="fr-FR"/>
        </w:rPr>
        <w:t>’</w:t>
      </w:r>
      <w:r w:rsidRPr="00B87E09">
        <w:rPr>
          <w:lang w:val="fr-FR"/>
        </w:rPr>
        <w:t>administration munie d</w:t>
      </w:r>
      <w:r w:rsidR="00CA38FC" w:rsidRPr="00B87E09">
        <w:rPr>
          <w:lang w:val="fr-FR"/>
        </w:rPr>
        <w:t>’</w:t>
      </w:r>
      <w:r w:rsidRPr="00B87E09">
        <w:rPr>
          <w:lang w:val="fr-FR"/>
        </w:rPr>
        <w:t>un tableau de bord permettant de modifier, d</w:t>
      </w:r>
      <w:r w:rsidR="00CA38FC" w:rsidRPr="00B87E09">
        <w:rPr>
          <w:lang w:val="fr-FR"/>
        </w:rPr>
        <w:t>’</w:t>
      </w:r>
      <w:r w:rsidRPr="00B87E09">
        <w:rPr>
          <w:lang w:val="fr-FR"/>
        </w:rPr>
        <w:t>introduire ou de supprimer des informations,</w:t>
      </w:r>
    </w:p>
    <w:p w:rsidR="008C1516" w:rsidRPr="00B87E09" w:rsidRDefault="008C1516" w:rsidP="008C1516">
      <w:pPr>
        <w:pStyle w:val="ListParagraph"/>
        <w:numPr>
          <w:ilvl w:val="0"/>
          <w:numId w:val="2"/>
        </w:numPr>
        <w:spacing w:after="240"/>
        <w:rPr>
          <w:lang w:val="fr-FR"/>
        </w:rPr>
      </w:pPr>
      <w:r w:rsidRPr="00B87E09">
        <w:rPr>
          <w:lang w:val="fr-FR"/>
        </w:rPr>
        <w:t>une fonction d</w:t>
      </w:r>
      <w:r w:rsidR="00CA38FC" w:rsidRPr="00B87E09">
        <w:rPr>
          <w:lang w:val="fr-FR"/>
        </w:rPr>
        <w:t>’</w:t>
      </w:r>
      <w:r w:rsidRPr="00B87E09">
        <w:rPr>
          <w:lang w:val="fr-FR"/>
        </w:rPr>
        <w:t>importation et d</w:t>
      </w:r>
      <w:r w:rsidR="00CA38FC" w:rsidRPr="00B87E09">
        <w:rPr>
          <w:lang w:val="fr-FR"/>
        </w:rPr>
        <w:t>’</w:t>
      </w:r>
      <w:r w:rsidRPr="00B87E09">
        <w:rPr>
          <w:lang w:val="fr-FR"/>
        </w:rPr>
        <w:t>exportation d</w:t>
      </w:r>
      <w:r w:rsidR="00CA38FC" w:rsidRPr="00B87E09">
        <w:rPr>
          <w:lang w:val="fr-FR"/>
        </w:rPr>
        <w:t>’</w:t>
      </w:r>
      <w:r w:rsidRPr="00B87E09">
        <w:rPr>
          <w:lang w:val="fr-FR"/>
        </w:rPr>
        <w:t>informations au format XML.</w:t>
      </w:r>
    </w:p>
    <w:p w:rsidR="008C1516" w:rsidRPr="00B87E09" w:rsidRDefault="008C1516" w:rsidP="008C1516">
      <w:pPr>
        <w:spacing w:after="240"/>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4905B2" w:rsidRPr="00B87E09">
        <w:rPr>
          <w:rFonts w:cs="Arial"/>
          <w:lang w:val="fr-FR"/>
        </w:rPr>
        <w:t>a</w:t>
      </w:r>
      <w:r w:rsidRPr="00B87E09">
        <w:rPr>
          <w:rFonts w:cs="Arial"/>
          <w:lang w:val="fr-FR"/>
        </w:rPr>
        <w:t xml:space="preserve"> </w:t>
      </w:r>
      <w:r w:rsidR="004905B2" w:rsidRPr="00B87E09">
        <w:rPr>
          <w:lang w:val="fr-FR"/>
        </w:rPr>
        <w:t>noté</w:t>
      </w:r>
      <w:r w:rsidRPr="00B87E09">
        <w:rPr>
          <w:lang w:val="fr-FR"/>
        </w:rPr>
        <w:t xml:space="preserve"> </w:t>
      </w:r>
      <w:r w:rsidR="004905B2" w:rsidRPr="00B87E09">
        <w:rPr>
          <w:lang w:val="fr-FR"/>
        </w:rPr>
        <w:t>que les aspects suivants ne seraie</w:t>
      </w:r>
      <w:r w:rsidRPr="00B87E09">
        <w:rPr>
          <w:lang w:val="fr-FR"/>
        </w:rPr>
        <w:t xml:space="preserve">nt pas inclus </w:t>
      </w:r>
      <w:r w:rsidR="004905B2" w:rsidRPr="00B87E09">
        <w:rPr>
          <w:lang w:val="fr-FR"/>
        </w:rPr>
        <w:t>dans le prototype, mais figureraie</w:t>
      </w:r>
      <w:r w:rsidRPr="00B87E09">
        <w:rPr>
          <w:lang w:val="fr-FR"/>
        </w:rPr>
        <w:t>nt dans la version finale </w:t>
      </w:r>
      <w:r w:rsidR="004905B2" w:rsidRPr="00B87E09">
        <w:rPr>
          <w:lang w:val="fr-FR"/>
        </w:rPr>
        <w:t>(voir le paragraphe 50 du document CAJ/69/12 “Compte rendu des conclusions”) </w:t>
      </w:r>
      <w:r w:rsidRPr="00B87E09">
        <w:rPr>
          <w:lang w:val="fr-FR"/>
        </w:rPr>
        <w:t>:</w:t>
      </w:r>
    </w:p>
    <w:p w:rsidR="008C1516" w:rsidRPr="00B87E09" w:rsidRDefault="008C1516" w:rsidP="008C1516">
      <w:pPr>
        <w:pStyle w:val="ListParagraph"/>
        <w:numPr>
          <w:ilvl w:val="0"/>
          <w:numId w:val="3"/>
        </w:numPr>
        <w:spacing w:after="240"/>
        <w:ind w:left="714" w:hanging="357"/>
        <w:contextualSpacing w:val="0"/>
        <w:rPr>
          <w:lang w:val="fr-FR"/>
        </w:rPr>
      </w:pPr>
      <w:r w:rsidRPr="00B87E09">
        <w:rPr>
          <w:lang w:val="fr-FR"/>
        </w:rPr>
        <w:t>autorisation de paiement,</w:t>
      </w:r>
    </w:p>
    <w:p w:rsidR="008C1516" w:rsidRPr="00B87E09" w:rsidRDefault="008C1516" w:rsidP="008C1516">
      <w:pPr>
        <w:pStyle w:val="ListParagraph"/>
        <w:numPr>
          <w:ilvl w:val="0"/>
          <w:numId w:val="3"/>
        </w:numPr>
        <w:spacing w:after="240"/>
        <w:ind w:left="714" w:hanging="357"/>
        <w:contextualSpacing w:val="0"/>
        <w:rPr>
          <w:lang w:val="fr-FR"/>
        </w:rPr>
      </w:pPr>
      <w:r w:rsidRPr="00B87E09">
        <w:rPr>
          <w:lang w:val="fr-FR"/>
        </w:rPr>
        <w:t>différentes langues,</w:t>
      </w:r>
    </w:p>
    <w:p w:rsidR="008C1516" w:rsidRPr="00B87E09" w:rsidRDefault="008C1516" w:rsidP="008C1516">
      <w:pPr>
        <w:pStyle w:val="ListParagraph"/>
        <w:numPr>
          <w:ilvl w:val="0"/>
          <w:numId w:val="3"/>
        </w:numPr>
        <w:spacing w:after="240"/>
        <w:ind w:left="714" w:hanging="357"/>
        <w:contextualSpacing w:val="0"/>
        <w:rPr>
          <w:lang w:val="fr-FR"/>
        </w:rPr>
      </w:pPr>
      <w:r w:rsidRPr="00B87E09">
        <w:rPr>
          <w:lang w:val="fr-FR"/>
        </w:rPr>
        <w:t>possibilité d</w:t>
      </w:r>
      <w:r w:rsidR="00CA38FC" w:rsidRPr="00B87E09">
        <w:rPr>
          <w:lang w:val="fr-FR"/>
        </w:rPr>
        <w:t>’</w:t>
      </w:r>
      <w:r w:rsidRPr="00B87E09">
        <w:rPr>
          <w:lang w:val="fr-FR"/>
        </w:rPr>
        <w:t>introduire ou de modifier des questions dans le formulaire,</w:t>
      </w:r>
    </w:p>
    <w:p w:rsidR="008C1516" w:rsidRPr="00B87E09" w:rsidRDefault="008C1516" w:rsidP="008C1516">
      <w:pPr>
        <w:pStyle w:val="ListParagraph"/>
        <w:numPr>
          <w:ilvl w:val="0"/>
          <w:numId w:val="3"/>
        </w:numPr>
        <w:rPr>
          <w:rFonts w:cs="Arial"/>
          <w:color w:val="000000"/>
          <w:lang w:val="fr-FR"/>
        </w:rPr>
      </w:pPr>
      <w:r w:rsidRPr="00B87E09">
        <w:rPr>
          <w:rFonts w:cs="Arial"/>
          <w:color w:val="000000"/>
          <w:lang w:val="fr-FR"/>
        </w:rPr>
        <w:t>des aspects techniques tels qu</w:t>
      </w:r>
      <w:r w:rsidR="00CA38FC" w:rsidRPr="00B87E09">
        <w:rPr>
          <w:rFonts w:cs="Arial"/>
          <w:color w:val="000000"/>
          <w:lang w:val="fr-FR"/>
        </w:rPr>
        <w:t>’</w:t>
      </w:r>
      <w:r w:rsidRPr="00B87E09">
        <w:rPr>
          <w:rFonts w:cs="Arial"/>
          <w:color w:val="000000"/>
          <w:lang w:val="fr-FR"/>
        </w:rPr>
        <w:t>une aide aux entreprises à l</w:t>
      </w:r>
      <w:r w:rsidR="00CA38FC" w:rsidRPr="00B87E09">
        <w:rPr>
          <w:rFonts w:cs="Arial"/>
          <w:color w:val="000000"/>
          <w:lang w:val="fr-FR"/>
        </w:rPr>
        <w:t>’</w:t>
      </w:r>
      <w:r w:rsidRPr="00B87E09">
        <w:rPr>
          <w:rFonts w:cs="Arial"/>
          <w:color w:val="000000"/>
          <w:lang w:val="fr-FR"/>
        </w:rPr>
        <w:t>intention des déposants, des dispositions en matière d</w:t>
      </w:r>
      <w:r w:rsidR="00CA38FC" w:rsidRPr="00B87E09">
        <w:rPr>
          <w:rFonts w:cs="Arial"/>
          <w:color w:val="000000"/>
          <w:lang w:val="fr-FR"/>
        </w:rPr>
        <w:t>’</w:t>
      </w:r>
      <w:r w:rsidRPr="00B87E09">
        <w:rPr>
          <w:rFonts w:cs="Arial"/>
          <w:color w:val="000000"/>
          <w:lang w:val="fr-FR"/>
        </w:rPr>
        <w:t>entretien courant, le respect des lignes directrices en matière d</w:t>
      </w:r>
      <w:r w:rsidR="00CA38FC" w:rsidRPr="00B87E09">
        <w:rPr>
          <w:rFonts w:cs="Arial"/>
          <w:color w:val="000000"/>
          <w:lang w:val="fr-FR"/>
        </w:rPr>
        <w:t>’</w:t>
      </w:r>
      <w:r w:rsidRPr="00B87E09">
        <w:rPr>
          <w:rFonts w:cs="Arial"/>
          <w:color w:val="000000"/>
          <w:lang w:val="fr-FR"/>
        </w:rPr>
        <w:t>accessibilité des contenus Web (WCAG), l</w:t>
      </w:r>
      <w:r w:rsidR="00CA38FC" w:rsidRPr="00B87E09">
        <w:rPr>
          <w:rFonts w:cs="Arial"/>
          <w:color w:val="000000"/>
          <w:lang w:val="fr-FR"/>
        </w:rPr>
        <w:t>’</w:t>
      </w:r>
      <w:r w:rsidRPr="00B87E09">
        <w:rPr>
          <w:rFonts w:cs="Arial"/>
          <w:color w:val="000000"/>
          <w:lang w:val="fr-FR"/>
        </w:rPr>
        <w:t>aspect juridique et un avertissement.</w:t>
      </w:r>
    </w:p>
    <w:p w:rsidR="008C1516" w:rsidRPr="00B87E09" w:rsidRDefault="008C1516" w:rsidP="008C1516">
      <w:pPr>
        <w:rPr>
          <w:rFonts w:cs="Arial"/>
          <w:color w:val="000000"/>
          <w:lang w:val="fr-FR"/>
        </w:rPr>
      </w:pPr>
    </w:p>
    <w:p w:rsidR="008C1516" w:rsidRPr="00B87E09" w:rsidRDefault="008C1516" w:rsidP="008C1516">
      <w:pPr>
        <w:rPr>
          <w:lang w:val="fr-FR"/>
        </w:rPr>
      </w:pPr>
      <w:r w:rsidRPr="00B87E09">
        <w:rPr>
          <w:snapToGrid w:val="0"/>
          <w:lang w:val="fr-FR"/>
        </w:rPr>
        <w:fldChar w:fldCharType="begin"/>
      </w:r>
      <w:r w:rsidRPr="00B87E09">
        <w:rPr>
          <w:snapToGrid w:val="0"/>
          <w:lang w:val="fr-FR"/>
        </w:rPr>
        <w:instrText xml:space="preserve"> AUTONUM  </w:instrText>
      </w:r>
      <w:r w:rsidRPr="00B87E09">
        <w:rPr>
          <w:snapToGrid w:val="0"/>
          <w:lang w:val="fr-FR"/>
        </w:rPr>
        <w:fldChar w:fldCharType="end"/>
      </w:r>
      <w:r w:rsidRPr="00B87E09">
        <w:rPr>
          <w:snapToGrid w:val="0"/>
          <w:lang w:val="fr-FR"/>
        </w:rPr>
        <w:tab/>
        <w:t xml:space="preserve">Le CAJ </w:t>
      </w:r>
      <w:r w:rsidR="004905B2" w:rsidRPr="00B87E09">
        <w:rPr>
          <w:rFonts w:cs="Arial"/>
          <w:lang w:val="fr-FR"/>
        </w:rPr>
        <w:t>a</w:t>
      </w:r>
      <w:r w:rsidRPr="00B87E09">
        <w:rPr>
          <w:rFonts w:cs="Arial"/>
          <w:lang w:val="fr-FR"/>
        </w:rPr>
        <w:t xml:space="preserve"> </w:t>
      </w:r>
      <w:r w:rsidR="004905B2" w:rsidRPr="00B87E09">
        <w:rPr>
          <w:lang w:val="fr-FR"/>
        </w:rPr>
        <w:t>noté</w:t>
      </w:r>
      <w:r w:rsidRPr="00B87E09">
        <w:rPr>
          <w:lang w:val="fr-FR"/>
        </w:rPr>
        <w:t xml:space="preserve"> </w:t>
      </w:r>
      <w:r w:rsidRPr="00B87E09">
        <w:rPr>
          <w:snapToGrid w:val="0"/>
          <w:lang w:val="fr-FR"/>
        </w:rPr>
        <w:t>que le calendrier suivant a</w:t>
      </w:r>
      <w:r w:rsidR="004905B2" w:rsidRPr="00B87E09">
        <w:rPr>
          <w:snapToGrid w:val="0"/>
          <w:lang w:val="fr-FR"/>
        </w:rPr>
        <w:t>vait</w:t>
      </w:r>
      <w:r w:rsidRPr="00B87E09">
        <w:rPr>
          <w:snapToGrid w:val="0"/>
          <w:lang w:val="fr-FR"/>
        </w:rPr>
        <w:t xml:space="preserve"> été arrêté en vue de l</w:t>
      </w:r>
      <w:r w:rsidR="00CA38FC" w:rsidRPr="00B87E09">
        <w:rPr>
          <w:snapToGrid w:val="0"/>
          <w:lang w:val="fr-FR"/>
        </w:rPr>
        <w:t>’</w:t>
      </w:r>
      <w:r w:rsidRPr="00B87E09">
        <w:rPr>
          <w:snapToGrid w:val="0"/>
          <w:lang w:val="fr-FR"/>
        </w:rPr>
        <w:t>élaboration du</w:t>
      </w:r>
      <w:r w:rsidRPr="00B87E09">
        <w:rPr>
          <w:lang w:val="fr-FR"/>
        </w:rPr>
        <w:t xml:space="preserve"> prototype </w:t>
      </w:r>
      <w:r w:rsidR="004905B2" w:rsidRPr="00B87E09">
        <w:rPr>
          <w:lang w:val="fr-FR"/>
        </w:rPr>
        <w:t>(voir le paragraphe 51 du document CAJ/69/12 “Compte rendu des conclusions”) </w:t>
      </w:r>
      <w:r w:rsidRPr="00B87E09">
        <w:rPr>
          <w:lang w:val="fr-FR"/>
        </w:rPr>
        <w:t>:</w:t>
      </w:r>
    </w:p>
    <w:p w:rsidR="008C1516" w:rsidRPr="00B87E09" w:rsidRDefault="008C1516" w:rsidP="008C1516">
      <w:pPr>
        <w:rPr>
          <w:lang w:val="fr-FR"/>
        </w:rPr>
      </w:pPr>
    </w:p>
    <w:tbl>
      <w:tblPr>
        <w:tblStyle w:val="TableGrid"/>
        <w:tblW w:w="0" w:type="auto"/>
        <w:tblCellMar>
          <w:top w:w="57" w:type="dxa"/>
          <w:left w:w="57" w:type="dxa"/>
          <w:bottom w:w="28" w:type="dxa"/>
          <w:right w:w="57" w:type="dxa"/>
        </w:tblCellMar>
        <w:tblLook w:val="04A0" w:firstRow="1" w:lastRow="0" w:firstColumn="1" w:lastColumn="0" w:noHBand="0" w:noVBand="1"/>
      </w:tblPr>
      <w:tblGrid>
        <w:gridCol w:w="7670"/>
        <w:gridCol w:w="2083"/>
      </w:tblGrid>
      <w:tr w:rsidR="008C1516" w:rsidRPr="00B87E09" w:rsidTr="00156B67">
        <w:tc>
          <w:tcPr>
            <w:tcW w:w="7763" w:type="dxa"/>
          </w:tcPr>
          <w:p w:rsidR="008C1516" w:rsidRPr="00B87E09" w:rsidRDefault="008C1516" w:rsidP="00156B67">
            <w:pPr>
              <w:jc w:val="left"/>
              <w:rPr>
                <w:lang w:val="fr-FR"/>
              </w:rPr>
            </w:pPr>
            <w:r w:rsidRPr="00B87E09">
              <w:rPr>
                <w:lang w:val="fr-FR"/>
              </w:rPr>
              <w:t>Envoi, par les membres participants, de la structure de la base de données, du format XML ou des tableaux d</w:t>
            </w:r>
            <w:r w:rsidR="00CA38FC" w:rsidRPr="00B87E09">
              <w:rPr>
                <w:lang w:val="fr-FR"/>
              </w:rPr>
              <w:t>’</w:t>
            </w:r>
            <w:r w:rsidRPr="00B87E09">
              <w:rPr>
                <w:lang w:val="fr-FR"/>
              </w:rPr>
              <w:t>interface (condition requise pour participer au projet)</w:t>
            </w:r>
          </w:p>
          <w:p w:rsidR="008C1516" w:rsidRPr="00B87E09" w:rsidRDefault="008C1516" w:rsidP="00156B67">
            <w:pPr>
              <w:jc w:val="left"/>
              <w:rPr>
                <w:lang w:val="fr-FR"/>
              </w:rPr>
            </w:pPr>
            <w:r w:rsidRPr="00B87E09">
              <w:rPr>
                <w:lang w:val="fr-FR"/>
              </w:rPr>
              <w:t>Envoi d</w:t>
            </w:r>
            <w:r w:rsidR="00CA38FC" w:rsidRPr="00B87E09">
              <w:rPr>
                <w:lang w:val="fr-FR"/>
              </w:rPr>
              <w:t>’</w:t>
            </w:r>
            <w:r w:rsidRPr="00B87E09">
              <w:rPr>
                <w:lang w:val="fr-FR"/>
              </w:rPr>
              <w:t>une circulaire sollicitant la contribution des participants (Offices de POV + obtenteurs)</w:t>
            </w:r>
          </w:p>
        </w:tc>
        <w:tc>
          <w:tcPr>
            <w:tcW w:w="2092" w:type="dxa"/>
          </w:tcPr>
          <w:p w:rsidR="008C1516" w:rsidRPr="00B87E09" w:rsidRDefault="00FC72A5" w:rsidP="00CB6AC6">
            <w:pPr>
              <w:jc w:val="left"/>
              <w:rPr>
                <w:lang w:val="fr-FR"/>
              </w:rPr>
            </w:pPr>
            <w:r w:rsidRPr="00B87E09">
              <w:rPr>
                <w:lang w:val="fr-FR"/>
              </w:rPr>
              <w:t>Avant le</w:t>
            </w:r>
            <w:r w:rsidR="008C1516" w:rsidRPr="00B87E09">
              <w:rPr>
                <w:lang w:val="fr-FR"/>
              </w:rPr>
              <w:t xml:space="preserve"> 30 mai 2014</w:t>
            </w:r>
          </w:p>
        </w:tc>
      </w:tr>
      <w:tr w:rsidR="008C1516" w:rsidRPr="00B87E09" w:rsidTr="00156B67">
        <w:tc>
          <w:tcPr>
            <w:tcW w:w="7763" w:type="dxa"/>
          </w:tcPr>
          <w:p w:rsidR="008C1516" w:rsidRPr="00B87E09" w:rsidRDefault="008C1516" w:rsidP="00156B67">
            <w:pPr>
              <w:jc w:val="left"/>
              <w:rPr>
                <w:lang w:val="fr-FR"/>
              </w:rPr>
            </w:pPr>
            <w:r w:rsidRPr="00B87E09">
              <w:rPr>
                <w:lang w:val="fr-FR"/>
              </w:rPr>
              <w:t xml:space="preserve">Analyse des bases de données des membres participants, de la conception de la structure de la </w:t>
            </w:r>
            <w:r w:rsidRPr="00B87E09">
              <w:rPr>
                <w:szCs w:val="22"/>
                <w:lang w:val="fr-FR"/>
              </w:rPr>
              <w:t>base de données</w:t>
            </w:r>
            <w:r w:rsidRPr="00B87E09">
              <w:rPr>
                <w:lang w:val="fr-FR"/>
              </w:rPr>
              <w:t xml:space="preserve"> et des tableaux d</w:t>
            </w:r>
            <w:r w:rsidR="00CA38FC" w:rsidRPr="00B87E09">
              <w:rPr>
                <w:lang w:val="fr-FR"/>
              </w:rPr>
              <w:t>’</w:t>
            </w:r>
            <w:r w:rsidRPr="00B87E09">
              <w:rPr>
                <w:lang w:val="fr-FR"/>
              </w:rPr>
              <w:t>interface de données</w:t>
            </w:r>
          </w:p>
        </w:tc>
        <w:tc>
          <w:tcPr>
            <w:tcW w:w="2092" w:type="dxa"/>
          </w:tcPr>
          <w:p w:rsidR="008C1516" w:rsidRPr="00B87E09" w:rsidRDefault="008C1516" w:rsidP="00CB6AC6">
            <w:pPr>
              <w:jc w:val="left"/>
              <w:rPr>
                <w:lang w:val="fr-FR"/>
              </w:rPr>
            </w:pPr>
            <w:r w:rsidRPr="00B87E09">
              <w:rPr>
                <w:lang w:val="fr-FR"/>
              </w:rPr>
              <w:t>Avant septembre 2014</w:t>
            </w:r>
          </w:p>
        </w:tc>
      </w:tr>
      <w:tr w:rsidR="008C1516" w:rsidRPr="00B87E09" w:rsidTr="00156B67">
        <w:tc>
          <w:tcPr>
            <w:tcW w:w="7763" w:type="dxa"/>
          </w:tcPr>
          <w:p w:rsidR="008C1516" w:rsidRPr="00B87E09" w:rsidRDefault="008C1516" w:rsidP="00156B67">
            <w:pPr>
              <w:jc w:val="left"/>
              <w:rPr>
                <w:lang w:val="fr-FR"/>
              </w:rPr>
            </w:pPr>
            <w:r w:rsidRPr="00B87E09">
              <w:rPr>
                <w:lang w:val="fr-FR"/>
              </w:rPr>
              <w:t>Regroupement des questions (communication bi/multilatérale)</w:t>
            </w:r>
          </w:p>
        </w:tc>
        <w:tc>
          <w:tcPr>
            <w:tcW w:w="2092" w:type="dxa"/>
          </w:tcPr>
          <w:p w:rsidR="008C1516" w:rsidRPr="00B87E09" w:rsidRDefault="008C1516" w:rsidP="00CB6AC6">
            <w:pPr>
              <w:jc w:val="left"/>
              <w:rPr>
                <w:lang w:val="fr-FR"/>
              </w:rPr>
            </w:pPr>
            <w:r w:rsidRPr="00B87E09">
              <w:rPr>
                <w:lang w:val="fr-FR"/>
              </w:rPr>
              <w:t>Avant septembre 2014</w:t>
            </w:r>
          </w:p>
        </w:tc>
      </w:tr>
      <w:tr w:rsidR="008C1516" w:rsidRPr="00B87E09" w:rsidTr="00156B67">
        <w:tc>
          <w:tcPr>
            <w:tcW w:w="7763" w:type="dxa"/>
          </w:tcPr>
          <w:p w:rsidR="008C1516" w:rsidRPr="00B87E09" w:rsidRDefault="008C1516" w:rsidP="00156B67">
            <w:pPr>
              <w:tabs>
                <w:tab w:val="left" w:pos="5476"/>
              </w:tabs>
              <w:jc w:val="left"/>
              <w:rPr>
                <w:lang w:val="fr-FR"/>
              </w:rPr>
            </w:pPr>
            <w:r w:rsidRPr="00B87E09">
              <w:rPr>
                <w:lang w:val="fr-FR"/>
              </w:rPr>
              <w:t>Achèvement du descriptif de projet et demande de devis estimatif des coûts au fournisseur agréé</w:t>
            </w:r>
          </w:p>
        </w:tc>
        <w:tc>
          <w:tcPr>
            <w:tcW w:w="2092" w:type="dxa"/>
          </w:tcPr>
          <w:p w:rsidR="008C1516" w:rsidRPr="00B87E09" w:rsidRDefault="008C1516" w:rsidP="00CB6AC6">
            <w:pPr>
              <w:jc w:val="left"/>
              <w:rPr>
                <w:lang w:val="fr-FR"/>
              </w:rPr>
            </w:pPr>
            <w:r w:rsidRPr="00B87E09">
              <w:rPr>
                <w:lang w:val="fr-FR"/>
              </w:rPr>
              <w:t>Juin 2014</w:t>
            </w:r>
          </w:p>
        </w:tc>
      </w:tr>
      <w:tr w:rsidR="008C1516" w:rsidRPr="00B87E09" w:rsidTr="00156B67">
        <w:tc>
          <w:tcPr>
            <w:tcW w:w="7763" w:type="dxa"/>
          </w:tcPr>
          <w:p w:rsidR="008C1516" w:rsidRPr="00B87E09" w:rsidRDefault="008C1516" w:rsidP="00156B67">
            <w:pPr>
              <w:jc w:val="left"/>
              <w:rPr>
                <w:lang w:val="fr-FR"/>
              </w:rPr>
            </w:pPr>
            <w:r w:rsidRPr="00B87E09">
              <w:rPr>
                <w:lang w:val="fr-FR"/>
              </w:rPr>
              <w:t xml:space="preserve">Approbation de la structure de la </w:t>
            </w:r>
            <w:r w:rsidRPr="00B87E09">
              <w:rPr>
                <w:szCs w:val="22"/>
                <w:lang w:val="fr-FR"/>
              </w:rPr>
              <w:t>base de données</w:t>
            </w:r>
            <w:r w:rsidRPr="00B87E09">
              <w:rPr>
                <w:lang w:val="fr-FR"/>
              </w:rPr>
              <w:t>, de la fonction d</w:t>
            </w:r>
            <w:r w:rsidR="00CA38FC" w:rsidRPr="00B87E09">
              <w:rPr>
                <w:lang w:val="fr-FR"/>
              </w:rPr>
              <w:t>’</w:t>
            </w:r>
            <w:r w:rsidRPr="00B87E09">
              <w:rPr>
                <w:lang w:val="fr-FR"/>
              </w:rPr>
              <w:t>importation</w:t>
            </w:r>
            <w:r w:rsidR="00B87E09" w:rsidRPr="00B87E09">
              <w:rPr>
                <w:lang w:val="fr-FR"/>
              </w:rPr>
              <w:noBreakHyphen/>
            </w:r>
            <w:r w:rsidRPr="00B87E09">
              <w:rPr>
                <w:lang w:val="fr-FR"/>
              </w:rPr>
              <w:t>exportation, du format des tableaux d</w:t>
            </w:r>
            <w:r w:rsidR="00CA38FC" w:rsidRPr="00B87E09">
              <w:rPr>
                <w:lang w:val="fr-FR"/>
              </w:rPr>
              <w:t>’</w:t>
            </w:r>
            <w:r w:rsidRPr="00B87E09">
              <w:rPr>
                <w:lang w:val="fr-FR"/>
              </w:rPr>
              <w:t xml:space="preserve">interface </w:t>
            </w:r>
          </w:p>
        </w:tc>
        <w:tc>
          <w:tcPr>
            <w:tcW w:w="2092" w:type="dxa"/>
          </w:tcPr>
          <w:p w:rsidR="008C1516" w:rsidRPr="00B87E09" w:rsidRDefault="008C1516" w:rsidP="00CB6AC6">
            <w:pPr>
              <w:jc w:val="left"/>
              <w:rPr>
                <w:lang w:val="fr-FR"/>
              </w:rPr>
            </w:pPr>
            <w:r w:rsidRPr="00B87E09">
              <w:rPr>
                <w:lang w:val="fr-FR"/>
              </w:rPr>
              <w:t>Octobre 2014</w:t>
            </w:r>
          </w:p>
        </w:tc>
      </w:tr>
      <w:tr w:rsidR="008C1516" w:rsidRPr="00B87E09" w:rsidTr="00156B67">
        <w:tc>
          <w:tcPr>
            <w:tcW w:w="7763" w:type="dxa"/>
          </w:tcPr>
          <w:p w:rsidR="008C1516" w:rsidRPr="00B87E09" w:rsidRDefault="008C1516" w:rsidP="00156B67">
            <w:pPr>
              <w:jc w:val="left"/>
              <w:rPr>
                <w:lang w:val="fr-FR"/>
              </w:rPr>
            </w:pPr>
            <w:r w:rsidRPr="00B87E09">
              <w:rPr>
                <w:lang w:val="fr-FR"/>
              </w:rPr>
              <w:t>Démarrage du projet</w:t>
            </w:r>
          </w:p>
        </w:tc>
        <w:tc>
          <w:tcPr>
            <w:tcW w:w="2092" w:type="dxa"/>
          </w:tcPr>
          <w:p w:rsidR="008C1516" w:rsidRPr="00B87E09" w:rsidRDefault="008C1516" w:rsidP="00CB6AC6">
            <w:pPr>
              <w:jc w:val="left"/>
              <w:rPr>
                <w:lang w:val="fr-FR"/>
              </w:rPr>
            </w:pPr>
            <w:r w:rsidRPr="00B87E09">
              <w:rPr>
                <w:lang w:val="fr-FR"/>
              </w:rPr>
              <w:t>Octobre 2014</w:t>
            </w:r>
          </w:p>
        </w:tc>
      </w:tr>
      <w:tr w:rsidR="008C1516" w:rsidRPr="00B87E09" w:rsidTr="00156B67">
        <w:tc>
          <w:tcPr>
            <w:tcW w:w="7763" w:type="dxa"/>
          </w:tcPr>
          <w:p w:rsidR="008C1516" w:rsidRPr="00B87E09" w:rsidRDefault="008C1516" w:rsidP="00156B67">
            <w:pPr>
              <w:jc w:val="left"/>
              <w:rPr>
                <w:lang w:val="fr-FR"/>
              </w:rPr>
            </w:pPr>
            <w:r w:rsidRPr="00B87E09">
              <w:rPr>
                <w:lang w:val="fr-FR"/>
              </w:rPr>
              <w:t>Présentation du prototype au CAJ et au Conseil</w:t>
            </w:r>
          </w:p>
        </w:tc>
        <w:tc>
          <w:tcPr>
            <w:tcW w:w="2092" w:type="dxa"/>
          </w:tcPr>
          <w:p w:rsidR="008C1516" w:rsidRPr="00B87E09" w:rsidRDefault="008C1516" w:rsidP="00CB6AC6">
            <w:pPr>
              <w:jc w:val="left"/>
              <w:rPr>
                <w:lang w:val="fr-FR"/>
              </w:rPr>
            </w:pPr>
            <w:r w:rsidRPr="00B87E09">
              <w:rPr>
                <w:lang w:val="fr-FR"/>
              </w:rPr>
              <w:t>Octobre 2015</w:t>
            </w:r>
          </w:p>
        </w:tc>
      </w:tr>
    </w:tbl>
    <w:p w:rsidR="008C1516" w:rsidRPr="00B87E09" w:rsidRDefault="008C1516" w:rsidP="008C1516">
      <w:pPr>
        <w:rPr>
          <w:rFonts w:eastAsia="MS Mincho"/>
          <w:snapToGrid w:val="0"/>
          <w:lang w:val="fr-FR"/>
        </w:rPr>
      </w:pPr>
    </w:p>
    <w:p w:rsidR="008C1516" w:rsidRPr="00B87E09" w:rsidRDefault="008C1516" w:rsidP="008C1516">
      <w:pPr>
        <w:rPr>
          <w:lang w:val="fr-FR"/>
        </w:rPr>
      </w:pPr>
      <w:r w:rsidRPr="00B87E09">
        <w:rPr>
          <w:snapToGrid w:val="0"/>
          <w:lang w:val="fr-FR"/>
        </w:rPr>
        <w:fldChar w:fldCharType="begin"/>
      </w:r>
      <w:r w:rsidRPr="00B87E09">
        <w:rPr>
          <w:snapToGrid w:val="0"/>
          <w:lang w:val="fr-FR"/>
        </w:rPr>
        <w:instrText xml:space="preserve"> AUTONUM  </w:instrText>
      </w:r>
      <w:r w:rsidRPr="00B87E09">
        <w:rPr>
          <w:snapToGrid w:val="0"/>
          <w:lang w:val="fr-FR"/>
        </w:rPr>
        <w:fldChar w:fldCharType="end"/>
      </w:r>
      <w:r w:rsidRPr="00B87E09">
        <w:rPr>
          <w:snapToGrid w:val="0"/>
          <w:lang w:val="fr-FR"/>
        </w:rPr>
        <w:tab/>
      </w:r>
      <w:r w:rsidRPr="00B87E09">
        <w:rPr>
          <w:lang w:val="fr-FR"/>
        </w:rPr>
        <w:t xml:space="preserve">Le CAJ </w:t>
      </w:r>
      <w:r w:rsidR="004905B2" w:rsidRPr="00B87E09">
        <w:rPr>
          <w:rFonts w:cs="Arial"/>
          <w:lang w:val="fr-FR"/>
        </w:rPr>
        <w:t>a pris</w:t>
      </w:r>
      <w:r w:rsidRPr="00B87E09">
        <w:rPr>
          <w:rFonts w:cs="Arial"/>
          <w:lang w:val="fr-FR"/>
        </w:rPr>
        <w:t xml:space="preserve"> </w:t>
      </w:r>
      <w:r w:rsidRPr="00B87E09">
        <w:rPr>
          <w:lang w:val="fr-FR"/>
        </w:rPr>
        <w:t>note de la demande présentée par la délégation de l</w:t>
      </w:r>
      <w:r w:rsidR="00CA38FC" w:rsidRPr="00B87E09">
        <w:rPr>
          <w:lang w:val="fr-FR"/>
        </w:rPr>
        <w:t>’</w:t>
      </w:r>
      <w:r w:rsidRPr="00B87E09">
        <w:rPr>
          <w:lang w:val="fr-FR"/>
        </w:rPr>
        <w:t>Équateur de participer aux réunions concernant l</w:t>
      </w:r>
      <w:r w:rsidR="00CA38FC" w:rsidRPr="00B87E09">
        <w:rPr>
          <w:lang w:val="fr-FR"/>
        </w:rPr>
        <w:t>’</w:t>
      </w:r>
      <w:r w:rsidRPr="00B87E09">
        <w:rPr>
          <w:lang w:val="fr-FR"/>
        </w:rPr>
        <w:t>élaboration d</w:t>
      </w:r>
      <w:r w:rsidR="00CA38FC" w:rsidRPr="00B87E09">
        <w:rPr>
          <w:lang w:val="fr-FR"/>
        </w:rPr>
        <w:t>’</w:t>
      </w:r>
      <w:r w:rsidRPr="00B87E09">
        <w:rPr>
          <w:lang w:val="fr-FR"/>
        </w:rPr>
        <w:t>un prototype de formulaire électronique et de fournir des informations sur son projet de plate</w:t>
      </w:r>
      <w:r w:rsidR="00B87E09" w:rsidRPr="00B87E09">
        <w:rPr>
          <w:lang w:val="fr-FR"/>
        </w:rPr>
        <w:noBreakHyphen/>
      </w:r>
      <w:r w:rsidRPr="00B87E09">
        <w:rPr>
          <w:lang w:val="fr-FR"/>
        </w:rPr>
        <w:t>forme POV, qui sera</w:t>
      </w:r>
      <w:r w:rsidR="004905B2" w:rsidRPr="00B87E09">
        <w:rPr>
          <w:lang w:val="fr-FR"/>
        </w:rPr>
        <w:t>it</w:t>
      </w:r>
      <w:r w:rsidRPr="00B87E09">
        <w:rPr>
          <w:lang w:val="fr-FR"/>
        </w:rPr>
        <w:t xml:space="preserve"> mise en service en juillet 2014</w:t>
      </w:r>
      <w:r w:rsidR="004905B2" w:rsidRPr="00B87E09">
        <w:rPr>
          <w:lang w:val="fr-FR"/>
        </w:rPr>
        <w:t xml:space="preserve"> (voir le paragraphe 52 du document CAJ/69/12 “Compte rendu des conclusions”)</w:t>
      </w:r>
      <w:r w:rsidRPr="00B87E09">
        <w:rPr>
          <w:lang w:val="fr-FR"/>
        </w:rPr>
        <w:t>.</w:t>
      </w:r>
    </w:p>
    <w:p w:rsidR="008C1516" w:rsidRPr="00B87E09" w:rsidRDefault="008C1516" w:rsidP="008C1516">
      <w:pPr>
        <w:rPr>
          <w:rFonts w:eastAsia="MS Mincho"/>
          <w:snapToGrid w:val="0"/>
          <w:lang w:val="fr-FR"/>
        </w:rPr>
      </w:pPr>
    </w:p>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L</w:t>
      </w:r>
      <w:r w:rsidR="004905B2" w:rsidRPr="00B87E09">
        <w:rPr>
          <w:lang w:val="fr-FR"/>
        </w:rPr>
        <w:t>e CAJ a noté que l</w:t>
      </w:r>
      <w:r w:rsidRPr="00B87E09">
        <w:rPr>
          <w:lang w:val="fr-FR"/>
        </w:rPr>
        <w:t>a prochaine réunion sur le prototype de formulaire électronique se tiendra</w:t>
      </w:r>
      <w:r w:rsidR="004905B2" w:rsidRPr="00B87E09">
        <w:rPr>
          <w:lang w:val="fr-FR"/>
        </w:rPr>
        <w:t>it</w:t>
      </w:r>
      <w:r w:rsidRPr="00B87E09">
        <w:rPr>
          <w:lang w:val="fr-FR"/>
        </w:rPr>
        <w:t xml:space="preserve"> à Genève le 14 octobre 2014 à 18 heures.  Un compte rendu de cette réunion sera fourni au CAJ à sa </w:t>
      </w:r>
      <w:r w:rsidRPr="00B87E09">
        <w:rPr>
          <w:lang w:val="fr-FR"/>
        </w:rPr>
        <w:lastRenderedPageBreak/>
        <w:t>soixante et onzième session</w:t>
      </w:r>
      <w:r w:rsidR="004905B2" w:rsidRPr="00B87E09">
        <w:rPr>
          <w:lang w:val="fr-FR"/>
        </w:rPr>
        <w:t xml:space="preserve"> (voir le paragraphe 53 du document CAJ/69/12 “Compte rendu des conclusions”)</w:t>
      </w:r>
      <w:r w:rsidRPr="00B87E09">
        <w:rPr>
          <w:lang w:val="fr-FR"/>
        </w:rPr>
        <w:t>.</w:t>
      </w:r>
    </w:p>
    <w:p w:rsidR="008C1516" w:rsidRPr="00B87E09" w:rsidRDefault="008C1516" w:rsidP="00156B67">
      <w:pPr>
        <w:spacing w:line="360" w:lineRule="auto"/>
        <w:rPr>
          <w:rFonts w:eastAsia="MS Mincho"/>
          <w:snapToGrid w:val="0"/>
          <w:lang w:val="fr-FR"/>
        </w:rPr>
      </w:pPr>
    </w:p>
    <w:p w:rsidR="008C1516" w:rsidRPr="00B87E09" w:rsidRDefault="008C1516" w:rsidP="00B9187D">
      <w:pPr>
        <w:pStyle w:val="Heading3"/>
      </w:pPr>
      <w:bookmarkStart w:id="11" w:name="_Toc398628762"/>
      <w:r w:rsidRPr="00B87E09">
        <w:t>Documents TGP</w:t>
      </w:r>
      <w:bookmarkEnd w:id="11"/>
    </w:p>
    <w:p w:rsidR="00B9187D" w:rsidRDefault="00B9187D" w:rsidP="00B9187D">
      <w:pPr>
        <w:keepNext/>
        <w:rPr>
          <w:snapToGrid w:val="0"/>
          <w:lang w:val="fr-FR"/>
        </w:rPr>
      </w:pPr>
    </w:p>
    <w:p w:rsidR="008C1516" w:rsidRPr="00B87E09" w:rsidRDefault="008C1516" w:rsidP="008C1516">
      <w:pPr>
        <w:rPr>
          <w:snapToGrid w:val="0"/>
          <w:lang w:val="fr-FR"/>
        </w:rPr>
      </w:pPr>
      <w:r w:rsidRPr="00B87E09">
        <w:rPr>
          <w:snapToGrid w:val="0"/>
          <w:lang w:val="fr-FR"/>
        </w:rPr>
        <w:fldChar w:fldCharType="begin"/>
      </w:r>
      <w:r w:rsidRPr="00B87E09">
        <w:rPr>
          <w:snapToGrid w:val="0"/>
          <w:lang w:val="fr-FR"/>
        </w:rPr>
        <w:instrText xml:space="preserve"> AUTONUM  </w:instrText>
      </w:r>
      <w:r w:rsidRPr="00B87E09">
        <w:rPr>
          <w:snapToGrid w:val="0"/>
          <w:lang w:val="fr-FR"/>
        </w:rPr>
        <w:fldChar w:fldCharType="end"/>
      </w:r>
      <w:r w:rsidRPr="00B87E09">
        <w:rPr>
          <w:snapToGrid w:val="0"/>
          <w:lang w:val="fr-FR"/>
        </w:rPr>
        <w:tab/>
        <w:t xml:space="preserve">Le CAJ </w:t>
      </w:r>
      <w:r w:rsidR="004905B2" w:rsidRPr="00B87E09">
        <w:rPr>
          <w:snapToGrid w:val="0"/>
          <w:lang w:val="fr-FR"/>
        </w:rPr>
        <w:t>a noté</w:t>
      </w:r>
      <w:r w:rsidRPr="00B87E09">
        <w:rPr>
          <w:snapToGrid w:val="0"/>
          <w:lang w:val="fr-FR"/>
        </w:rPr>
        <w:t xml:space="preserve"> que le Conseil sera</w:t>
      </w:r>
      <w:r w:rsidR="004905B2" w:rsidRPr="00B87E09">
        <w:rPr>
          <w:snapToGrid w:val="0"/>
          <w:lang w:val="fr-FR"/>
        </w:rPr>
        <w:t>it</w:t>
      </w:r>
      <w:r w:rsidRPr="00B87E09">
        <w:rPr>
          <w:snapToGrid w:val="0"/>
          <w:lang w:val="fr-FR"/>
        </w:rPr>
        <w:t xml:space="preserve"> invité à adopter le document TGP/0/7 “Liste des documents TGP et date de la version la plus récente de ces documents”, afin de prendre en compte l</w:t>
      </w:r>
      <w:r w:rsidR="00CA38FC" w:rsidRPr="00B87E09">
        <w:rPr>
          <w:snapToGrid w:val="0"/>
          <w:lang w:val="fr-FR"/>
        </w:rPr>
        <w:t>’</w:t>
      </w:r>
      <w:r w:rsidRPr="00B87E09">
        <w:rPr>
          <w:snapToGrid w:val="0"/>
          <w:lang w:val="fr-FR"/>
        </w:rPr>
        <w:t>adoption de documents TGP</w:t>
      </w:r>
      <w:r w:rsidR="004905B2" w:rsidRPr="00B87E09">
        <w:rPr>
          <w:snapToGrid w:val="0"/>
          <w:lang w:val="fr-FR"/>
        </w:rPr>
        <w:t xml:space="preserve"> </w:t>
      </w:r>
      <w:r w:rsidR="004905B2" w:rsidRPr="00B87E09">
        <w:rPr>
          <w:lang w:val="fr-FR"/>
        </w:rPr>
        <w:t>(voir le paragraphe 55 du document CAJ/69/12 “Compte rendu des conclusions”)</w:t>
      </w:r>
      <w:r w:rsidRPr="00B87E09">
        <w:rPr>
          <w:snapToGrid w:val="0"/>
          <w:lang w:val="fr-FR"/>
        </w:rPr>
        <w:t>.</w:t>
      </w:r>
    </w:p>
    <w:p w:rsidR="008C1516" w:rsidRPr="00F95C04" w:rsidRDefault="008C1516" w:rsidP="00F95C04"/>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4905B2" w:rsidRPr="00B87E09">
        <w:rPr>
          <w:lang w:val="fr-FR"/>
        </w:rPr>
        <w:t>a approuvé</w:t>
      </w:r>
      <w:r w:rsidRPr="00B87E09">
        <w:rPr>
          <w:lang w:val="fr-FR"/>
        </w:rPr>
        <w:t xml:space="preserve"> la version révisée du document TGP/2 “Liste des principes directeurs d</w:t>
      </w:r>
      <w:r w:rsidR="00CA38FC" w:rsidRPr="00B87E09">
        <w:rPr>
          <w:lang w:val="fr-FR"/>
        </w:rPr>
        <w:t>’</w:t>
      </w:r>
      <w:r w:rsidRPr="00B87E09">
        <w:rPr>
          <w:lang w:val="fr-FR"/>
        </w:rPr>
        <w:t>examen adoptés par l</w:t>
      </w:r>
      <w:r w:rsidR="00CA38FC" w:rsidRPr="00B87E09">
        <w:rPr>
          <w:lang w:val="fr-FR"/>
        </w:rPr>
        <w:t>’</w:t>
      </w:r>
      <w:r w:rsidRPr="00B87E09">
        <w:rPr>
          <w:lang w:val="fr-FR"/>
        </w:rPr>
        <w:t>UPOV”</w:t>
      </w:r>
      <w:r w:rsidR="004905B2" w:rsidRPr="00B87E09">
        <w:rPr>
          <w:lang w:val="fr-FR"/>
        </w:rPr>
        <w:t xml:space="preserve"> (voir le paragraphe 5</w:t>
      </w:r>
      <w:r w:rsidR="000B562E" w:rsidRPr="00B87E09">
        <w:rPr>
          <w:lang w:val="fr-FR"/>
        </w:rPr>
        <w:t>6</w:t>
      </w:r>
      <w:r w:rsidR="004905B2" w:rsidRPr="00B87E09">
        <w:rPr>
          <w:lang w:val="fr-FR"/>
        </w:rPr>
        <w:t xml:space="preserve"> du document CAJ/69/12 “Compte rendu des conclusions”)</w:t>
      </w:r>
      <w:r w:rsidRPr="00B87E09">
        <w:rPr>
          <w:lang w:val="fr-FR"/>
        </w:rPr>
        <w:t>.</w:t>
      </w:r>
    </w:p>
    <w:p w:rsidR="008C1516" w:rsidRPr="00F95C04" w:rsidRDefault="008C1516" w:rsidP="00F95C04"/>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0B562E" w:rsidRPr="00B87E09">
        <w:rPr>
          <w:lang w:val="fr-FR"/>
        </w:rPr>
        <w:t xml:space="preserve">a </w:t>
      </w:r>
      <w:r w:rsidRPr="00B87E09">
        <w:rPr>
          <w:lang w:val="fr-FR"/>
        </w:rPr>
        <w:t>approuv</w:t>
      </w:r>
      <w:r w:rsidR="000B562E" w:rsidRPr="00B87E09">
        <w:rPr>
          <w:lang w:val="fr-FR"/>
        </w:rPr>
        <w:t>é</w:t>
      </w:r>
      <w:r w:rsidRPr="00B87E09">
        <w:rPr>
          <w:lang w:val="fr-FR"/>
        </w:rPr>
        <w:t xml:space="preserve"> la proposition de modification des conseils qui figurent dans le document TGP/5 : section 10 : “</w:t>
      </w:r>
      <w:r w:rsidRPr="00B87E09">
        <w:rPr>
          <w:iCs/>
          <w:lang w:val="fr-FR"/>
        </w:rPr>
        <w:t>Notification de caractères et de niveaux d</w:t>
      </w:r>
      <w:r w:rsidR="00CA38FC" w:rsidRPr="00B87E09">
        <w:rPr>
          <w:iCs/>
          <w:lang w:val="fr-FR"/>
        </w:rPr>
        <w:t>’</w:t>
      </w:r>
      <w:r w:rsidRPr="00B87E09">
        <w:rPr>
          <w:iCs/>
          <w:lang w:val="fr-FR"/>
        </w:rPr>
        <w:t xml:space="preserve">expression supplémentaires” </w:t>
      </w:r>
      <w:r w:rsidR="000B562E" w:rsidRPr="00B87E09">
        <w:rPr>
          <w:lang w:val="fr-FR"/>
        </w:rPr>
        <w:t>(voir le paragraphe 57 du document CAJ/69/12 “Compte rendu des conclusions”)</w:t>
      </w:r>
      <w:r w:rsidRPr="00B87E09">
        <w:rPr>
          <w:lang w:val="fr-FR"/>
        </w:rPr>
        <w:t>.</w:t>
      </w:r>
    </w:p>
    <w:p w:rsidR="008C1516" w:rsidRPr="00F95C04" w:rsidRDefault="008C1516" w:rsidP="00F95C04"/>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0B562E" w:rsidRPr="00B87E09">
        <w:rPr>
          <w:lang w:val="fr-FR"/>
        </w:rPr>
        <w:t>a approuvé</w:t>
      </w:r>
      <w:r w:rsidRPr="00B87E09">
        <w:rPr>
          <w:lang w:val="fr-FR"/>
        </w:rPr>
        <w:t xml:space="preserve"> les modifications apportées au document TGP/7, comme indiqué dans </w:t>
      </w:r>
      <w:r w:rsidR="000B562E" w:rsidRPr="00B87E09">
        <w:rPr>
          <w:lang w:val="fr-FR"/>
        </w:rPr>
        <w:t>le</w:t>
      </w:r>
      <w:r w:rsidRPr="00B87E09">
        <w:rPr>
          <w:lang w:val="fr-FR"/>
        </w:rPr>
        <w:t xml:space="preserve"> document CAJ/69/3</w:t>
      </w:r>
      <w:r w:rsidR="00FC72A5" w:rsidRPr="00B87E09">
        <w:rPr>
          <w:lang w:val="fr-FR"/>
        </w:rPr>
        <w:t xml:space="preserve"> </w:t>
      </w:r>
      <w:r w:rsidR="00C54380" w:rsidRPr="00B87E09">
        <w:rPr>
          <w:lang w:val="fr-FR"/>
        </w:rPr>
        <w:t>“</w:t>
      </w:r>
      <w:r w:rsidR="00FC72A5" w:rsidRPr="00B87E09">
        <w:rPr>
          <w:lang w:val="fr-FR"/>
        </w:rPr>
        <w:t>Documents TGP</w:t>
      </w:r>
      <w:r w:rsidR="00C54380" w:rsidRPr="00B87E09">
        <w:rPr>
          <w:lang w:val="fr-FR"/>
        </w:rPr>
        <w:t>”</w:t>
      </w:r>
      <w:r w:rsidRPr="00B87E09">
        <w:rPr>
          <w:lang w:val="fr-FR"/>
        </w:rPr>
        <w:t>, comme base d</w:t>
      </w:r>
      <w:r w:rsidR="00CA38FC" w:rsidRPr="00B87E09">
        <w:rPr>
          <w:lang w:val="fr-FR"/>
        </w:rPr>
        <w:t>’</w:t>
      </w:r>
      <w:r w:rsidRPr="00B87E09">
        <w:rPr>
          <w:lang w:val="fr-FR"/>
        </w:rPr>
        <w:t>adoption du document TGP/7/4 “</w:t>
      </w:r>
      <w:r w:rsidRPr="00B87E09">
        <w:rPr>
          <w:spacing w:val="-2"/>
          <w:lang w:val="fr-FR"/>
        </w:rPr>
        <w:t>Élaboration des principes directeurs d</w:t>
      </w:r>
      <w:r w:rsidR="00CA38FC" w:rsidRPr="00B87E09">
        <w:rPr>
          <w:spacing w:val="-2"/>
          <w:lang w:val="fr-FR"/>
        </w:rPr>
        <w:t>’</w:t>
      </w:r>
      <w:r w:rsidRPr="00B87E09">
        <w:rPr>
          <w:spacing w:val="-2"/>
          <w:lang w:val="fr-FR"/>
        </w:rPr>
        <w:t>examen” par le Conseil à sa quarante</w:t>
      </w:r>
      <w:r w:rsidR="00B87E09" w:rsidRPr="00B87E09">
        <w:rPr>
          <w:spacing w:val="-2"/>
          <w:lang w:val="fr-FR"/>
        </w:rPr>
        <w:noBreakHyphen/>
      </w:r>
      <w:r w:rsidRPr="00B87E09">
        <w:rPr>
          <w:spacing w:val="-2"/>
          <w:lang w:val="fr-FR"/>
        </w:rPr>
        <w:t xml:space="preserve">huitième session ordinaire, sous réserve des modifications suivantes </w:t>
      </w:r>
      <w:r w:rsidR="000B562E" w:rsidRPr="00B87E09">
        <w:rPr>
          <w:lang w:val="fr-FR"/>
        </w:rPr>
        <w:t>(voir les paragraphes 58 et 59 du document CAJ/69/12 “Compte rendu des conclusions”) </w:t>
      </w:r>
      <w:r w:rsidRPr="00B87E09">
        <w:rPr>
          <w:lang w:val="fr-FR"/>
        </w:rPr>
        <w:t>:</w:t>
      </w:r>
    </w:p>
    <w:p w:rsidR="008C1516" w:rsidRPr="00B87E09" w:rsidRDefault="008C1516" w:rsidP="008C1516">
      <w:pPr>
        <w:pStyle w:val="ListParagraph"/>
        <w:ind w:left="0"/>
        <w:rPr>
          <w:lang w:val="fr-FR"/>
        </w:rPr>
      </w:pPr>
    </w:p>
    <w:tbl>
      <w:tblPr>
        <w:tblW w:w="97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517"/>
        <w:gridCol w:w="8263"/>
      </w:tblGrid>
      <w:tr w:rsidR="008C1516" w:rsidRPr="00B87E09" w:rsidTr="00CB6AC6">
        <w:tc>
          <w:tcPr>
            <w:tcW w:w="1517" w:type="dxa"/>
            <w:tcBorders>
              <w:top w:val="single" w:sz="4" w:space="0" w:color="auto"/>
              <w:left w:val="single" w:sz="4" w:space="0" w:color="auto"/>
              <w:bottom w:val="single" w:sz="4" w:space="0" w:color="auto"/>
              <w:right w:val="single" w:sz="4" w:space="0" w:color="auto"/>
            </w:tcBorders>
          </w:tcPr>
          <w:p w:rsidR="008C1516" w:rsidRPr="00B87E09" w:rsidRDefault="008C1516" w:rsidP="00CB6AC6">
            <w:pPr>
              <w:jc w:val="left"/>
              <w:rPr>
                <w:rFonts w:cs="Arial"/>
                <w:bCs/>
                <w:color w:val="000000" w:themeColor="text1"/>
                <w:lang w:val="fr-FR"/>
              </w:rPr>
            </w:pPr>
            <w:r w:rsidRPr="00B87E09">
              <w:rPr>
                <w:rFonts w:cs="Arial"/>
                <w:bCs/>
                <w:color w:val="000000" w:themeColor="text1"/>
                <w:lang w:val="fr-FR"/>
              </w:rPr>
              <w:t>Annexe I, ASW 0</w:t>
            </w:r>
          </w:p>
        </w:tc>
        <w:tc>
          <w:tcPr>
            <w:tcW w:w="8263" w:type="dxa"/>
            <w:tcBorders>
              <w:top w:val="single" w:sz="4" w:space="0" w:color="auto"/>
              <w:left w:val="single" w:sz="4" w:space="0" w:color="auto"/>
              <w:bottom w:val="single" w:sz="4" w:space="0" w:color="auto"/>
              <w:right w:val="single" w:sz="4" w:space="0" w:color="auto"/>
            </w:tcBorders>
          </w:tcPr>
          <w:p w:rsidR="008C1516" w:rsidRPr="00B87E09" w:rsidRDefault="008C1516" w:rsidP="00CB6AC6">
            <w:pPr>
              <w:rPr>
                <w:rFonts w:cs="Arial"/>
                <w:lang w:val="fr-FR"/>
              </w:rPr>
            </w:pPr>
            <w:r w:rsidRPr="00B87E09">
              <w:rPr>
                <w:rFonts w:cs="Arial"/>
                <w:lang w:val="fr-FR"/>
              </w:rPr>
              <w:t>Dans la version allemande : modifier la traduction allemande de “Subject of these Test Guidelines” en : “</w:t>
            </w:r>
            <w:r w:rsidRPr="00B87E09">
              <w:rPr>
                <w:rFonts w:cs="Arial"/>
                <w:u w:val="single"/>
                <w:lang w:val="fr-FR"/>
              </w:rPr>
              <w:t>Gegenstand</w:t>
            </w:r>
            <w:r w:rsidRPr="00B87E09">
              <w:rPr>
                <w:rFonts w:cs="Arial"/>
                <w:lang w:val="fr-FR"/>
              </w:rPr>
              <w:t xml:space="preserve"> dieser Prüfungsrichtlinien”</w:t>
            </w:r>
          </w:p>
        </w:tc>
      </w:tr>
      <w:tr w:rsidR="008C1516" w:rsidRPr="00B87E09" w:rsidTr="00CB6AC6">
        <w:tc>
          <w:tcPr>
            <w:tcW w:w="1517" w:type="dxa"/>
            <w:tcBorders>
              <w:top w:val="single" w:sz="4" w:space="0" w:color="auto"/>
              <w:left w:val="single" w:sz="4" w:space="0" w:color="auto"/>
              <w:bottom w:val="single" w:sz="4" w:space="0" w:color="auto"/>
              <w:right w:val="single" w:sz="4" w:space="0" w:color="auto"/>
            </w:tcBorders>
          </w:tcPr>
          <w:p w:rsidR="008C1516" w:rsidRPr="00B87E09" w:rsidRDefault="008C1516" w:rsidP="00CB6AC6">
            <w:pPr>
              <w:jc w:val="left"/>
              <w:rPr>
                <w:rFonts w:cs="Arial"/>
                <w:bCs/>
                <w:color w:val="000000" w:themeColor="text1"/>
                <w:lang w:val="fr-FR"/>
              </w:rPr>
            </w:pPr>
            <w:r w:rsidRPr="00B87E09">
              <w:rPr>
                <w:rFonts w:cs="Arial"/>
                <w:bCs/>
                <w:color w:val="000000" w:themeColor="text1"/>
                <w:lang w:val="fr-FR"/>
              </w:rPr>
              <w:t>Annexe I, GN 7</w:t>
            </w:r>
          </w:p>
        </w:tc>
        <w:tc>
          <w:tcPr>
            <w:tcW w:w="8263" w:type="dxa"/>
            <w:tcBorders>
              <w:top w:val="single" w:sz="4" w:space="0" w:color="auto"/>
              <w:left w:val="single" w:sz="4" w:space="0" w:color="auto"/>
              <w:bottom w:val="single" w:sz="4" w:space="0" w:color="auto"/>
              <w:right w:val="single" w:sz="4" w:space="0" w:color="auto"/>
            </w:tcBorders>
          </w:tcPr>
          <w:p w:rsidR="008C1516" w:rsidRPr="00B87E09" w:rsidRDefault="008C1516" w:rsidP="0085017E">
            <w:pPr>
              <w:rPr>
                <w:rFonts w:cs="Arial"/>
                <w:lang w:val="fr-FR"/>
              </w:rPr>
            </w:pPr>
            <w:r w:rsidRPr="00B87E09">
              <w:rPr>
                <w:rFonts w:cs="Arial"/>
                <w:lang w:val="fr-FR"/>
              </w:rPr>
              <w:t>Le dernier paragraphe doit être rédigé comme suit : “D</w:t>
            </w:r>
            <w:r w:rsidR="00CA38FC" w:rsidRPr="00B87E09">
              <w:rPr>
                <w:rFonts w:cs="Arial"/>
                <w:lang w:val="fr-FR"/>
              </w:rPr>
              <w:t>’</w:t>
            </w:r>
            <w:r w:rsidRPr="00B87E09">
              <w:rPr>
                <w:rFonts w:cs="Arial"/>
                <w:lang w:val="fr-FR"/>
              </w:rPr>
              <w:t xml:space="preserve">une manière générale, dans le cas de </w:t>
            </w:r>
            <w:r w:rsidRPr="00B87E09">
              <w:rPr>
                <w:rFonts w:cs="Arial"/>
                <w:i/>
                <w:lang w:val="fr-FR"/>
              </w:rPr>
              <w:t>plantes</w:t>
            </w:r>
            <w:r w:rsidRPr="00B87E09">
              <w:rPr>
                <w:rFonts w:cs="Arial"/>
                <w:lang w:val="fr-FR"/>
              </w:rPr>
              <w:t xml:space="preserve"> à remettre uniquement pour un seul essai en culture (p. ex., des plantes ne sont pas requises pour des essais spéciaux ou des collections de la variété), le nombre de plantes requis au chapitre 2.3 correspond souvent au nombre de plantes indiqué aux chapitres 3.4 “Protocole d</w:t>
            </w:r>
            <w:r w:rsidR="00CA38FC" w:rsidRPr="00B87E09">
              <w:rPr>
                <w:rFonts w:cs="Arial"/>
                <w:lang w:val="fr-FR"/>
              </w:rPr>
              <w:t>’</w:t>
            </w:r>
            <w:r w:rsidRPr="00B87E09">
              <w:rPr>
                <w:rFonts w:cs="Arial"/>
                <w:lang w:val="fr-FR"/>
              </w:rPr>
              <w:t>essai” et</w:t>
            </w:r>
            <w:r w:rsidR="0085017E">
              <w:rPr>
                <w:rFonts w:cs="Arial"/>
                <w:lang w:val="fr-FR"/>
              </w:rPr>
              <w:t> </w:t>
            </w:r>
            <w:r w:rsidRPr="00B87E09">
              <w:rPr>
                <w:rFonts w:cs="Arial"/>
                <w:lang w:val="fr-FR"/>
              </w:rPr>
              <w:t>4.2 “Homogénéité”.  À cet égard, il est rappelé que la quantité de matériel végétal indiquée au chapitre 2.3 des principes directeurs d</w:t>
            </w:r>
            <w:r w:rsidR="00CA38FC" w:rsidRPr="00B87E09">
              <w:rPr>
                <w:rFonts w:cs="Arial"/>
                <w:lang w:val="fr-FR"/>
              </w:rPr>
              <w:t>’</w:t>
            </w:r>
            <w:r w:rsidRPr="00B87E09">
              <w:rPr>
                <w:rFonts w:cs="Arial"/>
                <w:lang w:val="fr-FR"/>
              </w:rPr>
              <w:t>examen est la quantité minimale qu</w:t>
            </w:r>
            <w:r w:rsidR="00CA38FC" w:rsidRPr="00B87E09">
              <w:rPr>
                <w:rFonts w:cs="Arial"/>
                <w:lang w:val="fr-FR"/>
              </w:rPr>
              <w:t>’</w:t>
            </w:r>
            <w:r w:rsidRPr="00B87E09">
              <w:rPr>
                <w:rFonts w:cs="Arial"/>
                <w:lang w:val="fr-FR"/>
              </w:rPr>
              <w:t>un service peut exiger du demandeur.  En conséquence, chaque service peut décider d</w:t>
            </w:r>
            <w:r w:rsidR="00CA38FC" w:rsidRPr="00B87E09">
              <w:rPr>
                <w:rFonts w:cs="Arial"/>
                <w:lang w:val="fr-FR"/>
              </w:rPr>
              <w:t>’</w:t>
            </w:r>
            <w:r w:rsidRPr="00B87E09">
              <w:rPr>
                <w:rFonts w:cs="Arial"/>
                <w:lang w:val="fr-FR"/>
              </w:rPr>
              <w:t xml:space="preserve">exiger une plus grande quantité de matériel végétal, par exemple pour tenir compte des pertes potentielles (voir GN 7 a)).  </w:t>
            </w:r>
          </w:p>
        </w:tc>
      </w:tr>
      <w:tr w:rsidR="008C1516" w:rsidRPr="00B87E09" w:rsidTr="00CB6AC6">
        <w:tc>
          <w:tcPr>
            <w:tcW w:w="1517" w:type="dxa"/>
            <w:tcBorders>
              <w:top w:val="single" w:sz="4" w:space="0" w:color="auto"/>
              <w:left w:val="single" w:sz="4" w:space="0" w:color="auto"/>
              <w:bottom w:val="single" w:sz="4" w:space="0" w:color="auto"/>
              <w:right w:val="single" w:sz="4" w:space="0" w:color="auto"/>
            </w:tcBorders>
          </w:tcPr>
          <w:p w:rsidR="008C1516" w:rsidRPr="00B87E09" w:rsidRDefault="008C1516" w:rsidP="00F95C04">
            <w:pPr>
              <w:jc w:val="left"/>
              <w:rPr>
                <w:rFonts w:cs="Arial"/>
                <w:bCs/>
                <w:snapToGrid w:val="0"/>
                <w:color w:val="000000" w:themeColor="text1"/>
                <w:lang w:val="fr-FR"/>
              </w:rPr>
            </w:pPr>
            <w:r w:rsidRPr="00B87E09">
              <w:rPr>
                <w:rFonts w:cs="Arial"/>
                <w:bCs/>
                <w:color w:val="000000" w:themeColor="text1"/>
                <w:lang w:val="fr-FR"/>
              </w:rPr>
              <w:t>Annexe I, GN 28, Section 3.2.2</w:t>
            </w:r>
          </w:p>
        </w:tc>
        <w:tc>
          <w:tcPr>
            <w:tcW w:w="8263" w:type="dxa"/>
            <w:tcBorders>
              <w:top w:val="single" w:sz="4" w:space="0" w:color="auto"/>
              <w:left w:val="single" w:sz="4" w:space="0" w:color="auto"/>
              <w:bottom w:val="single" w:sz="4" w:space="0" w:color="auto"/>
              <w:right w:val="single" w:sz="4" w:space="0" w:color="auto"/>
            </w:tcBorders>
          </w:tcPr>
          <w:p w:rsidR="008C1516" w:rsidRPr="00B87E09" w:rsidRDefault="008C1516" w:rsidP="00F95C04">
            <w:pPr>
              <w:tabs>
                <w:tab w:val="left" w:pos="76"/>
              </w:tabs>
              <w:rPr>
                <w:rFonts w:cs="Arial"/>
                <w:lang w:val="fr-FR"/>
              </w:rPr>
            </w:pPr>
            <w:r w:rsidRPr="00B87E09">
              <w:rPr>
                <w:rFonts w:cs="Arial"/>
                <w:lang w:val="fr-FR"/>
              </w:rPr>
              <w:t>Libeller comme suit : “3.2.2 Lorsque différentes séries d</w:t>
            </w:r>
            <w:r w:rsidR="00CA38FC" w:rsidRPr="00B87E09">
              <w:rPr>
                <w:rFonts w:cs="Arial"/>
                <w:lang w:val="fr-FR"/>
              </w:rPr>
              <w:t>’</w:t>
            </w:r>
            <w:r w:rsidRPr="00B87E09">
              <w:rPr>
                <w:rFonts w:cs="Arial"/>
                <w:lang w:val="fr-FR"/>
              </w:rPr>
              <w:t>exemples sont prévues pour différents types de variétés visées par les mêmes principes directeurs d</w:t>
            </w:r>
            <w:r w:rsidR="00CA38FC" w:rsidRPr="00B87E09">
              <w:rPr>
                <w:rFonts w:cs="Arial"/>
                <w:lang w:val="fr-FR"/>
              </w:rPr>
              <w:t>’</w:t>
            </w:r>
            <w:r w:rsidRPr="00B87E09">
              <w:rPr>
                <w:rFonts w:cs="Arial"/>
                <w:lang w:val="fr-FR"/>
              </w:rPr>
              <w:t>examen, elles sont indiquées dans la colonne habituelle du tableau des caractères.  Les séries de varié</w:t>
            </w:r>
            <w:r w:rsidR="00FC72A5" w:rsidRPr="00B87E09">
              <w:rPr>
                <w:rFonts w:cs="Arial"/>
                <w:lang w:val="fr-FR"/>
              </w:rPr>
              <w:t>té</w:t>
            </w:r>
            <w:r w:rsidRPr="00B87E09">
              <w:rPr>
                <w:rFonts w:cs="Arial"/>
                <w:lang w:val="fr-FR"/>
              </w:rPr>
              <w:t>s indiquées à titre d</w:t>
            </w:r>
            <w:r w:rsidR="00CA38FC" w:rsidRPr="00B87E09">
              <w:rPr>
                <w:rFonts w:cs="Arial"/>
                <w:lang w:val="fr-FR"/>
              </w:rPr>
              <w:t>’</w:t>
            </w:r>
            <w:r w:rsidRPr="00B87E09">
              <w:rPr>
                <w:rFonts w:cs="Arial"/>
                <w:lang w:val="fr-FR"/>
              </w:rPr>
              <w:t>exemples (par exemple</w:t>
            </w:r>
            <w:r w:rsidR="00F95C04">
              <w:rPr>
                <w:rFonts w:cs="Arial"/>
                <w:lang w:val="fr-FR"/>
              </w:rPr>
              <w:t xml:space="preserve"> </w:t>
            </w:r>
            <w:r w:rsidRPr="00B87E09">
              <w:rPr>
                <w:rFonts w:cs="Arial"/>
                <w:lang w:val="fr-FR"/>
              </w:rPr>
              <w:t>types hiver et types printemps) sont séparées par un point</w:t>
            </w:r>
            <w:r w:rsidR="00B87E09" w:rsidRPr="00B87E09">
              <w:rPr>
                <w:rFonts w:cs="Arial"/>
                <w:lang w:val="fr-FR"/>
              </w:rPr>
              <w:noBreakHyphen/>
            </w:r>
            <w:r w:rsidRPr="00B87E09">
              <w:rPr>
                <w:rFonts w:cs="Arial"/>
                <w:lang w:val="fr-FR"/>
              </w:rPr>
              <w:t>virgule et/ou avec un code pour chaque série et une explication de l</w:t>
            </w:r>
            <w:r w:rsidR="00CA38FC" w:rsidRPr="00B87E09">
              <w:rPr>
                <w:rFonts w:cs="Arial"/>
                <w:lang w:val="fr-FR"/>
              </w:rPr>
              <w:t>’</w:t>
            </w:r>
            <w:r w:rsidRPr="00B87E09">
              <w:rPr>
                <w:rFonts w:cs="Arial"/>
                <w:lang w:val="fr-FR"/>
              </w:rPr>
              <w:t>option choisie fournie dans la légende du chapitre 6 des principes directeurs d</w:t>
            </w:r>
            <w:r w:rsidR="00CA38FC" w:rsidRPr="00B87E09">
              <w:rPr>
                <w:rFonts w:cs="Arial"/>
                <w:lang w:val="fr-FR"/>
              </w:rPr>
              <w:t>’</w:t>
            </w:r>
            <w:r w:rsidRPr="00B87E09">
              <w:rPr>
                <w:rFonts w:cs="Arial"/>
                <w:lang w:val="fr-FR"/>
              </w:rPr>
              <w:t>examen.”</w:t>
            </w:r>
          </w:p>
        </w:tc>
      </w:tr>
      <w:tr w:rsidR="008C1516" w:rsidRPr="00B87E09" w:rsidTr="00CB6AC6">
        <w:tc>
          <w:tcPr>
            <w:tcW w:w="1517" w:type="dxa"/>
            <w:tcBorders>
              <w:top w:val="single" w:sz="4" w:space="0" w:color="auto"/>
              <w:left w:val="single" w:sz="4" w:space="0" w:color="auto"/>
              <w:bottom w:val="single" w:sz="4" w:space="0" w:color="auto"/>
              <w:right w:val="single" w:sz="4" w:space="0" w:color="auto"/>
            </w:tcBorders>
          </w:tcPr>
          <w:p w:rsidR="008C1516" w:rsidRPr="00B87E09" w:rsidRDefault="008C1516" w:rsidP="00F95C04">
            <w:pPr>
              <w:jc w:val="left"/>
              <w:rPr>
                <w:rFonts w:cs="Arial"/>
                <w:bCs/>
                <w:snapToGrid w:val="0"/>
                <w:color w:val="000000" w:themeColor="text1"/>
                <w:lang w:val="fr-FR"/>
              </w:rPr>
            </w:pPr>
            <w:r w:rsidRPr="00B87E09">
              <w:rPr>
                <w:rFonts w:cs="Arial"/>
                <w:bCs/>
                <w:color w:val="000000" w:themeColor="text1"/>
                <w:lang w:val="fr-FR"/>
              </w:rPr>
              <w:t>Annexe I, GN 28, Section 4</w:t>
            </w:r>
          </w:p>
        </w:tc>
        <w:tc>
          <w:tcPr>
            <w:tcW w:w="8263" w:type="dxa"/>
            <w:tcBorders>
              <w:top w:val="single" w:sz="4" w:space="0" w:color="auto"/>
              <w:left w:val="single" w:sz="4" w:space="0" w:color="auto"/>
              <w:bottom w:val="single" w:sz="4" w:space="0" w:color="auto"/>
              <w:right w:val="single" w:sz="4" w:space="0" w:color="auto"/>
            </w:tcBorders>
          </w:tcPr>
          <w:p w:rsidR="008C1516" w:rsidRPr="00B87E09" w:rsidRDefault="008C1516" w:rsidP="00CB6AC6">
            <w:pPr>
              <w:rPr>
                <w:rFonts w:cs="Arial"/>
                <w:lang w:val="fr-FR"/>
              </w:rPr>
            </w:pPr>
            <w:r w:rsidRPr="00B87E09">
              <w:rPr>
                <w:rFonts w:cs="Arial"/>
                <w:lang w:val="fr-FR"/>
              </w:rPr>
              <w:t>4.1 Remplacer la référence à la section 2 par une référence à la section 4.2</w:t>
            </w:r>
          </w:p>
          <w:p w:rsidR="008C1516" w:rsidRPr="00B87E09" w:rsidRDefault="008C1516" w:rsidP="00CB6AC6">
            <w:pPr>
              <w:rPr>
                <w:rFonts w:cs="Arial"/>
                <w:lang w:val="fr-FR"/>
              </w:rPr>
            </w:pPr>
            <w:r w:rsidRPr="00B87E09">
              <w:rPr>
                <w:rFonts w:cs="Arial"/>
                <w:lang w:val="fr-FR"/>
              </w:rPr>
              <w:t>4.2.3 Remplacer la référence à la figure 1 par une référence à la section 4.2.3</w:t>
            </w:r>
          </w:p>
          <w:p w:rsidR="008C1516" w:rsidRPr="00B87E09" w:rsidRDefault="008C1516" w:rsidP="00CB6AC6">
            <w:pPr>
              <w:rPr>
                <w:rFonts w:cs="Arial"/>
                <w:lang w:val="fr-FR"/>
              </w:rPr>
            </w:pPr>
            <w:r w:rsidRPr="00B87E09">
              <w:rPr>
                <w:rFonts w:cs="Arial"/>
                <w:lang w:val="fr-FR"/>
              </w:rPr>
              <w:t xml:space="preserve">4.2.5 Supprimer la référence à la figure 1 </w:t>
            </w:r>
          </w:p>
        </w:tc>
      </w:tr>
      <w:tr w:rsidR="008C1516" w:rsidRPr="00B87E09" w:rsidTr="00CB6AC6">
        <w:tc>
          <w:tcPr>
            <w:tcW w:w="1517" w:type="dxa"/>
            <w:tcBorders>
              <w:top w:val="single" w:sz="4" w:space="0" w:color="auto"/>
              <w:left w:val="single" w:sz="4" w:space="0" w:color="auto"/>
              <w:bottom w:val="single" w:sz="4" w:space="0" w:color="auto"/>
              <w:right w:val="single" w:sz="4" w:space="0" w:color="auto"/>
            </w:tcBorders>
          </w:tcPr>
          <w:p w:rsidR="008C1516" w:rsidRPr="00B87E09" w:rsidRDefault="008C1516" w:rsidP="00CB6AC6">
            <w:pPr>
              <w:jc w:val="left"/>
              <w:rPr>
                <w:rFonts w:cs="Arial"/>
                <w:bCs/>
                <w:snapToGrid w:val="0"/>
                <w:lang w:val="fr-FR"/>
              </w:rPr>
            </w:pPr>
            <w:r w:rsidRPr="00B87E09">
              <w:rPr>
                <w:rFonts w:cs="Arial"/>
                <w:bCs/>
                <w:lang w:val="fr-FR"/>
              </w:rPr>
              <w:t>Annexe I, GN 35, Introduction</w:t>
            </w:r>
          </w:p>
        </w:tc>
        <w:tc>
          <w:tcPr>
            <w:tcW w:w="8263" w:type="dxa"/>
            <w:tcBorders>
              <w:top w:val="single" w:sz="4" w:space="0" w:color="auto"/>
              <w:left w:val="single" w:sz="4" w:space="0" w:color="auto"/>
              <w:bottom w:val="single" w:sz="4" w:space="0" w:color="auto"/>
              <w:right w:val="single" w:sz="4" w:space="0" w:color="auto"/>
            </w:tcBorders>
          </w:tcPr>
          <w:p w:rsidR="008C1516" w:rsidRPr="00B87E09" w:rsidRDefault="008C1516" w:rsidP="00CB6AC6">
            <w:pPr>
              <w:rPr>
                <w:rFonts w:cs="Arial"/>
                <w:lang w:val="fr-FR"/>
              </w:rPr>
            </w:pPr>
            <w:r w:rsidRPr="00B87E09">
              <w:rPr>
                <w:rFonts w:cs="Arial"/>
                <w:lang w:val="fr-FR"/>
              </w:rPr>
              <w:t>Libeller la première phrase comme suit : “La prise de photographies est influencée par des facteurs tels que les conditions de luminosité, la qualité et le réglage de l</w:t>
            </w:r>
            <w:r w:rsidR="00CA38FC" w:rsidRPr="00B87E09">
              <w:rPr>
                <w:rFonts w:cs="Arial"/>
                <w:lang w:val="fr-FR"/>
              </w:rPr>
              <w:t>’</w:t>
            </w:r>
            <w:r w:rsidRPr="00B87E09">
              <w:rPr>
                <w:rFonts w:cs="Arial"/>
                <w:lang w:val="fr-FR"/>
              </w:rPr>
              <w:t>appareil photographique et l</w:t>
            </w:r>
            <w:r w:rsidR="00CA38FC" w:rsidRPr="00B87E09">
              <w:rPr>
                <w:rFonts w:cs="Arial"/>
                <w:lang w:val="fr-FR"/>
              </w:rPr>
              <w:t>’</w:t>
            </w:r>
            <w:r w:rsidRPr="00B87E09">
              <w:rPr>
                <w:rFonts w:cs="Arial"/>
                <w:lang w:val="fr-FR"/>
              </w:rPr>
              <w:t>arrière</w:t>
            </w:r>
            <w:r w:rsidR="00B87E09" w:rsidRPr="00B87E09">
              <w:rPr>
                <w:rFonts w:cs="Arial"/>
                <w:lang w:val="fr-FR"/>
              </w:rPr>
              <w:noBreakHyphen/>
            </w:r>
            <w:r w:rsidRPr="00B87E09">
              <w:rPr>
                <w:rFonts w:cs="Arial"/>
                <w:lang w:val="fr-FR"/>
              </w:rPr>
              <w:t xml:space="preserve">plan.” </w:t>
            </w:r>
          </w:p>
        </w:tc>
      </w:tr>
    </w:tbl>
    <w:p w:rsidR="008C1516" w:rsidRPr="00B87E09" w:rsidRDefault="008C1516" w:rsidP="008C1516">
      <w:pPr>
        <w:rPr>
          <w:lang w:val="fr-FR"/>
        </w:rPr>
      </w:pPr>
    </w:p>
    <w:p w:rsidR="008C1516" w:rsidRPr="00B87E09" w:rsidRDefault="008C1516" w:rsidP="008C1516">
      <w:pPr>
        <w:keepNext/>
        <w:ind w:left="993" w:hanging="426"/>
        <w:rPr>
          <w:i/>
          <w:sz w:val="18"/>
          <w:szCs w:val="18"/>
          <w:lang w:val="fr-FR"/>
        </w:rPr>
      </w:pPr>
      <w:r w:rsidRPr="00B87E09">
        <w:rPr>
          <w:i/>
          <w:sz w:val="18"/>
          <w:szCs w:val="18"/>
          <w:lang w:val="fr-FR"/>
        </w:rPr>
        <w:t>i)</w:t>
      </w:r>
      <w:r w:rsidRPr="00B87E09">
        <w:rPr>
          <w:i/>
          <w:sz w:val="18"/>
          <w:szCs w:val="18"/>
          <w:lang w:val="fr-FR"/>
        </w:rPr>
        <w:tab/>
        <w:t>Révision du document TGP/7 : Texte standard supplémentaire pour un cycle de végétation relatif aux espèces tropicales</w:t>
      </w:r>
    </w:p>
    <w:p w:rsidR="008C1516" w:rsidRPr="00B87E09" w:rsidRDefault="008C1516" w:rsidP="008C1516">
      <w:pPr>
        <w:keepNext/>
        <w:tabs>
          <w:tab w:val="left" w:pos="1565"/>
        </w:tabs>
        <w:rPr>
          <w:lang w:val="fr-FR"/>
        </w:rPr>
      </w:pPr>
    </w:p>
    <w:p w:rsidR="008C1516" w:rsidRPr="00B87E09" w:rsidRDefault="008C1516" w:rsidP="008C1516">
      <w:pPr>
        <w:keepNext/>
        <w:spacing w:before="120"/>
        <w:ind w:left="567" w:right="567"/>
        <w:rPr>
          <w:rFonts w:cs="Arial"/>
          <w:sz w:val="18"/>
          <w:szCs w:val="18"/>
          <w:lang w:val="fr-FR"/>
        </w:rPr>
      </w:pPr>
      <w:r w:rsidRPr="00B87E09">
        <w:rPr>
          <w:iCs/>
          <w:sz w:val="18"/>
          <w:szCs w:val="18"/>
          <w:lang w:val="fr-FR"/>
        </w:rPr>
        <w:t>“Nouveau (après b)) : Espèces à feuilles persistantes à croissance indéterminée</w:t>
      </w:r>
    </w:p>
    <w:p w:rsidR="008C1516" w:rsidRPr="00B87E09" w:rsidRDefault="008C1516" w:rsidP="008C1516">
      <w:pPr>
        <w:keepNext/>
        <w:spacing w:before="120"/>
        <w:ind w:left="567" w:right="567"/>
        <w:rPr>
          <w:rFonts w:cs="Arial"/>
          <w:sz w:val="18"/>
          <w:szCs w:val="18"/>
          <w:lang w:val="fr-FR"/>
        </w:rPr>
      </w:pPr>
      <w:r w:rsidRPr="00B87E09">
        <w:rPr>
          <w:rFonts w:cs="Arial"/>
          <w:sz w:val="18"/>
          <w:szCs w:val="18"/>
          <w:lang w:val="fr-FR"/>
        </w:rPr>
        <w:t xml:space="preserve">“Le cycle de végétation est constitué par la période qui va du début du </w:t>
      </w:r>
      <w:r w:rsidRPr="00B87E09">
        <w:rPr>
          <w:rFonts w:cs="Arial"/>
          <w:sz w:val="18"/>
          <w:szCs w:val="18"/>
          <w:u w:val="single"/>
          <w:lang w:val="fr-FR"/>
        </w:rPr>
        <w:t>développement</w:t>
      </w:r>
      <w:r w:rsidRPr="00B87E09">
        <w:rPr>
          <w:rFonts w:cs="Arial"/>
          <w:sz w:val="18"/>
          <w:szCs w:val="18"/>
          <w:lang w:val="fr-FR"/>
        </w:rPr>
        <w:t xml:space="preserve"> d</w:t>
      </w:r>
      <w:r w:rsidR="00CA38FC" w:rsidRPr="00B87E09">
        <w:rPr>
          <w:rFonts w:cs="Arial"/>
          <w:sz w:val="18"/>
          <w:szCs w:val="18"/>
          <w:lang w:val="fr-FR"/>
        </w:rPr>
        <w:t>’</w:t>
      </w:r>
      <w:r w:rsidRPr="00B87E09">
        <w:rPr>
          <w:rFonts w:cs="Arial"/>
          <w:sz w:val="18"/>
          <w:szCs w:val="18"/>
          <w:lang w:val="fr-FR"/>
        </w:rPr>
        <w:t>une fleur ou inflorescence, se poursuit tout au long du développement des fruits et s</w:t>
      </w:r>
      <w:r w:rsidR="00CA38FC" w:rsidRPr="00B87E09">
        <w:rPr>
          <w:rFonts w:cs="Arial"/>
          <w:sz w:val="18"/>
          <w:szCs w:val="18"/>
          <w:lang w:val="fr-FR"/>
        </w:rPr>
        <w:t>’</w:t>
      </w:r>
      <w:r w:rsidRPr="00B87E09">
        <w:rPr>
          <w:rFonts w:cs="Arial"/>
          <w:sz w:val="18"/>
          <w:szCs w:val="18"/>
          <w:lang w:val="fr-FR"/>
        </w:rPr>
        <w:t>achève à la récolte des fruits de la fleur ou inflorescence correspondante.”</w:t>
      </w:r>
    </w:p>
    <w:p w:rsidR="008C1516" w:rsidRPr="00B87E09" w:rsidRDefault="008C1516" w:rsidP="008C1516">
      <w:pPr>
        <w:spacing w:line="360" w:lineRule="auto"/>
        <w:rPr>
          <w:rFonts w:cs="Arial"/>
          <w:lang w:val="fr-FR"/>
        </w:rPr>
      </w:pPr>
    </w:p>
    <w:p w:rsidR="008C1516" w:rsidRPr="00B87E09" w:rsidRDefault="008C1516" w:rsidP="008C1516">
      <w:pPr>
        <w:keepNext/>
        <w:ind w:left="993" w:hanging="426"/>
        <w:rPr>
          <w:i/>
          <w:sz w:val="18"/>
          <w:szCs w:val="18"/>
          <w:lang w:val="fr-FR"/>
        </w:rPr>
      </w:pPr>
      <w:r w:rsidRPr="00B87E09">
        <w:rPr>
          <w:i/>
          <w:sz w:val="18"/>
          <w:szCs w:val="18"/>
          <w:lang w:val="fr-FR"/>
        </w:rPr>
        <w:t>iv)</w:t>
      </w:r>
      <w:r w:rsidRPr="00B87E09">
        <w:rPr>
          <w:i/>
          <w:sz w:val="18"/>
          <w:szCs w:val="18"/>
          <w:lang w:val="fr-FR"/>
        </w:rPr>
        <w:tab/>
        <w:t>Révision du document TGP/7 : Présence de l</w:t>
      </w:r>
      <w:r w:rsidR="00CA38FC" w:rsidRPr="00B87E09">
        <w:rPr>
          <w:i/>
          <w:sz w:val="18"/>
          <w:szCs w:val="18"/>
          <w:lang w:val="fr-FR"/>
        </w:rPr>
        <w:t>’</w:t>
      </w:r>
      <w:r w:rsidRPr="00B87E09">
        <w:rPr>
          <w:i/>
          <w:sz w:val="18"/>
          <w:szCs w:val="18"/>
          <w:lang w:val="fr-FR"/>
        </w:rPr>
        <w:t>expert principal aux sessions des groupes de travail techniques</w:t>
      </w:r>
    </w:p>
    <w:p w:rsidR="008C1516" w:rsidRPr="00B87E09" w:rsidRDefault="008C1516" w:rsidP="008C1516">
      <w:pPr>
        <w:rPr>
          <w:sz w:val="18"/>
          <w:szCs w:val="18"/>
          <w:lang w:val="fr-FR"/>
        </w:rPr>
      </w:pPr>
    </w:p>
    <w:p w:rsidR="00B9187D" w:rsidRDefault="008C1516" w:rsidP="00AD4093">
      <w:pPr>
        <w:ind w:left="567" w:right="567"/>
        <w:rPr>
          <w:sz w:val="18"/>
          <w:szCs w:val="18"/>
          <w:lang w:val="fr-FR"/>
        </w:rPr>
      </w:pPr>
      <w:r w:rsidRPr="00B87E09">
        <w:rPr>
          <w:sz w:val="18"/>
          <w:szCs w:val="18"/>
          <w:lang w:val="fr-FR"/>
        </w:rPr>
        <w:t>“Pour qu</w:t>
      </w:r>
      <w:r w:rsidR="00CA38FC" w:rsidRPr="00B87E09">
        <w:rPr>
          <w:sz w:val="18"/>
          <w:szCs w:val="18"/>
          <w:lang w:val="fr-FR"/>
        </w:rPr>
        <w:t>’</w:t>
      </w:r>
      <w:r w:rsidRPr="00B87E09">
        <w:rPr>
          <w:sz w:val="18"/>
          <w:szCs w:val="18"/>
          <w:lang w:val="fr-FR"/>
        </w:rPr>
        <w:t>ils soient examinés par un groupe de travail technique, l</w:t>
      </w:r>
      <w:r w:rsidR="00CA38FC" w:rsidRPr="00B87E09">
        <w:rPr>
          <w:sz w:val="18"/>
          <w:szCs w:val="18"/>
          <w:lang w:val="fr-FR"/>
        </w:rPr>
        <w:t>’</w:t>
      </w:r>
      <w:r w:rsidRPr="00B87E09">
        <w:rPr>
          <w:sz w:val="18"/>
          <w:szCs w:val="18"/>
          <w:lang w:val="fr-FR"/>
        </w:rPr>
        <w:t>expert principal du projet de principes directeurs d</w:t>
      </w:r>
      <w:r w:rsidR="00CA38FC" w:rsidRPr="00B87E09">
        <w:rPr>
          <w:sz w:val="18"/>
          <w:szCs w:val="18"/>
          <w:lang w:val="fr-FR"/>
        </w:rPr>
        <w:t>’</w:t>
      </w:r>
      <w:r w:rsidRPr="00B87E09">
        <w:rPr>
          <w:sz w:val="18"/>
          <w:szCs w:val="18"/>
          <w:lang w:val="fr-FR"/>
        </w:rPr>
        <w:t>examen devrait être présent à la session.  Sous réserve de l</w:t>
      </w:r>
      <w:r w:rsidR="00CA38FC" w:rsidRPr="00B87E09">
        <w:rPr>
          <w:sz w:val="18"/>
          <w:szCs w:val="18"/>
          <w:lang w:val="fr-FR"/>
        </w:rPr>
        <w:t>’</w:t>
      </w:r>
      <w:r w:rsidRPr="00B87E09">
        <w:rPr>
          <w:sz w:val="18"/>
          <w:szCs w:val="18"/>
          <w:lang w:val="fr-FR"/>
        </w:rPr>
        <w:t xml:space="preserve">approbation du président du groupe de travail technique, et à condition que des dispositions aient été prises suffisamment tôt avant la </w:t>
      </w:r>
      <w:r w:rsidRPr="00B87E09">
        <w:rPr>
          <w:sz w:val="18"/>
          <w:szCs w:val="18"/>
          <w:lang w:val="fr-FR"/>
        </w:rPr>
        <w:lastRenderedPageBreak/>
        <w:t>session, un autre expert compétent pourra servir d</w:t>
      </w:r>
      <w:r w:rsidR="00CA38FC" w:rsidRPr="00B87E09">
        <w:rPr>
          <w:sz w:val="18"/>
          <w:szCs w:val="18"/>
          <w:lang w:val="fr-FR"/>
        </w:rPr>
        <w:t>’</w:t>
      </w:r>
      <w:r w:rsidRPr="00B87E09">
        <w:rPr>
          <w:sz w:val="18"/>
          <w:szCs w:val="18"/>
          <w:lang w:val="fr-FR"/>
        </w:rPr>
        <w:t>expert principal à la session, ou l</w:t>
      </w:r>
      <w:r w:rsidR="00CA38FC" w:rsidRPr="00B87E09">
        <w:rPr>
          <w:sz w:val="18"/>
          <w:szCs w:val="18"/>
          <w:lang w:val="fr-FR"/>
        </w:rPr>
        <w:t>’</w:t>
      </w:r>
      <w:r w:rsidRPr="00B87E09">
        <w:rPr>
          <w:sz w:val="18"/>
          <w:szCs w:val="18"/>
          <w:lang w:val="fr-FR"/>
        </w:rPr>
        <w:t>expert principal pourra participer à la session par voie électronique, si cette solution permet d</w:t>
      </w:r>
      <w:r w:rsidR="00CA38FC" w:rsidRPr="00B87E09">
        <w:rPr>
          <w:sz w:val="18"/>
          <w:szCs w:val="18"/>
          <w:lang w:val="fr-FR"/>
        </w:rPr>
        <w:t>’</w:t>
      </w:r>
      <w:r w:rsidRPr="00B87E09">
        <w:rPr>
          <w:sz w:val="18"/>
          <w:szCs w:val="18"/>
          <w:lang w:val="fr-FR"/>
        </w:rPr>
        <w:t>examiner les principes directeurs d</w:t>
      </w:r>
      <w:r w:rsidR="00CA38FC" w:rsidRPr="00B87E09">
        <w:rPr>
          <w:sz w:val="18"/>
          <w:szCs w:val="18"/>
          <w:lang w:val="fr-FR"/>
        </w:rPr>
        <w:t>’</w:t>
      </w:r>
      <w:r w:rsidRPr="00B87E09">
        <w:rPr>
          <w:sz w:val="18"/>
          <w:szCs w:val="18"/>
          <w:lang w:val="fr-FR"/>
        </w:rPr>
        <w:t xml:space="preserve">examen </w:t>
      </w:r>
      <w:r w:rsidRPr="00B87E09">
        <w:rPr>
          <w:sz w:val="18"/>
          <w:szCs w:val="18"/>
          <w:u w:val="single"/>
          <w:lang w:val="fr-FR"/>
        </w:rPr>
        <w:t>de manière efficace</w:t>
      </w:r>
      <w:r w:rsidR="00F0303B" w:rsidRPr="00F0303B">
        <w:rPr>
          <w:sz w:val="18"/>
          <w:szCs w:val="18"/>
          <w:lang w:val="fr-FR"/>
        </w:rPr>
        <w:t>.</w:t>
      </w:r>
      <w:r w:rsidRPr="00B87E09">
        <w:rPr>
          <w:sz w:val="18"/>
          <w:szCs w:val="18"/>
          <w:lang w:val="fr-FR"/>
        </w:rPr>
        <w:t>”</w:t>
      </w:r>
    </w:p>
    <w:p w:rsidR="00AD4093" w:rsidRDefault="00AD4093" w:rsidP="00AD4093">
      <w:pPr>
        <w:ind w:left="567" w:right="567"/>
        <w:rPr>
          <w:sz w:val="18"/>
          <w:szCs w:val="18"/>
          <w:lang w:val="fr-FR"/>
        </w:rPr>
      </w:pPr>
    </w:p>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0E5EF6" w:rsidRPr="00B87E09">
        <w:rPr>
          <w:lang w:val="fr-FR"/>
        </w:rPr>
        <w:t>a approuvé</w:t>
      </w:r>
      <w:r w:rsidRPr="00B87E09">
        <w:rPr>
          <w:lang w:val="fr-FR"/>
        </w:rPr>
        <w:t xml:space="preserve"> les révisions du document TGP/8, telles qu</w:t>
      </w:r>
      <w:r w:rsidR="00CA38FC" w:rsidRPr="00B87E09">
        <w:rPr>
          <w:lang w:val="fr-FR"/>
        </w:rPr>
        <w:t>’</w:t>
      </w:r>
      <w:r w:rsidRPr="00B87E09">
        <w:rPr>
          <w:lang w:val="fr-FR"/>
        </w:rPr>
        <w:t>elles figurent dans l</w:t>
      </w:r>
      <w:r w:rsidR="00CA38FC" w:rsidRPr="00B87E09">
        <w:rPr>
          <w:lang w:val="fr-FR"/>
        </w:rPr>
        <w:t>’</w:t>
      </w:r>
      <w:r w:rsidRPr="00B87E09">
        <w:rPr>
          <w:lang w:val="fr-FR"/>
        </w:rPr>
        <w:t>annexe II du document CAJ/69/3</w:t>
      </w:r>
      <w:r w:rsidR="000E5EF6" w:rsidRPr="00B87E09">
        <w:rPr>
          <w:lang w:val="fr-FR"/>
        </w:rPr>
        <w:t xml:space="preserve"> </w:t>
      </w:r>
      <w:r w:rsidR="00C54380" w:rsidRPr="00B87E09">
        <w:rPr>
          <w:lang w:val="fr-FR"/>
        </w:rPr>
        <w:t>“</w:t>
      </w:r>
      <w:r w:rsidR="000E5EF6" w:rsidRPr="00B87E09">
        <w:rPr>
          <w:lang w:val="fr-FR"/>
        </w:rPr>
        <w:t>Documents TGP</w:t>
      </w:r>
      <w:r w:rsidR="00C54380" w:rsidRPr="00B87E09">
        <w:rPr>
          <w:lang w:val="fr-FR"/>
        </w:rPr>
        <w:t>”</w:t>
      </w:r>
      <w:r w:rsidRPr="00B87E09">
        <w:rPr>
          <w:lang w:val="fr-FR"/>
        </w:rPr>
        <w:t>, comme base d</w:t>
      </w:r>
      <w:r w:rsidR="00CA38FC" w:rsidRPr="00B87E09">
        <w:rPr>
          <w:lang w:val="fr-FR"/>
        </w:rPr>
        <w:t>’</w:t>
      </w:r>
      <w:r w:rsidRPr="00B87E09">
        <w:rPr>
          <w:lang w:val="fr-FR"/>
        </w:rPr>
        <w:t>adoption du document TGP/8/2 “Protocole d</w:t>
      </w:r>
      <w:r w:rsidR="00CA38FC" w:rsidRPr="00B87E09">
        <w:rPr>
          <w:lang w:val="fr-FR"/>
        </w:rPr>
        <w:t>’</w:t>
      </w:r>
      <w:r w:rsidRPr="00B87E09">
        <w:rPr>
          <w:lang w:val="fr-FR"/>
        </w:rPr>
        <w:t>essai et techniques utilisés dans l</w:t>
      </w:r>
      <w:r w:rsidR="00CA38FC" w:rsidRPr="00B87E09">
        <w:rPr>
          <w:lang w:val="fr-FR"/>
        </w:rPr>
        <w:t>’</w:t>
      </w:r>
      <w:r w:rsidRPr="00B87E09">
        <w:rPr>
          <w:lang w:val="fr-FR"/>
        </w:rPr>
        <w:t>examen de la distinction, de l</w:t>
      </w:r>
      <w:r w:rsidR="00CA38FC" w:rsidRPr="00B87E09">
        <w:rPr>
          <w:lang w:val="fr-FR"/>
        </w:rPr>
        <w:t>’</w:t>
      </w:r>
      <w:r w:rsidRPr="00B87E09">
        <w:rPr>
          <w:lang w:val="fr-FR"/>
        </w:rPr>
        <w:t>homogénéité et de la stabilité” par le Conseil à sa quarante</w:t>
      </w:r>
      <w:r w:rsidR="00B87E09" w:rsidRPr="00B87E09">
        <w:rPr>
          <w:lang w:val="fr-FR"/>
        </w:rPr>
        <w:noBreakHyphen/>
      </w:r>
      <w:r w:rsidRPr="00B87E09">
        <w:rPr>
          <w:lang w:val="fr-FR"/>
        </w:rPr>
        <w:t xml:space="preserve">huitième session ordinaire, sous réserve des modifications suivantes </w:t>
      </w:r>
      <w:r w:rsidR="00AD4093">
        <w:rPr>
          <w:lang w:val="fr-FR"/>
        </w:rPr>
        <w:t>(voir les paragraphes 60 et </w:t>
      </w:r>
      <w:r w:rsidR="000E5EF6" w:rsidRPr="00B87E09">
        <w:rPr>
          <w:lang w:val="fr-FR"/>
        </w:rPr>
        <w:t>61 du document CAJ/69/12 “Compte rendu des conclusions”)</w:t>
      </w:r>
      <w:r w:rsidRPr="00B87E09">
        <w:rPr>
          <w:lang w:val="fr-FR"/>
        </w:rPr>
        <w:t> :</w:t>
      </w:r>
    </w:p>
    <w:p w:rsidR="008C1516" w:rsidRPr="00B87E09" w:rsidRDefault="008C1516" w:rsidP="008C1516">
      <w:pPr>
        <w:rPr>
          <w:lang w:val="fr-FR"/>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28" w:type="dxa"/>
          <w:right w:w="57" w:type="dxa"/>
        </w:tblCellMar>
        <w:tblLook w:val="04A0" w:firstRow="1" w:lastRow="0" w:firstColumn="1" w:lastColumn="0" w:noHBand="0" w:noVBand="1"/>
      </w:tblPr>
      <w:tblGrid>
        <w:gridCol w:w="1650"/>
        <w:gridCol w:w="7989"/>
      </w:tblGrid>
      <w:tr w:rsidR="008C1516" w:rsidRPr="00B87E09" w:rsidTr="00FC72A5">
        <w:trPr>
          <w:cantSplit/>
        </w:trPr>
        <w:tc>
          <w:tcPr>
            <w:tcW w:w="1650" w:type="dxa"/>
            <w:tcBorders>
              <w:top w:val="single" w:sz="4" w:space="0" w:color="auto"/>
              <w:left w:val="single" w:sz="4" w:space="0" w:color="auto"/>
              <w:bottom w:val="single" w:sz="4" w:space="0" w:color="auto"/>
              <w:right w:val="single" w:sz="4" w:space="0" w:color="auto"/>
            </w:tcBorders>
          </w:tcPr>
          <w:p w:rsidR="008C1516" w:rsidRPr="00B87E09" w:rsidRDefault="008C1516" w:rsidP="00CB6AC6">
            <w:pPr>
              <w:jc w:val="left"/>
              <w:rPr>
                <w:rFonts w:cs="Arial"/>
                <w:bCs/>
                <w:color w:val="000000" w:themeColor="text1"/>
                <w:lang w:val="fr-FR"/>
              </w:rPr>
            </w:pPr>
            <w:r w:rsidRPr="00B87E09">
              <w:rPr>
                <w:rFonts w:cs="Arial"/>
                <w:bCs/>
                <w:color w:val="000000" w:themeColor="text1"/>
                <w:lang w:val="fr-FR"/>
              </w:rPr>
              <w:t>Annexe II, Première partie, Section </w:t>
            </w:r>
            <w:r w:rsidRPr="00B87E09">
              <w:rPr>
                <w:rFonts w:cs="Arial"/>
                <w:color w:val="000000" w:themeColor="text1"/>
                <w:lang w:val="fr-FR"/>
              </w:rPr>
              <w:t>2.3.3.6.2</w:t>
            </w:r>
          </w:p>
        </w:tc>
        <w:tc>
          <w:tcPr>
            <w:tcW w:w="7989" w:type="dxa"/>
            <w:tcBorders>
              <w:top w:val="single" w:sz="4" w:space="0" w:color="auto"/>
              <w:left w:val="single" w:sz="4" w:space="0" w:color="auto"/>
              <w:bottom w:val="single" w:sz="4" w:space="0" w:color="auto"/>
              <w:right w:val="single" w:sz="4" w:space="0" w:color="auto"/>
            </w:tcBorders>
          </w:tcPr>
          <w:p w:rsidR="008C1516" w:rsidRPr="00B87E09" w:rsidRDefault="008C1516" w:rsidP="00CB6AC6">
            <w:pPr>
              <w:rPr>
                <w:rFonts w:cs="Arial"/>
                <w:color w:val="000000" w:themeColor="text1"/>
                <w:lang w:val="fr-FR"/>
              </w:rPr>
            </w:pPr>
            <w:r w:rsidRPr="00B87E09">
              <w:rPr>
                <w:rFonts w:cs="Arial"/>
                <w:color w:val="000000" w:themeColor="text1"/>
                <w:lang w:val="fr-FR"/>
              </w:rPr>
              <w:t xml:space="preserve">Supprimer le titre : “Le point zéro absolu”.  </w:t>
            </w:r>
          </w:p>
        </w:tc>
      </w:tr>
      <w:tr w:rsidR="008C1516" w:rsidRPr="00B87E09" w:rsidTr="00FC72A5">
        <w:trPr>
          <w:cantSplit/>
        </w:trPr>
        <w:tc>
          <w:tcPr>
            <w:tcW w:w="1650" w:type="dxa"/>
            <w:tcBorders>
              <w:top w:val="single" w:sz="4" w:space="0" w:color="auto"/>
              <w:left w:val="single" w:sz="4" w:space="0" w:color="auto"/>
              <w:bottom w:val="single" w:sz="4" w:space="0" w:color="auto"/>
              <w:right w:val="single" w:sz="4" w:space="0" w:color="auto"/>
            </w:tcBorders>
          </w:tcPr>
          <w:p w:rsidR="008C1516" w:rsidRPr="00B87E09" w:rsidRDefault="008C1516" w:rsidP="00CB6AC6">
            <w:pPr>
              <w:jc w:val="left"/>
              <w:rPr>
                <w:rFonts w:cs="Arial"/>
                <w:bCs/>
                <w:color w:val="000000" w:themeColor="text1"/>
                <w:lang w:val="fr-FR"/>
              </w:rPr>
            </w:pPr>
            <w:r w:rsidRPr="00B87E09">
              <w:rPr>
                <w:rFonts w:cs="Arial"/>
                <w:bCs/>
                <w:color w:val="000000" w:themeColor="text1"/>
                <w:lang w:val="fr-FR"/>
              </w:rPr>
              <w:t>Annexe II, Première partie, Section 2.3.3.7.3</w:t>
            </w:r>
          </w:p>
        </w:tc>
        <w:tc>
          <w:tcPr>
            <w:tcW w:w="7989" w:type="dxa"/>
            <w:tcBorders>
              <w:top w:val="single" w:sz="4" w:space="0" w:color="auto"/>
              <w:left w:val="single" w:sz="4" w:space="0" w:color="auto"/>
              <w:bottom w:val="single" w:sz="4" w:space="0" w:color="auto"/>
              <w:right w:val="single" w:sz="4" w:space="0" w:color="auto"/>
            </w:tcBorders>
          </w:tcPr>
          <w:p w:rsidR="008C1516" w:rsidRPr="00B87E09" w:rsidRDefault="008C1516" w:rsidP="00CB6AC6">
            <w:pPr>
              <w:rPr>
                <w:rFonts w:cs="Arial"/>
                <w:color w:val="000000" w:themeColor="text1"/>
                <w:lang w:val="fr-FR"/>
              </w:rPr>
            </w:pPr>
            <w:r w:rsidRPr="00B87E09">
              <w:rPr>
                <w:rFonts w:cs="Arial"/>
                <w:color w:val="000000" w:themeColor="text1"/>
                <w:lang w:val="fr-FR"/>
              </w:rPr>
              <w:t xml:space="preserve">Corriger le format pour les cas I et II et les formules </w:t>
            </w:r>
          </w:p>
        </w:tc>
      </w:tr>
      <w:tr w:rsidR="008C1516" w:rsidRPr="00B87E09" w:rsidTr="00FC72A5">
        <w:trPr>
          <w:cantSplit/>
        </w:trPr>
        <w:tc>
          <w:tcPr>
            <w:tcW w:w="1650" w:type="dxa"/>
            <w:tcBorders>
              <w:top w:val="single" w:sz="4" w:space="0" w:color="auto"/>
              <w:left w:val="single" w:sz="4" w:space="0" w:color="auto"/>
              <w:bottom w:val="single" w:sz="4" w:space="0" w:color="auto"/>
              <w:right w:val="single" w:sz="4" w:space="0" w:color="auto"/>
            </w:tcBorders>
          </w:tcPr>
          <w:p w:rsidR="008C1516" w:rsidRPr="00B87E09" w:rsidRDefault="008C1516" w:rsidP="00CB6AC6">
            <w:pPr>
              <w:jc w:val="left"/>
              <w:rPr>
                <w:rFonts w:cs="Arial"/>
                <w:bCs/>
                <w:color w:val="000000" w:themeColor="text1"/>
                <w:lang w:val="fr-FR"/>
              </w:rPr>
            </w:pPr>
            <w:r w:rsidRPr="00B87E09">
              <w:rPr>
                <w:rFonts w:cs="Arial"/>
                <w:bCs/>
                <w:color w:val="000000" w:themeColor="text1"/>
                <w:lang w:val="fr-FR"/>
              </w:rPr>
              <w:t>Annexe II, Première partie, Sections 3.5.1 et 4.2.2</w:t>
            </w:r>
          </w:p>
        </w:tc>
        <w:tc>
          <w:tcPr>
            <w:tcW w:w="7989" w:type="dxa"/>
            <w:tcBorders>
              <w:top w:val="single" w:sz="4" w:space="0" w:color="auto"/>
              <w:left w:val="single" w:sz="4" w:space="0" w:color="auto"/>
              <w:bottom w:val="single" w:sz="4" w:space="0" w:color="auto"/>
              <w:right w:val="single" w:sz="4" w:space="0" w:color="auto"/>
            </w:tcBorders>
          </w:tcPr>
          <w:p w:rsidR="008C1516" w:rsidRPr="00B87E09" w:rsidRDefault="008C1516" w:rsidP="00CB6AC6">
            <w:pPr>
              <w:rPr>
                <w:rFonts w:cs="Arial"/>
                <w:color w:val="000000" w:themeColor="text1"/>
                <w:lang w:val="fr-FR"/>
              </w:rPr>
            </w:pPr>
            <w:r w:rsidRPr="00B87E09">
              <w:rPr>
                <w:rFonts w:cs="Arial"/>
                <w:color w:val="000000" w:themeColor="text1"/>
                <w:lang w:val="fr-FR"/>
              </w:rPr>
              <w:t>Réinsérer les échelles des graphiques et supprimer les couleurs</w:t>
            </w:r>
          </w:p>
        </w:tc>
      </w:tr>
      <w:tr w:rsidR="008C1516" w:rsidRPr="00B87E09" w:rsidTr="00FC72A5">
        <w:trPr>
          <w:cantSplit/>
        </w:trPr>
        <w:tc>
          <w:tcPr>
            <w:tcW w:w="1650" w:type="dxa"/>
            <w:tcBorders>
              <w:top w:val="single" w:sz="4" w:space="0" w:color="auto"/>
              <w:left w:val="single" w:sz="4" w:space="0" w:color="auto"/>
              <w:bottom w:val="single" w:sz="4" w:space="0" w:color="auto"/>
              <w:right w:val="single" w:sz="4" w:space="0" w:color="auto"/>
            </w:tcBorders>
          </w:tcPr>
          <w:p w:rsidR="008C1516" w:rsidRPr="00B87E09" w:rsidRDefault="008C1516" w:rsidP="00CB6AC6">
            <w:pPr>
              <w:jc w:val="left"/>
              <w:rPr>
                <w:rFonts w:cs="Arial"/>
                <w:bCs/>
                <w:color w:val="000000" w:themeColor="text1"/>
                <w:lang w:val="fr-FR"/>
              </w:rPr>
            </w:pPr>
            <w:r w:rsidRPr="00B87E09">
              <w:rPr>
                <w:rFonts w:cs="Arial"/>
                <w:bCs/>
                <w:color w:val="000000" w:themeColor="text1"/>
                <w:lang w:val="fr-FR"/>
              </w:rPr>
              <w:t>Annexe II, Première partie, Section 5</w:t>
            </w:r>
          </w:p>
        </w:tc>
        <w:tc>
          <w:tcPr>
            <w:tcW w:w="7989" w:type="dxa"/>
            <w:tcBorders>
              <w:top w:val="single" w:sz="4" w:space="0" w:color="auto"/>
              <w:left w:val="single" w:sz="4" w:space="0" w:color="auto"/>
              <w:bottom w:val="single" w:sz="4" w:space="0" w:color="auto"/>
              <w:right w:val="single" w:sz="4" w:space="0" w:color="auto"/>
            </w:tcBorders>
          </w:tcPr>
          <w:p w:rsidR="008C1516" w:rsidRPr="00B87E09" w:rsidRDefault="008C1516" w:rsidP="00156B67">
            <w:pPr>
              <w:pStyle w:val="ListParagraph"/>
              <w:numPr>
                <w:ilvl w:val="0"/>
                <w:numId w:val="4"/>
              </w:numPr>
              <w:spacing w:after="60"/>
              <w:ind w:left="227" w:hanging="227"/>
              <w:contextualSpacing w:val="0"/>
              <w:rPr>
                <w:rFonts w:cs="Arial"/>
                <w:color w:val="000000" w:themeColor="text1"/>
                <w:lang w:val="fr-FR"/>
              </w:rPr>
            </w:pPr>
            <w:r w:rsidRPr="00B87E09">
              <w:rPr>
                <w:rFonts w:cs="Arial"/>
                <w:color w:val="000000" w:themeColor="text1"/>
                <w:lang w:val="fr-FR"/>
              </w:rPr>
              <w:t>Libellé du titre : “Mise en culture cyclique de variétés issues de la collection de variétés pour réduire la taille des essais”</w:t>
            </w:r>
          </w:p>
          <w:p w:rsidR="008C1516" w:rsidRPr="00B87E09" w:rsidRDefault="008C1516" w:rsidP="00156B67">
            <w:pPr>
              <w:pStyle w:val="ListParagraph"/>
              <w:numPr>
                <w:ilvl w:val="0"/>
                <w:numId w:val="4"/>
              </w:numPr>
              <w:spacing w:after="60"/>
              <w:ind w:left="227" w:hanging="227"/>
              <w:contextualSpacing w:val="0"/>
              <w:rPr>
                <w:lang w:val="fr-FR"/>
              </w:rPr>
            </w:pPr>
            <w:r w:rsidRPr="00B87E09">
              <w:rPr>
                <w:lang w:val="fr-FR"/>
              </w:rPr>
              <w:t>Libellé du paragraphe 1.1 : “La mise en culture cyclique de variétés issues de la collection de variétés (variétés reconnues) pour réduire la taille des essais se prête à des essais où :”</w:t>
            </w:r>
          </w:p>
          <w:p w:rsidR="008C1516" w:rsidRPr="00B87E09" w:rsidRDefault="008C1516" w:rsidP="00156B67">
            <w:pPr>
              <w:pStyle w:val="ListParagraph"/>
              <w:numPr>
                <w:ilvl w:val="0"/>
                <w:numId w:val="4"/>
              </w:numPr>
              <w:spacing w:after="60"/>
              <w:ind w:left="227" w:hanging="227"/>
              <w:contextualSpacing w:val="0"/>
              <w:rPr>
                <w:rFonts w:cs="Arial"/>
                <w:color w:val="000000" w:themeColor="text1"/>
                <w:lang w:val="fr-FR"/>
              </w:rPr>
            </w:pPr>
            <w:r w:rsidRPr="00B87E09">
              <w:rPr>
                <w:rFonts w:cs="Arial"/>
                <w:color w:val="000000" w:themeColor="text1"/>
                <w:lang w:val="fr-FR"/>
              </w:rPr>
              <w:t>Insertion d</w:t>
            </w:r>
            <w:r w:rsidR="00CA38FC" w:rsidRPr="00B87E09">
              <w:rPr>
                <w:rFonts w:cs="Arial"/>
                <w:color w:val="000000" w:themeColor="text1"/>
                <w:lang w:val="fr-FR"/>
              </w:rPr>
              <w:t>’</w:t>
            </w:r>
            <w:r w:rsidRPr="00B87E09">
              <w:rPr>
                <w:rFonts w:cs="Arial"/>
                <w:color w:val="000000" w:themeColor="text1"/>
                <w:lang w:val="fr-FR"/>
              </w:rPr>
              <w:t>un dernier point dans le paragraphe 1.1 : “trois cycles de végétation indépendants sont normalement prévus.  Le conseil ci</w:t>
            </w:r>
            <w:r w:rsidR="00B87E09" w:rsidRPr="00B87E09">
              <w:rPr>
                <w:rFonts w:cs="Arial"/>
                <w:color w:val="000000" w:themeColor="text1"/>
                <w:lang w:val="fr-FR"/>
              </w:rPr>
              <w:noBreakHyphen/>
            </w:r>
            <w:r w:rsidRPr="00B87E09">
              <w:rPr>
                <w:rFonts w:cs="Arial"/>
                <w:color w:val="000000" w:themeColor="text1"/>
                <w:lang w:val="fr-FR"/>
              </w:rPr>
              <w:t>après s</w:t>
            </w:r>
            <w:r w:rsidR="00CA38FC" w:rsidRPr="00B87E09">
              <w:rPr>
                <w:rFonts w:cs="Arial"/>
                <w:color w:val="000000" w:themeColor="text1"/>
                <w:lang w:val="fr-FR"/>
              </w:rPr>
              <w:t>’</w:t>
            </w:r>
            <w:r w:rsidRPr="00B87E09">
              <w:rPr>
                <w:rFonts w:cs="Arial"/>
                <w:color w:val="000000" w:themeColor="text1"/>
                <w:lang w:val="fr-FR"/>
              </w:rPr>
              <w:t>applique à ce cas.  Toutefois, il peut être adapté à des cultures faisant normalement l</w:t>
            </w:r>
            <w:r w:rsidR="00CA38FC" w:rsidRPr="00B87E09">
              <w:rPr>
                <w:rFonts w:cs="Arial"/>
                <w:color w:val="000000" w:themeColor="text1"/>
                <w:lang w:val="fr-FR"/>
              </w:rPr>
              <w:t>’</w:t>
            </w:r>
            <w:r w:rsidRPr="00B87E09">
              <w:rPr>
                <w:rFonts w:cs="Arial"/>
                <w:color w:val="000000" w:themeColor="text1"/>
                <w:lang w:val="fr-FR"/>
              </w:rPr>
              <w:t>objet de deux cycles de végétation indépendants.”</w:t>
            </w:r>
          </w:p>
          <w:p w:rsidR="008C1516" w:rsidRPr="00B87E09" w:rsidRDefault="008C1516" w:rsidP="00156B67">
            <w:pPr>
              <w:pStyle w:val="ListParagraph"/>
              <w:numPr>
                <w:ilvl w:val="0"/>
                <w:numId w:val="4"/>
              </w:numPr>
              <w:spacing w:after="60"/>
              <w:ind w:left="227" w:hanging="227"/>
              <w:contextualSpacing w:val="0"/>
              <w:rPr>
                <w:rFonts w:cs="Arial"/>
                <w:color w:val="000000" w:themeColor="text1"/>
                <w:lang w:val="fr-FR"/>
              </w:rPr>
            </w:pPr>
            <w:r w:rsidRPr="00B87E09">
              <w:rPr>
                <w:rFonts w:cs="Arial"/>
                <w:color w:val="000000" w:themeColor="text1"/>
                <w:lang w:val="fr-FR"/>
              </w:rPr>
              <w:t>Libellé de la dernière phrase du deuxième paragraphe de la section 1.2 : “Si, après un examen DHS, une variété est ajoutée à la collection de variétés, elle est attribuée à une série et omise cycliquement des essais tous les trois ans.”</w:t>
            </w:r>
          </w:p>
          <w:p w:rsidR="008C1516" w:rsidRPr="00B87E09" w:rsidRDefault="008C1516" w:rsidP="00156B67">
            <w:pPr>
              <w:pStyle w:val="ListParagraph"/>
              <w:numPr>
                <w:ilvl w:val="0"/>
                <w:numId w:val="4"/>
              </w:numPr>
              <w:spacing w:after="60"/>
              <w:ind w:left="227" w:hanging="227"/>
              <w:contextualSpacing w:val="0"/>
              <w:rPr>
                <w:rFonts w:cs="Arial"/>
                <w:color w:val="000000" w:themeColor="text1"/>
                <w:lang w:val="fr-FR"/>
              </w:rPr>
            </w:pPr>
            <w:r w:rsidRPr="00B87E09">
              <w:rPr>
                <w:rFonts w:cs="Arial"/>
                <w:color w:val="000000" w:themeColor="text1"/>
                <w:lang w:val="fr-FR"/>
              </w:rPr>
              <w:t>Libellé des phrases 5 et 6 du paragraphe 1.3 : “En raison d</w:t>
            </w:r>
            <w:r w:rsidR="00CA38FC" w:rsidRPr="00B87E09">
              <w:rPr>
                <w:rFonts w:cs="Arial"/>
                <w:color w:val="000000" w:themeColor="text1"/>
                <w:lang w:val="fr-FR"/>
              </w:rPr>
              <w:t>’</w:t>
            </w:r>
            <w:r w:rsidRPr="00B87E09">
              <w:rPr>
                <w:rFonts w:cs="Arial"/>
                <w:color w:val="000000" w:themeColor="text1"/>
                <w:lang w:val="fr-FR"/>
              </w:rPr>
              <w:t>un décalage possible entre l</w:t>
            </w:r>
            <w:r w:rsidR="00CA38FC" w:rsidRPr="00B87E09">
              <w:rPr>
                <w:rFonts w:cs="Arial"/>
                <w:color w:val="000000" w:themeColor="text1"/>
                <w:lang w:val="fr-FR"/>
              </w:rPr>
              <w:t>’</w:t>
            </w:r>
            <w:r w:rsidRPr="00B87E09">
              <w:rPr>
                <w:rFonts w:cs="Arial"/>
                <w:color w:val="000000" w:themeColor="text1"/>
                <w:lang w:val="fr-FR"/>
              </w:rPr>
              <w:t>examen DHS final et la décision relative à la demande, les variétés candidates sont maintenues à l</w:t>
            </w:r>
            <w:r w:rsidR="00CA38FC" w:rsidRPr="00B87E09">
              <w:rPr>
                <w:rFonts w:cs="Arial"/>
                <w:color w:val="000000" w:themeColor="text1"/>
                <w:lang w:val="fr-FR"/>
              </w:rPr>
              <w:t>’</w:t>
            </w:r>
            <w:r w:rsidRPr="00B87E09">
              <w:rPr>
                <w:rFonts w:cs="Arial"/>
                <w:color w:val="000000" w:themeColor="text1"/>
                <w:lang w:val="fr-FR"/>
              </w:rPr>
              <w:t>essai pendant une quatrième année après la période d</w:t>
            </w:r>
            <w:r w:rsidR="00CA38FC" w:rsidRPr="00B87E09">
              <w:rPr>
                <w:rFonts w:cs="Arial"/>
                <w:color w:val="000000" w:themeColor="text1"/>
                <w:lang w:val="fr-FR"/>
              </w:rPr>
              <w:t>’</w:t>
            </w:r>
            <w:r w:rsidRPr="00B87E09">
              <w:rPr>
                <w:rFonts w:cs="Arial"/>
                <w:color w:val="000000" w:themeColor="text1"/>
                <w:lang w:val="fr-FR"/>
              </w:rPr>
              <w:t>examen de trois ans.  Si une décision positive est prise, elles deviendront alors une variété reconnue et entreront dans le système de mise en culture cyclique.”</w:t>
            </w:r>
          </w:p>
          <w:p w:rsidR="008C1516" w:rsidRPr="00B87E09" w:rsidRDefault="008C1516" w:rsidP="00156B67">
            <w:pPr>
              <w:pStyle w:val="ListParagraph"/>
              <w:numPr>
                <w:ilvl w:val="0"/>
                <w:numId w:val="4"/>
              </w:numPr>
              <w:spacing w:after="60"/>
              <w:ind w:left="227" w:hanging="227"/>
              <w:contextualSpacing w:val="0"/>
              <w:rPr>
                <w:rFonts w:cs="Arial"/>
                <w:color w:val="000000" w:themeColor="text1"/>
                <w:lang w:val="fr-FR"/>
              </w:rPr>
            </w:pPr>
            <w:r w:rsidRPr="00B87E09">
              <w:rPr>
                <w:rFonts w:cs="Arial"/>
                <w:color w:val="000000" w:themeColor="text1"/>
                <w:lang w:val="fr-FR"/>
              </w:rPr>
              <w:t>Libellé de la première phrase dans la note du paragraphe 1.4 : “Note : Si le logiciel DUSTNT est utilisé, il est possible de donner l</w:t>
            </w:r>
            <w:r w:rsidR="00CA38FC" w:rsidRPr="00B87E09">
              <w:rPr>
                <w:rFonts w:cs="Arial"/>
                <w:color w:val="000000" w:themeColor="text1"/>
                <w:lang w:val="fr-FR"/>
              </w:rPr>
              <w:t>’</w:t>
            </w:r>
            <w:r w:rsidRPr="00B87E09">
              <w:rPr>
                <w:rFonts w:cs="Arial"/>
                <w:color w:val="000000" w:themeColor="text1"/>
                <w:lang w:val="fr-FR"/>
              </w:rPr>
              <w:t>impression qu</w:t>
            </w:r>
            <w:r w:rsidR="00CA38FC" w:rsidRPr="00B87E09">
              <w:rPr>
                <w:rFonts w:cs="Arial"/>
                <w:color w:val="000000" w:themeColor="text1"/>
                <w:lang w:val="fr-FR"/>
              </w:rPr>
              <w:t>’</w:t>
            </w:r>
            <w:r w:rsidRPr="00B87E09">
              <w:rPr>
                <w:rFonts w:cs="Arial"/>
                <w:color w:val="000000" w:themeColor="text1"/>
                <w:lang w:val="fr-FR"/>
              </w:rPr>
              <w:t>une variété fait défaut simplement en la supprimant du “fichier E”.</w:t>
            </w:r>
          </w:p>
          <w:p w:rsidR="008C1516" w:rsidRPr="00B87E09" w:rsidRDefault="008C1516" w:rsidP="00156B67">
            <w:pPr>
              <w:pStyle w:val="ListParagraph"/>
              <w:numPr>
                <w:ilvl w:val="0"/>
                <w:numId w:val="4"/>
              </w:numPr>
              <w:spacing w:after="60"/>
              <w:ind w:left="227" w:hanging="227"/>
              <w:contextualSpacing w:val="0"/>
              <w:rPr>
                <w:rFonts w:cs="Arial"/>
                <w:color w:val="000000" w:themeColor="text1"/>
                <w:lang w:val="fr-FR"/>
              </w:rPr>
            </w:pPr>
            <w:r w:rsidRPr="00B87E09">
              <w:rPr>
                <w:rFonts w:cs="Arial"/>
                <w:color w:val="000000" w:themeColor="text1"/>
                <w:lang w:val="fr-FR"/>
              </w:rPr>
              <w:t>Dans le paragraphe 4.2.1, supprimer le tiret dans “t</w:t>
            </w:r>
            <w:r w:rsidRPr="00B87E09">
              <w:rPr>
                <w:lang w:val="fr-FR"/>
              </w:rPr>
              <w:t>—test”.</w:t>
            </w:r>
          </w:p>
        </w:tc>
      </w:tr>
    </w:tbl>
    <w:p w:rsidR="008C1516" w:rsidRPr="00B87E09" w:rsidRDefault="008C1516" w:rsidP="008C1516">
      <w:pPr>
        <w:rPr>
          <w:lang w:val="fr-FR"/>
        </w:rPr>
      </w:pPr>
    </w:p>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0E5EF6" w:rsidRPr="00B87E09">
        <w:rPr>
          <w:lang w:val="fr-FR"/>
        </w:rPr>
        <w:t xml:space="preserve">a </w:t>
      </w:r>
      <w:r w:rsidRPr="00B87E09">
        <w:rPr>
          <w:lang w:val="fr-FR"/>
        </w:rPr>
        <w:t>accept</w:t>
      </w:r>
      <w:r w:rsidR="000E5EF6" w:rsidRPr="00B87E09">
        <w:rPr>
          <w:lang w:val="fr-FR"/>
        </w:rPr>
        <w:t>é</w:t>
      </w:r>
      <w:r w:rsidRPr="00B87E09">
        <w:rPr>
          <w:lang w:val="fr-FR"/>
        </w:rPr>
        <w:t xml:space="preserve"> de reporter à 2015 la révision du document TGP/9, conformément aux conclusions du</w:t>
      </w:r>
      <w:r w:rsidR="00CA38FC" w:rsidRPr="00B87E09">
        <w:rPr>
          <w:lang w:val="fr-FR"/>
        </w:rPr>
        <w:t> TC</w:t>
      </w:r>
      <w:r w:rsidRPr="00B87E09">
        <w:rPr>
          <w:lang w:val="fr-FR"/>
        </w:rPr>
        <w:t xml:space="preserve"> à sa cinquantième session</w:t>
      </w:r>
      <w:r w:rsidR="000E5EF6" w:rsidRPr="00B87E09">
        <w:rPr>
          <w:lang w:val="fr-FR"/>
        </w:rPr>
        <w:t xml:space="preserve"> (voir le paragraphe 62 du document CAJ/69/12 “Compte rendu des conclusions”)</w:t>
      </w:r>
      <w:r w:rsidRPr="00B87E09">
        <w:rPr>
          <w:lang w:val="fr-FR"/>
        </w:rPr>
        <w:t>.</w:t>
      </w:r>
    </w:p>
    <w:p w:rsidR="008C1516" w:rsidRPr="00F95C04" w:rsidRDefault="008C1516" w:rsidP="00F95C04"/>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0E5EF6" w:rsidRPr="00B87E09">
        <w:rPr>
          <w:rFonts w:cs="Arial"/>
          <w:lang w:val="fr-FR"/>
        </w:rPr>
        <w:t>a pris</w:t>
      </w:r>
      <w:r w:rsidRPr="00B87E09">
        <w:rPr>
          <w:rFonts w:cs="Arial"/>
          <w:lang w:val="fr-FR"/>
        </w:rPr>
        <w:t xml:space="preserve"> </w:t>
      </w:r>
      <w:r w:rsidRPr="00B87E09">
        <w:rPr>
          <w:lang w:val="fr-FR"/>
        </w:rPr>
        <w:t>note de la correction apportée à la version espagnole du document TGP/14 : Section 2 : sous</w:t>
      </w:r>
      <w:r w:rsidR="00B87E09" w:rsidRPr="00B87E09">
        <w:rPr>
          <w:lang w:val="fr-FR"/>
        </w:rPr>
        <w:noBreakHyphen/>
      </w:r>
      <w:r w:rsidRPr="00B87E09">
        <w:rPr>
          <w:lang w:val="fr-FR"/>
        </w:rPr>
        <w:t>section 3 : Color, paragraphe 2.2.2</w:t>
      </w:r>
      <w:r w:rsidR="000E5EF6" w:rsidRPr="00B87E09">
        <w:rPr>
          <w:lang w:val="fr-FR"/>
        </w:rPr>
        <w:t xml:space="preserve"> (voir le paragraphe 63 du document CAJ/69/12 “Compte rendu des conclusions”)</w:t>
      </w:r>
      <w:r w:rsidRPr="00B87E09">
        <w:rPr>
          <w:lang w:val="fr-FR"/>
        </w:rPr>
        <w:t>.</w:t>
      </w:r>
    </w:p>
    <w:p w:rsidR="008C1516" w:rsidRPr="00F95C04" w:rsidRDefault="008C1516" w:rsidP="00F95C04"/>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0E5EF6" w:rsidRPr="00B87E09">
        <w:rPr>
          <w:lang w:val="fr-FR"/>
        </w:rPr>
        <w:t xml:space="preserve">a </w:t>
      </w:r>
      <w:r w:rsidRPr="00B87E09">
        <w:rPr>
          <w:lang w:val="fr-FR"/>
        </w:rPr>
        <w:t>approuv</w:t>
      </w:r>
      <w:r w:rsidR="000E5EF6" w:rsidRPr="00B87E09">
        <w:rPr>
          <w:lang w:val="fr-FR"/>
        </w:rPr>
        <w:t>é</w:t>
      </w:r>
      <w:r w:rsidRPr="00B87E09">
        <w:rPr>
          <w:lang w:val="fr-FR"/>
        </w:rPr>
        <w:t xml:space="preserve"> le programme d</w:t>
      </w:r>
      <w:r w:rsidR="00CA38FC" w:rsidRPr="00B87E09">
        <w:rPr>
          <w:lang w:val="fr-FR"/>
        </w:rPr>
        <w:t>’</w:t>
      </w:r>
      <w:r w:rsidRPr="00B87E09">
        <w:rPr>
          <w:lang w:val="fr-FR"/>
        </w:rPr>
        <w:t>élaboration des documents TGP, tel qu</w:t>
      </w:r>
      <w:r w:rsidR="00CA38FC" w:rsidRPr="00B87E09">
        <w:rPr>
          <w:lang w:val="fr-FR"/>
        </w:rPr>
        <w:t>’</w:t>
      </w:r>
      <w:r w:rsidR="000E5EF6" w:rsidRPr="00B87E09">
        <w:rPr>
          <w:lang w:val="fr-FR"/>
        </w:rPr>
        <w:t xml:space="preserve">il a été modifié </w:t>
      </w:r>
      <w:r w:rsidRPr="00B87E09">
        <w:rPr>
          <w:lang w:val="fr-FR"/>
        </w:rPr>
        <w:t>compte tenu des conclusions concernant les documents TGP</w:t>
      </w:r>
      <w:r w:rsidR="000E5EF6" w:rsidRPr="00B87E09">
        <w:rPr>
          <w:lang w:val="fr-FR"/>
        </w:rPr>
        <w:t xml:space="preserve"> (voir le paragraphe 64 du document CAJ/69/12 “Compte rendu des conclusions”)</w:t>
      </w:r>
      <w:r w:rsidRPr="00B87E09">
        <w:rPr>
          <w:lang w:val="fr-FR"/>
        </w:rPr>
        <w:t>.</w:t>
      </w:r>
    </w:p>
    <w:p w:rsidR="008C1516" w:rsidRPr="00B87E09" w:rsidRDefault="008C1516" w:rsidP="00B9187D">
      <w:pPr>
        <w:spacing w:line="360" w:lineRule="auto"/>
        <w:rPr>
          <w:lang w:val="fr-FR"/>
        </w:rPr>
      </w:pPr>
    </w:p>
    <w:p w:rsidR="008C1516" w:rsidRPr="00B87E09" w:rsidRDefault="008C1516" w:rsidP="00B9187D">
      <w:pPr>
        <w:pStyle w:val="Heading3"/>
      </w:pPr>
      <w:bookmarkStart w:id="12" w:name="_Toc398628763"/>
      <w:r w:rsidRPr="00B87E09">
        <w:t>Techniques moléculaires</w:t>
      </w:r>
      <w:bookmarkEnd w:id="12"/>
    </w:p>
    <w:p w:rsidR="00B9187D" w:rsidRDefault="00B9187D" w:rsidP="00B9187D">
      <w:pPr>
        <w:keepNext/>
        <w:rPr>
          <w:lang w:val="fr-FR"/>
        </w:rPr>
      </w:pPr>
    </w:p>
    <w:p w:rsidR="008C1516" w:rsidRPr="00B87E09" w:rsidRDefault="008C1516" w:rsidP="00156B67">
      <w:pPr>
        <w:spacing w:after="240"/>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r>
      <w:r w:rsidRPr="00B87E09">
        <w:rPr>
          <w:rFonts w:eastAsia="MS Mincho"/>
          <w:snapToGrid w:val="0"/>
          <w:lang w:val="fr-FR"/>
        </w:rPr>
        <w:t xml:space="preserve">Le CAJ </w:t>
      </w:r>
      <w:r w:rsidR="000E5EF6" w:rsidRPr="00B87E09">
        <w:rPr>
          <w:rFonts w:cs="Arial"/>
          <w:lang w:val="fr-FR"/>
        </w:rPr>
        <w:t>a</w:t>
      </w:r>
      <w:r w:rsidRPr="00B87E09">
        <w:rPr>
          <w:rFonts w:cs="Arial"/>
          <w:lang w:val="fr-FR"/>
        </w:rPr>
        <w:t xml:space="preserve"> </w:t>
      </w:r>
      <w:r w:rsidRPr="00B87E09">
        <w:rPr>
          <w:lang w:val="fr-FR"/>
        </w:rPr>
        <w:t>not</w:t>
      </w:r>
      <w:r w:rsidR="000E5EF6" w:rsidRPr="00B87E09">
        <w:rPr>
          <w:lang w:val="fr-FR"/>
        </w:rPr>
        <w:t>é</w:t>
      </w:r>
      <w:r w:rsidRPr="00B87E09">
        <w:rPr>
          <w:lang w:val="fr-FR"/>
        </w:rPr>
        <w:t xml:space="preserve"> que la quatorzième </w:t>
      </w:r>
      <w:r w:rsidRPr="00B87E09">
        <w:rPr>
          <w:rFonts w:eastAsia="MS Mincho"/>
          <w:snapToGrid w:val="0"/>
          <w:lang w:val="fr-FR"/>
        </w:rPr>
        <w:t>session du BMT se tiendra</w:t>
      </w:r>
      <w:r w:rsidR="000E5EF6" w:rsidRPr="00B87E09">
        <w:rPr>
          <w:rFonts w:eastAsia="MS Mincho"/>
          <w:snapToGrid w:val="0"/>
          <w:lang w:val="fr-FR"/>
        </w:rPr>
        <w:t>it</w:t>
      </w:r>
      <w:r w:rsidRPr="00B87E09">
        <w:rPr>
          <w:rFonts w:eastAsia="MS Mincho"/>
          <w:snapToGrid w:val="0"/>
          <w:lang w:val="fr-FR"/>
        </w:rPr>
        <w:t xml:space="preserve"> à Séoul (République de Corée), du 10 au 13 novembre 2014</w:t>
      </w:r>
      <w:r w:rsidR="00FC72A5" w:rsidRPr="00B87E09">
        <w:rPr>
          <w:rFonts w:eastAsia="MS Mincho"/>
          <w:snapToGrid w:val="0"/>
          <w:lang w:val="fr-FR"/>
        </w:rPr>
        <w:t>,</w:t>
      </w:r>
      <w:r w:rsidR="000E5EF6" w:rsidRPr="00B87E09">
        <w:rPr>
          <w:rFonts w:eastAsia="MS Mincho"/>
          <w:snapToGrid w:val="0"/>
          <w:lang w:val="fr-FR"/>
        </w:rPr>
        <w:t xml:space="preserve"> </w:t>
      </w:r>
      <w:r w:rsidR="00893C7F" w:rsidRPr="00B87E09">
        <w:rPr>
          <w:rFonts w:eastAsia="MS Mincho"/>
          <w:snapToGrid w:val="0"/>
          <w:lang w:val="fr-FR"/>
        </w:rPr>
        <w:t>et a pris note du programme modifié de la quatorzième</w:t>
      </w:r>
      <w:r w:rsidR="00C54380" w:rsidRPr="00B87E09">
        <w:rPr>
          <w:rFonts w:eastAsia="MS Mincho"/>
          <w:snapToGrid w:val="0"/>
          <w:lang w:val="fr-FR"/>
        </w:rPr>
        <w:t> </w:t>
      </w:r>
      <w:r w:rsidR="00893C7F" w:rsidRPr="00B87E09">
        <w:rPr>
          <w:rFonts w:eastAsia="MS Mincho"/>
          <w:snapToGrid w:val="0"/>
          <w:lang w:val="fr-FR"/>
        </w:rPr>
        <w:t>session</w:t>
      </w:r>
      <w:r w:rsidR="00CA38FC" w:rsidRPr="00B87E09">
        <w:rPr>
          <w:rFonts w:eastAsia="MS Mincho"/>
          <w:snapToGrid w:val="0"/>
          <w:lang w:val="fr-FR"/>
        </w:rPr>
        <w:t xml:space="preserve"> du BMT</w:t>
      </w:r>
      <w:r w:rsidR="00893C7F" w:rsidRPr="00B87E09">
        <w:rPr>
          <w:rFonts w:eastAsia="MS Mincho"/>
          <w:snapToGrid w:val="0"/>
          <w:lang w:val="fr-FR"/>
        </w:rPr>
        <w:t xml:space="preserve"> </w:t>
      </w:r>
      <w:r w:rsidR="00893C7F" w:rsidRPr="00B87E09">
        <w:rPr>
          <w:lang w:val="fr-FR"/>
        </w:rPr>
        <w:t>(voir le</w:t>
      </w:r>
      <w:r w:rsidR="00FC72A5" w:rsidRPr="00B87E09">
        <w:rPr>
          <w:lang w:val="fr-FR"/>
        </w:rPr>
        <w:t>s</w:t>
      </w:r>
      <w:r w:rsidR="00893C7F" w:rsidRPr="00B87E09">
        <w:rPr>
          <w:lang w:val="fr-FR"/>
        </w:rPr>
        <w:t xml:space="preserve"> paragraphe</w:t>
      </w:r>
      <w:r w:rsidR="00FC72A5" w:rsidRPr="00B87E09">
        <w:rPr>
          <w:lang w:val="fr-FR"/>
        </w:rPr>
        <w:t>s</w:t>
      </w:r>
      <w:r w:rsidR="00893C7F" w:rsidRPr="00B87E09">
        <w:rPr>
          <w:lang w:val="fr-FR"/>
        </w:rPr>
        <w:t> 6</w:t>
      </w:r>
      <w:r w:rsidR="00FC72A5" w:rsidRPr="00B87E09">
        <w:rPr>
          <w:lang w:val="fr-FR"/>
        </w:rPr>
        <w:t>6 et 67</w:t>
      </w:r>
      <w:r w:rsidR="00893C7F" w:rsidRPr="00B87E09">
        <w:rPr>
          <w:lang w:val="fr-FR"/>
        </w:rPr>
        <w:t xml:space="preserve"> du document CAJ/69/12 “Compte rendu des conclusions”)</w:t>
      </w:r>
      <w:r w:rsidRPr="00B87E09">
        <w:rPr>
          <w:rFonts w:eastAsia="MS Mincho"/>
          <w:snapToGrid w:val="0"/>
          <w:lang w:val="fr-FR"/>
        </w:rPr>
        <w:t>.</w:t>
      </w:r>
    </w:p>
    <w:p w:rsidR="008C1516" w:rsidRPr="00B87E09" w:rsidRDefault="008C1516" w:rsidP="008C1516">
      <w:pPr>
        <w:rPr>
          <w:lang w:val="fr-FR"/>
        </w:rPr>
      </w:pPr>
      <w:r w:rsidRPr="00B87E09">
        <w:rPr>
          <w:rFonts w:eastAsia="MS Mincho"/>
          <w:snapToGrid w:val="0"/>
          <w:lang w:val="fr-FR"/>
        </w:rPr>
        <w:lastRenderedPageBreak/>
        <w:fldChar w:fldCharType="begin"/>
      </w:r>
      <w:r w:rsidRPr="00B87E09">
        <w:rPr>
          <w:rFonts w:eastAsia="MS Mincho"/>
          <w:snapToGrid w:val="0"/>
          <w:lang w:val="fr-FR"/>
        </w:rPr>
        <w:instrText xml:space="preserve"> AUTONUM  </w:instrText>
      </w:r>
      <w:r w:rsidRPr="00B87E09">
        <w:rPr>
          <w:rFonts w:eastAsia="MS Mincho"/>
          <w:snapToGrid w:val="0"/>
          <w:lang w:val="fr-FR"/>
        </w:rPr>
        <w:fldChar w:fldCharType="end"/>
      </w:r>
      <w:r w:rsidRPr="00B87E09">
        <w:rPr>
          <w:rFonts w:eastAsia="MS Mincho"/>
          <w:snapToGrid w:val="0"/>
          <w:lang w:val="fr-FR"/>
        </w:rPr>
        <w:tab/>
        <w:t xml:space="preserve">Le CAJ </w:t>
      </w:r>
      <w:r w:rsidR="00893C7F" w:rsidRPr="00B87E09">
        <w:rPr>
          <w:rFonts w:cs="Arial"/>
          <w:lang w:val="fr-FR"/>
        </w:rPr>
        <w:t>a pris</w:t>
      </w:r>
      <w:r w:rsidRPr="00B87E09">
        <w:rPr>
          <w:rFonts w:cs="Arial"/>
          <w:lang w:val="fr-FR"/>
        </w:rPr>
        <w:t xml:space="preserve"> </w:t>
      </w:r>
      <w:r w:rsidRPr="00B87E09">
        <w:rPr>
          <w:lang w:val="fr-FR"/>
        </w:rPr>
        <w:t>note de la tenue d</w:t>
      </w:r>
      <w:r w:rsidR="00CA38FC" w:rsidRPr="00B87E09">
        <w:rPr>
          <w:lang w:val="fr-FR"/>
        </w:rPr>
        <w:t>’</w:t>
      </w:r>
      <w:r w:rsidRPr="00B87E09">
        <w:rPr>
          <w:lang w:val="fr-FR"/>
        </w:rPr>
        <w:t>un atelier conjoint avec l</w:t>
      </w:r>
      <w:r w:rsidR="00CA38FC" w:rsidRPr="00B87E09">
        <w:rPr>
          <w:lang w:val="fr-FR"/>
        </w:rPr>
        <w:t>’</w:t>
      </w:r>
      <w:r w:rsidRPr="00B87E09">
        <w:rPr>
          <w:lang w:val="fr-FR"/>
        </w:rPr>
        <w:t>Association internationale d</w:t>
      </w:r>
      <w:r w:rsidR="00CA38FC" w:rsidRPr="00B87E09">
        <w:rPr>
          <w:lang w:val="fr-FR"/>
        </w:rPr>
        <w:t>’</w:t>
      </w:r>
      <w:r w:rsidRPr="00B87E09">
        <w:rPr>
          <w:lang w:val="fr-FR"/>
        </w:rPr>
        <w:t>essais de semences (</w:t>
      </w:r>
      <w:bookmarkStart w:id="13" w:name="hit2"/>
      <w:bookmarkEnd w:id="13"/>
      <w:r w:rsidRPr="00B87E09">
        <w:rPr>
          <w:lang w:val="fr-FR"/>
        </w:rPr>
        <w:t>ISTA), l</w:t>
      </w:r>
      <w:r w:rsidR="00CA38FC" w:rsidRPr="00B87E09">
        <w:rPr>
          <w:lang w:val="fr-FR"/>
        </w:rPr>
        <w:t>’</w:t>
      </w:r>
      <w:r w:rsidRPr="00B87E09">
        <w:rPr>
          <w:lang w:val="fr-FR"/>
        </w:rPr>
        <w:t>Organisation de coopération et de développement économiques (OCDE) et l</w:t>
      </w:r>
      <w:r w:rsidR="00CA38FC" w:rsidRPr="00B87E09">
        <w:rPr>
          <w:lang w:val="fr-FR"/>
        </w:rPr>
        <w:t>’</w:t>
      </w:r>
      <w:r w:rsidRPr="00B87E09">
        <w:rPr>
          <w:lang w:val="fr-FR"/>
        </w:rPr>
        <w:t xml:space="preserve">UPOV, en </w:t>
      </w:r>
      <w:r w:rsidR="00F95C04">
        <w:rPr>
          <w:lang w:val="fr-FR"/>
        </w:rPr>
        <w:t>relation</w:t>
      </w:r>
      <w:r w:rsidRPr="00B87E09">
        <w:rPr>
          <w:lang w:val="fr-FR"/>
        </w:rPr>
        <w:t xml:space="preserve"> avec la quatorzième session du BMT, le 12 novembre 2014</w:t>
      </w:r>
      <w:r w:rsidR="00893C7F" w:rsidRPr="00B87E09">
        <w:rPr>
          <w:lang w:val="fr-FR"/>
        </w:rPr>
        <w:t xml:space="preserve"> (voir le paragraphe 68 du document CAJ/69/12 “Compte rendu des conclusions”)</w:t>
      </w:r>
      <w:r w:rsidRPr="00B87E09">
        <w:rPr>
          <w:rFonts w:eastAsia="MS Mincho"/>
          <w:snapToGrid w:val="0"/>
          <w:lang w:val="fr-FR"/>
        </w:rPr>
        <w:t>.</w:t>
      </w:r>
    </w:p>
    <w:p w:rsidR="008C1516" w:rsidRPr="00F95C04" w:rsidRDefault="008C1516" w:rsidP="00F95C04"/>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893C7F" w:rsidRPr="00B87E09">
        <w:rPr>
          <w:rFonts w:cs="Arial"/>
          <w:lang w:val="fr-FR"/>
        </w:rPr>
        <w:t>a</w:t>
      </w:r>
      <w:r w:rsidRPr="00B87E09">
        <w:rPr>
          <w:rFonts w:cs="Arial"/>
          <w:lang w:val="fr-FR"/>
        </w:rPr>
        <w:t xml:space="preserve"> </w:t>
      </w:r>
      <w:r w:rsidR="00893C7F" w:rsidRPr="00B87E09">
        <w:rPr>
          <w:lang w:val="fr-FR"/>
        </w:rPr>
        <w:t>noté</w:t>
      </w:r>
      <w:r w:rsidRPr="00B87E09">
        <w:rPr>
          <w:lang w:val="fr-FR"/>
        </w:rPr>
        <w:t xml:space="preserve"> que le</w:t>
      </w:r>
      <w:r w:rsidR="00CA38FC" w:rsidRPr="00B87E09">
        <w:rPr>
          <w:lang w:val="fr-FR"/>
        </w:rPr>
        <w:t> TC</w:t>
      </w:r>
      <w:r w:rsidRPr="00B87E09">
        <w:rPr>
          <w:lang w:val="fr-FR"/>
        </w:rPr>
        <w:t xml:space="preserve"> avait rappelé, à sa quarante</w:t>
      </w:r>
      <w:r w:rsidR="00B87E09" w:rsidRPr="00B87E09">
        <w:rPr>
          <w:lang w:val="fr-FR"/>
        </w:rPr>
        <w:noBreakHyphen/>
      </w:r>
      <w:r w:rsidRPr="00B87E09">
        <w:rPr>
          <w:lang w:val="fr-FR"/>
        </w:rPr>
        <w:t>neuvième session tenue à Genève du 18 au 20 mars 2013, qu</w:t>
      </w:r>
      <w:r w:rsidR="00CA38FC" w:rsidRPr="00B87E09">
        <w:rPr>
          <w:lang w:val="fr-FR"/>
        </w:rPr>
        <w:t>’</w:t>
      </w:r>
      <w:r w:rsidRPr="00B87E09">
        <w:rPr>
          <w:lang w:val="fr-FR"/>
        </w:rPr>
        <w:t>il était nécessaire de fournir des informations appropriées sur la situation à l</w:t>
      </w:r>
      <w:r w:rsidR="00CA38FC" w:rsidRPr="00B87E09">
        <w:rPr>
          <w:lang w:val="fr-FR"/>
        </w:rPr>
        <w:t>’</w:t>
      </w:r>
      <w:r w:rsidRPr="00B87E09">
        <w:rPr>
          <w:lang w:val="fr-FR"/>
        </w:rPr>
        <w:t>UPOV concernant l</w:t>
      </w:r>
      <w:r w:rsidR="00CA38FC" w:rsidRPr="00B87E09">
        <w:rPr>
          <w:lang w:val="fr-FR"/>
        </w:rPr>
        <w:t>’</w:t>
      </w:r>
      <w:r w:rsidRPr="00B87E09">
        <w:rPr>
          <w:lang w:val="fr-FR"/>
        </w:rPr>
        <w:t>utilisation de techniques moléculaires, à l</w:t>
      </w:r>
      <w:r w:rsidR="00CA38FC" w:rsidRPr="00B87E09">
        <w:rPr>
          <w:lang w:val="fr-FR"/>
        </w:rPr>
        <w:t>’</w:t>
      </w:r>
      <w:r w:rsidRPr="00B87E09">
        <w:rPr>
          <w:lang w:val="fr-FR"/>
        </w:rPr>
        <w:t>intention d</w:t>
      </w:r>
      <w:r w:rsidR="00CA38FC" w:rsidRPr="00B87E09">
        <w:rPr>
          <w:lang w:val="fr-FR"/>
        </w:rPr>
        <w:t>’</w:t>
      </w:r>
      <w:r w:rsidRPr="00B87E09">
        <w:rPr>
          <w:lang w:val="fr-FR"/>
        </w:rPr>
        <w:t>un plus large public, y compris les obtenteurs et le public en général.  Ces informations devraient expliquer les avantages et les inconvénients potentiels de ces techniques ainsi que le lien entre génotype et phénotype, qui sont l</w:t>
      </w:r>
      <w:r w:rsidR="00CA38FC" w:rsidRPr="00B87E09">
        <w:rPr>
          <w:lang w:val="fr-FR"/>
        </w:rPr>
        <w:t>’</w:t>
      </w:r>
      <w:r w:rsidRPr="00B87E09">
        <w:rPr>
          <w:lang w:val="fr-FR"/>
        </w:rPr>
        <w:t>assise de la situation à l</w:t>
      </w:r>
      <w:r w:rsidR="00CA38FC" w:rsidRPr="00B87E09">
        <w:rPr>
          <w:lang w:val="fr-FR"/>
        </w:rPr>
        <w:t>’</w:t>
      </w:r>
      <w:r w:rsidRPr="00B87E09">
        <w:rPr>
          <w:lang w:val="fr-FR"/>
        </w:rPr>
        <w:t xml:space="preserve">UPOV (voir le </w:t>
      </w:r>
      <w:r w:rsidR="00CA38FC" w:rsidRPr="00B87E09">
        <w:rPr>
          <w:lang w:val="fr-FR"/>
        </w:rPr>
        <w:t>document TC</w:t>
      </w:r>
      <w:r w:rsidRPr="00B87E09">
        <w:rPr>
          <w:lang w:val="fr-FR"/>
        </w:rPr>
        <w:t>/49/41 “Compte rendu des conclusions”).  À cet égard, le</w:t>
      </w:r>
      <w:r w:rsidR="00CA38FC" w:rsidRPr="00B87E09">
        <w:rPr>
          <w:lang w:val="fr-FR"/>
        </w:rPr>
        <w:t> TC</w:t>
      </w:r>
      <w:r w:rsidRPr="00B87E09">
        <w:rPr>
          <w:lang w:val="fr-FR"/>
        </w:rPr>
        <w:t xml:space="preserve"> était convenu que l</w:t>
      </w:r>
      <w:r w:rsidR="00CA38FC" w:rsidRPr="00B87E09">
        <w:rPr>
          <w:lang w:val="fr-FR"/>
        </w:rPr>
        <w:t>’</w:t>
      </w:r>
      <w:r w:rsidRPr="00B87E09">
        <w:rPr>
          <w:lang w:val="fr-FR"/>
        </w:rPr>
        <w:t>explication fournie dans le paragraphe 22 du document CAJ/69/4 donnait des informations appropriées sur la situation à l</w:t>
      </w:r>
      <w:r w:rsidR="00CA38FC" w:rsidRPr="00B87E09">
        <w:rPr>
          <w:lang w:val="fr-FR"/>
        </w:rPr>
        <w:t>’</w:t>
      </w:r>
      <w:r w:rsidRPr="00B87E09">
        <w:rPr>
          <w:lang w:val="fr-FR"/>
        </w:rPr>
        <w:t>UPOV concernant l</w:t>
      </w:r>
      <w:r w:rsidR="00CA38FC" w:rsidRPr="00B87E09">
        <w:rPr>
          <w:lang w:val="fr-FR"/>
        </w:rPr>
        <w:t>’</w:t>
      </w:r>
      <w:r w:rsidRPr="00B87E09">
        <w:rPr>
          <w:lang w:val="fr-FR"/>
        </w:rPr>
        <w:t>utilisation de techniques moléculaires à l</w:t>
      </w:r>
      <w:r w:rsidR="00CA38FC" w:rsidRPr="00B87E09">
        <w:rPr>
          <w:lang w:val="fr-FR"/>
        </w:rPr>
        <w:t>’</w:t>
      </w:r>
      <w:r w:rsidRPr="00B87E09">
        <w:rPr>
          <w:lang w:val="fr-FR"/>
        </w:rPr>
        <w:t>intention d</w:t>
      </w:r>
      <w:r w:rsidR="00CA38FC" w:rsidRPr="00B87E09">
        <w:rPr>
          <w:lang w:val="fr-FR"/>
        </w:rPr>
        <w:t>’</w:t>
      </w:r>
      <w:r w:rsidRPr="00B87E09">
        <w:rPr>
          <w:lang w:val="fr-FR"/>
        </w:rPr>
        <w:t>obtenteurs et de personnes connaissant l</w:t>
      </w:r>
      <w:r w:rsidR="00CA38FC" w:rsidRPr="00B87E09">
        <w:rPr>
          <w:lang w:val="fr-FR"/>
        </w:rPr>
        <w:t>’</w:t>
      </w:r>
      <w:r w:rsidRPr="00B87E09">
        <w:rPr>
          <w:lang w:val="fr-FR"/>
        </w:rPr>
        <w:t>examen DHS, sous réserve des modifications suivantes </w:t>
      </w:r>
      <w:r w:rsidR="00893C7F" w:rsidRPr="00B87E09">
        <w:rPr>
          <w:lang w:val="fr-FR"/>
        </w:rPr>
        <w:t>(voir le paragraphe 70 du document CAJ/69/12 “Compte rendu des conclusions”) </w:t>
      </w:r>
      <w:r w:rsidRPr="00B87E09">
        <w:rPr>
          <w:lang w:val="fr-FR"/>
        </w:rPr>
        <w:t>:</w:t>
      </w:r>
    </w:p>
    <w:p w:rsidR="008C1516" w:rsidRPr="00B87E09" w:rsidRDefault="008C1516" w:rsidP="008C1516">
      <w:pPr>
        <w:rPr>
          <w:lang w:val="fr-FR"/>
        </w:rPr>
      </w:pPr>
    </w:p>
    <w:p w:rsidR="008C1516" w:rsidRPr="00B87E09" w:rsidRDefault="00F0303B" w:rsidP="008C1516">
      <w:pPr>
        <w:keepNext/>
        <w:ind w:left="567" w:right="567"/>
        <w:rPr>
          <w:sz w:val="18"/>
          <w:szCs w:val="18"/>
          <w:lang w:val="fr-FR"/>
        </w:rPr>
      </w:pPr>
      <w:r>
        <w:rPr>
          <w:rFonts w:cs="Arial"/>
          <w:sz w:val="18"/>
          <w:szCs w:val="18"/>
          <w:lang w:val="fr-FR"/>
        </w:rPr>
        <w:t>“</w:t>
      </w:r>
      <w:r w:rsidR="008C1516" w:rsidRPr="00B87E09">
        <w:rPr>
          <w:rFonts w:cs="Arial"/>
          <w:sz w:val="18"/>
          <w:szCs w:val="18"/>
          <w:lang w:val="fr-FR"/>
        </w:rPr>
        <w:t>Question : L</w:t>
      </w:r>
      <w:r w:rsidR="00CA38FC" w:rsidRPr="00B87E09">
        <w:rPr>
          <w:rFonts w:cs="Arial"/>
          <w:sz w:val="18"/>
          <w:szCs w:val="18"/>
          <w:lang w:val="fr-FR"/>
        </w:rPr>
        <w:t>’</w:t>
      </w:r>
      <w:r w:rsidR="008C1516" w:rsidRPr="00B87E09">
        <w:rPr>
          <w:rFonts w:cs="Arial"/>
          <w:sz w:val="18"/>
          <w:szCs w:val="18"/>
          <w:lang w:val="fr-FR"/>
        </w:rPr>
        <w:t>UPOV autorise</w:t>
      </w:r>
      <w:r w:rsidR="00B87E09" w:rsidRPr="00B87E09">
        <w:rPr>
          <w:rFonts w:cs="Arial"/>
          <w:sz w:val="18"/>
          <w:szCs w:val="18"/>
          <w:lang w:val="fr-FR"/>
        </w:rPr>
        <w:noBreakHyphen/>
      </w:r>
      <w:r w:rsidR="008C1516" w:rsidRPr="00B87E09">
        <w:rPr>
          <w:rFonts w:cs="Arial"/>
          <w:sz w:val="18"/>
          <w:szCs w:val="18"/>
          <w:lang w:val="fr-FR"/>
        </w:rPr>
        <w:t>t</w:t>
      </w:r>
      <w:r w:rsidR="00B87E09" w:rsidRPr="00B87E09">
        <w:rPr>
          <w:rFonts w:cs="Arial"/>
          <w:sz w:val="18"/>
          <w:szCs w:val="18"/>
          <w:lang w:val="fr-FR"/>
        </w:rPr>
        <w:noBreakHyphen/>
      </w:r>
      <w:r w:rsidR="008C1516" w:rsidRPr="00B87E09">
        <w:rPr>
          <w:rFonts w:cs="Arial"/>
          <w:sz w:val="18"/>
          <w:szCs w:val="18"/>
          <w:lang w:val="fr-FR"/>
        </w:rPr>
        <w:t>elle l</w:t>
      </w:r>
      <w:r w:rsidR="00CA38FC" w:rsidRPr="00B87E09">
        <w:rPr>
          <w:rFonts w:cs="Arial"/>
          <w:sz w:val="18"/>
          <w:szCs w:val="18"/>
          <w:lang w:val="fr-FR"/>
        </w:rPr>
        <w:t>’</w:t>
      </w:r>
      <w:r w:rsidR="008C1516" w:rsidRPr="00B87E09">
        <w:rPr>
          <w:rFonts w:cs="Arial"/>
          <w:sz w:val="18"/>
          <w:szCs w:val="18"/>
          <w:lang w:val="fr-FR"/>
        </w:rPr>
        <w:t>utilisation de techniques moléculaires (profils d</w:t>
      </w:r>
      <w:r w:rsidR="00CA38FC" w:rsidRPr="00B87E09">
        <w:rPr>
          <w:rFonts w:cs="Arial"/>
          <w:sz w:val="18"/>
          <w:szCs w:val="18"/>
          <w:lang w:val="fr-FR"/>
        </w:rPr>
        <w:t>’</w:t>
      </w:r>
      <w:r w:rsidR="008C1516" w:rsidRPr="00B87E09">
        <w:rPr>
          <w:rFonts w:cs="Arial"/>
          <w:sz w:val="18"/>
          <w:szCs w:val="18"/>
          <w:lang w:val="fr-FR"/>
        </w:rPr>
        <w:t>ADN) dans le cadre de l</w:t>
      </w:r>
      <w:r w:rsidR="00CA38FC" w:rsidRPr="00B87E09">
        <w:rPr>
          <w:rFonts w:cs="Arial"/>
          <w:sz w:val="18"/>
          <w:szCs w:val="18"/>
          <w:lang w:val="fr-FR"/>
        </w:rPr>
        <w:t>’</w:t>
      </w:r>
      <w:r w:rsidR="008C1516" w:rsidRPr="00B87E09">
        <w:rPr>
          <w:rFonts w:cs="Arial"/>
          <w:sz w:val="18"/>
          <w:szCs w:val="18"/>
          <w:lang w:val="fr-FR"/>
        </w:rPr>
        <w:t>examen DHS?</w:t>
      </w:r>
    </w:p>
    <w:p w:rsidR="008C1516" w:rsidRPr="00B87E09" w:rsidRDefault="008C1516" w:rsidP="008C1516">
      <w:pPr>
        <w:keepNext/>
        <w:ind w:left="567" w:right="567"/>
        <w:rPr>
          <w:sz w:val="18"/>
          <w:szCs w:val="18"/>
          <w:lang w:val="fr-FR"/>
        </w:rPr>
      </w:pPr>
    </w:p>
    <w:p w:rsidR="008C1516" w:rsidRPr="00B87E09" w:rsidRDefault="00F0303B" w:rsidP="008C1516">
      <w:pPr>
        <w:ind w:left="567" w:right="567"/>
        <w:rPr>
          <w:snapToGrid w:val="0"/>
          <w:sz w:val="18"/>
          <w:szCs w:val="18"/>
          <w:lang w:val="fr-FR"/>
        </w:rPr>
      </w:pPr>
      <w:r>
        <w:rPr>
          <w:sz w:val="18"/>
          <w:szCs w:val="18"/>
          <w:lang w:val="fr-FR"/>
        </w:rPr>
        <w:t>“</w:t>
      </w:r>
      <w:r w:rsidR="008C1516" w:rsidRPr="00B87E09">
        <w:rPr>
          <w:sz w:val="18"/>
          <w:szCs w:val="18"/>
          <w:lang w:val="fr-FR"/>
        </w:rPr>
        <w:t xml:space="preserve">Réponse : </w:t>
      </w:r>
      <w:r w:rsidR="00F95C04">
        <w:rPr>
          <w:sz w:val="18"/>
          <w:szCs w:val="18"/>
          <w:lang w:val="fr-FR"/>
        </w:rPr>
        <w:t>‘</w:t>
      </w:r>
      <w:r w:rsidR="008C1516" w:rsidRPr="00B87E09">
        <w:rPr>
          <w:sz w:val="18"/>
          <w:szCs w:val="18"/>
          <w:lang w:val="fr-FR"/>
        </w:rPr>
        <w:t>Il importe de noter que, dans certains cas, des variétés peuvent présenter un profil d</w:t>
      </w:r>
      <w:r w:rsidR="00CA38FC" w:rsidRPr="00B87E09">
        <w:rPr>
          <w:sz w:val="18"/>
          <w:szCs w:val="18"/>
          <w:lang w:val="fr-FR"/>
        </w:rPr>
        <w:t>’</w:t>
      </w:r>
      <w:r w:rsidR="008C1516" w:rsidRPr="00B87E09">
        <w:rPr>
          <w:sz w:val="18"/>
          <w:szCs w:val="18"/>
          <w:lang w:val="fr-FR"/>
        </w:rPr>
        <w:t xml:space="preserve">ADN différent mais être identiques du point de vue </w:t>
      </w:r>
      <w:r w:rsidR="008C1516" w:rsidRPr="00B87E09">
        <w:rPr>
          <w:strike/>
          <w:sz w:val="18"/>
          <w:szCs w:val="18"/>
          <w:lang w:val="fr-FR"/>
        </w:rPr>
        <w:t>morphologique</w:t>
      </w:r>
      <w:r w:rsidR="008C1516" w:rsidRPr="00B87E09">
        <w:rPr>
          <w:sz w:val="18"/>
          <w:szCs w:val="18"/>
          <w:lang w:val="fr-FR"/>
        </w:rPr>
        <w:t xml:space="preserve"> </w:t>
      </w:r>
      <w:r w:rsidR="008C1516" w:rsidRPr="00B87E09">
        <w:rPr>
          <w:sz w:val="18"/>
          <w:szCs w:val="18"/>
          <w:u w:val="single"/>
          <w:lang w:val="fr-FR"/>
        </w:rPr>
        <w:t>phénotypique</w:t>
      </w:r>
      <w:r w:rsidR="008C1516" w:rsidRPr="00B87E09">
        <w:rPr>
          <w:sz w:val="18"/>
          <w:szCs w:val="18"/>
          <w:lang w:val="fr-FR"/>
        </w:rPr>
        <w:t>;  dans d</w:t>
      </w:r>
      <w:r w:rsidR="00CA38FC" w:rsidRPr="00B87E09">
        <w:rPr>
          <w:sz w:val="18"/>
          <w:szCs w:val="18"/>
          <w:lang w:val="fr-FR"/>
        </w:rPr>
        <w:t>’</w:t>
      </w:r>
      <w:r w:rsidR="008C1516" w:rsidRPr="00B87E09">
        <w:rPr>
          <w:sz w:val="18"/>
          <w:szCs w:val="18"/>
          <w:lang w:val="fr-FR"/>
        </w:rPr>
        <w:t>autres cas, en revanche, des variétés ayant une grande distance phénotypique peuvent présenter le même profil d</w:t>
      </w:r>
      <w:r w:rsidR="00CA38FC" w:rsidRPr="00B87E09">
        <w:rPr>
          <w:sz w:val="18"/>
          <w:szCs w:val="18"/>
          <w:lang w:val="fr-FR"/>
        </w:rPr>
        <w:t>’</w:t>
      </w:r>
      <w:r w:rsidR="008C1516" w:rsidRPr="00B87E09">
        <w:rPr>
          <w:sz w:val="18"/>
          <w:szCs w:val="18"/>
          <w:lang w:val="fr-FR"/>
        </w:rPr>
        <w:t>ADN pour un ensemble particulier de marqueurs moléculaires (cas de certaines mutations, par exemple).</w:t>
      </w:r>
    </w:p>
    <w:p w:rsidR="008C1516" w:rsidRPr="00B87E09" w:rsidRDefault="008C1516" w:rsidP="008C1516">
      <w:pPr>
        <w:ind w:left="567" w:right="567"/>
        <w:rPr>
          <w:snapToGrid w:val="0"/>
          <w:sz w:val="18"/>
          <w:szCs w:val="18"/>
          <w:lang w:val="fr-FR"/>
        </w:rPr>
      </w:pPr>
    </w:p>
    <w:p w:rsidR="008C1516" w:rsidRPr="00B87E09" w:rsidRDefault="00F95C04" w:rsidP="008C1516">
      <w:pPr>
        <w:ind w:left="567" w:right="567"/>
        <w:rPr>
          <w:snapToGrid w:val="0"/>
          <w:sz w:val="18"/>
          <w:szCs w:val="18"/>
          <w:lang w:val="fr-FR"/>
        </w:rPr>
      </w:pPr>
      <w:r>
        <w:rPr>
          <w:snapToGrid w:val="0"/>
          <w:sz w:val="18"/>
          <w:szCs w:val="18"/>
          <w:lang w:val="fr-FR"/>
        </w:rPr>
        <w:t>‘</w:t>
      </w:r>
      <w:r w:rsidR="008C1516" w:rsidRPr="00B87E09">
        <w:rPr>
          <w:snapToGrid w:val="0"/>
          <w:sz w:val="18"/>
          <w:szCs w:val="18"/>
          <w:lang w:val="fr-FR"/>
        </w:rPr>
        <w:t>S</w:t>
      </w:r>
      <w:r w:rsidR="00CA38FC" w:rsidRPr="00B87E09">
        <w:rPr>
          <w:snapToGrid w:val="0"/>
          <w:sz w:val="18"/>
          <w:szCs w:val="18"/>
          <w:lang w:val="fr-FR"/>
        </w:rPr>
        <w:t>’</w:t>
      </w:r>
      <w:r w:rsidR="008C1516" w:rsidRPr="00B87E09">
        <w:rPr>
          <w:snapToGrid w:val="0"/>
          <w:sz w:val="18"/>
          <w:szCs w:val="18"/>
          <w:lang w:val="fr-FR"/>
        </w:rPr>
        <w:t>agissant de l</w:t>
      </w:r>
      <w:r w:rsidR="00CA38FC" w:rsidRPr="00B87E09">
        <w:rPr>
          <w:snapToGrid w:val="0"/>
          <w:sz w:val="18"/>
          <w:szCs w:val="18"/>
          <w:lang w:val="fr-FR"/>
        </w:rPr>
        <w:t>’</w:t>
      </w:r>
      <w:r w:rsidR="008C1516" w:rsidRPr="00B87E09">
        <w:rPr>
          <w:snapToGrid w:val="0"/>
          <w:sz w:val="18"/>
          <w:szCs w:val="18"/>
          <w:lang w:val="fr-FR"/>
        </w:rPr>
        <w:t>utilisation de marqueurs moléculaires qui n</w:t>
      </w:r>
      <w:r w:rsidR="00CA38FC" w:rsidRPr="00B87E09">
        <w:rPr>
          <w:snapToGrid w:val="0"/>
          <w:sz w:val="18"/>
          <w:szCs w:val="18"/>
          <w:lang w:val="fr-FR"/>
        </w:rPr>
        <w:t>’</w:t>
      </w:r>
      <w:r w:rsidR="008C1516" w:rsidRPr="00B87E09">
        <w:rPr>
          <w:snapToGrid w:val="0"/>
          <w:sz w:val="18"/>
          <w:szCs w:val="18"/>
          <w:lang w:val="fr-FR"/>
        </w:rPr>
        <w:t>ont pas de rapport aux distances phénotypiques, le problème est qu</w:t>
      </w:r>
      <w:r w:rsidR="00CA38FC" w:rsidRPr="00B87E09">
        <w:rPr>
          <w:snapToGrid w:val="0"/>
          <w:sz w:val="18"/>
          <w:szCs w:val="18"/>
          <w:lang w:val="fr-FR"/>
        </w:rPr>
        <w:t>’</w:t>
      </w:r>
      <w:r w:rsidR="008C1516" w:rsidRPr="00B87E09">
        <w:rPr>
          <w:snapToGrid w:val="0"/>
          <w:sz w:val="18"/>
          <w:szCs w:val="18"/>
          <w:lang w:val="fr-FR"/>
        </w:rPr>
        <w:t>il peut s</w:t>
      </w:r>
      <w:r w:rsidR="00CA38FC" w:rsidRPr="00B87E09">
        <w:rPr>
          <w:snapToGrid w:val="0"/>
          <w:sz w:val="18"/>
          <w:szCs w:val="18"/>
          <w:lang w:val="fr-FR"/>
        </w:rPr>
        <w:t>’</w:t>
      </w:r>
      <w:r w:rsidR="008C1516" w:rsidRPr="00B87E09">
        <w:rPr>
          <w:snapToGrid w:val="0"/>
          <w:sz w:val="18"/>
          <w:szCs w:val="18"/>
          <w:lang w:val="fr-FR"/>
        </w:rPr>
        <w:t>avérer possible d</w:t>
      </w:r>
      <w:r w:rsidR="00CA38FC" w:rsidRPr="00B87E09">
        <w:rPr>
          <w:snapToGrid w:val="0"/>
          <w:sz w:val="18"/>
          <w:szCs w:val="18"/>
          <w:lang w:val="fr-FR"/>
        </w:rPr>
        <w:t>’</w:t>
      </w:r>
      <w:r w:rsidR="008C1516" w:rsidRPr="00B87E09">
        <w:rPr>
          <w:snapToGrid w:val="0"/>
          <w:sz w:val="18"/>
          <w:szCs w:val="18"/>
          <w:lang w:val="fr-FR"/>
        </w:rPr>
        <w:t>utiliser un nombre illimité de marqueurs pour trouver des différences entre les variétés</w:t>
      </w:r>
      <w:r w:rsidR="008C1516" w:rsidRPr="00B87E09">
        <w:rPr>
          <w:strike/>
          <w:snapToGrid w:val="0"/>
          <w:sz w:val="18"/>
          <w:szCs w:val="18"/>
          <w:lang w:val="fr-FR"/>
        </w:rPr>
        <w:t>.  En particulier, des différences établies</w:t>
      </w:r>
      <w:r w:rsidR="008C1516" w:rsidRPr="00B87E09">
        <w:rPr>
          <w:snapToGrid w:val="0"/>
          <w:sz w:val="18"/>
          <w:szCs w:val="18"/>
          <w:lang w:val="fr-FR"/>
        </w:rPr>
        <w:t xml:space="preserve"> au niveau génétique peuvent ne pas apparaître dans les caractères</w:t>
      </w:r>
      <w:r w:rsidR="008C1516" w:rsidRPr="00B87E09">
        <w:rPr>
          <w:strike/>
          <w:snapToGrid w:val="0"/>
          <w:sz w:val="18"/>
          <w:szCs w:val="18"/>
          <w:lang w:val="fr-FR"/>
        </w:rPr>
        <w:t xml:space="preserve"> morphologiques </w:t>
      </w:r>
      <w:r w:rsidR="008C1516" w:rsidRPr="00B87E09">
        <w:rPr>
          <w:snapToGrid w:val="0"/>
          <w:sz w:val="18"/>
          <w:szCs w:val="18"/>
          <w:u w:val="single"/>
          <w:lang w:val="fr-FR"/>
        </w:rPr>
        <w:t>phénotypiques</w:t>
      </w:r>
      <w:r w:rsidR="008C1516" w:rsidRPr="00B87E09">
        <w:rPr>
          <w:snapToGrid w:val="0"/>
          <w:sz w:val="18"/>
          <w:szCs w:val="18"/>
          <w:lang w:val="fr-FR"/>
        </w:rPr>
        <w:t>.</w:t>
      </w:r>
    </w:p>
    <w:p w:rsidR="008C1516" w:rsidRPr="00B87E09" w:rsidRDefault="008C1516" w:rsidP="008C1516">
      <w:pPr>
        <w:ind w:left="567" w:right="567"/>
        <w:rPr>
          <w:snapToGrid w:val="0"/>
          <w:sz w:val="18"/>
          <w:szCs w:val="18"/>
          <w:lang w:val="fr-FR"/>
        </w:rPr>
      </w:pPr>
    </w:p>
    <w:p w:rsidR="008C1516" w:rsidRPr="00B87E09" w:rsidRDefault="00F95C04" w:rsidP="008C1516">
      <w:pPr>
        <w:ind w:left="567" w:right="567"/>
        <w:rPr>
          <w:snapToGrid w:val="0"/>
          <w:sz w:val="18"/>
          <w:szCs w:val="18"/>
          <w:lang w:val="fr-FR"/>
        </w:rPr>
      </w:pPr>
      <w:r>
        <w:rPr>
          <w:snapToGrid w:val="0"/>
          <w:sz w:val="18"/>
          <w:szCs w:val="18"/>
          <w:lang w:val="fr-FR"/>
        </w:rPr>
        <w:t>‘</w:t>
      </w:r>
      <w:r w:rsidR="008C1516" w:rsidRPr="00B87E09">
        <w:rPr>
          <w:snapToGrid w:val="0"/>
          <w:sz w:val="18"/>
          <w:szCs w:val="18"/>
          <w:lang w:val="fr-FR"/>
        </w:rPr>
        <w:t>Sur cette base, l</w:t>
      </w:r>
      <w:r w:rsidR="00CA38FC" w:rsidRPr="00B87E09">
        <w:rPr>
          <w:snapToGrid w:val="0"/>
          <w:sz w:val="18"/>
          <w:szCs w:val="18"/>
          <w:lang w:val="fr-FR"/>
        </w:rPr>
        <w:t>’</w:t>
      </w:r>
      <w:r w:rsidR="008C1516" w:rsidRPr="00B87E09">
        <w:rPr>
          <w:snapToGrid w:val="0"/>
          <w:sz w:val="18"/>
          <w:szCs w:val="18"/>
          <w:lang w:val="fr-FR"/>
        </w:rPr>
        <w:t>UPOV est convenue des utilisations suivantes de marqueurs moléculaires dans le cadre de l</w:t>
      </w:r>
      <w:r w:rsidR="00CA38FC" w:rsidRPr="00B87E09">
        <w:rPr>
          <w:snapToGrid w:val="0"/>
          <w:sz w:val="18"/>
          <w:szCs w:val="18"/>
          <w:lang w:val="fr-FR"/>
        </w:rPr>
        <w:t>’</w:t>
      </w:r>
      <w:r w:rsidR="008C1516" w:rsidRPr="00B87E09">
        <w:rPr>
          <w:snapToGrid w:val="0"/>
          <w:sz w:val="18"/>
          <w:szCs w:val="18"/>
          <w:lang w:val="fr-FR"/>
        </w:rPr>
        <w:t>examen DHS :</w:t>
      </w:r>
    </w:p>
    <w:p w:rsidR="008C1516" w:rsidRPr="00B87E09" w:rsidRDefault="008C1516" w:rsidP="008C1516">
      <w:pPr>
        <w:ind w:left="567" w:right="567"/>
        <w:rPr>
          <w:snapToGrid w:val="0"/>
          <w:sz w:val="18"/>
          <w:szCs w:val="18"/>
          <w:lang w:val="fr-FR"/>
        </w:rPr>
      </w:pPr>
    </w:p>
    <w:p w:rsidR="008C1516" w:rsidRPr="00B87E09" w:rsidRDefault="00F95C04" w:rsidP="008C1516">
      <w:pPr>
        <w:ind w:left="567" w:right="567"/>
        <w:rPr>
          <w:snapToGrid w:val="0"/>
          <w:sz w:val="18"/>
          <w:szCs w:val="18"/>
          <w:lang w:val="fr-FR"/>
        </w:rPr>
      </w:pPr>
      <w:r>
        <w:rPr>
          <w:snapToGrid w:val="0"/>
          <w:sz w:val="18"/>
          <w:szCs w:val="18"/>
          <w:lang w:val="fr-FR"/>
        </w:rPr>
        <w:t>‘</w:t>
      </w:r>
      <w:r w:rsidR="008C1516" w:rsidRPr="00B87E09">
        <w:rPr>
          <w:snapToGrid w:val="0"/>
          <w:sz w:val="18"/>
          <w:szCs w:val="18"/>
          <w:lang w:val="fr-FR"/>
        </w:rPr>
        <w:t>a)</w:t>
      </w:r>
      <w:r w:rsidR="008C1516" w:rsidRPr="00B87E09">
        <w:rPr>
          <w:snapToGrid w:val="0"/>
          <w:sz w:val="18"/>
          <w:szCs w:val="18"/>
          <w:lang w:val="fr-FR"/>
        </w:rPr>
        <w:tab/>
        <w:t>Les marqueurs moléculaires peuvent être utilisés pour examiner les caractères DHS qui répondent aux critères des caractères tels qu</w:t>
      </w:r>
      <w:r w:rsidR="00CA38FC" w:rsidRPr="00B87E09">
        <w:rPr>
          <w:snapToGrid w:val="0"/>
          <w:sz w:val="18"/>
          <w:szCs w:val="18"/>
          <w:lang w:val="fr-FR"/>
        </w:rPr>
        <w:t>’</w:t>
      </w:r>
      <w:r w:rsidR="008C1516" w:rsidRPr="00B87E09">
        <w:rPr>
          <w:snapToGrid w:val="0"/>
          <w:sz w:val="18"/>
          <w:szCs w:val="18"/>
          <w:lang w:val="fr-FR"/>
        </w:rPr>
        <w:t>ils sont indiqués dans l</w:t>
      </w:r>
      <w:r w:rsidR="00CA38FC" w:rsidRPr="00B87E09">
        <w:rPr>
          <w:snapToGrid w:val="0"/>
          <w:sz w:val="18"/>
          <w:szCs w:val="18"/>
          <w:lang w:val="fr-FR"/>
        </w:rPr>
        <w:t>’</w:t>
      </w:r>
      <w:r w:rsidR="008C1516" w:rsidRPr="00B87E09">
        <w:rPr>
          <w:snapToGrid w:val="0"/>
          <w:sz w:val="18"/>
          <w:szCs w:val="18"/>
          <w:lang w:val="fr-FR"/>
        </w:rPr>
        <w:t>Introduction générale à condition qu</w:t>
      </w:r>
      <w:r w:rsidR="00CA38FC" w:rsidRPr="00B87E09">
        <w:rPr>
          <w:snapToGrid w:val="0"/>
          <w:sz w:val="18"/>
          <w:szCs w:val="18"/>
          <w:lang w:val="fr-FR"/>
        </w:rPr>
        <w:t>’</w:t>
      </w:r>
      <w:r w:rsidR="008C1516" w:rsidRPr="00B87E09">
        <w:rPr>
          <w:snapToGrid w:val="0"/>
          <w:sz w:val="18"/>
          <w:szCs w:val="18"/>
          <w:lang w:val="fr-FR"/>
        </w:rPr>
        <w:t>il existe une corrélation fiable entre le marqueur et le caractère.</w:t>
      </w:r>
    </w:p>
    <w:p w:rsidR="008C1516" w:rsidRPr="00B87E09" w:rsidRDefault="008C1516" w:rsidP="008C1516">
      <w:pPr>
        <w:ind w:left="567" w:right="567"/>
        <w:rPr>
          <w:snapToGrid w:val="0"/>
          <w:sz w:val="18"/>
          <w:szCs w:val="18"/>
          <w:lang w:val="fr-FR"/>
        </w:rPr>
      </w:pPr>
    </w:p>
    <w:p w:rsidR="008C1516" w:rsidRPr="00B87E09" w:rsidRDefault="00F95C04" w:rsidP="008C1516">
      <w:pPr>
        <w:ind w:left="567" w:right="567"/>
        <w:rPr>
          <w:snapToGrid w:val="0"/>
          <w:sz w:val="18"/>
          <w:szCs w:val="18"/>
          <w:lang w:val="fr-FR"/>
        </w:rPr>
      </w:pPr>
      <w:r>
        <w:rPr>
          <w:snapToGrid w:val="0"/>
          <w:sz w:val="18"/>
          <w:szCs w:val="18"/>
          <w:lang w:val="fr-FR"/>
        </w:rPr>
        <w:t>‘</w:t>
      </w:r>
      <w:r w:rsidR="008C1516" w:rsidRPr="00B87E09">
        <w:rPr>
          <w:snapToGrid w:val="0"/>
          <w:sz w:val="18"/>
          <w:szCs w:val="18"/>
          <w:lang w:val="fr-FR"/>
        </w:rPr>
        <w:t>b)</w:t>
      </w:r>
      <w:r w:rsidR="008C1516" w:rsidRPr="00B87E09">
        <w:rPr>
          <w:snapToGrid w:val="0"/>
          <w:sz w:val="18"/>
          <w:szCs w:val="18"/>
          <w:lang w:val="fr-FR"/>
        </w:rPr>
        <w:tab/>
        <w:t>Une combinaison de distances phénotypiques et moléculaires peut être utilisée pour améliorer la sélection des variétés qu</w:t>
      </w:r>
      <w:r w:rsidR="00CA38FC" w:rsidRPr="00B87E09">
        <w:rPr>
          <w:snapToGrid w:val="0"/>
          <w:sz w:val="18"/>
          <w:szCs w:val="18"/>
          <w:lang w:val="fr-FR"/>
        </w:rPr>
        <w:t>’</w:t>
      </w:r>
      <w:r w:rsidR="008C1516" w:rsidRPr="00B87E09">
        <w:rPr>
          <w:snapToGrid w:val="0"/>
          <w:sz w:val="18"/>
          <w:szCs w:val="18"/>
          <w:lang w:val="fr-FR"/>
        </w:rPr>
        <w:t>il y a lieu de comparer dans le cadre de l</w:t>
      </w:r>
      <w:r w:rsidR="00CA38FC" w:rsidRPr="00B87E09">
        <w:rPr>
          <w:snapToGrid w:val="0"/>
          <w:sz w:val="18"/>
          <w:szCs w:val="18"/>
          <w:lang w:val="fr-FR"/>
        </w:rPr>
        <w:t>’</w:t>
      </w:r>
      <w:r w:rsidR="008C1516" w:rsidRPr="00B87E09">
        <w:rPr>
          <w:snapToGrid w:val="0"/>
          <w:sz w:val="18"/>
          <w:szCs w:val="18"/>
          <w:lang w:val="fr-FR"/>
        </w:rPr>
        <w:t>essai en culture si les distances moléculaires sont suffisamment liées aux différences phénotypiques, et si la méthode ne crée pas un risque accru de ne pas sélectionner une variété figurant dans la collection de variétés qu</w:t>
      </w:r>
      <w:r w:rsidR="00CA38FC" w:rsidRPr="00B87E09">
        <w:rPr>
          <w:snapToGrid w:val="0"/>
          <w:sz w:val="18"/>
          <w:szCs w:val="18"/>
          <w:lang w:val="fr-FR"/>
        </w:rPr>
        <w:t>’</w:t>
      </w:r>
      <w:r w:rsidR="008C1516" w:rsidRPr="00B87E09">
        <w:rPr>
          <w:snapToGrid w:val="0"/>
          <w:sz w:val="18"/>
          <w:szCs w:val="18"/>
          <w:lang w:val="fr-FR"/>
        </w:rPr>
        <w:t>il faut comparer aux variétés candidates dans le cadre de l</w:t>
      </w:r>
      <w:r w:rsidR="00CA38FC" w:rsidRPr="00B87E09">
        <w:rPr>
          <w:snapToGrid w:val="0"/>
          <w:sz w:val="18"/>
          <w:szCs w:val="18"/>
          <w:lang w:val="fr-FR"/>
        </w:rPr>
        <w:t>’</w:t>
      </w:r>
      <w:r w:rsidR="008C1516" w:rsidRPr="00B87E09">
        <w:rPr>
          <w:snapToGrid w:val="0"/>
          <w:sz w:val="18"/>
          <w:szCs w:val="18"/>
          <w:lang w:val="fr-FR"/>
        </w:rPr>
        <w:t>essai DHS en culture.</w:t>
      </w:r>
    </w:p>
    <w:p w:rsidR="008C1516" w:rsidRPr="00B87E09" w:rsidRDefault="008C1516" w:rsidP="008C1516">
      <w:pPr>
        <w:ind w:left="567" w:right="567"/>
        <w:rPr>
          <w:snapToGrid w:val="0"/>
          <w:sz w:val="18"/>
          <w:szCs w:val="18"/>
          <w:lang w:val="fr-FR"/>
        </w:rPr>
      </w:pPr>
    </w:p>
    <w:p w:rsidR="008C1516" w:rsidRPr="00B87E09" w:rsidRDefault="00F95C04" w:rsidP="008C1516">
      <w:pPr>
        <w:ind w:left="567" w:right="567"/>
        <w:rPr>
          <w:rFonts w:cs="Arial"/>
          <w:lang w:val="fr-FR"/>
        </w:rPr>
      </w:pPr>
      <w:r>
        <w:rPr>
          <w:snapToGrid w:val="0"/>
          <w:sz w:val="18"/>
          <w:szCs w:val="18"/>
          <w:lang w:val="fr-FR"/>
        </w:rPr>
        <w:t>‘</w:t>
      </w:r>
      <w:r w:rsidR="008C1516" w:rsidRPr="00B87E09">
        <w:rPr>
          <w:snapToGrid w:val="0"/>
          <w:sz w:val="18"/>
          <w:szCs w:val="18"/>
          <w:lang w:val="fr-FR"/>
        </w:rPr>
        <w:t>La situation à l</w:t>
      </w:r>
      <w:r w:rsidR="00CA38FC" w:rsidRPr="00B87E09">
        <w:rPr>
          <w:snapToGrid w:val="0"/>
          <w:sz w:val="18"/>
          <w:szCs w:val="18"/>
          <w:lang w:val="fr-FR"/>
        </w:rPr>
        <w:t>’</w:t>
      </w:r>
      <w:r w:rsidR="008C1516" w:rsidRPr="00B87E09">
        <w:rPr>
          <w:snapToGrid w:val="0"/>
          <w:sz w:val="18"/>
          <w:szCs w:val="18"/>
          <w:lang w:val="fr-FR"/>
        </w:rPr>
        <w:t xml:space="preserve">UPOV est exposée dans les documents TGP/15 </w:t>
      </w:r>
      <w:r w:rsidR="00CA38FC" w:rsidRPr="00B87E09">
        <w:rPr>
          <w:snapToGrid w:val="0"/>
          <w:sz w:val="18"/>
          <w:szCs w:val="18"/>
          <w:lang w:val="fr-FR"/>
        </w:rPr>
        <w:t>‘</w:t>
      </w:r>
      <w:r w:rsidR="008C1516" w:rsidRPr="00B87E09">
        <w:rPr>
          <w:snapToGrid w:val="0"/>
          <w:sz w:val="18"/>
          <w:szCs w:val="18"/>
          <w:lang w:val="fr-FR"/>
        </w:rPr>
        <w:t>Conseils en ce qui concerne l</w:t>
      </w:r>
      <w:r w:rsidR="00CA38FC" w:rsidRPr="00B87E09">
        <w:rPr>
          <w:snapToGrid w:val="0"/>
          <w:sz w:val="18"/>
          <w:szCs w:val="18"/>
          <w:lang w:val="fr-FR"/>
        </w:rPr>
        <w:t>’</w:t>
      </w:r>
      <w:r w:rsidR="008C1516" w:rsidRPr="00B87E09">
        <w:rPr>
          <w:snapToGrid w:val="0"/>
          <w:sz w:val="18"/>
          <w:szCs w:val="18"/>
          <w:lang w:val="fr-FR"/>
        </w:rPr>
        <w:t>utilisation des marqueurs biochimiques et moléculaires dans l</w:t>
      </w:r>
      <w:r w:rsidR="00CA38FC" w:rsidRPr="00B87E09">
        <w:rPr>
          <w:snapToGrid w:val="0"/>
          <w:sz w:val="18"/>
          <w:szCs w:val="18"/>
          <w:lang w:val="fr-FR"/>
        </w:rPr>
        <w:t>’</w:t>
      </w:r>
      <w:r w:rsidR="008C1516" w:rsidRPr="00B87E09">
        <w:rPr>
          <w:snapToGrid w:val="0"/>
          <w:sz w:val="18"/>
          <w:szCs w:val="18"/>
          <w:lang w:val="fr-FR"/>
        </w:rPr>
        <w:t>examen de la distinction, de l</w:t>
      </w:r>
      <w:r w:rsidR="00CA38FC" w:rsidRPr="00B87E09">
        <w:rPr>
          <w:snapToGrid w:val="0"/>
          <w:sz w:val="18"/>
          <w:szCs w:val="18"/>
          <w:lang w:val="fr-FR"/>
        </w:rPr>
        <w:t>’</w:t>
      </w:r>
      <w:r w:rsidR="008C1516" w:rsidRPr="00B87E09">
        <w:rPr>
          <w:snapToGrid w:val="0"/>
          <w:sz w:val="18"/>
          <w:szCs w:val="18"/>
          <w:lang w:val="fr-FR"/>
        </w:rPr>
        <w:t>homogénéité et de la stabilité (DHS)</w:t>
      </w:r>
      <w:r w:rsidR="00CA38FC" w:rsidRPr="00B87E09">
        <w:rPr>
          <w:snapToGrid w:val="0"/>
          <w:sz w:val="18"/>
          <w:szCs w:val="18"/>
          <w:lang w:val="fr-FR"/>
        </w:rPr>
        <w:t>’</w:t>
      </w:r>
      <w:r w:rsidR="008C1516" w:rsidRPr="00B87E09">
        <w:rPr>
          <w:snapToGrid w:val="0"/>
          <w:sz w:val="18"/>
          <w:szCs w:val="18"/>
          <w:lang w:val="fr-FR"/>
        </w:rPr>
        <w:t xml:space="preserve"> et UPOV/INF/18 </w:t>
      </w:r>
      <w:r w:rsidR="00CA38FC" w:rsidRPr="00B87E09">
        <w:rPr>
          <w:snapToGrid w:val="0"/>
          <w:sz w:val="18"/>
          <w:szCs w:val="18"/>
          <w:lang w:val="fr-FR"/>
        </w:rPr>
        <w:t>‘</w:t>
      </w:r>
      <w:r w:rsidR="008C1516" w:rsidRPr="00B87E09">
        <w:rPr>
          <w:snapToGrid w:val="0"/>
          <w:sz w:val="18"/>
          <w:szCs w:val="18"/>
          <w:lang w:val="fr-FR"/>
        </w:rPr>
        <w:t>Utilisation possible des marqueurs moléculaires dans l</w:t>
      </w:r>
      <w:r w:rsidR="00CA38FC" w:rsidRPr="00B87E09">
        <w:rPr>
          <w:snapToGrid w:val="0"/>
          <w:sz w:val="18"/>
          <w:szCs w:val="18"/>
          <w:lang w:val="fr-FR"/>
        </w:rPr>
        <w:t>’</w:t>
      </w:r>
      <w:r w:rsidR="008C1516" w:rsidRPr="00B87E09">
        <w:rPr>
          <w:snapToGrid w:val="0"/>
          <w:sz w:val="18"/>
          <w:szCs w:val="18"/>
          <w:lang w:val="fr-FR"/>
        </w:rPr>
        <w:t>examen de la distinction, de l</w:t>
      </w:r>
      <w:r w:rsidR="00CA38FC" w:rsidRPr="00B87E09">
        <w:rPr>
          <w:snapToGrid w:val="0"/>
          <w:sz w:val="18"/>
          <w:szCs w:val="18"/>
          <w:lang w:val="fr-FR"/>
        </w:rPr>
        <w:t>’</w:t>
      </w:r>
      <w:r w:rsidR="008C1516" w:rsidRPr="00B87E09">
        <w:rPr>
          <w:snapToGrid w:val="0"/>
          <w:sz w:val="18"/>
          <w:szCs w:val="18"/>
          <w:lang w:val="fr-FR"/>
        </w:rPr>
        <w:t>homogénéité et de la stabilité (DHS)</w:t>
      </w:r>
      <w:r w:rsidR="00CA38FC" w:rsidRPr="00B87E09">
        <w:rPr>
          <w:snapToGrid w:val="0"/>
          <w:sz w:val="18"/>
          <w:szCs w:val="18"/>
          <w:lang w:val="fr-FR"/>
        </w:rPr>
        <w:t>’</w:t>
      </w:r>
      <w:r w:rsidR="00F0303B">
        <w:rPr>
          <w:snapToGrid w:val="0"/>
          <w:sz w:val="18"/>
          <w:szCs w:val="18"/>
          <w:lang w:val="fr-FR"/>
        </w:rPr>
        <w:t>.</w:t>
      </w:r>
      <w:r>
        <w:rPr>
          <w:snapToGrid w:val="0"/>
          <w:sz w:val="18"/>
          <w:szCs w:val="18"/>
          <w:lang w:val="fr-FR"/>
        </w:rPr>
        <w:t>’</w:t>
      </w:r>
      <w:r w:rsidR="008C1516" w:rsidRPr="00B87E09">
        <w:rPr>
          <w:snapToGrid w:val="0"/>
          <w:sz w:val="18"/>
          <w:szCs w:val="18"/>
          <w:lang w:val="fr-FR"/>
        </w:rPr>
        <w:t>”</w:t>
      </w:r>
    </w:p>
    <w:p w:rsidR="008C1516" w:rsidRPr="00B87E09" w:rsidRDefault="008C1516" w:rsidP="008C1516">
      <w:pPr>
        <w:rPr>
          <w:lang w:val="fr-FR"/>
        </w:rPr>
      </w:pPr>
    </w:p>
    <w:p w:rsidR="008C1516" w:rsidRPr="00B87E09" w:rsidRDefault="008C1516" w:rsidP="008C1516">
      <w:pPr>
        <w:rPr>
          <w:lang w:val="fr-FR"/>
        </w:rPr>
      </w:pPr>
      <w:r w:rsidRPr="00B87E09">
        <w:rPr>
          <w:lang w:val="fr-FR"/>
        </w:rPr>
        <w:t>S</w:t>
      </w:r>
      <w:r w:rsidR="00CA38FC" w:rsidRPr="00B87E09">
        <w:rPr>
          <w:lang w:val="fr-FR"/>
        </w:rPr>
        <w:t>’</w:t>
      </w:r>
      <w:r w:rsidRPr="00B87E09">
        <w:rPr>
          <w:lang w:val="fr-FR"/>
        </w:rPr>
        <w:t>agissant d</w:t>
      </w:r>
      <w:r w:rsidR="00CA38FC" w:rsidRPr="00B87E09">
        <w:rPr>
          <w:lang w:val="fr-FR"/>
        </w:rPr>
        <w:t>’</w:t>
      </w:r>
      <w:r w:rsidRPr="00B87E09">
        <w:rPr>
          <w:lang w:val="fr-FR"/>
        </w:rPr>
        <w:t>un plus large public, le</w:t>
      </w:r>
      <w:r w:rsidR="00CA38FC" w:rsidRPr="00B87E09">
        <w:rPr>
          <w:lang w:val="fr-FR"/>
        </w:rPr>
        <w:t> TC</w:t>
      </w:r>
      <w:r w:rsidRPr="00B87E09">
        <w:rPr>
          <w:lang w:val="fr-FR"/>
        </w:rPr>
        <w:t xml:space="preserve"> était convenu que la question n</w:t>
      </w:r>
      <w:r w:rsidR="00CA38FC" w:rsidRPr="00B87E09">
        <w:rPr>
          <w:lang w:val="fr-FR"/>
        </w:rPr>
        <w:t>’</w:t>
      </w:r>
      <w:r w:rsidRPr="00B87E09">
        <w:rPr>
          <w:lang w:val="fr-FR"/>
        </w:rPr>
        <w:t>était pas formulée de manière appropriée et qu</w:t>
      </w:r>
      <w:r w:rsidR="00CA38FC" w:rsidRPr="00B87E09">
        <w:rPr>
          <w:lang w:val="fr-FR"/>
        </w:rPr>
        <w:t>’</w:t>
      </w:r>
      <w:r w:rsidRPr="00B87E09">
        <w:rPr>
          <w:lang w:val="fr-FR"/>
        </w:rPr>
        <w:t>il n</w:t>
      </w:r>
      <w:r w:rsidR="00CA38FC" w:rsidRPr="00B87E09">
        <w:rPr>
          <w:lang w:val="fr-FR"/>
        </w:rPr>
        <w:t>’</w:t>
      </w:r>
      <w:r w:rsidRPr="00B87E09">
        <w:rPr>
          <w:lang w:val="fr-FR"/>
        </w:rPr>
        <w:t>était donc pas judicieux de chercher à élaborer une réponse à cette question.  Le</w:t>
      </w:r>
      <w:r w:rsidR="00CA38FC" w:rsidRPr="00B87E09">
        <w:rPr>
          <w:lang w:val="fr-FR"/>
        </w:rPr>
        <w:t> TC</w:t>
      </w:r>
      <w:r w:rsidRPr="00B87E09">
        <w:rPr>
          <w:lang w:val="fr-FR"/>
        </w:rPr>
        <w:t xml:space="preserve"> avait convenu de reformuler la question, une fois précisées les questions intéressant un plus large public.</w:t>
      </w:r>
    </w:p>
    <w:p w:rsidR="008C1516" w:rsidRPr="00B87E09" w:rsidRDefault="008C1516" w:rsidP="00B9187D">
      <w:pPr>
        <w:spacing w:line="360" w:lineRule="auto"/>
        <w:rPr>
          <w:lang w:val="fr-FR"/>
        </w:rPr>
      </w:pPr>
    </w:p>
    <w:p w:rsidR="008C1516" w:rsidRPr="00B87E09" w:rsidRDefault="008C1516" w:rsidP="00B9187D">
      <w:pPr>
        <w:pStyle w:val="Heading3"/>
      </w:pPr>
      <w:bookmarkStart w:id="14" w:name="_Toc398628764"/>
      <w:r w:rsidRPr="00B87E09">
        <w:t>Dénominations variétales</w:t>
      </w:r>
      <w:bookmarkEnd w:id="14"/>
    </w:p>
    <w:p w:rsidR="00B9187D" w:rsidRDefault="00B9187D" w:rsidP="00B9187D">
      <w:pPr>
        <w:keepNext/>
        <w:rPr>
          <w:lang w:val="fr-FR"/>
        </w:rPr>
      </w:pPr>
    </w:p>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893C7F" w:rsidRPr="00B87E09">
        <w:rPr>
          <w:rFonts w:cs="Arial"/>
          <w:lang w:val="fr-FR"/>
        </w:rPr>
        <w:t>a</w:t>
      </w:r>
      <w:r w:rsidRPr="00B87E09">
        <w:rPr>
          <w:rFonts w:cs="Arial"/>
          <w:lang w:val="fr-FR"/>
        </w:rPr>
        <w:t xml:space="preserve"> </w:t>
      </w:r>
      <w:r w:rsidRPr="00B87E09">
        <w:rPr>
          <w:lang w:val="fr-FR"/>
        </w:rPr>
        <w:t>not</w:t>
      </w:r>
      <w:r w:rsidR="00893C7F" w:rsidRPr="00B87E09">
        <w:rPr>
          <w:lang w:val="fr-FR"/>
        </w:rPr>
        <w:t>é</w:t>
      </w:r>
      <w:r w:rsidRPr="00B87E09">
        <w:rPr>
          <w:lang w:val="fr-FR"/>
        </w:rPr>
        <w:t xml:space="preserve"> que le</w:t>
      </w:r>
      <w:r w:rsidR="00CA38FC" w:rsidRPr="00B87E09">
        <w:rPr>
          <w:lang w:val="fr-FR"/>
        </w:rPr>
        <w:t> TC</w:t>
      </w:r>
      <w:r w:rsidRPr="00B87E09">
        <w:rPr>
          <w:lang w:val="fr-FR"/>
        </w:rPr>
        <w:t>, à sa cinquantième session, était convenu de remplacer l</w:t>
      </w:r>
      <w:r w:rsidR="00CA38FC" w:rsidRPr="00B87E09">
        <w:rPr>
          <w:lang w:val="fr-FR"/>
        </w:rPr>
        <w:t>’</w:t>
      </w:r>
      <w:r w:rsidRPr="00B87E09">
        <w:rPr>
          <w:lang w:val="fr-FR"/>
        </w:rPr>
        <w:t xml:space="preserve">exemple “Bough” et “Bow” au paragraphe 2.3.3.i) du document UPOV/INF/12 par un exemple approprié, et </w:t>
      </w:r>
      <w:r w:rsidR="00893C7F" w:rsidRPr="00B87E09">
        <w:rPr>
          <w:lang w:val="fr-FR"/>
        </w:rPr>
        <w:t>a noté</w:t>
      </w:r>
      <w:r w:rsidRPr="00B87E09">
        <w:rPr>
          <w:lang w:val="fr-FR"/>
        </w:rPr>
        <w:t xml:space="preserve"> également que les travaux concernant la possibilité d</w:t>
      </w:r>
      <w:r w:rsidR="00CA38FC" w:rsidRPr="00B87E09">
        <w:rPr>
          <w:lang w:val="fr-FR"/>
        </w:rPr>
        <w:t>’</w:t>
      </w:r>
      <w:r w:rsidRPr="00B87E09">
        <w:rPr>
          <w:lang w:val="fr-FR"/>
        </w:rPr>
        <w:t>élaboration d</w:t>
      </w:r>
      <w:r w:rsidR="00CA38FC" w:rsidRPr="00B87E09">
        <w:rPr>
          <w:lang w:val="fr-FR"/>
        </w:rPr>
        <w:t>’</w:t>
      </w:r>
      <w:r w:rsidRPr="00B87E09">
        <w:rPr>
          <w:lang w:val="fr-FR"/>
        </w:rPr>
        <w:t>un outil de recherche de l</w:t>
      </w:r>
      <w:r w:rsidR="00CA38FC" w:rsidRPr="00B87E09">
        <w:rPr>
          <w:lang w:val="fr-FR"/>
        </w:rPr>
        <w:t>’</w:t>
      </w:r>
      <w:r w:rsidRPr="00B87E09">
        <w:rPr>
          <w:lang w:val="fr-FR"/>
        </w:rPr>
        <w:t>UPOV de similarité pour</w:t>
      </w:r>
      <w:r w:rsidR="00893C7F" w:rsidRPr="00B87E09">
        <w:rPr>
          <w:lang w:val="fr-FR"/>
        </w:rPr>
        <w:t>raient</w:t>
      </w:r>
      <w:r w:rsidRPr="00B87E09">
        <w:rPr>
          <w:lang w:val="fr-FR"/>
        </w:rPr>
        <w:t xml:space="preserve"> se traduire par un examen du document UPOV/INF/12.  Il </w:t>
      </w:r>
      <w:r w:rsidR="00893C7F" w:rsidRPr="00B87E09">
        <w:rPr>
          <w:lang w:val="fr-FR"/>
        </w:rPr>
        <w:t>est convenu</w:t>
      </w:r>
      <w:r w:rsidRPr="00B87E09">
        <w:rPr>
          <w:lang w:val="fr-FR"/>
        </w:rPr>
        <w:t xml:space="preserve"> également que des conseils concernant la confusion pour des raisons phonétiques devraient continuer de figurer dans le document UPOV/INF/12.</w:t>
      </w:r>
      <w:r w:rsidR="00893C7F" w:rsidRPr="00B87E09">
        <w:rPr>
          <w:lang w:val="fr-FR"/>
        </w:rPr>
        <w:t xml:space="preserve"> </w:t>
      </w:r>
      <w:r w:rsidR="00CA38FC" w:rsidRPr="00B87E09">
        <w:rPr>
          <w:lang w:val="fr-FR"/>
        </w:rPr>
        <w:t xml:space="preserve"> Le CAJ</w:t>
      </w:r>
      <w:r w:rsidR="00893C7F" w:rsidRPr="00B87E09">
        <w:rPr>
          <w:lang w:val="fr-FR"/>
        </w:rPr>
        <w:t xml:space="preserve"> a estimé qu</w:t>
      </w:r>
      <w:r w:rsidR="00CA38FC" w:rsidRPr="00B87E09">
        <w:rPr>
          <w:lang w:val="fr-FR"/>
        </w:rPr>
        <w:t>’</w:t>
      </w:r>
      <w:r w:rsidR="00893C7F" w:rsidRPr="00B87E09">
        <w:rPr>
          <w:lang w:val="fr-FR"/>
        </w:rPr>
        <w:t>il serait approprié de modifier le paragraphe 2.3.3.a)i) (voir les paragraphes 72 et 73 du document CAJ/69/12 “Compte rendu des conclusions”).</w:t>
      </w:r>
    </w:p>
    <w:p w:rsidR="008C1516" w:rsidRPr="00B87E09" w:rsidRDefault="008C1516" w:rsidP="008C1516">
      <w:pPr>
        <w:keepNext/>
        <w:rPr>
          <w:lang w:val="fr-FR"/>
        </w:rPr>
      </w:pPr>
    </w:p>
    <w:p w:rsidR="008C1516" w:rsidRPr="00B87E09" w:rsidRDefault="008C1516" w:rsidP="008C1516">
      <w:pPr>
        <w:rPr>
          <w:rFonts w:cs="Arial"/>
          <w:snapToGrid w:val="0"/>
          <w:lang w:val="fr-FR"/>
        </w:rPr>
      </w:pPr>
      <w:r w:rsidRPr="00B87E09">
        <w:rPr>
          <w:rFonts w:cs="Arial"/>
          <w:snapToGrid w:val="0"/>
          <w:lang w:val="fr-FR"/>
        </w:rPr>
        <w:fldChar w:fldCharType="begin"/>
      </w:r>
      <w:r w:rsidRPr="00B87E09">
        <w:rPr>
          <w:rFonts w:cs="Arial"/>
          <w:snapToGrid w:val="0"/>
          <w:lang w:val="fr-FR"/>
        </w:rPr>
        <w:instrText xml:space="preserve"> AUTONUM  </w:instrText>
      </w:r>
      <w:r w:rsidRPr="00B87E09">
        <w:rPr>
          <w:rFonts w:cs="Arial"/>
          <w:snapToGrid w:val="0"/>
          <w:lang w:val="fr-FR"/>
        </w:rPr>
        <w:fldChar w:fldCharType="end"/>
      </w:r>
      <w:r w:rsidRPr="00B87E09">
        <w:rPr>
          <w:rFonts w:cs="Arial"/>
          <w:snapToGrid w:val="0"/>
          <w:lang w:val="fr-FR"/>
        </w:rPr>
        <w:tab/>
        <w:t xml:space="preserve">Le CAJ </w:t>
      </w:r>
      <w:r w:rsidR="00893C7F" w:rsidRPr="00B87E09">
        <w:rPr>
          <w:rFonts w:cs="Arial"/>
          <w:snapToGrid w:val="0"/>
          <w:lang w:val="fr-FR"/>
        </w:rPr>
        <w:t>a noté</w:t>
      </w:r>
      <w:r w:rsidRPr="00B87E09">
        <w:rPr>
          <w:rFonts w:cs="Arial"/>
          <w:snapToGrid w:val="0"/>
          <w:lang w:val="fr-FR"/>
        </w:rPr>
        <w:t xml:space="preserve"> qu</w:t>
      </w:r>
      <w:r w:rsidR="00CA38FC" w:rsidRPr="00B87E09">
        <w:rPr>
          <w:rFonts w:cs="Arial"/>
          <w:snapToGrid w:val="0"/>
          <w:lang w:val="fr-FR"/>
        </w:rPr>
        <w:t>’</w:t>
      </w:r>
      <w:r w:rsidRPr="00B87E09">
        <w:rPr>
          <w:rFonts w:cs="Arial"/>
          <w:snapToGrid w:val="0"/>
          <w:lang w:val="fr-FR"/>
        </w:rPr>
        <w:t>un rapport sur la possibilité d</w:t>
      </w:r>
      <w:r w:rsidR="00CA38FC" w:rsidRPr="00B87E09">
        <w:rPr>
          <w:rFonts w:cs="Arial"/>
          <w:snapToGrid w:val="0"/>
          <w:lang w:val="fr-FR"/>
        </w:rPr>
        <w:t>’</w:t>
      </w:r>
      <w:r w:rsidRPr="00B87E09">
        <w:rPr>
          <w:rFonts w:cs="Arial"/>
          <w:snapToGrid w:val="0"/>
          <w:lang w:val="fr-FR"/>
        </w:rPr>
        <w:t>élaboration d</w:t>
      </w:r>
      <w:r w:rsidR="00CA38FC" w:rsidRPr="00B87E09">
        <w:rPr>
          <w:rFonts w:cs="Arial"/>
          <w:snapToGrid w:val="0"/>
          <w:lang w:val="fr-FR"/>
        </w:rPr>
        <w:t>’</w:t>
      </w:r>
      <w:r w:rsidRPr="00B87E09">
        <w:rPr>
          <w:rFonts w:cs="Arial"/>
          <w:snapToGrid w:val="0"/>
          <w:lang w:val="fr-FR"/>
        </w:rPr>
        <w:t>un outil de recherche de l</w:t>
      </w:r>
      <w:r w:rsidR="00CA38FC" w:rsidRPr="00B87E09">
        <w:rPr>
          <w:rFonts w:cs="Arial"/>
          <w:snapToGrid w:val="0"/>
          <w:lang w:val="fr-FR"/>
        </w:rPr>
        <w:t>’</w:t>
      </w:r>
      <w:r w:rsidRPr="00B87E09">
        <w:rPr>
          <w:rFonts w:cs="Arial"/>
          <w:snapToGrid w:val="0"/>
          <w:lang w:val="fr-FR"/>
        </w:rPr>
        <w:t>UPOV de similarité aux fins de la dénomination variétale figurait dans le document CAJ/69/9 “Possibilité d</w:t>
      </w:r>
      <w:r w:rsidR="00CA38FC" w:rsidRPr="00B87E09">
        <w:rPr>
          <w:rFonts w:cs="Arial"/>
          <w:snapToGrid w:val="0"/>
          <w:lang w:val="fr-FR"/>
        </w:rPr>
        <w:t>’</w:t>
      </w:r>
      <w:r w:rsidRPr="00B87E09">
        <w:rPr>
          <w:rFonts w:cs="Arial"/>
          <w:snapToGrid w:val="0"/>
          <w:lang w:val="fr-FR"/>
        </w:rPr>
        <w:t xml:space="preserve">élaboration </w:t>
      </w:r>
      <w:r w:rsidRPr="00B87E09">
        <w:rPr>
          <w:rFonts w:cs="Arial"/>
          <w:snapToGrid w:val="0"/>
          <w:lang w:val="fr-FR"/>
        </w:rPr>
        <w:lastRenderedPageBreak/>
        <w:t>d</w:t>
      </w:r>
      <w:r w:rsidR="00CA38FC" w:rsidRPr="00B87E09">
        <w:rPr>
          <w:rFonts w:cs="Arial"/>
          <w:snapToGrid w:val="0"/>
          <w:lang w:val="fr-FR"/>
        </w:rPr>
        <w:t>’</w:t>
      </w:r>
      <w:r w:rsidRPr="00B87E09">
        <w:rPr>
          <w:rFonts w:cs="Arial"/>
          <w:snapToGrid w:val="0"/>
          <w:lang w:val="fr-FR"/>
        </w:rPr>
        <w:t>un outil de recherche de l</w:t>
      </w:r>
      <w:r w:rsidR="00CA38FC" w:rsidRPr="00B87E09">
        <w:rPr>
          <w:rFonts w:cs="Arial"/>
          <w:snapToGrid w:val="0"/>
          <w:lang w:val="fr-FR"/>
        </w:rPr>
        <w:t>’</w:t>
      </w:r>
      <w:r w:rsidRPr="00B87E09">
        <w:rPr>
          <w:rFonts w:cs="Arial"/>
          <w:snapToGrid w:val="0"/>
          <w:lang w:val="fr-FR"/>
        </w:rPr>
        <w:t>UPOV de similarité aux fins de la dénomination variétale”</w:t>
      </w:r>
      <w:r w:rsidR="00893C7F" w:rsidRPr="00B87E09">
        <w:rPr>
          <w:rFonts w:cs="Arial"/>
          <w:snapToGrid w:val="0"/>
          <w:lang w:val="fr-FR"/>
        </w:rPr>
        <w:t xml:space="preserve"> </w:t>
      </w:r>
      <w:r w:rsidR="00893C7F" w:rsidRPr="00B87E09">
        <w:rPr>
          <w:lang w:val="fr-FR"/>
        </w:rPr>
        <w:t>(voir le paragraphe 74 du document CAJ/69/12 “Compte rendu des conclusions”)</w:t>
      </w:r>
      <w:r w:rsidRPr="00B87E09">
        <w:rPr>
          <w:rFonts w:cs="Arial"/>
          <w:snapToGrid w:val="0"/>
          <w:lang w:val="fr-FR"/>
        </w:rPr>
        <w:t>.</w:t>
      </w:r>
    </w:p>
    <w:p w:rsidR="008C1516" w:rsidRPr="00F95C04" w:rsidRDefault="008C1516" w:rsidP="00F95C04"/>
    <w:p w:rsidR="008C1516" w:rsidRPr="00B87E09" w:rsidRDefault="008C1516" w:rsidP="008C1516">
      <w:pPr>
        <w:rPr>
          <w:snapToGrid w:val="0"/>
          <w:lang w:val="fr-FR"/>
        </w:rPr>
      </w:pPr>
      <w:r w:rsidRPr="00B87E09">
        <w:rPr>
          <w:snapToGrid w:val="0"/>
          <w:lang w:val="fr-FR"/>
        </w:rPr>
        <w:fldChar w:fldCharType="begin"/>
      </w:r>
      <w:r w:rsidRPr="00B87E09">
        <w:rPr>
          <w:snapToGrid w:val="0"/>
          <w:lang w:val="fr-FR"/>
        </w:rPr>
        <w:instrText xml:space="preserve"> AUTONUM  </w:instrText>
      </w:r>
      <w:r w:rsidRPr="00B87E09">
        <w:rPr>
          <w:snapToGrid w:val="0"/>
          <w:lang w:val="fr-FR"/>
        </w:rPr>
        <w:fldChar w:fldCharType="end"/>
      </w:r>
      <w:r w:rsidRPr="00B87E09">
        <w:rPr>
          <w:snapToGrid w:val="0"/>
          <w:lang w:val="fr-FR"/>
        </w:rPr>
        <w:tab/>
        <w:t xml:space="preserve">Le CAJ </w:t>
      </w:r>
      <w:r w:rsidR="00893C7F" w:rsidRPr="00B87E09">
        <w:rPr>
          <w:snapToGrid w:val="0"/>
          <w:lang w:val="fr-FR"/>
        </w:rPr>
        <w:t>a pris</w:t>
      </w:r>
      <w:r w:rsidRPr="00B87E09">
        <w:rPr>
          <w:snapToGrid w:val="0"/>
          <w:lang w:val="fr-FR"/>
        </w:rPr>
        <w:t xml:space="preserve"> note des faits nouveaux concernant les domaines de coopération possibles entre la Commission internationale de nomenclature des plantes cultivées de l</w:t>
      </w:r>
      <w:r w:rsidR="00CA38FC" w:rsidRPr="00B87E09">
        <w:rPr>
          <w:snapToGrid w:val="0"/>
          <w:lang w:val="fr-FR"/>
        </w:rPr>
        <w:t>’</w:t>
      </w:r>
      <w:r w:rsidRPr="00B87E09">
        <w:rPr>
          <w:snapToGrid w:val="0"/>
          <w:lang w:val="fr-FR"/>
        </w:rPr>
        <w:t>Union internationale des sciences biologiques (Commission de l</w:t>
      </w:r>
      <w:r w:rsidR="00CA38FC" w:rsidRPr="00B87E09">
        <w:rPr>
          <w:snapToGrid w:val="0"/>
          <w:lang w:val="fr-FR"/>
        </w:rPr>
        <w:t>’</w:t>
      </w:r>
      <w:r w:rsidRPr="00B87E09">
        <w:rPr>
          <w:snapToGrid w:val="0"/>
          <w:lang w:val="fr-FR"/>
        </w:rPr>
        <w:t>UISB), la Commission de nomenclature et d</w:t>
      </w:r>
      <w:r w:rsidR="00CA38FC" w:rsidRPr="00B87E09">
        <w:rPr>
          <w:snapToGrid w:val="0"/>
          <w:lang w:val="fr-FR"/>
        </w:rPr>
        <w:t>’</w:t>
      </w:r>
      <w:r w:rsidRPr="00B87E09">
        <w:rPr>
          <w:snapToGrid w:val="0"/>
          <w:lang w:val="fr-FR"/>
        </w:rPr>
        <w:t>enregistrement des cultivars de la Société internationale de la science horticole (Commission de l</w:t>
      </w:r>
      <w:r w:rsidR="00CA38FC" w:rsidRPr="00B87E09">
        <w:rPr>
          <w:snapToGrid w:val="0"/>
          <w:lang w:val="fr-FR"/>
        </w:rPr>
        <w:t>’</w:t>
      </w:r>
      <w:r w:rsidRPr="00B87E09">
        <w:rPr>
          <w:snapToGrid w:val="0"/>
          <w:lang w:val="fr-FR"/>
        </w:rPr>
        <w:t>ISHS) et l</w:t>
      </w:r>
      <w:r w:rsidR="00CA38FC" w:rsidRPr="00B87E09">
        <w:rPr>
          <w:snapToGrid w:val="0"/>
          <w:lang w:val="fr-FR"/>
        </w:rPr>
        <w:t>’</w:t>
      </w:r>
      <w:r w:rsidR="00893C7F" w:rsidRPr="00B87E09">
        <w:rPr>
          <w:snapToGrid w:val="0"/>
          <w:lang w:val="fr-FR"/>
        </w:rPr>
        <w:t xml:space="preserve">UPOV </w:t>
      </w:r>
      <w:r w:rsidR="00893C7F" w:rsidRPr="00B87E09">
        <w:rPr>
          <w:lang w:val="fr-FR"/>
        </w:rPr>
        <w:t>(voir le paragraphe 75 du document CAJ/69/12 “Compte rendu des conclusions”)</w:t>
      </w:r>
      <w:r w:rsidRPr="00B87E09">
        <w:rPr>
          <w:snapToGrid w:val="0"/>
          <w:lang w:val="fr-FR"/>
        </w:rPr>
        <w:t>.</w:t>
      </w:r>
    </w:p>
    <w:p w:rsidR="008C1516" w:rsidRPr="00B87E09" w:rsidRDefault="008C1516" w:rsidP="00B9187D">
      <w:pPr>
        <w:tabs>
          <w:tab w:val="left" w:pos="5954"/>
        </w:tabs>
        <w:spacing w:line="360" w:lineRule="auto"/>
        <w:rPr>
          <w:rFonts w:cs="Arial"/>
          <w:snapToGrid w:val="0"/>
          <w:lang w:val="fr-FR"/>
        </w:rPr>
      </w:pPr>
    </w:p>
    <w:p w:rsidR="008C1516" w:rsidRPr="00B87E09" w:rsidRDefault="008C1516" w:rsidP="00B9187D">
      <w:pPr>
        <w:pStyle w:val="Heading3"/>
      </w:pPr>
      <w:bookmarkStart w:id="15" w:name="_Toc398628765"/>
      <w:r w:rsidRPr="00B87E09">
        <w:t>Possibilité d</w:t>
      </w:r>
      <w:r w:rsidR="00CA38FC" w:rsidRPr="00B87E09">
        <w:t>’</w:t>
      </w:r>
      <w:r w:rsidRPr="00B87E09">
        <w:t>élaboration d</w:t>
      </w:r>
      <w:r w:rsidR="00CA38FC" w:rsidRPr="00B87E09">
        <w:t>’</w:t>
      </w:r>
      <w:r w:rsidRPr="00B87E09">
        <w:t>un outil de recherche de l</w:t>
      </w:r>
      <w:r w:rsidR="00CA38FC" w:rsidRPr="00B87E09">
        <w:t>’</w:t>
      </w:r>
      <w:r w:rsidRPr="00B87E09">
        <w:t>UPOV de similarité aux fins de la dénomination variétale</w:t>
      </w:r>
      <w:bookmarkEnd w:id="15"/>
    </w:p>
    <w:p w:rsidR="00B9187D" w:rsidRDefault="00B9187D" w:rsidP="00B9187D">
      <w:pPr>
        <w:keepNext/>
        <w:rPr>
          <w:lang w:val="fr-FR"/>
        </w:rPr>
      </w:pPr>
    </w:p>
    <w:p w:rsidR="008C1516" w:rsidRPr="00B87E09" w:rsidRDefault="008C1516" w:rsidP="008C1516">
      <w:pPr>
        <w:rPr>
          <w:rFonts w:eastAsia="MS Mincho"/>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405634" w:rsidRPr="00B87E09">
        <w:rPr>
          <w:rFonts w:cs="Arial"/>
          <w:lang w:val="fr-FR"/>
        </w:rPr>
        <w:t>a</w:t>
      </w:r>
      <w:r w:rsidRPr="00B87E09">
        <w:rPr>
          <w:rFonts w:cs="Arial"/>
          <w:lang w:val="fr-FR"/>
        </w:rPr>
        <w:t xml:space="preserve"> </w:t>
      </w:r>
      <w:r w:rsidRPr="00B87E09">
        <w:rPr>
          <w:lang w:val="fr-FR"/>
        </w:rPr>
        <w:t>not</w:t>
      </w:r>
      <w:r w:rsidR="00405634" w:rsidRPr="00B87E09">
        <w:rPr>
          <w:lang w:val="fr-FR"/>
        </w:rPr>
        <w:t>é</w:t>
      </w:r>
      <w:r w:rsidRPr="00B87E09">
        <w:rPr>
          <w:lang w:val="fr-FR"/>
        </w:rPr>
        <w:t xml:space="preserve"> que le</w:t>
      </w:r>
      <w:r w:rsidR="00CA38FC" w:rsidRPr="00B87E09">
        <w:rPr>
          <w:lang w:val="fr-FR"/>
        </w:rPr>
        <w:t> TC</w:t>
      </w:r>
      <w:r w:rsidRPr="00B87E09">
        <w:rPr>
          <w:lang w:val="fr-FR"/>
        </w:rPr>
        <w:t xml:space="preserve">, </w:t>
      </w:r>
      <w:r w:rsidRPr="00B87E09">
        <w:rPr>
          <w:rFonts w:eastAsia="MS Mincho"/>
          <w:lang w:val="fr-FR"/>
        </w:rPr>
        <w:t>à sa cinquantième session, avait approuvé la création d</w:t>
      </w:r>
      <w:r w:rsidR="00CA38FC" w:rsidRPr="00B87E09">
        <w:rPr>
          <w:rFonts w:eastAsia="MS Mincho"/>
          <w:lang w:val="fr-FR"/>
        </w:rPr>
        <w:t>’</w:t>
      </w:r>
      <w:r w:rsidRPr="00B87E09">
        <w:rPr>
          <w:rFonts w:eastAsia="MS Mincho"/>
          <w:lang w:val="fr-FR"/>
        </w:rPr>
        <w:t xml:space="preserve">un groupe de travail </w:t>
      </w:r>
      <w:r w:rsidRPr="00B87E09">
        <w:rPr>
          <w:lang w:val="fr-FR"/>
        </w:rPr>
        <w:t>chargé de mettre au point un outil de recherche de l</w:t>
      </w:r>
      <w:r w:rsidR="00CA38FC" w:rsidRPr="00B87E09">
        <w:rPr>
          <w:lang w:val="fr-FR"/>
        </w:rPr>
        <w:t>’</w:t>
      </w:r>
      <w:r w:rsidRPr="00B87E09">
        <w:rPr>
          <w:lang w:val="fr-FR"/>
        </w:rPr>
        <w:t xml:space="preserve">UPOV de similarité et avait invité des experts à contribuer à ces travaux.  En outre, le CAJ </w:t>
      </w:r>
      <w:r w:rsidR="00FC72A5" w:rsidRPr="00B87E09">
        <w:rPr>
          <w:lang w:val="fr-FR"/>
        </w:rPr>
        <w:t>est convenu</w:t>
      </w:r>
      <w:r w:rsidRPr="00B87E09">
        <w:rPr>
          <w:lang w:val="fr-FR"/>
        </w:rPr>
        <w:t xml:space="preserve"> avec le</w:t>
      </w:r>
      <w:r w:rsidR="00CA38FC" w:rsidRPr="00B87E09">
        <w:rPr>
          <w:lang w:val="fr-FR"/>
        </w:rPr>
        <w:t> TC</w:t>
      </w:r>
      <w:r w:rsidRPr="00B87E09">
        <w:rPr>
          <w:lang w:val="fr-FR"/>
        </w:rPr>
        <w:t xml:space="preserve"> que les aspects linguistiques et alphabétiques pos</w:t>
      </w:r>
      <w:r w:rsidR="00FC72A5" w:rsidRPr="00B87E09">
        <w:rPr>
          <w:lang w:val="fr-FR"/>
        </w:rPr>
        <w:t>ai</w:t>
      </w:r>
      <w:r w:rsidRPr="00B87E09">
        <w:rPr>
          <w:lang w:val="fr-FR"/>
        </w:rPr>
        <w:t>ent certaines difficultés, que le groupe de travail devrait examiner pour définir les objectifs de ses travaux</w:t>
      </w:r>
      <w:r w:rsidR="00405634" w:rsidRPr="00B87E09">
        <w:rPr>
          <w:lang w:val="fr-FR"/>
        </w:rPr>
        <w:t xml:space="preserve"> (voir le paragraphe 77 du document CAJ/69/12 “Compte rendu des conclusions”)</w:t>
      </w:r>
      <w:r w:rsidRPr="00B87E09">
        <w:rPr>
          <w:lang w:val="fr-FR"/>
        </w:rPr>
        <w:t>.</w:t>
      </w:r>
    </w:p>
    <w:p w:rsidR="008C1516" w:rsidRPr="00B87E09" w:rsidRDefault="008C1516" w:rsidP="008C1516">
      <w:pPr>
        <w:rPr>
          <w:lang w:val="fr-FR"/>
        </w:rPr>
      </w:pPr>
    </w:p>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405634" w:rsidRPr="00B87E09">
        <w:rPr>
          <w:lang w:val="fr-FR"/>
        </w:rPr>
        <w:t>a noté</w:t>
      </w:r>
      <w:r w:rsidRPr="00B87E09">
        <w:rPr>
          <w:lang w:val="fr-FR"/>
        </w:rPr>
        <w:t xml:space="preserve"> que la première réunion du groupe de travail serait organisée en 2014 et qu</w:t>
      </w:r>
      <w:r w:rsidR="00CA38FC" w:rsidRPr="00B87E09">
        <w:rPr>
          <w:lang w:val="fr-FR"/>
        </w:rPr>
        <w:t>’</w:t>
      </w:r>
      <w:r w:rsidRPr="00B87E09">
        <w:rPr>
          <w:lang w:val="fr-FR"/>
        </w:rPr>
        <w:t>un rapport serait présenté au CAJ à sa soixante</w:t>
      </w:r>
      <w:r w:rsidR="00B87E09" w:rsidRPr="00B87E09">
        <w:rPr>
          <w:lang w:val="fr-FR"/>
        </w:rPr>
        <w:noBreakHyphen/>
      </w:r>
      <w:r w:rsidRPr="00B87E09">
        <w:rPr>
          <w:lang w:val="fr-FR"/>
        </w:rPr>
        <w:t>dixième session qui se tiendra à Genève les 13 et 14 octobre 2014</w:t>
      </w:r>
      <w:r w:rsidR="00405634" w:rsidRPr="00B87E09">
        <w:rPr>
          <w:lang w:val="fr-FR"/>
        </w:rPr>
        <w:t xml:space="preserve"> (voir le paragraphe 78 du document CAJ/69/12 “Compte rendu des conclusions”)</w:t>
      </w:r>
      <w:r w:rsidRPr="00B87E09">
        <w:rPr>
          <w:lang w:val="fr-FR"/>
        </w:rPr>
        <w:t>.</w:t>
      </w:r>
    </w:p>
    <w:p w:rsidR="008C1516" w:rsidRPr="00B87E09" w:rsidRDefault="008C1516" w:rsidP="00B9187D">
      <w:pPr>
        <w:spacing w:line="360" w:lineRule="auto"/>
        <w:rPr>
          <w:lang w:val="fr-FR"/>
        </w:rPr>
      </w:pPr>
    </w:p>
    <w:p w:rsidR="00CA38FC" w:rsidRPr="00B87E09" w:rsidRDefault="008C1516" w:rsidP="00B9187D">
      <w:pPr>
        <w:pStyle w:val="Heading3"/>
      </w:pPr>
      <w:bookmarkStart w:id="16" w:name="_Toc398628766"/>
      <w:r w:rsidRPr="00B87E09">
        <w:t>Questions soulevées par l</w:t>
      </w:r>
      <w:r w:rsidR="00CA38FC" w:rsidRPr="00B87E09">
        <w:t>’</w:t>
      </w:r>
      <w:r w:rsidRPr="00341B7C">
        <w:rPr>
          <w:i w:val="0"/>
        </w:rPr>
        <w:t>International Seed Federation</w:t>
      </w:r>
      <w:bookmarkEnd w:id="16"/>
    </w:p>
    <w:p w:rsidR="00B9187D" w:rsidRDefault="00B9187D" w:rsidP="00B9187D">
      <w:pPr>
        <w:keepNext/>
        <w:rPr>
          <w:iCs/>
          <w:lang w:val="fr-FR"/>
        </w:rPr>
      </w:pPr>
    </w:p>
    <w:p w:rsidR="008C1516" w:rsidRPr="00B87E09" w:rsidRDefault="008C1516" w:rsidP="008C1516">
      <w:pPr>
        <w:rPr>
          <w:snapToGrid w:val="0"/>
          <w:lang w:val="fr-FR"/>
        </w:rPr>
      </w:pPr>
      <w:r w:rsidRPr="00B87E09">
        <w:rPr>
          <w:iCs/>
          <w:lang w:val="fr-FR"/>
        </w:rPr>
        <w:fldChar w:fldCharType="begin"/>
      </w:r>
      <w:r w:rsidRPr="00B87E09">
        <w:rPr>
          <w:iCs/>
          <w:lang w:val="fr-FR"/>
        </w:rPr>
        <w:instrText xml:space="preserve"> AUTONUM  </w:instrText>
      </w:r>
      <w:r w:rsidRPr="00B87E09">
        <w:rPr>
          <w:iCs/>
          <w:lang w:val="fr-FR"/>
        </w:rPr>
        <w:fldChar w:fldCharType="end"/>
      </w:r>
      <w:r w:rsidRPr="00B87E09">
        <w:rPr>
          <w:rFonts w:eastAsia="SimSun"/>
          <w:iCs/>
          <w:lang w:val="fr-FR"/>
        </w:rPr>
        <w:tab/>
      </w:r>
      <w:r w:rsidRPr="00B87E09">
        <w:rPr>
          <w:rFonts w:eastAsia="SimSun"/>
          <w:lang w:val="fr-FR"/>
        </w:rPr>
        <w:t xml:space="preserve">Le CAJ </w:t>
      </w:r>
      <w:r w:rsidR="00405634" w:rsidRPr="00B87E09">
        <w:rPr>
          <w:rFonts w:eastAsia="SimSun"/>
          <w:lang w:val="fr-FR"/>
        </w:rPr>
        <w:t xml:space="preserve">a </w:t>
      </w:r>
      <w:r w:rsidRPr="00B87E09">
        <w:rPr>
          <w:rFonts w:eastAsia="SimSun"/>
          <w:lang w:val="fr-FR"/>
        </w:rPr>
        <w:t>approuv</w:t>
      </w:r>
      <w:r w:rsidR="00405634" w:rsidRPr="00B87E09">
        <w:rPr>
          <w:rFonts w:eastAsia="SimSun"/>
          <w:lang w:val="fr-FR"/>
        </w:rPr>
        <w:t>é</w:t>
      </w:r>
      <w:r w:rsidRPr="00B87E09">
        <w:rPr>
          <w:rFonts w:eastAsia="SimSun"/>
          <w:lang w:val="fr-FR"/>
        </w:rPr>
        <w:t xml:space="preserve"> l</w:t>
      </w:r>
      <w:r w:rsidR="00CA38FC" w:rsidRPr="00B87E09">
        <w:rPr>
          <w:rFonts w:eastAsia="SimSun"/>
          <w:lang w:val="fr-FR"/>
        </w:rPr>
        <w:t>’</w:t>
      </w:r>
      <w:r w:rsidRPr="00B87E09">
        <w:rPr>
          <w:rFonts w:eastAsia="SimSun"/>
          <w:lang w:val="fr-FR"/>
        </w:rPr>
        <w:t>élaboration de conseils sur le créneau de dépôt des demandes à faire figurer dans le</w:t>
      </w:r>
      <w:r w:rsidRPr="00B87E09">
        <w:rPr>
          <w:snapToGrid w:val="0"/>
          <w:lang w:val="fr-FR"/>
        </w:rPr>
        <w:t xml:space="preserve"> document UPOV/INF/15</w:t>
      </w:r>
      <w:r w:rsidR="00405634" w:rsidRPr="00B87E09">
        <w:rPr>
          <w:snapToGrid w:val="0"/>
          <w:lang w:val="fr-FR"/>
        </w:rPr>
        <w:t xml:space="preserve"> </w:t>
      </w:r>
      <w:r w:rsidR="00405634" w:rsidRPr="00B87E09">
        <w:rPr>
          <w:lang w:val="fr-FR"/>
        </w:rPr>
        <w:t>(voir le paragraphe 80 du document CAJ/69/12 “Compte rendu des conclusions”)</w:t>
      </w:r>
      <w:r w:rsidRPr="00B87E09">
        <w:rPr>
          <w:snapToGrid w:val="0"/>
          <w:lang w:val="fr-FR"/>
        </w:rPr>
        <w:t>.</w:t>
      </w:r>
    </w:p>
    <w:p w:rsidR="00405634" w:rsidRPr="00B87E09" w:rsidRDefault="00405634" w:rsidP="008C1516">
      <w:pPr>
        <w:rPr>
          <w:lang w:val="fr-FR"/>
        </w:rPr>
      </w:pPr>
    </w:p>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405634" w:rsidRPr="00B87E09">
        <w:rPr>
          <w:lang w:val="fr-FR"/>
        </w:rPr>
        <w:t>est convenu</w:t>
      </w:r>
      <w:r w:rsidRPr="00B87E09">
        <w:rPr>
          <w:lang w:val="fr-FR"/>
        </w:rPr>
        <w:t xml:space="preserve"> d</w:t>
      </w:r>
      <w:r w:rsidR="00CA38FC" w:rsidRPr="00B87E09">
        <w:rPr>
          <w:lang w:val="fr-FR"/>
        </w:rPr>
        <w:t>’</w:t>
      </w:r>
      <w:r w:rsidRPr="00B87E09">
        <w:rPr>
          <w:lang w:val="fr-FR"/>
        </w:rPr>
        <w:t>élaborer des orientations complémentaires sur les demandes d</w:t>
      </w:r>
      <w:r w:rsidR="00CA38FC" w:rsidRPr="00B87E09">
        <w:rPr>
          <w:lang w:val="fr-FR"/>
        </w:rPr>
        <w:t>’</w:t>
      </w:r>
      <w:r w:rsidRPr="00B87E09">
        <w:rPr>
          <w:lang w:val="fr-FR"/>
        </w:rPr>
        <w:t>information généalogique</w:t>
      </w:r>
      <w:r w:rsidR="00FC72A5" w:rsidRPr="00B87E09">
        <w:rPr>
          <w:lang w:val="fr-FR"/>
        </w:rPr>
        <w:t xml:space="preserve"> (voir le paragraphe 81</w:t>
      </w:r>
      <w:r w:rsidR="00405634" w:rsidRPr="00B87E09">
        <w:rPr>
          <w:lang w:val="fr-FR"/>
        </w:rPr>
        <w:t xml:space="preserve"> du document CAJ/69/12 “Compte rendu des conclusions”)</w:t>
      </w:r>
      <w:r w:rsidRPr="00B87E09">
        <w:rPr>
          <w:lang w:val="fr-FR"/>
        </w:rPr>
        <w:t>.</w:t>
      </w:r>
    </w:p>
    <w:p w:rsidR="008C1516" w:rsidRPr="00B87E09" w:rsidRDefault="008C1516" w:rsidP="008C1516">
      <w:pPr>
        <w:rPr>
          <w:lang w:val="fr-FR"/>
        </w:rPr>
      </w:pPr>
    </w:p>
    <w:p w:rsidR="008C1516" w:rsidRPr="00B87E09" w:rsidRDefault="008C1516" w:rsidP="008C1516">
      <w:pPr>
        <w:rPr>
          <w:rFonts w:eastAsia="SimSun"/>
          <w:spacing w:val="-2"/>
          <w:lang w:val="fr-FR"/>
        </w:rPr>
      </w:pPr>
      <w:r w:rsidRPr="00B87E09">
        <w:rPr>
          <w:iCs/>
          <w:lang w:val="fr-FR"/>
        </w:rPr>
        <w:fldChar w:fldCharType="begin"/>
      </w:r>
      <w:r w:rsidRPr="00B87E09">
        <w:rPr>
          <w:iCs/>
          <w:lang w:val="fr-FR"/>
        </w:rPr>
        <w:instrText xml:space="preserve"> AUTONUM  </w:instrText>
      </w:r>
      <w:r w:rsidRPr="00B87E09">
        <w:rPr>
          <w:iCs/>
          <w:lang w:val="fr-FR"/>
        </w:rPr>
        <w:fldChar w:fldCharType="end"/>
      </w:r>
      <w:r w:rsidRPr="00B87E09">
        <w:rPr>
          <w:rFonts w:eastAsia="SimSun"/>
          <w:iCs/>
          <w:lang w:val="fr-FR"/>
        </w:rPr>
        <w:tab/>
      </w:r>
      <w:r w:rsidRPr="00B87E09">
        <w:rPr>
          <w:snapToGrid w:val="0"/>
          <w:lang w:val="fr-FR"/>
        </w:rPr>
        <w:t xml:space="preserve">Le CAJ </w:t>
      </w:r>
      <w:r w:rsidR="00405634" w:rsidRPr="00B87E09">
        <w:rPr>
          <w:rFonts w:cs="Arial"/>
          <w:lang w:val="fr-FR"/>
        </w:rPr>
        <w:t>a pris</w:t>
      </w:r>
      <w:r w:rsidRPr="00B87E09">
        <w:rPr>
          <w:rFonts w:cs="Arial"/>
          <w:lang w:val="fr-FR"/>
        </w:rPr>
        <w:t xml:space="preserve"> </w:t>
      </w:r>
      <w:r w:rsidRPr="00B87E09">
        <w:rPr>
          <w:lang w:val="fr-FR"/>
        </w:rPr>
        <w:t xml:space="preserve">note </w:t>
      </w:r>
      <w:r w:rsidRPr="00B87E09">
        <w:rPr>
          <w:rFonts w:eastAsia="SimSun"/>
          <w:spacing w:val="-2"/>
          <w:lang w:val="fr-FR"/>
        </w:rPr>
        <w:t>des initiatives existantes ayant trait aux demandes électroniques, telles qu</w:t>
      </w:r>
      <w:r w:rsidR="00CA38FC" w:rsidRPr="00B87E09">
        <w:rPr>
          <w:rFonts w:eastAsia="SimSun"/>
          <w:spacing w:val="-2"/>
          <w:lang w:val="fr-FR"/>
        </w:rPr>
        <w:t>’</w:t>
      </w:r>
      <w:r w:rsidRPr="00B87E09">
        <w:rPr>
          <w:rFonts w:eastAsia="SimSun"/>
          <w:spacing w:val="-2"/>
          <w:lang w:val="fr-FR"/>
        </w:rPr>
        <w:t>elles figurent dans le paragraphe 9 du document CAJ/69/10</w:t>
      </w:r>
      <w:r w:rsidR="00405634" w:rsidRPr="00B87E09">
        <w:rPr>
          <w:rFonts w:eastAsia="SimSun"/>
          <w:spacing w:val="-2"/>
          <w:lang w:val="fr-FR"/>
        </w:rPr>
        <w:t xml:space="preserve"> </w:t>
      </w:r>
      <w:r w:rsidR="00405634" w:rsidRPr="00B87E09">
        <w:rPr>
          <w:lang w:val="fr-FR"/>
        </w:rPr>
        <w:t>(voir le paragraphe 82 du document CAJ/69/12 “Compte rendu des conclusions”)</w:t>
      </w:r>
      <w:r w:rsidRPr="00B87E09">
        <w:rPr>
          <w:rFonts w:eastAsia="SimSun"/>
          <w:spacing w:val="-2"/>
          <w:lang w:val="fr-FR"/>
        </w:rPr>
        <w:t>.</w:t>
      </w:r>
    </w:p>
    <w:p w:rsidR="008C1516" w:rsidRPr="00B87E09" w:rsidRDefault="008C1516" w:rsidP="008C1516">
      <w:pPr>
        <w:rPr>
          <w:rFonts w:eastAsia="SimSun"/>
          <w:lang w:val="fr-FR"/>
        </w:rPr>
      </w:pPr>
    </w:p>
    <w:p w:rsidR="008C1516" w:rsidRPr="00B87E09" w:rsidRDefault="008C1516" w:rsidP="008C1516">
      <w:pPr>
        <w:rPr>
          <w:lang w:val="fr-FR"/>
        </w:rPr>
      </w:pPr>
      <w:r w:rsidRPr="00B87E09">
        <w:rPr>
          <w:rFonts w:eastAsia="SimSun"/>
          <w:lang w:val="fr-FR"/>
        </w:rPr>
        <w:fldChar w:fldCharType="begin"/>
      </w:r>
      <w:r w:rsidRPr="00B87E09">
        <w:rPr>
          <w:rFonts w:eastAsia="SimSun"/>
          <w:lang w:val="fr-FR"/>
        </w:rPr>
        <w:instrText xml:space="preserve"> AUTONUM  </w:instrText>
      </w:r>
      <w:r w:rsidRPr="00B87E09">
        <w:rPr>
          <w:rFonts w:eastAsia="SimSun"/>
          <w:lang w:val="fr-FR"/>
        </w:rPr>
        <w:fldChar w:fldCharType="end"/>
      </w:r>
      <w:r w:rsidRPr="00B87E09">
        <w:rPr>
          <w:rFonts w:eastAsia="SimSun"/>
          <w:lang w:val="fr-FR"/>
        </w:rPr>
        <w:tab/>
        <w:t xml:space="preserve">Le CAJ </w:t>
      </w:r>
      <w:r w:rsidR="00405634" w:rsidRPr="00B87E09">
        <w:rPr>
          <w:rFonts w:eastAsia="SimSun"/>
          <w:lang w:val="fr-FR"/>
        </w:rPr>
        <w:t>est convenu</w:t>
      </w:r>
      <w:r w:rsidRPr="00B87E09">
        <w:rPr>
          <w:rFonts w:eastAsia="SimSun"/>
          <w:lang w:val="fr-FR"/>
        </w:rPr>
        <w:t xml:space="preserve"> d</w:t>
      </w:r>
      <w:r w:rsidR="00CA38FC" w:rsidRPr="00B87E09">
        <w:rPr>
          <w:rFonts w:eastAsia="SimSun"/>
          <w:lang w:val="fr-FR"/>
        </w:rPr>
        <w:t>’</w:t>
      </w:r>
      <w:r w:rsidRPr="00B87E09">
        <w:rPr>
          <w:rFonts w:eastAsia="SimSun"/>
          <w:lang w:val="fr-FR"/>
        </w:rPr>
        <w:t xml:space="preserve">élaborer dans le </w:t>
      </w:r>
      <w:r w:rsidRPr="00B87E09">
        <w:rPr>
          <w:lang w:val="fr-FR"/>
        </w:rPr>
        <w:t>document UPOV/INF/15 des orientations sur la possibilité de déposer des demandes par voie électronique</w:t>
      </w:r>
      <w:r w:rsidR="00405634" w:rsidRPr="00B87E09">
        <w:rPr>
          <w:lang w:val="fr-FR"/>
        </w:rPr>
        <w:t xml:space="preserve"> (voir le paragraphe 83 du document CAJ/69/12 “Compte rendu des conclusions”)</w:t>
      </w:r>
      <w:r w:rsidRPr="00B87E09">
        <w:rPr>
          <w:lang w:val="fr-FR"/>
        </w:rPr>
        <w:t>.</w:t>
      </w:r>
    </w:p>
    <w:p w:rsidR="008C1516" w:rsidRPr="00B87E09" w:rsidRDefault="008C1516" w:rsidP="008C1516">
      <w:pPr>
        <w:rPr>
          <w:lang w:val="fr-FR"/>
        </w:rPr>
      </w:pPr>
    </w:p>
    <w:p w:rsidR="008C1516" w:rsidRPr="00B87E09" w:rsidRDefault="008C1516" w:rsidP="008C1516">
      <w:pPr>
        <w:rPr>
          <w:snapToGrid w:val="0"/>
          <w:lang w:val="fr-FR"/>
        </w:rPr>
      </w:pPr>
      <w:r w:rsidRPr="00B87E09">
        <w:rPr>
          <w:snapToGrid w:val="0"/>
          <w:lang w:val="fr-FR"/>
        </w:rPr>
        <w:fldChar w:fldCharType="begin"/>
      </w:r>
      <w:r w:rsidRPr="00B87E09">
        <w:rPr>
          <w:snapToGrid w:val="0"/>
          <w:lang w:val="fr-FR"/>
        </w:rPr>
        <w:instrText xml:space="preserve"> AUTONUM  </w:instrText>
      </w:r>
      <w:r w:rsidRPr="00B87E09">
        <w:rPr>
          <w:snapToGrid w:val="0"/>
          <w:lang w:val="fr-FR"/>
        </w:rPr>
        <w:fldChar w:fldCharType="end"/>
      </w:r>
      <w:r w:rsidRPr="00B87E09">
        <w:rPr>
          <w:snapToGrid w:val="0"/>
          <w:lang w:val="fr-FR"/>
        </w:rPr>
        <w:tab/>
        <w:t xml:space="preserve">Le CAJ </w:t>
      </w:r>
      <w:r w:rsidR="00405634" w:rsidRPr="00B87E09">
        <w:rPr>
          <w:rFonts w:cs="Arial"/>
          <w:lang w:val="fr-FR"/>
        </w:rPr>
        <w:t>a pris</w:t>
      </w:r>
      <w:r w:rsidRPr="00B87E09">
        <w:rPr>
          <w:rFonts w:cs="Arial"/>
          <w:lang w:val="fr-FR"/>
        </w:rPr>
        <w:t xml:space="preserve"> </w:t>
      </w:r>
      <w:r w:rsidRPr="00B87E09">
        <w:rPr>
          <w:lang w:val="fr-FR"/>
        </w:rPr>
        <w:t xml:space="preserve">note </w:t>
      </w:r>
      <w:r w:rsidRPr="00B87E09">
        <w:rPr>
          <w:snapToGrid w:val="0"/>
          <w:lang w:val="fr-FR"/>
        </w:rPr>
        <w:t>des orientations figurant dans le document TGP/5 Section 2 “Formulaire type de l</w:t>
      </w:r>
      <w:r w:rsidR="00CA38FC" w:rsidRPr="00B87E09">
        <w:rPr>
          <w:snapToGrid w:val="0"/>
          <w:lang w:val="fr-FR"/>
        </w:rPr>
        <w:t>’</w:t>
      </w:r>
      <w:r w:rsidRPr="00B87E09">
        <w:rPr>
          <w:snapToGrid w:val="0"/>
          <w:lang w:val="fr-FR"/>
        </w:rPr>
        <w:t>UPOV pour la demande de protection d</w:t>
      </w:r>
      <w:r w:rsidR="00CA38FC" w:rsidRPr="00B87E09">
        <w:rPr>
          <w:snapToGrid w:val="0"/>
          <w:lang w:val="fr-FR"/>
        </w:rPr>
        <w:t>’</w:t>
      </w:r>
      <w:r w:rsidRPr="00B87E09">
        <w:rPr>
          <w:snapToGrid w:val="0"/>
          <w:lang w:val="fr-FR"/>
        </w:rPr>
        <w:t xml:space="preserve">une obtention végétale” pour ce qui est de la correspondance, et </w:t>
      </w:r>
      <w:r w:rsidR="00405634" w:rsidRPr="00B87E09">
        <w:rPr>
          <w:snapToGrid w:val="0"/>
          <w:lang w:val="fr-FR"/>
        </w:rPr>
        <w:t>est convenu</w:t>
      </w:r>
      <w:r w:rsidRPr="00B87E09">
        <w:rPr>
          <w:snapToGrid w:val="0"/>
          <w:lang w:val="fr-FR"/>
        </w:rPr>
        <w:t xml:space="preserve"> de ne pas élaborer d</w:t>
      </w:r>
      <w:r w:rsidR="00CA38FC" w:rsidRPr="00B87E09">
        <w:rPr>
          <w:snapToGrid w:val="0"/>
          <w:lang w:val="fr-FR"/>
        </w:rPr>
        <w:t>’</w:t>
      </w:r>
      <w:r w:rsidRPr="00B87E09">
        <w:rPr>
          <w:snapToGrid w:val="0"/>
          <w:lang w:val="fr-FR"/>
        </w:rPr>
        <w:t>orientations complémentaires pour l</w:t>
      </w:r>
      <w:r w:rsidR="00CA38FC" w:rsidRPr="00B87E09">
        <w:rPr>
          <w:snapToGrid w:val="0"/>
          <w:lang w:val="fr-FR"/>
        </w:rPr>
        <w:t>’</w:t>
      </w:r>
      <w:r w:rsidRPr="00B87E09">
        <w:rPr>
          <w:snapToGrid w:val="0"/>
          <w:lang w:val="fr-FR"/>
        </w:rPr>
        <w:t>instant</w:t>
      </w:r>
      <w:r w:rsidR="00405634" w:rsidRPr="00B87E09">
        <w:rPr>
          <w:snapToGrid w:val="0"/>
          <w:lang w:val="fr-FR"/>
        </w:rPr>
        <w:t xml:space="preserve"> </w:t>
      </w:r>
      <w:r w:rsidR="00405634" w:rsidRPr="00B87E09">
        <w:rPr>
          <w:lang w:val="fr-FR"/>
        </w:rPr>
        <w:t>(voir le paragraphe 84 du document CAJ/69/12 “Compte rendu des conclusions”)</w:t>
      </w:r>
      <w:r w:rsidRPr="00B87E09">
        <w:rPr>
          <w:snapToGrid w:val="0"/>
          <w:lang w:val="fr-FR"/>
        </w:rPr>
        <w:t>.</w:t>
      </w:r>
    </w:p>
    <w:p w:rsidR="008C1516" w:rsidRPr="00B87E09" w:rsidRDefault="008C1516" w:rsidP="008C1516">
      <w:pPr>
        <w:rPr>
          <w:rFonts w:cs="Arial"/>
          <w:color w:val="0D0D0D"/>
          <w:lang w:val="fr-FR"/>
        </w:rPr>
      </w:pPr>
    </w:p>
    <w:p w:rsidR="008C1516" w:rsidRPr="00B87E09" w:rsidRDefault="008C1516" w:rsidP="008C1516">
      <w:pPr>
        <w:rPr>
          <w:lang w:val="fr-FR"/>
        </w:rPr>
      </w:pPr>
      <w:r w:rsidRPr="00B87E09">
        <w:rPr>
          <w:snapToGrid w:val="0"/>
          <w:lang w:val="fr-FR"/>
        </w:rPr>
        <w:fldChar w:fldCharType="begin"/>
      </w:r>
      <w:r w:rsidRPr="00B87E09">
        <w:rPr>
          <w:snapToGrid w:val="0"/>
          <w:lang w:val="fr-FR"/>
        </w:rPr>
        <w:instrText xml:space="preserve"> AUTONUM  </w:instrText>
      </w:r>
      <w:r w:rsidRPr="00B87E09">
        <w:rPr>
          <w:snapToGrid w:val="0"/>
          <w:lang w:val="fr-FR"/>
        </w:rPr>
        <w:fldChar w:fldCharType="end"/>
      </w:r>
      <w:r w:rsidRPr="00B87E09">
        <w:rPr>
          <w:snapToGrid w:val="0"/>
          <w:lang w:val="fr-FR"/>
        </w:rPr>
        <w:tab/>
        <w:t xml:space="preserve">Le CAJ </w:t>
      </w:r>
      <w:r w:rsidR="00654B59" w:rsidRPr="00B87E09">
        <w:rPr>
          <w:rFonts w:cs="Arial"/>
          <w:lang w:val="fr-FR"/>
        </w:rPr>
        <w:t>a pris</w:t>
      </w:r>
      <w:r w:rsidRPr="00B87E09">
        <w:rPr>
          <w:rFonts w:cs="Arial"/>
          <w:lang w:val="fr-FR"/>
        </w:rPr>
        <w:t xml:space="preserve"> </w:t>
      </w:r>
      <w:r w:rsidRPr="00B87E09">
        <w:rPr>
          <w:lang w:val="fr-FR"/>
        </w:rPr>
        <w:t>note des orientations existantes sur les lignées parentales en rapport avec les de</w:t>
      </w:r>
      <w:r w:rsidR="00654B59" w:rsidRPr="00B87E09">
        <w:rPr>
          <w:lang w:val="fr-FR"/>
        </w:rPr>
        <w:t xml:space="preserve">mandes concernant les hybrides </w:t>
      </w:r>
      <w:r w:rsidRPr="00B87E09">
        <w:rPr>
          <w:rFonts w:cs="Arial"/>
          <w:lang w:val="fr-FR"/>
        </w:rPr>
        <w:t xml:space="preserve">et </w:t>
      </w:r>
      <w:r w:rsidR="00654B59" w:rsidRPr="00B87E09">
        <w:rPr>
          <w:rFonts w:cs="Arial"/>
          <w:lang w:val="fr-FR"/>
        </w:rPr>
        <w:t>est convenu</w:t>
      </w:r>
      <w:r w:rsidRPr="00B87E09">
        <w:rPr>
          <w:rFonts w:cs="Arial"/>
          <w:lang w:val="fr-FR"/>
        </w:rPr>
        <w:t xml:space="preserve"> de ne pas </w:t>
      </w:r>
      <w:r w:rsidRPr="00B87E09">
        <w:rPr>
          <w:snapToGrid w:val="0"/>
          <w:lang w:val="fr-FR"/>
        </w:rPr>
        <w:t>élaborer d</w:t>
      </w:r>
      <w:r w:rsidR="00CA38FC" w:rsidRPr="00B87E09">
        <w:rPr>
          <w:snapToGrid w:val="0"/>
          <w:lang w:val="fr-FR"/>
        </w:rPr>
        <w:t>’</w:t>
      </w:r>
      <w:r w:rsidRPr="00B87E09">
        <w:rPr>
          <w:snapToGrid w:val="0"/>
          <w:lang w:val="fr-FR"/>
        </w:rPr>
        <w:t>orientations complémentaires pour l</w:t>
      </w:r>
      <w:r w:rsidR="00CA38FC" w:rsidRPr="00B87E09">
        <w:rPr>
          <w:snapToGrid w:val="0"/>
          <w:lang w:val="fr-FR"/>
        </w:rPr>
        <w:t>’</w:t>
      </w:r>
      <w:r w:rsidRPr="00B87E09">
        <w:rPr>
          <w:snapToGrid w:val="0"/>
          <w:lang w:val="fr-FR"/>
        </w:rPr>
        <w:t>instant</w:t>
      </w:r>
      <w:r w:rsidR="00654B59" w:rsidRPr="00B87E09">
        <w:rPr>
          <w:snapToGrid w:val="0"/>
          <w:lang w:val="fr-FR"/>
        </w:rPr>
        <w:t xml:space="preserve"> </w:t>
      </w:r>
      <w:r w:rsidR="00654B59" w:rsidRPr="00B87E09">
        <w:rPr>
          <w:lang w:val="fr-FR"/>
        </w:rPr>
        <w:t>(voir le paragraphe 85 du document CAJ/69/12 “Compte rendu des conclusions”)</w:t>
      </w:r>
      <w:r w:rsidRPr="00B87E09">
        <w:rPr>
          <w:snapToGrid w:val="0"/>
          <w:lang w:val="fr-FR"/>
        </w:rPr>
        <w:t>.</w:t>
      </w:r>
    </w:p>
    <w:p w:rsidR="008C1516" w:rsidRPr="00F0303B" w:rsidRDefault="008C1516" w:rsidP="00F0303B"/>
    <w:p w:rsidR="008C1516" w:rsidRPr="00B87E09" w:rsidRDefault="008C1516" w:rsidP="008C1516">
      <w:pPr>
        <w:rPr>
          <w:lang w:val="fr-FR"/>
        </w:rPr>
      </w:pPr>
      <w:r w:rsidRPr="00B87E09">
        <w:rPr>
          <w:snapToGrid w:val="0"/>
          <w:lang w:val="fr-FR"/>
        </w:rPr>
        <w:fldChar w:fldCharType="begin"/>
      </w:r>
      <w:r w:rsidRPr="00B87E09">
        <w:rPr>
          <w:snapToGrid w:val="0"/>
          <w:lang w:val="fr-FR"/>
        </w:rPr>
        <w:instrText xml:space="preserve"> AUTONUM  </w:instrText>
      </w:r>
      <w:r w:rsidRPr="00B87E09">
        <w:rPr>
          <w:snapToGrid w:val="0"/>
          <w:lang w:val="fr-FR"/>
        </w:rPr>
        <w:fldChar w:fldCharType="end"/>
      </w:r>
      <w:r w:rsidRPr="00B87E09">
        <w:rPr>
          <w:snapToGrid w:val="0"/>
          <w:lang w:val="fr-FR"/>
        </w:rPr>
        <w:tab/>
        <w:t xml:space="preserve">Le CAJ </w:t>
      </w:r>
      <w:r w:rsidR="00654B59" w:rsidRPr="00B87E09">
        <w:rPr>
          <w:rFonts w:cs="Arial"/>
          <w:lang w:val="fr-FR"/>
        </w:rPr>
        <w:t>a pris</w:t>
      </w:r>
      <w:r w:rsidRPr="00B87E09">
        <w:rPr>
          <w:rFonts w:cs="Arial"/>
          <w:lang w:val="fr-FR"/>
        </w:rPr>
        <w:t xml:space="preserve"> </w:t>
      </w:r>
      <w:r w:rsidRPr="00B87E09">
        <w:rPr>
          <w:lang w:val="fr-FR"/>
        </w:rPr>
        <w:t>note des orientations existantes sur la disponibilité et l</w:t>
      </w:r>
      <w:r w:rsidR="00CA38FC" w:rsidRPr="00B87E09">
        <w:rPr>
          <w:lang w:val="fr-FR"/>
        </w:rPr>
        <w:t>’</w:t>
      </w:r>
      <w:r w:rsidRPr="00B87E09">
        <w:rPr>
          <w:lang w:val="fr-FR"/>
        </w:rPr>
        <w:t>échange de matériel</w:t>
      </w:r>
      <w:r w:rsidRPr="00B87E09">
        <w:rPr>
          <w:rFonts w:cs="Arial"/>
          <w:color w:val="0D0D0D"/>
          <w:lang w:val="fr-FR"/>
        </w:rPr>
        <w:t xml:space="preserve"> et </w:t>
      </w:r>
      <w:r w:rsidR="00654B59" w:rsidRPr="00B87E09">
        <w:rPr>
          <w:rFonts w:cs="Arial"/>
          <w:color w:val="0D0D0D"/>
          <w:lang w:val="fr-FR"/>
        </w:rPr>
        <w:t xml:space="preserve">est convenu </w:t>
      </w:r>
      <w:r w:rsidRPr="00B87E09">
        <w:rPr>
          <w:rFonts w:cs="Arial"/>
          <w:color w:val="0D0D0D"/>
          <w:lang w:val="fr-FR"/>
        </w:rPr>
        <w:t xml:space="preserve">de ne pas </w:t>
      </w:r>
      <w:r w:rsidRPr="00B87E09">
        <w:rPr>
          <w:snapToGrid w:val="0"/>
          <w:lang w:val="fr-FR"/>
        </w:rPr>
        <w:t>élaborer d</w:t>
      </w:r>
      <w:r w:rsidR="00CA38FC" w:rsidRPr="00B87E09">
        <w:rPr>
          <w:snapToGrid w:val="0"/>
          <w:lang w:val="fr-FR"/>
        </w:rPr>
        <w:t>’</w:t>
      </w:r>
      <w:r w:rsidRPr="00B87E09">
        <w:rPr>
          <w:snapToGrid w:val="0"/>
          <w:lang w:val="fr-FR"/>
        </w:rPr>
        <w:t>orientations complémentaires pour l</w:t>
      </w:r>
      <w:r w:rsidR="00CA38FC" w:rsidRPr="00B87E09">
        <w:rPr>
          <w:snapToGrid w:val="0"/>
          <w:lang w:val="fr-FR"/>
        </w:rPr>
        <w:t>’</w:t>
      </w:r>
      <w:r w:rsidRPr="00B87E09">
        <w:rPr>
          <w:snapToGrid w:val="0"/>
          <w:lang w:val="fr-FR"/>
        </w:rPr>
        <w:t>instant</w:t>
      </w:r>
      <w:r w:rsidR="00654B59" w:rsidRPr="00B87E09">
        <w:rPr>
          <w:snapToGrid w:val="0"/>
          <w:lang w:val="fr-FR"/>
        </w:rPr>
        <w:t xml:space="preserve"> </w:t>
      </w:r>
      <w:r w:rsidR="00654B59" w:rsidRPr="00B87E09">
        <w:rPr>
          <w:lang w:val="fr-FR"/>
        </w:rPr>
        <w:t>(voir le paragraphe 86 du document CAJ/69/12 “Compte rendu des conclusions”)</w:t>
      </w:r>
      <w:r w:rsidRPr="00B87E09">
        <w:rPr>
          <w:snapToGrid w:val="0"/>
          <w:lang w:val="fr-FR"/>
        </w:rPr>
        <w:t>.</w:t>
      </w:r>
    </w:p>
    <w:p w:rsidR="008C1516" w:rsidRPr="00B87E09" w:rsidRDefault="008C1516" w:rsidP="008C1516">
      <w:pPr>
        <w:rPr>
          <w:rFonts w:cs="Arial"/>
          <w:color w:val="0D0D0D"/>
          <w:lang w:val="fr-FR"/>
        </w:rPr>
      </w:pPr>
    </w:p>
    <w:p w:rsidR="008C1516" w:rsidRPr="00B87E09" w:rsidRDefault="008C1516" w:rsidP="008C1516">
      <w:pPr>
        <w:rPr>
          <w:snapToGrid w:val="0"/>
          <w:lang w:val="fr-FR"/>
        </w:rPr>
      </w:pPr>
      <w:r w:rsidRPr="00B87E09">
        <w:rPr>
          <w:snapToGrid w:val="0"/>
          <w:lang w:val="fr-FR"/>
        </w:rPr>
        <w:fldChar w:fldCharType="begin"/>
      </w:r>
      <w:r w:rsidRPr="00B87E09">
        <w:rPr>
          <w:snapToGrid w:val="0"/>
          <w:lang w:val="fr-FR"/>
        </w:rPr>
        <w:instrText xml:space="preserve"> AUTONUM  </w:instrText>
      </w:r>
      <w:r w:rsidRPr="00B87E09">
        <w:rPr>
          <w:snapToGrid w:val="0"/>
          <w:lang w:val="fr-FR"/>
        </w:rPr>
        <w:fldChar w:fldCharType="end"/>
      </w:r>
      <w:r w:rsidRPr="00B87E09">
        <w:rPr>
          <w:snapToGrid w:val="0"/>
          <w:lang w:val="fr-FR"/>
        </w:rPr>
        <w:tab/>
        <w:t xml:space="preserve">Le CAJ </w:t>
      </w:r>
      <w:r w:rsidR="00654B59" w:rsidRPr="00B87E09">
        <w:rPr>
          <w:rFonts w:cs="Arial"/>
          <w:lang w:val="fr-FR"/>
        </w:rPr>
        <w:t>a pris</w:t>
      </w:r>
      <w:r w:rsidRPr="00B87E09">
        <w:rPr>
          <w:rFonts w:cs="Arial"/>
          <w:lang w:val="fr-FR"/>
        </w:rPr>
        <w:t xml:space="preserve"> </w:t>
      </w:r>
      <w:r w:rsidRPr="00B87E09">
        <w:rPr>
          <w:lang w:val="fr-FR"/>
        </w:rPr>
        <w:t>note des délibérations qui ont eu lieu en son sein concernant les “Recommandations visant à garantir l</w:t>
      </w:r>
      <w:r w:rsidR="00CA38FC" w:rsidRPr="00B87E09">
        <w:rPr>
          <w:lang w:val="fr-FR"/>
        </w:rPr>
        <w:t>’</w:t>
      </w:r>
      <w:r w:rsidRPr="00B87E09">
        <w:rPr>
          <w:lang w:val="fr-FR"/>
        </w:rPr>
        <w:t>indépendance des centres procédant à l</w:t>
      </w:r>
      <w:r w:rsidR="00CA38FC" w:rsidRPr="00B87E09">
        <w:rPr>
          <w:lang w:val="fr-FR"/>
        </w:rPr>
        <w:t>’</w:t>
      </w:r>
      <w:r w:rsidRPr="00B87E09">
        <w:rPr>
          <w:lang w:val="fr-FR"/>
        </w:rPr>
        <w:t>examen DHS qui mènent des activités d</w:t>
      </w:r>
      <w:r w:rsidR="00CA38FC" w:rsidRPr="00B87E09">
        <w:rPr>
          <w:lang w:val="fr-FR"/>
        </w:rPr>
        <w:t>’</w:t>
      </w:r>
      <w:r w:rsidRPr="00B87E09">
        <w:rPr>
          <w:lang w:val="fr-FR"/>
        </w:rPr>
        <w:t>amélioration des plantes ou qui sont associés à de telles activités</w:t>
      </w:r>
      <w:r w:rsidR="00654B59" w:rsidRPr="00B87E09">
        <w:rPr>
          <w:lang w:val="fr-FR"/>
        </w:rPr>
        <w:t xml:space="preserve"> (voir le paragraphe 87 du document CAJ/69/12 “Compte rendu des conclusions”)</w:t>
      </w:r>
      <w:r w:rsidRPr="00B87E09">
        <w:rPr>
          <w:color w:val="0D0D0D"/>
          <w:lang w:val="fr-FR"/>
        </w:rPr>
        <w:t>.</w:t>
      </w:r>
    </w:p>
    <w:p w:rsidR="008C1516" w:rsidRPr="00B87E09" w:rsidRDefault="008C1516" w:rsidP="008C1516">
      <w:pPr>
        <w:rPr>
          <w:snapToGrid w:val="0"/>
          <w:lang w:val="fr-FR"/>
        </w:rPr>
      </w:pPr>
    </w:p>
    <w:p w:rsidR="008C1516" w:rsidRPr="00B87E09" w:rsidRDefault="008C1516" w:rsidP="008C1516">
      <w:pPr>
        <w:rPr>
          <w:lang w:val="fr-FR"/>
        </w:rPr>
      </w:pPr>
      <w:r w:rsidRPr="00B87E09">
        <w:rPr>
          <w:snapToGrid w:val="0"/>
          <w:lang w:val="fr-FR"/>
        </w:rPr>
        <w:fldChar w:fldCharType="begin"/>
      </w:r>
      <w:r w:rsidRPr="00B87E09">
        <w:rPr>
          <w:snapToGrid w:val="0"/>
          <w:lang w:val="fr-FR"/>
        </w:rPr>
        <w:instrText xml:space="preserve"> AUTONUM  </w:instrText>
      </w:r>
      <w:r w:rsidRPr="00B87E09">
        <w:rPr>
          <w:snapToGrid w:val="0"/>
          <w:lang w:val="fr-FR"/>
        </w:rPr>
        <w:fldChar w:fldCharType="end"/>
      </w:r>
      <w:r w:rsidRPr="00B87E09">
        <w:rPr>
          <w:snapToGrid w:val="0"/>
          <w:lang w:val="fr-FR"/>
        </w:rPr>
        <w:tab/>
        <w:t xml:space="preserve">Le CAJ </w:t>
      </w:r>
      <w:r w:rsidR="00654B59" w:rsidRPr="00B87E09">
        <w:rPr>
          <w:lang w:val="fr-FR"/>
        </w:rPr>
        <w:t>est convenu</w:t>
      </w:r>
      <w:r w:rsidRPr="00B87E09">
        <w:rPr>
          <w:lang w:val="fr-FR"/>
        </w:rPr>
        <w:t xml:space="preserve"> d</w:t>
      </w:r>
      <w:r w:rsidR="00CA38FC" w:rsidRPr="00B87E09">
        <w:rPr>
          <w:lang w:val="fr-FR"/>
        </w:rPr>
        <w:t>’</w:t>
      </w:r>
      <w:r w:rsidRPr="00B87E09">
        <w:rPr>
          <w:lang w:val="fr-FR"/>
        </w:rPr>
        <w:t>intégrer dans le document UPOV/INF/15 des orientations sur la confidentialité du matériel du déposant lorsque les centres d</w:t>
      </w:r>
      <w:r w:rsidR="00CA38FC" w:rsidRPr="00B87E09">
        <w:rPr>
          <w:lang w:val="fr-FR"/>
        </w:rPr>
        <w:t>’</w:t>
      </w:r>
      <w:r w:rsidRPr="00B87E09">
        <w:rPr>
          <w:lang w:val="fr-FR"/>
        </w:rPr>
        <w:t>examen mènent des activités d</w:t>
      </w:r>
      <w:r w:rsidR="00CA38FC" w:rsidRPr="00B87E09">
        <w:rPr>
          <w:lang w:val="fr-FR"/>
        </w:rPr>
        <w:t>’</w:t>
      </w:r>
      <w:r w:rsidRPr="00B87E09">
        <w:rPr>
          <w:lang w:val="fr-FR"/>
        </w:rPr>
        <w:t>amélioration des plantes ou sont associés à de telles activités</w:t>
      </w:r>
      <w:r w:rsidR="00654B59" w:rsidRPr="00B87E09">
        <w:rPr>
          <w:lang w:val="fr-FR"/>
        </w:rPr>
        <w:t xml:space="preserve"> (voir le paragraphe 88 du document CAJ/69/12 “Compte rendu des conclusions”)</w:t>
      </w:r>
      <w:r w:rsidRPr="00B87E09">
        <w:rPr>
          <w:lang w:val="fr-FR"/>
        </w:rPr>
        <w:t>.</w:t>
      </w:r>
    </w:p>
    <w:p w:rsidR="008C1516" w:rsidRPr="00B87E09" w:rsidRDefault="008C1516" w:rsidP="008C1516">
      <w:pPr>
        <w:rPr>
          <w:lang w:val="fr-FR"/>
        </w:rPr>
      </w:pPr>
    </w:p>
    <w:p w:rsidR="008C1516" w:rsidRDefault="008C1516" w:rsidP="00D34050">
      <w:pPr>
        <w:rPr>
          <w:lang w:val="fr-FR"/>
        </w:rPr>
      </w:pPr>
      <w:r w:rsidRPr="00B87E09">
        <w:rPr>
          <w:snapToGrid w:val="0"/>
          <w:lang w:val="fr-FR"/>
        </w:rPr>
        <w:lastRenderedPageBreak/>
        <w:fldChar w:fldCharType="begin"/>
      </w:r>
      <w:r w:rsidRPr="00B87E09">
        <w:rPr>
          <w:snapToGrid w:val="0"/>
          <w:lang w:val="fr-FR"/>
        </w:rPr>
        <w:instrText xml:space="preserve"> AUTONUM  </w:instrText>
      </w:r>
      <w:r w:rsidRPr="00B87E09">
        <w:rPr>
          <w:snapToGrid w:val="0"/>
          <w:lang w:val="fr-FR"/>
        </w:rPr>
        <w:fldChar w:fldCharType="end"/>
      </w:r>
      <w:r w:rsidRPr="00B87E09">
        <w:rPr>
          <w:snapToGrid w:val="0"/>
          <w:lang w:val="fr-FR"/>
        </w:rPr>
        <w:tab/>
        <w:t xml:space="preserve">Le CAJ </w:t>
      </w:r>
      <w:r w:rsidR="00654B59" w:rsidRPr="00B87E09">
        <w:rPr>
          <w:rFonts w:cs="Arial"/>
          <w:lang w:val="fr-FR"/>
        </w:rPr>
        <w:t>a</w:t>
      </w:r>
      <w:r w:rsidRPr="00B87E09">
        <w:rPr>
          <w:rFonts w:cs="Arial"/>
          <w:lang w:val="fr-FR"/>
        </w:rPr>
        <w:t xml:space="preserve"> </w:t>
      </w:r>
      <w:r w:rsidRPr="00B87E09">
        <w:rPr>
          <w:lang w:val="fr-FR"/>
        </w:rPr>
        <w:t>not</w:t>
      </w:r>
      <w:r w:rsidR="00654B59" w:rsidRPr="00B87E09">
        <w:rPr>
          <w:lang w:val="fr-FR"/>
        </w:rPr>
        <w:t>é</w:t>
      </w:r>
      <w:r w:rsidRPr="00B87E09">
        <w:rPr>
          <w:lang w:val="fr-FR"/>
        </w:rPr>
        <w:t xml:space="preserve"> </w:t>
      </w:r>
      <w:r w:rsidRPr="00B87E09">
        <w:rPr>
          <w:snapToGrid w:val="0"/>
          <w:lang w:val="fr-FR"/>
        </w:rPr>
        <w:t xml:space="preserve">que le </w:t>
      </w:r>
      <w:r w:rsidRPr="00B87E09">
        <w:rPr>
          <w:kern w:val="28"/>
          <w:lang w:val="fr-FR"/>
        </w:rPr>
        <w:t>document CAJ/69/6 “Bases de données d</w:t>
      </w:r>
      <w:r w:rsidR="00CA38FC" w:rsidRPr="00B87E09">
        <w:rPr>
          <w:kern w:val="28"/>
          <w:lang w:val="fr-FR"/>
        </w:rPr>
        <w:t>’</w:t>
      </w:r>
      <w:r w:rsidRPr="00B87E09">
        <w:rPr>
          <w:kern w:val="28"/>
          <w:lang w:val="fr-FR"/>
        </w:rPr>
        <w:t>information de l</w:t>
      </w:r>
      <w:r w:rsidR="00CA38FC" w:rsidRPr="00B87E09">
        <w:rPr>
          <w:kern w:val="28"/>
          <w:lang w:val="fr-FR"/>
        </w:rPr>
        <w:t>’</w:t>
      </w:r>
      <w:r w:rsidRPr="00B87E09">
        <w:rPr>
          <w:kern w:val="28"/>
          <w:lang w:val="fr-FR"/>
        </w:rPr>
        <w:t xml:space="preserve">UPOV” </w:t>
      </w:r>
      <w:r w:rsidR="00654B59" w:rsidRPr="00B87E09">
        <w:rPr>
          <w:kern w:val="28"/>
          <w:lang w:val="fr-FR"/>
        </w:rPr>
        <w:t>contenait</w:t>
      </w:r>
      <w:r w:rsidRPr="00B87E09">
        <w:rPr>
          <w:kern w:val="28"/>
          <w:lang w:val="fr-FR"/>
        </w:rPr>
        <w:t xml:space="preserve"> des questions pertinentes sur la communication régulière d</w:t>
      </w:r>
      <w:r w:rsidR="00CA38FC" w:rsidRPr="00B87E09">
        <w:rPr>
          <w:kern w:val="28"/>
          <w:lang w:val="fr-FR"/>
        </w:rPr>
        <w:t>’</w:t>
      </w:r>
      <w:r w:rsidRPr="00B87E09">
        <w:rPr>
          <w:kern w:val="28"/>
          <w:lang w:val="fr-FR"/>
        </w:rPr>
        <w:t xml:space="preserve">informations à la base de données sur les variétés végétales PLUTO et que le </w:t>
      </w:r>
      <w:r w:rsidRPr="00B87E09">
        <w:rPr>
          <w:lang w:val="fr-FR"/>
        </w:rPr>
        <w:t xml:space="preserve">document </w:t>
      </w:r>
      <w:r w:rsidRPr="00B87E09">
        <w:rPr>
          <w:kern w:val="28"/>
          <w:lang w:val="fr-FR"/>
        </w:rPr>
        <w:t xml:space="preserve">CAJ/69/6 </w:t>
      </w:r>
      <w:r w:rsidR="00654B59" w:rsidRPr="00B87E09">
        <w:rPr>
          <w:kern w:val="28"/>
          <w:lang w:val="fr-FR"/>
        </w:rPr>
        <w:t>contenait</w:t>
      </w:r>
      <w:r w:rsidRPr="00B87E09">
        <w:rPr>
          <w:kern w:val="28"/>
          <w:lang w:val="fr-FR"/>
        </w:rPr>
        <w:t xml:space="preserve"> les réponses à une enquête auprès des membres de l</w:t>
      </w:r>
      <w:r w:rsidR="00CA38FC" w:rsidRPr="00B87E09">
        <w:rPr>
          <w:kern w:val="28"/>
          <w:lang w:val="fr-FR"/>
        </w:rPr>
        <w:t>’</w:t>
      </w:r>
      <w:r w:rsidRPr="00B87E09">
        <w:rPr>
          <w:kern w:val="28"/>
          <w:lang w:val="fr-FR"/>
        </w:rPr>
        <w:t>Union quant à leur utilisation des bases de données aux fins de la protection des obtentions végétales, ainsi que leur utilisation des systèmes de dépôt électronique des demandes</w:t>
      </w:r>
      <w:r w:rsidR="00654B59" w:rsidRPr="00B87E09">
        <w:rPr>
          <w:kern w:val="28"/>
          <w:lang w:val="fr-FR"/>
        </w:rPr>
        <w:t xml:space="preserve"> </w:t>
      </w:r>
      <w:r w:rsidR="00654B59" w:rsidRPr="00B87E09">
        <w:rPr>
          <w:lang w:val="fr-FR"/>
        </w:rPr>
        <w:t>(voir le paragraphe 89 du document CAJ/69/12 “Compte rendu des conclusions”)</w:t>
      </w:r>
      <w:r w:rsidRPr="00D34050">
        <w:rPr>
          <w:lang w:val="fr-FR"/>
        </w:rPr>
        <w:t>.</w:t>
      </w:r>
    </w:p>
    <w:p w:rsidR="00D34050" w:rsidRPr="00D34050" w:rsidRDefault="00D34050" w:rsidP="00D34050">
      <w:pPr>
        <w:rPr>
          <w:lang w:val="fr-FR"/>
        </w:rPr>
      </w:pPr>
    </w:p>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CAJ </w:t>
      </w:r>
      <w:r w:rsidR="00B94BB6" w:rsidRPr="00B87E09">
        <w:rPr>
          <w:lang w:val="fr-FR"/>
        </w:rPr>
        <w:t>est convenu</w:t>
      </w:r>
      <w:r w:rsidRPr="00B87E09">
        <w:rPr>
          <w:lang w:val="fr-FR"/>
        </w:rPr>
        <w:t xml:space="preserve"> d</w:t>
      </w:r>
      <w:r w:rsidR="00CA38FC" w:rsidRPr="00B87E09">
        <w:rPr>
          <w:lang w:val="fr-FR"/>
        </w:rPr>
        <w:t>’</w:t>
      </w:r>
      <w:r w:rsidRPr="00B87E09">
        <w:rPr>
          <w:lang w:val="fr-FR"/>
        </w:rPr>
        <w:t>élaborer des orientations sur la fréquence de la communication des données et l</w:t>
      </w:r>
      <w:r w:rsidR="00CA38FC" w:rsidRPr="00B87E09">
        <w:rPr>
          <w:lang w:val="fr-FR"/>
        </w:rPr>
        <w:t>’</w:t>
      </w:r>
      <w:r w:rsidRPr="00B87E09">
        <w:rPr>
          <w:lang w:val="fr-FR"/>
        </w:rPr>
        <w:t>exhaustivité des bases de données parallèlement à la mise à jour du document UPOV/INF/5 “Bulletin type de l</w:t>
      </w:r>
      <w:r w:rsidR="00CA38FC" w:rsidRPr="00B87E09">
        <w:rPr>
          <w:lang w:val="fr-FR"/>
        </w:rPr>
        <w:t>’</w:t>
      </w:r>
      <w:r w:rsidRPr="00B87E09">
        <w:rPr>
          <w:lang w:val="fr-FR"/>
        </w:rPr>
        <w:t>UPOV de la protection des obtentions végétales</w:t>
      </w:r>
      <w:r w:rsidR="00B94BB6" w:rsidRPr="00B87E09">
        <w:rPr>
          <w:lang w:val="fr-FR"/>
        </w:rPr>
        <w:t xml:space="preserve"> (voir le paragraphe 90 du document CAJ/69/12 “Compte rendu des conclusions”)</w:t>
      </w:r>
      <w:r w:rsidRPr="00B87E09">
        <w:rPr>
          <w:lang w:val="fr-FR"/>
        </w:rPr>
        <w:t>.</w:t>
      </w:r>
    </w:p>
    <w:p w:rsidR="008C1516" w:rsidRPr="00B87E09" w:rsidRDefault="008C1516" w:rsidP="008C1516">
      <w:pPr>
        <w:rPr>
          <w:snapToGrid w:val="0"/>
          <w:lang w:val="fr-FR"/>
        </w:rPr>
      </w:pPr>
    </w:p>
    <w:p w:rsidR="008C1516" w:rsidRPr="00B87E09" w:rsidRDefault="008C1516" w:rsidP="008C1516">
      <w:pPr>
        <w:rPr>
          <w:lang w:val="fr-FR"/>
        </w:rPr>
      </w:pPr>
      <w:r w:rsidRPr="00B87E09">
        <w:rPr>
          <w:spacing w:val="-2"/>
          <w:lang w:val="fr-FR"/>
        </w:rPr>
        <w:fldChar w:fldCharType="begin"/>
      </w:r>
      <w:r w:rsidRPr="00B87E09">
        <w:rPr>
          <w:spacing w:val="-2"/>
          <w:lang w:val="fr-FR"/>
        </w:rPr>
        <w:instrText xml:space="preserve"> AUTONUM  </w:instrText>
      </w:r>
      <w:r w:rsidRPr="00B87E09">
        <w:rPr>
          <w:spacing w:val="-2"/>
          <w:lang w:val="fr-FR"/>
        </w:rPr>
        <w:fldChar w:fldCharType="end"/>
      </w:r>
      <w:r w:rsidRPr="00B87E09">
        <w:rPr>
          <w:spacing w:val="-2"/>
          <w:lang w:val="fr-FR"/>
        </w:rPr>
        <w:tab/>
      </w:r>
      <w:r w:rsidRPr="00B87E09">
        <w:rPr>
          <w:rFonts w:cs="Arial"/>
          <w:lang w:val="fr-FR"/>
        </w:rPr>
        <w:t xml:space="preserve">Le CAJ </w:t>
      </w:r>
      <w:r w:rsidR="00086EAD" w:rsidRPr="00B87E09">
        <w:rPr>
          <w:rFonts w:cs="Arial"/>
          <w:lang w:val="fr-FR"/>
        </w:rPr>
        <w:t>a</w:t>
      </w:r>
      <w:r w:rsidRPr="00B87E09">
        <w:rPr>
          <w:rFonts w:cs="Arial"/>
          <w:lang w:val="fr-FR"/>
        </w:rPr>
        <w:t xml:space="preserve"> </w:t>
      </w:r>
      <w:r w:rsidRPr="00B87E09">
        <w:rPr>
          <w:lang w:val="fr-FR"/>
        </w:rPr>
        <w:t>not</w:t>
      </w:r>
      <w:r w:rsidR="00086EAD" w:rsidRPr="00B87E09">
        <w:rPr>
          <w:lang w:val="fr-FR"/>
        </w:rPr>
        <w:t>é</w:t>
      </w:r>
      <w:r w:rsidRPr="00B87E09">
        <w:rPr>
          <w:lang w:val="fr-FR"/>
        </w:rPr>
        <w:t xml:space="preserve"> que des orientations concernant les dénominations f</w:t>
      </w:r>
      <w:r w:rsidR="00086EAD" w:rsidRPr="00B87E09">
        <w:rPr>
          <w:lang w:val="fr-FR"/>
        </w:rPr>
        <w:t>aisaie</w:t>
      </w:r>
      <w:r w:rsidRPr="00B87E09">
        <w:rPr>
          <w:lang w:val="fr-FR"/>
        </w:rPr>
        <w:t>nt déjà l</w:t>
      </w:r>
      <w:r w:rsidR="00CA38FC" w:rsidRPr="00B87E09">
        <w:rPr>
          <w:lang w:val="fr-FR"/>
        </w:rPr>
        <w:t>’</w:t>
      </w:r>
      <w:r w:rsidRPr="00B87E09">
        <w:rPr>
          <w:lang w:val="fr-FR"/>
        </w:rPr>
        <w:t>objet de travaux en cours sur les dénominations variétales</w:t>
      </w:r>
      <w:r w:rsidR="00086EAD" w:rsidRPr="00B87E09">
        <w:rPr>
          <w:lang w:val="fr-FR"/>
        </w:rPr>
        <w:t xml:space="preserve"> (voir le paragraphe 91 du document CAJ/69/12 “Compte rendu des conclusions”)</w:t>
      </w:r>
      <w:r w:rsidRPr="00B87E09">
        <w:rPr>
          <w:lang w:val="fr-FR"/>
        </w:rPr>
        <w:t>.</w:t>
      </w:r>
    </w:p>
    <w:p w:rsidR="008C1516" w:rsidRPr="00D34050" w:rsidRDefault="008C1516" w:rsidP="00D34050"/>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Le CAJ est convenu de transformer le document UPOV/INF/15 “Document d</w:t>
      </w:r>
      <w:r w:rsidR="00CA38FC" w:rsidRPr="00B87E09">
        <w:rPr>
          <w:lang w:val="fr-FR"/>
        </w:rPr>
        <w:t>’</w:t>
      </w:r>
      <w:r w:rsidRPr="00B87E09">
        <w:rPr>
          <w:lang w:val="fr-FR"/>
        </w:rPr>
        <w:t>orientation destiné aux membres de l</w:t>
      </w:r>
      <w:r w:rsidR="00CA38FC" w:rsidRPr="00B87E09">
        <w:rPr>
          <w:lang w:val="fr-FR"/>
        </w:rPr>
        <w:t>’</w:t>
      </w:r>
      <w:r w:rsidRPr="00B87E09">
        <w:rPr>
          <w:lang w:val="fr-FR"/>
        </w:rPr>
        <w:t>UPOV concernant les obligations en cours et les notifications connexes ainsi que la fourniture d</w:t>
      </w:r>
      <w:r w:rsidR="00CA38FC" w:rsidRPr="00B87E09">
        <w:rPr>
          <w:lang w:val="fr-FR"/>
        </w:rPr>
        <w:t>’</w:t>
      </w:r>
      <w:r w:rsidRPr="00B87E09">
        <w:rPr>
          <w:lang w:val="fr-FR"/>
        </w:rPr>
        <w:t>informations visant à faciliter la coopération” en un document</w:t>
      </w:r>
      <w:r w:rsidR="00B87E09" w:rsidRPr="00B87E09">
        <w:rPr>
          <w:lang w:val="fr-FR"/>
        </w:rPr>
        <w:noBreakHyphen/>
      </w:r>
      <w:r w:rsidRPr="00B87E09">
        <w:rPr>
          <w:lang w:val="fr-FR"/>
        </w:rPr>
        <w:t>cadre qui déterminera</w:t>
      </w:r>
      <w:r w:rsidR="00086EAD" w:rsidRPr="00B87E09">
        <w:rPr>
          <w:lang w:val="fr-FR"/>
        </w:rPr>
        <w:t>it</w:t>
      </w:r>
      <w:r w:rsidRPr="00B87E09">
        <w:rPr>
          <w:lang w:val="fr-FR"/>
        </w:rPr>
        <w:t xml:space="preserve"> les questions clés pour le fonctionnement d</w:t>
      </w:r>
      <w:r w:rsidR="00CA38FC" w:rsidRPr="00B87E09">
        <w:rPr>
          <w:lang w:val="fr-FR"/>
        </w:rPr>
        <w:t>’</w:t>
      </w:r>
      <w:r w:rsidRPr="00B87E09">
        <w:rPr>
          <w:lang w:val="fr-FR"/>
        </w:rPr>
        <w:t>un système de protection des obtentions végétales et fournira</w:t>
      </w:r>
      <w:r w:rsidR="00086EAD" w:rsidRPr="00B87E09">
        <w:rPr>
          <w:lang w:val="fr-FR"/>
        </w:rPr>
        <w:t>it</w:t>
      </w:r>
      <w:r w:rsidRPr="00B87E09">
        <w:rPr>
          <w:lang w:val="fr-FR"/>
        </w:rPr>
        <w:t xml:space="preserve"> un lien avec les orientations détaillées pertinentes </w:t>
      </w:r>
      <w:r w:rsidR="00086EAD" w:rsidRPr="00B87E09">
        <w:rPr>
          <w:lang w:val="fr-FR"/>
        </w:rPr>
        <w:t>(voir le paragraphe 92 du document CAJ/69/12 “Compte rendu des conclusions”)</w:t>
      </w:r>
      <w:r w:rsidRPr="00B87E09">
        <w:rPr>
          <w:lang w:val="fr-FR"/>
        </w:rPr>
        <w:t>.</w:t>
      </w:r>
    </w:p>
    <w:p w:rsidR="008C1516" w:rsidRPr="00B87E09" w:rsidRDefault="008C1516" w:rsidP="008C1516">
      <w:pPr>
        <w:rPr>
          <w:lang w:val="fr-FR"/>
        </w:rPr>
      </w:pPr>
    </w:p>
    <w:p w:rsidR="008C1516" w:rsidRPr="00B87E09" w:rsidRDefault="008C1516" w:rsidP="008C1516">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S</w:t>
      </w:r>
      <w:r w:rsidR="00CA38FC" w:rsidRPr="00B87E09">
        <w:rPr>
          <w:lang w:val="fr-FR"/>
        </w:rPr>
        <w:t>’</w:t>
      </w:r>
      <w:r w:rsidRPr="00B87E09">
        <w:rPr>
          <w:lang w:val="fr-FR"/>
        </w:rPr>
        <w:t xml:space="preserve">agissant des prochaines étapes, le CAJ </w:t>
      </w:r>
      <w:r w:rsidR="00086EAD" w:rsidRPr="00B87E09">
        <w:rPr>
          <w:lang w:val="fr-FR"/>
        </w:rPr>
        <w:t>est convenu</w:t>
      </w:r>
      <w:r w:rsidRPr="00B87E09">
        <w:rPr>
          <w:lang w:val="fr-FR"/>
        </w:rPr>
        <w:t xml:space="preserve"> que le Bureau de l</w:t>
      </w:r>
      <w:r w:rsidR="00CA38FC" w:rsidRPr="00B87E09">
        <w:rPr>
          <w:lang w:val="fr-FR"/>
        </w:rPr>
        <w:t>’</w:t>
      </w:r>
      <w:r w:rsidRPr="00B87E09">
        <w:rPr>
          <w:lang w:val="fr-FR"/>
        </w:rPr>
        <w:t>Union élaborera</w:t>
      </w:r>
      <w:r w:rsidR="00086EAD" w:rsidRPr="00B87E09">
        <w:rPr>
          <w:lang w:val="fr-FR"/>
        </w:rPr>
        <w:t>it</w:t>
      </w:r>
      <w:r w:rsidRPr="00B87E09">
        <w:rPr>
          <w:lang w:val="fr-FR"/>
        </w:rPr>
        <w:t xml:space="preserve"> des documents pertinents sur les questions concernant chacun des points à propos desquels le CAJ a</w:t>
      </w:r>
      <w:r w:rsidR="00086EAD" w:rsidRPr="00B87E09">
        <w:rPr>
          <w:lang w:val="fr-FR"/>
        </w:rPr>
        <w:t>vait</w:t>
      </w:r>
      <w:r w:rsidRPr="00B87E09">
        <w:rPr>
          <w:lang w:val="fr-FR"/>
        </w:rPr>
        <w:t xml:space="preserve"> accepté d</w:t>
      </w:r>
      <w:r w:rsidR="00CA38FC" w:rsidRPr="00B87E09">
        <w:rPr>
          <w:lang w:val="fr-FR"/>
        </w:rPr>
        <w:t>’</w:t>
      </w:r>
      <w:r w:rsidRPr="00B87E09">
        <w:rPr>
          <w:lang w:val="fr-FR"/>
        </w:rPr>
        <w:t>élaborer des orientations plus précises, et qu</w:t>
      </w:r>
      <w:r w:rsidR="00CA38FC" w:rsidRPr="00B87E09">
        <w:rPr>
          <w:lang w:val="fr-FR"/>
        </w:rPr>
        <w:t>’</w:t>
      </w:r>
      <w:r w:rsidRPr="00B87E09">
        <w:rPr>
          <w:lang w:val="fr-FR"/>
        </w:rPr>
        <w:t>il présentera</w:t>
      </w:r>
      <w:r w:rsidR="00086EAD" w:rsidRPr="00B87E09">
        <w:rPr>
          <w:lang w:val="fr-FR"/>
        </w:rPr>
        <w:t>it</w:t>
      </w:r>
      <w:r w:rsidRPr="00B87E09">
        <w:rPr>
          <w:lang w:val="fr-FR"/>
        </w:rPr>
        <w:t xml:space="preserve"> ces questions pour examen par le CAJ à sa soixante</w:t>
      </w:r>
      <w:r w:rsidR="00B87E09" w:rsidRPr="00B87E09">
        <w:rPr>
          <w:lang w:val="fr-FR"/>
        </w:rPr>
        <w:noBreakHyphen/>
      </w:r>
      <w:r w:rsidRPr="00B87E09">
        <w:rPr>
          <w:lang w:val="fr-FR"/>
        </w:rPr>
        <w:t>dixième session.  À ce stade, le CAJ prendra</w:t>
      </w:r>
      <w:r w:rsidR="00086EAD" w:rsidRPr="00B87E09">
        <w:rPr>
          <w:lang w:val="fr-FR"/>
        </w:rPr>
        <w:t>it</w:t>
      </w:r>
      <w:r w:rsidRPr="00B87E09">
        <w:rPr>
          <w:lang w:val="fr-FR"/>
        </w:rPr>
        <w:t xml:space="preserve"> une décision quant aux organes pertinents chargés d</w:t>
      </w:r>
      <w:r w:rsidR="00CA38FC" w:rsidRPr="00B87E09">
        <w:rPr>
          <w:lang w:val="fr-FR"/>
        </w:rPr>
        <w:t>’</w:t>
      </w:r>
      <w:r w:rsidRPr="00B87E09">
        <w:rPr>
          <w:lang w:val="fr-FR"/>
        </w:rPr>
        <w:t>examiner ces questions</w:t>
      </w:r>
      <w:r w:rsidR="00086EAD" w:rsidRPr="00B87E09">
        <w:rPr>
          <w:lang w:val="fr-FR"/>
        </w:rPr>
        <w:t xml:space="preserve"> (voir le paragraphe 93 du document CAJ/69/12 “Compte rendu des conclusions”)</w:t>
      </w:r>
      <w:r w:rsidRPr="00B87E09">
        <w:rPr>
          <w:lang w:val="fr-FR"/>
        </w:rPr>
        <w:t>.</w:t>
      </w:r>
    </w:p>
    <w:p w:rsidR="008C1516" w:rsidRPr="00B87E09" w:rsidRDefault="008C1516" w:rsidP="008C1516">
      <w:pPr>
        <w:rPr>
          <w:lang w:val="fr-FR"/>
        </w:rPr>
      </w:pPr>
    </w:p>
    <w:p w:rsidR="008C1516" w:rsidRPr="00B87E09" w:rsidRDefault="008C1516" w:rsidP="008C1516">
      <w:pPr>
        <w:rPr>
          <w:lang w:val="fr-FR"/>
        </w:rPr>
      </w:pPr>
    </w:p>
    <w:p w:rsidR="008C1516" w:rsidRPr="00B87E09" w:rsidRDefault="008C1516" w:rsidP="00FC72A5">
      <w:pPr>
        <w:pStyle w:val="Heading1"/>
      </w:pPr>
      <w:bookmarkStart w:id="17" w:name="_Toc398628767"/>
      <w:r w:rsidRPr="00B87E09">
        <w:t>Programme de la soixante</w:t>
      </w:r>
      <w:r w:rsidR="00B87E09" w:rsidRPr="00B87E09">
        <w:noBreakHyphen/>
      </w:r>
      <w:r w:rsidRPr="00B87E09">
        <w:t>dixième session</w:t>
      </w:r>
      <w:bookmarkEnd w:id="17"/>
    </w:p>
    <w:p w:rsidR="008C1516" w:rsidRPr="00B87E09" w:rsidRDefault="008C1516" w:rsidP="008C1516">
      <w:pPr>
        <w:rPr>
          <w:lang w:val="fr-FR"/>
        </w:rPr>
      </w:pPr>
    </w:p>
    <w:p w:rsidR="008C1516" w:rsidRPr="00B87E09" w:rsidRDefault="008C1516" w:rsidP="009C5265">
      <w:pPr>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t xml:space="preserve">Le programme suivant </w:t>
      </w:r>
      <w:r w:rsidR="00086EAD" w:rsidRPr="00B87E09">
        <w:rPr>
          <w:lang w:val="fr-FR"/>
        </w:rPr>
        <w:t>a été</w:t>
      </w:r>
      <w:r w:rsidRPr="00B87E09">
        <w:rPr>
          <w:lang w:val="fr-FR"/>
        </w:rPr>
        <w:t xml:space="preserve"> approuvé pour la soixante</w:t>
      </w:r>
      <w:r w:rsidR="00B87E09" w:rsidRPr="00B87E09">
        <w:rPr>
          <w:lang w:val="fr-FR"/>
        </w:rPr>
        <w:noBreakHyphen/>
      </w:r>
      <w:r w:rsidRPr="00B87E09">
        <w:rPr>
          <w:lang w:val="fr-FR"/>
        </w:rPr>
        <w:t>dixième session du CAJ</w:t>
      </w:r>
      <w:r w:rsidR="00086EAD" w:rsidRPr="00B87E09">
        <w:rPr>
          <w:lang w:val="fr-FR"/>
        </w:rPr>
        <w:t>, qui se tiendra à Genève le 1</w:t>
      </w:r>
      <w:r w:rsidR="00CA38FC" w:rsidRPr="00B87E09">
        <w:rPr>
          <w:lang w:val="fr-FR"/>
        </w:rPr>
        <w:t>3 octobre 20</w:t>
      </w:r>
      <w:r w:rsidR="00086EAD" w:rsidRPr="00B87E09">
        <w:rPr>
          <w:lang w:val="fr-FR"/>
        </w:rPr>
        <w:t>14</w:t>
      </w:r>
      <w:r w:rsidRPr="00B87E09">
        <w:rPr>
          <w:lang w:val="fr-FR"/>
        </w:rPr>
        <w:t> :</w:t>
      </w:r>
      <w:r w:rsidR="00086EAD" w:rsidRPr="00B87E09">
        <w:rPr>
          <w:lang w:val="fr-FR"/>
        </w:rPr>
        <w:t xml:space="preserve"> </w:t>
      </w:r>
      <w:r w:rsidRPr="00B87E09">
        <w:rPr>
          <w:kern w:val="28"/>
          <w:lang w:val="fr-FR"/>
        </w:rPr>
        <w:t>Ouverture de la session</w:t>
      </w:r>
      <w:r w:rsidR="00086EAD" w:rsidRPr="00B87E09">
        <w:rPr>
          <w:kern w:val="28"/>
          <w:lang w:val="fr-FR"/>
        </w:rPr>
        <w:t xml:space="preserve">; </w:t>
      </w:r>
      <w:r w:rsidR="00C54380" w:rsidRPr="00B87E09">
        <w:rPr>
          <w:kern w:val="28"/>
          <w:lang w:val="fr-FR"/>
        </w:rPr>
        <w:t xml:space="preserve"> </w:t>
      </w:r>
      <w:r w:rsidRPr="00B87E09">
        <w:rPr>
          <w:kern w:val="28"/>
          <w:lang w:val="fr-FR"/>
        </w:rPr>
        <w:t>Adoption de l</w:t>
      </w:r>
      <w:r w:rsidR="00CA38FC" w:rsidRPr="00B87E09">
        <w:rPr>
          <w:kern w:val="28"/>
          <w:lang w:val="fr-FR"/>
        </w:rPr>
        <w:t>’</w:t>
      </w:r>
      <w:r w:rsidRPr="00B87E09">
        <w:rPr>
          <w:kern w:val="28"/>
          <w:lang w:val="fr-FR"/>
        </w:rPr>
        <w:t>ordre du jour</w:t>
      </w:r>
      <w:r w:rsidR="00086EAD" w:rsidRPr="00B87E09">
        <w:rPr>
          <w:kern w:val="28"/>
          <w:lang w:val="fr-FR"/>
        </w:rPr>
        <w:t xml:space="preserve">; </w:t>
      </w:r>
      <w:r w:rsidR="00C54380" w:rsidRPr="00B87E09">
        <w:rPr>
          <w:kern w:val="28"/>
          <w:lang w:val="fr-FR"/>
        </w:rPr>
        <w:t xml:space="preserve"> </w:t>
      </w:r>
      <w:r w:rsidRPr="00B87E09">
        <w:rPr>
          <w:kern w:val="28"/>
          <w:lang w:val="fr-FR"/>
        </w:rPr>
        <w:t>Élaboration de matériel d</w:t>
      </w:r>
      <w:r w:rsidR="00CA38FC" w:rsidRPr="00B87E09">
        <w:rPr>
          <w:kern w:val="28"/>
          <w:lang w:val="fr-FR"/>
        </w:rPr>
        <w:t>’</w:t>
      </w:r>
      <w:r w:rsidRPr="00B87E09">
        <w:rPr>
          <w:kern w:val="28"/>
          <w:lang w:val="fr-FR"/>
        </w:rPr>
        <w:t xml:space="preserve">information concernant la </w:t>
      </w:r>
      <w:r w:rsidR="00CA38FC" w:rsidRPr="00B87E09">
        <w:rPr>
          <w:kern w:val="28"/>
          <w:lang w:val="fr-FR"/>
        </w:rPr>
        <w:t>Convention UPOV</w:t>
      </w:r>
      <w:r w:rsidR="00086EAD" w:rsidRPr="00B87E09">
        <w:rPr>
          <w:kern w:val="28"/>
          <w:lang w:val="fr-FR"/>
        </w:rPr>
        <w:t>;</w:t>
      </w:r>
      <w:r w:rsidR="00C54380" w:rsidRPr="00B87E09">
        <w:rPr>
          <w:kern w:val="28"/>
          <w:lang w:val="fr-FR"/>
        </w:rPr>
        <w:t xml:space="preserve"> </w:t>
      </w:r>
      <w:r w:rsidR="00086EAD" w:rsidRPr="00B87E09">
        <w:rPr>
          <w:kern w:val="28"/>
          <w:lang w:val="fr-FR"/>
        </w:rPr>
        <w:t xml:space="preserve"> </w:t>
      </w:r>
      <w:r w:rsidR="00BB5B0C" w:rsidRPr="00B87E09">
        <w:rPr>
          <w:lang w:val="fr-FR"/>
        </w:rPr>
        <w:t>Révision</w:t>
      </w:r>
      <w:r w:rsidRPr="00B87E09">
        <w:rPr>
          <w:lang w:val="fr-FR"/>
        </w:rPr>
        <w:t xml:space="preserve"> du document UPOV/INF/5 “Bulletin type de l</w:t>
      </w:r>
      <w:r w:rsidR="00CA38FC" w:rsidRPr="00B87E09">
        <w:rPr>
          <w:lang w:val="fr-FR"/>
        </w:rPr>
        <w:t>’</w:t>
      </w:r>
      <w:r w:rsidRPr="00B87E09">
        <w:rPr>
          <w:lang w:val="fr-FR"/>
        </w:rPr>
        <w:t>UPOV de la protection des obtentions végétales”</w:t>
      </w:r>
      <w:r w:rsidR="00BB5B0C" w:rsidRPr="00B87E09">
        <w:rPr>
          <w:lang w:val="fr-FR"/>
        </w:rPr>
        <w:t xml:space="preserve">; </w:t>
      </w:r>
      <w:r w:rsidR="00C54380" w:rsidRPr="00B87E09">
        <w:rPr>
          <w:lang w:val="fr-FR"/>
        </w:rPr>
        <w:t xml:space="preserve"> </w:t>
      </w:r>
      <w:r w:rsidRPr="00B87E09">
        <w:rPr>
          <w:kern w:val="28"/>
          <w:lang w:val="fr-FR"/>
        </w:rPr>
        <w:t>Dénominations variétales</w:t>
      </w:r>
      <w:r w:rsidR="00BB5B0C" w:rsidRPr="00B87E09">
        <w:rPr>
          <w:kern w:val="28"/>
          <w:lang w:val="fr-FR"/>
        </w:rPr>
        <w:t>;</w:t>
      </w:r>
      <w:r w:rsidR="00C54380" w:rsidRPr="00B87E09">
        <w:rPr>
          <w:kern w:val="28"/>
          <w:lang w:val="fr-FR"/>
        </w:rPr>
        <w:t xml:space="preserve"> </w:t>
      </w:r>
      <w:r w:rsidR="00BB5B0C" w:rsidRPr="00B87E09">
        <w:rPr>
          <w:kern w:val="28"/>
          <w:lang w:val="fr-FR"/>
        </w:rPr>
        <w:t xml:space="preserve"> </w:t>
      </w:r>
      <w:r w:rsidRPr="00B87E09">
        <w:rPr>
          <w:kern w:val="28"/>
          <w:lang w:val="fr-FR"/>
        </w:rPr>
        <w:t>Document d</w:t>
      </w:r>
      <w:r w:rsidR="00CA38FC" w:rsidRPr="00B87E09">
        <w:rPr>
          <w:kern w:val="28"/>
          <w:lang w:val="fr-FR"/>
        </w:rPr>
        <w:t>’</w:t>
      </w:r>
      <w:r w:rsidRPr="00B87E09">
        <w:rPr>
          <w:kern w:val="28"/>
          <w:lang w:val="fr-FR"/>
        </w:rPr>
        <w:t>orientation destiné aux membres de l</w:t>
      </w:r>
      <w:r w:rsidR="00CA38FC" w:rsidRPr="00B87E09">
        <w:rPr>
          <w:kern w:val="28"/>
          <w:lang w:val="fr-FR"/>
        </w:rPr>
        <w:t>’</w:t>
      </w:r>
      <w:r w:rsidRPr="00B87E09">
        <w:rPr>
          <w:kern w:val="28"/>
          <w:lang w:val="fr-FR"/>
        </w:rPr>
        <w:t>UPOV concernant les obligations en cours et les notifications connexes, ainsi que la fourniture d</w:t>
      </w:r>
      <w:r w:rsidR="00CA38FC" w:rsidRPr="00B87E09">
        <w:rPr>
          <w:kern w:val="28"/>
          <w:lang w:val="fr-FR"/>
        </w:rPr>
        <w:t>’</w:t>
      </w:r>
      <w:r w:rsidRPr="00B87E09">
        <w:rPr>
          <w:kern w:val="28"/>
          <w:lang w:val="fr-FR"/>
        </w:rPr>
        <w:t>informations visant à faciliter la coopération</w:t>
      </w:r>
      <w:r w:rsidR="00BB5B0C" w:rsidRPr="00B87E09">
        <w:rPr>
          <w:kern w:val="28"/>
          <w:lang w:val="fr-FR"/>
        </w:rPr>
        <w:t xml:space="preserve">; </w:t>
      </w:r>
      <w:r w:rsidR="00C54380" w:rsidRPr="00B87E09">
        <w:rPr>
          <w:kern w:val="28"/>
          <w:lang w:val="fr-FR"/>
        </w:rPr>
        <w:t xml:space="preserve"> </w:t>
      </w:r>
      <w:r w:rsidR="00BB5B0C" w:rsidRPr="00B87E09">
        <w:rPr>
          <w:kern w:val="28"/>
          <w:lang w:val="fr-FR"/>
        </w:rPr>
        <w:t xml:space="preserve">Techniques moléculaires; </w:t>
      </w:r>
      <w:r w:rsidR="00C54380" w:rsidRPr="00B87E09">
        <w:rPr>
          <w:kern w:val="28"/>
          <w:lang w:val="fr-FR"/>
        </w:rPr>
        <w:t xml:space="preserve"> </w:t>
      </w:r>
      <w:r w:rsidR="009C5265" w:rsidRPr="00B87E09">
        <w:rPr>
          <w:kern w:val="28"/>
          <w:lang w:val="fr-FR"/>
        </w:rPr>
        <w:t>Information</w:t>
      </w:r>
      <w:r w:rsidR="00413183">
        <w:rPr>
          <w:kern w:val="28"/>
          <w:lang w:val="fr-FR"/>
        </w:rPr>
        <w:t>s</w:t>
      </w:r>
      <w:r w:rsidR="009C5265" w:rsidRPr="00B87E09">
        <w:rPr>
          <w:kern w:val="28"/>
          <w:lang w:val="fr-FR"/>
        </w:rPr>
        <w:t xml:space="preserve"> et bases de données de l</w:t>
      </w:r>
      <w:r w:rsidR="00CA38FC" w:rsidRPr="00B87E09">
        <w:rPr>
          <w:kern w:val="28"/>
          <w:lang w:val="fr-FR"/>
        </w:rPr>
        <w:t>’</w:t>
      </w:r>
      <w:r w:rsidR="009C5265" w:rsidRPr="00B87E09">
        <w:rPr>
          <w:kern w:val="28"/>
          <w:lang w:val="fr-FR"/>
        </w:rPr>
        <w:t xml:space="preserve">UPOV; </w:t>
      </w:r>
      <w:r w:rsidR="00C54380" w:rsidRPr="00B87E09">
        <w:rPr>
          <w:kern w:val="28"/>
          <w:lang w:val="fr-FR"/>
        </w:rPr>
        <w:t xml:space="preserve"> </w:t>
      </w:r>
      <w:r w:rsidR="009C5265" w:rsidRPr="00B87E09">
        <w:rPr>
          <w:kern w:val="28"/>
          <w:lang w:val="fr-FR"/>
        </w:rPr>
        <w:t xml:space="preserve">Systèmes de dépôt électronique des demandes; </w:t>
      </w:r>
      <w:r w:rsidR="00C54380" w:rsidRPr="00B87E09">
        <w:rPr>
          <w:kern w:val="28"/>
          <w:lang w:val="fr-FR"/>
        </w:rPr>
        <w:t xml:space="preserve"> </w:t>
      </w:r>
      <w:r w:rsidR="00BB5B0C" w:rsidRPr="00B87E09">
        <w:rPr>
          <w:kern w:val="28"/>
          <w:lang w:val="fr-FR"/>
        </w:rPr>
        <w:t>Bases de données d</w:t>
      </w:r>
      <w:r w:rsidR="00CA38FC" w:rsidRPr="00B87E09">
        <w:rPr>
          <w:kern w:val="28"/>
          <w:lang w:val="fr-FR"/>
        </w:rPr>
        <w:t>’</w:t>
      </w:r>
      <w:r w:rsidR="00BB5B0C" w:rsidRPr="00B87E09">
        <w:rPr>
          <w:kern w:val="28"/>
          <w:lang w:val="fr-FR"/>
        </w:rPr>
        <w:t>information de l</w:t>
      </w:r>
      <w:r w:rsidR="00CA38FC" w:rsidRPr="00B87E09">
        <w:rPr>
          <w:kern w:val="28"/>
          <w:lang w:val="fr-FR"/>
        </w:rPr>
        <w:t>’</w:t>
      </w:r>
      <w:r w:rsidR="00BB5B0C" w:rsidRPr="00B87E09">
        <w:rPr>
          <w:kern w:val="28"/>
          <w:lang w:val="fr-FR"/>
        </w:rPr>
        <w:t xml:space="preserve">UPOV; </w:t>
      </w:r>
      <w:r w:rsidR="00C54380" w:rsidRPr="00B87E09">
        <w:rPr>
          <w:kern w:val="28"/>
          <w:lang w:val="fr-FR"/>
        </w:rPr>
        <w:t xml:space="preserve"> </w:t>
      </w:r>
      <w:r w:rsidR="009C5265" w:rsidRPr="00B87E09">
        <w:rPr>
          <w:kern w:val="28"/>
          <w:lang w:val="fr-FR"/>
        </w:rPr>
        <w:t xml:space="preserve">Logiciels échangeables; </w:t>
      </w:r>
      <w:r w:rsidR="00C54380" w:rsidRPr="00B87E09">
        <w:rPr>
          <w:kern w:val="28"/>
          <w:lang w:val="fr-FR"/>
        </w:rPr>
        <w:t xml:space="preserve"> </w:t>
      </w:r>
      <w:r w:rsidRPr="00B87E09">
        <w:rPr>
          <w:kern w:val="28"/>
          <w:lang w:val="fr-FR"/>
        </w:rPr>
        <w:t>Programme de la soixante et onzième session</w:t>
      </w:r>
      <w:r w:rsidR="009C5265" w:rsidRPr="00B87E09">
        <w:rPr>
          <w:kern w:val="28"/>
          <w:lang w:val="fr-FR"/>
        </w:rPr>
        <w:t xml:space="preserve">; </w:t>
      </w:r>
      <w:r w:rsidR="00C54380" w:rsidRPr="00B87E09">
        <w:rPr>
          <w:kern w:val="28"/>
          <w:lang w:val="fr-FR"/>
        </w:rPr>
        <w:t xml:space="preserve"> </w:t>
      </w:r>
      <w:r w:rsidRPr="00B87E09">
        <w:rPr>
          <w:kern w:val="28"/>
          <w:lang w:val="fr-FR"/>
        </w:rPr>
        <w:t>Adoption du compte rendu des conclusions (selon le temps disponible)</w:t>
      </w:r>
      <w:r w:rsidR="009C5265" w:rsidRPr="00B87E09">
        <w:rPr>
          <w:kern w:val="28"/>
          <w:lang w:val="fr-FR"/>
        </w:rPr>
        <w:t>;</w:t>
      </w:r>
      <w:r w:rsidR="00C54380" w:rsidRPr="00B87E09">
        <w:rPr>
          <w:kern w:val="28"/>
          <w:lang w:val="fr-FR"/>
        </w:rPr>
        <w:t xml:space="preserve"> </w:t>
      </w:r>
      <w:r w:rsidR="009C5265" w:rsidRPr="00B87E09">
        <w:rPr>
          <w:kern w:val="28"/>
          <w:lang w:val="fr-FR"/>
        </w:rPr>
        <w:t xml:space="preserve"> </w:t>
      </w:r>
      <w:r w:rsidRPr="00B87E09">
        <w:rPr>
          <w:kern w:val="28"/>
          <w:lang w:val="fr-FR"/>
        </w:rPr>
        <w:t>Clôture de la session</w:t>
      </w:r>
      <w:r w:rsidR="009C5265" w:rsidRPr="00B87E09">
        <w:rPr>
          <w:kern w:val="28"/>
          <w:lang w:val="fr-FR"/>
        </w:rPr>
        <w:t xml:space="preserve"> </w:t>
      </w:r>
      <w:r w:rsidR="009C5265" w:rsidRPr="00B87E09">
        <w:rPr>
          <w:lang w:val="fr-FR"/>
        </w:rPr>
        <w:t>(voir le paragraphe 94 du document CAJ/69/12 “Compte rendu des conclusions”).</w:t>
      </w:r>
    </w:p>
    <w:p w:rsidR="008C1516" w:rsidRPr="00B87E09" w:rsidRDefault="008C1516" w:rsidP="008C1516">
      <w:pPr>
        <w:rPr>
          <w:lang w:val="fr-FR"/>
        </w:rPr>
      </w:pPr>
    </w:p>
    <w:p w:rsidR="009C5265" w:rsidRPr="00B87E09" w:rsidRDefault="008C1516" w:rsidP="009C5265">
      <w:pPr>
        <w:pStyle w:val="DecisionParagraphs"/>
        <w:tabs>
          <w:tab w:val="left" w:pos="5954"/>
        </w:tabs>
        <w:rPr>
          <w:lang w:val="fr-FR"/>
        </w:rPr>
      </w:pPr>
      <w:r w:rsidRPr="00B87E09">
        <w:rPr>
          <w:lang w:val="fr-FR"/>
        </w:rPr>
        <w:fldChar w:fldCharType="begin"/>
      </w:r>
      <w:r w:rsidRPr="00B87E09">
        <w:rPr>
          <w:lang w:val="fr-FR"/>
        </w:rPr>
        <w:instrText xml:space="preserve"> AUTONUM  </w:instrText>
      </w:r>
      <w:r w:rsidRPr="00B87E09">
        <w:rPr>
          <w:lang w:val="fr-FR"/>
        </w:rPr>
        <w:fldChar w:fldCharType="end"/>
      </w:r>
      <w:r w:rsidRPr="00B87E09">
        <w:rPr>
          <w:lang w:val="fr-FR"/>
        </w:rPr>
        <w:tab/>
      </w:r>
      <w:r w:rsidR="009C5265" w:rsidRPr="00B87E09">
        <w:rPr>
          <w:lang w:val="fr-FR"/>
        </w:rPr>
        <w:t>Le Conseil est invité</w:t>
      </w:r>
    </w:p>
    <w:p w:rsidR="009C5265" w:rsidRPr="00B87E09" w:rsidRDefault="009C5265" w:rsidP="009C5265">
      <w:pPr>
        <w:pStyle w:val="DecisionParagraphs"/>
        <w:tabs>
          <w:tab w:val="left" w:pos="5954"/>
        </w:tabs>
        <w:rPr>
          <w:lang w:val="fr-FR"/>
        </w:rPr>
      </w:pPr>
    </w:p>
    <w:p w:rsidR="00CA38FC" w:rsidRPr="00B87E09" w:rsidRDefault="009C5265" w:rsidP="009C5265">
      <w:pPr>
        <w:pStyle w:val="DecisionParagraphs"/>
        <w:tabs>
          <w:tab w:val="left" w:pos="5954"/>
        </w:tabs>
        <w:rPr>
          <w:lang w:val="fr-FR"/>
        </w:rPr>
      </w:pPr>
      <w:r w:rsidRPr="00B87E09">
        <w:rPr>
          <w:lang w:val="fr-FR"/>
        </w:rPr>
        <w:tab/>
        <w:t>a)</w:t>
      </w:r>
      <w:r w:rsidRPr="00B87E09">
        <w:rPr>
          <w:lang w:val="fr-FR"/>
        </w:rPr>
        <w:tab/>
        <w:t>à prendre note des travaux</w:t>
      </w:r>
      <w:r w:rsidR="00CA38FC" w:rsidRPr="00B87E09">
        <w:rPr>
          <w:lang w:val="fr-FR"/>
        </w:rPr>
        <w:t xml:space="preserve"> du CAJ</w:t>
      </w:r>
      <w:r w:rsidRPr="00B87E09">
        <w:rPr>
          <w:lang w:val="fr-FR"/>
        </w:rPr>
        <w:t xml:space="preserve"> indiqués dans le présent document et dans le rapport verbal qui doit être présenté par le président</w:t>
      </w:r>
      <w:r w:rsidR="00CA38FC" w:rsidRPr="00B87E09">
        <w:rPr>
          <w:lang w:val="fr-FR"/>
        </w:rPr>
        <w:t xml:space="preserve"> du CAJ</w:t>
      </w:r>
      <w:r w:rsidRPr="00B87E09">
        <w:rPr>
          <w:lang w:val="fr-FR"/>
        </w:rPr>
        <w:t xml:space="preserve">; </w:t>
      </w:r>
      <w:r w:rsidR="00C54380" w:rsidRPr="00B87E09">
        <w:rPr>
          <w:lang w:val="fr-FR"/>
        </w:rPr>
        <w:t xml:space="preserve"> </w:t>
      </w:r>
      <w:r w:rsidRPr="00B87E09">
        <w:rPr>
          <w:lang w:val="fr-FR"/>
        </w:rPr>
        <w:t>et</w:t>
      </w:r>
    </w:p>
    <w:p w:rsidR="009C5265" w:rsidRPr="00B87E09" w:rsidRDefault="009C5265" w:rsidP="009C5265">
      <w:pPr>
        <w:pStyle w:val="DecisionParagraphs"/>
        <w:tabs>
          <w:tab w:val="left" w:pos="5954"/>
        </w:tabs>
        <w:rPr>
          <w:lang w:val="fr-FR"/>
        </w:rPr>
      </w:pPr>
    </w:p>
    <w:p w:rsidR="009C5265" w:rsidRPr="00B87E09" w:rsidRDefault="009C5265" w:rsidP="009C5265">
      <w:pPr>
        <w:pStyle w:val="DecisionParagraphs"/>
        <w:tabs>
          <w:tab w:val="left" w:pos="5954"/>
        </w:tabs>
        <w:rPr>
          <w:lang w:val="fr-FR"/>
        </w:rPr>
      </w:pPr>
      <w:r w:rsidRPr="00B87E09">
        <w:rPr>
          <w:lang w:val="fr-FR"/>
        </w:rPr>
        <w:tab/>
        <w:t>b)</w:t>
      </w:r>
      <w:r w:rsidRPr="00B87E09">
        <w:rPr>
          <w:lang w:val="fr-FR"/>
        </w:rPr>
        <w:tab/>
        <w:t>à approuver le programme de travail de la soixante et onzième</w:t>
      </w:r>
      <w:r w:rsidR="00C54380" w:rsidRPr="00B87E09">
        <w:rPr>
          <w:lang w:val="fr-FR"/>
        </w:rPr>
        <w:t> </w:t>
      </w:r>
      <w:r w:rsidRPr="00B87E09">
        <w:rPr>
          <w:lang w:val="fr-FR"/>
        </w:rPr>
        <w:t>session</w:t>
      </w:r>
      <w:r w:rsidR="00CA38FC" w:rsidRPr="00B87E09">
        <w:rPr>
          <w:lang w:val="fr-FR"/>
        </w:rPr>
        <w:t xml:space="preserve"> du CAJ</w:t>
      </w:r>
      <w:r w:rsidRPr="00B87E09">
        <w:rPr>
          <w:lang w:val="fr-FR"/>
        </w:rPr>
        <w:t>, tel qu</w:t>
      </w:r>
      <w:r w:rsidR="00CA38FC" w:rsidRPr="00B87E09">
        <w:rPr>
          <w:lang w:val="fr-FR"/>
        </w:rPr>
        <w:t>’</w:t>
      </w:r>
      <w:r w:rsidRPr="00B87E09">
        <w:rPr>
          <w:lang w:val="fr-FR"/>
        </w:rPr>
        <w:t>il doit être présenté par le président</w:t>
      </w:r>
      <w:r w:rsidR="00CA38FC" w:rsidRPr="00B87E09">
        <w:rPr>
          <w:lang w:val="fr-FR"/>
        </w:rPr>
        <w:t xml:space="preserve"> du CAJ</w:t>
      </w:r>
      <w:r w:rsidRPr="00B87E09">
        <w:rPr>
          <w:lang w:val="fr-FR"/>
        </w:rPr>
        <w:t xml:space="preserve"> dans son rapport verbal.</w:t>
      </w:r>
    </w:p>
    <w:p w:rsidR="008C1516" w:rsidRPr="00D34050" w:rsidRDefault="008C1516" w:rsidP="009C5265">
      <w:pPr>
        <w:pStyle w:val="DecisionParagraphs"/>
        <w:rPr>
          <w:i w:val="0"/>
          <w:lang w:val="fr-FR"/>
        </w:rPr>
      </w:pPr>
    </w:p>
    <w:p w:rsidR="00D34050" w:rsidRDefault="00D34050" w:rsidP="009C5265">
      <w:pPr>
        <w:pStyle w:val="DecisionParagraphs"/>
        <w:rPr>
          <w:i w:val="0"/>
          <w:lang w:val="fr-FR"/>
        </w:rPr>
      </w:pPr>
    </w:p>
    <w:p w:rsidR="00F95C04" w:rsidRPr="00D34050" w:rsidRDefault="00F95C04" w:rsidP="009C5265">
      <w:pPr>
        <w:pStyle w:val="DecisionParagraphs"/>
        <w:rPr>
          <w:i w:val="0"/>
          <w:lang w:val="fr-FR"/>
        </w:rPr>
      </w:pPr>
    </w:p>
    <w:p w:rsidR="0067078A" w:rsidRPr="00B87E09" w:rsidRDefault="0061555F" w:rsidP="005F05B6">
      <w:pPr>
        <w:jc w:val="right"/>
        <w:rPr>
          <w:lang w:val="fr-FR"/>
        </w:rPr>
      </w:pPr>
      <w:r w:rsidRPr="00B87E09">
        <w:rPr>
          <w:lang w:val="fr-FR"/>
        </w:rPr>
        <w:t>[</w:t>
      </w:r>
      <w:r w:rsidR="009C5265" w:rsidRPr="00B87E09">
        <w:rPr>
          <w:lang w:val="fr-FR"/>
        </w:rPr>
        <w:t>Fin du</w:t>
      </w:r>
      <w:r w:rsidRPr="00B87E09">
        <w:rPr>
          <w:lang w:val="fr-FR"/>
        </w:rPr>
        <w:t xml:space="preserve"> document]</w:t>
      </w:r>
    </w:p>
    <w:sectPr w:rsidR="0067078A" w:rsidRPr="00B87E09" w:rsidSect="00644236">
      <w:headerReference w:type="default" r:id="rId11"/>
      <w:pgSz w:w="11907" w:h="16840" w:code="9"/>
      <w:pgMar w:top="510" w:right="1134" w:bottom="1134" w:left="1134" w:header="510" w:footer="680"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6F5" w:rsidRDefault="007536F5" w:rsidP="006655D3">
      <w:r>
        <w:separator/>
      </w:r>
    </w:p>
    <w:p w:rsidR="007536F5" w:rsidRDefault="007536F5" w:rsidP="006655D3"/>
    <w:p w:rsidR="007536F5" w:rsidRDefault="007536F5" w:rsidP="006655D3"/>
  </w:endnote>
  <w:endnote w:type="continuationSeparator" w:id="0">
    <w:p w:rsidR="007536F5" w:rsidRDefault="007536F5" w:rsidP="006655D3">
      <w:r>
        <w:separator/>
      </w:r>
    </w:p>
    <w:p w:rsidR="007536F5" w:rsidRPr="00560A6D" w:rsidRDefault="007536F5">
      <w:pPr>
        <w:pStyle w:val="Footer"/>
        <w:spacing w:after="60"/>
        <w:rPr>
          <w:sz w:val="18"/>
          <w:lang w:val="fr-FR"/>
        </w:rPr>
      </w:pPr>
      <w:r w:rsidRPr="00560A6D">
        <w:rPr>
          <w:sz w:val="18"/>
          <w:lang w:val="fr-FR"/>
        </w:rPr>
        <w:t>[Suite de la note de la page précédente]</w:t>
      </w:r>
    </w:p>
    <w:p w:rsidR="007536F5" w:rsidRPr="00560A6D" w:rsidRDefault="007536F5" w:rsidP="006655D3">
      <w:pPr>
        <w:rPr>
          <w:lang w:val="fr-FR"/>
        </w:rPr>
      </w:pPr>
    </w:p>
    <w:p w:rsidR="007536F5" w:rsidRPr="00560A6D" w:rsidRDefault="007536F5" w:rsidP="006655D3">
      <w:pPr>
        <w:rPr>
          <w:lang w:val="fr-FR"/>
        </w:rPr>
      </w:pPr>
    </w:p>
  </w:endnote>
  <w:endnote w:type="continuationNotice" w:id="1">
    <w:p w:rsidR="007536F5" w:rsidRPr="00560A6D" w:rsidRDefault="007536F5" w:rsidP="006655D3">
      <w:pPr>
        <w:rPr>
          <w:lang w:val="fr-FR"/>
        </w:rPr>
      </w:pPr>
      <w:r w:rsidRPr="00560A6D">
        <w:rPr>
          <w:lang w:val="fr-FR"/>
        </w:rPr>
        <w:t>[Suite de la note page suivante]</w:t>
      </w:r>
    </w:p>
    <w:p w:rsidR="007536F5" w:rsidRPr="00560A6D" w:rsidRDefault="007536F5" w:rsidP="006655D3">
      <w:pPr>
        <w:rPr>
          <w:lang w:val="fr-FR"/>
        </w:rPr>
      </w:pPr>
    </w:p>
    <w:p w:rsidR="007536F5" w:rsidRPr="00560A6D" w:rsidRDefault="007536F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6F5" w:rsidRDefault="007536F5" w:rsidP="00C95616">
      <w:pPr>
        <w:spacing w:before="120"/>
      </w:pPr>
      <w:r>
        <w:separator/>
      </w:r>
    </w:p>
  </w:footnote>
  <w:footnote w:type="continuationSeparator" w:id="0">
    <w:p w:rsidR="007536F5" w:rsidRDefault="007536F5" w:rsidP="006655D3">
      <w:r>
        <w:separator/>
      </w:r>
    </w:p>
  </w:footnote>
  <w:footnote w:type="continuationNotice" w:id="1">
    <w:p w:rsidR="007536F5" w:rsidRPr="00A56FAA" w:rsidRDefault="007536F5" w:rsidP="00A56FAA">
      <w:pPr>
        <w:pStyle w:val="Footer"/>
        <w:rPr>
          <w:szCs w:val="18"/>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6F5" w:rsidRPr="00C5280D" w:rsidRDefault="007536F5" w:rsidP="00EB048E">
    <w:pPr>
      <w:pStyle w:val="Header"/>
      <w:rPr>
        <w:rStyle w:val="PageNumber"/>
        <w:lang w:val="en-US"/>
      </w:rPr>
    </w:pPr>
    <w:r>
      <w:rPr>
        <w:rStyle w:val="PageNumber"/>
        <w:lang w:val="en-US"/>
      </w:rPr>
      <w:t>C/48/9</w:t>
    </w:r>
  </w:p>
  <w:p w:rsidR="007536F5" w:rsidRPr="00C5280D" w:rsidRDefault="007536F5"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7070A2">
      <w:rPr>
        <w:rStyle w:val="PageNumber"/>
        <w:noProof/>
        <w:lang w:val="en-US"/>
      </w:rPr>
      <w:t>11</w:t>
    </w:r>
    <w:r w:rsidRPr="00C5280D">
      <w:rPr>
        <w:rStyle w:val="PageNumber"/>
        <w:lang w:val="en-US"/>
      </w:rPr>
      <w:fldChar w:fldCharType="end"/>
    </w:r>
  </w:p>
  <w:p w:rsidR="007536F5" w:rsidRPr="00C5280D" w:rsidRDefault="007536F5"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27E6F"/>
    <w:multiLevelType w:val="hybridMultilevel"/>
    <w:tmpl w:val="2EAE3A94"/>
    <w:lvl w:ilvl="0" w:tplc="1F58D342">
      <w:start w:val="1"/>
      <w:numFmt w:val="lowerLetter"/>
      <w:lvlText w:val="(%1)"/>
      <w:lvlJc w:val="left"/>
      <w:pPr>
        <w:ind w:left="6408" w:hanging="735"/>
      </w:pPr>
      <w:rPr>
        <w:rFonts w:hint="default"/>
      </w:rPr>
    </w:lvl>
    <w:lvl w:ilvl="1" w:tplc="04090019">
      <w:start w:val="1"/>
      <w:numFmt w:val="lowerLetter"/>
      <w:lvlText w:val="%2."/>
      <w:lvlJc w:val="left"/>
      <w:pPr>
        <w:ind w:left="6753" w:hanging="360"/>
      </w:pPr>
    </w:lvl>
    <w:lvl w:ilvl="2" w:tplc="0409001B" w:tentative="1">
      <w:start w:val="1"/>
      <w:numFmt w:val="lowerRoman"/>
      <w:lvlText w:val="%3."/>
      <w:lvlJc w:val="right"/>
      <w:pPr>
        <w:ind w:left="7473" w:hanging="180"/>
      </w:pPr>
    </w:lvl>
    <w:lvl w:ilvl="3" w:tplc="0409000F" w:tentative="1">
      <w:start w:val="1"/>
      <w:numFmt w:val="decimal"/>
      <w:lvlText w:val="%4."/>
      <w:lvlJc w:val="left"/>
      <w:pPr>
        <w:ind w:left="8193" w:hanging="360"/>
      </w:pPr>
    </w:lvl>
    <w:lvl w:ilvl="4" w:tplc="04090019" w:tentative="1">
      <w:start w:val="1"/>
      <w:numFmt w:val="lowerLetter"/>
      <w:lvlText w:val="%5."/>
      <w:lvlJc w:val="left"/>
      <w:pPr>
        <w:ind w:left="8913" w:hanging="360"/>
      </w:pPr>
    </w:lvl>
    <w:lvl w:ilvl="5" w:tplc="0409001B" w:tentative="1">
      <w:start w:val="1"/>
      <w:numFmt w:val="lowerRoman"/>
      <w:lvlText w:val="%6."/>
      <w:lvlJc w:val="right"/>
      <w:pPr>
        <w:ind w:left="9633" w:hanging="180"/>
      </w:pPr>
    </w:lvl>
    <w:lvl w:ilvl="6" w:tplc="0409000F" w:tentative="1">
      <w:start w:val="1"/>
      <w:numFmt w:val="decimal"/>
      <w:lvlText w:val="%7."/>
      <w:lvlJc w:val="left"/>
      <w:pPr>
        <w:ind w:left="10353" w:hanging="360"/>
      </w:pPr>
    </w:lvl>
    <w:lvl w:ilvl="7" w:tplc="04090019" w:tentative="1">
      <w:start w:val="1"/>
      <w:numFmt w:val="lowerLetter"/>
      <w:lvlText w:val="%8."/>
      <w:lvlJc w:val="left"/>
      <w:pPr>
        <w:ind w:left="11073" w:hanging="360"/>
      </w:pPr>
    </w:lvl>
    <w:lvl w:ilvl="8" w:tplc="0409001B" w:tentative="1">
      <w:start w:val="1"/>
      <w:numFmt w:val="lowerRoman"/>
      <w:lvlText w:val="%9."/>
      <w:lvlJc w:val="right"/>
      <w:pPr>
        <w:ind w:left="11793" w:hanging="180"/>
      </w:pPr>
    </w:lvl>
  </w:abstractNum>
  <w:abstractNum w:abstractNumId="1">
    <w:nsid w:val="01361B41"/>
    <w:multiLevelType w:val="hybridMultilevel"/>
    <w:tmpl w:val="79900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913479"/>
    <w:multiLevelType w:val="hybridMultilevel"/>
    <w:tmpl w:val="40AA06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693ABB"/>
    <w:multiLevelType w:val="hybridMultilevel"/>
    <w:tmpl w:val="B1C45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88544B"/>
    <w:multiLevelType w:val="hybridMultilevel"/>
    <w:tmpl w:val="EBFE35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4701F7"/>
    <w:multiLevelType w:val="hybridMultilevel"/>
    <w:tmpl w:val="6F10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410483"/>
    <w:multiLevelType w:val="hybridMultilevel"/>
    <w:tmpl w:val="EE7489F8"/>
    <w:lvl w:ilvl="0" w:tplc="3D5C822A">
      <w:start w:val="1"/>
      <w:numFmt w:val="decimal"/>
      <w:lvlText w:val="%1."/>
      <w:lvlJc w:val="left"/>
      <w:pPr>
        <w:ind w:left="720" w:hanging="360"/>
      </w:pPr>
      <w:rPr>
        <w:rFonts w:eastAsia="SimSu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0ED32CA"/>
    <w:multiLevelType w:val="hybridMultilevel"/>
    <w:tmpl w:val="B372CB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CAD79CE"/>
    <w:multiLevelType w:val="hybridMultilevel"/>
    <w:tmpl w:val="F326C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A078A4"/>
    <w:multiLevelType w:val="hybridMultilevel"/>
    <w:tmpl w:val="0A022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2A031A"/>
    <w:multiLevelType w:val="hybridMultilevel"/>
    <w:tmpl w:val="AEBCD420"/>
    <w:lvl w:ilvl="0" w:tplc="38CE965C">
      <w:start w:val="1"/>
      <w:numFmt w:val="decimal"/>
      <w:lvlText w:val="%1."/>
      <w:lvlJc w:val="left"/>
      <w:pPr>
        <w:ind w:left="1137" w:hanging="57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nsid w:val="493B1444"/>
    <w:multiLevelType w:val="hybridMultilevel"/>
    <w:tmpl w:val="30160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EA5A21"/>
    <w:multiLevelType w:val="hybridMultilevel"/>
    <w:tmpl w:val="8F507E1C"/>
    <w:lvl w:ilvl="0" w:tplc="222082B2">
      <w:start w:val="1"/>
      <w:numFmt w:val="lowerLetter"/>
      <w:lvlText w:val="(%1)"/>
      <w:lvlJc w:val="left"/>
      <w:pPr>
        <w:ind w:left="6095" w:hanging="705"/>
      </w:pPr>
      <w:rPr>
        <w:rFonts w:hint="default"/>
      </w:rPr>
    </w:lvl>
    <w:lvl w:ilvl="1" w:tplc="04090019" w:tentative="1">
      <w:start w:val="1"/>
      <w:numFmt w:val="lowerLetter"/>
      <w:lvlText w:val="%2."/>
      <w:lvlJc w:val="left"/>
      <w:pPr>
        <w:ind w:left="6470" w:hanging="360"/>
      </w:pPr>
    </w:lvl>
    <w:lvl w:ilvl="2" w:tplc="0409001B" w:tentative="1">
      <w:start w:val="1"/>
      <w:numFmt w:val="lowerRoman"/>
      <w:lvlText w:val="%3."/>
      <w:lvlJc w:val="right"/>
      <w:pPr>
        <w:ind w:left="7190" w:hanging="180"/>
      </w:pPr>
    </w:lvl>
    <w:lvl w:ilvl="3" w:tplc="0409000F" w:tentative="1">
      <w:start w:val="1"/>
      <w:numFmt w:val="decimal"/>
      <w:lvlText w:val="%4."/>
      <w:lvlJc w:val="left"/>
      <w:pPr>
        <w:ind w:left="7910" w:hanging="360"/>
      </w:pPr>
    </w:lvl>
    <w:lvl w:ilvl="4" w:tplc="04090019" w:tentative="1">
      <w:start w:val="1"/>
      <w:numFmt w:val="lowerLetter"/>
      <w:lvlText w:val="%5."/>
      <w:lvlJc w:val="left"/>
      <w:pPr>
        <w:ind w:left="8630" w:hanging="360"/>
      </w:pPr>
    </w:lvl>
    <w:lvl w:ilvl="5" w:tplc="0409001B" w:tentative="1">
      <w:start w:val="1"/>
      <w:numFmt w:val="lowerRoman"/>
      <w:lvlText w:val="%6."/>
      <w:lvlJc w:val="right"/>
      <w:pPr>
        <w:ind w:left="9350" w:hanging="180"/>
      </w:pPr>
    </w:lvl>
    <w:lvl w:ilvl="6" w:tplc="0409000F" w:tentative="1">
      <w:start w:val="1"/>
      <w:numFmt w:val="decimal"/>
      <w:lvlText w:val="%7."/>
      <w:lvlJc w:val="left"/>
      <w:pPr>
        <w:ind w:left="10070" w:hanging="360"/>
      </w:pPr>
    </w:lvl>
    <w:lvl w:ilvl="7" w:tplc="04090019" w:tentative="1">
      <w:start w:val="1"/>
      <w:numFmt w:val="lowerLetter"/>
      <w:lvlText w:val="%8."/>
      <w:lvlJc w:val="left"/>
      <w:pPr>
        <w:ind w:left="10790" w:hanging="360"/>
      </w:pPr>
    </w:lvl>
    <w:lvl w:ilvl="8" w:tplc="0409001B" w:tentative="1">
      <w:start w:val="1"/>
      <w:numFmt w:val="lowerRoman"/>
      <w:lvlText w:val="%9."/>
      <w:lvlJc w:val="right"/>
      <w:pPr>
        <w:ind w:left="11510" w:hanging="180"/>
      </w:pPr>
    </w:lvl>
  </w:abstractNum>
  <w:abstractNum w:abstractNumId="13">
    <w:nsid w:val="617F1054"/>
    <w:multiLevelType w:val="hybridMultilevel"/>
    <w:tmpl w:val="33DCF0D0"/>
    <w:lvl w:ilvl="0" w:tplc="00E6F358">
      <w:start w:val="1"/>
      <w:numFmt w:val="lowerLetter"/>
      <w:lvlText w:val="(%1)"/>
      <w:lvlJc w:val="left"/>
      <w:pPr>
        <w:ind w:left="5747"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14">
    <w:nsid w:val="68C47751"/>
    <w:multiLevelType w:val="hybridMultilevel"/>
    <w:tmpl w:val="79A2B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A3D78A7"/>
    <w:multiLevelType w:val="hybridMultilevel"/>
    <w:tmpl w:val="CF688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B933E41"/>
    <w:multiLevelType w:val="hybridMultilevel"/>
    <w:tmpl w:val="5A90C606"/>
    <w:lvl w:ilvl="0" w:tplc="378A2510">
      <w:start w:val="1"/>
      <w:numFmt w:val="decimal"/>
      <w:lvlText w:val="%1."/>
      <w:lvlJc w:val="left"/>
      <w:pPr>
        <w:ind w:left="720" w:hanging="360"/>
      </w:pPr>
      <w:rPr>
        <w:rFonts w:eastAsia="MS Mincho"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C1B05C4"/>
    <w:multiLevelType w:val="hybridMultilevel"/>
    <w:tmpl w:val="B948A5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D092EB3"/>
    <w:multiLevelType w:val="hybridMultilevel"/>
    <w:tmpl w:val="8E2476E6"/>
    <w:lvl w:ilvl="0" w:tplc="17101ADC">
      <w:start w:val="1"/>
      <w:numFmt w:val="lowerLetter"/>
      <w:lvlText w:val="(%1)"/>
      <w:lvlJc w:val="right"/>
      <w:pPr>
        <w:ind w:left="5540" w:hanging="360"/>
      </w:pPr>
      <w:rPr>
        <w:rFonts w:hint="default"/>
      </w:rPr>
    </w:lvl>
    <w:lvl w:ilvl="1" w:tplc="04090019" w:tentative="1">
      <w:start w:val="1"/>
      <w:numFmt w:val="lowerLetter"/>
      <w:lvlText w:val="%2."/>
      <w:lvlJc w:val="left"/>
      <w:pPr>
        <w:ind w:left="6260" w:hanging="360"/>
      </w:pPr>
    </w:lvl>
    <w:lvl w:ilvl="2" w:tplc="0409001B" w:tentative="1">
      <w:start w:val="1"/>
      <w:numFmt w:val="lowerRoman"/>
      <w:lvlText w:val="%3."/>
      <w:lvlJc w:val="right"/>
      <w:pPr>
        <w:ind w:left="6980" w:hanging="180"/>
      </w:pPr>
    </w:lvl>
    <w:lvl w:ilvl="3" w:tplc="0409000F" w:tentative="1">
      <w:start w:val="1"/>
      <w:numFmt w:val="decimal"/>
      <w:lvlText w:val="%4."/>
      <w:lvlJc w:val="left"/>
      <w:pPr>
        <w:ind w:left="7700" w:hanging="360"/>
      </w:pPr>
    </w:lvl>
    <w:lvl w:ilvl="4" w:tplc="04090019" w:tentative="1">
      <w:start w:val="1"/>
      <w:numFmt w:val="lowerLetter"/>
      <w:lvlText w:val="%5."/>
      <w:lvlJc w:val="left"/>
      <w:pPr>
        <w:ind w:left="8420" w:hanging="360"/>
      </w:pPr>
    </w:lvl>
    <w:lvl w:ilvl="5" w:tplc="0409001B" w:tentative="1">
      <w:start w:val="1"/>
      <w:numFmt w:val="lowerRoman"/>
      <w:lvlText w:val="%6."/>
      <w:lvlJc w:val="right"/>
      <w:pPr>
        <w:ind w:left="9140" w:hanging="180"/>
      </w:pPr>
    </w:lvl>
    <w:lvl w:ilvl="6" w:tplc="0409000F" w:tentative="1">
      <w:start w:val="1"/>
      <w:numFmt w:val="decimal"/>
      <w:lvlText w:val="%7."/>
      <w:lvlJc w:val="left"/>
      <w:pPr>
        <w:ind w:left="9860" w:hanging="360"/>
      </w:pPr>
    </w:lvl>
    <w:lvl w:ilvl="7" w:tplc="04090019" w:tentative="1">
      <w:start w:val="1"/>
      <w:numFmt w:val="lowerLetter"/>
      <w:lvlText w:val="%8."/>
      <w:lvlJc w:val="left"/>
      <w:pPr>
        <w:ind w:left="10580" w:hanging="360"/>
      </w:pPr>
    </w:lvl>
    <w:lvl w:ilvl="8" w:tplc="0409001B" w:tentative="1">
      <w:start w:val="1"/>
      <w:numFmt w:val="lowerRoman"/>
      <w:lvlText w:val="%9."/>
      <w:lvlJc w:val="right"/>
      <w:pPr>
        <w:ind w:left="11300" w:hanging="180"/>
      </w:pPr>
    </w:lvl>
  </w:abstractNum>
  <w:abstractNum w:abstractNumId="19">
    <w:nsid w:val="6E591794"/>
    <w:multiLevelType w:val="hybridMultilevel"/>
    <w:tmpl w:val="97FC2B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DE57FF"/>
    <w:multiLevelType w:val="hybridMultilevel"/>
    <w:tmpl w:val="5F2EE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A16723D"/>
    <w:multiLevelType w:val="hybridMultilevel"/>
    <w:tmpl w:val="075E2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AE1760"/>
    <w:multiLevelType w:val="hybridMultilevel"/>
    <w:tmpl w:val="25C8EDF0"/>
    <w:lvl w:ilvl="0" w:tplc="00E6F358">
      <w:start w:val="1"/>
      <w:numFmt w:val="lowerLetter"/>
      <w:lvlText w:val="(%1)"/>
      <w:lvlJc w:val="left"/>
      <w:pPr>
        <w:ind w:left="5180" w:hanging="360"/>
      </w:pPr>
      <w:rPr>
        <w:rFonts w:hint="default"/>
      </w:rPr>
    </w:lvl>
    <w:lvl w:ilvl="1" w:tplc="04090019" w:tentative="1">
      <w:start w:val="1"/>
      <w:numFmt w:val="lowerLetter"/>
      <w:lvlText w:val="%2."/>
      <w:lvlJc w:val="left"/>
      <w:pPr>
        <w:ind w:left="5900" w:hanging="360"/>
      </w:pPr>
    </w:lvl>
    <w:lvl w:ilvl="2" w:tplc="0409001B" w:tentative="1">
      <w:start w:val="1"/>
      <w:numFmt w:val="lowerRoman"/>
      <w:lvlText w:val="%3."/>
      <w:lvlJc w:val="right"/>
      <w:pPr>
        <w:ind w:left="6620" w:hanging="180"/>
      </w:pPr>
    </w:lvl>
    <w:lvl w:ilvl="3" w:tplc="0409000F" w:tentative="1">
      <w:start w:val="1"/>
      <w:numFmt w:val="decimal"/>
      <w:lvlText w:val="%4."/>
      <w:lvlJc w:val="left"/>
      <w:pPr>
        <w:ind w:left="7340" w:hanging="360"/>
      </w:pPr>
    </w:lvl>
    <w:lvl w:ilvl="4" w:tplc="04090019" w:tentative="1">
      <w:start w:val="1"/>
      <w:numFmt w:val="lowerLetter"/>
      <w:lvlText w:val="%5."/>
      <w:lvlJc w:val="left"/>
      <w:pPr>
        <w:ind w:left="8060" w:hanging="360"/>
      </w:pPr>
    </w:lvl>
    <w:lvl w:ilvl="5" w:tplc="0409001B" w:tentative="1">
      <w:start w:val="1"/>
      <w:numFmt w:val="lowerRoman"/>
      <w:lvlText w:val="%6."/>
      <w:lvlJc w:val="right"/>
      <w:pPr>
        <w:ind w:left="8780" w:hanging="180"/>
      </w:pPr>
    </w:lvl>
    <w:lvl w:ilvl="6" w:tplc="0409000F" w:tentative="1">
      <w:start w:val="1"/>
      <w:numFmt w:val="decimal"/>
      <w:lvlText w:val="%7."/>
      <w:lvlJc w:val="left"/>
      <w:pPr>
        <w:ind w:left="9500" w:hanging="360"/>
      </w:pPr>
    </w:lvl>
    <w:lvl w:ilvl="7" w:tplc="04090019" w:tentative="1">
      <w:start w:val="1"/>
      <w:numFmt w:val="lowerLetter"/>
      <w:lvlText w:val="%8."/>
      <w:lvlJc w:val="left"/>
      <w:pPr>
        <w:ind w:left="10220" w:hanging="360"/>
      </w:pPr>
    </w:lvl>
    <w:lvl w:ilvl="8" w:tplc="0409001B" w:tentative="1">
      <w:start w:val="1"/>
      <w:numFmt w:val="lowerRoman"/>
      <w:lvlText w:val="%9."/>
      <w:lvlJc w:val="right"/>
      <w:pPr>
        <w:ind w:left="10940" w:hanging="180"/>
      </w:pPr>
    </w:lvl>
  </w:abstractNum>
  <w:abstractNum w:abstractNumId="23">
    <w:nsid w:val="7D3B1D61"/>
    <w:multiLevelType w:val="hybridMultilevel"/>
    <w:tmpl w:val="9C9CB3EA"/>
    <w:lvl w:ilvl="0" w:tplc="3E301186">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F8D0DF0"/>
    <w:multiLevelType w:val="hybridMultilevel"/>
    <w:tmpl w:val="A7A6160A"/>
    <w:lvl w:ilvl="0" w:tplc="070CBFD0">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7FDF75A5"/>
    <w:multiLevelType w:val="hybridMultilevel"/>
    <w:tmpl w:val="39A27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5"/>
  </w:num>
  <w:num w:numId="3">
    <w:abstractNumId w:val="1"/>
  </w:num>
  <w:num w:numId="4">
    <w:abstractNumId w:val="11"/>
  </w:num>
  <w:num w:numId="5">
    <w:abstractNumId w:val="17"/>
  </w:num>
  <w:num w:numId="6">
    <w:abstractNumId w:val="23"/>
  </w:num>
  <w:num w:numId="7">
    <w:abstractNumId w:val="3"/>
  </w:num>
  <w:num w:numId="8">
    <w:abstractNumId w:val="16"/>
  </w:num>
  <w:num w:numId="9">
    <w:abstractNumId w:val="2"/>
  </w:num>
  <w:num w:numId="10">
    <w:abstractNumId w:val="19"/>
  </w:num>
  <w:num w:numId="11">
    <w:abstractNumId w:val="7"/>
  </w:num>
  <w:num w:numId="12">
    <w:abstractNumId w:val="5"/>
  </w:num>
  <w:num w:numId="13">
    <w:abstractNumId w:val="21"/>
  </w:num>
  <w:num w:numId="14">
    <w:abstractNumId w:val="6"/>
  </w:num>
  <w:num w:numId="15">
    <w:abstractNumId w:val="24"/>
  </w:num>
  <w:num w:numId="16">
    <w:abstractNumId w:val="14"/>
  </w:num>
  <w:num w:numId="17">
    <w:abstractNumId w:val="20"/>
  </w:num>
  <w:num w:numId="18">
    <w:abstractNumId w:val="15"/>
  </w:num>
  <w:num w:numId="19">
    <w:abstractNumId w:val="22"/>
  </w:num>
  <w:num w:numId="20">
    <w:abstractNumId w:val="13"/>
  </w:num>
  <w:num w:numId="21">
    <w:abstractNumId w:val="12"/>
  </w:num>
  <w:num w:numId="22">
    <w:abstractNumId w:val="0"/>
  </w:num>
  <w:num w:numId="23">
    <w:abstractNumId w:val="18"/>
  </w:num>
  <w:num w:numId="24">
    <w:abstractNumId w:val="8"/>
  </w:num>
  <w:num w:numId="25">
    <w:abstractNumId w:val="10"/>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5057"/>
  </w:hdrShapeDefaults>
  <w:footnotePr>
    <w:footnote w:id="-1"/>
    <w:footnote w:id="0"/>
    <w:footnote w:id="1"/>
  </w:footnotePr>
  <w:endnotePr>
    <w:endnote w:id="-1"/>
    <w:endnote w:id="0"/>
    <w:endnote w:id="1"/>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DB|Duplicates DB|WIPONew|PreTradBeta|UPOV_Beta"/>
    <w:docVar w:name="TermBaseURL" w:val="empty"/>
    <w:docVar w:name="TextBases" w:val="UPOV\Meetings|UPOV\Other|UPOV\Publications|UPOV\Technical Guidelines|Treaties\Model Laws|Treaties\Other Laws and Agreements|Treaties\WIPO-administered|Trademarks\Meetings|Trademarks\Other|Trademarks\Publications|Patents\Meetings|Patents\Other|Patents\Publications|IP in General\Academy|IP in General\Arbitration and Mediation|IP in General\Meetings|IP in General\Other|IP in General\Press Room|IP in General\Publications|Glossaries\EN-FR|Copyright\Meetings|Copyright\Other|Copyright\Publications|Budget and Finance\Meetings|Budget and Finance\Other|Budget and Finance\Publications|Administrative\Meetings|Administrative\Other|Administrative\Publications|WorkspaceFTS\EN-FR\ACE|WorkspaceFTS\EN-FR\Administratif|WorkspaceFTS\EN-FR\AMC|WorkspaceFTS\EN-FR\Assemblées|WorkspaceFTS\EN-FR\Budapest|WorkspaceFTS\EN-FR\CDIP|WorkspaceFTS\EN-FR\CWS|WorkspaceFTS\EN-FR\Divers|WorkspaceFTS\EN-FR\GRTKF|WorkspaceFTS\EN-FR\Hague|WorkspaceFTS\EN-FR\IPC|WorkspaceFTS\EN-FR\Lisbonne|WorkspaceFTS\EN-FR\Madrid|WorkspaceFTS\EN-FR\PCT|WorkspaceFTS\EN-FR\PLT|WorkspaceFTS\EN-FR\SCCR|WorkspaceFTS\EN-FR\SCP|WorkspaceFTS\EN-FR\SCT|WorkspaceFTS\EN-FR\UPOV|WorkspaceFTS\EN-FR\WO_CC|WorkspaceFTS\EN-FR\WO_GA|WorkspaceFTS\EN-FR\WO_PBC"/>
    <w:docVar w:name="TextBaseURL" w:val="empty"/>
    <w:docVar w:name="UILng" w:val="en"/>
  </w:docVars>
  <w:rsids>
    <w:rsidRoot w:val="00C431BE"/>
    <w:rsid w:val="00010CF3"/>
    <w:rsid w:val="00011E27"/>
    <w:rsid w:val="000148BC"/>
    <w:rsid w:val="00023EC3"/>
    <w:rsid w:val="00024AB8"/>
    <w:rsid w:val="00030854"/>
    <w:rsid w:val="00036028"/>
    <w:rsid w:val="000442EB"/>
    <w:rsid w:val="00044642"/>
    <w:rsid w:val="000446B9"/>
    <w:rsid w:val="00047E21"/>
    <w:rsid w:val="0006233E"/>
    <w:rsid w:val="0008242E"/>
    <w:rsid w:val="00083942"/>
    <w:rsid w:val="00085505"/>
    <w:rsid w:val="00086EAD"/>
    <w:rsid w:val="000A1A6F"/>
    <w:rsid w:val="000A68B4"/>
    <w:rsid w:val="000B2AAC"/>
    <w:rsid w:val="000B562E"/>
    <w:rsid w:val="000C7021"/>
    <w:rsid w:val="000D4124"/>
    <w:rsid w:val="000D6BBC"/>
    <w:rsid w:val="000D7780"/>
    <w:rsid w:val="000E3AA3"/>
    <w:rsid w:val="000E5EF6"/>
    <w:rsid w:val="000F1E9E"/>
    <w:rsid w:val="00105929"/>
    <w:rsid w:val="001131D5"/>
    <w:rsid w:val="00131295"/>
    <w:rsid w:val="001342A1"/>
    <w:rsid w:val="00141DB8"/>
    <w:rsid w:val="00142923"/>
    <w:rsid w:val="00145745"/>
    <w:rsid w:val="00156B67"/>
    <w:rsid w:val="0017474A"/>
    <w:rsid w:val="001758C6"/>
    <w:rsid w:val="00182B99"/>
    <w:rsid w:val="001A0080"/>
    <w:rsid w:val="001E0CF9"/>
    <w:rsid w:val="0021332C"/>
    <w:rsid w:val="00213982"/>
    <w:rsid w:val="00215E76"/>
    <w:rsid w:val="00227E7E"/>
    <w:rsid w:val="002311FC"/>
    <w:rsid w:val="0024416D"/>
    <w:rsid w:val="002640D1"/>
    <w:rsid w:val="002800A0"/>
    <w:rsid w:val="002801B3"/>
    <w:rsid w:val="0028098F"/>
    <w:rsid w:val="00281060"/>
    <w:rsid w:val="00281740"/>
    <w:rsid w:val="00286CA6"/>
    <w:rsid w:val="002935C7"/>
    <w:rsid w:val="002940E8"/>
    <w:rsid w:val="002A6E50"/>
    <w:rsid w:val="002B0F0F"/>
    <w:rsid w:val="002C256A"/>
    <w:rsid w:val="002C6A5D"/>
    <w:rsid w:val="002D6A6C"/>
    <w:rsid w:val="002E3C4A"/>
    <w:rsid w:val="002F2542"/>
    <w:rsid w:val="00305A7F"/>
    <w:rsid w:val="00311ADE"/>
    <w:rsid w:val="00315280"/>
    <w:rsid w:val="003152FE"/>
    <w:rsid w:val="00327436"/>
    <w:rsid w:val="0033507D"/>
    <w:rsid w:val="00341B7C"/>
    <w:rsid w:val="00342FEB"/>
    <w:rsid w:val="00344BD6"/>
    <w:rsid w:val="003526DC"/>
    <w:rsid w:val="00354B36"/>
    <w:rsid w:val="0035528D"/>
    <w:rsid w:val="00361821"/>
    <w:rsid w:val="003626A9"/>
    <w:rsid w:val="00376F3A"/>
    <w:rsid w:val="00387275"/>
    <w:rsid w:val="003904F4"/>
    <w:rsid w:val="00394761"/>
    <w:rsid w:val="00397F91"/>
    <w:rsid w:val="003A7AB4"/>
    <w:rsid w:val="003B300E"/>
    <w:rsid w:val="003C33AA"/>
    <w:rsid w:val="003D227C"/>
    <w:rsid w:val="003D2B4D"/>
    <w:rsid w:val="003D7CDF"/>
    <w:rsid w:val="003E322A"/>
    <w:rsid w:val="003E5A9B"/>
    <w:rsid w:val="00405634"/>
    <w:rsid w:val="00413183"/>
    <w:rsid w:val="00424769"/>
    <w:rsid w:val="004312B9"/>
    <w:rsid w:val="00444A88"/>
    <w:rsid w:val="004468CB"/>
    <w:rsid w:val="00456DD0"/>
    <w:rsid w:val="004579C8"/>
    <w:rsid w:val="004605C6"/>
    <w:rsid w:val="0046199F"/>
    <w:rsid w:val="00462ADE"/>
    <w:rsid w:val="0047443A"/>
    <w:rsid w:val="00474DA4"/>
    <w:rsid w:val="00476B4D"/>
    <w:rsid w:val="004805FA"/>
    <w:rsid w:val="004905B2"/>
    <w:rsid w:val="00490637"/>
    <w:rsid w:val="004C7B0B"/>
    <w:rsid w:val="004D047D"/>
    <w:rsid w:val="004D06F3"/>
    <w:rsid w:val="004F305A"/>
    <w:rsid w:val="00503B12"/>
    <w:rsid w:val="00507F2A"/>
    <w:rsid w:val="0051068B"/>
    <w:rsid w:val="00512164"/>
    <w:rsid w:val="00517F0C"/>
    <w:rsid w:val="00520297"/>
    <w:rsid w:val="0052144B"/>
    <w:rsid w:val="00531DDF"/>
    <w:rsid w:val="005338F9"/>
    <w:rsid w:val="00540A59"/>
    <w:rsid w:val="0054281C"/>
    <w:rsid w:val="0055268D"/>
    <w:rsid w:val="00557B14"/>
    <w:rsid w:val="00560A6D"/>
    <w:rsid w:val="0056706E"/>
    <w:rsid w:val="005718D6"/>
    <w:rsid w:val="00576BE4"/>
    <w:rsid w:val="005A3B06"/>
    <w:rsid w:val="005A400A"/>
    <w:rsid w:val="005C1BCC"/>
    <w:rsid w:val="005F05B6"/>
    <w:rsid w:val="0060214C"/>
    <w:rsid w:val="006042AB"/>
    <w:rsid w:val="00612379"/>
    <w:rsid w:val="0061555F"/>
    <w:rsid w:val="0062733A"/>
    <w:rsid w:val="00630E58"/>
    <w:rsid w:val="00641200"/>
    <w:rsid w:val="00644236"/>
    <w:rsid w:val="0064474A"/>
    <w:rsid w:val="00647020"/>
    <w:rsid w:val="00654B59"/>
    <w:rsid w:val="00657003"/>
    <w:rsid w:val="00663239"/>
    <w:rsid w:val="006653B1"/>
    <w:rsid w:val="006655D3"/>
    <w:rsid w:val="0067078A"/>
    <w:rsid w:val="00673733"/>
    <w:rsid w:val="0068121B"/>
    <w:rsid w:val="00687EB4"/>
    <w:rsid w:val="006A31C0"/>
    <w:rsid w:val="006B17D2"/>
    <w:rsid w:val="006C224E"/>
    <w:rsid w:val="006D1A57"/>
    <w:rsid w:val="006D780A"/>
    <w:rsid w:val="006F074F"/>
    <w:rsid w:val="007070A2"/>
    <w:rsid w:val="00712443"/>
    <w:rsid w:val="00732DEC"/>
    <w:rsid w:val="00734FA4"/>
    <w:rsid w:val="00735BD5"/>
    <w:rsid w:val="007536F5"/>
    <w:rsid w:val="007556F6"/>
    <w:rsid w:val="00760EEF"/>
    <w:rsid w:val="00777EE5"/>
    <w:rsid w:val="00784836"/>
    <w:rsid w:val="0079023E"/>
    <w:rsid w:val="007976B0"/>
    <w:rsid w:val="007A2854"/>
    <w:rsid w:val="007B5A4C"/>
    <w:rsid w:val="007D0B9D"/>
    <w:rsid w:val="007D19B0"/>
    <w:rsid w:val="007F070B"/>
    <w:rsid w:val="007F498F"/>
    <w:rsid w:val="0080679D"/>
    <w:rsid w:val="008108B0"/>
    <w:rsid w:val="00811B20"/>
    <w:rsid w:val="00814032"/>
    <w:rsid w:val="0082296E"/>
    <w:rsid w:val="00823D15"/>
    <w:rsid w:val="00824099"/>
    <w:rsid w:val="0083204D"/>
    <w:rsid w:val="00833F2D"/>
    <w:rsid w:val="0085017E"/>
    <w:rsid w:val="00867AC1"/>
    <w:rsid w:val="00893C7F"/>
    <w:rsid w:val="008974D8"/>
    <w:rsid w:val="008A3C6D"/>
    <w:rsid w:val="008A4F3F"/>
    <w:rsid w:val="008A743F"/>
    <w:rsid w:val="008A79AD"/>
    <w:rsid w:val="008C0970"/>
    <w:rsid w:val="008C1516"/>
    <w:rsid w:val="008D2CF7"/>
    <w:rsid w:val="008E33F2"/>
    <w:rsid w:val="00900C26"/>
    <w:rsid w:val="0090197F"/>
    <w:rsid w:val="00901A3F"/>
    <w:rsid w:val="00906DDC"/>
    <w:rsid w:val="009316C4"/>
    <w:rsid w:val="00934E09"/>
    <w:rsid w:val="00936253"/>
    <w:rsid w:val="009404EE"/>
    <w:rsid w:val="00947760"/>
    <w:rsid w:val="00952DD4"/>
    <w:rsid w:val="00970FED"/>
    <w:rsid w:val="00980C0F"/>
    <w:rsid w:val="009857D9"/>
    <w:rsid w:val="00986CD8"/>
    <w:rsid w:val="00997029"/>
    <w:rsid w:val="009C5265"/>
    <w:rsid w:val="009D690D"/>
    <w:rsid w:val="009E0018"/>
    <w:rsid w:val="009E65B6"/>
    <w:rsid w:val="009F2A9B"/>
    <w:rsid w:val="009F7D0F"/>
    <w:rsid w:val="00A048BC"/>
    <w:rsid w:val="00A3189C"/>
    <w:rsid w:val="00A42AC3"/>
    <w:rsid w:val="00A430CF"/>
    <w:rsid w:val="00A54309"/>
    <w:rsid w:val="00A56FAA"/>
    <w:rsid w:val="00A57090"/>
    <w:rsid w:val="00A708C6"/>
    <w:rsid w:val="00AB2B93"/>
    <w:rsid w:val="00AB7E5B"/>
    <w:rsid w:val="00AD4093"/>
    <w:rsid w:val="00AE0DD0"/>
    <w:rsid w:val="00AE0EF1"/>
    <w:rsid w:val="00AE2937"/>
    <w:rsid w:val="00B07301"/>
    <w:rsid w:val="00B224DE"/>
    <w:rsid w:val="00B41367"/>
    <w:rsid w:val="00B46575"/>
    <w:rsid w:val="00B65267"/>
    <w:rsid w:val="00B75131"/>
    <w:rsid w:val="00B80E65"/>
    <w:rsid w:val="00B84343"/>
    <w:rsid w:val="00B84BBD"/>
    <w:rsid w:val="00B87E09"/>
    <w:rsid w:val="00B9187D"/>
    <w:rsid w:val="00B922DC"/>
    <w:rsid w:val="00B94BB6"/>
    <w:rsid w:val="00BA43FB"/>
    <w:rsid w:val="00BB5B0C"/>
    <w:rsid w:val="00BC127D"/>
    <w:rsid w:val="00BC1FE6"/>
    <w:rsid w:val="00BD1E78"/>
    <w:rsid w:val="00BD67F7"/>
    <w:rsid w:val="00BF0B6A"/>
    <w:rsid w:val="00BF314F"/>
    <w:rsid w:val="00C061B6"/>
    <w:rsid w:val="00C2446C"/>
    <w:rsid w:val="00C274A6"/>
    <w:rsid w:val="00C32CC0"/>
    <w:rsid w:val="00C36AE5"/>
    <w:rsid w:val="00C41F17"/>
    <w:rsid w:val="00C431BE"/>
    <w:rsid w:val="00C43643"/>
    <w:rsid w:val="00C51D44"/>
    <w:rsid w:val="00C5280D"/>
    <w:rsid w:val="00C54380"/>
    <w:rsid w:val="00C5791C"/>
    <w:rsid w:val="00C651CE"/>
    <w:rsid w:val="00C66290"/>
    <w:rsid w:val="00C72B7A"/>
    <w:rsid w:val="00C84436"/>
    <w:rsid w:val="00C95616"/>
    <w:rsid w:val="00C973F2"/>
    <w:rsid w:val="00C97D74"/>
    <w:rsid w:val="00CA304C"/>
    <w:rsid w:val="00CA38FC"/>
    <w:rsid w:val="00CA558C"/>
    <w:rsid w:val="00CA774A"/>
    <w:rsid w:val="00CB6AC6"/>
    <w:rsid w:val="00CC11B0"/>
    <w:rsid w:val="00CD1672"/>
    <w:rsid w:val="00CF5A11"/>
    <w:rsid w:val="00CF7E36"/>
    <w:rsid w:val="00D03A95"/>
    <w:rsid w:val="00D10A2B"/>
    <w:rsid w:val="00D2622A"/>
    <w:rsid w:val="00D34050"/>
    <w:rsid w:val="00D359C2"/>
    <w:rsid w:val="00D3708D"/>
    <w:rsid w:val="00D40426"/>
    <w:rsid w:val="00D47B5A"/>
    <w:rsid w:val="00D50411"/>
    <w:rsid w:val="00D57C96"/>
    <w:rsid w:val="00D62BD9"/>
    <w:rsid w:val="00D65EA1"/>
    <w:rsid w:val="00D70475"/>
    <w:rsid w:val="00D84BC3"/>
    <w:rsid w:val="00D91203"/>
    <w:rsid w:val="00D95174"/>
    <w:rsid w:val="00D96C06"/>
    <w:rsid w:val="00DA6F36"/>
    <w:rsid w:val="00DA7E69"/>
    <w:rsid w:val="00DB0501"/>
    <w:rsid w:val="00DB0E9A"/>
    <w:rsid w:val="00DB596E"/>
    <w:rsid w:val="00DC00EA"/>
    <w:rsid w:val="00DC47A6"/>
    <w:rsid w:val="00E24417"/>
    <w:rsid w:val="00E31039"/>
    <w:rsid w:val="00E32F7E"/>
    <w:rsid w:val="00E43088"/>
    <w:rsid w:val="00E44531"/>
    <w:rsid w:val="00E55E8F"/>
    <w:rsid w:val="00E623B9"/>
    <w:rsid w:val="00E72D49"/>
    <w:rsid w:val="00E7593C"/>
    <w:rsid w:val="00E7678A"/>
    <w:rsid w:val="00E77D1A"/>
    <w:rsid w:val="00E935F1"/>
    <w:rsid w:val="00E94A81"/>
    <w:rsid w:val="00EA0ADA"/>
    <w:rsid w:val="00EA1FFB"/>
    <w:rsid w:val="00EB048E"/>
    <w:rsid w:val="00EB1143"/>
    <w:rsid w:val="00EC1E1E"/>
    <w:rsid w:val="00EE34DF"/>
    <w:rsid w:val="00EF2F89"/>
    <w:rsid w:val="00F0303B"/>
    <w:rsid w:val="00F049BD"/>
    <w:rsid w:val="00F0738E"/>
    <w:rsid w:val="00F1237A"/>
    <w:rsid w:val="00F22CBD"/>
    <w:rsid w:val="00F255CF"/>
    <w:rsid w:val="00F421BF"/>
    <w:rsid w:val="00F45372"/>
    <w:rsid w:val="00F560F7"/>
    <w:rsid w:val="00F56C99"/>
    <w:rsid w:val="00F62280"/>
    <w:rsid w:val="00F6334D"/>
    <w:rsid w:val="00F71B2A"/>
    <w:rsid w:val="00F80602"/>
    <w:rsid w:val="00F95C04"/>
    <w:rsid w:val="00FA49AB"/>
    <w:rsid w:val="00FA4C58"/>
    <w:rsid w:val="00FA7527"/>
    <w:rsid w:val="00FC72A5"/>
    <w:rsid w:val="00FE39C7"/>
    <w:rsid w:val="00FF1096"/>
    <w:rsid w:val="00FF6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FC72A5"/>
    <w:pPr>
      <w:keepNext/>
      <w:jc w:val="both"/>
      <w:outlineLvl w:val="0"/>
    </w:pPr>
    <w:rPr>
      <w:rFonts w:ascii="Arial" w:hAnsi="Arial"/>
      <w:u w:val="single"/>
      <w:lang w:val="fr-FR"/>
    </w:rPr>
  </w:style>
  <w:style w:type="paragraph" w:styleId="Heading2">
    <w:name w:val="heading 2"/>
    <w:next w:val="Normal"/>
    <w:link w:val="Heading2Char"/>
    <w:autoRedefine/>
    <w:qFormat/>
    <w:rsid w:val="00557B14"/>
    <w:pPr>
      <w:keepNext/>
      <w:jc w:val="both"/>
      <w:outlineLvl w:val="1"/>
    </w:pPr>
    <w:rPr>
      <w:rFonts w:ascii="Arial" w:hAnsi="Arial"/>
      <w:i/>
      <w:lang w:val="fr-FR"/>
    </w:rPr>
  </w:style>
  <w:style w:type="paragraph" w:styleId="Heading3">
    <w:name w:val="heading 3"/>
    <w:next w:val="Normal"/>
    <w:autoRedefine/>
    <w:qFormat/>
    <w:rsid w:val="00B9187D"/>
    <w:pPr>
      <w:keepNext/>
      <w:jc w:val="both"/>
      <w:outlineLvl w:val="2"/>
    </w:pPr>
    <w:rPr>
      <w:rFonts w:ascii="Arial" w:hAnsi="Arial"/>
      <w:i/>
      <w:lang w:val="fr-FR"/>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link w:val="plcountryChar"/>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3526DC"/>
    <w:pPr>
      <w:tabs>
        <w:tab w:val="right" w:leader="dot" w:pos="9639"/>
      </w:tabs>
      <w:spacing w:before="120"/>
      <w:ind w:left="851" w:right="851" w:hanging="567"/>
    </w:pPr>
    <w:rPr>
      <w:rFonts w:ascii="Arial" w:hAnsi="Arial"/>
      <w:noProof/>
    </w:rPr>
  </w:style>
  <w:style w:type="paragraph" w:styleId="TOC3">
    <w:name w:val="toc 3"/>
    <w:next w:val="Normal"/>
    <w:autoRedefine/>
    <w:uiPriority w:val="39"/>
    <w:rsid w:val="00D70475"/>
    <w:pPr>
      <w:tabs>
        <w:tab w:val="right" w:leader="dot" w:pos="9639"/>
      </w:tabs>
      <w:spacing w:before="120"/>
      <w:ind w:left="851" w:right="851" w:hanging="567"/>
      <w:contextualSpacing/>
    </w:pPr>
    <w:rPr>
      <w:rFonts w:ascii="Arial" w:hAnsi="Arial"/>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708C6"/>
    <w:pPr>
      <w:tabs>
        <w:tab w:val="right" w:leader="dot" w:pos="9639"/>
      </w:tabs>
      <w:spacing w:before="120"/>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E24417"/>
    <w:pPr>
      <w:ind w:left="720"/>
      <w:contextualSpacing/>
    </w:pPr>
  </w:style>
  <w:style w:type="table" w:styleId="TableGrid">
    <w:name w:val="Table Grid"/>
    <w:basedOn w:val="TableNormal"/>
    <w:rsid w:val="00FF1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locked/>
    <w:rsid w:val="00557B14"/>
    <w:rPr>
      <w:rFonts w:ascii="Arial" w:hAnsi="Arial"/>
      <w:i/>
      <w:lang w:val="fr-FR"/>
    </w:rPr>
  </w:style>
  <w:style w:type="paragraph" w:customStyle="1" w:styleId="StyleTOC3After6pt">
    <w:name w:val="Style TOC 3 + After:  6 pt"/>
    <w:basedOn w:val="TOC3"/>
    <w:rsid w:val="00A708C6"/>
    <w:pPr>
      <w:spacing w:after="120"/>
    </w:pPr>
    <w:rPr>
      <w:iCs/>
    </w:rPr>
  </w:style>
  <w:style w:type="paragraph" w:customStyle="1" w:styleId="StyleListParagraphAfter12pt">
    <w:name w:val="Style List Paragraph + After:  12 pt"/>
    <w:basedOn w:val="ListParagraph"/>
    <w:rsid w:val="000B2AAC"/>
    <w:pPr>
      <w:spacing w:after="120"/>
    </w:pPr>
  </w:style>
  <w:style w:type="character" w:customStyle="1" w:styleId="DecisionParagraphsChar">
    <w:name w:val="DecisionParagraphs Char"/>
    <w:basedOn w:val="DefaultParagraphFont"/>
    <w:link w:val="DecisionParagraphs"/>
    <w:rsid w:val="008C1516"/>
    <w:rPr>
      <w:rFonts w:ascii="Arial" w:hAnsi="Arial"/>
      <w:i/>
    </w:rPr>
  </w:style>
  <w:style w:type="paragraph" w:customStyle="1" w:styleId="DecisionInvitingPara">
    <w:name w:val="Decision Inviting Para."/>
    <w:basedOn w:val="Normal"/>
    <w:rsid w:val="008C1516"/>
    <w:pPr>
      <w:ind w:left="4536"/>
    </w:pPr>
    <w:rPr>
      <w:i/>
      <w:lang w:val="es-ES_tradnl"/>
    </w:rPr>
  </w:style>
  <w:style w:type="paragraph" w:customStyle="1" w:styleId="dec">
    <w:name w:val="dec"/>
    <w:basedOn w:val="Normal"/>
    <w:link w:val="decChar"/>
    <w:qFormat/>
    <w:rsid w:val="008C1516"/>
    <w:pPr>
      <w:ind w:left="4536"/>
    </w:pPr>
    <w:rPr>
      <w:i/>
      <w:spacing w:val="-2"/>
      <w:lang w:val="fr-FR"/>
    </w:rPr>
  </w:style>
  <w:style w:type="character" w:customStyle="1" w:styleId="decChar">
    <w:name w:val="dec Char"/>
    <w:basedOn w:val="DefaultParagraphFont"/>
    <w:link w:val="dec"/>
    <w:rsid w:val="008C1516"/>
    <w:rPr>
      <w:rFonts w:ascii="Arial" w:hAnsi="Arial"/>
      <w:i/>
      <w:spacing w:val="-2"/>
      <w:lang w:val="fr-FR"/>
    </w:rPr>
  </w:style>
  <w:style w:type="character" w:customStyle="1" w:styleId="pldetailsChar">
    <w:name w:val="pldetails Char"/>
    <w:link w:val="pldetails"/>
    <w:rsid w:val="008C1516"/>
    <w:rPr>
      <w:rFonts w:ascii="Arial" w:hAnsi="Arial"/>
      <w:noProof/>
      <w:snapToGrid w:val="0"/>
    </w:rPr>
  </w:style>
  <w:style w:type="character" w:customStyle="1" w:styleId="plcountryChar">
    <w:name w:val="plcountry Char"/>
    <w:link w:val="plcountry"/>
    <w:rsid w:val="008C1516"/>
    <w:rPr>
      <w:rFonts w:ascii="Arial" w:hAnsi="Arial"/>
      <w:caps/>
      <w:noProof/>
      <w:snapToGrid w:val="0"/>
      <w:u w:val="single"/>
    </w:rPr>
  </w:style>
  <w:style w:type="character" w:styleId="CommentReference">
    <w:name w:val="annotation reference"/>
    <w:basedOn w:val="DefaultParagraphFont"/>
    <w:rsid w:val="008C1516"/>
    <w:rPr>
      <w:sz w:val="16"/>
      <w:szCs w:val="16"/>
    </w:rPr>
  </w:style>
  <w:style w:type="paragraph" w:styleId="CommentText">
    <w:name w:val="annotation text"/>
    <w:basedOn w:val="Normal"/>
    <w:link w:val="CommentTextChar"/>
    <w:rsid w:val="008C1516"/>
    <w:rPr>
      <w:lang w:val="fr-FR"/>
    </w:rPr>
  </w:style>
  <w:style w:type="character" w:customStyle="1" w:styleId="CommentTextChar">
    <w:name w:val="Comment Text Char"/>
    <w:basedOn w:val="DefaultParagraphFont"/>
    <w:link w:val="CommentText"/>
    <w:rsid w:val="008C1516"/>
    <w:rPr>
      <w:rFonts w:ascii="Arial" w:hAnsi="Arial"/>
      <w:lang w:val="fr-FR"/>
    </w:rPr>
  </w:style>
  <w:style w:type="paragraph" w:styleId="CommentSubject">
    <w:name w:val="annotation subject"/>
    <w:basedOn w:val="CommentText"/>
    <w:next w:val="CommentText"/>
    <w:link w:val="CommentSubjectChar"/>
    <w:rsid w:val="008C1516"/>
    <w:rPr>
      <w:b/>
      <w:bCs/>
    </w:rPr>
  </w:style>
  <w:style w:type="character" w:customStyle="1" w:styleId="CommentSubjectChar">
    <w:name w:val="Comment Subject Char"/>
    <w:basedOn w:val="CommentTextChar"/>
    <w:link w:val="CommentSubject"/>
    <w:rsid w:val="008C1516"/>
    <w:rPr>
      <w:rFonts w:ascii="Arial" w:hAnsi="Arial"/>
      <w:b/>
      <w:bCs/>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3507D"/>
    <w:pPr>
      <w:jc w:val="both"/>
    </w:pPr>
    <w:rPr>
      <w:rFonts w:ascii="Arial" w:hAnsi="Arial"/>
    </w:rPr>
  </w:style>
  <w:style w:type="paragraph" w:styleId="Heading1">
    <w:name w:val="heading 1"/>
    <w:next w:val="Normal"/>
    <w:autoRedefine/>
    <w:qFormat/>
    <w:rsid w:val="00FC72A5"/>
    <w:pPr>
      <w:keepNext/>
      <w:jc w:val="both"/>
      <w:outlineLvl w:val="0"/>
    </w:pPr>
    <w:rPr>
      <w:rFonts w:ascii="Arial" w:hAnsi="Arial"/>
      <w:u w:val="single"/>
      <w:lang w:val="fr-FR"/>
    </w:rPr>
  </w:style>
  <w:style w:type="paragraph" w:styleId="Heading2">
    <w:name w:val="heading 2"/>
    <w:next w:val="Normal"/>
    <w:link w:val="Heading2Char"/>
    <w:autoRedefine/>
    <w:qFormat/>
    <w:rsid w:val="00557B14"/>
    <w:pPr>
      <w:keepNext/>
      <w:jc w:val="both"/>
      <w:outlineLvl w:val="1"/>
    </w:pPr>
    <w:rPr>
      <w:rFonts w:ascii="Arial" w:hAnsi="Arial"/>
      <w:i/>
      <w:lang w:val="fr-FR"/>
    </w:rPr>
  </w:style>
  <w:style w:type="paragraph" w:styleId="Heading3">
    <w:name w:val="heading 3"/>
    <w:next w:val="Normal"/>
    <w:autoRedefine/>
    <w:qFormat/>
    <w:rsid w:val="00B9187D"/>
    <w:pPr>
      <w:keepNext/>
      <w:jc w:val="both"/>
      <w:outlineLvl w:val="2"/>
    </w:pPr>
    <w:rPr>
      <w:rFonts w:ascii="Arial" w:hAnsi="Arial"/>
      <w:i/>
      <w:lang w:val="fr-FR"/>
    </w:rPr>
  </w:style>
  <w:style w:type="paragraph" w:styleId="Heading4">
    <w:name w:val="heading 4"/>
    <w:next w:val="Normal"/>
    <w:autoRedefine/>
    <w:qFormat/>
    <w:rsid w:val="0033507D"/>
    <w:pPr>
      <w:keepNext/>
      <w:ind w:left="567"/>
      <w:jc w:val="both"/>
      <w:outlineLvl w:val="3"/>
    </w:pPr>
    <w:rPr>
      <w:rFonts w:ascii="Arial" w:hAnsi="Arial"/>
      <w:i/>
      <w:lang w:val="fr-FR"/>
    </w:rPr>
  </w:style>
  <w:style w:type="paragraph" w:styleId="Heading5">
    <w:name w:val="heading 5"/>
    <w:next w:val="Normal"/>
    <w:autoRedefine/>
    <w:qFormat/>
    <w:rsid w:val="0033507D"/>
    <w:pPr>
      <w:keepNext/>
      <w:ind w:left="1134" w:hanging="567"/>
      <w:jc w:val="both"/>
      <w:outlineLvl w:val="4"/>
    </w:pPr>
    <w:rPr>
      <w:rFonts w:ascii="Arial" w:hAnsi="Arial"/>
      <w:sz w:val="18"/>
      <w:szCs w:val="18"/>
    </w:rPr>
  </w:style>
  <w:style w:type="paragraph" w:styleId="Heading9">
    <w:name w:val="heading 9"/>
    <w:basedOn w:val="Normal"/>
    <w:next w:val="Normal"/>
    <w:qFormat/>
    <w:rsid w:val="0033507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utoRedefine/>
    <w:rsid w:val="0033507D"/>
    <w:pPr>
      <w:tabs>
        <w:tab w:val="center" w:pos="4536"/>
        <w:tab w:val="right" w:pos="9072"/>
      </w:tabs>
      <w:jc w:val="center"/>
    </w:pPr>
    <w:rPr>
      <w:rFonts w:ascii="Arial" w:hAnsi="Arial"/>
      <w:lang w:val="fr-FR"/>
    </w:rPr>
  </w:style>
  <w:style w:type="paragraph" w:styleId="Footer">
    <w:name w:val="footer"/>
    <w:aliases w:val="doc_path_name"/>
    <w:autoRedefine/>
    <w:rsid w:val="0033507D"/>
    <w:pPr>
      <w:jc w:val="both"/>
    </w:pPr>
    <w:rPr>
      <w:rFonts w:ascii="Arial" w:hAnsi="Arial"/>
      <w:sz w:val="14"/>
    </w:rPr>
  </w:style>
  <w:style w:type="character" w:styleId="PageNumber">
    <w:name w:val="page number"/>
    <w:basedOn w:val="DefaultParagraphFont"/>
    <w:rsid w:val="0033507D"/>
    <w:rPr>
      <w:rFonts w:ascii="Arial" w:hAnsi="Arial"/>
      <w:sz w:val="20"/>
    </w:rPr>
  </w:style>
  <w:style w:type="paragraph" w:styleId="Title">
    <w:name w:val="Title"/>
    <w:basedOn w:val="Normal"/>
    <w:qFormat/>
    <w:rsid w:val="0033507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Normal"/>
    <w:link w:val="DocoriginalChar"/>
    <w:rsid w:val="0033507D"/>
    <w:pPr>
      <w:spacing w:line="280" w:lineRule="exact"/>
      <w:ind w:left="1361"/>
    </w:pPr>
    <w:rPr>
      <w:b/>
      <w:bCs/>
      <w:spacing w:val="10"/>
    </w:rPr>
  </w:style>
  <w:style w:type="paragraph" w:customStyle="1" w:styleId="DecisionParagraphs">
    <w:name w:val="DecisionParagraphs"/>
    <w:basedOn w:val="Normal"/>
    <w:link w:val="DecisionParagraphsChar"/>
    <w:qFormat/>
    <w:rsid w:val="0033507D"/>
    <w:pPr>
      <w:tabs>
        <w:tab w:val="left" w:pos="5387"/>
      </w:tabs>
      <w:ind w:left="4820"/>
    </w:pPr>
    <w:rPr>
      <w:i/>
    </w:rPr>
  </w:style>
  <w:style w:type="paragraph" w:styleId="FootnoteText">
    <w:name w:val="footnote text"/>
    <w:autoRedefine/>
    <w:rsid w:val="0033507D"/>
    <w:pPr>
      <w:spacing w:before="60"/>
      <w:ind w:left="567" w:hanging="567"/>
      <w:jc w:val="both"/>
    </w:pPr>
    <w:rPr>
      <w:rFonts w:ascii="Arial" w:hAnsi="Arial"/>
      <w:sz w:val="16"/>
    </w:rPr>
  </w:style>
  <w:style w:type="character" w:styleId="FootnoteReference">
    <w:name w:val="footnote reference"/>
    <w:basedOn w:val="DefaultParagraphFont"/>
    <w:semiHidden/>
    <w:rsid w:val="0033507D"/>
    <w:rPr>
      <w:vertAlign w:val="superscript"/>
    </w:rPr>
  </w:style>
  <w:style w:type="paragraph" w:styleId="Closing">
    <w:name w:val="Closing"/>
    <w:basedOn w:val="Normal"/>
    <w:rsid w:val="0033507D"/>
    <w:pPr>
      <w:ind w:left="4536"/>
      <w:jc w:val="center"/>
    </w:pPr>
  </w:style>
  <w:style w:type="paragraph" w:styleId="Index1">
    <w:name w:val="index 1"/>
    <w:basedOn w:val="Normal"/>
    <w:next w:val="Normal"/>
    <w:semiHidden/>
    <w:rsid w:val="0033507D"/>
    <w:pPr>
      <w:tabs>
        <w:tab w:val="right" w:leader="dot" w:pos="9071"/>
      </w:tabs>
      <w:ind w:left="284" w:hanging="284"/>
    </w:pPr>
    <w:rPr>
      <w:sz w:val="24"/>
    </w:rPr>
  </w:style>
  <w:style w:type="paragraph" w:styleId="Index2">
    <w:name w:val="index 2"/>
    <w:basedOn w:val="Normal"/>
    <w:next w:val="Normal"/>
    <w:semiHidden/>
    <w:rsid w:val="0033507D"/>
    <w:pPr>
      <w:tabs>
        <w:tab w:val="right" w:leader="dot" w:pos="9071"/>
      </w:tabs>
      <w:ind w:left="568" w:hanging="284"/>
    </w:pPr>
    <w:rPr>
      <w:sz w:val="24"/>
    </w:rPr>
  </w:style>
  <w:style w:type="paragraph" w:styleId="Index3">
    <w:name w:val="index 3"/>
    <w:basedOn w:val="Normal"/>
    <w:next w:val="Normal"/>
    <w:semiHidden/>
    <w:rsid w:val="0033507D"/>
    <w:pPr>
      <w:tabs>
        <w:tab w:val="right" w:leader="dot" w:pos="9071"/>
      </w:tabs>
      <w:ind w:left="851" w:hanging="284"/>
    </w:pPr>
    <w:rPr>
      <w:sz w:val="24"/>
    </w:rPr>
  </w:style>
  <w:style w:type="paragraph" w:styleId="MacroText">
    <w:name w:val="macro"/>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33507D"/>
    <w:pPr>
      <w:ind w:left="4536"/>
      <w:jc w:val="center"/>
    </w:pPr>
  </w:style>
  <w:style w:type="character" w:customStyle="1" w:styleId="Doclang">
    <w:name w:val="Doc_lang"/>
    <w:basedOn w:val="DefaultParagraphFont"/>
    <w:rsid w:val="0033507D"/>
    <w:rPr>
      <w:rFonts w:ascii="Arial" w:hAnsi="Arial"/>
      <w:sz w:val="20"/>
      <w:lang w:val="en-US"/>
    </w:rPr>
  </w:style>
  <w:style w:type="paragraph" w:customStyle="1" w:styleId="Session">
    <w:name w:val="Session"/>
    <w:basedOn w:val="Normal"/>
    <w:semiHidden/>
    <w:rsid w:val="0033507D"/>
    <w:pPr>
      <w:spacing w:before="60"/>
      <w:jc w:val="center"/>
    </w:pPr>
    <w:rPr>
      <w:b/>
    </w:rPr>
  </w:style>
  <w:style w:type="paragraph" w:customStyle="1" w:styleId="Organizer">
    <w:name w:val="Organizer"/>
    <w:basedOn w:val="Normal"/>
    <w:semiHidden/>
    <w:rsid w:val="0033507D"/>
    <w:pPr>
      <w:spacing w:after="600"/>
      <w:ind w:left="-993" w:right="-994"/>
      <w:jc w:val="center"/>
    </w:pPr>
    <w:rPr>
      <w:b/>
      <w:caps/>
      <w:kern w:val="26"/>
      <w:sz w:val="26"/>
    </w:rPr>
  </w:style>
  <w:style w:type="paragraph" w:styleId="BodyText">
    <w:name w:val="Body Text"/>
    <w:basedOn w:val="Normal"/>
    <w:rsid w:val="0033507D"/>
  </w:style>
  <w:style w:type="paragraph" w:customStyle="1" w:styleId="StyleDocoriginalNotBold">
    <w:name w:val="Style Doc_original + Not Bold"/>
    <w:basedOn w:val="Docoriginal"/>
    <w:link w:val="StyleDocoriginalNotBoldChar"/>
    <w:autoRedefine/>
    <w:rsid w:val="0033507D"/>
    <w:pPr>
      <w:ind w:left="1589"/>
      <w:jc w:val="left"/>
    </w:pPr>
  </w:style>
  <w:style w:type="paragraph" w:customStyle="1" w:styleId="upove">
    <w:name w:val="upov_e"/>
    <w:basedOn w:val="Normal"/>
    <w:rsid w:val="0033507D"/>
    <w:pPr>
      <w:spacing w:before="60"/>
      <w:jc w:val="center"/>
    </w:pPr>
    <w:rPr>
      <w:b/>
      <w:bCs/>
      <w:spacing w:val="8"/>
      <w:sz w:val="24"/>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33507D"/>
  </w:style>
  <w:style w:type="paragraph" w:styleId="EndnoteText">
    <w:name w:val="endnote text"/>
    <w:basedOn w:val="Normal"/>
    <w:semiHidden/>
    <w:rsid w:val="0033507D"/>
  </w:style>
  <w:style w:type="character" w:styleId="EndnoteReference">
    <w:name w:val="endnote reference"/>
    <w:basedOn w:val="DefaultParagraphFont"/>
    <w:semiHidden/>
    <w:rsid w:val="0033507D"/>
    <w:rPr>
      <w:vertAlign w:val="superscript"/>
    </w:rPr>
  </w:style>
  <w:style w:type="paragraph" w:customStyle="1" w:styleId="SessionMeetingPlace">
    <w:name w:val="Session_MeetingPlace"/>
    <w:basedOn w:val="Normal"/>
    <w:semiHidden/>
    <w:rsid w:val="0033507D"/>
    <w:pPr>
      <w:spacing w:before="480"/>
      <w:jc w:val="center"/>
    </w:pPr>
    <w:rPr>
      <w:b/>
      <w:bCs/>
      <w:kern w:val="28"/>
      <w:sz w:val="24"/>
    </w:rPr>
  </w:style>
  <w:style w:type="paragraph" w:customStyle="1" w:styleId="Original">
    <w:name w:val="Original"/>
    <w:basedOn w:val="Normal"/>
    <w:semiHidden/>
    <w:rsid w:val="0033507D"/>
    <w:pPr>
      <w:spacing w:before="60"/>
      <w:ind w:left="1276"/>
    </w:pPr>
    <w:rPr>
      <w:b/>
      <w:sz w:val="22"/>
    </w:rPr>
  </w:style>
  <w:style w:type="paragraph" w:styleId="Date">
    <w:name w:val="Date"/>
    <w:basedOn w:val="Normal"/>
    <w:semiHidden/>
    <w:rsid w:val="0033507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33507D"/>
    <w:pPr>
      <w:spacing w:before="60" w:after="480"/>
      <w:jc w:val="center"/>
    </w:pPr>
  </w:style>
  <w:style w:type="paragraph" w:customStyle="1" w:styleId="Lettrine">
    <w:name w:val="Lettrine"/>
    <w:basedOn w:val="Normal"/>
    <w:rsid w:val="0033507D"/>
    <w:pPr>
      <w:spacing w:after="120" w:line="340" w:lineRule="atLeast"/>
      <w:jc w:val="right"/>
    </w:pPr>
    <w:rPr>
      <w:b/>
      <w:bCs/>
      <w:sz w:val="56"/>
    </w:rPr>
  </w:style>
  <w:style w:type="paragraph" w:customStyle="1" w:styleId="LogoUPOV">
    <w:name w:val="LogoUPOV"/>
    <w:basedOn w:val="Normal"/>
    <w:rsid w:val="0033507D"/>
    <w:pPr>
      <w:spacing w:before="720"/>
      <w:jc w:val="center"/>
    </w:pPr>
  </w:style>
  <w:style w:type="paragraph" w:customStyle="1" w:styleId="Sessiontc">
    <w:name w:val="Session_tc"/>
    <w:basedOn w:val="StyleSessionAllcaps"/>
    <w:rsid w:val="0033507D"/>
    <w:pPr>
      <w:spacing w:before="240"/>
    </w:p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33507D"/>
    <w:pPr>
      <w:spacing w:before="480"/>
    </w:pPr>
    <w:rPr>
      <w:bCs/>
      <w:caps/>
      <w:kern w:val="28"/>
      <w:sz w:val="24"/>
    </w:rPr>
  </w:style>
  <w:style w:type="paragraph" w:customStyle="1" w:styleId="plcountry">
    <w:name w:val="plcountry"/>
    <w:basedOn w:val="Normal"/>
    <w:link w:val="plcountryChar"/>
    <w:rsid w:val="0033507D"/>
    <w:pPr>
      <w:keepNext/>
      <w:keepLines/>
      <w:spacing w:before="180" w:after="120"/>
      <w:jc w:val="left"/>
    </w:pPr>
    <w:rPr>
      <w:caps/>
      <w:noProof/>
      <w:snapToGrid w:val="0"/>
      <w:u w:val="single"/>
    </w:rPr>
  </w:style>
  <w:style w:type="paragraph" w:customStyle="1" w:styleId="pldetails">
    <w:name w:val="pldetails"/>
    <w:basedOn w:val="Normal"/>
    <w:link w:val="pldetailsChar"/>
    <w:rsid w:val="0033507D"/>
    <w:pPr>
      <w:keepLines/>
      <w:spacing w:before="60" w:after="60"/>
      <w:jc w:val="left"/>
    </w:pPr>
    <w:rPr>
      <w:noProof/>
      <w:snapToGrid w:val="0"/>
    </w:rPr>
  </w:style>
  <w:style w:type="paragraph" w:customStyle="1" w:styleId="plheading">
    <w:name w:val="plheading"/>
    <w:basedOn w:val="Normal"/>
    <w:rsid w:val="0033507D"/>
    <w:pPr>
      <w:keepNext/>
      <w:spacing w:before="480" w:after="120"/>
      <w:jc w:val="center"/>
    </w:pPr>
    <w:rPr>
      <w:caps/>
      <w:snapToGrid w:val="0"/>
      <w:u w:val="single"/>
    </w:rPr>
  </w:style>
  <w:style w:type="paragraph" w:customStyle="1" w:styleId="Sessiontcplacedate">
    <w:name w:val="Session_tc_place_date"/>
    <w:basedOn w:val="SessionMeetingPlace"/>
    <w:rsid w:val="0033507D"/>
    <w:pPr>
      <w:spacing w:before="240"/>
    </w:pPr>
  </w:style>
  <w:style w:type="paragraph" w:customStyle="1" w:styleId="Titleofdoc0">
    <w:name w:val="Title_of_doc"/>
    <w:basedOn w:val="Normal"/>
    <w:rsid w:val="0033507D"/>
    <w:pPr>
      <w:spacing w:before="600"/>
      <w:jc w:val="center"/>
    </w:pPr>
    <w:rPr>
      <w:caps/>
    </w:rPr>
  </w:style>
  <w:style w:type="paragraph" w:customStyle="1" w:styleId="preparedby1">
    <w:name w:val="prepared_by"/>
    <w:basedOn w:val="Normal"/>
    <w:semiHidden/>
    <w:rsid w:val="0033507D"/>
    <w:pPr>
      <w:spacing w:before="240" w:after="600"/>
      <w:jc w:val="center"/>
    </w:pPr>
    <w:rPr>
      <w:i/>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autoRedefine/>
    <w:rsid w:val="0033507D"/>
    <w:pPr>
      <w:spacing w:before="480"/>
      <w:ind w:left="567" w:hanging="567"/>
      <w:jc w:val="right"/>
    </w:pPr>
    <w:rPr>
      <w:rFonts w:ascii="Arial" w:hAnsi="Arial"/>
    </w:rPr>
  </w:style>
  <w:style w:type="character" w:customStyle="1" w:styleId="DocoriginalChar">
    <w:name w:val="Doc_original Char"/>
    <w:basedOn w:val="DefaultParagraphFont"/>
    <w:link w:val="Docoriginal"/>
    <w:rsid w:val="0033507D"/>
    <w:rPr>
      <w:rFonts w:ascii="Arial" w:hAnsi="Arial"/>
      <w:b/>
      <w:bCs/>
      <w:spacing w:val="10"/>
      <w:lang w:val="en-US" w:eastAsia="en-US" w:bidi="ar-SA"/>
    </w:rPr>
  </w:style>
  <w:style w:type="character" w:customStyle="1" w:styleId="StyleDocoriginalNotBoldChar">
    <w:name w:val="Style Doc_original + Not Bold Char"/>
    <w:basedOn w:val="DocoriginalChar"/>
    <w:link w:val="StyleDocoriginalNotBold"/>
    <w:rsid w:val="0033507D"/>
    <w:rPr>
      <w:rFonts w:ascii="Arial" w:hAnsi="Arial"/>
      <w:b/>
      <w:bCs/>
      <w:spacing w:val="10"/>
      <w:lang w:val="en-US" w:eastAsia="en-US" w:bidi="ar-SA"/>
    </w:rPr>
  </w:style>
  <w:style w:type="paragraph" w:customStyle="1" w:styleId="StyleDocnumber">
    <w:name w:val="Style Doc_number"/>
    <w:basedOn w:val="Docoriginal"/>
    <w:rsid w:val="0033507D"/>
    <w:pPr>
      <w:ind w:left="1589"/>
    </w:pPr>
  </w:style>
  <w:style w:type="paragraph" w:customStyle="1" w:styleId="StyleDocoriginal">
    <w:name w:val="Style Doc_original"/>
    <w:basedOn w:val="Docoriginal"/>
    <w:link w:val="StyleDocoriginalChar"/>
    <w:rsid w:val="0033507D"/>
  </w:style>
  <w:style w:type="character" w:customStyle="1" w:styleId="StyleDocoriginalChar">
    <w:name w:val="Style Doc_original Char"/>
    <w:basedOn w:val="DocoriginalChar"/>
    <w:link w:val="StyleDocoriginal"/>
    <w:rsid w:val="0033507D"/>
    <w:rPr>
      <w:rFonts w:ascii="Arial" w:hAnsi="Arial"/>
      <w:b/>
      <w:bCs/>
      <w:spacing w:val="10"/>
      <w:lang w:val="en-US" w:eastAsia="en-US" w:bidi="ar-SA"/>
    </w:rPr>
  </w:style>
  <w:style w:type="paragraph" w:customStyle="1" w:styleId="StyleStyleDocoriginalNotBoldNotBold">
    <w:name w:val="Style Style Doc_original + Not Bold + Not Bold"/>
    <w:basedOn w:val="StyleDocoriginalNotBold"/>
    <w:link w:val="StyleStyleDocoriginalNotBoldNotBoldChar"/>
    <w:rsid w:val="00281060"/>
    <w:rPr>
      <w:b w:val="0"/>
      <w:bCs w:val="0"/>
      <w:spacing w:val="0"/>
    </w:rPr>
  </w:style>
  <w:style w:type="character" w:customStyle="1" w:styleId="StyleStyleDocoriginalNotBoldNotBoldChar">
    <w:name w:val="Style Style Doc_original + Not Bold + Not Bold Char"/>
    <w:basedOn w:val="StyleDocoriginalNotBoldChar"/>
    <w:link w:val="StyleStyleDocoriginalNotBoldNotBold"/>
    <w:rsid w:val="00281060"/>
    <w:rPr>
      <w:rFonts w:ascii="Arial" w:hAnsi="Arial"/>
      <w:b/>
      <w:bCs/>
      <w:spacing w:val="10"/>
      <w:lang w:val="en-US" w:eastAsia="en-US" w:bidi="ar-SA"/>
    </w:rPr>
  </w:style>
  <w:style w:type="character" w:customStyle="1" w:styleId="StyleDocoriginalNotBold1">
    <w:name w:val="Style Doc_original + Not Bold1"/>
    <w:basedOn w:val="DefaultParagraphFont"/>
    <w:rsid w:val="0033507D"/>
    <w:rPr>
      <w:rFonts w:ascii="Arial" w:hAnsi="Arial"/>
      <w:b/>
      <w:bCs/>
      <w:spacing w:val="10"/>
      <w:lang w:val="en-US" w:eastAsia="en-US" w:bidi="ar-SA"/>
    </w:rPr>
  </w:style>
  <w:style w:type="character" w:customStyle="1" w:styleId="StyleDoclangBold">
    <w:name w:val="Style Doc_lang + Bold"/>
    <w:basedOn w:val="Doclang"/>
    <w:rsid w:val="0033507D"/>
    <w:rPr>
      <w:rFonts w:ascii="Arial" w:hAnsi="Arial"/>
      <w:b/>
      <w:bCs/>
      <w:sz w:val="20"/>
      <w:lang w:val="en-US"/>
    </w:rPr>
  </w:style>
  <w:style w:type="paragraph" w:styleId="TOC2">
    <w:name w:val="toc 2"/>
    <w:next w:val="Normal"/>
    <w:autoRedefine/>
    <w:uiPriority w:val="39"/>
    <w:rsid w:val="003526DC"/>
    <w:pPr>
      <w:tabs>
        <w:tab w:val="right" w:leader="dot" w:pos="9639"/>
      </w:tabs>
      <w:spacing w:before="120"/>
      <w:ind w:left="851" w:right="851" w:hanging="567"/>
    </w:pPr>
    <w:rPr>
      <w:rFonts w:ascii="Arial" w:hAnsi="Arial"/>
      <w:noProof/>
    </w:rPr>
  </w:style>
  <w:style w:type="paragraph" w:styleId="TOC3">
    <w:name w:val="toc 3"/>
    <w:next w:val="Normal"/>
    <w:autoRedefine/>
    <w:uiPriority w:val="39"/>
    <w:rsid w:val="00D70475"/>
    <w:pPr>
      <w:tabs>
        <w:tab w:val="right" w:leader="dot" w:pos="9639"/>
      </w:tabs>
      <w:spacing w:before="120"/>
      <w:ind w:left="851" w:right="851" w:hanging="567"/>
      <w:contextualSpacing/>
    </w:pPr>
    <w:rPr>
      <w:rFonts w:ascii="Arial" w:hAnsi="Arial"/>
      <w:noProof/>
      <w:lang w:val="fr-FR"/>
    </w:rPr>
  </w:style>
  <w:style w:type="character" w:styleId="Hyperlink">
    <w:name w:val="Hyperlink"/>
    <w:basedOn w:val="DefaultParagraphFont"/>
    <w:rsid w:val="0033507D"/>
    <w:rPr>
      <w:rFonts w:ascii="Arial" w:hAnsi="Arial"/>
      <w:color w:val="0000FF"/>
      <w:u w:val="single"/>
    </w:rPr>
  </w:style>
  <w:style w:type="paragraph" w:styleId="TOC4">
    <w:name w:val="toc 4"/>
    <w:next w:val="Normal"/>
    <w:autoRedefine/>
    <w:semiHidden/>
    <w:rsid w:val="0033507D"/>
    <w:pPr>
      <w:tabs>
        <w:tab w:val="right" w:leader="dot" w:pos="9639"/>
      </w:tabs>
      <w:spacing w:before="120"/>
      <w:ind w:left="851" w:right="851" w:hanging="284"/>
    </w:pPr>
    <w:rPr>
      <w:rFonts w:ascii="Arial" w:hAnsi="Arial"/>
      <w:i/>
      <w:noProof/>
      <w:lang w:val="fr-FR"/>
    </w:rPr>
  </w:style>
  <w:style w:type="paragraph" w:styleId="TOC1">
    <w:name w:val="toc 1"/>
    <w:next w:val="Normal"/>
    <w:autoRedefine/>
    <w:uiPriority w:val="39"/>
    <w:rsid w:val="00A708C6"/>
    <w:pPr>
      <w:tabs>
        <w:tab w:val="right" w:leader="dot" w:pos="9639"/>
      </w:tabs>
      <w:spacing w:before="120"/>
      <w:ind w:left="284" w:right="284" w:hanging="284"/>
      <w:contextualSpacing/>
    </w:pPr>
    <w:rPr>
      <w:rFonts w:ascii="Arial" w:hAnsi="Arial"/>
      <w:caps/>
      <w:noProof/>
    </w:rPr>
  </w:style>
  <w:style w:type="paragraph" w:styleId="TOC5">
    <w:name w:val="toc 5"/>
    <w:next w:val="Normal"/>
    <w:autoRedefine/>
    <w:semiHidden/>
    <w:rsid w:val="0033507D"/>
    <w:pPr>
      <w:tabs>
        <w:tab w:val="right" w:leader="dot" w:pos="9639"/>
      </w:tabs>
      <w:spacing w:before="120"/>
      <w:ind w:left="851" w:right="851" w:hanging="283"/>
      <w:jc w:val="both"/>
    </w:pPr>
    <w:rPr>
      <w:rFonts w:ascii="Arial" w:hAnsi="Arial"/>
      <w:noProof/>
      <w:sz w:val="18"/>
      <w:lang w:val="fr-FR"/>
    </w:rPr>
  </w:style>
  <w:style w:type="paragraph" w:styleId="BalloonText">
    <w:name w:val="Balloon Text"/>
    <w:basedOn w:val="Normal"/>
    <w:link w:val="BalloonTextChar"/>
    <w:rsid w:val="00560A6D"/>
    <w:rPr>
      <w:rFonts w:ascii="Tahoma" w:hAnsi="Tahoma" w:cs="Tahoma"/>
      <w:sz w:val="16"/>
      <w:szCs w:val="16"/>
    </w:rPr>
  </w:style>
  <w:style w:type="character" w:customStyle="1" w:styleId="BalloonTextChar">
    <w:name w:val="Balloon Text Char"/>
    <w:basedOn w:val="DefaultParagraphFont"/>
    <w:link w:val="BalloonText"/>
    <w:rsid w:val="00560A6D"/>
    <w:rPr>
      <w:rFonts w:ascii="Tahoma" w:hAnsi="Tahoma" w:cs="Tahoma"/>
      <w:sz w:val="16"/>
      <w:szCs w:val="16"/>
    </w:rPr>
  </w:style>
  <w:style w:type="paragraph" w:styleId="ListParagraph">
    <w:name w:val="List Paragraph"/>
    <w:basedOn w:val="Normal"/>
    <w:uiPriority w:val="34"/>
    <w:qFormat/>
    <w:rsid w:val="00E24417"/>
    <w:pPr>
      <w:ind w:left="720"/>
      <w:contextualSpacing/>
    </w:pPr>
  </w:style>
  <w:style w:type="table" w:styleId="TableGrid">
    <w:name w:val="Table Grid"/>
    <w:basedOn w:val="TableNormal"/>
    <w:rsid w:val="00FF10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link w:val="Heading2"/>
    <w:locked/>
    <w:rsid w:val="00557B14"/>
    <w:rPr>
      <w:rFonts w:ascii="Arial" w:hAnsi="Arial"/>
      <w:i/>
      <w:lang w:val="fr-FR"/>
    </w:rPr>
  </w:style>
  <w:style w:type="paragraph" w:customStyle="1" w:styleId="StyleTOC3After6pt">
    <w:name w:val="Style TOC 3 + After:  6 pt"/>
    <w:basedOn w:val="TOC3"/>
    <w:rsid w:val="00A708C6"/>
    <w:pPr>
      <w:spacing w:after="120"/>
    </w:pPr>
    <w:rPr>
      <w:iCs/>
    </w:rPr>
  </w:style>
  <w:style w:type="paragraph" w:customStyle="1" w:styleId="StyleListParagraphAfter12pt">
    <w:name w:val="Style List Paragraph + After:  12 pt"/>
    <w:basedOn w:val="ListParagraph"/>
    <w:rsid w:val="000B2AAC"/>
    <w:pPr>
      <w:spacing w:after="120"/>
    </w:pPr>
  </w:style>
  <w:style w:type="character" w:customStyle="1" w:styleId="DecisionParagraphsChar">
    <w:name w:val="DecisionParagraphs Char"/>
    <w:basedOn w:val="DefaultParagraphFont"/>
    <w:link w:val="DecisionParagraphs"/>
    <w:rsid w:val="008C1516"/>
    <w:rPr>
      <w:rFonts w:ascii="Arial" w:hAnsi="Arial"/>
      <w:i/>
    </w:rPr>
  </w:style>
  <w:style w:type="paragraph" w:customStyle="1" w:styleId="DecisionInvitingPara">
    <w:name w:val="Decision Inviting Para."/>
    <w:basedOn w:val="Normal"/>
    <w:rsid w:val="008C1516"/>
    <w:pPr>
      <w:ind w:left="4536"/>
    </w:pPr>
    <w:rPr>
      <w:i/>
      <w:lang w:val="es-ES_tradnl"/>
    </w:rPr>
  </w:style>
  <w:style w:type="paragraph" w:customStyle="1" w:styleId="dec">
    <w:name w:val="dec"/>
    <w:basedOn w:val="Normal"/>
    <w:link w:val="decChar"/>
    <w:qFormat/>
    <w:rsid w:val="008C1516"/>
    <w:pPr>
      <w:ind w:left="4536"/>
    </w:pPr>
    <w:rPr>
      <w:i/>
      <w:spacing w:val="-2"/>
      <w:lang w:val="fr-FR"/>
    </w:rPr>
  </w:style>
  <w:style w:type="character" w:customStyle="1" w:styleId="decChar">
    <w:name w:val="dec Char"/>
    <w:basedOn w:val="DefaultParagraphFont"/>
    <w:link w:val="dec"/>
    <w:rsid w:val="008C1516"/>
    <w:rPr>
      <w:rFonts w:ascii="Arial" w:hAnsi="Arial"/>
      <w:i/>
      <w:spacing w:val="-2"/>
      <w:lang w:val="fr-FR"/>
    </w:rPr>
  </w:style>
  <w:style w:type="character" w:customStyle="1" w:styleId="pldetailsChar">
    <w:name w:val="pldetails Char"/>
    <w:link w:val="pldetails"/>
    <w:rsid w:val="008C1516"/>
    <w:rPr>
      <w:rFonts w:ascii="Arial" w:hAnsi="Arial"/>
      <w:noProof/>
      <w:snapToGrid w:val="0"/>
    </w:rPr>
  </w:style>
  <w:style w:type="character" w:customStyle="1" w:styleId="plcountryChar">
    <w:name w:val="plcountry Char"/>
    <w:link w:val="plcountry"/>
    <w:rsid w:val="008C1516"/>
    <w:rPr>
      <w:rFonts w:ascii="Arial" w:hAnsi="Arial"/>
      <w:caps/>
      <w:noProof/>
      <w:snapToGrid w:val="0"/>
      <w:u w:val="single"/>
    </w:rPr>
  </w:style>
  <w:style w:type="character" w:styleId="CommentReference">
    <w:name w:val="annotation reference"/>
    <w:basedOn w:val="DefaultParagraphFont"/>
    <w:rsid w:val="008C1516"/>
    <w:rPr>
      <w:sz w:val="16"/>
      <w:szCs w:val="16"/>
    </w:rPr>
  </w:style>
  <w:style w:type="paragraph" w:styleId="CommentText">
    <w:name w:val="annotation text"/>
    <w:basedOn w:val="Normal"/>
    <w:link w:val="CommentTextChar"/>
    <w:rsid w:val="008C1516"/>
    <w:rPr>
      <w:lang w:val="fr-FR"/>
    </w:rPr>
  </w:style>
  <w:style w:type="character" w:customStyle="1" w:styleId="CommentTextChar">
    <w:name w:val="Comment Text Char"/>
    <w:basedOn w:val="DefaultParagraphFont"/>
    <w:link w:val="CommentText"/>
    <w:rsid w:val="008C1516"/>
    <w:rPr>
      <w:rFonts w:ascii="Arial" w:hAnsi="Arial"/>
      <w:lang w:val="fr-FR"/>
    </w:rPr>
  </w:style>
  <w:style w:type="paragraph" w:styleId="CommentSubject">
    <w:name w:val="annotation subject"/>
    <w:basedOn w:val="CommentText"/>
    <w:next w:val="CommentText"/>
    <w:link w:val="CommentSubjectChar"/>
    <w:rsid w:val="008C1516"/>
    <w:rPr>
      <w:b/>
      <w:bCs/>
    </w:rPr>
  </w:style>
  <w:style w:type="character" w:customStyle="1" w:styleId="CommentSubjectChar">
    <w:name w:val="Comment Subject Char"/>
    <w:basedOn w:val="CommentTextChar"/>
    <w:link w:val="CommentSubject"/>
    <w:rsid w:val="008C1516"/>
    <w:rPr>
      <w:rFonts w:ascii="Arial" w:hAnsi="Arial"/>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4584705">
      <w:bodyDiv w:val="1"/>
      <w:marLeft w:val="0"/>
      <w:marRight w:val="0"/>
      <w:marTop w:val="0"/>
      <w:marBottom w:val="0"/>
      <w:divBdr>
        <w:top w:val="none" w:sz="0" w:space="0" w:color="auto"/>
        <w:left w:val="none" w:sz="0" w:space="0" w:color="auto"/>
        <w:bottom w:val="none" w:sz="0" w:space="0" w:color="auto"/>
        <w:right w:val="none" w:sz="0" w:space="0" w:color="auto"/>
      </w:divBdr>
    </w:div>
    <w:div w:id="1915889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BE4DFE-758E-43D5-9AE3-D82F6BE50374}">
  <ds:schemaRefs>
    <ds:schemaRef ds:uri="http://schemas.openxmlformats.org/officeDocument/2006/bibliography"/>
  </ds:schemaRefs>
</ds:datastoreItem>
</file>

<file path=customXml/itemProps2.xml><?xml version="1.0" encoding="utf-8"?>
<ds:datastoreItem xmlns:ds="http://schemas.openxmlformats.org/officeDocument/2006/customXml" ds:itemID="{281E961F-9179-43DB-BA64-104704EA78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6100</Words>
  <Characters>34774</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C/48/</vt:lpstr>
    </vt:vector>
  </TitlesOfParts>
  <Company>UPOV</Company>
  <LinksUpToDate>false</LinksUpToDate>
  <CharactersWithSpaces>40793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C/48/</dc:title>
  <dc:creator>MAY Jessica</dc:creator>
  <cp:keywords>DB/ko</cp:keywords>
  <cp:lastModifiedBy>BESSE Ariane</cp:lastModifiedBy>
  <cp:revision>19</cp:revision>
  <cp:lastPrinted>2014-09-16T09:04:00Z</cp:lastPrinted>
  <dcterms:created xsi:type="dcterms:W3CDTF">2014-08-14T08:29:00Z</dcterms:created>
  <dcterms:modified xsi:type="dcterms:W3CDTF">2014-09-16T09:04:00Z</dcterms:modified>
</cp:coreProperties>
</file>