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B6354" w:rsidRPr="00CA3BDE" w:rsidTr="00646BFB">
        <w:trPr>
          <w:trHeight w:val="1760"/>
        </w:trPr>
        <w:tc>
          <w:tcPr>
            <w:tcW w:w="4243" w:type="dxa"/>
          </w:tcPr>
          <w:p w:rsidR="0067078A" w:rsidRPr="009B6354" w:rsidRDefault="0067078A" w:rsidP="00532F43"/>
        </w:tc>
        <w:tc>
          <w:tcPr>
            <w:tcW w:w="1646" w:type="dxa"/>
            <w:vAlign w:val="center"/>
          </w:tcPr>
          <w:p w:rsidR="0067078A" w:rsidRPr="009B6354" w:rsidRDefault="0067078A" w:rsidP="00532F43">
            <w:pPr>
              <w:pStyle w:val="LogoUPOV"/>
            </w:pPr>
            <w:r w:rsidRPr="009B6354">
              <w:rPr>
                <w:noProof/>
              </w:rPr>
              <w:drawing>
                <wp:inline distT="0" distB="0" distL="0" distR="0" wp14:anchorId="659C5C7D" wp14:editId="3A95180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527FA" w:rsidRPr="009B6354" w:rsidRDefault="00D47FDB" w:rsidP="00D47FDB">
            <w:pPr>
              <w:pStyle w:val="Lettrine"/>
              <w:rPr>
                <w:lang w:val="fr-CH"/>
              </w:rPr>
            </w:pPr>
            <w:r w:rsidRPr="009B6354">
              <w:rPr>
                <w:lang w:val="fr-CH"/>
              </w:rPr>
              <w:t>F</w:t>
            </w:r>
          </w:p>
          <w:p w:rsidR="008527FA" w:rsidRPr="009B6354" w:rsidRDefault="0065441F" w:rsidP="0065441F">
            <w:pPr>
              <w:pStyle w:val="Docoriginal"/>
              <w:rPr>
                <w:lang w:val="fr-CH"/>
              </w:rPr>
            </w:pPr>
            <w:r w:rsidRPr="009B6354">
              <w:rPr>
                <w:lang w:val="fr-CH"/>
              </w:rPr>
              <w:t>C/48/4</w:t>
            </w:r>
          </w:p>
          <w:p w:rsidR="008527FA" w:rsidRPr="009B6354" w:rsidRDefault="0065441F" w:rsidP="0065441F">
            <w:pPr>
              <w:pStyle w:val="Docoriginal"/>
              <w:rPr>
                <w:b w:val="0"/>
                <w:spacing w:val="0"/>
                <w:lang w:val="fr-CH"/>
              </w:rPr>
            </w:pPr>
            <w:r w:rsidRPr="009B6354">
              <w:rPr>
                <w:spacing w:val="0"/>
                <w:lang w:val="fr-CH"/>
              </w:rPr>
              <w:t>ORIGINAL</w:t>
            </w:r>
            <w:r w:rsidR="008E7F52" w:rsidRPr="009B6354">
              <w:rPr>
                <w:spacing w:val="0"/>
                <w:lang w:val="fr-CH"/>
              </w:rPr>
              <w:t> </w:t>
            </w:r>
            <w:r w:rsidRPr="009B6354">
              <w:rPr>
                <w:spacing w:val="0"/>
                <w:lang w:val="fr-CH"/>
              </w:rPr>
              <w:t xml:space="preserve">: </w:t>
            </w:r>
            <w:r w:rsidRPr="009B6354">
              <w:rPr>
                <w:b w:val="0"/>
                <w:spacing w:val="0"/>
                <w:lang w:val="fr-CH"/>
              </w:rPr>
              <w:t>anglais</w:t>
            </w:r>
          </w:p>
          <w:p w:rsidR="0067078A" w:rsidRPr="000914E2" w:rsidRDefault="0065441F" w:rsidP="00AF171B">
            <w:pPr>
              <w:pStyle w:val="Docoriginal"/>
              <w:rPr>
                <w:spacing w:val="0"/>
                <w:lang w:val="fr-CH"/>
              </w:rPr>
            </w:pPr>
            <w:r w:rsidRPr="00CB0054">
              <w:rPr>
                <w:rFonts w:ascii="Arial Bold" w:hAnsi="Arial Bold"/>
                <w:spacing w:val="2"/>
                <w:lang w:val="fr-CH"/>
              </w:rPr>
              <w:t>DATE</w:t>
            </w:r>
            <w:r w:rsidR="008E7F52" w:rsidRPr="000914E2">
              <w:rPr>
                <w:spacing w:val="0"/>
                <w:lang w:val="fr-CH"/>
              </w:rPr>
              <w:t> </w:t>
            </w:r>
            <w:r w:rsidRPr="000914E2">
              <w:rPr>
                <w:spacing w:val="0"/>
                <w:lang w:val="fr-CH"/>
              </w:rPr>
              <w:t xml:space="preserve">: </w:t>
            </w:r>
            <w:bookmarkStart w:id="0" w:name="_GoBack"/>
            <w:r w:rsidR="00AF171B" w:rsidRPr="00AF171B">
              <w:rPr>
                <w:b w:val="0"/>
                <w:spacing w:val="0"/>
                <w:lang w:val="fr-CH"/>
              </w:rPr>
              <w:t>28</w:t>
            </w:r>
            <w:bookmarkEnd w:id="0"/>
            <w:r w:rsidR="008E7F52" w:rsidRPr="000914E2">
              <w:rPr>
                <w:b w:val="0"/>
                <w:spacing w:val="0"/>
                <w:lang w:val="fr-CH"/>
              </w:rPr>
              <w:t> </w:t>
            </w:r>
            <w:r w:rsidRPr="000914E2">
              <w:rPr>
                <w:b w:val="0"/>
                <w:spacing w:val="0"/>
                <w:lang w:val="fr-CH"/>
              </w:rPr>
              <w:t>juillet</w:t>
            </w:r>
            <w:r w:rsidR="008E7F52" w:rsidRPr="000914E2">
              <w:rPr>
                <w:b w:val="0"/>
                <w:spacing w:val="0"/>
                <w:lang w:val="fr-CH"/>
              </w:rPr>
              <w:t> </w:t>
            </w:r>
            <w:r w:rsidRPr="000914E2">
              <w:rPr>
                <w:b w:val="0"/>
                <w:spacing w:val="0"/>
                <w:lang w:val="fr-CH"/>
              </w:rPr>
              <w:t>2014</w:t>
            </w:r>
          </w:p>
        </w:tc>
      </w:tr>
      <w:tr w:rsidR="009B6354" w:rsidRPr="00CA3BDE" w:rsidTr="00646BFB">
        <w:tc>
          <w:tcPr>
            <w:tcW w:w="10131" w:type="dxa"/>
            <w:gridSpan w:val="3"/>
          </w:tcPr>
          <w:p w:rsidR="0067078A" w:rsidRPr="009B6354" w:rsidRDefault="008E7F52" w:rsidP="008E7F52">
            <w:pPr>
              <w:pStyle w:val="upove"/>
              <w:rPr>
                <w:sz w:val="28"/>
                <w:lang w:val="fr-CH"/>
              </w:rPr>
            </w:pPr>
            <w:r w:rsidRPr="009B6354">
              <w:rPr>
                <w:snapToGrid w:val="0"/>
                <w:lang w:val="fr-CH"/>
              </w:rPr>
              <w:t>UNION INTERNATIONALE POUR LA PROTECTION DES OBTENTIONS VÉGÉTALES</w:t>
            </w:r>
            <w:r w:rsidR="0067078A" w:rsidRPr="009B6354">
              <w:rPr>
                <w:snapToGrid w:val="0"/>
                <w:lang w:val="fr-CH"/>
              </w:rPr>
              <w:t xml:space="preserve"> </w:t>
            </w:r>
          </w:p>
        </w:tc>
      </w:tr>
      <w:tr w:rsidR="009B6354" w:rsidRPr="009B6354" w:rsidTr="00646BFB">
        <w:tc>
          <w:tcPr>
            <w:tcW w:w="10131" w:type="dxa"/>
            <w:gridSpan w:val="3"/>
          </w:tcPr>
          <w:p w:rsidR="0067078A" w:rsidRPr="009B6354" w:rsidRDefault="008E7F52" w:rsidP="008E7F52">
            <w:pPr>
              <w:pStyle w:val="Country"/>
            </w:pPr>
            <w:r w:rsidRPr="009B6354">
              <w:t>Genève</w:t>
            </w:r>
          </w:p>
        </w:tc>
      </w:tr>
    </w:tbl>
    <w:p w:rsidR="008527FA" w:rsidRPr="009B6354" w:rsidRDefault="0067078A" w:rsidP="0067078A">
      <w:pPr>
        <w:pStyle w:val="Sessiontc"/>
      </w:pPr>
      <w:r w:rsidRPr="009B6354">
        <w:t>CON</w:t>
      </w:r>
      <w:r w:rsidR="008E7F52" w:rsidRPr="009B6354">
        <w:t>SE</w:t>
      </w:r>
      <w:r w:rsidRPr="009B6354">
        <w:t>IL</w:t>
      </w:r>
    </w:p>
    <w:p w:rsidR="008527FA" w:rsidRPr="009B6354" w:rsidRDefault="008E7F52" w:rsidP="0067078A">
      <w:pPr>
        <w:pStyle w:val="Sessiontcplacedate"/>
        <w:rPr>
          <w:lang w:val="fr-CH"/>
        </w:rPr>
      </w:pPr>
      <w:r w:rsidRPr="009B6354">
        <w:rPr>
          <w:lang w:val="fr-CH"/>
        </w:rPr>
        <w:t>Quarante</w:t>
      </w:r>
      <w:r w:rsidR="009B6354" w:rsidRPr="009B6354">
        <w:rPr>
          <w:lang w:val="fr-CH"/>
        </w:rPr>
        <w:noBreakHyphen/>
      </w:r>
      <w:r w:rsidRPr="009B6354">
        <w:rPr>
          <w:lang w:val="fr-CH"/>
        </w:rPr>
        <w:t>huitième</w:t>
      </w:r>
      <w:r w:rsidR="00FF4102" w:rsidRPr="009B6354">
        <w:rPr>
          <w:lang w:val="fr-CH"/>
        </w:rPr>
        <w:t> </w:t>
      </w:r>
      <w:r w:rsidRPr="009B6354">
        <w:rPr>
          <w:lang w:val="fr-CH"/>
        </w:rPr>
        <w:t xml:space="preserve">session </w:t>
      </w:r>
      <w:r w:rsidR="0067078A" w:rsidRPr="009B6354">
        <w:rPr>
          <w:lang w:val="fr-CH"/>
        </w:rPr>
        <w:t>o</w:t>
      </w:r>
      <w:r w:rsidRPr="009B6354">
        <w:rPr>
          <w:lang w:val="fr-CH"/>
        </w:rPr>
        <w:t>rdinair</w:t>
      </w:r>
      <w:r w:rsidR="0067078A" w:rsidRPr="009B6354">
        <w:rPr>
          <w:lang w:val="fr-CH"/>
        </w:rPr>
        <w:t>e</w:t>
      </w:r>
      <w:r w:rsidR="0067078A" w:rsidRPr="009B6354">
        <w:rPr>
          <w:lang w:val="fr-CH"/>
        </w:rPr>
        <w:br/>
        <w:t>Gen</w:t>
      </w:r>
      <w:r w:rsidRPr="009B6354">
        <w:rPr>
          <w:lang w:val="fr-CH"/>
        </w:rPr>
        <w:t>è</w:t>
      </w:r>
      <w:r w:rsidR="0067078A" w:rsidRPr="009B6354">
        <w:rPr>
          <w:lang w:val="fr-CH"/>
        </w:rPr>
        <w:t>v</w:t>
      </w:r>
      <w:r w:rsidRPr="009B6354">
        <w:rPr>
          <w:lang w:val="fr-CH"/>
        </w:rPr>
        <w:t>e</w:t>
      </w:r>
      <w:r w:rsidR="0067078A" w:rsidRPr="009B6354">
        <w:rPr>
          <w:lang w:val="fr-CH"/>
        </w:rPr>
        <w:t xml:space="preserve">, </w:t>
      </w:r>
      <w:r w:rsidRPr="009B6354">
        <w:rPr>
          <w:lang w:val="fr-CH"/>
        </w:rPr>
        <w:t>16 o</w:t>
      </w:r>
      <w:r w:rsidR="0067078A" w:rsidRPr="009B6354">
        <w:rPr>
          <w:lang w:val="fr-CH"/>
        </w:rPr>
        <w:t>ctobr</w:t>
      </w:r>
      <w:r w:rsidRPr="009B6354">
        <w:rPr>
          <w:lang w:val="fr-CH"/>
        </w:rPr>
        <w:t>e </w:t>
      </w:r>
      <w:r w:rsidR="0067078A" w:rsidRPr="009B6354">
        <w:rPr>
          <w:lang w:val="fr-CH"/>
        </w:rPr>
        <w:t>2014</w:t>
      </w:r>
    </w:p>
    <w:p w:rsidR="008527FA" w:rsidRPr="009B6354" w:rsidRDefault="008E7F52" w:rsidP="006655D3">
      <w:pPr>
        <w:pStyle w:val="Titleofdoc0"/>
        <w:rPr>
          <w:lang w:val="fr-CH"/>
        </w:rPr>
      </w:pPr>
      <w:r w:rsidRPr="009B6354">
        <w:rPr>
          <w:lang w:val="fr-CH"/>
        </w:rPr>
        <w:t xml:space="preserve">RAPPORT SUR LA GESTION </w:t>
      </w:r>
      <w:r w:rsidR="003E322A" w:rsidRPr="009B6354">
        <w:rPr>
          <w:lang w:val="fr-CH"/>
        </w:rPr>
        <w:t>Financi</w:t>
      </w:r>
      <w:r w:rsidRPr="009B6354">
        <w:rPr>
          <w:rFonts w:cs="Arial"/>
          <w:lang w:val="fr-CH"/>
        </w:rPr>
        <w:t>È</w:t>
      </w:r>
      <w:r w:rsidRPr="009B6354">
        <w:rPr>
          <w:lang w:val="fr-CH"/>
        </w:rPr>
        <w:t>RE</w:t>
      </w:r>
      <w:r w:rsidR="003E322A" w:rsidRPr="009B6354">
        <w:rPr>
          <w:lang w:val="fr-CH"/>
        </w:rPr>
        <w:t xml:space="preserve"> </w:t>
      </w:r>
      <w:r w:rsidRPr="009B6354">
        <w:rPr>
          <w:lang w:val="fr-CH"/>
        </w:rPr>
        <w:t>POUR L</w:t>
      </w:r>
      <w:r w:rsidR="00126058" w:rsidRPr="009B6354">
        <w:rPr>
          <w:lang w:val="fr-CH"/>
        </w:rPr>
        <w:t>’</w:t>
      </w:r>
      <w:r w:rsidRPr="009B6354">
        <w:rPr>
          <w:lang w:val="fr-CH"/>
        </w:rPr>
        <w:t>eXERCICE BIENNAL</w:t>
      </w:r>
      <w:r w:rsidR="00FF4102" w:rsidRPr="009B6354">
        <w:rPr>
          <w:lang w:val="fr-CH"/>
        </w:rPr>
        <w:t> </w:t>
      </w:r>
      <w:r w:rsidRPr="009B6354">
        <w:rPr>
          <w:lang w:val="fr-CH"/>
        </w:rPr>
        <w:t>2012</w:t>
      </w:r>
      <w:r w:rsidR="009B6354" w:rsidRPr="009B6354">
        <w:rPr>
          <w:lang w:val="fr-CH"/>
        </w:rPr>
        <w:noBreakHyphen/>
      </w:r>
      <w:r w:rsidRPr="009B6354">
        <w:rPr>
          <w:lang w:val="fr-CH"/>
        </w:rPr>
        <w:t>2013</w:t>
      </w:r>
    </w:p>
    <w:p w:rsidR="008527FA" w:rsidRPr="00526908" w:rsidRDefault="00AE0EF1" w:rsidP="006655D3">
      <w:pPr>
        <w:pStyle w:val="preparedby1"/>
        <w:rPr>
          <w:color w:val="A6A6A6" w:themeColor="background1" w:themeShade="A6"/>
          <w:lang w:val="fr-CH"/>
        </w:rPr>
      </w:pPr>
      <w:bookmarkStart w:id="1" w:name="Prepared"/>
      <w:bookmarkEnd w:id="1"/>
      <w:r w:rsidRPr="009B6354">
        <w:rPr>
          <w:lang w:val="fr-CH"/>
        </w:rPr>
        <w:t xml:space="preserve">Document </w:t>
      </w:r>
      <w:r w:rsidR="008E7F52" w:rsidRPr="009B6354">
        <w:rPr>
          <w:lang w:val="fr-CH"/>
        </w:rPr>
        <w:t>établi par le Bureau de l</w:t>
      </w:r>
      <w:r w:rsidR="00126058" w:rsidRPr="009B6354">
        <w:rPr>
          <w:lang w:val="fr-CH"/>
        </w:rPr>
        <w:t>’</w:t>
      </w:r>
      <w:r w:rsidR="0061555F" w:rsidRPr="009B6354">
        <w:rPr>
          <w:lang w:val="fr-CH"/>
        </w:rPr>
        <w:t>Union</w:t>
      </w:r>
      <w:r w:rsidR="00560A6D" w:rsidRPr="009B6354">
        <w:rPr>
          <w:lang w:val="fr-CH"/>
        </w:rPr>
        <w:br/>
      </w:r>
      <w:r w:rsidR="00560A6D" w:rsidRPr="009B6354">
        <w:rPr>
          <w:lang w:val="fr-CH"/>
        </w:rPr>
        <w:br/>
      </w:r>
      <w:r w:rsidR="008E7F52" w:rsidRPr="00526908">
        <w:rPr>
          <w:color w:val="A6A6A6" w:themeColor="background1" w:themeShade="A6"/>
          <w:lang w:val="fr-CH"/>
        </w:rPr>
        <w:t>Avertissement </w:t>
      </w:r>
      <w:r w:rsidR="00560A6D" w:rsidRPr="00526908">
        <w:rPr>
          <w:color w:val="A6A6A6" w:themeColor="background1" w:themeShade="A6"/>
          <w:lang w:val="fr-CH"/>
        </w:rPr>
        <w:t>:</w:t>
      </w:r>
      <w:r w:rsidR="00FF4102" w:rsidRPr="00526908">
        <w:rPr>
          <w:color w:val="A6A6A6" w:themeColor="background1" w:themeShade="A6"/>
          <w:lang w:val="fr-CH"/>
        </w:rPr>
        <w:t xml:space="preserve"> le</w:t>
      </w:r>
      <w:r w:rsidR="008E7F52" w:rsidRPr="00526908">
        <w:rPr>
          <w:color w:val="A6A6A6" w:themeColor="background1" w:themeShade="A6"/>
          <w:lang w:val="fr-CH"/>
        </w:rPr>
        <w:t xml:space="preserve"> présen</w:t>
      </w:r>
      <w:r w:rsidR="00560A6D" w:rsidRPr="00526908">
        <w:rPr>
          <w:color w:val="A6A6A6" w:themeColor="background1" w:themeShade="A6"/>
          <w:lang w:val="fr-CH"/>
        </w:rPr>
        <w:t xml:space="preserve">t document </w:t>
      </w:r>
      <w:r w:rsidR="008E7F52" w:rsidRPr="00526908">
        <w:rPr>
          <w:color w:val="A6A6A6" w:themeColor="background1" w:themeShade="A6"/>
          <w:lang w:val="fr-CH"/>
        </w:rPr>
        <w:t xml:space="preserve">ne </w:t>
      </w:r>
      <w:r w:rsidR="00560A6D" w:rsidRPr="00526908">
        <w:rPr>
          <w:color w:val="A6A6A6" w:themeColor="background1" w:themeShade="A6"/>
          <w:lang w:val="fr-CH"/>
        </w:rPr>
        <w:t>repr</w:t>
      </w:r>
      <w:r w:rsidR="008E7F52" w:rsidRPr="00526908">
        <w:rPr>
          <w:color w:val="A6A6A6" w:themeColor="background1" w:themeShade="A6"/>
          <w:lang w:val="fr-CH"/>
        </w:rPr>
        <w:t>é</w:t>
      </w:r>
      <w:r w:rsidR="00560A6D" w:rsidRPr="00526908">
        <w:rPr>
          <w:color w:val="A6A6A6" w:themeColor="background1" w:themeShade="A6"/>
          <w:lang w:val="fr-CH"/>
        </w:rPr>
        <w:t>sent</w:t>
      </w:r>
      <w:r w:rsidR="008E7F52" w:rsidRPr="00526908">
        <w:rPr>
          <w:color w:val="A6A6A6" w:themeColor="background1" w:themeShade="A6"/>
          <w:lang w:val="fr-CH"/>
        </w:rPr>
        <w:t>e pas les principes ou les orientations de l</w:t>
      </w:r>
      <w:r w:rsidR="00126058" w:rsidRPr="00526908">
        <w:rPr>
          <w:color w:val="A6A6A6" w:themeColor="background1" w:themeShade="A6"/>
          <w:lang w:val="fr-CH"/>
        </w:rPr>
        <w:t>’</w:t>
      </w:r>
      <w:r w:rsidR="00560A6D" w:rsidRPr="00526908">
        <w:rPr>
          <w:color w:val="A6A6A6" w:themeColor="background1" w:themeShade="A6"/>
          <w:lang w:val="fr-CH"/>
        </w:rPr>
        <w:t>UPOV</w:t>
      </w:r>
    </w:p>
    <w:p w:rsidR="00126058" w:rsidRPr="009B6354" w:rsidRDefault="00BD5E7F" w:rsidP="00BD5E7F">
      <w:pPr>
        <w:rPr>
          <w:snapToGrid w:val="0"/>
          <w:lang w:val="fr-CH"/>
        </w:rPr>
      </w:pPr>
      <w:r w:rsidRPr="009B6354">
        <w:rPr>
          <w:caps/>
          <w:snapToGrid w:val="0"/>
        </w:rPr>
        <w:fldChar w:fldCharType="begin"/>
      </w:r>
      <w:r w:rsidRPr="009B6354">
        <w:rPr>
          <w:caps/>
          <w:snapToGrid w:val="0"/>
          <w:lang w:val="fr-CH"/>
        </w:rPr>
        <w:instrText xml:space="preserve"> AUTONUM  </w:instrText>
      </w:r>
      <w:r w:rsidRPr="009B6354">
        <w:rPr>
          <w:caps/>
          <w:snapToGrid w:val="0"/>
        </w:rPr>
        <w:fldChar w:fldCharType="end"/>
      </w:r>
      <w:r w:rsidRPr="009B6354">
        <w:rPr>
          <w:caps/>
          <w:snapToGrid w:val="0"/>
          <w:lang w:val="fr-CH"/>
        </w:rPr>
        <w:tab/>
      </w:r>
      <w:r w:rsidR="008E7F52" w:rsidRPr="009B6354">
        <w:rPr>
          <w:caps/>
          <w:snapToGrid w:val="0"/>
          <w:lang w:val="fr-CH"/>
        </w:rPr>
        <w:t>L</w:t>
      </w:r>
      <w:r w:rsidR="00126058" w:rsidRPr="009B6354">
        <w:rPr>
          <w:caps/>
          <w:snapToGrid w:val="0"/>
          <w:lang w:val="fr-CH"/>
        </w:rPr>
        <w:t>’</w:t>
      </w:r>
      <w:r w:rsidRPr="009B6354">
        <w:rPr>
          <w:snapToGrid w:val="0"/>
          <w:lang w:val="fr-CH"/>
        </w:rPr>
        <w:t>annex</w:t>
      </w:r>
      <w:r w:rsidR="008E7F52" w:rsidRPr="009B6354">
        <w:rPr>
          <w:snapToGrid w:val="0"/>
          <w:lang w:val="fr-CH"/>
        </w:rPr>
        <w:t>e du présent</w:t>
      </w:r>
      <w:r w:rsidRPr="009B6354">
        <w:rPr>
          <w:snapToGrid w:val="0"/>
          <w:lang w:val="fr-CH"/>
        </w:rPr>
        <w:t xml:space="preserve"> document conti</w:t>
      </w:r>
      <w:r w:rsidR="008E7F52" w:rsidRPr="009B6354">
        <w:rPr>
          <w:snapToGrid w:val="0"/>
          <w:lang w:val="fr-CH"/>
        </w:rPr>
        <w:t>e</w:t>
      </w:r>
      <w:r w:rsidRPr="009B6354">
        <w:rPr>
          <w:snapToGrid w:val="0"/>
          <w:lang w:val="fr-CH"/>
        </w:rPr>
        <w:t>n</w:t>
      </w:r>
      <w:r w:rsidR="008E7F52" w:rsidRPr="009B6354">
        <w:rPr>
          <w:snapToGrid w:val="0"/>
          <w:lang w:val="fr-CH"/>
        </w:rPr>
        <w:t>t</w:t>
      </w:r>
      <w:r w:rsidRPr="009B6354">
        <w:rPr>
          <w:snapToGrid w:val="0"/>
          <w:lang w:val="fr-CH"/>
        </w:rPr>
        <w:t xml:space="preserve"> </w:t>
      </w:r>
      <w:r w:rsidR="008E7F52" w:rsidRPr="009B6354">
        <w:rPr>
          <w:snapToGrid w:val="0"/>
          <w:lang w:val="fr-CH"/>
        </w:rPr>
        <w:t>le Rapport de gestion f</w:t>
      </w:r>
      <w:r w:rsidR="00532F43" w:rsidRPr="009B6354">
        <w:rPr>
          <w:snapToGrid w:val="0"/>
          <w:lang w:val="fr-CH"/>
        </w:rPr>
        <w:t>inanci</w:t>
      </w:r>
      <w:r w:rsidR="008E7F52" w:rsidRPr="009B6354">
        <w:rPr>
          <w:snapToGrid w:val="0"/>
          <w:lang w:val="fr-CH"/>
        </w:rPr>
        <w:t>ère</w:t>
      </w:r>
      <w:r w:rsidR="00532F43" w:rsidRPr="009B6354">
        <w:rPr>
          <w:snapToGrid w:val="0"/>
          <w:lang w:val="fr-CH"/>
        </w:rPr>
        <w:t xml:space="preserve"> </w:t>
      </w:r>
      <w:r w:rsidR="008E7F52" w:rsidRPr="009B6354">
        <w:rPr>
          <w:snapToGrid w:val="0"/>
          <w:lang w:val="fr-CH"/>
        </w:rPr>
        <w:t>de l</w:t>
      </w:r>
      <w:r w:rsidR="00126058" w:rsidRPr="009B6354">
        <w:rPr>
          <w:snapToGrid w:val="0"/>
          <w:lang w:val="fr-CH"/>
        </w:rPr>
        <w:t>’</w:t>
      </w:r>
      <w:r w:rsidR="008E7F52" w:rsidRPr="009B6354">
        <w:rPr>
          <w:snapToGrid w:val="0"/>
          <w:lang w:val="fr-CH"/>
        </w:rPr>
        <w:t>Union internationale pour la protection des obtentions végétales (UPOV)</w:t>
      </w:r>
      <w:r w:rsidR="006C4E45" w:rsidRPr="009B6354">
        <w:rPr>
          <w:snapToGrid w:val="0"/>
          <w:lang w:val="fr-CH"/>
        </w:rPr>
        <w:t xml:space="preserve"> </w:t>
      </w:r>
      <w:r w:rsidR="00D41196" w:rsidRPr="009B6354">
        <w:rPr>
          <w:snapToGrid w:val="0"/>
          <w:lang w:val="fr-CH"/>
        </w:rPr>
        <w:t>pour l</w:t>
      </w:r>
      <w:r w:rsidR="00126058" w:rsidRPr="009B6354">
        <w:rPr>
          <w:snapToGrid w:val="0"/>
          <w:lang w:val="fr-CH"/>
        </w:rPr>
        <w:t>’</w:t>
      </w:r>
      <w:r w:rsidR="00D41196" w:rsidRPr="009B6354">
        <w:rPr>
          <w:snapToGrid w:val="0"/>
          <w:lang w:val="fr-CH"/>
        </w:rPr>
        <w:t>exercice financier </w:t>
      </w:r>
      <w:r w:rsidRPr="009B6354">
        <w:rPr>
          <w:snapToGrid w:val="0"/>
          <w:lang w:val="fr-CH"/>
        </w:rPr>
        <w:t>2012</w:t>
      </w:r>
      <w:r w:rsidR="009B6354" w:rsidRPr="009B6354">
        <w:rPr>
          <w:snapToGrid w:val="0"/>
          <w:lang w:val="fr-CH"/>
        </w:rPr>
        <w:noBreakHyphen/>
      </w:r>
      <w:r w:rsidRPr="009B6354">
        <w:rPr>
          <w:snapToGrid w:val="0"/>
          <w:lang w:val="fr-CH"/>
        </w:rPr>
        <w:t>2013</w:t>
      </w:r>
      <w:r w:rsidR="00FF45AD" w:rsidRPr="009B6354">
        <w:rPr>
          <w:snapToGrid w:val="0"/>
          <w:lang w:val="fr-CH"/>
        </w:rPr>
        <w:t>,</w:t>
      </w:r>
      <w:r w:rsidRPr="009B6354">
        <w:rPr>
          <w:snapToGrid w:val="0"/>
          <w:lang w:val="fr-CH"/>
        </w:rPr>
        <w:t xml:space="preserve"> </w:t>
      </w:r>
      <w:r w:rsidR="00D41196" w:rsidRPr="009B6354">
        <w:rPr>
          <w:snapToGrid w:val="0"/>
          <w:lang w:val="fr-CH"/>
        </w:rPr>
        <w:t>conformément aux articles </w:t>
      </w:r>
      <w:r w:rsidR="000F305E" w:rsidRPr="009B6354">
        <w:rPr>
          <w:snapToGrid w:val="0"/>
          <w:lang w:val="fr-CH"/>
        </w:rPr>
        <w:t xml:space="preserve">6.6 </w:t>
      </w:r>
      <w:r w:rsidR="00D41196" w:rsidRPr="009B6354">
        <w:rPr>
          <w:snapToGrid w:val="0"/>
          <w:lang w:val="fr-CH"/>
        </w:rPr>
        <w:t>et</w:t>
      </w:r>
      <w:r w:rsidR="000F305E" w:rsidRPr="009B6354">
        <w:rPr>
          <w:snapToGrid w:val="0"/>
          <w:lang w:val="fr-CH"/>
        </w:rPr>
        <w:t xml:space="preserve"> 6.7 </w:t>
      </w:r>
      <w:r w:rsidR="00D41196" w:rsidRPr="009B6354">
        <w:rPr>
          <w:snapToGrid w:val="0"/>
          <w:lang w:val="fr-CH"/>
        </w:rPr>
        <w:t>du Règlement financier et règlement d</w:t>
      </w:r>
      <w:r w:rsidR="00126058" w:rsidRPr="009B6354">
        <w:rPr>
          <w:snapToGrid w:val="0"/>
          <w:lang w:val="fr-CH"/>
        </w:rPr>
        <w:t>’</w:t>
      </w:r>
      <w:r w:rsidR="00D41196" w:rsidRPr="009B6354">
        <w:rPr>
          <w:snapToGrid w:val="0"/>
          <w:lang w:val="fr-CH"/>
        </w:rPr>
        <w:t>exécution d</w:t>
      </w:r>
      <w:r w:rsidR="00A92199" w:rsidRPr="009B6354">
        <w:rPr>
          <w:snapToGrid w:val="0"/>
          <w:lang w:val="fr-CH"/>
        </w:rPr>
        <w:t>u Règlement financier d</w:t>
      </w:r>
      <w:r w:rsidR="00D41196" w:rsidRPr="009B6354">
        <w:rPr>
          <w:snapToGrid w:val="0"/>
          <w:lang w:val="fr-CH"/>
        </w:rPr>
        <w:t>e l</w:t>
      </w:r>
      <w:r w:rsidR="00126058" w:rsidRPr="009B6354">
        <w:rPr>
          <w:snapToGrid w:val="0"/>
          <w:lang w:val="fr-CH"/>
        </w:rPr>
        <w:t>’</w:t>
      </w:r>
      <w:r w:rsidR="00D41196" w:rsidRPr="009B6354">
        <w:rPr>
          <w:snapToGrid w:val="0"/>
          <w:lang w:val="fr-CH"/>
        </w:rPr>
        <w:t xml:space="preserve">UPOV </w:t>
      </w:r>
      <w:r w:rsidR="000F305E" w:rsidRPr="009B6354">
        <w:rPr>
          <w:snapToGrid w:val="0"/>
          <w:lang w:val="fr-CH"/>
        </w:rPr>
        <w:t>(</w:t>
      </w:r>
      <w:r w:rsidR="00D41196" w:rsidRPr="009B6354">
        <w:rPr>
          <w:snapToGrid w:val="0"/>
          <w:lang w:val="fr-CH"/>
        </w:rPr>
        <w:t>voir le</w:t>
      </w:r>
      <w:r w:rsidR="000F305E" w:rsidRPr="009B6354">
        <w:rPr>
          <w:snapToGrid w:val="0"/>
          <w:lang w:val="fr-CH"/>
        </w:rPr>
        <w:t xml:space="preserve"> document UPOV/INF/4/3 “</w:t>
      </w:r>
      <w:r w:rsidR="00D41196" w:rsidRPr="009B6354">
        <w:rPr>
          <w:snapToGrid w:val="0"/>
          <w:lang w:val="fr-CH"/>
        </w:rPr>
        <w:t>Règlement financier et règlement d</w:t>
      </w:r>
      <w:r w:rsidR="00126058" w:rsidRPr="009B6354">
        <w:rPr>
          <w:snapToGrid w:val="0"/>
          <w:lang w:val="fr-CH"/>
        </w:rPr>
        <w:t>’</w:t>
      </w:r>
      <w:r w:rsidR="00D41196" w:rsidRPr="009B6354">
        <w:rPr>
          <w:snapToGrid w:val="0"/>
          <w:lang w:val="fr-CH"/>
        </w:rPr>
        <w:t>exécution du Règlement financier de l</w:t>
      </w:r>
      <w:r w:rsidR="00126058" w:rsidRPr="009B6354">
        <w:rPr>
          <w:snapToGrid w:val="0"/>
          <w:lang w:val="fr-CH"/>
        </w:rPr>
        <w:t>’</w:t>
      </w:r>
      <w:r w:rsidR="00D41196" w:rsidRPr="009B6354">
        <w:rPr>
          <w:snapToGrid w:val="0"/>
          <w:lang w:val="fr-CH"/>
        </w:rPr>
        <w:t>UPOV”</w:t>
      </w:r>
      <w:r w:rsidR="000F305E" w:rsidRPr="009B6354">
        <w:rPr>
          <w:snapToGrid w:val="0"/>
          <w:lang w:val="fr-CH"/>
        </w:rPr>
        <w:t xml:space="preserve">), </w:t>
      </w:r>
      <w:r w:rsidR="00D41196" w:rsidRPr="009B6354">
        <w:rPr>
          <w:snapToGrid w:val="0"/>
          <w:lang w:val="fr-CH"/>
        </w:rPr>
        <w:t xml:space="preserve">pour </w:t>
      </w:r>
      <w:r w:rsidRPr="009B6354">
        <w:rPr>
          <w:snapToGrid w:val="0"/>
          <w:lang w:val="fr-CH"/>
        </w:rPr>
        <w:t>appro</w:t>
      </w:r>
      <w:r w:rsidR="00D41196" w:rsidRPr="009B6354">
        <w:rPr>
          <w:snapToGrid w:val="0"/>
          <w:lang w:val="fr-CH"/>
        </w:rPr>
        <w:t>bation par l</w:t>
      </w:r>
      <w:r w:rsidRPr="009B6354">
        <w:rPr>
          <w:snapToGrid w:val="0"/>
          <w:lang w:val="fr-CH"/>
        </w:rPr>
        <w:t>e Con</w:t>
      </w:r>
      <w:r w:rsidR="00D41196" w:rsidRPr="009B6354">
        <w:rPr>
          <w:snapToGrid w:val="0"/>
          <w:lang w:val="fr-CH"/>
        </w:rPr>
        <w:t>se</w:t>
      </w:r>
      <w:r w:rsidRPr="009B6354">
        <w:rPr>
          <w:snapToGrid w:val="0"/>
          <w:lang w:val="fr-CH"/>
        </w:rPr>
        <w:t>il</w:t>
      </w:r>
      <w:r w:rsidR="00532F43" w:rsidRPr="009B6354">
        <w:rPr>
          <w:snapToGrid w:val="0"/>
          <w:lang w:val="fr-CH"/>
        </w:rPr>
        <w:t>.</w:t>
      </w:r>
    </w:p>
    <w:p w:rsidR="008527FA" w:rsidRPr="009B6354" w:rsidRDefault="008527FA" w:rsidP="00BD5E7F">
      <w:pPr>
        <w:rPr>
          <w:snapToGrid w:val="0"/>
          <w:lang w:val="fr-CH"/>
        </w:rPr>
      </w:pPr>
    </w:p>
    <w:p w:rsidR="00126058" w:rsidRPr="009B6354" w:rsidRDefault="00532F43" w:rsidP="00532F43">
      <w:pPr>
        <w:rPr>
          <w:snapToGrid w:val="0"/>
          <w:lang w:val="fr-CH"/>
        </w:rPr>
      </w:pPr>
      <w:r w:rsidRPr="009B6354">
        <w:rPr>
          <w:snapToGrid w:val="0"/>
        </w:rPr>
        <w:fldChar w:fldCharType="begin"/>
      </w:r>
      <w:r w:rsidRPr="009B6354">
        <w:rPr>
          <w:snapToGrid w:val="0"/>
          <w:lang w:val="fr-CH"/>
        </w:rPr>
        <w:instrText xml:space="preserve"> AUTONUM  </w:instrText>
      </w:r>
      <w:r w:rsidRPr="009B6354">
        <w:rPr>
          <w:snapToGrid w:val="0"/>
        </w:rPr>
        <w:fldChar w:fldCharType="end"/>
      </w:r>
      <w:r w:rsidRPr="009B6354">
        <w:rPr>
          <w:snapToGrid w:val="0"/>
          <w:lang w:val="fr-CH"/>
        </w:rPr>
        <w:tab/>
      </w:r>
      <w:r w:rsidR="00D41196" w:rsidRPr="009B6354">
        <w:rPr>
          <w:snapToGrid w:val="0"/>
          <w:lang w:val="fr-CH"/>
        </w:rPr>
        <w:t>Le rapport de gestion financière ne fait pas l</w:t>
      </w:r>
      <w:r w:rsidR="00126058" w:rsidRPr="009B6354">
        <w:rPr>
          <w:snapToGrid w:val="0"/>
          <w:lang w:val="fr-CH"/>
        </w:rPr>
        <w:t>’</w:t>
      </w:r>
      <w:r w:rsidR="00D41196" w:rsidRPr="009B6354">
        <w:rPr>
          <w:snapToGrid w:val="0"/>
          <w:lang w:val="fr-CH"/>
        </w:rPr>
        <w:t>objet d</w:t>
      </w:r>
      <w:r w:rsidR="00126058" w:rsidRPr="009B6354">
        <w:rPr>
          <w:snapToGrid w:val="0"/>
          <w:lang w:val="fr-CH"/>
        </w:rPr>
        <w:t>’</w:t>
      </w:r>
      <w:r w:rsidR="00D41196" w:rsidRPr="009B6354">
        <w:rPr>
          <w:snapToGrid w:val="0"/>
          <w:lang w:val="fr-CH"/>
        </w:rPr>
        <w:t>un audit externe</w:t>
      </w:r>
      <w:r w:rsidRPr="009B6354">
        <w:rPr>
          <w:snapToGrid w:val="0"/>
          <w:lang w:val="fr-CH"/>
        </w:rPr>
        <w:t>.</w:t>
      </w:r>
    </w:p>
    <w:p w:rsidR="008527FA" w:rsidRPr="009B6354" w:rsidRDefault="008527FA" w:rsidP="00BD5E7F">
      <w:pPr>
        <w:rPr>
          <w:snapToGrid w:val="0"/>
          <w:lang w:val="fr-CH"/>
        </w:rPr>
      </w:pPr>
    </w:p>
    <w:p w:rsidR="00126058" w:rsidRPr="009B6354" w:rsidRDefault="00532F43" w:rsidP="00BD5E7F">
      <w:pPr>
        <w:rPr>
          <w:snapToGrid w:val="0"/>
          <w:lang w:val="fr-CH"/>
        </w:rPr>
      </w:pPr>
      <w:r w:rsidRPr="009B6354">
        <w:rPr>
          <w:snapToGrid w:val="0"/>
        </w:rPr>
        <w:fldChar w:fldCharType="begin"/>
      </w:r>
      <w:r w:rsidRPr="009B6354">
        <w:rPr>
          <w:snapToGrid w:val="0"/>
          <w:lang w:val="fr-CH"/>
        </w:rPr>
        <w:instrText xml:space="preserve"> AUTONUM  </w:instrText>
      </w:r>
      <w:r w:rsidRPr="009B6354">
        <w:rPr>
          <w:snapToGrid w:val="0"/>
        </w:rPr>
        <w:fldChar w:fldCharType="end"/>
      </w:r>
      <w:r w:rsidRPr="009B6354">
        <w:rPr>
          <w:snapToGrid w:val="0"/>
          <w:lang w:val="fr-CH"/>
        </w:rPr>
        <w:tab/>
      </w:r>
      <w:r w:rsidR="00D41196" w:rsidRPr="009B6354">
        <w:rPr>
          <w:snapToGrid w:val="0"/>
          <w:lang w:val="fr-CH"/>
        </w:rPr>
        <w:t>Les articles </w:t>
      </w:r>
      <w:r w:rsidRPr="009B6354">
        <w:rPr>
          <w:snapToGrid w:val="0"/>
          <w:lang w:val="fr-CH"/>
        </w:rPr>
        <w:t xml:space="preserve">6.6 </w:t>
      </w:r>
      <w:r w:rsidR="00D41196" w:rsidRPr="009B6354">
        <w:rPr>
          <w:snapToGrid w:val="0"/>
          <w:lang w:val="fr-CH"/>
        </w:rPr>
        <w:t>et</w:t>
      </w:r>
      <w:r w:rsidRPr="009B6354">
        <w:rPr>
          <w:snapToGrid w:val="0"/>
          <w:lang w:val="fr-CH"/>
        </w:rPr>
        <w:t xml:space="preserve"> 6.7 </w:t>
      </w:r>
      <w:r w:rsidR="00D41196" w:rsidRPr="009B6354">
        <w:rPr>
          <w:snapToGrid w:val="0"/>
          <w:lang w:val="fr-CH"/>
        </w:rPr>
        <w:t>du Règlement financier et règlement d</w:t>
      </w:r>
      <w:r w:rsidR="00126058" w:rsidRPr="009B6354">
        <w:rPr>
          <w:snapToGrid w:val="0"/>
          <w:lang w:val="fr-CH"/>
        </w:rPr>
        <w:t>’</w:t>
      </w:r>
      <w:r w:rsidR="00D41196" w:rsidRPr="009B6354">
        <w:rPr>
          <w:snapToGrid w:val="0"/>
          <w:lang w:val="fr-CH"/>
        </w:rPr>
        <w:t>exécution du Règlement financier</w:t>
      </w:r>
      <w:r w:rsidRPr="009B6354">
        <w:rPr>
          <w:snapToGrid w:val="0"/>
          <w:lang w:val="fr-CH"/>
        </w:rPr>
        <w:t xml:space="preserve"> </w:t>
      </w:r>
      <w:r w:rsidR="00D41196" w:rsidRPr="009B6354">
        <w:rPr>
          <w:snapToGrid w:val="0"/>
          <w:lang w:val="fr-CH"/>
        </w:rPr>
        <w:t>prévoient ce qui sui</w:t>
      </w:r>
      <w:r w:rsidRPr="009B6354">
        <w:rPr>
          <w:snapToGrid w:val="0"/>
          <w:lang w:val="fr-CH"/>
        </w:rPr>
        <w:t>t</w:t>
      </w:r>
      <w:r w:rsidR="00D41196" w:rsidRPr="009B6354">
        <w:rPr>
          <w:snapToGrid w:val="0"/>
          <w:lang w:val="fr-CH"/>
        </w:rPr>
        <w:t> </w:t>
      </w:r>
      <w:r w:rsidRPr="009B6354">
        <w:rPr>
          <w:snapToGrid w:val="0"/>
          <w:lang w:val="fr-CH"/>
        </w:rPr>
        <w:t>:</w:t>
      </w:r>
    </w:p>
    <w:p w:rsidR="008527FA" w:rsidRPr="009B6354" w:rsidRDefault="008527FA" w:rsidP="00BD5E7F">
      <w:pPr>
        <w:rPr>
          <w:snapToGrid w:val="0"/>
          <w:lang w:val="fr-CH"/>
        </w:rPr>
      </w:pPr>
    </w:p>
    <w:p w:rsidR="008527FA" w:rsidRPr="009B6354" w:rsidRDefault="00D81BFB" w:rsidP="00D81BFB">
      <w:pPr>
        <w:ind w:left="567"/>
        <w:rPr>
          <w:b/>
          <w:sz w:val="18"/>
          <w:lang w:val="fr-CH"/>
        </w:rPr>
      </w:pPr>
      <w:r w:rsidRPr="009B6354">
        <w:rPr>
          <w:sz w:val="18"/>
          <w:lang w:val="fr-CH"/>
        </w:rPr>
        <w:t>“</w:t>
      </w:r>
      <w:r w:rsidR="00A92199" w:rsidRPr="009B6354">
        <w:rPr>
          <w:b/>
          <w:sz w:val="18"/>
          <w:lang w:val="fr-CH"/>
        </w:rPr>
        <w:t>Articl</w:t>
      </w:r>
      <w:r w:rsidRPr="009B6354">
        <w:rPr>
          <w:b/>
          <w:sz w:val="18"/>
          <w:lang w:val="fr-CH"/>
        </w:rPr>
        <w:t>e</w:t>
      </w:r>
      <w:r w:rsidR="00A92199" w:rsidRPr="009B6354">
        <w:rPr>
          <w:b/>
          <w:sz w:val="18"/>
          <w:lang w:val="fr-CH"/>
        </w:rPr>
        <w:t> </w:t>
      </w:r>
      <w:r w:rsidRPr="009B6354">
        <w:rPr>
          <w:b/>
          <w:sz w:val="18"/>
          <w:lang w:val="fr-CH"/>
        </w:rPr>
        <w:t>6.6</w:t>
      </w:r>
    </w:p>
    <w:p w:rsidR="008527FA" w:rsidRPr="009B6354" w:rsidRDefault="008527FA" w:rsidP="00D81BFB">
      <w:pPr>
        <w:ind w:left="567"/>
        <w:rPr>
          <w:snapToGrid w:val="0"/>
          <w:sz w:val="18"/>
          <w:lang w:val="fr-CH"/>
        </w:rPr>
      </w:pPr>
    </w:p>
    <w:p w:rsidR="008527FA" w:rsidRPr="009B6354" w:rsidRDefault="00D81BFB" w:rsidP="00D81BFB">
      <w:pPr>
        <w:ind w:left="567"/>
        <w:rPr>
          <w:snapToGrid w:val="0"/>
          <w:lang w:val="fr-CH"/>
        </w:rPr>
      </w:pPr>
      <w:r w:rsidRPr="009B6354">
        <w:rPr>
          <w:snapToGrid w:val="0"/>
          <w:lang w:val="fr-CH"/>
        </w:rPr>
        <w:t>“[…]</w:t>
      </w:r>
    </w:p>
    <w:p w:rsidR="008527FA" w:rsidRPr="009B6354" w:rsidRDefault="00D81BFB" w:rsidP="00D81BFB">
      <w:pPr>
        <w:pStyle w:val="Inf4Heading6"/>
        <w:ind w:left="1134" w:right="567"/>
        <w:rPr>
          <w:sz w:val="18"/>
          <w:lang w:val="fr-CH"/>
        </w:rPr>
      </w:pPr>
      <w:r w:rsidRPr="009B6354">
        <w:rPr>
          <w:b w:val="0"/>
          <w:sz w:val="18"/>
          <w:lang w:val="fr-CH"/>
        </w:rPr>
        <w:t>“</w:t>
      </w:r>
      <w:r w:rsidRPr="009B6354">
        <w:rPr>
          <w:sz w:val="18"/>
          <w:lang w:val="fr-CH"/>
        </w:rPr>
        <w:t>R</w:t>
      </w:r>
      <w:r w:rsidR="00A92199" w:rsidRPr="009B6354">
        <w:rPr>
          <w:sz w:val="18"/>
          <w:lang w:val="fr-CH"/>
        </w:rPr>
        <w:t>èg</w:t>
      </w:r>
      <w:r w:rsidRPr="009B6354">
        <w:rPr>
          <w:sz w:val="18"/>
          <w:lang w:val="fr-CH"/>
        </w:rPr>
        <w:t>le</w:t>
      </w:r>
      <w:r w:rsidR="00A92199" w:rsidRPr="009B6354">
        <w:rPr>
          <w:sz w:val="18"/>
          <w:lang w:val="fr-CH"/>
        </w:rPr>
        <w:t> </w:t>
      </w:r>
      <w:r w:rsidRPr="009B6354">
        <w:rPr>
          <w:sz w:val="18"/>
          <w:lang w:val="fr-CH"/>
        </w:rPr>
        <w:t>106.12</w:t>
      </w:r>
    </w:p>
    <w:p w:rsidR="008527FA" w:rsidRPr="009B6354" w:rsidRDefault="00D81BFB" w:rsidP="00D81BFB">
      <w:pPr>
        <w:pStyle w:val="Inf4Normal"/>
        <w:ind w:left="1134" w:right="567"/>
        <w:rPr>
          <w:sz w:val="18"/>
          <w:lang w:val="fr-CH"/>
        </w:rPr>
      </w:pPr>
      <w:r w:rsidRPr="009B6354">
        <w:rPr>
          <w:sz w:val="18"/>
          <w:lang w:val="fr-CH"/>
        </w:rPr>
        <w:t>“[…]</w:t>
      </w:r>
    </w:p>
    <w:p w:rsidR="00126058" w:rsidRPr="009B6354" w:rsidRDefault="00D81BFB" w:rsidP="00D81BFB">
      <w:pPr>
        <w:pStyle w:val="Inf4Normal"/>
        <w:ind w:left="1134" w:right="567"/>
        <w:rPr>
          <w:sz w:val="18"/>
          <w:lang w:val="fr-CH"/>
        </w:rPr>
      </w:pPr>
      <w:r w:rsidRPr="009B6354">
        <w:rPr>
          <w:sz w:val="18"/>
          <w:lang w:val="fr-CH"/>
        </w:rPr>
        <w:t>“b)</w:t>
      </w:r>
      <w:r w:rsidRPr="009B6354">
        <w:rPr>
          <w:sz w:val="18"/>
          <w:lang w:val="fr-CH"/>
        </w:rPr>
        <w:tab/>
      </w:r>
      <w:r w:rsidR="00A92199" w:rsidRPr="009B6354">
        <w:rPr>
          <w:sz w:val="18"/>
          <w:lang w:val="fr-CH"/>
        </w:rPr>
        <w:t>Dans les huit mois suivant la fin de</w:t>
      </w:r>
      <w:r w:rsidR="00A15B82" w:rsidRPr="009B6354">
        <w:rPr>
          <w:sz w:val="18"/>
          <w:lang w:val="fr-CH"/>
        </w:rPr>
        <w:t xml:space="preserve"> chaque exercice financier, le S</w:t>
      </w:r>
      <w:r w:rsidR="00A92199" w:rsidRPr="009B6354">
        <w:rPr>
          <w:sz w:val="18"/>
          <w:lang w:val="fr-CH"/>
        </w:rPr>
        <w:t>ecrétaire général présente au Conseil le rapport de gestion financière conformément à l</w:t>
      </w:r>
      <w:r w:rsidR="00126058" w:rsidRPr="009B6354">
        <w:rPr>
          <w:sz w:val="18"/>
          <w:lang w:val="fr-CH"/>
        </w:rPr>
        <w:t>’</w:t>
      </w:r>
      <w:r w:rsidR="00A92199" w:rsidRPr="009B6354">
        <w:rPr>
          <w:sz w:val="18"/>
          <w:lang w:val="fr-CH"/>
        </w:rPr>
        <w:t>article 6.3 du Règlement.</w:t>
      </w:r>
    </w:p>
    <w:p w:rsidR="008527FA" w:rsidRPr="009B6354" w:rsidRDefault="008527FA" w:rsidP="00BD5E7F">
      <w:pPr>
        <w:rPr>
          <w:snapToGrid w:val="0"/>
          <w:lang w:val="fr-CH"/>
        </w:rPr>
      </w:pPr>
    </w:p>
    <w:p w:rsidR="008527FA" w:rsidRPr="009B6354" w:rsidRDefault="00D81BFB" w:rsidP="00D81BFB">
      <w:pPr>
        <w:ind w:left="567"/>
        <w:rPr>
          <w:sz w:val="16"/>
          <w:lang w:val="fr-CH"/>
        </w:rPr>
      </w:pPr>
      <w:bookmarkStart w:id="2" w:name="_Toc173661770"/>
      <w:bookmarkStart w:id="3" w:name="_Toc173748751"/>
      <w:bookmarkStart w:id="4" w:name="_Toc355190048"/>
      <w:r w:rsidRPr="009B6354">
        <w:rPr>
          <w:sz w:val="18"/>
          <w:lang w:val="fr-CH"/>
        </w:rPr>
        <w:t>“</w:t>
      </w:r>
      <w:r w:rsidR="00A92199" w:rsidRPr="009B6354">
        <w:rPr>
          <w:b/>
          <w:sz w:val="18"/>
          <w:lang w:val="fr-CH"/>
        </w:rPr>
        <w:t>Articl</w:t>
      </w:r>
      <w:r w:rsidR="00BD5E7F" w:rsidRPr="009B6354">
        <w:rPr>
          <w:b/>
          <w:sz w:val="18"/>
          <w:lang w:val="fr-CH"/>
        </w:rPr>
        <w:t>e</w:t>
      </w:r>
      <w:r w:rsidR="00A92199" w:rsidRPr="009B6354">
        <w:rPr>
          <w:b/>
          <w:sz w:val="18"/>
          <w:lang w:val="fr-CH"/>
        </w:rPr>
        <w:t> </w:t>
      </w:r>
      <w:r w:rsidR="00BD5E7F" w:rsidRPr="009B6354">
        <w:rPr>
          <w:b/>
          <w:sz w:val="18"/>
          <w:lang w:val="fr-CH"/>
        </w:rPr>
        <w:t>6</w:t>
      </w:r>
      <w:bookmarkEnd w:id="2"/>
      <w:bookmarkEnd w:id="3"/>
      <w:bookmarkEnd w:id="4"/>
      <w:r w:rsidRPr="009B6354">
        <w:rPr>
          <w:b/>
          <w:sz w:val="18"/>
          <w:lang w:val="fr-CH"/>
        </w:rPr>
        <w:t>.7</w:t>
      </w:r>
    </w:p>
    <w:p w:rsidR="008527FA" w:rsidRPr="009B6354" w:rsidRDefault="00D81BFB" w:rsidP="00A92199">
      <w:pPr>
        <w:pStyle w:val="Inf4Normal"/>
        <w:ind w:left="567" w:right="567"/>
        <w:rPr>
          <w:sz w:val="18"/>
          <w:szCs w:val="18"/>
          <w:lang w:val="fr-CH"/>
        </w:rPr>
      </w:pPr>
      <w:r w:rsidRPr="009B6354">
        <w:rPr>
          <w:sz w:val="18"/>
          <w:szCs w:val="18"/>
          <w:lang w:val="fr-CH"/>
        </w:rPr>
        <w:t>“</w:t>
      </w:r>
      <w:r w:rsidR="00A92199" w:rsidRPr="009B6354">
        <w:rPr>
          <w:sz w:val="18"/>
          <w:szCs w:val="18"/>
          <w:lang w:val="fr-CH"/>
        </w:rPr>
        <w:t>Après vérification annuelle des comptes et examen par le Conseil, les états financiers annuels et le rapport du vérificateur externe des comptes sont communiqués à tous les membres de l</w:t>
      </w:r>
      <w:r w:rsidR="00126058" w:rsidRPr="009B6354">
        <w:rPr>
          <w:sz w:val="18"/>
          <w:szCs w:val="18"/>
          <w:lang w:val="fr-CH"/>
        </w:rPr>
        <w:t>’</w:t>
      </w:r>
      <w:r w:rsidR="00A92199" w:rsidRPr="009B6354">
        <w:rPr>
          <w:sz w:val="18"/>
          <w:szCs w:val="18"/>
          <w:lang w:val="fr-CH"/>
        </w:rPr>
        <w:t>UPOV intéressés.  Deux ans après la fin de l</w:t>
      </w:r>
      <w:r w:rsidR="00126058" w:rsidRPr="009B6354">
        <w:rPr>
          <w:sz w:val="18"/>
          <w:szCs w:val="18"/>
          <w:lang w:val="fr-CH"/>
        </w:rPr>
        <w:t>’</w:t>
      </w:r>
      <w:r w:rsidR="00A92199" w:rsidRPr="009B6354">
        <w:rPr>
          <w:sz w:val="18"/>
          <w:szCs w:val="18"/>
          <w:lang w:val="fr-CH"/>
        </w:rPr>
        <w:t>exercice biennal, le rapport de gestion financière est aussi communiqué à tous les membres de l</w:t>
      </w:r>
      <w:r w:rsidR="00126058" w:rsidRPr="009B6354">
        <w:rPr>
          <w:sz w:val="18"/>
          <w:szCs w:val="18"/>
          <w:lang w:val="fr-CH"/>
        </w:rPr>
        <w:t>’</w:t>
      </w:r>
      <w:r w:rsidR="00A92199" w:rsidRPr="009B6354">
        <w:rPr>
          <w:sz w:val="18"/>
          <w:szCs w:val="18"/>
          <w:lang w:val="fr-CH"/>
        </w:rPr>
        <w:t>UPOV intéressés.</w:t>
      </w:r>
      <w:r w:rsidR="00E93B7E" w:rsidRPr="009B6354">
        <w:rPr>
          <w:sz w:val="18"/>
          <w:szCs w:val="18"/>
          <w:lang w:val="fr-CH"/>
        </w:rPr>
        <w:t>”</w:t>
      </w:r>
    </w:p>
    <w:p w:rsidR="008527FA" w:rsidRPr="009B6354" w:rsidRDefault="008527FA" w:rsidP="00E93B7E">
      <w:pPr>
        <w:pStyle w:val="Inf4Normal"/>
        <w:ind w:left="1418" w:right="1179"/>
        <w:rPr>
          <w:sz w:val="18"/>
          <w:szCs w:val="18"/>
          <w:lang w:val="fr-CH"/>
        </w:rPr>
      </w:pPr>
    </w:p>
    <w:p w:rsidR="008527FA" w:rsidRPr="009B6354" w:rsidRDefault="00E93B7E" w:rsidP="000F305E">
      <w:pPr>
        <w:tabs>
          <w:tab w:val="left" w:pos="5387"/>
          <w:tab w:val="left" w:pos="5954"/>
        </w:tabs>
        <w:ind w:left="4820"/>
        <w:rPr>
          <w:i/>
          <w:lang w:val="fr-CH"/>
        </w:rPr>
      </w:pPr>
      <w:r w:rsidRPr="009B6354">
        <w:rPr>
          <w:i/>
        </w:rPr>
        <w:fldChar w:fldCharType="begin"/>
      </w:r>
      <w:r w:rsidRPr="009B6354">
        <w:rPr>
          <w:i/>
          <w:lang w:val="fr-CH"/>
        </w:rPr>
        <w:instrText xml:space="preserve"> AUTONUM  </w:instrText>
      </w:r>
      <w:r w:rsidRPr="009B6354">
        <w:rPr>
          <w:i/>
        </w:rPr>
        <w:fldChar w:fldCharType="end"/>
      </w:r>
      <w:r w:rsidRPr="009B6354">
        <w:rPr>
          <w:i/>
          <w:lang w:val="fr-CH"/>
        </w:rPr>
        <w:tab/>
      </w:r>
      <w:r w:rsidR="00A92199" w:rsidRPr="009B6354">
        <w:rPr>
          <w:i/>
          <w:lang w:val="fr-CH"/>
        </w:rPr>
        <w:t>L</w:t>
      </w:r>
      <w:r w:rsidRPr="009B6354">
        <w:rPr>
          <w:i/>
          <w:lang w:val="fr-CH"/>
        </w:rPr>
        <w:t>e Con</w:t>
      </w:r>
      <w:r w:rsidR="00A92199" w:rsidRPr="009B6354">
        <w:rPr>
          <w:i/>
          <w:lang w:val="fr-CH"/>
        </w:rPr>
        <w:t>se</w:t>
      </w:r>
      <w:r w:rsidRPr="009B6354">
        <w:rPr>
          <w:i/>
          <w:lang w:val="fr-CH"/>
        </w:rPr>
        <w:t xml:space="preserve">il </w:t>
      </w:r>
      <w:r w:rsidR="00A92199" w:rsidRPr="009B6354">
        <w:rPr>
          <w:i/>
          <w:lang w:val="fr-CH"/>
        </w:rPr>
        <w:t>e</w:t>
      </w:r>
      <w:r w:rsidRPr="009B6354">
        <w:rPr>
          <w:i/>
          <w:lang w:val="fr-CH"/>
        </w:rPr>
        <w:t>s</w:t>
      </w:r>
      <w:r w:rsidR="00A92199" w:rsidRPr="009B6354">
        <w:rPr>
          <w:i/>
          <w:lang w:val="fr-CH"/>
        </w:rPr>
        <w:t>t</w:t>
      </w:r>
      <w:r w:rsidRPr="009B6354">
        <w:rPr>
          <w:i/>
          <w:lang w:val="fr-CH"/>
        </w:rPr>
        <w:t xml:space="preserve"> invit</w:t>
      </w:r>
      <w:r w:rsidR="00A92199" w:rsidRPr="009B6354">
        <w:rPr>
          <w:i/>
          <w:lang w:val="fr-CH"/>
        </w:rPr>
        <w:t>é à</w:t>
      </w:r>
      <w:r w:rsidR="000F305E" w:rsidRPr="009B6354">
        <w:rPr>
          <w:i/>
          <w:lang w:val="fr-CH"/>
        </w:rPr>
        <w:t xml:space="preserve"> </w:t>
      </w:r>
      <w:r w:rsidRPr="009B6354">
        <w:rPr>
          <w:i/>
          <w:lang w:val="fr-CH"/>
        </w:rPr>
        <w:t>appro</w:t>
      </w:r>
      <w:r w:rsidR="00A92199" w:rsidRPr="009B6354">
        <w:rPr>
          <w:i/>
          <w:lang w:val="fr-CH"/>
        </w:rPr>
        <w:t>u</w:t>
      </w:r>
      <w:r w:rsidRPr="009B6354">
        <w:rPr>
          <w:i/>
          <w:lang w:val="fr-CH"/>
        </w:rPr>
        <w:t>ve</w:t>
      </w:r>
      <w:r w:rsidR="00A92199" w:rsidRPr="009B6354">
        <w:rPr>
          <w:i/>
          <w:lang w:val="fr-CH"/>
        </w:rPr>
        <w:t>r</w:t>
      </w:r>
      <w:r w:rsidRPr="009B6354">
        <w:rPr>
          <w:i/>
          <w:lang w:val="fr-CH"/>
        </w:rPr>
        <w:t xml:space="preserve"> </w:t>
      </w:r>
      <w:r w:rsidR="00A92199" w:rsidRPr="009B6354">
        <w:rPr>
          <w:i/>
          <w:lang w:val="fr-CH"/>
        </w:rPr>
        <w:t xml:space="preserve">le rapport de gestion </w:t>
      </w:r>
      <w:r w:rsidR="000F305E" w:rsidRPr="009B6354">
        <w:rPr>
          <w:i/>
          <w:lang w:val="fr-CH"/>
        </w:rPr>
        <w:t>financi</w:t>
      </w:r>
      <w:r w:rsidR="00A92199" w:rsidRPr="009B6354">
        <w:rPr>
          <w:i/>
          <w:lang w:val="fr-CH"/>
        </w:rPr>
        <w:t>ère pour l</w:t>
      </w:r>
      <w:r w:rsidR="00126058" w:rsidRPr="009B6354">
        <w:rPr>
          <w:i/>
          <w:lang w:val="fr-CH"/>
        </w:rPr>
        <w:t>’</w:t>
      </w:r>
      <w:r w:rsidR="00A92199" w:rsidRPr="009B6354">
        <w:rPr>
          <w:i/>
          <w:lang w:val="fr-CH"/>
        </w:rPr>
        <w:t>exercice financier 2012</w:t>
      </w:r>
      <w:r w:rsidR="009B6354" w:rsidRPr="009B6354">
        <w:rPr>
          <w:i/>
          <w:lang w:val="fr-CH"/>
        </w:rPr>
        <w:noBreakHyphen/>
      </w:r>
      <w:r w:rsidR="00A92199" w:rsidRPr="009B6354">
        <w:rPr>
          <w:i/>
          <w:lang w:val="fr-CH"/>
        </w:rPr>
        <w:t>2013</w:t>
      </w:r>
      <w:r w:rsidR="000F305E" w:rsidRPr="009B6354">
        <w:rPr>
          <w:i/>
          <w:lang w:val="fr-CH"/>
        </w:rPr>
        <w:t>.</w:t>
      </w:r>
    </w:p>
    <w:p w:rsidR="008527FA" w:rsidRPr="009B6354" w:rsidRDefault="008527FA" w:rsidP="00D81BFB">
      <w:pPr>
        <w:tabs>
          <w:tab w:val="left" w:pos="5387"/>
          <w:tab w:val="left" w:pos="5954"/>
        </w:tabs>
        <w:ind w:left="4820" w:hanging="4820"/>
        <w:rPr>
          <w:i/>
          <w:lang w:val="fr-CH"/>
        </w:rPr>
      </w:pPr>
    </w:p>
    <w:p w:rsidR="008527FA" w:rsidRPr="009B6354" w:rsidRDefault="008527FA" w:rsidP="00C651CE">
      <w:pPr>
        <w:rPr>
          <w:lang w:val="fr-CH"/>
        </w:rPr>
      </w:pPr>
    </w:p>
    <w:p w:rsidR="008527FA" w:rsidRPr="009B6354" w:rsidRDefault="008527FA" w:rsidP="000A68B4">
      <w:pPr>
        <w:rPr>
          <w:lang w:val="fr-CH"/>
        </w:rPr>
      </w:pPr>
    </w:p>
    <w:p w:rsidR="008527FA" w:rsidRPr="009B6354" w:rsidRDefault="0061555F" w:rsidP="005F05B6">
      <w:pPr>
        <w:jc w:val="right"/>
        <w:rPr>
          <w:lang w:val="fr-CH"/>
        </w:rPr>
      </w:pPr>
      <w:r w:rsidRPr="009B6354">
        <w:rPr>
          <w:lang w:val="fr-CH"/>
        </w:rPr>
        <w:t>[</w:t>
      </w:r>
      <w:r w:rsidR="00A92199" w:rsidRPr="009B6354">
        <w:rPr>
          <w:lang w:val="fr-CH"/>
        </w:rPr>
        <w:t>L</w:t>
      </w:r>
      <w:r w:rsidR="00126058" w:rsidRPr="009B6354">
        <w:rPr>
          <w:lang w:val="fr-CH"/>
        </w:rPr>
        <w:t>’</w:t>
      </w:r>
      <w:r w:rsidR="00A92199" w:rsidRPr="009B6354">
        <w:rPr>
          <w:lang w:val="fr-CH"/>
        </w:rPr>
        <w:t>a</w:t>
      </w:r>
      <w:r w:rsidR="000E7048" w:rsidRPr="009B6354">
        <w:rPr>
          <w:lang w:val="fr-CH"/>
        </w:rPr>
        <w:t>nnex</w:t>
      </w:r>
      <w:r w:rsidR="00A92199" w:rsidRPr="009B6354">
        <w:rPr>
          <w:lang w:val="fr-CH"/>
        </w:rPr>
        <w:t>e suit</w:t>
      </w:r>
      <w:r w:rsidR="000F305E" w:rsidRPr="009B6354">
        <w:rPr>
          <w:lang w:val="fr-CH"/>
        </w:rPr>
        <w:t>]</w:t>
      </w:r>
    </w:p>
    <w:p w:rsidR="008527FA" w:rsidRPr="009B6354" w:rsidRDefault="008527FA" w:rsidP="005C7018">
      <w:pPr>
        <w:jc w:val="center"/>
        <w:rPr>
          <w:lang w:val="fr-CH"/>
        </w:rPr>
      </w:pPr>
    </w:p>
    <w:p w:rsidR="00A4653A" w:rsidRPr="009B6354" w:rsidRDefault="00A4653A" w:rsidP="005F05B6">
      <w:pPr>
        <w:jc w:val="right"/>
        <w:rPr>
          <w:lang w:val="fr-CH"/>
        </w:rPr>
        <w:sectPr w:rsidR="00A4653A" w:rsidRPr="009B6354" w:rsidSect="00E76FEC">
          <w:headerReference w:type="default" r:id="rId11"/>
          <w:pgSz w:w="11907" w:h="16840" w:code="9"/>
          <w:pgMar w:top="510" w:right="1134" w:bottom="1134" w:left="1134" w:header="510" w:footer="680" w:gutter="0"/>
          <w:cols w:space="720"/>
          <w:titlePg/>
          <w:docGrid w:linePitch="272"/>
        </w:sectPr>
      </w:pPr>
    </w:p>
    <w:p w:rsidR="008527FA" w:rsidRPr="009B6354" w:rsidRDefault="008527FA" w:rsidP="00D81BFB">
      <w:pPr>
        <w:rPr>
          <w:lang w:val="fr-CH"/>
        </w:rPr>
      </w:pPr>
    </w:p>
    <w:p w:rsidR="008527FA" w:rsidRPr="009B6354" w:rsidRDefault="008527FA" w:rsidP="00D81BFB">
      <w:pPr>
        <w:rPr>
          <w:lang w:val="fr-CH"/>
        </w:rPr>
      </w:pPr>
    </w:p>
    <w:p w:rsidR="008527FA" w:rsidRPr="009B6354" w:rsidRDefault="00A92199" w:rsidP="00A4653A">
      <w:pPr>
        <w:jc w:val="center"/>
        <w:rPr>
          <w:b/>
          <w:lang w:val="fr-CH"/>
        </w:rPr>
      </w:pPr>
      <w:r w:rsidRPr="009B6354">
        <w:rPr>
          <w:b/>
          <w:snapToGrid w:val="0"/>
          <w:lang w:val="fr-CH"/>
        </w:rPr>
        <w:t>UNION INTERNATIONALE POUR LA PROTECTION DES OBTENTIONS VÉGÉTALES</w:t>
      </w:r>
    </w:p>
    <w:p w:rsidR="008527FA" w:rsidRPr="009B6354" w:rsidRDefault="008527FA" w:rsidP="00A4653A">
      <w:pPr>
        <w:jc w:val="center"/>
        <w:rPr>
          <w:lang w:val="fr-CH"/>
        </w:rPr>
      </w:pPr>
    </w:p>
    <w:p w:rsidR="008527FA" w:rsidRPr="009B6354" w:rsidRDefault="00A92199" w:rsidP="00A4653A">
      <w:pPr>
        <w:jc w:val="center"/>
        <w:rPr>
          <w:lang w:val="fr-CH"/>
        </w:rPr>
      </w:pPr>
      <w:r w:rsidRPr="009B6354">
        <w:rPr>
          <w:lang w:val="fr-CH"/>
        </w:rPr>
        <w:t>Rapport sur la gestion f</w:t>
      </w:r>
      <w:r w:rsidR="00A4653A" w:rsidRPr="009B6354">
        <w:rPr>
          <w:lang w:val="fr-CH"/>
        </w:rPr>
        <w:t>inanci</w:t>
      </w:r>
      <w:r w:rsidRPr="009B6354">
        <w:rPr>
          <w:lang w:val="fr-CH"/>
        </w:rPr>
        <w:t>ère</w:t>
      </w:r>
      <w:r w:rsidR="00743DC1" w:rsidRPr="009B6354">
        <w:rPr>
          <w:lang w:val="fr-CH"/>
        </w:rPr>
        <w:t xml:space="preserve"> </w:t>
      </w:r>
      <w:r w:rsidRPr="009B6354">
        <w:rPr>
          <w:lang w:val="fr-CH"/>
        </w:rPr>
        <w:t>pour l</w:t>
      </w:r>
      <w:r w:rsidR="00126058" w:rsidRPr="009B6354">
        <w:rPr>
          <w:lang w:val="fr-CH"/>
        </w:rPr>
        <w:t>’</w:t>
      </w:r>
      <w:r w:rsidRPr="009B6354">
        <w:rPr>
          <w:lang w:val="fr-CH"/>
        </w:rPr>
        <w:t>exercice biennal </w:t>
      </w:r>
      <w:r w:rsidR="00A4653A" w:rsidRPr="009B6354">
        <w:rPr>
          <w:lang w:val="fr-CH"/>
        </w:rPr>
        <w:t>2012</w:t>
      </w:r>
      <w:r w:rsidR="009B6354" w:rsidRPr="009B6354">
        <w:rPr>
          <w:lang w:val="fr-CH"/>
        </w:rPr>
        <w:noBreakHyphen/>
      </w:r>
      <w:r w:rsidR="00CB28CB" w:rsidRPr="009B6354">
        <w:rPr>
          <w:lang w:val="fr-CH"/>
        </w:rPr>
        <w:t>20</w:t>
      </w:r>
      <w:r w:rsidR="00A4653A" w:rsidRPr="009B6354">
        <w:rPr>
          <w:lang w:val="fr-CH"/>
        </w:rPr>
        <w:t>13</w:t>
      </w:r>
    </w:p>
    <w:p w:rsidR="008527FA" w:rsidRPr="009B6354" w:rsidRDefault="008527FA" w:rsidP="00A4653A">
      <w:pPr>
        <w:jc w:val="center"/>
        <w:rPr>
          <w:lang w:val="fr-CH"/>
        </w:rPr>
      </w:pPr>
    </w:p>
    <w:p w:rsidR="008527FA" w:rsidRPr="009B6354" w:rsidRDefault="008527FA" w:rsidP="00A4653A">
      <w:pPr>
        <w:jc w:val="center"/>
        <w:rPr>
          <w:lang w:val="fr-CH"/>
        </w:rPr>
      </w:pPr>
    </w:p>
    <w:p w:rsidR="008527FA" w:rsidRPr="009B6354" w:rsidRDefault="008527FA" w:rsidP="002F4B84">
      <w:pPr>
        <w:tabs>
          <w:tab w:val="right" w:pos="9639"/>
        </w:tabs>
        <w:rPr>
          <w:b/>
          <w:lang w:val="fr-CH"/>
        </w:rPr>
      </w:pPr>
    </w:p>
    <w:p w:rsidR="008527FA" w:rsidRPr="009B6354" w:rsidRDefault="008527FA" w:rsidP="002F4B84">
      <w:pPr>
        <w:tabs>
          <w:tab w:val="right" w:pos="9639"/>
        </w:tabs>
        <w:rPr>
          <w:b/>
          <w:lang w:val="fr-CH"/>
        </w:rPr>
      </w:pPr>
    </w:p>
    <w:p w:rsidR="008527FA" w:rsidRPr="009B6354" w:rsidRDefault="00140793" w:rsidP="00D81BFB">
      <w:pPr>
        <w:tabs>
          <w:tab w:val="right" w:pos="9639"/>
        </w:tabs>
      </w:pPr>
      <w:r w:rsidRPr="009B6354">
        <w:rPr>
          <w:b/>
        </w:rPr>
        <w:t xml:space="preserve">TABLE </w:t>
      </w:r>
      <w:r w:rsidR="00A92199" w:rsidRPr="009B6354">
        <w:rPr>
          <w:b/>
        </w:rPr>
        <w:t xml:space="preserve">DES </w:t>
      </w:r>
      <w:r w:rsidR="00A92199" w:rsidRPr="009B6354">
        <w:rPr>
          <w:b/>
          <w:lang w:val="fr-FR"/>
        </w:rPr>
        <w:t>MATI</w:t>
      </w:r>
      <w:r w:rsidR="007C513A" w:rsidRPr="009B6354">
        <w:rPr>
          <w:rFonts w:cs="Arial"/>
          <w:b/>
          <w:lang w:val="fr-FR"/>
        </w:rPr>
        <w:t>È</w:t>
      </w:r>
      <w:r w:rsidR="007C513A" w:rsidRPr="009B6354">
        <w:rPr>
          <w:b/>
          <w:lang w:val="fr-FR"/>
        </w:rPr>
        <w:t>RE</w:t>
      </w:r>
      <w:r w:rsidRPr="009B6354">
        <w:rPr>
          <w:b/>
          <w:lang w:val="fr-FR"/>
        </w:rPr>
        <w:t>S</w:t>
      </w:r>
      <w:r w:rsidR="002F4B84" w:rsidRPr="009B6354">
        <w:rPr>
          <w:b/>
        </w:rPr>
        <w:tab/>
      </w:r>
      <w:r w:rsidRPr="009B6354">
        <w:rPr>
          <w:rFonts w:ascii="Arial Bold" w:hAnsi="Arial Bold"/>
          <w:b/>
          <w:caps/>
        </w:rPr>
        <w:t>page</w:t>
      </w:r>
    </w:p>
    <w:p w:rsidR="008527FA" w:rsidRPr="009B6354" w:rsidRDefault="008527FA" w:rsidP="007F3137">
      <w:pPr>
        <w:pStyle w:val="TOC1"/>
      </w:pPr>
    </w:p>
    <w:p w:rsidR="00CA3BDE" w:rsidRDefault="00CA3BDE" w:rsidP="007F3137">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95251214" w:history="1">
        <w:r w:rsidRPr="00280196">
          <w:rPr>
            <w:rStyle w:val="Hyperlink"/>
            <w:lang w:val="fr-CH"/>
          </w:rPr>
          <w:t>R</w:t>
        </w:r>
        <w:r w:rsidRPr="00280196">
          <w:rPr>
            <w:rStyle w:val="Hyperlink"/>
            <w:rFonts w:cs="Arial"/>
            <w:lang w:val="fr-CH"/>
          </w:rPr>
          <w:t>É</w:t>
        </w:r>
        <w:r w:rsidRPr="00280196">
          <w:rPr>
            <w:rStyle w:val="Hyperlink"/>
            <w:lang w:val="fr-CH"/>
          </w:rPr>
          <w:t>SUM</w:t>
        </w:r>
        <w:r w:rsidRPr="00280196">
          <w:rPr>
            <w:rStyle w:val="Hyperlink"/>
            <w:rFonts w:cs="Arial"/>
            <w:lang w:val="fr-CH"/>
          </w:rPr>
          <w:t>É</w:t>
        </w:r>
        <w:r w:rsidRPr="00280196">
          <w:rPr>
            <w:rStyle w:val="Hyperlink"/>
            <w:lang w:val="fr-CH"/>
          </w:rPr>
          <w:t xml:space="preserve"> ET AnalysE DEs R</w:t>
        </w:r>
        <w:r w:rsidRPr="00280196">
          <w:rPr>
            <w:rStyle w:val="Hyperlink"/>
            <w:rFonts w:cs="Arial"/>
            <w:lang w:val="fr-CH"/>
          </w:rPr>
          <w:t>É</w:t>
        </w:r>
        <w:r w:rsidRPr="00280196">
          <w:rPr>
            <w:rStyle w:val="Hyperlink"/>
            <w:lang w:val="fr-CH"/>
          </w:rPr>
          <w:t>SULTATS</w:t>
        </w:r>
        <w:r>
          <w:rPr>
            <w:webHidden/>
          </w:rPr>
          <w:tab/>
        </w:r>
        <w:r>
          <w:rPr>
            <w:webHidden/>
          </w:rPr>
          <w:fldChar w:fldCharType="begin"/>
        </w:r>
        <w:r>
          <w:rPr>
            <w:webHidden/>
          </w:rPr>
          <w:instrText xml:space="preserve"> PAGEREF _Toc395251214 \h </w:instrText>
        </w:r>
        <w:r>
          <w:rPr>
            <w:webHidden/>
          </w:rPr>
        </w:r>
        <w:r>
          <w:rPr>
            <w:webHidden/>
          </w:rPr>
          <w:fldChar w:fldCharType="separate"/>
        </w:r>
        <w:r w:rsidR="00AF171B">
          <w:rPr>
            <w:webHidden/>
          </w:rPr>
          <w:t>2</w:t>
        </w:r>
        <w:r>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15" w:history="1">
        <w:r w:rsidR="00CA3BDE" w:rsidRPr="00280196">
          <w:rPr>
            <w:rStyle w:val="Hyperlink"/>
          </w:rPr>
          <w:t>Tableau 1. Recettes, dépenses et fonds de réserve et de roulement pour 2012</w:t>
        </w:r>
        <w:r w:rsidR="00CA3BDE" w:rsidRPr="00280196">
          <w:rPr>
            <w:rStyle w:val="Hyperlink"/>
          </w:rPr>
          <w:noBreakHyphen/>
          <w:t>2013</w:t>
        </w:r>
        <w:r w:rsidR="00CA3BDE">
          <w:rPr>
            <w:webHidden/>
          </w:rPr>
          <w:tab/>
        </w:r>
        <w:r w:rsidR="00CA3BDE">
          <w:rPr>
            <w:webHidden/>
          </w:rPr>
          <w:fldChar w:fldCharType="begin"/>
        </w:r>
        <w:r w:rsidR="00CA3BDE">
          <w:rPr>
            <w:webHidden/>
          </w:rPr>
          <w:instrText xml:space="preserve"> PAGEREF _Toc395251215 \h </w:instrText>
        </w:r>
        <w:r w:rsidR="00CA3BDE">
          <w:rPr>
            <w:webHidden/>
          </w:rPr>
        </w:r>
        <w:r w:rsidR="00CA3BDE">
          <w:rPr>
            <w:webHidden/>
          </w:rPr>
          <w:fldChar w:fldCharType="separate"/>
        </w:r>
        <w:r>
          <w:rPr>
            <w:webHidden/>
          </w:rPr>
          <w:t>2</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16" w:history="1">
        <w:r w:rsidR="00CA3BDE" w:rsidRPr="00280196">
          <w:rPr>
            <w:rStyle w:val="Hyperlink"/>
          </w:rPr>
          <w:t>Tableau 2. Recettes inscrites au budget et recettes effectives pour 2012</w:t>
        </w:r>
        <w:r w:rsidR="00CA3BDE" w:rsidRPr="00280196">
          <w:rPr>
            <w:rStyle w:val="Hyperlink"/>
          </w:rPr>
          <w:noBreakHyphen/>
          <w:t>2013, par source</w:t>
        </w:r>
        <w:r w:rsidR="00CA3BDE">
          <w:rPr>
            <w:webHidden/>
          </w:rPr>
          <w:tab/>
        </w:r>
        <w:r w:rsidR="00CA3BDE">
          <w:rPr>
            <w:webHidden/>
          </w:rPr>
          <w:fldChar w:fldCharType="begin"/>
        </w:r>
        <w:r w:rsidR="00CA3BDE">
          <w:rPr>
            <w:webHidden/>
          </w:rPr>
          <w:instrText xml:space="preserve"> PAGEREF _Toc395251216 \h </w:instrText>
        </w:r>
        <w:r w:rsidR="00CA3BDE">
          <w:rPr>
            <w:webHidden/>
          </w:rPr>
        </w:r>
        <w:r w:rsidR="00CA3BDE">
          <w:rPr>
            <w:webHidden/>
          </w:rPr>
          <w:fldChar w:fldCharType="separate"/>
        </w:r>
        <w:r>
          <w:rPr>
            <w:webHidden/>
          </w:rPr>
          <w:t>3</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17" w:history="1">
        <w:r w:rsidR="00CA3BDE" w:rsidRPr="00280196">
          <w:rPr>
            <w:rStyle w:val="Hyperlink"/>
          </w:rPr>
          <w:t>Tableau 3.  Budget 2012</w:t>
        </w:r>
        <w:r w:rsidR="00CA3BDE" w:rsidRPr="00280196">
          <w:rPr>
            <w:rStyle w:val="Hyperlink"/>
          </w:rPr>
          <w:noBreakHyphen/>
          <w:t>2013 approuvé et dépenses par objet de dépense</w:t>
        </w:r>
        <w:r w:rsidR="00CA3BDE">
          <w:rPr>
            <w:webHidden/>
          </w:rPr>
          <w:tab/>
        </w:r>
        <w:r w:rsidR="00CA3BDE">
          <w:rPr>
            <w:webHidden/>
          </w:rPr>
          <w:fldChar w:fldCharType="begin"/>
        </w:r>
        <w:r w:rsidR="00CA3BDE">
          <w:rPr>
            <w:webHidden/>
          </w:rPr>
          <w:instrText xml:space="preserve"> PAGEREF _Toc395251217 \h </w:instrText>
        </w:r>
        <w:r w:rsidR="00CA3BDE">
          <w:rPr>
            <w:webHidden/>
          </w:rPr>
        </w:r>
        <w:r w:rsidR="00CA3BDE">
          <w:rPr>
            <w:webHidden/>
          </w:rPr>
          <w:fldChar w:fldCharType="separate"/>
        </w:r>
        <w:r>
          <w:rPr>
            <w:webHidden/>
          </w:rPr>
          <w:t>4</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18" w:history="1">
        <w:r w:rsidR="00CA3BDE" w:rsidRPr="00280196">
          <w:rPr>
            <w:rStyle w:val="Hyperlink"/>
          </w:rPr>
          <w:t>Tableau 4.  Budget 2012</w:t>
        </w:r>
        <w:r w:rsidR="00CA3BDE" w:rsidRPr="00280196">
          <w:rPr>
            <w:rStyle w:val="Hyperlink"/>
          </w:rPr>
          <w:noBreakHyphen/>
          <w:t>2013 approuvé et dépenses par sous</w:t>
        </w:r>
        <w:r w:rsidR="00CA3BDE" w:rsidRPr="00280196">
          <w:rPr>
            <w:rStyle w:val="Hyperlink"/>
          </w:rPr>
          <w:noBreakHyphen/>
          <w:t>programme</w:t>
        </w:r>
        <w:r w:rsidR="00CA3BDE">
          <w:rPr>
            <w:webHidden/>
          </w:rPr>
          <w:tab/>
        </w:r>
        <w:r w:rsidR="00CA3BDE">
          <w:rPr>
            <w:webHidden/>
          </w:rPr>
          <w:fldChar w:fldCharType="begin"/>
        </w:r>
        <w:r w:rsidR="00CA3BDE">
          <w:rPr>
            <w:webHidden/>
          </w:rPr>
          <w:instrText xml:space="preserve"> PAGEREF _Toc395251218 \h </w:instrText>
        </w:r>
        <w:r w:rsidR="00CA3BDE">
          <w:rPr>
            <w:webHidden/>
          </w:rPr>
        </w:r>
        <w:r w:rsidR="00CA3BDE">
          <w:rPr>
            <w:webHidden/>
          </w:rPr>
          <w:fldChar w:fldCharType="separate"/>
        </w:r>
        <w:r>
          <w:rPr>
            <w:webHidden/>
          </w:rPr>
          <w:t>4</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19" w:history="1">
        <w:r w:rsidR="00CA3BDE" w:rsidRPr="00280196">
          <w:rPr>
            <w:rStyle w:val="Hyperlink"/>
          </w:rPr>
          <w:t>Tableau 5.  Détail des dépenses pour 2012</w:t>
        </w:r>
        <w:r w:rsidR="00CA3BDE" w:rsidRPr="00280196">
          <w:rPr>
            <w:rStyle w:val="Hyperlink"/>
          </w:rPr>
          <w:noBreakHyphen/>
          <w:t>2013 par sous</w:t>
        </w:r>
        <w:r w:rsidR="00CA3BDE" w:rsidRPr="00280196">
          <w:rPr>
            <w:rStyle w:val="Hyperlink"/>
          </w:rPr>
          <w:noBreakHyphen/>
          <w:t>programme</w:t>
        </w:r>
        <w:r w:rsidR="00CA3BDE">
          <w:rPr>
            <w:webHidden/>
          </w:rPr>
          <w:tab/>
        </w:r>
        <w:r w:rsidR="00CA3BDE">
          <w:rPr>
            <w:webHidden/>
          </w:rPr>
          <w:fldChar w:fldCharType="begin"/>
        </w:r>
        <w:r w:rsidR="00CA3BDE">
          <w:rPr>
            <w:webHidden/>
          </w:rPr>
          <w:instrText xml:space="preserve"> PAGEREF _Toc395251219 \h </w:instrText>
        </w:r>
        <w:r w:rsidR="00CA3BDE">
          <w:rPr>
            <w:webHidden/>
          </w:rPr>
        </w:r>
        <w:r w:rsidR="00CA3BDE">
          <w:rPr>
            <w:webHidden/>
          </w:rPr>
          <w:fldChar w:fldCharType="separate"/>
        </w:r>
        <w:r>
          <w:rPr>
            <w:webHidden/>
          </w:rPr>
          <w:t>6</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0" w:history="1">
        <w:r w:rsidR="00CA3BDE" w:rsidRPr="00280196">
          <w:rPr>
            <w:rStyle w:val="Hyperlink"/>
          </w:rPr>
          <w:t>Tableau 6.  Postes inscrits au budget et postes effectifs pour 2012</w:t>
        </w:r>
        <w:r w:rsidR="00CA3BDE" w:rsidRPr="00280196">
          <w:rPr>
            <w:rStyle w:val="Hyperlink"/>
          </w:rPr>
          <w:noBreakHyphen/>
          <w:t>2013</w:t>
        </w:r>
        <w:r w:rsidR="00CA3BDE">
          <w:rPr>
            <w:webHidden/>
          </w:rPr>
          <w:tab/>
        </w:r>
        <w:r w:rsidR="00CA3BDE">
          <w:rPr>
            <w:webHidden/>
          </w:rPr>
          <w:fldChar w:fldCharType="begin"/>
        </w:r>
        <w:r w:rsidR="00CA3BDE">
          <w:rPr>
            <w:webHidden/>
          </w:rPr>
          <w:instrText xml:space="preserve"> PAGEREF _Toc395251220 \h </w:instrText>
        </w:r>
        <w:r w:rsidR="00CA3BDE">
          <w:rPr>
            <w:webHidden/>
          </w:rPr>
        </w:r>
        <w:r w:rsidR="00CA3BDE">
          <w:rPr>
            <w:webHidden/>
          </w:rPr>
          <w:fldChar w:fldCharType="separate"/>
        </w:r>
        <w:r>
          <w:rPr>
            <w:webHidden/>
          </w:rPr>
          <w:t>6</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1" w:history="1">
        <w:r w:rsidR="00CA3BDE" w:rsidRPr="00280196">
          <w:rPr>
            <w:rStyle w:val="Hyperlink"/>
          </w:rPr>
          <w:t xml:space="preserve">Tableau 7.  </w:t>
        </w:r>
        <w:r w:rsidR="00CA3BDE" w:rsidRPr="00280196">
          <w:rPr>
            <w:rStyle w:val="Hyperlink"/>
            <w:rFonts w:cs="Arial"/>
          </w:rPr>
          <w:t>É</w:t>
        </w:r>
        <w:r w:rsidR="00CA3BDE" w:rsidRPr="00280196">
          <w:rPr>
            <w:rStyle w:val="Hyperlink"/>
          </w:rPr>
          <w:t>volution des recettes et des dépenses effectives entre 2008 et 2013</w:t>
        </w:r>
        <w:r w:rsidR="00CA3BDE">
          <w:rPr>
            <w:webHidden/>
          </w:rPr>
          <w:tab/>
        </w:r>
        <w:r w:rsidR="00CA3BDE">
          <w:rPr>
            <w:webHidden/>
          </w:rPr>
          <w:fldChar w:fldCharType="begin"/>
        </w:r>
        <w:r w:rsidR="00CA3BDE">
          <w:rPr>
            <w:webHidden/>
          </w:rPr>
          <w:instrText xml:space="preserve"> PAGEREF _Toc395251221 \h </w:instrText>
        </w:r>
        <w:r w:rsidR="00CA3BDE">
          <w:rPr>
            <w:webHidden/>
          </w:rPr>
        </w:r>
        <w:r w:rsidR="00CA3BDE">
          <w:rPr>
            <w:webHidden/>
          </w:rPr>
          <w:fldChar w:fldCharType="separate"/>
        </w:r>
        <w:r>
          <w:rPr>
            <w:webHidden/>
          </w:rPr>
          <w:t>7</w:t>
        </w:r>
        <w:r w:rsidR="00CA3BDE">
          <w:rPr>
            <w:webHidden/>
          </w:rPr>
          <w:fldChar w:fldCharType="end"/>
        </w:r>
      </w:hyperlink>
    </w:p>
    <w:p w:rsidR="00CA3BDE" w:rsidRDefault="00AF171B" w:rsidP="007F3137">
      <w:pPr>
        <w:pStyle w:val="TOC1"/>
        <w:rPr>
          <w:rFonts w:asciiTheme="minorHAnsi" w:eastAsiaTheme="minorEastAsia" w:hAnsiTheme="minorHAnsi" w:cstheme="minorBidi"/>
          <w:sz w:val="22"/>
          <w:szCs w:val="22"/>
        </w:rPr>
      </w:pPr>
      <w:hyperlink w:anchor="_Toc395251222" w:history="1">
        <w:r w:rsidR="00CA3BDE" w:rsidRPr="00280196">
          <w:rPr>
            <w:rStyle w:val="Hyperlink"/>
            <w:lang w:val="fr-CH"/>
          </w:rPr>
          <w:t>PLACEMENTS</w:t>
        </w:r>
        <w:r w:rsidR="00CA3BDE">
          <w:rPr>
            <w:webHidden/>
          </w:rPr>
          <w:tab/>
        </w:r>
        <w:r w:rsidR="00CA3BDE">
          <w:rPr>
            <w:webHidden/>
          </w:rPr>
          <w:fldChar w:fldCharType="begin"/>
        </w:r>
        <w:r w:rsidR="00CA3BDE">
          <w:rPr>
            <w:webHidden/>
          </w:rPr>
          <w:instrText xml:space="preserve"> PAGEREF _Toc395251222 \h </w:instrText>
        </w:r>
        <w:r w:rsidR="00CA3BDE">
          <w:rPr>
            <w:webHidden/>
          </w:rPr>
        </w:r>
        <w:r w:rsidR="00CA3BDE">
          <w:rPr>
            <w:webHidden/>
          </w:rPr>
          <w:fldChar w:fldCharType="separate"/>
        </w:r>
        <w:r>
          <w:rPr>
            <w:webHidden/>
          </w:rPr>
          <w:t>7</w:t>
        </w:r>
        <w:r w:rsidR="00CA3BDE">
          <w:rPr>
            <w:webHidden/>
          </w:rPr>
          <w:fldChar w:fldCharType="end"/>
        </w:r>
      </w:hyperlink>
    </w:p>
    <w:p w:rsidR="00CA3BDE" w:rsidRDefault="00AF171B" w:rsidP="007F3137">
      <w:pPr>
        <w:pStyle w:val="TOC1"/>
        <w:rPr>
          <w:rFonts w:asciiTheme="minorHAnsi" w:eastAsiaTheme="minorEastAsia" w:hAnsiTheme="minorHAnsi" w:cstheme="minorBidi"/>
          <w:sz w:val="22"/>
          <w:szCs w:val="22"/>
        </w:rPr>
      </w:pPr>
      <w:hyperlink w:anchor="_Toc395251223" w:history="1">
        <w:r w:rsidR="00CA3BDE" w:rsidRPr="00280196">
          <w:rPr>
            <w:rStyle w:val="Hyperlink"/>
            <w:rFonts w:cs="Arial"/>
            <w:lang w:val="fr-CH"/>
          </w:rPr>
          <w:t>É</w:t>
        </w:r>
        <w:r w:rsidR="00CA3BDE" w:rsidRPr="00280196">
          <w:rPr>
            <w:rStyle w:val="Hyperlink"/>
            <w:lang w:val="fr-CH"/>
          </w:rPr>
          <w:t>TATS FINANCIERS</w:t>
        </w:r>
        <w:r w:rsidR="00CA3BDE">
          <w:rPr>
            <w:webHidden/>
          </w:rPr>
          <w:tab/>
        </w:r>
        <w:r w:rsidR="00CA3BDE">
          <w:rPr>
            <w:webHidden/>
          </w:rPr>
          <w:fldChar w:fldCharType="begin"/>
        </w:r>
        <w:r w:rsidR="00CA3BDE">
          <w:rPr>
            <w:webHidden/>
          </w:rPr>
          <w:instrText xml:space="preserve"> PAGEREF _Toc395251223 \h </w:instrText>
        </w:r>
        <w:r w:rsidR="00CA3BDE">
          <w:rPr>
            <w:webHidden/>
          </w:rPr>
        </w:r>
        <w:r w:rsidR="00CA3BDE">
          <w:rPr>
            <w:webHidden/>
          </w:rPr>
          <w:fldChar w:fldCharType="separate"/>
        </w:r>
        <w:r>
          <w:rPr>
            <w:webHidden/>
          </w:rPr>
          <w:t>8</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4" w:history="1">
        <w:r w:rsidR="00CA3BDE" w:rsidRPr="00280196">
          <w:rPr>
            <w:rStyle w:val="Hyperlink"/>
          </w:rPr>
          <w:t>État de la situation financière</w:t>
        </w:r>
        <w:r w:rsidR="00CA3BDE">
          <w:rPr>
            <w:webHidden/>
          </w:rPr>
          <w:tab/>
        </w:r>
        <w:r w:rsidR="00CA3BDE">
          <w:rPr>
            <w:webHidden/>
          </w:rPr>
          <w:fldChar w:fldCharType="begin"/>
        </w:r>
        <w:r w:rsidR="00CA3BDE">
          <w:rPr>
            <w:webHidden/>
          </w:rPr>
          <w:instrText xml:space="preserve"> PAGEREF _Toc395251224 \h </w:instrText>
        </w:r>
        <w:r w:rsidR="00CA3BDE">
          <w:rPr>
            <w:webHidden/>
          </w:rPr>
        </w:r>
        <w:r w:rsidR="00CA3BDE">
          <w:rPr>
            <w:webHidden/>
          </w:rPr>
          <w:fldChar w:fldCharType="separate"/>
        </w:r>
        <w:r>
          <w:rPr>
            <w:webHidden/>
          </w:rPr>
          <w:t>11</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5" w:history="1">
        <w:r w:rsidR="00CA3BDE" w:rsidRPr="00280196">
          <w:rPr>
            <w:rStyle w:val="Hyperlink"/>
          </w:rPr>
          <w:t>État de la performance financière</w:t>
        </w:r>
        <w:r w:rsidR="00CA3BDE">
          <w:rPr>
            <w:webHidden/>
          </w:rPr>
          <w:tab/>
        </w:r>
        <w:r w:rsidR="00CA3BDE">
          <w:rPr>
            <w:webHidden/>
          </w:rPr>
          <w:fldChar w:fldCharType="begin"/>
        </w:r>
        <w:r w:rsidR="00CA3BDE">
          <w:rPr>
            <w:webHidden/>
          </w:rPr>
          <w:instrText xml:space="preserve"> PAGEREF _Toc395251225 \h </w:instrText>
        </w:r>
        <w:r w:rsidR="00CA3BDE">
          <w:rPr>
            <w:webHidden/>
          </w:rPr>
        </w:r>
        <w:r w:rsidR="00CA3BDE">
          <w:rPr>
            <w:webHidden/>
          </w:rPr>
          <w:fldChar w:fldCharType="separate"/>
        </w:r>
        <w:r>
          <w:rPr>
            <w:webHidden/>
          </w:rPr>
          <w:t>12</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6" w:history="1">
        <w:r w:rsidR="00CA3BDE" w:rsidRPr="00280196">
          <w:rPr>
            <w:rStyle w:val="Hyperlink"/>
          </w:rPr>
          <w:t>État des variations des actifs nets</w:t>
        </w:r>
        <w:r w:rsidR="00CA3BDE">
          <w:rPr>
            <w:webHidden/>
          </w:rPr>
          <w:tab/>
        </w:r>
        <w:r w:rsidR="00CA3BDE">
          <w:rPr>
            <w:webHidden/>
          </w:rPr>
          <w:fldChar w:fldCharType="begin"/>
        </w:r>
        <w:r w:rsidR="00CA3BDE">
          <w:rPr>
            <w:webHidden/>
          </w:rPr>
          <w:instrText xml:space="preserve"> PAGEREF _Toc395251226 \h </w:instrText>
        </w:r>
        <w:r w:rsidR="00CA3BDE">
          <w:rPr>
            <w:webHidden/>
          </w:rPr>
        </w:r>
        <w:r w:rsidR="00CA3BDE">
          <w:rPr>
            <w:webHidden/>
          </w:rPr>
          <w:fldChar w:fldCharType="separate"/>
        </w:r>
        <w:r>
          <w:rPr>
            <w:webHidden/>
          </w:rPr>
          <w:t>13</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7" w:history="1">
        <w:r w:rsidR="00CA3BDE" w:rsidRPr="00280196">
          <w:rPr>
            <w:rStyle w:val="Hyperlink"/>
          </w:rPr>
          <w:t>État des flux de trésorerie</w:t>
        </w:r>
        <w:r w:rsidR="00CA3BDE">
          <w:rPr>
            <w:webHidden/>
          </w:rPr>
          <w:tab/>
        </w:r>
        <w:r w:rsidR="00CA3BDE">
          <w:rPr>
            <w:webHidden/>
          </w:rPr>
          <w:fldChar w:fldCharType="begin"/>
        </w:r>
        <w:r w:rsidR="00CA3BDE">
          <w:rPr>
            <w:webHidden/>
          </w:rPr>
          <w:instrText xml:space="preserve"> PAGEREF _Toc395251227 \h </w:instrText>
        </w:r>
        <w:r w:rsidR="00CA3BDE">
          <w:rPr>
            <w:webHidden/>
          </w:rPr>
        </w:r>
        <w:r w:rsidR="00CA3BDE">
          <w:rPr>
            <w:webHidden/>
          </w:rPr>
          <w:fldChar w:fldCharType="separate"/>
        </w:r>
        <w:r>
          <w:rPr>
            <w:webHidden/>
          </w:rPr>
          <w:t>14</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8" w:history="1">
        <w:r w:rsidR="00CA3BDE" w:rsidRPr="00280196">
          <w:rPr>
            <w:rStyle w:val="Hyperlink"/>
          </w:rPr>
          <w:t>État de comparaison des montants budgétaires et des montants réels</w:t>
        </w:r>
        <w:r w:rsidR="00CA3BDE">
          <w:rPr>
            <w:webHidden/>
          </w:rPr>
          <w:tab/>
        </w:r>
        <w:r w:rsidR="00CA3BDE">
          <w:rPr>
            <w:webHidden/>
          </w:rPr>
          <w:fldChar w:fldCharType="begin"/>
        </w:r>
        <w:r w:rsidR="00CA3BDE">
          <w:rPr>
            <w:webHidden/>
          </w:rPr>
          <w:instrText xml:space="preserve"> PAGEREF _Toc395251228 \h </w:instrText>
        </w:r>
        <w:r w:rsidR="00CA3BDE">
          <w:rPr>
            <w:webHidden/>
          </w:rPr>
        </w:r>
        <w:r w:rsidR="00CA3BDE">
          <w:rPr>
            <w:webHidden/>
          </w:rPr>
          <w:fldChar w:fldCharType="separate"/>
        </w:r>
        <w:r>
          <w:rPr>
            <w:webHidden/>
          </w:rPr>
          <w:t>15</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29" w:history="1">
        <w:r w:rsidR="00CA3BDE" w:rsidRPr="00280196">
          <w:rPr>
            <w:rStyle w:val="Hyperlink"/>
          </w:rPr>
          <w:t>Analyse de l’état de la situation financière</w:t>
        </w:r>
        <w:r w:rsidR="00CA3BDE">
          <w:rPr>
            <w:webHidden/>
          </w:rPr>
          <w:tab/>
        </w:r>
        <w:r w:rsidR="00CA3BDE">
          <w:rPr>
            <w:webHidden/>
          </w:rPr>
          <w:fldChar w:fldCharType="begin"/>
        </w:r>
        <w:r w:rsidR="00CA3BDE">
          <w:rPr>
            <w:webHidden/>
          </w:rPr>
          <w:instrText xml:space="preserve"> PAGEREF _Toc395251229 \h </w:instrText>
        </w:r>
        <w:r w:rsidR="00CA3BDE">
          <w:rPr>
            <w:webHidden/>
          </w:rPr>
        </w:r>
        <w:r w:rsidR="00CA3BDE">
          <w:rPr>
            <w:webHidden/>
          </w:rPr>
          <w:fldChar w:fldCharType="separate"/>
        </w:r>
        <w:r>
          <w:rPr>
            <w:webHidden/>
          </w:rPr>
          <w:t>16</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30" w:history="1">
        <w:r w:rsidR="00CA3BDE" w:rsidRPr="00280196">
          <w:rPr>
            <w:rStyle w:val="Hyperlink"/>
          </w:rPr>
          <w:t>Analyse de l’état de la performance financière</w:t>
        </w:r>
        <w:r w:rsidR="00CA3BDE">
          <w:rPr>
            <w:webHidden/>
          </w:rPr>
          <w:tab/>
        </w:r>
        <w:r w:rsidR="00CA3BDE">
          <w:rPr>
            <w:webHidden/>
          </w:rPr>
          <w:fldChar w:fldCharType="begin"/>
        </w:r>
        <w:r w:rsidR="00CA3BDE">
          <w:rPr>
            <w:webHidden/>
          </w:rPr>
          <w:instrText xml:space="preserve"> PAGEREF _Toc395251230 \h </w:instrText>
        </w:r>
        <w:r w:rsidR="00CA3BDE">
          <w:rPr>
            <w:webHidden/>
          </w:rPr>
        </w:r>
        <w:r w:rsidR="00CA3BDE">
          <w:rPr>
            <w:webHidden/>
          </w:rPr>
          <w:fldChar w:fldCharType="separate"/>
        </w:r>
        <w:r>
          <w:rPr>
            <w:webHidden/>
          </w:rPr>
          <w:t>20</w:t>
        </w:r>
        <w:r w:rsidR="00CA3BDE">
          <w:rPr>
            <w:webHidden/>
          </w:rPr>
          <w:fldChar w:fldCharType="end"/>
        </w:r>
      </w:hyperlink>
    </w:p>
    <w:p w:rsidR="00CA3BDE" w:rsidRDefault="00AF171B" w:rsidP="007F3137">
      <w:pPr>
        <w:pStyle w:val="TOC1"/>
        <w:rPr>
          <w:rFonts w:asciiTheme="minorHAnsi" w:eastAsiaTheme="minorEastAsia" w:hAnsiTheme="minorHAnsi" w:cstheme="minorBidi"/>
          <w:sz w:val="22"/>
          <w:szCs w:val="22"/>
        </w:rPr>
      </w:pPr>
      <w:hyperlink w:anchor="_Toc395251231" w:history="1">
        <w:r w:rsidR="00CA3BDE" w:rsidRPr="00280196">
          <w:rPr>
            <w:rStyle w:val="Hyperlink"/>
            <w:lang w:val="fr-CH"/>
          </w:rPr>
          <w:t>FONDS DE ROULEMENT ET CONTRIBUTIONS</w:t>
        </w:r>
        <w:r w:rsidR="00CA3BDE">
          <w:rPr>
            <w:webHidden/>
          </w:rPr>
          <w:tab/>
        </w:r>
        <w:r w:rsidR="00CA3BDE">
          <w:rPr>
            <w:webHidden/>
          </w:rPr>
          <w:fldChar w:fldCharType="begin"/>
        </w:r>
        <w:r w:rsidR="00CA3BDE">
          <w:rPr>
            <w:webHidden/>
          </w:rPr>
          <w:instrText xml:space="preserve"> PAGEREF _Toc395251231 \h </w:instrText>
        </w:r>
        <w:r w:rsidR="00CA3BDE">
          <w:rPr>
            <w:webHidden/>
          </w:rPr>
        </w:r>
        <w:r w:rsidR="00CA3BDE">
          <w:rPr>
            <w:webHidden/>
          </w:rPr>
          <w:fldChar w:fldCharType="separate"/>
        </w:r>
        <w:r>
          <w:rPr>
            <w:webHidden/>
          </w:rPr>
          <w:t>21</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32" w:history="1">
        <w:r w:rsidR="00CA3BDE" w:rsidRPr="00280196">
          <w:rPr>
            <w:rStyle w:val="Hyperlink"/>
          </w:rPr>
          <w:t>Fonds de roulement au 31 décembre 2013</w:t>
        </w:r>
        <w:r w:rsidR="00CA3BDE">
          <w:rPr>
            <w:webHidden/>
          </w:rPr>
          <w:tab/>
        </w:r>
        <w:r w:rsidR="00CA3BDE">
          <w:rPr>
            <w:webHidden/>
          </w:rPr>
          <w:fldChar w:fldCharType="begin"/>
        </w:r>
        <w:r w:rsidR="00CA3BDE">
          <w:rPr>
            <w:webHidden/>
          </w:rPr>
          <w:instrText xml:space="preserve"> PAGEREF _Toc395251232 \h </w:instrText>
        </w:r>
        <w:r w:rsidR="00CA3BDE">
          <w:rPr>
            <w:webHidden/>
          </w:rPr>
        </w:r>
        <w:r w:rsidR="00CA3BDE">
          <w:rPr>
            <w:webHidden/>
          </w:rPr>
          <w:fldChar w:fldCharType="separate"/>
        </w:r>
        <w:r>
          <w:rPr>
            <w:webHidden/>
          </w:rPr>
          <w:t>21</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33" w:history="1">
        <w:r w:rsidR="00CA3BDE" w:rsidRPr="00280196">
          <w:rPr>
            <w:rStyle w:val="Hyperlink"/>
          </w:rPr>
          <w:t>Contributions des membres de l’Union (francs suisses)</w:t>
        </w:r>
        <w:r w:rsidR="00CA3BDE">
          <w:rPr>
            <w:webHidden/>
          </w:rPr>
          <w:tab/>
        </w:r>
        <w:r w:rsidR="00CA3BDE">
          <w:rPr>
            <w:webHidden/>
          </w:rPr>
          <w:fldChar w:fldCharType="begin"/>
        </w:r>
        <w:r w:rsidR="00CA3BDE">
          <w:rPr>
            <w:webHidden/>
          </w:rPr>
          <w:instrText xml:space="preserve"> PAGEREF _Toc395251233 \h </w:instrText>
        </w:r>
        <w:r w:rsidR="00CA3BDE">
          <w:rPr>
            <w:webHidden/>
          </w:rPr>
        </w:r>
        <w:r w:rsidR="00CA3BDE">
          <w:rPr>
            <w:webHidden/>
          </w:rPr>
          <w:fldChar w:fldCharType="separate"/>
        </w:r>
        <w:r>
          <w:rPr>
            <w:webHidden/>
          </w:rPr>
          <w:t>22</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34" w:history="1">
        <w:r w:rsidR="00CA3BDE" w:rsidRPr="00280196">
          <w:rPr>
            <w:rStyle w:val="Hyperlink"/>
          </w:rPr>
          <w:t>Paiements de contributions reçus à l’avance</w:t>
        </w:r>
        <w:r w:rsidR="00CA3BDE">
          <w:rPr>
            <w:webHidden/>
          </w:rPr>
          <w:tab/>
        </w:r>
        <w:r w:rsidR="00CA3BDE">
          <w:rPr>
            <w:webHidden/>
          </w:rPr>
          <w:fldChar w:fldCharType="begin"/>
        </w:r>
        <w:r w:rsidR="00CA3BDE">
          <w:rPr>
            <w:webHidden/>
          </w:rPr>
          <w:instrText xml:space="preserve"> PAGEREF _Toc395251234 \h </w:instrText>
        </w:r>
        <w:r w:rsidR="00CA3BDE">
          <w:rPr>
            <w:webHidden/>
          </w:rPr>
        </w:r>
        <w:r w:rsidR="00CA3BDE">
          <w:rPr>
            <w:webHidden/>
          </w:rPr>
          <w:fldChar w:fldCharType="separate"/>
        </w:r>
        <w:r>
          <w:rPr>
            <w:webHidden/>
          </w:rPr>
          <w:t>24</w:t>
        </w:r>
        <w:r w:rsidR="00CA3BDE">
          <w:rPr>
            <w:webHidden/>
          </w:rPr>
          <w:fldChar w:fldCharType="end"/>
        </w:r>
      </w:hyperlink>
    </w:p>
    <w:p w:rsidR="00CA3BDE" w:rsidRDefault="00AF171B">
      <w:pPr>
        <w:pStyle w:val="TOC3"/>
        <w:rPr>
          <w:rFonts w:asciiTheme="minorHAnsi" w:eastAsiaTheme="minorEastAsia" w:hAnsiTheme="minorHAnsi" w:cstheme="minorBidi"/>
          <w:sz w:val="22"/>
          <w:szCs w:val="22"/>
          <w:lang w:val="en-US"/>
        </w:rPr>
      </w:pPr>
      <w:hyperlink w:anchor="_Toc395251235" w:history="1">
        <w:r w:rsidR="00CA3BDE" w:rsidRPr="00280196">
          <w:rPr>
            <w:rStyle w:val="Hyperlink"/>
          </w:rPr>
          <w:t>Arriérés de contributions et fonds de roulement impayés au 31 décembre 2013</w:t>
        </w:r>
        <w:r w:rsidR="00CA3BDE">
          <w:rPr>
            <w:webHidden/>
          </w:rPr>
          <w:tab/>
        </w:r>
        <w:r w:rsidR="00CA3BDE">
          <w:rPr>
            <w:webHidden/>
          </w:rPr>
          <w:fldChar w:fldCharType="begin"/>
        </w:r>
        <w:r w:rsidR="00CA3BDE">
          <w:rPr>
            <w:webHidden/>
          </w:rPr>
          <w:instrText xml:space="preserve"> PAGEREF _Toc395251235 \h </w:instrText>
        </w:r>
        <w:r w:rsidR="00CA3BDE">
          <w:rPr>
            <w:webHidden/>
          </w:rPr>
        </w:r>
        <w:r w:rsidR="00CA3BDE">
          <w:rPr>
            <w:webHidden/>
          </w:rPr>
          <w:fldChar w:fldCharType="separate"/>
        </w:r>
        <w:r>
          <w:rPr>
            <w:webHidden/>
          </w:rPr>
          <w:t>25</w:t>
        </w:r>
        <w:r w:rsidR="00CA3BDE">
          <w:rPr>
            <w:webHidden/>
          </w:rPr>
          <w:fldChar w:fldCharType="end"/>
        </w:r>
      </w:hyperlink>
    </w:p>
    <w:p w:rsidR="00CA3BDE" w:rsidRDefault="00AF171B" w:rsidP="007F3137">
      <w:pPr>
        <w:pStyle w:val="TOC1"/>
        <w:rPr>
          <w:rFonts w:asciiTheme="minorHAnsi" w:eastAsiaTheme="minorEastAsia" w:hAnsiTheme="minorHAnsi" w:cstheme="minorBidi"/>
          <w:sz w:val="22"/>
          <w:szCs w:val="22"/>
        </w:rPr>
      </w:pPr>
      <w:hyperlink w:anchor="_Toc395251236" w:history="1">
        <w:r w:rsidR="00CA3BDE" w:rsidRPr="00280196">
          <w:rPr>
            <w:rStyle w:val="Hyperlink"/>
            <w:lang w:val="fr-FR"/>
          </w:rPr>
          <w:t>Ressources extrabudgétaires (fonds fiduciaires)</w:t>
        </w:r>
        <w:r w:rsidR="00CA3BDE">
          <w:rPr>
            <w:webHidden/>
          </w:rPr>
          <w:tab/>
        </w:r>
        <w:r w:rsidR="00CA3BDE">
          <w:rPr>
            <w:webHidden/>
          </w:rPr>
          <w:fldChar w:fldCharType="begin"/>
        </w:r>
        <w:r w:rsidR="00CA3BDE">
          <w:rPr>
            <w:webHidden/>
          </w:rPr>
          <w:instrText xml:space="preserve"> PAGEREF _Toc395251236 \h </w:instrText>
        </w:r>
        <w:r w:rsidR="00CA3BDE">
          <w:rPr>
            <w:webHidden/>
          </w:rPr>
        </w:r>
        <w:r w:rsidR="00CA3BDE">
          <w:rPr>
            <w:webHidden/>
          </w:rPr>
          <w:fldChar w:fldCharType="separate"/>
        </w:r>
        <w:r>
          <w:rPr>
            <w:webHidden/>
          </w:rPr>
          <w:t>27</w:t>
        </w:r>
        <w:r w:rsidR="00CA3BDE">
          <w:rPr>
            <w:webHidden/>
          </w:rPr>
          <w:fldChar w:fldCharType="end"/>
        </w:r>
      </w:hyperlink>
    </w:p>
    <w:p w:rsidR="008527FA" w:rsidRPr="009B6354" w:rsidRDefault="00CA3BDE" w:rsidP="00D81BFB">
      <w:r>
        <w:rPr>
          <w:noProof/>
        </w:rPr>
        <w:fldChar w:fldCharType="end"/>
      </w:r>
    </w:p>
    <w:p w:rsidR="008527FA" w:rsidRPr="009B6354" w:rsidRDefault="008527FA" w:rsidP="002F09F3">
      <w:pPr>
        <w:jc w:val="center"/>
      </w:pPr>
    </w:p>
    <w:p w:rsidR="008527FA" w:rsidRPr="009B6354" w:rsidRDefault="008527FA" w:rsidP="005C7018"/>
    <w:p w:rsidR="007A5B7C" w:rsidRPr="009B6354" w:rsidRDefault="007A5B7C" w:rsidP="005C7018">
      <w:pPr>
        <w:sectPr w:rsidR="007A5B7C" w:rsidRPr="009B6354" w:rsidSect="00E76FEC">
          <w:headerReference w:type="default" r:id="rId12"/>
          <w:headerReference w:type="first" r:id="rId13"/>
          <w:footerReference w:type="first" r:id="rId14"/>
          <w:pgSz w:w="11907" w:h="16840" w:code="9"/>
          <w:pgMar w:top="510" w:right="1134" w:bottom="1134" w:left="1134" w:header="510" w:footer="680" w:gutter="0"/>
          <w:pgNumType w:start="1"/>
          <w:cols w:space="720"/>
          <w:titlePg/>
          <w:docGrid w:linePitch="272"/>
        </w:sectPr>
      </w:pPr>
    </w:p>
    <w:p w:rsidR="008527FA" w:rsidRPr="009B6354" w:rsidRDefault="007C513A" w:rsidP="00D81BFB">
      <w:pPr>
        <w:pStyle w:val="Heading1"/>
        <w:jc w:val="both"/>
        <w:rPr>
          <w:lang w:val="fr-CH"/>
        </w:rPr>
      </w:pPr>
      <w:bookmarkStart w:id="5" w:name="_Toc395251214"/>
      <w:r w:rsidRPr="009B6354">
        <w:rPr>
          <w:lang w:val="fr-CH"/>
        </w:rPr>
        <w:lastRenderedPageBreak/>
        <w:t>R</w:t>
      </w:r>
      <w:r w:rsidRPr="009B6354">
        <w:rPr>
          <w:rFonts w:cs="Arial"/>
          <w:lang w:val="fr-CH"/>
        </w:rPr>
        <w:t>É</w:t>
      </w:r>
      <w:r w:rsidR="003D5268" w:rsidRPr="009B6354">
        <w:rPr>
          <w:lang w:val="fr-CH"/>
        </w:rPr>
        <w:t>SUM</w:t>
      </w:r>
      <w:r w:rsidRPr="009B6354">
        <w:rPr>
          <w:rFonts w:cs="Arial"/>
          <w:lang w:val="fr-CH"/>
        </w:rPr>
        <w:t>É</w:t>
      </w:r>
      <w:r w:rsidRPr="009B6354">
        <w:rPr>
          <w:lang w:val="fr-CH"/>
        </w:rPr>
        <w:t xml:space="preserve"> ET A</w:t>
      </w:r>
      <w:r w:rsidR="00780E2C" w:rsidRPr="009B6354">
        <w:rPr>
          <w:lang w:val="fr-CH"/>
        </w:rPr>
        <w:t>nalys</w:t>
      </w:r>
      <w:r w:rsidRPr="009B6354">
        <w:rPr>
          <w:lang w:val="fr-CH"/>
        </w:rPr>
        <w:t>E DE</w:t>
      </w:r>
      <w:r w:rsidR="00780E2C" w:rsidRPr="009B6354">
        <w:rPr>
          <w:lang w:val="fr-CH"/>
        </w:rPr>
        <w:t>s</w:t>
      </w:r>
      <w:r w:rsidR="003D5268" w:rsidRPr="009B6354">
        <w:rPr>
          <w:lang w:val="fr-CH"/>
        </w:rPr>
        <w:t xml:space="preserve"> R</w:t>
      </w:r>
      <w:r w:rsidRPr="009B6354">
        <w:rPr>
          <w:rFonts w:cs="Arial"/>
          <w:lang w:val="fr-CH"/>
        </w:rPr>
        <w:t>É</w:t>
      </w:r>
      <w:r w:rsidR="003D5268" w:rsidRPr="009B6354">
        <w:rPr>
          <w:lang w:val="fr-CH"/>
        </w:rPr>
        <w:t>SULT</w:t>
      </w:r>
      <w:r w:rsidRPr="009B6354">
        <w:rPr>
          <w:lang w:val="fr-CH"/>
        </w:rPr>
        <w:t>AT</w:t>
      </w:r>
      <w:r w:rsidR="003D5268" w:rsidRPr="009B6354">
        <w:rPr>
          <w:lang w:val="fr-CH"/>
        </w:rPr>
        <w:t>S</w:t>
      </w:r>
      <w:bookmarkEnd w:id="5"/>
    </w:p>
    <w:p w:rsidR="008527FA" w:rsidRPr="009B6354" w:rsidRDefault="008527FA" w:rsidP="006360C1">
      <w:pPr>
        <w:rPr>
          <w:lang w:val="fr-CH"/>
        </w:rPr>
      </w:pPr>
    </w:p>
    <w:p w:rsidR="008527FA" w:rsidRPr="009B6354" w:rsidRDefault="0049794B" w:rsidP="00142C30">
      <w:pPr>
        <w:spacing w:after="200" w:line="276" w:lineRule="auto"/>
        <w:rPr>
          <w:rFonts w:eastAsiaTheme="minorHAnsi" w:cs="Arial"/>
          <w:lang w:val="fr-CH"/>
        </w:rPr>
      </w:pPr>
      <w:r w:rsidRPr="009B6354">
        <w:rPr>
          <w:rFonts w:eastAsiaTheme="minorHAnsi" w:cs="Arial"/>
          <w:lang w:val="fr-CH"/>
        </w:rPr>
        <w:t>Le tableau</w:t>
      </w:r>
      <w:r w:rsidR="00946E60" w:rsidRPr="009B6354">
        <w:rPr>
          <w:rFonts w:eastAsiaTheme="minorHAnsi" w:cs="Arial"/>
          <w:lang w:val="fr-CH"/>
        </w:rPr>
        <w:t> </w:t>
      </w:r>
      <w:r w:rsidRPr="009B6354">
        <w:rPr>
          <w:rFonts w:eastAsiaTheme="minorHAnsi" w:cs="Arial"/>
          <w:lang w:val="fr-CH"/>
        </w:rPr>
        <w:t>1</w:t>
      </w:r>
      <w:r w:rsidRPr="009B6354">
        <w:rPr>
          <w:rStyle w:val="FootnoteReference"/>
          <w:rFonts w:eastAsiaTheme="minorHAnsi" w:cs="Arial"/>
        </w:rPr>
        <w:footnoteReference w:id="2"/>
      </w:r>
      <w:r w:rsidRPr="009B6354">
        <w:rPr>
          <w:rFonts w:eastAsiaTheme="minorHAnsi" w:cs="Arial"/>
          <w:lang w:val="fr-CH"/>
        </w:rPr>
        <w:t xml:space="preserve"> </w:t>
      </w:r>
      <w:r w:rsidR="00946E60" w:rsidRPr="009B6354">
        <w:rPr>
          <w:rFonts w:eastAsiaTheme="minorHAnsi" w:cs="Arial"/>
          <w:lang w:val="fr-CH"/>
        </w:rPr>
        <w:t>ci</w:t>
      </w:r>
      <w:r w:rsidR="009B6354" w:rsidRPr="009B6354">
        <w:rPr>
          <w:rFonts w:eastAsiaTheme="minorHAnsi" w:cs="Arial"/>
          <w:lang w:val="fr-CH"/>
        </w:rPr>
        <w:noBreakHyphen/>
      </w:r>
      <w:r w:rsidR="00946E60" w:rsidRPr="009B6354">
        <w:rPr>
          <w:rFonts w:eastAsiaTheme="minorHAnsi" w:cs="Arial"/>
          <w:lang w:val="fr-CH"/>
        </w:rPr>
        <w:t xml:space="preserve">dessous </w:t>
      </w:r>
      <w:r w:rsidRPr="009B6354">
        <w:rPr>
          <w:rFonts w:eastAsiaTheme="minorHAnsi" w:cs="Arial"/>
          <w:lang w:val="fr-CH"/>
        </w:rPr>
        <w:t>présente le résultat budg</w:t>
      </w:r>
      <w:r w:rsidR="00946E60" w:rsidRPr="009B6354">
        <w:rPr>
          <w:rFonts w:eastAsiaTheme="minorHAnsi" w:cs="Arial"/>
          <w:lang w:val="fr-CH"/>
        </w:rPr>
        <w:t>é</w:t>
      </w:r>
      <w:r w:rsidRPr="009B6354">
        <w:rPr>
          <w:rFonts w:eastAsiaTheme="minorHAnsi" w:cs="Arial"/>
          <w:lang w:val="fr-CH"/>
        </w:rPr>
        <w:t>t</w:t>
      </w:r>
      <w:r w:rsidR="00946E60" w:rsidRPr="009B6354">
        <w:rPr>
          <w:rFonts w:eastAsiaTheme="minorHAnsi" w:cs="Arial"/>
          <w:lang w:val="fr-CH"/>
        </w:rPr>
        <w:t>aire global</w:t>
      </w:r>
      <w:r w:rsidRPr="009B6354">
        <w:rPr>
          <w:rFonts w:eastAsiaTheme="minorHAnsi" w:cs="Arial"/>
          <w:lang w:val="fr-CH"/>
        </w:rPr>
        <w:t xml:space="preserve"> réalisé par l</w:t>
      </w:r>
      <w:r w:rsidR="00126058" w:rsidRPr="009B6354">
        <w:rPr>
          <w:rFonts w:eastAsiaTheme="minorHAnsi" w:cs="Arial"/>
          <w:lang w:val="fr-CH"/>
        </w:rPr>
        <w:t>’</w:t>
      </w:r>
      <w:r w:rsidRPr="009B6354">
        <w:rPr>
          <w:rFonts w:eastAsiaTheme="minorHAnsi" w:cs="Arial"/>
          <w:lang w:val="fr-CH"/>
        </w:rPr>
        <w:t>UPOV pour l</w:t>
      </w:r>
      <w:r w:rsidR="00126058" w:rsidRPr="009B6354">
        <w:rPr>
          <w:rFonts w:eastAsiaTheme="minorHAnsi" w:cs="Arial"/>
          <w:lang w:val="fr-CH"/>
        </w:rPr>
        <w:t>’</w:t>
      </w:r>
      <w:r w:rsidRPr="009B6354">
        <w:rPr>
          <w:rFonts w:eastAsiaTheme="minorHAnsi" w:cs="Arial"/>
          <w:lang w:val="fr-CH"/>
        </w:rPr>
        <w:t>exercice biennal</w:t>
      </w:r>
      <w:r w:rsidR="00946E60" w:rsidRPr="009B6354">
        <w:rPr>
          <w:rFonts w:eastAsiaTheme="minorHAnsi" w:cs="Arial"/>
          <w:lang w:val="fr-CH"/>
        </w:rPr>
        <w:t> </w:t>
      </w:r>
      <w:r w:rsidRPr="009B6354">
        <w:rPr>
          <w:rFonts w:eastAsiaTheme="minorHAnsi" w:cs="Arial"/>
          <w:lang w:val="fr-CH"/>
        </w:rPr>
        <w:t>2012</w:t>
      </w:r>
      <w:r w:rsidR="009B6354" w:rsidRPr="009B6354">
        <w:rPr>
          <w:rFonts w:eastAsiaTheme="minorHAnsi" w:cs="Arial"/>
          <w:lang w:val="fr-CH"/>
        </w:rPr>
        <w:noBreakHyphen/>
      </w:r>
      <w:r w:rsidRPr="009B6354">
        <w:rPr>
          <w:rFonts w:eastAsiaTheme="minorHAnsi" w:cs="Arial"/>
          <w:lang w:val="fr-CH"/>
        </w:rPr>
        <w:t>2013 ainsi que les fonds de réserve et de roulement à la fin de</w:t>
      </w:r>
      <w:r w:rsidR="00946E60" w:rsidRPr="009B6354">
        <w:rPr>
          <w:rFonts w:eastAsiaTheme="minorHAnsi" w:cs="Arial"/>
          <w:lang w:val="fr-CH"/>
        </w:rPr>
        <w:t> </w:t>
      </w:r>
      <w:r w:rsidRPr="009B6354">
        <w:rPr>
          <w:rFonts w:eastAsiaTheme="minorHAnsi" w:cs="Arial"/>
          <w:lang w:val="fr-CH"/>
        </w:rPr>
        <w:t xml:space="preserve">2013.  </w:t>
      </w:r>
      <w:r w:rsidR="00946E60" w:rsidRPr="009B6354">
        <w:rPr>
          <w:rFonts w:eastAsiaTheme="minorHAnsi" w:cs="Arial"/>
          <w:lang w:val="fr-CH"/>
        </w:rPr>
        <w:t>Au total, l</w:t>
      </w:r>
      <w:r w:rsidRPr="009B6354">
        <w:rPr>
          <w:rFonts w:eastAsiaTheme="minorHAnsi" w:cs="Arial"/>
          <w:lang w:val="fr-CH"/>
        </w:rPr>
        <w:t>es recettes budgétaires se sont élevées à 6,8</w:t>
      </w:r>
      <w:r w:rsidR="00946E60" w:rsidRPr="009B6354">
        <w:rPr>
          <w:rFonts w:eastAsiaTheme="minorHAnsi" w:cs="Arial"/>
          <w:lang w:val="fr-CH"/>
        </w:rPr>
        <w:t> </w:t>
      </w:r>
      <w:r w:rsidRPr="009B6354">
        <w:rPr>
          <w:rFonts w:eastAsiaTheme="minorHAnsi" w:cs="Arial"/>
          <w:lang w:val="fr-CH"/>
        </w:rPr>
        <w:t xml:space="preserve">millions de francs suisses et les dépenses budgétaires </w:t>
      </w:r>
      <w:r w:rsidR="00202F3C" w:rsidRPr="009B6354">
        <w:rPr>
          <w:rFonts w:eastAsiaTheme="minorHAnsi" w:cs="Arial"/>
          <w:lang w:val="fr-CH"/>
        </w:rPr>
        <w:t>à</w:t>
      </w:r>
      <w:r w:rsidRPr="009B6354">
        <w:rPr>
          <w:rFonts w:eastAsiaTheme="minorHAnsi" w:cs="Arial"/>
          <w:lang w:val="fr-CH"/>
        </w:rPr>
        <w:t xml:space="preserve"> 6,3</w:t>
      </w:r>
      <w:r w:rsidR="00202F3C" w:rsidRPr="009B6354">
        <w:rPr>
          <w:rFonts w:eastAsiaTheme="minorHAnsi" w:cs="Arial"/>
          <w:lang w:val="fr-CH"/>
        </w:rPr>
        <w:t> </w:t>
      </w:r>
      <w:r w:rsidRPr="009B6354">
        <w:rPr>
          <w:rFonts w:eastAsiaTheme="minorHAnsi" w:cs="Arial"/>
          <w:lang w:val="fr-CH"/>
        </w:rPr>
        <w:t>millions de francs suisses, soit un résultat budgétaire de 0,5</w:t>
      </w:r>
      <w:r w:rsidR="00202F3C" w:rsidRPr="009B6354">
        <w:rPr>
          <w:rFonts w:eastAsiaTheme="minorHAnsi" w:cs="Arial"/>
          <w:lang w:val="fr-CH"/>
        </w:rPr>
        <w:t> </w:t>
      </w:r>
      <w:r w:rsidRPr="009B6354">
        <w:rPr>
          <w:rFonts w:eastAsiaTheme="minorHAnsi" w:cs="Arial"/>
          <w:lang w:val="fr-CH"/>
        </w:rPr>
        <w:t>million de francs suisses pour l</w:t>
      </w:r>
      <w:r w:rsidR="00126058" w:rsidRPr="009B6354">
        <w:rPr>
          <w:rFonts w:eastAsiaTheme="minorHAnsi" w:cs="Arial"/>
          <w:lang w:val="fr-CH"/>
        </w:rPr>
        <w:t>’</w:t>
      </w:r>
      <w:r w:rsidRPr="009B6354">
        <w:rPr>
          <w:rFonts w:eastAsiaTheme="minorHAnsi" w:cs="Arial"/>
          <w:lang w:val="fr-CH"/>
        </w:rPr>
        <w:t>exercice biennal</w:t>
      </w:r>
      <w:r w:rsidR="00202F3C" w:rsidRPr="009B6354">
        <w:rPr>
          <w:rFonts w:eastAsiaTheme="minorHAnsi" w:cs="Arial"/>
          <w:lang w:val="fr-CH"/>
        </w:rPr>
        <w:t> </w:t>
      </w:r>
      <w:r w:rsidRPr="009B6354">
        <w:rPr>
          <w:rFonts w:eastAsiaTheme="minorHAnsi" w:cs="Arial"/>
          <w:lang w:val="fr-CH"/>
        </w:rPr>
        <w:t>2012</w:t>
      </w:r>
      <w:r w:rsidR="009B6354" w:rsidRPr="009B6354">
        <w:rPr>
          <w:rFonts w:eastAsiaTheme="minorHAnsi" w:cs="Arial"/>
          <w:lang w:val="fr-CH"/>
        </w:rPr>
        <w:noBreakHyphen/>
      </w:r>
      <w:r w:rsidRPr="009B6354">
        <w:rPr>
          <w:rFonts w:eastAsiaTheme="minorHAnsi" w:cs="Arial"/>
          <w:lang w:val="fr-CH"/>
        </w:rPr>
        <w:t>2013.</w:t>
      </w:r>
      <w:r w:rsidR="00917841" w:rsidRPr="009B6354">
        <w:rPr>
          <w:rFonts w:eastAsiaTheme="minorHAnsi"/>
          <w:lang w:val="fr-CH"/>
        </w:rPr>
        <w:t xml:space="preserve">  </w:t>
      </w:r>
      <w:r w:rsidR="00202F3C" w:rsidRPr="009B6354">
        <w:rPr>
          <w:rFonts w:eastAsiaTheme="minorHAnsi" w:cs="Arial"/>
          <w:lang w:val="fr-CH"/>
        </w:rPr>
        <w:t>À</w:t>
      </w:r>
      <w:r w:rsidR="00142C30" w:rsidRPr="009B6354">
        <w:rPr>
          <w:rFonts w:eastAsiaTheme="minorHAnsi" w:cs="Arial"/>
          <w:lang w:val="fr-CH"/>
        </w:rPr>
        <w:t xml:space="preserve"> titre de comparaison, le </w:t>
      </w:r>
      <w:r w:rsidR="00202F3C" w:rsidRPr="009B6354">
        <w:rPr>
          <w:rFonts w:eastAsiaTheme="minorHAnsi" w:cs="Arial"/>
          <w:lang w:val="fr-CH"/>
        </w:rPr>
        <w:t>b</w:t>
      </w:r>
      <w:r w:rsidR="00142C30" w:rsidRPr="009B6354">
        <w:rPr>
          <w:rFonts w:eastAsiaTheme="minorHAnsi" w:cs="Arial"/>
          <w:lang w:val="fr-CH"/>
        </w:rPr>
        <w:t>udget</w:t>
      </w:r>
      <w:r w:rsidR="00202F3C" w:rsidRPr="009B6354">
        <w:rPr>
          <w:rFonts w:eastAsiaTheme="minorHAnsi" w:cs="Arial"/>
          <w:lang w:val="fr-CH"/>
        </w:rPr>
        <w:t> </w:t>
      </w:r>
      <w:r w:rsidR="00142C30" w:rsidRPr="009B6354">
        <w:rPr>
          <w:rFonts w:eastAsiaTheme="minorHAnsi" w:cs="Arial"/>
          <w:lang w:val="fr-CH"/>
        </w:rPr>
        <w:t>2012</w:t>
      </w:r>
      <w:r w:rsidR="009B6354" w:rsidRPr="009B6354">
        <w:rPr>
          <w:rFonts w:eastAsiaTheme="minorHAnsi" w:cs="Arial"/>
          <w:lang w:val="fr-CH"/>
        </w:rPr>
        <w:noBreakHyphen/>
      </w:r>
      <w:r w:rsidR="00142C30" w:rsidRPr="009B6354">
        <w:rPr>
          <w:rFonts w:eastAsiaTheme="minorHAnsi" w:cs="Arial"/>
          <w:lang w:val="fr-CH"/>
        </w:rPr>
        <w:t>2013 approuvé prévoyait un résultat budgétaire net équivalent à zéro (voir le document C/45/4</w:t>
      </w:r>
      <w:r w:rsidR="00A23A34" w:rsidRPr="009B6354">
        <w:rPr>
          <w:rFonts w:eastAsiaTheme="minorHAnsi" w:cs="Arial"/>
          <w:lang w:val="fr-CH"/>
        </w:rPr>
        <w:t> </w:t>
      </w:r>
      <w:r w:rsidR="00142C30" w:rsidRPr="009B6354">
        <w:rPr>
          <w:rFonts w:eastAsiaTheme="minorHAnsi" w:cs="Arial"/>
          <w:lang w:val="fr-CH"/>
        </w:rPr>
        <w:t>Rev.2 “Programme et budget pour l</w:t>
      </w:r>
      <w:r w:rsidR="00126058" w:rsidRPr="009B6354">
        <w:rPr>
          <w:rFonts w:eastAsiaTheme="minorHAnsi" w:cs="Arial"/>
          <w:lang w:val="fr-CH"/>
        </w:rPr>
        <w:t>’</w:t>
      </w:r>
      <w:r w:rsidR="00142C30" w:rsidRPr="009B6354">
        <w:rPr>
          <w:rFonts w:eastAsiaTheme="minorHAnsi" w:cs="Arial"/>
          <w:lang w:val="fr-CH"/>
        </w:rPr>
        <w:t>exercice biennal</w:t>
      </w:r>
      <w:r w:rsidR="00202F3C" w:rsidRPr="009B6354">
        <w:rPr>
          <w:rFonts w:eastAsiaTheme="minorHAnsi" w:cs="Arial"/>
          <w:lang w:val="fr-CH"/>
        </w:rPr>
        <w:t> </w:t>
      </w:r>
      <w:r w:rsidR="00142C30" w:rsidRPr="009B6354">
        <w:rPr>
          <w:rFonts w:eastAsiaTheme="minorHAnsi" w:cs="Arial"/>
          <w:lang w:val="fr-CH"/>
        </w:rPr>
        <w:t>2012</w:t>
      </w:r>
      <w:r w:rsidR="009B6354" w:rsidRPr="009B6354">
        <w:rPr>
          <w:rFonts w:eastAsiaTheme="minorHAnsi" w:cs="Arial"/>
          <w:lang w:val="fr-CH"/>
        </w:rPr>
        <w:noBreakHyphen/>
      </w:r>
      <w:r w:rsidR="00142C30" w:rsidRPr="009B6354">
        <w:rPr>
          <w:rFonts w:eastAsiaTheme="minorHAnsi" w:cs="Arial"/>
          <w:lang w:val="fr-CH"/>
        </w:rPr>
        <w:t>2013”).</w:t>
      </w:r>
    </w:p>
    <w:p w:rsidR="00126058" w:rsidRPr="009B6354" w:rsidRDefault="00937E83" w:rsidP="00937E83">
      <w:pPr>
        <w:spacing w:after="200" w:line="276" w:lineRule="auto"/>
        <w:rPr>
          <w:rFonts w:eastAsiaTheme="minorHAnsi" w:cs="Arial"/>
          <w:lang w:val="fr-CH"/>
        </w:rPr>
      </w:pPr>
      <w:r w:rsidRPr="009B6354">
        <w:rPr>
          <w:rFonts w:eastAsiaTheme="minorHAnsi" w:cs="Arial"/>
          <w:lang w:val="fr-CH"/>
        </w:rPr>
        <w:t>Le total des fonds de réserve et de roulement selon les normes</w:t>
      </w:r>
      <w:r w:rsidR="00A23A34" w:rsidRPr="009B6354">
        <w:rPr>
          <w:rFonts w:eastAsiaTheme="minorHAnsi" w:cs="Arial"/>
          <w:lang w:val="fr-CH"/>
        </w:rPr>
        <w:t> </w:t>
      </w:r>
      <w:r w:rsidRPr="009B6354">
        <w:rPr>
          <w:rFonts w:eastAsiaTheme="minorHAnsi" w:cs="Arial"/>
          <w:lang w:val="fr-CH"/>
        </w:rPr>
        <w:t xml:space="preserve">IPSAS </w:t>
      </w:r>
      <w:r w:rsidR="00202F3C" w:rsidRPr="009B6354">
        <w:rPr>
          <w:rFonts w:eastAsiaTheme="minorHAnsi" w:cs="Arial"/>
          <w:lang w:val="fr-CH"/>
        </w:rPr>
        <w:t>s</w:t>
      </w:r>
      <w:r w:rsidR="00126058" w:rsidRPr="009B6354">
        <w:rPr>
          <w:rFonts w:eastAsiaTheme="minorHAnsi" w:cs="Arial"/>
          <w:lang w:val="fr-CH"/>
        </w:rPr>
        <w:t>’</w:t>
      </w:r>
      <w:r w:rsidR="00202F3C" w:rsidRPr="009B6354">
        <w:rPr>
          <w:rFonts w:eastAsiaTheme="minorHAnsi" w:cs="Arial"/>
          <w:lang w:val="fr-CH"/>
        </w:rPr>
        <w:t>est élevé à</w:t>
      </w:r>
      <w:r w:rsidRPr="009B6354">
        <w:rPr>
          <w:rFonts w:eastAsiaTheme="minorHAnsi" w:cs="Arial"/>
          <w:lang w:val="fr-CH"/>
        </w:rPr>
        <w:t xml:space="preserve"> 1,7</w:t>
      </w:r>
      <w:r w:rsidR="00202F3C" w:rsidRPr="009B6354">
        <w:rPr>
          <w:rFonts w:eastAsiaTheme="minorHAnsi" w:cs="Arial"/>
          <w:lang w:val="fr-CH"/>
        </w:rPr>
        <w:t> </w:t>
      </w:r>
      <w:r w:rsidR="00A23A34" w:rsidRPr="009B6354">
        <w:rPr>
          <w:rFonts w:eastAsiaTheme="minorHAnsi" w:cs="Arial"/>
          <w:lang w:val="fr-CH"/>
        </w:rPr>
        <w:t>million</w:t>
      </w:r>
      <w:r w:rsidRPr="009B6354">
        <w:rPr>
          <w:rFonts w:eastAsiaTheme="minorHAnsi" w:cs="Arial"/>
          <w:lang w:val="fr-CH"/>
        </w:rPr>
        <w:t xml:space="preserve"> de francs suisses, </w:t>
      </w:r>
      <w:r w:rsidR="00126058" w:rsidRPr="009B6354">
        <w:rPr>
          <w:rFonts w:eastAsiaTheme="minorHAnsi" w:cs="Arial"/>
          <w:lang w:val="fr-CH"/>
        </w:rPr>
        <w:t>à savoir</w:t>
      </w:r>
      <w:r w:rsidRPr="009B6354">
        <w:rPr>
          <w:rFonts w:eastAsiaTheme="minorHAnsi" w:cs="Arial"/>
          <w:lang w:val="fr-CH"/>
        </w:rPr>
        <w:t xml:space="preserve"> 1,2</w:t>
      </w:r>
      <w:r w:rsidR="00202F3C" w:rsidRPr="009B6354">
        <w:rPr>
          <w:rFonts w:eastAsiaTheme="minorHAnsi" w:cs="Arial"/>
          <w:lang w:val="fr-CH"/>
        </w:rPr>
        <w:t> </w:t>
      </w:r>
      <w:r w:rsidR="00A23A34" w:rsidRPr="009B6354">
        <w:rPr>
          <w:rFonts w:eastAsiaTheme="minorHAnsi" w:cs="Arial"/>
          <w:lang w:val="fr-CH"/>
        </w:rPr>
        <w:t>million</w:t>
      </w:r>
      <w:r w:rsidRPr="009B6354">
        <w:rPr>
          <w:rFonts w:eastAsiaTheme="minorHAnsi" w:cs="Arial"/>
          <w:lang w:val="fr-CH"/>
        </w:rPr>
        <w:t xml:space="preserve"> de francs suisses pour le fonds de réserve et 0,5</w:t>
      </w:r>
      <w:r w:rsidR="00202F3C" w:rsidRPr="009B6354">
        <w:rPr>
          <w:rFonts w:eastAsiaTheme="minorHAnsi" w:cs="Arial"/>
          <w:lang w:val="fr-CH"/>
        </w:rPr>
        <w:t> </w:t>
      </w:r>
      <w:r w:rsidRPr="009B6354">
        <w:rPr>
          <w:rFonts w:eastAsiaTheme="minorHAnsi" w:cs="Arial"/>
          <w:lang w:val="fr-CH"/>
        </w:rPr>
        <w:t>million de francs suisses pour le fonds de roulement.</w:t>
      </w:r>
    </w:p>
    <w:p w:rsidR="008527FA" w:rsidRPr="009B6354" w:rsidRDefault="00937E83" w:rsidP="00CA3BDE">
      <w:pPr>
        <w:pStyle w:val="Heading3"/>
      </w:pPr>
      <w:bookmarkStart w:id="6" w:name="_Toc395251215"/>
      <w:r w:rsidRPr="009B6354">
        <w:t>Tableau</w:t>
      </w:r>
      <w:r w:rsidR="00202F3C" w:rsidRPr="009B6354">
        <w:t> </w:t>
      </w:r>
      <w:r w:rsidRPr="009B6354">
        <w:t>1.</w:t>
      </w:r>
      <w:r w:rsidR="00A23A34" w:rsidRPr="009B6354">
        <w:t xml:space="preserve"> </w:t>
      </w:r>
      <w:r w:rsidRPr="009B6354">
        <w:t>Recettes, dépenses et fonds de réserve et de roulement pour</w:t>
      </w:r>
      <w:r w:rsidR="00202F3C" w:rsidRPr="009B6354">
        <w:t> </w:t>
      </w:r>
      <w:r w:rsidRPr="009B6354">
        <w:t>2012</w:t>
      </w:r>
      <w:r w:rsidR="009B6354" w:rsidRPr="009B6354">
        <w:noBreakHyphen/>
      </w:r>
      <w:r w:rsidRPr="009B6354">
        <w:t>2013</w:t>
      </w:r>
      <w:bookmarkEnd w:id="6"/>
    </w:p>
    <w:p w:rsidR="008527FA" w:rsidRDefault="00937E83" w:rsidP="00937E83">
      <w:pPr>
        <w:spacing w:after="200" w:line="276" w:lineRule="auto"/>
        <w:jc w:val="center"/>
        <w:rPr>
          <w:rFonts w:eastAsiaTheme="minorHAnsi" w:cs="Arial"/>
          <w:i/>
          <w:lang w:val="fr-CH"/>
        </w:rPr>
      </w:pPr>
      <w:r w:rsidRPr="009B6354">
        <w:rPr>
          <w:rFonts w:eastAsiaTheme="minorHAnsi" w:cs="Arial"/>
          <w:i/>
          <w:lang w:val="fr-CH"/>
        </w:rPr>
        <w:t>(en milliers de francs suisses)</w:t>
      </w:r>
    </w:p>
    <w:p w:rsidR="00FA4369" w:rsidRDefault="00FA4369" w:rsidP="00937E83">
      <w:pPr>
        <w:spacing w:after="200" w:line="276" w:lineRule="auto"/>
        <w:jc w:val="center"/>
        <w:rPr>
          <w:rFonts w:eastAsiaTheme="minorHAnsi"/>
        </w:rPr>
      </w:pPr>
      <w:r w:rsidRPr="00FA4369">
        <w:rPr>
          <w:rFonts w:eastAsiaTheme="minorHAnsi"/>
          <w:noProof/>
        </w:rPr>
        <w:drawing>
          <wp:inline distT="0" distB="0" distL="0" distR="0" wp14:anchorId="30DA3CA5" wp14:editId="3F554C4D">
            <wp:extent cx="5359400" cy="5200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9400" cy="5200015"/>
                    </a:xfrm>
                    <a:prstGeom prst="rect">
                      <a:avLst/>
                    </a:prstGeom>
                    <a:noFill/>
                    <a:ln>
                      <a:noFill/>
                    </a:ln>
                  </pic:spPr>
                </pic:pic>
              </a:graphicData>
            </a:graphic>
          </wp:inline>
        </w:drawing>
      </w:r>
    </w:p>
    <w:p w:rsidR="00FA4369" w:rsidRDefault="00FA4369" w:rsidP="00937E83">
      <w:pPr>
        <w:spacing w:after="200" w:line="276" w:lineRule="auto"/>
        <w:jc w:val="center"/>
        <w:rPr>
          <w:rFonts w:eastAsiaTheme="minorHAnsi" w:cs="Arial"/>
          <w:i/>
          <w:lang w:val="fr-CH"/>
        </w:rPr>
      </w:pPr>
    </w:p>
    <w:p w:rsidR="00126058" w:rsidRPr="009B6354" w:rsidRDefault="00DA3541" w:rsidP="002D0137">
      <w:pPr>
        <w:spacing w:after="200" w:line="276" w:lineRule="auto"/>
        <w:rPr>
          <w:lang w:val="fr-CH"/>
        </w:rPr>
      </w:pPr>
      <w:r w:rsidRPr="009B6354">
        <w:rPr>
          <w:lang w:val="fr-CH"/>
        </w:rPr>
        <w:t>Les recettes budgétaires réelles se sont élevées à 6,8</w:t>
      </w:r>
      <w:r w:rsidR="00202F3C" w:rsidRPr="009B6354">
        <w:rPr>
          <w:lang w:val="fr-CH"/>
        </w:rPr>
        <w:t> </w:t>
      </w:r>
      <w:r w:rsidRPr="009B6354">
        <w:rPr>
          <w:lang w:val="fr-CH"/>
        </w:rPr>
        <w:t>millions de francs suisses pour l</w:t>
      </w:r>
      <w:r w:rsidR="00126058" w:rsidRPr="009B6354">
        <w:rPr>
          <w:lang w:val="fr-CH"/>
        </w:rPr>
        <w:t>’</w:t>
      </w:r>
      <w:r w:rsidRPr="009B6354">
        <w:rPr>
          <w:lang w:val="fr-CH"/>
        </w:rPr>
        <w:t>exercice biennal</w:t>
      </w:r>
      <w:r w:rsidR="00A23A34" w:rsidRPr="009B6354">
        <w:rPr>
          <w:lang w:val="fr-CH"/>
        </w:rPr>
        <w:t> </w:t>
      </w:r>
      <w:r w:rsidRPr="009B6354">
        <w:rPr>
          <w:lang w:val="fr-CH"/>
        </w:rPr>
        <w:t>2012</w:t>
      </w:r>
      <w:r w:rsidR="009B6354" w:rsidRPr="009B6354">
        <w:rPr>
          <w:lang w:val="fr-CH"/>
        </w:rPr>
        <w:noBreakHyphen/>
      </w:r>
      <w:r w:rsidRPr="009B6354">
        <w:rPr>
          <w:lang w:val="fr-CH"/>
        </w:rPr>
        <w:t>2013, ce qui correspond à l</w:t>
      </w:r>
      <w:r w:rsidR="00126058" w:rsidRPr="009B6354">
        <w:rPr>
          <w:lang w:val="fr-CH"/>
        </w:rPr>
        <w:t>’</w:t>
      </w:r>
      <w:r w:rsidRPr="009B6354">
        <w:rPr>
          <w:lang w:val="fr-CH"/>
        </w:rPr>
        <w:t>objectif inscrit au budget (tableau</w:t>
      </w:r>
      <w:r w:rsidR="00202F3C" w:rsidRPr="009B6354">
        <w:rPr>
          <w:lang w:val="fr-CH"/>
        </w:rPr>
        <w:t> </w:t>
      </w:r>
      <w:r w:rsidRPr="009B6354">
        <w:rPr>
          <w:lang w:val="fr-CH"/>
        </w:rPr>
        <w:t>2 ci</w:t>
      </w:r>
      <w:r w:rsidR="009B6354" w:rsidRPr="009B6354">
        <w:rPr>
          <w:lang w:val="fr-CH"/>
        </w:rPr>
        <w:noBreakHyphen/>
      </w:r>
      <w:r w:rsidRPr="009B6354">
        <w:rPr>
          <w:lang w:val="fr-CH"/>
        </w:rPr>
        <w:t>dessous).</w:t>
      </w:r>
      <w:r w:rsidR="00DB3D83" w:rsidRPr="009B6354">
        <w:rPr>
          <w:lang w:val="fr-CH"/>
        </w:rPr>
        <w:t xml:space="preserve">  </w:t>
      </w:r>
      <w:r w:rsidRPr="009B6354">
        <w:rPr>
          <w:lang w:val="fr-CH"/>
        </w:rPr>
        <w:t xml:space="preserve">Les recettes provenant des contributions, qui constituent la source de revenus la plus importante (98% du total), ont été </w:t>
      </w:r>
      <w:r w:rsidRPr="009B6354">
        <w:rPr>
          <w:lang w:val="fr-CH"/>
        </w:rPr>
        <w:lastRenderedPageBreak/>
        <w:t>inférieures de 11</w:t>
      </w:r>
      <w:r w:rsidR="00202F3C" w:rsidRPr="009B6354">
        <w:rPr>
          <w:lang w:val="fr-CH"/>
        </w:rPr>
        <w:t> </w:t>
      </w:r>
      <w:r w:rsidRPr="009B6354">
        <w:rPr>
          <w:lang w:val="fr-CH"/>
        </w:rPr>
        <w:t>000</w:t>
      </w:r>
      <w:r w:rsidR="00202F3C" w:rsidRPr="009B6354">
        <w:rPr>
          <w:lang w:val="fr-CH"/>
        </w:rPr>
        <w:t> </w:t>
      </w:r>
      <w:r w:rsidRPr="009B6354">
        <w:rPr>
          <w:lang w:val="fr-CH"/>
        </w:rPr>
        <w:t>francs suisses au montant inscrit au budget.</w:t>
      </w:r>
      <w:r w:rsidR="00917841" w:rsidRPr="009B6354">
        <w:rPr>
          <w:lang w:val="fr-CH"/>
        </w:rPr>
        <w:t xml:space="preserve">  </w:t>
      </w:r>
      <w:r w:rsidR="00531C9C" w:rsidRPr="009B6354">
        <w:rPr>
          <w:lang w:val="fr-CH"/>
        </w:rPr>
        <w:t>Le budget approuvé pour</w:t>
      </w:r>
      <w:r w:rsidR="00202F3C" w:rsidRPr="009B6354">
        <w:rPr>
          <w:lang w:val="fr-CH"/>
        </w:rPr>
        <w:t> </w:t>
      </w:r>
      <w:r w:rsidR="00531C9C" w:rsidRPr="009B6354">
        <w:rPr>
          <w:lang w:val="fr-CH"/>
        </w:rPr>
        <w:t>2012</w:t>
      </w:r>
      <w:r w:rsidR="009B6354" w:rsidRPr="009B6354">
        <w:rPr>
          <w:lang w:val="fr-CH"/>
        </w:rPr>
        <w:noBreakHyphen/>
      </w:r>
      <w:r w:rsidR="00531C9C" w:rsidRPr="009B6354">
        <w:rPr>
          <w:lang w:val="fr-CH"/>
        </w:rPr>
        <w:t>2013 prévoyait un nouveau membre de l</w:t>
      </w:r>
      <w:r w:rsidR="00126058" w:rsidRPr="009B6354">
        <w:rPr>
          <w:lang w:val="fr-CH"/>
        </w:rPr>
        <w:t>’</w:t>
      </w:r>
      <w:r w:rsidR="00531C9C" w:rsidRPr="009B6354">
        <w:rPr>
          <w:lang w:val="fr-CH"/>
        </w:rPr>
        <w:t>Union par an.</w:t>
      </w:r>
      <w:r w:rsidR="00917841" w:rsidRPr="009B6354">
        <w:rPr>
          <w:lang w:val="fr-CH"/>
        </w:rPr>
        <w:t xml:space="preserve">  </w:t>
      </w:r>
      <w:r w:rsidR="00531C9C" w:rsidRPr="009B6354">
        <w:rPr>
          <w:lang w:val="fr-CH"/>
        </w:rPr>
        <w:t>Cependant, l</w:t>
      </w:r>
      <w:r w:rsidR="00126058" w:rsidRPr="009B6354">
        <w:rPr>
          <w:lang w:val="fr-CH"/>
        </w:rPr>
        <w:t>’</w:t>
      </w:r>
      <w:r w:rsidR="00531C9C" w:rsidRPr="009B6354">
        <w:rPr>
          <w:lang w:val="fr-CH"/>
        </w:rPr>
        <w:t xml:space="preserve">Union </w:t>
      </w:r>
      <w:r w:rsidR="00202F3C" w:rsidRPr="009B6354">
        <w:rPr>
          <w:lang w:val="fr-CH"/>
        </w:rPr>
        <w:t>n</w:t>
      </w:r>
      <w:r w:rsidR="00126058" w:rsidRPr="009B6354">
        <w:rPr>
          <w:lang w:val="fr-CH"/>
        </w:rPr>
        <w:t>’</w:t>
      </w:r>
      <w:r w:rsidR="00202F3C" w:rsidRPr="009B6354">
        <w:rPr>
          <w:lang w:val="fr-CH"/>
        </w:rPr>
        <w:t>a accueilli qu</w:t>
      </w:r>
      <w:r w:rsidR="00126058" w:rsidRPr="009B6354">
        <w:rPr>
          <w:lang w:val="fr-CH"/>
        </w:rPr>
        <w:t>’</w:t>
      </w:r>
      <w:r w:rsidR="00202F3C" w:rsidRPr="009B6354">
        <w:rPr>
          <w:lang w:val="fr-CH"/>
        </w:rPr>
        <w:t xml:space="preserve">un seul nouveau membre </w:t>
      </w:r>
      <w:r w:rsidR="00531C9C" w:rsidRPr="009B6354">
        <w:rPr>
          <w:lang w:val="fr-CH"/>
        </w:rPr>
        <w:t>au cours de l</w:t>
      </w:r>
      <w:r w:rsidR="00126058" w:rsidRPr="009B6354">
        <w:rPr>
          <w:lang w:val="fr-CH"/>
        </w:rPr>
        <w:t>’</w:t>
      </w:r>
      <w:r w:rsidR="00531C9C" w:rsidRPr="009B6354">
        <w:rPr>
          <w:lang w:val="fr-CH"/>
        </w:rPr>
        <w:t>exercice biennal</w:t>
      </w:r>
      <w:r w:rsidR="00202F3C" w:rsidRPr="009B6354">
        <w:rPr>
          <w:lang w:val="fr-CH"/>
        </w:rPr>
        <w:t> </w:t>
      </w:r>
      <w:r w:rsidR="00531C9C" w:rsidRPr="009B6354">
        <w:rPr>
          <w:lang w:val="fr-CH"/>
        </w:rPr>
        <w:t>2012</w:t>
      </w:r>
      <w:r w:rsidR="009B6354" w:rsidRPr="009B6354">
        <w:rPr>
          <w:lang w:val="fr-CH"/>
        </w:rPr>
        <w:noBreakHyphen/>
      </w:r>
      <w:r w:rsidR="00531C9C" w:rsidRPr="009B6354">
        <w:rPr>
          <w:lang w:val="fr-CH"/>
        </w:rPr>
        <w:t>2013.</w:t>
      </w:r>
      <w:r w:rsidR="00DB3D83" w:rsidRPr="009B6354">
        <w:rPr>
          <w:lang w:val="fr-CH"/>
        </w:rPr>
        <w:t xml:space="preserve"> </w:t>
      </w:r>
      <w:r w:rsidR="00917841" w:rsidRPr="009B6354">
        <w:rPr>
          <w:lang w:val="fr-CH"/>
        </w:rPr>
        <w:t xml:space="preserve"> </w:t>
      </w:r>
      <w:r w:rsidR="00531C9C" w:rsidRPr="009B6354">
        <w:rPr>
          <w:lang w:val="fr-CH"/>
        </w:rPr>
        <w:t>Les recettes provenant des publications ont été inférieures de</w:t>
      </w:r>
      <w:r w:rsidR="00A23A34" w:rsidRPr="009B6354">
        <w:rPr>
          <w:lang w:val="fr-CH"/>
        </w:rPr>
        <w:t> </w:t>
      </w:r>
      <w:r w:rsidR="00531C9C" w:rsidRPr="009B6354">
        <w:rPr>
          <w:lang w:val="fr-CH"/>
        </w:rPr>
        <w:t>6000</w:t>
      </w:r>
      <w:r w:rsidR="00202F3C" w:rsidRPr="009B6354">
        <w:rPr>
          <w:lang w:val="fr-CH"/>
        </w:rPr>
        <w:t> </w:t>
      </w:r>
      <w:r w:rsidR="00531C9C" w:rsidRPr="009B6354">
        <w:rPr>
          <w:lang w:val="fr-CH"/>
        </w:rPr>
        <w:t>francs suisses au montant prévu.</w:t>
      </w:r>
      <w:r w:rsidR="00917841" w:rsidRPr="009B6354">
        <w:rPr>
          <w:lang w:val="fr-CH"/>
        </w:rPr>
        <w:t xml:space="preserve">  </w:t>
      </w:r>
      <w:r w:rsidR="00531C9C" w:rsidRPr="009B6354">
        <w:rPr>
          <w:lang w:val="fr-CH"/>
        </w:rPr>
        <w:t>Le déficit s</w:t>
      </w:r>
      <w:r w:rsidR="00126058" w:rsidRPr="009B6354">
        <w:rPr>
          <w:lang w:val="fr-CH"/>
        </w:rPr>
        <w:t>’</w:t>
      </w:r>
      <w:r w:rsidR="00531C9C" w:rsidRPr="009B6354">
        <w:rPr>
          <w:lang w:val="fr-CH"/>
        </w:rPr>
        <w:t>explique par le remplacement de la base de données informatisée sur les obtentions végétales (UPOV</w:t>
      </w:r>
      <w:r w:rsidR="009B6354" w:rsidRPr="009B6354">
        <w:rPr>
          <w:lang w:val="fr-CH"/>
        </w:rPr>
        <w:noBreakHyphen/>
      </w:r>
      <w:r w:rsidR="00531C9C" w:rsidRPr="009B6354">
        <w:rPr>
          <w:lang w:val="fr-CH"/>
        </w:rPr>
        <w:t>ROM), qui a</w:t>
      </w:r>
      <w:r w:rsidR="00FA4369">
        <w:rPr>
          <w:lang w:val="fr-CH"/>
        </w:rPr>
        <w:t>vait</w:t>
      </w:r>
      <w:r w:rsidR="00531C9C" w:rsidRPr="009B6354">
        <w:rPr>
          <w:lang w:val="fr-CH"/>
        </w:rPr>
        <w:t xml:space="preserve"> des abonnés payants, par la base de données PLUTO,</w:t>
      </w:r>
      <w:r w:rsidR="00202F3C" w:rsidRPr="009B6354">
        <w:rPr>
          <w:lang w:val="fr-CH"/>
        </w:rPr>
        <w:t xml:space="preserve"> </w:t>
      </w:r>
      <w:r w:rsidR="00531C9C" w:rsidRPr="009B6354">
        <w:rPr>
          <w:lang w:val="fr-CH"/>
        </w:rPr>
        <w:t>qui est accessible gratuitement à tous les utilisateurs.</w:t>
      </w:r>
      <w:r w:rsidR="00DB3D83" w:rsidRPr="009B6354">
        <w:rPr>
          <w:lang w:val="fr-CH"/>
        </w:rPr>
        <w:t xml:space="preserve">  </w:t>
      </w:r>
      <w:r w:rsidR="00531C9C" w:rsidRPr="009B6354">
        <w:rPr>
          <w:lang w:val="fr-CH"/>
        </w:rPr>
        <w:t>Les recettes provenant des intérêts ont été inférieures de 41</w:t>
      </w:r>
      <w:r w:rsidR="00202F3C" w:rsidRPr="009B6354">
        <w:rPr>
          <w:lang w:val="fr-CH"/>
        </w:rPr>
        <w:t> </w:t>
      </w:r>
      <w:r w:rsidR="00531C9C" w:rsidRPr="009B6354">
        <w:rPr>
          <w:lang w:val="fr-CH"/>
        </w:rPr>
        <w:t>000</w:t>
      </w:r>
      <w:r w:rsidR="00202F3C" w:rsidRPr="009B6354">
        <w:rPr>
          <w:lang w:val="fr-CH"/>
        </w:rPr>
        <w:t> </w:t>
      </w:r>
      <w:r w:rsidR="00531C9C" w:rsidRPr="009B6354">
        <w:rPr>
          <w:lang w:val="fr-CH"/>
        </w:rPr>
        <w:t xml:space="preserve">francs suisses au montant </w:t>
      </w:r>
      <w:r w:rsidR="00202F3C" w:rsidRPr="009B6354">
        <w:rPr>
          <w:lang w:val="fr-CH"/>
        </w:rPr>
        <w:t>inscrit au budget</w:t>
      </w:r>
      <w:r w:rsidR="00531C9C" w:rsidRPr="009B6354">
        <w:rPr>
          <w:lang w:val="fr-CH"/>
        </w:rPr>
        <w:t xml:space="preserve"> du fait que les taux d</w:t>
      </w:r>
      <w:r w:rsidR="00126058" w:rsidRPr="009B6354">
        <w:rPr>
          <w:lang w:val="fr-CH"/>
        </w:rPr>
        <w:t>’</w:t>
      </w:r>
      <w:r w:rsidR="00531C9C" w:rsidRPr="009B6354">
        <w:rPr>
          <w:lang w:val="fr-CH"/>
        </w:rPr>
        <w:t>intérêt sur les fonds déposés auprès de la Banque nationale suisse ont été plus faibles que prévu.</w:t>
      </w:r>
      <w:r w:rsidR="00917841" w:rsidRPr="009B6354">
        <w:rPr>
          <w:lang w:val="fr-CH"/>
        </w:rPr>
        <w:t xml:space="preserve">  </w:t>
      </w:r>
      <w:r w:rsidR="002D0137" w:rsidRPr="009B6354">
        <w:rPr>
          <w:lang w:val="fr-CH"/>
        </w:rPr>
        <w:t>Les autres recettes ont été supérieures de 51</w:t>
      </w:r>
      <w:r w:rsidR="00A60A7B" w:rsidRPr="009B6354">
        <w:rPr>
          <w:lang w:val="fr-CH"/>
        </w:rPr>
        <w:t> </w:t>
      </w:r>
      <w:r w:rsidR="002D0137" w:rsidRPr="009B6354">
        <w:rPr>
          <w:lang w:val="fr-CH"/>
        </w:rPr>
        <w:t>000</w:t>
      </w:r>
      <w:r w:rsidR="00A60A7B" w:rsidRPr="009B6354">
        <w:rPr>
          <w:lang w:val="fr-CH"/>
        </w:rPr>
        <w:t> </w:t>
      </w:r>
      <w:r w:rsidR="002D0137" w:rsidRPr="009B6354">
        <w:rPr>
          <w:lang w:val="fr-CH"/>
        </w:rPr>
        <w:t>francs suisses au montant inscrit au budget.</w:t>
      </w:r>
      <w:r w:rsidR="00917841" w:rsidRPr="009B6354">
        <w:rPr>
          <w:lang w:val="fr-CH"/>
        </w:rPr>
        <w:t xml:space="preserve">  </w:t>
      </w:r>
      <w:r w:rsidR="00FA4369">
        <w:rPr>
          <w:lang w:val="fr-CH"/>
        </w:rPr>
        <w:t>Elles</w:t>
      </w:r>
      <w:r w:rsidR="002D0137" w:rsidRPr="009B6354">
        <w:rPr>
          <w:lang w:val="fr-CH"/>
        </w:rPr>
        <w:t xml:space="preserve"> comprennent les coûts d</w:t>
      </w:r>
      <w:r w:rsidR="00126058" w:rsidRPr="009B6354">
        <w:rPr>
          <w:lang w:val="fr-CH"/>
        </w:rPr>
        <w:t>’</w:t>
      </w:r>
      <w:r w:rsidR="002D0137" w:rsidRPr="009B6354">
        <w:rPr>
          <w:lang w:val="fr-CH"/>
        </w:rPr>
        <w:t>appui administratif au titre des fonds fiduciaires, les droits d</w:t>
      </w:r>
      <w:r w:rsidR="00126058" w:rsidRPr="009B6354">
        <w:rPr>
          <w:lang w:val="fr-CH"/>
        </w:rPr>
        <w:t>’</w:t>
      </w:r>
      <w:r w:rsidR="002D0137" w:rsidRPr="009B6354">
        <w:rPr>
          <w:lang w:val="fr-CH"/>
        </w:rPr>
        <w:t>inscription des participants au programme d</w:t>
      </w:r>
      <w:r w:rsidR="00126058" w:rsidRPr="009B6354">
        <w:rPr>
          <w:lang w:val="fr-CH"/>
        </w:rPr>
        <w:t>’</w:t>
      </w:r>
      <w:r w:rsidR="002D0137" w:rsidRPr="009B6354">
        <w:rPr>
          <w:lang w:val="fr-CH"/>
        </w:rPr>
        <w:t>enseignement à distance de l</w:t>
      </w:r>
      <w:r w:rsidR="00126058" w:rsidRPr="009B6354">
        <w:rPr>
          <w:lang w:val="fr-CH"/>
        </w:rPr>
        <w:t>’</w:t>
      </w:r>
      <w:r w:rsidR="002D0137" w:rsidRPr="009B6354">
        <w:rPr>
          <w:lang w:val="fr-CH"/>
        </w:rPr>
        <w:t>UPOV et les recettes au titre des ajustements comptables relatifs à des années antérieures.</w:t>
      </w:r>
    </w:p>
    <w:p w:rsidR="008527FA" w:rsidRPr="009B6354" w:rsidRDefault="002D0137" w:rsidP="00CA3BDE">
      <w:pPr>
        <w:pStyle w:val="Heading3"/>
      </w:pPr>
      <w:bookmarkStart w:id="7" w:name="_Toc395251216"/>
      <w:r w:rsidRPr="009B6354">
        <w:t>Tableau</w:t>
      </w:r>
      <w:r w:rsidR="00A60A7B" w:rsidRPr="009B6354">
        <w:t> </w:t>
      </w:r>
      <w:r w:rsidRPr="009B6354">
        <w:t xml:space="preserve">2. Recettes inscrites au budget et recettes </w:t>
      </w:r>
      <w:r w:rsidR="00D315DF" w:rsidRPr="009B6354">
        <w:t>effectiv</w:t>
      </w:r>
      <w:r w:rsidRPr="009B6354">
        <w:t>es</w:t>
      </w:r>
      <w:r w:rsidR="00D315DF" w:rsidRPr="009B6354">
        <w:t xml:space="preserve"> </w:t>
      </w:r>
      <w:r w:rsidRPr="009B6354">
        <w:t>p</w:t>
      </w:r>
      <w:r w:rsidR="00D315DF" w:rsidRPr="009B6354">
        <w:t>our</w:t>
      </w:r>
      <w:r w:rsidR="00A60A7B" w:rsidRPr="009B6354">
        <w:t> </w:t>
      </w:r>
      <w:r w:rsidRPr="009B6354">
        <w:t>2012</w:t>
      </w:r>
      <w:r w:rsidR="009B6354" w:rsidRPr="009B6354">
        <w:noBreakHyphen/>
      </w:r>
      <w:r w:rsidRPr="009B6354">
        <w:t>2013</w:t>
      </w:r>
      <w:r w:rsidR="00D315DF" w:rsidRPr="009B6354">
        <w:t>, par source</w:t>
      </w:r>
      <w:bookmarkEnd w:id="7"/>
    </w:p>
    <w:p w:rsidR="008527FA" w:rsidRDefault="002D0137" w:rsidP="002D0137">
      <w:pPr>
        <w:spacing w:after="200" w:line="276" w:lineRule="auto"/>
        <w:jc w:val="center"/>
        <w:rPr>
          <w:rFonts w:eastAsiaTheme="minorHAnsi" w:cs="Arial"/>
          <w:i/>
          <w:lang w:val="fr-CH"/>
        </w:rPr>
      </w:pPr>
      <w:r w:rsidRPr="009B6354">
        <w:rPr>
          <w:rFonts w:eastAsiaTheme="minorHAnsi" w:cs="Arial"/>
          <w:i/>
          <w:lang w:val="fr-CH"/>
        </w:rPr>
        <w:t>(en milliers de francs suisses)</w:t>
      </w:r>
    </w:p>
    <w:p w:rsidR="00C94BE4" w:rsidRDefault="00C94BE4" w:rsidP="002D0137">
      <w:pPr>
        <w:spacing w:after="200" w:line="276" w:lineRule="auto"/>
        <w:jc w:val="center"/>
        <w:rPr>
          <w:rFonts w:eastAsiaTheme="minorHAnsi" w:cs="Arial"/>
          <w:i/>
          <w:lang w:val="fr-CH"/>
        </w:rPr>
      </w:pPr>
      <w:r w:rsidRPr="00C94BE4">
        <w:rPr>
          <w:rFonts w:eastAsiaTheme="minorHAnsi"/>
          <w:noProof/>
        </w:rPr>
        <w:drawing>
          <wp:inline distT="0" distB="0" distL="0" distR="0" wp14:anchorId="5C092DB9" wp14:editId="672C0645">
            <wp:extent cx="5017135" cy="15741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7135" cy="1574165"/>
                    </a:xfrm>
                    <a:prstGeom prst="rect">
                      <a:avLst/>
                    </a:prstGeom>
                    <a:noFill/>
                    <a:ln>
                      <a:noFill/>
                    </a:ln>
                  </pic:spPr>
                </pic:pic>
              </a:graphicData>
            </a:graphic>
          </wp:inline>
        </w:drawing>
      </w:r>
    </w:p>
    <w:p w:rsidR="008527FA" w:rsidRPr="009B6354" w:rsidRDefault="009B6354" w:rsidP="00917841">
      <w:pPr>
        <w:spacing w:after="200" w:line="276" w:lineRule="auto"/>
        <w:jc w:val="center"/>
        <w:rPr>
          <w:rFonts w:asciiTheme="minorHAnsi" w:eastAsiaTheme="minorHAnsi" w:hAnsiTheme="minorHAnsi" w:cstheme="minorBidi"/>
          <w:b/>
          <w:sz w:val="22"/>
          <w:szCs w:val="22"/>
        </w:rPr>
      </w:pPr>
      <w:r w:rsidRPr="009B6354">
        <w:rPr>
          <w:rFonts w:eastAsiaTheme="minorHAnsi"/>
          <w:noProof/>
        </w:rPr>
        <w:drawing>
          <wp:inline distT="0" distB="0" distL="0" distR="0" wp14:anchorId="1EF96CC5" wp14:editId="61CE8407">
            <wp:extent cx="4572000" cy="27349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734945"/>
                    </a:xfrm>
                    <a:prstGeom prst="rect">
                      <a:avLst/>
                    </a:prstGeom>
                    <a:noFill/>
                    <a:ln>
                      <a:noFill/>
                    </a:ln>
                  </pic:spPr>
                </pic:pic>
              </a:graphicData>
            </a:graphic>
          </wp:inline>
        </w:drawing>
      </w:r>
    </w:p>
    <w:p w:rsidR="008527FA" w:rsidRPr="009B6354" w:rsidRDefault="008527FA" w:rsidP="00917841">
      <w:pPr>
        <w:spacing w:after="200" w:line="276" w:lineRule="auto"/>
        <w:jc w:val="center"/>
        <w:rPr>
          <w:rFonts w:asciiTheme="minorHAnsi" w:eastAsiaTheme="minorHAnsi" w:hAnsiTheme="minorHAnsi" w:cstheme="minorBidi"/>
          <w:b/>
          <w:sz w:val="22"/>
          <w:szCs w:val="22"/>
        </w:rPr>
      </w:pPr>
    </w:p>
    <w:p w:rsidR="008527FA" w:rsidRPr="009B6354" w:rsidRDefault="008527FA" w:rsidP="00D81BFB">
      <w:pPr>
        <w:spacing w:after="200" w:line="276" w:lineRule="auto"/>
        <w:rPr>
          <w:rFonts w:asciiTheme="minorHAnsi" w:eastAsiaTheme="minorHAnsi" w:hAnsiTheme="minorHAnsi" w:cstheme="minorBidi"/>
          <w:sz w:val="22"/>
          <w:szCs w:val="22"/>
        </w:rPr>
      </w:pPr>
    </w:p>
    <w:p w:rsidR="00126058" w:rsidRPr="009B6354" w:rsidRDefault="00016902" w:rsidP="00016902">
      <w:pPr>
        <w:spacing w:after="200" w:line="276" w:lineRule="auto"/>
        <w:rPr>
          <w:lang w:val="fr-CH"/>
        </w:rPr>
      </w:pPr>
      <w:r w:rsidRPr="009B6354">
        <w:rPr>
          <w:lang w:val="fr-CH"/>
        </w:rPr>
        <w:t>Le tableau</w:t>
      </w:r>
      <w:r w:rsidR="00A60A7B" w:rsidRPr="009B6354">
        <w:rPr>
          <w:lang w:val="fr-CH"/>
        </w:rPr>
        <w:t> </w:t>
      </w:r>
      <w:r w:rsidRPr="009B6354">
        <w:rPr>
          <w:lang w:val="fr-CH"/>
        </w:rPr>
        <w:t>3 ci</w:t>
      </w:r>
      <w:r w:rsidR="009B6354" w:rsidRPr="009B6354">
        <w:rPr>
          <w:lang w:val="fr-CH"/>
        </w:rPr>
        <w:noBreakHyphen/>
      </w:r>
      <w:r w:rsidRPr="009B6354">
        <w:rPr>
          <w:lang w:val="fr-CH"/>
        </w:rPr>
        <w:t>dessous permet de comparer les dépenses budgétaires effectives et le budget approuvé pour</w:t>
      </w:r>
      <w:r w:rsidR="00A60A7B" w:rsidRPr="009B6354">
        <w:rPr>
          <w:lang w:val="fr-CH"/>
        </w:rPr>
        <w:t> </w:t>
      </w:r>
      <w:r w:rsidRPr="009B6354">
        <w:rPr>
          <w:lang w:val="fr-CH"/>
        </w:rPr>
        <w:t>2012</w:t>
      </w:r>
      <w:r w:rsidR="009B6354" w:rsidRPr="009B6354">
        <w:rPr>
          <w:lang w:val="fr-CH"/>
        </w:rPr>
        <w:noBreakHyphen/>
      </w:r>
      <w:r w:rsidRPr="009B6354">
        <w:rPr>
          <w:lang w:val="fr-CH"/>
        </w:rPr>
        <w:t>2013 par catégorie de dépense et le tableau</w:t>
      </w:r>
      <w:r w:rsidR="00A23A34" w:rsidRPr="009B6354">
        <w:rPr>
          <w:lang w:val="fr-CH"/>
        </w:rPr>
        <w:t> </w:t>
      </w:r>
      <w:r w:rsidRPr="009B6354">
        <w:rPr>
          <w:lang w:val="fr-CH"/>
        </w:rPr>
        <w:t>4 par sous</w:t>
      </w:r>
      <w:r w:rsidR="009B6354" w:rsidRPr="009B6354">
        <w:rPr>
          <w:lang w:val="fr-CH"/>
        </w:rPr>
        <w:noBreakHyphen/>
      </w:r>
      <w:r w:rsidRPr="009B6354">
        <w:rPr>
          <w:lang w:val="fr-CH"/>
        </w:rPr>
        <w:t>programme.</w:t>
      </w:r>
    </w:p>
    <w:p w:rsidR="00C94BE4" w:rsidRDefault="00C94BE4">
      <w:pPr>
        <w:jc w:val="left"/>
        <w:rPr>
          <w:rFonts w:eastAsiaTheme="minorHAnsi"/>
          <w:b/>
          <w:u w:val="single"/>
          <w:lang w:val="fr-CH"/>
        </w:rPr>
      </w:pPr>
      <w:r>
        <w:rPr>
          <w:lang w:val="fr-CH"/>
        </w:rPr>
        <w:br w:type="page"/>
      </w:r>
    </w:p>
    <w:p w:rsidR="008527FA" w:rsidRPr="009B6354" w:rsidRDefault="00016902" w:rsidP="00CA3BDE">
      <w:pPr>
        <w:pStyle w:val="Heading3"/>
      </w:pPr>
      <w:bookmarkStart w:id="8" w:name="_Toc395251217"/>
      <w:r w:rsidRPr="009B6354">
        <w:lastRenderedPageBreak/>
        <w:t>Tableau</w:t>
      </w:r>
      <w:r w:rsidR="00A60A7B" w:rsidRPr="009B6354">
        <w:t> </w:t>
      </w:r>
      <w:r w:rsidRPr="009B6354">
        <w:t>3.</w:t>
      </w:r>
      <w:r w:rsidR="00A60A7B" w:rsidRPr="009B6354">
        <w:t xml:space="preserve"> </w:t>
      </w:r>
      <w:r w:rsidRPr="009B6354">
        <w:t xml:space="preserve"> Budget</w:t>
      </w:r>
      <w:r w:rsidR="00A60A7B" w:rsidRPr="009B6354">
        <w:t> </w:t>
      </w:r>
      <w:r w:rsidRPr="009B6354">
        <w:t>2012</w:t>
      </w:r>
      <w:r w:rsidR="009B6354" w:rsidRPr="009B6354">
        <w:noBreakHyphen/>
      </w:r>
      <w:r w:rsidRPr="009B6354">
        <w:t>2013 approuvé et dépenses par objet de dépense</w:t>
      </w:r>
      <w:bookmarkEnd w:id="8"/>
    </w:p>
    <w:p w:rsidR="008527FA" w:rsidRDefault="00016902" w:rsidP="00016902">
      <w:pPr>
        <w:spacing w:after="200" w:line="276" w:lineRule="auto"/>
        <w:jc w:val="center"/>
        <w:rPr>
          <w:rFonts w:eastAsiaTheme="minorHAnsi" w:cs="Arial"/>
          <w:i/>
          <w:lang w:val="fr-CH"/>
        </w:rPr>
      </w:pPr>
      <w:r w:rsidRPr="009B6354">
        <w:rPr>
          <w:rFonts w:eastAsiaTheme="minorHAnsi" w:cs="Arial"/>
          <w:i/>
          <w:lang w:val="fr-CH"/>
        </w:rPr>
        <w:t>(en milliers de francs suisses)</w:t>
      </w:r>
    </w:p>
    <w:p w:rsidR="009B6354" w:rsidRDefault="00C94BE4" w:rsidP="00016902">
      <w:pPr>
        <w:spacing w:after="200" w:line="276" w:lineRule="auto"/>
        <w:jc w:val="center"/>
        <w:rPr>
          <w:rFonts w:eastAsiaTheme="minorHAnsi" w:cs="Arial"/>
          <w:i/>
          <w:lang w:val="fr-CH"/>
        </w:rPr>
      </w:pPr>
      <w:r w:rsidRPr="00C94BE4">
        <w:rPr>
          <w:rFonts w:eastAsiaTheme="minorHAnsi"/>
          <w:noProof/>
        </w:rPr>
        <w:drawing>
          <wp:inline distT="0" distB="0" distL="0" distR="0" wp14:anchorId="6FD0A979" wp14:editId="33028536">
            <wp:extent cx="5963285" cy="47466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285" cy="4746625"/>
                    </a:xfrm>
                    <a:prstGeom prst="rect">
                      <a:avLst/>
                    </a:prstGeom>
                    <a:noFill/>
                    <a:ln>
                      <a:noFill/>
                    </a:ln>
                  </pic:spPr>
                </pic:pic>
              </a:graphicData>
            </a:graphic>
          </wp:inline>
        </w:drawing>
      </w:r>
    </w:p>
    <w:p w:rsidR="009B6354" w:rsidRPr="009B6354" w:rsidRDefault="009B6354" w:rsidP="00016902">
      <w:pPr>
        <w:spacing w:after="200" w:line="276" w:lineRule="auto"/>
        <w:jc w:val="center"/>
        <w:rPr>
          <w:rFonts w:eastAsiaTheme="minorHAnsi" w:cs="Arial"/>
          <w:i/>
          <w:lang w:val="fr-CH"/>
        </w:rPr>
      </w:pPr>
    </w:p>
    <w:p w:rsidR="008527FA" w:rsidRPr="009B6354" w:rsidRDefault="00016902" w:rsidP="00CA3BDE">
      <w:pPr>
        <w:pStyle w:val="Heading3"/>
      </w:pPr>
      <w:bookmarkStart w:id="9" w:name="_Toc395251218"/>
      <w:r w:rsidRPr="009B6354">
        <w:t>Tableau</w:t>
      </w:r>
      <w:r w:rsidR="00A60A7B" w:rsidRPr="009B6354">
        <w:t> </w:t>
      </w:r>
      <w:r w:rsidRPr="009B6354">
        <w:t xml:space="preserve">4. </w:t>
      </w:r>
      <w:r w:rsidR="00A60A7B" w:rsidRPr="009B6354">
        <w:t xml:space="preserve"> </w:t>
      </w:r>
      <w:r w:rsidRPr="009B6354">
        <w:t>Budget</w:t>
      </w:r>
      <w:r w:rsidR="00A60A7B" w:rsidRPr="009B6354">
        <w:t> </w:t>
      </w:r>
      <w:r w:rsidRPr="009B6354">
        <w:t>2012</w:t>
      </w:r>
      <w:r w:rsidR="009B6354" w:rsidRPr="009B6354">
        <w:noBreakHyphen/>
      </w:r>
      <w:r w:rsidRPr="009B6354">
        <w:t>2013 approuvé et dépenses par sous</w:t>
      </w:r>
      <w:r w:rsidR="009B6354" w:rsidRPr="009B6354">
        <w:noBreakHyphen/>
      </w:r>
      <w:r w:rsidRPr="009B6354">
        <w:t>programme</w:t>
      </w:r>
      <w:bookmarkEnd w:id="9"/>
    </w:p>
    <w:p w:rsidR="008527FA" w:rsidRDefault="00CC5823" w:rsidP="00CC5823">
      <w:pPr>
        <w:spacing w:after="200" w:line="276" w:lineRule="auto"/>
        <w:jc w:val="center"/>
        <w:rPr>
          <w:rFonts w:eastAsiaTheme="minorHAnsi" w:cs="Arial"/>
          <w:i/>
          <w:lang w:val="fr-CH"/>
        </w:rPr>
      </w:pPr>
      <w:r w:rsidRPr="009B6354">
        <w:rPr>
          <w:rFonts w:eastAsiaTheme="minorHAnsi" w:cs="Arial"/>
          <w:i/>
          <w:lang w:val="fr-CH"/>
        </w:rPr>
        <w:t>(en milliers de francs suisses)</w:t>
      </w:r>
    </w:p>
    <w:p w:rsidR="009B6354" w:rsidRDefault="009B6354" w:rsidP="00CC5823">
      <w:pPr>
        <w:spacing w:after="200" w:line="276" w:lineRule="auto"/>
        <w:jc w:val="center"/>
        <w:rPr>
          <w:rFonts w:eastAsiaTheme="minorHAnsi" w:cs="Arial"/>
          <w:i/>
          <w:lang w:val="fr-CH"/>
        </w:rPr>
      </w:pPr>
      <w:r w:rsidRPr="009B6354">
        <w:rPr>
          <w:rFonts w:eastAsiaTheme="minorHAnsi"/>
          <w:noProof/>
        </w:rPr>
        <w:drawing>
          <wp:inline distT="0" distB="0" distL="0" distR="0" wp14:anchorId="417BB94A" wp14:editId="42803289">
            <wp:extent cx="6120765" cy="24213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421346"/>
                    </a:xfrm>
                    <a:prstGeom prst="rect">
                      <a:avLst/>
                    </a:prstGeom>
                    <a:noFill/>
                    <a:ln>
                      <a:noFill/>
                    </a:ln>
                  </pic:spPr>
                </pic:pic>
              </a:graphicData>
            </a:graphic>
          </wp:inline>
        </w:drawing>
      </w:r>
    </w:p>
    <w:p w:rsidR="009B6354" w:rsidRPr="009B6354" w:rsidRDefault="009B6354" w:rsidP="00CC5823">
      <w:pPr>
        <w:spacing w:after="200" w:line="276" w:lineRule="auto"/>
        <w:jc w:val="center"/>
        <w:rPr>
          <w:rFonts w:eastAsiaTheme="minorHAnsi" w:cs="Arial"/>
          <w:i/>
          <w:lang w:val="fr-CH"/>
        </w:rPr>
      </w:pPr>
    </w:p>
    <w:p w:rsidR="00C94BE4" w:rsidRDefault="00C94BE4">
      <w:pPr>
        <w:jc w:val="left"/>
        <w:rPr>
          <w:u w:val="single"/>
          <w:lang w:val="fr-CH"/>
        </w:rPr>
      </w:pPr>
      <w:r>
        <w:rPr>
          <w:u w:val="single"/>
          <w:lang w:val="fr-CH"/>
        </w:rPr>
        <w:br w:type="page"/>
      </w:r>
    </w:p>
    <w:p w:rsidR="008527FA" w:rsidRPr="009B6354" w:rsidRDefault="00CC5823" w:rsidP="00CC5823">
      <w:pPr>
        <w:spacing w:after="200" w:line="276" w:lineRule="auto"/>
        <w:rPr>
          <w:u w:val="single"/>
          <w:lang w:val="fr-CH"/>
        </w:rPr>
      </w:pPr>
      <w:r w:rsidRPr="009B6354">
        <w:rPr>
          <w:u w:val="single"/>
          <w:lang w:val="fr-CH"/>
        </w:rPr>
        <w:lastRenderedPageBreak/>
        <w:t>Ressources en personnel</w:t>
      </w:r>
    </w:p>
    <w:p w:rsidR="00126058" w:rsidRPr="009B6354" w:rsidRDefault="00CC5823" w:rsidP="00B35E89">
      <w:pPr>
        <w:spacing w:after="200" w:line="276" w:lineRule="auto"/>
        <w:rPr>
          <w:lang w:val="fr-CH"/>
        </w:rPr>
      </w:pPr>
      <w:r w:rsidRPr="009B6354">
        <w:rPr>
          <w:lang w:val="fr-CH"/>
        </w:rPr>
        <w:t>Les dépenses de personnel ont représenté 4,1</w:t>
      </w:r>
      <w:r w:rsidR="00A60A7B" w:rsidRPr="009B6354">
        <w:rPr>
          <w:lang w:val="fr-CH"/>
        </w:rPr>
        <w:t> </w:t>
      </w:r>
      <w:r w:rsidRPr="009B6354">
        <w:rPr>
          <w:lang w:val="fr-CH"/>
        </w:rPr>
        <w:t>millions de francs suisses en</w:t>
      </w:r>
      <w:r w:rsidR="00A60A7B" w:rsidRPr="009B6354">
        <w:rPr>
          <w:lang w:val="fr-CH"/>
        </w:rPr>
        <w:t> </w:t>
      </w:r>
      <w:r w:rsidRPr="009B6354">
        <w:rPr>
          <w:lang w:val="fr-CH"/>
        </w:rPr>
        <w:t>2012</w:t>
      </w:r>
      <w:r w:rsidR="009B6354" w:rsidRPr="009B6354">
        <w:rPr>
          <w:lang w:val="fr-CH"/>
        </w:rPr>
        <w:noBreakHyphen/>
      </w:r>
      <w:r w:rsidRPr="009B6354">
        <w:rPr>
          <w:lang w:val="fr-CH"/>
        </w:rPr>
        <w:t>2013, soit 0,5</w:t>
      </w:r>
      <w:r w:rsidR="00A60A7B" w:rsidRPr="009B6354">
        <w:rPr>
          <w:lang w:val="fr-CH"/>
        </w:rPr>
        <w:t> </w:t>
      </w:r>
      <w:r w:rsidRPr="009B6354">
        <w:rPr>
          <w:lang w:val="fr-CH"/>
        </w:rPr>
        <w:t>million de francs suisses de moins que le budget</w:t>
      </w:r>
      <w:r w:rsidR="00A60A7B" w:rsidRPr="009B6354">
        <w:rPr>
          <w:lang w:val="fr-CH"/>
        </w:rPr>
        <w:t> </w:t>
      </w:r>
      <w:r w:rsidRPr="009B6354">
        <w:rPr>
          <w:lang w:val="fr-CH"/>
        </w:rPr>
        <w:t>2012</w:t>
      </w:r>
      <w:r w:rsidR="009B6354" w:rsidRPr="009B6354">
        <w:rPr>
          <w:lang w:val="fr-CH"/>
        </w:rPr>
        <w:noBreakHyphen/>
      </w:r>
      <w:r w:rsidRPr="009B6354">
        <w:rPr>
          <w:lang w:val="fr-CH"/>
        </w:rPr>
        <w:t>2013 approuvé.</w:t>
      </w:r>
      <w:r w:rsidR="00DB3D83" w:rsidRPr="009B6354">
        <w:rPr>
          <w:lang w:val="fr-CH"/>
        </w:rPr>
        <w:t xml:space="preserve">  </w:t>
      </w:r>
      <w:r w:rsidRPr="009B6354">
        <w:rPr>
          <w:lang w:val="fr-CH"/>
        </w:rPr>
        <w:t>Cette réduction correspond à un poste de la catégorie des administrateurs resté vacant et à des changements de grade dus à des changements de personnel.</w:t>
      </w:r>
      <w:r w:rsidR="00917841" w:rsidRPr="009B6354">
        <w:rPr>
          <w:lang w:val="fr-CH"/>
        </w:rPr>
        <w:t xml:space="preserve">  </w:t>
      </w:r>
      <w:r w:rsidR="003E5A82" w:rsidRPr="009B6354">
        <w:rPr>
          <w:lang w:val="fr-CH"/>
        </w:rPr>
        <w:t>La réduction au titre des postes de 1 million de francs suisses a été compensée par une augmentation de 0,5</w:t>
      </w:r>
      <w:r w:rsidR="00A60A7B" w:rsidRPr="009B6354">
        <w:rPr>
          <w:lang w:val="fr-CH"/>
        </w:rPr>
        <w:t> </w:t>
      </w:r>
      <w:r w:rsidR="003E5A82" w:rsidRPr="009B6354">
        <w:rPr>
          <w:lang w:val="fr-CH"/>
        </w:rPr>
        <w:t>million de francs suisses au titre d</w:t>
      </w:r>
      <w:r w:rsidR="00D315DF" w:rsidRPr="009B6354">
        <w:rPr>
          <w:lang w:val="fr-CH"/>
        </w:rPr>
        <w:t>es agents</w:t>
      </w:r>
      <w:r w:rsidR="003E5A82" w:rsidRPr="009B6354">
        <w:rPr>
          <w:lang w:val="fr-CH"/>
        </w:rPr>
        <w:t xml:space="preserve"> temporaire</w:t>
      </w:r>
      <w:r w:rsidR="00D315DF" w:rsidRPr="009B6354">
        <w:rPr>
          <w:lang w:val="fr-CH"/>
        </w:rPr>
        <w:t>s</w:t>
      </w:r>
      <w:r w:rsidR="003E5A82" w:rsidRPr="009B6354">
        <w:rPr>
          <w:lang w:val="fr-CH"/>
        </w:rPr>
        <w:t>.</w:t>
      </w:r>
      <w:r w:rsidR="00917841" w:rsidRPr="009B6354">
        <w:rPr>
          <w:lang w:val="fr-CH"/>
        </w:rPr>
        <w:t xml:space="preserve">  </w:t>
      </w:r>
      <w:r w:rsidR="00B35E89" w:rsidRPr="009B6354">
        <w:rPr>
          <w:lang w:val="fr-CH"/>
        </w:rPr>
        <w:t>Deux</w:t>
      </w:r>
      <w:r w:rsidR="00A60A7B" w:rsidRPr="009B6354">
        <w:rPr>
          <w:lang w:val="fr-CH"/>
        </w:rPr>
        <w:t> </w:t>
      </w:r>
      <w:r w:rsidR="00B35E89" w:rsidRPr="009B6354">
        <w:rPr>
          <w:lang w:val="fr-CH"/>
        </w:rPr>
        <w:t>fonctionnaires, précédemment employés à</w:t>
      </w:r>
      <w:r w:rsidR="00A60A7B" w:rsidRPr="009B6354">
        <w:rPr>
          <w:lang w:val="fr-CH"/>
        </w:rPr>
        <w:t> </w:t>
      </w:r>
      <w:r w:rsidR="00B35E89" w:rsidRPr="009B6354">
        <w:rPr>
          <w:lang w:val="fr-CH"/>
        </w:rPr>
        <w:t>80%, ont repris le travail à 100% durant l</w:t>
      </w:r>
      <w:r w:rsidR="00126058" w:rsidRPr="009B6354">
        <w:rPr>
          <w:lang w:val="fr-CH"/>
        </w:rPr>
        <w:t>’</w:t>
      </w:r>
      <w:r w:rsidR="00B35E89" w:rsidRPr="009B6354">
        <w:rPr>
          <w:lang w:val="fr-CH"/>
        </w:rPr>
        <w:t>exercice biennal</w:t>
      </w:r>
      <w:r w:rsidR="00A60A7B" w:rsidRPr="009B6354">
        <w:rPr>
          <w:lang w:val="fr-CH"/>
        </w:rPr>
        <w:t> </w:t>
      </w:r>
      <w:r w:rsidR="00B35E89" w:rsidRPr="009B6354">
        <w:rPr>
          <w:lang w:val="fr-CH"/>
        </w:rPr>
        <w:t>2012</w:t>
      </w:r>
      <w:r w:rsidR="009B6354" w:rsidRPr="009B6354">
        <w:rPr>
          <w:lang w:val="fr-CH"/>
        </w:rPr>
        <w:noBreakHyphen/>
      </w:r>
      <w:r w:rsidR="00B35E89" w:rsidRPr="009B6354">
        <w:rPr>
          <w:lang w:val="fr-CH"/>
        </w:rPr>
        <w:t>2013.</w:t>
      </w:r>
    </w:p>
    <w:p w:rsidR="008527FA" w:rsidRPr="009B6354" w:rsidRDefault="00B35E89" w:rsidP="00B35E89">
      <w:pPr>
        <w:spacing w:after="200" w:line="276" w:lineRule="auto"/>
        <w:rPr>
          <w:u w:val="single"/>
          <w:lang w:val="fr-CH"/>
        </w:rPr>
      </w:pPr>
      <w:r w:rsidRPr="009B6354">
        <w:rPr>
          <w:u w:val="single"/>
          <w:lang w:val="fr-CH"/>
        </w:rPr>
        <w:t>Autres ressources</w:t>
      </w:r>
    </w:p>
    <w:p w:rsidR="00126058" w:rsidRPr="009B6354" w:rsidRDefault="00FA4369" w:rsidP="00B35E89">
      <w:pPr>
        <w:spacing w:after="200" w:line="276" w:lineRule="auto"/>
        <w:rPr>
          <w:rFonts w:eastAsiaTheme="minorHAnsi" w:cs="Arial"/>
          <w:lang w:val="fr-CH"/>
        </w:rPr>
      </w:pPr>
      <w:r>
        <w:rPr>
          <w:rFonts w:eastAsiaTheme="minorHAnsi" w:cs="Arial"/>
          <w:lang w:val="fr-CH"/>
        </w:rPr>
        <w:t>Le total des autres</w:t>
      </w:r>
      <w:r w:rsidR="00B35E89" w:rsidRPr="009B6354">
        <w:rPr>
          <w:rFonts w:eastAsiaTheme="minorHAnsi" w:cs="Arial"/>
          <w:lang w:val="fr-CH"/>
        </w:rPr>
        <w:t xml:space="preserve"> dépenses </w:t>
      </w:r>
      <w:r>
        <w:rPr>
          <w:rFonts w:eastAsiaTheme="minorHAnsi" w:cs="Arial"/>
          <w:lang w:val="fr-CH"/>
        </w:rPr>
        <w:t>s’est élevé à</w:t>
      </w:r>
      <w:r w:rsidR="00B35E89" w:rsidRPr="009B6354">
        <w:rPr>
          <w:rFonts w:eastAsiaTheme="minorHAnsi" w:cs="Arial"/>
          <w:lang w:val="fr-CH"/>
        </w:rPr>
        <w:t xml:space="preserve"> 2,2</w:t>
      </w:r>
      <w:r w:rsidR="00A60A7B" w:rsidRPr="009B6354">
        <w:rPr>
          <w:rFonts w:eastAsiaTheme="minorHAnsi" w:cs="Arial"/>
          <w:lang w:val="fr-CH"/>
        </w:rPr>
        <w:t> </w:t>
      </w:r>
      <w:r w:rsidR="00B35E89" w:rsidRPr="009B6354">
        <w:rPr>
          <w:rFonts w:eastAsiaTheme="minorHAnsi" w:cs="Arial"/>
          <w:lang w:val="fr-CH"/>
        </w:rPr>
        <w:t>millions de francs suisses, conformément à l</w:t>
      </w:r>
      <w:r w:rsidR="00126058" w:rsidRPr="009B6354">
        <w:rPr>
          <w:rFonts w:eastAsiaTheme="minorHAnsi" w:cs="Arial"/>
          <w:lang w:val="fr-CH"/>
        </w:rPr>
        <w:t>’</w:t>
      </w:r>
      <w:r w:rsidR="00B35E89" w:rsidRPr="009B6354">
        <w:rPr>
          <w:rFonts w:eastAsiaTheme="minorHAnsi" w:cs="Arial"/>
          <w:lang w:val="fr-CH"/>
        </w:rPr>
        <w:t>objectif inscrit au budget (99% du budget).</w:t>
      </w:r>
      <w:r w:rsidR="00917841" w:rsidRPr="009B6354">
        <w:rPr>
          <w:rFonts w:eastAsiaTheme="minorHAnsi"/>
          <w:lang w:val="fr-CH"/>
        </w:rPr>
        <w:t xml:space="preserve">  </w:t>
      </w:r>
      <w:r w:rsidR="00A60A7B" w:rsidRPr="009B6354">
        <w:rPr>
          <w:rFonts w:eastAsiaTheme="minorHAnsi" w:cs="Arial"/>
          <w:lang w:val="fr-CH"/>
        </w:rPr>
        <w:t>On trouvera ci</w:t>
      </w:r>
      <w:r w:rsidR="009B6354" w:rsidRPr="009B6354">
        <w:rPr>
          <w:rFonts w:eastAsiaTheme="minorHAnsi" w:cs="Arial"/>
          <w:lang w:val="fr-CH"/>
        </w:rPr>
        <w:noBreakHyphen/>
      </w:r>
      <w:r w:rsidR="00A60A7B" w:rsidRPr="009B6354">
        <w:rPr>
          <w:rFonts w:eastAsiaTheme="minorHAnsi" w:cs="Arial"/>
          <w:lang w:val="fr-CH"/>
        </w:rPr>
        <w:t>après d</w:t>
      </w:r>
      <w:r w:rsidR="00B35E89" w:rsidRPr="009B6354">
        <w:rPr>
          <w:rFonts w:eastAsiaTheme="minorHAnsi" w:cs="Arial"/>
          <w:lang w:val="fr-CH"/>
        </w:rPr>
        <w:t>es explicat</w:t>
      </w:r>
      <w:r w:rsidR="00A60A7B" w:rsidRPr="009B6354">
        <w:rPr>
          <w:rFonts w:eastAsiaTheme="minorHAnsi" w:cs="Arial"/>
          <w:lang w:val="fr-CH"/>
        </w:rPr>
        <w:t>ions par catégorie de dépense</w:t>
      </w:r>
      <w:r w:rsidR="00B35E89" w:rsidRPr="009B6354">
        <w:rPr>
          <w:rFonts w:eastAsiaTheme="minorHAnsi" w:cs="Arial"/>
          <w:lang w:val="fr-CH"/>
        </w:rPr>
        <w:t>.</w:t>
      </w:r>
    </w:p>
    <w:p w:rsidR="008527FA" w:rsidRPr="009B6354" w:rsidRDefault="003210D6" w:rsidP="003210D6">
      <w:pPr>
        <w:spacing w:after="200" w:line="276" w:lineRule="auto"/>
        <w:rPr>
          <w:rFonts w:eastAsiaTheme="minorHAnsi" w:cs="Arial"/>
          <w:i/>
          <w:lang w:val="fr-CH"/>
        </w:rPr>
      </w:pPr>
      <w:r w:rsidRPr="009B6354">
        <w:rPr>
          <w:rFonts w:eastAsiaTheme="minorHAnsi" w:cs="Arial"/>
          <w:i/>
          <w:lang w:val="fr-CH"/>
        </w:rPr>
        <w:t>Voyages</w:t>
      </w:r>
    </w:p>
    <w:p w:rsidR="008527FA" w:rsidRPr="009B6354" w:rsidRDefault="003210D6" w:rsidP="003210D6">
      <w:pPr>
        <w:spacing w:after="200" w:line="276" w:lineRule="auto"/>
        <w:rPr>
          <w:rFonts w:eastAsiaTheme="minorHAnsi" w:cs="Arial"/>
          <w:lang w:val="fr-CH"/>
        </w:rPr>
      </w:pPr>
      <w:r w:rsidRPr="009B6354">
        <w:rPr>
          <w:rFonts w:eastAsiaTheme="minorHAnsi" w:cs="Arial"/>
          <w:lang w:val="fr-CH"/>
        </w:rPr>
        <w:t xml:space="preserve">Les frais de voyage ont été </w:t>
      </w:r>
      <w:r w:rsidR="00A60A7B" w:rsidRPr="009B6354">
        <w:rPr>
          <w:rFonts w:eastAsiaTheme="minorHAnsi" w:cs="Arial"/>
          <w:lang w:val="fr-CH"/>
        </w:rPr>
        <w:t>globalement</w:t>
      </w:r>
      <w:r w:rsidRPr="009B6354">
        <w:rPr>
          <w:rFonts w:eastAsiaTheme="minorHAnsi" w:cs="Arial"/>
          <w:lang w:val="fr-CH"/>
        </w:rPr>
        <w:t xml:space="preserve"> conformes aux frais inscrits au budget pour l</w:t>
      </w:r>
      <w:r w:rsidR="00126058" w:rsidRPr="009B6354">
        <w:rPr>
          <w:rFonts w:eastAsiaTheme="minorHAnsi" w:cs="Arial"/>
          <w:lang w:val="fr-CH"/>
        </w:rPr>
        <w:t>’</w:t>
      </w:r>
      <w:r w:rsidRPr="009B6354">
        <w:rPr>
          <w:rFonts w:eastAsiaTheme="minorHAnsi" w:cs="Arial"/>
          <w:lang w:val="fr-CH"/>
        </w:rPr>
        <w:t>exercice biennal</w:t>
      </w:r>
      <w:r w:rsidR="00A60A7B" w:rsidRPr="009B6354">
        <w:rPr>
          <w:rFonts w:eastAsiaTheme="minorHAnsi" w:cs="Arial"/>
          <w:lang w:val="fr-CH"/>
        </w:rPr>
        <w:t> </w:t>
      </w:r>
      <w:r w:rsidRPr="009B6354">
        <w:rPr>
          <w:rFonts w:eastAsiaTheme="minorHAnsi" w:cs="Arial"/>
          <w:lang w:val="fr-CH"/>
        </w:rPr>
        <w:t>2012</w:t>
      </w:r>
      <w:r w:rsidR="009B6354" w:rsidRPr="009B6354">
        <w:rPr>
          <w:rFonts w:eastAsiaTheme="minorHAnsi" w:cs="Arial"/>
          <w:lang w:val="fr-CH"/>
        </w:rPr>
        <w:noBreakHyphen/>
      </w:r>
      <w:r w:rsidRPr="009B6354">
        <w:rPr>
          <w:rFonts w:eastAsiaTheme="minorHAnsi" w:cs="Arial"/>
          <w:lang w:val="fr-CH"/>
        </w:rPr>
        <w:t>2013</w:t>
      </w:r>
      <w:r w:rsidR="00A60A7B" w:rsidRPr="009B6354">
        <w:rPr>
          <w:rFonts w:eastAsiaTheme="minorHAnsi" w:cs="Arial"/>
          <w:lang w:val="fr-CH"/>
        </w:rPr>
        <w:t xml:space="preserve"> </w:t>
      </w:r>
      <w:r w:rsidRPr="009B6354">
        <w:rPr>
          <w:rFonts w:eastAsiaTheme="minorHAnsi" w:cs="Arial"/>
          <w:lang w:val="fr-CH"/>
        </w:rPr>
        <w:t>(95% du budget).</w:t>
      </w:r>
    </w:p>
    <w:p w:rsidR="008527FA" w:rsidRPr="009B6354" w:rsidRDefault="003210D6" w:rsidP="003210D6">
      <w:pPr>
        <w:spacing w:after="200" w:line="276" w:lineRule="auto"/>
        <w:rPr>
          <w:rFonts w:eastAsiaTheme="minorHAnsi" w:cs="Arial"/>
          <w:i/>
          <w:lang w:val="fr-CH"/>
        </w:rPr>
      </w:pPr>
      <w:r w:rsidRPr="009B6354">
        <w:rPr>
          <w:rFonts w:eastAsiaTheme="minorHAnsi" w:cs="Arial"/>
          <w:i/>
          <w:lang w:val="fr-CH"/>
        </w:rPr>
        <w:t>Services contractuels</w:t>
      </w:r>
    </w:p>
    <w:p w:rsidR="008527FA" w:rsidRPr="009B6354" w:rsidRDefault="003210D6" w:rsidP="00D74683">
      <w:pPr>
        <w:spacing w:after="200" w:line="276" w:lineRule="auto"/>
        <w:rPr>
          <w:rFonts w:eastAsiaTheme="minorHAnsi" w:cs="Arial"/>
          <w:lang w:val="fr-CH"/>
        </w:rPr>
      </w:pPr>
      <w:r w:rsidRPr="009B6354">
        <w:rPr>
          <w:rFonts w:eastAsiaTheme="minorHAnsi" w:cs="Arial"/>
          <w:lang w:val="fr-CH"/>
        </w:rPr>
        <w:t>Le coût total des services contractuels a été conforme aux prévisions budgétaires (102% du budget).</w:t>
      </w:r>
      <w:r w:rsidR="00917841" w:rsidRPr="009B6354">
        <w:rPr>
          <w:rFonts w:eastAsiaTheme="minorHAnsi"/>
          <w:lang w:val="fr-CH"/>
        </w:rPr>
        <w:t xml:space="preserve">  </w:t>
      </w:r>
      <w:r w:rsidRPr="009B6354">
        <w:rPr>
          <w:rFonts w:eastAsiaTheme="minorHAnsi" w:cs="Arial"/>
          <w:lang w:val="fr-CH"/>
        </w:rPr>
        <w:t>Les coûts des conférences ont été nettement inférieurs aux montants prévus au budget, s</w:t>
      </w:r>
      <w:r w:rsidR="00126058" w:rsidRPr="009B6354">
        <w:rPr>
          <w:rFonts w:eastAsiaTheme="minorHAnsi" w:cs="Arial"/>
          <w:lang w:val="fr-CH"/>
        </w:rPr>
        <w:t>’</w:t>
      </w:r>
      <w:r w:rsidRPr="009B6354">
        <w:rPr>
          <w:rFonts w:eastAsiaTheme="minorHAnsi" w:cs="Arial"/>
          <w:lang w:val="fr-CH"/>
        </w:rPr>
        <w:t>établissant à 175</w:t>
      </w:r>
      <w:r w:rsidR="00A60A7B" w:rsidRPr="009B6354">
        <w:rPr>
          <w:rFonts w:eastAsiaTheme="minorHAnsi" w:cs="Arial"/>
          <w:lang w:val="fr-CH"/>
        </w:rPr>
        <w:t> </w:t>
      </w:r>
      <w:r w:rsidRPr="009B6354">
        <w:rPr>
          <w:rFonts w:eastAsiaTheme="minorHAnsi" w:cs="Arial"/>
          <w:lang w:val="fr-CH"/>
        </w:rPr>
        <w:t>000</w:t>
      </w:r>
      <w:r w:rsidR="00A60A7B" w:rsidRPr="009B6354">
        <w:rPr>
          <w:rFonts w:eastAsiaTheme="minorHAnsi" w:cs="Arial"/>
          <w:lang w:val="fr-CH"/>
        </w:rPr>
        <w:t> </w:t>
      </w:r>
      <w:r w:rsidRPr="009B6354">
        <w:rPr>
          <w:rFonts w:eastAsiaTheme="minorHAnsi" w:cs="Arial"/>
          <w:lang w:val="fr-CH"/>
        </w:rPr>
        <w:t>francs suisses contre 250</w:t>
      </w:r>
      <w:r w:rsidR="00A60A7B" w:rsidRPr="009B6354">
        <w:rPr>
          <w:rFonts w:eastAsiaTheme="minorHAnsi" w:cs="Arial"/>
          <w:lang w:val="fr-CH"/>
        </w:rPr>
        <w:t> </w:t>
      </w:r>
      <w:r w:rsidRPr="009B6354">
        <w:rPr>
          <w:rFonts w:eastAsiaTheme="minorHAnsi" w:cs="Arial"/>
          <w:lang w:val="fr-CH"/>
        </w:rPr>
        <w:t>000</w:t>
      </w:r>
      <w:r w:rsidR="00A60A7B" w:rsidRPr="009B6354">
        <w:rPr>
          <w:rFonts w:eastAsiaTheme="minorHAnsi" w:cs="Arial"/>
          <w:lang w:val="fr-CH"/>
        </w:rPr>
        <w:t> </w:t>
      </w:r>
      <w:r w:rsidRPr="009B6354">
        <w:rPr>
          <w:rFonts w:eastAsiaTheme="minorHAnsi" w:cs="Arial"/>
          <w:lang w:val="fr-CH"/>
        </w:rPr>
        <w:t>francs suisses (70% du budget).</w:t>
      </w:r>
      <w:r w:rsidR="00917841" w:rsidRPr="009B6354">
        <w:rPr>
          <w:rFonts w:eastAsiaTheme="minorHAnsi"/>
          <w:lang w:val="fr-CH"/>
        </w:rPr>
        <w:t xml:space="preserve">  </w:t>
      </w:r>
      <w:r w:rsidRPr="009B6354">
        <w:rPr>
          <w:rFonts w:eastAsiaTheme="minorHAnsi" w:cs="Arial"/>
          <w:lang w:val="fr-CH"/>
        </w:rPr>
        <w:t>Le reste des coûts liés aux services contractuels a été nettement supérieur aux prévisions budgétaires, avec un montant de 262</w:t>
      </w:r>
      <w:r w:rsidR="00A60A7B" w:rsidRPr="009B6354">
        <w:rPr>
          <w:rFonts w:eastAsiaTheme="minorHAnsi" w:cs="Arial"/>
          <w:lang w:val="fr-CH"/>
        </w:rPr>
        <w:t> </w:t>
      </w:r>
      <w:r w:rsidRPr="009B6354">
        <w:rPr>
          <w:rFonts w:eastAsiaTheme="minorHAnsi" w:cs="Arial"/>
          <w:lang w:val="fr-CH"/>
        </w:rPr>
        <w:t>000</w:t>
      </w:r>
      <w:r w:rsidR="00A60A7B" w:rsidRPr="009B6354">
        <w:rPr>
          <w:rFonts w:eastAsiaTheme="minorHAnsi" w:cs="Arial"/>
          <w:lang w:val="fr-CH"/>
        </w:rPr>
        <w:t> </w:t>
      </w:r>
      <w:r w:rsidRPr="009B6354">
        <w:rPr>
          <w:rFonts w:eastAsiaTheme="minorHAnsi" w:cs="Arial"/>
          <w:lang w:val="fr-CH"/>
        </w:rPr>
        <w:t>francs suisses contre 180</w:t>
      </w:r>
      <w:r w:rsidR="00A60A7B" w:rsidRPr="009B6354">
        <w:rPr>
          <w:rFonts w:eastAsiaTheme="minorHAnsi" w:cs="Arial"/>
          <w:lang w:val="fr-CH"/>
        </w:rPr>
        <w:t> </w:t>
      </w:r>
      <w:r w:rsidRPr="009B6354">
        <w:rPr>
          <w:rFonts w:eastAsiaTheme="minorHAnsi" w:cs="Arial"/>
          <w:lang w:val="fr-CH"/>
        </w:rPr>
        <w:t>000</w:t>
      </w:r>
      <w:r w:rsidR="00A60A7B" w:rsidRPr="009B6354">
        <w:rPr>
          <w:rFonts w:eastAsiaTheme="minorHAnsi" w:cs="Arial"/>
          <w:lang w:val="fr-CH"/>
        </w:rPr>
        <w:t> </w:t>
      </w:r>
      <w:r w:rsidRPr="009B6354">
        <w:rPr>
          <w:rFonts w:eastAsiaTheme="minorHAnsi" w:cs="Arial"/>
          <w:lang w:val="fr-CH"/>
        </w:rPr>
        <w:t>francs suisses (146% du budget).</w:t>
      </w:r>
      <w:r w:rsidR="00917841" w:rsidRPr="009B6354">
        <w:rPr>
          <w:rFonts w:eastAsiaTheme="minorHAnsi"/>
          <w:lang w:val="fr-CH"/>
        </w:rPr>
        <w:t xml:space="preserve">  </w:t>
      </w:r>
      <w:r w:rsidR="00D74683" w:rsidRPr="009B6354">
        <w:rPr>
          <w:rFonts w:eastAsiaTheme="minorHAnsi" w:cs="Arial"/>
          <w:lang w:val="fr-CH"/>
        </w:rPr>
        <w:t>La majeure partie des dépenses initialement prévues sous la catégorie “Experts” a été classée sous “Autres services contractuels” par suite des changements intervenus dans les catégories de dépense.</w:t>
      </w:r>
      <w:r w:rsidR="00917841" w:rsidRPr="009B6354">
        <w:rPr>
          <w:rFonts w:eastAsiaTheme="minorHAnsi"/>
          <w:lang w:val="fr-CH"/>
        </w:rPr>
        <w:t xml:space="preserve">  </w:t>
      </w:r>
      <w:r w:rsidR="00D74683" w:rsidRPr="009B6354">
        <w:rPr>
          <w:rFonts w:eastAsiaTheme="minorHAnsi" w:cs="Arial"/>
          <w:lang w:val="fr-CH"/>
        </w:rPr>
        <w:t>Les coûts figurant sous la rubrique “Autres services contractuels” comprennent les dépenses afférentes aux spécialistes informatiques engagés pour la mise au point d</w:t>
      </w:r>
      <w:r w:rsidR="00126058" w:rsidRPr="009B6354">
        <w:rPr>
          <w:rFonts w:eastAsiaTheme="minorHAnsi" w:cs="Arial"/>
          <w:lang w:val="fr-CH"/>
        </w:rPr>
        <w:t>’</w:t>
      </w:r>
      <w:r w:rsidR="00D74683" w:rsidRPr="009B6354">
        <w:rPr>
          <w:rFonts w:eastAsiaTheme="minorHAnsi" w:cs="Arial"/>
          <w:lang w:val="fr-CH"/>
        </w:rPr>
        <w:t>une version électronique du formulaire de demande et d</w:t>
      </w:r>
      <w:r w:rsidR="00126058" w:rsidRPr="009B6354">
        <w:rPr>
          <w:rFonts w:eastAsiaTheme="minorHAnsi" w:cs="Arial"/>
          <w:lang w:val="fr-CH"/>
        </w:rPr>
        <w:t>’</w:t>
      </w:r>
      <w:r w:rsidR="00D74683" w:rsidRPr="009B6354">
        <w:rPr>
          <w:rFonts w:eastAsiaTheme="minorHAnsi" w:cs="Arial"/>
          <w:lang w:val="fr-CH"/>
        </w:rPr>
        <w:t>un modèle électronique pour les principes directeurs d</w:t>
      </w:r>
      <w:r w:rsidR="00126058" w:rsidRPr="009B6354">
        <w:rPr>
          <w:rFonts w:eastAsiaTheme="minorHAnsi" w:cs="Arial"/>
          <w:lang w:val="fr-CH"/>
        </w:rPr>
        <w:t>’</w:t>
      </w:r>
      <w:r w:rsidR="00D74683" w:rsidRPr="009B6354">
        <w:rPr>
          <w:rFonts w:eastAsiaTheme="minorHAnsi" w:cs="Arial"/>
          <w:lang w:val="fr-CH"/>
        </w:rPr>
        <w:t>examen et aux experts venus seconder le personnel de l</w:t>
      </w:r>
      <w:r w:rsidR="00126058" w:rsidRPr="009B6354">
        <w:rPr>
          <w:rFonts w:eastAsiaTheme="minorHAnsi" w:cs="Arial"/>
          <w:lang w:val="fr-CH"/>
        </w:rPr>
        <w:t>’</w:t>
      </w:r>
      <w:r w:rsidR="00D74683" w:rsidRPr="009B6354">
        <w:rPr>
          <w:rFonts w:eastAsiaTheme="minorHAnsi" w:cs="Arial"/>
          <w:lang w:val="fr-CH"/>
        </w:rPr>
        <w:t>UPOV pour l</w:t>
      </w:r>
      <w:r w:rsidR="00126058" w:rsidRPr="009B6354">
        <w:rPr>
          <w:rFonts w:eastAsiaTheme="minorHAnsi" w:cs="Arial"/>
          <w:lang w:val="fr-CH"/>
        </w:rPr>
        <w:t>’</w:t>
      </w:r>
      <w:r w:rsidR="00D74683" w:rsidRPr="009B6354">
        <w:rPr>
          <w:rFonts w:eastAsiaTheme="minorHAnsi" w:cs="Arial"/>
          <w:lang w:val="fr-CH"/>
        </w:rPr>
        <w:t>élaboration du cours avancé d</w:t>
      </w:r>
      <w:r w:rsidR="00126058" w:rsidRPr="009B6354">
        <w:rPr>
          <w:rFonts w:eastAsiaTheme="minorHAnsi" w:cs="Arial"/>
          <w:lang w:val="fr-CH"/>
        </w:rPr>
        <w:t>’</w:t>
      </w:r>
      <w:r w:rsidR="00D74683" w:rsidRPr="009B6354">
        <w:rPr>
          <w:rFonts w:eastAsiaTheme="minorHAnsi" w:cs="Arial"/>
          <w:lang w:val="fr-CH"/>
        </w:rPr>
        <w:t>enseignement à distance intitulé “Examen des demandes de droit d</w:t>
      </w:r>
      <w:r w:rsidR="00126058" w:rsidRPr="009B6354">
        <w:rPr>
          <w:rFonts w:eastAsiaTheme="minorHAnsi" w:cs="Arial"/>
          <w:lang w:val="fr-CH"/>
        </w:rPr>
        <w:t>’</w:t>
      </w:r>
      <w:r w:rsidR="00D74683" w:rsidRPr="009B6354">
        <w:rPr>
          <w:rFonts w:eastAsiaTheme="minorHAnsi" w:cs="Arial"/>
          <w:lang w:val="fr-CH"/>
        </w:rPr>
        <w:t>obtenteur” (DL</w:t>
      </w:r>
      <w:r w:rsidR="009B6354" w:rsidRPr="009B6354">
        <w:rPr>
          <w:rFonts w:eastAsiaTheme="minorHAnsi" w:cs="Arial"/>
          <w:lang w:val="fr-CH"/>
        </w:rPr>
        <w:noBreakHyphen/>
      </w:r>
      <w:r w:rsidR="00D74683" w:rsidRPr="009B6354">
        <w:rPr>
          <w:rFonts w:eastAsiaTheme="minorHAnsi" w:cs="Arial"/>
          <w:lang w:val="fr-CH"/>
        </w:rPr>
        <w:t>305) et l</w:t>
      </w:r>
      <w:r w:rsidR="00126058" w:rsidRPr="009B6354">
        <w:rPr>
          <w:rFonts w:eastAsiaTheme="minorHAnsi" w:cs="Arial"/>
          <w:lang w:val="fr-CH"/>
        </w:rPr>
        <w:t>’</w:t>
      </w:r>
      <w:r w:rsidR="00D74683" w:rsidRPr="009B6354">
        <w:rPr>
          <w:rFonts w:eastAsiaTheme="minorHAnsi" w:cs="Arial"/>
          <w:lang w:val="fr-CH"/>
        </w:rPr>
        <w:t>administration du cours DL</w:t>
      </w:r>
      <w:r w:rsidR="009B6354" w:rsidRPr="009B6354">
        <w:rPr>
          <w:rFonts w:eastAsiaTheme="minorHAnsi" w:cs="Arial"/>
          <w:lang w:val="fr-CH"/>
        </w:rPr>
        <w:noBreakHyphen/>
      </w:r>
      <w:r w:rsidR="00D74683" w:rsidRPr="009B6354">
        <w:rPr>
          <w:rFonts w:eastAsiaTheme="minorHAnsi" w:cs="Arial"/>
          <w:lang w:val="fr-CH"/>
        </w:rPr>
        <w:t xml:space="preserve">205 intitulé “Introduction au système UPOV de protection des variétés végétales selon la </w:t>
      </w:r>
      <w:r w:rsidR="00126058" w:rsidRPr="009B6354">
        <w:rPr>
          <w:rFonts w:eastAsiaTheme="minorHAnsi" w:cs="Arial"/>
          <w:lang w:val="fr-CH"/>
        </w:rPr>
        <w:t>Convention UPOV</w:t>
      </w:r>
      <w:r w:rsidR="00D74683" w:rsidRPr="009B6354">
        <w:rPr>
          <w:rFonts w:eastAsiaTheme="minorHAnsi" w:cs="Arial"/>
          <w:lang w:val="fr-CH"/>
        </w:rPr>
        <w:t>”.</w:t>
      </w:r>
    </w:p>
    <w:p w:rsidR="008527FA" w:rsidRPr="009B6354" w:rsidRDefault="00D74683" w:rsidP="00D74683">
      <w:pPr>
        <w:spacing w:after="200" w:line="276" w:lineRule="auto"/>
        <w:rPr>
          <w:rFonts w:eastAsiaTheme="minorHAnsi" w:cs="Arial"/>
          <w:i/>
          <w:lang w:val="fr-CH"/>
        </w:rPr>
      </w:pPr>
      <w:r w:rsidRPr="009B6354">
        <w:rPr>
          <w:rFonts w:eastAsiaTheme="minorHAnsi" w:cs="Arial"/>
          <w:i/>
          <w:lang w:val="fr-CH"/>
        </w:rPr>
        <w:t>Dépenses de fonctionnement</w:t>
      </w:r>
    </w:p>
    <w:p w:rsidR="008527FA" w:rsidRPr="009B6354" w:rsidRDefault="00D74683" w:rsidP="00D74683">
      <w:pPr>
        <w:spacing w:after="200" w:line="276" w:lineRule="auto"/>
        <w:rPr>
          <w:rFonts w:eastAsiaTheme="minorHAnsi" w:cs="Arial"/>
          <w:lang w:val="fr-CH"/>
        </w:rPr>
      </w:pPr>
      <w:r w:rsidRPr="009B6354">
        <w:rPr>
          <w:rFonts w:eastAsiaTheme="minorHAnsi" w:cs="Arial"/>
          <w:lang w:val="fr-CH"/>
        </w:rPr>
        <w:t>Les dépenses de fonctionnement pour l</w:t>
      </w:r>
      <w:r w:rsidR="00126058" w:rsidRPr="009B6354">
        <w:rPr>
          <w:rFonts w:eastAsiaTheme="minorHAnsi" w:cs="Arial"/>
          <w:lang w:val="fr-CH"/>
        </w:rPr>
        <w:t>’</w:t>
      </w:r>
      <w:r w:rsidRPr="009B6354">
        <w:rPr>
          <w:rFonts w:eastAsiaTheme="minorHAnsi" w:cs="Arial"/>
          <w:lang w:val="fr-CH"/>
        </w:rPr>
        <w:t>exercice biennal</w:t>
      </w:r>
      <w:r w:rsidR="00827F1D" w:rsidRPr="009B6354">
        <w:rPr>
          <w:rFonts w:eastAsiaTheme="minorHAnsi" w:cs="Arial"/>
          <w:lang w:val="fr-CH"/>
        </w:rPr>
        <w:t> </w:t>
      </w:r>
      <w:r w:rsidRPr="009B6354">
        <w:rPr>
          <w:rFonts w:eastAsiaTheme="minorHAnsi" w:cs="Arial"/>
          <w:lang w:val="fr-CH"/>
        </w:rPr>
        <w:t>2012</w:t>
      </w:r>
      <w:r w:rsidR="009B6354" w:rsidRPr="009B6354">
        <w:rPr>
          <w:rFonts w:eastAsiaTheme="minorHAnsi" w:cs="Arial"/>
          <w:lang w:val="fr-CH"/>
        </w:rPr>
        <w:noBreakHyphen/>
      </w:r>
      <w:r w:rsidRPr="009B6354">
        <w:rPr>
          <w:rFonts w:eastAsiaTheme="minorHAnsi" w:cs="Arial"/>
          <w:lang w:val="fr-CH"/>
        </w:rPr>
        <w:t>2013 ont été conformes aux prévisions budgétaires (101% du budget).</w:t>
      </w:r>
    </w:p>
    <w:p w:rsidR="008527FA" w:rsidRPr="009B6354" w:rsidRDefault="00D74683" w:rsidP="00D74683">
      <w:pPr>
        <w:spacing w:after="200" w:line="276" w:lineRule="auto"/>
        <w:rPr>
          <w:rFonts w:eastAsiaTheme="minorHAnsi" w:cs="Arial"/>
          <w:i/>
          <w:lang w:val="fr-CH"/>
        </w:rPr>
      </w:pPr>
      <w:r w:rsidRPr="009B6354">
        <w:rPr>
          <w:rFonts w:eastAsiaTheme="minorHAnsi" w:cs="Arial"/>
          <w:i/>
          <w:lang w:val="fr-CH"/>
        </w:rPr>
        <w:t>Matériel et fournitures</w:t>
      </w:r>
    </w:p>
    <w:p w:rsidR="008527FA" w:rsidRPr="009B6354" w:rsidRDefault="00D74683" w:rsidP="00D74683">
      <w:pPr>
        <w:spacing w:after="200" w:line="276" w:lineRule="auto"/>
        <w:rPr>
          <w:rFonts w:eastAsiaTheme="minorHAnsi" w:cs="Arial"/>
          <w:lang w:val="fr-CH"/>
        </w:rPr>
      </w:pPr>
      <w:r w:rsidRPr="009B6354">
        <w:rPr>
          <w:rFonts w:eastAsiaTheme="minorHAnsi" w:cs="Arial"/>
          <w:lang w:val="fr-CH"/>
        </w:rPr>
        <w:t>Les dépenses inscrites au poste Matériel et fournitures pour l</w:t>
      </w:r>
      <w:r w:rsidR="00126058" w:rsidRPr="009B6354">
        <w:rPr>
          <w:rFonts w:eastAsiaTheme="minorHAnsi" w:cs="Arial"/>
          <w:lang w:val="fr-CH"/>
        </w:rPr>
        <w:t>’</w:t>
      </w:r>
      <w:r w:rsidRPr="009B6354">
        <w:rPr>
          <w:rFonts w:eastAsiaTheme="minorHAnsi" w:cs="Arial"/>
          <w:lang w:val="fr-CH"/>
        </w:rPr>
        <w:t>exercice biennal</w:t>
      </w:r>
      <w:r w:rsidR="00827F1D" w:rsidRPr="009B6354">
        <w:rPr>
          <w:rFonts w:eastAsiaTheme="minorHAnsi" w:cs="Arial"/>
          <w:lang w:val="fr-CH"/>
        </w:rPr>
        <w:t> </w:t>
      </w:r>
      <w:r w:rsidRPr="009B6354">
        <w:rPr>
          <w:rFonts w:eastAsiaTheme="minorHAnsi" w:cs="Arial"/>
          <w:lang w:val="fr-CH"/>
        </w:rPr>
        <w:t>2012</w:t>
      </w:r>
      <w:r w:rsidR="009B6354" w:rsidRPr="009B6354">
        <w:rPr>
          <w:rFonts w:eastAsiaTheme="minorHAnsi" w:cs="Arial"/>
          <w:lang w:val="fr-CH"/>
        </w:rPr>
        <w:noBreakHyphen/>
      </w:r>
      <w:r w:rsidRPr="009B6354">
        <w:rPr>
          <w:rFonts w:eastAsiaTheme="minorHAnsi" w:cs="Arial"/>
          <w:lang w:val="fr-CH"/>
        </w:rPr>
        <w:t>2013 ont été globalement conformes aux prévisions budgétaires (90% du budget).</w:t>
      </w:r>
    </w:p>
    <w:p w:rsidR="008527FA" w:rsidRPr="009B6354" w:rsidRDefault="00EE7438" w:rsidP="00D81BFB">
      <w:pPr>
        <w:rPr>
          <w:rFonts w:asciiTheme="minorHAnsi" w:eastAsiaTheme="minorHAnsi" w:hAnsiTheme="minorHAnsi" w:cstheme="minorBidi"/>
          <w:sz w:val="22"/>
          <w:szCs w:val="22"/>
          <w:lang w:val="fr-CH"/>
        </w:rPr>
      </w:pPr>
      <w:r w:rsidRPr="009B6354">
        <w:rPr>
          <w:rFonts w:asciiTheme="minorHAnsi" w:eastAsiaTheme="minorHAnsi" w:hAnsiTheme="minorHAnsi" w:cstheme="minorBidi"/>
          <w:sz w:val="22"/>
          <w:szCs w:val="22"/>
          <w:lang w:val="fr-CH"/>
        </w:rPr>
        <w:br w:type="page"/>
      </w:r>
    </w:p>
    <w:p w:rsidR="00126058" w:rsidRPr="009B6354" w:rsidRDefault="007E32AF" w:rsidP="007E32AF">
      <w:pPr>
        <w:spacing w:after="200" w:line="276" w:lineRule="auto"/>
        <w:rPr>
          <w:rFonts w:eastAsiaTheme="minorHAnsi" w:cs="Arial"/>
          <w:lang w:val="fr-CH"/>
        </w:rPr>
      </w:pPr>
      <w:r w:rsidRPr="009B6354">
        <w:rPr>
          <w:rFonts w:eastAsiaTheme="minorHAnsi" w:cs="Arial"/>
          <w:lang w:val="fr-CH"/>
        </w:rPr>
        <w:lastRenderedPageBreak/>
        <w:t xml:space="preserve">La </w:t>
      </w:r>
      <w:r w:rsidR="00827F1D" w:rsidRPr="009B6354">
        <w:rPr>
          <w:rFonts w:eastAsiaTheme="minorHAnsi" w:cs="Arial"/>
          <w:lang w:val="fr-CH"/>
        </w:rPr>
        <w:t>ventil</w:t>
      </w:r>
      <w:r w:rsidRPr="009B6354">
        <w:rPr>
          <w:rFonts w:eastAsiaTheme="minorHAnsi" w:cs="Arial"/>
          <w:lang w:val="fr-CH"/>
        </w:rPr>
        <w:t>ation des dépenses pour</w:t>
      </w:r>
      <w:r w:rsidR="00827F1D" w:rsidRPr="009B6354">
        <w:rPr>
          <w:rFonts w:eastAsiaTheme="minorHAnsi" w:cs="Arial"/>
          <w:lang w:val="fr-CH"/>
        </w:rPr>
        <w:t> </w:t>
      </w:r>
      <w:r w:rsidRPr="009B6354">
        <w:rPr>
          <w:rFonts w:eastAsiaTheme="minorHAnsi" w:cs="Arial"/>
          <w:lang w:val="fr-CH"/>
        </w:rPr>
        <w:t>2012</w:t>
      </w:r>
      <w:r w:rsidR="009B6354" w:rsidRPr="009B6354">
        <w:rPr>
          <w:rFonts w:eastAsiaTheme="minorHAnsi" w:cs="Arial"/>
          <w:lang w:val="fr-CH"/>
        </w:rPr>
        <w:noBreakHyphen/>
      </w:r>
      <w:r w:rsidRPr="009B6354">
        <w:rPr>
          <w:rFonts w:eastAsiaTheme="minorHAnsi" w:cs="Arial"/>
          <w:lang w:val="fr-CH"/>
        </w:rPr>
        <w:t>2013 par sous</w:t>
      </w:r>
      <w:r w:rsidR="009B6354" w:rsidRPr="009B6354">
        <w:rPr>
          <w:rFonts w:eastAsiaTheme="minorHAnsi" w:cs="Arial"/>
          <w:lang w:val="fr-CH"/>
        </w:rPr>
        <w:noBreakHyphen/>
      </w:r>
      <w:r w:rsidRPr="009B6354">
        <w:rPr>
          <w:rFonts w:eastAsiaTheme="minorHAnsi" w:cs="Arial"/>
          <w:lang w:val="fr-CH"/>
        </w:rPr>
        <w:t>programme et par catégorie de dépense est présentée dans le tableau</w:t>
      </w:r>
      <w:r w:rsidR="00827F1D" w:rsidRPr="009B6354">
        <w:rPr>
          <w:rFonts w:eastAsiaTheme="minorHAnsi" w:cs="Arial"/>
          <w:lang w:val="fr-CH"/>
        </w:rPr>
        <w:t> </w:t>
      </w:r>
      <w:r w:rsidRPr="009B6354">
        <w:rPr>
          <w:rFonts w:eastAsiaTheme="minorHAnsi" w:cs="Arial"/>
          <w:lang w:val="fr-CH"/>
        </w:rPr>
        <w:t>5 ci</w:t>
      </w:r>
      <w:r w:rsidR="009B6354" w:rsidRPr="009B6354">
        <w:rPr>
          <w:rFonts w:eastAsiaTheme="minorHAnsi" w:cs="Arial"/>
          <w:lang w:val="fr-CH"/>
        </w:rPr>
        <w:noBreakHyphen/>
      </w:r>
      <w:r w:rsidRPr="009B6354">
        <w:rPr>
          <w:rFonts w:eastAsiaTheme="minorHAnsi" w:cs="Arial"/>
          <w:lang w:val="fr-CH"/>
        </w:rPr>
        <w:t>dessous.</w:t>
      </w:r>
    </w:p>
    <w:p w:rsidR="008527FA" w:rsidRPr="009B6354" w:rsidRDefault="007E32AF" w:rsidP="00CA3BDE">
      <w:pPr>
        <w:pStyle w:val="Heading3"/>
      </w:pPr>
      <w:bookmarkStart w:id="10" w:name="_Toc393377914"/>
      <w:bookmarkStart w:id="11" w:name="_Toc395251219"/>
      <w:r w:rsidRPr="009B6354">
        <w:t>Tableau 5.  Dé</w:t>
      </w:r>
      <w:r w:rsidR="00827F1D" w:rsidRPr="009B6354">
        <w:t>tail des dé</w:t>
      </w:r>
      <w:r w:rsidRPr="009B6354">
        <w:t>penses pour</w:t>
      </w:r>
      <w:r w:rsidR="00827F1D" w:rsidRPr="009B6354">
        <w:t> </w:t>
      </w:r>
      <w:r w:rsidRPr="009B6354">
        <w:t>2012</w:t>
      </w:r>
      <w:r w:rsidR="009B6354" w:rsidRPr="009B6354">
        <w:noBreakHyphen/>
      </w:r>
      <w:r w:rsidRPr="009B6354">
        <w:t>2013 par sous</w:t>
      </w:r>
      <w:r w:rsidR="009B6354" w:rsidRPr="009B6354">
        <w:noBreakHyphen/>
      </w:r>
      <w:r w:rsidRPr="009B6354">
        <w:t>program</w:t>
      </w:r>
      <w:bookmarkEnd w:id="10"/>
      <w:r w:rsidRPr="009B6354">
        <w:t>me</w:t>
      </w:r>
      <w:bookmarkEnd w:id="11"/>
    </w:p>
    <w:p w:rsidR="00EF4D81" w:rsidRDefault="007E32AF" w:rsidP="00EF4D81">
      <w:pPr>
        <w:spacing w:after="200" w:line="276" w:lineRule="auto"/>
        <w:jc w:val="center"/>
        <w:rPr>
          <w:rFonts w:eastAsiaTheme="minorHAnsi" w:cs="Arial"/>
          <w:i/>
          <w:lang w:val="fr-CH"/>
        </w:rPr>
      </w:pPr>
      <w:r w:rsidRPr="009B6354">
        <w:rPr>
          <w:rFonts w:eastAsiaTheme="minorHAnsi" w:cs="Arial"/>
          <w:i/>
          <w:lang w:val="fr-CH"/>
        </w:rPr>
        <w:t>(en milliers de francs suisses)</w:t>
      </w:r>
    </w:p>
    <w:p w:rsidR="00FA4369" w:rsidRDefault="00FA4369" w:rsidP="00EF4D81">
      <w:pPr>
        <w:spacing w:after="200" w:line="276" w:lineRule="auto"/>
        <w:jc w:val="center"/>
        <w:rPr>
          <w:rFonts w:eastAsiaTheme="minorHAnsi" w:cs="Arial"/>
          <w:i/>
          <w:lang w:val="fr-CH"/>
        </w:rPr>
      </w:pPr>
      <w:r w:rsidRPr="00FA4369">
        <w:rPr>
          <w:rFonts w:eastAsiaTheme="minorHAnsi"/>
          <w:noProof/>
        </w:rPr>
        <w:drawing>
          <wp:inline distT="0" distB="0" distL="0" distR="0" wp14:anchorId="04F661BA" wp14:editId="7B0FDE6E">
            <wp:extent cx="6120765" cy="42834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4283484"/>
                    </a:xfrm>
                    <a:prstGeom prst="rect">
                      <a:avLst/>
                    </a:prstGeom>
                    <a:noFill/>
                    <a:ln>
                      <a:noFill/>
                    </a:ln>
                  </pic:spPr>
                </pic:pic>
              </a:graphicData>
            </a:graphic>
          </wp:inline>
        </w:drawing>
      </w:r>
    </w:p>
    <w:p w:rsidR="00FA4369" w:rsidRDefault="00FA4369" w:rsidP="00EF4D81">
      <w:pPr>
        <w:spacing w:after="200" w:line="276" w:lineRule="auto"/>
        <w:jc w:val="center"/>
        <w:rPr>
          <w:rFonts w:eastAsiaTheme="minorHAnsi" w:cs="Arial"/>
          <w:i/>
          <w:lang w:val="fr-CH"/>
        </w:rPr>
      </w:pPr>
    </w:p>
    <w:p w:rsidR="00126058" w:rsidRPr="009B6354" w:rsidRDefault="0083127D" w:rsidP="00D81BFB">
      <w:pPr>
        <w:spacing w:after="200" w:line="276" w:lineRule="auto"/>
        <w:rPr>
          <w:rFonts w:eastAsiaTheme="minorHAnsi" w:cs="Arial"/>
          <w:lang w:val="fr-CH"/>
        </w:rPr>
      </w:pPr>
      <w:r w:rsidRPr="009B6354">
        <w:rPr>
          <w:rFonts w:eastAsiaTheme="minorHAnsi" w:cs="Arial"/>
          <w:lang w:val="fr-CH"/>
        </w:rPr>
        <w:t>5</w:t>
      </w:r>
      <w:r w:rsidR="007E32AF" w:rsidRPr="009B6354">
        <w:rPr>
          <w:rFonts w:eastAsiaTheme="minorHAnsi" w:cs="Arial"/>
          <w:lang w:val="fr-CH"/>
        </w:rPr>
        <w:t>.</w:t>
      </w:r>
      <w:r w:rsidR="007E32AF" w:rsidRPr="009B6354">
        <w:rPr>
          <w:rFonts w:eastAsiaTheme="minorHAnsi" w:cs="Arial"/>
          <w:lang w:val="fr-CH"/>
        </w:rPr>
        <w:tab/>
        <w:t>Comme indiqué dans le tableau 6</w:t>
      </w:r>
      <w:r w:rsidRPr="009B6354">
        <w:rPr>
          <w:rFonts w:eastAsiaTheme="minorHAnsi" w:cs="Arial"/>
          <w:lang w:val="fr-CH"/>
        </w:rPr>
        <w:t xml:space="preserve"> ci</w:t>
      </w:r>
      <w:r w:rsidR="009B6354" w:rsidRPr="009B6354">
        <w:rPr>
          <w:rFonts w:eastAsiaTheme="minorHAnsi" w:cs="Arial"/>
          <w:lang w:val="fr-CH"/>
        </w:rPr>
        <w:noBreakHyphen/>
      </w:r>
      <w:r w:rsidRPr="009B6354">
        <w:rPr>
          <w:rFonts w:eastAsiaTheme="minorHAnsi" w:cs="Arial"/>
          <w:lang w:val="fr-CH"/>
        </w:rPr>
        <w:t>dessous</w:t>
      </w:r>
      <w:r w:rsidR="00917841" w:rsidRPr="009B6354">
        <w:rPr>
          <w:rFonts w:eastAsiaTheme="minorHAnsi" w:cs="Arial"/>
          <w:lang w:val="fr-CH"/>
        </w:rPr>
        <w:t xml:space="preserve">, </w:t>
      </w:r>
      <w:r w:rsidR="007E32AF" w:rsidRPr="009B6354">
        <w:rPr>
          <w:rFonts w:eastAsiaTheme="minorHAnsi" w:cs="Arial"/>
          <w:lang w:val="fr-CH"/>
        </w:rPr>
        <w:t xml:space="preserve">aucune modification du nombre </w:t>
      </w:r>
      <w:r w:rsidR="00917841" w:rsidRPr="009B6354">
        <w:rPr>
          <w:rFonts w:eastAsiaTheme="minorHAnsi" w:cs="Arial"/>
          <w:lang w:val="fr-CH"/>
        </w:rPr>
        <w:t xml:space="preserve">total </w:t>
      </w:r>
      <w:r w:rsidR="007E32AF" w:rsidRPr="009B6354">
        <w:rPr>
          <w:rFonts w:eastAsiaTheme="minorHAnsi" w:cs="Arial"/>
          <w:lang w:val="fr-CH"/>
        </w:rPr>
        <w:t>de</w:t>
      </w:r>
      <w:r w:rsidR="00917841" w:rsidRPr="009B6354">
        <w:rPr>
          <w:rFonts w:eastAsiaTheme="minorHAnsi" w:cs="Arial"/>
          <w:lang w:val="fr-CH"/>
        </w:rPr>
        <w:t xml:space="preserve"> </w:t>
      </w:r>
      <w:r w:rsidR="007E32AF" w:rsidRPr="009B6354">
        <w:rPr>
          <w:rFonts w:eastAsiaTheme="minorHAnsi" w:cs="Arial"/>
          <w:lang w:val="fr-CH"/>
        </w:rPr>
        <w:t>p</w:t>
      </w:r>
      <w:r w:rsidR="00917841" w:rsidRPr="009B6354">
        <w:rPr>
          <w:rFonts w:eastAsiaTheme="minorHAnsi" w:cs="Arial"/>
          <w:lang w:val="fr-CH"/>
        </w:rPr>
        <w:t>ost</w:t>
      </w:r>
      <w:r w:rsidR="007E32AF" w:rsidRPr="009B6354">
        <w:rPr>
          <w:rFonts w:eastAsiaTheme="minorHAnsi" w:cs="Arial"/>
          <w:lang w:val="fr-CH"/>
        </w:rPr>
        <w:t>e</w:t>
      </w:r>
      <w:r w:rsidR="00917841" w:rsidRPr="009B6354">
        <w:rPr>
          <w:rFonts w:eastAsiaTheme="minorHAnsi" w:cs="Arial"/>
          <w:lang w:val="fr-CH"/>
        </w:rPr>
        <w:t xml:space="preserve">s </w:t>
      </w:r>
      <w:r w:rsidR="007E32AF" w:rsidRPr="009B6354">
        <w:rPr>
          <w:rFonts w:eastAsiaTheme="minorHAnsi" w:cs="Arial"/>
          <w:lang w:val="fr-CH"/>
        </w:rPr>
        <w:t xml:space="preserve">et de leur </w:t>
      </w:r>
      <w:r w:rsidR="00827F1D" w:rsidRPr="009B6354">
        <w:rPr>
          <w:rFonts w:eastAsiaTheme="minorHAnsi" w:cs="Arial"/>
          <w:lang w:val="fr-CH"/>
        </w:rPr>
        <w:t>ventila</w:t>
      </w:r>
      <w:r w:rsidR="007E32AF" w:rsidRPr="009B6354">
        <w:rPr>
          <w:rFonts w:eastAsiaTheme="minorHAnsi" w:cs="Arial"/>
          <w:lang w:val="fr-CH"/>
        </w:rPr>
        <w:t xml:space="preserve">tion par </w:t>
      </w:r>
      <w:r w:rsidR="00917841" w:rsidRPr="009B6354">
        <w:rPr>
          <w:rFonts w:eastAsiaTheme="minorHAnsi" w:cs="Arial"/>
          <w:lang w:val="fr-CH"/>
        </w:rPr>
        <w:t>cat</w:t>
      </w:r>
      <w:r w:rsidR="007E32AF" w:rsidRPr="009B6354">
        <w:rPr>
          <w:rFonts w:eastAsiaTheme="minorHAnsi" w:cs="Arial"/>
          <w:lang w:val="fr-CH"/>
        </w:rPr>
        <w:t>é</w:t>
      </w:r>
      <w:r w:rsidR="00917841" w:rsidRPr="009B6354">
        <w:rPr>
          <w:rFonts w:eastAsiaTheme="minorHAnsi" w:cs="Arial"/>
          <w:lang w:val="fr-CH"/>
        </w:rPr>
        <w:t xml:space="preserve">gorie </w:t>
      </w:r>
      <w:r w:rsidR="007E32AF" w:rsidRPr="009B6354">
        <w:rPr>
          <w:rFonts w:eastAsiaTheme="minorHAnsi" w:cs="Arial"/>
          <w:lang w:val="fr-CH"/>
        </w:rPr>
        <w:t>n</w:t>
      </w:r>
      <w:r w:rsidR="00126058" w:rsidRPr="009B6354">
        <w:rPr>
          <w:rFonts w:eastAsiaTheme="minorHAnsi" w:cs="Arial"/>
          <w:lang w:val="fr-CH"/>
        </w:rPr>
        <w:t>’</w:t>
      </w:r>
      <w:r w:rsidR="007E32AF" w:rsidRPr="009B6354">
        <w:rPr>
          <w:rFonts w:eastAsiaTheme="minorHAnsi" w:cs="Arial"/>
          <w:lang w:val="fr-CH"/>
        </w:rPr>
        <w:t xml:space="preserve">est </w:t>
      </w:r>
      <w:r w:rsidR="00827F1D" w:rsidRPr="009B6354">
        <w:rPr>
          <w:rFonts w:eastAsiaTheme="minorHAnsi" w:cs="Arial"/>
          <w:lang w:val="fr-CH"/>
        </w:rPr>
        <w:t>inter</w:t>
      </w:r>
      <w:r w:rsidR="007E32AF" w:rsidRPr="009B6354">
        <w:rPr>
          <w:rFonts w:eastAsiaTheme="minorHAnsi" w:cs="Arial"/>
          <w:lang w:val="fr-CH"/>
        </w:rPr>
        <w:t>v</w:t>
      </w:r>
      <w:r w:rsidR="00827F1D" w:rsidRPr="009B6354">
        <w:rPr>
          <w:rFonts w:eastAsiaTheme="minorHAnsi" w:cs="Arial"/>
          <w:lang w:val="fr-CH"/>
        </w:rPr>
        <w:t>en</w:t>
      </w:r>
      <w:r w:rsidR="007E32AF" w:rsidRPr="009B6354">
        <w:rPr>
          <w:rFonts w:eastAsiaTheme="minorHAnsi" w:cs="Arial"/>
          <w:lang w:val="fr-CH"/>
        </w:rPr>
        <w:t>ue au cours de l</w:t>
      </w:r>
      <w:r w:rsidR="00126058" w:rsidRPr="009B6354">
        <w:rPr>
          <w:rFonts w:eastAsiaTheme="minorHAnsi" w:cs="Arial"/>
          <w:lang w:val="fr-CH"/>
        </w:rPr>
        <w:t>’</w:t>
      </w:r>
      <w:r w:rsidR="007E32AF" w:rsidRPr="009B6354">
        <w:rPr>
          <w:rFonts w:eastAsiaTheme="minorHAnsi" w:cs="Arial"/>
          <w:lang w:val="fr-CH"/>
        </w:rPr>
        <w:t>exercice biennal</w:t>
      </w:r>
      <w:r w:rsidR="00827F1D" w:rsidRPr="009B6354">
        <w:rPr>
          <w:rFonts w:eastAsiaTheme="minorHAnsi" w:cs="Arial"/>
          <w:lang w:val="fr-CH"/>
        </w:rPr>
        <w:t> </w:t>
      </w:r>
      <w:r w:rsidR="00917841" w:rsidRPr="009B6354">
        <w:rPr>
          <w:rFonts w:eastAsiaTheme="minorHAnsi" w:cs="Arial"/>
          <w:lang w:val="fr-CH"/>
        </w:rPr>
        <w:t>2012</w:t>
      </w:r>
      <w:r w:rsidR="009B6354" w:rsidRPr="009B6354">
        <w:rPr>
          <w:rFonts w:eastAsiaTheme="minorHAnsi" w:cs="Arial"/>
          <w:lang w:val="fr-CH"/>
        </w:rPr>
        <w:noBreakHyphen/>
      </w:r>
      <w:r w:rsidR="007E32AF" w:rsidRPr="009B6354">
        <w:rPr>
          <w:rFonts w:eastAsiaTheme="minorHAnsi" w:cs="Arial"/>
          <w:lang w:val="fr-CH"/>
        </w:rPr>
        <w:t>20</w:t>
      </w:r>
      <w:r w:rsidR="00917841" w:rsidRPr="009B6354">
        <w:rPr>
          <w:rFonts w:eastAsiaTheme="minorHAnsi" w:cs="Arial"/>
          <w:lang w:val="fr-CH"/>
        </w:rPr>
        <w:t>13.</w:t>
      </w:r>
    </w:p>
    <w:p w:rsidR="008527FA" w:rsidRPr="009B6354" w:rsidRDefault="00917841" w:rsidP="00CA3BDE">
      <w:pPr>
        <w:pStyle w:val="Heading3"/>
      </w:pPr>
      <w:bookmarkStart w:id="12" w:name="_Toc395251220"/>
      <w:r w:rsidRPr="009B6354">
        <w:t>Table</w:t>
      </w:r>
      <w:r w:rsidR="007E32AF" w:rsidRPr="009B6354">
        <w:t>au </w:t>
      </w:r>
      <w:r w:rsidRPr="009B6354">
        <w:t xml:space="preserve">6. </w:t>
      </w:r>
      <w:r w:rsidR="007E32AF" w:rsidRPr="009B6354">
        <w:t xml:space="preserve"> Postes inscrits au budget et postes effectifs pou</w:t>
      </w:r>
      <w:r w:rsidR="00EC2294" w:rsidRPr="009B6354">
        <w:t>r</w:t>
      </w:r>
      <w:r w:rsidR="00827F1D" w:rsidRPr="009B6354">
        <w:t> </w:t>
      </w:r>
      <w:r w:rsidRPr="009B6354">
        <w:t>2012</w:t>
      </w:r>
      <w:r w:rsidR="009B6354" w:rsidRPr="009B6354">
        <w:noBreakHyphen/>
      </w:r>
      <w:r w:rsidR="007E32AF" w:rsidRPr="009B6354">
        <w:t>20</w:t>
      </w:r>
      <w:r w:rsidRPr="009B6354">
        <w:t>13</w:t>
      </w:r>
      <w:bookmarkEnd w:id="12"/>
    </w:p>
    <w:p w:rsidR="008527FA" w:rsidRDefault="008527FA" w:rsidP="00BA6252">
      <w:pPr>
        <w:rPr>
          <w:rFonts w:eastAsiaTheme="minorHAnsi"/>
          <w:lang w:val="fr-CH"/>
        </w:rPr>
      </w:pPr>
    </w:p>
    <w:p w:rsidR="00EF4D81" w:rsidRDefault="00EF4D81" w:rsidP="00EF4D81">
      <w:pPr>
        <w:jc w:val="center"/>
        <w:rPr>
          <w:rFonts w:eastAsiaTheme="minorHAnsi"/>
          <w:lang w:val="fr-CH"/>
        </w:rPr>
      </w:pPr>
      <w:r w:rsidRPr="00EF4D81">
        <w:rPr>
          <w:rFonts w:eastAsiaTheme="minorHAnsi"/>
          <w:noProof/>
        </w:rPr>
        <w:drawing>
          <wp:inline distT="0" distB="0" distL="0" distR="0" wp14:anchorId="037B55DE" wp14:editId="2D99E7E3">
            <wp:extent cx="4070985" cy="1407160"/>
            <wp:effectExtent l="0" t="0" r="5715"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0985" cy="1407160"/>
                    </a:xfrm>
                    <a:prstGeom prst="rect">
                      <a:avLst/>
                    </a:prstGeom>
                    <a:noFill/>
                    <a:ln>
                      <a:noFill/>
                    </a:ln>
                  </pic:spPr>
                </pic:pic>
              </a:graphicData>
            </a:graphic>
          </wp:inline>
        </w:drawing>
      </w:r>
    </w:p>
    <w:p w:rsidR="009B6354" w:rsidRPr="009B6354" w:rsidRDefault="009B6354" w:rsidP="009B6354">
      <w:pPr>
        <w:jc w:val="center"/>
        <w:rPr>
          <w:rFonts w:eastAsiaTheme="minorHAnsi"/>
          <w:lang w:val="fr-CH"/>
        </w:rPr>
      </w:pPr>
    </w:p>
    <w:p w:rsidR="008527FA" w:rsidRPr="009B6354" w:rsidRDefault="008527FA" w:rsidP="00965A10">
      <w:pPr>
        <w:spacing w:after="200" w:line="276" w:lineRule="auto"/>
        <w:jc w:val="center"/>
        <w:rPr>
          <w:rFonts w:eastAsiaTheme="minorHAnsi" w:cs="Arial"/>
        </w:rPr>
      </w:pPr>
    </w:p>
    <w:p w:rsidR="00126058" w:rsidRPr="009B6354" w:rsidRDefault="00EC2294" w:rsidP="00D81BFB">
      <w:pPr>
        <w:spacing w:after="200" w:line="276" w:lineRule="auto"/>
        <w:rPr>
          <w:rFonts w:eastAsiaTheme="minorHAnsi" w:cs="Arial"/>
          <w:lang w:val="fr-CH"/>
        </w:rPr>
      </w:pPr>
      <w:r w:rsidRPr="009B6354">
        <w:rPr>
          <w:rFonts w:eastAsiaTheme="minorHAnsi" w:cs="Arial"/>
          <w:lang w:val="fr-CH"/>
        </w:rPr>
        <w:t>Le programme et budget pour l</w:t>
      </w:r>
      <w:r w:rsidR="00126058" w:rsidRPr="009B6354">
        <w:rPr>
          <w:rFonts w:eastAsiaTheme="minorHAnsi" w:cs="Arial"/>
          <w:lang w:val="fr-CH"/>
        </w:rPr>
        <w:t>’</w:t>
      </w:r>
      <w:r w:rsidRPr="009B6354">
        <w:rPr>
          <w:rFonts w:eastAsiaTheme="minorHAnsi" w:cs="Arial"/>
          <w:lang w:val="fr-CH"/>
        </w:rPr>
        <w:t>exercice biennal 2012</w:t>
      </w:r>
      <w:r w:rsidR="009B6354" w:rsidRPr="009B6354">
        <w:rPr>
          <w:rFonts w:eastAsiaTheme="minorHAnsi" w:cs="Arial"/>
          <w:lang w:val="fr-CH"/>
        </w:rPr>
        <w:noBreakHyphen/>
      </w:r>
      <w:r w:rsidRPr="009B6354">
        <w:rPr>
          <w:rFonts w:eastAsiaTheme="minorHAnsi" w:cs="Arial"/>
          <w:lang w:val="fr-CH"/>
        </w:rPr>
        <w:t>2013 prévoyait trois postes dans la catégorie des directeurs</w:t>
      </w:r>
      <w:r w:rsidR="00917841" w:rsidRPr="009B6354">
        <w:rPr>
          <w:rFonts w:eastAsiaTheme="minorHAnsi" w:cs="Arial"/>
          <w:lang w:val="fr-CH"/>
        </w:rPr>
        <w:t xml:space="preserve"> </w:t>
      </w:r>
      <w:r w:rsidRPr="009B6354">
        <w:rPr>
          <w:rFonts w:eastAsiaTheme="minorHAnsi" w:cs="Arial"/>
          <w:lang w:val="fr-CH"/>
        </w:rPr>
        <w:t>et trois </w:t>
      </w:r>
      <w:r w:rsidR="00917841" w:rsidRPr="009B6354">
        <w:rPr>
          <w:rFonts w:eastAsiaTheme="minorHAnsi" w:cs="Arial"/>
          <w:lang w:val="fr-CH"/>
        </w:rPr>
        <w:t>post</w:t>
      </w:r>
      <w:r w:rsidRPr="009B6354">
        <w:rPr>
          <w:rFonts w:eastAsiaTheme="minorHAnsi" w:cs="Arial"/>
          <w:lang w:val="fr-CH"/>
        </w:rPr>
        <w:t>e</w:t>
      </w:r>
      <w:r w:rsidR="00917841" w:rsidRPr="009B6354">
        <w:rPr>
          <w:rFonts w:eastAsiaTheme="minorHAnsi" w:cs="Arial"/>
          <w:lang w:val="fr-CH"/>
        </w:rPr>
        <w:t xml:space="preserve">s </w:t>
      </w:r>
      <w:r w:rsidRPr="009B6354">
        <w:rPr>
          <w:rFonts w:eastAsiaTheme="minorHAnsi" w:cs="Arial"/>
          <w:lang w:val="fr-CH"/>
        </w:rPr>
        <w:t>dans la catégorie des administrateurs</w:t>
      </w:r>
      <w:r w:rsidR="00917841" w:rsidRPr="009B6354">
        <w:rPr>
          <w:rFonts w:eastAsiaTheme="minorHAnsi" w:cs="Arial"/>
          <w:lang w:val="fr-CH"/>
        </w:rPr>
        <w:t xml:space="preserve">.  </w:t>
      </w:r>
      <w:r w:rsidRPr="009B6354">
        <w:rPr>
          <w:rFonts w:eastAsiaTheme="minorHAnsi" w:cs="Arial"/>
          <w:lang w:val="fr-CH"/>
        </w:rPr>
        <w:t>Toutefois, en raison de changements de personnel imprévus, le nombre effectif de postes a été de deux</w:t>
      </w:r>
      <w:r w:rsidR="00A23A34" w:rsidRPr="009B6354">
        <w:rPr>
          <w:rFonts w:eastAsiaTheme="minorHAnsi" w:cs="Arial"/>
          <w:lang w:val="fr-CH"/>
        </w:rPr>
        <w:t> </w:t>
      </w:r>
      <w:r w:rsidRPr="009B6354">
        <w:rPr>
          <w:rFonts w:eastAsiaTheme="minorHAnsi" w:cs="Arial"/>
          <w:lang w:val="fr-CH"/>
        </w:rPr>
        <w:t>dans la catégorie des directeurs et de quatre</w:t>
      </w:r>
      <w:r w:rsidR="00A23A34" w:rsidRPr="009B6354">
        <w:rPr>
          <w:rFonts w:eastAsiaTheme="minorHAnsi" w:cs="Arial"/>
          <w:lang w:val="fr-CH"/>
        </w:rPr>
        <w:t> </w:t>
      </w:r>
      <w:r w:rsidRPr="009B6354">
        <w:rPr>
          <w:rFonts w:eastAsiaTheme="minorHAnsi" w:cs="Arial"/>
          <w:lang w:val="fr-CH"/>
        </w:rPr>
        <w:t>dans la catégorie des administrateurs.</w:t>
      </w:r>
    </w:p>
    <w:p w:rsidR="00126058" w:rsidRPr="009B6354" w:rsidRDefault="00EC2294" w:rsidP="00D81BFB">
      <w:pPr>
        <w:keepNext/>
        <w:spacing w:after="200" w:line="276" w:lineRule="auto"/>
        <w:rPr>
          <w:rFonts w:eastAsiaTheme="minorHAnsi" w:cs="Arial"/>
          <w:lang w:val="fr-CH"/>
        </w:rPr>
      </w:pPr>
      <w:r w:rsidRPr="009B6354">
        <w:rPr>
          <w:rFonts w:eastAsiaTheme="minorHAnsi" w:cs="Arial"/>
          <w:lang w:val="fr-CH"/>
        </w:rPr>
        <w:lastRenderedPageBreak/>
        <w:t>Enf</w:t>
      </w:r>
      <w:r w:rsidR="00917841" w:rsidRPr="009B6354">
        <w:rPr>
          <w:rFonts w:eastAsiaTheme="minorHAnsi" w:cs="Arial"/>
          <w:lang w:val="fr-CH"/>
        </w:rPr>
        <w:t xml:space="preserve">in, </w:t>
      </w:r>
      <w:r w:rsidRPr="009B6354">
        <w:rPr>
          <w:rFonts w:eastAsiaTheme="minorHAnsi" w:cs="Arial"/>
          <w:lang w:val="fr-CH"/>
        </w:rPr>
        <w:t>l</w:t>
      </w:r>
      <w:r w:rsidR="00126058" w:rsidRPr="009B6354">
        <w:rPr>
          <w:rFonts w:eastAsiaTheme="minorHAnsi" w:cs="Arial"/>
          <w:lang w:val="fr-CH"/>
        </w:rPr>
        <w:t>’</w:t>
      </w:r>
      <w:r w:rsidRPr="009B6354">
        <w:rPr>
          <w:rFonts w:eastAsiaTheme="minorHAnsi" w:cs="Arial"/>
          <w:lang w:val="fr-CH"/>
        </w:rPr>
        <w:t>é</w:t>
      </w:r>
      <w:r w:rsidR="00917841" w:rsidRPr="009B6354">
        <w:rPr>
          <w:rFonts w:eastAsiaTheme="minorHAnsi" w:cs="Arial"/>
          <w:lang w:val="fr-CH"/>
        </w:rPr>
        <w:t xml:space="preserve">volution </w:t>
      </w:r>
      <w:r w:rsidRPr="009B6354">
        <w:rPr>
          <w:rFonts w:eastAsiaTheme="minorHAnsi" w:cs="Arial"/>
          <w:lang w:val="fr-CH"/>
        </w:rPr>
        <w:t>globale des recettes et des dépenses effectives sur une base</w:t>
      </w:r>
      <w:r w:rsidR="00917841" w:rsidRPr="009B6354">
        <w:rPr>
          <w:rFonts w:eastAsiaTheme="minorHAnsi" w:cs="Arial"/>
          <w:lang w:val="fr-CH"/>
        </w:rPr>
        <w:t xml:space="preserve"> budg</w:t>
      </w:r>
      <w:r w:rsidRPr="009B6354">
        <w:rPr>
          <w:rFonts w:eastAsiaTheme="minorHAnsi" w:cs="Arial"/>
          <w:lang w:val="fr-CH"/>
        </w:rPr>
        <w:t>é</w:t>
      </w:r>
      <w:r w:rsidR="00917841" w:rsidRPr="009B6354">
        <w:rPr>
          <w:rFonts w:eastAsiaTheme="minorHAnsi" w:cs="Arial"/>
          <w:lang w:val="fr-CH"/>
        </w:rPr>
        <w:t>ta</w:t>
      </w:r>
      <w:r w:rsidR="00FD7918" w:rsidRPr="009B6354">
        <w:rPr>
          <w:rFonts w:eastAsiaTheme="minorHAnsi" w:cs="Arial"/>
          <w:lang w:val="fr-CH"/>
        </w:rPr>
        <w:t>i</w:t>
      </w:r>
      <w:r w:rsidRPr="009B6354">
        <w:rPr>
          <w:rFonts w:eastAsiaTheme="minorHAnsi" w:cs="Arial"/>
          <w:lang w:val="fr-CH"/>
        </w:rPr>
        <w:t>re</w:t>
      </w:r>
      <w:r w:rsidR="00FD7918" w:rsidRPr="009B6354">
        <w:rPr>
          <w:rFonts w:eastAsiaTheme="minorHAnsi" w:cs="Arial"/>
          <w:lang w:val="fr-CH"/>
        </w:rPr>
        <w:t xml:space="preserve"> </w:t>
      </w:r>
      <w:r w:rsidRPr="009B6354">
        <w:rPr>
          <w:rFonts w:eastAsiaTheme="minorHAnsi" w:cs="Arial"/>
          <w:lang w:val="fr-CH"/>
        </w:rPr>
        <w:t>est présentée ci</w:t>
      </w:r>
      <w:r w:rsidR="009B6354" w:rsidRPr="009B6354">
        <w:rPr>
          <w:rFonts w:eastAsiaTheme="minorHAnsi" w:cs="Arial"/>
          <w:lang w:val="fr-CH"/>
        </w:rPr>
        <w:noBreakHyphen/>
      </w:r>
      <w:r w:rsidRPr="009B6354">
        <w:rPr>
          <w:rFonts w:eastAsiaTheme="minorHAnsi" w:cs="Arial"/>
          <w:lang w:val="fr-CH"/>
        </w:rPr>
        <w:t>dessous dans le t</w:t>
      </w:r>
      <w:r w:rsidR="00FD7918" w:rsidRPr="009B6354">
        <w:rPr>
          <w:rFonts w:eastAsiaTheme="minorHAnsi" w:cs="Arial"/>
          <w:lang w:val="fr-CH"/>
        </w:rPr>
        <w:t>able</w:t>
      </w:r>
      <w:r w:rsidRPr="009B6354">
        <w:rPr>
          <w:rFonts w:eastAsiaTheme="minorHAnsi" w:cs="Arial"/>
          <w:lang w:val="fr-CH"/>
        </w:rPr>
        <w:t>au</w:t>
      </w:r>
      <w:r w:rsidR="00FD7918" w:rsidRPr="009B6354">
        <w:rPr>
          <w:rFonts w:eastAsiaTheme="minorHAnsi" w:cs="Arial"/>
          <w:lang w:val="fr-CH"/>
        </w:rPr>
        <w:t> </w:t>
      </w:r>
      <w:r w:rsidR="00917841" w:rsidRPr="009B6354">
        <w:rPr>
          <w:rFonts w:eastAsiaTheme="minorHAnsi" w:cs="Arial"/>
          <w:lang w:val="fr-CH"/>
        </w:rPr>
        <w:t xml:space="preserve">7 </w:t>
      </w:r>
      <w:r w:rsidRPr="009B6354">
        <w:rPr>
          <w:rFonts w:eastAsiaTheme="minorHAnsi" w:cs="Arial"/>
          <w:lang w:val="fr-CH"/>
        </w:rPr>
        <w:t>pour la période allant de</w:t>
      </w:r>
      <w:r w:rsidR="00A23A34" w:rsidRPr="009B6354">
        <w:rPr>
          <w:rFonts w:eastAsiaTheme="minorHAnsi" w:cs="Arial"/>
          <w:lang w:val="fr-CH"/>
        </w:rPr>
        <w:t> </w:t>
      </w:r>
      <w:r w:rsidR="00917841" w:rsidRPr="009B6354">
        <w:rPr>
          <w:rFonts w:eastAsiaTheme="minorHAnsi" w:cs="Arial"/>
          <w:lang w:val="fr-CH"/>
        </w:rPr>
        <w:t>2008</w:t>
      </w:r>
      <w:r w:rsidRPr="009B6354">
        <w:rPr>
          <w:rFonts w:eastAsiaTheme="minorHAnsi" w:cs="Arial"/>
          <w:lang w:val="fr-CH"/>
        </w:rPr>
        <w:t> à </w:t>
      </w:r>
      <w:r w:rsidR="00917841" w:rsidRPr="009B6354">
        <w:rPr>
          <w:rFonts w:eastAsiaTheme="minorHAnsi" w:cs="Arial"/>
          <w:lang w:val="fr-CH"/>
        </w:rPr>
        <w:t>2013.</w:t>
      </w:r>
    </w:p>
    <w:p w:rsidR="008527FA" w:rsidRPr="009B6354" w:rsidRDefault="00917841" w:rsidP="00CA3BDE">
      <w:pPr>
        <w:pStyle w:val="Heading3"/>
      </w:pPr>
      <w:bookmarkStart w:id="13" w:name="_Toc395251221"/>
      <w:r w:rsidRPr="009B6354">
        <w:t>Table</w:t>
      </w:r>
      <w:r w:rsidR="00EC2294" w:rsidRPr="009B6354">
        <w:t>au </w:t>
      </w:r>
      <w:r w:rsidRPr="009B6354">
        <w:t xml:space="preserve">7. </w:t>
      </w:r>
      <w:r w:rsidR="00EC2294" w:rsidRPr="009B6354">
        <w:t xml:space="preserve"> </w:t>
      </w:r>
      <w:r w:rsidR="00EC2294" w:rsidRPr="009B6354">
        <w:rPr>
          <w:rFonts w:cs="Arial"/>
        </w:rPr>
        <w:t>É</w:t>
      </w:r>
      <w:r w:rsidRPr="009B6354">
        <w:t xml:space="preserve">volution </w:t>
      </w:r>
      <w:r w:rsidR="00EC2294" w:rsidRPr="009B6354">
        <w:t>des recettes et des dépenses effect</w:t>
      </w:r>
      <w:r w:rsidRPr="009B6354">
        <w:t>i</w:t>
      </w:r>
      <w:r w:rsidR="00EC2294" w:rsidRPr="009B6354">
        <w:t>v</w:t>
      </w:r>
      <w:r w:rsidRPr="009B6354">
        <w:t>e</w:t>
      </w:r>
      <w:r w:rsidR="00EC2294" w:rsidRPr="009B6354">
        <w:t>s</w:t>
      </w:r>
      <w:r w:rsidRPr="009B6354">
        <w:t xml:space="preserve"> </w:t>
      </w:r>
      <w:r w:rsidR="00EC2294" w:rsidRPr="009B6354">
        <w:t>entre</w:t>
      </w:r>
      <w:r w:rsidR="00827F1D" w:rsidRPr="009B6354">
        <w:t> </w:t>
      </w:r>
      <w:r w:rsidRPr="009B6354">
        <w:t>2008</w:t>
      </w:r>
      <w:r w:rsidR="00EC2294" w:rsidRPr="009B6354">
        <w:t xml:space="preserve"> et</w:t>
      </w:r>
      <w:r w:rsidR="00827F1D" w:rsidRPr="009B6354">
        <w:t> </w:t>
      </w:r>
      <w:r w:rsidRPr="009B6354">
        <w:t>2013</w:t>
      </w:r>
      <w:bookmarkEnd w:id="13"/>
    </w:p>
    <w:p w:rsidR="008527FA" w:rsidRDefault="00917841" w:rsidP="00917841">
      <w:pPr>
        <w:spacing w:after="200" w:line="276" w:lineRule="auto"/>
        <w:jc w:val="center"/>
        <w:rPr>
          <w:rFonts w:eastAsiaTheme="minorHAnsi" w:cs="Arial"/>
          <w:i/>
          <w:lang w:val="fr-CH"/>
        </w:rPr>
      </w:pPr>
      <w:r w:rsidRPr="009B6354">
        <w:rPr>
          <w:rFonts w:eastAsiaTheme="minorHAnsi" w:cs="Arial"/>
          <w:i/>
          <w:lang w:val="fr-CH"/>
        </w:rPr>
        <w:t>(</w:t>
      </w:r>
      <w:r w:rsidR="00EC2294" w:rsidRPr="009B6354">
        <w:rPr>
          <w:rFonts w:eastAsiaTheme="minorHAnsi" w:cs="Arial"/>
          <w:i/>
          <w:lang w:val="fr-CH"/>
        </w:rPr>
        <w:t>e</w:t>
      </w:r>
      <w:r w:rsidRPr="009B6354">
        <w:rPr>
          <w:rFonts w:eastAsiaTheme="minorHAnsi" w:cs="Arial"/>
          <w:i/>
          <w:lang w:val="fr-CH"/>
        </w:rPr>
        <w:t xml:space="preserve">n </w:t>
      </w:r>
      <w:r w:rsidR="00EC2294" w:rsidRPr="009B6354">
        <w:rPr>
          <w:rFonts w:eastAsiaTheme="minorHAnsi" w:cs="Arial"/>
          <w:i/>
          <w:lang w:val="fr-CH"/>
        </w:rPr>
        <w:t>milliers de francs suisses</w:t>
      </w:r>
      <w:r w:rsidRPr="009B6354">
        <w:rPr>
          <w:rFonts w:eastAsiaTheme="minorHAnsi" w:cs="Arial"/>
          <w:i/>
          <w:lang w:val="fr-CH"/>
        </w:rPr>
        <w:t>)</w:t>
      </w:r>
    </w:p>
    <w:p w:rsidR="009B6354" w:rsidRPr="009B6354" w:rsidRDefault="009B6354" w:rsidP="00917841">
      <w:pPr>
        <w:spacing w:after="200" w:line="276" w:lineRule="auto"/>
        <w:jc w:val="center"/>
        <w:rPr>
          <w:rFonts w:eastAsiaTheme="minorHAnsi" w:cs="Arial"/>
          <w:i/>
          <w:lang w:val="fr-CH"/>
        </w:rPr>
      </w:pPr>
      <w:r w:rsidRPr="009B6354">
        <w:rPr>
          <w:rFonts w:eastAsiaTheme="minorHAnsi"/>
          <w:noProof/>
        </w:rPr>
        <w:drawing>
          <wp:inline distT="0" distB="0" distL="0" distR="0" wp14:anchorId="56FBBBF0" wp14:editId="1265CD97">
            <wp:extent cx="5057140" cy="12401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7140" cy="1240155"/>
                    </a:xfrm>
                    <a:prstGeom prst="rect">
                      <a:avLst/>
                    </a:prstGeom>
                    <a:noFill/>
                    <a:ln>
                      <a:noFill/>
                    </a:ln>
                  </pic:spPr>
                </pic:pic>
              </a:graphicData>
            </a:graphic>
          </wp:inline>
        </w:drawing>
      </w:r>
    </w:p>
    <w:p w:rsidR="008527FA" w:rsidRPr="009B6354" w:rsidRDefault="009B6354" w:rsidP="00917841">
      <w:pPr>
        <w:spacing w:after="200" w:line="276" w:lineRule="auto"/>
        <w:jc w:val="center"/>
        <w:rPr>
          <w:rFonts w:asciiTheme="minorHAnsi" w:eastAsiaTheme="minorHAnsi" w:hAnsiTheme="minorHAnsi" w:cstheme="minorBidi"/>
          <w:b/>
          <w:sz w:val="22"/>
          <w:szCs w:val="22"/>
        </w:rPr>
      </w:pPr>
      <w:r w:rsidRPr="009B6354">
        <w:rPr>
          <w:rFonts w:eastAsiaTheme="minorHAnsi"/>
          <w:noProof/>
        </w:rPr>
        <w:drawing>
          <wp:inline distT="0" distB="0" distL="0" distR="0" wp14:anchorId="668CE6CE" wp14:editId="467F5B94">
            <wp:extent cx="4770755" cy="27990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70755" cy="2799080"/>
                    </a:xfrm>
                    <a:prstGeom prst="rect">
                      <a:avLst/>
                    </a:prstGeom>
                    <a:noFill/>
                    <a:ln>
                      <a:noFill/>
                    </a:ln>
                  </pic:spPr>
                </pic:pic>
              </a:graphicData>
            </a:graphic>
          </wp:inline>
        </w:drawing>
      </w:r>
    </w:p>
    <w:p w:rsidR="008527FA" w:rsidRPr="009B6354" w:rsidRDefault="008527FA" w:rsidP="00D81BFB"/>
    <w:p w:rsidR="008527FA" w:rsidRPr="009B6354" w:rsidRDefault="00C623F9" w:rsidP="00C623F9">
      <w:pPr>
        <w:pStyle w:val="Heading1"/>
        <w:jc w:val="both"/>
        <w:rPr>
          <w:lang w:val="fr-CH"/>
        </w:rPr>
      </w:pPr>
      <w:bookmarkStart w:id="14" w:name="_Toc395251222"/>
      <w:r w:rsidRPr="009B6354">
        <w:rPr>
          <w:lang w:val="fr-CH"/>
        </w:rPr>
        <w:t>PLACEMENTS</w:t>
      </w:r>
      <w:bookmarkEnd w:id="14"/>
    </w:p>
    <w:p w:rsidR="008527FA" w:rsidRPr="009B6354" w:rsidRDefault="008527FA" w:rsidP="006360C1">
      <w:pPr>
        <w:rPr>
          <w:lang w:val="fr-CH"/>
        </w:rPr>
      </w:pPr>
    </w:p>
    <w:p w:rsidR="008527FA" w:rsidRPr="009B6354" w:rsidRDefault="00C623F9" w:rsidP="00C623F9">
      <w:pPr>
        <w:spacing w:after="200" w:line="276" w:lineRule="auto"/>
        <w:rPr>
          <w:lang w:val="fr-CH"/>
        </w:rPr>
      </w:pPr>
      <w:r w:rsidRPr="009B6354">
        <w:rPr>
          <w:lang w:val="fr-CH"/>
        </w:rPr>
        <w:t>Selon l</w:t>
      </w:r>
      <w:r w:rsidR="00126058" w:rsidRPr="009B6354">
        <w:rPr>
          <w:lang w:val="fr-CH"/>
        </w:rPr>
        <w:t>’</w:t>
      </w:r>
      <w:r w:rsidRPr="009B6354">
        <w:rPr>
          <w:lang w:val="fr-CH"/>
        </w:rPr>
        <w:t>article</w:t>
      </w:r>
      <w:r w:rsidR="00827F1D" w:rsidRPr="009B6354">
        <w:rPr>
          <w:lang w:val="fr-CH"/>
        </w:rPr>
        <w:t> </w:t>
      </w:r>
      <w:r w:rsidRPr="009B6354">
        <w:rPr>
          <w:lang w:val="fr-CH"/>
        </w:rPr>
        <w:t>4.10 du Règlement financier et règlement d</w:t>
      </w:r>
      <w:r w:rsidR="00126058" w:rsidRPr="009B6354">
        <w:rPr>
          <w:lang w:val="fr-CH"/>
        </w:rPr>
        <w:t>’</w:t>
      </w:r>
      <w:r w:rsidRPr="009B6354">
        <w:rPr>
          <w:lang w:val="fr-CH"/>
        </w:rPr>
        <w:t>exécution du Règlement financier de l</w:t>
      </w:r>
      <w:r w:rsidR="00126058" w:rsidRPr="009B6354">
        <w:rPr>
          <w:lang w:val="fr-CH"/>
        </w:rPr>
        <w:t>’</w:t>
      </w:r>
      <w:r w:rsidRPr="009B6354">
        <w:rPr>
          <w:lang w:val="fr-CH"/>
        </w:rPr>
        <w:t xml:space="preserve">UPOV, le </w:t>
      </w:r>
      <w:r w:rsidR="00A15B82" w:rsidRPr="009B6354">
        <w:rPr>
          <w:lang w:val="fr-CH"/>
        </w:rPr>
        <w:t>S</w:t>
      </w:r>
      <w:r w:rsidRPr="009B6354">
        <w:rPr>
          <w:lang w:val="fr-CH"/>
        </w:rPr>
        <w:t>ecrétaire général peut placer à court terme les fonds qui ne sont pas nécessaires pour faire face à des besoins immédiats conformément à la politique de placement de l</w:t>
      </w:r>
      <w:r w:rsidR="00126058" w:rsidRPr="009B6354">
        <w:rPr>
          <w:lang w:val="fr-CH"/>
        </w:rPr>
        <w:t>’</w:t>
      </w:r>
      <w:r w:rsidRPr="009B6354">
        <w:rPr>
          <w:lang w:val="fr-CH"/>
        </w:rPr>
        <w:t xml:space="preserve">UPOV approuvée par le Conseil; </w:t>
      </w:r>
      <w:r w:rsidR="00A15B82" w:rsidRPr="009B6354">
        <w:rPr>
          <w:lang w:val="fr-CH"/>
        </w:rPr>
        <w:t xml:space="preserve"> </w:t>
      </w:r>
      <w:r w:rsidR="00EF4D81">
        <w:rPr>
          <w:lang w:val="fr-CH"/>
        </w:rPr>
        <w:t>il </w:t>
      </w:r>
      <w:r w:rsidRPr="009B6354">
        <w:rPr>
          <w:lang w:val="fr-CH"/>
        </w:rPr>
        <w:t>informe régulièrement le Comité consultatif des placements ainsi réalisés.</w:t>
      </w:r>
    </w:p>
    <w:p w:rsidR="008527FA" w:rsidRPr="009B6354" w:rsidRDefault="00C623F9" w:rsidP="00194C86">
      <w:pPr>
        <w:spacing w:after="200" w:line="276" w:lineRule="auto"/>
        <w:rPr>
          <w:lang w:val="fr-CH"/>
        </w:rPr>
      </w:pPr>
      <w:r w:rsidRPr="009B6354">
        <w:rPr>
          <w:lang w:val="fr-CH"/>
        </w:rPr>
        <w:t>Par ailleurs, en vertu de l</w:t>
      </w:r>
      <w:r w:rsidR="00126058" w:rsidRPr="009B6354">
        <w:rPr>
          <w:lang w:val="fr-CH"/>
        </w:rPr>
        <w:t>’</w:t>
      </w:r>
      <w:r w:rsidRPr="009B6354">
        <w:rPr>
          <w:lang w:val="fr-CH"/>
        </w:rPr>
        <w:t>article</w:t>
      </w:r>
      <w:r w:rsidR="00A15B82" w:rsidRPr="009B6354">
        <w:rPr>
          <w:lang w:val="fr-CH"/>
        </w:rPr>
        <w:t> </w:t>
      </w:r>
      <w:r w:rsidRPr="009B6354">
        <w:rPr>
          <w:lang w:val="fr-CH"/>
        </w:rPr>
        <w:t>4.11, le Secrétaire général peut placer à long terme les sommes inscrites au crédit de l</w:t>
      </w:r>
      <w:r w:rsidR="00126058" w:rsidRPr="009B6354">
        <w:rPr>
          <w:lang w:val="fr-CH"/>
        </w:rPr>
        <w:t>’</w:t>
      </w:r>
      <w:r w:rsidRPr="009B6354">
        <w:rPr>
          <w:lang w:val="fr-CH"/>
        </w:rPr>
        <w:t>UPOV conformément à la politique de placement de l</w:t>
      </w:r>
      <w:r w:rsidR="00126058" w:rsidRPr="009B6354">
        <w:rPr>
          <w:lang w:val="fr-CH"/>
        </w:rPr>
        <w:t>’</w:t>
      </w:r>
      <w:r w:rsidRPr="009B6354">
        <w:rPr>
          <w:lang w:val="fr-CH"/>
        </w:rPr>
        <w:t>OMPI approuvée par le Conseil et informe régulièrement le Comité consultatif des placements ainsi effectués.</w:t>
      </w:r>
      <w:r w:rsidR="00073668" w:rsidRPr="009B6354">
        <w:rPr>
          <w:lang w:val="fr-CH"/>
        </w:rPr>
        <w:t xml:space="preserve">  </w:t>
      </w:r>
      <w:r w:rsidR="00194C86" w:rsidRPr="009B6354">
        <w:rPr>
          <w:lang w:val="fr-CH"/>
        </w:rPr>
        <w:t>La politique de placement de l</w:t>
      </w:r>
      <w:r w:rsidR="00126058" w:rsidRPr="009B6354">
        <w:rPr>
          <w:lang w:val="fr-CH"/>
        </w:rPr>
        <w:t>’</w:t>
      </w:r>
      <w:r w:rsidR="00194C86" w:rsidRPr="009B6354">
        <w:rPr>
          <w:lang w:val="fr-CH"/>
        </w:rPr>
        <w:t>UPOV est la même que celle de l</w:t>
      </w:r>
      <w:r w:rsidR="00126058" w:rsidRPr="009B6354">
        <w:rPr>
          <w:lang w:val="fr-CH"/>
        </w:rPr>
        <w:t>’</w:t>
      </w:r>
      <w:r w:rsidR="00194C86" w:rsidRPr="009B6354">
        <w:rPr>
          <w:lang w:val="fr-CH"/>
        </w:rPr>
        <w:t>OMPI et les placements sont donc effectués comme suit</w:t>
      </w:r>
      <w:r w:rsidR="00A15B82" w:rsidRPr="009B6354">
        <w:rPr>
          <w:lang w:val="fr-CH"/>
        </w:rPr>
        <w:t> </w:t>
      </w:r>
      <w:r w:rsidR="00194C86" w:rsidRPr="009B6354">
        <w:rPr>
          <w:lang w:val="fr-CH"/>
        </w:rPr>
        <w:t>:</w:t>
      </w:r>
    </w:p>
    <w:p w:rsidR="008527FA" w:rsidRPr="009B6354" w:rsidRDefault="00194C86" w:rsidP="00194C86">
      <w:pPr>
        <w:ind w:left="567" w:hanging="567"/>
        <w:rPr>
          <w:lang w:val="fr-CH"/>
        </w:rPr>
      </w:pPr>
      <w:r w:rsidRPr="009B6354">
        <w:rPr>
          <w:lang w:val="fr-CH"/>
        </w:rPr>
        <w:t>a)</w:t>
      </w:r>
      <w:r w:rsidRPr="009B6354">
        <w:rPr>
          <w:lang w:val="fr-CH"/>
        </w:rPr>
        <w:tab/>
        <w:t>Les placements en francs suisses au nom de l</w:t>
      </w:r>
      <w:r w:rsidR="00126058" w:rsidRPr="009B6354">
        <w:rPr>
          <w:lang w:val="fr-CH"/>
        </w:rPr>
        <w:t>’</w:t>
      </w:r>
      <w:r w:rsidRPr="009B6354">
        <w:rPr>
          <w:lang w:val="fr-CH"/>
        </w:rPr>
        <w:t>UPOV sont détenus auprès de la Banque nationale suisse (BNS) pour autant que le taux proposé soit supérieur à celui disponible auprès de banques commerciales possédant une notation satisfaisante</w:t>
      </w:r>
      <w:r w:rsidR="00A15B82" w:rsidRPr="009B6354">
        <w:rPr>
          <w:lang w:val="fr-CH"/>
        </w:rPr>
        <w:t>;</w:t>
      </w:r>
    </w:p>
    <w:p w:rsidR="008527FA" w:rsidRPr="009B6354" w:rsidRDefault="008527FA" w:rsidP="00073668">
      <w:pPr>
        <w:rPr>
          <w:lang w:val="fr-CH"/>
        </w:rPr>
      </w:pPr>
    </w:p>
    <w:p w:rsidR="008527FA" w:rsidRPr="009B6354" w:rsidRDefault="00773B82" w:rsidP="00773B82">
      <w:pPr>
        <w:ind w:left="567" w:hanging="567"/>
        <w:rPr>
          <w:lang w:val="fr-CH"/>
        </w:rPr>
      </w:pPr>
      <w:r w:rsidRPr="009B6354">
        <w:rPr>
          <w:lang w:val="fr-CH"/>
        </w:rPr>
        <w:t>b)</w:t>
      </w:r>
      <w:r w:rsidRPr="009B6354">
        <w:rPr>
          <w:lang w:val="fr-CH"/>
        </w:rPr>
        <w:tab/>
        <w:t>Les placements autres que ceux effectués auprès de</w:t>
      </w:r>
      <w:r w:rsidR="00126058" w:rsidRPr="009B6354">
        <w:rPr>
          <w:lang w:val="fr-CH"/>
        </w:rPr>
        <w:t xml:space="preserve"> la BNS</w:t>
      </w:r>
      <w:r w:rsidRPr="009B6354">
        <w:rPr>
          <w:lang w:val="fr-CH"/>
        </w:rPr>
        <w:t xml:space="preserve"> se limitent aux fonds du marché monétaire et aux dépôts à terme auprès de banques notées AA</w:t>
      </w:r>
      <w:r w:rsidR="009B6354" w:rsidRPr="009B6354">
        <w:rPr>
          <w:lang w:val="fr-CH"/>
        </w:rPr>
        <w:noBreakHyphen/>
      </w:r>
      <w:r w:rsidRPr="009B6354">
        <w:rPr>
          <w:lang w:val="fr-CH"/>
        </w:rPr>
        <w:t>/Aa3 (Standard and Poor</w:t>
      </w:r>
      <w:r w:rsidR="00126058" w:rsidRPr="009B6354">
        <w:rPr>
          <w:lang w:val="fr-CH"/>
        </w:rPr>
        <w:t>’</w:t>
      </w:r>
      <w:r w:rsidRPr="009B6354">
        <w:rPr>
          <w:lang w:val="fr-CH"/>
        </w:rPr>
        <w:t>s / Moody</w:t>
      </w:r>
      <w:r w:rsidR="00126058" w:rsidRPr="009B6354">
        <w:rPr>
          <w:lang w:val="fr-CH"/>
        </w:rPr>
        <w:t>’</w:t>
      </w:r>
      <w:r w:rsidRPr="009B6354">
        <w:rPr>
          <w:lang w:val="fr-CH"/>
        </w:rPr>
        <w:t>s) ou plus et aux obligations d</w:t>
      </w:r>
      <w:r w:rsidR="00126058" w:rsidRPr="009B6354">
        <w:rPr>
          <w:lang w:val="fr-CH"/>
        </w:rPr>
        <w:t>’</w:t>
      </w:r>
      <w:r w:rsidRPr="009B6354">
        <w:rPr>
          <w:lang w:val="fr-CH"/>
        </w:rPr>
        <w:t>entreprises ou d</w:t>
      </w:r>
      <w:r w:rsidR="00126058" w:rsidRPr="009B6354">
        <w:rPr>
          <w:lang w:val="fr-CH"/>
        </w:rPr>
        <w:t>’</w:t>
      </w:r>
      <w:r w:rsidRPr="009B6354">
        <w:rPr>
          <w:lang w:val="fr-CH"/>
        </w:rPr>
        <w:t>État de première classe notées AA</w:t>
      </w:r>
      <w:r w:rsidR="009B6354" w:rsidRPr="009B6354">
        <w:rPr>
          <w:lang w:val="fr-CH"/>
        </w:rPr>
        <w:noBreakHyphen/>
      </w:r>
      <w:r w:rsidRPr="009B6354">
        <w:rPr>
          <w:lang w:val="fr-CH"/>
        </w:rPr>
        <w:t>/Aa3 ou plus;</w:t>
      </w:r>
    </w:p>
    <w:p w:rsidR="008527FA" w:rsidRPr="009B6354" w:rsidRDefault="008527FA" w:rsidP="00073668">
      <w:pPr>
        <w:rPr>
          <w:lang w:val="fr-CH"/>
        </w:rPr>
      </w:pPr>
    </w:p>
    <w:p w:rsidR="008527FA" w:rsidRPr="009B6354" w:rsidRDefault="00773B82" w:rsidP="00773B82">
      <w:pPr>
        <w:ind w:left="567" w:hanging="567"/>
        <w:rPr>
          <w:lang w:val="fr-CH"/>
        </w:rPr>
      </w:pPr>
      <w:r w:rsidRPr="009B6354">
        <w:rPr>
          <w:lang w:val="fr-CH"/>
        </w:rPr>
        <w:t>c)</w:t>
      </w:r>
      <w:r w:rsidRPr="009B6354">
        <w:rPr>
          <w:lang w:val="fr-CH"/>
        </w:rPr>
        <w:tab/>
        <w:t>Les fonds détenus en fiducie (comptes spéciaux) sont placés sous forme de fonds du marché monétaire et de dépôts à terme auprès de banques possédant une notation satisfaisante.</w:t>
      </w:r>
    </w:p>
    <w:p w:rsidR="008527FA" w:rsidRPr="009B6354" w:rsidRDefault="008527FA" w:rsidP="00073668">
      <w:pPr>
        <w:rPr>
          <w:lang w:val="fr-CH"/>
        </w:rPr>
      </w:pPr>
    </w:p>
    <w:p w:rsidR="008527FA" w:rsidRDefault="00773B82" w:rsidP="00773B82">
      <w:pPr>
        <w:rPr>
          <w:lang w:val="fr-CH"/>
        </w:rPr>
      </w:pPr>
      <w:r w:rsidRPr="009B6354">
        <w:rPr>
          <w:lang w:val="fr-CH"/>
        </w:rPr>
        <w:t>Le tableau ci</w:t>
      </w:r>
      <w:r w:rsidR="009B6354" w:rsidRPr="009B6354">
        <w:rPr>
          <w:lang w:val="fr-CH"/>
        </w:rPr>
        <w:noBreakHyphen/>
      </w:r>
      <w:r w:rsidRPr="009B6354">
        <w:rPr>
          <w:lang w:val="fr-CH"/>
        </w:rPr>
        <w:t>dessous présente en détail les placements effectués pendant l</w:t>
      </w:r>
      <w:r w:rsidR="00126058" w:rsidRPr="009B6354">
        <w:rPr>
          <w:lang w:val="fr-CH"/>
        </w:rPr>
        <w:t>’</w:t>
      </w:r>
      <w:r w:rsidRPr="009B6354">
        <w:rPr>
          <w:lang w:val="fr-CH"/>
        </w:rPr>
        <w:t>exercice biennal.</w:t>
      </w:r>
      <w:r w:rsidR="00073668" w:rsidRPr="009B6354">
        <w:rPr>
          <w:lang w:val="fr-CH"/>
        </w:rPr>
        <w:t xml:space="preserve">  </w:t>
      </w:r>
      <w:r w:rsidRPr="009B6354">
        <w:rPr>
          <w:lang w:val="fr-CH"/>
        </w:rPr>
        <w:t>Il sied de noter que, conformément à sa politique en matière de placements, l</w:t>
      </w:r>
      <w:r w:rsidR="00126058" w:rsidRPr="009B6354">
        <w:rPr>
          <w:lang w:val="fr-CH"/>
        </w:rPr>
        <w:t>’</w:t>
      </w:r>
      <w:r w:rsidRPr="009B6354">
        <w:rPr>
          <w:lang w:val="fr-CH"/>
        </w:rPr>
        <w:t xml:space="preserve">Organisation ne peut pas pour le </w:t>
      </w:r>
      <w:r w:rsidRPr="009B6354">
        <w:rPr>
          <w:lang w:val="fr-CH"/>
        </w:rPr>
        <w:lastRenderedPageBreak/>
        <w:t>moment effectuer des dépôts auprès de ses deux principales banques (UBS et Crédit Suisse) dont la notation à long terme est en effet inférieure au niveau minimum stipulé dans la politique.</w:t>
      </w:r>
    </w:p>
    <w:p w:rsidR="009B6354" w:rsidRDefault="009B6354" w:rsidP="00773B82">
      <w:pPr>
        <w:rPr>
          <w:lang w:val="fr-CH"/>
        </w:rPr>
      </w:pPr>
    </w:p>
    <w:p w:rsidR="009B6354" w:rsidRPr="009B6354" w:rsidRDefault="009B6354" w:rsidP="00773B82">
      <w:pPr>
        <w:rPr>
          <w:lang w:val="fr-CH"/>
        </w:rPr>
      </w:pPr>
      <w:r w:rsidRPr="009B6354">
        <w:rPr>
          <w:noProof/>
        </w:rPr>
        <w:drawing>
          <wp:inline distT="0" distB="0" distL="0" distR="0" wp14:anchorId="1EE92871" wp14:editId="71C12B33">
            <wp:extent cx="6019165" cy="53435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9165" cy="5343525"/>
                    </a:xfrm>
                    <a:prstGeom prst="rect">
                      <a:avLst/>
                    </a:prstGeom>
                    <a:noFill/>
                    <a:ln>
                      <a:noFill/>
                    </a:ln>
                  </pic:spPr>
                </pic:pic>
              </a:graphicData>
            </a:graphic>
          </wp:inline>
        </w:drawing>
      </w:r>
    </w:p>
    <w:p w:rsidR="00CE47DD" w:rsidRPr="009B6354" w:rsidRDefault="00CE47DD" w:rsidP="006360C1">
      <w:pPr>
        <w:rPr>
          <w:lang w:val="fr-CH"/>
        </w:rPr>
      </w:pPr>
    </w:p>
    <w:p w:rsidR="008527FA" w:rsidRPr="009B6354" w:rsidRDefault="008527FA" w:rsidP="006360C1"/>
    <w:p w:rsidR="008527FA" w:rsidRPr="009B6354" w:rsidRDefault="00A15B82" w:rsidP="00773B82">
      <w:pPr>
        <w:pStyle w:val="Heading1"/>
        <w:jc w:val="both"/>
        <w:rPr>
          <w:lang w:val="fr-CH"/>
        </w:rPr>
      </w:pPr>
      <w:bookmarkStart w:id="15" w:name="_Toc395251223"/>
      <w:r w:rsidRPr="009B6354">
        <w:rPr>
          <w:rFonts w:cs="Arial"/>
          <w:lang w:val="fr-CH"/>
        </w:rPr>
        <w:t>É</w:t>
      </w:r>
      <w:r w:rsidR="00773B82" w:rsidRPr="009B6354">
        <w:rPr>
          <w:lang w:val="fr-CH"/>
        </w:rPr>
        <w:t>TATS FINANCIERS</w:t>
      </w:r>
      <w:bookmarkEnd w:id="15"/>
    </w:p>
    <w:p w:rsidR="008527FA" w:rsidRPr="009B6354" w:rsidRDefault="008527FA" w:rsidP="00532F43">
      <w:pPr>
        <w:spacing w:after="200" w:line="276" w:lineRule="auto"/>
        <w:jc w:val="center"/>
        <w:rPr>
          <w:b/>
          <w:u w:val="single"/>
          <w:lang w:val="fr-CH"/>
        </w:rPr>
      </w:pPr>
    </w:p>
    <w:p w:rsidR="008527FA" w:rsidRPr="009B6354" w:rsidRDefault="00BB790E" w:rsidP="00BB790E">
      <w:pPr>
        <w:spacing w:after="200" w:line="276" w:lineRule="auto"/>
        <w:rPr>
          <w:lang w:val="fr-CH"/>
        </w:rPr>
      </w:pPr>
      <w:r w:rsidRPr="009B6354">
        <w:rPr>
          <w:lang w:val="fr-CH"/>
        </w:rPr>
        <w:t>Pour chacune des deux années de l</w:t>
      </w:r>
      <w:r w:rsidR="00126058" w:rsidRPr="009B6354">
        <w:rPr>
          <w:lang w:val="fr-CH"/>
        </w:rPr>
        <w:t>’</w:t>
      </w:r>
      <w:r w:rsidRPr="009B6354">
        <w:rPr>
          <w:lang w:val="fr-CH"/>
        </w:rPr>
        <w:t>exercice biennal 2012</w:t>
      </w:r>
      <w:r w:rsidR="009B6354" w:rsidRPr="009B6354">
        <w:rPr>
          <w:lang w:val="fr-CH"/>
        </w:rPr>
        <w:noBreakHyphen/>
      </w:r>
      <w:r w:rsidRPr="009B6354">
        <w:rPr>
          <w:lang w:val="fr-CH"/>
        </w:rPr>
        <w:t>2013, les états financiers de l</w:t>
      </w:r>
      <w:r w:rsidR="00126058" w:rsidRPr="009B6354">
        <w:rPr>
          <w:lang w:val="fr-CH"/>
        </w:rPr>
        <w:t>’</w:t>
      </w:r>
      <w:r w:rsidRPr="009B6354">
        <w:rPr>
          <w:lang w:val="fr-CH"/>
        </w:rPr>
        <w:t>UPOV ont été établis conformément aux Normes comptables internationales du secteur public (normes IPSAS).</w:t>
      </w:r>
      <w:r w:rsidR="002F09F3" w:rsidRPr="009B6354">
        <w:rPr>
          <w:lang w:val="fr-CH"/>
        </w:rPr>
        <w:t xml:space="preserve"> </w:t>
      </w:r>
      <w:r w:rsidR="00A15B82" w:rsidRPr="009B6354">
        <w:rPr>
          <w:lang w:val="fr-CH"/>
        </w:rPr>
        <w:t xml:space="preserve"> </w:t>
      </w:r>
      <w:r w:rsidRPr="009B6354">
        <w:rPr>
          <w:lang w:val="fr-CH"/>
        </w:rPr>
        <w:t>Jusqu</w:t>
      </w:r>
      <w:r w:rsidR="00126058" w:rsidRPr="009B6354">
        <w:rPr>
          <w:lang w:val="fr-CH"/>
        </w:rPr>
        <w:t>’</w:t>
      </w:r>
      <w:r w:rsidRPr="009B6354">
        <w:rPr>
          <w:lang w:val="fr-CH"/>
        </w:rPr>
        <w:t>à l</w:t>
      </w:r>
      <w:r w:rsidR="00126058" w:rsidRPr="009B6354">
        <w:rPr>
          <w:lang w:val="fr-CH"/>
        </w:rPr>
        <w:t>’</w:t>
      </w:r>
      <w:r w:rsidRPr="009B6354">
        <w:rPr>
          <w:lang w:val="fr-CH"/>
        </w:rPr>
        <w:t>exercice biennal 2010</w:t>
      </w:r>
      <w:r w:rsidR="009B6354" w:rsidRPr="009B6354">
        <w:rPr>
          <w:lang w:val="fr-CH"/>
        </w:rPr>
        <w:noBreakHyphen/>
      </w:r>
      <w:r w:rsidRPr="009B6354">
        <w:rPr>
          <w:lang w:val="fr-CH"/>
        </w:rPr>
        <w:t xml:space="preserve">2011, ils étaient établis conformément aux normes comptables du système des </w:t>
      </w:r>
      <w:r w:rsidR="00126058" w:rsidRPr="009B6354">
        <w:rPr>
          <w:lang w:val="fr-CH"/>
        </w:rPr>
        <w:t>Nations Unies</w:t>
      </w:r>
      <w:r w:rsidRPr="009B6354">
        <w:rPr>
          <w:lang w:val="fr-CH"/>
        </w:rPr>
        <w:t xml:space="preserve"> (normes UNSAS) et vérifiés sur une base biennale.</w:t>
      </w:r>
    </w:p>
    <w:p w:rsidR="008527FA" w:rsidRPr="009B6354" w:rsidRDefault="00BB790E" w:rsidP="00BB790E">
      <w:pPr>
        <w:spacing w:after="200" w:line="276" w:lineRule="auto"/>
        <w:rPr>
          <w:b/>
          <w:lang w:val="fr-CH"/>
        </w:rPr>
      </w:pPr>
      <w:r w:rsidRPr="009B6354">
        <w:rPr>
          <w:b/>
          <w:lang w:val="fr-CH"/>
        </w:rPr>
        <w:t>Le passage aux normes IPSAS</w:t>
      </w:r>
    </w:p>
    <w:p w:rsidR="008527FA" w:rsidRPr="009B6354" w:rsidRDefault="00BB790E" w:rsidP="00BB790E">
      <w:pPr>
        <w:spacing w:after="200" w:line="276" w:lineRule="auto"/>
        <w:rPr>
          <w:szCs w:val="22"/>
          <w:lang w:val="fr-CH"/>
        </w:rPr>
      </w:pPr>
      <w:r w:rsidRPr="009B6354">
        <w:rPr>
          <w:szCs w:val="22"/>
          <w:lang w:val="fr-CH"/>
        </w:rPr>
        <w:t>À sa quarante</w:t>
      </w:r>
      <w:r w:rsidR="009B6354" w:rsidRPr="009B6354">
        <w:rPr>
          <w:szCs w:val="22"/>
          <w:lang w:val="fr-CH"/>
        </w:rPr>
        <w:noBreakHyphen/>
      </w:r>
      <w:r w:rsidRPr="009B6354">
        <w:rPr>
          <w:szCs w:val="22"/>
          <w:lang w:val="fr-CH"/>
        </w:rPr>
        <w:t>cinquième session ordinaire, tenue à Genève le 20 octobre 2011, le Conseil a approuvé l</w:t>
      </w:r>
      <w:r w:rsidR="00126058" w:rsidRPr="009B6354">
        <w:rPr>
          <w:szCs w:val="22"/>
          <w:lang w:val="fr-CH"/>
        </w:rPr>
        <w:t>’</w:t>
      </w:r>
      <w:r w:rsidRPr="009B6354">
        <w:rPr>
          <w:szCs w:val="22"/>
          <w:lang w:val="fr-CH"/>
        </w:rPr>
        <w:t>adoption par l</w:t>
      </w:r>
      <w:r w:rsidR="00126058" w:rsidRPr="009B6354">
        <w:rPr>
          <w:szCs w:val="22"/>
          <w:lang w:val="fr-CH"/>
        </w:rPr>
        <w:t>’</w:t>
      </w:r>
      <w:r w:rsidRPr="009B6354">
        <w:rPr>
          <w:szCs w:val="22"/>
          <w:lang w:val="fr-CH"/>
        </w:rPr>
        <w:t>UPOV des normes IPSAS dès l</w:t>
      </w:r>
      <w:r w:rsidR="00126058" w:rsidRPr="009B6354">
        <w:rPr>
          <w:szCs w:val="22"/>
          <w:lang w:val="fr-CH"/>
        </w:rPr>
        <w:t>’</w:t>
      </w:r>
      <w:r w:rsidRPr="009B6354">
        <w:rPr>
          <w:szCs w:val="22"/>
          <w:lang w:val="fr-CH"/>
        </w:rPr>
        <w:t>exercice financier débutant en 2012 (voir le paragraphe 9.b) du document C/45/18 “Compte rendu”).</w:t>
      </w:r>
      <w:r w:rsidR="002F09F3" w:rsidRPr="009B6354">
        <w:rPr>
          <w:lang w:val="fr-CH"/>
        </w:rPr>
        <w:t xml:space="preserve"> </w:t>
      </w:r>
      <w:r w:rsidR="00A15B82" w:rsidRPr="009B6354">
        <w:rPr>
          <w:lang w:val="fr-CH"/>
        </w:rPr>
        <w:t xml:space="preserve"> </w:t>
      </w:r>
      <w:r w:rsidRPr="009B6354">
        <w:rPr>
          <w:szCs w:val="22"/>
          <w:lang w:val="fr-CH"/>
        </w:rPr>
        <w:t>Cette décision a conduit au remplacement des normes comptables UNSAS appliquées auparavant par les normes</w:t>
      </w:r>
      <w:r w:rsidR="00A23A34" w:rsidRPr="009B6354">
        <w:rPr>
          <w:szCs w:val="22"/>
          <w:lang w:val="fr-CH"/>
        </w:rPr>
        <w:t> </w:t>
      </w:r>
      <w:r w:rsidRPr="009B6354">
        <w:rPr>
          <w:szCs w:val="22"/>
          <w:lang w:val="fr-CH"/>
        </w:rPr>
        <w:t>IPSAS qui sont reconnues au niveau international.</w:t>
      </w:r>
      <w:r w:rsidR="002F09F3" w:rsidRPr="009B6354">
        <w:rPr>
          <w:lang w:val="fr-CH"/>
        </w:rPr>
        <w:t xml:space="preserve"> </w:t>
      </w:r>
      <w:r w:rsidR="00A15B82" w:rsidRPr="009B6354">
        <w:rPr>
          <w:lang w:val="fr-CH"/>
        </w:rPr>
        <w:t xml:space="preserve"> </w:t>
      </w:r>
      <w:r w:rsidRPr="009B6354">
        <w:rPr>
          <w:szCs w:val="22"/>
          <w:lang w:val="fr-CH"/>
        </w:rPr>
        <w:t>Les</w:t>
      </w:r>
      <w:r w:rsidR="00A15B82" w:rsidRPr="009B6354">
        <w:rPr>
          <w:szCs w:val="22"/>
          <w:lang w:val="fr-CH"/>
        </w:rPr>
        <w:t> </w:t>
      </w:r>
      <w:r w:rsidRPr="009B6354">
        <w:rPr>
          <w:szCs w:val="22"/>
          <w:lang w:val="fr-CH"/>
        </w:rPr>
        <w:t>normes IPSAS sont élaborées par le Conseil des normes comptables internationales du secteur public (IPSASB), qui fait partie de la Fédération internationale des experts</w:t>
      </w:r>
      <w:r w:rsidR="00A15B82" w:rsidRPr="009B6354">
        <w:rPr>
          <w:szCs w:val="22"/>
          <w:lang w:val="fr-CH"/>
        </w:rPr>
        <w:t xml:space="preserve"> </w:t>
      </w:r>
      <w:r w:rsidRPr="009B6354">
        <w:rPr>
          <w:szCs w:val="22"/>
          <w:lang w:val="fr-CH"/>
        </w:rPr>
        <w:t>comptables.</w:t>
      </w:r>
    </w:p>
    <w:p w:rsidR="00EF4D81" w:rsidRDefault="00EF4D81">
      <w:pPr>
        <w:jc w:val="left"/>
        <w:rPr>
          <w:b/>
          <w:szCs w:val="22"/>
          <w:lang w:val="fr-CH"/>
        </w:rPr>
      </w:pPr>
      <w:r>
        <w:rPr>
          <w:b/>
          <w:szCs w:val="22"/>
          <w:lang w:val="fr-CH"/>
        </w:rPr>
        <w:br w:type="page"/>
      </w:r>
    </w:p>
    <w:p w:rsidR="008527FA" w:rsidRPr="009B6354" w:rsidRDefault="00BB790E" w:rsidP="00BB790E">
      <w:pPr>
        <w:spacing w:after="200" w:line="276" w:lineRule="auto"/>
        <w:rPr>
          <w:b/>
          <w:szCs w:val="22"/>
          <w:lang w:val="fr-CH"/>
        </w:rPr>
      </w:pPr>
      <w:r w:rsidRPr="009B6354">
        <w:rPr>
          <w:b/>
          <w:szCs w:val="22"/>
          <w:lang w:val="fr-CH"/>
        </w:rPr>
        <w:lastRenderedPageBreak/>
        <w:t>Les avantages des normes IPSAS</w:t>
      </w:r>
    </w:p>
    <w:p w:rsidR="00126058" w:rsidRPr="009B6354" w:rsidRDefault="00BB790E" w:rsidP="00BB790E">
      <w:pPr>
        <w:pStyle w:val="Default"/>
        <w:jc w:val="both"/>
        <w:rPr>
          <w:color w:val="auto"/>
          <w:sz w:val="20"/>
          <w:szCs w:val="20"/>
          <w:lang w:val="fr-CH"/>
        </w:rPr>
      </w:pPr>
      <w:r w:rsidRPr="009B6354">
        <w:rPr>
          <w:color w:val="auto"/>
          <w:sz w:val="20"/>
          <w:szCs w:val="20"/>
          <w:lang w:val="fr-CH"/>
        </w:rPr>
        <w:t>L</w:t>
      </w:r>
      <w:r w:rsidR="00126058" w:rsidRPr="009B6354">
        <w:rPr>
          <w:color w:val="auto"/>
          <w:sz w:val="20"/>
          <w:szCs w:val="20"/>
          <w:lang w:val="fr-CH"/>
        </w:rPr>
        <w:t>’</w:t>
      </w:r>
      <w:r w:rsidRPr="009B6354">
        <w:rPr>
          <w:color w:val="auto"/>
          <w:sz w:val="20"/>
          <w:szCs w:val="20"/>
          <w:lang w:val="fr-CH"/>
        </w:rPr>
        <w:t>adoption des normes IPSAS signifie l</w:t>
      </w:r>
      <w:r w:rsidR="00126058" w:rsidRPr="009B6354">
        <w:rPr>
          <w:color w:val="auto"/>
          <w:sz w:val="20"/>
          <w:szCs w:val="20"/>
          <w:lang w:val="fr-CH"/>
        </w:rPr>
        <w:t>’</w:t>
      </w:r>
      <w:r w:rsidRPr="009B6354">
        <w:rPr>
          <w:color w:val="auto"/>
          <w:sz w:val="20"/>
          <w:szCs w:val="20"/>
          <w:lang w:val="fr-CH"/>
        </w:rPr>
        <w:t>application de normes comptables qui représentent les meilleures pratiques de gestion et qui tiennent compte des faits nouveaux les plus récents en matière de finance.</w:t>
      </w:r>
      <w:r w:rsidR="002F09F3" w:rsidRPr="009B6354">
        <w:rPr>
          <w:color w:val="auto"/>
          <w:sz w:val="20"/>
          <w:lang w:val="fr-CH"/>
        </w:rPr>
        <w:t xml:space="preserve"> </w:t>
      </w:r>
      <w:r w:rsidR="00A15B82" w:rsidRPr="009B6354">
        <w:rPr>
          <w:color w:val="auto"/>
          <w:sz w:val="20"/>
          <w:lang w:val="fr-CH"/>
        </w:rPr>
        <w:t xml:space="preserve"> </w:t>
      </w:r>
      <w:r w:rsidR="00EF4D81">
        <w:rPr>
          <w:color w:val="auto"/>
          <w:sz w:val="20"/>
          <w:szCs w:val="20"/>
          <w:lang w:val="fr-CH"/>
        </w:rPr>
        <w:t>Elle </w:t>
      </w:r>
      <w:r w:rsidRPr="009B6354">
        <w:rPr>
          <w:color w:val="auto"/>
          <w:sz w:val="20"/>
          <w:szCs w:val="20"/>
          <w:lang w:val="fr-CH"/>
        </w:rPr>
        <w:t>conduira par ailleurs à de meilleures possibilités de comparaison des états financiers avec les autres organisations internationales et les gouvernements nationaux.</w:t>
      </w:r>
    </w:p>
    <w:p w:rsidR="008527FA" w:rsidRPr="009B6354" w:rsidRDefault="008527FA" w:rsidP="00532F43">
      <w:pPr>
        <w:pStyle w:val="Default"/>
        <w:jc w:val="both"/>
        <w:rPr>
          <w:color w:val="auto"/>
          <w:sz w:val="20"/>
          <w:szCs w:val="20"/>
          <w:lang w:val="fr-CH"/>
        </w:rPr>
      </w:pPr>
    </w:p>
    <w:p w:rsidR="008527FA" w:rsidRPr="009B6354" w:rsidRDefault="00F66245" w:rsidP="00F66245">
      <w:pPr>
        <w:pStyle w:val="Default"/>
        <w:jc w:val="both"/>
        <w:rPr>
          <w:color w:val="auto"/>
          <w:sz w:val="20"/>
          <w:szCs w:val="20"/>
          <w:lang w:val="fr-CH"/>
        </w:rPr>
      </w:pPr>
      <w:r w:rsidRPr="009B6354">
        <w:rPr>
          <w:color w:val="auto"/>
          <w:sz w:val="20"/>
          <w:szCs w:val="20"/>
          <w:lang w:val="fr-CH"/>
        </w:rPr>
        <w:t>Les états financiers établis conformément aux normes IPSAS donnent une idée beaucoup plus précise des actifs, passifs, recettes et dépenses de l</w:t>
      </w:r>
      <w:r w:rsidR="00126058" w:rsidRPr="009B6354">
        <w:rPr>
          <w:color w:val="auto"/>
          <w:sz w:val="20"/>
          <w:szCs w:val="20"/>
          <w:lang w:val="fr-CH"/>
        </w:rPr>
        <w:t>’</w:t>
      </w:r>
      <w:r w:rsidRPr="009B6354">
        <w:rPr>
          <w:color w:val="auto"/>
          <w:sz w:val="20"/>
          <w:szCs w:val="20"/>
          <w:lang w:val="fr-CH"/>
        </w:rPr>
        <w:t>UPOV.  Une plus grande transparence des actifs et passifs a pour résultat un contrôle interne plus rigoureux et une meilleure gestion des ressources.</w:t>
      </w:r>
      <w:r w:rsidR="002F09F3" w:rsidRPr="009B6354">
        <w:rPr>
          <w:color w:val="auto"/>
          <w:sz w:val="20"/>
          <w:szCs w:val="20"/>
          <w:lang w:val="fr-CH"/>
        </w:rPr>
        <w:t xml:space="preserve"> </w:t>
      </w:r>
      <w:r w:rsidR="00A15B82" w:rsidRPr="009B6354">
        <w:rPr>
          <w:color w:val="auto"/>
          <w:sz w:val="20"/>
          <w:szCs w:val="20"/>
          <w:lang w:val="fr-CH"/>
        </w:rPr>
        <w:t xml:space="preserve"> </w:t>
      </w:r>
      <w:r w:rsidRPr="009B6354">
        <w:rPr>
          <w:color w:val="auto"/>
          <w:sz w:val="20"/>
          <w:szCs w:val="20"/>
          <w:lang w:val="fr-CH"/>
        </w:rPr>
        <w:t>Des informations détaillées sur les recettes et les dépenses étayent mieux la prise de décisions et améliorent la planification stratégique.</w:t>
      </w:r>
    </w:p>
    <w:p w:rsidR="008527FA" w:rsidRPr="009B6354" w:rsidRDefault="008527FA" w:rsidP="00532F43">
      <w:pPr>
        <w:pStyle w:val="Default"/>
        <w:jc w:val="both"/>
        <w:rPr>
          <w:color w:val="auto"/>
          <w:sz w:val="20"/>
          <w:szCs w:val="20"/>
          <w:lang w:val="fr-CH"/>
        </w:rPr>
      </w:pPr>
    </w:p>
    <w:p w:rsidR="008527FA" w:rsidRPr="009B6354" w:rsidRDefault="00F66245" w:rsidP="00F66245">
      <w:pPr>
        <w:spacing w:after="200" w:line="276" w:lineRule="auto"/>
        <w:rPr>
          <w:lang w:val="fr-CH"/>
        </w:rPr>
      </w:pPr>
      <w:r w:rsidRPr="009B6354">
        <w:rPr>
          <w:lang w:val="fr-CH"/>
        </w:rPr>
        <w:t>Il en résulte des états financiers de meilleure qualité, plus transparents et plus fiables qui contiennent des informations plus détaillées et plus utiles pour les parties prenantes.</w:t>
      </w:r>
      <w:r w:rsidR="002F09F3" w:rsidRPr="009B6354">
        <w:rPr>
          <w:lang w:val="fr-CH"/>
        </w:rPr>
        <w:t xml:space="preserve"> </w:t>
      </w:r>
      <w:r w:rsidR="00A15B82" w:rsidRPr="009B6354">
        <w:rPr>
          <w:lang w:val="fr-CH"/>
        </w:rPr>
        <w:t xml:space="preserve"> </w:t>
      </w:r>
      <w:r w:rsidRPr="009B6354">
        <w:rPr>
          <w:lang w:val="fr-CH"/>
        </w:rPr>
        <w:t>Les membres de l</w:t>
      </w:r>
      <w:r w:rsidR="00126058" w:rsidRPr="009B6354">
        <w:rPr>
          <w:lang w:val="fr-CH"/>
        </w:rPr>
        <w:t>’</w:t>
      </w:r>
      <w:r w:rsidRPr="009B6354">
        <w:rPr>
          <w:lang w:val="fr-CH"/>
        </w:rPr>
        <w:t>Union reçoivent maintenant une série d</w:t>
      </w:r>
      <w:r w:rsidR="00126058" w:rsidRPr="009B6354">
        <w:rPr>
          <w:lang w:val="fr-CH"/>
        </w:rPr>
        <w:t>’</w:t>
      </w:r>
      <w:r w:rsidRPr="009B6354">
        <w:rPr>
          <w:lang w:val="fr-CH"/>
        </w:rPr>
        <w:t>états financiers qui traduisent le coût intégral de l</w:t>
      </w:r>
      <w:r w:rsidR="00126058" w:rsidRPr="009B6354">
        <w:rPr>
          <w:lang w:val="fr-CH"/>
        </w:rPr>
        <w:t>’</w:t>
      </w:r>
      <w:r w:rsidRPr="009B6354">
        <w:rPr>
          <w:lang w:val="fr-CH"/>
        </w:rPr>
        <w:t>exécution des activités de l</w:t>
      </w:r>
      <w:r w:rsidR="00126058" w:rsidRPr="009B6354">
        <w:rPr>
          <w:lang w:val="fr-CH"/>
        </w:rPr>
        <w:t>’</w:t>
      </w:r>
      <w:r w:rsidRPr="009B6354">
        <w:rPr>
          <w:lang w:val="fr-CH"/>
        </w:rPr>
        <w:t>UPOV, y compris des rubriques que ne couvrent pas les budgets actuels.</w:t>
      </w:r>
    </w:p>
    <w:p w:rsidR="008527FA" w:rsidRPr="009B6354" w:rsidRDefault="00F66245" w:rsidP="00F66245">
      <w:pPr>
        <w:spacing w:after="200" w:line="276" w:lineRule="auto"/>
        <w:rPr>
          <w:b/>
          <w:lang w:val="fr-CH"/>
        </w:rPr>
      </w:pPr>
      <w:r w:rsidRPr="009B6354">
        <w:rPr>
          <w:b/>
          <w:lang w:val="fr-CH"/>
        </w:rPr>
        <w:t>Les impacts comptables des normes IPSAS</w:t>
      </w:r>
    </w:p>
    <w:p w:rsidR="008527FA" w:rsidRPr="009B6354" w:rsidRDefault="00F66245" w:rsidP="00F66245">
      <w:pPr>
        <w:autoSpaceDE w:val="0"/>
        <w:autoSpaceDN w:val="0"/>
        <w:adjustRightInd w:val="0"/>
        <w:rPr>
          <w:szCs w:val="22"/>
          <w:lang w:val="fr-CH"/>
        </w:rPr>
      </w:pPr>
      <w:r w:rsidRPr="009B6354">
        <w:rPr>
          <w:lang w:val="fr-CH"/>
        </w:rPr>
        <w:t>L</w:t>
      </w:r>
      <w:r w:rsidR="00126058" w:rsidRPr="009B6354">
        <w:rPr>
          <w:lang w:val="fr-CH"/>
        </w:rPr>
        <w:t>’</w:t>
      </w:r>
      <w:r w:rsidRPr="009B6354">
        <w:rPr>
          <w:lang w:val="fr-CH"/>
        </w:rPr>
        <w:t>application des normes</w:t>
      </w:r>
      <w:r w:rsidR="00A23A34" w:rsidRPr="009B6354">
        <w:rPr>
          <w:lang w:val="fr-CH"/>
        </w:rPr>
        <w:t> </w:t>
      </w:r>
      <w:r w:rsidRPr="009B6354">
        <w:rPr>
          <w:lang w:val="fr-CH"/>
        </w:rPr>
        <w:t>IPSAS requiert l</w:t>
      </w:r>
      <w:r w:rsidR="00126058" w:rsidRPr="009B6354">
        <w:rPr>
          <w:lang w:val="fr-CH"/>
        </w:rPr>
        <w:t>’</w:t>
      </w:r>
      <w:r w:rsidRPr="009B6354">
        <w:rPr>
          <w:lang w:val="fr-CH"/>
        </w:rPr>
        <w:t>introduction de la comptabilité d</w:t>
      </w:r>
      <w:r w:rsidR="00126058" w:rsidRPr="009B6354">
        <w:rPr>
          <w:lang w:val="fr-CH"/>
        </w:rPr>
        <w:t>’</w:t>
      </w:r>
      <w:r w:rsidRPr="009B6354">
        <w:rPr>
          <w:lang w:val="fr-CH"/>
        </w:rPr>
        <w:t>exercice dans son intégralité, un changement significatif par rapport à la comptabilité d</w:t>
      </w:r>
      <w:r w:rsidR="00126058" w:rsidRPr="009B6354">
        <w:rPr>
          <w:lang w:val="fr-CH"/>
        </w:rPr>
        <w:t>’</w:t>
      </w:r>
      <w:r w:rsidRPr="009B6354">
        <w:rPr>
          <w:lang w:val="fr-CH"/>
        </w:rPr>
        <w:t>exercice modifiée appliquée dans le cadre des normes UNSAS.  Cette comptabilité fait intervenir la comptabilisation des transactions et des événements lorsqu</w:t>
      </w:r>
      <w:r w:rsidR="00126058" w:rsidRPr="009B6354">
        <w:rPr>
          <w:lang w:val="fr-CH"/>
        </w:rPr>
        <w:t>’</w:t>
      </w:r>
      <w:r w:rsidRPr="009B6354">
        <w:rPr>
          <w:lang w:val="fr-CH"/>
        </w:rPr>
        <w:t>ils se produisent.</w:t>
      </w:r>
      <w:r w:rsidR="00A15B82" w:rsidRPr="009B6354">
        <w:rPr>
          <w:lang w:val="fr-CH"/>
        </w:rPr>
        <w:t xml:space="preserve"> </w:t>
      </w:r>
      <w:r w:rsidR="002F09F3" w:rsidRPr="009B6354">
        <w:rPr>
          <w:lang w:val="fr-CH"/>
        </w:rPr>
        <w:t xml:space="preserve"> </w:t>
      </w:r>
      <w:r w:rsidRPr="009B6354">
        <w:rPr>
          <w:lang w:val="fr-CH"/>
        </w:rPr>
        <w:t>Cela signifie qu</w:t>
      </w:r>
      <w:r w:rsidR="00126058" w:rsidRPr="009B6354">
        <w:rPr>
          <w:lang w:val="fr-CH"/>
        </w:rPr>
        <w:t>’</w:t>
      </w:r>
      <w:r w:rsidRPr="009B6354">
        <w:rPr>
          <w:lang w:val="fr-CH"/>
        </w:rPr>
        <w:t>ils sont enregistrés dans les livres comptables et consignés dans les états financiers des périodes financières auxquelles ils se rapportent et non pas uniquement lors de l</w:t>
      </w:r>
      <w:r w:rsidR="00126058" w:rsidRPr="009B6354">
        <w:rPr>
          <w:lang w:val="fr-CH"/>
        </w:rPr>
        <w:t>’</w:t>
      </w:r>
      <w:r w:rsidRPr="009B6354">
        <w:rPr>
          <w:lang w:val="fr-CH"/>
        </w:rPr>
        <w:t>entrée ou de la sortie de trésorerie ou d</w:t>
      </w:r>
      <w:r w:rsidR="00126058" w:rsidRPr="009B6354">
        <w:rPr>
          <w:lang w:val="fr-CH"/>
        </w:rPr>
        <w:t>’</w:t>
      </w:r>
      <w:r w:rsidRPr="009B6354">
        <w:rPr>
          <w:lang w:val="fr-CH"/>
        </w:rPr>
        <w:t>équivalents de trésorerie.</w:t>
      </w:r>
    </w:p>
    <w:p w:rsidR="008527FA" w:rsidRPr="009B6354" w:rsidRDefault="008527FA" w:rsidP="00532F43">
      <w:pPr>
        <w:autoSpaceDE w:val="0"/>
        <w:autoSpaceDN w:val="0"/>
        <w:adjustRightInd w:val="0"/>
        <w:rPr>
          <w:szCs w:val="22"/>
          <w:lang w:val="fr-CH"/>
        </w:rPr>
      </w:pPr>
    </w:p>
    <w:p w:rsidR="00126058" w:rsidRPr="009B6354" w:rsidRDefault="00F66245" w:rsidP="008527FA">
      <w:pPr>
        <w:autoSpaceDE w:val="0"/>
        <w:autoSpaceDN w:val="0"/>
        <w:adjustRightInd w:val="0"/>
        <w:rPr>
          <w:lang w:val="fr-CH"/>
        </w:rPr>
      </w:pPr>
      <w:r w:rsidRPr="009B6354">
        <w:rPr>
          <w:lang w:val="fr-CH"/>
        </w:rPr>
        <w:t>Selon les normes IPSAS, les recettes correspondant aux contributions et aux ressources extrabudgétaires (fonds fiduciaires) sont comptabilisées lorsque l</w:t>
      </w:r>
      <w:r w:rsidR="00126058" w:rsidRPr="009B6354">
        <w:rPr>
          <w:lang w:val="fr-CH"/>
        </w:rPr>
        <w:t>’</w:t>
      </w:r>
      <w:r w:rsidRPr="009B6354">
        <w:rPr>
          <w:lang w:val="fr-CH"/>
        </w:rPr>
        <w:t>UPOV a le droit de recevoir la contribution.</w:t>
      </w:r>
      <w:r w:rsidR="002F09F3" w:rsidRPr="009B6354">
        <w:rPr>
          <w:lang w:val="fr-CH"/>
        </w:rPr>
        <w:t xml:space="preserve"> </w:t>
      </w:r>
      <w:r w:rsidR="00A15B82" w:rsidRPr="009B6354">
        <w:rPr>
          <w:lang w:val="fr-CH"/>
        </w:rPr>
        <w:t xml:space="preserve"> </w:t>
      </w:r>
      <w:r w:rsidR="008527FA" w:rsidRPr="009B6354">
        <w:rPr>
          <w:lang w:val="fr-CH"/>
        </w:rPr>
        <w:t>En cas d</w:t>
      </w:r>
      <w:r w:rsidR="00126058" w:rsidRPr="009B6354">
        <w:rPr>
          <w:lang w:val="fr-CH"/>
        </w:rPr>
        <w:t>’</w:t>
      </w:r>
      <w:r w:rsidR="008527FA" w:rsidRPr="009B6354">
        <w:rPr>
          <w:lang w:val="fr-CH"/>
        </w:rPr>
        <w:t>arriérés de contributions, un solde des sommes exigibles est présenté, mais le solde total est réduit afin de tenir compte des montants encore dus sur des périodes antérieures.</w:t>
      </w:r>
      <w:r w:rsidR="002F09F3" w:rsidRPr="009B6354">
        <w:rPr>
          <w:lang w:val="fr-CH"/>
        </w:rPr>
        <w:t xml:space="preserve"> </w:t>
      </w:r>
      <w:r w:rsidR="00A15B82" w:rsidRPr="009B6354">
        <w:rPr>
          <w:lang w:val="fr-CH"/>
        </w:rPr>
        <w:t xml:space="preserve"> </w:t>
      </w:r>
      <w:r w:rsidR="008527FA" w:rsidRPr="009B6354">
        <w:rPr>
          <w:lang w:val="fr-CH"/>
        </w:rPr>
        <w:t>Les arrangements relatifs aux ressources extrabudgétaires sont examinés afin de déterminer si l</w:t>
      </w:r>
      <w:r w:rsidR="00126058" w:rsidRPr="009B6354">
        <w:rPr>
          <w:lang w:val="fr-CH"/>
        </w:rPr>
        <w:t>’</w:t>
      </w:r>
      <w:r w:rsidR="008527FA" w:rsidRPr="009B6354">
        <w:rPr>
          <w:lang w:val="fr-CH"/>
        </w:rPr>
        <w:t>UPOV doit satisfaire à des conditions de rendement et, le cas échéant, les recettes sont comptabilisées uniquement lorsque ces conditions sont remplies.</w:t>
      </w:r>
    </w:p>
    <w:p w:rsidR="008527FA" w:rsidRPr="009B6354" w:rsidRDefault="008527FA" w:rsidP="00532F43">
      <w:pPr>
        <w:rPr>
          <w:szCs w:val="22"/>
          <w:lang w:val="fr-CH"/>
        </w:rPr>
      </w:pPr>
    </w:p>
    <w:p w:rsidR="008527FA" w:rsidRPr="009B6354" w:rsidRDefault="008527FA" w:rsidP="008527FA">
      <w:pPr>
        <w:rPr>
          <w:lang w:val="fr-CH"/>
        </w:rPr>
      </w:pPr>
      <w:r w:rsidRPr="009B6354">
        <w:rPr>
          <w:lang w:val="fr-CH"/>
        </w:rPr>
        <w:t>La valeur des futures prestations (par exemple, les congés annuels cumulés, les primes de rapatriement et l</w:t>
      </w:r>
      <w:r w:rsidR="00126058" w:rsidRPr="009B6354">
        <w:rPr>
          <w:lang w:val="fr-CH"/>
        </w:rPr>
        <w:t>’</w:t>
      </w:r>
      <w:r w:rsidRPr="009B6354">
        <w:rPr>
          <w:lang w:val="fr-CH"/>
        </w:rPr>
        <w:t>assurance maladie après la cessation de service) que les fonctionnaires de l</w:t>
      </w:r>
      <w:r w:rsidR="00126058" w:rsidRPr="009B6354">
        <w:rPr>
          <w:lang w:val="fr-CH"/>
        </w:rPr>
        <w:t>’</w:t>
      </w:r>
      <w:r w:rsidRPr="009B6354">
        <w:rPr>
          <w:lang w:val="fr-CH"/>
        </w:rPr>
        <w:t>UPOV ont gagnées mais qu</w:t>
      </w:r>
      <w:r w:rsidR="00126058" w:rsidRPr="009B6354">
        <w:rPr>
          <w:lang w:val="fr-CH"/>
        </w:rPr>
        <w:t>’</w:t>
      </w:r>
      <w:r w:rsidRPr="009B6354">
        <w:rPr>
          <w:lang w:val="fr-CH"/>
        </w:rPr>
        <w:t>ils n</w:t>
      </w:r>
      <w:r w:rsidR="00126058" w:rsidRPr="009B6354">
        <w:rPr>
          <w:lang w:val="fr-CH"/>
        </w:rPr>
        <w:t>’</w:t>
      </w:r>
      <w:r w:rsidRPr="009B6354">
        <w:rPr>
          <w:lang w:val="fr-CH"/>
        </w:rPr>
        <w:t>ont pas encore perçues, est maintenant enregistrée afin de saisir le coût intégral d</w:t>
      </w:r>
      <w:r w:rsidR="00126058" w:rsidRPr="009B6354">
        <w:rPr>
          <w:lang w:val="fr-CH"/>
        </w:rPr>
        <w:t>’</w:t>
      </w:r>
      <w:r w:rsidRPr="009B6354">
        <w:rPr>
          <w:lang w:val="fr-CH"/>
        </w:rPr>
        <w:t>emploi du personnel.  Dans les états financiers antérieurs, ces prestations n</w:t>
      </w:r>
      <w:r w:rsidR="00126058" w:rsidRPr="009B6354">
        <w:rPr>
          <w:lang w:val="fr-CH"/>
        </w:rPr>
        <w:t>’</w:t>
      </w:r>
      <w:r w:rsidRPr="009B6354">
        <w:rPr>
          <w:lang w:val="fr-CH"/>
        </w:rPr>
        <w:t>étaient consignées comme des dépenses que lorsqu</w:t>
      </w:r>
      <w:r w:rsidR="00126058" w:rsidRPr="009B6354">
        <w:rPr>
          <w:lang w:val="fr-CH"/>
        </w:rPr>
        <w:t>’</w:t>
      </w:r>
      <w:r w:rsidRPr="009B6354">
        <w:rPr>
          <w:lang w:val="fr-CH"/>
        </w:rPr>
        <w:t>elles étaient versées.</w:t>
      </w:r>
    </w:p>
    <w:p w:rsidR="008527FA" w:rsidRPr="009B6354" w:rsidRDefault="008527FA" w:rsidP="00532F43">
      <w:pPr>
        <w:rPr>
          <w:szCs w:val="22"/>
          <w:lang w:val="fr-CH"/>
        </w:rPr>
      </w:pPr>
    </w:p>
    <w:p w:rsidR="008527FA" w:rsidRPr="009B6354" w:rsidRDefault="008527FA" w:rsidP="008527FA">
      <w:pPr>
        <w:spacing w:after="200" w:line="276" w:lineRule="auto"/>
        <w:rPr>
          <w:szCs w:val="22"/>
          <w:lang w:val="fr-CH"/>
        </w:rPr>
      </w:pPr>
      <w:r w:rsidRPr="009B6354">
        <w:rPr>
          <w:szCs w:val="22"/>
          <w:lang w:val="fr-CH"/>
        </w:rPr>
        <w:t>L</w:t>
      </w:r>
      <w:r w:rsidR="00126058" w:rsidRPr="009B6354">
        <w:rPr>
          <w:szCs w:val="22"/>
          <w:lang w:val="fr-CH"/>
        </w:rPr>
        <w:t>’</w:t>
      </w:r>
      <w:r w:rsidRPr="009B6354">
        <w:rPr>
          <w:szCs w:val="22"/>
          <w:lang w:val="fr-CH"/>
        </w:rPr>
        <w:t>application des normes IPSAS n</w:t>
      </w:r>
      <w:r w:rsidR="00126058" w:rsidRPr="009B6354">
        <w:rPr>
          <w:szCs w:val="22"/>
          <w:lang w:val="fr-CH"/>
        </w:rPr>
        <w:t>’</w:t>
      </w:r>
      <w:r w:rsidRPr="009B6354">
        <w:rPr>
          <w:szCs w:val="22"/>
          <w:lang w:val="fr-CH"/>
        </w:rPr>
        <w:t>a à l</w:t>
      </w:r>
      <w:r w:rsidR="00126058" w:rsidRPr="009B6354">
        <w:rPr>
          <w:szCs w:val="22"/>
          <w:lang w:val="fr-CH"/>
        </w:rPr>
        <w:t>’</w:t>
      </w:r>
      <w:r w:rsidRPr="009B6354">
        <w:rPr>
          <w:szCs w:val="22"/>
          <w:lang w:val="fr-CH"/>
        </w:rPr>
        <w:t>heure actuelle aucune incidence sur l</w:t>
      </w:r>
      <w:r w:rsidR="00126058" w:rsidRPr="009B6354">
        <w:rPr>
          <w:szCs w:val="22"/>
          <w:lang w:val="fr-CH"/>
        </w:rPr>
        <w:t>’</w:t>
      </w:r>
      <w:r w:rsidRPr="009B6354">
        <w:rPr>
          <w:szCs w:val="22"/>
          <w:lang w:val="fr-CH"/>
        </w:rPr>
        <w:t>élaboration du programme et budget, qui est toujours présenté sur la base d</w:t>
      </w:r>
      <w:r w:rsidR="00126058" w:rsidRPr="009B6354">
        <w:rPr>
          <w:szCs w:val="22"/>
          <w:lang w:val="fr-CH"/>
        </w:rPr>
        <w:t>’</w:t>
      </w:r>
      <w:r w:rsidRPr="009B6354">
        <w:rPr>
          <w:szCs w:val="22"/>
          <w:lang w:val="fr-CH"/>
        </w:rPr>
        <w:t>une comptabilité d</w:t>
      </w:r>
      <w:r w:rsidR="00126058" w:rsidRPr="009B6354">
        <w:rPr>
          <w:szCs w:val="22"/>
          <w:lang w:val="fr-CH"/>
        </w:rPr>
        <w:t>’</w:t>
      </w:r>
      <w:r w:rsidRPr="009B6354">
        <w:rPr>
          <w:szCs w:val="22"/>
          <w:lang w:val="fr-CH"/>
        </w:rPr>
        <w:t xml:space="preserve">exercice modifiée. </w:t>
      </w:r>
      <w:r w:rsidR="00A15B82" w:rsidRPr="009B6354">
        <w:rPr>
          <w:szCs w:val="22"/>
          <w:lang w:val="fr-CH"/>
        </w:rPr>
        <w:t xml:space="preserve"> </w:t>
      </w:r>
      <w:r w:rsidRPr="009B6354">
        <w:rPr>
          <w:szCs w:val="22"/>
          <w:lang w:val="fr-CH"/>
        </w:rPr>
        <w:t>Comme cette base est différente de la base d</w:t>
      </w:r>
      <w:r w:rsidR="00126058" w:rsidRPr="009B6354">
        <w:rPr>
          <w:szCs w:val="22"/>
          <w:lang w:val="fr-CH"/>
        </w:rPr>
        <w:t>’</w:t>
      </w:r>
      <w:r w:rsidRPr="009B6354">
        <w:rPr>
          <w:szCs w:val="22"/>
          <w:lang w:val="fr-CH"/>
        </w:rPr>
        <w:t>une comptabilité d</w:t>
      </w:r>
      <w:r w:rsidR="00126058" w:rsidRPr="009B6354">
        <w:rPr>
          <w:szCs w:val="22"/>
          <w:lang w:val="fr-CH"/>
        </w:rPr>
        <w:t>’</w:t>
      </w:r>
      <w:r w:rsidRPr="009B6354">
        <w:rPr>
          <w:szCs w:val="22"/>
          <w:lang w:val="fr-CH"/>
        </w:rPr>
        <w:t>exercice intégrale appliquée aux états financiers, le rapprochement entre le budget et les états financiers est fourni conformément aux exigences des normes IPSAS.</w:t>
      </w:r>
    </w:p>
    <w:p w:rsidR="00166A0E" w:rsidRPr="00E143CC" w:rsidRDefault="00166A0E" w:rsidP="00166A0E">
      <w:pPr>
        <w:spacing w:after="200" w:line="276" w:lineRule="auto"/>
        <w:rPr>
          <w:b/>
          <w:szCs w:val="22"/>
          <w:lang w:val="fr-CH"/>
        </w:rPr>
      </w:pPr>
      <w:r w:rsidRPr="00E143CC">
        <w:rPr>
          <w:b/>
          <w:szCs w:val="22"/>
          <w:lang w:val="fr-CH"/>
        </w:rPr>
        <w:t>Présentation des informations financières en application des normes IPSAS</w:t>
      </w:r>
    </w:p>
    <w:p w:rsidR="00166A0E" w:rsidRPr="00E143CC" w:rsidRDefault="00166A0E" w:rsidP="00166A0E">
      <w:pPr>
        <w:autoSpaceDE w:val="0"/>
        <w:autoSpaceDN w:val="0"/>
        <w:adjustRightInd w:val="0"/>
        <w:rPr>
          <w:rFonts w:cs="Arial"/>
          <w:lang w:val="fr-CH" w:eastAsia="en-GB"/>
        </w:rPr>
      </w:pPr>
      <w:r w:rsidRPr="00E143CC">
        <w:rPr>
          <w:rFonts w:cs="Arial"/>
          <w:lang w:val="fr-CH" w:eastAsia="en-GB"/>
        </w:rPr>
        <w:t>Étant donné que les normes IPSAS exigent la préparation d’états financiers annuels, les états financiers de l’UPOV sont maintenant préparés indivi</w:t>
      </w:r>
      <w:r w:rsidR="00AC7DD3">
        <w:rPr>
          <w:rFonts w:cs="Arial"/>
          <w:lang w:val="fr-CH" w:eastAsia="en-GB"/>
        </w:rPr>
        <w:t xml:space="preserve">duellement pour chaque année civile </w:t>
      </w:r>
      <w:r w:rsidRPr="00E143CC">
        <w:rPr>
          <w:rFonts w:cs="Arial"/>
          <w:lang w:val="fr-CH" w:eastAsia="en-GB"/>
        </w:rPr>
        <w:t>de l’exercice biennal.  Ces états financiers annuels sont présentés séparément du rapport de gestion financière et, pour voir les informations financières complètes de l’UPOV préparées en application des normes IPSAS, il convient de se référer aux états financiers annuels de l’UPOV.  En application des normes IPSAS, les états financiers comprennent les éléments suivants :</w:t>
      </w:r>
    </w:p>
    <w:p w:rsidR="00166A0E" w:rsidRPr="00E143CC" w:rsidRDefault="00166A0E" w:rsidP="00166A0E">
      <w:pPr>
        <w:autoSpaceDE w:val="0"/>
        <w:autoSpaceDN w:val="0"/>
        <w:adjustRightInd w:val="0"/>
        <w:rPr>
          <w:rFonts w:cs="Arial"/>
          <w:lang w:val="fr-CH" w:eastAsia="en-GB"/>
        </w:rPr>
      </w:pPr>
    </w:p>
    <w:p w:rsidR="00166A0E" w:rsidRPr="00E143CC" w:rsidRDefault="00166A0E" w:rsidP="00166A0E">
      <w:pPr>
        <w:numPr>
          <w:ilvl w:val="0"/>
          <w:numId w:val="22"/>
        </w:numPr>
        <w:autoSpaceDE w:val="0"/>
        <w:autoSpaceDN w:val="0"/>
        <w:adjustRightInd w:val="0"/>
        <w:rPr>
          <w:rFonts w:cs="Arial"/>
          <w:lang w:val="fr-CH" w:eastAsia="en-GB"/>
        </w:rPr>
      </w:pPr>
      <w:r w:rsidRPr="00E143CC">
        <w:rPr>
          <w:rFonts w:cs="Arial"/>
          <w:lang w:val="fr-CH" w:eastAsia="en-GB"/>
        </w:rPr>
        <w:t>État I – État de la situation financière</w:t>
      </w:r>
    </w:p>
    <w:p w:rsidR="00166A0E" w:rsidRPr="00E143CC" w:rsidRDefault="00166A0E" w:rsidP="00166A0E">
      <w:pPr>
        <w:numPr>
          <w:ilvl w:val="0"/>
          <w:numId w:val="22"/>
        </w:numPr>
        <w:autoSpaceDE w:val="0"/>
        <w:autoSpaceDN w:val="0"/>
        <w:adjustRightInd w:val="0"/>
        <w:rPr>
          <w:rFonts w:cs="Arial"/>
          <w:lang w:val="fr-CH" w:eastAsia="en-GB"/>
        </w:rPr>
      </w:pPr>
      <w:r w:rsidRPr="00E143CC">
        <w:rPr>
          <w:rFonts w:cs="Arial"/>
          <w:lang w:val="fr-CH" w:eastAsia="en-GB"/>
        </w:rPr>
        <w:t>État II – État de la performance financière</w:t>
      </w:r>
    </w:p>
    <w:p w:rsidR="00166A0E" w:rsidRPr="00E143CC" w:rsidRDefault="00166A0E" w:rsidP="00166A0E">
      <w:pPr>
        <w:numPr>
          <w:ilvl w:val="0"/>
          <w:numId w:val="22"/>
        </w:numPr>
        <w:autoSpaceDE w:val="0"/>
        <w:autoSpaceDN w:val="0"/>
        <w:adjustRightInd w:val="0"/>
        <w:rPr>
          <w:rFonts w:cs="Arial"/>
          <w:lang w:val="fr-CH" w:eastAsia="en-GB"/>
        </w:rPr>
      </w:pPr>
      <w:r w:rsidRPr="00E143CC">
        <w:rPr>
          <w:rFonts w:cs="Arial"/>
          <w:lang w:val="fr-CH" w:eastAsia="en-GB"/>
        </w:rPr>
        <w:t>État III – État des variations des actifs nets</w:t>
      </w:r>
    </w:p>
    <w:p w:rsidR="00166A0E" w:rsidRPr="00E143CC" w:rsidRDefault="00166A0E" w:rsidP="00166A0E">
      <w:pPr>
        <w:numPr>
          <w:ilvl w:val="0"/>
          <w:numId w:val="22"/>
        </w:numPr>
        <w:autoSpaceDE w:val="0"/>
        <w:autoSpaceDN w:val="0"/>
        <w:adjustRightInd w:val="0"/>
        <w:rPr>
          <w:rFonts w:cs="Arial"/>
          <w:lang w:val="fr-CH" w:eastAsia="en-GB"/>
        </w:rPr>
      </w:pPr>
      <w:r w:rsidRPr="00E143CC">
        <w:rPr>
          <w:rFonts w:cs="Arial"/>
          <w:lang w:val="fr-CH" w:eastAsia="en-GB"/>
        </w:rPr>
        <w:t>État IV – État des flux de trésorerie</w:t>
      </w:r>
    </w:p>
    <w:p w:rsidR="00166A0E" w:rsidRPr="00E143CC" w:rsidRDefault="00166A0E" w:rsidP="00166A0E">
      <w:pPr>
        <w:numPr>
          <w:ilvl w:val="0"/>
          <w:numId w:val="22"/>
        </w:numPr>
        <w:autoSpaceDE w:val="0"/>
        <w:autoSpaceDN w:val="0"/>
        <w:adjustRightInd w:val="0"/>
        <w:rPr>
          <w:rFonts w:cs="Arial"/>
          <w:lang w:val="fr-CH" w:eastAsia="en-GB"/>
        </w:rPr>
      </w:pPr>
      <w:r w:rsidRPr="00E143CC">
        <w:rPr>
          <w:rFonts w:cs="Arial"/>
          <w:lang w:val="fr-CH" w:eastAsia="en-GB"/>
        </w:rPr>
        <w:t>État V – État de comparaison entre les crédits alloués et les dépenses réelles</w:t>
      </w:r>
    </w:p>
    <w:p w:rsidR="00166A0E" w:rsidRPr="00E143CC" w:rsidRDefault="00166A0E" w:rsidP="00166A0E">
      <w:pPr>
        <w:numPr>
          <w:ilvl w:val="0"/>
          <w:numId w:val="22"/>
        </w:numPr>
        <w:autoSpaceDE w:val="0"/>
        <w:autoSpaceDN w:val="0"/>
        <w:adjustRightInd w:val="0"/>
        <w:rPr>
          <w:rFonts w:cs="Arial"/>
          <w:lang w:val="fr-CH" w:eastAsia="en-GB"/>
        </w:rPr>
      </w:pPr>
      <w:r w:rsidRPr="00E143CC">
        <w:rPr>
          <w:rFonts w:cs="Arial"/>
          <w:lang w:val="fr-CH" w:eastAsia="en-GB"/>
        </w:rPr>
        <w:t>Notes aux états financiers</w:t>
      </w:r>
    </w:p>
    <w:p w:rsidR="00166A0E" w:rsidRPr="00E143CC" w:rsidRDefault="00166A0E" w:rsidP="00166A0E">
      <w:pPr>
        <w:autoSpaceDE w:val="0"/>
        <w:autoSpaceDN w:val="0"/>
        <w:adjustRightInd w:val="0"/>
        <w:rPr>
          <w:rFonts w:cs="Arial"/>
          <w:lang w:val="en-GB" w:eastAsia="en-GB"/>
        </w:rPr>
      </w:pPr>
    </w:p>
    <w:p w:rsidR="00166A0E" w:rsidRPr="00E143CC" w:rsidRDefault="00166A0E" w:rsidP="00166A0E">
      <w:pPr>
        <w:autoSpaceDE w:val="0"/>
        <w:autoSpaceDN w:val="0"/>
        <w:adjustRightInd w:val="0"/>
        <w:rPr>
          <w:rFonts w:cs="Arial"/>
          <w:lang w:val="fr-CH" w:eastAsia="en-GB"/>
        </w:rPr>
      </w:pPr>
      <w:r w:rsidRPr="00E143CC">
        <w:rPr>
          <w:rFonts w:cs="Arial"/>
          <w:lang w:val="fr-CH" w:eastAsia="en-GB"/>
        </w:rPr>
        <w:lastRenderedPageBreak/>
        <w:t>Dans le rapport de gestion financière, les états I à V sont présentés pour l’exercice biennal 2012</w:t>
      </w:r>
      <w:r w:rsidRPr="00E143CC">
        <w:rPr>
          <w:rFonts w:cs="Arial"/>
          <w:lang w:val="fr-CH" w:eastAsia="en-GB"/>
        </w:rPr>
        <w:noBreakHyphen/>
        <w:t>2013.  Des informations financières sont fournies pour faire comprendre les différences entre le résultat de l’UPOV sur une base budgétaire et celui en fonction des états financiers établis selon les normes IPSAS.  D’autres extraits des états financiers annuels fournissent également de plus amples détails sur les actifs et les passifs de l’UPOV.</w:t>
      </w:r>
    </w:p>
    <w:p w:rsidR="00166A0E" w:rsidRPr="00E143CC" w:rsidRDefault="00166A0E" w:rsidP="00166A0E">
      <w:pPr>
        <w:autoSpaceDE w:val="0"/>
        <w:autoSpaceDN w:val="0"/>
        <w:adjustRightInd w:val="0"/>
        <w:rPr>
          <w:rFonts w:cs="Arial"/>
          <w:lang w:val="fr-CH" w:eastAsia="en-GB"/>
        </w:rPr>
      </w:pPr>
    </w:p>
    <w:p w:rsidR="00166A0E" w:rsidRPr="00E143CC" w:rsidRDefault="00166A0E" w:rsidP="00166A0E">
      <w:pPr>
        <w:spacing w:after="200" w:line="276" w:lineRule="auto"/>
        <w:rPr>
          <w:rFonts w:cs="Arial"/>
          <w:lang w:val="fr-CH" w:eastAsia="en-GB"/>
        </w:rPr>
      </w:pPr>
      <w:r w:rsidRPr="00E143CC">
        <w:rPr>
          <w:rFonts w:cs="Arial"/>
          <w:lang w:val="fr-CH" w:eastAsia="en-GB"/>
        </w:rPr>
        <w:t>L’exercice biennal 2012</w:t>
      </w:r>
      <w:r w:rsidRPr="00E143CC">
        <w:rPr>
          <w:rFonts w:cs="Arial"/>
          <w:lang w:val="fr-CH" w:eastAsia="en-GB"/>
        </w:rPr>
        <w:noBreakHyphen/>
        <w:t>2013 étant le premier exercice pour lequel des informations financières préparées sur une base de comptabilité d’exercice intégrale conformément aux normes IPSAS sont disponibles, des informations comparatives pour l’exercice biennal 2010</w:t>
      </w:r>
      <w:r w:rsidRPr="00E143CC">
        <w:rPr>
          <w:rFonts w:cs="Arial"/>
          <w:lang w:val="fr-CH" w:eastAsia="en-GB"/>
        </w:rPr>
        <w:noBreakHyphen/>
        <w:t>2011 ne sont pas fournies dans l’état de la performance financière ou l’état des flux de trésorerie.  Dans l’état de la situation financière et les notes d’appui, les soldes sont donnés au 31 décembre 2013, au 31 décembre 2012 et au 1</w:t>
      </w:r>
      <w:r w:rsidRPr="00E143CC">
        <w:rPr>
          <w:rFonts w:cs="Arial"/>
          <w:vertAlign w:val="superscript"/>
          <w:lang w:val="fr-CH" w:eastAsia="en-GB"/>
        </w:rPr>
        <w:t>er</w:t>
      </w:r>
      <w:r w:rsidRPr="00E143CC">
        <w:rPr>
          <w:rFonts w:cs="Arial"/>
          <w:lang w:val="fr-CH" w:eastAsia="en-GB"/>
        </w:rPr>
        <w:t> janvier 2012.  Les soldes au 1</w:t>
      </w:r>
      <w:r w:rsidRPr="00E143CC">
        <w:rPr>
          <w:rFonts w:cs="Arial"/>
          <w:vertAlign w:val="superscript"/>
          <w:lang w:val="fr-CH" w:eastAsia="en-GB"/>
        </w:rPr>
        <w:t>er</w:t>
      </w:r>
      <w:r w:rsidRPr="00E143CC">
        <w:rPr>
          <w:rFonts w:cs="Arial"/>
          <w:lang w:val="fr-CH" w:eastAsia="en-GB"/>
        </w:rPr>
        <w:t> janvier 2012 sont les soldes au 31 décembre 2011 retraités pour les impacts sur le solde d’ouverture de l’application des normes IPSAS.</w:t>
      </w:r>
    </w:p>
    <w:p w:rsidR="00166A0E" w:rsidRPr="00E143CC" w:rsidRDefault="00166A0E" w:rsidP="00166A0E">
      <w:pPr>
        <w:spacing w:after="200" w:line="276" w:lineRule="auto"/>
        <w:jc w:val="center"/>
        <w:rPr>
          <w:rFonts w:cs="Arial"/>
          <w:b/>
          <w:lang w:val="fr-CH" w:eastAsia="en-GB"/>
        </w:rPr>
      </w:pPr>
      <w:r w:rsidRPr="00E143CC">
        <w:rPr>
          <w:rFonts w:cs="Arial"/>
          <w:lang w:val="fr-CH" w:eastAsia="en-GB"/>
        </w:rPr>
        <w:br w:type="page"/>
      </w:r>
      <w:r w:rsidRPr="00E143CC">
        <w:rPr>
          <w:rFonts w:cs="Arial"/>
          <w:b/>
          <w:lang w:val="fr-CH" w:eastAsia="en-GB"/>
        </w:rPr>
        <w:lastRenderedPageBreak/>
        <w:t>ÉTAT I</w:t>
      </w:r>
    </w:p>
    <w:p w:rsidR="00166A0E" w:rsidRDefault="00166A0E" w:rsidP="00166A0E">
      <w:pPr>
        <w:jc w:val="center"/>
        <w:rPr>
          <w:rStyle w:val="PageNumber"/>
          <w:b/>
          <w:lang w:val="fr-CH"/>
        </w:rPr>
      </w:pPr>
      <w:r w:rsidRPr="00E143CC">
        <w:rPr>
          <w:rStyle w:val="PageNumber"/>
          <w:rFonts w:cs="Arial"/>
          <w:b/>
          <w:lang w:val="fr-CH"/>
        </w:rPr>
        <w:t>É</w:t>
      </w:r>
      <w:r w:rsidRPr="00E143CC">
        <w:rPr>
          <w:rStyle w:val="PageNumber"/>
          <w:b/>
          <w:lang w:val="fr-CH"/>
        </w:rPr>
        <w:t>TAT DE LA SITUATION FINANCI</w:t>
      </w:r>
      <w:r w:rsidRPr="00E143CC">
        <w:rPr>
          <w:rStyle w:val="PageNumber"/>
          <w:rFonts w:cs="Arial"/>
          <w:b/>
          <w:lang w:val="fr-CH"/>
        </w:rPr>
        <w:t>È</w:t>
      </w:r>
      <w:r w:rsidRPr="00E143CC">
        <w:rPr>
          <w:rStyle w:val="PageNumber"/>
          <w:b/>
          <w:lang w:val="fr-CH"/>
        </w:rPr>
        <w:t>RE</w:t>
      </w:r>
    </w:p>
    <w:p w:rsidR="00F2488F" w:rsidRPr="00CA3BDE" w:rsidRDefault="00F2488F" w:rsidP="00CA3BDE">
      <w:pPr>
        <w:pStyle w:val="Heading3"/>
      </w:pPr>
      <w:bookmarkStart w:id="16" w:name="_Toc393377919"/>
      <w:bookmarkStart w:id="17" w:name="_Toc395251224"/>
      <w:r w:rsidRPr="00CA3BDE">
        <w:rPr>
          <w:rStyle w:val="PageNumber"/>
          <w:rFonts w:ascii="Arial Bold" w:hAnsi="Arial Bold"/>
          <w:sz w:val="16"/>
        </w:rPr>
        <w:t>État de la situation financière</w:t>
      </w:r>
      <w:bookmarkEnd w:id="16"/>
      <w:bookmarkEnd w:id="17"/>
    </w:p>
    <w:p w:rsidR="00166A0E" w:rsidRPr="00E143CC" w:rsidRDefault="00166A0E" w:rsidP="00166A0E">
      <w:pPr>
        <w:jc w:val="center"/>
        <w:rPr>
          <w:rFonts w:cs="Arial"/>
          <w:b/>
          <w:lang w:val="fr-CH" w:eastAsia="en-GB"/>
        </w:rPr>
      </w:pPr>
      <w:r w:rsidRPr="00E143CC">
        <w:rPr>
          <w:rFonts w:cs="Arial"/>
          <w:b/>
          <w:lang w:val="fr-CH" w:eastAsia="en-GB"/>
        </w:rPr>
        <w:t>au 31 décembre 2013</w:t>
      </w:r>
    </w:p>
    <w:p w:rsidR="00166A0E" w:rsidRPr="00E143CC" w:rsidRDefault="00166A0E" w:rsidP="00166A0E">
      <w:pPr>
        <w:jc w:val="center"/>
        <w:rPr>
          <w:b/>
          <w:lang w:val="fr-CH"/>
        </w:rPr>
      </w:pPr>
      <w:r w:rsidRPr="00E143CC">
        <w:rPr>
          <w:b/>
          <w:lang w:val="fr-CH"/>
        </w:rPr>
        <w:t>(en francs suisses)</w:t>
      </w:r>
    </w:p>
    <w:p w:rsidR="00166A0E" w:rsidRDefault="00166A0E" w:rsidP="00166A0E">
      <w:pPr>
        <w:spacing w:line="276" w:lineRule="auto"/>
        <w:jc w:val="center"/>
        <w:rPr>
          <w:b/>
          <w:lang w:val="fr-CH"/>
        </w:rPr>
      </w:pPr>
    </w:p>
    <w:p w:rsidR="00AC7DD3" w:rsidRDefault="00AC7DD3" w:rsidP="00AC7DD3">
      <w:pPr>
        <w:spacing w:line="276" w:lineRule="auto"/>
        <w:rPr>
          <w:b/>
          <w:lang w:val="fr-CH"/>
        </w:rPr>
      </w:pPr>
      <w:r w:rsidRPr="00AC7DD3">
        <w:rPr>
          <w:noProof/>
        </w:rPr>
        <w:drawing>
          <wp:inline distT="0" distB="0" distL="0" distR="0" wp14:anchorId="685BC3FA" wp14:editId="237A3F90">
            <wp:extent cx="6120765" cy="403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4038255"/>
                    </a:xfrm>
                    <a:prstGeom prst="rect">
                      <a:avLst/>
                    </a:prstGeom>
                    <a:noFill/>
                    <a:ln>
                      <a:noFill/>
                    </a:ln>
                  </pic:spPr>
                </pic:pic>
              </a:graphicData>
            </a:graphic>
          </wp:inline>
        </w:drawing>
      </w:r>
    </w:p>
    <w:p w:rsidR="00AC7DD3" w:rsidRDefault="00AC7DD3" w:rsidP="00166A0E">
      <w:pPr>
        <w:spacing w:line="276" w:lineRule="auto"/>
        <w:jc w:val="center"/>
        <w:rPr>
          <w:b/>
          <w:lang w:val="fr-CH"/>
        </w:rPr>
      </w:pPr>
    </w:p>
    <w:p w:rsidR="00AC7DD3" w:rsidRDefault="00AC7DD3" w:rsidP="00166A0E">
      <w:pPr>
        <w:spacing w:line="276" w:lineRule="auto"/>
        <w:jc w:val="center"/>
        <w:rPr>
          <w:b/>
          <w:lang w:val="fr-CH"/>
        </w:rPr>
      </w:pPr>
    </w:p>
    <w:p w:rsidR="00AC7DD3" w:rsidRPr="00E143CC" w:rsidRDefault="00AC7DD3" w:rsidP="00166A0E">
      <w:pPr>
        <w:spacing w:line="276" w:lineRule="auto"/>
        <w:jc w:val="center"/>
        <w:rPr>
          <w:b/>
          <w:lang w:val="fr-CH"/>
        </w:rPr>
      </w:pPr>
    </w:p>
    <w:p w:rsidR="00166A0E" w:rsidRPr="00E143CC" w:rsidRDefault="00166A0E" w:rsidP="00166A0E">
      <w:pPr>
        <w:spacing w:line="276" w:lineRule="auto"/>
        <w:jc w:val="center"/>
        <w:rPr>
          <w:b/>
        </w:rPr>
      </w:pPr>
    </w:p>
    <w:p w:rsidR="00166A0E" w:rsidRPr="00E143CC" w:rsidRDefault="00166A0E" w:rsidP="00166A0E">
      <w:pPr>
        <w:spacing w:after="200" w:line="276" w:lineRule="auto"/>
        <w:jc w:val="center"/>
        <w:rPr>
          <w:rFonts w:cs="Arial"/>
          <w:b/>
          <w:lang w:val="fr-CH" w:eastAsia="en-GB"/>
        </w:rPr>
      </w:pPr>
      <w:r w:rsidRPr="00E143CC">
        <w:rPr>
          <w:lang w:val="fr-CH"/>
        </w:rPr>
        <w:br w:type="page"/>
      </w:r>
      <w:r w:rsidRPr="00E143CC">
        <w:rPr>
          <w:rFonts w:cs="Arial"/>
          <w:b/>
          <w:lang w:val="fr-CH" w:eastAsia="en-GB"/>
        </w:rPr>
        <w:lastRenderedPageBreak/>
        <w:t>ÉTAT II</w:t>
      </w:r>
    </w:p>
    <w:p w:rsidR="00166A0E" w:rsidRDefault="00166A0E" w:rsidP="00166A0E">
      <w:pPr>
        <w:spacing w:after="200"/>
        <w:jc w:val="center"/>
        <w:rPr>
          <w:rFonts w:cs="Arial"/>
          <w:b/>
          <w:lang w:val="fr-CH" w:eastAsia="en-GB"/>
        </w:rPr>
      </w:pPr>
      <w:r w:rsidRPr="00E143CC">
        <w:rPr>
          <w:rFonts w:cs="Arial"/>
          <w:b/>
          <w:lang w:val="fr-CH" w:eastAsia="en-GB"/>
        </w:rPr>
        <w:t>ÉTAT DE LA PERFORMANCE FINANCIÈRE</w:t>
      </w:r>
    </w:p>
    <w:p w:rsidR="00F2488F" w:rsidRPr="00F2488F" w:rsidRDefault="00F2488F" w:rsidP="00CA3BDE">
      <w:pPr>
        <w:pStyle w:val="Heading3"/>
      </w:pPr>
      <w:bookmarkStart w:id="18" w:name="_Toc395251225"/>
      <w:r w:rsidRPr="00F2488F">
        <w:rPr>
          <w:rStyle w:val="PageNumber"/>
          <w:rFonts w:ascii="Arial Bold" w:hAnsi="Arial Bold"/>
          <w:sz w:val="16"/>
        </w:rPr>
        <w:t>État de la performance financière</w:t>
      </w:r>
      <w:bookmarkEnd w:id="18"/>
    </w:p>
    <w:p w:rsidR="00166A0E" w:rsidRPr="00E143CC" w:rsidRDefault="00166A0E" w:rsidP="00166A0E">
      <w:pPr>
        <w:jc w:val="center"/>
        <w:rPr>
          <w:rFonts w:cs="Arial"/>
          <w:b/>
          <w:lang w:val="fr-CH" w:eastAsia="en-GB"/>
        </w:rPr>
      </w:pPr>
      <w:r w:rsidRPr="00E143CC">
        <w:rPr>
          <w:rFonts w:cs="Arial"/>
          <w:b/>
          <w:lang w:val="fr-CH" w:eastAsia="en-GB"/>
        </w:rPr>
        <w:t>pour l’exercice biennal clos le 31 décembre 2013</w:t>
      </w:r>
    </w:p>
    <w:p w:rsidR="00166A0E" w:rsidRPr="00E143CC" w:rsidRDefault="00166A0E" w:rsidP="00166A0E">
      <w:pPr>
        <w:jc w:val="center"/>
        <w:rPr>
          <w:b/>
        </w:rPr>
      </w:pPr>
      <w:r w:rsidRPr="00E143CC">
        <w:rPr>
          <w:b/>
        </w:rPr>
        <w:t>(en francs suisses)</w:t>
      </w:r>
    </w:p>
    <w:p w:rsidR="00166A0E" w:rsidRDefault="00166A0E" w:rsidP="00166A0E">
      <w:pPr>
        <w:jc w:val="center"/>
        <w:rPr>
          <w:b/>
        </w:rPr>
      </w:pPr>
    </w:p>
    <w:p w:rsidR="00AC7DD3" w:rsidRDefault="00AC7DD3" w:rsidP="00166A0E">
      <w:pPr>
        <w:jc w:val="center"/>
        <w:rPr>
          <w:b/>
        </w:rPr>
      </w:pPr>
      <w:r w:rsidRPr="00AC7DD3">
        <w:rPr>
          <w:noProof/>
        </w:rPr>
        <w:drawing>
          <wp:inline distT="0" distB="0" distL="0" distR="0" wp14:anchorId="1A8DDA13" wp14:editId="4EF3C306">
            <wp:extent cx="5947410" cy="36658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7410" cy="3665855"/>
                    </a:xfrm>
                    <a:prstGeom prst="rect">
                      <a:avLst/>
                    </a:prstGeom>
                    <a:noFill/>
                    <a:ln>
                      <a:noFill/>
                    </a:ln>
                  </pic:spPr>
                </pic:pic>
              </a:graphicData>
            </a:graphic>
          </wp:inline>
        </w:drawing>
      </w:r>
    </w:p>
    <w:p w:rsidR="00AC7DD3" w:rsidRPr="00E143CC" w:rsidRDefault="00AC7DD3" w:rsidP="00166A0E">
      <w:pPr>
        <w:jc w:val="center"/>
        <w:rPr>
          <w:b/>
        </w:rPr>
      </w:pPr>
    </w:p>
    <w:p w:rsidR="00166A0E" w:rsidRPr="00E143CC" w:rsidRDefault="00166A0E" w:rsidP="00166A0E">
      <w:pPr>
        <w:jc w:val="center"/>
        <w:rPr>
          <w:b/>
        </w:rPr>
      </w:pPr>
    </w:p>
    <w:p w:rsidR="00166A0E" w:rsidRPr="00E143CC" w:rsidRDefault="00166A0E" w:rsidP="00166A0E">
      <w:pPr>
        <w:jc w:val="center"/>
        <w:rPr>
          <w:b/>
        </w:rPr>
      </w:pPr>
    </w:p>
    <w:p w:rsidR="00166A0E" w:rsidRPr="00E143CC" w:rsidRDefault="00166A0E" w:rsidP="00166A0E">
      <w:pPr>
        <w:spacing w:line="276" w:lineRule="auto"/>
        <w:jc w:val="center"/>
        <w:rPr>
          <w:b/>
        </w:rPr>
      </w:pPr>
    </w:p>
    <w:p w:rsidR="00166A0E" w:rsidRPr="00E143CC" w:rsidRDefault="00166A0E" w:rsidP="00166A0E">
      <w:pPr>
        <w:spacing w:line="276" w:lineRule="auto"/>
        <w:jc w:val="center"/>
        <w:rPr>
          <w:b/>
        </w:rPr>
      </w:pPr>
    </w:p>
    <w:p w:rsidR="00166A0E" w:rsidRPr="00E143CC" w:rsidRDefault="00166A0E" w:rsidP="00166A0E">
      <w:pPr>
        <w:spacing w:after="200"/>
        <w:jc w:val="center"/>
        <w:rPr>
          <w:rFonts w:cs="Arial"/>
          <w:b/>
          <w:lang w:val="fr-CH" w:eastAsia="en-GB"/>
        </w:rPr>
      </w:pPr>
      <w:r w:rsidRPr="00E143CC">
        <w:rPr>
          <w:lang w:val="fr-CH"/>
        </w:rPr>
        <w:br w:type="page"/>
      </w:r>
      <w:r w:rsidRPr="00E143CC">
        <w:rPr>
          <w:rFonts w:cs="Arial"/>
          <w:b/>
          <w:lang w:val="fr-CH" w:eastAsia="en-GB"/>
        </w:rPr>
        <w:lastRenderedPageBreak/>
        <w:t>ÉTAT III</w:t>
      </w:r>
    </w:p>
    <w:p w:rsidR="00166A0E" w:rsidRDefault="00166A0E" w:rsidP="00166A0E">
      <w:pPr>
        <w:spacing w:after="200"/>
        <w:jc w:val="center"/>
        <w:rPr>
          <w:rFonts w:cs="Arial"/>
          <w:b/>
          <w:lang w:val="fr-CH" w:eastAsia="en-GB"/>
        </w:rPr>
      </w:pPr>
      <w:r w:rsidRPr="00E143CC">
        <w:rPr>
          <w:rFonts w:cs="Arial"/>
          <w:b/>
          <w:lang w:val="fr-CH" w:eastAsia="en-GB"/>
        </w:rPr>
        <w:t>ÉTAT DES VARIATIONS DES ACTIFS NETS</w:t>
      </w:r>
    </w:p>
    <w:p w:rsidR="00D604B6" w:rsidRPr="00D604B6" w:rsidRDefault="00D604B6" w:rsidP="00CA3BDE">
      <w:pPr>
        <w:pStyle w:val="Heading3"/>
      </w:pPr>
      <w:bookmarkStart w:id="19" w:name="_Toc395251226"/>
      <w:r w:rsidRPr="00D604B6">
        <w:rPr>
          <w:rStyle w:val="PageNumber"/>
          <w:rFonts w:ascii="Arial Bold" w:hAnsi="Arial Bold"/>
          <w:sz w:val="16"/>
        </w:rPr>
        <w:t>État des variations des actifs nets</w:t>
      </w:r>
      <w:bookmarkEnd w:id="19"/>
    </w:p>
    <w:p w:rsidR="00166A0E" w:rsidRPr="00E143CC" w:rsidRDefault="00166A0E" w:rsidP="00166A0E">
      <w:pPr>
        <w:jc w:val="center"/>
        <w:rPr>
          <w:rFonts w:cs="Arial"/>
          <w:b/>
          <w:lang w:val="fr-CH" w:eastAsia="en-GB"/>
        </w:rPr>
      </w:pPr>
      <w:r w:rsidRPr="00E143CC">
        <w:rPr>
          <w:rFonts w:cs="Arial"/>
          <w:b/>
          <w:lang w:val="fr-CH" w:eastAsia="en-GB"/>
        </w:rPr>
        <w:t>pour l’exercice biennal clos le 31 décembre 2013</w:t>
      </w:r>
    </w:p>
    <w:p w:rsidR="00166A0E" w:rsidRPr="00E143CC" w:rsidRDefault="00166A0E" w:rsidP="00166A0E">
      <w:pPr>
        <w:jc w:val="center"/>
        <w:rPr>
          <w:b/>
        </w:rPr>
      </w:pPr>
      <w:r w:rsidRPr="00E143CC">
        <w:rPr>
          <w:b/>
        </w:rPr>
        <w:t>(en francs suisses)</w:t>
      </w:r>
    </w:p>
    <w:p w:rsidR="00166A0E" w:rsidRPr="00E143CC" w:rsidRDefault="00166A0E" w:rsidP="00166A0E">
      <w:pPr>
        <w:jc w:val="center"/>
        <w:rPr>
          <w:b/>
        </w:rPr>
      </w:pPr>
    </w:p>
    <w:p w:rsidR="00166A0E" w:rsidRPr="00E143CC" w:rsidRDefault="00166A0E" w:rsidP="00166A0E">
      <w:pPr>
        <w:jc w:val="center"/>
        <w:rPr>
          <w:b/>
        </w:rPr>
      </w:pPr>
      <w:r w:rsidRPr="00E143CC">
        <w:rPr>
          <w:noProof/>
        </w:rPr>
        <w:drawing>
          <wp:inline distT="0" distB="0" distL="0" distR="0" wp14:anchorId="44CABF48" wp14:editId="31191622">
            <wp:extent cx="6120765" cy="37205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720526"/>
                    </a:xfrm>
                    <a:prstGeom prst="rect">
                      <a:avLst/>
                    </a:prstGeom>
                    <a:noFill/>
                    <a:ln>
                      <a:noFill/>
                    </a:ln>
                  </pic:spPr>
                </pic:pic>
              </a:graphicData>
            </a:graphic>
          </wp:inline>
        </w:drawing>
      </w:r>
    </w:p>
    <w:p w:rsidR="00166A0E" w:rsidRPr="00E143CC" w:rsidRDefault="00166A0E" w:rsidP="00166A0E">
      <w:pPr>
        <w:jc w:val="center"/>
        <w:rPr>
          <w:b/>
        </w:rPr>
      </w:pPr>
    </w:p>
    <w:p w:rsidR="00166A0E" w:rsidRPr="00E143CC" w:rsidRDefault="00166A0E" w:rsidP="00166A0E">
      <w:pPr>
        <w:spacing w:line="276" w:lineRule="auto"/>
        <w:jc w:val="center"/>
      </w:pPr>
    </w:p>
    <w:p w:rsidR="00166A0E" w:rsidRPr="00E143CC" w:rsidRDefault="00166A0E" w:rsidP="00166A0E">
      <w:pPr>
        <w:spacing w:after="200" w:line="276" w:lineRule="auto"/>
        <w:jc w:val="center"/>
        <w:rPr>
          <w:rFonts w:cs="Arial"/>
          <w:b/>
          <w:lang w:val="fr-CH" w:eastAsia="en-GB"/>
        </w:rPr>
      </w:pPr>
      <w:r w:rsidRPr="00E143CC">
        <w:rPr>
          <w:lang w:val="fr-CH"/>
        </w:rPr>
        <w:br w:type="page"/>
      </w:r>
      <w:r w:rsidRPr="00E143CC">
        <w:rPr>
          <w:rFonts w:cs="Arial"/>
          <w:b/>
          <w:lang w:val="fr-CH" w:eastAsia="en-GB"/>
        </w:rPr>
        <w:lastRenderedPageBreak/>
        <w:t>ÉTAT IV</w:t>
      </w:r>
    </w:p>
    <w:p w:rsidR="00166A0E" w:rsidRDefault="00166A0E" w:rsidP="00166A0E">
      <w:pPr>
        <w:spacing w:after="200" w:line="276" w:lineRule="auto"/>
        <w:jc w:val="center"/>
        <w:rPr>
          <w:rFonts w:cs="Arial"/>
          <w:b/>
          <w:lang w:val="fr-CH" w:eastAsia="en-GB"/>
        </w:rPr>
      </w:pPr>
      <w:r w:rsidRPr="00E143CC">
        <w:rPr>
          <w:rFonts w:cs="Arial"/>
          <w:b/>
          <w:lang w:val="fr-CH" w:eastAsia="en-GB"/>
        </w:rPr>
        <w:t>ÉTAT DES FLUX DE TRÉSORERIE</w:t>
      </w:r>
    </w:p>
    <w:p w:rsidR="00D604B6" w:rsidRPr="00D604B6" w:rsidRDefault="00D604B6" w:rsidP="00CA3BDE">
      <w:pPr>
        <w:pStyle w:val="Heading3"/>
      </w:pPr>
      <w:bookmarkStart w:id="20" w:name="_Toc395251227"/>
      <w:r w:rsidRPr="00CA3BDE">
        <w:rPr>
          <w:rStyle w:val="PageNumber"/>
          <w:rFonts w:ascii="Arial Bold" w:hAnsi="Arial Bold"/>
          <w:sz w:val="16"/>
        </w:rPr>
        <w:t>État des flux de trésorerie</w:t>
      </w:r>
      <w:bookmarkEnd w:id="20"/>
    </w:p>
    <w:p w:rsidR="00166A0E" w:rsidRPr="00E143CC" w:rsidRDefault="00166A0E" w:rsidP="00166A0E">
      <w:pPr>
        <w:spacing w:line="276" w:lineRule="auto"/>
        <w:jc w:val="center"/>
        <w:rPr>
          <w:rFonts w:cs="Arial"/>
          <w:b/>
          <w:lang w:val="fr-CH" w:eastAsia="en-GB"/>
        </w:rPr>
      </w:pPr>
      <w:r w:rsidRPr="00E143CC">
        <w:rPr>
          <w:rFonts w:cs="Arial"/>
          <w:b/>
          <w:lang w:val="fr-CH" w:eastAsia="en-GB"/>
        </w:rPr>
        <w:t>pour l’exercice biennal clos le 31 décembre 2013</w:t>
      </w:r>
    </w:p>
    <w:p w:rsidR="00166A0E" w:rsidRPr="00E143CC" w:rsidRDefault="00166A0E" w:rsidP="00166A0E">
      <w:pPr>
        <w:spacing w:line="276" w:lineRule="auto"/>
        <w:jc w:val="center"/>
        <w:rPr>
          <w:b/>
        </w:rPr>
      </w:pPr>
      <w:r w:rsidRPr="00E143CC">
        <w:rPr>
          <w:b/>
        </w:rPr>
        <w:t>(en francs suisses)</w:t>
      </w:r>
    </w:p>
    <w:p w:rsidR="00166A0E" w:rsidRDefault="00166A0E" w:rsidP="00166A0E">
      <w:pPr>
        <w:spacing w:line="276" w:lineRule="auto"/>
        <w:jc w:val="center"/>
        <w:rPr>
          <w:b/>
        </w:rPr>
      </w:pPr>
    </w:p>
    <w:p w:rsidR="00AC7DD3" w:rsidRDefault="00AC7DD3" w:rsidP="00166A0E">
      <w:pPr>
        <w:spacing w:line="276" w:lineRule="auto"/>
        <w:jc w:val="center"/>
        <w:rPr>
          <w:b/>
        </w:rPr>
      </w:pPr>
      <w:r w:rsidRPr="00AC7DD3">
        <w:rPr>
          <w:noProof/>
        </w:rPr>
        <w:drawing>
          <wp:inline distT="0" distB="0" distL="0" distR="0" wp14:anchorId="27E38DB9" wp14:editId="5FC0C620">
            <wp:extent cx="6120765" cy="362501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3625014"/>
                    </a:xfrm>
                    <a:prstGeom prst="rect">
                      <a:avLst/>
                    </a:prstGeom>
                    <a:noFill/>
                    <a:ln>
                      <a:noFill/>
                    </a:ln>
                  </pic:spPr>
                </pic:pic>
              </a:graphicData>
            </a:graphic>
          </wp:inline>
        </w:drawing>
      </w:r>
    </w:p>
    <w:p w:rsidR="00AC7DD3" w:rsidRPr="00E143CC" w:rsidRDefault="00AC7DD3" w:rsidP="00166A0E">
      <w:pPr>
        <w:spacing w:line="276" w:lineRule="auto"/>
        <w:jc w:val="center"/>
        <w:rPr>
          <w:b/>
        </w:rPr>
      </w:pPr>
    </w:p>
    <w:p w:rsidR="00166A0E" w:rsidRPr="00E143CC" w:rsidRDefault="00166A0E" w:rsidP="00166A0E">
      <w:pPr>
        <w:spacing w:line="276" w:lineRule="auto"/>
        <w:jc w:val="center"/>
        <w:rPr>
          <w:b/>
        </w:rPr>
      </w:pPr>
    </w:p>
    <w:p w:rsidR="00166A0E" w:rsidRPr="00E143CC" w:rsidRDefault="00166A0E" w:rsidP="00166A0E">
      <w:pPr>
        <w:spacing w:line="276" w:lineRule="auto"/>
        <w:jc w:val="center"/>
        <w:rPr>
          <w:b/>
        </w:rPr>
      </w:pPr>
    </w:p>
    <w:p w:rsidR="00166A0E" w:rsidRPr="00E143CC" w:rsidRDefault="00166A0E" w:rsidP="00166A0E">
      <w:pPr>
        <w:spacing w:line="276" w:lineRule="auto"/>
        <w:jc w:val="center"/>
      </w:pPr>
    </w:p>
    <w:p w:rsidR="00166A0E" w:rsidRPr="00E143CC" w:rsidRDefault="00166A0E" w:rsidP="00166A0E">
      <w:pPr>
        <w:spacing w:after="200" w:line="276" w:lineRule="auto"/>
        <w:jc w:val="center"/>
        <w:rPr>
          <w:rFonts w:cs="Arial"/>
          <w:b/>
          <w:lang w:val="fr-CH" w:eastAsia="en-GB"/>
        </w:rPr>
      </w:pPr>
      <w:r w:rsidRPr="00E143CC">
        <w:rPr>
          <w:lang w:val="fr-CH"/>
        </w:rPr>
        <w:br w:type="page"/>
      </w:r>
      <w:r w:rsidRPr="00E143CC">
        <w:rPr>
          <w:rFonts w:cs="Arial"/>
          <w:b/>
          <w:lang w:val="fr-CH" w:eastAsia="en-GB"/>
        </w:rPr>
        <w:lastRenderedPageBreak/>
        <w:t>ÉTAT V</w:t>
      </w:r>
    </w:p>
    <w:p w:rsidR="00166A0E" w:rsidRDefault="00166A0E" w:rsidP="00166A0E">
      <w:pPr>
        <w:spacing w:after="200"/>
        <w:jc w:val="center"/>
        <w:rPr>
          <w:rFonts w:cs="Arial"/>
          <w:b/>
          <w:lang w:val="fr-CH" w:eastAsia="en-GB"/>
        </w:rPr>
      </w:pPr>
      <w:r w:rsidRPr="00E143CC">
        <w:rPr>
          <w:rFonts w:cs="Arial"/>
          <w:b/>
          <w:lang w:val="fr-CH" w:eastAsia="en-GB"/>
        </w:rPr>
        <w:t>ÉTAT DE COMPARAISON DES MONTANTS BUDGÉTAIRES ET DES MONTANTS RÉELS</w:t>
      </w:r>
    </w:p>
    <w:p w:rsidR="00D604B6" w:rsidRPr="00D604B6" w:rsidRDefault="00D604B6" w:rsidP="00CA3BDE">
      <w:pPr>
        <w:pStyle w:val="Heading3"/>
      </w:pPr>
      <w:bookmarkStart w:id="21" w:name="_Toc395251228"/>
      <w:r w:rsidRPr="00D604B6">
        <w:rPr>
          <w:rStyle w:val="PageNumber"/>
          <w:rFonts w:ascii="Arial Bold" w:hAnsi="Arial Bold"/>
          <w:sz w:val="16"/>
        </w:rPr>
        <w:t>État de comparaison des montants budgétaires et des montants réels</w:t>
      </w:r>
      <w:bookmarkEnd w:id="21"/>
    </w:p>
    <w:p w:rsidR="00166A0E" w:rsidRPr="00E143CC" w:rsidRDefault="00166A0E" w:rsidP="00166A0E">
      <w:pPr>
        <w:jc w:val="center"/>
        <w:rPr>
          <w:rFonts w:cs="Arial"/>
          <w:b/>
          <w:lang w:val="fr-CH" w:eastAsia="en-GB"/>
        </w:rPr>
      </w:pPr>
      <w:r w:rsidRPr="00E143CC">
        <w:rPr>
          <w:rFonts w:cs="Arial"/>
          <w:b/>
          <w:lang w:val="fr-CH" w:eastAsia="en-GB"/>
        </w:rPr>
        <w:t>pour l’exercice biennal clos le 31 décembre 2013</w:t>
      </w:r>
    </w:p>
    <w:p w:rsidR="00166A0E" w:rsidRPr="00E143CC" w:rsidRDefault="00166A0E" w:rsidP="00166A0E">
      <w:pPr>
        <w:spacing w:line="276" w:lineRule="auto"/>
        <w:jc w:val="center"/>
        <w:rPr>
          <w:b/>
          <w:lang w:val="fr-CH"/>
        </w:rPr>
      </w:pPr>
      <w:r w:rsidRPr="00E143CC">
        <w:rPr>
          <w:b/>
          <w:lang w:val="fr-CH"/>
        </w:rPr>
        <w:t>(en milliers de francs suisses)</w:t>
      </w:r>
    </w:p>
    <w:p w:rsidR="00166A0E" w:rsidRDefault="00166A0E" w:rsidP="00166A0E">
      <w:pPr>
        <w:spacing w:line="276" w:lineRule="auto"/>
        <w:jc w:val="center"/>
        <w:rPr>
          <w:lang w:val="fr-CH"/>
        </w:rPr>
      </w:pPr>
    </w:p>
    <w:p w:rsidR="0045369B" w:rsidRDefault="0045369B" w:rsidP="00166A0E">
      <w:pPr>
        <w:spacing w:line="276" w:lineRule="auto"/>
        <w:jc w:val="center"/>
        <w:rPr>
          <w:lang w:val="fr-CH"/>
        </w:rPr>
      </w:pPr>
      <w:r w:rsidRPr="0045369B">
        <w:rPr>
          <w:noProof/>
        </w:rPr>
        <w:drawing>
          <wp:inline distT="0" distB="0" distL="0" distR="0" wp14:anchorId="45CFB8BA" wp14:editId="4CEE9B4D">
            <wp:extent cx="6120765" cy="48542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4854212"/>
                    </a:xfrm>
                    <a:prstGeom prst="rect">
                      <a:avLst/>
                    </a:prstGeom>
                    <a:noFill/>
                    <a:ln>
                      <a:noFill/>
                    </a:ln>
                  </pic:spPr>
                </pic:pic>
              </a:graphicData>
            </a:graphic>
          </wp:inline>
        </w:drawing>
      </w:r>
    </w:p>
    <w:p w:rsidR="0045369B" w:rsidRPr="00E143CC" w:rsidRDefault="0045369B" w:rsidP="00166A0E">
      <w:pPr>
        <w:spacing w:line="276" w:lineRule="auto"/>
        <w:jc w:val="center"/>
        <w:rPr>
          <w:lang w:val="fr-CH"/>
        </w:rPr>
      </w:pPr>
    </w:p>
    <w:p w:rsidR="00166A0E" w:rsidRPr="00E143CC" w:rsidRDefault="00166A0E" w:rsidP="00166A0E">
      <w:pPr>
        <w:spacing w:line="276" w:lineRule="auto"/>
        <w:jc w:val="center"/>
        <w:rPr>
          <w:lang w:val="fr-CH"/>
        </w:rPr>
      </w:pPr>
    </w:p>
    <w:p w:rsidR="00166A0E" w:rsidRPr="00E143CC" w:rsidRDefault="00166A0E" w:rsidP="00166A0E">
      <w:pPr>
        <w:spacing w:line="276" w:lineRule="auto"/>
        <w:jc w:val="center"/>
        <w:rPr>
          <w:lang w:val="fr-CH"/>
        </w:rPr>
      </w:pPr>
    </w:p>
    <w:p w:rsidR="00166A0E" w:rsidRPr="00E143CC" w:rsidRDefault="00166A0E" w:rsidP="00166A0E">
      <w:pPr>
        <w:spacing w:line="276" w:lineRule="auto"/>
        <w:jc w:val="center"/>
        <w:rPr>
          <w:lang w:val="fr-CH"/>
        </w:rPr>
      </w:pPr>
    </w:p>
    <w:p w:rsidR="00166A0E" w:rsidRPr="00E143CC" w:rsidRDefault="00166A0E" w:rsidP="00166A0E"/>
    <w:p w:rsidR="00166A0E" w:rsidRPr="00E143CC" w:rsidRDefault="00166A0E" w:rsidP="00166A0E">
      <w:pPr>
        <w:numPr>
          <w:ilvl w:val="0"/>
          <w:numId w:val="23"/>
        </w:numPr>
        <w:rPr>
          <w:sz w:val="18"/>
          <w:szCs w:val="18"/>
          <w:lang w:val="fr-CH"/>
        </w:rPr>
      </w:pPr>
      <w:r w:rsidRPr="00E143CC">
        <w:rPr>
          <w:sz w:val="18"/>
          <w:szCs w:val="18"/>
          <w:lang w:val="fr-CH"/>
        </w:rPr>
        <w:t>– représente le budget approuvé pour l’exercice biennal 2012</w:t>
      </w:r>
      <w:r w:rsidRPr="00E143CC">
        <w:rPr>
          <w:sz w:val="18"/>
          <w:szCs w:val="18"/>
          <w:lang w:val="fr-CH"/>
        </w:rPr>
        <w:noBreakHyphen/>
        <w:t>2013;</w:t>
      </w:r>
    </w:p>
    <w:p w:rsidR="00166A0E" w:rsidRPr="00E143CC" w:rsidRDefault="00166A0E" w:rsidP="00166A0E">
      <w:pPr>
        <w:numPr>
          <w:ilvl w:val="0"/>
          <w:numId w:val="23"/>
        </w:numPr>
        <w:rPr>
          <w:sz w:val="18"/>
          <w:szCs w:val="18"/>
          <w:lang w:val="fr-CH"/>
        </w:rPr>
      </w:pPr>
      <w:r w:rsidRPr="00E143CC">
        <w:rPr>
          <w:sz w:val="18"/>
          <w:szCs w:val="18"/>
          <w:lang w:val="fr-CH"/>
        </w:rPr>
        <w:t>– représente l’écart entre le budget final (révisé) et les dépenses effectives sur une base comparable (avant ajustements IPSAS).</w:t>
      </w:r>
    </w:p>
    <w:p w:rsidR="00166A0E" w:rsidRDefault="00166A0E" w:rsidP="00166A0E">
      <w:pPr>
        <w:rPr>
          <w:rFonts w:ascii="Arial Bold" w:hAnsi="Arial Bold"/>
          <w:b/>
          <w:lang w:val="fr-CH"/>
        </w:rPr>
      </w:pPr>
      <w:r w:rsidRPr="00E143CC">
        <w:rPr>
          <w:sz w:val="18"/>
          <w:szCs w:val="18"/>
          <w:lang w:val="fr-CH"/>
        </w:rPr>
        <w:br w:type="page"/>
      </w:r>
      <w:r w:rsidRPr="001B73F0">
        <w:rPr>
          <w:rFonts w:ascii="Arial Bold" w:hAnsi="Arial Bold"/>
          <w:b/>
          <w:lang w:val="fr-CH"/>
        </w:rPr>
        <w:lastRenderedPageBreak/>
        <w:t>ANALYSE DE L’ÉTAT DE LA SITUATION FINANCIÈRE</w:t>
      </w:r>
    </w:p>
    <w:p w:rsidR="00D604B6" w:rsidRPr="00CA3BDE" w:rsidRDefault="00EE7CE2" w:rsidP="00CA3BDE">
      <w:pPr>
        <w:pStyle w:val="Heading3"/>
      </w:pPr>
      <w:bookmarkStart w:id="22" w:name="_Toc395251229"/>
      <w:r w:rsidRPr="00CA3BDE">
        <w:rPr>
          <w:rStyle w:val="PageNumber"/>
          <w:rFonts w:ascii="Arial Bold" w:hAnsi="Arial Bold"/>
          <w:sz w:val="16"/>
        </w:rPr>
        <w:t>Analyse de l’état de la situation financière</w:t>
      </w:r>
      <w:bookmarkEnd w:id="22"/>
    </w:p>
    <w:p w:rsidR="00115A09" w:rsidRDefault="00115A09" w:rsidP="00166A0E">
      <w:pPr>
        <w:autoSpaceDE w:val="0"/>
        <w:autoSpaceDN w:val="0"/>
        <w:adjustRightInd w:val="0"/>
        <w:rPr>
          <w:rFonts w:cs="Arial"/>
          <w:b/>
          <w:bCs/>
          <w:lang w:val="fr-CH" w:eastAsia="en-GB"/>
        </w:rPr>
      </w:pPr>
    </w:p>
    <w:p w:rsidR="00166A0E" w:rsidRPr="00E143CC" w:rsidRDefault="00166A0E" w:rsidP="00166A0E">
      <w:pPr>
        <w:autoSpaceDE w:val="0"/>
        <w:autoSpaceDN w:val="0"/>
        <w:adjustRightInd w:val="0"/>
        <w:rPr>
          <w:rFonts w:cs="Arial"/>
          <w:lang w:val="fr-CH" w:eastAsia="en-GB"/>
        </w:rPr>
      </w:pPr>
      <w:r w:rsidRPr="00E143CC">
        <w:rPr>
          <w:rFonts w:cs="Arial"/>
          <w:b/>
          <w:bCs/>
          <w:lang w:val="fr-CH" w:eastAsia="en-GB"/>
        </w:rPr>
        <w:t>Évolution des actifs nets</w:t>
      </w:r>
    </w:p>
    <w:p w:rsidR="00166A0E" w:rsidRPr="00E143CC" w:rsidRDefault="00166A0E" w:rsidP="00166A0E">
      <w:pPr>
        <w:rPr>
          <w:rFonts w:cs="Arial"/>
          <w:lang w:val="fr-CH" w:eastAsia="en-GB"/>
        </w:rPr>
      </w:pPr>
    </w:p>
    <w:p w:rsidR="00166A0E" w:rsidRPr="00E143CC" w:rsidRDefault="00166A0E" w:rsidP="00166A0E">
      <w:pPr>
        <w:rPr>
          <w:rFonts w:cs="Arial"/>
          <w:sz w:val="22"/>
          <w:szCs w:val="22"/>
          <w:lang w:val="fr-CH" w:eastAsia="en-GB"/>
        </w:rPr>
      </w:pPr>
      <w:r w:rsidRPr="00E143CC">
        <w:rPr>
          <w:rFonts w:cs="Arial"/>
          <w:lang w:val="fr-CH" w:eastAsia="en-GB"/>
        </w:rPr>
        <w:t>Au 31 décembre 2013, l’UPOV avait des actifs nets sur la base des normes IPSAS de 1 744 294 francs suisses.  Avant l’adoption des normes IPSAS, l’UPOV avait des actifs nets de 1 995 900 francs suisses au 31 décembre 2011</w:t>
      </w:r>
      <w:r w:rsidRPr="00E143CC">
        <w:rPr>
          <w:rFonts w:cs="Arial"/>
          <w:sz w:val="22"/>
          <w:szCs w:val="22"/>
          <w:lang w:val="fr-CH" w:eastAsia="en-GB"/>
        </w:rPr>
        <w:t>.</w:t>
      </w:r>
    </w:p>
    <w:p w:rsidR="00166A0E" w:rsidRPr="00E143CC" w:rsidRDefault="00166A0E" w:rsidP="00166A0E">
      <w:pPr>
        <w:rPr>
          <w:rFonts w:cs="Arial"/>
          <w:sz w:val="22"/>
          <w:szCs w:val="22"/>
          <w:lang w:val="fr-CH" w:eastAsia="en-GB"/>
        </w:rPr>
      </w:pPr>
    </w:p>
    <w:p w:rsidR="00166A0E" w:rsidRPr="00E143CC" w:rsidRDefault="00166A0E" w:rsidP="00166A0E">
      <w:pPr>
        <w:rPr>
          <w:szCs w:val="22"/>
          <w:lang w:val="fr-CH"/>
        </w:rPr>
      </w:pPr>
      <w:r w:rsidRPr="00E143CC">
        <w:rPr>
          <w:szCs w:val="22"/>
          <w:lang w:val="fr-CH"/>
        </w:rPr>
        <w:t>Les ajustements apportés aux soldes d’ouverture selon les normes IPSAS pour produire l’état de la situation financière au 1</w:t>
      </w:r>
      <w:r w:rsidRPr="00E143CC">
        <w:rPr>
          <w:szCs w:val="22"/>
          <w:vertAlign w:val="superscript"/>
          <w:lang w:val="fr-CH"/>
        </w:rPr>
        <w:t>er</w:t>
      </w:r>
      <w:r w:rsidRPr="00E143CC">
        <w:rPr>
          <w:szCs w:val="22"/>
          <w:lang w:val="fr-CH"/>
        </w:rPr>
        <w:t> janvier 2012 se sont traduits par une réduction de 759 147 francs suisses de l’actif net.  Les ajustements les plus significatifs ont concerné les obligations au titre des prestations au personnel, qui se sont élevées à 747 429 francs suisses.  Ces ajustements résultent de la comptabilisation dans les états financiers de ces obligations sur la base de leur évaluation au 1</w:t>
      </w:r>
      <w:r w:rsidRPr="00E143CC">
        <w:rPr>
          <w:szCs w:val="22"/>
          <w:vertAlign w:val="superscript"/>
          <w:lang w:val="fr-CH"/>
        </w:rPr>
        <w:t>er</w:t>
      </w:r>
      <w:r w:rsidRPr="00E143CC">
        <w:rPr>
          <w:szCs w:val="22"/>
          <w:lang w:val="fr-CH"/>
        </w:rPr>
        <w:t> janvier 2012.  Un ajustement d’un montant de 11 718 francs suisses a également été apporté en ce qui concerne les provisions vis</w:t>
      </w:r>
      <w:r w:rsidRPr="00E143CC">
        <w:rPr>
          <w:szCs w:val="22"/>
          <w:lang w:val="fr-CH"/>
        </w:rPr>
        <w:noBreakHyphen/>
        <w:t>à</w:t>
      </w:r>
      <w:r w:rsidRPr="00E143CC">
        <w:rPr>
          <w:szCs w:val="22"/>
          <w:lang w:val="fr-CH"/>
        </w:rPr>
        <w:noBreakHyphen/>
        <w:t>vis des contributions à recevoir.</w:t>
      </w:r>
    </w:p>
    <w:p w:rsidR="00166A0E" w:rsidRPr="00E143CC" w:rsidRDefault="00166A0E" w:rsidP="00166A0E">
      <w:pPr>
        <w:rPr>
          <w:szCs w:val="22"/>
          <w:lang w:val="fr-CH"/>
        </w:rPr>
      </w:pPr>
    </w:p>
    <w:p w:rsidR="00166A0E" w:rsidRPr="00E143CC" w:rsidRDefault="00166A0E" w:rsidP="00166A0E">
      <w:pPr>
        <w:rPr>
          <w:lang w:val="fr-CH"/>
        </w:rPr>
      </w:pPr>
      <w:r w:rsidRPr="00E143CC">
        <w:rPr>
          <w:lang w:val="fr-CH"/>
        </w:rPr>
        <w:t xml:space="preserve">Suite à cette réduction de l’actif net </w:t>
      </w:r>
      <w:r w:rsidR="0045369B">
        <w:rPr>
          <w:lang w:val="fr-CH"/>
        </w:rPr>
        <w:t>dans les soldes d’ouverture selon les normes I</w:t>
      </w:r>
      <w:r w:rsidRPr="00E143CC">
        <w:rPr>
          <w:lang w:val="fr-CH"/>
        </w:rPr>
        <w:t>PSAS, un excédent dans l’état de la performance financière en 2012 et 2013 avec un total de 504 207 francs suisses</w:t>
      </w:r>
      <w:r w:rsidR="0045369B">
        <w:rPr>
          <w:lang w:val="fr-CH"/>
        </w:rPr>
        <w:t>,</w:t>
      </w:r>
      <w:r w:rsidRPr="00E143CC">
        <w:rPr>
          <w:lang w:val="fr-CH"/>
        </w:rPr>
        <w:t xml:space="preserve"> a donné lieu à une augmentation des actifs nets sur l’exercice biennal.</w:t>
      </w:r>
    </w:p>
    <w:p w:rsidR="00166A0E" w:rsidRPr="00E143CC" w:rsidRDefault="00166A0E" w:rsidP="00166A0E">
      <w:pPr>
        <w:rPr>
          <w:sz w:val="18"/>
          <w:szCs w:val="18"/>
          <w:lang w:val="fr-CH"/>
        </w:rPr>
      </w:pPr>
    </w:p>
    <w:p w:rsidR="00166A0E" w:rsidRPr="001B73F0" w:rsidRDefault="00166A0E" w:rsidP="00166A0E">
      <w:pPr>
        <w:rPr>
          <w:b/>
          <w:lang w:val="fr-CH"/>
        </w:rPr>
      </w:pPr>
      <w:r w:rsidRPr="001B73F0">
        <w:rPr>
          <w:b/>
          <w:lang w:val="fr-CH"/>
        </w:rPr>
        <w:t>Résumé des actifs et des passifs</w:t>
      </w:r>
    </w:p>
    <w:p w:rsidR="00166A0E" w:rsidRPr="00E143CC" w:rsidRDefault="00166A0E" w:rsidP="00166A0E">
      <w:pPr>
        <w:rPr>
          <w:b/>
          <w:sz w:val="18"/>
          <w:szCs w:val="18"/>
          <w:lang w:val="fr-CH"/>
        </w:rPr>
      </w:pPr>
    </w:p>
    <w:p w:rsidR="00166A0E" w:rsidRPr="00E143CC" w:rsidRDefault="00166A0E" w:rsidP="00166A0E">
      <w:pPr>
        <w:rPr>
          <w:lang w:val="fr-CH"/>
        </w:rPr>
      </w:pPr>
      <w:r w:rsidRPr="00E143CC">
        <w:rPr>
          <w:lang w:val="fr-CH"/>
        </w:rPr>
        <w:t>Le graphique ci</w:t>
      </w:r>
      <w:r w:rsidRPr="00E143CC">
        <w:rPr>
          <w:lang w:val="fr-CH"/>
        </w:rPr>
        <w:noBreakHyphen/>
        <w:t>dessous fournit un résumé de l’état de la situation financière de l’UPOV au 31 décembre 2013 :</w:t>
      </w:r>
    </w:p>
    <w:p w:rsidR="00166A0E" w:rsidRPr="00E143CC" w:rsidRDefault="00166A0E" w:rsidP="00166A0E">
      <w:pPr>
        <w:rPr>
          <w:lang w:val="fr-CH"/>
        </w:rPr>
      </w:pPr>
    </w:p>
    <w:p w:rsidR="00166A0E" w:rsidRPr="00E143CC" w:rsidRDefault="00166A0E" w:rsidP="00166A0E">
      <w:pPr>
        <w:jc w:val="center"/>
        <w:rPr>
          <w:lang w:val="fr-CH"/>
        </w:rPr>
      </w:pPr>
      <w:r w:rsidRPr="00E143CC">
        <w:rPr>
          <w:lang w:val="fr-CH"/>
        </w:rPr>
        <w:t>Résumé des actifs et des passifs au 31 décembre 2013</w:t>
      </w:r>
    </w:p>
    <w:p w:rsidR="00166A0E" w:rsidRPr="00E143CC" w:rsidRDefault="00166A0E" w:rsidP="00166A0E">
      <w:pPr>
        <w:rPr>
          <w:lang w:val="fr-CH"/>
        </w:rPr>
      </w:pPr>
    </w:p>
    <w:p w:rsidR="00166A0E" w:rsidRPr="00E143CC" w:rsidRDefault="00E812C3" w:rsidP="00166A0E">
      <w:pPr>
        <w:rPr>
          <w:lang w:val="fr-CH"/>
        </w:rPr>
      </w:pPr>
      <w:r w:rsidRPr="00E812C3">
        <w:rPr>
          <w:noProof/>
        </w:rPr>
        <mc:AlternateContent>
          <mc:Choice Requires="wps">
            <w:drawing>
              <wp:anchor distT="0" distB="0" distL="114300" distR="114300" simplePos="0" relativeHeight="251659264" behindDoc="0" locked="0" layoutInCell="1" allowOverlap="1" wp14:anchorId="46E767A4" wp14:editId="367FE4B5">
                <wp:simplePos x="0" y="0"/>
                <wp:positionH relativeFrom="column">
                  <wp:posOffset>1555446</wp:posOffset>
                </wp:positionH>
                <wp:positionV relativeFrom="paragraph">
                  <wp:posOffset>2671445</wp:posOffset>
                </wp:positionV>
                <wp:extent cx="8585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403985"/>
                        </a:xfrm>
                        <a:prstGeom prst="rect">
                          <a:avLst/>
                        </a:prstGeom>
                        <a:noFill/>
                        <a:ln w="9525">
                          <a:noFill/>
                          <a:miter lim="800000"/>
                          <a:headEnd/>
                          <a:tailEnd/>
                        </a:ln>
                      </wps:spPr>
                      <wps:txbx>
                        <w:txbxContent>
                          <w:p w:rsidR="007F3137" w:rsidRPr="00E812C3" w:rsidRDefault="007F3137">
                            <w:pPr>
                              <w:rPr>
                                <w:sz w:val="14"/>
                                <w:szCs w:val="14"/>
                              </w:rPr>
                            </w:pPr>
                            <w:r w:rsidRPr="00E812C3">
                              <w:rPr>
                                <w:sz w:val="14"/>
                                <w:szCs w:val="14"/>
                              </w:rPr>
                              <w:t>Créances 0,2m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5pt;margin-top:210.35pt;width:6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dLDAIAAPQDAAAOAAAAZHJzL2Uyb0RvYy54bWysU21v2yAQ/j5p/wHxfbHjx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" filled="f" stroked="f">
                <v:textbox style="mso-fit-shape-to-text:t">
                  <w:txbxContent>
                    <w:p w:rsidR="007F3137" w:rsidRPr="00E812C3" w:rsidRDefault="007F3137">
                      <w:pPr>
                        <w:rPr>
                          <w:sz w:val="14"/>
                          <w:szCs w:val="14"/>
                        </w:rPr>
                      </w:pPr>
                      <w:r w:rsidRPr="00E812C3">
                        <w:rPr>
                          <w:sz w:val="14"/>
                          <w:szCs w:val="14"/>
                        </w:rPr>
                        <w:t>Créances 0,2m</w:t>
                      </w:r>
                    </w:p>
                  </w:txbxContent>
                </v:textbox>
              </v:shape>
            </w:pict>
          </mc:Fallback>
        </mc:AlternateContent>
      </w:r>
      <w:r w:rsidR="00166A0E" w:rsidRPr="00E143CC">
        <w:rPr>
          <w:noProof/>
        </w:rPr>
        <w:drawing>
          <wp:inline distT="0" distB="0" distL="0" distR="0" wp14:anchorId="6375BD55" wp14:editId="36ED4DF5">
            <wp:extent cx="6120765" cy="33890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3389010"/>
                    </a:xfrm>
                    <a:prstGeom prst="rect">
                      <a:avLst/>
                    </a:prstGeom>
                    <a:noFill/>
                    <a:ln>
                      <a:noFill/>
                    </a:ln>
                  </pic:spPr>
                </pic:pic>
              </a:graphicData>
            </a:graphic>
          </wp:inline>
        </w:drawing>
      </w:r>
    </w:p>
    <w:p w:rsidR="00166A0E" w:rsidRPr="00E143CC" w:rsidRDefault="00166A0E" w:rsidP="00166A0E">
      <w:pPr>
        <w:spacing w:line="276" w:lineRule="auto"/>
        <w:jc w:val="center"/>
      </w:pPr>
    </w:p>
    <w:p w:rsidR="00166A0E" w:rsidRPr="00E143CC" w:rsidRDefault="00166A0E" w:rsidP="00166A0E">
      <w:pPr>
        <w:spacing w:line="276" w:lineRule="auto"/>
        <w:rPr>
          <w:lang w:val="fr-CH"/>
        </w:rPr>
      </w:pPr>
      <w:r w:rsidRPr="00E143CC">
        <w:rPr>
          <w:lang w:val="fr-CH"/>
        </w:rPr>
        <w:t>L’UPOV a un solde de trésorerie de 3 728 930 francs suisses, soit 95,7% du total des actifs encore que, comme le montre le tableau ci</w:t>
      </w:r>
      <w:r w:rsidRPr="00E143CC">
        <w:rPr>
          <w:lang w:val="fr-CH"/>
        </w:rPr>
        <w:noBreakHyphen/>
        <w:t>dessus, il comprend des montants considérés comme réservés selon les normes IPSAS.  Au nombre des autres actifs figurent les comptes débiteurs d’un montant total de 167 373 francs suisses.</w:t>
      </w:r>
    </w:p>
    <w:p w:rsidR="00166A0E" w:rsidRPr="00E143CC" w:rsidRDefault="00166A0E" w:rsidP="00166A0E">
      <w:pPr>
        <w:spacing w:line="276" w:lineRule="auto"/>
        <w:rPr>
          <w:lang w:val="fr-CH"/>
        </w:rPr>
      </w:pPr>
    </w:p>
    <w:p w:rsidR="00166A0E" w:rsidRPr="00E143CC" w:rsidRDefault="00166A0E" w:rsidP="00166A0E">
      <w:pPr>
        <w:spacing w:line="276" w:lineRule="auto"/>
        <w:rPr>
          <w:lang w:val="fr-CH"/>
        </w:rPr>
      </w:pPr>
      <w:r w:rsidRPr="00E143CC">
        <w:rPr>
          <w:lang w:val="fr-CH"/>
        </w:rPr>
        <w:t xml:space="preserve">Les </w:t>
      </w:r>
      <w:r w:rsidR="0045369B">
        <w:rPr>
          <w:lang w:val="fr-CH"/>
        </w:rPr>
        <w:t>principales o</w:t>
      </w:r>
      <w:r w:rsidRPr="00E143CC">
        <w:rPr>
          <w:lang w:val="fr-CH"/>
        </w:rPr>
        <w:t>bligations de l’UPOV sont</w:t>
      </w:r>
      <w:r w:rsidR="0045369B">
        <w:rPr>
          <w:lang w:val="fr-CH"/>
        </w:rPr>
        <w:t xml:space="preserve"> celles relatives aux prestations dues au personnel</w:t>
      </w:r>
      <w:r w:rsidRPr="00E143CC">
        <w:rPr>
          <w:lang w:val="fr-CH"/>
        </w:rPr>
        <w:t xml:space="preserve">.  Elles s’élèvent à 1 207 420 francs suisses et comprennent essentiellement les obligations relatives aux prestations médicales après la cessation de service, à hauteur de 967 815 francs suisses.  Les encaissements par anticipation de 402 648 francs suisses concernent les contributions payées à </w:t>
      </w:r>
      <w:r w:rsidRPr="00E143CC">
        <w:rPr>
          <w:lang w:val="fr-CH"/>
        </w:rPr>
        <w:lastRenderedPageBreak/>
        <w:t xml:space="preserve">l’avance (236 484 francs suisses).  Les autres obligations (541 941 francs suisses) représentent le montant </w:t>
      </w:r>
      <w:r w:rsidR="0045369B">
        <w:rPr>
          <w:lang w:val="fr-CH"/>
        </w:rPr>
        <w:t xml:space="preserve">dû </w:t>
      </w:r>
      <w:r w:rsidRPr="00E143CC">
        <w:rPr>
          <w:lang w:val="fr-CH"/>
        </w:rPr>
        <w:t>à l’Organisation Mondiale de la Propriété Intellectuelle (OMPI) au 31 décembre 2013.</w:t>
      </w:r>
    </w:p>
    <w:p w:rsidR="00166A0E" w:rsidRPr="00E143CC" w:rsidRDefault="00166A0E" w:rsidP="00166A0E">
      <w:pPr>
        <w:spacing w:line="276" w:lineRule="auto"/>
        <w:rPr>
          <w:lang w:val="fr-CH"/>
        </w:rPr>
      </w:pPr>
    </w:p>
    <w:p w:rsidR="00166A0E" w:rsidRPr="00E143CC" w:rsidRDefault="00166A0E" w:rsidP="00166A0E">
      <w:pPr>
        <w:spacing w:line="276" w:lineRule="auto"/>
        <w:rPr>
          <w:b/>
        </w:rPr>
      </w:pPr>
      <w:r w:rsidRPr="00E143CC">
        <w:rPr>
          <w:b/>
        </w:rPr>
        <w:t>Trésorerie et équivalents de trésorerie</w:t>
      </w:r>
    </w:p>
    <w:p w:rsidR="00166A0E" w:rsidRDefault="00166A0E" w:rsidP="00166A0E">
      <w:pPr>
        <w:spacing w:line="276" w:lineRule="auto"/>
        <w:rPr>
          <w:b/>
        </w:rPr>
      </w:pPr>
    </w:p>
    <w:p w:rsidR="004B7751" w:rsidRDefault="004B7751" w:rsidP="00166A0E">
      <w:pPr>
        <w:spacing w:line="276" w:lineRule="auto"/>
        <w:rPr>
          <w:b/>
        </w:rPr>
      </w:pPr>
      <w:r w:rsidRPr="004B7751">
        <w:rPr>
          <w:noProof/>
        </w:rPr>
        <w:drawing>
          <wp:inline distT="0" distB="0" distL="0" distR="0" wp14:anchorId="48D46EF2" wp14:editId="18B10392">
            <wp:extent cx="6120765" cy="150940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509406"/>
                    </a:xfrm>
                    <a:prstGeom prst="rect">
                      <a:avLst/>
                    </a:prstGeom>
                    <a:noFill/>
                    <a:ln>
                      <a:noFill/>
                    </a:ln>
                  </pic:spPr>
                </pic:pic>
              </a:graphicData>
            </a:graphic>
          </wp:inline>
        </w:drawing>
      </w:r>
    </w:p>
    <w:p w:rsidR="00166A0E" w:rsidRPr="00E143CC" w:rsidRDefault="00166A0E" w:rsidP="00166A0E">
      <w:pPr>
        <w:spacing w:line="276" w:lineRule="auto"/>
        <w:rPr>
          <w:b/>
          <w:lang w:val="fr-CH"/>
        </w:rPr>
      </w:pPr>
      <w:r w:rsidRPr="00E143CC">
        <w:rPr>
          <w:lang w:val="fr-CH"/>
        </w:rPr>
        <w:t>Le montant total des soldes de trésorerie et équivalents de trésorerie a augmenté de 16% durant l’exercice biennal allant du 1</w:t>
      </w:r>
      <w:r w:rsidRPr="00E143CC">
        <w:rPr>
          <w:vertAlign w:val="superscript"/>
          <w:lang w:val="fr-CH"/>
        </w:rPr>
        <w:t>er</w:t>
      </w:r>
      <w:r w:rsidRPr="00E143CC">
        <w:rPr>
          <w:lang w:val="fr-CH"/>
        </w:rPr>
        <w:t xml:space="preserve"> janvier 2012 au 31 décembre 2013.  Aux fins de la présentation IPSAS, les soldes de trésorerie sont scindés en soldes non </w:t>
      </w:r>
      <w:r w:rsidR="004B7751">
        <w:rPr>
          <w:lang w:val="fr-CH"/>
        </w:rPr>
        <w:t>soumis à restrictions</w:t>
      </w:r>
      <w:r w:rsidRPr="00E143CC">
        <w:rPr>
          <w:lang w:val="fr-CH"/>
        </w:rPr>
        <w:t xml:space="preserve"> et soldes</w:t>
      </w:r>
      <w:r w:rsidR="004B7751">
        <w:rPr>
          <w:lang w:val="fr-CH"/>
        </w:rPr>
        <w:t xml:space="preserve"> soumis à restrictions</w:t>
      </w:r>
      <w:r w:rsidRPr="00E143CC">
        <w:rPr>
          <w:lang w:val="fr-CH"/>
        </w:rPr>
        <w:t xml:space="preserve">.  Les soldes de trésorerie relatifs au fonds de roulement ou aux fonds extrabudgétaires (fonds fiduciaires) sont considérés comme étant </w:t>
      </w:r>
      <w:r w:rsidR="004B7751">
        <w:rPr>
          <w:lang w:val="fr-CH"/>
        </w:rPr>
        <w:t>soumis à restrictions</w:t>
      </w:r>
      <w:r w:rsidRPr="00E143CC">
        <w:rPr>
          <w:lang w:val="fr-CH"/>
        </w:rPr>
        <w:t>.</w:t>
      </w:r>
    </w:p>
    <w:p w:rsidR="00166A0E" w:rsidRPr="00E143CC" w:rsidRDefault="00166A0E" w:rsidP="00166A0E">
      <w:pPr>
        <w:spacing w:line="276" w:lineRule="auto"/>
        <w:rPr>
          <w:b/>
          <w:lang w:val="fr-CH"/>
        </w:rPr>
      </w:pPr>
    </w:p>
    <w:p w:rsidR="00166A0E" w:rsidRPr="00E143CC" w:rsidRDefault="00166A0E" w:rsidP="00166A0E">
      <w:pPr>
        <w:spacing w:line="276" w:lineRule="auto"/>
        <w:rPr>
          <w:b/>
        </w:rPr>
      </w:pPr>
      <w:r w:rsidRPr="00E143CC">
        <w:rPr>
          <w:b/>
        </w:rPr>
        <w:t>Autres actifs</w:t>
      </w:r>
    </w:p>
    <w:p w:rsidR="00166A0E" w:rsidRPr="00E143CC" w:rsidRDefault="00166A0E" w:rsidP="00166A0E">
      <w:pPr>
        <w:spacing w:line="276" w:lineRule="auto"/>
        <w:rPr>
          <w:b/>
        </w:rPr>
      </w:pPr>
    </w:p>
    <w:p w:rsidR="00166A0E" w:rsidRPr="00E143CC" w:rsidRDefault="00166A0E" w:rsidP="00166A0E">
      <w:pPr>
        <w:spacing w:line="276" w:lineRule="auto"/>
        <w:rPr>
          <w:b/>
        </w:rPr>
      </w:pPr>
      <w:r w:rsidRPr="00E143CC">
        <w:rPr>
          <w:noProof/>
        </w:rPr>
        <w:drawing>
          <wp:inline distT="0" distB="0" distL="0" distR="0" wp14:anchorId="59E2C0B8" wp14:editId="6B083406">
            <wp:extent cx="6120765" cy="21273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2127389"/>
                    </a:xfrm>
                    <a:prstGeom prst="rect">
                      <a:avLst/>
                    </a:prstGeom>
                    <a:noFill/>
                    <a:ln>
                      <a:noFill/>
                    </a:ln>
                  </pic:spPr>
                </pic:pic>
              </a:graphicData>
            </a:graphic>
          </wp:inline>
        </w:drawing>
      </w:r>
    </w:p>
    <w:p w:rsidR="00166A0E" w:rsidRPr="00E143CC" w:rsidRDefault="00166A0E" w:rsidP="00166A0E">
      <w:pPr>
        <w:spacing w:line="276" w:lineRule="auto"/>
        <w:rPr>
          <w:b/>
          <w:lang w:val="fr-CH"/>
        </w:rPr>
      </w:pPr>
      <w:r w:rsidRPr="00E143CC">
        <w:rPr>
          <w:szCs w:val="22"/>
          <w:lang w:val="fr-CH"/>
        </w:rPr>
        <w:t>Le montant total des comptes débiteurs au 31 décembre 2013 s’élevait à 167 373 francs suisses, contre 297 631 francs suisses au 1</w:t>
      </w:r>
      <w:r w:rsidRPr="00E143CC">
        <w:rPr>
          <w:szCs w:val="22"/>
          <w:vertAlign w:val="superscript"/>
          <w:lang w:val="fr-CH"/>
        </w:rPr>
        <w:t>er</w:t>
      </w:r>
      <w:r w:rsidRPr="00E143CC">
        <w:rPr>
          <w:szCs w:val="22"/>
          <w:lang w:val="fr-CH"/>
        </w:rPr>
        <w:t xml:space="preserve"> janvier 2012.  Cette baisse illustre le recouvrement, au cours de l’exercice biennal, d’une part importante des arriérés de contributions.  Elle a été partiellement compensée par une augmentation des </w:t>
      </w:r>
      <w:r w:rsidR="004B7751">
        <w:rPr>
          <w:szCs w:val="22"/>
          <w:lang w:val="fr-CH"/>
        </w:rPr>
        <w:t>créances</w:t>
      </w:r>
      <w:r w:rsidRPr="00E143CC">
        <w:rPr>
          <w:szCs w:val="22"/>
          <w:lang w:val="fr-CH"/>
        </w:rPr>
        <w:t xml:space="preserve"> de</w:t>
      </w:r>
      <w:r w:rsidR="004B7751">
        <w:rPr>
          <w:szCs w:val="22"/>
          <w:lang w:val="fr-CH"/>
        </w:rPr>
        <w:t>s</w:t>
      </w:r>
      <w:r w:rsidRPr="00E143CC">
        <w:rPr>
          <w:szCs w:val="22"/>
          <w:lang w:val="fr-CH"/>
        </w:rPr>
        <w:t xml:space="preserve"> fonds extrabudgétaires (fonds fiduciaires), bien que celles</w:t>
      </w:r>
      <w:r w:rsidRPr="00E143CC">
        <w:rPr>
          <w:szCs w:val="22"/>
          <w:lang w:val="fr-CH"/>
        </w:rPr>
        <w:noBreakHyphen/>
        <w:t>ci aient été ultérieurement payées en janvier 2014.</w:t>
      </w:r>
    </w:p>
    <w:p w:rsidR="00166A0E" w:rsidRPr="00E143CC" w:rsidRDefault="00166A0E" w:rsidP="00166A0E">
      <w:pPr>
        <w:spacing w:line="276" w:lineRule="auto"/>
        <w:rPr>
          <w:b/>
          <w:lang w:val="fr-CH"/>
        </w:rPr>
      </w:pPr>
    </w:p>
    <w:p w:rsidR="005454E6" w:rsidRDefault="005454E6">
      <w:pPr>
        <w:jc w:val="left"/>
        <w:rPr>
          <w:b/>
          <w:lang w:val="fr-CH"/>
        </w:rPr>
      </w:pPr>
      <w:r>
        <w:rPr>
          <w:b/>
          <w:lang w:val="fr-CH"/>
        </w:rPr>
        <w:br w:type="page"/>
      </w:r>
    </w:p>
    <w:p w:rsidR="00166A0E" w:rsidRDefault="00166A0E" w:rsidP="00166A0E">
      <w:pPr>
        <w:spacing w:line="276" w:lineRule="auto"/>
        <w:rPr>
          <w:b/>
          <w:lang w:val="fr-CH"/>
        </w:rPr>
      </w:pPr>
      <w:r w:rsidRPr="00E143CC">
        <w:rPr>
          <w:b/>
          <w:lang w:val="fr-CH"/>
        </w:rPr>
        <w:lastRenderedPageBreak/>
        <w:t>Montants à payer et encaissements par anticipation</w:t>
      </w:r>
    </w:p>
    <w:p w:rsidR="004B7751" w:rsidRPr="00E143CC" w:rsidRDefault="004B7751" w:rsidP="00166A0E">
      <w:pPr>
        <w:spacing w:line="276" w:lineRule="auto"/>
        <w:rPr>
          <w:b/>
          <w:lang w:val="fr-CH"/>
        </w:rPr>
      </w:pPr>
    </w:p>
    <w:p w:rsidR="00166A0E" w:rsidRPr="00E143CC" w:rsidRDefault="00166A0E" w:rsidP="00166A0E">
      <w:pPr>
        <w:spacing w:line="276" w:lineRule="auto"/>
        <w:rPr>
          <w:b/>
          <w:lang w:val="fr-CH"/>
        </w:rPr>
      </w:pPr>
      <w:r w:rsidRPr="00E143CC">
        <w:rPr>
          <w:noProof/>
        </w:rPr>
        <w:drawing>
          <wp:inline distT="0" distB="0" distL="0" distR="0" wp14:anchorId="34C0BA93" wp14:editId="60C25E8F">
            <wp:extent cx="6120765" cy="20243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2024363"/>
                    </a:xfrm>
                    <a:prstGeom prst="rect">
                      <a:avLst/>
                    </a:prstGeom>
                    <a:noFill/>
                    <a:ln>
                      <a:noFill/>
                    </a:ln>
                  </pic:spPr>
                </pic:pic>
              </a:graphicData>
            </a:graphic>
          </wp:inline>
        </w:drawing>
      </w:r>
    </w:p>
    <w:p w:rsidR="00166A0E" w:rsidRPr="00E143CC" w:rsidRDefault="00166A0E" w:rsidP="00166A0E">
      <w:pPr>
        <w:pStyle w:val="Style3"/>
        <w:rPr>
          <w:sz w:val="20"/>
          <w:lang w:val="fr-CH"/>
        </w:rPr>
      </w:pPr>
      <w:r w:rsidRPr="00E143CC">
        <w:rPr>
          <w:sz w:val="20"/>
          <w:lang w:val="fr-CH"/>
        </w:rPr>
        <w:t>Les contributions reçues d’avance sont comptabilisées comme passif d’encaissement par anticipation et comme produits au cours de l’année à laquelle elles se rapportent.  Les ressources extrabudgétaires versées par les donateurs aux fonds fiduciaires assortis de conditions exigeant de l’UPOV de fournir des produits et des services aux prestataires ou à d’autres tiers sont comptabilisées en tant que recettes différées jusqu’à ce que les services visés par les ressources extrabudgétaires (fonds fiduciaires) soient fournis, après quoi les recettes sont comptabilisées.</w:t>
      </w:r>
    </w:p>
    <w:p w:rsidR="00166A0E" w:rsidRPr="00E143CC" w:rsidRDefault="00166A0E" w:rsidP="00166A0E">
      <w:pPr>
        <w:spacing w:line="276" w:lineRule="auto"/>
        <w:rPr>
          <w:b/>
          <w:lang w:val="fr-CH"/>
        </w:rPr>
      </w:pPr>
    </w:p>
    <w:p w:rsidR="00166A0E" w:rsidRPr="00E143CC" w:rsidRDefault="00166A0E" w:rsidP="00166A0E">
      <w:pPr>
        <w:spacing w:line="276" w:lineRule="auto"/>
        <w:rPr>
          <w:b/>
        </w:rPr>
      </w:pPr>
      <w:r w:rsidRPr="00E143CC">
        <w:rPr>
          <w:b/>
          <w:lang w:val="fr-CH"/>
        </w:rPr>
        <w:t>Prestations au personnel</w:t>
      </w:r>
    </w:p>
    <w:p w:rsidR="00166A0E" w:rsidRDefault="00166A0E" w:rsidP="00166A0E">
      <w:pPr>
        <w:spacing w:line="276" w:lineRule="auto"/>
        <w:rPr>
          <w:b/>
        </w:rPr>
      </w:pPr>
    </w:p>
    <w:p w:rsidR="004B7751" w:rsidRDefault="004B7751" w:rsidP="00166A0E">
      <w:pPr>
        <w:spacing w:line="276" w:lineRule="auto"/>
        <w:rPr>
          <w:b/>
        </w:rPr>
      </w:pPr>
      <w:r w:rsidRPr="004B7751">
        <w:rPr>
          <w:noProof/>
        </w:rPr>
        <w:drawing>
          <wp:inline distT="0" distB="0" distL="0" distR="0" wp14:anchorId="1BB286E4" wp14:editId="2AEDA4BB">
            <wp:extent cx="6120765" cy="156028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560289"/>
                    </a:xfrm>
                    <a:prstGeom prst="rect">
                      <a:avLst/>
                    </a:prstGeom>
                    <a:noFill/>
                    <a:ln>
                      <a:noFill/>
                    </a:ln>
                  </pic:spPr>
                </pic:pic>
              </a:graphicData>
            </a:graphic>
          </wp:inline>
        </w:drawing>
      </w:r>
    </w:p>
    <w:p w:rsidR="004B7751" w:rsidRPr="00E143CC" w:rsidRDefault="004B7751" w:rsidP="00166A0E">
      <w:pPr>
        <w:spacing w:line="276" w:lineRule="auto"/>
        <w:rPr>
          <w:b/>
        </w:rPr>
      </w:pPr>
    </w:p>
    <w:p w:rsidR="00166A0E" w:rsidRPr="00E143CC" w:rsidRDefault="00166A0E" w:rsidP="00166A0E">
      <w:pPr>
        <w:spacing w:line="276" w:lineRule="auto"/>
        <w:rPr>
          <w:lang w:val="fr-CH"/>
        </w:rPr>
      </w:pPr>
      <w:r w:rsidRPr="00E143CC">
        <w:rPr>
          <w:lang w:val="fr-CH"/>
        </w:rPr>
        <w:t>Comme le montre le tableau ci</w:t>
      </w:r>
      <w:r w:rsidRPr="00E143CC">
        <w:rPr>
          <w:lang w:val="fr-CH"/>
        </w:rPr>
        <w:noBreakHyphen/>
        <w:t xml:space="preserve">dessus, l’obligation de loin la plus importante </w:t>
      </w:r>
      <w:r w:rsidR="004B7751">
        <w:rPr>
          <w:lang w:val="fr-CH"/>
        </w:rPr>
        <w:t>de l’UPOV en ce qui concerne les</w:t>
      </w:r>
      <w:r w:rsidRPr="00E143CC">
        <w:rPr>
          <w:lang w:val="fr-CH"/>
        </w:rPr>
        <w:t xml:space="preserve"> prestations au personnel est celle</w:t>
      </w:r>
      <w:r w:rsidR="004B7751">
        <w:rPr>
          <w:lang w:val="fr-CH"/>
        </w:rPr>
        <w:t xml:space="preserve"> relative aux</w:t>
      </w:r>
      <w:r w:rsidRPr="00E143CC">
        <w:rPr>
          <w:lang w:val="fr-CH"/>
        </w:rPr>
        <w:t xml:space="preserve"> prest</w:t>
      </w:r>
      <w:r w:rsidR="004B7751">
        <w:rPr>
          <w:lang w:val="fr-CH"/>
        </w:rPr>
        <w:t>ations médicales après emploi (a</w:t>
      </w:r>
      <w:r w:rsidRPr="00E143CC">
        <w:rPr>
          <w:lang w:val="fr-CH"/>
        </w:rPr>
        <w:t>ssurance</w:t>
      </w:r>
      <w:r w:rsidRPr="00E143CC">
        <w:rPr>
          <w:lang w:val="fr-FR"/>
        </w:rPr>
        <w:noBreakHyphen/>
      </w:r>
      <w:r w:rsidRPr="00E143CC">
        <w:rPr>
          <w:lang w:val="fr-CH"/>
        </w:rPr>
        <w:t xml:space="preserve">maladie après </w:t>
      </w:r>
      <w:r w:rsidR="004B7751">
        <w:rPr>
          <w:lang w:val="fr-CH"/>
        </w:rPr>
        <w:t>la cessation de service</w:t>
      </w:r>
      <w:r w:rsidRPr="00E143CC">
        <w:rPr>
          <w:lang w:val="fr-CH"/>
        </w:rPr>
        <w:t>), qui représente 80,2% de l’obligatio</w:t>
      </w:r>
      <w:r w:rsidR="004B7751">
        <w:rPr>
          <w:lang w:val="fr-CH"/>
        </w:rPr>
        <w:t xml:space="preserve">n totale au 31 décembre 2013.  Cette </w:t>
      </w:r>
      <w:r w:rsidRPr="00E143CC">
        <w:rPr>
          <w:lang w:val="fr-CH"/>
        </w:rPr>
        <w:t>obligation a augmenté de 83 239 francs suisses pendant l’exercice biennal 2012</w:t>
      </w:r>
      <w:r w:rsidRPr="00E143CC">
        <w:rPr>
          <w:lang w:val="fr-CH"/>
        </w:rPr>
        <w:noBreakHyphen/>
        <w:t>2013, situation décrite en détail dans le tableau ci</w:t>
      </w:r>
      <w:r w:rsidRPr="00E143CC">
        <w:rPr>
          <w:lang w:val="fr-CH"/>
        </w:rPr>
        <w:noBreakHyphen/>
        <w:t>dessous :</w:t>
      </w:r>
    </w:p>
    <w:p w:rsidR="00166A0E" w:rsidRPr="00E143CC" w:rsidRDefault="00166A0E" w:rsidP="00166A0E">
      <w:pPr>
        <w:spacing w:line="276" w:lineRule="auto"/>
        <w:rPr>
          <w:b/>
          <w:lang w:val="fr-CH"/>
        </w:rPr>
      </w:pPr>
    </w:p>
    <w:p w:rsidR="00166A0E" w:rsidRPr="00E143CC" w:rsidRDefault="00166A0E" w:rsidP="00166A0E">
      <w:pPr>
        <w:spacing w:line="276" w:lineRule="auto"/>
        <w:rPr>
          <w:b/>
          <w:lang w:val="fr-CH"/>
        </w:rPr>
      </w:pPr>
    </w:p>
    <w:p w:rsidR="00166A0E" w:rsidRPr="00E143CC" w:rsidRDefault="00166A0E" w:rsidP="00166A0E">
      <w:pPr>
        <w:spacing w:line="276" w:lineRule="auto"/>
        <w:rPr>
          <w:b/>
          <w:lang w:val="fr-CH"/>
        </w:rPr>
      </w:pPr>
      <w:r w:rsidRPr="00E143CC">
        <w:rPr>
          <w:noProof/>
        </w:rPr>
        <w:drawing>
          <wp:inline distT="0" distB="0" distL="0" distR="0" wp14:anchorId="79D573D8" wp14:editId="0CCA247A">
            <wp:extent cx="6120765" cy="15177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517784"/>
                    </a:xfrm>
                    <a:prstGeom prst="rect">
                      <a:avLst/>
                    </a:prstGeom>
                    <a:noFill/>
                    <a:ln>
                      <a:noFill/>
                    </a:ln>
                  </pic:spPr>
                </pic:pic>
              </a:graphicData>
            </a:graphic>
          </wp:inline>
        </w:drawing>
      </w:r>
    </w:p>
    <w:p w:rsidR="00166A0E" w:rsidRPr="00E143CC" w:rsidRDefault="00166A0E" w:rsidP="00166A0E">
      <w:pPr>
        <w:spacing w:line="276" w:lineRule="auto"/>
        <w:jc w:val="center"/>
        <w:rPr>
          <w:b/>
        </w:rPr>
      </w:pPr>
    </w:p>
    <w:p w:rsidR="00166A0E" w:rsidRPr="00E143CC" w:rsidRDefault="00166A0E" w:rsidP="00166A0E">
      <w:pPr>
        <w:spacing w:line="276" w:lineRule="auto"/>
        <w:rPr>
          <w:lang w:val="fr-CH"/>
        </w:rPr>
      </w:pPr>
      <w:r w:rsidRPr="00E143CC">
        <w:rPr>
          <w:lang w:val="fr-CH"/>
        </w:rPr>
        <w:t>L’obligation, qui est calculée par un actuaire indépendant, traduit le futur coût total de la part des primes d’assurance</w:t>
      </w:r>
      <w:r w:rsidRPr="00E143CC">
        <w:rPr>
          <w:lang w:val="fr-FR"/>
        </w:rPr>
        <w:noBreakHyphen/>
      </w:r>
      <w:r w:rsidRPr="00E143CC">
        <w:rPr>
          <w:lang w:val="fr-CH"/>
        </w:rPr>
        <w:t>maladie de l’UPOV aussi bien pour les retraités de l’UPOV que pour le nombre projeté de fonctionnaires en poste de l’UPOV qui prendront leur retraite dans l’avenir.  Les coûts courants des prestations dans le tableau ci</w:t>
      </w:r>
      <w:r w:rsidRPr="00E143CC">
        <w:rPr>
          <w:lang w:val="fr-CH"/>
        </w:rPr>
        <w:noBreakHyphen/>
        <w:t xml:space="preserve">dessus sont les conséquences nettes pour la période résultant de </w:t>
      </w:r>
      <w:r w:rsidRPr="00E143CC">
        <w:rPr>
          <w:lang w:val="fr-CH"/>
        </w:rPr>
        <w:lastRenderedPageBreak/>
        <w:t>l’augmentation de l’âge des fonctionnaires en poste et des personnes à leur charge, du nombre de personnes prenant leur retraite, et des nouveaux recrutements et cessations de service autres que les départs à la retraite.  Le coût des intérêts est la conséquence du fait que chaque fonctionnaire en poste s’est rapproché d’une année de l’âge requi</w:t>
      </w:r>
      <w:r w:rsidR="004B7751">
        <w:rPr>
          <w:lang w:val="fr-CH"/>
        </w:rPr>
        <w:t>s pour pouvoir bénéficier de l’assurance</w:t>
      </w:r>
      <w:r w:rsidR="004B7751" w:rsidRPr="004B7751">
        <w:rPr>
          <w:lang w:val="fr-FR"/>
        </w:rPr>
        <w:noBreakHyphen/>
      </w:r>
      <w:r w:rsidR="004B7751">
        <w:rPr>
          <w:lang w:val="fr-FR"/>
        </w:rPr>
        <w:t>maladie après la cessation de service</w:t>
      </w:r>
      <w:r w:rsidRPr="00E143CC">
        <w:rPr>
          <w:lang w:val="fr-CH"/>
        </w:rPr>
        <w:t xml:space="preserve"> à son départ à la retraite.</w:t>
      </w:r>
    </w:p>
    <w:p w:rsidR="00166A0E" w:rsidRPr="00E143CC" w:rsidRDefault="00166A0E" w:rsidP="00166A0E">
      <w:pPr>
        <w:spacing w:line="276" w:lineRule="auto"/>
        <w:rPr>
          <w:b/>
          <w:lang w:val="fr-CH"/>
        </w:rPr>
      </w:pPr>
    </w:p>
    <w:p w:rsidR="00166A0E" w:rsidRPr="00E143CC" w:rsidRDefault="00166A0E" w:rsidP="00166A0E">
      <w:pPr>
        <w:spacing w:line="276" w:lineRule="auto"/>
        <w:rPr>
          <w:b/>
          <w:lang w:val="fr-CH"/>
        </w:rPr>
      </w:pPr>
      <w:r w:rsidRPr="00E143CC">
        <w:rPr>
          <w:b/>
          <w:lang w:val="fr-CH"/>
        </w:rPr>
        <w:t>Situation financière par secteur</w:t>
      </w:r>
    </w:p>
    <w:p w:rsidR="00166A0E" w:rsidRPr="00E143CC" w:rsidRDefault="00166A0E" w:rsidP="00166A0E">
      <w:pPr>
        <w:spacing w:line="276" w:lineRule="auto"/>
        <w:rPr>
          <w:b/>
          <w:lang w:val="fr-CH"/>
        </w:rPr>
      </w:pPr>
    </w:p>
    <w:p w:rsidR="00166A0E" w:rsidRDefault="00166A0E" w:rsidP="00166A0E">
      <w:pPr>
        <w:spacing w:line="276" w:lineRule="auto"/>
        <w:rPr>
          <w:lang w:val="fr-CH"/>
        </w:rPr>
      </w:pPr>
      <w:r w:rsidRPr="00E143CC">
        <w:rPr>
          <w:lang w:val="fr-CH"/>
        </w:rPr>
        <w:t xml:space="preserve">Conformément aux normes IPSAS, l’UPOV est tenue de divulguer ses actifs et passifs pour chacun des secteurs dont elle se compose.  L’information sectorielle est fondée sur les principales activités et sources de financement de l’UPOV.  De ce fait, l’UPOV publie des informations financières distinctes pour deux secteurs : 1) le programme et budget ordinaire;  et 2) les fonds fiduciaires (ressources extrabudgétaires).  Les fonds fiduciaires représentent les montants administrés par l’UPOV pour le compte de donateurs individuels pour mettre en œuvre des programmes </w:t>
      </w:r>
      <w:r w:rsidR="004B7751">
        <w:rPr>
          <w:lang w:val="fr-CH"/>
        </w:rPr>
        <w:t>conformes</w:t>
      </w:r>
      <w:r w:rsidRPr="00E143CC">
        <w:rPr>
          <w:lang w:val="fr-CH"/>
        </w:rPr>
        <w:t xml:space="preserve"> aux principes, aux buts et aux activités de l’UPOV.  Le programme et budget ordinaire et les fonds fiduciaires sont comptabilisés séparément dans le système de comptabilité financière.</w:t>
      </w:r>
    </w:p>
    <w:p w:rsidR="004B7751" w:rsidRDefault="004B7751" w:rsidP="00166A0E">
      <w:pPr>
        <w:spacing w:line="276" w:lineRule="auto"/>
        <w:rPr>
          <w:lang w:val="fr-CH"/>
        </w:rPr>
      </w:pPr>
    </w:p>
    <w:p w:rsidR="004B7751" w:rsidRPr="00E143CC" w:rsidRDefault="004B7751" w:rsidP="00166A0E">
      <w:pPr>
        <w:spacing w:line="276" w:lineRule="auto"/>
        <w:rPr>
          <w:rFonts w:cs="Arial"/>
          <w:szCs w:val="22"/>
          <w:lang w:val="fr-CH"/>
        </w:rPr>
      </w:pPr>
      <w:r w:rsidRPr="004B7751">
        <w:rPr>
          <w:noProof/>
        </w:rPr>
        <w:drawing>
          <wp:inline distT="0" distB="0" distL="0" distR="0" wp14:anchorId="41E60B4D" wp14:editId="314C5E8B">
            <wp:extent cx="6120765" cy="577051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5770514"/>
                    </a:xfrm>
                    <a:prstGeom prst="rect">
                      <a:avLst/>
                    </a:prstGeom>
                    <a:noFill/>
                    <a:ln>
                      <a:noFill/>
                    </a:ln>
                  </pic:spPr>
                </pic:pic>
              </a:graphicData>
            </a:graphic>
          </wp:inline>
        </w:drawing>
      </w:r>
    </w:p>
    <w:p w:rsidR="00742791" w:rsidRDefault="00742791" w:rsidP="00742791">
      <w:pPr>
        <w:spacing w:line="276" w:lineRule="auto"/>
        <w:rPr>
          <w:b/>
          <w:lang w:val="fr-CH"/>
        </w:rPr>
      </w:pPr>
    </w:p>
    <w:p w:rsidR="005454E6" w:rsidRDefault="005454E6">
      <w:pPr>
        <w:jc w:val="left"/>
        <w:rPr>
          <w:b/>
          <w:lang w:val="fr-CH"/>
        </w:rPr>
      </w:pPr>
      <w:r>
        <w:rPr>
          <w:b/>
          <w:lang w:val="fr-CH"/>
        </w:rPr>
        <w:br w:type="page"/>
      </w:r>
    </w:p>
    <w:p w:rsidR="00166A0E" w:rsidRDefault="00166A0E" w:rsidP="00742791">
      <w:pPr>
        <w:spacing w:line="276" w:lineRule="auto"/>
        <w:rPr>
          <w:b/>
          <w:lang w:val="fr-CH"/>
        </w:rPr>
      </w:pPr>
      <w:r w:rsidRPr="00E143CC">
        <w:rPr>
          <w:b/>
          <w:lang w:val="fr-CH"/>
        </w:rPr>
        <w:lastRenderedPageBreak/>
        <w:t>ANALYSE DE L’ÉTAT DE LA PERFORMANCE FINANCIÈRE</w:t>
      </w:r>
    </w:p>
    <w:p w:rsidR="00EE7CE2" w:rsidRPr="00EE7CE2" w:rsidRDefault="00EE7CE2" w:rsidP="00CA3BDE">
      <w:pPr>
        <w:pStyle w:val="Heading3"/>
      </w:pPr>
      <w:bookmarkStart w:id="23" w:name="_Toc395251230"/>
      <w:r w:rsidRPr="00EE7CE2">
        <w:rPr>
          <w:rStyle w:val="PageNumber"/>
          <w:rFonts w:ascii="Arial Bold" w:hAnsi="Arial Bold"/>
          <w:sz w:val="16"/>
        </w:rPr>
        <w:t>Analyse de l’état de la performance financière</w:t>
      </w:r>
      <w:bookmarkEnd w:id="23"/>
    </w:p>
    <w:p w:rsidR="001B73F0" w:rsidRPr="00E143CC" w:rsidRDefault="001B73F0" w:rsidP="00742791">
      <w:pPr>
        <w:spacing w:line="276" w:lineRule="auto"/>
        <w:rPr>
          <w:b/>
          <w:lang w:val="fr-CH"/>
        </w:rPr>
      </w:pPr>
    </w:p>
    <w:p w:rsidR="00166A0E" w:rsidRPr="00E143CC" w:rsidRDefault="00166A0E" w:rsidP="00742791">
      <w:pPr>
        <w:spacing w:line="276" w:lineRule="auto"/>
        <w:rPr>
          <w:b/>
        </w:rPr>
      </w:pPr>
      <w:r w:rsidRPr="00E143CC">
        <w:rPr>
          <w:b/>
        </w:rPr>
        <w:t>Recettes</w:t>
      </w:r>
    </w:p>
    <w:p w:rsidR="00166A0E" w:rsidRDefault="00166A0E" w:rsidP="00742791">
      <w:pPr>
        <w:spacing w:line="276" w:lineRule="auto"/>
        <w:rPr>
          <w:b/>
        </w:rPr>
      </w:pPr>
    </w:p>
    <w:p w:rsidR="00742791" w:rsidRDefault="00742791" w:rsidP="00742791">
      <w:pPr>
        <w:spacing w:line="276" w:lineRule="auto"/>
        <w:rPr>
          <w:b/>
        </w:rPr>
      </w:pPr>
      <w:r w:rsidRPr="00742791">
        <w:rPr>
          <w:noProof/>
        </w:rPr>
        <w:drawing>
          <wp:inline distT="0" distB="0" distL="0" distR="0" wp14:anchorId="59D3BE9B" wp14:editId="2B441E6C">
            <wp:extent cx="6010910" cy="2512695"/>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10910" cy="2512695"/>
                    </a:xfrm>
                    <a:prstGeom prst="rect">
                      <a:avLst/>
                    </a:prstGeom>
                    <a:noFill/>
                    <a:ln>
                      <a:noFill/>
                    </a:ln>
                  </pic:spPr>
                </pic:pic>
              </a:graphicData>
            </a:graphic>
          </wp:inline>
        </w:drawing>
      </w:r>
    </w:p>
    <w:p w:rsidR="00166A0E" w:rsidRPr="00E143CC" w:rsidRDefault="00166A0E" w:rsidP="00166A0E">
      <w:pPr>
        <w:spacing w:line="276" w:lineRule="auto"/>
        <w:rPr>
          <w:rFonts w:cs="Arial"/>
          <w:szCs w:val="22"/>
          <w:lang w:val="fr-CH"/>
        </w:rPr>
      </w:pPr>
      <w:r w:rsidRPr="00E143CC">
        <w:rPr>
          <w:rFonts w:cs="Arial"/>
          <w:szCs w:val="22"/>
          <w:lang w:val="fr-CH"/>
        </w:rPr>
        <w:t>Les contributions versées au titre du programme et budget ordinaire correspondent aux montants payables au début de chacune des années de l’exercice biennal.  Les ressources extrabudgétaires et les fonds fiduciaires représentent les recettes perçues relatives aux contributions versées par les donateurs pour des projets individuels qui ne figurent pas dans le programme et budget ordinaire.  Les recettes provenant des ressources extrabudgétaires (fonds fiduciaires) sont reportées jusqu’à ce qu’elles soient réalisées par la prestation des services spécifiques prévus dans le programme de travail convenu avec le donateur.</w:t>
      </w:r>
    </w:p>
    <w:p w:rsidR="00166A0E" w:rsidRPr="00E143CC" w:rsidRDefault="00166A0E" w:rsidP="00166A0E">
      <w:pPr>
        <w:spacing w:line="276" w:lineRule="auto"/>
        <w:rPr>
          <w:b/>
          <w:lang w:val="fr-CH"/>
        </w:rPr>
      </w:pPr>
    </w:p>
    <w:p w:rsidR="00166A0E" w:rsidRPr="00E143CC" w:rsidRDefault="00166A0E" w:rsidP="00166A0E">
      <w:pPr>
        <w:spacing w:line="276" w:lineRule="auto"/>
        <w:rPr>
          <w:b/>
        </w:rPr>
      </w:pPr>
      <w:r w:rsidRPr="00E143CC">
        <w:rPr>
          <w:b/>
        </w:rPr>
        <w:t>Dépenses</w:t>
      </w:r>
    </w:p>
    <w:p w:rsidR="00166A0E" w:rsidRDefault="00166A0E" w:rsidP="00166A0E">
      <w:pPr>
        <w:spacing w:line="276" w:lineRule="auto"/>
        <w:rPr>
          <w:b/>
        </w:rPr>
      </w:pPr>
    </w:p>
    <w:p w:rsidR="00742791" w:rsidRDefault="00742791" w:rsidP="00742791">
      <w:pPr>
        <w:spacing w:line="276" w:lineRule="auto"/>
        <w:jc w:val="center"/>
        <w:rPr>
          <w:b/>
        </w:rPr>
      </w:pPr>
      <w:r w:rsidRPr="00742791">
        <w:rPr>
          <w:noProof/>
        </w:rPr>
        <w:drawing>
          <wp:inline distT="0" distB="0" distL="0" distR="0" wp14:anchorId="6F4FCE1A" wp14:editId="63A2B67A">
            <wp:extent cx="5351145" cy="2734945"/>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51145" cy="2734945"/>
                    </a:xfrm>
                    <a:prstGeom prst="rect">
                      <a:avLst/>
                    </a:prstGeom>
                    <a:noFill/>
                    <a:ln>
                      <a:noFill/>
                    </a:ln>
                  </pic:spPr>
                </pic:pic>
              </a:graphicData>
            </a:graphic>
          </wp:inline>
        </w:drawing>
      </w:r>
    </w:p>
    <w:p w:rsidR="00166A0E" w:rsidRPr="00E143CC" w:rsidRDefault="00166A0E" w:rsidP="00166A0E">
      <w:pPr>
        <w:spacing w:line="276" w:lineRule="auto"/>
        <w:rPr>
          <w:b/>
        </w:rPr>
      </w:pPr>
    </w:p>
    <w:p w:rsidR="00166A0E" w:rsidRPr="00E143CC" w:rsidRDefault="00166A0E" w:rsidP="00166A0E">
      <w:pPr>
        <w:pStyle w:val="Styletexte"/>
        <w:spacing w:after="0"/>
        <w:rPr>
          <w:sz w:val="20"/>
          <w:lang w:val="fr-CH"/>
        </w:rPr>
      </w:pPr>
      <w:r w:rsidRPr="00E143CC">
        <w:rPr>
          <w:rFonts w:cs="Arial"/>
          <w:sz w:val="20"/>
          <w:lang w:val="fr-CH"/>
        </w:rPr>
        <w:t>Les dépenses de personnel incluent les prestations telles que le traitement de base, l’indemnité de poste, les allocations familiales, la cotisation de retraite, les participations à la caisse d’assurance</w:t>
      </w:r>
      <w:r w:rsidRPr="00E143CC">
        <w:rPr>
          <w:rFonts w:cs="Arial"/>
          <w:sz w:val="20"/>
          <w:lang w:val="fr-CH"/>
        </w:rPr>
        <w:noBreakHyphen/>
        <w:t>maladie et autres cotisations sociales, les congés dans les foyers et d’autres prestations pour les fonctionnaires titulaires d’un engagement permanent et les fonctionnaires temporaires</w:t>
      </w:r>
      <w:r w:rsidRPr="00E143CC">
        <w:rPr>
          <w:sz w:val="20"/>
          <w:lang w:val="fr-CH"/>
        </w:rPr>
        <w:t xml:space="preserve">.  Depuis la mise en œuvre des normes IPSAS, les dépenses de personnel incluent les changements dans les provisions pour les obligations relatives aux prestations </w:t>
      </w:r>
      <w:r w:rsidR="00742791">
        <w:rPr>
          <w:sz w:val="20"/>
          <w:lang w:val="fr-CH"/>
        </w:rPr>
        <w:t xml:space="preserve">dues </w:t>
      </w:r>
      <w:r w:rsidRPr="00E143CC">
        <w:rPr>
          <w:sz w:val="20"/>
          <w:lang w:val="fr-CH"/>
        </w:rPr>
        <w:t>au personnel.</w:t>
      </w:r>
    </w:p>
    <w:p w:rsidR="00166A0E" w:rsidRPr="00E143CC" w:rsidRDefault="00166A0E" w:rsidP="00166A0E">
      <w:pPr>
        <w:pStyle w:val="Styletexte"/>
        <w:spacing w:after="0"/>
        <w:rPr>
          <w:sz w:val="20"/>
          <w:lang w:val="fr-CH"/>
        </w:rPr>
      </w:pPr>
    </w:p>
    <w:p w:rsidR="00166A0E" w:rsidRPr="00E143CC" w:rsidRDefault="00166A0E" w:rsidP="00742791">
      <w:pPr>
        <w:spacing w:line="276" w:lineRule="auto"/>
        <w:rPr>
          <w:lang w:val="fr-CH"/>
        </w:rPr>
      </w:pPr>
      <w:r w:rsidRPr="00E143CC">
        <w:rPr>
          <w:lang w:val="fr-CH"/>
        </w:rPr>
        <w:t xml:space="preserve">Les voyages et bourses comprennent les frais de voyage en avion, les indemnités journalières de subsistance, les faux frais au départ et à l’arrivée et d’autres coûts de voyage pour les fonctionnaires en </w:t>
      </w:r>
      <w:r w:rsidRPr="00E143CC">
        <w:rPr>
          <w:lang w:val="fr-CH"/>
        </w:rPr>
        <w:lastRenderedPageBreak/>
        <w:t>mission, et les déplacements pour les participants, les conférenciers et les stagiaires dans le cadre d’activités de formation.  Les services contractuels recouvrent les contrats d’engagement de traducteurs, d’interprètes et d’autres non</w:t>
      </w:r>
      <w:r w:rsidRPr="00E143CC">
        <w:rPr>
          <w:lang w:val="fr-CH"/>
        </w:rPr>
        <w:noBreakHyphen/>
        <w:t>fonctionnaires.  Les dépenses de fonctionnement comprennent des éléments tels que la location et l’entretien des locaux et les frais bancaires.</w:t>
      </w:r>
    </w:p>
    <w:p w:rsidR="00166A0E" w:rsidRDefault="00166A0E" w:rsidP="00742791">
      <w:pPr>
        <w:spacing w:line="276" w:lineRule="auto"/>
        <w:rPr>
          <w:u w:val="single"/>
          <w:lang w:val="fr-CH"/>
        </w:rPr>
      </w:pPr>
    </w:p>
    <w:p w:rsidR="005454E6" w:rsidRPr="00E143CC" w:rsidRDefault="005454E6" w:rsidP="00742791">
      <w:pPr>
        <w:spacing w:line="276" w:lineRule="auto"/>
        <w:rPr>
          <w:u w:val="single"/>
          <w:lang w:val="fr-CH"/>
        </w:rPr>
      </w:pPr>
    </w:p>
    <w:p w:rsidR="00166A0E" w:rsidRPr="00E143CC" w:rsidRDefault="00166A0E" w:rsidP="00166A0E">
      <w:pPr>
        <w:pStyle w:val="Heading1"/>
        <w:jc w:val="both"/>
        <w:rPr>
          <w:lang w:val="fr-CH"/>
        </w:rPr>
      </w:pPr>
      <w:bookmarkStart w:id="24" w:name="_Toc393377926"/>
      <w:bookmarkStart w:id="25" w:name="_Toc395251231"/>
      <w:r w:rsidRPr="00E143CC">
        <w:rPr>
          <w:lang w:val="fr-CH"/>
        </w:rPr>
        <w:t>FONDS DE ROULEMENT ET CONTRIBUTIONS</w:t>
      </w:r>
      <w:bookmarkEnd w:id="24"/>
      <w:bookmarkEnd w:id="25"/>
    </w:p>
    <w:p w:rsidR="00166A0E" w:rsidRPr="00E143CC" w:rsidRDefault="00166A0E" w:rsidP="00166A0E">
      <w:pPr>
        <w:rPr>
          <w:lang w:val="fr-CH"/>
        </w:rPr>
      </w:pPr>
    </w:p>
    <w:p w:rsidR="00166A0E" w:rsidRPr="00E143CC" w:rsidRDefault="00166A0E" w:rsidP="00CA3BDE">
      <w:pPr>
        <w:pStyle w:val="Heading3"/>
      </w:pPr>
      <w:bookmarkStart w:id="26" w:name="_Toc393377927"/>
      <w:bookmarkStart w:id="27" w:name="_Toc395251232"/>
      <w:r w:rsidRPr="00E143CC">
        <w:t>Fonds de roulement au 31 décembre 2013</w:t>
      </w:r>
      <w:bookmarkEnd w:id="26"/>
      <w:bookmarkEnd w:id="27"/>
    </w:p>
    <w:p w:rsidR="00166A0E" w:rsidRPr="00E143CC" w:rsidRDefault="00166A0E" w:rsidP="00CA3BDE">
      <w:pPr>
        <w:pStyle w:val="Heading2"/>
        <w:rPr>
          <w:snapToGrid w:val="0"/>
        </w:rPr>
      </w:pPr>
    </w:p>
    <w:p w:rsidR="00166A0E" w:rsidRPr="00E143CC" w:rsidRDefault="00166A0E" w:rsidP="00166A0E">
      <w:pPr>
        <w:rPr>
          <w:snapToGrid w:val="0"/>
          <w:lang w:val="fr-CH"/>
        </w:rPr>
      </w:pPr>
      <w:r w:rsidRPr="00E143CC">
        <w:rPr>
          <w:snapToGrid w:val="0"/>
          <w:lang w:val="fr-CH"/>
        </w:rPr>
        <w:t xml:space="preserve">En vertu de l’article 4.2 de son Règlement financier, l’UPOV dispose d’un fonds de roulement (voir le document UPOV/INF/4/3).  Conformément à l’état de la situation </w:t>
      </w:r>
      <w:r w:rsidR="00742791">
        <w:rPr>
          <w:snapToGrid w:val="0"/>
          <w:lang w:val="fr-CH"/>
        </w:rPr>
        <w:t xml:space="preserve">financière </w:t>
      </w:r>
      <w:r w:rsidRPr="00E143CC">
        <w:rPr>
          <w:snapToGrid w:val="0"/>
          <w:lang w:val="fr-CH"/>
        </w:rPr>
        <w:t>au 31 décembre 2013, ce fonds de roulement s’élève à 540 011 francs suisses.  La participation de chacun des membres de l’Union, calculée conformément aux décisions du Conseil prises lors des sessions de novembre 1972 (paragraphe 57 du document UPOV/C/VI/12), octobre 1992 (paragraphe 14 du document C/26/15) et avril 2006 (paragraphe 10 du document C(Extr.)/23/4) et annexe du document UPOV/INF/13) est la suivante :</w:t>
      </w:r>
    </w:p>
    <w:p w:rsidR="00166A0E" w:rsidRPr="00E143CC" w:rsidRDefault="00166A0E" w:rsidP="00166A0E">
      <w:pPr>
        <w:ind w:firstLine="567"/>
        <w:rPr>
          <w:lang w:val="fr-CH"/>
        </w:rPr>
      </w:pPr>
    </w:p>
    <w:tbl>
      <w:tblPr>
        <w:tblW w:w="0" w:type="auto"/>
        <w:tblInd w:w="675"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062"/>
        <w:gridCol w:w="1043"/>
        <w:gridCol w:w="360"/>
        <w:gridCol w:w="3045"/>
        <w:gridCol w:w="1041"/>
        <w:gridCol w:w="381"/>
      </w:tblGrid>
      <w:tr w:rsidR="00166A0E" w:rsidRPr="00E143CC" w:rsidTr="00AC7DD3">
        <w:trPr>
          <w:tblHeader/>
        </w:trPr>
        <w:tc>
          <w:tcPr>
            <w:tcW w:w="3062" w:type="dxa"/>
            <w:tcBorders>
              <w:top w:val="single" w:sz="8" w:space="0" w:color="auto"/>
              <w:left w:val="single" w:sz="8" w:space="0" w:color="auto"/>
              <w:bottom w:val="single" w:sz="8" w:space="0" w:color="auto"/>
              <w:right w:val="nil"/>
            </w:tcBorders>
            <w:shd w:val="clear" w:color="auto" w:fill="CCFF99"/>
            <w:vAlign w:val="center"/>
          </w:tcPr>
          <w:p w:rsidR="00166A0E" w:rsidRPr="00E143CC" w:rsidRDefault="00166A0E" w:rsidP="00AC7DD3">
            <w:pPr>
              <w:spacing w:before="120" w:after="120"/>
              <w:rPr>
                <w:rFonts w:cs="Arial"/>
              </w:rPr>
            </w:pPr>
            <w:r w:rsidRPr="00E143CC">
              <w:rPr>
                <w:rFonts w:cs="Arial"/>
              </w:rPr>
              <w:t>Membre de l’Union</w:t>
            </w:r>
          </w:p>
        </w:tc>
        <w:tc>
          <w:tcPr>
            <w:tcW w:w="1403" w:type="dxa"/>
            <w:gridSpan w:val="2"/>
            <w:tcBorders>
              <w:top w:val="single" w:sz="8" w:space="0" w:color="auto"/>
              <w:left w:val="nil"/>
              <w:bottom w:val="single" w:sz="8" w:space="0" w:color="auto"/>
              <w:right w:val="single" w:sz="8" w:space="0" w:color="auto"/>
            </w:tcBorders>
            <w:shd w:val="clear" w:color="auto" w:fill="CCFF99"/>
            <w:vAlign w:val="center"/>
          </w:tcPr>
          <w:p w:rsidR="00166A0E" w:rsidRPr="00E143CC" w:rsidRDefault="00166A0E" w:rsidP="00AC7DD3">
            <w:pPr>
              <w:spacing w:before="120" w:after="120"/>
              <w:jc w:val="center"/>
              <w:rPr>
                <w:rFonts w:cs="Arial"/>
              </w:rPr>
            </w:pPr>
            <w:r w:rsidRPr="00E143CC">
              <w:rPr>
                <w:rFonts w:cs="Arial"/>
              </w:rPr>
              <w:t>Francs suisses</w:t>
            </w:r>
          </w:p>
        </w:tc>
        <w:tc>
          <w:tcPr>
            <w:tcW w:w="3045" w:type="dxa"/>
            <w:tcBorders>
              <w:top w:val="single" w:sz="8" w:space="0" w:color="auto"/>
              <w:left w:val="single" w:sz="8" w:space="0" w:color="auto"/>
              <w:bottom w:val="single" w:sz="8" w:space="0" w:color="auto"/>
              <w:right w:val="nil"/>
            </w:tcBorders>
            <w:shd w:val="clear" w:color="auto" w:fill="CCFF99"/>
            <w:vAlign w:val="center"/>
          </w:tcPr>
          <w:p w:rsidR="00166A0E" w:rsidRPr="00E143CC" w:rsidRDefault="00166A0E" w:rsidP="00AC7DD3">
            <w:pPr>
              <w:spacing w:before="120" w:after="120"/>
              <w:rPr>
                <w:rFonts w:cs="Arial"/>
              </w:rPr>
            </w:pPr>
            <w:r w:rsidRPr="00E143CC">
              <w:rPr>
                <w:rFonts w:cs="Arial"/>
              </w:rPr>
              <w:t>Membre de l’Union</w:t>
            </w:r>
          </w:p>
        </w:tc>
        <w:tc>
          <w:tcPr>
            <w:tcW w:w="1422" w:type="dxa"/>
            <w:gridSpan w:val="2"/>
            <w:tcBorders>
              <w:top w:val="single" w:sz="8" w:space="0" w:color="auto"/>
              <w:left w:val="nil"/>
              <w:bottom w:val="single" w:sz="8" w:space="0" w:color="auto"/>
              <w:right w:val="single" w:sz="8" w:space="0" w:color="auto"/>
            </w:tcBorders>
            <w:shd w:val="clear" w:color="auto" w:fill="CCFF99"/>
            <w:vAlign w:val="center"/>
          </w:tcPr>
          <w:p w:rsidR="00166A0E" w:rsidRPr="00E143CC" w:rsidRDefault="00166A0E" w:rsidP="00AC7DD3">
            <w:pPr>
              <w:spacing w:before="120" w:after="120"/>
              <w:jc w:val="center"/>
              <w:rPr>
                <w:rFonts w:cs="Arial"/>
              </w:rPr>
            </w:pPr>
            <w:r w:rsidRPr="00E143CC">
              <w:rPr>
                <w:rFonts w:cs="Arial"/>
              </w:rPr>
              <w:t>Francs suisses</w:t>
            </w:r>
          </w:p>
        </w:tc>
      </w:tr>
      <w:tr w:rsidR="00166A0E" w:rsidRPr="00E143CC" w:rsidTr="00AC7DD3">
        <w:trPr>
          <w:tblHeader/>
        </w:trPr>
        <w:tc>
          <w:tcPr>
            <w:tcW w:w="3062" w:type="dxa"/>
            <w:tcBorders>
              <w:top w:val="single" w:sz="8" w:space="0" w:color="auto"/>
              <w:bottom w:val="nil"/>
              <w:right w:val="nil"/>
            </w:tcBorders>
            <w:vAlign w:val="center"/>
          </w:tcPr>
          <w:p w:rsidR="00166A0E" w:rsidRPr="00E143CC" w:rsidRDefault="00166A0E" w:rsidP="00AC7DD3">
            <w:pPr>
              <w:rPr>
                <w:rFonts w:cs="Arial"/>
                <w:sz w:val="10"/>
                <w:szCs w:val="10"/>
              </w:rPr>
            </w:pPr>
          </w:p>
        </w:tc>
        <w:tc>
          <w:tcPr>
            <w:tcW w:w="1043" w:type="dxa"/>
            <w:tcBorders>
              <w:top w:val="single" w:sz="8" w:space="0" w:color="auto"/>
              <w:left w:val="nil"/>
              <w:bottom w:val="nil"/>
              <w:right w:val="nil"/>
            </w:tcBorders>
          </w:tcPr>
          <w:p w:rsidR="00166A0E" w:rsidRPr="00E143CC" w:rsidRDefault="00166A0E" w:rsidP="00AC7DD3">
            <w:pPr>
              <w:jc w:val="right"/>
              <w:rPr>
                <w:rFonts w:cs="Arial"/>
                <w:sz w:val="10"/>
                <w:szCs w:val="10"/>
              </w:rPr>
            </w:pPr>
          </w:p>
        </w:tc>
        <w:tc>
          <w:tcPr>
            <w:tcW w:w="360" w:type="dxa"/>
            <w:tcBorders>
              <w:top w:val="single" w:sz="8" w:space="0" w:color="auto"/>
              <w:left w:val="nil"/>
              <w:bottom w:val="nil"/>
              <w:right w:val="single" w:sz="8" w:space="0" w:color="auto"/>
            </w:tcBorders>
          </w:tcPr>
          <w:p w:rsidR="00166A0E" w:rsidRPr="00E143CC" w:rsidRDefault="00166A0E" w:rsidP="00AC7DD3">
            <w:pPr>
              <w:rPr>
                <w:rFonts w:cs="Arial"/>
                <w:sz w:val="10"/>
                <w:szCs w:val="10"/>
              </w:rPr>
            </w:pPr>
          </w:p>
        </w:tc>
        <w:tc>
          <w:tcPr>
            <w:tcW w:w="3045" w:type="dxa"/>
            <w:tcBorders>
              <w:top w:val="single" w:sz="8" w:space="0" w:color="auto"/>
              <w:left w:val="single" w:sz="8" w:space="0" w:color="auto"/>
              <w:bottom w:val="nil"/>
              <w:right w:val="nil"/>
            </w:tcBorders>
          </w:tcPr>
          <w:p w:rsidR="00166A0E" w:rsidRPr="00E143CC" w:rsidRDefault="00166A0E" w:rsidP="00AC7DD3">
            <w:pPr>
              <w:rPr>
                <w:rFonts w:cs="Arial"/>
                <w:sz w:val="10"/>
                <w:szCs w:val="10"/>
              </w:rPr>
            </w:pPr>
          </w:p>
        </w:tc>
        <w:tc>
          <w:tcPr>
            <w:tcW w:w="1041" w:type="dxa"/>
            <w:tcBorders>
              <w:top w:val="single" w:sz="8" w:space="0" w:color="auto"/>
              <w:left w:val="nil"/>
              <w:bottom w:val="nil"/>
              <w:right w:val="nil"/>
            </w:tcBorders>
          </w:tcPr>
          <w:p w:rsidR="00166A0E" w:rsidRPr="00E143CC" w:rsidRDefault="00166A0E" w:rsidP="00AC7DD3">
            <w:pPr>
              <w:jc w:val="right"/>
              <w:rPr>
                <w:rFonts w:cs="Arial"/>
                <w:sz w:val="10"/>
                <w:szCs w:val="10"/>
              </w:rPr>
            </w:pPr>
          </w:p>
        </w:tc>
        <w:tc>
          <w:tcPr>
            <w:tcW w:w="381" w:type="dxa"/>
            <w:tcBorders>
              <w:top w:val="single" w:sz="8" w:space="0" w:color="auto"/>
              <w:left w:val="nil"/>
              <w:bottom w:val="nil"/>
              <w:right w:val="single" w:sz="8" w:space="0" w:color="auto"/>
            </w:tcBorders>
          </w:tcPr>
          <w:p w:rsidR="00166A0E" w:rsidRPr="00E143CC" w:rsidRDefault="00166A0E" w:rsidP="00AC7DD3">
            <w:pPr>
              <w:jc w:val="left"/>
              <w:rPr>
                <w:rFonts w:cs="Arial"/>
                <w:sz w:val="10"/>
                <w:szCs w:val="10"/>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Afrique du Sud</w:t>
            </w:r>
          </w:p>
        </w:tc>
        <w:tc>
          <w:tcPr>
            <w:tcW w:w="1043" w:type="dxa"/>
            <w:tcBorders>
              <w:top w:val="nil"/>
              <w:left w:val="nil"/>
              <w:bottom w:val="nil"/>
              <w:right w:val="nil"/>
            </w:tcBorders>
          </w:tcPr>
          <w:p w:rsidR="00166A0E" w:rsidRPr="00E143CC" w:rsidRDefault="00166A0E" w:rsidP="00AC7DD3">
            <w:pPr>
              <w:jc w:val="right"/>
              <w:rPr>
                <w:rFonts w:cs="Arial"/>
              </w:rPr>
            </w:pPr>
            <w:r w:rsidRPr="00E143CC">
              <w:rPr>
                <w:rFonts w:cs="Arial"/>
              </w:rPr>
              <w:t>8 333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Kirghizistan</w:t>
            </w:r>
          </w:p>
        </w:tc>
        <w:tc>
          <w:tcPr>
            <w:tcW w:w="1041"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81" w:type="dxa"/>
            <w:tcBorders>
              <w:top w:val="nil"/>
              <w:left w:val="nil"/>
              <w:bottom w:val="nil"/>
              <w:right w:val="single" w:sz="8" w:space="0" w:color="auto"/>
            </w:tcBorders>
          </w:tcPr>
          <w:p w:rsidR="00166A0E" w:rsidRPr="00E143CC" w:rsidRDefault="00166A0E" w:rsidP="00AC7DD3">
            <w:pPr>
              <w:jc w:val="left"/>
              <w:rPr>
                <w:rFonts w:cs="Arial"/>
              </w:rPr>
            </w:pPr>
          </w:p>
        </w:tc>
      </w:tr>
      <w:tr w:rsidR="00166A0E" w:rsidRPr="00E143CC" w:rsidTr="00AC7DD3">
        <w:tc>
          <w:tcPr>
            <w:tcW w:w="3062" w:type="dxa"/>
            <w:tcBorders>
              <w:top w:val="nil"/>
              <w:bottom w:val="nil"/>
              <w:right w:val="nil"/>
            </w:tcBorders>
            <w:vAlign w:val="center"/>
          </w:tcPr>
          <w:p w:rsidR="00166A0E" w:rsidRPr="00E143CC" w:rsidRDefault="00166A0E" w:rsidP="00AC7DD3">
            <w:pPr>
              <w:rPr>
                <w:rFonts w:cs="Arial"/>
                <w:lang w:val="fr-FR"/>
              </w:rPr>
            </w:pPr>
            <w:r w:rsidRPr="00E143CC">
              <w:rPr>
                <w:rFonts w:cs="Arial"/>
                <w:lang w:val="fr-FR"/>
              </w:rPr>
              <w:t>Albanie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Lettonie</w:t>
            </w:r>
          </w:p>
        </w:tc>
        <w:tc>
          <w:tcPr>
            <w:tcW w:w="1041"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Allemagne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41 667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Lituanie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Argentine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4 167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Maroc</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Australie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8 333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Mexique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6 250</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Autriche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12 500</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Nicaragua</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Azerbaïdjan</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Norvège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8 333</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Bélarus</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Nouvelle</w:t>
            </w:r>
            <w:r w:rsidRPr="00E143CC">
              <w:rPr>
                <w:rFonts w:cs="Arial"/>
                <w:lang w:val="fr-FR"/>
              </w:rPr>
              <w:noBreakHyphen/>
              <w:t>Zélande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8 333</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Belgique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8 333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Oman</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8 333</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Bolivie (État plurinational de)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Ouzbékistan</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Brésil</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2 083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Panama</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Bulgarie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Paraguay</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Canada</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8 333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Pays</w:t>
            </w:r>
            <w:r w:rsidRPr="00E143CC">
              <w:rPr>
                <w:rFonts w:cs="Arial"/>
                <w:lang w:val="fr-FR"/>
              </w:rPr>
              <w:noBreakHyphen/>
              <w:t>Bas</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24 999</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Chili</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Pérou</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Chine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4 167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Pologne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4 167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Colombie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Portugal</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4 167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Costa Rica</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République de Corée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12 500</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Croatie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République de Moldova</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Danemark</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8 333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République dominicaine</w:t>
            </w:r>
          </w:p>
        </w:tc>
        <w:tc>
          <w:tcPr>
            <w:tcW w:w="1041"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Équateur</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République tchèque</w:t>
            </w:r>
          </w:p>
        </w:tc>
        <w:tc>
          <w:tcPr>
            <w:tcW w:w="1041"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4 167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Espagne</w:t>
            </w:r>
          </w:p>
        </w:tc>
        <w:tc>
          <w:tcPr>
            <w:tcW w:w="1043" w:type="dxa"/>
            <w:tcBorders>
              <w:top w:val="nil"/>
              <w:left w:val="nil"/>
              <w:bottom w:val="nil"/>
              <w:right w:val="nil"/>
            </w:tcBorders>
          </w:tcPr>
          <w:p w:rsidR="00166A0E" w:rsidRPr="00E143CC" w:rsidRDefault="00166A0E" w:rsidP="00AC7DD3">
            <w:pPr>
              <w:jc w:val="right"/>
              <w:rPr>
                <w:rFonts w:cs="Arial"/>
              </w:rPr>
            </w:pPr>
            <w:r w:rsidRPr="00E143CC">
              <w:rPr>
                <w:rFonts w:cs="Arial"/>
              </w:rPr>
              <w:t>12 500</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Roumanie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Estonie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Royaume</w:t>
            </w:r>
            <w:r w:rsidRPr="00E143CC">
              <w:rPr>
                <w:rFonts w:cs="Arial"/>
                <w:lang w:val="fr-FR"/>
              </w:rPr>
              <w:noBreakHyphen/>
              <w:t>Uni</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41 667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États</w:t>
            </w:r>
            <w:r w:rsidRPr="00E143CC">
              <w:rPr>
                <w:rFonts w:cs="Arial"/>
                <w:lang w:val="fr-FR"/>
              </w:rPr>
              <w:noBreakHyphen/>
              <w:t>Unis d’Amérique</w:t>
            </w:r>
          </w:p>
        </w:tc>
        <w:tc>
          <w:tcPr>
            <w:tcW w:w="1043" w:type="dxa"/>
            <w:tcBorders>
              <w:top w:val="nil"/>
              <w:left w:val="nil"/>
              <w:bottom w:val="nil"/>
              <w:right w:val="nil"/>
            </w:tcBorders>
          </w:tcPr>
          <w:p w:rsidR="00166A0E" w:rsidRPr="00E143CC" w:rsidRDefault="00166A0E" w:rsidP="00AC7DD3">
            <w:pPr>
              <w:jc w:val="right"/>
              <w:rPr>
                <w:rFonts w:cs="Arial"/>
              </w:rPr>
            </w:pPr>
            <w:r w:rsidRPr="00E143CC">
              <w:rPr>
                <w:rFonts w:cs="Arial"/>
              </w:rPr>
              <w:t>41 667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Singapour</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Ex</w:t>
            </w:r>
            <w:r w:rsidRPr="00E143CC">
              <w:rPr>
                <w:rFonts w:cs="Arial"/>
                <w:lang w:val="fr-FR"/>
              </w:rPr>
              <w:noBreakHyphen/>
              <w:t>République yougoslave de Macédoine</w:t>
            </w:r>
          </w:p>
        </w:tc>
        <w:tc>
          <w:tcPr>
            <w:tcW w:w="1043"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Slovaquie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4 167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Fédération de Russie</w:t>
            </w:r>
          </w:p>
        </w:tc>
        <w:tc>
          <w:tcPr>
            <w:tcW w:w="1043" w:type="dxa"/>
            <w:tcBorders>
              <w:top w:val="nil"/>
              <w:left w:val="nil"/>
              <w:bottom w:val="nil"/>
              <w:right w:val="nil"/>
            </w:tcBorders>
          </w:tcPr>
          <w:p w:rsidR="00166A0E" w:rsidRPr="00E143CC" w:rsidRDefault="00166A0E" w:rsidP="00AC7DD3">
            <w:pPr>
              <w:jc w:val="right"/>
              <w:rPr>
                <w:rFonts w:cs="Arial"/>
              </w:rPr>
            </w:pPr>
            <w:r w:rsidRPr="00E143CC">
              <w:rPr>
                <w:rFonts w:cs="Arial"/>
              </w:rPr>
              <w:t>4 167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vAlign w:val="center"/>
          </w:tcPr>
          <w:p w:rsidR="00166A0E" w:rsidRPr="00E143CC" w:rsidRDefault="00166A0E" w:rsidP="00AC7DD3">
            <w:pPr>
              <w:rPr>
                <w:rFonts w:cs="Arial"/>
                <w:lang w:val="fr-FR"/>
              </w:rPr>
            </w:pPr>
            <w:r w:rsidRPr="00E143CC">
              <w:rPr>
                <w:rFonts w:cs="Arial"/>
                <w:lang w:val="fr-FR"/>
              </w:rPr>
              <w:t>Slovénie</w:t>
            </w:r>
          </w:p>
        </w:tc>
        <w:tc>
          <w:tcPr>
            <w:tcW w:w="1041" w:type="dxa"/>
            <w:tcBorders>
              <w:top w:val="nil"/>
              <w:left w:val="nil"/>
              <w:bottom w:val="nil"/>
              <w:right w:val="nil"/>
            </w:tcBorders>
            <w:vAlign w:val="center"/>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Finlande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8 333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Suède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8 333</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France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41 667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Suisse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8 333</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Géorgie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Trinité</w:t>
            </w:r>
            <w:r w:rsidRPr="00E143CC">
              <w:rPr>
                <w:rFonts w:cs="Arial"/>
                <w:lang w:val="fr-FR"/>
              </w:rPr>
              <w:noBreakHyphen/>
              <w:t>et</w:t>
            </w:r>
            <w:r w:rsidRPr="00E143CC">
              <w:rPr>
                <w:rFonts w:cs="Arial"/>
                <w:lang w:val="fr-FR"/>
              </w:rPr>
              <w:noBreakHyphen/>
              <w:t>Tobago</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Hongrie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4 167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Tunisie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Irlande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8 333</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Turquie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4 167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Islande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Ukraine</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4 167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shd w:val="clear" w:color="auto" w:fill="auto"/>
          </w:tcPr>
          <w:p w:rsidR="00166A0E" w:rsidRPr="00E143CC" w:rsidRDefault="00166A0E" w:rsidP="00AC7DD3">
            <w:pPr>
              <w:rPr>
                <w:rFonts w:cs="Arial"/>
                <w:lang w:val="fr-FR"/>
              </w:rPr>
            </w:pPr>
            <w:r w:rsidRPr="00E143CC">
              <w:rPr>
                <w:rFonts w:cs="Arial"/>
                <w:lang w:val="fr-FR"/>
              </w:rPr>
              <w:t>Israël</w:t>
            </w:r>
          </w:p>
        </w:tc>
        <w:tc>
          <w:tcPr>
            <w:tcW w:w="1043" w:type="dxa"/>
            <w:tcBorders>
              <w:top w:val="nil"/>
              <w:left w:val="nil"/>
              <w:bottom w:val="nil"/>
              <w:right w:val="nil"/>
            </w:tcBorders>
            <w:shd w:val="clear" w:color="auto" w:fill="auto"/>
          </w:tcPr>
          <w:p w:rsidR="00166A0E" w:rsidRPr="00E143CC" w:rsidRDefault="00166A0E" w:rsidP="00AC7DD3">
            <w:pPr>
              <w:jc w:val="right"/>
              <w:rPr>
                <w:rFonts w:cs="Arial"/>
                <w:lang w:val="fr-FR"/>
              </w:rPr>
            </w:pPr>
            <w:r w:rsidRPr="00E143CC">
              <w:rPr>
                <w:rFonts w:cs="Arial"/>
                <w:lang w:val="fr-FR"/>
              </w:rPr>
              <w:t>4 167</w:t>
            </w:r>
          </w:p>
        </w:tc>
        <w:tc>
          <w:tcPr>
            <w:tcW w:w="360" w:type="dxa"/>
            <w:tcBorders>
              <w:top w:val="nil"/>
              <w:left w:val="nil"/>
              <w:bottom w:val="nil"/>
              <w:right w:val="single" w:sz="8" w:space="0" w:color="auto"/>
            </w:tcBorders>
            <w:shd w:val="clear" w:color="auto" w:fill="auto"/>
          </w:tcPr>
          <w:p w:rsidR="00166A0E" w:rsidRPr="00E143CC" w:rsidRDefault="00166A0E" w:rsidP="00AC7DD3">
            <w:pPr>
              <w:rPr>
                <w:rFonts w:cs="Arial"/>
                <w:lang w:val="fr-FR"/>
              </w:rPr>
            </w:pPr>
          </w:p>
        </w:tc>
        <w:tc>
          <w:tcPr>
            <w:tcW w:w="3045" w:type="dxa"/>
            <w:tcBorders>
              <w:top w:val="nil"/>
              <w:left w:val="single" w:sz="8" w:space="0" w:color="auto"/>
              <w:bottom w:val="nil"/>
              <w:right w:val="nil"/>
            </w:tcBorders>
            <w:shd w:val="clear" w:color="auto" w:fill="auto"/>
          </w:tcPr>
          <w:p w:rsidR="00166A0E" w:rsidRPr="00E143CC" w:rsidRDefault="00166A0E" w:rsidP="00AC7DD3">
            <w:pPr>
              <w:rPr>
                <w:rFonts w:cs="Arial"/>
                <w:lang w:val="fr-FR"/>
              </w:rPr>
            </w:pPr>
            <w:r w:rsidRPr="00E143CC">
              <w:rPr>
                <w:rFonts w:cs="Arial"/>
                <w:lang w:val="fr-FR"/>
              </w:rPr>
              <w:t>Union européenne</w:t>
            </w:r>
          </w:p>
        </w:tc>
        <w:tc>
          <w:tcPr>
            <w:tcW w:w="1041" w:type="dxa"/>
            <w:tcBorders>
              <w:top w:val="nil"/>
              <w:left w:val="nil"/>
              <w:bottom w:val="nil"/>
              <w:right w:val="nil"/>
            </w:tcBorders>
            <w:shd w:val="clear" w:color="auto" w:fill="auto"/>
          </w:tcPr>
          <w:p w:rsidR="00166A0E" w:rsidRPr="00E143CC" w:rsidRDefault="00166A0E" w:rsidP="00AC7DD3">
            <w:pPr>
              <w:jc w:val="right"/>
              <w:rPr>
                <w:rFonts w:cs="Arial"/>
                <w:lang w:val="fr-FR"/>
              </w:rPr>
            </w:pPr>
            <w:r w:rsidRPr="00E143CC">
              <w:rPr>
                <w:rFonts w:cs="Arial"/>
                <w:lang w:val="fr-FR"/>
              </w:rPr>
              <w:t>41 667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left w:val="single" w:sz="8" w:space="0" w:color="auto"/>
              <w:bottom w:val="nil"/>
              <w:right w:val="nil"/>
            </w:tcBorders>
            <w:shd w:val="clear" w:color="auto" w:fill="auto"/>
          </w:tcPr>
          <w:p w:rsidR="00166A0E" w:rsidRPr="00E143CC" w:rsidRDefault="00166A0E" w:rsidP="00AC7DD3">
            <w:pPr>
              <w:rPr>
                <w:rFonts w:cs="Arial"/>
                <w:lang w:val="fr-FR"/>
              </w:rPr>
            </w:pPr>
            <w:r w:rsidRPr="00E143CC">
              <w:rPr>
                <w:rFonts w:cs="Arial"/>
                <w:lang w:val="fr-FR"/>
              </w:rPr>
              <w:t>Italie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16 666</w:t>
            </w:r>
          </w:p>
        </w:tc>
        <w:tc>
          <w:tcPr>
            <w:tcW w:w="360" w:type="dxa"/>
            <w:tcBorders>
              <w:top w:val="nil"/>
              <w:left w:val="nil"/>
              <w:bottom w:val="nil"/>
              <w:right w:val="single" w:sz="4" w:space="0" w:color="auto"/>
            </w:tcBorders>
            <w:shd w:val="clear" w:color="auto" w:fill="auto"/>
          </w:tcPr>
          <w:p w:rsidR="00166A0E" w:rsidRPr="00E143CC" w:rsidRDefault="00166A0E" w:rsidP="00AC7DD3">
            <w:pPr>
              <w:rPr>
                <w:rFonts w:cs="Arial"/>
                <w:lang w:val="fr-FR"/>
              </w:rPr>
            </w:pPr>
          </w:p>
        </w:tc>
        <w:tc>
          <w:tcPr>
            <w:tcW w:w="3045" w:type="dxa"/>
            <w:tcBorders>
              <w:top w:val="nil"/>
              <w:left w:val="single" w:sz="4" w:space="0" w:color="auto"/>
              <w:bottom w:val="nil"/>
              <w:right w:val="nil"/>
            </w:tcBorders>
          </w:tcPr>
          <w:p w:rsidR="00166A0E" w:rsidRPr="00E143CC" w:rsidRDefault="00166A0E" w:rsidP="00AC7DD3">
            <w:pPr>
              <w:rPr>
                <w:rFonts w:cs="Arial"/>
                <w:lang w:val="fr-FR"/>
              </w:rPr>
            </w:pPr>
            <w:r w:rsidRPr="00E143CC">
              <w:rPr>
                <w:rFonts w:cs="Arial"/>
                <w:lang w:val="fr-FR"/>
              </w:rPr>
              <w:t>Uruguay</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Japon</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41 667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tcBorders>
              <w:top w:val="nil"/>
              <w:left w:val="single" w:sz="8" w:space="0" w:color="auto"/>
              <w:bottom w:val="nil"/>
              <w:right w:val="nil"/>
            </w:tcBorders>
          </w:tcPr>
          <w:p w:rsidR="00166A0E" w:rsidRPr="00E143CC" w:rsidRDefault="00166A0E" w:rsidP="00AC7DD3">
            <w:pPr>
              <w:rPr>
                <w:rFonts w:cs="Arial"/>
                <w:lang w:val="fr-FR"/>
              </w:rPr>
            </w:pPr>
            <w:r w:rsidRPr="00E143CC">
              <w:rPr>
                <w:rFonts w:cs="Arial"/>
                <w:lang w:val="fr-FR"/>
              </w:rPr>
              <w:t>Viet Nam</w:t>
            </w:r>
          </w:p>
        </w:tc>
        <w:tc>
          <w:tcPr>
            <w:tcW w:w="1041" w:type="dxa"/>
            <w:tcBorders>
              <w:top w:val="nil"/>
              <w:left w:val="nil"/>
              <w:bottom w:val="nil"/>
              <w:right w:val="nil"/>
            </w:tcBorders>
          </w:tcPr>
          <w:p w:rsidR="00166A0E" w:rsidRPr="00E143CC" w:rsidRDefault="00166A0E" w:rsidP="00AC7DD3">
            <w:pPr>
              <w:jc w:val="right"/>
              <w:rPr>
                <w:rFonts w:cs="Arial"/>
              </w:rPr>
            </w:pPr>
            <w:r w:rsidRPr="00E143CC">
              <w:rPr>
                <w:rFonts w:cs="Arial"/>
              </w:rPr>
              <w:t>1 667</w:t>
            </w:r>
          </w:p>
        </w:tc>
        <w:tc>
          <w:tcPr>
            <w:tcW w:w="381" w:type="dxa"/>
            <w:tcBorders>
              <w:top w:val="nil"/>
              <w:left w:val="nil"/>
              <w:bottom w:val="nil"/>
              <w:right w:val="single" w:sz="8" w:space="0" w:color="auto"/>
            </w:tcBorders>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Jordanie</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vMerge w:val="restart"/>
            <w:tcBorders>
              <w:top w:val="nil"/>
              <w:left w:val="single" w:sz="8" w:space="0" w:color="auto"/>
              <w:right w:val="nil"/>
            </w:tcBorders>
            <w:shd w:val="clear" w:color="auto" w:fill="92D050"/>
          </w:tcPr>
          <w:p w:rsidR="00166A0E" w:rsidRPr="00E143CC" w:rsidRDefault="00166A0E" w:rsidP="00AC7DD3">
            <w:pPr>
              <w:spacing w:before="120" w:after="120"/>
              <w:rPr>
                <w:rFonts w:cs="Arial"/>
                <w:lang w:val="fr-FR"/>
              </w:rPr>
            </w:pPr>
            <w:r w:rsidRPr="00E143CC">
              <w:rPr>
                <w:rFonts w:cs="Arial"/>
                <w:lang w:val="fr-FR"/>
              </w:rPr>
              <w:t>Total :</w:t>
            </w:r>
          </w:p>
        </w:tc>
        <w:tc>
          <w:tcPr>
            <w:tcW w:w="1041" w:type="dxa"/>
            <w:vMerge w:val="restart"/>
            <w:tcBorders>
              <w:top w:val="nil"/>
              <w:left w:val="nil"/>
              <w:right w:val="nil"/>
            </w:tcBorders>
            <w:shd w:val="clear" w:color="auto" w:fill="92D050"/>
          </w:tcPr>
          <w:p w:rsidR="00166A0E" w:rsidRPr="00E143CC" w:rsidRDefault="00166A0E" w:rsidP="00AC7DD3">
            <w:pPr>
              <w:spacing w:before="120" w:after="120"/>
              <w:jc w:val="right"/>
              <w:rPr>
                <w:rFonts w:cs="Arial"/>
              </w:rPr>
            </w:pPr>
            <w:r w:rsidRPr="00E143CC">
              <w:rPr>
                <w:rFonts w:cs="Arial"/>
              </w:rPr>
              <w:t>540 011</w:t>
            </w:r>
          </w:p>
        </w:tc>
        <w:tc>
          <w:tcPr>
            <w:tcW w:w="381" w:type="dxa"/>
            <w:vMerge w:val="restart"/>
            <w:tcBorders>
              <w:top w:val="nil"/>
              <w:left w:val="nil"/>
              <w:right w:val="single" w:sz="8" w:space="0" w:color="auto"/>
            </w:tcBorders>
            <w:shd w:val="clear" w:color="auto" w:fill="92D050"/>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r w:rsidRPr="00E143CC">
              <w:rPr>
                <w:rFonts w:cs="Arial"/>
                <w:lang w:val="fr-FR"/>
              </w:rPr>
              <w:t>Kenya</w:t>
            </w:r>
          </w:p>
        </w:tc>
        <w:tc>
          <w:tcPr>
            <w:tcW w:w="1043" w:type="dxa"/>
            <w:tcBorders>
              <w:top w:val="nil"/>
              <w:left w:val="nil"/>
              <w:bottom w:val="nil"/>
              <w:right w:val="nil"/>
            </w:tcBorders>
          </w:tcPr>
          <w:p w:rsidR="00166A0E" w:rsidRPr="00E143CC" w:rsidRDefault="00166A0E" w:rsidP="00AC7DD3">
            <w:pPr>
              <w:jc w:val="right"/>
              <w:rPr>
                <w:rFonts w:cs="Arial"/>
                <w:lang w:val="fr-FR"/>
              </w:rPr>
            </w:pPr>
            <w:r w:rsidRPr="00E143CC">
              <w:rPr>
                <w:rFonts w:cs="Arial"/>
                <w:lang w:val="fr-FR"/>
              </w:rPr>
              <w:t>1 667</w:t>
            </w: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vMerge/>
            <w:tcBorders>
              <w:left w:val="single" w:sz="8" w:space="0" w:color="auto"/>
              <w:right w:val="nil"/>
            </w:tcBorders>
            <w:shd w:val="clear" w:color="auto" w:fill="92D050"/>
          </w:tcPr>
          <w:p w:rsidR="00166A0E" w:rsidRPr="00E143CC" w:rsidRDefault="00166A0E" w:rsidP="00AC7DD3">
            <w:pPr>
              <w:rPr>
                <w:rFonts w:cs="Arial"/>
                <w:lang w:val="fr-FR"/>
              </w:rPr>
            </w:pPr>
          </w:p>
        </w:tc>
        <w:tc>
          <w:tcPr>
            <w:tcW w:w="1041" w:type="dxa"/>
            <w:vMerge/>
            <w:tcBorders>
              <w:left w:val="nil"/>
              <w:right w:val="nil"/>
            </w:tcBorders>
            <w:shd w:val="clear" w:color="auto" w:fill="92D050"/>
          </w:tcPr>
          <w:p w:rsidR="00166A0E" w:rsidRPr="00E143CC" w:rsidRDefault="00166A0E" w:rsidP="00AC7DD3">
            <w:pPr>
              <w:jc w:val="right"/>
              <w:rPr>
                <w:rFonts w:cs="Arial"/>
              </w:rPr>
            </w:pPr>
          </w:p>
        </w:tc>
        <w:tc>
          <w:tcPr>
            <w:tcW w:w="381" w:type="dxa"/>
            <w:vMerge/>
            <w:tcBorders>
              <w:left w:val="nil"/>
              <w:right w:val="single" w:sz="8" w:space="0" w:color="auto"/>
            </w:tcBorders>
            <w:shd w:val="clear" w:color="auto" w:fill="92D050"/>
          </w:tcPr>
          <w:p w:rsidR="00166A0E" w:rsidRPr="00E143CC" w:rsidRDefault="00166A0E" w:rsidP="00AC7DD3">
            <w:pPr>
              <w:rPr>
                <w:rFonts w:cs="Arial"/>
              </w:rPr>
            </w:pPr>
          </w:p>
        </w:tc>
      </w:tr>
      <w:tr w:rsidR="00166A0E" w:rsidRPr="00E143CC" w:rsidTr="00AC7DD3">
        <w:tc>
          <w:tcPr>
            <w:tcW w:w="3062" w:type="dxa"/>
            <w:tcBorders>
              <w:top w:val="nil"/>
              <w:bottom w:val="nil"/>
              <w:right w:val="nil"/>
            </w:tcBorders>
          </w:tcPr>
          <w:p w:rsidR="00166A0E" w:rsidRPr="00E143CC" w:rsidRDefault="00166A0E" w:rsidP="00AC7DD3">
            <w:pPr>
              <w:rPr>
                <w:rFonts w:cs="Arial"/>
                <w:lang w:val="fr-FR"/>
              </w:rPr>
            </w:pPr>
          </w:p>
        </w:tc>
        <w:tc>
          <w:tcPr>
            <w:tcW w:w="1043" w:type="dxa"/>
            <w:tcBorders>
              <w:top w:val="nil"/>
              <w:left w:val="nil"/>
              <w:bottom w:val="nil"/>
              <w:right w:val="nil"/>
            </w:tcBorders>
          </w:tcPr>
          <w:p w:rsidR="00166A0E" w:rsidRPr="00E143CC" w:rsidRDefault="00166A0E" w:rsidP="00AC7DD3">
            <w:pPr>
              <w:jc w:val="right"/>
              <w:rPr>
                <w:rFonts w:cs="Arial"/>
                <w:lang w:val="fr-FR"/>
              </w:rPr>
            </w:pPr>
          </w:p>
        </w:tc>
        <w:tc>
          <w:tcPr>
            <w:tcW w:w="360" w:type="dxa"/>
            <w:tcBorders>
              <w:top w:val="nil"/>
              <w:left w:val="nil"/>
              <w:bottom w:val="nil"/>
              <w:right w:val="single" w:sz="8" w:space="0" w:color="auto"/>
            </w:tcBorders>
          </w:tcPr>
          <w:p w:rsidR="00166A0E" w:rsidRPr="00E143CC" w:rsidRDefault="00166A0E" w:rsidP="00AC7DD3">
            <w:pPr>
              <w:rPr>
                <w:rFonts w:cs="Arial"/>
                <w:lang w:val="fr-FR"/>
              </w:rPr>
            </w:pPr>
          </w:p>
        </w:tc>
        <w:tc>
          <w:tcPr>
            <w:tcW w:w="3045" w:type="dxa"/>
            <w:vMerge/>
            <w:tcBorders>
              <w:left w:val="single" w:sz="8" w:space="0" w:color="auto"/>
              <w:right w:val="nil"/>
            </w:tcBorders>
            <w:shd w:val="clear" w:color="auto" w:fill="92D050"/>
            <w:vAlign w:val="center"/>
          </w:tcPr>
          <w:p w:rsidR="00166A0E" w:rsidRPr="00E143CC" w:rsidRDefault="00166A0E" w:rsidP="00AC7DD3">
            <w:pPr>
              <w:rPr>
                <w:rFonts w:cs="Arial"/>
                <w:lang w:val="fr-FR"/>
              </w:rPr>
            </w:pPr>
          </w:p>
        </w:tc>
        <w:tc>
          <w:tcPr>
            <w:tcW w:w="1041" w:type="dxa"/>
            <w:vMerge/>
            <w:tcBorders>
              <w:left w:val="nil"/>
              <w:right w:val="nil"/>
            </w:tcBorders>
            <w:shd w:val="clear" w:color="auto" w:fill="92D050"/>
            <w:vAlign w:val="center"/>
          </w:tcPr>
          <w:p w:rsidR="00166A0E" w:rsidRPr="00E143CC" w:rsidRDefault="00166A0E" w:rsidP="00AC7DD3">
            <w:pPr>
              <w:jc w:val="right"/>
              <w:rPr>
                <w:rFonts w:cs="Arial"/>
              </w:rPr>
            </w:pPr>
          </w:p>
        </w:tc>
        <w:tc>
          <w:tcPr>
            <w:tcW w:w="381" w:type="dxa"/>
            <w:vMerge/>
            <w:tcBorders>
              <w:left w:val="nil"/>
              <w:right w:val="single" w:sz="8" w:space="0" w:color="auto"/>
            </w:tcBorders>
            <w:shd w:val="clear" w:color="auto" w:fill="92D050"/>
          </w:tcPr>
          <w:p w:rsidR="00166A0E" w:rsidRPr="00E143CC" w:rsidRDefault="00166A0E" w:rsidP="00AC7DD3">
            <w:pPr>
              <w:rPr>
                <w:rFonts w:cs="Arial"/>
              </w:rPr>
            </w:pPr>
          </w:p>
        </w:tc>
      </w:tr>
      <w:tr w:rsidR="00166A0E" w:rsidRPr="00E143CC" w:rsidTr="00745CF1">
        <w:tc>
          <w:tcPr>
            <w:tcW w:w="3062" w:type="dxa"/>
            <w:tcBorders>
              <w:top w:val="nil"/>
              <w:bottom w:val="nil"/>
              <w:right w:val="nil"/>
            </w:tcBorders>
          </w:tcPr>
          <w:p w:rsidR="00166A0E" w:rsidRPr="00E143CC" w:rsidRDefault="00166A0E" w:rsidP="00AC7DD3">
            <w:pPr>
              <w:rPr>
                <w:rFonts w:cs="Arial"/>
              </w:rPr>
            </w:pPr>
          </w:p>
        </w:tc>
        <w:tc>
          <w:tcPr>
            <w:tcW w:w="1043" w:type="dxa"/>
            <w:tcBorders>
              <w:top w:val="nil"/>
              <w:left w:val="nil"/>
              <w:bottom w:val="nil"/>
              <w:right w:val="nil"/>
            </w:tcBorders>
          </w:tcPr>
          <w:p w:rsidR="00166A0E" w:rsidRPr="00E143CC" w:rsidRDefault="00166A0E" w:rsidP="00AC7DD3">
            <w:pPr>
              <w:jc w:val="right"/>
              <w:rPr>
                <w:rFonts w:cs="Arial"/>
              </w:rPr>
            </w:pPr>
          </w:p>
        </w:tc>
        <w:tc>
          <w:tcPr>
            <w:tcW w:w="360" w:type="dxa"/>
            <w:tcBorders>
              <w:top w:val="nil"/>
              <w:left w:val="nil"/>
              <w:bottom w:val="nil"/>
              <w:right w:val="single" w:sz="8" w:space="0" w:color="auto"/>
            </w:tcBorders>
          </w:tcPr>
          <w:p w:rsidR="00166A0E" w:rsidRPr="00E143CC" w:rsidRDefault="00166A0E" w:rsidP="00AC7DD3">
            <w:pPr>
              <w:rPr>
                <w:rFonts w:cs="Arial"/>
              </w:rPr>
            </w:pPr>
          </w:p>
        </w:tc>
        <w:tc>
          <w:tcPr>
            <w:tcW w:w="3045" w:type="dxa"/>
            <w:vMerge/>
            <w:tcBorders>
              <w:left w:val="single" w:sz="8" w:space="0" w:color="auto"/>
              <w:right w:val="nil"/>
            </w:tcBorders>
            <w:shd w:val="clear" w:color="auto" w:fill="92D050"/>
            <w:vAlign w:val="center"/>
          </w:tcPr>
          <w:p w:rsidR="00166A0E" w:rsidRPr="00E143CC" w:rsidRDefault="00166A0E" w:rsidP="00AC7DD3">
            <w:pPr>
              <w:rPr>
                <w:rFonts w:cs="Arial"/>
              </w:rPr>
            </w:pPr>
          </w:p>
        </w:tc>
        <w:tc>
          <w:tcPr>
            <w:tcW w:w="1041" w:type="dxa"/>
            <w:vMerge/>
            <w:tcBorders>
              <w:left w:val="nil"/>
              <w:right w:val="nil"/>
            </w:tcBorders>
            <w:shd w:val="clear" w:color="auto" w:fill="92D050"/>
            <w:vAlign w:val="center"/>
          </w:tcPr>
          <w:p w:rsidR="00166A0E" w:rsidRPr="00E143CC" w:rsidRDefault="00166A0E" w:rsidP="00AC7DD3">
            <w:pPr>
              <w:jc w:val="right"/>
              <w:rPr>
                <w:rFonts w:cs="Arial"/>
              </w:rPr>
            </w:pPr>
          </w:p>
        </w:tc>
        <w:tc>
          <w:tcPr>
            <w:tcW w:w="381" w:type="dxa"/>
            <w:vMerge/>
            <w:tcBorders>
              <w:left w:val="nil"/>
              <w:right w:val="single" w:sz="8" w:space="0" w:color="auto"/>
            </w:tcBorders>
            <w:shd w:val="clear" w:color="auto" w:fill="92D050"/>
          </w:tcPr>
          <w:p w:rsidR="00166A0E" w:rsidRPr="00E143CC" w:rsidRDefault="00166A0E" w:rsidP="00AC7DD3">
            <w:pPr>
              <w:rPr>
                <w:rFonts w:cs="Arial"/>
              </w:rPr>
            </w:pPr>
          </w:p>
        </w:tc>
      </w:tr>
      <w:tr w:rsidR="00166A0E" w:rsidRPr="00E143CC" w:rsidTr="00745CF1">
        <w:tc>
          <w:tcPr>
            <w:tcW w:w="3062" w:type="dxa"/>
            <w:tcBorders>
              <w:top w:val="nil"/>
              <w:bottom w:val="single" w:sz="4" w:space="0" w:color="auto"/>
              <w:right w:val="nil"/>
            </w:tcBorders>
          </w:tcPr>
          <w:p w:rsidR="00166A0E" w:rsidRPr="00E143CC" w:rsidRDefault="00166A0E" w:rsidP="00AC7DD3">
            <w:pPr>
              <w:rPr>
                <w:rFonts w:cs="Arial"/>
              </w:rPr>
            </w:pPr>
          </w:p>
        </w:tc>
        <w:tc>
          <w:tcPr>
            <w:tcW w:w="1043" w:type="dxa"/>
            <w:tcBorders>
              <w:top w:val="nil"/>
              <w:left w:val="nil"/>
              <w:bottom w:val="single" w:sz="4" w:space="0" w:color="auto"/>
              <w:right w:val="nil"/>
            </w:tcBorders>
          </w:tcPr>
          <w:p w:rsidR="00166A0E" w:rsidRPr="00E143CC" w:rsidRDefault="00166A0E" w:rsidP="00AC7DD3">
            <w:pPr>
              <w:jc w:val="right"/>
              <w:rPr>
                <w:rFonts w:cs="Arial"/>
              </w:rPr>
            </w:pPr>
          </w:p>
        </w:tc>
        <w:tc>
          <w:tcPr>
            <w:tcW w:w="360" w:type="dxa"/>
            <w:tcBorders>
              <w:top w:val="nil"/>
              <w:left w:val="nil"/>
              <w:bottom w:val="single" w:sz="4" w:space="0" w:color="auto"/>
              <w:right w:val="single" w:sz="8" w:space="0" w:color="auto"/>
            </w:tcBorders>
          </w:tcPr>
          <w:p w:rsidR="00166A0E" w:rsidRPr="00E143CC" w:rsidRDefault="00166A0E" w:rsidP="00AC7DD3">
            <w:pPr>
              <w:rPr>
                <w:rFonts w:cs="Arial"/>
              </w:rPr>
            </w:pPr>
          </w:p>
        </w:tc>
        <w:tc>
          <w:tcPr>
            <w:tcW w:w="3045" w:type="dxa"/>
            <w:vMerge/>
            <w:tcBorders>
              <w:left w:val="single" w:sz="8" w:space="0" w:color="auto"/>
              <w:right w:val="nil"/>
            </w:tcBorders>
            <w:shd w:val="clear" w:color="auto" w:fill="92D050"/>
          </w:tcPr>
          <w:p w:rsidR="00166A0E" w:rsidRPr="00E143CC" w:rsidRDefault="00166A0E" w:rsidP="00AC7DD3">
            <w:pPr>
              <w:rPr>
                <w:rFonts w:cs="Arial"/>
              </w:rPr>
            </w:pPr>
          </w:p>
        </w:tc>
        <w:tc>
          <w:tcPr>
            <w:tcW w:w="1041" w:type="dxa"/>
            <w:vMerge/>
            <w:tcBorders>
              <w:left w:val="nil"/>
              <w:right w:val="nil"/>
            </w:tcBorders>
            <w:shd w:val="clear" w:color="auto" w:fill="92D050"/>
          </w:tcPr>
          <w:p w:rsidR="00166A0E" w:rsidRPr="00E143CC" w:rsidRDefault="00166A0E" w:rsidP="00AC7DD3">
            <w:pPr>
              <w:jc w:val="right"/>
              <w:rPr>
                <w:rFonts w:cs="Arial"/>
              </w:rPr>
            </w:pPr>
          </w:p>
        </w:tc>
        <w:tc>
          <w:tcPr>
            <w:tcW w:w="381" w:type="dxa"/>
            <w:vMerge/>
            <w:tcBorders>
              <w:left w:val="nil"/>
              <w:right w:val="single" w:sz="8" w:space="0" w:color="auto"/>
            </w:tcBorders>
            <w:shd w:val="clear" w:color="auto" w:fill="92D050"/>
          </w:tcPr>
          <w:p w:rsidR="00166A0E" w:rsidRPr="00E143CC" w:rsidRDefault="00166A0E" w:rsidP="00AC7DD3">
            <w:pPr>
              <w:rPr>
                <w:rFonts w:cs="Arial"/>
              </w:rPr>
            </w:pPr>
          </w:p>
        </w:tc>
      </w:tr>
    </w:tbl>
    <w:p w:rsidR="00166A0E" w:rsidRPr="00E143CC" w:rsidRDefault="00166A0E" w:rsidP="00166A0E">
      <w:pPr>
        <w:tabs>
          <w:tab w:val="left" w:pos="567"/>
        </w:tabs>
      </w:pPr>
    </w:p>
    <w:p w:rsidR="00166A0E" w:rsidRPr="00E143CC" w:rsidRDefault="00166A0E" w:rsidP="00CA3BDE">
      <w:pPr>
        <w:pStyle w:val="Heading3"/>
      </w:pPr>
      <w:bookmarkStart w:id="28" w:name="_Toc393377928"/>
      <w:bookmarkStart w:id="29" w:name="_Toc395251233"/>
      <w:r w:rsidRPr="00E143CC">
        <w:rPr>
          <w:rStyle w:val="Heading5Char"/>
        </w:rPr>
        <w:t>Contributions des membres de l’Union</w:t>
      </w:r>
      <w:bookmarkEnd w:id="28"/>
      <w:r w:rsidRPr="00E143CC">
        <w:rPr>
          <w:rStyle w:val="Heading5Char"/>
        </w:rPr>
        <w:br/>
      </w:r>
      <w:r w:rsidRPr="00E143CC">
        <w:t>(francs suisses)</w:t>
      </w:r>
      <w:bookmarkEnd w:id="29"/>
    </w:p>
    <w:p w:rsidR="00166A0E" w:rsidRPr="00E143CC" w:rsidRDefault="00166A0E" w:rsidP="00166A0E">
      <w:pPr>
        <w:keepNext/>
        <w:jc w:val="center"/>
        <w:rPr>
          <w:lang w:val="fr-CH"/>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987"/>
        <w:gridCol w:w="1530"/>
        <w:gridCol w:w="1440"/>
        <w:gridCol w:w="1440"/>
      </w:tblGrid>
      <w:tr w:rsidR="00166A0E" w:rsidRPr="00E143CC" w:rsidTr="00742791">
        <w:trPr>
          <w:cantSplit/>
          <w:trHeight w:val="445"/>
          <w:tblHeader/>
          <w:jc w:val="center"/>
        </w:trPr>
        <w:tc>
          <w:tcPr>
            <w:tcW w:w="2987" w:type="dxa"/>
            <w:tcBorders>
              <w:top w:val="single" w:sz="4" w:space="0" w:color="auto"/>
              <w:left w:val="single" w:sz="4" w:space="0" w:color="auto"/>
              <w:bottom w:val="nil"/>
              <w:right w:val="single" w:sz="8" w:space="0" w:color="auto"/>
            </w:tcBorders>
            <w:shd w:val="clear" w:color="auto" w:fill="CCFF99"/>
          </w:tcPr>
          <w:p w:rsidR="00166A0E" w:rsidRPr="00E143CC" w:rsidRDefault="00166A0E" w:rsidP="00AC7DD3">
            <w:pPr>
              <w:rPr>
                <w:rFonts w:cs="Arial"/>
                <w:lang w:val="fr-FR"/>
              </w:rPr>
            </w:pPr>
          </w:p>
          <w:p w:rsidR="00166A0E" w:rsidRPr="00E143CC" w:rsidRDefault="00166A0E" w:rsidP="00AC7DD3">
            <w:pPr>
              <w:jc w:val="center"/>
              <w:rPr>
                <w:rFonts w:cs="Arial"/>
                <w:lang w:val="fr-FR"/>
              </w:rPr>
            </w:pPr>
            <w:r w:rsidRPr="00E143CC">
              <w:rPr>
                <w:rFonts w:cs="Arial"/>
                <w:lang w:val="fr-FR"/>
              </w:rPr>
              <w:t>Membres de l’Union</w:t>
            </w:r>
          </w:p>
        </w:tc>
        <w:tc>
          <w:tcPr>
            <w:tcW w:w="1530" w:type="dxa"/>
            <w:tcBorders>
              <w:top w:val="single" w:sz="4" w:space="0" w:color="auto"/>
              <w:left w:val="single" w:sz="8" w:space="0" w:color="auto"/>
              <w:bottom w:val="nil"/>
              <w:right w:val="single" w:sz="8" w:space="0" w:color="auto"/>
            </w:tcBorders>
            <w:shd w:val="clear" w:color="auto" w:fill="CCFF99"/>
          </w:tcPr>
          <w:p w:rsidR="00166A0E" w:rsidRPr="00E143CC" w:rsidRDefault="00166A0E" w:rsidP="00AC7DD3">
            <w:pPr>
              <w:jc w:val="center"/>
              <w:rPr>
                <w:rFonts w:cs="Arial"/>
                <w:lang w:val="fr-FR"/>
              </w:rPr>
            </w:pPr>
          </w:p>
          <w:p w:rsidR="00166A0E" w:rsidRPr="00E143CC" w:rsidRDefault="00166A0E" w:rsidP="00AC7DD3">
            <w:pPr>
              <w:jc w:val="center"/>
              <w:rPr>
                <w:rFonts w:cs="Arial"/>
                <w:lang w:val="fr-FR"/>
              </w:rPr>
            </w:pPr>
            <w:r w:rsidRPr="00E143CC">
              <w:rPr>
                <w:rFonts w:cs="Arial"/>
                <w:lang w:val="fr-FR"/>
              </w:rPr>
              <w:t>Unités de contribution</w:t>
            </w:r>
          </w:p>
        </w:tc>
        <w:tc>
          <w:tcPr>
            <w:tcW w:w="2880" w:type="dxa"/>
            <w:gridSpan w:val="2"/>
            <w:tcBorders>
              <w:top w:val="single" w:sz="4" w:space="0" w:color="auto"/>
              <w:left w:val="single" w:sz="8" w:space="0" w:color="auto"/>
              <w:bottom w:val="single" w:sz="8" w:space="0" w:color="auto"/>
              <w:right w:val="single" w:sz="4" w:space="0" w:color="auto"/>
            </w:tcBorders>
            <w:shd w:val="clear" w:color="auto" w:fill="CCFF99"/>
          </w:tcPr>
          <w:p w:rsidR="00166A0E" w:rsidRPr="00E143CC" w:rsidRDefault="00166A0E" w:rsidP="00AC7DD3">
            <w:pPr>
              <w:jc w:val="center"/>
              <w:rPr>
                <w:rFonts w:cs="Arial"/>
                <w:lang w:val="fr-FR"/>
              </w:rPr>
            </w:pPr>
          </w:p>
          <w:p w:rsidR="00166A0E" w:rsidRPr="00E143CC" w:rsidRDefault="00166A0E" w:rsidP="00742791">
            <w:pPr>
              <w:jc w:val="center"/>
              <w:rPr>
                <w:rFonts w:cs="Arial"/>
                <w:lang w:val="fr-FR"/>
              </w:rPr>
            </w:pPr>
            <w:r w:rsidRPr="00E143CC">
              <w:rPr>
                <w:rFonts w:cs="Arial"/>
                <w:lang w:val="fr-FR"/>
              </w:rPr>
              <w:t>Montants dus</w:t>
            </w:r>
          </w:p>
        </w:tc>
      </w:tr>
      <w:tr w:rsidR="00166A0E" w:rsidRPr="00E143CC" w:rsidTr="00E76FEC">
        <w:trPr>
          <w:tblHeader/>
          <w:jc w:val="center"/>
        </w:trPr>
        <w:tc>
          <w:tcPr>
            <w:tcW w:w="2987" w:type="dxa"/>
            <w:tcBorders>
              <w:top w:val="nil"/>
              <w:left w:val="single" w:sz="4" w:space="0" w:color="auto"/>
              <w:bottom w:val="single" w:sz="8" w:space="0" w:color="auto"/>
              <w:right w:val="single" w:sz="8" w:space="0" w:color="auto"/>
            </w:tcBorders>
            <w:shd w:val="clear" w:color="auto" w:fill="CCFF99"/>
          </w:tcPr>
          <w:p w:rsidR="00166A0E" w:rsidRPr="00E143CC" w:rsidRDefault="00166A0E" w:rsidP="00AC7DD3">
            <w:pPr>
              <w:spacing w:before="40" w:after="40"/>
              <w:rPr>
                <w:rFonts w:cs="Arial"/>
                <w:lang w:val="fr-FR"/>
              </w:rPr>
            </w:pPr>
          </w:p>
        </w:tc>
        <w:tc>
          <w:tcPr>
            <w:tcW w:w="1530" w:type="dxa"/>
            <w:tcBorders>
              <w:top w:val="nil"/>
              <w:left w:val="single" w:sz="8" w:space="0" w:color="auto"/>
              <w:bottom w:val="single" w:sz="8" w:space="0" w:color="auto"/>
              <w:right w:val="single" w:sz="8" w:space="0" w:color="auto"/>
            </w:tcBorders>
            <w:shd w:val="clear" w:color="auto" w:fill="CCFF99"/>
          </w:tcPr>
          <w:p w:rsidR="00166A0E" w:rsidRPr="00E143CC" w:rsidRDefault="00166A0E" w:rsidP="00AC7DD3">
            <w:pPr>
              <w:spacing w:before="40" w:after="40"/>
              <w:jc w:val="center"/>
              <w:rPr>
                <w:rFonts w:cs="Arial"/>
                <w:lang w:val="fr-FR"/>
              </w:rPr>
            </w:pP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166A0E" w:rsidRPr="00E143CC" w:rsidRDefault="00166A0E" w:rsidP="00AC7DD3">
            <w:pPr>
              <w:spacing w:before="40" w:after="40"/>
              <w:jc w:val="right"/>
              <w:rPr>
                <w:rFonts w:cs="Arial"/>
                <w:lang w:val="fr-FR"/>
              </w:rPr>
            </w:pPr>
            <w:r w:rsidRPr="00E143CC">
              <w:rPr>
                <w:rFonts w:cs="Arial"/>
                <w:lang w:val="fr-FR"/>
              </w:rPr>
              <w:t>Janvier 2012</w:t>
            </w:r>
          </w:p>
        </w:tc>
        <w:tc>
          <w:tcPr>
            <w:tcW w:w="1440" w:type="dxa"/>
            <w:tcBorders>
              <w:top w:val="single" w:sz="8" w:space="0" w:color="auto"/>
              <w:left w:val="single" w:sz="8" w:space="0" w:color="auto"/>
              <w:bottom w:val="single" w:sz="8" w:space="0" w:color="auto"/>
              <w:right w:val="single" w:sz="4" w:space="0" w:color="auto"/>
            </w:tcBorders>
            <w:shd w:val="clear" w:color="auto" w:fill="CCFF99"/>
          </w:tcPr>
          <w:p w:rsidR="00166A0E" w:rsidRPr="00E143CC" w:rsidRDefault="00166A0E" w:rsidP="00AC7DD3">
            <w:pPr>
              <w:spacing w:before="40" w:after="40"/>
              <w:jc w:val="right"/>
              <w:rPr>
                <w:rFonts w:cs="Arial"/>
                <w:lang w:val="fr-FR"/>
              </w:rPr>
            </w:pPr>
            <w:r w:rsidRPr="00E143CC">
              <w:rPr>
                <w:rFonts w:cs="Arial"/>
                <w:lang w:val="fr-FR"/>
              </w:rPr>
              <w:t>Janvier 2013</w:t>
            </w:r>
          </w:p>
        </w:tc>
      </w:tr>
      <w:tr w:rsidR="00166A0E" w:rsidRPr="00E143CC" w:rsidTr="00D02C3A">
        <w:trPr>
          <w:jc w:val="center"/>
        </w:trPr>
        <w:tc>
          <w:tcPr>
            <w:tcW w:w="2987" w:type="dxa"/>
            <w:tcBorders>
              <w:top w:val="single" w:sz="8"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Afrique du Sud</w:t>
            </w:r>
          </w:p>
        </w:tc>
        <w:tc>
          <w:tcPr>
            <w:tcW w:w="153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1</w:t>
            </w:r>
          </w:p>
        </w:tc>
        <w:tc>
          <w:tcPr>
            <w:tcW w:w="144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53 641</w:t>
            </w:r>
          </w:p>
        </w:tc>
        <w:tc>
          <w:tcPr>
            <w:tcW w:w="1440" w:type="dxa"/>
            <w:tcBorders>
              <w:top w:val="single" w:sz="8"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53 641</w:t>
            </w:r>
          </w:p>
        </w:tc>
      </w:tr>
      <w:tr w:rsidR="00166A0E" w:rsidRPr="00E143CC" w:rsidTr="00D02C3A">
        <w:trPr>
          <w:trHeight w:val="80"/>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Albanie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Allemagne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Argentine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Australie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Autriche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0,75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40 231</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40 231</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Azerbaïdjan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Bélarus</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Belgique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80 462</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80 462</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Bolivie (État plurinational de)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Brésil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13 410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13 410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Bulgarie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Canada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Chili</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Chine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Colombie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Costa Rica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Croatie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Danemark</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Équateur</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Espagne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107 282</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107 282</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Estonie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États</w:t>
            </w:r>
            <w:r w:rsidRPr="00E143CC">
              <w:rPr>
                <w:rFonts w:cs="Arial"/>
                <w:lang w:val="fr-FR"/>
              </w:rPr>
              <w:noBreakHyphen/>
              <w:t>Unis d’Amérique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268 205</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268 205</w:t>
            </w:r>
          </w:p>
        </w:tc>
      </w:tr>
      <w:tr w:rsidR="00166A0E" w:rsidRPr="00E143CC" w:rsidTr="00742791">
        <w:trPr>
          <w:trHeight w:val="450"/>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Ex</w:t>
            </w:r>
            <w:r w:rsidRPr="00E143CC">
              <w:rPr>
                <w:rFonts w:cs="Arial"/>
                <w:lang w:val="fr-FR"/>
              </w:rPr>
              <w:noBreakHyphen/>
              <w:t>République yougoslave de Macédoine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Fédération de Russie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Finlande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France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Géorgie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Hongrie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Irlande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Islande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Israël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Italie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107 282</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107 282</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Japon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Jordanie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Kenya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Kirghizistan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Lettonie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Lituanie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Maroc</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445F20">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Mexique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0,75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40 231</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40 231</w:t>
            </w:r>
          </w:p>
        </w:tc>
      </w:tr>
      <w:tr w:rsidR="00166A0E" w:rsidRPr="00E143CC" w:rsidTr="00445F20">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Nicaragua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445F20">
        <w:trPr>
          <w:jc w:val="center"/>
        </w:trPr>
        <w:tc>
          <w:tcPr>
            <w:tcW w:w="2987" w:type="dxa"/>
            <w:tcBorders>
              <w:top w:val="dotted" w:sz="4" w:space="0" w:color="auto"/>
              <w:left w:val="single" w:sz="4" w:space="0" w:color="auto"/>
              <w:bottom w:val="single"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lastRenderedPageBreak/>
              <w:t>Norvège</w:t>
            </w:r>
          </w:p>
        </w:tc>
        <w:tc>
          <w:tcPr>
            <w:tcW w:w="153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w:t>
            </w:r>
          </w:p>
        </w:tc>
        <w:tc>
          <w:tcPr>
            <w:tcW w:w="144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c>
          <w:tcPr>
            <w:tcW w:w="1440" w:type="dxa"/>
            <w:tcBorders>
              <w:top w:val="dotted" w:sz="4" w:space="0" w:color="auto"/>
              <w:left w:val="single" w:sz="8" w:space="0" w:color="auto"/>
              <w:bottom w:val="single"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r>
      <w:tr w:rsidR="00166A0E" w:rsidRPr="00E143CC" w:rsidTr="005454E6">
        <w:trPr>
          <w:jc w:val="center"/>
        </w:trPr>
        <w:tc>
          <w:tcPr>
            <w:tcW w:w="2987" w:type="dxa"/>
            <w:tcBorders>
              <w:top w:val="single" w:sz="4" w:space="0" w:color="auto"/>
              <w:left w:val="single" w:sz="4" w:space="0" w:color="auto"/>
              <w:bottom w:val="single"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Nouvelle</w:t>
            </w:r>
            <w:r w:rsidRPr="00E143CC">
              <w:rPr>
                <w:rFonts w:cs="Arial"/>
                <w:lang w:val="fr-FR"/>
              </w:rPr>
              <w:noBreakHyphen/>
              <w:t>Zélande</w:t>
            </w:r>
          </w:p>
        </w:tc>
        <w:tc>
          <w:tcPr>
            <w:tcW w:w="1530" w:type="dxa"/>
            <w:tcBorders>
              <w:top w:val="single" w:sz="4" w:space="0" w:color="auto"/>
              <w:left w:val="single" w:sz="8" w:space="0" w:color="auto"/>
              <w:bottom w:val="single"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w:t>
            </w:r>
          </w:p>
        </w:tc>
        <w:tc>
          <w:tcPr>
            <w:tcW w:w="1440" w:type="dxa"/>
            <w:tcBorders>
              <w:top w:val="single" w:sz="4" w:space="0" w:color="auto"/>
              <w:left w:val="single" w:sz="8" w:space="0" w:color="auto"/>
              <w:bottom w:val="single"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c>
          <w:tcPr>
            <w:tcW w:w="1440" w:type="dxa"/>
            <w:tcBorders>
              <w:top w:val="single" w:sz="4" w:space="0" w:color="auto"/>
              <w:left w:val="single" w:sz="8" w:space="0" w:color="auto"/>
              <w:bottom w:val="single"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r>
      <w:tr w:rsidR="00166A0E" w:rsidRPr="00E143CC" w:rsidTr="00742791">
        <w:trPr>
          <w:jc w:val="center"/>
        </w:trPr>
        <w:tc>
          <w:tcPr>
            <w:tcW w:w="2987" w:type="dxa"/>
            <w:tcBorders>
              <w:top w:val="single"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Oman</w:t>
            </w:r>
          </w:p>
        </w:tc>
        <w:tc>
          <w:tcPr>
            <w:tcW w:w="153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w:t>
            </w:r>
          </w:p>
        </w:tc>
        <w:tc>
          <w:tcPr>
            <w:tcW w:w="144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c>
          <w:tcPr>
            <w:tcW w:w="1440" w:type="dxa"/>
            <w:tcBorders>
              <w:top w:val="single"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53 641</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Ouzbékistan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Panama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E76FEC"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E76FEC" w:rsidRPr="00E143CC" w:rsidRDefault="00E76FEC" w:rsidP="00AC7DD3">
            <w:pPr>
              <w:rPr>
                <w:rFonts w:cs="Arial"/>
                <w:lang w:val="fr-FR"/>
              </w:rPr>
            </w:pPr>
            <w:r>
              <w:rPr>
                <w:rFonts w:cs="Arial"/>
                <w:lang w:val="fr-FR"/>
              </w:rPr>
              <w:t>Paraguay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E76FEC" w:rsidRPr="00E143CC" w:rsidRDefault="00E76FEC" w:rsidP="00AC7DD3">
            <w:pPr>
              <w:jc w:val="center"/>
              <w:rPr>
                <w:rFonts w:cs="Arial"/>
                <w:lang w:val="fr-FR"/>
              </w:rPr>
            </w:pPr>
            <w:r>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E76FEC" w:rsidRPr="00E143CC" w:rsidRDefault="00E76FEC" w:rsidP="00AC7DD3">
            <w:pPr>
              <w:jc w:val="right"/>
              <w:rPr>
                <w:rFonts w:cs="Arial"/>
                <w:lang w:val="fr-FR"/>
              </w:rPr>
            </w:pPr>
            <w:r>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E76FEC" w:rsidRPr="00E143CC" w:rsidRDefault="00E76FEC" w:rsidP="00AC7DD3">
            <w:pPr>
              <w:jc w:val="right"/>
              <w:rPr>
                <w:rFonts w:cs="Arial"/>
                <w:lang w:val="fr-FR"/>
              </w:rPr>
            </w:pPr>
            <w:r>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Pérou</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Pays</w:t>
            </w:r>
            <w:r w:rsidRPr="00E143CC">
              <w:rPr>
                <w:rFonts w:cs="Arial"/>
                <w:lang w:val="fr-FR"/>
              </w:rPr>
              <w:noBreakHyphen/>
              <w:t>Bas</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3</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160 923</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160 923</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Pologne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Portugal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République de Corée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80 462</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80 462</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République de Moldova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République dominicaine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République tchèque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Roumanie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Royaume</w:t>
            </w:r>
            <w:r w:rsidRPr="00E143CC">
              <w:rPr>
                <w:rFonts w:cs="Arial"/>
                <w:lang w:val="fr-FR"/>
              </w:rPr>
              <w:noBreakHyphen/>
              <w:t>Uni</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107 282</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107 282</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Singapour</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Slovaquie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Slovénie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Suède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80 462</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80 462</w:t>
            </w:r>
          </w:p>
        </w:tc>
      </w:tr>
      <w:tr w:rsidR="00166A0E" w:rsidRPr="00E143CC" w:rsidTr="00742791">
        <w:trPr>
          <w:trHeight w:val="210"/>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Suisse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80 462</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80 462</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Trinité</w:t>
            </w:r>
            <w:r w:rsidRPr="00E143CC">
              <w:rPr>
                <w:rFonts w:cs="Arial"/>
                <w:lang w:val="fr-FR"/>
              </w:rPr>
              <w:noBreakHyphen/>
              <w:t>et</w:t>
            </w:r>
            <w:r w:rsidRPr="00E143CC">
              <w:rPr>
                <w:rFonts w:cs="Arial"/>
                <w:lang w:val="fr-FR"/>
              </w:rPr>
              <w:noBreakHyphen/>
              <w:t>Tobago</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Tunisie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Turquie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26 820</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26 820</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Ukraine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rPr>
                <w:rFonts w:cs="Arial"/>
                <w:lang w:val="fr-FR"/>
              </w:rPr>
            </w:pPr>
            <w:r w:rsidRPr="00E143CC">
              <w:rPr>
                <w:rFonts w:cs="Arial"/>
                <w:lang w:val="fr-FR"/>
              </w:rPr>
              <w:t>Union européenne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center"/>
              <w:rPr>
                <w:rFonts w:cs="Arial"/>
                <w:lang w:val="fr-FR"/>
              </w:rPr>
            </w:pPr>
            <w:r w:rsidRPr="00E143CC">
              <w:rPr>
                <w:rFonts w:cs="Arial"/>
                <w:lang w:val="fr-FR"/>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jc w:val="right"/>
              <w:rPr>
                <w:rFonts w:cs="Arial"/>
                <w:lang w:val="fr-FR"/>
              </w:rPr>
            </w:pPr>
            <w:r w:rsidRPr="00E143CC">
              <w:rPr>
                <w:rFonts w:cs="Arial"/>
                <w:lang w:val="fr-FR"/>
              </w:rPr>
              <w:t>268 205</w:t>
            </w:r>
          </w:p>
        </w:tc>
      </w:tr>
      <w:tr w:rsidR="00166A0E" w:rsidRPr="00E143CC" w:rsidTr="00742791">
        <w:trPr>
          <w:jc w:val="center"/>
        </w:trPr>
        <w:tc>
          <w:tcPr>
            <w:tcW w:w="2987" w:type="dxa"/>
            <w:tcBorders>
              <w:top w:val="dotted" w:sz="4" w:space="0" w:color="auto"/>
              <w:left w:val="single" w:sz="4"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br w:type="page"/>
              <w:t>Uruguay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dotted" w:sz="4"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jc w:val="center"/>
        </w:trPr>
        <w:tc>
          <w:tcPr>
            <w:tcW w:w="2987" w:type="dxa"/>
            <w:tcBorders>
              <w:top w:val="dotted" w:sz="4" w:space="0" w:color="auto"/>
              <w:left w:val="single" w:sz="4" w:space="0" w:color="auto"/>
              <w:bottom w:val="single" w:sz="8"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rPr>
                <w:rFonts w:cs="Arial"/>
                <w:lang w:val="fr-FR"/>
              </w:rPr>
            </w:pPr>
            <w:r w:rsidRPr="00E143CC">
              <w:rPr>
                <w:rFonts w:cs="Arial"/>
                <w:lang w:val="fr-FR"/>
              </w:rPr>
              <w:t>Viet Nam</w:t>
            </w:r>
          </w:p>
        </w:tc>
        <w:tc>
          <w:tcPr>
            <w:tcW w:w="153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center"/>
              <w:rPr>
                <w:rFonts w:cs="Arial"/>
                <w:lang w:val="fr-FR"/>
              </w:rPr>
            </w:pPr>
            <w:r w:rsidRPr="00E143CC">
              <w:rPr>
                <w:rFonts w:cs="Arial"/>
                <w:lang w:val="fr-FR"/>
              </w:rPr>
              <w:t>0,2</w:t>
            </w:r>
          </w:p>
        </w:tc>
        <w:tc>
          <w:tcPr>
            <w:tcW w:w="144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c>
          <w:tcPr>
            <w:tcW w:w="1440" w:type="dxa"/>
            <w:tcBorders>
              <w:top w:val="dotted" w:sz="4" w:space="0" w:color="auto"/>
              <w:left w:val="single" w:sz="8" w:space="0" w:color="auto"/>
              <w:bottom w:val="single" w:sz="8" w:space="0" w:color="auto"/>
              <w:right w:val="single" w:sz="4" w:space="0" w:color="auto"/>
            </w:tcBorders>
            <w:tcMar>
              <w:top w:w="28" w:type="dxa"/>
              <w:left w:w="85" w:type="dxa"/>
              <w:bottom w:w="28" w:type="dxa"/>
              <w:right w:w="85" w:type="dxa"/>
            </w:tcMar>
          </w:tcPr>
          <w:p w:rsidR="00166A0E" w:rsidRPr="00E143CC" w:rsidRDefault="00166A0E" w:rsidP="00AC7DD3">
            <w:pPr>
              <w:spacing w:line="220" w:lineRule="exact"/>
              <w:jc w:val="right"/>
              <w:rPr>
                <w:rFonts w:cs="Arial"/>
                <w:lang w:val="fr-FR"/>
              </w:rPr>
            </w:pPr>
            <w:r w:rsidRPr="00E143CC">
              <w:rPr>
                <w:rFonts w:cs="Arial"/>
                <w:lang w:val="fr-FR"/>
              </w:rPr>
              <w:t>10 728</w:t>
            </w:r>
          </w:p>
        </w:tc>
      </w:tr>
      <w:tr w:rsidR="00166A0E" w:rsidRPr="00E143CC" w:rsidTr="00742791">
        <w:trPr>
          <w:tblHeader/>
          <w:jc w:val="center"/>
        </w:trPr>
        <w:tc>
          <w:tcPr>
            <w:tcW w:w="2987" w:type="dxa"/>
            <w:tcBorders>
              <w:top w:val="single" w:sz="8" w:space="0" w:color="auto"/>
              <w:left w:val="single" w:sz="4" w:space="0" w:color="auto"/>
              <w:bottom w:val="single" w:sz="4" w:space="0" w:color="auto"/>
              <w:right w:val="single" w:sz="8" w:space="0" w:color="auto"/>
            </w:tcBorders>
            <w:shd w:val="clear" w:color="auto" w:fill="CCFF99"/>
          </w:tcPr>
          <w:p w:rsidR="00166A0E" w:rsidRPr="00E143CC" w:rsidRDefault="00166A0E" w:rsidP="00AC7DD3">
            <w:pPr>
              <w:spacing w:before="120" w:after="120"/>
              <w:rPr>
                <w:rFonts w:cs="Arial"/>
                <w:lang w:val="fr-FR"/>
              </w:rPr>
            </w:pPr>
            <w:r w:rsidRPr="00E143CC">
              <w:rPr>
                <w:rFonts w:cs="Arial"/>
                <w:lang w:val="fr-FR"/>
              </w:rPr>
              <w:t>Total</w:t>
            </w:r>
          </w:p>
        </w:tc>
        <w:tc>
          <w:tcPr>
            <w:tcW w:w="1530" w:type="dxa"/>
            <w:tcBorders>
              <w:top w:val="single" w:sz="8" w:space="0" w:color="auto"/>
              <w:left w:val="single" w:sz="8" w:space="0" w:color="auto"/>
              <w:bottom w:val="single" w:sz="4" w:space="0" w:color="auto"/>
              <w:right w:val="single" w:sz="8" w:space="0" w:color="auto"/>
            </w:tcBorders>
            <w:shd w:val="clear" w:color="auto" w:fill="CCFF99"/>
          </w:tcPr>
          <w:p w:rsidR="00166A0E" w:rsidRPr="00E143CC" w:rsidRDefault="00166A0E" w:rsidP="00AC7DD3">
            <w:pPr>
              <w:spacing w:before="120" w:after="120"/>
              <w:jc w:val="center"/>
              <w:rPr>
                <w:rFonts w:cs="Arial"/>
                <w:lang w:val="fr-FR"/>
              </w:rPr>
            </w:pPr>
          </w:p>
        </w:tc>
        <w:tc>
          <w:tcPr>
            <w:tcW w:w="1440" w:type="dxa"/>
            <w:tcBorders>
              <w:top w:val="single" w:sz="8" w:space="0" w:color="auto"/>
              <w:left w:val="single" w:sz="8" w:space="0" w:color="auto"/>
              <w:bottom w:val="single" w:sz="4" w:space="0" w:color="auto"/>
              <w:right w:val="single" w:sz="8" w:space="0" w:color="auto"/>
            </w:tcBorders>
            <w:shd w:val="clear" w:color="auto" w:fill="CCFF99"/>
          </w:tcPr>
          <w:p w:rsidR="00166A0E" w:rsidRPr="00E143CC" w:rsidRDefault="00166A0E" w:rsidP="00AC7DD3">
            <w:pPr>
              <w:spacing w:before="120" w:after="120"/>
              <w:jc w:val="right"/>
              <w:rPr>
                <w:rFonts w:cs="Arial"/>
                <w:lang w:val="fr-FR"/>
              </w:rPr>
            </w:pPr>
            <w:r w:rsidRPr="00E143CC">
              <w:rPr>
                <w:rFonts w:cs="Arial"/>
                <w:lang w:val="fr-FR"/>
              </w:rPr>
              <w:t>3 323 050</w:t>
            </w:r>
          </w:p>
        </w:tc>
        <w:tc>
          <w:tcPr>
            <w:tcW w:w="1440" w:type="dxa"/>
            <w:tcBorders>
              <w:top w:val="single" w:sz="8" w:space="0" w:color="auto"/>
              <w:left w:val="single" w:sz="8" w:space="0" w:color="auto"/>
              <w:bottom w:val="single" w:sz="4" w:space="0" w:color="auto"/>
              <w:right w:val="single" w:sz="4" w:space="0" w:color="auto"/>
            </w:tcBorders>
            <w:shd w:val="clear" w:color="auto" w:fill="CCFF99"/>
          </w:tcPr>
          <w:p w:rsidR="00166A0E" w:rsidRPr="00E143CC" w:rsidRDefault="00166A0E" w:rsidP="00AC7DD3">
            <w:pPr>
              <w:spacing w:before="120" w:after="120"/>
              <w:jc w:val="right"/>
              <w:rPr>
                <w:rFonts w:cs="Arial"/>
                <w:lang w:val="fr-FR"/>
              </w:rPr>
            </w:pPr>
            <w:r w:rsidRPr="00E143CC">
              <w:rPr>
                <w:rFonts w:cs="Arial"/>
                <w:lang w:val="fr-FR"/>
              </w:rPr>
              <w:t>3 323 050</w:t>
            </w:r>
          </w:p>
        </w:tc>
      </w:tr>
    </w:tbl>
    <w:p w:rsidR="00166A0E" w:rsidRPr="00E143CC" w:rsidRDefault="00166A0E" w:rsidP="00166A0E"/>
    <w:p w:rsidR="00166A0E" w:rsidRPr="00E143CC" w:rsidRDefault="00166A0E" w:rsidP="00166A0E"/>
    <w:p w:rsidR="00166A0E" w:rsidRPr="00E143CC" w:rsidRDefault="00166A0E" w:rsidP="00CA3BDE">
      <w:pPr>
        <w:pStyle w:val="Heading3"/>
      </w:pPr>
      <w:r w:rsidRPr="00E143CC">
        <w:br w:type="page"/>
      </w:r>
      <w:bookmarkStart w:id="30" w:name="_Toc393377929"/>
      <w:bookmarkStart w:id="31" w:name="_Toc395251234"/>
      <w:r w:rsidRPr="00E143CC">
        <w:lastRenderedPageBreak/>
        <w:t>Paiements de contributions reçus à l’avance</w:t>
      </w:r>
      <w:bookmarkEnd w:id="30"/>
      <w:bookmarkEnd w:id="31"/>
    </w:p>
    <w:p w:rsidR="00166A0E" w:rsidRPr="00E143CC" w:rsidRDefault="00166A0E" w:rsidP="00166A0E">
      <w:pPr>
        <w:jc w:val="center"/>
        <w:rPr>
          <w:lang w:val="fr-CH"/>
        </w:rPr>
      </w:pPr>
    </w:p>
    <w:p w:rsidR="00166A0E" w:rsidRPr="00E143CC" w:rsidRDefault="00166A0E" w:rsidP="00166A0E">
      <w:pPr>
        <w:rPr>
          <w:lang w:val="fr-CH"/>
        </w:rPr>
      </w:pPr>
    </w:p>
    <w:tbl>
      <w:tblPr>
        <w:tblW w:w="0" w:type="auto"/>
        <w:jc w:val="center"/>
        <w:tblInd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91"/>
      </w:tblGrid>
      <w:tr w:rsidR="00166A0E" w:rsidRPr="00CA3BDE" w:rsidTr="00AC7DD3">
        <w:trPr>
          <w:trHeight w:val="598"/>
          <w:jc w:val="center"/>
        </w:trPr>
        <w:tc>
          <w:tcPr>
            <w:tcW w:w="6543" w:type="dxa"/>
            <w:gridSpan w:val="2"/>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jc w:val="center"/>
              <w:rPr>
                <w:lang w:val="fr-FR"/>
              </w:rPr>
            </w:pPr>
          </w:p>
          <w:p w:rsidR="00166A0E" w:rsidRPr="00E76FEC" w:rsidRDefault="00166A0E" w:rsidP="00AC7DD3">
            <w:pPr>
              <w:jc w:val="center"/>
              <w:rPr>
                <w:lang w:val="fr-FR"/>
              </w:rPr>
            </w:pPr>
            <w:r w:rsidRPr="00E76FEC">
              <w:rPr>
                <w:lang w:val="fr-FR"/>
              </w:rPr>
              <w:t>Contributions pour 2014, déjà reçues au 31 décembre 2013 </w:t>
            </w:r>
          </w:p>
        </w:tc>
      </w:tr>
      <w:tr w:rsidR="00166A0E" w:rsidRPr="00E76FEC" w:rsidTr="00AC7DD3">
        <w:trPr>
          <w:trHeight w:val="584"/>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jc w:val="center"/>
              <w:rPr>
                <w:lang w:val="fr-FR"/>
              </w:rPr>
            </w:pPr>
          </w:p>
          <w:p w:rsidR="00166A0E" w:rsidRPr="00E76FEC" w:rsidRDefault="00166A0E" w:rsidP="00AC7DD3">
            <w:pPr>
              <w:jc w:val="center"/>
              <w:rPr>
                <w:lang w:val="fr-FR"/>
              </w:rPr>
            </w:pPr>
            <w:r w:rsidRPr="00E76FEC">
              <w:rPr>
                <w:lang w:val="fr-FR"/>
              </w:rPr>
              <w:t>Membres de l’Union</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ind w:right="430"/>
              <w:jc w:val="right"/>
              <w:rPr>
                <w:lang w:val="fr-FR"/>
              </w:rPr>
            </w:pPr>
          </w:p>
          <w:p w:rsidR="00166A0E" w:rsidRPr="00E76FEC" w:rsidRDefault="00166A0E" w:rsidP="00AC7DD3">
            <w:pPr>
              <w:ind w:right="430"/>
              <w:jc w:val="right"/>
              <w:rPr>
                <w:lang w:val="fr-FR"/>
              </w:rPr>
            </w:pPr>
            <w:r w:rsidRPr="00E76FEC">
              <w:rPr>
                <w:lang w:val="fr-FR"/>
              </w:rPr>
              <w:t>Francs suisses</w:t>
            </w:r>
          </w:p>
        </w:tc>
      </w:tr>
      <w:tr w:rsidR="00166A0E" w:rsidRPr="00E76FEC" w:rsidTr="00AC7DD3">
        <w:trPr>
          <w:trHeight w:val="293"/>
          <w:jc w:val="center"/>
        </w:trPr>
        <w:tc>
          <w:tcPr>
            <w:tcW w:w="2852" w:type="dxa"/>
            <w:tcBorders>
              <w:top w:val="single" w:sz="8" w:space="0" w:color="auto"/>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Australie</w:t>
            </w:r>
          </w:p>
        </w:tc>
        <w:tc>
          <w:tcPr>
            <w:tcW w:w="3691" w:type="dxa"/>
            <w:tcBorders>
              <w:top w:val="single" w:sz="8" w:space="0" w:color="auto"/>
              <w:left w:val="single" w:sz="8" w:space="0" w:color="auto"/>
              <w:bottom w:val="nil"/>
              <w:right w:val="single" w:sz="8" w:space="0" w:color="auto"/>
            </w:tcBorders>
            <w:shd w:val="clear" w:color="auto" w:fill="auto"/>
          </w:tcPr>
          <w:p w:rsidR="00166A0E" w:rsidRPr="00E76FEC" w:rsidRDefault="00166A0E" w:rsidP="00AC7DD3">
            <w:pPr>
              <w:ind w:right="430"/>
              <w:jc w:val="right"/>
              <w:rPr>
                <w:lang w:val="fr-FR"/>
              </w:rPr>
            </w:pPr>
            <w:r w:rsidRPr="00E76FEC">
              <w:rPr>
                <w:lang w:val="fr-FR"/>
              </w:rPr>
              <w:t>53 641</w:t>
            </w:r>
          </w:p>
        </w:tc>
      </w:tr>
      <w:tr w:rsidR="00166A0E" w:rsidRPr="00E76FEC" w:rsidTr="00AC7DD3">
        <w:trPr>
          <w:trHeight w:val="293"/>
          <w:jc w:val="center"/>
        </w:trPr>
        <w:tc>
          <w:tcPr>
            <w:tcW w:w="2852" w:type="dxa"/>
            <w:tcBorders>
              <w:top w:val="nil"/>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Bulgarie</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30" w:firstLine="177"/>
              <w:jc w:val="right"/>
              <w:rPr>
                <w:lang w:val="fr-FR"/>
              </w:rPr>
            </w:pPr>
            <w:r w:rsidRPr="00E76FEC">
              <w:rPr>
                <w:lang w:val="fr-FR"/>
              </w:rPr>
              <w:t>10 728</w:t>
            </w:r>
          </w:p>
        </w:tc>
      </w:tr>
      <w:tr w:rsidR="00166A0E" w:rsidRPr="00E76FEC" w:rsidTr="00AC7DD3">
        <w:trPr>
          <w:trHeight w:val="293"/>
          <w:jc w:val="center"/>
        </w:trPr>
        <w:tc>
          <w:tcPr>
            <w:tcW w:w="2852" w:type="dxa"/>
            <w:tcBorders>
              <w:top w:val="nil"/>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Colombie</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30" w:firstLine="177"/>
              <w:jc w:val="right"/>
              <w:rPr>
                <w:lang w:val="fr-FR"/>
              </w:rPr>
            </w:pPr>
            <w:r w:rsidRPr="00E76FEC">
              <w:rPr>
                <w:lang w:val="fr-FR"/>
              </w:rPr>
              <w:t>10 728</w:t>
            </w:r>
          </w:p>
        </w:tc>
      </w:tr>
      <w:tr w:rsidR="00166A0E" w:rsidRPr="00E76FEC" w:rsidTr="00AC7DD3">
        <w:trPr>
          <w:trHeight w:val="293"/>
          <w:jc w:val="center"/>
        </w:trPr>
        <w:tc>
          <w:tcPr>
            <w:tcW w:w="2852" w:type="dxa"/>
            <w:tcBorders>
              <w:top w:val="nil"/>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Costa Rica</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54"/>
              <w:jc w:val="right"/>
              <w:rPr>
                <w:lang w:val="fr-FR"/>
              </w:rPr>
            </w:pPr>
            <w:r w:rsidRPr="00E76FEC">
              <w:rPr>
                <w:lang w:val="fr-FR"/>
              </w:rPr>
              <w:t>10 728</w:t>
            </w:r>
          </w:p>
        </w:tc>
      </w:tr>
      <w:tr w:rsidR="00166A0E" w:rsidRPr="00E76FEC" w:rsidTr="00AC7DD3">
        <w:trPr>
          <w:trHeight w:val="288"/>
          <w:jc w:val="center"/>
        </w:trPr>
        <w:tc>
          <w:tcPr>
            <w:tcW w:w="2852" w:type="dxa"/>
            <w:tcBorders>
              <w:top w:val="nil"/>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Lettonie</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30"/>
              <w:jc w:val="right"/>
              <w:rPr>
                <w:lang w:val="fr-FR"/>
              </w:rPr>
            </w:pPr>
            <w:r w:rsidRPr="00E76FEC">
              <w:rPr>
                <w:lang w:val="fr-FR"/>
              </w:rPr>
              <w:t>7 023</w:t>
            </w:r>
          </w:p>
        </w:tc>
      </w:tr>
      <w:tr w:rsidR="00166A0E" w:rsidRPr="00E76FEC" w:rsidTr="00AC7DD3">
        <w:trPr>
          <w:trHeight w:val="293"/>
          <w:jc w:val="center"/>
        </w:trPr>
        <w:tc>
          <w:tcPr>
            <w:tcW w:w="2852" w:type="dxa"/>
            <w:tcBorders>
              <w:top w:val="nil"/>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Mexique</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30" w:firstLine="177"/>
              <w:jc w:val="right"/>
              <w:rPr>
                <w:lang w:val="fr-FR"/>
              </w:rPr>
            </w:pPr>
            <w:r w:rsidRPr="00E76FEC">
              <w:rPr>
                <w:lang w:val="fr-FR"/>
              </w:rPr>
              <w:t>40 231</w:t>
            </w:r>
          </w:p>
        </w:tc>
      </w:tr>
      <w:tr w:rsidR="00166A0E" w:rsidRPr="00E76FEC" w:rsidTr="00AC7DD3">
        <w:trPr>
          <w:trHeight w:val="293"/>
          <w:jc w:val="center"/>
        </w:trPr>
        <w:tc>
          <w:tcPr>
            <w:tcW w:w="2852" w:type="dxa"/>
            <w:tcBorders>
              <w:top w:val="nil"/>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Norvège</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30" w:firstLine="177"/>
              <w:jc w:val="right"/>
              <w:rPr>
                <w:lang w:val="fr-FR"/>
              </w:rPr>
            </w:pPr>
            <w:r w:rsidRPr="00E76FEC">
              <w:rPr>
                <w:lang w:val="fr-FR"/>
              </w:rPr>
              <w:t>53 641</w:t>
            </w:r>
          </w:p>
        </w:tc>
      </w:tr>
      <w:tr w:rsidR="00166A0E" w:rsidRPr="00E76FEC" w:rsidTr="00AC7DD3">
        <w:trPr>
          <w:trHeight w:val="293"/>
          <w:jc w:val="center"/>
        </w:trPr>
        <w:tc>
          <w:tcPr>
            <w:tcW w:w="2852" w:type="dxa"/>
            <w:tcBorders>
              <w:top w:val="nil"/>
              <w:left w:val="single" w:sz="8" w:space="0" w:color="auto"/>
              <w:bottom w:val="nil"/>
              <w:right w:val="single" w:sz="8" w:space="0" w:color="auto"/>
            </w:tcBorders>
            <w:shd w:val="clear" w:color="auto" w:fill="auto"/>
          </w:tcPr>
          <w:p w:rsidR="00166A0E" w:rsidRPr="00E76FEC" w:rsidRDefault="00166A0E" w:rsidP="00AC7DD3">
            <w:pPr>
              <w:rPr>
                <w:lang w:val="fr-FR"/>
              </w:rPr>
            </w:pPr>
            <w:r w:rsidRPr="00E76FEC">
              <w:rPr>
                <w:lang w:val="fr-FR"/>
              </w:rPr>
              <w:t>Panama</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30" w:firstLine="177"/>
              <w:jc w:val="right"/>
              <w:rPr>
                <w:lang w:val="fr-FR"/>
              </w:rPr>
            </w:pPr>
            <w:r w:rsidRPr="00E76FEC">
              <w:rPr>
                <w:lang w:val="fr-FR"/>
              </w:rPr>
              <w:t>648</w:t>
            </w:r>
          </w:p>
        </w:tc>
      </w:tr>
      <w:tr w:rsidR="00166A0E" w:rsidRPr="00E76FEC" w:rsidTr="00AC7DD3">
        <w:trPr>
          <w:trHeight w:val="293"/>
          <w:jc w:val="center"/>
        </w:trPr>
        <w:tc>
          <w:tcPr>
            <w:tcW w:w="2852" w:type="dxa"/>
            <w:tcBorders>
              <w:top w:val="nil"/>
              <w:left w:val="single" w:sz="8" w:space="0" w:color="auto"/>
              <w:bottom w:val="single" w:sz="8" w:space="0" w:color="auto"/>
              <w:right w:val="single" w:sz="8" w:space="0" w:color="auto"/>
            </w:tcBorders>
            <w:shd w:val="clear" w:color="auto" w:fill="auto"/>
          </w:tcPr>
          <w:p w:rsidR="00166A0E" w:rsidRPr="00E76FEC" w:rsidRDefault="00166A0E" w:rsidP="00AC7DD3">
            <w:pPr>
              <w:rPr>
                <w:lang w:val="fr-FR"/>
              </w:rPr>
            </w:pPr>
            <w:r w:rsidRPr="00E76FEC">
              <w:rPr>
                <w:lang w:val="fr-FR"/>
              </w:rPr>
              <w:t>Slovaquie</w:t>
            </w:r>
          </w:p>
        </w:tc>
        <w:tc>
          <w:tcPr>
            <w:tcW w:w="3691" w:type="dxa"/>
            <w:tcBorders>
              <w:top w:val="nil"/>
              <w:left w:val="single" w:sz="8" w:space="0" w:color="auto"/>
              <w:bottom w:val="nil"/>
              <w:right w:val="single" w:sz="8" w:space="0" w:color="auto"/>
            </w:tcBorders>
            <w:shd w:val="clear" w:color="auto" w:fill="auto"/>
          </w:tcPr>
          <w:p w:rsidR="00166A0E" w:rsidRPr="00E76FEC" w:rsidRDefault="00166A0E" w:rsidP="00AC7DD3">
            <w:pPr>
              <w:ind w:right="430" w:firstLine="177"/>
              <w:jc w:val="right"/>
              <w:rPr>
                <w:lang w:val="fr-FR"/>
              </w:rPr>
            </w:pPr>
            <w:r w:rsidRPr="00E76FEC">
              <w:rPr>
                <w:lang w:val="fr-FR"/>
              </w:rPr>
              <w:t>26 820</w:t>
            </w:r>
          </w:p>
        </w:tc>
      </w:tr>
      <w:tr w:rsidR="00166A0E" w:rsidRPr="00E76FEC" w:rsidTr="00AC7DD3">
        <w:trPr>
          <w:trHeight w:val="416"/>
          <w:jc w:val="center"/>
        </w:trPr>
        <w:tc>
          <w:tcPr>
            <w:tcW w:w="2852" w:type="dxa"/>
            <w:tcBorders>
              <w:top w:val="single" w:sz="8" w:space="0" w:color="auto"/>
              <w:left w:val="single" w:sz="8" w:space="0" w:color="auto"/>
              <w:bottom w:val="single" w:sz="8" w:space="0" w:color="auto"/>
            </w:tcBorders>
            <w:shd w:val="clear" w:color="auto" w:fill="CCFF99"/>
          </w:tcPr>
          <w:p w:rsidR="00166A0E" w:rsidRPr="00E76FEC" w:rsidRDefault="00166A0E" w:rsidP="00AC7DD3">
            <w:pPr>
              <w:rPr>
                <w:lang w:val="fr-FR"/>
              </w:rPr>
            </w:pPr>
          </w:p>
          <w:p w:rsidR="00166A0E" w:rsidRPr="00E76FEC" w:rsidRDefault="00166A0E" w:rsidP="00AC7DD3">
            <w:pPr>
              <w:rPr>
                <w:lang w:val="fr-FR"/>
              </w:rPr>
            </w:pPr>
            <w:r w:rsidRPr="00E76FEC">
              <w:rPr>
                <w:lang w:val="fr-FR"/>
              </w:rPr>
              <w:t>Total 2014</w:t>
            </w:r>
          </w:p>
          <w:p w:rsidR="00166A0E" w:rsidRPr="00E76FEC" w:rsidRDefault="00166A0E" w:rsidP="00AC7DD3">
            <w:pPr>
              <w:rPr>
                <w:lang w:val="fr-FR"/>
              </w:rPr>
            </w:pPr>
          </w:p>
        </w:tc>
        <w:tc>
          <w:tcPr>
            <w:tcW w:w="3691" w:type="dxa"/>
            <w:tcBorders>
              <w:top w:val="single" w:sz="8" w:space="0" w:color="auto"/>
              <w:bottom w:val="single" w:sz="8" w:space="0" w:color="auto"/>
              <w:right w:val="single" w:sz="8" w:space="0" w:color="auto"/>
            </w:tcBorders>
            <w:shd w:val="clear" w:color="auto" w:fill="CCFF99"/>
          </w:tcPr>
          <w:p w:rsidR="00166A0E" w:rsidRPr="00E76FEC" w:rsidRDefault="00166A0E" w:rsidP="00AC7DD3">
            <w:pPr>
              <w:ind w:right="430" w:firstLine="177"/>
              <w:jc w:val="right"/>
              <w:rPr>
                <w:lang w:val="fr-FR"/>
              </w:rPr>
            </w:pPr>
          </w:p>
          <w:p w:rsidR="00166A0E" w:rsidRPr="00E76FEC" w:rsidRDefault="00166A0E" w:rsidP="00AC7DD3">
            <w:pPr>
              <w:ind w:right="430" w:firstLine="177"/>
              <w:jc w:val="right"/>
              <w:rPr>
                <w:lang w:val="fr-FR"/>
              </w:rPr>
            </w:pPr>
            <w:r w:rsidRPr="00E76FEC">
              <w:rPr>
                <w:lang w:val="fr-FR"/>
              </w:rPr>
              <w:t>214 188</w:t>
            </w:r>
          </w:p>
        </w:tc>
      </w:tr>
      <w:tr w:rsidR="00166A0E" w:rsidRPr="00E76FEC" w:rsidTr="00AC7DD3">
        <w:trPr>
          <w:trHeight w:val="293"/>
          <w:jc w:val="center"/>
        </w:trPr>
        <w:tc>
          <w:tcPr>
            <w:tcW w:w="6543" w:type="dxa"/>
            <w:gridSpan w:val="2"/>
            <w:tcBorders>
              <w:top w:val="single" w:sz="8" w:space="0" w:color="auto"/>
              <w:left w:val="nil"/>
              <w:bottom w:val="single" w:sz="8" w:space="0" w:color="auto"/>
              <w:right w:val="nil"/>
            </w:tcBorders>
            <w:shd w:val="clear" w:color="auto" w:fill="FFFFFF" w:themeFill="background1"/>
            <w:vAlign w:val="center"/>
          </w:tcPr>
          <w:p w:rsidR="00166A0E" w:rsidRPr="00E76FEC" w:rsidRDefault="00166A0E" w:rsidP="00AC7DD3">
            <w:pPr>
              <w:jc w:val="left"/>
              <w:rPr>
                <w:lang w:val="fr-FR"/>
              </w:rPr>
            </w:pPr>
          </w:p>
        </w:tc>
      </w:tr>
      <w:tr w:rsidR="00166A0E" w:rsidRPr="00E76FEC" w:rsidTr="00AC7DD3">
        <w:trPr>
          <w:trHeight w:val="293"/>
          <w:jc w:val="center"/>
        </w:trPr>
        <w:tc>
          <w:tcPr>
            <w:tcW w:w="6543" w:type="dxa"/>
            <w:gridSpan w:val="2"/>
            <w:tcBorders>
              <w:top w:val="single" w:sz="8" w:space="0" w:color="auto"/>
              <w:left w:val="single" w:sz="8" w:space="0" w:color="auto"/>
              <w:bottom w:val="nil"/>
              <w:right w:val="single" w:sz="8" w:space="0" w:color="auto"/>
            </w:tcBorders>
            <w:shd w:val="clear" w:color="auto" w:fill="CCFF99"/>
            <w:vAlign w:val="center"/>
          </w:tcPr>
          <w:p w:rsidR="00166A0E" w:rsidRPr="00E76FEC" w:rsidRDefault="00166A0E" w:rsidP="00AC7DD3">
            <w:pPr>
              <w:jc w:val="center"/>
              <w:rPr>
                <w:lang w:val="fr-FR"/>
              </w:rPr>
            </w:pPr>
          </w:p>
          <w:p w:rsidR="00166A0E" w:rsidRPr="00E76FEC" w:rsidRDefault="00166A0E" w:rsidP="00742791">
            <w:pPr>
              <w:jc w:val="center"/>
              <w:rPr>
                <w:lang w:val="fr-FR"/>
              </w:rPr>
            </w:pPr>
            <w:r w:rsidRPr="00E76FEC">
              <w:rPr>
                <w:lang w:val="fr-FR"/>
              </w:rPr>
              <w:t>Contributions reçues pour 2015 </w:t>
            </w:r>
          </w:p>
        </w:tc>
      </w:tr>
      <w:tr w:rsidR="00166A0E" w:rsidRPr="00E76FEC" w:rsidTr="00AC7DD3">
        <w:trPr>
          <w:trHeight w:val="595"/>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jc w:val="center"/>
              <w:rPr>
                <w:lang w:val="fr-FR"/>
              </w:rPr>
            </w:pPr>
          </w:p>
          <w:p w:rsidR="00166A0E" w:rsidRPr="00E76FEC" w:rsidRDefault="00166A0E" w:rsidP="00AC7DD3">
            <w:pPr>
              <w:jc w:val="center"/>
              <w:rPr>
                <w:lang w:val="fr-FR"/>
              </w:rPr>
            </w:pPr>
            <w:r w:rsidRPr="00E76FEC">
              <w:rPr>
                <w:lang w:val="fr-FR"/>
              </w:rPr>
              <w:t>Membres de l’Union</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ind w:right="430" w:firstLine="177"/>
              <w:jc w:val="center"/>
              <w:rPr>
                <w:lang w:val="fr-FR"/>
              </w:rPr>
            </w:pPr>
          </w:p>
          <w:p w:rsidR="00166A0E" w:rsidRPr="00E76FEC" w:rsidRDefault="00166A0E" w:rsidP="00AC7DD3">
            <w:pPr>
              <w:ind w:right="430" w:firstLine="177"/>
              <w:jc w:val="right"/>
              <w:rPr>
                <w:lang w:val="fr-FR"/>
              </w:rPr>
            </w:pPr>
            <w:r w:rsidRPr="00E76FEC">
              <w:rPr>
                <w:lang w:val="fr-FR"/>
              </w:rPr>
              <w:t>Francs suisses</w:t>
            </w:r>
          </w:p>
        </w:tc>
      </w:tr>
      <w:tr w:rsidR="00166A0E" w:rsidRPr="00E76FEC" w:rsidTr="00AC7DD3">
        <w:trPr>
          <w:trHeight w:val="293"/>
          <w:jc w:val="center"/>
        </w:trPr>
        <w:tc>
          <w:tcPr>
            <w:tcW w:w="2852" w:type="dxa"/>
            <w:tcBorders>
              <w:top w:val="single" w:sz="8" w:space="0" w:color="auto"/>
              <w:left w:val="single" w:sz="8" w:space="0" w:color="auto"/>
              <w:bottom w:val="nil"/>
              <w:right w:val="single" w:sz="8" w:space="0" w:color="auto"/>
            </w:tcBorders>
            <w:shd w:val="clear" w:color="auto" w:fill="FFFFFF" w:themeFill="background1"/>
          </w:tcPr>
          <w:p w:rsidR="00166A0E" w:rsidRPr="00E76FEC" w:rsidRDefault="00166A0E" w:rsidP="00AC7DD3">
            <w:pPr>
              <w:rPr>
                <w:lang w:val="fr-FR"/>
              </w:rPr>
            </w:pPr>
            <w:r w:rsidRPr="00E76FEC">
              <w:rPr>
                <w:lang w:val="fr-FR"/>
              </w:rPr>
              <w:t>Bulgarie</w:t>
            </w:r>
          </w:p>
        </w:tc>
        <w:tc>
          <w:tcPr>
            <w:tcW w:w="3691" w:type="dxa"/>
            <w:tcBorders>
              <w:top w:val="nil"/>
              <w:left w:val="single" w:sz="8" w:space="0" w:color="auto"/>
              <w:bottom w:val="nil"/>
              <w:right w:val="single" w:sz="8" w:space="0" w:color="auto"/>
            </w:tcBorders>
            <w:shd w:val="clear" w:color="auto" w:fill="FFFFFF" w:themeFill="background1"/>
          </w:tcPr>
          <w:p w:rsidR="00166A0E" w:rsidRPr="00E76FEC" w:rsidRDefault="00166A0E" w:rsidP="00AC7DD3">
            <w:pPr>
              <w:ind w:right="430"/>
              <w:jc w:val="right"/>
              <w:rPr>
                <w:lang w:val="fr-FR"/>
              </w:rPr>
            </w:pPr>
            <w:r w:rsidRPr="00E76FEC">
              <w:rPr>
                <w:lang w:val="fr-FR"/>
              </w:rPr>
              <w:t>10 728</w:t>
            </w:r>
          </w:p>
        </w:tc>
      </w:tr>
      <w:tr w:rsidR="00166A0E" w:rsidRPr="00E76FEC" w:rsidTr="00AC7DD3">
        <w:trPr>
          <w:trHeight w:val="293"/>
          <w:jc w:val="center"/>
        </w:trPr>
        <w:tc>
          <w:tcPr>
            <w:tcW w:w="2852" w:type="dxa"/>
            <w:tcBorders>
              <w:top w:val="nil"/>
              <w:left w:val="single" w:sz="8" w:space="0" w:color="auto"/>
              <w:bottom w:val="nil"/>
              <w:right w:val="single" w:sz="8" w:space="0" w:color="auto"/>
            </w:tcBorders>
            <w:shd w:val="clear" w:color="auto" w:fill="FFFFFF" w:themeFill="background1"/>
          </w:tcPr>
          <w:p w:rsidR="00166A0E" w:rsidRPr="00E76FEC" w:rsidRDefault="00166A0E" w:rsidP="00AC7DD3">
            <w:pPr>
              <w:rPr>
                <w:lang w:val="fr-FR"/>
              </w:rPr>
            </w:pPr>
            <w:r w:rsidRPr="00E76FEC">
              <w:rPr>
                <w:lang w:val="fr-FR"/>
              </w:rPr>
              <w:t>Mexique</w:t>
            </w:r>
          </w:p>
        </w:tc>
        <w:tc>
          <w:tcPr>
            <w:tcW w:w="3691" w:type="dxa"/>
            <w:tcBorders>
              <w:top w:val="nil"/>
              <w:left w:val="single" w:sz="8" w:space="0" w:color="auto"/>
              <w:bottom w:val="nil"/>
              <w:right w:val="single" w:sz="8" w:space="0" w:color="auto"/>
            </w:tcBorders>
            <w:shd w:val="clear" w:color="auto" w:fill="FFFFFF" w:themeFill="background1"/>
          </w:tcPr>
          <w:p w:rsidR="00166A0E" w:rsidRPr="00E76FEC" w:rsidRDefault="00166A0E" w:rsidP="00AC7DD3">
            <w:pPr>
              <w:ind w:right="430" w:firstLine="177"/>
              <w:jc w:val="right"/>
              <w:rPr>
                <w:lang w:val="fr-FR"/>
              </w:rPr>
            </w:pPr>
            <w:r w:rsidRPr="00E76FEC">
              <w:rPr>
                <w:lang w:val="fr-FR"/>
              </w:rPr>
              <w:t>11 568</w:t>
            </w:r>
          </w:p>
        </w:tc>
      </w:tr>
      <w:tr w:rsidR="00166A0E" w:rsidRPr="00E76FEC" w:rsidTr="00AC7DD3">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rPr>
                <w:lang w:val="fr-FR"/>
              </w:rPr>
            </w:pPr>
          </w:p>
          <w:p w:rsidR="00166A0E" w:rsidRPr="00E76FEC" w:rsidRDefault="00166A0E" w:rsidP="00AC7DD3">
            <w:pPr>
              <w:rPr>
                <w:lang w:val="fr-FR"/>
              </w:rPr>
            </w:pPr>
            <w:r w:rsidRPr="00E76FEC">
              <w:rPr>
                <w:lang w:val="fr-FR"/>
              </w:rPr>
              <w:t>Total 2015</w:t>
            </w:r>
          </w:p>
          <w:p w:rsidR="00166A0E" w:rsidRPr="00E76FEC" w:rsidRDefault="00166A0E" w:rsidP="00AC7DD3">
            <w:pPr>
              <w:rPr>
                <w:lang w:val="fr-FR"/>
              </w:rPr>
            </w:pP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ind w:right="430" w:firstLine="177"/>
              <w:jc w:val="right"/>
              <w:rPr>
                <w:lang w:val="fr-FR"/>
              </w:rPr>
            </w:pPr>
          </w:p>
          <w:p w:rsidR="00166A0E" w:rsidRPr="00E76FEC" w:rsidRDefault="00166A0E" w:rsidP="00AC7DD3">
            <w:pPr>
              <w:ind w:right="430" w:firstLine="177"/>
              <w:jc w:val="right"/>
              <w:rPr>
                <w:lang w:val="fr-FR"/>
              </w:rPr>
            </w:pPr>
            <w:r w:rsidRPr="00E76FEC">
              <w:rPr>
                <w:lang w:val="fr-FR"/>
              </w:rPr>
              <w:t>22 296</w:t>
            </w:r>
          </w:p>
        </w:tc>
      </w:tr>
      <w:tr w:rsidR="00166A0E" w:rsidRPr="00E76FEC" w:rsidTr="00AC7DD3">
        <w:trPr>
          <w:trHeight w:val="293"/>
          <w:jc w:val="center"/>
        </w:trPr>
        <w:tc>
          <w:tcPr>
            <w:tcW w:w="2852" w:type="dxa"/>
            <w:tcBorders>
              <w:top w:val="single" w:sz="8" w:space="0" w:color="auto"/>
              <w:left w:val="nil"/>
              <w:bottom w:val="single" w:sz="8" w:space="0" w:color="auto"/>
              <w:right w:val="nil"/>
            </w:tcBorders>
            <w:shd w:val="clear" w:color="auto" w:fill="FFFFFF" w:themeFill="background1"/>
          </w:tcPr>
          <w:p w:rsidR="00166A0E" w:rsidRPr="00E76FEC" w:rsidRDefault="00166A0E" w:rsidP="00AC7DD3">
            <w:pPr>
              <w:rPr>
                <w:lang w:val="fr-FR"/>
              </w:rPr>
            </w:pPr>
          </w:p>
        </w:tc>
        <w:tc>
          <w:tcPr>
            <w:tcW w:w="3691" w:type="dxa"/>
            <w:tcBorders>
              <w:top w:val="single" w:sz="8" w:space="0" w:color="auto"/>
              <w:left w:val="nil"/>
              <w:bottom w:val="single" w:sz="8" w:space="0" w:color="auto"/>
              <w:right w:val="nil"/>
            </w:tcBorders>
            <w:shd w:val="clear" w:color="auto" w:fill="FFFFFF" w:themeFill="background1"/>
          </w:tcPr>
          <w:p w:rsidR="00166A0E" w:rsidRPr="00E76FEC" w:rsidRDefault="00166A0E" w:rsidP="00AC7DD3">
            <w:pPr>
              <w:ind w:right="430" w:firstLine="177"/>
              <w:jc w:val="right"/>
              <w:rPr>
                <w:lang w:val="fr-FR"/>
              </w:rPr>
            </w:pPr>
          </w:p>
        </w:tc>
      </w:tr>
      <w:tr w:rsidR="00166A0E" w:rsidRPr="00E76FEC" w:rsidTr="00AC7DD3">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rPr>
                <w:lang w:val="fr-FR"/>
              </w:rPr>
            </w:pPr>
          </w:p>
          <w:p w:rsidR="00166A0E" w:rsidRPr="00E76FEC" w:rsidRDefault="00166A0E" w:rsidP="00AC7DD3">
            <w:pPr>
              <w:rPr>
                <w:lang w:val="fr-FR"/>
              </w:rPr>
            </w:pPr>
            <w:r w:rsidRPr="00E76FEC">
              <w:rPr>
                <w:lang w:val="fr-FR"/>
              </w:rPr>
              <w:t>Total des paiements de contributions reçus à l’avance</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166A0E" w:rsidRPr="00E76FEC" w:rsidRDefault="00166A0E" w:rsidP="00AC7DD3">
            <w:pPr>
              <w:ind w:right="430" w:firstLine="177"/>
              <w:jc w:val="right"/>
              <w:rPr>
                <w:lang w:val="fr-FR"/>
              </w:rPr>
            </w:pPr>
          </w:p>
          <w:p w:rsidR="00166A0E" w:rsidRPr="00E76FEC" w:rsidRDefault="00166A0E" w:rsidP="00AC7DD3">
            <w:pPr>
              <w:ind w:right="430" w:firstLine="177"/>
              <w:jc w:val="right"/>
              <w:rPr>
                <w:lang w:val="fr-FR"/>
              </w:rPr>
            </w:pPr>
            <w:r w:rsidRPr="00E76FEC">
              <w:rPr>
                <w:lang w:val="fr-FR"/>
              </w:rPr>
              <w:t>236 484</w:t>
            </w:r>
          </w:p>
        </w:tc>
      </w:tr>
    </w:tbl>
    <w:p w:rsidR="00166A0E" w:rsidRPr="00E143CC" w:rsidRDefault="00166A0E" w:rsidP="00166A0E"/>
    <w:p w:rsidR="00166A0E" w:rsidRPr="00E143CC" w:rsidRDefault="00166A0E" w:rsidP="00166A0E"/>
    <w:p w:rsidR="00166A0E" w:rsidRPr="00E143CC" w:rsidRDefault="00166A0E" w:rsidP="00166A0E"/>
    <w:p w:rsidR="00166A0E" w:rsidRPr="00E143CC" w:rsidRDefault="00166A0E" w:rsidP="00166A0E">
      <w:pPr>
        <w:rPr>
          <w:u w:val="single"/>
        </w:rPr>
      </w:pPr>
      <w:r w:rsidRPr="00E143CC">
        <w:rPr>
          <w:u w:val="single"/>
        </w:rPr>
        <w:br w:type="page"/>
      </w:r>
    </w:p>
    <w:p w:rsidR="00166A0E" w:rsidRPr="00E143CC" w:rsidRDefault="00166A0E" w:rsidP="00CA3BDE">
      <w:pPr>
        <w:pStyle w:val="Heading3"/>
      </w:pPr>
      <w:bookmarkStart w:id="32" w:name="_Toc393377930"/>
      <w:bookmarkStart w:id="33" w:name="_Toc395251235"/>
      <w:r w:rsidRPr="00E143CC">
        <w:lastRenderedPageBreak/>
        <w:t>Arriérés de contributions et fonds de roulement impayés au 31 décembre 2013</w:t>
      </w:r>
      <w:bookmarkEnd w:id="32"/>
      <w:bookmarkEnd w:id="33"/>
    </w:p>
    <w:p w:rsidR="00166A0E" w:rsidRPr="00E143CC" w:rsidRDefault="00166A0E" w:rsidP="00166A0E">
      <w:pPr>
        <w:jc w:val="center"/>
        <w:rPr>
          <w:lang w:val="fr-CH"/>
        </w:rPr>
      </w:pPr>
    </w:p>
    <w:tbl>
      <w:tblPr>
        <w:tblW w:w="0" w:type="auto"/>
        <w:tblInd w:w="739" w:type="dxa"/>
        <w:tblBorders>
          <w:top w:val="single" w:sz="8" w:space="0" w:color="auto"/>
          <w:left w:val="single" w:sz="8" w:space="0" w:color="auto"/>
          <w:bottom w:val="single" w:sz="8" w:space="0" w:color="auto"/>
          <w:right w:val="single" w:sz="8" w:space="0" w:color="auto"/>
        </w:tblBorders>
        <w:tblLayout w:type="fixed"/>
        <w:tblCellMar>
          <w:left w:w="30" w:type="dxa"/>
          <w:right w:w="30" w:type="dxa"/>
        </w:tblCellMar>
        <w:tblLook w:val="0000" w:firstRow="0" w:lastRow="0" w:firstColumn="0" w:lastColumn="0" w:noHBand="0" w:noVBand="0"/>
      </w:tblPr>
      <w:tblGrid>
        <w:gridCol w:w="3071"/>
        <w:gridCol w:w="2790"/>
        <w:gridCol w:w="1292"/>
        <w:gridCol w:w="1292"/>
      </w:tblGrid>
      <w:tr w:rsidR="00166A0E" w:rsidRPr="00CA3BDE" w:rsidTr="00AC7DD3">
        <w:trPr>
          <w:cantSplit/>
          <w:trHeight w:val="528"/>
          <w:tblHeader/>
        </w:trPr>
        <w:tc>
          <w:tcPr>
            <w:tcW w:w="3071" w:type="dxa"/>
            <w:vMerge w:val="restart"/>
            <w:tcBorders>
              <w:top w:val="single" w:sz="8" w:space="0" w:color="auto"/>
              <w:right w:val="single" w:sz="8" w:space="0" w:color="auto"/>
            </w:tcBorders>
            <w:shd w:val="clear" w:color="auto" w:fill="CCFF99"/>
          </w:tcPr>
          <w:p w:rsidR="00166A0E" w:rsidRPr="00E143CC" w:rsidRDefault="00166A0E" w:rsidP="00AC7DD3">
            <w:pPr>
              <w:spacing w:before="60"/>
              <w:jc w:val="center"/>
              <w:rPr>
                <w:rFonts w:cs="Arial"/>
              </w:rPr>
            </w:pPr>
            <w:r w:rsidRPr="00E143CC">
              <w:rPr>
                <w:rFonts w:cs="Arial"/>
              </w:rPr>
              <w:t>Membres de l’Union</w:t>
            </w:r>
          </w:p>
        </w:tc>
        <w:tc>
          <w:tcPr>
            <w:tcW w:w="2790" w:type="dxa"/>
            <w:vMerge w:val="restart"/>
            <w:tcBorders>
              <w:top w:val="single" w:sz="8" w:space="0" w:color="auto"/>
              <w:left w:val="single" w:sz="8" w:space="0" w:color="auto"/>
              <w:right w:val="single" w:sz="8" w:space="0" w:color="auto"/>
            </w:tcBorders>
            <w:shd w:val="clear" w:color="auto" w:fill="CCFF99"/>
          </w:tcPr>
          <w:p w:rsidR="00166A0E" w:rsidRPr="00E143CC" w:rsidRDefault="00166A0E" w:rsidP="00AC7DD3">
            <w:pPr>
              <w:spacing w:before="60"/>
              <w:jc w:val="center"/>
              <w:rPr>
                <w:rFonts w:cs="Arial"/>
                <w:lang w:val="fr-CH"/>
              </w:rPr>
            </w:pPr>
            <w:r w:rsidRPr="00E143CC">
              <w:rPr>
                <w:rFonts w:cs="Arial"/>
                <w:lang w:val="fr-CH"/>
              </w:rPr>
              <w:t>Pas d’arriérés / années d’arriérés</w:t>
            </w:r>
          </w:p>
        </w:tc>
        <w:tc>
          <w:tcPr>
            <w:tcW w:w="2584" w:type="dxa"/>
            <w:gridSpan w:val="2"/>
            <w:tcBorders>
              <w:top w:val="single" w:sz="8" w:space="0" w:color="auto"/>
              <w:left w:val="single" w:sz="8" w:space="0" w:color="auto"/>
              <w:bottom w:val="single" w:sz="8" w:space="0" w:color="auto"/>
            </w:tcBorders>
            <w:shd w:val="clear" w:color="auto" w:fill="CCFF99"/>
          </w:tcPr>
          <w:p w:rsidR="00166A0E" w:rsidRPr="00E143CC" w:rsidRDefault="00166A0E" w:rsidP="00AC7DD3">
            <w:pPr>
              <w:pStyle w:val="Heading7"/>
              <w:spacing w:before="60"/>
              <w:rPr>
                <w:rFonts w:ascii="Arial" w:hAnsi="Arial" w:cs="Arial"/>
                <w:color w:val="auto"/>
                <w:lang w:val="fr-CH"/>
              </w:rPr>
            </w:pPr>
            <w:r w:rsidRPr="00E143CC">
              <w:rPr>
                <w:rFonts w:ascii="Arial" w:hAnsi="Arial" w:cs="Arial"/>
                <w:color w:val="auto"/>
                <w:lang w:val="fr-CH"/>
              </w:rPr>
              <w:t>Montant des arriérés en francs suisses</w:t>
            </w:r>
          </w:p>
        </w:tc>
      </w:tr>
      <w:tr w:rsidR="00166A0E" w:rsidRPr="00E143CC" w:rsidTr="00AC7DD3">
        <w:trPr>
          <w:cantSplit/>
          <w:trHeight w:val="369"/>
          <w:tblHeader/>
        </w:trPr>
        <w:tc>
          <w:tcPr>
            <w:tcW w:w="3071" w:type="dxa"/>
            <w:vMerge/>
            <w:tcBorders>
              <w:bottom w:val="single" w:sz="8" w:space="0" w:color="auto"/>
              <w:right w:val="single" w:sz="8" w:space="0" w:color="auto"/>
            </w:tcBorders>
            <w:shd w:val="clear" w:color="auto" w:fill="CCFF99"/>
          </w:tcPr>
          <w:p w:rsidR="00166A0E" w:rsidRPr="00E143CC" w:rsidRDefault="00166A0E" w:rsidP="00AC7DD3">
            <w:pPr>
              <w:spacing w:before="60"/>
              <w:jc w:val="center"/>
              <w:rPr>
                <w:rFonts w:cs="Arial"/>
                <w:lang w:val="fr-CH"/>
              </w:rPr>
            </w:pPr>
          </w:p>
        </w:tc>
        <w:tc>
          <w:tcPr>
            <w:tcW w:w="2790" w:type="dxa"/>
            <w:vMerge/>
            <w:tcBorders>
              <w:left w:val="single" w:sz="8" w:space="0" w:color="auto"/>
              <w:bottom w:val="single" w:sz="8" w:space="0" w:color="auto"/>
              <w:right w:val="single" w:sz="8" w:space="0" w:color="auto"/>
            </w:tcBorders>
            <w:shd w:val="clear" w:color="auto" w:fill="CCFF99"/>
          </w:tcPr>
          <w:p w:rsidR="00166A0E" w:rsidRPr="00E143CC" w:rsidRDefault="00166A0E" w:rsidP="00AC7DD3">
            <w:pPr>
              <w:spacing w:before="60"/>
              <w:rPr>
                <w:rFonts w:cs="Arial"/>
                <w:lang w:val="fr-CH"/>
              </w:rPr>
            </w:pPr>
          </w:p>
        </w:tc>
        <w:tc>
          <w:tcPr>
            <w:tcW w:w="1292" w:type="dxa"/>
            <w:tcBorders>
              <w:top w:val="single" w:sz="8" w:space="0" w:color="auto"/>
              <w:left w:val="single" w:sz="8" w:space="0" w:color="auto"/>
              <w:bottom w:val="single" w:sz="8" w:space="0" w:color="auto"/>
            </w:tcBorders>
            <w:shd w:val="clear" w:color="auto" w:fill="CCFF99"/>
          </w:tcPr>
          <w:p w:rsidR="00166A0E" w:rsidRPr="00E143CC" w:rsidRDefault="00166A0E" w:rsidP="00AC7DD3">
            <w:pPr>
              <w:pStyle w:val="Heading7"/>
              <w:spacing w:before="60"/>
              <w:rPr>
                <w:rFonts w:ascii="Arial" w:hAnsi="Arial" w:cs="Arial"/>
                <w:color w:val="auto"/>
                <w:lang w:val="fr-CH"/>
              </w:rPr>
            </w:pPr>
          </w:p>
        </w:tc>
        <w:tc>
          <w:tcPr>
            <w:tcW w:w="1292" w:type="dxa"/>
            <w:tcBorders>
              <w:top w:val="single" w:sz="8" w:space="0" w:color="auto"/>
              <w:left w:val="single" w:sz="8" w:space="0" w:color="auto"/>
              <w:bottom w:val="single" w:sz="8" w:space="0" w:color="auto"/>
            </w:tcBorders>
            <w:shd w:val="clear" w:color="auto" w:fill="CCFF99"/>
          </w:tcPr>
          <w:p w:rsidR="00166A0E" w:rsidRPr="00E143CC" w:rsidRDefault="00166A0E" w:rsidP="00AC7DD3">
            <w:pPr>
              <w:pStyle w:val="Heading7"/>
              <w:spacing w:before="60"/>
              <w:rPr>
                <w:rFonts w:ascii="Arial" w:hAnsi="Arial" w:cs="Arial"/>
                <w:color w:val="auto"/>
              </w:rPr>
            </w:pPr>
            <w:r w:rsidRPr="00E143CC">
              <w:rPr>
                <w:rFonts w:ascii="Arial" w:hAnsi="Arial" w:cs="Arial"/>
                <w:color w:val="auto"/>
              </w:rPr>
              <w:t>Total</w:t>
            </w:r>
          </w:p>
        </w:tc>
      </w:tr>
      <w:tr w:rsidR="005454E6" w:rsidRPr="00E143CC" w:rsidTr="00445F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Afrique du Sud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445F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Albanie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Allemagne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Argentine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Australie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Autriche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Azerbaïdjan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Bélarus</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Belgique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Bolivie (État plurinational 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Brésil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Bulgarie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Canada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 xml:space="preserve">Pas d’arriérés </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Chili</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Chine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Colombie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Costa 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Croatie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Danemark</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Équateur</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Contribution de 2013 (solde)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r w:rsidRPr="00E143CC">
              <w:rPr>
                <w:rFonts w:cs="Arial"/>
              </w:rPr>
              <w:t>740</w:t>
            </w: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Espagne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Estonie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États</w:t>
            </w:r>
            <w:r w:rsidRPr="00E143CC">
              <w:rPr>
                <w:rFonts w:cs="Arial"/>
                <w:lang w:val="fr-FR"/>
              </w:rPr>
              <w:noBreakHyphen/>
              <w:t>Unis d’Amérique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Height w:val="450"/>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Ex</w:t>
            </w:r>
            <w:r w:rsidRPr="00E143CC">
              <w:rPr>
                <w:rFonts w:cs="Arial"/>
                <w:lang w:val="fr-FR"/>
              </w:rPr>
              <w:noBreakHyphen/>
              <w:t>République yougoslave de Macédoine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p>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Fédération de Russie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Finlande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France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Géorgie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Hongrie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Irlande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Islande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Israël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Italie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Japon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Jordanie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Kenya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Kirghizistan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Lettonie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Lituanie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Maroc</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Mexique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Nicaragua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Norvège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lastRenderedPageBreak/>
              <w:t>Nouvelle</w:t>
            </w:r>
            <w:r w:rsidRPr="00E143CC">
              <w:rPr>
                <w:rFonts w:cs="Arial"/>
                <w:lang w:val="fr-FR"/>
              </w:rPr>
              <w:noBreakHyphen/>
              <w:t>Zélande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Oman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Ouzbékistan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Panama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742791">
            <w:pPr>
              <w:rPr>
                <w:rFonts w:cs="Arial"/>
                <w:lang w:val="fr-FR"/>
              </w:rPr>
            </w:pPr>
            <w:r w:rsidRPr="00E143CC">
              <w:rPr>
                <w:rFonts w:cs="Arial"/>
                <w:lang w:val="fr-FR"/>
              </w:rPr>
              <w:t>Paraguay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lang w:val="fr-CH"/>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lang w:val="fr-CH"/>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Pays</w:t>
            </w:r>
            <w:r w:rsidRPr="00E143CC">
              <w:rPr>
                <w:rFonts w:cs="Arial"/>
                <w:lang w:val="fr-FR"/>
              </w:rPr>
              <w:noBreakHyphen/>
              <w:t>Bas</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Pr>
                <w:rFonts w:cs="Arial"/>
                <w:lang w:val="fr-FR"/>
              </w:rPr>
              <w:t>Pérou</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Pologne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Portugal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République de Corée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République de Moldova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République dominicaine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Contribution de 2012(solde)</w:t>
            </w:r>
          </w:p>
          <w:p w:rsidR="005454E6" w:rsidRPr="00E143CC" w:rsidRDefault="005454E6" w:rsidP="00AC7DD3">
            <w:pPr>
              <w:rPr>
                <w:rFonts w:cs="Arial"/>
                <w:lang w:val="fr-FR"/>
              </w:rPr>
            </w:pPr>
            <w:r w:rsidRPr="00E143CC">
              <w:rPr>
                <w:rFonts w:cs="Arial"/>
                <w:lang w:val="fr-FR"/>
              </w:rPr>
              <w:t>Contribution de 2013</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r w:rsidRPr="00E143CC">
              <w:rPr>
                <w:rFonts w:cs="Arial"/>
              </w:rPr>
              <w:t>979</w:t>
            </w:r>
          </w:p>
          <w:p w:rsidR="005454E6" w:rsidRPr="00E143CC" w:rsidRDefault="005454E6" w:rsidP="00AC7DD3">
            <w:pPr>
              <w:jc w:val="right"/>
              <w:rPr>
                <w:rFonts w:cs="Arial"/>
              </w:rPr>
            </w:pPr>
            <w:r w:rsidRPr="00E143CC">
              <w:rPr>
                <w:rFonts w:cs="Arial"/>
                <w:u w:val="single"/>
              </w:rPr>
              <w:t>10 728</w:t>
            </w: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p w:rsidR="005454E6" w:rsidRPr="00E143CC" w:rsidRDefault="005454E6" w:rsidP="00AC7DD3">
            <w:pPr>
              <w:jc w:val="right"/>
              <w:rPr>
                <w:rFonts w:cs="Arial"/>
              </w:rPr>
            </w:pPr>
            <w:r w:rsidRPr="00E143CC">
              <w:rPr>
                <w:rFonts w:cs="Arial"/>
              </w:rPr>
              <w:t>11 707</w:t>
            </w: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République tchèque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Roumanie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Royaume</w:t>
            </w:r>
            <w:r w:rsidRPr="00E143CC">
              <w:rPr>
                <w:rFonts w:cs="Arial"/>
                <w:lang w:val="fr-FR"/>
              </w:rPr>
              <w:noBreakHyphen/>
              <w:t>Uni</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u w:val="single"/>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Singapour</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Slovaquie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Slovénie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Suède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Height w:val="255"/>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Suisse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Trinité</w:t>
            </w:r>
            <w:r w:rsidRPr="00E143CC">
              <w:rPr>
                <w:rFonts w:cs="Arial"/>
                <w:lang w:val="fr-FR"/>
              </w:rPr>
              <w:noBreakHyphen/>
              <w:t>et</w:t>
            </w:r>
            <w:r w:rsidRPr="00E143CC">
              <w:rPr>
                <w:rFonts w:cs="Arial"/>
                <w:lang w:val="fr-FR"/>
              </w:rPr>
              <w:noBreakHyphen/>
              <w:t>Tobago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Tunisie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Turquie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Ukraine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Union européenne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Uruguay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5454E6" w:rsidRPr="00E143CC" w:rsidRDefault="005454E6" w:rsidP="00AC7DD3">
            <w:pPr>
              <w:jc w:val="right"/>
              <w:rPr>
                <w:rFonts w:cs="Arial"/>
              </w:rPr>
            </w:pPr>
          </w:p>
        </w:tc>
      </w:tr>
      <w:tr w:rsidR="005454E6" w:rsidRPr="00E143CC" w:rsidTr="00AC7DD3">
        <w:tblPrEx>
          <w:tblCellMar>
            <w:left w:w="108" w:type="dxa"/>
            <w:right w:w="108" w:type="dxa"/>
          </w:tblCellMar>
        </w:tblPrEx>
        <w:trPr>
          <w:cantSplit/>
        </w:trPr>
        <w:tc>
          <w:tcPr>
            <w:tcW w:w="3071" w:type="dxa"/>
            <w:tcBorders>
              <w:top w:val="dotted" w:sz="4" w:space="0" w:color="auto"/>
              <w:bottom w:val="single" w:sz="8"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Viet Nam</w:t>
            </w:r>
          </w:p>
        </w:tc>
        <w:tc>
          <w:tcPr>
            <w:tcW w:w="2790" w:type="dxa"/>
            <w:tcBorders>
              <w:top w:val="dotted" w:sz="4" w:space="0" w:color="auto"/>
              <w:left w:val="single" w:sz="8" w:space="0" w:color="auto"/>
              <w:bottom w:val="single" w:sz="8" w:space="0" w:color="auto"/>
              <w:right w:val="single" w:sz="8" w:space="0" w:color="auto"/>
            </w:tcBorders>
            <w:tcMar>
              <w:top w:w="28" w:type="dxa"/>
              <w:bottom w:w="28" w:type="dxa"/>
            </w:tcMar>
          </w:tcPr>
          <w:p w:rsidR="005454E6" w:rsidRPr="00E143CC" w:rsidRDefault="005454E6" w:rsidP="00AC7DD3">
            <w:pPr>
              <w:rPr>
                <w:rFonts w:cs="Arial"/>
                <w:lang w:val="fr-FR"/>
              </w:rPr>
            </w:pPr>
            <w:r w:rsidRPr="00E143CC">
              <w:rPr>
                <w:rFonts w:cs="Arial"/>
                <w:lang w:val="fr-FR"/>
              </w:rPr>
              <w:t>Pas d’arriérés</w:t>
            </w:r>
          </w:p>
        </w:tc>
        <w:tc>
          <w:tcPr>
            <w:tcW w:w="1292" w:type="dxa"/>
            <w:tcBorders>
              <w:top w:val="dotted" w:sz="4" w:space="0" w:color="auto"/>
              <w:left w:val="single" w:sz="8" w:space="0" w:color="auto"/>
              <w:bottom w:val="single" w:sz="8" w:space="0" w:color="auto"/>
              <w:right w:val="single" w:sz="8" w:space="0" w:color="auto"/>
            </w:tcBorders>
            <w:tcMar>
              <w:top w:w="28" w:type="dxa"/>
              <w:bottom w:w="28" w:type="dxa"/>
            </w:tcMar>
          </w:tcPr>
          <w:p w:rsidR="005454E6" w:rsidRPr="00E143CC" w:rsidRDefault="005454E6" w:rsidP="00AC7DD3">
            <w:pPr>
              <w:jc w:val="right"/>
              <w:rPr>
                <w:rFonts w:cs="Arial"/>
              </w:rPr>
            </w:pPr>
          </w:p>
        </w:tc>
        <w:tc>
          <w:tcPr>
            <w:tcW w:w="1292" w:type="dxa"/>
            <w:tcBorders>
              <w:top w:val="dotted" w:sz="4" w:space="0" w:color="auto"/>
              <w:left w:val="single" w:sz="8" w:space="0" w:color="auto"/>
              <w:bottom w:val="single" w:sz="8" w:space="0" w:color="auto"/>
            </w:tcBorders>
            <w:tcMar>
              <w:top w:w="28" w:type="dxa"/>
              <w:bottom w:w="28" w:type="dxa"/>
            </w:tcMar>
          </w:tcPr>
          <w:p w:rsidR="005454E6" w:rsidRPr="00E143CC" w:rsidRDefault="005454E6" w:rsidP="00AC7DD3">
            <w:pPr>
              <w:jc w:val="right"/>
              <w:rPr>
                <w:rFonts w:cs="Arial"/>
              </w:rPr>
            </w:pPr>
          </w:p>
        </w:tc>
      </w:tr>
      <w:tr w:rsidR="00166A0E" w:rsidRPr="00E143CC" w:rsidTr="00AC7DD3">
        <w:tblPrEx>
          <w:tblCellMar>
            <w:left w:w="108" w:type="dxa"/>
            <w:right w:w="108" w:type="dxa"/>
          </w:tblCellMar>
        </w:tblPrEx>
        <w:trPr>
          <w:cantSplit/>
        </w:trPr>
        <w:tc>
          <w:tcPr>
            <w:tcW w:w="3071" w:type="dxa"/>
            <w:tcBorders>
              <w:top w:val="single" w:sz="8" w:space="0" w:color="auto"/>
              <w:bottom w:val="single" w:sz="8" w:space="0" w:color="auto"/>
              <w:right w:val="single" w:sz="8" w:space="0" w:color="auto"/>
            </w:tcBorders>
            <w:shd w:val="clear" w:color="auto" w:fill="CCFF99"/>
          </w:tcPr>
          <w:p w:rsidR="00166A0E" w:rsidRPr="00E143CC" w:rsidRDefault="00166A0E" w:rsidP="00AC7DD3">
            <w:pPr>
              <w:spacing w:before="120" w:after="120"/>
            </w:pPr>
            <w:r w:rsidRPr="00E143CC">
              <w:t>Total</w:t>
            </w:r>
          </w:p>
        </w:tc>
        <w:tc>
          <w:tcPr>
            <w:tcW w:w="2790" w:type="dxa"/>
            <w:tcBorders>
              <w:top w:val="single" w:sz="8" w:space="0" w:color="auto"/>
              <w:left w:val="single" w:sz="8" w:space="0" w:color="auto"/>
              <w:bottom w:val="single" w:sz="8" w:space="0" w:color="auto"/>
              <w:right w:val="single" w:sz="8" w:space="0" w:color="auto"/>
            </w:tcBorders>
            <w:shd w:val="clear" w:color="auto" w:fill="CCFF99"/>
          </w:tcPr>
          <w:p w:rsidR="00166A0E" w:rsidRPr="00E143CC" w:rsidRDefault="00166A0E" w:rsidP="00AC7DD3">
            <w:pPr>
              <w:spacing w:before="120" w:after="120"/>
              <w:rPr>
                <w:lang w:val="fr-FR"/>
              </w:rPr>
            </w:pPr>
          </w:p>
        </w:tc>
        <w:tc>
          <w:tcPr>
            <w:tcW w:w="1292" w:type="dxa"/>
            <w:tcBorders>
              <w:top w:val="single" w:sz="8" w:space="0" w:color="auto"/>
              <w:left w:val="single" w:sz="8" w:space="0" w:color="auto"/>
              <w:bottom w:val="single" w:sz="8" w:space="0" w:color="auto"/>
              <w:right w:val="single" w:sz="8" w:space="0" w:color="auto"/>
            </w:tcBorders>
            <w:shd w:val="clear" w:color="auto" w:fill="CCFF99"/>
          </w:tcPr>
          <w:p w:rsidR="00166A0E" w:rsidRPr="00E143CC" w:rsidRDefault="00166A0E" w:rsidP="00AC7DD3">
            <w:pPr>
              <w:spacing w:before="120" w:after="120"/>
              <w:jc w:val="right"/>
            </w:pPr>
          </w:p>
        </w:tc>
        <w:tc>
          <w:tcPr>
            <w:tcW w:w="1292" w:type="dxa"/>
            <w:tcBorders>
              <w:top w:val="single" w:sz="8" w:space="0" w:color="auto"/>
              <w:left w:val="single" w:sz="8" w:space="0" w:color="auto"/>
              <w:bottom w:val="single" w:sz="8" w:space="0" w:color="auto"/>
            </w:tcBorders>
            <w:shd w:val="clear" w:color="auto" w:fill="CCFF99"/>
          </w:tcPr>
          <w:p w:rsidR="00166A0E" w:rsidRPr="00E143CC" w:rsidRDefault="00166A0E" w:rsidP="00AC7DD3">
            <w:pPr>
              <w:spacing w:before="120" w:after="120"/>
              <w:jc w:val="right"/>
            </w:pPr>
            <w:r w:rsidRPr="00E143CC">
              <w:t>12 447</w:t>
            </w:r>
          </w:p>
        </w:tc>
      </w:tr>
    </w:tbl>
    <w:p w:rsidR="00166A0E" w:rsidRPr="00E143CC" w:rsidRDefault="00166A0E" w:rsidP="00CA3BDE">
      <w:pPr>
        <w:pStyle w:val="Heading2"/>
      </w:pPr>
    </w:p>
    <w:p w:rsidR="00166A0E" w:rsidRPr="00E143CC" w:rsidRDefault="00166A0E" w:rsidP="00166A0E"/>
    <w:p w:rsidR="00166A0E" w:rsidRPr="00E143CC" w:rsidRDefault="00166A0E" w:rsidP="00166A0E">
      <w:pPr>
        <w:rPr>
          <w:b/>
          <w:u w:val="single"/>
        </w:rPr>
      </w:pPr>
      <w:r w:rsidRPr="00E143CC">
        <w:rPr>
          <w:b/>
        </w:rPr>
        <w:br w:type="page"/>
      </w:r>
    </w:p>
    <w:p w:rsidR="00166A0E" w:rsidRPr="000C4C0D" w:rsidRDefault="00166A0E" w:rsidP="00166A0E">
      <w:pPr>
        <w:pStyle w:val="Heading1"/>
        <w:jc w:val="both"/>
        <w:rPr>
          <w:lang w:val="fr-FR"/>
        </w:rPr>
      </w:pPr>
      <w:bookmarkStart w:id="34" w:name="_Toc393377931"/>
      <w:bookmarkStart w:id="35" w:name="_Toc395251236"/>
      <w:r w:rsidRPr="000C4C0D">
        <w:rPr>
          <w:lang w:val="fr-FR"/>
        </w:rPr>
        <w:lastRenderedPageBreak/>
        <w:t>Ressources extrabudgétaires (fonds fiduciaires)</w:t>
      </w:r>
      <w:bookmarkEnd w:id="34"/>
      <w:bookmarkEnd w:id="35"/>
    </w:p>
    <w:p w:rsidR="00166A0E" w:rsidRPr="000C4C0D" w:rsidRDefault="00166A0E" w:rsidP="00166A0E">
      <w:pPr>
        <w:pStyle w:val="Heading1"/>
        <w:jc w:val="both"/>
        <w:rPr>
          <w:rFonts w:ascii="Arial Bold" w:hAnsi="Arial Bold"/>
          <w:lang w:val="fr-FR"/>
        </w:rPr>
      </w:pPr>
    </w:p>
    <w:p w:rsidR="00166A0E" w:rsidRPr="00E143CC" w:rsidRDefault="00166A0E" w:rsidP="00166A0E">
      <w:pPr>
        <w:keepNext/>
        <w:ind w:firstLine="720"/>
        <w:rPr>
          <w:lang w:val="fr-CH"/>
        </w:rPr>
      </w:pPr>
      <w:r w:rsidRPr="00E143CC">
        <w:rPr>
          <w:lang w:val="fr-CH"/>
        </w:rPr>
        <w:t>Les fonds fiduciaires alloués par les membres de l’Union, qui font l’objet d’une comptabilité distincte, sont présentés ci</w:t>
      </w:r>
      <w:r w:rsidRPr="00E143CC">
        <w:rPr>
          <w:lang w:val="fr-CH"/>
        </w:rPr>
        <w:noBreakHyphen/>
        <w:t>après.</w:t>
      </w:r>
    </w:p>
    <w:p w:rsidR="00166A0E" w:rsidRPr="00E143CC" w:rsidRDefault="00166A0E" w:rsidP="00166A0E">
      <w:pPr>
        <w:keepNext/>
        <w:ind w:firstLine="720"/>
        <w:rPr>
          <w:lang w:val="fr-CH"/>
        </w:rPr>
      </w:pPr>
    </w:p>
    <w:p w:rsidR="00166A0E" w:rsidRPr="00E143CC" w:rsidRDefault="00166A0E" w:rsidP="00166A0E">
      <w:pPr>
        <w:keepNext/>
        <w:rPr>
          <w:lang w:val="fr-CH"/>
        </w:rPr>
      </w:pPr>
      <w:r w:rsidRPr="00E143CC">
        <w:rPr>
          <w:noProof/>
        </w:rPr>
        <w:drawing>
          <wp:inline distT="0" distB="0" distL="0" distR="0" wp14:anchorId="1605178F" wp14:editId="5C65947A">
            <wp:extent cx="6120765" cy="722184"/>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722184"/>
                    </a:xfrm>
                    <a:prstGeom prst="rect">
                      <a:avLst/>
                    </a:prstGeom>
                    <a:noFill/>
                    <a:ln>
                      <a:noFill/>
                    </a:ln>
                  </pic:spPr>
                </pic:pic>
              </a:graphicData>
            </a:graphic>
          </wp:inline>
        </w:drawing>
      </w:r>
    </w:p>
    <w:p w:rsidR="00166A0E" w:rsidRPr="00E143CC" w:rsidRDefault="00166A0E" w:rsidP="00166A0E">
      <w:pPr>
        <w:keepNext/>
        <w:rPr>
          <w:lang w:val="fr-CH"/>
        </w:rPr>
      </w:pPr>
    </w:p>
    <w:p w:rsidR="00166A0E" w:rsidRPr="00E143CC" w:rsidRDefault="00166A0E" w:rsidP="00166A0E"/>
    <w:tbl>
      <w:tblPr>
        <w:tblW w:w="0" w:type="auto"/>
        <w:jc w:val="center"/>
        <w:tblInd w:w="1552" w:type="dxa"/>
        <w:tblLayout w:type="fixed"/>
        <w:tblCellMar>
          <w:left w:w="30" w:type="dxa"/>
          <w:right w:w="30" w:type="dxa"/>
        </w:tblCellMar>
        <w:tblLook w:val="0000" w:firstRow="0" w:lastRow="0" w:firstColumn="0" w:lastColumn="0" w:noHBand="0" w:noVBand="0"/>
      </w:tblPr>
      <w:tblGrid>
        <w:gridCol w:w="4536"/>
        <w:gridCol w:w="1417"/>
        <w:gridCol w:w="1418"/>
      </w:tblGrid>
      <w:tr w:rsidR="00166A0E" w:rsidRPr="00CA3BDE" w:rsidTr="00AC7DD3">
        <w:trPr>
          <w:trHeight w:val="254"/>
          <w:jc w:val="center"/>
        </w:trPr>
        <w:tc>
          <w:tcPr>
            <w:tcW w:w="7371" w:type="dxa"/>
            <w:gridSpan w:val="3"/>
            <w:shd w:val="solid" w:color="FFFFFF" w:fill="CCFF99"/>
            <w:tcMar>
              <w:left w:w="57" w:type="dxa"/>
              <w:right w:w="57" w:type="dxa"/>
            </w:tcMar>
          </w:tcPr>
          <w:p w:rsidR="00166A0E" w:rsidRPr="001B73F0" w:rsidRDefault="00166A0E" w:rsidP="00AC7DD3">
            <w:pPr>
              <w:rPr>
                <w:b/>
                <w:lang w:val="fr-FR"/>
              </w:rPr>
            </w:pPr>
            <w:r w:rsidRPr="001B73F0">
              <w:rPr>
                <w:b/>
                <w:lang w:val="fr-FR"/>
              </w:rPr>
              <w:t>Recettes et dépenses pour l’exercice biennal 2012</w:t>
            </w:r>
            <w:r w:rsidRPr="001B73F0">
              <w:rPr>
                <w:b/>
                <w:lang w:val="fr-FR"/>
              </w:rPr>
              <w:noBreakHyphen/>
              <w:t>2013</w:t>
            </w:r>
          </w:p>
          <w:p w:rsidR="00166A0E" w:rsidRPr="001B73F0" w:rsidRDefault="00166A0E" w:rsidP="00AC7DD3">
            <w:pPr>
              <w:jc w:val="left"/>
              <w:rPr>
                <w:lang w:val="fr-FR"/>
              </w:rPr>
            </w:pPr>
          </w:p>
        </w:tc>
      </w:tr>
      <w:tr w:rsidR="00166A0E" w:rsidRPr="001B73F0" w:rsidTr="00AC7DD3">
        <w:trPr>
          <w:trHeight w:val="254"/>
          <w:jc w:val="center"/>
        </w:trPr>
        <w:tc>
          <w:tcPr>
            <w:tcW w:w="4536" w:type="dxa"/>
            <w:tcBorders>
              <w:bottom w:val="single" w:sz="8" w:space="0" w:color="auto"/>
            </w:tcBorders>
            <w:shd w:val="solid" w:color="FFFFFF" w:fill="CCFF99"/>
            <w:tcMar>
              <w:left w:w="57" w:type="dxa"/>
              <w:right w:w="57" w:type="dxa"/>
            </w:tcMar>
          </w:tcPr>
          <w:p w:rsidR="00166A0E" w:rsidRPr="001B73F0" w:rsidRDefault="00166A0E" w:rsidP="00AC7DD3">
            <w:pPr>
              <w:rPr>
                <w:lang w:val="fr-FR"/>
              </w:rPr>
            </w:pPr>
            <w:r w:rsidRPr="001B73F0">
              <w:rPr>
                <w:lang w:val="fr-FR"/>
              </w:rPr>
              <w:t>(au 31 décembre 2013)</w:t>
            </w:r>
          </w:p>
          <w:p w:rsidR="00166A0E" w:rsidRPr="001B73F0" w:rsidRDefault="00166A0E" w:rsidP="00AC7DD3">
            <w:pPr>
              <w:rPr>
                <w:lang w:val="fr-FR"/>
              </w:rPr>
            </w:pPr>
          </w:p>
        </w:tc>
        <w:tc>
          <w:tcPr>
            <w:tcW w:w="2835" w:type="dxa"/>
            <w:gridSpan w:val="2"/>
            <w:tcBorders>
              <w:bottom w:val="single" w:sz="8" w:space="0" w:color="auto"/>
            </w:tcBorders>
            <w:shd w:val="solid" w:color="FFFFFF" w:fill="CCFF99"/>
            <w:tcMar>
              <w:left w:w="57" w:type="dxa"/>
              <w:right w:w="57" w:type="dxa"/>
            </w:tcMar>
          </w:tcPr>
          <w:p w:rsidR="00166A0E" w:rsidRPr="001B73F0" w:rsidRDefault="00166A0E" w:rsidP="00AC7DD3">
            <w:pPr>
              <w:jc w:val="center"/>
              <w:rPr>
                <w:lang w:val="fr-FR"/>
              </w:rPr>
            </w:pPr>
          </w:p>
        </w:tc>
      </w:tr>
      <w:tr w:rsidR="00166A0E" w:rsidRPr="001B73F0" w:rsidTr="00AC7DD3">
        <w:trPr>
          <w:trHeight w:val="254"/>
          <w:jc w:val="center"/>
        </w:trPr>
        <w:tc>
          <w:tcPr>
            <w:tcW w:w="4536"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166A0E" w:rsidRPr="001B73F0" w:rsidRDefault="00166A0E" w:rsidP="00AC7DD3">
            <w:pPr>
              <w:rPr>
                <w:lang w:val="fr-FR"/>
              </w:rPr>
            </w:pPr>
            <w:r w:rsidRPr="001B73F0">
              <w:rPr>
                <w:lang w:val="fr-FR"/>
              </w:rPr>
              <w:t>Fonds fiduciaires/Japon</w:t>
            </w:r>
          </w:p>
        </w:tc>
        <w:tc>
          <w:tcPr>
            <w:tcW w:w="2835"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166A0E" w:rsidRPr="001B73F0" w:rsidRDefault="00166A0E" w:rsidP="00AC7DD3">
            <w:pPr>
              <w:jc w:val="center"/>
              <w:rPr>
                <w:lang w:val="fr-FR"/>
              </w:rPr>
            </w:pPr>
            <w:r w:rsidRPr="001B73F0">
              <w:rPr>
                <w:lang w:val="fr-FR"/>
              </w:rPr>
              <w:t>Francs suisses</w:t>
            </w:r>
          </w:p>
        </w:tc>
      </w:tr>
      <w:tr w:rsidR="00166A0E" w:rsidRPr="001B73F0" w:rsidTr="00AC7DD3">
        <w:trPr>
          <w:trHeight w:val="254"/>
          <w:jc w:val="center"/>
        </w:trPr>
        <w:tc>
          <w:tcPr>
            <w:tcW w:w="4536" w:type="dxa"/>
            <w:tcBorders>
              <w:top w:val="single" w:sz="4" w:space="0" w:color="auto"/>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Solde, début d’exercice</w:t>
            </w:r>
          </w:p>
        </w:tc>
        <w:tc>
          <w:tcPr>
            <w:tcW w:w="1417" w:type="dxa"/>
            <w:tcBorders>
              <w:top w:val="single" w:sz="4" w:space="0" w:color="auto"/>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18" w:type="dxa"/>
            <w:tcBorders>
              <w:top w:val="single" w:sz="4" w:space="0" w:color="auto"/>
              <w:left w:val="single" w:sz="4" w:space="0" w:color="auto"/>
              <w:right w:val="single" w:sz="8" w:space="0" w:color="auto"/>
            </w:tcBorders>
            <w:tcMar>
              <w:left w:w="57" w:type="dxa"/>
              <w:right w:w="57" w:type="dxa"/>
            </w:tcMar>
          </w:tcPr>
          <w:p w:rsidR="00166A0E" w:rsidRPr="001B73F0" w:rsidRDefault="00166A0E" w:rsidP="00AC7DD3">
            <w:pPr>
              <w:jc w:val="right"/>
              <w:rPr>
                <w:lang w:val="fr-FR"/>
              </w:rPr>
            </w:pPr>
            <w:r w:rsidRPr="001B73F0">
              <w:rPr>
                <w:lang w:val="fr-FR"/>
              </w:rPr>
              <w:t>218 481</w:t>
            </w: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i/>
                <w:lang w:val="fr-FR"/>
              </w:rPr>
            </w:pPr>
            <w:r w:rsidRPr="001B73F0">
              <w:rPr>
                <w:i/>
                <w:lang w:val="fr-FR"/>
              </w:rPr>
              <w:t>Recettes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Fonds reçus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315 642</w:t>
            </w: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40"/>
          <w:jc w:val="center"/>
        </w:trPr>
        <w:tc>
          <w:tcPr>
            <w:tcW w:w="4536" w:type="dxa"/>
            <w:vMerge w:val="restart"/>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Intérêts</w:t>
            </w:r>
          </w:p>
        </w:tc>
        <w:tc>
          <w:tcPr>
            <w:tcW w:w="1417" w:type="dxa"/>
            <w:tcBorders>
              <w:left w:val="single" w:sz="4" w:space="0" w:color="auto"/>
              <w:bottom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227</w:t>
            </w:r>
          </w:p>
        </w:tc>
        <w:tc>
          <w:tcPr>
            <w:tcW w:w="1418" w:type="dxa"/>
            <w:vMerge w:val="restart"/>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p w:rsidR="00166A0E" w:rsidRPr="001B73F0" w:rsidRDefault="00166A0E" w:rsidP="00AC7DD3">
            <w:pPr>
              <w:jc w:val="right"/>
              <w:rPr>
                <w:lang w:val="fr-FR"/>
              </w:rPr>
            </w:pPr>
            <w:r w:rsidRPr="001B73F0">
              <w:rPr>
                <w:lang w:val="fr-FR"/>
              </w:rPr>
              <w:t>315 869</w:t>
            </w:r>
          </w:p>
        </w:tc>
      </w:tr>
      <w:tr w:rsidR="00166A0E" w:rsidRPr="001B73F0" w:rsidTr="00AC7DD3">
        <w:trPr>
          <w:trHeight w:val="210"/>
          <w:jc w:val="center"/>
        </w:trPr>
        <w:tc>
          <w:tcPr>
            <w:tcW w:w="4536" w:type="dxa"/>
            <w:vMerge/>
            <w:tcBorders>
              <w:left w:val="single" w:sz="8" w:space="0" w:color="auto"/>
              <w:right w:val="single" w:sz="4" w:space="0" w:color="auto"/>
            </w:tcBorders>
            <w:tcMar>
              <w:left w:w="57" w:type="dxa"/>
              <w:right w:w="57" w:type="dxa"/>
            </w:tcMar>
          </w:tcPr>
          <w:p w:rsidR="00166A0E" w:rsidRPr="001B73F0" w:rsidRDefault="00166A0E" w:rsidP="00AC7DD3">
            <w:pPr>
              <w:rPr>
                <w:lang w:val="fr-FR"/>
              </w:rPr>
            </w:pPr>
          </w:p>
        </w:tc>
        <w:tc>
          <w:tcPr>
            <w:tcW w:w="1417" w:type="dxa"/>
            <w:tcBorders>
              <w:top w:val="single" w:sz="4" w:space="0" w:color="auto"/>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18" w:type="dxa"/>
            <w:vMerge/>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i/>
                <w:lang w:val="fr-FR"/>
              </w:rPr>
            </w:pPr>
            <w:r w:rsidRPr="001B73F0">
              <w:rPr>
                <w:i/>
                <w:lang w:val="fr-FR"/>
              </w:rPr>
              <w:t>Dépenses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Missions de fonctionnaires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87 999</w:t>
            </w: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Voyages de tiers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226 961</w:t>
            </w: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Conférences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4 930</w:t>
            </w: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Autres services contractuels</w:t>
            </w:r>
          </w:p>
          <w:p w:rsidR="00166A0E" w:rsidRPr="001B73F0" w:rsidRDefault="00166A0E" w:rsidP="00AC7DD3">
            <w:pPr>
              <w:rPr>
                <w:lang w:val="fr-FR"/>
              </w:rPr>
            </w:pPr>
            <w:r w:rsidRPr="001B73F0">
              <w:rPr>
                <w:lang w:val="fr-FR"/>
              </w:rPr>
              <w:t>Dépenses de fonctionnement</w:t>
            </w:r>
          </w:p>
        </w:tc>
        <w:tc>
          <w:tcPr>
            <w:tcW w:w="1417" w:type="dxa"/>
            <w:tcBorders>
              <w:left w:val="single" w:sz="4" w:space="0" w:color="auto"/>
              <w:bottom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8 679</w:t>
            </w:r>
          </w:p>
          <w:p w:rsidR="00166A0E" w:rsidRPr="001B73F0" w:rsidRDefault="00166A0E" w:rsidP="00AC7DD3">
            <w:pPr>
              <w:jc w:val="right"/>
              <w:rPr>
                <w:lang w:val="fr-FR"/>
              </w:rPr>
            </w:pPr>
            <w:r w:rsidRPr="001B73F0">
              <w:rPr>
                <w:lang w:val="fr-FR"/>
              </w:rPr>
              <w:t>210</w:t>
            </w: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Total dépenses directes</w:t>
            </w:r>
          </w:p>
        </w:tc>
        <w:tc>
          <w:tcPr>
            <w:tcW w:w="1417" w:type="dxa"/>
            <w:tcBorders>
              <w:top w:val="single" w:sz="4" w:space="0" w:color="auto"/>
              <w:left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328 779</w:t>
            </w:r>
          </w:p>
        </w:tc>
        <w:tc>
          <w:tcPr>
            <w:tcW w:w="1418"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10"/>
          <w:jc w:val="center"/>
        </w:trPr>
        <w:tc>
          <w:tcPr>
            <w:tcW w:w="4536" w:type="dxa"/>
            <w:vMerge w:val="restart"/>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Frais administratifs</w:t>
            </w:r>
          </w:p>
        </w:tc>
        <w:tc>
          <w:tcPr>
            <w:tcW w:w="1417" w:type="dxa"/>
            <w:tcBorders>
              <w:left w:val="single" w:sz="4" w:space="0" w:color="auto"/>
              <w:bottom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42 741</w:t>
            </w:r>
          </w:p>
        </w:tc>
        <w:tc>
          <w:tcPr>
            <w:tcW w:w="1418" w:type="dxa"/>
            <w:vMerge w:val="restart"/>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p w:rsidR="00166A0E" w:rsidRPr="001B73F0" w:rsidRDefault="00166A0E" w:rsidP="00AC7DD3">
            <w:pPr>
              <w:jc w:val="right"/>
              <w:rPr>
                <w:lang w:val="fr-FR"/>
              </w:rPr>
            </w:pPr>
            <w:r w:rsidRPr="001B73F0">
              <w:rPr>
                <w:lang w:val="fr-FR"/>
              </w:rPr>
              <w:noBreakHyphen/>
              <w:t>371 520</w:t>
            </w:r>
          </w:p>
        </w:tc>
      </w:tr>
      <w:tr w:rsidR="00166A0E" w:rsidRPr="001B73F0" w:rsidTr="00AC7DD3">
        <w:trPr>
          <w:trHeight w:val="240"/>
          <w:jc w:val="center"/>
        </w:trPr>
        <w:tc>
          <w:tcPr>
            <w:tcW w:w="4536" w:type="dxa"/>
            <w:vMerge/>
            <w:tcBorders>
              <w:left w:val="single" w:sz="8" w:space="0" w:color="auto"/>
              <w:bottom w:val="single" w:sz="4" w:space="0" w:color="auto"/>
              <w:right w:val="single" w:sz="4" w:space="0" w:color="auto"/>
            </w:tcBorders>
            <w:tcMar>
              <w:left w:w="57" w:type="dxa"/>
              <w:right w:w="57" w:type="dxa"/>
            </w:tcMar>
          </w:tcPr>
          <w:p w:rsidR="00166A0E" w:rsidRPr="001B73F0" w:rsidRDefault="00166A0E" w:rsidP="00AC7DD3">
            <w:pPr>
              <w:rPr>
                <w:lang w:val="fr-FR"/>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166A0E" w:rsidRPr="001B73F0" w:rsidRDefault="00166A0E" w:rsidP="00AC7DD3">
            <w:pPr>
              <w:rPr>
                <w:lang w:val="fr-FR"/>
              </w:rPr>
            </w:pPr>
          </w:p>
        </w:tc>
        <w:tc>
          <w:tcPr>
            <w:tcW w:w="1418" w:type="dxa"/>
            <w:vMerge/>
            <w:tcBorders>
              <w:left w:val="single" w:sz="4" w:space="0" w:color="auto"/>
              <w:bottom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jc w:val="center"/>
        </w:trPr>
        <w:tc>
          <w:tcPr>
            <w:tcW w:w="4536"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166A0E" w:rsidRPr="001B73F0" w:rsidRDefault="00166A0E" w:rsidP="00AC7DD3">
            <w:pPr>
              <w:rPr>
                <w:lang w:val="fr-FR"/>
              </w:rPr>
            </w:pPr>
            <w:r w:rsidRPr="001B73F0">
              <w:rPr>
                <w:lang w:val="fr-FR"/>
              </w:rPr>
              <w:t>Fonds disponibles, fin d’exercice</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166A0E" w:rsidRPr="001B73F0" w:rsidRDefault="00166A0E" w:rsidP="00AC7DD3">
            <w:pPr>
              <w:jc w:val="right"/>
              <w:rPr>
                <w:lang w:val="fr-FR"/>
              </w:rPr>
            </w:pPr>
          </w:p>
        </w:tc>
        <w:tc>
          <w:tcPr>
            <w:tcW w:w="1418"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166A0E" w:rsidRPr="001B73F0" w:rsidRDefault="00166A0E" w:rsidP="00AC7DD3">
            <w:pPr>
              <w:jc w:val="right"/>
              <w:rPr>
                <w:lang w:val="fr-FR"/>
              </w:rPr>
            </w:pPr>
            <w:r w:rsidRPr="001B73F0">
              <w:rPr>
                <w:lang w:val="fr-FR"/>
              </w:rPr>
              <w:t>162 830</w:t>
            </w:r>
          </w:p>
        </w:tc>
      </w:tr>
      <w:tr w:rsidR="00166A0E" w:rsidRPr="00CA3BDE" w:rsidTr="00AC7DD3">
        <w:trPr>
          <w:trHeight w:val="475"/>
          <w:jc w:val="center"/>
        </w:trPr>
        <w:tc>
          <w:tcPr>
            <w:tcW w:w="7371" w:type="dxa"/>
            <w:gridSpan w:val="3"/>
            <w:tcBorders>
              <w:top w:val="single" w:sz="8" w:space="0" w:color="auto"/>
            </w:tcBorders>
            <w:tcMar>
              <w:left w:w="57" w:type="dxa"/>
              <w:right w:w="57" w:type="dxa"/>
            </w:tcMar>
          </w:tcPr>
          <w:p w:rsidR="00166A0E" w:rsidRPr="001B73F0" w:rsidRDefault="00166A0E" w:rsidP="00AC7DD3">
            <w:pPr>
              <w:rPr>
                <w:i/>
                <w:sz w:val="16"/>
                <w:szCs w:val="16"/>
                <w:lang w:val="fr-FR"/>
              </w:rPr>
            </w:pPr>
          </w:p>
          <w:p w:rsidR="00166A0E" w:rsidRPr="001B73F0" w:rsidRDefault="00166A0E" w:rsidP="00AC7DD3">
            <w:pPr>
              <w:ind w:left="537" w:hanging="537"/>
              <w:rPr>
                <w:sz w:val="16"/>
                <w:szCs w:val="16"/>
                <w:lang w:val="fr-FR"/>
              </w:rPr>
            </w:pPr>
            <w:r w:rsidRPr="001B73F0">
              <w:rPr>
                <w:i/>
                <w:sz w:val="16"/>
                <w:szCs w:val="16"/>
                <w:lang w:val="fr-FR"/>
              </w:rPr>
              <w:t>Note </w:t>
            </w:r>
            <w:r w:rsidRPr="001B73F0">
              <w:rPr>
                <w:i/>
                <w:sz w:val="16"/>
                <w:lang w:val="fr-FR"/>
              </w:rPr>
              <w:t>:</w:t>
            </w:r>
            <w:r w:rsidRPr="001B73F0">
              <w:rPr>
                <w:i/>
                <w:sz w:val="16"/>
                <w:szCs w:val="16"/>
                <w:lang w:val="fr-FR"/>
              </w:rPr>
              <w:t xml:space="preserve"> </w:t>
            </w:r>
            <w:r w:rsidRPr="001B73F0">
              <w:rPr>
                <w:i/>
                <w:sz w:val="16"/>
                <w:lang w:val="fr-FR"/>
              </w:rPr>
              <w:tab/>
            </w:r>
            <w:r w:rsidRPr="001B73F0">
              <w:rPr>
                <w:sz w:val="16"/>
                <w:szCs w:val="16"/>
                <w:lang w:val="fr-FR"/>
              </w:rPr>
              <w:t xml:space="preserve">fonds fiduciaires sous </w:t>
            </w:r>
            <w:r w:rsidR="00742791">
              <w:rPr>
                <w:sz w:val="16"/>
                <w:szCs w:val="16"/>
                <w:lang w:val="fr-FR"/>
              </w:rPr>
              <w:t xml:space="preserve">la </w:t>
            </w:r>
            <w:r w:rsidRPr="001B73F0">
              <w:rPr>
                <w:sz w:val="16"/>
                <w:szCs w:val="16"/>
                <w:lang w:val="fr-FR"/>
              </w:rPr>
              <w:t>forme d</w:t>
            </w:r>
            <w:r w:rsidR="00742791">
              <w:rPr>
                <w:sz w:val="16"/>
                <w:szCs w:val="16"/>
                <w:lang w:val="fr-FR"/>
              </w:rPr>
              <w:t>’un</w:t>
            </w:r>
            <w:r w:rsidRPr="001B73F0">
              <w:rPr>
                <w:sz w:val="16"/>
                <w:szCs w:val="16"/>
                <w:lang w:val="fr-FR"/>
              </w:rPr>
              <w:t xml:space="preserve"> fonds extrabudgétaire d</w:t>
            </w:r>
            <w:r w:rsidR="00742791">
              <w:rPr>
                <w:sz w:val="16"/>
                <w:szCs w:val="16"/>
                <w:lang w:val="fr-FR"/>
              </w:rPr>
              <w:t>u Gouvernement du Japon destiné</w:t>
            </w:r>
            <w:r w:rsidRPr="001B73F0">
              <w:rPr>
                <w:sz w:val="16"/>
                <w:szCs w:val="16"/>
                <w:lang w:val="fr-FR"/>
              </w:rPr>
              <w:t xml:space="preserve"> aux séminaires et ateliers régionaux sur la protection des obtentions végétales dans la région Asie.</w:t>
            </w:r>
          </w:p>
          <w:p w:rsidR="00166A0E" w:rsidRPr="001B73F0" w:rsidRDefault="00166A0E" w:rsidP="00AC7DD3">
            <w:pPr>
              <w:ind w:left="537" w:hanging="537"/>
              <w:rPr>
                <w:sz w:val="16"/>
                <w:szCs w:val="16"/>
                <w:lang w:val="fr-FR"/>
              </w:rPr>
            </w:pPr>
          </w:p>
        </w:tc>
      </w:tr>
    </w:tbl>
    <w:p w:rsidR="00166A0E" w:rsidRPr="00E143CC" w:rsidRDefault="00166A0E" w:rsidP="00166A0E">
      <w:pPr>
        <w:rPr>
          <w:lang w:val="fr-CH"/>
        </w:rPr>
      </w:pPr>
    </w:p>
    <w:p w:rsidR="00166A0E" w:rsidRPr="00E143CC" w:rsidRDefault="00166A0E" w:rsidP="00166A0E">
      <w:pPr>
        <w:rPr>
          <w:lang w:val="fr-CH"/>
        </w:rPr>
      </w:pPr>
    </w:p>
    <w:tbl>
      <w:tblPr>
        <w:tblpPr w:leftFromText="180" w:rightFromText="180" w:vertAnchor="text" w:horzAnchor="margin" w:tblpXSpec="center" w:tblpY="168"/>
        <w:tblW w:w="0" w:type="auto"/>
        <w:tblLayout w:type="fixed"/>
        <w:tblCellMar>
          <w:left w:w="30" w:type="dxa"/>
          <w:right w:w="30" w:type="dxa"/>
        </w:tblCellMar>
        <w:tblLook w:val="0000" w:firstRow="0" w:lastRow="0" w:firstColumn="0" w:lastColumn="0" w:noHBand="0" w:noVBand="0"/>
      </w:tblPr>
      <w:tblGrid>
        <w:gridCol w:w="4509"/>
        <w:gridCol w:w="1417"/>
        <w:gridCol w:w="1445"/>
      </w:tblGrid>
      <w:tr w:rsidR="00166A0E" w:rsidRPr="001B73F0" w:rsidTr="00AC7DD3">
        <w:trPr>
          <w:trHeight w:val="254"/>
        </w:trPr>
        <w:tc>
          <w:tcPr>
            <w:tcW w:w="4509"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166A0E" w:rsidRPr="001B73F0" w:rsidRDefault="00166A0E" w:rsidP="00AC7DD3">
            <w:pPr>
              <w:tabs>
                <w:tab w:val="right" w:pos="4395"/>
              </w:tabs>
              <w:rPr>
                <w:lang w:val="fr-FR"/>
              </w:rPr>
            </w:pPr>
            <w:r w:rsidRPr="001B73F0">
              <w:rPr>
                <w:lang w:val="fr-FR"/>
              </w:rPr>
              <w:t>Fonds fiduciaires/</w:t>
            </w:r>
            <w:r w:rsidRPr="001B73F0">
              <w:rPr>
                <w:rFonts w:cs="Arial"/>
                <w:lang w:val="fr-FR"/>
              </w:rPr>
              <w:t>É</w:t>
            </w:r>
            <w:r w:rsidRPr="001B73F0">
              <w:rPr>
                <w:lang w:val="fr-FR"/>
              </w:rPr>
              <w:t>tats</w:t>
            </w:r>
            <w:r w:rsidRPr="001B73F0">
              <w:rPr>
                <w:lang w:val="fr-FR"/>
              </w:rPr>
              <w:noBreakHyphen/>
              <w:t>Unis d’Amérique</w:t>
            </w:r>
          </w:p>
        </w:tc>
        <w:tc>
          <w:tcPr>
            <w:tcW w:w="2862"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166A0E" w:rsidRPr="001B73F0" w:rsidRDefault="00166A0E" w:rsidP="00AC7DD3">
            <w:pPr>
              <w:jc w:val="center"/>
              <w:rPr>
                <w:lang w:val="fr-FR"/>
              </w:rPr>
            </w:pPr>
            <w:r w:rsidRPr="001B73F0">
              <w:rPr>
                <w:lang w:val="fr-FR"/>
              </w:rPr>
              <w:t>Francs suisses</w:t>
            </w:r>
          </w:p>
        </w:tc>
      </w:tr>
      <w:tr w:rsidR="00166A0E" w:rsidRPr="001B73F0" w:rsidTr="00AC7DD3">
        <w:trPr>
          <w:trHeight w:val="254"/>
        </w:trPr>
        <w:tc>
          <w:tcPr>
            <w:tcW w:w="4509" w:type="dxa"/>
            <w:tcBorders>
              <w:top w:val="single" w:sz="4" w:space="0" w:color="auto"/>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Solde, début d’exercice</w:t>
            </w:r>
          </w:p>
        </w:tc>
        <w:tc>
          <w:tcPr>
            <w:tcW w:w="1417" w:type="dxa"/>
            <w:tcBorders>
              <w:top w:val="single" w:sz="4" w:space="0" w:color="auto"/>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45" w:type="dxa"/>
            <w:tcBorders>
              <w:top w:val="single" w:sz="4" w:space="0" w:color="auto"/>
              <w:left w:val="single" w:sz="4" w:space="0" w:color="auto"/>
              <w:right w:val="single" w:sz="8" w:space="0" w:color="auto"/>
            </w:tcBorders>
            <w:tcMar>
              <w:left w:w="57" w:type="dxa"/>
              <w:right w:w="57" w:type="dxa"/>
            </w:tcMar>
          </w:tcPr>
          <w:p w:rsidR="00166A0E" w:rsidRPr="001B73F0" w:rsidRDefault="00166A0E" w:rsidP="00AC7DD3">
            <w:pPr>
              <w:jc w:val="right"/>
              <w:rPr>
                <w:lang w:val="fr-FR"/>
              </w:rPr>
            </w:pPr>
            <w:r w:rsidRPr="001B73F0">
              <w:rPr>
                <w:lang w:val="fr-FR"/>
              </w:rPr>
              <w:t>8 897</w:t>
            </w:r>
          </w:p>
        </w:tc>
      </w:tr>
      <w:tr w:rsidR="00166A0E" w:rsidRPr="001B73F0" w:rsidTr="00AC7DD3">
        <w:trPr>
          <w:trHeight w:val="254"/>
        </w:trPr>
        <w:tc>
          <w:tcPr>
            <w:tcW w:w="4509" w:type="dxa"/>
            <w:tcBorders>
              <w:left w:val="single" w:sz="8" w:space="0" w:color="auto"/>
              <w:right w:val="single" w:sz="4" w:space="0" w:color="auto"/>
            </w:tcBorders>
            <w:tcMar>
              <w:left w:w="57" w:type="dxa"/>
              <w:right w:w="57" w:type="dxa"/>
            </w:tcMar>
          </w:tcPr>
          <w:p w:rsidR="00166A0E" w:rsidRPr="001B73F0" w:rsidRDefault="00166A0E" w:rsidP="00AC7DD3">
            <w:pPr>
              <w:rPr>
                <w:i/>
                <w:lang w:val="fr-FR"/>
              </w:rPr>
            </w:pPr>
            <w:r w:rsidRPr="001B73F0">
              <w:rPr>
                <w:i/>
                <w:lang w:val="fr-FR"/>
              </w:rPr>
              <w:t>Recettes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45"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80"/>
        </w:trPr>
        <w:tc>
          <w:tcPr>
            <w:tcW w:w="4509"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Fonds reçus</w:t>
            </w:r>
          </w:p>
        </w:tc>
        <w:tc>
          <w:tcPr>
            <w:tcW w:w="1417" w:type="dxa"/>
            <w:tcBorders>
              <w:left w:val="single" w:sz="4" w:space="0" w:color="auto"/>
              <w:bottom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238 443</w:t>
            </w:r>
          </w:p>
        </w:tc>
        <w:tc>
          <w:tcPr>
            <w:tcW w:w="1445"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r w:rsidRPr="001B73F0">
              <w:rPr>
                <w:lang w:val="fr-FR"/>
              </w:rPr>
              <w:t>238 443</w:t>
            </w:r>
          </w:p>
        </w:tc>
      </w:tr>
      <w:tr w:rsidR="00166A0E" w:rsidRPr="001B73F0" w:rsidTr="00AC7DD3">
        <w:trPr>
          <w:trHeight w:val="254"/>
        </w:trPr>
        <w:tc>
          <w:tcPr>
            <w:tcW w:w="4509" w:type="dxa"/>
            <w:tcBorders>
              <w:left w:val="single" w:sz="8" w:space="0" w:color="auto"/>
              <w:right w:val="single" w:sz="4" w:space="0" w:color="auto"/>
            </w:tcBorders>
            <w:tcMar>
              <w:left w:w="57" w:type="dxa"/>
              <w:right w:w="57" w:type="dxa"/>
            </w:tcMar>
          </w:tcPr>
          <w:p w:rsidR="00166A0E" w:rsidRPr="001B73F0" w:rsidRDefault="00166A0E" w:rsidP="00AC7DD3">
            <w:pPr>
              <w:rPr>
                <w:i/>
                <w:lang w:val="fr-FR"/>
              </w:rPr>
            </w:pPr>
          </w:p>
        </w:tc>
        <w:tc>
          <w:tcPr>
            <w:tcW w:w="1417" w:type="dxa"/>
            <w:tcBorders>
              <w:top w:val="single" w:sz="4" w:space="0" w:color="auto"/>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45"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trPr>
        <w:tc>
          <w:tcPr>
            <w:tcW w:w="4509" w:type="dxa"/>
            <w:tcBorders>
              <w:left w:val="single" w:sz="8" w:space="0" w:color="auto"/>
              <w:right w:val="single" w:sz="4" w:space="0" w:color="auto"/>
            </w:tcBorders>
            <w:tcMar>
              <w:left w:w="57" w:type="dxa"/>
              <w:right w:w="57" w:type="dxa"/>
            </w:tcMar>
          </w:tcPr>
          <w:p w:rsidR="00166A0E" w:rsidRPr="001B73F0" w:rsidRDefault="00166A0E" w:rsidP="00AC7DD3">
            <w:pPr>
              <w:rPr>
                <w:i/>
                <w:lang w:val="fr-FR"/>
              </w:rPr>
            </w:pPr>
            <w:r w:rsidRPr="001B73F0">
              <w:rPr>
                <w:i/>
                <w:lang w:val="fr-FR"/>
              </w:rPr>
              <w:t>Dépenses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p>
        </w:tc>
        <w:tc>
          <w:tcPr>
            <w:tcW w:w="1445"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trPr>
        <w:tc>
          <w:tcPr>
            <w:tcW w:w="4509"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Voyages de tiers</w:t>
            </w:r>
          </w:p>
        </w:tc>
        <w:tc>
          <w:tcPr>
            <w:tcW w:w="1417" w:type="dxa"/>
            <w:tcBorders>
              <w:left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212 934</w:t>
            </w:r>
          </w:p>
        </w:tc>
        <w:tc>
          <w:tcPr>
            <w:tcW w:w="1445"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trPr>
        <w:tc>
          <w:tcPr>
            <w:tcW w:w="4509"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Services contractuels</w:t>
            </w:r>
          </w:p>
        </w:tc>
        <w:tc>
          <w:tcPr>
            <w:tcW w:w="1417" w:type="dxa"/>
            <w:tcBorders>
              <w:left w:val="single" w:sz="4" w:space="0" w:color="auto"/>
              <w:bottom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3 000</w:t>
            </w:r>
          </w:p>
        </w:tc>
        <w:tc>
          <w:tcPr>
            <w:tcW w:w="1445"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trPr>
        <w:tc>
          <w:tcPr>
            <w:tcW w:w="4509" w:type="dxa"/>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Total dépenses directes</w:t>
            </w:r>
          </w:p>
        </w:tc>
        <w:tc>
          <w:tcPr>
            <w:tcW w:w="1417" w:type="dxa"/>
            <w:tcBorders>
              <w:top w:val="single" w:sz="4" w:space="0" w:color="auto"/>
              <w:left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215 934</w:t>
            </w:r>
          </w:p>
        </w:tc>
        <w:tc>
          <w:tcPr>
            <w:tcW w:w="1445" w:type="dxa"/>
            <w:tcBorders>
              <w:left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30"/>
        </w:trPr>
        <w:tc>
          <w:tcPr>
            <w:tcW w:w="4509" w:type="dxa"/>
            <w:vMerge w:val="restart"/>
            <w:tcBorders>
              <w:left w:val="single" w:sz="8" w:space="0" w:color="auto"/>
              <w:right w:val="single" w:sz="4" w:space="0" w:color="auto"/>
            </w:tcBorders>
            <w:tcMar>
              <w:left w:w="57" w:type="dxa"/>
              <w:right w:w="57" w:type="dxa"/>
            </w:tcMar>
          </w:tcPr>
          <w:p w:rsidR="00166A0E" w:rsidRPr="001B73F0" w:rsidRDefault="00166A0E" w:rsidP="00AC7DD3">
            <w:pPr>
              <w:rPr>
                <w:lang w:val="fr-FR"/>
              </w:rPr>
            </w:pPr>
            <w:r w:rsidRPr="001B73F0">
              <w:rPr>
                <w:lang w:val="fr-FR"/>
              </w:rPr>
              <w:t>Frais administratifs</w:t>
            </w:r>
          </w:p>
        </w:tc>
        <w:tc>
          <w:tcPr>
            <w:tcW w:w="1417" w:type="dxa"/>
            <w:tcBorders>
              <w:left w:val="single" w:sz="4" w:space="0" w:color="auto"/>
              <w:bottom w:val="single" w:sz="4" w:space="0" w:color="auto"/>
              <w:right w:val="single" w:sz="4" w:space="0" w:color="auto"/>
            </w:tcBorders>
            <w:tcMar>
              <w:left w:w="57" w:type="dxa"/>
              <w:right w:w="57" w:type="dxa"/>
            </w:tcMar>
          </w:tcPr>
          <w:p w:rsidR="00166A0E" w:rsidRPr="001B73F0" w:rsidRDefault="00166A0E" w:rsidP="00AC7DD3">
            <w:pPr>
              <w:jc w:val="right"/>
              <w:rPr>
                <w:lang w:val="fr-FR"/>
              </w:rPr>
            </w:pPr>
            <w:r w:rsidRPr="001B73F0">
              <w:rPr>
                <w:lang w:val="fr-FR"/>
              </w:rPr>
              <w:t>28 071</w:t>
            </w:r>
          </w:p>
        </w:tc>
        <w:tc>
          <w:tcPr>
            <w:tcW w:w="1445" w:type="dxa"/>
            <w:vMerge w:val="restart"/>
            <w:tcBorders>
              <w:left w:val="single" w:sz="4" w:space="0" w:color="auto"/>
              <w:right w:val="single" w:sz="8" w:space="0" w:color="auto"/>
            </w:tcBorders>
            <w:tcMar>
              <w:left w:w="57" w:type="dxa"/>
              <w:right w:w="57" w:type="dxa"/>
            </w:tcMar>
          </w:tcPr>
          <w:p w:rsidR="00166A0E" w:rsidRPr="001B73F0" w:rsidRDefault="00166A0E" w:rsidP="00AC7DD3">
            <w:pPr>
              <w:rPr>
                <w:lang w:val="fr-FR"/>
              </w:rPr>
            </w:pPr>
          </w:p>
          <w:p w:rsidR="00166A0E" w:rsidRPr="001B73F0" w:rsidRDefault="00166A0E" w:rsidP="00AC7DD3">
            <w:pPr>
              <w:jc w:val="right"/>
              <w:rPr>
                <w:lang w:val="fr-FR"/>
              </w:rPr>
            </w:pPr>
            <w:r w:rsidRPr="001B73F0">
              <w:rPr>
                <w:lang w:val="fr-FR"/>
              </w:rPr>
              <w:noBreakHyphen/>
              <w:t>244 005</w:t>
            </w:r>
          </w:p>
        </w:tc>
      </w:tr>
      <w:tr w:rsidR="00166A0E" w:rsidRPr="001B73F0" w:rsidTr="00AC7DD3">
        <w:trPr>
          <w:trHeight w:val="220"/>
        </w:trPr>
        <w:tc>
          <w:tcPr>
            <w:tcW w:w="4509" w:type="dxa"/>
            <w:vMerge/>
            <w:tcBorders>
              <w:left w:val="single" w:sz="8" w:space="0" w:color="auto"/>
              <w:bottom w:val="single" w:sz="4" w:space="0" w:color="auto"/>
              <w:right w:val="single" w:sz="4" w:space="0" w:color="auto"/>
            </w:tcBorders>
            <w:tcMar>
              <w:left w:w="57" w:type="dxa"/>
              <w:right w:w="57" w:type="dxa"/>
            </w:tcMar>
          </w:tcPr>
          <w:p w:rsidR="00166A0E" w:rsidRPr="001B73F0" w:rsidRDefault="00166A0E" w:rsidP="00AC7DD3">
            <w:pPr>
              <w:rPr>
                <w:lang w:val="fr-FR"/>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166A0E" w:rsidRPr="001B73F0" w:rsidRDefault="00166A0E" w:rsidP="00AC7DD3">
            <w:pPr>
              <w:rPr>
                <w:lang w:val="fr-FR"/>
              </w:rPr>
            </w:pPr>
          </w:p>
        </w:tc>
        <w:tc>
          <w:tcPr>
            <w:tcW w:w="1445" w:type="dxa"/>
            <w:vMerge/>
            <w:tcBorders>
              <w:left w:val="single" w:sz="4" w:space="0" w:color="auto"/>
              <w:bottom w:val="single" w:sz="4" w:space="0" w:color="auto"/>
              <w:right w:val="single" w:sz="8" w:space="0" w:color="auto"/>
            </w:tcBorders>
            <w:tcMar>
              <w:left w:w="57" w:type="dxa"/>
              <w:right w:w="57" w:type="dxa"/>
            </w:tcMar>
          </w:tcPr>
          <w:p w:rsidR="00166A0E" w:rsidRPr="001B73F0" w:rsidRDefault="00166A0E" w:rsidP="00AC7DD3">
            <w:pPr>
              <w:jc w:val="right"/>
              <w:rPr>
                <w:lang w:val="fr-FR"/>
              </w:rPr>
            </w:pPr>
          </w:p>
        </w:tc>
      </w:tr>
      <w:tr w:rsidR="00166A0E" w:rsidRPr="001B73F0" w:rsidTr="00AC7DD3">
        <w:trPr>
          <w:trHeight w:val="254"/>
        </w:trPr>
        <w:tc>
          <w:tcPr>
            <w:tcW w:w="4509"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166A0E" w:rsidRPr="001B73F0" w:rsidRDefault="00166A0E" w:rsidP="00AC7DD3">
            <w:pPr>
              <w:rPr>
                <w:lang w:val="fr-FR"/>
              </w:rPr>
            </w:pPr>
            <w:r w:rsidRPr="001B73F0">
              <w:rPr>
                <w:lang w:val="fr-FR"/>
              </w:rPr>
              <w:t>Fonds disponibles, fin d’exercice</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166A0E" w:rsidRPr="001B73F0" w:rsidRDefault="00166A0E" w:rsidP="00AC7DD3">
            <w:pPr>
              <w:jc w:val="right"/>
              <w:rPr>
                <w:lang w:val="fr-FR"/>
              </w:rPr>
            </w:pPr>
          </w:p>
        </w:tc>
        <w:tc>
          <w:tcPr>
            <w:tcW w:w="1445"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166A0E" w:rsidRPr="001B73F0" w:rsidRDefault="00166A0E" w:rsidP="00AC7DD3">
            <w:pPr>
              <w:jc w:val="right"/>
              <w:rPr>
                <w:lang w:val="fr-FR"/>
              </w:rPr>
            </w:pPr>
            <w:r w:rsidRPr="001B73F0">
              <w:rPr>
                <w:lang w:val="fr-FR"/>
              </w:rPr>
              <w:t>3 335</w:t>
            </w:r>
          </w:p>
        </w:tc>
      </w:tr>
    </w:tbl>
    <w:p w:rsidR="00166A0E" w:rsidRPr="00E143CC" w:rsidRDefault="00166A0E" w:rsidP="00166A0E"/>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jc w:val="right"/>
      </w:pPr>
    </w:p>
    <w:p w:rsidR="00166A0E" w:rsidRPr="00E143CC" w:rsidRDefault="00166A0E" w:rsidP="00166A0E">
      <w:pPr>
        <w:rPr>
          <w:i/>
        </w:rPr>
      </w:pPr>
    </w:p>
    <w:p w:rsidR="00166A0E" w:rsidRPr="00E143CC" w:rsidRDefault="00166A0E" w:rsidP="00166A0E">
      <w:pPr>
        <w:ind w:left="1652" w:hanging="448"/>
        <w:rPr>
          <w:i/>
          <w:sz w:val="16"/>
          <w:szCs w:val="16"/>
        </w:rPr>
      </w:pPr>
    </w:p>
    <w:p w:rsidR="00166A0E" w:rsidRPr="00E143CC" w:rsidRDefault="00166A0E" w:rsidP="00166A0E">
      <w:pPr>
        <w:ind w:left="1652" w:hanging="448"/>
        <w:rPr>
          <w:sz w:val="16"/>
          <w:szCs w:val="16"/>
          <w:lang w:val="fr-CH"/>
        </w:rPr>
      </w:pPr>
      <w:r w:rsidRPr="00E143CC">
        <w:rPr>
          <w:i/>
          <w:sz w:val="16"/>
          <w:szCs w:val="16"/>
          <w:lang w:val="fr-CH"/>
        </w:rPr>
        <w:t>Note :</w:t>
      </w:r>
      <w:r w:rsidRPr="00E143CC">
        <w:rPr>
          <w:sz w:val="16"/>
          <w:szCs w:val="16"/>
          <w:lang w:val="fr-CH"/>
        </w:rPr>
        <w:t xml:space="preserve"> fonds fiduciaires sous</w:t>
      </w:r>
      <w:r w:rsidR="00742791">
        <w:rPr>
          <w:sz w:val="16"/>
          <w:szCs w:val="16"/>
          <w:lang w:val="fr-CH"/>
        </w:rPr>
        <w:t xml:space="preserve"> la</w:t>
      </w:r>
      <w:r w:rsidRPr="00E143CC">
        <w:rPr>
          <w:sz w:val="16"/>
          <w:szCs w:val="16"/>
          <w:lang w:val="fr-CH"/>
        </w:rPr>
        <w:t xml:space="preserve"> forme d</w:t>
      </w:r>
      <w:r w:rsidR="00742791">
        <w:rPr>
          <w:sz w:val="16"/>
          <w:szCs w:val="16"/>
          <w:lang w:val="fr-CH"/>
        </w:rPr>
        <w:t>’un</w:t>
      </w:r>
      <w:r w:rsidRPr="00E143CC">
        <w:rPr>
          <w:sz w:val="16"/>
          <w:szCs w:val="16"/>
          <w:lang w:val="fr-CH"/>
        </w:rPr>
        <w:t xml:space="preserve"> fonds extrabudgétaire du Gouvernement des États</w:t>
      </w:r>
      <w:r w:rsidRPr="00E143CC">
        <w:rPr>
          <w:sz w:val="16"/>
          <w:szCs w:val="16"/>
          <w:lang w:val="fr-CH"/>
        </w:rPr>
        <w:noBreakHyphen/>
        <w:t>Unis d’Amérique destiné à l’éducation en matière de protection de la propriété intellectuelle dans le domaine de la protection des obtentions végétales.</w:t>
      </w:r>
    </w:p>
    <w:p w:rsidR="00166A0E" w:rsidRPr="00E143CC" w:rsidRDefault="00166A0E" w:rsidP="00166A0E">
      <w:pPr>
        <w:ind w:left="1652" w:hanging="448"/>
        <w:rPr>
          <w:sz w:val="16"/>
          <w:szCs w:val="16"/>
          <w:lang w:val="fr-CH"/>
        </w:rPr>
      </w:pPr>
    </w:p>
    <w:p w:rsidR="00166A0E" w:rsidRPr="00E143CC" w:rsidRDefault="00166A0E" w:rsidP="00166A0E">
      <w:pPr>
        <w:jc w:val="right"/>
        <w:rPr>
          <w:lang w:val="fr-CH"/>
        </w:rPr>
      </w:pPr>
    </w:p>
    <w:p w:rsidR="00166A0E" w:rsidRPr="00E143CC" w:rsidRDefault="00166A0E" w:rsidP="00166A0E">
      <w:pPr>
        <w:jc w:val="right"/>
        <w:rPr>
          <w:lang w:val="fr-CH"/>
        </w:rPr>
      </w:pPr>
    </w:p>
    <w:p w:rsidR="00166A0E" w:rsidRPr="00E143CC" w:rsidRDefault="00166A0E" w:rsidP="00166A0E">
      <w:pPr>
        <w:jc w:val="right"/>
        <w:rPr>
          <w:lang w:val="fr-CH"/>
        </w:rPr>
      </w:pPr>
    </w:p>
    <w:p w:rsidR="00166A0E" w:rsidRPr="00E143CC" w:rsidRDefault="00166A0E" w:rsidP="00166A0E">
      <w:pPr>
        <w:jc w:val="right"/>
        <w:rPr>
          <w:lang w:val="fr-CH"/>
        </w:rPr>
      </w:pPr>
      <w:r w:rsidRPr="00E143CC">
        <w:rPr>
          <w:lang w:val="fr-CH"/>
        </w:rPr>
        <w:t>[Fin de l’annexe et du document]</w:t>
      </w:r>
    </w:p>
    <w:p w:rsidR="00166A0E" w:rsidRPr="00E143CC" w:rsidRDefault="00166A0E" w:rsidP="00166A0E">
      <w:pPr>
        <w:jc w:val="right"/>
        <w:rPr>
          <w:lang w:val="fr-CH"/>
        </w:rPr>
      </w:pPr>
    </w:p>
    <w:sectPr w:rsidR="00166A0E" w:rsidRPr="00E143CC" w:rsidSect="00E76FEC">
      <w:headerReference w:type="first" r:id="rId4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137" w:rsidRDefault="007F3137" w:rsidP="006655D3">
      <w:r>
        <w:separator/>
      </w:r>
    </w:p>
    <w:p w:rsidR="007F3137" w:rsidRDefault="007F3137" w:rsidP="006655D3"/>
    <w:p w:rsidR="007F3137" w:rsidRDefault="007F3137" w:rsidP="006655D3"/>
  </w:endnote>
  <w:endnote w:type="continuationSeparator" w:id="0">
    <w:p w:rsidR="007F3137" w:rsidRDefault="007F3137" w:rsidP="006655D3">
      <w:r>
        <w:separator/>
      </w:r>
    </w:p>
    <w:p w:rsidR="007F3137" w:rsidRPr="00560A6D" w:rsidRDefault="007F3137">
      <w:pPr>
        <w:pStyle w:val="Footer"/>
        <w:spacing w:after="60"/>
        <w:rPr>
          <w:sz w:val="18"/>
          <w:lang w:val="fr-FR"/>
        </w:rPr>
      </w:pPr>
      <w:r w:rsidRPr="00560A6D">
        <w:rPr>
          <w:sz w:val="18"/>
          <w:lang w:val="fr-FR"/>
        </w:rPr>
        <w:t>[Suite de la note de la page précédente]</w:t>
      </w:r>
    </w:p>
    <w:p w:rsidR="007F3137" w:rsidRPr="00560A6D" w:rsidRDefault="007F3137" w:rsidP="006655D3">
      <w:pPr>
        <w:rPr>
          <w:lang w:val="fr-FR"/>
        </w:rPr>
      </w:pPr>
    </w:p>
    <w:p w:rsidR="007F3137" w:rsidRPr="00560A6D" w:rsidRDefault="007F3137" w:rsidP="006655D3">
      <w:pPr>
        <w:rPr>
          <w:lang w:val="fr-FR"/>
        </w:rPr>
      </w:pPr>
    </w:p>
  </w:endnote>
  <w:endnote w:type="continuationNotice" w:id="1">
    <w:p w:rsidR="007F3137" w:rsidRPr="00560A6D" w:rsidRDefault="007F3137" w:rsidP="006655D3">
      <w:pPr>
        <w:rPr>
          <w:lang w:val="fr-FR"/>
        </w:rPr>
      </w:pPr>
      <w:r w:rsidRPr="00560A6D">
        <w:rPr>
          <w:lang w:val="fr-FR"/>
        </w:rPr>
        <w:t>[Suite de la note page suivante]</w:t>
      </w:r>
    </w:p>
    <w:p w:rsidR="007F3137" w:rsidRPr="00560A6D" w:rsidRDefault="007F3137" w:rsidP="006655D3">
      <w:pPr>
        <w:rPr>
          <w:lang w:val="fr-FR"/>
        </w:rPr>
      </w:pPr>
    </w:p>
    <w:p w:rsidR="007F3137" w:rsidRPr="00560A6D" w:rsidRDefault="007F313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37" w:rsidRDefault="007F3137" w:rsidP="001921EF">
    <w:pPr>
      <w:pStyle w:val="Footer"/>
      <w:jc w:val="center"/>
    </w:pPr>
  </w:p>
  <w:p w:rsidR="007F3137" w:rsidRDefault="007F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137" w:rsidRDefault="007F3137" w:rsidP="00C95616">
      <w:pPr>
        <w:spacing w:before="120"/>
      </w:pPr>
      <w:r>
        <w:separator/>
      </w:r>
    </w:p>
  </w:footnote>
  <w:footnote w:type="continuationSeparator" w:id="0">
    <w:p w:rsidR="007F3137" w:rsidRDefault="007F3137" w:rsidP="006655D3">
      <w:r>
        <w:separator/>
      </w:r>
    </w:p>
  </w:footnote>
  <w:footnote w:type="continuationNotice" w:id="1">
    <w:p w:rsidR="007F3137" w:rsidRPr="00A56FAA" w:rsidRDefault="007F3137" w:rsidP="00A56FAA">
      <w:pPr>
        <w:pStyle w:val="Footer"/>
        <w:rPr>
          <w:szCs w:val="18"/>
        </w:rPr>
      </w:pPr>
    </w:p>
  </w:footnote>
  <w:footnote w:id="2">
    <w:p w:rsidR="007F3137" w:rsidRPr="00937E83" w:rsidRDefault="007F3137" w:rsidP="00937E83">
      <w:pPr>
        <w:pStyle w:val="FootnoteText"/>
        <w:rPr>
          <w:lang w:val="fr-CH"/>
        </w:rPr>
      </w:pPr>
      <w:r>
        <w:rPr>
          <w:rStyle w:val="FootnoteReference"/>
        </w:rPr>
        <w:footnoteRef/>
      </w:r>
      <w:r w:rsidRPr="00937E83">
        <w:rPr>
          <w:lang w:val="fr-CH"/>
        </w:rPr>
        <w:t xml:space="preserve"> </w:t>
      </w:r>
      <w:r>
        <w:rPr>
          <w:lang w:val="fr-CH"/>
        </w:rPr>
        <w:tab/>
      </w:r>
      <w:r w:rsidRPr="00937E83">
        <w:rPr>
          <w:color w:val="000000"/>
          <w:lang w:val="fr-CH"/>
        </w:rPr>
        <w:t xml:space="preserve">Les éventuelles </w:t>
      </w:r>
      <w:r>
        <w:rPr>
          <w:color w:val="000000"/>
          <w:lang w:val="fr-CH"/>
        </w:rPr>
        <w:t>variation</w:t>
      </w:r>
      <w:r w:rsidRPr="00937E83">
        <w:rPr>
          <w:color w:val="000000"/>
          <w:lang w:val="fr-CH"/>
        </w:rPr>
        <w:t xml:space="preserve">s </w:t>
      </w:r>
      <w:r>
        <w:rPr>
          <w:color w:val="000000"/>
          <w:lang w:val="fr-CH"/>
        </w:rPr>
        <w:t>constatées</w:t>
      </w:r>
      <w:r w:rsidRPr="00937E83">
        <w:rPr>
          <w:color w:val="000000"/>
          <w:lang w:val="fr-CH"/>
        </w:rPr>
        <w:t xml:space="preserve"> par rapport aux états financiers sont dues au fait que les chiffres sont arrondis</w:t>
      </w:r>
      <w:r>
        <w:rPr>
          <w:color w:val="00000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37" w:rsidRPr="00C5280D" w:rsidRDefault="007F3137" w:rsidP="008527FA">
    <w:pPr>
      <w:pStyle w:val="Header"/>
      <w:rPr>
        <w:rStyle w:val="PageNumber"/>
        <w:lang w:val="en-US"/>
      </w:rPr>
    </w:pPr>
    <w:r w:rsidRPr="008527FA">
      <w:rPr>
        <w:rStyle w:val="PageNumber"/>
        <w:color w:val="000000"/>
        <w:lang w:val="en-US"/>
      </w:rPr>
      <w:t>C/48/4</w:t>
    </w:r>
  </w:p>
  <w:p w:rsidR="007F3137" w:rsidRPr="00C5280D" w:rsidRDefault="007F3137" w:rsidP="008527FA">
    <w:pPr>
      <w:pStyle w:val="Header"/>
    </w:pPr>
    <w:r w:rsidRPr="008527FA">
      <w:rPr>
        <w:color w:val="000000"/>
      </w:rPr>
      <w:t>page</w:t>
    </w:r>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27</w:t>
    </w:r>
    <w:r w:rsidRPr="00C5280D">
      <w:rPr>
        <w:rStyle w:val="PageNumber"/>
        <w:lang w:val="en-US"/>
      </w:rPr>
      <w:fldChar w:fldCharType="end"/>
    </w:r>
  </w:p>
  <w:p w:rsidR="007F3137" w:rsidRPr="00C5280D" w:rsidRDefault="007F313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37" w:rsidRPr="002F09F3" w:rsidRDefault="007F3137" w:rsidP="00FF4102">
    <w:pPr>
      <w:pStyle w:val="Header"/>
      <w:rPr>
        <w:lang w:val="en-US"/>
      </w:rPr>
    </w:pPr>
    <w:r w:rsidRPr="00FF4102">
      <w:rPr>
        <w:color w:val="000000"/>
        <w:lang w:val="en-US"/>
      </w:rPr>
      <w:t>C/48/4</w:t>
    </w:r>
  </w:p>
  <w:p w:rsidR="007F3137" w:rsidRPr="002F09F3" w:rsidRDefault="007F3137" w:rsidP="00FF4102">
    <w:pPr>
      <w:pStyle w:val="Header"/>
      <w:rPr>
        <w:noProof/>
        <w:lang w:val="en-US"/>
      </w:rPr>
    </w:pPr>
    <w:r w:rsidRPr="00FF4102">
      <w:rPr>
        <w:color w:val="000000"/>
        <w:lang w:val="en-US"/>
      </w:rPr>
      <w:t>Annexe, page</w:t>
    </w:r>
    <w:r w:rsidRPr="002F09F3">
      <w:rPr>
        <w:lang w:val="en-US"/>
      </w:rPr>
      <w:t xml:space="preserve"> </w:t>
    </w:r>
    <w:r w:rsidRPr="002F09F3">
      <w:rPr>
        <w:lang w:val="en-US"/>
      </w:rPr>
      <w:fldChar w:fldCharType="begin"/>
    </w:r>
    <w:r w:rsidRPr="002F09F3">
      <w:rPr>
        <w:lang w:val="en-US"/>
      </w:rPr>
      <w:instrText xml:space="preserve"> PAGE   \* MERGEFORMAT </w:instrText>
    </w:r>
    <w:r w:rsidRPr="002F09F3">
      <w:rPr>
        <w:lang w:val="en-US"/>
      </w:rPr>
      <w:fldChar w:fldCharType="separate"/>
    </w:r>
    <w:r w:rsidR="00AF171B">
      <w:rPr>
        <w:noProof/>
        <w:lang w:val="en-US"/>
      </w:rPr>
      <w:t>27</w:t>
    </w:r>
    <w:r w:rsidRPr="002F09F3">
      <w:rPr>
        <w:noProof/>
        <w:lang w:val="en-US"/>
      </w:rPr>
      <w:fldChar w:fldCharType="end"/>
    </w:r>
  </w:p>
  <w:p w:rsidR="007F3137" w:rsidRPr="002F09F3" w:rsidRDefault="007F3137" w:rsidP="00C76EE9">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37" w:rsidRDefault="007F3137" w:rsidP="005C7018">
    <w:pPr>
      <w:pStyle w:val="Header"/>
      <w:rPr>
        <w:lang w:val="en-US"/>
      </w:rPr>
    </w:pPr>
    <w:r>
      <w:rPr>
        <w:lang w:val="en-US"/>
      </w:rPr>
      <w:t>C48/4</w:t>
    </w:r>
  </w:p>
  <w:p w:rsidR="007F3137" w:rsidRDefault="007F3137" w:rsidP="005C7018">
    <w:pPr>
      <w:pStyle w:val="Header"/>
      <w:rPr>
        <w:lang w:val="en-US"/>
      </w:rPr>
    </w:pPr>
  </w:p>
  <w:p w:rsidR="007F3137" w:rsidRDefault="007F3137" w:rsidP="005C7018">
    <w:pPr>
      <w:pStyle w:val="Header"/>
      <w:rPr>
        <w:lang w:val="en-US"/>
      </w:rPr>
    </w:pPr>
    <w:r>
      <w:rPr>
        <w:lang w:val="en-US"/>
      </w:rPr>
      <w:t>ANNEXE</w:t>
    </w:r>
  </w:p>
  <w:p w:rsidR="007F3137" w:rsidRDefault="007F3137" w:rsidP="005C7018">
    <w:pPr>
      <w:pStyle w:val="Header"/>
      <w:rPr>
        <w:lang w:val="en-US"/>
      </w:rPr>
    </w:pPr>
  </w:p>
  <w:p w:rsidR="007F3137" w:rsidRDefault="007F3137" w:rsidP="005C7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50095"/>
      <w:docPartObj>
        <w:docPartGallery w:val="Page Numbers (Top of Page)"/>
        <w:docPartUnique/>
      </w:docPartObj>
    </w:sdtPr>
    <w:sdtEndPr>
      <w:rPr>
        <w:noProof/>
      </w:rPr>
    </w:sdtEndPr>
    <w:sdtContent>
      <w:p w:rsidR="007F3137" w:rsidRPr="002F09F3" w:rsidRDefault="007F3137" w:rsidP="005C7018">
        <w:pPr>
          <w:pStyle w:val="Header"/>
          <w:rPr>
            <w:lang w:val="en-US"/>
          </w:rPr>
        </w:pPr>
        <w:r w:rsidRPr="002F09F3">
          <w:rPr>
            <w:lang w:val="en-US"/>
          </w:rPr>
          <w:t>C/48/4</w:t>
        </w:r>
      </w:p>
      <w:p w:rsidR="007F3137" w:rsidRDefault="007F3137" w:rsidP="005C7018">
        <w:pPr>
          <w:pStyle w:val="Header"/>
        </w:pPr>
        <w:r>
          <w:rPr>
            <w:lang w:val="en-US"/>
          </w:rPr>
          <w:t>Annexe,</w:t>
        </w:r>
        <w:r w:rsidRPr="002F09F3">
          <w:rPr>
            <w:lang w:val="en-US"/>
          </w:rPr>
          <w:t xml:space="preserve"> page</w:t>
        </w:r>
        <w:r>
          <w:rPr>
            <w:lang w:val="en-US"/>
          </w:rPr>
          <w:t> </w:t>
        </w:r>
        <w:r>
          <w:fldChar w:fldCharType="begin"/>
        </w:r>
        <w:r>
          <w:instrText xml:space="preserve"> PAGE   \* MERGEFORMAT </w:instrText>
        </w:r>
        <w:r>
          <w:fldChar w:fldCharType="separate"/>
        </w:r>
        <w:r w:rsidR="00AF171B">
          <w:rPr>
            <w:noProof/>
          </w:rPr>
          <w:t>2</w:t>
        </w:r>
        <w:r>
          <w:rPr>
            <w:noProof/>
          </w:rPr>
          <w:fldChar w:fldCharType="end"/>
        </w:r>
      </w:p>
    </w:sdtContent>
  </w:sdt>
  <w:p w:rsidR="007F3137" w:rsidRDefault="007F3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8CC2B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9"/>
  </w:num>
  <w:num w:numId="22">
    <w:abstractNumId w:val="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UPOV\Other|UPOV\Publications|UPOV\Technical Guidelines|UPOV\Meeting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Budget and Finance\Meetings|Budget and Finance\Other|Budget and Finance\Publications|Copyright\Meetings|Copyright\Other|Copyright\Publications|Glossaries\EN-FR|Treaties\Model Laws|Treaties\Other Laws and Agreements|Treaties\WIPO-administered|Patents\Meetings|Patents\Other|Patents\Publications|Trademarks\Meetings|Trademarks\Other|Trademarks\Publications|IP in General\Academy|IP in General\Arbitration and Mediation|IP in General\Meetings|IP in General\Other|IP in General\Press Room|IP in General\Publications"/>
    <w:docVar w:name="TextBaseURL" w:val="empty"/>
    <w:docVar w:name="UILng" w:val="en"/>
  </w:docVars>
  <w:rsids>
    <w:rsidRoot w:val="00C431BE"/>
    <w:rsid w:val="00010CF3"/>
    <w:rsid w:val="00011E27"/>
    <w:rsid w:val="000148BC"/>
    <w:rsid w:val="00016902"/>
    <w:rsid w:val="00024AB8"/>
    <w:rsid w:val="00030854"/>
    <w:rsid w:val="00036028"/>
    <w:rsid w:val="00044642"/>
    <w:rsid w:val="000446B9"/>
    <w:rsid w:val="000478F6"/>
    <w:rsid w:val="00047E21"/>
    <w:rsid w:val="00071133"/>
    <w:rsid w:val="00073668"/>
    <w:rsid w:val="00085505"/>
    <w:rsid w:val="000914E2"/>
    <w:rsid w:val="00092EDA"/>
    <w:rsid w:val="000A68B4"/>
    <w:rsid w:val="000C4C0D"/>
    <w:rsid w:val="000C7021"/>
    <w:rsid w:val="000D6BBC"/>
    <w:rsid w:val="000D7780"/>
    <w:rsid w:val="000E15D4"/>
    <w:rsid w:val="000E7048"/>
    <w:rsid w:val="000F209C"/>
    <w:rsid w:val="000F305E"/>
    <w:rsid w:val="00105929"/>
    <w:rsid w:val="00106C61"/>
    <w:rsid w:val="001131D5"/>
    <w:rsid w:val="00115A09"/>
    <w:rsid w:val="00126058"/>
    <w:rsid w:val="001377BE"/>
    <w:rsid w:val="00140793"/>
    <w:rsid w:val="00141316"/>
    <w:rsid w:val="00141DB8"/>
    <w:rsid w:val="00142C30"/>
    <w:rsid w:val="001539CA"/>
    <w:rsid w:val="00166A0E"/>
    <w:rsid w:val="0017474A"/>
    <w:rsid w:val="001758C6"/>
    <w:rsid w:val="00180DE0"/>
    <w:rsid w:val="0018246F"/>
    <w:rsid w:val="00182B99"/>
    <w:rsid w:val="0018373F"/>
    <w:rsid w:val="00191B7D"/>
    <w:rsid w:val="001921EF"/>
    <w:rsid w:val="00194C86"/>
    <w:rsid w:val="001A0080"/>
    <w:rsid w:val="001B73F0"/>
    <w:rsid w:val="001E0CF9"/>
    <w:rsid w:val="001E0EF9"/>
    <w:rsid w:val="00202F3C"/>
    <w:rsid w:val="0021332C"/>
    <w:rsid w:val="00213982"/>
    <w:rsid w:val="00235388"/>
    <w:rsid w:val="00242E11"/>
    <w:rsid w:val="0024416D"/>
    <w:rsid w:val="002800A0"/>
    <w:rsid w:val="002801B3"/>
    <w:rsid w:val="0028098F"/>
    <w:rsid w:val="00281060"/>
    <w:rsid w:val="002940E8"/>
    <w:rsid w:val="002A6E50"/>
    <w:rsid w:val="002B1132"/>
    <w:rsid w:val="002C256A"/>
    <w:rsid w:val="002C53A4"/>
    <w:rsid w:val="002D0137"/>
    <w:rsid w:val="002F09F3"/>
    <w:rsid w:val="002F4B84"/>
    <w:rsid w:val="00302BA6"/>
    <w:rsid w:val="00305A7F"/>
    <w:rsid w:val="00315280"/>
    <w:rsid w:val="003152FE"/>
    <w:rsid w:val="003210D6"/>
    <w:rsid w:val="00327436"/>
    <w:rsid w:val="0033507D"/>
    <w:rsid w:val="00344BD6"/>
    <w:rsid w:val="0035528D"/>
    <w:rsid w:val="0035627A"/>
    <w:rsid w:val="00361821"/>
    <w:rsid w:val="00371404"/>
    <w:rsid w:val="00374E52"/>
    <w:rsid w:val="00381F0D"/>
    <w:rsid w:val="003D227C"/>
    <w:rsid w:val="003D2B4D"/>
    <w:rsid w:val="003D5268"/>
    <w:rsid w:val="003E322A"/>
    <w:rsid w:val="003E4EAC"/>
    <w:rsid w:val="003E5A82"/>
    <w:rsid w:val="003F0534"/>
    <w:rsid w:val="00444A88"/>
    <w:rsid w:val="00445F20"/>
    <w:rsid w:val="0045369B"/>
    <w:rsid w:val="004622E4"/>
    <w:rsid w:val="00474DA4"/>
    <w:rsid w:val="00476B4D"/>
    <w:rsid w:val="004805FA"/>
    <w:rsid w:val="0049794B"/>
    <w:rsid w:val="004A4D0E"/>
    <w:rsid w:val="004B7751"/>
    <w:rsid w:val="004C2612"/>
    <w:rsid w:val="004D047D"/>
    <w:rsid w:val="004D6BF2"/>
    <w:rsid w:val="004F305A"/>
    <w:rsid w:val="00503B4C"/>
    <w:rsid w:val="00504419"/>
    <w:rsid w:val="0051068B"/>
    <w:rsid w:val="00512164"/>
    <w:rsid w:val="00520297"/>
    <w:rsid w:val="00526908"/>
    <w:rsid w:val="00531C9C"/>
    <w:rsid w:val="00532F43"/>
    <w:rsid w:val="005338F9"/>
    <w:rsid w:val="0054281C"/>
    <w:rsid w:val="005454E6"/>
    <w:rsid w:val="0055268D"/>
    <w:rsid w:val="00560A6D"/>
    <w:rsid w:val="00576BE4"/>
    <w:rsid w:val="005A400A"/>
    <w:rsid w:val="005C7018"/>
    <w:rsid w:val="005E25AA"/>
    <w:rsid w:val="005F05B6"/>
    <w:rsid w:val="00612379"/>
    <w:rsid w:val="0061555F"/>
    <w:rsid w:val="006360C1"/>
    <w:rsid w:val="00641200"/>
    <w:rsid w:val="006423F9"/>
    <w:rsid w:val="00646BFB"/>
    <w:rsid w:val="0065441F"/>
    <w:rsid w:val="006603C1"/>
    <w:rsid w:val="00663239"/>
    <w:rsid w:val="006655D3"/>
    <w:rsid w:val="0067078A"/>
    <w:rsid w:val="00687EB4"/>
    <w:rsid w:val="006B17D2"/>
    <w:rsid w:val="006C224E"/>
    <w:rsid w:val="006C4E45"/>
    <w:rsid w:val="006D780A"/>
    <w:rsid w:val="006F362C"/>
    <w:rsid w:val="007137EB"/>
    <w:rsid w:val="007148E1"/>
    <w:rsid w:val="00722D8F"/>
    <w:rsid w:val="00732DEC"/>
    <w:rsid w:val="00735BD5"/>
    <w:rsid w:val="00742545"/>
    <w:rsid w:val="00742791"/>
    <w:rsid w:val="00743DC1"/>
    <w:rsid w:val="00744BB5"/>
    <w:rsid w:val="00745CF1"/>
    <w:rsid w:val="007556F6"/>
    <w:rsid w:val="00760EEF"/>
    <w:rsid w:val="00766B27"/>
    <w:rsid w:val="007676EC"/>
    <w:rsid w:val="00773B82"/>
    <w:rsid w:val="00777EE5"/>
    <w:rsid w:val="00780E2C"/>
    <w:rsid w:val="00784836"/>
    <w:rsid w:val="0079023E"/>
    <w:rsid w:val="007971D9"/>
    <w:rsid w:val="007A2854"/>
    <w:rsid w:val="007A5B7C"/>
    <w:rsid w:val="007B5A4C"/>
    <w:rsid w:val="007C3C34"/>
    <w:rsid w:val="007C513A"/>
    <w:rsid w:val="007D0B9D"/>
    <w:rsid w:val="007D19B0"/>
    <w:rsid w:val="007E32AF"/>
    <w:rsid w:val="007F1F20"/>
    <w:rsid w:val="007F3137"/>
    <w:rsid w:val="007F498F"/>
    <w:rsid w:val="007F6E11"/>
    <w:rsid w:val="0080679D"/>
    <w:rsid w:val="008108B0"/>
    <w:rsid w:val="00811B20"/>
    <w:rsid w:val="00812680"/>
    <w:rsid w:val="0082296E"/>
    <w:rsid w:val="00824099"/>
    <w:rsid w:val="00825887"/>
    <w:rsid w:val="00827F1D"/>
    <w:rsid w:val="0083127D"/>
    <w:rsid w:val="008518D2"/>
    <w:rsid w:val="008527FA"/>
    <w:rsid w:val="00867AC1"/>
    <w:rsid w:val="008A3C6D"/>
    <w:rsid w:val="008A743F"/>
    <w:rsid w:val="008B2D0A"/>
    <w:rsid w:val="008B6109"/>
    <w:rsid w:val="008C0970"/>
    <w:rsid w:val="008D2CF7"/>
    <w:rsid w:val="008E31F3"/>
    <w:rsid w:val="008E7707"/>
    <w:rsid w:val="008E7F52"/>
    <w:rsid w:val="00900C26"/>
    <w:rsid w:val="0090197F"/>
    <w:rsid w:val="00901A3F"/>
    <w:rsid w:val="00906DDC"/>
    <w:rsid w:val="00917841"/>
    <w:rsid w:val="009316C4"/>
    <w:rsid w:val="00934577"/>
    <w:rsid w:val="00934E09"/>
    <w:rsid w:val="00936253"/>
    <w:rsid w:val="00937E83"/>
    <w:rsid w:val="00946E60"/>
    <w:rsid w:val="00947760"/>
    <w:rsid w:val="00952DD4"/>
    <w:rsid w:val="00965A10"/>
    <w:rsid w:val="00970EB5"/>
    <w:rsid w:val="00970FED"/>
    <w:rsid w:val="0098753A"/>
    <w:rsid w:val="00997029"/>
    <w:rsid w:val="009A0C8C"/>
    <w:rsid w:val="009B6354"/>
    <w:rsid w:val="009D690D"/>
    <w:rsid w:val="009E65B6"/>
    <w:rsid w:val="009F7D0F"/>
    <w:rsid w:val="00A15B82"/>
    <w:rsid w:val="00A23A34"/>
    <w:rsid w:val="00A42AC3"/>
    <w:rsid w:val="00A430CF"/>
    <w:rsid w:val="00A4653A"/>
    <w:rsid w:val="00A46DE9"/>
    <w:rsid w:val="00A54309"/>
    <w:rsid w:val="00A56FAA"/>
    <w:rsid w:val="00A60A7B"/>
    <w:rsid w:val="00A92199"/>
    <w:rsid w:val="00AB2B93"/>
    <w:rsid w:val="00AB7E5B"/>
    <w:rsid w:val="00AC7DD3"/>
    <w:rsid w:val="00AE0EF1"/>
    <w:rsid w:val="00AE2937"/>
    <w:rsid w:val="00AE793E"/>
    <w:rsid w:val="00AF112F"/>
    <w:rsid w:val="00AF171B"/>
    <w:rsid w:val="00B07301"/>
    <w:rsid w:val="00B14A1B"/>
    <w:rsid w:val="00B1691D"/>
    <w:rsid w:val="00B224DE"/>
    <w:rsid w:val="00B35E89"/>
    <w:rsid w:val="00B46575"/>
    <w:rsid w:val="00B84BBD"/>
    <w:rsid w:val="00BA43FB"/>
    <w:rsid w:val="00BA6252"/>
    <w:rsid w:val="00BB23C2"/>
    <w:rsid w:val="00BB790E"/>
    <w:rsid w:val="00BC127D"/>
    <w:rsid w:val="00BC1FE6"/>
    <w:rsid w:val="00BD5E7F"/>
    <w:rsid w:val="00BE02C7"/>
    <w:rsid w:val="00C061B6"/>
    <w:rsid w:val="00C2446C"/>
    <w:rsid w:val="00C36AE5"/>
    <w:rsid w:val="00C41F17"/>
    <w:rsid w:val="00C431BE"/>
    <w:rsid w:val="00C51D44"/>
    <w:rsid w:val="00C5280D"/>
    <w:rsid w:val="00C5791C"/>
    <w:rsid w:val="00C623F9"/>
    <w:rsid w:val="00C651CE"/>
    <w:rsid w:val="00C66290"/>
    <w:rsid w:val="00C72B7A"/>
    <w:rsid w:val="00C76EE9"/>
    <w:rsid w:val="00C94BE4"/>
    <w:rsid w:val="00C95616"/>
    <w:rsid w:val="00C973F2"/>
    <w:rsid w:val="00CA304C"/>
    <w:rsid w:val="00CA3BDE"/>
    <w:rsid w:val="00CA774A"/>
    <w:rsid w:val="00CB0054"/>
    <w:rsid w:val="00CB28CB"/>
    <w:rsid w:val="00CC11B0"/>
    <w:rsid w:val="00CC5823"/>
    <w:rsid w:val="00CD178F"/>
    <w:rsid w:val="00CE47DD"/>
    <w:rsid w:val="00CF798B"/>
    <w:rsid w:val="00CF7E36"/>
    <w:rsid w:val="00D00D30"/>
    <w:rsid w:val="00D02C3A"/>
    <w:rsid w:val="00D12AAF"/>
    <w:rsid w:val="00D24319"/>
    <w:rsid w:val="00D315DF"/>
    <w:rsid w:val="00D36F87"/>
    <w:rsid w:val="00D3708D"/>
    <w:rsid w:val="00D40426"/>
    <w:rsid w:val="00D41196"/>
    <w:rsid w:val="00D4237F"/>
    <w:rsid w:val="00D47229"/>
    <w:rsid w:val="00D47FDB"/>
    <w:rsid w:val="00D57C96"/>
    <w:rsid w:val="00D604B6"/>
    <w:rsid w:val="00D74683"/>
    <w:rsid w:val="00D81BFB"/>
    <w:rsid w:val="00D91203"/>
    <w:rsid w:val="00D95174"/>
    <w:rsid w:val="00DA3541"/>
    <w:rsid w:val="00DA6F36"/>
    <w:rsid w:val="00DA7E69"/>
    <w:rsid w:val="00DB3D83"/>
    <w:rsid w:val="00DB596E"/>
    <w:rsid w:val="00DC00EA"/>
    <w:rsid w:val="00DC0CD8"/>
    <w:rsid w:val="00DE4594"/>
    <w:rsid w:val="00E2157E"/>
    <w:rsid w:val="00E32F7E"/>
    <w:rsid w:val="00E44689"/>
    <w:rsid w:val="00E54141"/>
    <w:rsid w:val="00E72D49"/>
    <w:rsid w:val="00E7593C"/>
    <w:rsid w:val="00E7678A"/>
    <w:rsid w:val="00E76FEC"/>
    <w:rsid w:val="00E812C3"/>
    <w:rsid w:val="00E84C93"/>
    <w:rsid w:val="00E935F1"/>
    <w:rsid w:val="00E93B7E"/>
    <w:rsid w:val="00E94A81"/>
    <w:rsid w:val="00EA1FFB"/>
    <w:rsid w:val="00EB048E"/>
    <w:rsid w:val="00EC2294"/>
    <w:rsid w:val="00EE34DF"/>
    <w:rsid w:val="00EE7438"/>
    <w:rsid w:val="00EE7CE2"/>
    <w:rsid w:val="00EF2F89"/>
    <w:rsid w:val="00EF4D81"/>
    <w:rsid w:val="00F1237A"/>
    <w:rsid w:val="00F22CBD"/>
    <w:rsid w:val="00F2488F"/>
    <w:rsid w:val="00F45372"/>
    <w:rsid w:val="00F560F7"/>
    <w:rsid w:val="00F56C99"/>
    <w:rsid w:val="00F62C90"/>
    <w:rsid w:val="00F6334D"/>
    <w:rsid w:val="00F66245"/>
    <w:rsid w:val="00F80602"/>
    <w:rsid w:val="00F92D69"/>
    <w:rsid w:val="00FA4369"/>
    <w:rsid w:val="00FA49AB"/>
    <w:rsid w:val="00FC393E"/>
    <w:rsid w:val="00FD2A00"/>
    <w:rsid w:val="00FD7918"/>
    <w:rsid w:val="00FE39C7"/>
    <w:rsid w:val="00FF4102"/>
    <w:rsid w:val="00FF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33"/>
    <w:pPr>
      <w:jc w:val="both"/>
    </w:pPr>
    <w:rPr>
      <w:rFonts w:ascii="Arial" w:hAnsi="Arial"/>
    </w:rPr>
  </w:style>
  <w:style w:type="paragraph" w:styleId="Heading1">
    <w:name w:val="heading 1"/>
    <w:next w:val="Normal"/>
    <w:link w:val="Heading1Char"/>
    <w:autoRedefine/>
    <w:qFormat/>
    <w:rsid w:val="00071133"/>
    <w:pPr>
      <w:keepNext/>
      <w:outlineLvl w:val="0"/>
    </w:pPr>
    <w:rPr>
      <w:rFonts w:ascii="Arial" w:hAnsi="Arial"/>
      <w:b/>
      <w:caps/>
    </w:rPr>
  </w:style>
  <w:style w:type="paragraph" w:styleId="Heading2">
    <w:name w:val="heading 2"/>
    <w:next w:val="Normal"/>
    <w:link w:val="Heading2Char"/>
    <w:autoRedefine/>
    <w:qFormat/>
    <w:rsid w:val="00CA3BDE"/>
    <w:pPr>
      <w:keepNext/>
      <w:jc w:val="both"/>
      <w:outlineLvl w:val="1"/>
    </w:pPr>
    <w:rPr>
      <w:rFonts w:ascii="Arial Bold" w:hAnsi="Arial Bold"/>
      <w:b/>
      <w:caps/>
      <w:color w:val="FFFFFF" w:themeColor="background1"/>
      <w:sz w:val="16"/>
      <w:u w:val="single"/>
      <w:lang w:val="fr-CH"/>
    </w:rPr>
  </w:style>
  <w:style w:type="paragraph" w:styleId="Heading3">
    <w:name w:val="heading 3"/>
    <w:next w:val="Normal"/>
    <w:link w:val="Heading3Char"/>
    <w:autoRedefine/>
    <w:qFormat/>
    <w:rsid w:val="00CA3BDE"/>
    <w:pPr>
      <w:keepNext/>
      <w:jc w:val="center"/>
      <w:outlineLvl w:val="2"/>
    </w:pPr>
    <w:rPr>
      <w:rFonts w:ascii="Arial Bold" w:eastAsiaTheme="minorHAnsi" w:hAnsi="Arial Bold"/>
      <w:b/>
      <w:color w:val="FFFFFF" w:themeColor="background1"/>
      <w:sz w:val="16"/>
      <w:u w:val="single"/>
      <w:lang w:val="fr-CH"/>
    </w:rPr>
  </w:style>
  <w:style w:type="paragraph" w:styleId="Heading4">
    <w:name w:val="heading 4"/>
    <w:next w:val="Normal"/>
    <w:link w:val="Heading4Char"/>
    <w:autoRedefine/>
    <w:qFormat/>
    <w:rsid w:val="00071133"/>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071133"/>
    <w:pPr>
      <w:keepNext/>
      <w:ind w:left="1134" w:hanging="567"/>
      <w:jc w:val="center"/>
      <w:outlineLvl w:val="4"/>
    </w:pPr>
    <w:rPr>
      <w:rFonts w:ascii="Arial" w:hAnsi="Arial"/>
      <w:u w:val="single"/>
    </w:rPr>
  </w:style>
  <w:style w:type="paragraph" w:styleId="Heading6">
    <w:name w:val="heading 6"/>
    <w:basedOn w:val="Normal"/>
    <w:next w:val="Normal"/>
    <w:link w:val="Heading6Char"/>
    <w:qFormat/>
    <w:rsid w:val="00071133"/>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07113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07113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7113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071133"/>
    <w:pPr>
      <w:jc w:val="both"/>
    </w:pPr>
    <w:rPr>
      <w:rFonts w:ascii="Arial" w:hAnsi="Arial"/>
      <w:sz w:val="14"/>
    </w:rPr>
  </w:style>
  <w:style w:type="character" w:styleId="PageNumber">
    <w:name w:val="page number"/>
    <w:basedOn w:val="DefaultParagraphFont"/>
    <w:rsid w:val="00071133"/>
    <w:rPr>
      <w:rFonts w:ascii="Arial" w:hAnsi="Arial"/>
      <w:sz w:val="20"/>
    </w:rPr>
  </w:style>
  <w:style w:type="paragraph" w:styleId="Title">
    <w:name w:val="Title"/>
    <w:basedOn w:val="Normal"/>
    <w:link w:val="TitleChar"/>
    <w:qFormat/>
    <w:rsid w:val="00071133"/>
    <w:pPr>
      <w:spacing w:after="300"/>
      <w:jc w:val="center"/>
    </w:pPr>
    <w:rPr>
      <w:b/>
      <w:caps/>
      <w:kern w:val="28"/>
      <w:sz w:val="30"/>
    </w:rPr>
  </w:style>
  <w:style w:type="paragraph" w:customStyle="1" w:styleId="preparedby">
    <w:name w:val="preparedby"/>
    <w:basedOn w:val="Normal"/>
    <w:next w:val="Normal"/>
    <w:semiHidden/>
    <w:rsid w:val="00071133"/>
    <w:pPr>
      <w:spacing w:after="600"/>
      <w:jc w:val="center"/>
    </w:pPr>
    <w:rPr>
      <w:i/>
    </w:rPr>
  </w:style>
  <w:style w:type="paragraph" w:customStyle="1" w:styleId="Docoriginal">
    <w:name w:val="Doc_original"/>
    <w:basedOn w:val="Normal"/>
    <w:link w:val="DocoriginalChar"/>
    <w:rsid w:val="00071133"/>
    <w:pPr>
      <w:spacing w:line="280" w:lineRule="exact"/>
      <w:ind w:left="1361"/>
    </w:pPr>
    <w:rPr>
      <w:b/>
      <w:bCs/>
      <w:spacing w:val="10"/>
    </w:rPr>
  </w:style>
  <w:style w:type="paragraph" w:customStyle="1" w:styleId="DecisionParagraphs">
    <w:name w:val="DecisionParagraphs"/>
    <w:basedOn w:val="Normal"/>
    <w:rsid w:val="00071133"/>
    <w:pPr>
      <w:tabs>
        <w:tab w:val="left" w:pos="5387"/>
      </w:tabs>
      <w:ind w:left="4820"/>
    </w:pPr>
    <w:rPr>
      <w:i/>
    </w:rPr>
  </w:style>
  <w:style w:type="paragraph" w:styleId="FootnoteText">
    <w:name w:val="footnote text"/>
    <w:link w:val="FootnoteTextChar"/>
    <w:autoRedefine/>
    <w:rsid w:val="00071133"/>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071133"/>
    <w:rPr>
      <w:vertAlign w:val="superscript"/>
    </w:rPr>
  </w:style>
  <w:style w:type="paragraph" w:styleId="Closing">
    <w:name w:val="Closing"/>
    <w:basedOn w:val="Normal"/>
    <w:link w:val="ClosingChar"/>
    <w:rsid w:val="00071133"/>
    <w:pPr>
      <w:ind w:left="4536"/>
      <w:jc w:val="center"/>
    </w:pPr>
  </w:style>
  <w:style w:type="paragraph" w:styleId="Index1">
    <w:name w:val="index 1"/>
    <w:basedOn w:val="Normal"/>
    <w:next w:val="Normal"/>
    <w:semiHidden/>
    <w:rsid w:val="00071133"/>
    <w:pPr>
      <w:tabs>
        <w:tab w:val="right" w:leader="dot" w:pos="9071"/>
      </w:tabs>
      <w:ind w:left="284" w:hanging="284"/>
    </w:pPr>
    <w:rPr>
      <w:sz w:val="24"/>
    </w:rPr>
  </w:style>
  <w:style w:type="paragraph" w:styleId="Index2">
    <w:name w:val="index 2"/>
    <w:basedOn w:val="Normal"/>
    <w:next w:val="Normal"/>
    <w:semiHidden/>
    <w:rsid w:val="00071133"/>
    <w:pPr>
      <w:tabs>
        <w:tab w:val="right" w:leader="dot" w:pos="9071"/>
      </w:tabs>
      <w:ind w:left="568" w:hanging="284"/>
    </w:pPr>
    <w:rPr>
      <w:sz w:val="24"/>
    </w:rPr>
  </w:style>
  <w:style w:type="paragraph" w:styleId="Index3">
    <w:name w:val="index 3"/>
    <w:basedOn w:val="Normal"/>
    <w:next w:val="Normal"/>
    <w:semiHidden/>
    <w:rsid w:val="00071133"/>
    <w:pPr>
      <w:tabs>
        <w:tab w:val="right" w:leader="dot" w:pos="9071"/>
      </w:tabs>
      <w:ind w:left="851" w:hanging="284"/>
    </w:pPr>
    <w:rPr>
      <w:sz w:val="24"/>
    </w:rPr>
  </w:style>
  <w:style w:type="paragraph" w:styleId="MacroText">
    <w:name w:val="macro"/>
    <w:link w:val="MacroTextChar"/>
    <w:semiHidden/>
    <w:rsid w:val="000711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071133"/>
    <w:pPr>
      <w:ind w:left="4536"/>
      <w:jc w:val="center"/>
    </w:pPr>
  </w:style>
  <w:style w:type="character" w:customStyle="1" w:styleId="Doclang">
    <w:name w:val="Doc_lang"/>
    <w:basedOn w:val="DefaultParagraphFont"/>
    <w:rsid w:val="00071133"/>
    <w:rPr>
      <w:rFonts w:ascii="Arial" w:hAnsi="Arial"/>
      <w:sz w:val="20"/>
      <w:lang w:val="en-US"/>
    </w:rPr>
  </w:style>
  <w:style w:type="paragraph" w:customStyle="1" w:styleId="Session">
    <w:name w:val="Session"/>
    <w:basedOn w:val="Normal"/>
    <w:semiHidden/>
    <w:rsid w:val="00071133"/>
    <w:pPr>
      <w:spacing w:before="60"/>
      <w:jc w:val="center"/>
    </w:pPr>
    <w:rPr>
      <w:b/>
    </w:rPr>
  </w:style>
  <w:style w:type="paragraph" w:customStyle="1" w:styleId="Organizer">
    <w:name w:val="Organizer"/>
    <w:basedOn w:val="Normal"/>
    <w:semiHidden/>
    <w:rsid w:val="00071133"/>
    <w:pPr>
      <w:spacing w:after="600"/>
      <w:ind w:left="-993" w:right="-994"/>
      <w:jc w:val="center"/>
    </w:pPr>
    <w:rPr>
      <w:b/>
      <w:caps/>
      <w:kern w:val="26"/>
      <w:sz w:val="26"/>
    </w:rPr>
  </w:style>
  <w:style w:type="paragraph" w:styleId="BodyText">
    <w:name w:val="Body Text"/>
    <w:basedOn w:val="Normal"/>
    <w:link w:val="BodyTextChar"/>
    <w:rsid w:val="00071133"/>
  </w:style>
  <w:style w:type="paragraph" w:customStyle="1" w:styleId="StyleDocoriginalNotBold">
    <w:name w:val="Style Doc_original + Not Bold"/>
    <w:basedOn w:val="Docoriginal"/>
    <w:link w:val="StyleDocoriginalNotBoldChar"/>
    <w:autoRedefine/>
    <w:rsid w:val="00071133"/>
    <w:pPr>
      <w:ind w:left="1589"/>
      <w:jc w:val="left"/>
    </w:pPr>
  </w:style>
  <w:style w:type="paragraph" w:customStyle="1" w:styleId="upove">
    <w:name w:val="upov_e"/>
    <w:basedOn w:val="Normal"/>
    <w:rsid w:val="00071133"/>
    <w:pPr>
      <w:spacing w:before="60"/>
      <w:jc w:val="center"/>
    </w:pPr>
    <w:rPr>
      <w:b/>
      <w:bCs/>
      <w:spacing w:val="8"/>
      <w:sz w:val="24"/>
    </w:rPr>
  </w:style>
  <w:style w:type="paragraph" w:customStyle="1" w:styleId="TitleofDoc">
    <w:name w:val="Title of Doc"/>
    <w:basedOn w:val="Normal"/>
    <w:semiHidden/>
    <w:rsid w:val="00071133"/>
    <w:pPr>
      <w:spacing w:before="1200"/>
      <w:jc w:val="center"/>
    </w:pPr>
    <w:rPr>
      <w:caps/>
    </w:rPr>
  </w:style>
  <w:style w:type="paragraph" w:customStyle="1" w:styleId="preparedby0">
    <w:name w:val="prepared by"/>
    <w:basedOn w:val="Normal"/>
    <w:semiHidden/>
    <w:rsid w:val="00071133"/>
    <w:pPr>
      <w:spacing w:before="600" w:after="600"/>
      <w:jc w:val="center"/>
    </w:pPr>
    <w:rPr>
      <w:i/>
    </w:rPr>
  </w:style>
  <w:style w:type="paragraph" w:customStyle="1" w:styleId="PlaceAndDate">
    <w:name w:val="PlaceAndDate"/>
    <w:basedOn w:val="Session"/>
    <w:semiHidden/>
    <w:rsid w:val="00071133"/>
  </w:style>
  <w:style w:type="paragraph" w:styleId="EndnoteText">
    <w:name w:val="endnote text"/>
    <w:basedOn w:val="Normal"/>
    <w:link w:val="EndnoteTextChar"/>
    <w:semiHidden/>
    <w:rsid w:val="00071133"/>
  </w:style>
  <w:style w:type="character" w:styleId="EndnoteReference">
    <w:name w:val="endnote reference"/>
    <w:basedOn w:val="DefaultParagraphFont"/>
    <w:semiHidden/>
    <w:rsid w:val="00071133"/>
    <w:rPr>
      <w:vertAlign w:val="superscript"/>
    </w:rPr>
  </w:style>
  <w:style w:type="paragraph" w:customStyle="1" w:styleId="SessionMeetingPlace">
    <w:name w:val="Session_MeetingPlace"/>
    <w:basedOn w:val="Normal"/>
    <w:semiHidden/>
    <w:rsid w:val="00071133"/>
    <w:pPr>
      <w:spacing w:before="480"/>
      <w:jc w:val="center"/>
    </w:pPr>
    <w:rPr>
      <w:b/>
      <w:bCs/>
      <w:kern w:val="28"/>
      <w:sz w:val="24"/>
    </w:rPr>
  </w:style>
  <w:style w:type="paragraph" w:customStyle="1" w:styleId="Original">
    <w:name w:val="Original"/>
    <w:basedOn w:val="Normal"/>
    <w:semiHidden/>
    <w:rsid w:val="00071133"/>
    <w:pPr>
      <w:spacing w:before="60"/>
      <w:ind w:left="1276"/>
    </w:pPr>
    <w:rPr>
      <w:b/>
      <w:sz w:val="22"/>
    </w:rPr>
  </w:style>
  <w:style w:type="paragraph" w:styleId="Date">
    <w:name w:val="Date"/>
    <w:basedOn w:val="Normal"/>
    <w:link w:val="DateChar"/>
    <w:semiHidden/>
    <w:rsid w:val="00071133"/>
    <w:pPr>
      <w:spacing w:line="340" w:lineRule="exact"/>
      <w:ind w:left="1276"/>
    </w:pPr>
    <w:rPr>
      <w:b/>
      <w:sz w:val="22"/>
    </w:rPr>
  </w:style>
  <w:style w:type="paragraph" w:customStyle="1" w:styleId="Code">
    <w:name w:val="Code"/>
    <w:basedOn w:val="Normal"/>
    <w:link w:val="CodeChar"/>
    <w:semiHidden/>
    <w:rsid w:val="00071133"/>
    <w:pPr>
      <w:spacing w:line="340" w:lineRule="atLeast"/>
      <w:ind w:left="1276"/>
    </w:pPr>
    <w:rPr>
      <w:b/>
      <w:bCs/>
      <w:spacing w:val="10"/>
    </w:rPr>
  </w:style>
  <w:style w:type="paragraph" w:customStyle="1" w:styleId="Country">
    <w:name w:val="Country"/>
    <w:basedOn w:val="Normal"/>
    <w:semiHidden/>
    <w:rsid w:val="00071133"/>
    <w:pPr>
      <w:spacing w:before="60" w:after="480"/>
      <w:jc w:val="center"/>
    </w:pPr>
  </w:style>
  <w:style w:type="paragraph" w:customStyle="1" w:styleId="Lettrine">
    <w:name w:val="Lettrine"/>
    <w:basedOn w:val="Normal"/>
    <w:rsid w:val="00071133"/>
    <w:pPr>
      <w:spacing w:after="120" w:line="340" w:lineRule="atLeast"/>
      <w:jc w:val="right"/>
    </w:pPr>
    <w:rPr>
      <w:b/>
      <w:bCs/>
      <w:sz w:val="56"/>
    </w:rPr>
  </w:style>
  <w:style w:type="paragraph" w:customStyle="1" w:styleId="LogoUPOV">
    <w:name w:val="LogoUPOV"/>
    <w:basedOn w:val="Normal"/>
    <w:rsid w:val="00071133"/>
    <w:pPr>
      <w:spacing w:before="720"/>
      <w:jc w:val="center"/>
    </w:pPr>
  </w:style>
  <w:style w:type="paragraph" w:customStyle="1" w:styleId="Sessiontc">
    <w:name w:val="Session_tc"/>
    <w:basedOn w:val="StyleSessionAllcaps"/>
    <w:rsid w:val="00071133"/>
    <w:pPr>
      <w:spacing w:before="240"/>
    </w:pPr>
  </w:style>
  <w:style w:type="paragraph" w:customStyle="1" w:styleId="TitreUpov">
    <w:name w:val="TitreUpov"/>
    <w:basedOn w:val="Normal"/>
    <w:semiHidden/>
    <w:rsid w:val="00071133"/>
    <w:pPr>
      <w:spacing w:before="60"/>
      <w:jc w:val="center"/>
    </w:pPr>
    <w:rPr>
      <w:b/>
      <w:sz w:val="24"/>
    </w:rPr>
  </w:style>
  <w:style w:type="paragraph" w:customStyle="1" w:styleId="StyleSessionAllcaps">
    <w:name w:val="Style Session + All caps"/>
    <w:basedOn w:val="Session"/>
    <w:semiHidden/>
    <w:rsid w:val="00071133"/>
    <w:pPr>
      <w:spacing w:before="480"/>
    </w:pPr>
    <w:rPr>
      <w:bCs/>
      <w:caps/>
      <w:kern w:val="28"/>
      <w:sz w:val="24"/>
    </w:rPr>
  </w:style>
  <w:style w:type="paragraph" w:customStyle="1" w:styleId="plcountry">
    <w:name w:val="plcountry"/>
    <w:basedOn w:val="Normal"/>
    <w:rsid w:val="00071133"/>
    <w:pPr>
      <w:keepNext/>
      <w:keepLines/>
      <w:spacing w:before="180" w:after="120"/>
      <w:jc w:val="left"/>
    </w:pPr>
    <w:rPr>
      <w:caps/>
      <w:noProof/>
      <w:snapToGrid w:val="0"/>
      <w:u w:val="single"/>
    </w:rPr>
  </w:style>
  <w:style w:type="paragraph" w:customStyle="1" w:styleId="pldetails">
    <w:name w:val="pldetails"/>
    <w:basedOn w:val="Normal"/>
    <w:rsid w:val="00071133"/>
    <w:pPr>
      <w:keepLines/>
      <w:spacing w:before="60" w:after="60"/>
      <w:jc w:val="left"/>
    </w:pPr>
    <w:rPr>
      <w:noProof/>
      <w:snapToGrid w:val="0"/>
    </w:rPr>
  </w:style>
  <w:style w:type="paragraph" w:customStyle="1" w:styleId="plheading">
    <w:name w:val="plheading"/>
    <w:basedOn w:val="Normal"/>
    <w:rsid w:val="00071133"/>
    <w:pPr>
      <w:keepNext/>
      <w:spacing w:before="480" w:after="120"/>
      <w:jc w:val="center"/>
    </w:pPr>
    <w:rPr>
      <w:caps/>
      <w:snapToGrid w:val="0"/>
      <w:u w:val="single"/>
    </w:rPr>
  </w:style>
  <w:style w:type="paragraph" w:customStyle="1" w:styleId="Sessiontcplacedate">
    <w:name w:val="Session_tc_place_date"/>
    <w:basedOn w:val="SessionMeetingPlace"/>
    <w:rsid w:val="00071133"/>
    <w:pPr>
      <w:spacing w:before="240"/>
    </w:pPr>
  </w:style>
  <w:style w:type="paragraph" w:customStyle="1" w:styleId="Titleofdoc0">
    <w:name w:val="Title_of_doc"/>
    <w:basedOn w:val="Normal"/>
    <w:rsid w:val="00071133"/>
    <w:pPr>
      <w:spacing w:before="600"/>
      <w:jc w:val="center"/>
    </w:pPr>
    <w:rPr>
      <w:caps/>
    </w:rPr>
  </w:style>
  <w:style w:type="paragraph" w:customStyle="1" w:styleId="preparedby1">
    <w:name w:val="prepared_by"/>
    <w:basedOn w:val="Normal"/>
    <w:rsid w:val="00071133"/>
    <w:pPr>
      <w:spacing w:before="240" w:after="600"/>
      <w:jc w:val="center"/>
    </w:pPr>
    <w:rPr>
      <w:i/>
    </w:rPr>
  </w:style>
  <w:style w:type="character" w:customStyle="1" w:styleId="CodeChar">
    <w:name w:val="Code Char"/>
    <w:basedOn w:val="DefaultParagraphFont"/>
    <w:link w:val="Code"/>
    <w:semiHidden/>
    <w:rsid w:val="00071133"/>
    <w:rPr>
      <w:rFonts w:ascii="Arial" w:hAnsi="Arial"/>
      <w:b/>
      <w:bCs/>
      <w:spacing w:val="10"/>
    </w:rPr>
  </w:style>
  <w:style w:type="paragraph" w:customStyle="1" w:styleId="endofdoc">
    <w:name w:val="end_of_doc"/>
    <w:autoRedefine/>
    <w:rsid w:val="00071133"/>
    <w:pPr>
      <w:spacing w:before="480"/>
      <w:ind w:left="567" w:hanging="567"/>
      <w:jc w:val="right"/>
    </w:pPr>
    <w:rPr>
      <w:rFonts w:ascii="Arial" w:hAnsi="Arial"/>
    </w:rPr>
  </w:style>
  <w:style w:type="character" w:customStyle="1" w:styleId="DocoriginalChar">
    <w:name w:val="Doc_original Char"/>
    <w:basedOn w:val="DefaultParagraphFont"/>
    <w:link w:val="Docoriginal"/>
    <w:rsid w:val="00071133"/>
    <w:rPr>
      <w:rFonts w:ascii="Arial" w:hAnsi="Arial"/>
      <w:b/>
      <w:bCs/>
      <w:spacing w:val="10"/>
    </w:rPr>
  </w:style>
  <w:style w:type="character" w:customStyle="1" w:styleId="StyleDocoriginalNotBoldChar">
    <w:name w:val="Style Doc_original + Not Bold Char"/>
    <w:basedOn w:val="DocoriginalChar"/>
    <w:link w:val="StyleDocoriginalNotBold"/>
    <w:rsid w:val="00071133"/>
    <w:rPr>
      <w:rFonts w:ascii="Arial" w:hAnsi="Arial"/>
      <w:b/>
      <w:bCs/>
      <w:spacing w:val="10"/>
    </w:rPr>
  </w:style>
  <w:style w:type="paragraph" w:customStyle="1" w:styleId="StyleDocnumber">
    <w:name w:val="Style Doc_number"/>
    <w:basedOn w:val="Docoriginal"/>
    <w:rsid w:val="00071133"/>
    <w:pPr>
      <w:ind w:left="1589"/>
    </w:pPr>
  </w:style>
  <w:style w:type="paragraph" w:customStyle="1" w:styleId="StyleDocoriginal">
    <w:name w:val="Style Doc_original"/>
    <w:basedOn w:val="Docoriginal"/>
    <w:link w:val="StyleDocoriginalChar"/>
    <w:rsid w:val="00071133"/>
  </w:style>
  <w:style w:type="character" w:customStyle="1" w:styleId="StyleDocoriginalChar">
    <w:name w:val="Style Doc_original Char"/>
    <w:basedOn w:val="DocoriginalChar"/>
    <w:link w:val="StyleDocoriginal"/>
    <w:rsid w:val="0007113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7113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71133"/>
    <w:rPr>
      <w:rFonts w:ascii="Arial" w:hAnsi="Arial"/>
      <w:b w:val="0"/>
      <w:bCs w:val="0"/>
      <w:spacing w:val="10"/>
    </w:rPr>
  </w:style>
  <w:style w:type="character" w:customStyle="1" w:styleId="StyleDocoriginalNotBold1">
    <w:name w:val="Style Doc_original + Not Bold1"/>
    <w:basedOn w:val="DefaultParagraphFont"/>
    <w:rsid w:val="00071133"/>
    <w:rPr>
      <w:rFonts w:ascii="Arial" w:hAnsi="Arial"/>
      <w:b/>
      <w:bCs/>
      <w:spacing w:val="10"/>
      <w:lang w:val="en-US" w:eastAsia="en-US" w:bidi="ar-SA"/>
    </w:rPr>
  </w:style>
  <w:style w:type="character" w:customStyle="1" w:styleId="StyleDoclangBold">
    <w:name w:val="Style Doc_lang + Bold"/>
    <w:basedOn w:val="Doclang"/>
    <w:rsid w:val="00071133"/>
    <w:rPr>
      <w:rFonts w:ascii="Arial" w:hAnsi="Arial"/>
      <w:b/>
      <w:bCs/>
      <w:sz w:val="20"/>
      <w:lang w:val="en-US"/>
    </w:rPr>
  </w:style>
  <w:style w:type="paragraph" w:styleId="TOC2">
    <w:name w:val="toc 2"/>
    <w:next w:val="Normal"/>
    <w:autoRedefine/>
    <w:uiPriority w:val="39"/>
    <w:rsid w:val="00071133"/>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7F3137"/>
    <w:pPr>
      <w:tabs>
        <w:tab w:val="right" w:leader="dot" w:pos="9639"/>
      </w:tabs>
      <w:spacing w:before="120"/>
      <w:ind w:left="851" w:right="851" w:hanging="567"/>
    </w:pPr>
    <w:rPr>
      <w:rFonts w:ascii="Arial" w:hAnsi="Arial"/>
      <w:noProof/>
      <w:lang w:val="fr-FR"/>
    </w:rPr>
  </w:style>
  <w:style w:type="character" w:styleId="Hyperlink">
    <w:name w:val="Hyperlink"/>
    <w:basedOn w:val="DefaultParagraphFont"/>
    <w:uiPriority w:val="99"/>
    <w:rsid w:val="00071133"/>
    <w:rPr>
      <w:rFonts w:ascii="Arial" w:hAnsi="Arial"/>
      <w:color w:val="0000FF"/>
      <w:u w:val="single"/>
    </w:rPr>
  </w:style>
  <w:style w:type="paragraph" w:styleId="TOC4">
    <w:name w:val="toc 4"/>
    <w:next w:val="Normal"/>
    <w:autoRedefine/>
    <w:semiHidden/>
    <w:rsid w:val="0007113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F3137"/>
    <w:pPr>
      <w:tabs>
        <w:tab w:val="right" w:leader="dot" w:pos="9639"/>
      </w:tabs>
      <w:spacing w:before="120"/>
      <w:ind w:left="284" w:right="284" w:hanging="284"/>
    </w:pPr>
    <w:rPr>
      <w:rFonts w:ascii="Arial" w:hAnsi="Arial"/>
      <w:b/>
      <w:caps/>
      <w:noProof/>
    </w:rPr>
  </w:style>
  <w:style w:type="paragraph" w:styleId="TOC5">
    <w:name w:val="toc 5"/>
    <w:next w:val="Normal"/>
    <w:autoRedefine/>
    <w:semiHidden/>
    <w:rsid w:val="00071133"/>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71133"/>
    <w:rPr>
      <w:rFonts w:ascii="Tahoma" w:hAnsi="Tahoma" w:cs="Tahoma"/>
      <w:sz w:val="16"/>
      <w:szCs w:val="16"/>
    </w:rPr>
  </w:style>
  <w:style w:type="character" w:customStyle="1" w:styleId="BalloonTextChar">
    <w:name w:val="Balloon Text Char"/>
    <w:basedOn w:val="DefaultParagraphFont"/>
    <w:link w:val="BalloonText"/>
    <w:rsid w:val="00071133"/>
    <w:rPr>
      <w:rFonts w:ascii="Tahoma" w:hAnsi="Tahoma" w:cs="Tahoma"/>
      <w:sz w:val="16"/>
      <w:szCs w:val="16"/>
    </w:rPr>
  </w:style>
  <w:style w:type="paragraph" w:customStyle="1" w:styleId="Inf4Normal">
    <w:name w:val="Inf_4_Normal"/>
    <w:basedOn w:val="Normal"/>
    <w:rsid w:val="00071133"/>
    <w:pPr>
      <w:spacing w:before="108"/>
    </w:pPr>
  </w:style>
  <w:style w:type="paragraph" w:customStyle="1" w:styleId="Inf4Heading4">
    <w:name w:val="Inf_4_Heading_4"/>
    <w:basedOn w:val="Heading4"/>
    <w:next w:val="Normal"/>
    <w:rsid w:val="00071133"/>
    <w:pPr>
      <w:spacing w:before="120"/>
      <w:ind w:left="0"/>
    </w:pPr>
    <w:rPr>
      <w:b w:val="0"/>
      <w:bCs/>
      <w:i/>
    </w:rPr>
  </w:style>
  <w:style w:type="paragraph" w:customStyle="1" w:styleId="Inf4Heading6">
    <w:name w:val="Inf_4_Heading_6"/>
    <w:basedOn w:val="Normal"/>
    <w:rsid w:val="00071133"/>
    <w:pPr>
      <w:keepNext/>
      <w:spacing w:before="108"/>
      <w:ind w:left="567"/>
      <w:outlineLvl w:val="5"/>
    </w:pPr>
    <w:rPr>
      <w:b/>
      <w:bCs/>
      <w:szCs w:val="24"/>
    </w:rPr>
  </w:style>
  <w:style w:type="paragraph" w:styleId="ListContinue4">
    <w:name w:val="List Continue 4"/>
    <w:basedOn w:val="Normal"/>
    <w:rsid w:val="00071133"/>
    <w:pPr>
      <w:spacing w:after="120"/>
      <w:ind w:left="1440"/>
    </w:pPr>
  </w:style>
  <w:style w:type="paragraph" w:styleId="ListParagraph">
    <w:name w:val="List Paragraph"/>
    <w:basedOn w:val="Normal"/>
    <w:uiPriority w:val="34"/>
    <w:qFormat/>
    <w:rsid w:val="00071133"/>
    <w:pPr>
      <w:ind w:left="720"/>
      <w:contextualSpacing/>
    </w:pPr>
  </w:style>
  <w:style w:type="character" w:customStyle="1" w:styleId="Heading6Char">
    <w:name w:val="Heading 6 Char"/>
    <w:basedOn w:val="DefaultParagraphFont"/>
    <w:link w:val="Heading6"/>
    <w:rsid w:val="00071133"/>
    <w:rPr>
      <w:sz w:val="24"/>
      <w:u w:val="single"/>
      <w:lang w:val="fr-FR"/>
    </w:rPr>
  </w:style>
  <w:style w:type="character" w:customStyle="1" w:styleId="Heading7Char">
    <w:name w:val="Heading 7 Char"/>
    <w:basedOn w:val="DefaultParagraphFont"/>
    <w:link w:val="Heading7"/>
    <w:rsid w:val="00071133"/>
    <w:rPr>
      <w:rFonts w:ascii="Cambria" w:hAnsi="Cambria"/>
      <w:i/>
      <w:iCs/>
      <w:color w:val="404040"/>
    </w:rPr>
  </w:style>
  <w:style w:type="character" w:customStyle="1" w:styleId="Heading2Char">
    <w:name w:val="Heading 2 Char"/>
    <w:link w:val="Heading2"/>
    <w:rsid w:val="00CA3BDE"/>
    <w:rPr>
      <w:rFonts w:ascii="Arial Bold" w:hAnsi="Arial Bold"/>
      <w:b/>
      <w:caps/>
      <w:color w:val="FFFFFF" w:themeColor="background1"/>
      <w:sz w:val="16"/>
      <w:u w:val="single"/>
      <w:lang w:val="fr-CH"/>
    </w:rPr>
  </w:style>
  <w:style w:type="character" w:customStyle="1" w:styleId="Heading1Char">
    <w:name w:val="Heading 1 Char"/>
    <w:link w:val="Heading1"/>
    <w:rsid w:val="00071133"/>
    <w:rPr>
      <w:rFonts w:ascii="Arial" w:hAnsi="Arial"/>
      <w:b/>
      <w:caps/>
    </w:rPr>
  </w:style>
  <w:style w:type="character" w:customStyle="1" w:styleId="Heading3Char">
    <w:name w:val="Heading 3 Char"/>
    <w:link w:val="Heading3"/>
    <w:rsid w:val="00CA3BDE"/>
    <w:rPr>
      <w:rFonts w:ascii="Arial Bold" w:eastAsiaTheme="minorHAnsi" w:hAnsi="Arial Bold"/>
      <w:b/>
      <w:color w:val="FFFFFF" w:themeColor="background1"/>
      <w:sz w:val="16"/>
      <w:u w:val="single"/>
      <w:lang w:val="fr-CH"/>
    </w:rPr>
  </w:style>
  <w:style w:type="character" w:customStyle="1" w:styleId="Heading4Char">
    <w:name w:val="Heading 4 Char"/>
    <w:link w:val="Heading4"/>
    <w:rsid w:val="00071133"/>
    <w:rPr>
      <w:rFonts w:ascii="Arial Bold" w:hAnsi="Arial Bold"/>
      <w:b/>
      <w:color w:val="FFFFFF" w:themeColor="background1"/>
      <w:sz w:val="16"/>
      <w:lang w:val="fr-FR"/>
    </w:rPr>
  </w:style>
  <w:style w:type="character" w:customStyle="1" w:styleId="Heading5Char">
    <w:name w:val="Heading 5 Char"/>
    <w:link w:val="Heading5"/>
    <w:rsid w:val="00071133"/>
    <w:rPr>
      <w:rFonts w:ascii="Arial" w:hAnsi="Arial"/>
      <w:u w:val="single"/>
    </w:rPr>
  </w:style>
  <w:style w:type="character" w:customStyle="1" w:styleId="Heading9Char">
    <w:name w:val="Heading 9 Char"/>
    <w:link w:val="Heading9"/>
    <w:rsid w:val="00071133"/>
    <w:rPr>
      <w:rFonts w:ascii="Arial" w:hAnsi="Arial"/>
      <w:i/>
      <w:sz w:val="18"/>
    </w:rPr>
  </w:style>
  <w:style w:type="character" w:customStyle="1" w:styleId="HeaderChar">
    <w:name w:val="Header Char"/>
    <w:link w:val="Header"/>
    <w:uiPriority w:val="99"/>
    <w:rsid w:val="00071133"/>
    <w:rPr>
      <w:rFonts w:ascii="Arial" w:hAnsi="Arial"/>
      <w:lang w:val="fr-FR"/>
    </w:rPr>
  </w:style>
  <w:style w:type="character" w:customStyle="1" w:styleId="FooterChar">
    <w:name w:val="Footer Char"/>
    <w:aliases w:val="doc_path_name Char"/>
    <w:link w:val="Footer"/>
    <w:uiPriority w:val="99"/>
    <w:rsid w:val="00071133"/>
    <w:rPr>
      <w:rFonts w:ascii="Arial" w:hAnsi="Arial"/>
      <w:sz w:val="14"/>
    </w:rPr>
  </w:style>
  <w:style w:type="character" w:customStyle="1" w:styleId="TitleChar">
    <w:name w:val="Title Char"/>
    <w:link w:val="Title"/>
    <w:rsid w:val="00071133"/>
    <w:rPr>
      <w:rFonts w:ascii="Arial" w:hAnsi="Arial"/>
      <w:b/>
      <w:caps/>
      <w:kern w:val="28"/>
      <w:sz w:val="30"/>
    </w:rPr>
  </w:style>
  <w:style w:type="character" w:customStyle="1" w:styleId="FootnoteTextChar">
    <w:name w:val="Footnote Text Char"/>
    <w:link w:val="FootnoteText"/>
    <w:rsid w:val="00071133"/>
    <w:rPr>
      <w:rFonts w:ascii="Arial" w:hAnsi="Arial"/>
      <w:sz w:val="16"/>
    </w:rPr>
  </w:style>
  <w:style w:type="character" w:customStyle="1" w:styleId="ClosingChar">
    <w:name w:val="Closing Char"/>
    <w:link w:val="Closing"/>
    <w:rsid w:val="00071133"/>
    <w:rPr>
      <w:rFonts w:ascii="Arial" w:hAnsi="Arial"/>
    </w:rPr>
  </w:style>
  <w:style w:type="character" w:customStyle="1" w:styleId="MacroTextChar">
    <w:name w:val="Macro Text Char"/>
    <w:link w:val="MacroText"/>
    <w:semiHidden/>
    <w:rsid w:val="00071133"/>
    <w:rPr>
      <w:rFonts w:ascii="Courier New" w:hAnsi="Courier New"/>
      <w:sz w:val="16"/>
    </w:rPr>
  </w:style>
  <w:style w:type="character" w:customStyle="1" w:styleId="SignatureChar">
    <w:name w:val="Signature Char"/>
    <w:link w:val="Signature"/>
    <w:rsid w:val="00071133"/>
    <w:rPr>
      <w:rFonts w:ascii="Arial" w:hAnsi="Arial"/>
    </w:rPr>
  </w:style>
  <w:style w:type="character" w:customStyle="1" w:styleId="BodyTextChar">
    <w:name w:val="Body Text Char"/>
    <w:link w:val="BodyText"/>
    <w:rsid w:val="00071133"/>
    <w:rPr>
      <w:rFonts w:ascii="Arial" w:hAnsi="Arial"/>
    </w:rPr>
  </w:style>
  <w:style w:type="character" w:customStyle="1" w:styleId="EndnoteTextChar">
    <w:name w:val="Endnote Text Char"/>
    <w:link w:val="EndnoteText"/>
    <w:semiHidden/>
    <w:rsid w:val="00071133"/>
    <w:rPr>
      <w:rFonts w:ascii="Arial" w:hAnsi="Arial"/>
    </w:rPr>
  </w:style>
  <w:style w:type="character" w:customStyle="1" w:styleId="DateChar">
    <w:name w:val="Date Char"/>
    <w:link w:val="Date"/>
    <w:semiHidden/>
    <w:rsid w:val="00071133"/>
    <w:rPr>
      <w:rFonts w:ascii="Arial" w:hAnsi="Arial"/>
      <w:b/>
      <w:sz w:val="22"/>
    </w:rPr>
  </w:style>
  <w:style w:type="paragraph" w:customStyle="1" w:styleId="n">
    <w:name w:val="n"/>
    <w:basedOn w:val="Header"/>
    <w:rsid w:val="00071133"/>
    <w:rPr>
      <w:rFonts w:ascii="Times New Roman" w:hAnsi="Times New Roman"/>
      <w:sz w:val="24"/>
    </w:rPr>
  </w:style>
  <w:style w:type="paragraph" w:styleId="BodyTextIndent3">
    <w:name w:val="Body Text Indent 3"/>
    <w:basedOn w:val="Normal"/>
    <w:link w:val="BodyTextIndent3Char"/>
    <w:rsid w:val="00071133"/>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071133"/>
    <w:rPr>
      <w:sz w:val="24"/>
      <w:lang w:val="fr-FR"/>
    </w:rPr>
  </w:style>
  <w:style w:type="paragraph" w:customStyle="1" w:styleId="DecisionInvitingPara">
    <w:name w:val="Decision Inviting Para."/>
    <w:basedOn w:val="Normal"/>
    <w:rsid w:val="00071133"/>
    <w:pPr>
      <w:ind w:left="4536"/>
      <w:jc w:val="left"/>
    </w:pPr>
    <w:rPr>
      <w:rFonts w:ascii="Times New Roman" w:hAnsi="Times New Roman"/>
      <w:i/>
      <w:sz w:val="24"/>
      <w:lang w:val="fr-FR"/>
    </w:rPr>
  </w:style>
  <w:style w:type="paragraph" w:customStyle="1" w:styleId="T1">
    <w:name w:val="T1"/>
    <w:basedOn w:val="BodyText"/>
    <w:rsid w:val="00071133"/>
    <w:rPr>
      <w:rFonts w:ascii="Times New Roman" w:hAnsi="Times New Roman"/>
      <w:b/>
      <w:sz w:val="24"/>
      <w:lang w:val="fr-FR"/>
    </w:rPr>
  </w:style>
  <w:style w:type="paragraph" w:customStyle="1" w:styleId="Titre">
    <w:name w:val="Titre"/>
    <w:basedOn w:val="Normal"/>
    <w:rsid w:val="00071133"/>
    <w:pPr>
      <w:tabs>
        <w:tab w:val="left" w:pos="567"/>
        <w:tab w:val="left" w:pos="993"/>
        <w:tab w:val="right" w:pos="6237"/>
        <w:tab w:val="right" w:pos="7938"/>
      </w:tabs>
      <w:spacing w:line="240" w:lineRule="exact"/>
      <w:jc w:val="left"/>
    </w:pPr>
    <w:rPr>
      <w:rFonts w:ascii="Times New Roman" w:hAnsi="Times New Roman"/>
      <w:b/>
      <w:caps/>
      <w:lang w:val="fr-FR"/>
    </w:rPr>
  </w:style>
  <w:style w:type="paragraph" w:styleId="BodyTextIndent2">
    <w:name w:val="Body Text Indent 2"/>
    <w:basedOn w:val="Normal"/>
    <w:link w:val="BodyTextIndent2Char"/>
    <w:rsid w:val="00071133"/>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071133"/>
    <w:rPr>
      <w:lang w:val="fr-FR"/>
    </w:rPr>
  </w:style>
  <w:style w:type="table" w:styleId="TableGrid">
    <w:name w:val="Table Grid"/>
    <w:basedOn w:val="TableNormal"/>
    <w:rsid w:val="000711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071133"/>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071133"/>
    <w:rPr>
      <w:sz w:val="24"/>
      <w:u w:val="single"/>
      <w:lang w:val="fr-FR"/>
    </w:rPr>
  </w:style>
  <w:style w:type="paragraph" w:customStyle="1" w:styleId="Partie">
    <w:name w:val="Partie"/>
    <w:basedOn w:val="Normal"/>
    <w:rsid w:val="00071133"/>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071133"/>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071133"/>
    <w:pPr>
      <w:tabs>
        <w:tab w:val="left" w:pos="567"/>
      </w:tabs>
      <w:jc w:val="left"/>
    </w:pPr>
    <w:rPr>
      <w:rFonts w:ascii="Times New Roman" w:hAnsi="Times New Roman"/>
      <w:sz w:val="24"/>
      <w:lang w:val="fr-FR"/>
    </w:rPr>
  </w:style>
  <w:style w:type="character" w:customStyle="1" w:styleId="BodyText2Char">
    <w:name w:val="Body Text 2 Char"/>
    <w:basedOn w:val="DefaultParagraphFont"/>
    <w:link w:val="BodyText2"/>
    <w:rsid w:val="00071133"/>
    <w:rPr>
      <w:sz w:val="24"/>
      <w:lang w:val="fr-FR"/>
    </w:rPr>
  </w:style>
  <w:style w:type="paragraph" w:customStyle="1" w:styleId="StyleStyle1Left163cmFirstline0cm">
    <w:name w:val="Style Style1 + Left:  1.63 cm First line:  0 cm"/>
    <w:basedOn w:val="Normal"/>
    <w:rsid w:val="00071133"/>
    <w:pPr>
      <w:numPr>
        <w:numId w:val="24"/>
      </w:numPr>
      <w:tabs>
        <w:tab w:val="left" w:pos="567"/>
      </w:tabs>
    </w:pPr>
    <w:rPr>
      <w:rFonts w:ascii="Times New Roman" w:hAnsi="Times New Roman"/>
      <w:sz w:val="24"/>
    </w:rPr>
  </w:style>
  <w:style w:type="paragraph" w:customStyle="1" w:styleId="Default">
    <w:name w:val="Default"/>
    <w:rsid w:val="0007113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071133"/>
    <w:pPr>
      <w:spacing w:after="120"/>
    </w:pPr>
    <w:rPr>
      <w:sz w:val="22"/>
    </w:rPr>
  </w:style>
  <w:style w:type="character" w:customStyle="1" w:styleId="StyletexteChar">
    <w:name w:val="Style texte Char"/>
    <w:link w:val="Styletexte"/>
    <w:locked/>
    <w:rsid w:val="00071133"/>
    <w:rPr>
      <w:rFonts w:ascii="Arial" w:hAnsi="Arial"/>
      <w:sz w:val="22"/>
    </w:rPr>
  </w:style>
  <w:style w:type="paragraph" w:customStyle="1" w:styleId="Style3">
    <w:name w:val="Style3"/>
    <w:basedOn w:val="Normal"/>
    <w:link w:val="Style3Char"/>
    <w:rsid w:val="00071133"/>
    <w:pPr>
      <w:spacing w:after="120"/>
    </w:pPr>
    <w:rPr>
      <w:sz w:val="22"/>
    </w:rPr>
  </w:style>
  <w:style w:type="character" w:customStyle="1" w:styleId="Style3Char">
    <w:name w:val="Style3 Char"/>
    <w:link w:val="Style3"/>
    <w:locked/>
    <w:rsid w:val="0007113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33"/>
    <w:pPr>
      <w:jc w:val="both"/>
    </w:pPr>
    <w:rPr>
      <w:rFonts w:ascii="Arial" w:hAnsi="Arial"/>
    </w:rPr>
  </w:style>
  <w:style w:type="paragraph" w:styleId="Heading1">
    <w:name w:val="heading 1"/>
    <w:next w:val="Normal"/>
    <w:link w:val="Heading1Char"/>
    <w:autoRedefine/>
    <w:qFormat/>
    <w:rsid w:val="00071133"/>
    <w:pPr>
      <w:keepNext/>
      <w:outlineLvl w:val="0"/>
    </w:pPr>
    <w:rPr>
      <w:rFonts w:ascii="Arial" w:hAnsi="Arial"/>
      <w:b/>
      <w:caps/>
    </w:rPr>
  </w:style>
  <w:style w:type="paragraph" w:styleId="Heading2">
    <w:name w:val="heading 2"/>
    <w:next w:val="Normal"/>
    <w:link w:val="Heading2Char"/>
    <w:autoRedefine/>
    <w:qFormat/>
    <w:rsid w:val="00CA3BDE"/>
    <w:pPr>
      <w:keepNext/>
      <w:jc w:val="both"/>
      <w:outlineLvl w:val="1"/>
    </w:pPr>
    <w:rPr>
      <w:rFonts w:ascii="Arial Bold" w:hAnsi="Arial Bold"/>
      <w:b/>
      <w:caps/>
      <w:color w:val="FFFFFF" w:themeColor="background1"/>
      <w:sz w:val="16"/>
      <w:u w:val="single"/>
      <w:lang w:val="fr-CH"/>
    </w:rPr>
  </w:style>
  <w:style w:type="paragraph" w:styleId="Heading3">
    <w:name w:val="heading 3"/>
    <w:next w:val="Normal"/>
    <w:link w:val="Heading3Char"/>
    <w:autoRedefine/>
    <w:qFormat/>
    <w:rsid w:val="00CA3BDE"/>
    <w:pPr>
      <w:keepNext/>
      <w:jc w:val="center"/>
      <w:outlineLvl w:val="2"/>
    </w:pPr>
    <w:rPr>
      <w:rFonts w:ascii="Arial Bold" w:eastAsiaTheme="minorHAnsi" w:hAnsi="Arial Bold"/>
      <w:b/>
      <w:color w:val="FFFFFF" w:themeColor="background1"/>
      <w:sz w:val="16"/>
      <w:u w:val="single"/>
      <w:lang w:val="fr-CH"/>
    </w:rPr>
  </w:style>
  <w:style w:type="paragraph" w:styleId="Heading4">
    <w:name w:val="heading 4"/>
    <w:next w:val="Normal"/>
    <w:link w:val="Heading4Char"/>
    <w:autoRedefine/>
    <w:qFormat/>
    <w:rsid w:val="00071133"/>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071133"/>
    <w:pPr>
      <w:keepNext/>
      <w:ind w:left="1134" w:hanging="567"/>
      <w:jc w:val="center"/>
      <w:outlineLvl w:val="4"/>
    </w:pPr>
    <w:rPr>
      <w:rFonts w:ascii="Arial" w:hAnsi="Arial"/>
      <w:u w:val="single"/>
    </w:rPr>
  </w:style>
  <w:style w:type="paragraph" w:styleId="Heading6">
    <w:name w:val="heading 6"/>
    <w:basedOn w:val="Normal"/>
    <w:next w:val="Normal"/>
    <w:link w:val="Heading6Char"/>
    <w:qFormat/>
    <w:rsid w:val="00071133"/>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07113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07113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7113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071133"/>
    <w:pPr>
      <w:jc w:val="both"/>
    </w:pPr>
    <w:rPr>
      <w:rFonts w:ascii="Arial" w:hAnsi="Arial"/>
      <w:sz w:val="14"/>
    </w:rPr>
  </w:style>
  <w:style w:type="character" w:styleId="PageNumber">
    <w:name w:val="page number"/>
    <w:basedOn w:val="DefaultParagraphFont"/>
    <w:rsid w:val="00071133"/>
    <w:rPr>
      <w:rFonts w:ascii="Arial" w:hAnsi="Arial"/>
      <w:sz w:val="20"/>
    </w:rPr>
  </w:style>
  <w:style w:type="paragraph" w:styleId="Title">
    <w:name w:val="Title"/>
    <w:basedOn w:val="Normal"/>
    <w:link w:val="TitleChar"/>
    <w:qFormat/>
    <w:rsid w:val="00071133"/>
    <w:pPr>
      <w:spacing w:after="300"/>
      <w:jc w:val="center"/>
    </w:pPr>
    <w:rPr>
      <w:b/>
      <w:caps/>
      <w:kern w:val="28"/>
      <w:sz w:val="30"/>
    </w:rPr>
  </w:style>
  <w:style w:type="paragraph" w:customStyle="1" w:styleId="preparedby">
    <w:name w:val="preparedby"/>
    <w:basedOn w:val="Normal"/>
    <w:next w:val="Normal"/>
    <w:semiHidden/>
    <w:rsid w:val="00071133"/>
    <w:pPr>
      <w:spacing w:after="600"/>
      <w:jc w:val="center"/>
    </w:pPr>
    <w:rPr>
      <w:i/>
    </w:rPr>
  </w:style>
  <w:style w:type="paragraph" w:customStyle="1" w:styleId="Docoriginal">
    <w:name w:val="Doc_original"/>
    <w:basedOn w:val="Normal"/>
    <w:link w:val="DocoriginalChar"/>
    <w:rsid w:val="00071133"/>
    <w:pPr>
      <w:spacing w:line="280" w:lineRule="exact"/>
      <w:ind w:left="1361"/>
    </w:pPr>
    <w:rPr>
      <w:b/>
      <w:bCs/>
      <w:spacing w:val="10"/>
    </w:rPr>
  </w:style>
  <w:style w:type="paragraph" w:customStyle="1" w:styleId="DecisionParagraphs">
    <w:name w:val="DecisionParagraphs"/>
    <w:basedOn w:val="Normal"/>
    <w:rsid w:val="00071133"/>
    <w:pPr>
      <w:tabs>
        <w:tab w:val="left" w:pos="5387"/>
      </w:tabs>
      <w:ind w:left="4820"/>
    </w:pPr>
    <w:rPr>
      <w:i/>
    </w:rPr>
  </w:style>
  <w:style w:type="paragraph" w:styleId="FootnoteText">
    <w:name w:val="footnote text"/>
    <w:link w:val="FootnoteTextChar"/>
    <w:autoRedefine/>
    <w:rsid w:val="00071133"/>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071133"/>
    <w:rPr>
      <w:vertAlign w:val="superscript"/>
    </w:rPr>
  </w:style>
  <w:style w:type="paragraph" w:styleId="Closing">
    <w:name w:val="Closing"/>
    <w:basedOn w:val="Normal"/>
    <w:link w:val="ClosingChar"/>
    <w:rsid w:val="00071133"/>
    <w:pPr>
      <w:ind w:left="4536"/>
      <w:jc w:val="center"/>
    </w:pPr>
  </w:style>
  <w:style w:type="paragraph" w:styleId="Index1">
    <w:name w:val="index 1"/>
    <w:basedOn w:val="Normal"/>
    <w:next w:val="Normal"/>
    <w:semiHidden/>
    <w:rsid w:val="00071133"/>
    <w:pPr>
      <w:tabs>
        <w:tab w:val="right" w:leader="dot" w:pos="9071"/>
      </w:tabs>
      <w:ind w:left="284" w:hanging="284"/>
    </w:pPr>
    <w:rPr>
      <w:sz w:val="24"/>
    </w:rPr>
  </w:style>
  <w:style w:type="paragraph" w:styleId="Index2">
    <w:name w:val="index 2"/>
    <w:basedOn w:val="Normal"/>
    <w:next w:val="Normal"/>
    <w:semiHidden/>
    <w:rsid w:val="00071133"/>
    <w:pPr>
      <w:tabs>
        <w:tab w:val="right" w:leader="dot" w:pos="9071"/>
      </w:tabs>
      <w:ind w:left="568" w:hanging="284"/>
    </w:pPr>
    <w:rPr>
      <w:sz w:val="24"/>
    </w:rPr>
  </w:style>
  <w:style w:type="paragraph" w:styleId="Index3">
    <w:name w:val="index 3"/>
    <w:basedOn w:val="Normal"/>
    <w:next w:val="Normal"/>
    <w:semiHidden/>
    <w:rsid w:val="00071133"/>
    <w:pPr>
      <w:tabs>
        <w:tab w:val="right" w:leader="dot" w:pos="9071"/>
      </w:tabs>
      <w:ind w:left="851" w:hanging="284"/>
    </w:pPr>
    <w:rPr>
      <w:sz w:val="24"/>
    </w:rPr>
  </w:style>
  <w:style w:type="paragraph" w:styleId="MacroText">
    <w:name w:val="macro"/>
    <w:link w:val="MacroTextChar"/>
    <w:semiHidden/>
    <w:rsid w:val="000711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071133"/>
    <w:pPr>
      <w:ind w:left="4536"/>
      <w:jc w:val="center"/>
    </w:pPr>
  </w:style>
  <w:style w:type="character" w:customStyle="1" w:styleId="Doclang">
    <w:name w:val="Doc_lang"/>
    <w:basedOn w:val="DefaultParagraphFont"/>
    <w:rsid w:val="00071133"/>
    <w:rPr>
      <w:rFonts w:ascii="Arial" w:hAnsi="Arial"/>
      <w:sz w:val="20"/>
      <w:lang w:val="en-US"/>
    </w:rPr>
  </w:style>
  <w:style w:type="paragraph" w:customStyle="1" w:styleId="Session">
    <w:name w:val="Session"/>
    <w:basedOn w:val="Normal"/>
    <w:semiHidden/>
    <w:rsid w:val="00071133"/>
    <w:pPr>
      <w:spacing w:before="60"/>
      <w:jc w:val="center"/>
    </w:pPr>
    <w:rPr>
      <w:b/>
    </w:rPr>
  </w:style>
  <w:style w:type="paragraph" w:customStyle="1" w:styleId="Organizer">
    <w:name w:val="Organizer"/>
    <w:basedOn w:val="Normal"/>
    <w:semiHidden/>
    <w:rsid w:val="00071133"/>
    <w:pPr>
      <w:spacing w:after="600"/>
      <w:ind w:left="-993" w:right="-994"/>
      <w:jc w:val="center"/>
    </w:pPr>
    <w:rPr>
      <w:b/>
      <w:caps/>
      <w:kern w:val="26"/>
      <w:sz w:val="26"/>
    </w:rPr>
  </w:style>
  <w:style w:type="paragraph" w:styleId="BodyText">
    <w:name w:val="Body Text"/>
    <w:basedOn w:val="Normal"/>
    <w:link w:val="BodyTextChar"/>
    <w:rsid w:val="00071133"/>
  </w:style>
  <w:style w:type="paragraph" w:customStyle="1" w:styleId="StyleDocoriginalNotBold">
    <w:name w:val="Style Doc_original + Not Bold"/>
    <w:basedOn w:val="Docoriginal"/>
    <w:link w:val="StyleDocoriginalNotBoldChar"/>
    <w:autoRedefine/>
    <w:rsid w:val="00071133"/>
    <w:pPr>
      <w:ind w:left="1589"/>
      <w:jc w:val="left"/>
    </w:pPr>
  </w:style>
  <w:style w:type="paragraph" w:customStyle="1" w:styleId="upove">
    <w:name w:val="upov_e"/>
    <w:basedOn w:val="Normal"/>
    <w:rsid w:val="00071133"/>
    <w:pPr>
      <w:spacing w:before="60"/>
      <w:jc w:val="center"/>
    </w:pPr>
    <w:rPr>
      <w:b/>
      <w:bCs/>
      <w:spacing w:val="8"/>
      <w:sz w:val="24"/>
    </w:rPr>
  </w:style>
  <w:style w:type="paragraph" w:customStyle="1" w:styleId="TitleofDoc">
    <w:name w:val="Title of Doc"/>
    <w:basedOn w:val="Normal"/>
    <w:semiHidden/>
    <w:rsid w:val="00071133"/>
    <w:pPr>
      <w:spacing w:before="1200"/>
      <w:jc w:val="center"/>
    </w:pPr>
    <w:rPr>
      <w:caps/>
    </w:rPr>
  </w:style>
  <w:style w:type="paragraph" w:customStyle="1" w:styleId="preparedby0">
    <w:name w:val="prepared by"/>
    <w:basedOn w:val="Normal"/>
    <w:semiHidden/>
    <w:rsid w:val="00071133"/>
    <w:pPr>
      <w:spacing w:before="600" w:after="600"/>
      <w:jc w:val="center"/>
    </w:pPr>
    <w:rPr>
      <w:i/>
    </w:rPr>
  </w:style>
  <w:style w:type="paragraph" w:customStyle="1" w:styleId="PlaceAndDate">
    <w:name w:val="PlaceAndDate"/>
    <w:basedOn w:val="Session"/>
    <w:semiHidden/>
    <w:rsid w:val="00071133"/>
  </w:style>
  <w:style w:type="paragraph" w:styleId="EndnoteText">
    <w:name w:val="endnote text"/>
    <w:basedOn w:val="Normal"/>
    <w:link w:val="EndnoteTextChar"/>
    <w:semiHidden/>
    <w:rsid w:val="00071133"/>
  </w:style>
  <w:style w:type="character" w:styleId="EndnoteReference">
    <w:name w:val="endnote reference"/>
    <w:basedOn w:val="DefaultParagraphFont"/>
    <w:semiHidden/>
    <w:rsid w:val="00071133"/>
    <w:rPr>
      <w:vertAlign w:val="superscript"/>
    </w:rPr>
  </w:style>
  <w:style w:type="paragraph" w:customStyle="1" w:styleId="SessionMeetingPlace">
    <w:name w:val="Session_MeetingPlace"/>
    <w:basedOn w:val="Normal"/>
    <w:semiHidden/>
    <w:rsid w:val="00071133"/>
    <w:pPr>
      <w:spacing w:before="480"/>
      <w:jc w:val="center"/>
    </w:pPr>
    <w:rPr>
      <w:b/>
      <w:bCs/>
      <w:kern w:val="28"/>
      <w:sz w:val="24"/>
    </w:rPr>
  </w:style>
  <w:style w:type="paragraph" w:customStyle="1" w:styleId="Original">
    <w:name w:val="Original"/>
    <w:basedOn w:val="Normal"/>
    <w:semiHidden/>
    <w:rsid w:val="00071133"/>
    <w:pPr>
      <w:spacing w:before="60"/>
      <w:ind w:left="1276"/>
    </w:pPr>
    <w:rPr>
      <w:b/>
      <w:sz w:val="22"/>
    </w:rPr>
  </w:style>
  <w:style w:type="paragraph" w:styleId="Date">
    <w:name w:val="Date"/>
    <w:basedOn w:val="Normal"/>
    <w:link w:val="DateChar"/>
    <w:semiHidden/>
    <w:rsid w:val="00071133"/>
    <w:pPr>
      <w:spacing w:line="340" w:lineRule="exact"/>
      <w:ind w:left="1276"/>
    </w:pPr>
    <w:rPr>
      <w:b/>
      <w:sz w:val="22"/>
    </w:rPr>
  </w:style>
  <w:style w:type="paragraph" w:customStyle="1" w:styleId="Code">
    <w:name w:val="Code"/>
    <w:basedOn w:val="Normal"/>
    <w:link w:val="CodeChar"/>
    <w:semiHidden/>
    <w:rsid w:val="00071133"/>
    <w:pPr>
      <w:spacing w:line="340" w:lineRule="atLeast"/>
      <w:ind w:left="1276"/>
    </w:pPr>
    <w:rPr>
      <w:b/>
      <w:bCs/>
      <w:spacing w:val="10"/>
    </w:rPr>
  </w:style>
  <w:style w:type="paragraph" w:customStyle="1" w:styleId="Country">
    <w:name w:val="Country"/>
    <w:basedOn w:val="Normal"/>
    <w:semiHidden/>
    <w:rsid w:val="00071133"/>
    <w:pPr>
      <w:spacing w:before="60" w:after="480"/>
      <w:jc w:val="center"/>
    </w:pPr>
  </w:style>
  <w:style w:type="paragraph" w:customStyle="1" w:styleId="Lettrine">
    <w:name w:val="Lettrine"/>
    <w:basedOn w:val="Normal"/>
    <w:rsid w:val="00071133"/>
    <w:pPr>
      <w:spacing w:after="120" w:line="340" w:lineRule="atLeast"/>
      <w:jc w:val="right"/>
    </w:pPr>
    <w:rPr>
      <w:b/>
      <w:bCs/>
      <w:sz w:val="56"/>
    </w:rPr>
  </w:style>
  <w:style w:type="paragraph" w:customStyle="1" w:styleId="LogoUPOV">
    <w:name w:val="LogoUPOV"/>
    <w:basedOn w:val="Normal"/>
    <w:rsid w:val="00071133"/>
    <w:pPr>
      <w:spacing w:before="720"/>
      <w:jc w:val="center"/>
    </w:pPr>
  </w:style>
  <w:style w:type="paragraph" w:customStyle="1" w:styleId="Sessiontc">
    <w:name w:val="Session_tc"/>
    <w:basedOn w:val="StyleSessionAllcaps"/>
    <w:rsid w:val="00071133"/>
    <w:pPr>
      <w:spacing w:before="240"/>
    </w:pPr>
  </w:style>
  <w:style w:type="paragraph" w:customStyle="1" w:styleId="TitreUpov">
    <w:name w:val="TitreUpov"/>
    <w:basedOn w:val="Normal"/>
    <w:semiHidden/>
    <w:rsid w:val="00071133"/>
    <w:pPr>
      <w:spacing w:before="60"/>
      <w:jc w:val="center"/>
    </w:pPr>
    <w:rPr>
      <w:b/>
      <w:sz w:val="24"/>
    </w:rPr>
  </w:style>
  <w:style w:type="paragraph" w:customStyle="1" w:styleId="StyleSessionAllcaps">
    <w:name w:val="Style Session + All caps"/>
    <w:basedOn w:val="Session"/>
    <w:semiHidden/>
    <w:rsid w:val="00071133"/>
    <w:pPr>
      <w:spacing w:before="480"/>
    </w:pPr>
    <w:rPr>
      <w:bCs/>
      <w:caps/>
      <w:kern w:val="28"/>
      <w:sz w:val="24"/>
    </w:rPr>
  </w:style>
  <w:style w:type="paragraph" w:customStyle="1" w:styleId="plcountry">
    <w:name w:val="plcountry"/>
    <w:basedOn w:val="Normal"/>
    <w:rsid w:val="00071133"/>
    <w:pPr>
      <w:keepNext/>
      <w:keepLines/>
      <w:spacing w:before="180" w:after="120"/>
      <w:jc w:val="left"/>
    </w:pPr>
    <w:rPr>
      <w:caps/>
      <w:noProof/>
      <w:snapToGrid w:val="0"/>
      <w:u w:val="single"/>
    </w:rPr>
  </w:style>
  <w:style w:type="paragraph" w:customStyle="1" w:styleId="pldetails">
    <w:name w:val="pldetails"/>
    <w:basedOn w:val="Normal"/>
    <w:rsid w:val="00071133"/>
    <w:pPr>
      <w:keepLines/>
      <w:spacing w:before="60" w:after="60"/>
      <w:jc w:val="left"/>
    </w:pPr>
    <w:rPr>
      <w:noProof/>
      <w:snapToGrid w:val="0"/>
    </w:rPr>
  </w:style>
  <w:style w:type="paragraph" w:customStyle="1" w:styleId="plheading">
    <w:name w:val="plheading"/>
    <w:basedOn w:val="Normal"/>
    <w:rsid w:val="00071133"/>
    <w:pPr>
      <w:keepNext/>
      <w:spacing w:before="480" w:after="120"/>
      <w:jc w:val="center"/>
    </w:pPr>
    <w:rPr>
      <w:caps/>
      <w:snapToGrid w:val="0"/>
      <w:u w:val="single"/>
    </w:rPr>
  </w:style>
  <w:style w:type="paragraph" w:customStyle="1" w:styleId="Sessiontcplacedate">
    <w:name w:val="Session_tc_place_date"/>
    <w:basedOn w:val="SessionMeetingPlace"/>
    <w:rsid w:val="00071133"/>
    <w:pPr>
      <w:spacing w:before="240"/>
    </w:pPr>
  </w:style>
  <w:style w:type="paragraph" w:customStyle="1" w:styleId="Titleofdoc0">
    <w:name w:val="Title_of_doc"/>
    <w:basedOn w:val="Normal"/>
    <w:rsid w:val="00071133"/>
    <w:pPr>
      <w:spacing w:before="600"/>
      <w:jc w:val="center"/>
    </w:pPr>
    <w:rPr>
      <w:caps/>
    </w:rPr>
  </w:style>
  <w:style w:type="paragraph" w:customStyle="1" w:styleId="preparedby1">
    <w:name w:val="prepared_by"/>
    <w:basedOn w:val="Normal"/>
    <w:rsid w:val="00071133"/>
    <w:pPr>
      <w:spacing w:before="240" w:after="600"/>
      <w:jc w:val="center"/>
    </w:pPr>
    <w:rPr>
      <w:i/>
    </w:rPr>
  </w:style>
  <w:style w:type="character" w:customStyle="1" w:styleId="CodeChar">
    <w:name w:val="Code Char"/>
    <w:basedOn w:val="DefaultParagraphFont"/>
    <w:link w:val="Code"/>
    <w:semiHidden/>
    <w:rsid w:val="00071133"/>
    <w:rPr>
      <w:rFonts w:ascii="Arial" w:hAnsi="Arial"/>
      <w:b/>
      <w:bCs/>
      <w:spacing w:val="10"/>
    </w:rPr>
  </w:style>
  <w:style w:type="paragraph" w:customStyle="1" w:styleId="endofdoc">
    <w:name w:val="end_of_doc"/>
    <w:autoRedefine/>
    <w:rsid w:val="00071133"/>
    <w:pPr>
      <w:spacing w:before="480"/>
      <w:ind w:left="567" w:hanging="567"/>
      <w:jc w:val="right"/>
    </w:pPr>
    <w:rPr>
      <w:rFonts w:ascii="Arial" w:hAnsi="Arial"/>
    </w:rPr>
  </w:style>
  <w:style w:type="character" w:customStyle="1" w:styleId="DocoriginalChar">
    <w:name w:val="Doc_original Char"/>
    <w:basedOn w:val="DefaultParagraphFont"/>
    <w:link w:val="Docoriginal"/>
    <w:rsid w:val="00071133"/>
    <w:rPr>
      <w:rFonts w:ascii="Arial" w:hAnsi="Arial"/>
      <w:b/>
      <w:bCs/>
      <w:spacing w:val="10"/>
    </w:rPr>
  </w:style>
  <w:style w:type="character" w:customStyle="1" w:styleId="StyleDocoriginalNotBoldChar">
    <w:name w:val="Style Doc_original + Not Bold Char"/>
    <w:basedOn w:val="DocoriginalChar"/>
    <w:link w:val="StyleDocoriginalNotBold"/>
    <w:rsid w:val="00071133"/>
    <w:rPr>
      <w:rFonts w:ascii="Arial" w:hAnsi="Arial"/>
      <w:b/>
      <w:bCs/>
      <w:spacing w:val="10"/>
    </w:rPr>
  </w:style>
  <w:style w:type="paragraph" w:customStyle="1" w:styleId="StyleDocnumber">
    <w:name w:val="Style Doc_number"/>
    <w:basedOn w:val="Docoriginal"/>
    <w:rsid w:val="00071133"/>
    <w:pPr>
      <w:ind w:left="1589"/>
    </w:pPr>
  </w:style>
  <w:style w:type="paragraph" w:customStyle="1" w:styleId="StyleDocoriginal">
    <w:name w:val="Style Doc_original"/>
    <w:basedOn w:val="Docoriginal"/>
    <w:link w:val="StyleDocoriginalChar"/>
    <w:rsid w:val="00071133"/>
  </w:style>
  <w:style w:type="character" w:customStyle="1" w:styleId="StyleDocoriginalChar">
    <w:name w:val="Style Doc_original Char"/>
    <w:basedOn w:val="DocoriginalChar"/>
    <w:link w:val="StyleDocoriginal"/>
    <w:rsid w:val="0007113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7113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71133"/>
    <w:rPr>
      <w:rFonts w:ascii="Arial" w:hAnsi="Arial"/>
      <w:b w:val="0"/>
      <w:bCs w:val="0"/>
      <w:spacing w:val="10"/>
    </w:rPr>
  </w:style>
  <w:style w:type="character" w:customStyle="1" w:styleId="StyleDocoriginalNotBold1">
    <w:name w:val="Style Doc_original + Not Bold1"/>
    <w:basedOn w:val="DefaultParagraphFont"/>
    <w:rsid w:val="00071133"/>
    <w:rPr>
      <w:rFonts w:ascii="Arial" w:hAnsi="Arial"/>
      <w:b/>
      <w:bCs/>
      <w:spacing w:val="10"/>
      <w:lang w:val="en-US" w:eastAsia="en-US" w:bidi="ar-SA"/>
    </w:rPr>
  </w:style>
  <w:style w:type="character" w:customStyle="1" w:styleId="StyleDoclangBold">
    <w:name w:val="Style Doc_lang + Bold"/>
    <w:basedOn w:val="Doclang"/>
    <w:rsid w:val="00071133"/>
    <w:rPr>
      <w:rFonts w:ascii="Arial" w:hAnsi="Arial"/>
      <w:b/>
      <w:bCs/>
      <w:sz w:val="20"/>
      <w:lang w:val="en-US"/>
    </w:rPr>
  </w:style>
  <w:style w:type="paragraph" w:styleId="TOC2">
    <w:name w:val="toc 2"/>
    <w:next w:val="Normal"/>
    <w:autoRedefine/>
    <w:uiPriority w:val="39"/>
    <w:rsid w:val="00071133"/>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7F3137"/>
    <w:pPr>
      <w:tabs>
        <w:tab w:val="right" w:leader="dot" w:pos="9639"/>
      </w:tabs>
      <w:spacing w:before="120"/>
      <w:ind w:left="851" w:right="851" w:hanging="567"/>
    </w:pPr>
    <w:rPr>
      <w:rFonts w:ascii="Arial" w:hAnsi="Arial"/>
      <w:noProof/>
      <w:lang w:val="fr-FR"/>
    </w:rPr>
  </w:style>
  <w:style w:type="character" w:styleId="Hyperlink">
    <w:name w:val="Hyperlink"/>
    <w:basedOn w:val="DefaultParagraphFont"/>
    <w:uiPriority w:val="99"/>
    <w:rsid w:val="00071133"/>
    <w:rPr>
      <w:rFonts w:ascii="Arial" w:hAnsi="Arial"/>
      <w:color w:val="0000FF"/>
      <w:u w:val="single"/>
    </w:rPr>
  </w:style>
  <w:style w:type="paragraph" w:styleId="TOC4">
    <w:name w:val="toc 4"/>
    <w:next w:val="Normal"/>
    <w:autoRedefine/>
    <w:semiHidden/>
    <w:rsid w:val="0007113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F3137"/>
    <w:pPr>
      <w:tabs>
        <w:tab w:val="right" w:leader="dot" w:pos="9639"/>
      </w:tabs>
      <w:spacing w:before="120"/>
      <w:ind w:left="284" w:right="284" w:hanging="284"/>
    </w:pPr>
    <w:rPr>
      <w:rFonts w:ascii="Arial" w:hAnsi="Arial"/>
      <w:b/>
      <w:caps/>
      <w:noProof/>
    </w:rPr>
  </w:style>
  <w:style w:type="paragraph" w:styleId="TOC5">
    <w:name w:val="toc 5"/>
    <w:next w:val="Normal"/>
    <w:autoRedefine/>
    <w:semiHidden/>
    <w:rsid w:val="00071133"/>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71133"/>
    <w:rPr>
      <w:rFonts w:ascii="Tahoma" w:hAnsi="Tahoma" w:cs="Tahoma"/>
      <w:sz w:val="16"/>
      <w:szCs w:val="16"/>
    </w:rPr>
  </w:style>
  <w:style w:type="character" w:customStyle="1" w:styleId="BalloonTextChar">
    <w:name w:val="Balloon Text Char"/>
    <w:basedOn w:val="DefaultParagraphFont"/>
    <w:link w:val="BalloonText"/>
    <w:rsid w:val="00071133"/>
    <w:rPr>
      <w:rFonts w:ascii="Tahoma" w:hAnsi="Tahoma" w:cs="Tahoma"/>
      <w:sz w:val="16"/>
      <w:szCs w:val="16"/>
    </w:rPr>
  </w:style>
  <w:style w:type="paragraph" w:customStyle="1" w:styleId="Inf4Normal">
    <w:name w:val="Inf_4_Normal"/>
    <w:basedOn w:val="Normal"/>
    <w:rsid w:val="00071133"/>
    <w:pPr>
      <w:spacing w:before="108"/>
    </w:pPr>
  </w:style>
  <w:style w:type="paragraph" w:customStyle="1" w:styleId="Inf4Heading4">
    <w:name w:val="Inf_4_Heading_4"/>
    <w:basedOn w:val="Heading4"/>
    <w:next w:val="Normal"/>
    <w:rsid w:val="00071133"/>
    <w:pPr>
      <w:spacing w:before="120"/>
      <w:ind w:left="0"/>
    </w:pPr>
    <w:rPr>
      <w:b w:val="0"/>
      <w:bCs/>
      <w:i/>
    </w:rPr>
  </w:style>
  <w:style w:type="paragraph" w:customStyle="1" w:styleId="Inf4Heading6">
    <w:name w:val="Inf_4_Heading_6"/>
    <w:basedOn w:val="Normal"/>
    <w:rsid w:val="00071133"/>
    <w:pPr>
      <w:keepNext/>
      <w:spacing w:before="108"/>
      <w:ind w:left="567"/>
      <w:outlineLvl w:val="5"/>
    </w:pPr>
    <w:rPr>
      <w:b/>
      <w:bCs/>
      <w:szCs w:val="24"/>
    </w:rPr>
  </w:style>
  <w:style w:type="paragraph" w:styleId="ListContinue4">
    <w:name w:val="List Continue 4"/>
    <w:basedOn w:val="Normal"/>
    <w:rsid w:val="00071133"/>
    <w:pPr>
      <w:spacing w:after="120"/>
      <w:ind w:left="1440"/>
    </w:pPr>
  </w:style>
  <w:style w:type="paragraph" w:styleId="ListParagraph">
    <w:name w:val="List Paragraph"/>
    <w:basedOn w:val="Normal"/>
    <w:uiPriority w:val="34"/>
    <w:qFormat/>
    <w:rsid w:val="00071133"/>
    <w:pPr>
      <w:ind w:left="720"/>
      <w:contextualSpacing/>
    </w:pPr>
  </w:style>
  <w:style w:type="character" w:customStyle="1" w:styleId="Heading6Char">
    <w:name w:val="Heading 6 Char"/>
    <w:basedOn w:val="DefaultParagraphFont"/>
    <w:link w:val="Heading6"/>
    <w:rsid w:val="00071133"/>
    <w:rPr>
      <w:sz w:val="24"/>
      <w:u w:val="single"/>
      <w:lang w:val="fr-FR"/>
    </w:rPr>
  </w:style>
  <w:style w:type="character" w:customStyle="1" w:styleId="Heading7Char">
    <w:name w:val="Heading 7 Char"/>
    <w:basedOn w:val="DefaultParagraphFont"/>
    <w:link w:val="Heading7"/>
    <w:rsid w:val="00071133"/>
    <w:rPr>
      <w:rFonts w:ascii="Cambria" w:hAnsi="Cambria"/>
      <w:i/>
      <w:iCs/>
      <w:color w:val="404040"/>
    </w:rPr>
  </w:style>
  <w:style w:type="character" w:customStyle="1" w:styleId="Heading2Char">
    <w:name w:val="Heading 2 Char"/>
    <w:link w:val="Heading2"/>
    <w:rsid w:val="00CA3BDE"/>
    <w:rPr>
      <w:rFonts w:ascii="Arial Bold" w:hAnsi="Arial Bold"/>
      <w:b/>
      <w:caps/>
      <w:color w:val="FFFFFF" w:themeColor="background1"/>
      <w:sz w:val="16"/>
      <w:u w:val="single"/>
      <w:lang w:val="fr-CH"/>
    </w:rPr>
  </w:style>
  <w:style w:type="character" w:customStyle="1" w:styleId="Heading1Char">
    <w:name w:val="Heading 1 Char"/>
    <w:link w:val="Heading1"/>
    <w:rsid w:val="00071133"/>
    <w:rPr>
      <w:rFonts w:ascii="Arial" w:hAnsi="Arial"/>
      <w:b/>
      <w:caps/>
    </w:rPr>
  </w:style>
  <w:style w:type="character" w:customStyle="1" w:styleId="Heading3Char">
    <w:name w:val="Heading 3 Char"/>
    <w:link w:val="Heading3"/>
    <w:rsid w:val="00CA3BDE"/>
    <w:rPr>
      <w:rFonts w:ascii="Arial Bold" w:eastAsiaTheme="minorHAnsi" w:hAnsi="Arial Bold"/>
      <w:b/>
      <w:color w:val="FFFFFF" w:themeColor="background1"/>
      <w:sz w:val="16"/>
      <w:u w:val="single"/>
      <w:lang w:val="fr-CH"/>
    </w:rPr>
  </w:style>
  <w:style w:type="character" w:customStyle="1" w:styleId="Heading4Char">
    <w:name w:val="Heading 4 Char"/>
    <w:link w:val="Heading4"/>
    <w:rsid w:val="00071133"/>
    <w:rPr>
      <w:rFonts w:ascii="Arial Bold" w:hAnsi="Arial Bold"/>
      <w:b/>
      <w:color w:val="FFFFFF" w:themeColor="background1"/>
      <w:sz w:val="16"/>
      <w:lang w:val="fr-FR"/>
    </w:rPr>
  </w:style>
  <w:style w:type="character" w:customStyle="1" w:styleId="Heading5Char">
    <w:name w:val="Heading 5 Char"/>
    <w:link w:val="Heading5"/>
    <w:rsid w:val="00071133"/>
    <w:rPr>
      <w:rFonts w:ascii="Arial" w:hAnsi="Arial"/>
      <w:u w:val="single"/>
    </w:rPr>
  </w:style>
  <w:style w:type="character" w:customStyle="1" w:styleId="Heading9Char">
    <w:name w:val="Heading 9 Char"/>
    <w:link w:val="Heading9"/>
    <w:rsid w:val="00071133"/>
    <w:rPr>
      <w:rFonts w:ascii="Arial" w:hAnsi="Arial"/>
      <w:i/>
      <w:sz w:val="18"/>
    </w:rPr>
  </w:style>
  <w:style w:type="character" w:customStyle="1" w:styleId="HeaderChar">
    <w:name w:val="Header Char"/>
    <w:link w:val="Header"/>
    <w:uiPriority w:val="99"/>
    <w:rsid w:val="00071133"/>
    <w:rPr>
      <w:rFonts w:ascii="Arial" w:hAnsi="Arial"/>
      <w:lang w:val="fr-FR"/>
    </w:rPr>
  </w:style>
  <w:style w:type="character" w:customStyle="1" w:styleId="FooterChar">
    <w:name w:val="Footer Char"/>
    <w:aliases w:val="doc_path_name Char"/>
    <w:link w:val="Footer"/>
    <w:uiPriority w:val="99"/>
    <w:rsid w:val="00071133"/>
    <w:rPr>
      <w:rFonts w:ascii="Arial" w:hAnsi="Arial"/>
      <w:sz w:val="14"/>
    </w:rPr>
  </w:style>
  <w:style w:type="character" w:customStyle="1" w:styleId="TitleChar">
    <w:name w:val="Title Char"/>
    <w:link w:val="Title"/>
    <w:rsid w:val="00071133"/>
    <w:rPr>
      <w:rFonts w:ascii="Arial" w:hAnsi="Arial"/>
      <w:b/>
      <w:caps/>
      <w:kern w:val="28"/>
      <w:sz w:val="30"/>
    </w:rPr>
  </w:style>
  <w:style w:type="character" w:customStyle="1" w:styleId="FootnoteTextChar">
    <w:name w:val="Footnote Text Char"/>
    <w:link w:val="FootnoteText"/>
    <w:rsid w:val="00071133"/>
    <w:rPr>
      <w:rFonts w:ascii="Arial" w:hAnsi="Arial"/>
      <w:sz w:val="16"/>
    </w:rPr>
  </w:style>
  <w:style w:type="character" w:customStyle="1" w:styleId="ClosingChar">
    <w:name w:val="Closing Char"/>
    <w:link w:val="Closing"/>
    <w:rsid w:val="00071133"/>
    <w:rPr>
      <w:rFonts w:ascii="Arial" w:hAnsi="Arial"/>
    </w:rPr>
  </w:style>
  <w:style w:type="character" w:customStyle="1" w:styleId="MacroTextChar">
    <w:name w:val="Macro Text Char"/>
    <w:link w:val="MacroText"/>
    <w:semiHidden/>
    <w:rsid w:val="00071133"/>
    <w:rPr>
      <w:rFonts w:ascii="Courier New" w:hAnsi="Courier New"/>
      <w:sz w:val="16"/>
    </w:rPr>
  </w:style>
  <w:style w:type="character" w:customStyle="1" w:styleId="SignatureChar">
    <w:name w:val="Signature Char"/>
    <w:link w:val="Signature"/>
    <w:rsid w:val="00071133"/>
    <w:rPr>
      <w:rFonts w:ascii="Arial" w:hAnsi="Arial"/>
    </w:rPr>
  </w:style>
  <w:style w:type="character" w:customStyle="1" w:styleId="BodyTextChar">
    <w:name w:val="Body Text Char"/>
    <w:link w:val="BodyText"/>
    <w:rsid w:val="00071133"/>
    <w:rPr>
      <w:rFonts w:ascii="Arial" w:hAnsi="Arial"/>
    </w:rPr>
  </w:style>
  <w:style w:type="character" w:customStyle="1" w:styleId="EndnoteTextChar">
    <w:name w:val="Endnote Text Char"/>
    <w:link w:val="EndnoteText"/>
    <w:semiHidden/>
    <w:rsid w:val="00071133"/>
    <w:rPr>
      <w:rFonts w:ascii="Arial" w:hAnsi="Arial"/>
    </w:rPr>
  </w:style>
  <w:style w:type="character" w:customStyle="1" w:styleId="DateChar">
    <w:name w:val="Date Char"/>
    <w:link w:val="Date"/>
    <w:semiHidden/>
    <w:rsid w:val="00071133"/>
    <w:rPr>
      <w:rFonts w:ascii="Arial" w:hAnsi="Arial"/>
      <w:b/>
      <w:sz w:val="22"/>
    </w:rPr>
  </w:style>
  <w:style w:type="paragraph" w:customStyle="1" w:styleId="n">
    <w:name w:val="n"/>
    <w:basedOn w:val="Header"/>
    <w:rsid w:val="00071133"/>
    <w:rPr>
      <w:rFonts w:ascii="Times New Roman" w:hAnsi="Times New Roman"/>
      <w:sz w:val="24"/>
    </w:rPr>
  </w:style>
  <w:style w:type="paragraph" w:styleId="BodyTextIndent3">
    <w:name w:val="Body Text Indent 3"/>
    <w:basedOn w:val="Normal"/>
    <w:link w:val="BodyTextIndent3Char"/>
    <w:rsid w:val="00071133"/>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071133"/>
    <w:rPr>
      <w:sz w:val="24"/>
      <w:lang w:val="fr-FR"/>
    </w:rPr>
  </w:style>
  <w:style w:type="paragraph" w:customStyle="1" w:styleId="DecisionInvitingPara">
    <w:name w:val="Decision Inviting Para."/>
    <w:basedOn w:val="Normal"/>
    <w:rsid w:val="00071133"/>
    <w:pPr>
      <w:ind w:left="4536"/>
      <w:jc w:val="left"/>
    </w:pPr>
    <w:rPr>
      <w:rFonts w:ascii="Times New Roman" w:hAnsi="Times New Roman"/>
      <w:i/>
      <w:sz w:val="24"/>
      <w:lang w:val="fr-FR"/>
    </w:rPr>
  </w:style>
  <w:style w:type="paragraph" w:customStyle="1" w:styleId="T1">
    <w:name w:val="T1"/>
    <w:basedOn w:val="BodyText"/>
    <w:rsid w:val="00071133"/>
    <w:rPr>
      <w:rFonts w:ascii="Times New Roman" w:hAnsi="Times New Roman"/>
      <w:b/>
      <w:sz w:val="24"/>
      <w:lang w:val="fr-FR"/>
    </w:rPr>
  </w:style>
  <w:style w:type="paragraph" w:customStyle="1" w:styleId="Titre">
    <w:name w:val="Titre"/>
    <w:basedOn w:val="Normal"/>
    <w:rsid w:val="00071133"/>
    <w:pPr>
      <w:tabs>
        <w:tab w:val="left" w:pos="567"/>
        <w:tab w:val="left" w:pos="993"/>
        <w:tab w:val="right" w:pos="6237"/>
        <w:tab w:val="right" w:pos="7938"/>
      </w:tabs>
      <w:spacing w:line="240" w:lineRule="exact"/>
      <w:jc w:val="left"/>
    </w:pPr>
    <w:rPr>
      <w:rFonts w:ascii="Times New Roman" w:hAnsi="Times New Roman"/>
      <w:b/>
      <w:caps/>
      <w:lang w:val="fr-FR"/>
    </w:rPr>
  </w:style>
  <w:style w:type="paragraph" w:styleId="BodyTextIndent2">
    <w:name w:val="Body Text Indent 2"/>
    <w:basedOn w:val="Normal"/>
    <w:link w:val="BodyTextIndent2Char"/>
    <w:rsid w:val="00071133"/>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071133"/>
    <w:rPr>
      <w:lang w:val="fr-FR"/>
    </w:rPr>
  </w:style>
  <w:style w:type="table" w:styleId="TableGrid">
    <w:name w:val="Table Grid"/>
    <w:basedOn w:val="TableNormal"/>
    <w:rsid w:val="000711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071133"/>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071133"/>
    <w:rPr>
      <w:sz w:val="24"/>
      <w:u w:val="single"/>
      <w:lang w:val="fr-FR"/>
    </w:rPr>
  </w:style>
  <w:style w:type="paragraph" w:customStyle="1" w:styleId="Partie">
    <w:name w:val="Partie"/>
    <w:basedOn w:val="Normal"/>
    <w:rsid w:val="00071133"/>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071133"/>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071133"/>
    <w:pPr>
      <w:tabs>
        <w:tab w:val="left" w:pos="567"/>
      </w:tabs>
      <w:jc w:val="left"/>
    </w:pPr>
    <w:rPr>
      <w:rFonts w:ascii="Times New Roman" w:hAnsi="Times New Roman"/>
      <w:sz w:val="24"/>
      <w:lang w:val="fr-FR"/>
    </w:rPr>
  </w:style>
  <w:style w:type="character" w:customStyle="1" w:styleId="BodyText2Char">
    <w:name w:val="Body Text 2 Char"/>
    <w:basedOn w:val="DefaultParagraphFont"/>
    <w:link w:val="BodyText2"/>
    <w:rsid w:val="00071133"/>
    <w:rPr>
      <w:sz w:val="24"/>
      <w:lang w:val="fr-FR"/>
    </w:rPr>
  </w:style>
  <w:style w:type="paragraph" w:customStyle="1" w:styleId="StyleStyle1Left163cmFirstline0cm">
    <w:name w:val="Style Style1 + Left:  1.63 cm First line:  0 cm"/>
    <w:basedOn w:val="Normal"/>
    <w:rsid w:val="00071133"/>
    <w:pPr>
      <w:numPr>
        <w:numId w:val="24"/>
      </w:numPr>
      <w:tabs>
        <w:tab w:val="left" w:pos="567"/>
      </w:tabs>
    </w:pPr>
    <w:rPr>
      <w:rFonts w:ascii="Times New Roman" w:hAnsi="Times New Roman"/>
      <w:sz w:val="24"/>
    </w:rPr>
  </w:style>
  <w:style w:type="paragraph" w:customStyle="1" w:styleId="Default">
    <w:name w:val="Default"/>
    <w:rsid w:val="0007113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071133"/>
    <w:pPr>
      <w:spacing w:after="120"/>
    </w:pPr>
    <w:rPr>
      <w:sz w:val="22"/>
    </w:rPr>
  </w:style>
  <w:style w:type="character" w:customStyle="1" w:styleId="StyletexteChar">
    <w:name w:val="Style texte Char"/>
    <w:link w:val="Styletexte"/>
    <w:locked/>
    <w:rsid w:val="00071133"/>
    <w:rPr>
      <w:rFonts w:ascii="Arial" w:hAnsi="Arial"/>
      <w:sz w:val="22"/>
    </w:rPr>
  </w:style>
  <w:style w:type="paragraph" w:customStyle="1" w:styleId="Style3">
    <w:name w:val="Style3"/>
    <w:basedOn w:val="Normal"/>
    <w:link w:val="Style3Char"/>
    <w:rsid w:val="00071133"/>
    <w:pPr>
      <w:spacing w:after="120"/>
    </w:pPr>
    <w:rPr>
      <w:sz w:val="22"/>
    </w:rPr>
  </w:style>
  <w:style w:type="character" w:customStyle="1" w:styleId="Style3Char">
    <w:name w:val="Style3 Char"/>
    <w:link w:val="Style3"/>
    <w:locked/>
    <w:rsid w:val="0007113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8410">
      <w:bodyDiv w:val="1"/>
      <w:marLeft w:val="0"/>
      <w:marRight w:val="0"/>
      <w:marTop w:val="0"/>
      <w:marBottom w:val="0"/>
      <w:divBdr>
        <w:top w:val="none" w:sz="0" w:space="0" w:color="auto"/>
        <w:left w:val="none" w:sz="0" w:space="0" w:color="auto"/>
        <w:bottom w:val="none" w:sz="0" w:space="0" w:color="auto"/>
        <w:right w:val="none" w:sz="0" w:space="0" w:color="auto"/>
      </w:divBdr>
    </w:div>
    <w:div w:id="1170801676">
      <w:bodyDiv w:val="1"/>
      <w:marLeft w:val="0"/>
      <w:marRight w:val="0"/>
      <w:marTop w:val="0"/>
      <w:marBottom w:val="0"/>
      <w:divBdr>
        <w:top w:val="none" w:sz="0" w:space="0" w:color="auto"/>
        <w:left w:val="none" w:sz="0" w:space="0" w:color="auto"/>
        <w:bottom w:val="none" w:sz="0" w:space="0" w:color="auto"/>
        <w:right w:val="none" w:sz="0" w:space="0" w:color="auto"/>
      </w:divBdr>
    </w:div>
    <w:div w:id="1417097660">
      <w:bodyDiv w:val="1"/>
      <w:marLeft w:val="0"/>
      <w:marRight w:val="0"/>
      <w:marTop w:val="0"/>
      <w:marBottom w:val="0"/>
      <w:divBdr>
        <w:top w:val="none" w:sz="0" w:space="0" w:color="auto"/>
        <w:left w:val="none" w:sz="0" w:space="0" w:color="auto"/>
        <w:bottom w:val="none" w:sz="0" w:space="0" w:color="auto"/>
        <w:right w:val="none" w:sz="0" w:space="0" w:color="auto"/>
      </w:divBdr>
    </w:div>
    <w:div w:id="1743991178">
      <w:bodyDiv w:val="1"/>
      <w:marLeft w:val="0"/>
      <w:marRight w:val="0"/>
      <w:marTop w:val="0"/>
      <w:marBottom w:val="0"/>
      <w:divBdr>
        <w:top w:val="none" w:sz="0" w:space="0" w:color="auto"/>
        <w:left w:val="none" w:sz="0" w:space="0" w:color="auto"/>
        <w:bottom w:val="none" w:sz="0" w:space="0" w:color="auto"/>
        <w:right w:val="none" w:sz="0" w:space="0" w:color="auto"/>
      </w:divBdr>
    </w:div>
    <w:div w:id="203680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2D7C-7F43-4E5E-9741-CB7402D022BB}">
  <ds:schemaRefs>
    <ds:schemaRef ds:uri="http://schemas.openxmlformats.org/officeDocument/2006/bibliography"/>
  </ds:schemaRefs>
</ds:datastoreItem>
</file>

<file path=customXml/itemProps2.xml><?xml version="1.0" encoding="utf-8"?>
<ds:datastoreItem xmlns:ds="http://schemas.openxmlformats.org/officeDocument/2006/customXml" ds:itemID="{DB024A5A-6CCF-408E-8BEA-A848ECA3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28</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keywords>CC/mhf</cp:keywords>
  <cp:lastModifiedBy>BESSE Ariane</cp:lastModifiedBy>
  <cp:revision>38</cp:revision>
  <cp:lastPrinted>2014-08-27T09:58:00Z</cp:lastPrinted>
  <dcterms:created xsi:type="dcterms:W3CDTF">2014-07-28T07:14:00Z</dcterms:created>
  <dcterms:modified xsi:type="dcterms:W3CDTF">2014-08-27T09:58:00Z</dcterms:modified>
</cp:coreProperties>
</file>