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C13D8" w:rsidRPr="004C1836" w:rsidTr="000C13D8">
        <w:trPr>
          <w:trHeight w:val="1760"/>
        </w:trPr>
        <w:tc>
          <w:tcPr>
            <w:tcW w:w="4243" w:type="dxa"/>
          </w:tcPr>
          <w:p w:rsidR="000C13D8" w:rsidRPr="004C1836" w:rsidRDefault="000C13D8" w:rsidP="000C13D8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C13D8" w:rsidRPr="004C1836" w:rsidRDefault="0049483C" w:rsidP="000C13D8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F6FF7EC" wp14:editId="358711A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C13D8" w:rsidRPr="004C1836" w:rsidRDefault="000C13D8" w:rsidP="000C13D8">
            <w:pPr>
              <w:pStyle w:val="Lettrine"/>
              <w:rPr>
                <w:lang w:val="fr-FR"/>
              </w:rPr>
            </w:pPr>
            <w:r w:rsidRPr="004C1836">
              <w:rPr>
                <w:lang w:val="fr-FR"/>
              </w:rPr>
              <w:t>F</w:t>
            </w:r>
          </w:p>
          <w:p w:rsidR="000C13D8" w:rsidRPr="004C1836" w:rsidRDefault="000C13D8" w:rsidP="000C13D8">
            <w:pPr>
              <w:pStyle w:val="Docoriginal"/>
              <w:rPr>
                <w:lang w:val="fr-FR"/>
              </w:rPr>
            </w:pPr>
            <w:r w:rsidRPr="004C1836">
              <w:rPr>
                <w:lang w:val="fr-FR"/>
              </w:rPr>
              <w:t>C/47/9</w:t>
            </w:r>
          </w:p>
          <w:p w:rsidR="000C13D8" w:rsidRPr="004C1836" w:rsidRDefault="000C13D8" w:rsidP="000C13D8">
            <w:pPr>
              <w:pStyle w:val="Docoriginal"/>
              <w:rPr>
                <w:b w:val="0"/>
                <w:spacing w:val="0"/>
                <w:lang w:val="fr-FR"/>
              </w:rPr>
            </w:pPr>
            <w:r w:rsidRPr="004C1836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4C183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0" w:name="Original"/>
            <w:bookmarkEnd w:id="0"/>
            <w:r w:rsidRPr="004C1836">
              <w:rPr>
                <w:b w:val="0"/>
                <w:spacing w:val="0"/>
                <w:lang w:val="fr-FR"/>
              </w:rPr>
              <w:t>anglais</w:t>
            </w:r>
          </w:p>
          <w:p w:rsidR="000C13D8" w:rsidRPr="004C1836" w:rsidRDefault="000C13D8" w:rsidP="00D77F6B">
            <w:pPr>
              <w:pStyle w:val="Docoriginal"/>
              <w:rPr>
                <w:lang w:val="fr-FR"/>
              </w:rPr>
            </w:pPr>
            <w:r w:rsidRPr="004C1836">
              <w:rPr>
                <w:spacing w:val="0"/>
                <w:lang w:val="fr-FR"/>
              </w:rPr>
              <w:t>DATE :</w:t>
            </w:r>
            <w:r w:rsidRPr="004C1836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Date"/>
            <w:bookmarkEnd w:id="1"/>
            <w:r w:rsidR="00D77F6B">
              <w:rPr>
                <w:rStyle w:val="StyleDocoriginalNotBold1"/>
                <w:spacing w:val="0"/>
                <w:lang w:val="fr-FR"/>
              </w:rPr>
              <w:t>10</w:t>
            </w:r>
            <w:r w:rsidR="00AB5517" w:rsidRPr="004C1836">
              <w:rPr>
                <w:rStyle w:val="StyleDocoriginalNotBold1"/>
                <w:spacing w:val="0"/>
                <w:lang w:val="fr-FR"/>
              </w:rPr>
              <w:t> </w:t>
            </w:r>
            <w:r w:rsidR="00AB5517" w:rsidRPr="004C1836">
              <w:rPr>
                <w:b w:val="0"/>
                <w:spacing w:val="0"/>
                <w:lang w:val="fr-FR"/>
              </w:rPr>
              <w:t>octobre 20</w:t>
            </w:r>
            <w:r w:rsidRPr="004C1836">
              <w:rPr>
                <w:b w:val="0"/>
                <w:spacing w:val="0"/>
                <w:lang w:val="fr-FR"/>
              </w:rPr>
              <w:t>13</w:t>
            </w:r>
          </w:p>
        </w:tc>
      </w:tr>
      <w:tr w:rsidR="000C13D8" w:rsidRPr="004C1836" w:rsidTr="000C13D8">
        <w:tc>
          <w:tcPr>
            <w:tcW w:w="10131" w:type="dxa"/>
            <w:gridSpan w:val="3"/>
          </w:tcPr>
          <w:p w:rsidR="000C13D8" w:rsidRPr="004C1836" w:rsidRDefault="000C13D8" w:rsidP="000C13D8">
            <w:pPr>
              <w:pStyle w:val="upove"/>
              <w:rPr>
                <w:sz w:val="28"/>
                <w:lang w:val="fr-FR"/>
              </w:rPr>
            </w:pPr>
            <w:r w:rsidRPr="004C1836">
              <w:rPr>
                <w:snapToGrid w:val="0"/>
                <w:lang w:val="fr-FR"/>
              </w:rPr>
              <w:t xml:space="preserve">UNION INTERNATIONALE POUR LA PROTECTION DES OBTENTIONS VÉGÉTALES </w:t>
            </w:r>
          </w:p>
        </w:tc>
      </w:tr>
      <w:tr w:rsidR="000C13D8" w:rsidRPr="004C1836" w:rsidTr="000C13D8">
        <w:tc>
          <w:tcPr>
            <w:tcW w:w="10131" w:type="dxa"/>
            <w:gridSpan w:val="3"/>
          </w:tcPr>
          <w:p w:rsidR="000C13D8" w:rsidRPr="004C1836" w:rsidRDefault="000C13D8" w:rsidP="000C13D8">
            <w:pPr>
              <w:pStyle w:val="Country"/>
              <w:rPr>
                <w:lang w:val="fr-FR"/>
              </w:rPr>
            </w:pPr>
            <w:r w:rsidRPr="004C1836">
              <w:rPr>
                <w:lang w:val="fr-FR"/>
              </w:rPr>
              <w:t>Genève</w:t>
            </w:r>
          </w:p>
        </w:tc>
      </w:tr>
    </w:tbl>
    <w:p w:rsidR="000C13D8" w:rsidRPr="004C1836" w:rsidRDefault="000C13D8" w:rsidP="000C13D8">
      <w:pPr>
        <w:pStyle w:val="Sessiontc"/>
        <w:rPr>
          <w:lang w:val="fr-FR"/>
        </w:rPr>
      </w:pPr>
      <w:r w:rsidRPr="004C1836">
        <w:rPr>
          <w:lang w:val="fr-FR"/>
        </w:rPr>
        <w:t>CONSEIL</w:t>
      </w:r>
    </w:p>
    <w:p w:rsidR="000C13D8" w:rsidRPr="004C1836" w:rsidRDefault="000C13D8" w:rsidP="000C13D8">
      <w:pPr>
        <w:pStyle w:val="Sessiontcplacedate"/>
        <w:rPr>
          <w:lang w:val="fr-FR"/>
        </w:rPr>
      </w:pPr>
      <w:r w:rsidRPr="004C1836">
        <w:rPr>
          <w:lang w:val="fr-FR"/>
        </w:rPr>
        <w:t>Quarante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septième session ordinaire</w:t>
      </w:r>
      <w:r w:rsidRPr="004C1836">
        <w:rPr>
          <w:lang w:val="fr-FR"/>
        </w:rPr>
        <w:br/>
        <w:t>Genève, 24 octobre 2013</w:t>
      </w:r>
    </w:p>
    <w:p w:rsidR="000C13D8" w:rsidRPr="004C1836" w:rsidRDefault="000C13D8" w:rsidP="000C13D8">
      <w:pPr>
        <w:pStyle w:val="Titleofdoc0"/>
        <w:rPr>
          <w:lang w:val="fr-FR"/>
        </w:rPr>
      </w:pPr>
      <w:bookmarkStart w:id="2" w:name="TitleOfDoc"/>
      <w:bookmarkEnd w:id="2"/>
      <w:r w:rsidRPr="004C1836">
        <w:rPr>
          <w:lang w:val="fr-FR"/>
        </w:rPr>
        <w:t>RAPPORT SUR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État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avancement des travaux</w:t>
      </w:r>
      <w:r w:rsidRPr="004C1836">
        <w:rPr>
          <w:lang w:val="fr-FR"/>
        </w:rPr>
        <w:br/>
        <w:t>du comitÉ administratif et juridique</w:t>
      </w:r>
    </w:p>
    <w:p w:rsidR="006D492E" w:rsidRPr="004C1836" w:rsidRDefault="006D492E" w:rsidP="006D492E">
      <w:pPr>
        <w:pStyle w:val="preparedby1"/>
        <w:rPr>
          <w:lang w:val="fr-FR"/>
        </w:rPr>
      </w:pPr>
      <w:bookmarkStart w:id="3" w:name="Prepared"/>
      <w:bookmarkEnd w:id="3"/>
      <w:r w:rsidRPr="004C1836">
        <w:rPr>
          <w:lang w:val="fr-FR"/>
        </w:rPr>
        <w:t>établi par le Bureau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Union</w:t>
      </w:r>
      <w:r w:rsidRPr="004C1836">
        <w:rPr>
          <w:lang w:val="fr-FR"/>
        </w:rPr>
        <w:br/>
      </w:r>
      <w:r w:rsidRPr="004C1836">
        <w:rPr>
          <w:lang w:val="fr-FR"/>
        </w:rPr>
        <w:br/>
      </w:r>
      <w:r w:rsidRPr="004C1836">
        <w:rPr>
          <w:color w:val="A6A6A6"/>
          <w:lang w:val="fr-FR"/>
        </w:rPr>
        <w:t>Avertissement : le présent document ne représente pas les principes ou les orientations de l</w:t>
      </w:r>
      <w:r w:rsidR="00AB5517" w:rsidRPr="004C1836">
        <w:rPr>
          <w:color w:val="A6A6A6"/>
          <w:lang w:val="fr-FR"/>
        </w:rPr>
        <w:t>’</w:t>
      </w:r>
      <w:r w:rsidRPr="004C1836">
        <w:rPr>
          <w:color w:val="A6A6A6"/>
          <w:lang w:val="fr-FR"/>
        </w:rPr>
        <w:t>UPOV</w:t>
      </w:r>
    </w:p>
    <w:p w:rsidR="000C13D8" w:rsidRPr="004C1836" w:rsidRDefault="000C13D8" w:rsidP="00651893">
      <w:pPr>
        <w:rPr>
          <w:lang w:val="fr-FR"/>
        </w:rPr>
      </w:pPr>
      <w:r w:rsidRPr="004C1836">
        <w:rPr>
          <w:lang w:val="fr-FR"/>
        </w:rPr>
        <w:fldChar w:fldCharType="begin"/>
      </w:r>
      <w:r w:rsidRPr="004C1836">
        <w:rPr>
          <w:lang w:val="fr-FR"/>
        </w:rPr>
        <w:instrText xml:space="preserve"> AUTONUM  </w:instrText>
      </w:r>
      <w:r w:rsidRPr="004C1836">
        <w:rPr>
          <w:lang w:val="fr-FR"/>
        </w:rPr>
        <w:fldChar w:fldCharType="end"/>
      </w:r>
      <w:r w:rsidRPr="004C1836">
        <w:rPr>
          <w:lang w:val="fr-FR"/>
        </w:rPr>
        <w:tab/>
        <w:t>Le Comité adm</w:t>
      </w:r>
      <w:bookmarkStart w:id="4" w:name="_GoBack"/>
      <w:bookmarkEnd w:id="4"/>
      <w:r w:rsidRPr="004C1836">
        <w:rPr>
          <w:lang w:val="fr-FR"/>
        </w:rPr>
        <w:t>inistratif et juridique (CAJ) a tenu sa soixante</w:t>
      </w:r>
      <w:r w:rsidR="00A82473" w:rsidRPr="004C1836">
        <w:rPr>
          <w:lang w:val="fr-FR"/>
        </w:rPr>
        <w:noBreakHyphen/>
      </w:r>
      <w:r w:rsidR="00B96AB9" w:rsidRPr="004C1836">
        <w:rPr>
          <w:lang w:val="fr-FR"/>
        </w:rPr>
        <w:t>sept</w:t>
      </w:r>
      <w:r w:rsidRPr="004C1836">
        <w:rPr>
          <w:lang w:val="fr-FR"/>
        </w:rPr>
        <w:t>ième session à Genève, le 2</w:t>
      </w:r>
      <w:r w:rsidR="00B96AB9" w:rsidRPr="004C1836">
        <w:rPr>
          <w:lang w:val="fr-FR"/>
        </w:rPr>
        <w:t>1</w:t>
      </w:r>
      <w:r w:rsidR="00E123F5" w:rsidRPr="004C1836">
        <w:rPr>
          <w:lang w:val="fr-FR"/>
        </w:rPr>
        <w:t> mars 2013</w:t>
      </w:r>
      <w:r w:rsidRPr="004C1836">
        <w:rPr>
          <w:lang w:val="fr-FR"/>
        </w:rPr>
        <w:t>, sous la présidence de M. Lü Bo (Chine).  À la quarante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s</w:t>
      </w:r>
      <w:r w:rsidR="00E123F5" w:rsidRPr="004C1836">
        <w:rPr>
          <w:lang w:val="fr-FR"/>
        </w:rPr>
        <w:t>ept</w:t>
      </w:r>
      <w:r w:rsidRPr="004C1836">
        <w:rPr>
          <w:lang w:val="fr-FR"/>
        </w:rPr>
        <w:t xml:space="preserve">ième session ordinaire du Conseil, prévue à Genève le </w:t>
      </w:r>
      <w:r w:rsidR="00E123F5" w:rsidRPr="004C1836">
        <w:rPr>
          <w:lang w:val="fr-FR"/>
        </w:rPr>
        <w:t>24</w:t>
      </w:r>
      <w:r w:rsidRPr="004C1836">
        <w:rPr>
          <w:lang w:val="fr-FR"/>
        </w:rPr>
        <w:t> o</w:t>
      </w:r>
      <w:r w:rsidR="00E123F5" w:rsidRPr="004C1836">
        <w:rPr>
          <w:lang w:val="fr-FR"/>
        </w:rPr>
        <w:t>cto</w:t>
      </w:r>
      <w:r w:rsidRPr="004C1836">
        <w:rPr>
          <w:lang w:val="fr-FR"/>
        </w:rPr>
        <w:t>bre 201</w:t>
      </w:r>
      <w:r w:rsidR="00E123F5" w:rsidRPr="004C1836">
        <w:rPr>
          <w:lang w:val="fr-FR"/>
        </w:rPr>
        <w:t>3</w:t>
      </w:r>
      <w:r w:rsidRPr="004C1836">
        <w:rPr>
          <w:lang w:val="fr-FR"/>
        </w:rPr>
        <w:t>, le président du CAJ présentera un rapport verbal sur la soixante</w:t>
      </w:r>
      <w:r w:rsidR="00A82473" w:rsidRPr="004C1836">
        <w:rPr>
          <w:lang w:val="fr-FR"/>
        </w:rPr>
        <w:noBreakHyphen/>
      </w:r>
      <w:r w:rsidR="00D57D84" w:rsidRPr="004C1836">
        <w:rPr>
          <w:lang w:val="fr-FR"/>
        </w:rPr>
        <w:t>huitiè</w:t>
      </w:r>
      <w:r w:rsidRPr="004C1836">
        <w:rPr>
          <w:lang w:val="fr-FR"/>
        </w:rPr>
        <w:t>me session du CAJ, prévue à Genève le 2</w:t>
      </w:r>
      <w:r w:rsidR="00D57D84" w:rsidRPr="004C1836">
        <w:rPr>
          <w:lang w:val="fr-FR"/>
        </w:rPr>
        <w:t>1</w:t>
      </w:r>
      <w:r w:rsidRPr="004C1836">
        <w:rPr>
          <w:lang w:val="fr-FR"/>
        </w:rPr>
        <w:t> octobre 201</w:t>
      </w:r>
      <w:r w:rsidR="00D57D84" w:rsidRPr="004C1836">
        <w:rPr>
          <w:lang w:val="fr-FR"/>
        </w:rPr>
        <w:t>3</w:t>
      </w:r>
      <w:r w:rsidRPr="004C1836">
        <w:rPr>
          <w:lang w:val="fr-FR"/>
        </w:rPr>
        <w:t xml:space="preserve">, et </w:t>
      </w:r>
      <w:r w:rsidR="00D57D84" w:rsidRPr="004C1836">
        <w:rPr>
          <w:lang w:val="fr-FR"/>
        </w:rPr>
        <w:t xml:space="preserve">sur </w:t>
      </w:r>
      <w:r w:rsidRPr="004C1836">
        <w:rPr>
          <w:lang w:val="fr-FR"/>
        </w:rPr>
        <w:t>le programme de sa soixante</w:t>
      </w:r>
      <w:r w:rsidR="00A82473" w:rsidRPr="004C1836">
        <w:rPr>
          <w:lang w:val="fr-FR"/>
        </w:rPr>
        <w:noBreakHyphen/>
      </w:r>
      <w:r w:rsidR="00D57D84" w:rsidRPr="004C1836">
        <w:rPr>
          <w:lang w:val="fr-FR"/>
        </w:rPr>
        <w:t>neuv</w:t>
      </w:r>
      <w:r w:rsidRPr="004C1836">
        <w:rPr>
          <w:lang w:val="fr-FR"/>
        </w:rPr>
        <w:t>ième session.</w:t>
      </w:r>
    </w:p>
    <w:p w:rsidR="000C13D8" w:rsidRPr="004C1836" w:rsidRDefault="000C13D8" w:rsidP="00651893">
      <w:pPr>
        <w:rPr>
          <w:lang w:val="fr-FR"/>
        </w:rPr>
      </w:pPr>
    </w:p>
    <w:p w:rsidR="000C13D8" w:rsidRPr="004C1836" w:rsidRDefault="000C13D8" w:rsidP="00651893">
      <w:pPr>
        <w:rPr>
          <w:lang w:val="fr-FR"/>
        </w:rPr>
      </w:pPr>
      <w:r w:rsidRPr="004C1836">
        <w:rPr>
          <w:lang w:val="fr-FR"/>
        </w:rPr>
        <w:fldChar w:fldCharType="begin"/>
      </w:r>
      <w:r w:rsidRPr="004C1836">
        <w:rPr>
          <w:lang w:val="fr-FR"/>
        </w:rPr>
        <w:instrText xml:space="preserve"> AUTONUM  </w:instrText>
      </w:r>
      <w:r w:rsidRPr="004C1836">
        <w:rPr>
          <w:lang w:val="fr-FR"/>
        </w:rPr>
        <w:fldChar w:fldCharType="end"/>
      </w:r>
      <w:r w:rsidRPr="004C1836">
        <w:rPr>
          <w:lang w:val="fr-FR"/>
        </w:rPr>
        <w:tab/>
        <w:t>À sa soixante</w:t>
      </w:r>
      <w:r w:rsidR="00A82473" w:rsidRPr="004C1836">
        <w:rPr>
          <w:lang w:val="fr-FR"/>
        </w:rPr>
        <w:noBreakHyphen/>
      </w:r>
      <w:r w:rsidR="00D57D84" w:rsidRPr="004C1836">
        <w:rPr>
          <w:lang w:val="fr-FR"/>
        </w:rPr>
        <w:t>septi</w:t>
      </w:r>
      <w:r w:rsidRPr="004C1836">
        <w:rPr>
          <w:lang w:val="fr-FR"/>
        </w:rPr>
        <w:t>ème session, le CAJ a examiné les questions suivantes :</w:t>
      </w:r>
    </w:p>
    <w:p w:rsidR="00617C09" w:rsidRPr="004C1836" w:rsidRDefault="00617C09" w:rsidP="00651893">
      <w:pPr>
        <w:rPr>
          <w:snapToGrid w:val="0"/>
          <w:lang w:val="fr-FR"/>
        </w:rPr>
      </w:pPr>
    </w:p>
    <w:p w:rsidR="00900C26" w:rsidRPr="004C1836" w:rsidRDefault="008159A6" w:rsidP="000B4AA0">
      <w:pPr>
        <w:numPr>
          <w:ilvl w:val="0"/>
          <w:numId w:val="4"/>
        </w:numPr>
        <w:ind w:left="0" w:firstLine="570"/>
        <w:rPr>
          <w:lang w:val="fr-FR"/>
        </w:rPr>
      </w:pPr>
      <w:r w:rsidRPr="004C1836">
        <w:rPr>
          <w:u w:val="single"/>
          <w:lang w:val="fr-FR"/>
        </w:rPr>
        <w:t xml:space="preserve">Rapport sur les faits nouveaux intervenus </w:t>
      </w:r>
      <w:r w:rsidR="00B0439A" w:rsidRPr="004C1836">
        <w:rPr>
          <w:u w:val="single"/>
          <w:lang w:val="fr-FR"/>
        </w:rPr>
        <w:t>au sein du</w:t>
      </w:r>
      <w:r w:rsidRPr="004C1836">
        <w:rPr>
          <w:u w:val="single"/>
          <w:lang w:val="fr-FR"/>
        </w:rPr>
        <w:t xml:space="preserve"> Comité technique</w:t>
      </w:r>
      <w:r w:rsidRPr="004C1836">
        <w:rPr>
          <w:lang w:val="fr-FR"/>
        </w:rPr>
        <w:t xml:space="preserve"> : </w:t>
      </w:r>
      <w:r w:rsidR="002E19E2" w:rsidRPr="004C1836">
        <w:rPr>
          <w:lang w:val="fr-FR"/>
        </w:rPr>
        <w:t>L</w:t>
      </w:r>
      <w:r w:rsidRPr="004C1836">
        <w:rPr>
          <w:lang w:val="fr-FR"/>
        </w:rPr>
        <w:t>e CAJ a pris note du rapport présenté par M. Joël Guiard (France), président du Comité technique (TC), sur les faits nouveaux intervenus dans le</w:t>
      </w:r>
      <w:r w:rsidR="00AB5517" w:rsidRPr="004C1836">
        <w:rPr>
          <w:lang w:val="fr-FR"/>
        </w:rPr>
        <w:t> TC</w:t>
      </w:r>
      <w:r w:rsidRPr="004C1836">
        <w:rPr>
          <w:lang w:val="fr-FR"/>
        </w:rPr>
        <w:t>, à sa quarante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neuvième session tenue à Genève du 18 au 20 mars 2013.  Le CAJ a noté que les conclusions du</w:t>
      </w:r>
      <w:r w:rsidR="00AB5517" w:rsidRPr="004C1836">
        <w:rPr>
          <w:lang w:val="fr-FR"/>
        </w:rPr>
        <w:t> TC</w:t>
      </w:r>
      <w:r w:rsidRPr="004C1836">
        <w:rPr>
          <w:lang w:val="fr-FR"/>
        </w:rPr>
        <w:t xml:space="preserve"> en ce qui concerne les questions devant être examinées par le CAJ ont été présentées dans le document CAJ/6</w:t>
      </w:r>
      <w:r w:rsidR="002F5DAA" w:rsidRPr="004C1836">
        <w:rPr>
          <w:lang w:val="fr-FR"/>
        </w:rPr>
        <w:t>7</w:t>
      </w:r>
      <w:r w:rsidRPr="004C1836">
        <w:rPr>
          <w:lang w:val="fr-FR"/>
        </w:rPr>
        <w:t>/1</w:t>
      </w:r>
      <w:r w:rsidR="002F5DAA" w:rsidRPr="004C1836">
        <w:rPr>
          <w:lang w:val="fr-FR"/>
        </w:rPr>
        <w:t>3 “Report on the Conclusions of the Technical Committee at its forty</w:t>
      </w:r>
      <w:r w:rsidR="00A82473" w:rsidRPr="004C1836">
        <w:rPr>
          <w:lang w:val="fr-FR"/>
        </w:rPr>
        <w:noBreakHyphen/>
      </w:r>
      <w:r w:rsidR="002F5DAA" w:rsidRPr="004C1836">
        <w:rPr>
          <w:lang w:val="fr-FR"/>
        </w:rPr>
        <w:t xml:space="preserve">ninth session on matters to be considered by the Administrative and Legal Committee”.  </w:t>
      </w:r>
      <w:r w:rsidRPr="004C1836">
        <w:rPr>
          <w:lang w:val="fr-FR"/>
        </w:rPr>
        <w:t xml:space="preserve">Il a également noté que le compte </w:t>
      </w:r>
      <w:r w:rsidR="004865C2" w:rsidRPr="004C1836">
        <w:rPr>
          <w:lang w:val="fr-FR"/>
        </w:rPr>
        <w:t>rendu d</w:t>
      </w:r>
      <w:r w:rsidRPr="004C1836">
        <w:rPr>
          <w:lang w:val="fr-FR"/>
        </w:rPr>
        <w:t>es conclusions du</w:t>
      </w:r>
      <w:r w:rsidR="00AB5517" w:rsidRPr="004C1836">
        <w:rPr>
          <w:lang w:val="fr-FR"/>
        </w:rPr>
        <w:t> TC</w:t>
      </w:r>
      <w:r w:rsidRPr="004C1836">
        <w:rPr>
          <w:lang w:val="fr-FR"/>
        </w:rPr>
        <w:t xml:space="preserve"> faisait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objet du </w:t>
      </w:r>
      <w:r w:rsidR="00AB5517" w:rsidRPr="004C1836">
        <w:rPr>
          <w:lang w:val="fr-FR"/>
        </w:rPr>
        <w:t>document TC</w:t>
      </w:r>
      <w:r w:rsidRPr="004C1836">
        <w:rPr>
          <w:lang w:val="fr-FR"/>
        </w:rPr>
        <w:t>/4</w:t>
      </w:r>
      <w:r w:rsidR="004865C2" w:rsidRPr="004C1836">
        <w:rPr>
          <w:lang w:val="fr-FR"/>
        </w:rPr>
        <w:t>9</w:t>
      </w:r>
      <w:r w:rsidRPr="004C1836">
        <w:rPr>
          <w:lang w:val="fr-FR"/>
        </w:rPr>
        <w:t>/</w:t>
      </w:r>
      <w:r w:rsidR="004865C2" w:rsidRPr="004C1836">
        <w:rPr>
          <w:lang w:val="fr-FR"/>
        </w:rPr>
        <w:t>41</w:t>
      </w:r>
      <w:r w:rsidRPr="004C1836">
        <w:rPr>
          <w:lang w:val="fr-FR"/>
        </w:rPr>
        <w:t xml:space="preserve"> “Compte rendu des conclusions” (voir le paragraphe </w:t>
      </w:r>
      <w:r w:rsidR="004865C2" w:rsidRPr="004C1836">
        <w:rPr>
          <w:lang w:val="fr-FR"/>
        </w:rPr>
        <w:t>9</w:t>
      </w:r>
      <w:r w:rsidRPr="004C1836">
        <w:rPr>
          <w:lang w:val="fr-FR"/>
        </w:rPr>
        <w:t xml:space="preserve"> du document CAJ/6</w:t>
      </w:r>
      <w:r w:rsidR="004865C2" w:rsidRPr="004C1836">
        <w:rPr>
          <w:lang w:val="fr-FR"/>
        </w:rPr>
        <w:t>7</w:t>
      </w:r>
      <w:r w:rsidRPr="004C1836">
        <w:rPr>
          <w:lang w:val="fr-FR"/>
        </w:rPr>
        <w:t>/1</w:t>
      </w:r>
      <w:r w:rsidR="004865C2" w:rsidRPr="004C1836">
        <w:rPr>
          <w:lang w:val="fr-FR"/>
        </w:rPr>
        <w:t>4</w:t>
      </w:r>
      <w:r w:rsidRPr="004C1836">
        <w:rPr>
          <w:lang w:val="fr-FR"/>
        </w:rPr>
        <w:t xml:space="preserve">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="002E19E2" w:rsidRPr="004C1836">
        <w:rPr>
          <w:lang w:val="fr-FR"/>
        </w:rPr>
        <w:t>;</w:t>
      </w:r>
    </w:p>
    <w:p w:rsidR="00617C09" w:rsidRPr="004C1836" w:rsidRDefault="00617C09" w:rsidP="00651893">
      <w:pPr>
        <w:rPr>
          <w:lang w:val="fr-FR"/>
        </w:rPr>
      </w:pPr>
    </w:p>
    <w:p w:rsidR="006D492E" w:rsidRPr="004C1836" w:rsidRDefault="006D492E" w:rsidP="000B4AA0">
      <w:pPr>
        <w:numPr>
          <w:ilvl w:val="0"/>
          <w:numId w:val="4"/>
        </w:numPr>
        <w:rPr>
          <w:lang w:val="fr-FR"/>
        </w:rPr>
      </w:pPr>
      <w:r w:rsidRPr="004C1836">
        <w:rPr>
          <w:u w:val="single"/>
          <w:lang w:val="fr-FR"/>
        </w:rPr>
        <w:t>Élaboration de matériel d</w:t>
      </w:r>
      <w:r w:rsidR="00AB5517" w:rsidRPr="004C1836">
        <w:rPr>
          <w:u w:val="single"/>
          <w:lang w:val="fr-FR"/>
        </w:rPr>
        <w:t>’</w:t>
      </w:r>
      <w:r w:rsidRPr="004C1836">
        <w:rPr>
          <w:u w:val="single"/>
          <w:lang w:val="fr-FR"/>
        </w:rPr>
        <w:t xml:space="preserve">information concernant la </w:t>
      </w:r>
      <w:r w:rsidR="00AB5517" w:rsidRPr="004C1836">
        <w:rPr>
          <w:u w:val="single"/>
          <w:lang w:val="fr-FR"/>
        </w:rPr>
        <w:t>Convention UPOV</w:t>
      </w:r>
      <w:r w:rsidR="00066A56" w:rsidRPr="004C1836">
        <w:rPr>
          <w:lang w:val="fr-FR"/>
        </w:rPr>
        <w:t> :</w:t>
      </w:r>
    </w:p>
    <w:p w:rsidR="00617C09" w:rsidRPr="004C1836" w:rsidRDefault="00617C09" w:rsidP="00651893">
      <w:pPr>
        <w:rPr>
          <w:lang w:val="fr-FR"/>
        </w:rPr>
      </w:pPr>
    </w:p>
    <w:p w:rsidR="00617C09" w:rsidRPr="004C1836" w:rsidRDefault="00066A56" w:rsidP="000B4AA0">
      <w:pPr>
        <w:numPr>
          <w:ilvl w:val="0"/>
          <w:numId w:val="6"/>
        </w:numPr>
        <w:ind w:firstLine="1140"/>
        <w:rPr>
          <w:lang w:val="fr-FR"/>
        </w:rPr>
      </w:pPr>
      <w:r w:rsidRPr="004C1836">
        <w:rPr>
          <w:lang w:val="fr-FR"/>
        </w:rPr>
        <w:t xml:space="preserve">Le CAJ </w:t>
      </w:r>
      <w:r w:rsidR="00B0439A" w:rsidRPr="004C1836">
        <w:rPr>
          <w:lang w:val="fr-FR"/>
        </w:rPr>
        <w:t xml:space="preserve">a </w:t>
      </w:r>
      <w:r w:rsidRPr="004C1836">
        <w:rPr>
          <w:lang w:val="fr-FR"/>
        </w:rPr>
        <w:t>approuv</w:t>
      </w:r>
      <w:r w:rsidR="00B0439A" w:rsidRPr="004C1836">
        <w:rPr>
          <w:lang w:val="fr-FR"/>
        </w:rPr>
        <w:t>é</w:t>
      </w:r>
      <w:r w:rsidRPr="004C1836">
        <w:rPr>
          <w:lang w:val="fr-FR"/>
        </w:rPr>
        <w:t xml:space="preserve"> le document UPOV/EXN/BRD Draft 6</w:t>
      </w:r>
      <w:r w:rsidRPr="004C1836">
        <w:rPr>
          <w:rFonts w:cs="Arial"/>
          <w:lang w:val="fr-FR"/>
        </w:rPr>
        <w:t xml:space="preserve"> comme base pour l</w:t>
      </w:r>
      <w:r w:rsidR="00AB5517" w:rsidRPr="004C1836">
        <w:rPr>
          <w:rFonts w:cs="Arial"/>
          <w:lang w:val="fr-FR"/>
        </w:rPr>
        <w:t>’</w:t>
      </w:r>
      <w:r w:rsidRPr="004C1836">
        <w:rPr>
          <w:rFonts w:cs="Arial"/>
          <w:lang w:val="fr-FR"/>
        </w:rPr>
        <w:t>adoption des “Notes explicatives sur la définition de l</w:t>
      </w:r>
      <w:r w:rsidR="00AB5517" w:rsidRPr="004C1836">
        <w:rPr>
          <w:rFonts w:cs="Arial"/>
          <w:lang w:val="fr-FR"/>
        </w:rPr>
        <w:t>’</w:t>
      </w:r>
      <w:r w:rsidRPr="004C1836">
        <w:rPr>
          <w:rFonts w:cs="Arial"/>
          <w:lang w:val="fr-FR"/>
        </w:rPr>
        <w:t>obtenteur selon l</w:t>
      </w:r>
      <w:r w:rsidR="00AB5517" w:rsidRPr="004C1836">
        <w:rPr>
          <w:rFonts w:cs="Arial"/>
          <w:lang w:val="fr-FR"/>
        </w:rPr>
        <w:t>’</w:t>
      </w:r>
      <w:r w:rsidRPr="004C1836">
        <w:rPr>
          <w:rFonts w:cs="Arial"/>
          <w:lang w:val="fr-FR"/>
        </w:rPr>
        <w:t xml:space="preserve">Acte de 1991 de la </w:t>
      </w:r>
      <w:r w:rsidR="00AB5517" w:rsidRPr="004C1836">
        <w:rPr>
          <w:rFonts w:cs="Arial"/>
          <w:lang w:val="fr-FR"/>
        </w:rPr>
        <w:t>Convention UPOV</w:t>
      </w:r>
      <w:r w:rsidRPr="004C1836">
        <w:rPr>
          <w:rFonts w:cs="Arial"/>
          <w:lang w:val="fr-FR"/>
        </w:rPr>
        <w:t>” par le Conseil à sa quarante</w:t>
      </w:r>
      <w:r w:rsidR="00A82473" w:rsidRPr="004C1836">
        <w:rPr>
          <w:rFonts w:cs="Arial"/>
          <w:lang w:val="fr-FR"/>
        </w:rPr>
        <w:noBreakHyphen/>
      </w:r>
      <w:r w:rsidRPr="004C1836">
        <w:rPr>
          <w:rFonts w:cs="Arial"/>
          <w:lang w:val="fr-FR"/>
        </w:rPr>
        <w:t xml:space="preserve">septième session ordinaire, qui se tiendra à Genève le 24 octobre 2013, sous réserve </w:t>
      </w:r>
      <w:r w:rsidR="00B0439A" w:rsidRPr="004C1836">
        <w:rPr>
          <w:rFonts w:cs="Arial"/>
          <w:lang w:val="fr-FR"/>
        </w:rPr>
        <w:t>d’une</w:t>
      </w:r>
      <w:r w:rsidRPr="004C1836">
        <w:rPr>
          <w:rFonts w:cs="Arial"/>
          <w:lang w:val="fr-FR"/>
        </w:rPr>
        <w:t xml:space="preserve"> modification dans la traduction espagnole du document </w:t>
      </w:r>
      <w:r w:rsidRPr="004C1836">
        <w:rPr>
          <w:lang w:val="fr-FR"/>
        </w:rPr>
        <w:t>UPOV/EXN/BRD Draft 6</w:t>
      </w:r>
      <w:r w:rsidRPr="004C1836">
        <w:rPr>
          <w:kern w:val="28"/>
          <w:lang w:val="fr-FR"/>
        </w:rPr>
        <w:t xml:space="preserve"> </w:t>
      </w:r>
      <w:r w:rsidRPr="004C1836">
        <w:rPr>
          <w:lang w:val="fr-FR"/>
        </w:rPr>
        <w:t xml:space="preserve">(voir le paragraphe 11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="006936C5" w:rsidRPr="004C1836">
        <w:rPr>
          <w:lang w:val="fr-FR"/>
        </w:rPr>
        <w:t>);</w:t>
      </w:r>
    </w:p>
    <w:p w:rsidR="00617C09" w:rsidRPr="004C1836" w:rsidRDefault="00617C09" w:rsidP="00651893">
      <w:pPr>
        <w:rPr>
          <w:lang w:val="fr-FR"/>
        </w:rPr>
      </w:pPr>
    </w:p>
    <w:p w:rsidR="00617C09" w:rsidRPr="007D02B8" w:rsidRDefault="006936C5" w:rsidP="00D9528E">
      <w:pPr>
        <w:numPr>
          <w:ilvl w:val="0"/>
          <w:numId w:val="6"/>
        </w:numPr>
        <w:ind w:firstLine="1140"/>
        <w:rPr>
          <w:rFonts w:cs="Arial"/>
          <w:lang w:val="fr-FR"/>
        </w:rPr>
      </w:pPr>
      <w:r w:rsidRPr="004C1836">
        <w:rPr>
          <w:lang w:val="fr-FR"/>
        </w:rPr>
        <w:t xml:space="preserve">Le CAJ </w:t>
      </w:r>
      <w:r w:rsidR="00B0439A" w:rsidRPr="004C1836">
        <w:rPr>
          <w:lang w:val="fr-FR"/>
        </w:rPr>
        <w:t>a décidé</w:t>
      </w:r>
      <w:r w:rsidRPr="004C1836">
        <w:rPr>
          <w:lang w:val="fr-FR"/>
        </w:rPr>
        <w:t xml:space="preserve"> de différer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approbation des “Notes explicatives sur les actes à 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égard du produit de la récolte selon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Acte de 1991 de la </w:t>
      </w:r>
      <w:r w:rsidR="00AB5517" w:rsidRPr="004C1836">
        <w:rPr>
          <w:lang w:val="fr-FR"/>
        </w:rPr>
        <w:t>Convention UPOV</w:t>
      </w:r>
      <w:r w:rsidRPr="004C1836">
        <w:rPr>
          <w:lang w:val="fr-FR"/>
        </w:rPr>
        <w:t>” jusqu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à sa soixante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huitième session, qui se tiendra à Genève le 21 octobre 2013, afin de pouvoir vérifier les traductions du document et examiner les propositions ci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après :</w:t>
      </w:r>
    </w:p>
    <w:p w:rsidR="007D02B8" w:rsidRDefault="007D02B8" w:rsidP="007D02B8">
      <w:pPr>
        <w:pStyle w:val="ListParagraph"/>
        <w:ind w:left="0"/>
        <w:rPr>
          <w:rFonts w:cs="Arial"/>
          <w:lang w:val="fr-FR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563"/>
      </w:tblGrid>
      <w:tr w:rsidR="006936C5" w:rsidRPr="004C1836" w:rsidTr="006936C5">
        <w:trPr>
          <w:cantSplit/>
        </w:trPr>
        <w:tc>
          <w:tcPr>
            <w:tcW w:w="1617" w:type="dxa"/>
          </w:tcPr>
          <w:p w:rsidR="006936C5" w:rsidRPr="004C1836" w:rsidRDefault="007D02B8" w:rsidP="00651893">
            <w:pPr>
              <w:rPr>
                <w:lang w:val="fr-FR"/>
              </w:rPr>
            </w:pPr>
            <w:r>
              <w:rPr>
                <w:rFonts w:cs="Arial"/>
                <w:lang w:val="fr-FR"/>
              </w:rPr>
              <w:lastRenderedPageBreak/>
              <w:br w:type="page"/>
            </w:r>
            <w:r w:rsidR="006936C5" w:rsidRPr="004C1836">
              <w:rPr>
                <w:lang w:val="fr-FR"/>
              </w:rPr>
              <w:t>Paragraphe 11</w:t>
            </w:r>
          </w:p>
        </w:tc>
        <w:tc>
          <w:tcPr>
            <w:tcW w:w="7563" w:type="dxa"/>
          </w:tcPr>
          <w:p w:rsidR="006936C5" w:rsidRPr="004C1836" w:rsidRDefault="006936C5" w:rsidP="00651893">
            <w:pPr>
              <w:rPr>
                <w:lang w:val="fr-FR"/>
              </w:rPr>
            </w:pPr>
            <w:r w:rsidRPr="004C1836">
              <w:rPr>
                <w:lang w:val="fr-FR"/>
              </w:rPr>
              <w:t>Libeller comme suit :</w:t>
            </w:r>
          </w:p>
          <w:p w:rsidR="006936C5" w:rsidRPr="004C1836" w:rsidRDefault="006936C5" w:rsidP="00651893">
            <w:pPr>
              <w:rPr>
                <w:lang w:val="fr-FR"/>
              </w:rPr>
            </w:pPr>
          </w:p>
          <w:p w:rsidR="006936C5" w:rsidRPr="004C1836" w:rsidRDefault="006936C5" w:rsidP="00651893">
            <w:pPr>
              <w:spacing w:after="60"/>
              <w:rPr>
                <w:lang w:val="fr-FR"/>
              </w:rPr>
            </w:pPr>
            <w:r w:rsidRPr="004C1836">
              <w:rPr>
                <w:sz w:val="18"/>
                <w:lang w:val="fr-FR"/>
              </w:rPr>
              <w:t>“Lorsqu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>un membre de l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>Union décide d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 xml:space="preserve">incorporer cette exception facultative dans sa législation, le terme </w:t>
            </w:r>
            <w:r w:rsidR="00AB5517" w:rsidRPr="004C1836">
              <w:rPr>
                <w:sz w:val="18"/>
                <w:lang w:val="fr-FR"/>
              </w:rPr>
              <w:t>‘</w:t>
            </w:r>
            <w:r w:rsidRPr="004C1836">
              <w:rPr>
                <w:sz w:val="18"/>
                <w:lang w:val="fr-FR"/>
              </w:rPr>
              <w:t>utilisation non autorisée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 xml:space="preserve"> ne s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>appliquerait pas à des actes couverts par l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>exception facultative.  Toutefois, sous réserve des articles 15.1) et 16, l</w:t>
            </w:r>
            <w:r w:rsidR="00AB5517" w:rsidRPr="004C1836">
              <w:rPr>
                <w:sz w:val="18"/>
                <w:lang w:val="fr-FR"/>
              </w:rPr>
              <w:t>’</w:t>
            </w:r>
            <w:r w:rsidR="000C081B" w:rsidRPr="004C1836">
              <w:rPr>
                <w:sz w:val="18"/>
                <w:lang w:val="fr-FR"/>
              </w:rPr>
              <w:t>‘</w:t>
            </w:r>
            <w:r w:rsidRPr="004C1836">
              <w:rPr>
                <w:sz w:val="18"/>
                <w:lang w:val="fr-FR"/>
              </w:rPr>
              <w:t>utilisation non autorisée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 xml:space="preserve"> s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 xml:space="preserve">appliquerait à des actes qui </w:t>
            </w:r>
            <w:r w:rsidRPr="004C1836">
              <w:rPr>
                <w:sz w:val="18"/>
                <w:highlight w:val="lightGray"/>
                <w:u w:val="single"/>
                <w:lang w:val="fr-FR"/>
              </w:rPr>
              <w:t>sont couverts par le droit d</w:t>
            </w:r>
            <w:r w:rsidR="00AB5517" w:rsidRPr="004C1836">
              <w:rPr>
                <w:sz w:val="18"/>
                <w:highlight w:val="lightGray"/>
                <w:u w:val="single"/>
                <w:lang w:val="fr-FR"/>
              </w:rPr>
              <w:t>’</w:t>
            </w:r>
            <w:r w:rsidRPr="004C1836">
              <w:rPr>
                <w:sz w:val="18"/>
                <w:highlight w:val="lightGray"/>
                <w:u w:val="single"/>
                <w:lang w:val="fr-FR"/>
              </w:rPr>
              <w:t>obtenteur et</w:t>
            </w:r>
            <w:r w:rsidRPr="004C1836">
              <w:rPr>
                <w:sz w:val="18"/>
                <w:lang w:val="fr-FR"/>
              </w:rPr>
              <w:t xml:space="preserve"> ne sont pas couverts par l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>exception facultative dans la législation du membre de l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 xml:space="preserve">Union concerné.  En particulier, le terme </w:t>
            </w:r>
            <w:r w:rsidR="00AB5517" w:rsidRPr="004C1836">
              <w:rPr>
                <w:sz w:val="18"/>
                <w:lang w:val="fr-FR"/>
              </w:rPr>
              <w:t>‘</w:t>
            </w:r>
            <w:r w:rsidRPr="004C1836">
              <w:rPr>
                <w:sz w:val="18"/>
                <w:lang w:val="fr-FR"/>
              </w:rPr>
              <w:t>utilisation non autorisée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 xml:space="preserve"> s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 xml:space="preserve">appliquerait à des actes qui ne sont pas conformes aux </w:t>
            </w:r>
            <w:r w:rsidRPr="004C1836">
              <w:rPr>
                <w:strike/>
                <w:sz w:val="18"/>
                <w:highlight w:val="lightGray"/>
                <w:lang w:val="fr-FR"/>
              </w:rPr>
              <w:t>conditions de</w:t>
            </w:r>
            <w:r w:rsidRPr="004C1836">
              <w:rPr>
                <w:sz w:val="18"/>
                <w:lang w:val="fr-FR"/>
              </w:rPr>
              <w:t xml:space="preserve"> </w:t>
            </w:r>
            <w:r w:rsidRPr="004C1836">
              <w:rPr>
                <w:sz w:val="18"/>
                <w:highlight w:val="lightGray"/>
                <w:u w:val="single"/>
                <w:lang w:val="fr-FR"/>
              </w:rPr>
              <w:t>limites raisonnables et à la sauvegarde des intérêts légitimes de l</w:t>
            </w:r>
            <w:r w:rsidR="00AB5517" w:rsidRPr="004C1836">
              <w:rPr>
                <w:sz w:val="18"/>
                <w:highlight w:val="lightGray"/>
                <w:u w:val="single"/>
                <w:lang w:val="fr-FR"/>
              </w:rPr>
              <w:t>’</w:t>
            </w:r>
            <w:r w:rsidRPr="004C1836">
              <w:rPr>
                <w:sz w:val="18"/>
                <w:highlight w:val="lightGray"/>
                <w:u w:val="single"/>
                <w:lang w:val="fr-FR"/>
              </w:rPr>
              <w:t>obtenteur prévus dans</w:t>
            </w:r>
            <w:r w:rsidRPr="004C1836">
              <w:rPr>
                <w:sz w:val="18"/>
                <w:lang w:val="fr-FR"/>
              </w:rPr>
              <w:t xml:space="preserve"> l</w:t>
            </w:r>
            <w:r w:rsidR="00AB5517" w:rsidRPr="004C1836">
              <w:rPr>
                <w:sz w:val="18"/>
                <w:lang w:val="fr-FR"/>
              </w:rPr>
              <w:t>’</w:t>
            </w:r>
            <w:r w:rsidRPr="004C1836">
              <w:rPr>
                <w:sz w:val="18"/>
                <w:lang w:val="fr-FR"/>
              </w:rPr>
              <w:t>exception facultative.”</w:t>
            </w:r>
          </w:p>
        </w:tc>
      </w:tr>
      <w:tr w:rsidR="006936C5" w:rsidRPr="004C1836" w:rsidTr="006936C5">
        <w:trPr>
          <w:cantSplit/>
        </w:trPr>
        <w:tc>
          <w:tcPr>
            <w:tcW w:w="1617" w:type="dxa"/>
          </w:tcPr>
          <w:p w:rsidR="006936C5" w:rsidRPr="004C1836" w:rsidRDefault="006936C5" w:rsidP="00E75D49">
            <w:pPr>
              <w:jc w:val="left"/>
              <w:rPr>
                <w:lang w:val="fr-FR"/>
              </w:rPr>
            </w:pPr>
            <w:r w:rsidRPr="004C1836">
              <w:rPr>
                <w:lang w:val="fr-FR"/>
              </w:rPr>
              <w:t>Titre de la</w:t>
            </w:r>
            <w:r w:rsidR="00E75D49">
              <w:rPr>
                <w:lang w:val="fr-FR"/>
              </w:rPr>
              <w:t xml:space="preserve"> </w:t>
            </w:r>
            <w:r w:rsidR="00190F38">
              <w:rPr>
                <w:lang w:val="fr-FR"/>
              </w:rPr>
              <w:t>s</w:t>
            </w:r>
            <w:r w:rsidRPr="004C1836">
              <w:rPr>
                <w:lang w:val="fr-FR"/>
              </w:rPr>
              <w:t>ection </w:t>
            </w:r>
            <w:r w:rsidR="009E7A47">
              <w:rPr>
                <w:lang w:val="fr-FR"/>
              </w:rPr>
              <w:t>d</w:t>
            </w:r>
            <w:r w:rsidRPr="004C1836">
              <w:rPr>
                <w:lang w:val="fr-FR"/>
              </w:rPr>
              <w:t>)</w:t>
            </w:r>
          </w:p>
          <w:p w:rsidR="006936C5" w:rsidRPr="004C1836" w:rsidRDefault="006936C5" w:rsidP="00651893">
            <w:pPr>
              <w:rPr>
                <w:lang w:val="fr-FR"/>
              </w:rPr>
            </w:pPr>
          </w:p>
        </w:tc>
        <w:tc>
          <w:tcPr>
            <w:tcW w:w="7563" w:type="dxa"/>
          </w:tcPr>
          <w:p w:rsidR="006936C5" w:rsidRPr="004C1836" w:rsidRDefault="006936C5" w:rsidP="00651893">
            <w:pPr>
              <w:rPr>
                <w:lang w:val="fr-FR"/>
              </w:rPr>
            </w:pPr>
            <w:r w:rsidRPr="004C1836">
              <w:rPr>
                <w:lang w:val="fr-FR"/>
              </w:rPr>
              <w:t>Libeller comme suit :</w:t>
            </w:r>
          </w:p>
          <w:p w:rsidR="006936C5" w:rsidRPr="004C1836" w:rsidRDefault="006936C5" w:rsidP="00651893">
            <w:pPr>
              <w:rPr>
                <w:lang w:val="fr-FR"/>
              </w:rPr>
            </w:pPr>
          </w:p>
          <w:p w:rsidR="006936C5" w:rsidRPr="004C1836" w:rsidRDefault="006936C5" w:rsidP="00651893">
            <w:pPr>
              <w:spacing w:after="60"/>
              <w:rPr>
                <w:lang w:val="fr-FR"/>
              </w:rPr>
            </w:pPr>
            <w:r w:rsidRPr="004C1836">
              <w:rPr>
                <w:sz w:val="18"/>
                <w:szCs w:val="18"/>
                <w:lang w:val="fr-FR"/>
              </w:rPr>
              <w:t>“</w:t>
            </w:r>
            <w:r w:rsidRPr="004C1836">
              <w:rPr>
                <w:sz w:val="18"/>
                <w:szCs w:val="18"/>
                <w:highlight w:val="lightGray"/>
                <w:u w:val="single"/>
                <w:lang w:val="fr-FR"/>
              </w:rPr>
              <w:t xml:space="preserve">Pouvoir </w:t>
            </w:r>
            <w:r w:rsidRPr="004C1836">
              <w:rPr>
                <w:sz w:val="18"/>
                <w:szCs w:val="18"/>
                <w:lang w:val="fr-FR"/>
              </w:rPr>
              <w:t xml:space="preserve">exercer </w:t>
            </w:r>
            <w:r w:rsidRPr="004C1836">
              <w:rPr>
                <w:sz w:val="18"/>
                <w:szCs w:val="18"/>
                <w:highlight w:val="lightGray"/>
                <w:u w:val="single"/>
                <w:lang w:val="fr-FR"/>
              </w:rPr>
              <w:t>raisonnablement</w:t>
            </w:r>
            <w:r w:rsidRPr="004C1836">
              <w:rPr>
                <w:sz w:val="18"/>
                <w:szCs w:val="18"/>
                <w:lang w:val="fr-FR"/>
              </w:rPr>
              <w:t xml:space="preserve"> son droit”</w:t>
            </w:r>
          </w:p>
        </w:tc>
      </w:tr>
    </w:tbl>
    <w:p w:rsidR="00617C09" w:rsidRPr="004C1836" w:rsidRDefault="00617C09" w:rsidP="00651893">
      <w:pPr>
        <w:rPr>
          <w:lang w:val="fr-FR"/>
        </w:rPr>
      </w:pPr>
    </w:p>
    <w:p w:rsidR="006936C5" w:rsidRPr="004C1836" w:rsidRDefault="006936C5" w:rsidP="00651893">
      <w:pPr>
        <w:rPr>
          <w:lang w:val="fr-FR"/>
        </w:rPr>
      </w:pPr>
      <w:r w:rsidRPr="004C1836">
        <w:rPr>
          <w:lang w:val="fr-FR"/>
        </w:rPr>
        <w:t xml:space="preserve">Le CAJ </w:t>
      </w:r>
      <w:r w:rsidR="00B0439A" w:rsidRPr="004C1836">
        <w:rPr>
          <w:lang w:val="fr-FR"/>
        </w:rPr>
        <w:t xml:space="preserve">est </w:t>
      </w:r>
      <w:r w:rsidRPr="004C1836">
        <w:rPr>
          <w:lang w:val="fr-FR"/>
        </w:rPr>
        <w:t>conv</w:t>
      </w:r>
      <w:r w:rsidR="00B0439A" w:rsidRPr="004C1836">
        <w:rPr>
          <w:lang w:val="fr-FR"/>
        </w:rPr>
        <w:t>enu</w:t>
      </w:r>
      <w:r w:rsidRPr="004C1836">
        <w:rPr>
          <w:lang w:val="fr-FR"/>
        </w:rPr>
        <w:t xml:space="preserve">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inviter le Groupe consultatif du CAJ (CAJ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AG) à commencer immédiatement ses travaux sur une possible révision future des “Notes explicatives sur les actes à 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égard du produit de la récolte selon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Acte de 1991 de la </w:t>
      </w:r>
      <w:r w:rsidR="00AB5517" w:rsidRPr="004C1836">
        <w:rPr>
          <w:lang w:val="fr-FR"/>
        </w:rPr>
        <w:t>Convention UPOV</w:t>
      </w:r>
      <w:r w:rsidRPr="004C1836">
        <w:rPr>
          <w:lang w:val="fr-FR"/>
        </w:rPr>
        <w:t>” afin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inclure des exemples de situations dans lesquelles les obtenteurs pourraient être considérés comme étant en mesure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exercer leurs droits à 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égard du produit de la récolte.  Le CAJ </w:t>
      </w:r>
      <w:r w:rsidR="00CB49F8" w:rsidRPr="004C1836">
        <w:rPr>
          <w:lang w:val="fr-FR"/>
        </w:rPr>
        <w:t xml:space="preserve">est </w:t>
      </w:r>
      <w:r w:rsidRPr="004C1836">
        <w:rPr>
          <w:lang w:val="fr-FR"/>
        </w:rPr>
        <w:t>conven</w:t>
      </w:r>
      <w:r w:rsidR="00CB49F8" w:rsidRPr="004C1836">
        <w:rPr>
          <w:lang w:val="fr-FR"/>
        </w:rPr>
        <w:t>u</w:t>
      </w:r>
      <w:r w:rsidRPr="004C1836">
        <w:rPr>
          <w:lang w:val="fr-FR"/>
        </w:rPr>
        <w:t xml:space="preserve">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inviter le CAJ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AG à envisager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élaboration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 document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orientation sur la notion couverte par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expression “pouvoir exercer raisonnablement” son droit dans le cadre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une possible révision des “Notes explicatives sur les actes à 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égard du produit de la récolte selon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Acte de 1991 de la </w:t>
      </w:r>
      <w:r w:rsidR="00AB5517" w:rsidRPr="004C1836">
        <w:rPr>
          <w:lang w:val="fr-FR"/>
        </w:rPr>
        <w:t>Convention UPOV</w:t>
      </w:r>
      <w:r w:rsidRPr="004C1836">
        <w:rPr>
          <w:lang w:val="fr-FR"/>
        </w:rPr>
        <w:t>”</w:t>
      </w:r>
      <w:r w:rsidR="004166E4" w:rsidRPr="004C1836">
        <w:rPr>
          <w:lang w:val="fr-FR"/>
        </w:rPr>
        <w:t xml:space="preserve"> (voir les paragraphes 12 à 14 du document CAJ/67/14 </w:t>
      </w:r>
      <w:r w:rsidR="004166E4" w:rsidRPr="004C1836">
        <w:rPr>
          <w:rFonts w:eastAsia="MS Mincho" w:cs="Arial"/>
          <w:lang w:val="fr-FR" w:eastAsia="ja-JP" w:bidi="th-TH"/>
        </w:rPr>
        <w:t>“</w:t>
      </w:r>
      <w:r w:rsidR="004166E4" w:rsidRPr="004C1836">
        <w:rPr>
          <w:lang w:val="fr-FR"/>
        </w:rPr>
        <w:t>Compte rendu des conclusions</w:t>
      </w:r>
      <w:r w:rsidR="004166E4" w:rsidRPr="004C1836">
        <w:rPr>
          <w:rFonts w:eastAsia="MS Mincho" w:cs="Arial"/>
          <w:lang w:val="fr-FR" w:eastAsia="ja-JP" w:bidi="th-TH"/>
        </w:rPr>
        <w:t>”</w:t>
      </w:r>
      <w:r w:rsidR="004166E4" w:rsidRPr="004C1836">
        <w:rPr>
          <w:lang w:val="fr-FR"/>
        </w:rPr>
        <w:t>);</w:t>
      </w:r>
    </w:p>
    <w:p w:rsidR="00C651CE" w:rsidRPr="004C1836" w:rsidRDefault="00C651CE" w:rsidP="00651893">
      <w:pPr>
        <w:rPr>
          <w:lang w:val="fr-FR"/>
        </w:rPr>
      </w:pPr>
    </w:p>
    <w:p w:rsidR="006E2C3B" w:rsidRPr="004C1836" w:rsidRDefault="004166E4" w:rsidP="00D9528E">
      <w:pPr>
        <w:numPr>
          <w:ilvl w:val="0"/>
          <w:numId w:val="6"/>
        </w:numPr>
        <w:rPr>
          <w:snapToGrid w:val="0"/>
          <w:lang w:val="fr-FR"/>
        </w:rPr>
      </w:pPr>
      <w:r w:rsidRPr="004C1836">
        <w:rPr>
          <w:lang w:val="fr-FR"/>
        </w:rPr>
        <w:t xml:space="preserve">Le CAJ </w:t>
      </w:r>
      <w:r w:rsidR="00CB49F8" w:rsidRPr="004C1836">
        <w:rPr>
          <w:lang w:val="fr-FR"/>
        </w:rPr>
        <w:t xml:space="preserve">est </w:t>
      </w:r>
      <w:r w:rsidRPr="004C1836">
        <w:rPr>
          <w:lang w:val="fr-FR"/>
        </w:rPr>
        <w:t>conv</w:t>
      </w:r>
      <w:r w:rsidR="00CB49F8" w:rsidRPr="004C1836">
        <w:rPr>
          <w:lang w:val="fr-FR"/>
        </w:rPr>
        <w:t>enu</w:t>
      </w:r>
      <w:r w:rsidRPr="004C1836">
        <w:rPr>
          <w:lang w:val="fr-FR"/>
        </w:rPr>
        <w:t xml:space="preserve"> que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examen du document UPOV/EXN/EDV/2 Draft 3 </w:t>
      </w:r>
      <w:r w:rsidR="006E2C3B" w:rsidRPr="004C1836">
        <w:rPr>
          <w:lang w:val="fr-FR"/>
        </w:rPr>
        <w:t>“Notes explicatives sur les variétés essentiellement dérivées selon l</w:t>
      </w:r>
      <w:r w:rsidR="00AB5517" w:rsidRPr="004C1836">
        <w:rPr>
          <w:lang w:val="fr-FR"/>
        </w:rPr>
        <w:t>’</w:t>
      </w:r>
      <w:r w:rsidR="006E2C3B" w:rsidRPr="004C1836">
        <w:rPr>
          <w:lang w:val="fr-FR"/>
        </w:rPr>
        <w:t xml:space="preserve">Acte de 1991 de la </w:t>
      </w:r>
      <w:r w:rsidR="00AB5517" w:rsidRPr="004C1836">
        <w:rPr>
          <w:lang w:val="fr-FR"/>
        </w:rPr>
        <w:t>Convention UPOV</w:t>
      </w:r>
      <w:r w:rsidR="006E2C3B" w:rsidRPr="004C1836">
        <w:rPr>
          <w:lang w:val="fr-FR"/>
        </w:rPr>
        <w:t xml:space="preserve"> (révision)” devrait être différé jusqu</w:t>
      </w:r>
      <w:r w:rsidR="00AB5517" w:rsidRPr="004C1836">
        <w:rPr>
          <w:lang w:val="fr-FR"/>
        </w:rPr>
        <w:t>’</w:t>
      </w:r>
      <w:r w:rsidR="006E2C3B" w:rsidRPr="004C1836">
        <w:rPr>
          <w:lang w:val="fr-FR"/>
        </w:rPr>
        <w:t xml:space="preserve">à la fin du séminaire sur les variétés essentiellement dérivées </w:t>
      </w:r>
      <w:r w:rsidR="006E2C3B" w:rsidRPr="004C1836">
        <w:rPr>
          <w:snapToGrid w:val="0"/>
          <w:lang w:val="fr-FR"/>
        </w:rPr>
        <w:t>qui sera</w:t>
      </w:r>
      <w:r w:rsidR="00CB49F8" w:rsidRPr="004C1836">
        <w:rPr>
          <w:snapToGrid w:val="0"/>
          <w:lang w:val="fr-FR"/>
        </w:rPr>
        <w:t>it</w:t>
      </w:r>
      <w:r w:rsidR="006E2C3B" w:rsidRPr="004C1836">
        <w:rPr>
          <w:snapToGrid w:val="0"/>
          <w:lang w:val="fr-FR"/>
        </w:rPr>
        <w:t xml:space="preserve"> organisé le 22 octobre 2013, et de l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examen de ce séminaire par le CAJ</w:t>
      </w:r>
      <w:r w:rsidR="00A82473" w:rsidRPr="004C1836">
        <w:rPr>
          <w:snapToGrid w:val="0"/>
          <w:lang w:val="fr-FR"/>
        </w:rPr>
        <w:noBreakHyphen/>
      </w:r>
      <w:r w:rsidR="006E2C3B" w:rsidRPr="004C1836">
        <w:rPr>
          <w:snapToGrid w:val="0"/>
          <w:lang w:val="fr-FR"/>
        </w:rPr>
        <w:t xml:space="preserve">AG à sa huitième session, qui se tiendra le 25 octobre 2013.  Le CAJ </w:t>
      </w:r>
      <w:r w:rsidR="00CB49F8" w:rsidRPr="004C1836">
        <w:rPr>
          <w:snapToGrid w:val="0"/>
          <w:lang w:val="fr-FR"/>
        </w:rPr>
        <w:t xml:space="preserve">est également </w:t>
      </w:r>
      <w:r w:rsidR="006E2C3B" w:rsidRPr="004C1836">
        <w:rPr>
          <w:snapToGrid w:val="0"/>
          <w:lang w:val="fr-FR"/>
        </w:rPr>
        <w:t>conv</w:t>
      </w:r>
      <w:r w:rsidR="00CB49F8" w:rsidRPr="004C1836">
        <w:rPr>
          <w:snapToGrid w:val="0"/>
          <w:lang w:val="fr-FR"/>
        </w:rPr>
        <w:t>enu</w:t>
      </w:r>
      <w:r w:rsidR="006E2C3B" w:rsidRPr="004C1836">
        <w:rPr>
          <w:snapToGrid w:val="0"/>
          <w:lang w:val="fr-FR"/>
        </w:rPr>
        <w:t xml:space="preserve"> qu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il serait utile d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 xml:space="preserve">envisager de déplacer le paragraphe 8 du </w:t>
      </w:r>
      <w:r w:rsidR="006E2C3B" w:rsidRPr="004C1836">
        <w:rPr>
          <w:lang w:val="fr-FR"/>
        </w:rPr>
        <w:t xml:space="preserve">document UPOV/EXN/EDV/2 Draft 3 après le paragraphe 4. </w:t>
      </w:r>
      <w:r w:rsidR="00AB5517" w:rsidRPr="004C1836">
        <w:rPr>
          <w:lang w:val="fr-FR"/>
        </w:rPr>
        <w:t xml:space="preserve"> </w:t>
      </w:r>
      <w:r w:rsidR="00AB5517" w:rsidRPr="004C1836">
        <w:rPr>
          <w:snapToGrid w:val="0"/>
          <w:lang w:val="fr-FR"/>
        </w:rPr>
        <w:t>Le</w:t>
      </w:r>
      <w:r w:rsidR="00AB5517" w:rsidRPr="004C1836">
        <w:rPr>
          <w:lang w:val="fr-FR"/>
        </w:rPr>
        <w:t> </w:t>
      </w:r>
      <w:r w:rsidR="00AB5517" w:rsidRPr="004C1836">
        <w:rPr>
          <w:snapToGrid w:val="0"/>
          <w:lang w:val="fr-FR"/>
        </w:rPr>
        <w:t>CAJ</w:t>
      </w:r>
      <w:r w:rsidR="006E2C3B" w:rsidRPr="004C1836">
        <w:rPr>
          <w:snapToGrid w:val="0"/>
          <w:lang w:val="fr-FR"/>
        </w:rPr>
        <w:t xml:space="preserve"> </w:t>
      </w:r>
      <w:r w:rsidR="00D40FAB" w:rsidRPr="004C1836">
        <w:rPr>
          <w:snapToGrid w:val="0"/>
          <w:lang w:val="fr-FR"/>
        </w:rPr>
        <w:t xml:space="preserve">a </w:t>
      </w:r>
      <w:r w:rsidR="006E2C3B" w:rsidRPr="004C1836">
        <w:rPr>
          <w:snapToGrid w:val="0"/>
          <w:lang w:val="fr-FR"/>
        </w:rPr>
        <w:t>not</w:t>
      </w:r>
      <w:r w:rsidR="00D40FAB" w:rsidRPr="004C1836">
        <w:rPr>
          <w:snapToGrid w:val="0"/>
          <w:lang w:val="fr-FR"/>
        </w:rPr>
        <w:t>é</w:t>
      </w:r>
      <w:r w:rsidR="006E2C3B" w:rsidRPr="004C1836">
        <w:rPr>
          <w:snapToGrid w:val="0"/>
          <w:lang w:val="fr-FR"/>
        </w:rPr>
        <w:t xml:space="preserve"> que le Bureau de l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Union élaborera un texte sur la possibilité d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utiliser des données des marqueurs moléculaires d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une variété initiale pour obtenir des variétés essentiellement dérivées, pour examen par le CAJ</w:t>
      </w:r>
      <w:r w:rsidR="00A82473" w:rsidRPr="004C1836">
        <w:rPr>
          <w:snapToGrid w:val="0"/>
          <w:lang w:val="fr-FR"/>
        </w:rPr>
        <w:noBreakHyphen/>
      </w:r>
      <w:r w:rsidR="006E2C3B" w:rsidRPr="004C1836">
        <w:rPr>
          <w:snapToGrid w:val="0"/>
          <w:lang w:val="fr-FR"/>
        </w:rPr>
        <w:t xml:space="preserve">AG à sa huitième session, qui se tiendra le 25 octobre 2013. </w:t>
      </w:r>
      <w:r w:rsidR="00AB5517" w:rsidRPr="004C1836">
        <w:rPr>
          <w:snapToGrid w:val="0"/>
          <w:lang w:val="fr-FR"/>
        </w:rPr>
        <w:t xml:space="preserve"> Le CAJ</w:t>
      </w:r>
      <w:r w:rsidR="006E2C3B" w:rsidRPr="004C1836">
        <w:rPr>
          <w:snapToGrid w:val="0"/>
          <w:lang w:val="fr-FR"/>
        </w:rPr>
        <w:t xml:space="preserve"> </w:t>
      </w:r>
      <w:r w:rsidR="00D40FAB" w:rsidRPr="004C1836">
        <w:rPr>
          <w:snapToGrid w:val="0"/>
          <w:lang w:val="fr-FR"/>
        </w:rPr>
        <w:t xml:space="preserve">a </w:t>
      </w:r>
      <w:r w:rsidR="006E2C3B" w:rsidRPr="004C1836">
        <w:rPr>
          <w:snapToGrid w:val="0"/>
          <w:lang w:val="fr-FR"/>
        </w:rPr>
        <w:t>not</w:t>
      </w:r>
      <w:r w:rsidR="00D40FAB" w:rsidRPr="004C1836">
        <w:rPr>
          <w:snapToGrid w:val="0"/>
          <w:lang w:val="fr-FR"/>
        </w:rPr>
        <w:t>é</w:t>
      </w:r>
      <w:r w:rsidR="006E2C3B" w:rsidRPr="004C1836">
        <w:rPr>
          <w:snapToGrid w:val="0"/>
          <w:lang w:val="fr-FR"/>
        </w:rPr>
        <w:t xml:space="preserve"> que le Bureau de l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Union élaborera</w:t>
      </w:r>
      <w:r w:rsidR="00D40FAB" w:rsidRPr="004C1836">
        <w:rPr>
          <w:snapToGrid w:val="0"/>
          <w:lang w:val="fr-FR"/>
        </w:rPr>
        <w:t>it</w:t>
      </w:r>
      <w:r w:rsidR="006E2C3B" w:rsidRPr="004C1836">
        <w:rPr>
          <w:snapToGrid w:val="0"/>
          <w:lang w:val="fr-FR"/>
        </w:rPr>
        <w:t xml:space="preserve"> un projet de document d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orientation sur le rapport entre les points i) et iii) de l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article 14.5)b) de l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 xml:space="preserve">Acte de 1991 de la </w:t>
      </w:r>
      <w:r w:rsidR="00AB5517" w:rsidRPr="004C1836">
        <w:rPr>
          <w:snapToGrid w:val="0"/>
          <w:lang w:val="fr-FR"/>
        </w:rPr>
        <w:t>Convention UPOV</w:t>
      </w:r>
      <w:r w:rsidR="006E2C3B" w:rsidRPr="004C1836">
        <w:rPr>
          <w:snapToGrid w:val="0"/>
          <w:lang w:val="fr-FR"/>
        </w:rPr>
        <w:t xml:space="preserve">, sur la base de la note explicative 6.ii) </w:t>
      </w:r>
      <w:r w:rsidR="00A30CC5" w:rsidRPr="004C1836">
        <w:rPr>
          <w:snapToGrid w:val="0"/>
          <w:lang w:val="fr-FR"/>
        </w:rPr>
        <w:t>relative à</w:t>
      </w:r>
      <w:r w:rsidR="006E2C3B" w:rsidRPr="004C1836">
        <w:rPr>
          <w:snapToGrid w:val="0"/>
          <w:lang w:val="fr-FR"/>
        </w:rPr>
        <w:t xml:space="preserve"> l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article 5 intitulé “Effets du droit octroyé à l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obtenteur” présenté dans le document IOM/IV/2, pour examen par le CAJ</w:t>
      </w:r>
      <w:r w:rsidR="00A82473" w:rsidRPr="004C1836">
        <w:rPr>
          <w:snapToGrid w:val="0"/>
          <w:lang w:val="fr-FR"/>
        </w:rPr>
        <w:noBreakHyphen/>
      </w:r>
      <w:r w:rsidR="006E2C3B" w:rsidRPr="004C1836">
        <w:rPr>
          <w:snapToGrid w:val="0"/>
          <w:lang w:val="fr-FR"/>
        </w:rPr>
        <w:t>AG à sa huitième session, qui se tiendra le 25 octobre 2013.  Afin d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aider le CAJ</w:t>
      </w:r>
      <w:r w:rsidR="00A82473" w:rsidRPr="004C1836">
        <w:rPr>
          <w:snapToGrid w:val="0"/>
          <w:lang w:val="fr-FR"/>
        </w:rPr>
        <w:noBreakHyphen/>
      </w:r>
      <w:r w:rsidR="006E2C3B" w:rsidRPr="004C1836">
        <w:rPr>
          <w:snapToGrid w:val="0"/>
          <w:lang w:val="fr-FR"/>
        </w:rPr>
        <w:t>AG à élaborer un projet de document d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 xml:space="preserve">orientation, le CAJ </w:t>
      </w:r>
      <w:r w:rsidR="00A30CC5" w:rsidRPr="004C1836">
        <w:rPr>
          <w:snapToGrid w:val="0"/>
          <w:lang w:val="fr-FR"/>
        </w:rPr>
        <w:t xml:space="preserve">est </w:t>
      </w:r>
      <w:r w:rsidR="006E2C3B" w:rsidRPr="004C1836">
        <w:rPr>
          <w:snapToGrid w:val="0"/>
          <w:lang w:val="fr-FR"/>
        </w:rPr>
        <w:t>conv</w:t>
      </w:r>
      <w:r w:rsidR="00A30CC5" w:rsidRPr="004C1836">
        <w:rPr>
          <w:snapToGrid w:val="0"/>
          <w:lang w:val="fr-FR"/>
        </w:rPr>
        <w:t>enu</w:t>
      </w:r>
      <w:r w:rsidR="006E2C3B" w:rsidRPr="004C1836">
        <w:rPr>
          <w:snapToGrid w:val="0"/>
          <w:lang w:val="fr-FR"/>
        </w:rPr>
        <w:t xml:space="preserve"> de proposer au Conseil qu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un séminaire sur les variétés essentiellement dérivées soit organisé le 22 octobre 2013, afin d</w:t>
      </w:r>
      <w:r w:rsidR="00AB5517" w:rsidRPr="004C1836">
        <w:rPr>
          <w:snapToGrid w:val="0"/>
          <w:lang w:val="fr-FR"/>
        </w:rPr>
        <w:t>’</w:t>
      </w:r>
      <w:r w:rsidR="006E2C3B" w:rsidRPr="004C1836">
        <w:rPr>
          <w:snapToGrid w:val="0"/>
          <w:lang w:val="fr-FR"/>
        </w:rPr>
        <w:t>examiner les points suivants :</w:t>
      </w:r>
    </w:p>
    <w:p w:rsidR="00085A7F" w:rsidRPr="004C1836" w:rsidRDefault="00085A7F" w:rsidP="00651893">
      <w:pPr>
        <w:rPr>
          <w:lang w:val="fr-FR"/>
        </w:rPr>
      </w:pPr>
    </w:p>
    <w:p w:rsidR="00085A7F" w:rsidRPr="004C1836" w:rsidRDefault="00631587" w:rsidP="00651893">
      <w:pPr>
        <w:ind w:left="1701" w:hanging="567"/>
        <w:rPr>
          <w:rFonts w:cs="Arial"/>
          <w:lang w:val="fr-FR"/>
        </w:rPr>
      </w:pPr>
      <w:r w:rsidRPr="004C1836">
        <w:rPr>
          <w:rFonts w:cs="Arial"/>
          <w:lang w:val="fr-FR"/>
        </w:rPr>
        <w:t>–</w:t>
      </w:r>
      <w:r w:rsidRPr="004C1836">
        <w:rPr>
          <w:rFonts w:cs="Arial"/>
          <w:lang w:val="fr-FR"/>
        </w:rPr>
        <w:tab/>
      </w:r>
      <w:r w:rsidR="002C390A" w:rsidRPr="004C1836">
        <w:rPr>
          <w:rFonts w:cs="Arial"/>
          <w:lang w:val="fr-FR"/>
        </w:rPr>
        <w:t>les avis techniques et juridiques sur les termes “principalement dérivée”, “caractères essentiels” et “différences résultant de la dérivation” (voir l</w:t>
      </w:r>
      <w:r w:rsidR="00AB5517" w:rsidRPr="004C1836">
        <w:rPr>
          <w:rFonts w:cs="Arial"/>
          <w:lang w:val="fr-FR"/>
        </w:rPr>
        <w:t>’</w:t>
      </w:r>
      <w:r w:rsidR="002C390A" w:rsidRPr="004C1836">
        <w:rPr>
          <w:rFonts w:cs="Arial"/>
          <w:lang w:val="fr-FR"/>
        </w:rPr>
        <w:t>article 14.5)b) de l</w:t>
      </w:r>
      <w:r w:rsidR="00AB5517" w:rsidRPr="004C1836">
        <w:rPr>
          <w:rFonts w:cs="Arial"/>
          <w:lang w:val="fr-FR"/>
        </w:rPr>
        <w:t>’</w:t>
      </w:r>
      <w:r w:rsidR="002C390A" w:rsidRPr="004C1836">
        <w:rPr>
          <w:rFonts w:cs="Arial"/>
          <w:lang w:val="fr-FR"/>
        </w:rPr>
        <w:t xml:space="preserve">Acte de 1991 de la </w:t>
      </w:r>
      <w:r w:rsidR="00AB5517" w:rsidRPr="004C1836">
        <w:rPr>
          <w:rFonts w:cs="Arial"/>
          <w:lang w:val="fr-FR"/>
        </w:rPr>
        <w:t>Convention UPOV</w:t>
      </w:r>
      <w:r w:rsidR="002C390A" w:rsidRPr="004C1836">
        <w:rPr>
          <w:rFonts w:cs="Arial"/>
          <w:lang w:val="fr-FR"/>
        </w:rPr>
        <w:t>), le rapport entre les points i) et iii) de l</w:t>
      </w:r>
      <w:r w:rsidR="00AB5517" w:rsidRPr="004C1836">
        <w:rPr>
          <w:rFonts w:cs="Arial"/>
          <w:lang w:val="fr-FR"/>
        </w:rPr>
        <w:t>’</w:t>
      </w:r>
      <w:r w:rsidR="002C390A" w:rsidRPr="004C1836">
        <w:rPr>
          <w:rFonts w:cs="Arial"/>
          <w:lang w:val="fr-FR"/>
        </w:rPr>
        <w:t>article 14.5)b) de l</w:t>
      </w:r>
      <w:r w:rsidR="00AB5517" w:rsidRPr="004C1836">
        <w:rPr>
          <w:rFonts w:cs="Arial"/>
          <w:lang w:val="fr-FR"/>
        </w:rPr>
        <w:t>’</w:t>
      </w:r>
      <w:r w:rsidR="002C390A" w:rsidRPr="004C1836">
        <w:rPr>
          <w:rFonts w:cs="Arial"/>
          <w:lang w:val="fr-FR"/>
        </w:rPr>
        <w:t xml:space="preserve">Acte de 1991 de la </w:t>
      </w:r>
      <w:r w:rsidR="00AB5517" w:rsidRPr="004C1836">
        <w:rPr>
          <w:rFonts w:cs="Arial"/>
          <w:lang w:val="fr-FR"/>
        </w:rPr>
        <w:t>Convention UPOV</w:t>
      </w:r>
      <w:r w:rsidR="002C390A" w:rsidRPr="004C1836">
        <w:rPr>
          <w:rFonts w:cs="Arial"/>
          <w:lang w:val="fr-FR"/>
        </w:rPr>
        <w:t xml:space="preserve"> et l</w:t>
      </w:r>
      <w:r w:rsidR="00AB5517" w:rsidRPr="004C1836">
        <w:rPr>
          <w:rFonts w:cs="Arial"/>
          <w:lang w:val="fr-FR"/>
        </w:rPr>
        <w:t>’</w:t>
      </w:r>
      <w:r w:rsidR="002C390A" w:rsidRPr="004C1836">
        <w:rPr>
          <w:rFonts w:cs="Arial"/>
          <w:lang w:val="fr-FR"/>
        </w:rPr>
        <w:t>incidence éventuelle sur la sélection végétale et l</w:t>
      </w:r>
      <w:r w:rsidR="00AB5517" w:rsidRPr="004C1836">
        <w:rPr>
          <w:rFonts w:cs="Arial"/>
          <w:lang w:val="fr-FR"/>
        </w:rPr>
        <w:t>’</w:t>
      </w:r>
      <w:r w:rsidR="002C390A" w:rsidRPr="004C1836">
        <w:rPr>
          <w:rFonts w:cs="Arial"/>
          <w:lang w:val="fr-FR"/>
        </w:rPr>
        <w:t>agriculture;</w:t>
      </w:r>
    </w:p>
    <w:p w:rsidR="00085A7F" w:rsidRPr="004C1836" w:rsidRDefault="00631587" w:rsidP="00651893">
      <w:pPr>
        <w:ind w:left="1701" w:hanging="567"/>
        <w:rPr>
          <w:rFonts w:cs="Arial"/>
          <w:lang w:val="fr-FR"/>
        </w:rPr>
      </w:pPr>
      <w:r w:rsidRPr="004C1836">
        <w:rPr>
          <w:rFonts w:cs="Arial"/>
          <w:lang w:val="fr-FR"/>
        </w:rPr>
        <w:t>–</w:t>
      </w:r>
      <w:r w:rsidRPr="004C1836">
        <w:rPr>
          <w:rFonts w:cs="Arial"/>
          <w:lang w:val="fr-FR"/>
        </w:rPr>
        <w:tab/>
      </w:r>
      <w:r w:rsidR="002C390A" w:rsidRPr="004C1836">
        <w:rPr>
          <w:rFonts w:cs="Arial"/>
          <w:lang w:val="fr-FR"/>
        </w:rPr>
        <w:t>l</w:t>
      </w:r>
      <w:r w:rsidR="00AB5517" w:rsidRPr="004C1836">
        <w:rPr>
          <w:rFonts w:cs="Arial"/>
          <w:lang w:val="fr-FR"/>
        </w:rPr>
        <w:t>’</w:t>
      </w:r>
      <w:r w:rsidR="002C390A" w:rsidRPr="004C1836">
        <w:rPr>
          <w:rFonts w:cs="Arial"/>
          <w:lang w:val="fr-FR"/>
        </w:rPr>
        <w:t>expérience actuelle en ce qui concerne les variétés essentiellement dérivées;  et</w:t>
      </w:r>
    </w:p>
    <w:p w:rsidR="00085A7F" w:rsidRPr="004C1836" w:rsidRDefault="00631587" w:rsidP="00651893">
      <w:pPr>
        <w:ind w:left="1701" w:hanging="567"/>
        <w:rPr>
          <w:rFonts w:cs="Arial"/>
          <w:lang w:val="fr-FR"/>
        </w:rPr>
      </w:pPr>
      <w:r w:rsidRPr="004C1836">
        <w:rPr>
          <w:rFonts w:cs="Arial"/>
          <w:lang w:val="fr-FR"/>
        </w:rPr>
        <w:t>–</w:t>
      </w:r>
      <w:r w:rsidRPr="004C1836">
        <w:rPr>
          <w:rFonts w:cs="Arial"/>
          <w:lang w:val="fr-FR"/>
        </w:rPr>
        <w:tab/>
      </w:r>
      <w:r w:rsidR="002C390A" w:rsidRPr="004C1836">
        <w:rPr>
          <w:rFonts w:cs="Arial"/>
          <w:lang w:val="fr-FR"/>
        </w:rPr>
        <w:t>le rôle éventuel des futures orientations de l</w:t>
      </w:r>
      <w:r w:rsidR="00AB5517" w:rsidRPr="004C1836">
        <w:rPr>
          <w:rFonts w:cs="Arial"/>
          <w:lang w:val="fr-FR"/>
        </w:rPr>
        <w:t>’</w:t>
      </w:r>
      <w:r w:rsidR="002C390A" w:rsidRPr="004C1836">
        <w:rPr>
          <w:rFonts w:cs="Arial"/>
          <w:lang w:val="fr-FR"/>
        </w:rPr>
        <w:t>UPOV sur les variétés essentiellement dérivées dans les litiges devant les tribunaux;</w:t>
      </w:r>
    </w:p>
    <w:p w:rsidR="00085A7F" w:rsidRPr="004C1836" w:rsidRDefault="00085A7F" w:rsidP="00651893">
      <w:pPr>
        <w:rPr>
          <w:snapToGrid w:val="0"/>
          <w:lang w:val="fr-FR"/>
        </w:rPr>
      </w:pPr>
    </w:p>
    <w:p w:rsidR="002C390A" w:rsidRPr="004C1836" w:rsidRDefault="002C390A" w:rsidP="00651893">
      <w:pPr>
        <w:rPr>
          <w:snapToGrid w:val="0"/>
          <w:lang w:val="fr-FR"/>
        </w:rPr>
      </w:pPr>
      <w:r w:rsidRPr="004C1836">
        <w:rPr>
          <w:snapToGrid w:val="0"/>
          <w:lang w:val="fr-FR"/>
        </w:rPr>
        <w:t>En ce qui concerne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incidence éventuelle sur la sélection végétale et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 xml:space="preserve">agriculture, il </w:t>
      </w:r>
      <w:r w:rsidR="006671E5" w:rsidRPr="004C1836">
        <w:rPr>
          <w:snapToGrid w:val="0"/>
          <w:lang w:val="fr-FR"/>
        </w:rPr>
        <w:t xml:space="preserve">a </w:t>
      </w:r>
      <w:r w:rsidRPr="004C1836">
        <w:rPr>
          <w:snapToGrid w:val="0"/>
          <w:lang w:val="fr-FR"/>
        </w:rPr>
        <w:t>estim</w:t>
      </w:r>
      <w:r w:rsidR="006671E5" w:rsidRPr="004C1836">
        <w:rPr>
          <w:snapToGrid w:val="0"/>
          <w:lang w:val="fr-FR"/>
        </w:rPr>
        <w:t>é</w:t>
      </w:r>
      <w:r w:rsidRPr="004C1836">
        <w:rPr>
          <w:snapToGrid w:val="0"/>
          <w:lang w:val="fr-FR"/>
        </w:rPr>
        <w:t xml:space="preserve"> que, dans le cadre de ce séminaire, il convien</w:t>
      </w:r>
      <w:r w:rsidR="006671E5" w:rsidRPr="004C1836">
        <w:rPr>
          <w:snapToGrid w:val="0"/>
          <w:lang w:val="fr-FR"/>
        </w:rPr>
        <w:t>drai</w:t>
      </w:r>
      <w:r w:rsidRPr="004C1836">
        <w:rPr>
          <w:snapToGrid w:val="0"/>
          <w:lang w:val="fr-FR"/>
        </w:rPr>
        <w:t>t de se pencher sur le point de vue des agriculteurs</w:t>
      </w:r>
      <w:r w:rsidR="00A82473" w:rsidRPr="004C1836">
        <w:rPr>
          <w:snapToGrid w:val="0"/>
          <w:lang w:val="fr-FR"/>
        </w:rPr>
        <w:noBreakHyphen/>
      </w:r>
      <w:r w:rsidRPr="004C1836">
        <w:rPr>
          <w:snapToGrid w:val="0"/>
          <w:lang w:val="fr-FR"/>
        </w:rPr>
        <w:t xml:space="preserve">obtenteurs.  Le CAJ </w:t>
      </w:r>
      <w:r w:rsidR="006671E5" w:rsidRPr="004C1836">
        <w:rPr>
          <w:snapToGrid w:val="0"/>
          <w:lang w:val="fr-FR"/>
        </w:rPr>
        <w:t xml:space="preserve">est </w:t>
      </w:r>
      <w:r w:rsidRPr="004C1836">
        <w:rPr>
          <w:snapToGrid w:val="0"/>
          <w:lang w:val="fr-FR"/>
        </w:rPr>
        <w:t>conv</w:t>
      </w:r>
      <w:r w:rsidR="006671E5" w:rsidRPr="004C1836">
        <w:rPr>
          <w:snapToGrid w:val="0"/>
          <w:lang w:val="fr-FR"/>
        </w:rPr>
        <w:t>enu</w:t>
      </w:r>
      <w:r w:rsidRPr="004C1836">
        <w:rPr>
          <w:snapToGrid w:val="0"/>
          <w:lang w:val="fr-FR"/>
        </w:rPr>
        <w:t xml:space="preserve"> que le programme du séminaire d</w:t>
      </w:r>
      <w:r w:rsidR="006671E5" w:rsidRPr="004C1836">
        <w:rPr>
          <w:snapToGrid w:val="0"/>
          <w:lang w:val="fr-FR"/>
        </w:rPr>
        <w:t>eva</w:t>
      </w:r>
      <w:r w:rsidRPr="004C1836">
        <w:rPr>
          <w:snapToGrid w:val="0"/>
          <w:lang w:val="fr-FR"/>
        </w:rPr>
        <w:t>it être établi et les conférenciers sélectionnés après concertation entre le Bureau de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Union, le président et le vice</w:t>
      </w:r>
      <w:r w:rsidR="00A82473" w:rsidRPr="004C1836">
        <w:rPr>
          <w:snapToGrid w:val="0"/>
          <w:color w:val="000000"/>
          <w:szCs w:val="22"/>
          <w:lang w:val="fr-FR"/>
        </w:rPr>
        <w:noBreakHyphen/>
      </w:r>
      <w:r w:rsidRPr="004C1836">
        <w:rPr>
          <w:snapToGrid w:val="0"/>
          <w:lang w:val="fr-FR"/>
        </w:rPr>
        <w:t xml:space="preserve">président du CAJ, et la présidente du Conseil.  </w:t>
      </w:r>
      <w:r w:rsidR="006671E5" w:rsidRPr="004C1836">
        <w:rPr>
          <w:snapToGrid w:val="0"/>
          <w:lang w:val="fr-FR"/>
        </w:rPr>
        <w:t>En</w:t>
      </w:r>
      <w:r w:rsidRPr="004C1836">
        <w:rPr>
          <w:snapToGrid w:val="0"/>
          <w:lang w:val="fr-FR"/>
        </w:rPr>
        <w:t xml:space="preserve"> outre</w:t>
      </w:r>
      <w:r w:rsidR="006671E5" w:rsidRPr="004C1836">
        <w:rPr>
          <w:snapToGrid w:val="0"/>
          <w:lang w:val="fr-FR"/>
        </w:rPr>
        <w:t>,</w:t>
      </w:r>
      <w:r w:rsidRPr="004C1836">
        <w:rPr>
          <w:snapToGrid w:val="0"/>
          <w:lang w:val="fr-FR"/>
        </w:rPr>
        <w:t xml:space="preserve"> la participation au séminaire d</w:t>
      </w:r>
      <w:r w:rsidR="006671E5" w:rsidRPr="004C1836">
        <w:rPr>
          <w:snapToGrid w:val="0"/>
          <w:lang w:val="fr-FR"/>
        </w:rPr>
        <w:t>evai</w:t>
      </w:r>
      <w:r w:rsidRPr="004C1836">
        <w:rPr>
          <w:snapToGrid w:val="0"/>
          <w:lang w:val="fr-FR"/>
        </w:rPr>
        <w:t>t être ouverte au public et les exposés présentés et débats tenus dans le cadre du séminaire d</w:t>
      </w:r>
      <w:r w:rsidR="006671E5" w:rsidRPr="004C1836">
        <w:rPr>
          <w:snapToGrid w:val="0"/>
          <w:lang w:val="fr-FR"/>
        </w:rPr>
        <w:t>evai</w:t>
      </w:r>
      <w:r w:rsidRPr="004C1836">
        <w:rPr>
          <w:snapToGrid w:val="0"/>
          <w:lang w:val="fr-FR"/>
        </w:rPr>
        <w:t>ent être mis à disposition sur le site Web de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UPOV après un délai de diffusion approprié.  Le CAJ</w:t>
      </w:r>
      <w:r w:rsidR="006671E5" w:rsidRPr="004C1836">
        <w:rPr>
          <w:snapToGrid w:val="0"/>
          <w:lang w:val="fr-FR"/>
        </w:rPr>
        <w:t xml:space="preserve"> a</w:t>
      </w:r>
      <w:r w:rsidRPr="004C1836">
        <w:rPr>
          <w:snapToGrid w:val="0"/>
          <w:lang w:val="fr-FR"/>
        </w:rPr>
        <w:t xml:space="preserve"> not</w:t>
      </w:r>
      <w:r w:rsidR="006671E5" w:rsidRPr="004C1836">
        <w:rPr>
          <w:snapToGrid w:val="0"/>
          <w:lang w:val="fr-FR"/>
        </w:rPr>
        <w:t>é</w:t>
      </w:r>
      <w:r w:rsidRPr="004C1836">
        <w:rPr>
          <w:snapToGrid w:val="0"/>
          <w:lang w:val="fr-FR"/>
        </w:rPr>
        <w:t xml:space="preserve"> que, lors d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une future réunion du CAJ</w:t>
      </w:r>
      <w:r w:rsidR="00A82473" w:rsidRPr="004C1836">
        <w:rPr>
          <w:snapToGrid w:val="0"/>
          <w:lang w:val="fr-FR"/>
        </w:rPr>
        <w:noBreakHyphen/>
      </w:r>
      <w:r w:rsidRPr="004C1836">
        <w:rPr>
          <w:snapToGrid w:val="0"/>
          <w:lang w:val="fr-FR"/>
        </w:rPr>
        <w:t>AG, les délégations de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Australie, du Brésil et de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Union européenne et des autres membres de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Union ser</w:t>
      </w:r>
      <w:r w:rsidR="006671E5" w:rsidRPr="004C1836">
        <w:rPr>
          <w:snapToGrid w:val="0"/>
          <w:lang w:val="fr-FR"/>
        </w:rPr>
        <w:t>aie</w:t>
      </w:r>
      <w:r w:rsidRPr="004C1836">
        <w:rPr>
          <w:snapToGrid w:val="0"/>
          <w:lang w:val="fr-FR"/>
        </w:rPr>
        <w:t xml:space="preserve">nt invitées à présenter des exposés sur leurs systèmes concernant les variétés essentiellement </w:t>
      </w:r>
      <w:r w:rsidR="00401478" w:rsidRPr="004C1836">
        <w:rPr>
          <w:snapToGrid w:val="0"/>
          <w:lang w:val="fr-FR"/>
        </w:rPr>
        <w:t xml:space="preserve">dérivées </w:t>
      </w:r>
      <w:r w:rsidR="00401478" w:rsidRPr="004C1836">
        <w:rPr>
          <w:lang w:val="fr-FR"/>
        </w:rPr>
        <w:t xml:space="preserve">(voir les paragraphes 15 à 20 du document CAJ/67/14 </w:t>
      </w:r>
      <w:r w:rsidR="00401478" w:rsidRPr="004C1836">
        <w:rPr>
          <w:rFonts w:eastAsia="MS Mincho" w:cs="Arial"/>
          <w:lang w:val="fr-FR" w:eastAsia="ja-JP" w:bidi="th-TH"/>
        </w:rPr>
        <w:t>“</w:t>
      </w:r>
      <w:r w:rsidR="00401478" w:rsidRPr="004C1836">
        <w:rPr>
          <w:lang w:val="fr-FR"/>
        </w:rPr>
        <w:t>Compte rendu des conclusions</w:t>
      </w:r>
      <w:r w:rsidR="00401478" w:rsidRPr="004C1836">
        <w:rPr>
          <w:rFonts w:eastAsia="MS Mincho" w:cs="Arial"/>
          <w:lang w:val="fr-FR" w:eastAsia="ja-JP" w:bidi="th-TH"/>
        </w:rPr>
        <w:t>”</w:t>
      </w:r>
      <w:r w:rsidR="00401478"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085A7F" w:rsidRPr="004C1836" w:rsidRDefault="00085A7F" w:rsidP="00651893">
      <w:pPr>
        <w:rPr>
          <w:lang w:val="fr-FR"/>
        </w:rPr>
      </w:pPr>
    </w:p>
    <w:p w:rsidR="00085A7F" w:rsidRPr="004C1836" w:rsidRDefault="000D13A9" w:rsidP="00E75D49">
      <w:pPr>
        <w:keepLines/>
        <w:numPr>
          <w:ilvl w:val="0"/>
          <w:numId w:val="6"/>
        </w:numPr>
        <w:rPr>
          <w:lang w:val="fr-FR"/>
        </w:rPr>
      </w:pPr>
      <w:r w:rsidRPr="004C1836">
        <w:rPr>
          <w:lang w:val="fr-FR"/>
        </w:rPr>
        <w:lastRenderedPageBreak/>
        <w:t xml:space="preserve">Le CAJ </w:t>
      </w:r>
      <w:r w:rsidR="006E1FE9" w:rsidRPr="004C1836">
        <w:rPr>
          <w:lang w:val="fr-FR"/>
        </w:rPr>
        <w:t xml:space="preserve">est </w:t>
      </w:r>
      <w:r w:rsidRPr="004C1836">
        <w:rPr>
          <w:lang w:val="fr-FR"/>
        </w:rPr>
        <w:t>conv</w:t>
      </w:r>
      <w:r w:rsidR="006E1FE9" w:rsidRPr="004C1836">
        <w:rPr>
          <w:lang w:val="fr-FR"/>
        </w:rPr>
        <w:t>enu</w:t>
      </w:r>
      <w:r w:rsidRPr="004C1836">
        <w:rPr>
          <w:lang w:val="fr-FR"/>
        </w:rPr>
        <w:t xml:space="preserve">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ajouter un point concernant le programme de mise à jour du document UPOV/INF/5 “Bulletin type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UPOV de la protection des obtentions végétales”, comme indiqué aux paragraphes 9 et 10 du document CAJ/67/10 (voir le paragraphe 21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460625" w:rsidRPr="004C1836" w:rsidRDefault="00460625" w:rsidP="00651893">
      <w:pPr>
        <w:rPr>
          <w:lang w:val="fr-FR"/>
        </w:rPr>
      </w:pPr>
    </w:p>
    <w:p w:rsidR="00460625" w:rsidRPr="004C1836" w:rsidRDefault="000D13A9" w:rsidP="00D9528E">
      <w:pPr>
        <w:numPr>
          <w:ilvl w:val="0"/>
          <w:numId w:val="6"/>
        </w:numPr>
        <w:rPr>
          <w:rFonts w:cs="Arial"/>
          <w:lang w:val="fr-FR"/>
        </w:rPr>
      </w:pPr>
      <w:r w:rsidRPr="004C1836">
        <w:rPr>
          <w:snapToGrid w:val="0"/>
          <w:lang w:val="fr-FR"/>
        </w:rPr>
        <w:t xml:space="preserve">Le CAJ </w:t>
      </w:r>
      <w:r w:rsidR="006E1FE9" w:rsidRPr="004C1836">
        <w:rPr>
          <w:snapToGrid w:val="0"/>
          <w:lang w:val="fr-FR"/>
        </w:rPr>
        <w:t xml:space="preserve">est </w:t>
      </w:r>
      <w:r w:rsidRPr="004C1836">
        <w:rPr>
          <w:snapToGrid w:val="0"/>
          <w:lang w:val="fr-FR"/>
        </w:rPr>
        <w:t>conv</w:t>
      </w:r>
      <w:r w:rsidR="006E1FE9" w:rsidRPr="004C1836">
        <w:rPr>
          <w:snapToGrid w:val="0"/>
          <w:lang w:val="fr-FR"/>
        </w:rPr>
        <w:t>enu</w:t>
      </w:r>
      <w:r w:rsidRPr="004C1836">
        <w:rPr>
          <w:snapToGrid w:val="0"/>
          <w:lang w:val="fr-FR"/>
        </w:rPr>
        <w:t xml:space="preserve"> d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inviter le Comité consultatif et le Conseil à fournir des indications supplémentaires sur les propositions relatives à la participation des observateurs au CAJ</w:t>
      </w:r>
      <w:r w:rsidR="00A82473" w:rsidRPr="004C1836">
        <w:rPr>
          <w:snapToGrid w:val="0"/>
          <w:lang w:val="fr-FR"/>
        </w:rPr>
        <w:noBreakHyphen/>
      </w:r>
      <w:r w:rsidRPr="004C1836">
        <w:rPr>
          <w:snapToGrid w:val="0"/>
          <w:lang w:val="fr-FR"/>
        </w:rPr>
        <w:t>AG</w:t>
      </w:r>
      <w:r w:rsidRPr="004C1836">
        <w:rPr>
          <w:lang w:val="fr-FR"/>
        </w:rPr>
        <w:t xml:space="preserve">, comme indiqué aux paragraphes 25 à 27 du document CAJ/67/2 </w:t>
      </w:r>
      <w:r w:rsidR="00A93D2D" w:rsidRPr="004C1836">
        <w:rPr>
          <w:lang w:val="fr-FR"/>
        </w:rPr>
        <w:t>“</w:t>
      </w:r>
      <w:r w:rsidRPr="004C1836">
        <w:rPr>
          <w:lang w:val="fr-FR"/>
        </w:rPr>
        <w:t>Élaboration de matériel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information concernant la </w:t>
      </w:r>
      <w:r w:rsidR="00AB5517" w:rsidRPr="004C1836">
        <w:rPr>
          <w:lang w:val="fr-FR"/>
        </w:rPr>
        <w:t>Convention UPOV</w:t>
      </w:r>
      <w:r w:rsidR="00A93D2D" w:rsidRPr="004C1836">
        <w:rPr>
          <w:lang w:val="fr-FR"/>
        </w:rPr>
        <w:t>”</w:t>
      </w:r>
      <w:r w:rsidR="00F00904" w:rsidRPr="004C1836">
        <w:rPr>
          <w:lang w:val="fr-FR"/>
        </w:rPr>
        <w:t xml:space="preserve"> </w:t>
      </w:r>
      <w:r w:rsidR="00203F24" w:rsidRPr="004C1836">
        <w:rPr>
          <w:lang w:val="fr-FR"/>
        </w:rPr>
        <w:t xml:space="preserve">(voir le paragraphe 22 du document CAJ/67/14 </w:t>
      </w:r>
      <w:r w:rsidR="00203F24" w:rsidRPr="004C1836">
        <w:rPr>
          <w:rFonts w:eastAsia="MS Mincho" w:cs="Arial"/>
          <w:lang w:val="fr-FR" w:eastAsia="ja-JP" w:bidi="th-TH"/>
        </w:rPr>
        <w:t>“</w:t>
      </w:r>
      <w:r w:rsidR="00203F24" w:rsidRPr="004C1836">
        <w:rPr>
          <w:lang w:val="fr-FR"/>
        </w:rPr>
        <w:t>Compte rendu des conclusions</w:t>
      </w:r>
      <w:r w:rsidR="00203F24" w:rsidRPr="004C1836">
        <w:rPr>
          <w:rFonts w:eastAsia="MS Mincho" w:cs="Arial"/>
          <w:lang w:val="fr-FR" w:eastAsia="ja-JP" w:bidi="th-TH"/>
        </w:rPr>
        <w:t>”</w:t>
      </w:r>
      <w:r w:rsidR="00203F24" w:rsidRPr="004C1836">
        <w:rPr>
          <w:lang w:val="fr-FR"/>
        </w:rPr>
        <w:t>)</w:t>
      </w:r>
      <w:r w:rsidR="00203F24" w:rsidRPr="004C1836">
        <w:rPr>
          <w:snapToGrid w:val="0"/>
          <w:lang w:val="fr-FR"/>
        </w:rPr>
        <w:t>;</w:t>
      </w:r>
    </w:p>
    <w:p w:rsidR="00460625" w:rsidRPr="004C1836" w:rsidRDefault="00460625" w:rsidP="00651893">
      <w:pPr>
        <w:rPr>
          <w:rFonts w:cs="Arial"/>
          <w:lang w:val="fr-FR"/>
        </w:rPr>
      </w:pPr>
    </w:p>
    <w:p w:rsidR="00460625" w:rsidRPr="004C1836" w:rsidRDefault="00414D77" w:rsidP="00D9528E">
      <w:pPr>
        <w:numPr>
          <w:ilvl w:val="0"/>
          <w:numId w:val="6"/>
        </w:numPr>
        <w:rPr>
          <w:lang w:val="fr-FR"/>
        </w:rPr>
      </w:pPr>
      <w:r w:rsidRPr="004C1836">
        <w:rPr>
          <w:lang w:val="fr-FR"/>
        </w:rPr>
        <w:t xml:space="preserve">Le CAJ </w:t>
      </w:r>
      <w:r w:rsidR="006E1FE9" w:rsidRPr="004C1836">
        <w:rPr>
          <w:lang w:val="fr-FR"/>
        </w:rPr>
        <w:t xml:space="preserve">a </w:t>
      </w:r>
      <w:r w:rsidRPr="004C1836">
        <w:rPr>
          <w:lang w:val="fr-FR"/>
        </w:rPr>
        <w:t>pr</w:t>
      </w:r>
      <w:r w:rsidR="006E1FE9" w:rsidRPr="004C1836">
        <w:rPr>
          <w:lang w:val="fr-FR"/>
        </w:rPr>
        <w:t>is</w:t>
      </w:r>
      <w:r w:rsidRPr="004C1836">
        <w:rPr>
          <w:lang w:val="fr-FR"/>
        </w:rPr>
        <w:t xml:space="preserve"> note des projets du CAJ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AG concernant les questions se posant après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octroi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 droit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obtenteur, comme indiqué aux paragraphes 32 à 36 du document CAJ/67/2 (voir le paragraphe 24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460625" w:rsidRPr="004C1836" w:rsidRDefault="00460625" w:rsidP="00651893">
      <w:pPr>
        <w:rPr>
          <w:lang w:val="fr-FR"/>
        </w:rPr>
      </w:pPr>
    </w:p>
    <w:p w:rsidR="00414D77" w:rsidRPr="004C1836" w:rsidRDefault="00414D77" w:rsidP="00D9528E">
      <w:pPr>
        <w:keepNext/>
        <w:numPr>
          <w:ilvl w:val="0"/>
          <w:numId w:val="6"/>
        </w:numPr>
        <w:rPr>
          <w:lang w:val="fr-FR"/>
        </w:rPr>
      </w:pPr>
      <w:r w:rsidRPr="004C1836">
        <w:rPr>
          <w:lang w:val="fr-FR"/>
        </w:rPr>
        <w:t xml:space="preserve">Le CAJ </w:t>
      </w:r>
      <w:r w:rsidR="006E1FE9" w:rsidRPr="004C1836">
        <w:rPr>
          <w:lang w:val="fr-FR"/>
        </w:rPr>
        <w:t>a pris</w:t>
      </w:r>
      <w:r w:rsidRPr="004C1836">
        <w:rPr>
          <w:lang w:val="fr-FR"/>
        </w:rPr>
        <w:t xml:space="preserve"> note des projets du CAJ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AG concernant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élaboration des “Notes explicatives sur la reproduction ou la multiplication et sur le matériel de reproduction ou de multiplication</w:t>
      </w:r>
      <w:r w:rsidR="00590220" w:rsidRPr="004C1836">
        <w:rPr>
          <w:sz w:val="18"/>
          <w:lang w:val="fr-FR"/>
        </w:rPr>
        <w:t xml:space="preserve"> </w:t>
      </w:r>
      <w:r w:rsidR="00590220" w:rsidRPr="004C1836">
        <w:rPr>
          <w:lang w:val="fr-FR"/>
        </w:rPr>
        <w:t>selon l’Acte de 1991 de la Convention UPOV</w:t>
      </w:r>
      <w:r w:rsidRPr="004C1836">
        <w:rPr>
          <w:lang w:val="fr-FR"/>
        </w:rPr>
        <w:t>”, comme suit :</w:t>
      </w:r>
    </w:p>
    <w:p w:rsidR="00414D77" w:rsidRPr="004C1836" w:rsidRDefault="00414D77" w:rsidP="00651893">
      <w:pPr>
        <w:keepNext/>
        <w:rPr>
          <w:lang w:val="fr-FR"/>
        </w:rPr>
      </w:pPr>
    </w:p>
    <w:p w:rsidR="00414D77" w:rsidRPr="004C1836" w:rsidRDefault="00414D77" w:rsidP="00651893">
      <w:pPr>
        <w:ind w:left="1134" w:right="567"/>
        <w:rPr>
          <w:sz w:val="18"/>
          <w:lang w:val="fr-FR"/>
        </w:rPr>
      </w:pPr>
      <w:r w:rsidRPr="004C1836">
        <w:rPr>
          <w:sz w:val="18"/>
          <w:szCs w:val="24"/>
          <w:lang w:val="fr-FR"/>
        </w:rPr>
        <w:t>“39.</w:t>
      </w:r>
      <w:r w:rsidRPr="004C1836">
        <w:rPr>
          <w:sz w:val="18"/>
          <w:lang w:val="fr-FR"/>
        </w:rPr>
        <w:tab/>
        <w:t>Le CAJ</w:t>
      </w:r>
      <w:r w:rsidR="00A82473" w:rsidRPr="004C1836">
        <w:rPr>
          <w:sz w:val="18"/>
          <w:lang w:val="fr-FR"/>
        </w:rPr>
        <w:noBreakHyphen/>
      </w:r>
      <w:r w:rsidRPr="004C1836">
        <w:rPr>
          <w:sz w:val="18"/>
          <w:lang w:val="fr-FR"/>
        </w:rPr>
        <w:t>AG est convenu que le Bureau de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 xml:space="preserve">Union devrait élaborer un projet de </w:t>
      </w:r>
      <w:r w:rsidR="00AB5517" w:rsidRPr="004C1836">
        <w:rPr>
          <w:sz w:val="18"/>
          <w:lang w:val="fr-FR"/>
        </w:rPr>
        <w:t>‘</w:t>
      </w:r>
      <w:r w:rsidRPr="004C1836">
        <w:rPr>
          <w:sz w:val="18"/>
          <w:lang w:val="fr-FR"/>
        </w:rPr>
        <w:t>Notes explicatives sur la reproduction ou la multiplication et sur le matériel de reproduction ou de multiplication selon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 xml:space="preserve">Acte de 1991 de la </w:t>
      </w:r>
      <w:r w:rsidR="00AB5517" w:rsidRPr="004C1836">
        <w:rPr>
          <w:sz w:val="18"/>
          <w:lang w:val="fr-FR"/>
        </w:rPr>
        <w:t>Convention UPOV’</w:t>
      </w:r>
      <w:r w:rsidRPr="004C1836">
        <w:rPr>
          <w:sz w:val="18"/>
          <w:lang w:val="fr-FR"/>
        </w:rPr>
        <w:t xml:space="preserve"> pour examen à sa huitième session.  La base des notes explicatives serait la suivante :</w:t>
      </w:r>
    </w:p>
    <w:p w:rsidR="00414D77" w:rsidRPr="004C1836" w:rsidRDefault="00414D77" w:rsidP="00651893">
      <w:pPr>
        <w:ind w:left="1134" w:right="567"/>
        <w:rPr>
          <w:sz w:val="18"/>
          <w:lang w:val="fr-FR"/>
        </w:rPr>
      </w:pPr>
    </w:p>
    <w:p w:rsidR="00414D77" w:rsidRPr="004C1836" w:rsidRDefault="00414D77" w:rsidP="00651893">
      <w:pPr>
        <w:ind w:left="1134" w:right="567" w:firstLine="567"/>
        <w:rPr>
          <w:sz w:val="18"/>
          <w:lang w:val="fr-FR"/>
        </w:rPr>
      </w:pPr>
      <w:r w:rsidRPr="004C1836">
        <w:rPr>
          <w:sz w:val="18"/>
          <w:lang w:val="fr-FR"/>
        </w:rPr>
        <w:t>“a)</w:t>
      </w:r>
      <w:r w:rsidRPr="004C1836">
        <w:rPr>
          <w:sz w:val="18"/>
          <w:lang w:val="fr-FR"/>
        </w:rPr>
        <w:tab/>
        <w:t>expliquer les formes de matériel susceptibles d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 xml:space="preserve">être du matériel de reproduction ou de multiplication, et notamment la base du document UPOV/EXN/HRV Draft 8 qui indique que </w:t>
      </w:r>
      <w:r w:rsidR="00AB5517" w:rsidRPr="004C1836">
        <w:rPr>
          <w:sz w:val="18"/>
          <w:lang w:val="fr-FR"/>
        </w:rPr>
        <w:t>‘</w:t>
      </w:r>
      <w:r w:rsidRPr="004C1836">
        <w:rPr>
          <w:sz w:val="18"/>
          <w:lang w:val="fr-FR"/>
        </w:rPr>
        <w:t>certaines formes du produit de la récolte peuvent être utilisées comme matériel de reproduction ou de multiplication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, d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une manière semblable à celle expliquée dans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 xml:space="preserve">article 1.19 de la </w:t>
      </w:r>
      <w:r w:rsidR="00AB5517" w:rsidRPr="004C1836">
        <w:rPr>
          <w:sz w:val="18"/>
          <w:lang w:val="fr-FR"/>
        </w:rPr>
        <w:t>‘</w:t>
      </w:r>
      <w:r w:rsidRPr="004C1836">
        <w:rPr>
          <w:sz w:val="18"/>
          <w:lang w:val="fr-FR"/>
        </w:rPr>
        <w:t>Loi type sur la protection des obtentions végétales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 xml:space="preserve"> (</w:t>
      </w:r>
      <w:r w:rsidR="00AB5517" w:rsidRPr="004C1836">
        <w:rPr>
          <w:sz w:val="18"/>
          <w:lang w:val="fr-FR"/>
        </w:rPr>
        <w:t>‘</w:t>
      </w:r>
      <w:r w:rsidRPr="004C1836">
        <w:rPr>
          <w:sz w:val="18"/>
          <w:lang w:val="fr-FR"/>
        </w:rPr>
        <w:t>Loi type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 xml:space="preserve"> – Publication de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UPOV n° 842);</w:t>
      </w:r>
    </w:p>
    <w:p w:rsidR="00414D77" w:rsidRPr="004C1836" w:rsidRDefault="00414D77" w:rsidP="00651893">
      <w:pPr>
        <w:ind w:left="1134" w:right="567" w:firstLine="567"/>
        <w:rPr>
          <w:sz w:val="18"/>
          <w:lang w:val="fr-FR"/>
        </w:rPr>
      </w:pPr>
    </w:p>
    <w:p w:rsidR="00414D77" w:rsidRPr="004C1836" w:rsidRDefault="00414D77" w:rsidP="00651893">
      <w:pPr>
        <w:ind w:left="1134" w:right="567" w:firstLine="567"/>
        <w:rPr>
          <w:sz w:val="18"/>
          <w:lang w:val="fr-FR"/>
        </w:rPr>
      </w:pPr>
      <w:r w:rsidRPr="004C1836">
        <w:rPr>
          <w:sz w:val="18"/>
          <w:lang w:val="fr-FR"/>
        </w:rPr>
        <w:t xml:space="preserve">“b) </w:t>
      </w:r>
      <w:r w:rsidRPr="004C1836">
        <w:rPr>
          <w:sz w:val="18"/>
          <w:lang w:val="fr-FR"/>
        </w:rPr>
        <w:tab/>
        <w:t>fournir une liste non exhaustive des facteurs susceptibles d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être pris en considération pour décider si le matériel est un matériel de reproduction ou de multiplication, par exemple :</w:t>
      </w:r>
    </w:p>
    <w:p w:rsidR="00414D77" w:rsidRPr="004C1836" w:rsidRDefault="00414D77" w:rsidP="00651893">
      <w:pPr>
        <w:ind w:left="1134" w:right="567" w:firstLine="567"/>
        <w:rPr>
          <w:sz w:val="18"/>
          <w:lang w:val="fr-FR"/>
        </w:rPr>
      </w:pPr>
    </w:p>
    <w:p w:rsidR="00414D77" w:rsidRPr="004C1836" w:rsidRDefault="00414D77" w:rsidP="00651893">
      <w:pPr>
        <w:ind w:left="2268" w:right="567"/>
        <w:rPr>
          <w:sz w:val="18"/>
          <w:lang w:val="fr-FR"/>
        </w:rPr>
      </w:pPr>
      <w:r w:rsidRPr="004C1836">
        <w:rPr>
          <w:sz w:val="18"/>
          <w:lang w:val="fr-FR"/>
        </w:rPr>
        <w:t xml:space="preserve">i) </w:t>
      </w:r>
      <w:r w:rsidRPr="004C1836">
        <w:rPr>
          <w:sz w:val="18"/>
          <w:lang w:val="fr-FR"/>
        </w:rPr>
        <w:tab/>
        <w:t>indiquer si le matériel a été utilisé pour reproduire ou multiplier la variété;</w:t>
      </w:r>
    </w:p>
    <w:p w:rsidR="00414D77" w:rsidRPr="004C1836" w:rsidRDefault="00414D77" w:rsidP="00651893">
      <w:pPr>
        <w:ind w:left="2268" w:right="567"/>
        <w:rPr>
          <w:sz w:val="18"/>
          <w:lang w:val="fr-FR"/>
        </w:rPr>
      </w:pPr>
      <w:r w:rsidRPr="004C1836">
        <w:rPr>
          <w:sz w:val="18"/>
          <w:lang w:val="fr-FR"/>
        </w:rPr>
        <w:t xml:space="preserve">ii) </w:t>
      </w:r>
      <w:r w:rsidRPr="004C1836">
        <w:rPr>
          <w:sz w:val="18"/>
          <w:lang w:val="fr-FR"/>
        </w:rPr>
        <w:tab/>
        <w:t>indiquer si le matériel peut produire des plantes entières de la variété;</w:t>
      </w:r>
    </w:p>
    <w:p w:rsidR="00414D77" w:rsidRPr="004C1836" w:rsidRDefault="00414D77" w:rsidP="00651893">
      <w:pPr>
        <w:ind w:left="2268" w:right="567"/>
        <w:rPr>
          <w:sz w:val="18"/>
          <w:lang w:val="fr-FR"/>
        </w:rPr>
      </w:pPr>
      <w:r w:rsidRPr="004C1836">
        <w:rPr>
          <w:sz w:val="18"/>
          <w:lang w:val="fr-FR"/>
        </w:rPr>
        <w:t xml:space="preserve">iii) </w:t>
      </w:r>
      <w:r w:rsidRPr="004C1836">
        <w:rPr>
          <w:sz w:val="18"/>
          <w:lang w:val="fr-FR"/>
        </w:rPr>
        <w:tab/>
        <w:t>indiquer s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il y a eu une coutume ou pratique consistant à utiliser le matériel à cette fin;</w:t>
      </w:r>
    </w:p>
    <w:p w:rsidR="00414D77" w:rsidRPr="004C1836" w:rsidRDefault="00414D77" w:rsidP="00651893">
      <w:pPr>
        <w:ind w:left="2268" w:right="567"/>
        <w:rPr>
          <w:sz w:val="18"/>
          <w:lang w:val="fr-FR"/>
        </w:rPr>
      </w:pPr>
      <w:r w:rsidRPr="004C1836">
        <w:rPr>
          <w:sz w:val="18"/>
          <w:lang w:val="fr-FR"/>
        </w:rPr>
        <w:t xml:space="preserve">iv) </w:t>
      </w:r>
      <w:r w:rsidRPr="004C1836">
        <w:rPr>
          <w:sz w:val="18"/>
          <w:lang w:val="fr-FR"/>
        </w:rPr>
        <w:tab/>
        <w:t>indiquer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intention de la part des personnes concernées (producteur, vendeur, acheteur, utilisateur);  et</w:t>
      </w:r>
    </w:p>
    <w:p w:rsidR="00414D77" w:rsidRPr="004C1836" w:rsidRDefault="00414D77" w:rsidP="00651893">
      <w:pPr>
        <w:ind w:left="2268" w:right="567"/>
        <w:rPr>
          <w:sz w:val="18"/>
          <w:lang w:val="fr-FR"/>
        </w:rPr>
      </w:pPr>
      <w:r w:rsidRPr="004C1836">
        <w:rPr>
          <w:sz w:val="18"/>
          <w:lang w:val="fr-FR"/>
        </w:rPr>
        <w:t xml:space="preserve">v) </w:t>
      </w:r>
      <w:r w:rsidRPr="004C1836">
        <w:rPr>
          <w:sz w:val="18"/>
          <w:lang w:val="fr-FR"/>
        </w:rPr>
        <w:tab/>
        <w:t>indiquer si le matériel végétal convient pour reproduire la variété conforme.</w:t>
      </w:r>
    </w:p>
    <w:p w:rsidR="00414D77" w:rsidRPr="004C1836" w:rsidRDefault="00414D77" w:rsidP="00651893">
      <w:pPr>
        <w:ind w:left="1134" w:right="567"/>
        <w:rPr>
          <w:sz w:val="18"/>
          <w:lang w:val="fr-FR"/>
        </w:rPr>
      </w:pPr>
    </w:p>
    <w:p w:rsidR="00414D77" w:rsidRPr="004C1836" w:rsidRDefault="00414D77" w:rsidP="00651893">
      <w:pPr>
        <w:ind w:left="1134" w:right="567"/>
        <w:rPr>
          <w:sz w:val="18"/>
          <w:lang w:val="fr-FR"/>
        </w:rPr>
      </w:pPr>
      <w:r w:rsidRPr="004C1836">
        <w:rPr>
          <w:rFonts w:cs="Arial"/>
          <w:sz w:val="18"/>
          <w:lang w:val="fr-FR"/>
        </w:rPr>
        <w:t>“(voir le paragraphe 16 du document CAJ</w:t>
      </w:r>
      <w:r w:rsidR="00A82473" w:rsidRPr="004C1836">
        <w:rPr>
          <w:rFonts w:cs="Arial"/>
          <w:sz w:val="18"/>
          <w:lang w:val="fr-FR"/>
        </w:rPr>
        <w:noBreakHyphen/>
      </w:r>
      <w:r w:rsidRPr="004C1836">
        <w:rPr>
          <w:rFonts w:cs="Arial"/>
          <w:sz w:val="18"/>
          <w:lang w:val="fr-FR"/>
        </w:rPr>
        <w:t xml:space="preserve">AG/12/7/6 </w:t>
      </w:r>
      <w:r w:rsidR="00AB5517" w:rsidRPr="004C1836">
        <w:rPr>
          <w:rFonts w:cs="Arial"/>
          <w:sz w:val="18"/>
          <w:lang w:val="fr-FR"/>
        </w:rPr>
        <w:t>‘</w:t>
      </w:r>
      <w:r w:rsidRPr="004C1836">
        <w:rPr>
          <w:rFonts w:cs="Arial"/>
          <w:sz w:val="18"/>
          <w:lang w:val="fr-FR"/>
        </w:rPr>
        <w:t>Compte rendu des conclusions</w:t>
      </w:r>
      <w:r w:rsidR="00AB5517" w:rsidRPr="004C1836">
        <w:rPr>
          <w:rFonts w:cs="Arial"/>
          <w:sz w:val="18"/>
          <w:lang w:val="fr-FR"/>
        </w:rPr>
        <w:t>’</w:t>
      </w:r>
      <w:r w:rsidRPr="004C1836">
        <w:rPr>
          <w:rFonts w:cs="Arial"/>
          <w:sz w:val="18"/>
          <w:lang w:val="fr-FR"/>
        </w:rPr>
        <w:t>)</w:t>
      </w:r>
    </w:p>
    <w:p w:rsidR="00414D77" w:rsidRPr="004C1836" w:rsidRDefault="00414D77" w:rsidP="00651893">
      <w:pPr>
        <w:ind w:left="1134" w:right="567"/>
        <w:rPr>
          <w:sz w:val="18"/>
          <w:lang w:val="fr-FR"/>
        </w:rPr>
      </w:pPr>
    </w:p>
    <w:p w:rsidR="00414D77" w:rsidRPr="004C1836" w:rsidRDefault="00414D77" w:rsidP="00651893">
      <w:pPr>
        <w:ind w:left="1134" w:right="567"/>
        <w:rPr>
          <w:sz w:val="18"/>
          <w:lang w:val="fr-FR"/>
        </w:rPr>
      </w:pPr>
      <w:r w:rsidRPr="004C1836">
        <w:rPr>
          <w:sz w:val="18"/>
          <w:szCs w:val="24"/>
          <w:lang w:val="fr-FR"/>
        </w:rPr>
        <w:t>“40.</w:t>
      </w:r>
      <w:r w:rsidRPr="004C1836">
        <w:rPr>
          <w:sz w:val="18"/>
          <w:lang w:val="fr-FR"/>
        </w:rPr>
        <w:tab/>
        <w:t>Il a été indiqué que la liste ci</w:t>
      </w:r>
      <w:r w:rsidR="00A82473" w:rsidRPr="004C1836">
        <w:rPr>
          <w:sz w:val="18"/>
          <w:lang w:val="fr-FR"/>
        </w:rPr>
        <w:noBreakHyphen/>
      </w:r>
      <w:r w:rsidRPr="004C1836">
        <w:rPr>
          <w:sz w:val="18"/>
          <w:lang w:val="fr-FR"/>
        </w:rPr>
        <w:t>dessus est une liste initiale provisoire, qu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il conviendrait d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examiner de manière plus approfondie.  Il a également été convenu que, lors de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élaboration du projet de notes explicatives par le Bureau de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Union, la CIOPORA et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ISF seraient invitées à fournir des facteurs supplémentaires (voir le paragraphe 17 du document CAJ</w:t>
      </w:r>
      <w:r w:rsidR="00A82473" w:rsidRPr="004C1836">
        <w:rPr>
          <w:sz w:val="18"/>
          <w:lang w:val="fr-FR"/>
        </w:rPr>
        <w:noBreakHyphen/>
      </w:r>
      <w:r w:rsidRPr="004C1836">
        <w:rPr>
          <w:sz w:val="18"/>
          <w:lang w:val="fr-FR"/>
        </w:rPr>
        <w:t xml:space="preserve">AG/12/7/6 </w:t>
      </w:r>
      <w:r w:rsidR="00AB5517" w:rsidRPr="004C1836">
        <w:rPr>
          <w:sz w:val="18"/>
          <w:lang w:val="fr-FR"/>
        </w:rPr>
        <w:t>‘</w:t>
      </w:r>
      <w:r w:rsidRPr="004C1836">
        <w:rPr>
          <w:sz w:val="18"/>
          <w:lang w:val="fr-FR"/>
        </w:rPr>
        <w:t>Compte rendu des conclusions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).</w:t>
      </w:r>
      <w:r w:rsidRPr="004C1836">
        <w:rPr>
          <w:rFonts w:cs="Arial"/>
          <w:sz w:val="18"/>
          <w:lang w:val="fr-FR"/>
        </w:rPr>
        <w:t>”</w:t>
      </w:r>
    </w:p>
    <w:p w:rsidR="00414D77" w:rsidRPr="004C1836" w:rsidRDefault="00414D77" w:rsidP="00651893">
      <w:pPr>
        <w:rPr>
          <w:lang w:val="fr-FR"/>
        </w:rPr>
      </w:pPr>
    </w:p>
    <w:p w:rsidR="00460625" w:rsidRPr="004C1836" w:rsidRDefault="00414D77" w:rsidP="00651893">
      <w:pPr>
        <w:rPr>
          <w:rFonts w:eastAsia="MS Mincho"/>
          <w:lang w:val="fr-FR" w:eastAsia="ja-JP" w:bidi="th-TH"/>
        </w:rPr>
      </w:pPr>
      <w:r w:rsidRPr="004C1836">
        <w:rPr>
          <w:lang w:val="fr-FR"/>
        </w:rPr>
        <w:t xml:space="preserve">Le CAJ </w:t>
      </w:r>
      <w:r w:rsidR="006E1FE9" w:rsidRPr="004C1836">
        <w:rPr>
          <w:lang w:val="fr-FR"/>
        </w:rPr>
        <w:t xml:space="preserve">a </w:t>
      </w:r>
      <w:r w:rsidRPr="004C1836">
        <w:rPr>
          <w:lang w:val="fr-FR"/>
        </w:rPr>
        <w:t>pr</w:t>
      </w:r>
      <w:r w:rsidR="006E1FE9" w:rsidRPr="004C1836">
        <w:rPr>
          <w:lang w:val="fr-FR"/>
        </w:rPr>
        <w:t>is</w:t>
      </w:r>
      <w:r w:rsidRPr="004C1836">
        <w:rPr>
          <w:lang w:val="fr-FR"/>
        </w:rPr>
        <w:t xml:space="preserve"> note du compte rendu des travaux du CAJ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AG à sa septième session, comme indiqué dans le document CAJ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AG/12/7/6 “Compte rendu des conclusions”</w:t>
      </w:r>
      <w:r w:rsidRPr="004C1836">
        <w:rPr>
          <w:kern w:val="28"/>
          <w:lang w:val="fr-FR"/>
        </w:rPr>
        <w:t xml:space="preserve"> </w:t>
      </w:r>
      <w:r w:rsidR="0038009F" w:rsidRPr="004C1836">
        <w:rPr>
          <w:lang w:val="fr-FR"/>
        </w:rPr>
        <w:t xml:space="preserve">(voir les paragraphes 25 et 26 du document CAJ/67/14 </w:t>
      </w:r>
      <w:r w:rsidR="0038009F" w:rsidRPr="004C1836">
        <w:rPr>
          <w:rFonts w:eastAsia="MS Mincho" w:cs="Arial"/>
          <w:lang w:val="fr-FR" w:eastAsia="ja-JP" w:bidi="th-TH"/>
        </w:rPr>
        <w:t>“</w:t>
      </w:r>
      <w:r w:rsidR="0038009F" w:rsidRPr="004C1836">
        <w:rPr>
          <w:lang w:val="fr-FR"/>
        </w:rPr>
        <w:t>Compte rendu des conclusions</w:t>
      </w:r>
      <w:r w:rsidR="0038009F" w:rsidRPr="004C1836">
        <w:rPr>
          <w:rFonts w:eastAsia="MS Mincho" w:cs="Arial"/>
          <w:lang w:val="fr-FR" w:eastAsia="ja-JP" w:bidi="th-TH"/>
        </w:rPr>
        <w:t>”</w:t>
      </w:r>
      <w:r w:rsidR="0038009F" w:rsidRPr="004C1836">
        <w:rPr>
          <w:lang w:val="fr-FR"/>
        </w:rPr>
        <w:t>)</w:t>
      </w:r>
      <w:r w:rsidR="0038009F" w:rsidRPr="004C1836">
        <w:rPr>
          <w:snapToGrid w:val="0"/>
          <w:lang w:val="fr-FR"/>
        </w:rPr>
        <w:t>;</w:t>
      </w:r>
    </w:p>
    <w:p w:rsidR="00460625" w:rsidRPr="004C1836" w:rsidRDefault="00460625" w:rsidP="00651893">
      <w:pPr>
        <w:rPr>
          <w:rFonts w:eastAsia="MS Mincho"/>
          <w:lang w:val="fr-FR" w:eastAsia="ja-JP" w:bidi="th-TH"/>
        </w:rPr>
      </w:pPr>
    </w:p>
    <w:p w:rsidR="00460625" w:rsidRPr="004C1836" w:rsidRDefault="00CB55DC" w:rsidP="00D46B59">
      <w:pPr>
        <w:numPr>
          <w:ilvl w:val="0"/>
          <w:numId w:val="6"/>
        </w:numPr>
        <w:rPr>
          <w:rFonts w:cs="Arial"/>
          <w:lang w:val="fr-FR"/>
        </w:rPr>
      </w:pPr>
      <w:r w:rsidRPr="004C1836">
        <w:rPr>
          <w:lang w:val="fr-FR"/>
        </w:rPr>
        <w:t xml:space="preserve">Le CAJ </w:t>
      </w:r>
      <w:r w:rsidR="006E1FE9" w:rsidRPr="004C1836">
        <w:rPr>
          <w:lang w:val="fr-FR"/>
        </w:rPr>
        <w:t xml:space="preserve">a </w:t>
      </w:r>
      <w:r w:rsidRPr="004C1836">
        <w:rPr>
          <w:lang w:val="fr-FR"/>
        </w:rPr>
        <w:t>not</w:t>
      </w:r>
      <w:r w:rsidR="006E1FE9" w:rsidRPr="004C1836">
        <w:rPr>
          <w:lang w:val="fr-FR"/>
        </w:rPr>
        <w:t>é</w:t>
      </w:r>
      <w:r w:rsidRPr="004C1836">
        <w:rPr>
          <w:lang w:val="fr-FR"/>
        </w:rPr>
        <w:t xml:space="preserve"> que le Conseil sera</w:t>
      </w:r>
      <w:r w:rsidR="006E1FE9" w:rsidRPr="004C1836">
        <w:rPr>
          <w:lang w:val="fr-FR"/>
        </w:rPr>
        <w:t>it</w:t>
      </w:r>
      <w:r w:rsidRPr="004C1836">
        <w:rPr>
          <w:lang w:val="fr-FR"/>
        </w:rPr>
        <w:t xml:space="preserve"> invité à adopter une révision du document UPOV/INF/6/2 “Orientations en vue de la rédaction de lois fondées sur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Acte de 1991 de la </w:t>
      </w:r>
      <w:r w:rsidR="00AB5517" w:rsidRPr="004C1836">
        <w:rPr>
          <w:lang w:val="fr-FR"/>
        </w:rPr>
        <w:t>Convention UPOV</w:t>
      </w:r>
      <w:r w:rsidRPr="004C1836">
        <w:rPr>
          <w:lang w:val="fr-FR"/>
        </w:rPr>
        <w:t>” (</w:t>
      </w:r>
      <w:r w:rsidRPr="004C1836">
        <w:rPr>
          <w:rFonts w:cs="Arial"/>
          <w:lang w:val="fr-FR"/>
        </w:rPr>
        <w:t>document UPOV/INF/6/3)</w:t>
      </w:r>
      <w:r w:rsidRPr="004C1836">
        <w:rPr>
          <w:lang w:val="fr-FR"/>
        </w:rPr>
        <w:t>, conjointement avec les notes explicatives que le Conseil sera</w:t>
      </w:r>
      <w:r w:rsidR="006E1FE9" w:rsidRPr="004C1836">
        <w:rPr>
          <w:lang w:val="fr-FR"/>
        </w:rPr>
        <w:t>it</w:t>
      </w:r>
      <w:r w:rsidRPr="004C1836">
        <w:rPr>
          <w:lang w:val="fr-FR"/>
        </w:rPr>
        <w:t xml:space="preserve"> invité à adopter à sa quarante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septième session ordinaire, qui se tiendra à Genève le 24 octobre 2013</w:t>
      </w:r>
      <w:r w:rsidRPr="004C1836">
        <w:rPr>
          <w:kern w:val="28"/>
          <w:lang w:val="fr-FR"/>
        </w:rPr>
        <w:t xml:space="preserve"> </w:t>
      </w:r>
      <w:r w:rsidRPr="004C1836">
        <w:rPr>
          <w:lang w:val="fr-FR"/>
        </w:rPr>
        <w:t xml:space="preserve">(voir le paragraphe 27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460625" w:rsidRPr="004C1836" w:rsidRDefault="00460625" w:rsidP="00651893">
      <w:pPr>
        <w:rPr>
          <w:rFonts w:cs="Arial"/>
          <w:lang w:val="fr-FR"/>
        </w:rPr>
      </w:pPr>
    </w:p>
    <w:p w:rsidR="002102D9" w:rsidRPr="004C1836" w:rsidRDefault="002102D9" w:rsidP="00D46B59">
      <w:pPr>
        <w:numPr>
          <w:ilvl w:val="0"/>
          <w:numId w:val="6"/>
        </w:numPr>
        <w:rPr>
          <w:lang w:val="fr-FR"/>
        </w:rPr>
      </w:pPr>
      <w:r w:rsidRPr="004C1836">
        <w:rPr>
          <w:lang w:val="fr-FR"/>
        </w:rPr>
        <w:t xml:space="preserve">Le CAJ </w:t>
      </w:r>
      <w:r w:rsidR="001B78BA" w:rsidRPr="004C1836">
        <w:rPr>
          <w:lang w:val="fr-FR"/>
        </w:rPr>
        <w:t xml:space="preserve">a </w:t>
      </w:r>
      <w:r w:rsidRPr="004C1836">
        <w:rPr>
          <w:lang w:val="fr-FR"/>
        </w:rPr>
        <w:t>approuv</w:t>
      </w:r>
      <w:r w:rsidR="001B78BA" w:rsidRPr="004C1836">
        <w:rPr>
          <w:lang w:val="fr-FR"/>
        </w:rPr>
        <w:t>é</w:t>
      </w:r>
      <w:r w:rsidRPr="004C1836">
        <w:rPr>
          <w:lang w:val="fr-FR"/>
        </w:rPr>
        <w:t xml:space="preserve"> le programme de travail en vue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élaboration de matériel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information pour la huitième session du CAJ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 xml:space="preserve">AG, qui se tiendra le 25 octobre 2013, </w:t>
      </w:r>
      <w:r w:rsidR="001B78BA" w:rsidRPr="004C1836">
        <w:rPr>
          <w:lang w:val="fr-FR"/>
        </w:rPr>
        <w:t>tel qu’il figurait</w:t>
      </w:r>
      <w:r w:rsidR="0072219F" w:rsidRPr="004C1836">
        <w:rPr>
          <w:lang w:val="fr-FR"/>
        </w:rPr>
        <w:t xml:space="preserve"> dans le paragraphe 28 du document CAJ/67/14 </w:t>
      </w:r>
      <w:r w:rsidR="0072219F" w:rsidRPr="004C1836">
        <w:rPr>
          <w:rFonts w:eastAsia="MS Mincho" w:cs="Arial"/>
          <w:lang w:val="fr-FR" w:eastAsia="ja-JP" w:bidi="th-TH"/>
        </w:rPr>
        <w:t>“</w:t>
      </w:r>
      <w:r w:rsidR="0072219F" w:rsidRPr="004C1836">
        <w:rPr>
          <w:lang w:val="fr-FR"/>
        </w:rPr>
        <w:t>Compte rendu des conclusions</w:t>
      </w:r>
      <w:r w:rsidR="0072219F" w:rsidRPr="004C1836">
        <w:rPr>
          <w:rFonts w:eastAsia="MS Mincho" w:cs="Arial"/>
          <w:lang w:val="fr-FR" w:eastAsia="ja-JP" w:bidi="th-TH"/>
        </w:rPr>
        <w:t>” </w:t>
      </w:r>
      <w:r w:rsidRPr="004C1836">
        <w:rPr>
          <w:lang w:val="fr-FR"/>
        </w:rPr>
        <w:t>:</w:t>
      </w:r>
    </w:p>
    <w:p w:rsidR="002102D9" w:rsidRPr="004C1836" w:rsidRDefault="002102D9" w:rsidP="00651893">
      <w:pPr>
        <w:rPr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1.</w:t>
      </w:r>
      <w:r w:rsidRPr="004C1836">
        <w:rPr>
          <w:sz w:val="18"/>
          <w:lang w:val="fr-FR"/>
        </w:rPr>
        <w:tab/>
        <w:t>Ouverture de la session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2.</w:t>
      </w:r>
      <w:r w:rsidRPr="004C1836">
        <w:rPr>
          <w:sz w:val="18"/>
          <w:lang w:val="fr-FR"/>
        </w:rPr>
        <w:tab/>
        <w:t>Adoption de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ordre du jour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lastRenderedPageBreak/>
        <w:t>3.</w:t>
      </w:r>
      <w:r w:rsidRPr="004C1836">
        <w:rPr>
          <w:sz w:val="18"/>
          <w:lang w:val="fr-FR"/>
        </w:rPr>
        <w:tab/>
        <w:t>Notes explicatives sur les variétés essentiellement dérivées selon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 xml:space="preserve">Acte de 1991 de la </w:t>
      </w:r>
      <w:r w:rsidR="00AB5517" w:rsidRPr="004C1836">
        <w:rPr>
          <w:sz w:val="18"/>
          <w:lang w:val="fr-FR"/>
        </w:rPr>
        <w:t>Convention UPOV</w:t>
      </w:r>
      <w:r w:rsidRPr="004C1836">
        <w:rPr>
          <w:sz w:val="18"/>
          <w:lang w:val="fr-FR"/>
        </w:rPr>
        <w:t xml:space="preserve"> (révision)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4.</w:t>
      </w:r>
      <w:r w:rsidRPr="004C1836">
        <w:rPr>
          <w:sz w:val="18"/>
          <w:lang w:val="fr-FR"/>
        </w:rPr>
        <w:tab/>
        <w:t>Notes explicatives sur la reproduction ou la multiplication et sur le matériel de reproduction ou de multiplication selon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 xml:space="preserve">Acte de 1991 de la </w:t>
      </w:r>
      <w:r w:rsidR="00AB5517" w:rsidRPr="004C1836">
        <w:rPr>
          <w:sz w:val="18"/>
          <w:lang w:val="fr-FR"/>
        </w:rPr>
        <w:t>Convention UPOV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5.</w:t>
      </w:r>
      <w:r w:rsidRPr="004C1836">
        <w:rPr>
          <w:sz w:val="18"/>
          <w:lang w:val="fr-FR"/>
        </w:rPr>
        <w:tab/>
        <w:t>Notes explicatives sur les actes à 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égard du produit de la récolte selon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Acte de 1991 de la </w:t>
      </w:r>
      <w:r w:rsidR="00AB5517" w:rsidRPr="004C1836">
        <w:rPr>
          <w:sz w:val="18"/>
          <w:lang w:val="fr-FR"/>
        </w:rPr>
        <w:t>Convention UPOV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6.</w:t>
      </w:r>
      <w:r w:rsidRPr="004C1836">
        <w:rPr>
          <w:sz w:val="18"/>
          <w:lang w:val="fr-FR"/>
        </w:rPr>
        <w:tab/>
        <w:t>Révision éventuelle des notes explicatives sur la déchéance de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obtenteur selon la </w:t>
      </w:r>
      <w:r w:rsidR="00AB5517" w:rsidRPr="004C1836">
        <w:rPr>
          <w:sz w:val="18"/>
          <w:lang w:val="fr-FR"/>
        </w:rPr>
        <w:t>Convention UPOV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7.</w:t>
      </w:r>
      <w:r w:rsidRPr="004C1836">
        <w:rPr>
          <w:sz w:val="18"/>
          <w:lang w:val="fr-FR"/>
        </w:rPr>
        <w:tab/>
        <w:t>Révision éventuelle des notes explicatives sur la nullité du droit d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obtenteur selon la </w:t>
      </w:r>
      <w:r w:rsidR="00AB5517" w:rsidRPr="004C1836">
        <w:rPr>
          <w:sz w:val="18"/>
          <w:lang w:val="fr-FR"/>
        </w:rPr>
        <w:t>Convention UPOV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8.</w:t>
      </w:r>
      <w:r w:rsidRPr="004C1836">
        <w:rPr>
          <w:sz w:val="18"/>
          <w:lang w:val="fr-FR"/>
        </w:rPr>
        <w:tab/>
        <w:t>Révision éventuelle des notes explicatives concernant les dénominations variétales selon la </w:t>
      </w:r>
      <w:r w:rsidR="00AB5517" w:rsidRPr="004C1836">
        <w:rPr>
          <w:sz w:val="18"/>
          <w:lang w:val="fr-FR"/>
        </w:rPr>
        <w:t>Convention UPOV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9.</w:t>
      </w:r>
      <w:r w:rsidRPr="004C1836">
        <w:rPr>
          <w:sz w:val="18"/>
          <w:lang w:val="fr-FR"/>
        </w:rPr>
        <w:tab/>
        <w:t>Orientations éventuelles sur les descriptions variétales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10.</w:t>
      </w:r>
      <w:r w:rsidRPr="004C1836">
        <w:rPr>
          <w:sz w:val="18"/>
          <w:lang w:val="fr-FR"/>
        </w:rPr>
        <w:tab/>
        <w:t>Questions se posant après l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octroi du droit d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obtenteur concernant la protection provisoire, le dépôt des demandes et la défense des droits d</w:t>
      </w:r>
      <w:r w:rsidR="00AB5517" w:rsidRPr="004C1836">
        <w:rPr>
          <w:sz w:val="18"/>
          <w:lang w:val="fr-FR"/>
        </w:rPr>
        <w:t>’</w:t>
      </w:r>
      <w:r w:rsidRPr="004C1836">
        <w:rPr>
          <w:sz w:val="18"/>
          <w:lang w:val="fr-FR"/>
        </w:rPr>
        <w:t>obtenteur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11.</w:t>
      </w:r>
      <w:r w:rsidRPr="004C1836">
        <w:rPr>
          <w:sz w:val="18"/>
          <w:lang w:val="fr-FR"/>
        </w:rPr>
        <w:tab/>
        <w:t>Questions soumises au CAJ</w:t>
      </w:r>
      <w:r w:rsidR="00A82473" w:rsidRPr="004C1836">
        <w:rPr>
          <w:sz w:val="18"/>
          <w:lang w:val="fr-FR"/>
        </w:rPr>
        <w:noBreakHyphen/>
      </w:r>
      <w:r w:rsidRPr="004C1836">
        <w:rPr>
          <w:sz w:val="18"/>
          <w:lang w:val="fr-FR"/>
        </w:rPr>
        <w:t>AG par le CAJ pour examen depuis la septième session du CAJ</w:t>
      </w:r>
      <w:r w:rsidR="00A82473" w:rsidRPr="004C1836">
        <w:rPr>
          <w:sz w:val="18"/>
          <w:lang w:val="fr-FR"/>
        </w:rPr>
        <w:noBreakHyphen/>
      </w:r>
      <w:r w:rsidRPr="004C1836">
        <w:rPr>
          <w:sz w:val="18"/>
          <w:lang w:val="fr-FR"/>
        </w:rPr>
        <w:t>AG</w:t>
      </w: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</w:p>
    <w:p w:rsidR="002102D9" w:rsidRPr="004C1836" w:rsidRDefault="002102D9" w:rsidP="00651893">
      <w:pPr>
        <w:ind w:left="1701" w:right="567" w:hanging="567"/>
        <w:rPr>
          <w:sz w:val="18"/>
          <w:lang w:val="fr-FR"/>
        </w:rPr>
      </w:pPr>
      <w:r w:rsidRPr="004C1836">
        <w:rPr>
          <w:sz w:val="18"/>
          <w:lang w:val="fr-FR"/>
        </w:rPr>
        <w:t>12.</w:t>
      </w:r>
      <w:r w:rsidRPr="004C1836">
        <w:rPr>
          <w:sz w:val="18"/>
          <w:lang w:val="fr-FR"/>
        </w:rPr>
        <w:tab/>
        <w:t>Date et programme de la neuvième session</w:t>
      </w:r>
    </w:p>
    <w:p w:rsidR="00460625" w:rsidRPr="004C1836" w:rsidRDefault="00460625" w:rsidP="00651893">
      <w:pPr>
        <w:rPr>
          <w:lang w:val="fr-FR"/>
        </w:rPr>
      </w:pPr>
    </w:p>
    <w:p w:rsidR="005B78E0" w:rsidRPr="004C1836" w:rsidRDefault="008F40A5" w:rsidP="000B4AA0">
      <w:pPr>
        <w:keepNext/>
        <w:numPr>
          <w:ilvl w:val="0"/>
          <w:numId w:val="4"/>
        </w:numPr>
        <w:rPr>
          <w:lang w:val="fr-FR"/>
        </w:rPr>
      </w:pPr>
      <w:r w:rsidRPr="004C1836">
        <w:rPr>
          <w:u w:val="single"/>
          <w:lang w:val="fr-FR"/>
        </w:rPr>
        <w:t>D</w:t>
      </w:r>
      <w:r w:rsidR="005B78E0" w:rsidRPr="004C1836">
        <w:rPr>
          <w:u w:val="single"/>
          <w:lang w:val="fr-FR"/>
        </w:rPr>
        <w:t>ocuments</w:t>
      </w:r>
      <w:r w:rsidRPr="004C1836">
        <w:rPr>
          <w:u w:val="single"/>
          <w:lang w:val="fr-FR"/>
        </w:rPr>
        <w:t xml:space="preserve"> TGP</w:t>
      </w:r>
      <w:r w:rsidRPr="004C1836">
        <w:rPr>
          <w:lang w:val="fr-FR"/>
        </w:rPr>
        <w:t> </w:t>
      </w:r>
      <w:r w:rsidR="005B78E0" w:rsidRPr="004C1836">
        <w:rPr>
          <w:lang w:val="fr-FR"/>
        </w:rPr>
        <w:t>:</w:t>
      </w:r>
    </w:p>
    <w:p w:rsidR="005B78E0" w:rsidRPr="004C1836" w:rsidRDefault="005B78E0" w:rsidP="00651893">
      <w:pPr>
        <w:keepNext/>
        <w:rPr>
          <w:lang w:val="fr-FR"/>
        </w:rPr>
      </w:pPr>
    </w:p>
    <w:p w:rsidR="008F40A5" w:rsidRPr="004C1836" w:rsidRDefault="008F40A5" w:rsidP="00D46B59">
      <w:pPr>
        <w:numPr>
          <w:ilvl w:val="0"/>
          <w:numId w:val="9"/>
        </w:numPr>
        <w:rPr>
          <w:lang w:val="fr-FR"/>
        </w:rPr>
      </w:pPr>
      <w:r w:rsidRPr="004C1836">
        <w:rPr>
          <w:lang w:val="fr-FR"/>
        </w:rPr>
        <w:t>Conformément aux observations formulées par le</w:t>
      </w:r>
      <w:r w:rsidR="00AB5517" w:rsidRPr="004C1836">
        <w:rPr>
          <w:lang w:val="fr-FR"/>
        </w:rPr>
        <w:t> TC</w:t>
      </w:r>
      <w:r w:rsidRPr="004C1836">
        <w:rPr>
          <w:lang w:val="fr-FR"/>
        </w:rPr>
        <w:t xml:space="preserve"> à sa quarante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neuvième session (voir les paragraphes 1 à 3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annexe du document CAJ/67/13), le CAJ </w:t>
      </w:r>
      <w:r w:rsidR="001B78BA" w:rsidRPr="004C1836">
        <w:rPr>
          <w:lang w:val="fr-FR"/>
        </w:rPr>
        <w:t xml:space="preserve">a </w:t>
      </w:r>
      <w:r w:rsidRPr="004C1836">
        <w:rPr>
          <w:lang w:val="fr-FR"/>
        </w:rPr>
        <w:t>approuv</w:t>
      </w:r>
      <w:r w:rsidR="001B78BA" w:rsidRPr="004C1836">
        <w:rPr>
          <w:lang w:val="fr-FR"/>
        </w:rPr>
        <w:t>é</w:t>
      </w:r>
      <w:r w:rsidRPr="004C1836">
        <w:rPr>
          <w:lang w:val="fr-FR"/>
        </w:rPr>
        <w:t xml:space="preserve"> le document TGP/15/1 Draft 4 </w:t>
      </w:r>
      <w:r w:rsidR="002E41D5" w:rsidRPr="004C1836">
        <w:rPr>
          <w:lang w:val="fr-FR"/>
        </w:rPr>
        <w:t>“</w:t>
      </w:r>
      <w:r w:rsidR="002E41D5" w:rsidRPr="004C1836">
        <w:rPr>
          <w:rFonts w:cs="Arial"/>
          <w:strike/>
          <w:lang w:val="fr-FR"/>
        </w:rPr>
        <w:t>[Nouveaux types de caractères]</w:t>
      </w:r>
      <w:r w:rsidR="002E41D5" w:rsidRPr="004C1836">
        <w:rPr>
          <w:rFonts w:cs="Arial"/>
          <w:lang w:val="fr-FR"/>
        </w:rPr>
        <w:t xml:space="preserve"> [Conseils en ce qui concerne l</w:t>
      </w:r>
      <w:r w:rsidR="00AB5517" w:rsidRPr="004C1836">
        <w:rPr>
          <w:rFonts w:cs="Arial"/>
          <w:lang w:val="fr-FR"/>
        </w:rPr>
        <w:t>’</w:t>
      </w:r>
      <w:r w:rsidR="002E41D5" w:rsidRPr="004C1836">
        <w:rPr>
          <w:rFonts w:cs="Arial"/>
          <w:lang w:val="fr-FR"/>
        </w:rPr>
        <w:t>utilisation des marqueurs biochimiques et moléculaires dans l</w:t>
      </w:r>
      <w:r w:rsidR="00AB5517" w:rsidRPr="004C1836">
        <w:rPr>
          <w:rFonts w:cs="Arial"/>
          <w:lang w:val="fr-FR"/>
        </w:rPr>
        <w:t>’</w:t>
      </w:r>
      <w:r w:rsidR="002E41D5" w:rsidRPr="004C1836">
        <w:rPr>
          <w:rFonts w:cs="Arial"/>
          <w:lang w:val="fr-FR"/>
        </w:rPr>
        <w:t>examen de la distinction, de l</w:t>
      </w:r>
      <w:r w:rsidR="00AB5517" w:rsidRPr="004C1836">
        <w:rPr>
          <w:rFonts w:cs="Arial"/>
          <w:lang w:val="fr-FR"/>
        </w:rPr>
        <w:t>’</w:t>
      </w:r>
      <w:r w:rsidR="002E41D5" w:rsidRPr="004C1836">
        <w:rPr>
          <w:rFonts w:cs="Arial"/>
          <w:lang w:val="fr-FR"/>
        </w:rPr>
        <w:t xml:space="preserve">homogénéité et de la stabilité (DHS)]” </w:t>
      </w:r>
      <w:r w:rsidRPr="004C1836">
        <w:rPr>
          <w:lang w:val="fr-FR"/>
        </w:rPr>
        <w:t>comme base pour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adoption du document TGP/15/1 par le Conseil à sa quarante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 xml:space="preserve">septième session ordinaire, qui se tiendra à Genève le 24 octobre 2013. </w:t>
      </w:r>
      <w:r w:rsidR="00AB5517" w:rsidRPr="004C1836">
        <w:rPr>
          <w:lang w:val="fr-FR"/>
        </w:rPr>
        <w:t xml:space="preserve"> Le CAJ</w:t>
      </w:r>
      <w:r w:rsidRPr="004C1836">
        <w:rPr>
          <w:lang w:val="fr-FR"/>
        </w:rPr>
        <w:t xml:space="preserve"> </w:t>
      </w:r>
      <w:r w:rsidR="001B78BA" w:rsidRPr="004C1836">
        <w:rPr>
          <w:lang w:val="fr-FR"/>
        </w:rPr>
        <w:t>a noté</w:t>
      </w:r>
      <w:r w:rsidRPr="004C1836">
        <w:rPr>
          <w:lang w:val="fr-FR"/>
        </w:rPr>
        <w:t xml:space="preserve"> que le document TGP/15/1 pourrait être révisé dans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avenir, notamment en vue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y incorporer des exemple</w:t>
      </w:r>
      <w:r w:rsidR="002E41D5" w:rsidRPr="004C1836">
        <w:rPr>
          <w:lang w:val="fr-FR"/>
        </w:rPr>
        <w:t xml:space="preserve">s additionnels pour les modèles (voir les paragraphes 30 et 32 du document CAJ/67/14 </w:t>
      </w:r>
      <w:r w:rsidR="002E41D5" w:rsidRPr="004C1836">
        <w:rPr>
          <w:rFonts w:eastAsia="MS Mincho" w:cs="Arial"/>
          <w:lang w:val="fr-FR" w:eastAsia="ja-JP" w:bidi="th-TH"/>
        </w:rPr>
        <w:t>“</w:t>
      </w:r>
      <w:r w:rsidR="002E41D5" w:rsidRPr="004C1836">
        <w:rPr>
          <w:lang w:val="fr-FR"/>
        </w:rPr>
        <w:t>Compte rendu des conclusions</w:t>
      </w:r>
      <w:r w:rsidR="002E41D5" w:rsidRPr="004C1836">
        <w:rPr>
          <w:rFonts w:eastAsia="MS Mincho" w:cs="Arial"/>
          <w:lang w:val="fr-FR" w:eastAsia="ja-JP" w:bidi="th-TH"/>
        </w:rPr>
        <w:t>”</w:t>
      </w:r>
      <w:r w:rsidR="002E41D5" w:rsidRPr="004C1836">
        <w:rPr>
          <w:lang w:val="fr-FR"/>
        </w:rPr>
        <w:t>)</w:t>
      </w:r>
      <w:r w:rsidR="002E41D5" w:rsidRPr="004C1836">
        <w:rPr>
          <w:snapToGrid w:val="0"/>
          <w:lang w:val="fr-FR"/>
        </w:rPr>
        <w:t>;</w:t>
      </w:r>
    </w:p>
    <w:p w:rsidR="005B78E0" w:rsidRPr="004C1836" w:rsidRDefault="005B78E0" w:rsidP="00651893">
      <w:pPr>
        <w:rPr>
          <w:lang w:val="fr-FR"/>
        </w:rPr>
      </w:pPr>
    </w:p>
    <w:p w:rsidR="005B78E0" w:rsidRPr="004C1836" w:rsidRDefault="005B78E0" w:rsidP="00D46B59">
      <w:pPr>
        <w:numPr>
          <w:ilvl w:val="0"/>
          <w:numId w:val="9"/>
        </w:numPr>
        <w:rPr>
          <w:lang w:val="fr-FR"/>
        </w:rPr>
      </w:pPr>
      <w:r w:rsidRPr="004C1836">
        <w:rPr>
          <w:lang w:val="fr-FR"/>
        </w:rPr>
        <w:t>S</w:t>
      </w:r>
      <w:r w:rsidR="00A64AE1" w:rsidRPr="004C1836">
        <w:rPr>
          <w:lang w:val="fr-FR"/>
        </w:rPr>
        <w:t xml:space="preserve">ous réserve des modifications </w:t>
      </w:r>
      <w:r w:rsidR="006965D5" w:rsidRPr="004C1836">
        <w:rPr>
          <w:lang w:val="fr-FR"/>
        </w:rPr>
        <w:t>convenues</w:t>
      </w:r>
      <w:r w:rsidR="00EB7096" w:rsidRPr="004C1836">
        <w:rPr>
          <w:lang w:val="fr-FR"/>
        </w:rPr>
        <w:t xml:space="preserve"> par l</w:t>
      </w:r>
      <w:r w:rsidRPr="004C1836">
        <w:rPr>
          <w:lang w:val="fr-FR"/>
        </w:rPr>
        <w:t>e</w:t>
      </w:r>
      <w:r w:rsidR="00AB5517" w:rsidRPr="004C1836">
        <w:rPr>
          <w:lang w:val="fr-FR"/>
        </w:rPr>
        <w:t> TC</w:t>
      </w:r>
      <w:r w:rsidRPr="004C1836">
        <w:rPr>
          <w:lang w:val="fr-FR"/>
        </w:rPr>
        <w:t xml:space="preserve"> </w:t>
      </w:r>
      <w:r w:rsidR="00EB7096" w:rsidRPr="004C1836">
        <w:rPr>
          <w:lang w:val="fr-FR"/>
        </w:rPr>
        <w:t>et</w:t>
      </w:r>
      <w:r w:rsidR="00AB5517" w:rsidRPr="004C1836">
        <w:rPr>
          <w:lang w:val="fr-FR"/>
        </w:rPr>
        <w:t xml:space="preserve"> le CAJ</w:t>
      </w:r>
      <w:r w:rsidRPr="004C1836">
        <w:rPr>
          <w:lang w:val="fr-FR"/>
        </w:rPr>
        <w:t xml:space="preserve">, </w:t>
      </w:r>
      <w:r w:rsidR="00A64AE1" w:rsidRPr="004C1836">
        <w:rPr>
          <w:lang w:val="fr-FR"/>
        </w:rPr>
        <w:t>le </w:t>
      </w:r>
      <w:r w:rsidRPr="004C1836">
        <w:rPr>
          <w:lang w:val="fr-FR"/>
        </w:rPr>
        <w:t xml:space="preserve">CAJ </w:t>
      </w:r>
      <w:r w:rsidR="001B78BA" w:rsidRPr="004C1836">
        <w:rPr>
          <w:lang w:val="fr-FR"/>
        </w:rPr>
        <w:t xml:space="preserve">a </w:t>
      </w:r>
      <w:r w:rsidRPr="004C1836">
        <w:rPr>
          <w:lang w:val="fr-FR"/>
        </w:rPr>
        <w:t>appro</w:t>
      </w:r>
      <w:r w:rsidR="00A64AE1" w:rsidRPr="004C1836">
        <w:rPr>
          <w:lang w:val="fr-FR"/>
        </w:rPr>
        <w:t>uv</w:t>
      </w:r>
      <w:r w:rsidR="001B78BA" w:rsidRPr="004C1836">
        <w:rPr>
          <w:lang w:val="fr-FR"/>
        </w:rPr>
        <w:t>é</w:t>
      </w:r>
      <w:r w:rsidR="00A64AE1" w:rsidRPr="004C1836">
        <w:rPr>
          <w:lang w:val="fr-FR"/>
        </w:rPr>
        <w:t xml:space="preserve"> les</w:t>
      </w:r>
      <w:r w:rsidRPr="004C1836">
        <w:rPr>
          <w:lang w:val="fr-FR"/>
        </w:rPr>
        <w:t xml:space="preserve"> documents CAJ/67/11 </w:t>
      </w:r>
      <w:r w:rsidR="00BA6C9F" w:rsidRPr="004C1836">
        <w:rPr>
          <w:lang w:val="fr-FR"/>
        </w:rPr>
        <w:t>“</w:t>
      </w:r>
      <w:r w:rsidR="00BA6C9F" w:rsidRPr="004C1836">
        <w:rPr>
          <w:rFonts w:cs="Arial"/>
          <w:iCs/>
          <w:lang w:val="fr-FR"/>
        </w:rPr>
        <w:t xml:space="preserve">Révision des sections existantes du document TGP/14 : </w:t>
      </w:r>
      <w:r w:rsidR="00BA6C9F" w:rsidRPr="004C1836">
        <w:rPr>
          <w:rFonts w:cs="Arial"/>
          <w:lang w:val="fr-FR"/>
        </w:rPr>
        <w:t>section 2 : Termes botaniques, sous</w:t>
      </w:r>
      <w:r w:rsidR="00A82473" w:rsidRPr="004C1836">
        <w:rPr>
          <w:rFonts w:cs="Arial"/>
          <w:lang w:val="fr-FR"/>
        </w:rPr>
        <w:noBreakHyphen/>
      </w:r>
      <w:r w:rsidR="00BA6C9F" w:rsidRPr="004C1836">
        <w:rPr>
          <w:rFonts w:cs="Arial"/>
          <w:lang w:val="fr-FR"/>
        </w:rPr>
        <w:t xml:space="preserve">section 2 : Formes et structures” et </w:t>
      </w:r>
      <w:r w:rsidR="00A64AE1" w:rsidRPr="004C1836">
        <w:rPr>
          <w:rFonts w:cs="Arial"/>
          <w:lang w:val="fr-FR"/>
        </w:rPr>
        <w:t>CAJ/67/12 “</w:t>
      </w:r>
      <w:r w:rsidR="00BA6C9F" w:rsidRPr="004C1836">
        <w:rPr>
          <w:rFonts w:cs="Arial"/>
          <w:iCs/>
          <w:lang w:val="fr-FR"/>
        </w:rPr>
        <w:t xml:space="preserve">Révision du document TGP/14 : </w:t>
      </w:r>
      <w:r w:rsidR="00BA6C9F" w:rsidRPr="004C1836">
        <w:rPr>
          <w:rFonts w:cs="Arial"/>
          <w:lang w:val="fr-FR"/>
        </w:rPr>
        <w:t>section 2 : Termes botaniques, sous</w:t>
      </w:r>
      <w:r w:rsidR="00A82473" w:rsidRPr="004C1836">
        <w:rPr>
          <w:rFonts w:cs="Arial"/>
          <w:lang w:val="fr-FR"/>
        </w:rPr>
        <w:noBreakHyphen/>
      </w:r>
      <w:r w:rsidR="00BA6C9F" w:rsidRPr="004C1836">
        <w:rPr>
          <w:rFonts w:cs="Arial"/>
          <w:lang w:val="fr-FR"/>
        </w:rPr>
        <w:t>section 3 : Couleur</w:t>
      </w:r>
      <w:r w:rsidR="00A64AE1" w:rsidRPr="004C1836">
        <w:rPr>
          <w:rFonts w:cs="Arial"/>
          <w:lang w:val="fr-FR"/>
        </w:rPr>
        <w:t>”</w:t>
      </w:r>
      <w:r w:rsidR="00BA6C9F" w:rsidRPr="004C1836">
        <w:rPr>
          <w:rFonts w:cs="Arial"/>
          <w:lang w:val="fr-FR"/>
        </w:rPr>
        <w:t xml:space="preserve"> </w:t>
      </w:r>
      <w:r w:rsidR="00EB7096" w:rsidRPr="004C1836">
        <w:rPr>
          <w:lang w:val="fr-FR"/>
        </w:rPr>
        <w:t>comme base pour l</w:t>
      </w:r>
      <w:r w:rsidR="00AB5517" w:rsidRPr="004C1836">
        <w:rPr>
          <w:lang w:val="fr-FR"/>
        </w:rPr>
        <w:t>’</w:t>
      </w:r>
      <w:r w:rsidR="00EB7096" w:rsidRPr="004C1836">
        <w:rPr>
          <w:lang w:val="fr-FR"/>
        </w:rPr>
        <w:t>adoption du document TGP/14/2 par le Conseil à sa quarante</w:t>
      </w:r>
      <w:r w:rsidR="00A82473" w:rsidRPr="004C1836">
        <w:rPr>
          <w:color w:val="000000"/>
          <w:szCs w:val="22"/>
          <w:lang w:val="fr-FR"/>
        </w:rPr>
        <w:noBreakHyphen/>
      </w:r>
      <w:r w:rsidR="00EB7096" w:rsidRPr="004C1836">
        <w:rPr>
          <w:lang w:val="fr-FR"/>
        </w:rPr>
        <w:t>septième session ordinaire, qui se tiendra à Genève le 24 octobre 2013</w:t>
      </w:r>
      <w:r w:rsidR="00EB7096" w:rsidRPr="004C1836">
        <w:rPr>
          <w:kern w:val="28"/>
          <w:lang w:val="fr-FR"/>
        </w:rPr>
        <w:t xml:space="preserve"> </w:t>
      </w:r>
      <w:r w:rsidR="00EB7096" w:rsidRPr="004C1836">
        <w:rPr>
          <w:lang w:val="fr-FR"/>
        </w:rPr>
        <w:t xml:space="preserve">(voir le paragraphe 36 du document CAJ/67/14 </w:t>
      </w:r>
      <w:r w:rsidR="00EB7096" w:rsidRPr="004C1836">
        <w:rPr>
          <w:rFonts w:eastAsia="MS Mincho" w:cs="Arial"/>
          <w:lang w:val="fr-FR" w:eastAsia="ja-JP" w:bidi="th-TH"/>
        </w:rPr>
        <w:t>“</w:t>
      </w:r>
      <w:r w:rsidR="00EB7096" w:rsidRPr="004C1836">
        <w:rPr>
          <w:lang w:val="fr-FR"/>
        </w:rPr>
        <w:t>Compte rendu des conclusions</w:t>
      </w:r>
      <w:r w:rsidR="00EB7096" w:rsidRPr="004C1836">
        <w:rPr>
          <w:rFonts w:eastAsia="MS Mincho" w:cs="Arial"/>
          <w:lang w:val="fr-FR" w:eastAsia="ja-JP" w:bidi="th-TH"/>
        </w:rPr>
        <w:t>”</w:t>
      </w:r>
      <w:r w:rsidR="00EB7096" w:rsidRPr="004C1836">
        <w:rPr>
          <w:lang w:val="fr-FR"/>
        </w:rPr>
        <w:t>)</w:t>
      </w:r>
      <w:r w:rsidR="00EB7096" w:rsidRPr="004C1836">
        <w:rPr>
          <w:snapToGrid w:val="0"/>
          <w:lang w:val="fr-FR"/>
        </w:rPr>
        <w:t>;</w:t>
      </w:r>
    </w:p>
    <w:p w:rsidR="005B78E0" w:rsidRPr="004C1836" w:rsidRDefault="005B78E0" w:rsidP="00651893">
      <w:pPr>
        <w:rPr>
          <w:lang w:val="fr-FR"/>
        </w:rPr>
      </w:pPr>
    </w:p>
    <w:p w:rsidR="005B78E0" w:rsidRPr="004C1836" w:rsidRDefault="00CC6526" w:rsidP="00D46B59">
      <w:pPr>
        <w:numPr>
          <w:ilvl w:val="0"/>
          <w:numId w:val="9"/>
        </w:numPr>
        <w:rPr>
          <w:lang w:val="fr-FR"/>
        </w:rPr>
      </w:pPr>
      <w:r w:rsidRPr="004C1836">
        <w:rPr>
          <w:lang w:val="fr-FR"/>
        </w:rPr>
        <w:t xml:space="preserve">Le CAJ </w:t>
      </w:r>
      <w:r w:rsidR="005559B9" w:rsidRPr="004C1836">
        <w:rPr>
          <w:lang w:val="fr-FR"/>
        </w:rPr>
        <w:t xml:space="preserve">a </w:t>
      </w:r>
      <w:r w:rsidRPr="004C1836">
        <w:rPr>
          <w:lang w:val="fr-FR"/>
        </w:rPr>
        <w:t>approuv</w:t>
      </w:r>
      <w:r w:rsidR="005559B9" w:rsidRPr="004C1836">
        <w:rPr>
          <w:lang w:val="fr-FR"/>
        </w:rPr>
        <w:t>é</w:t>
      </w:r>
      <w:r w:rsidRPr="004C1836">
        <w:rPr>
          <w:lang w:val="fr-FR"/>
        </w:rPr>
        <w:t xml:space="preserve"> le programme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élaboration des documents TGP, modifié conformément aux observations formulées par le</w:t>
      </w:r>
      <w:r w:rsidR="00AB5517" w:rsidRPr="004C1836">
        <w:rPr>
          <w:lang w:val="fr-FR"/>
        </w:rPr>
        <w:t> TC</w:t>
      </w:r>
      <w:r w:rsidRPr="004C1836">
        <w:rPr>
          <w:lang w:val="fr-FR"/>
        </w:rPr>
        <w:t xml:space="preserve"> à sa quarante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neuvième session (voir le paragraphe 8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annexe du document CAJ/67/13) (voir le paragraphe 39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5B78E0" w:rsidRPr="004C1836" w:rsidRDefault="005B78E0" w:rsidP="00651893">
      <w:pPr>
        <w:rPr>
          <w:lang w:val="fr-FR"/>
        </w:rPr>
      </w:pPr>
    </w:p>
    <w:p w:rsidR="005B78E0" w:rsidRPr="004C1836" w:rsidRDefault="00CC6526" w:rsidP="000B4AA0">
      <w:pPr>
        <w:numPr>
          <w:ilvl w:val="0"/>
          <w:numId w:val="4"/>
        </w:numPr>
        <w:rPr>
          <w:lang w:val="fr-FR"/>
        </w:rPr>
      </w:pPr>
      <w:r w:rsidRPr="004C1836">
        <w:rPr>
          <w:u w:val="single"/>
          <w:lang w:val="fr-FR"/>
        </w:rPr>
        <w:t>T</w:t>
      </w:r>
      <w:r w:rsidR="005B78E0" w:rsidRPr="004C1836">
        <w:rPr>
          <w:u w:val="single"/>
          <w:lang w:val="fr-FR"/>
        </w:rPr>
        <w:t>echniques</w:t>
      </w:r>
      <w:r w:rsidRPr="004C1836">
        <w:rPr>
          <w:u w:val="single"/>
          <w:lang w:val="fr-FR"/>
        </w:rPr>
        <w:t xml:space="preserve"> moléculaires</w:t>
      </w:r>
      <w:r w:rsidRPr="004C1836">
        <w:rPr>
          <w:lang w:val="fr-FR"/>
        </w:rPr>
        <w:t> </w:t>
      </w:r>
      <w:r w:rsidR="005B78E0" w:rsidRPr="004C1836">
        <w:rPr>
          <w:lang w:val="fr-FR"/>
        </w:rPr>
        <w:t>:</w:t>
      </w:r>
    </w:p>
    <w:p w:rsidR="005B78E0" w:rsidRPr="004C1836" w:rsidRDefault="005B78E0" w:rsidP="00651893">
      <w:pPr>
        <w:rPr>
          <w:lang w:val="fr-FR"/>
        </w:rPr>
      </w:pPr>
    </w:p>
    <w:p w:rsidR="00CC6526" w:rsidRPr="004C1836" w:rsidRDefault="00CC6526" w:rsidP="00651893">
      <w:pPr>
        <w:rPr>
          <w:lang w:val="fr-FR"/>
        </w:rPr>
      </w:pPr>
      <w:r w:rsidRPr="004C1836">
        <w:rPr>
          <w:iCs/>
          <w:snapToGrid w:val="0"/>
          <w:lang w:val="fr-FR"/>
        </w:rPr>
        <w:t xml:space="preserve">Le CAJ </w:t>
      </w:r>
      <w:r w:rsidR="005559B9" w:rsidRPr="004C1836">
        <w:rPr>
          <w:iCs/>
          <w:snapToGrid w:val="0"/>
          <w:lang w:val="fr-FR"/>
        </w:rPr>
        <w:t xml:space="preserve">a </w:t>
      </w:r>
      <w:r w:rsidRPr="004C1836">
        <w:rPr>
          <w:iCs/>
          <w:snapToGrid w:val="0"/>
          <w:lang w:val="fr-FR"/>
        </w:rPr>
        <w:t>not</w:t>
      </w:r>
      <w:r w:rsidR="005559B9" w:rsidRPr="004C1836">
        <w:rPr>
          <w:iCs/>
          <w:snapToGrid w:val="0"/>
          <w:lang w:val="fr-FR"/>
        </w:rPr>
        <w:t>é</w:t>
      </w:r>
      <w:r w:rsidRPr="004C1836">
        <w:rPr>
          <w:iCs/>
          <w:snapToGrid w:val="0"/>
          <w:lang w:val="fr-FR"/>
        </w:rPr>
        <w:t xml:space="preserve"> que le</w:t>
      </w:r>
      <w:r w:rsidR="00AB5517" w:rsidRPr="004C1836">
        <w:rPr>
          <w:iCs/>
          <w:snapToGrid w:val="0"/>
          <w:lang w:val="fr-FR"/>
        </w:rPr>
        <w:t> TC</w:t>
      </w:r>
      <w:r w:rsidRPr="004C1836">
        <w:rPr>
          <w:iCs/>
          <w:snapToGrid w:val="0"/>
          <w:lang w:val="fr-FR"/>
        </w:rPr>
        <w:t xml:space="preserve"> </w:t>
      </w:r>
      <w:r w:rsidR="005559B9" w:rsidRPr="004C1836">
        <w:rPr>
          <w:iCs/>
          <w:snapToGrid w:val="0"/>
          <w:lang w:val="fr-FR"/>
        </w:rPr>
        <w:t>était</w:t>
      </w:r>
      <w:r w:rsidRPr="004C1836">
        <w:rPr>
          <w:iCs/>
          <w:snapToGrid w:val="0"/>
          <w:lang w:val="fr-FR"/>
        </w:rPr>
        <w:t xml:space="preserve"> convenu d</w:t>
      </w:r>
      <w:r w:rsidR="00AB5517" w:rsidRPr="004C1836">
        <w:rPr>
          <w:iCs/>
          <w:snapToGrid w:val="0"/>
          <w:lang w:val="fr-FR"/>
        </w:rPr>
        <w:t>’</w:t>
      </w:r>
      <w:r w:rsidRPr="004C1836">
        <w:rPr>
          <w:iCs/>
          <w:snapToGrid w:val="0"/>
          <w:lang w:val="fr-FR"/>
        </w:rPr>
        <w:t>étudier la possibilité de coordonner une réunion, à l</w:t>
      </w:r>
      <w:r w:rsidR="00AB5517" w:rsidRPr="004C1836">
        <w:rPr>
          <w:iCs/>
          <w:snapToGrid w:val="0"/>
          <w:lang w:val="fr-FR"/>
        </w:rPr>
        <w:t>’</w:t>
      </w:r>
      <w:r w:rsidRPr="004C1836">
        <w:rPr>
          <w:iCs/>
          <w:snapToGrid w:val="0"/>
          <w:lang w:val="fr-FR"/>
        </w:rPr>
        <w:t>occasion de la quatorzième session du Groupe de travail sur les techniques biochimiques et moléculaires, notamment les profils d</w:t>
      </w:r>
      <w:r w:rsidR="00AB5517" w:rsidRPr="004C1836">
        <w:rPr>
          <w:iCs/>
          <w:snapToGrid w:val="0"/>
          <w:lang w:val="fr-FR"/>
        </w:rPr>
        <w:t>’</w:t>
      </w:r>
      <w:r w:rsidRPr="004C1836">
        <w:rPr>
          <w:iCs/>
          <w:snapToGrid w:val="0"/>
          <w:lang w:val="fr-FR"/>
        </w:rPr>
        <w:t>ADN (BMT), avec celles d</w:t>
      </w:r>
      <w:r w:rsidR="00AB5517" w:rsidRPr="004C1836">
        <w:rPr>
          <w:iCs/>
          <w:snapToGrid w:val="0"/>
          <w:lang w:val="fr-FR"/>
        </w:rPr>
        <w:t>’</w:t>
      </w:r>
      <w:r w:rsidRPr="004C1836">
        <w:rPr>
          <w:iCs/>
          <w:snapToGrid w:val="0"/>
          <w:lang w:val="fr-FR"/>
        </w:rPr>
        <w:t>autres organisations internationales intéressées, comme indiqué aux paragraphes 8 et 9 du</w:t>
      </w:r>
      <w:r w:rsidRPr="004C1836">
        <w:rPr>
          <w:lang w:val="fr-FR" w:eastAsia="ja-JP"/>
        </w:rPr>
        <w:t xml:space="preserve"> document CAJ/67/4 “Techniques moléculaires”.  Le</w:t>
      </w:r>
      <w:r w:rsidR="00AB5517" w:rsidRPr="004C1836">
        <w:rPr>
          <w:lang w:val="fr-FR" w:eastAsia="ja-JP"/>
        </w:rPr>
        <w:t> TC</w:t>
      </w:r>
      <w:r w:rsidRPr="004C1836">
        <w:rPr>
          <w:lang w:val="fr-FR" w:eastAsia="ja-JP"/>
        </w:rPr>
        <w:t xml:space="preserve"> est également convenu que, s</w:t>
      </w:r>
      <w:r w:rsidR="00AB5517" w:rsidRPr="004C1836">
        <w:rPr>
          <w:lang w:val="fr-FR" w:eastAsia="ja-JP"/>
        </w:rPr>
        <w:t>’</w:t>
      </w:r>
      <w:r w:rsidRPr="004C1836">
        <w:rPr>
          <w:lang w:val="fr-FR" w:eastAsia="ja-JP"/>
        </w:rPr>
        <w:t>il n</w:t>
      </w:r>
      <w:r w:rsidR="00AB5517" w:rsidRPr="004C1836">
        <w:rPr>
          <w:lang w:val="fr-FR" w:eastAsia="ja-JP"/>
        </w:rPr>
        <w:t>’</w:t>
      </w:r>
      <w:r w:rsidRPr="004C1836">
        <w:rPr>
          <w:lang w:val="fr-FR" w:eastAsia="ja-JP"/>
        </w:rPr>
        <w:t>était pas possible d</w:t>
      </w:r>
      <w:r w:rsidR="00AB5517" w:rsidRPr="004C1836">
        <w:rPr>
          <w:lang w:val="fr-FR" w:eastAsia="ja-JP"/>
        </w:rPr>
        <w:t>’</w:t>
      </w:r>
      <w:r w:rsidRPr="004C1836">
        <w:rPr>
          <w:lang w:val="fr-FR" w:eastAsia="ja-JP"/>
        </w:rPr>
        <w:t>organiser une réunion commune avec d</w:t>
      </w:r>
      <w:r w:rsidR="00AB5517" w:rsidRPr="004C1836">
        <w:rPr>
          <w:lang w:val="fr-FR" w:eastAsia="ja-JP"/>
        </w:rPr>
        <w:t>’</w:t>
      </w:r>
      <w:r w:rsidRPr="004C1836">
        <w:rPr>
          <w:lang w:val="fr-FR" w:eastAsia="ja-JP"/>
        </w:rPr>
        <w:t>autres organisations en 2014, une session du BMT devrait être organisée dans l</w:t>
      </w:r>
      <w:r w:rsidR="00AB5517" w:rsidRPr="004C1836">
        <w:rPr>
          <w:lang w:val="fr-FR" w:eastAsia="ja-JP"/>
        </w:rPr>
        <w:t>’</w:t>
      </w:r>
      <w:r w:rsidRPr="004C1836">
        <w:rPr>
          <w:lang w:val="fr-FR" w:eastAsia="ja-JP"/>
        </w:rPr>
        <w:t>intervalle</w:t>
      </w:r>
      <w:r w:rsidRPr="004C1836">
        <w:rPr>
          <w:rFonts w:cs="Arial"/>
          <w:color w:val="000000"/>
          <w:lang w:val="fr-FR" w:eastAsia="ja-JP"/>
        </w:rPr>
        <w:t xml:space="preserve"> </w:t>
      </w:r>
      <w:r w:rsidRPr="004C1836">
        <w:rPr>
          <w:lang w:val="fr-FR"/>
        </w:rPr>
        <w:t>(voir le paragraphe 10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annexe du document CAJ/67/13) (voir le paragraphe 42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5B78E0" w:rsidRPr="004C1836" w:rsidRDefault="005B78E0" w:rsidP="00651893">
      <w:pPr>
        <w:rPr>
          <w:lang w:val="fr-FR"/>
        </w:rPr>
      </w:pPr>
    </w:p>
    <w:p w:rsidR="005B78E0" w:rsidRPr="004C1836" w:rsidRDefault="00E81543" w:rsidP="000B4AA0">
      <w:pPr>
        <w:numPr>
          <w:ilvl w:val="0"/>
          <w:numId w:val="4"/>
        </w:numPr>
        <w:rPr>
          <w:lang w:val="fr-FR"/>
        </w:rPr>
      </w:pPr>
      <w:r w:rsidRPr="004C1836">
        <w:rPr>
          <w:u w:val="single"/>
          <w:lang w:val="fr-FR"/>
        </w:rPr>
        <w:t>Dé</w:t>
      </w:r>
      <w:r w:rsidR="005B78E0" w:rsidRPr="004C1836">
        <w:rPr>
          <w:u w:val="single"/>
          <w:lang w:val="fr-FR"/>
        </w:rPr>
        <w:t>nominations</w:t>
      </w:r>
      <w:r w:rsidRPr="004C1836">
        <w:rPr>
          <w:u w:val="single"/>
          <w:lang w:val="fr-FR"/>
        </w:rPr>
        <w:t xml:space="preserve"> variétales</w:t>
      </w:r>
      <w:r w:rsidRPr="004C1836">
        <w:rPr>
          <w:lang w:val="fr-FR"/>
        </w:rPr>
        <w:t> </w:t>
      </w:r>
      <w:r w:rsidR="005B78E0" w:rsidRPr="004C1836">
        <w:rPr>
          <w:lang w:val="fr-FR"/>
        </w:rPr>
        <w:t>:</w:t>
      </w:r>
    </w:p>
    <w:p w:rsidR="005B78E0" w:rsidRPr="004C1836" w:rsidRDefault="005B78E0" w:rsidP="00651893">
      <w:pPr>
        <w:rPr>
          <w:lang w:val="fr-FR"/>
        </w:rPr>
      </w:pPr>
    </w:p>
    <w:p w:rsidR="005B78E0" w:rsidRPr="004C1836" w:rsidRDefault="00E81543" w:rsidP="00651893">
      <w:pPr>
        <w:rPr>
          <w:snapToGrid w:val="0"/>
          <w:lang w:val="fr-FR"/>
        </w:rPr>
      </w:pPr>
      <w:r w:rsidRPr="004C1836">
        <w:rPr>
          <w:lang w:val="fr-FR"/>
        </w:rPr>
        <w:t xml:space="preserve">Le CAJ </w:t>
      </w:r>
      <w:r w:rsidR="005559B9" w:rsidRPr="004C1836">
        <w:rPr>
          <w:lang w:val="fr-FR"/>
        </w:rPr>
        <w:t xml:space="preserve">a </w:t>
      </w:r>
      <w:r w:rsidRPr="004C1836">
        <w:rPr>
          <w:lang w:val="fr-FR"/>
        </w:rPr>
        <w:t>pr</w:t>
      </w:r>
      <w:r w:rsidR="005559B9" w:rsidRPr="004C1836">
        <w:rPr>
          <w:lang w:val="fr-FR"/>
        </w:rPr>
        <w:t>is</w:t>
      </w:r>
      <w:r w:rsidRPr="004C1836">
        <w:rPr>
          <w:lang w:val="fr-FR"/>
        </w:rPr>
        <w:t xml:space="preserve"> note des faits nouveaux concernant les domaines de coopération possibles entre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et la Commission internationale de nomenclature des plantes cultivées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Union internationale des sciences </w:t>
      </w:r>
      <w:r w:rsidRPr="004C1836">
        <w:rPr>
          <w:lang w:val="fr-FR"/>
        </w:rPr>
        <w:lastRenderedPageBreak/>
        <w:t>biologiques (Commission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UISB) et la Commission de nomenclature et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enregistrement des cultivars de la Société internationale de la science horticole (Commission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ISHS), comme indiqué dans les paragraphes 4 et 5 du </w:t>
      </w:r>
      <w:r w:rsidRPr="004C1836">
        <w:rPr>
          <w:snapToGrid w:val="0"/>
          <w:lang w:val="fr-FR"/>
        </w:rPr>
        <w:t xml:space="preserve">document CAJ/67/5 “Dénominations variétales” </w:t>
      </w:r>
      <w:r w:rsidRPr="004C1836">
        <w:rPr>
          <w:lang w:val="fr-FR"/>
        </w:rPr>
        <w:t xml:space="preserve">(voir le paragraphe 44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E81543" w:rsidRPr="004C1836" w:rsidRDefault="00E81543" w:rsidP="00651893">
      <w:pPr>
        <w:rPr>
          <w:snapToGrid w:val="0"/>
          <w:lang w:val="fr-FR"/>
        </w:rPr>
      </w:pPr>
    </w:p>
    <w:p w:rsidR="005B78E0" w:rsidRPr="004C1836" w:rsidRDefault="004A075C" w:rsidP="000B4AA0">
      <w:pPr>
        <w:numPr>
          <w:ilvl w:val="0"/>
          <w:numId w:val="4"/>
        </w:numPr>
        <w:rPr>
          <w:lang w:val="fr-FR"/>
        </w:rPr>
      </w:pPr>
      <w:r w:rsidRPr="004C1836">
        <w:rPr>
          <w:snapToGrid w:val="0"/>
          <w:u w:val="single"/>
          <w:lang w:val="fr-FR"/>
        </w:rPr>
        <w:t>Bases de données d</w:t>
      </w:r>
      <w:r w:rsidR="00AB5517" w:rsidRPr="004C1836">
        <w:rPr>
          <w:snapToGrid w:val="0"/>
          <w:u w:val="single"/>
          <w:lang w:val="fr-FR"/>
        </w:rPr>
        <w:t>’</w:t>
      </w:r>
      <w:r w:rsidR="005B78E0" w:rsidRPr="004C1836">
        <w:rPr>
          <w:snapToGrid w:val="0"/>
          <w:u w:val="single"/>
          <w:lang w:val="fr-FR"/>
        </w:rPr>
        <w:t xml:space="preserve">information </w:t>
      </w:r>
      <w:r w:rsidRPr="004C1836">
        <w:rPr>
          <w:snapToGrid w:val="0"/>
          <w:u w:val="single"/>
          <w:lang w:val="fr-FR"/>
        </w:rPr>
        <w:t>de l</w:t>
      </w:r>
      <w:r w:rsidR="00AB5517" w:rsidRPr="004C1836">
        <w:rPr>
          <w:snapToGrid w:val="0"/>
          <w:u w:val="single"/>
          <w:lang w:val="fr-FR"/>
        </w:rPr>
        <w:t>’</w:t>
      </w:r>
      <w:r w:rsidRPr="004C1836">
        <w:rPr>
          <w:snapToGrid w:val="0"/>
          <w:u w:val="single"/>
          <w:lang w:val="fr-FR"/>
        </w:rPr>
        <w:t>UPOV</w:t>
      </w:r>
      <w:r w:rsidRPr="004C1836">
        <w:rPr>
          <w:snapToGrid w:val="0"/>
          <w:lang w:val="fr-FR"/>
        </w:rPr>
        <w:t> </w:t>
      </w:r>
      <w:r w:rsidR="005B78E0" w:rsidRPr="004C1836">
        <w:rPr>
          <w:snapToGrid w:val="0"/>
          <w:lang w:val="fr-FR"/>
        </w:rPr>
        <w:t>:</w:t>
      </w:r>
    </w:p>
    <w:p w:rsidR="00085A7F" w:rsidRPr="004C1836" w:rsidRDefault="00085A7F" w:rsidP="00651893">
      <w:pPr>
        <w:rPr>
          <w:lang w:val="fr-FR"/>
        </w:rPr>
      </w:pPr>
    </w:p>
    <w:p w:rsidR="005B78E0" w:rsidRPr="004C1836" w:rsidRDefault="00B738BE" w:rsidP="00D46B59">
      <w:pPr>
        <w:numPr>
          <w:ilvl w:val="0"/>
          <w:numId w:val="10"/>
        </w:numPr>
        <w:rPr>
          <w:lang w:val="fr-FR"/>
        </w:rPr>
      </w:pPr>
      <w:r w:rsidRPr="004C1836">
        <w:rPr>
          <w:lang w:val="fr-FR"/>
        </w:rPr>
        <w:t xml:space="preserve">Le CAJ </w:t>
      </w:r>
      <w:r w:rsidR="005559B9" w:rsidRPr="004C1836">
        <w:rPr>
          <w:lang w:val="fr-FR"/>
        </w:rPr>
        <w:t xml:space="preserve">a </w:t>
      </w:r>
      <w:r w:rsidRPr="004C1836">
        <w:rPr>
          <w:lang w:val="fr-FR"/>
        </w:rPr>
        <w:t>pr</w:t>
      </w:r>
      <w:r w:rsidR="005559B9" w:rsidRPr="004C1836">
        <w:rPr>
          <w:lang w:val="fr-FR"/>
        </w:rPr>
        <w:t>is</w:t>
      </w:r>
      <w:r w:rsidRPr="004C1836">
        <w:rPr>
          <w:lang w:val="fr-FR"/>
        </w:rPr>
        <w:t xml:space="preserve"> note des modifications apportées aux codes UPOV pour certains genres et espèces hybrides, comme indiqué dans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annexe II du</w:t>
      </w:r>
      <w:r w:rsidRPr="004C1836">
        <w:rPr>
          <w:rFonts w:cs="Arial"/>
          <w:snapToGrid w:val="0"/>
          <w:lang w:val="fr-FR"/>
        </w:rPr>
        <w:t xml:space="preserve"> document CAJ/67/6 “</w:t>
      </w:r>
      <w:r w:rsidRPr="004C1836">
        <w:rPr>
          <w:snapToGrid w:val="0"/>
          <w:lang w:val="fr-FR"/>
        </w:rPr>
        <w:t>Bases de données d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information de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 xml:space="preserve">UPOV” </w:t>
      </w:r>
      <w:r w:rsidRPr="004C1836">
        <w:rPr>
          <w:lang w:val="fr-FR"/>
        </w:rPr>
        <w:t>(voir le paragraphe 4</w:t>
      </w:r>
      <w:r w:rsidR="003621BD" w:rsidRPr="004C1836">
        <w:rPr>
          <w:lang w:val="fr-FR"/>
        </w:rPr>
        <w:t>6</w:t>
      </w:r>
      <w:r w:rsidRPr="004C1836">
        <w:rPr>
          <w:lang w:val="fr-FR"/>
        </w:rPr>
        <w:t xml:space="preserve">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5B78E0" w:rsidRPr="004C1836" w:rsidRDefault="005B78E0" w:rsidP="00651893">
      <w:pPr>
        <w:rPr>
          <w:lang w:val="fr-FR"/>
        </w:rPr>
      </w:pPr>
    </w:p>
    <w:p w:rsidR="005B78E0" w:rsidRPr="004C1836" w:rsidRDefault="003621BD" w:rsidP="0075111F">
      <w:pPr>
        <w:numPr>
          <w:ilvl w:val="0"/>
          <w:numId w:val="10"/>
        </w:numPr>
        <w:rPr>
          <w:lang w:val="fr-FR"/>
        </w:rPr>
      </w:pPr>
      <w:r w:rsidRPr="004C1836">
        <w:rPr>
          <w:lang w:val="fr-FR"/>
        </w:rPr>
        <w:t xml:space="preserve">Le CAJ </w:t>
      </w:r>
      <w:r w:rsidR="005559B9" w:rsidRPr="004C1836">
        <w:rPr>
          <w:lang w:val="fr-FR"/>
        </w:rPr>
        <w:t xml:space="preserve">a </w:t>
      </w:r>
      <w:r w:rsidRPr="004C1836">
        <w:rPr>
          <w:lang w:val="fr-FR"/>
        </w:rPr>
        <w:t>pr</w:t>
      </w:r>
      <w:r w:rsidR="005559B9" w:rsidRPr="004C1836">
        <w:rPr>
          <w:lang w:val="fr-FR"/>
        </w:rPr>
        <w:t>is</w:t>
      </w:r>
      <w:r w:rsidRPr="004C1836">
        <w:rPr>
          <w:lang w:val="fr-FR"/>
        </w:rPr>
        <w:t xml:space="preserve"> </w:t>
      </w:r>
      <w:r w:rsidRPr="004C1836">
        <w:rPr>
          <w:iCs/>
          <w:lang w:val="fr-FR"/>
        </w:rPr>
        <w:t>note des faits nouveaux concernant le programme d</w:t>
      </w:r>
      <w:r w:rsidR="00AB5517" w:rsidRPr="004C1836">
        <w:rPr>
          <w:iCs/>
          <w:lang w:val="fr-FR"/>
        </w:rPr>
        <w:t>’</w:t>
      </w:r>
      <w:r w:rsidRPr="004C1836">
        <w:rPr>
          <w:iCs/>
          <w:lang w:val="fr-FR"/>
        </w:rPr>
        <w:t xml:space="preserve">améliorations de la base de données sur les variétés végétales indiquées dans le </w:t>
      </w:r>
      <w:r w:rsidRPr="004C1836">
        <w:rPr>
          <w:lang w:val="fr-FR"/>
        </w:rPr>
        <w:t xml:space="preserve">document CAJ/67/6.  Le CAJ </w:t>
      </w:r>
      <w:r w:rsidR="005559B9" w:rsidRPr="004C1836">
        <w:rPr>
          <w:lang w:val="fr-FR"/>
        </w:rPr>
        <w:t>a pris</w:t>
      </w:r>
      <w:r w:rsidRPr="004C1836">
        <w:rPr>
          <w:lang w:val="fr-FR"/>
        </w:rPr>
        <w:t xml:space="preserve"> note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exposé sur la nouvelle page de la Base de données PLUTO sur les variétés végétales pour la recherche des dénominations variétales.  Le CAJ </w:t>
      </w:r>
      <w:r w:rsidR="005559B9" w:rsidRPr="004C1836">
        <w:rPr>
          <w:lang w:val="fr-FR"/>
        </w:rPr>
        <w:t xml:space="preserve">a </w:t>
      </w:r>
      <w:r w:rsidRPr="004C1836">
        <w:rPr>
          <w:lang w:val="fr-FR"/>
        </w:rPr>
        <w:t>pr</w:t>
      </w:r>
      <w:r w:rsidR="005559B9" w:rsidRPr="004C1836">
        <w:rPr>
          <w:lang w:val="fr-FR"/>
        </w:rPr>
        <w:t>is</w:t>
      </w:r>
      <w:r w:rsidRPr="004C1836">
        <w:rPr>
          <w:lang w:val="fr-FR"/>
        </w:rPr>
        <w:t xml:space="preserve"> note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exposé présenté par la délégation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Union européenne sur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expérience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Office communautaire des variétés végétales (OCVV) concernant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utilisation de son moteur de recherche des similitudes dans les dénominations lors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examen des dénominations proposées.  Le CAJ s</w:t>
      </w:r>
      <w:r w:rsidR="005559B9" w:rsidRPr="004C1836">
        <w:rPr>
          <w:lang w:val="fr-FR"/>
        </w:rPr>
        <w:t xml:space="preserve">’est </w:t>
      </w:r>
      <w:r w:rsidRPr="004C1836">
        <w:rPr>
          <w:lang w:val="fr-FR"/>
        </w:rPr>
        <w:t>félicit</w:t>
      </w:r>
      <w:r w:rsidR="005559B9" w:rsidRPr="004C1836">
        <w:rPr>
          <w:lang w:val="fr-FR"/>
        </w:rPr>
        <w:t>é</w:t>
      </w:r>
      <w:r w:rsidRPr="004C1836">
        <w:rPr>
          <w:lang w:val="fr-FR"/>
        </w:rPr>
        <w:t xml:space="preserve"> de la proposition faite durant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exposé présenté par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OCVV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envisager la possibilité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élaborer un moteur de recherche des similitudes pour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à des fins de dénomination variétale, sur la base du moteur de recherche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OCVV, et </w:t>
      </w:r>
      <w:r w:rsidR="005559B9" w:rsidRPr="004C1836">
        <w:rPr>
          <w:lang w:val="fr-FR"/>
        </w:rPr>
        <w:t xml:space="preserve">est </w:t>
      </w:r>
      <w:r w:rsidRPr="004C1836">
        <w:rPr>
          <w:lang w:val="fr-FR"/>
        </w:rPr>
        <w:t>conv</w:t>
      </w:r>
      <w:r w:rsidR="005559B9" w:rsidRPr="004C1836">
        <w:rPr>
          <w:lang w:val="fr-FR"/>
        </w:rPr>
        <w:t>enu</w:t>
      </w:r>
      <w:r w:rsidRPr="004C1836">
        <w:rPr>
          <w:lang w:val="fr-FR"/>
        </w:rPr>
        <w:t xml:space="preserve">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inscrire un point à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ordre du jour pour examiner cette proposition à sa soixante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huitième session, qui se tiendra à Genève le 21 octobre 2013.  Le CAJ</w:t>
      </w:r>
      <w:r w:rsidR="005559B9" w:rsidRPr="004C1836">
        <w:rPr>
          <w:lang w:val="fr-FR"/>
        </w:rPr>
        <w:t xml:space="preserve"> a</w:t>
      </w:r>
      <w:r w:rsidRPr="004C1836">
        <w:rPr>
          <w:lang w:val="fr-FR"/>
        </w:rPr>
        <w:t xml:space="preserve"> pr</w:t>
      </w:r>
      <w:r w:rsidR="005559B9" w:rsidRPr="004C1836">
        <w:rPr>
          <w:lang w:val="fr-FR"/>
        </w:rPr>
        <w:t>is</w:t>
      </w:r>
      <w:r w:rsidRPr="004C1836">
        <w:rPr>
          <w:lang w:val="fr-FR"/>
        </w:rPr>
        <w:t xml:space="preserve"> note des informations sur la communication de données et la prestation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une assistance aux contributeurs, comme indiqué dans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annexe IV du document CAJ/67/6.  Le CAJ </w:t>
      </w:r>
      <w:r w:rsidR="005559B9" w:rsidRPr="004C1836">
        <w:rPr>
          <w:lang w:val="fr-FR"/>
        </w:rPr>
        <w:t>a pris</w:t>
      </w:r>
      <w:r w:rsidRPr="004C1836">
        <w:rPr>
          <w:lang w:val="fr-FR"/>
        </w:rPr>
        <w:t xml:space="preserve"> note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intention du Bureau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Union de réaliser une enquête auprès des membres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Union quant à leur utilisation de la base de données aux fins de la protection des obtentions végétales, ainsi que leur utilisation des systèmes de dépôt électronique des demandes (voir les paragraphes 47 à 52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085A7F" w:rsidRPr="004C1836" w:rsidRDefault="00085A7F" w:rsidP="00651893">
      <w:pPr>
        <w:rPr>
          <w:lang w:val="fr-FR"/>
        </w:rPr>
      </w:pPr>
    </w:p>
    <w:p w:rsidR="007104C6" w:rsidRPr="004C1836" w:rsidRDefault="00282432" w:rsidP="000B4AA0">
      <w:pPr>
        <w:numPr>
          <w:ilvl w:val="0"/>
          <w:numId w:val="4"/>
        </w:numPr>
        <w:rPr>
          <w:lang w:val="fr-FR"/>
        </w:rPr>
      </w:pPr>
      <w:r w:rsidRPr="004C1836">
        <w:rPr>
          <w:u w:val="single"/>
          <w:lang w:val="fr-FR"/>
        </w:rPr>
        <w:t>Logiciels échangeables</w:t>
      </w:r>
      <w:r w:rsidRPr="004C1836">
        <w:rPr>
          <w:lang w:val="fr-FR"/>
        </w:rPr>
        <w:t> </w:t>
      </w:r>
      <w:r w:rsidR="007104C6" w:rsidRPr="004C1836">
        <w:rPr>
          <w:lang w:val="fr-FR"/>
        </w:rPr>
        <w:t>:</w:t>
      </w:r>
    </w:p>
    <w:p w:rsidR="007104C6" w:rsidRPr="004C1836" w:rsidRDefault="007104C6" w:rsidP="00651893">
      <w:pPr>
        <w:rPr>
          <w:lang w:val="fr-FR"/>
        </w:rPr>
      </w:pPr>
    </w:p>
    <w:p w:rsidR="00615309" w:rsidRPr="004C1836" w:rsidRDefault="00615309" w:rsidP="00651893">
      <w:pPr>
        <w:rPr>
          <w:iCs/>
          <w:lang w:val="fr-FR"/>
        </w:rPr>
      </w:pPr>
      <w:r w:rsidRPr="004C1836">
        <w:rPr>
          <w:lang w:val="fr-FR"/>
        </w:rPr>
        <w:t xml:space="preserve">Le CAJ </w:t>
      </w:r>
      <w:r w:rsidR="005559B9" w:rsidRPr="004C1836">
        <w:rPr>
          <w:lang w:val="fr-FR"/>
        </w:rPr>
        <w:t xml:space="preserve">a </w:t>
      </w:r>
      <w:r w:rsidRPr="004C1836">
        <w:rPr>
          <w:lang w:val="fr-FR"/>
        </w:rPr>
        <w:t>pr</w:t>
      </w:r>
      <w:r w:rsidR="005559B9" w:rsidRPr="004C1836">
        <w:rPr>
          <w:lang w:val="fr-FR"/>
        </w:rPr>
        <w:t>is</w:t>
      </w:r>
      <w:r w:rsidRPr="004C1836">
        <w:rPr>
          <w:lang w:val="fr-FR"/>
        </w:rPr>
        <w:t xml:space="preserve"> note des observations formulées par le</w:t>
      </w:r>
      <w:r w:rsidR="00AB5517" w:rsidRPr="004C1836">
        <w:rPr>
          <w:lang w:val="fr-FR"/>
        </w:rPr>
        <w:t> TC</w:t>
      </w:r>
      <w:r w:rsidRPr="004C1836">
        <w:rPr>
          <w:lang w:val="fr-FR"/>
        </w:rPr>
        <w:t xml:space="preserve"> à sa quarante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neuvième session, tenue à Genève du 18 au 20 mars 2013, sur une révision proposée du document UPOV/INF/16 en vue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inclusion de nouveaux logiciels et de renseignements sur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utilisation des logiciels par les membres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Union, comme indiqué aux paragraphes 25 à 28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annexe du document CAJ/67/13.  Le CAJ </w:t>
      </w:r>
      <w:r w:rsidR="00DF5B20" w:rsidRPr="004C1836">
        <w:rPr>
          <w:lang w:val="fr-FR"/>
        </w:rPr>
        <w:t xml:space="preserve">a </w:t>
      </w:r>
      <w:r w:rsidRPr="004C1836">
        <w:rPr>
          <w:lang w:val="fr-FR"/>
        </w:rPr>
        <w:t>not</w:t>
      </w:r>
      <w:r w:rsidR="00DF5B20" w:rsidRPr="004C1836">
        <w:rPr>
          <w:lang w:val="fr-FR"/>
        </w:rPr>
        <w:t>é</w:t>
      </w:r>
      <w:r w:rsidRPr="004C1836">
        <w:rPr>
          <w:lang w:val="fr-FR"/>
        </w:rPr>
        <w:t>, en particulier, que le</w:t>
      </w:r>
      <w:r w:rsidR="00AB5517" w:rsidRPr="004C1836">
        <w:rPr>
          <w:lang w:val="fr-FR"/>
        </w:rPr>
        <w:t> TC</w:t>
      </w:r>
      <w:r w:rsidRPr="004C1836">
        <w:rPr>
          <w:lang w:val="fr-FR"/>
        </w:rPr>
        <w:t xml:space="preserve"> a</w:t>
      </w:r>
      <w:r w:rsidR="00DF5B20" w:rsidRPr="004C1836">
        <w:rPr>
          <w:lang w:val="fr-FR"/>
        </w:rPr>
        <w:t>vait</w:t>
      </w:r>
      <w:r w:rsidRPr="004C1836">
        <w:rPr>
          <w:lang w:val="fr-FR"/>
        </w:rPr>
        <w:t xml:space="preserve"> révisé le titre du d</w:t>
      </w:r>
      <w:r w:rsidRPr="004C1836">
        <w:rPr>
          <w:color w:val="000000"/>
          <w:lang w:val="fr-FR"/>
        </w:rPr>
        <w:t>ocument</w:t>
      </w:r>
      <w:r w:rsidRPr="004C1836">
        <w:rPr>
          <w:lang w:val="fr-FR"/>
        </w:rPr>
        <w:t xml:space="preserve"> </w:t>
      </w:r>
      <w:r w:rsidRPr="004C1836">
        <w:rPr>
          <w:color w:val="000000"/>
          <w:lang w:val="fr-FR"/>
        </w:rPr>
        <w:t xml:space="preserve">UPOV/INF/16 </w:t>
      </w:r>
      <w:r w:rsidRPr="004C1836">
        <w:rPr>
          <w:iCs/>
          <w:color w:val="000000"/>
          <w:lang w:val="fr-FR"/>
        </w:rPr>
        <w:t>“Logiciels échangeables” et la section 1 “Exigences en ce qui concerne les logiciels échangeables” et qu</w:t>
      </w:r>
      <w:r w:rsidR="00AB5517" w:rsidRPr="004C1836">
        <w:rPr>
          <w:iCs/>
          <w:color w:val="000000"/>
          <w:lang w:val="fr-FR"/>
        </w:rPr>
        <w:t>’</w:t>
      </w:r>
      <w:r w:rsidRPr="004C1836">
        <w:rPr>
          <w:iCs/>
          <w:color w:val="000000"/>
          <w:lang w:val="fr-FR"/>
        </w:rPr>
        <w:t xml:space="preserve">il </w:t>
      </w:r>
      <w:r w:rsidR="00DF5B20" w:rsidRPr="004C1836">
        <w:rPr>
          <w:iCs/>
          <w:color w:val="000000"/>
          <w:lang w:val="fr-FR"/>
        </w:rPr>
        <w:t>était</w:t>
      </w:r>
      <w:r w:rsidRPr="004C1836">
        <w:rPr>
          <w:iCs/>
          <w:color w:val="000000"/>
          <w:lang w:val="fr-FR"/>
        </w:rPr>
        <w:t xml:space="preserve"> convenu que ces textes devraient demeurer inchangés car ce document concern</w:t>
      </w:r>
      <w:r w:rsidR="00DF5B20" w:rsidRPr="004C1836">
        <w:rPr>
          <w:iCs/>
          <w:color w:val="000000"/>
          <w:lang w:val="fr-FR"/>
        </w:rPr>
        <w:t>ait</w:t>
      </w:r>
      <w:r w:rsidRPr="004C1836">
        <w:rPr>
          <w:iCs/>
          <w:color w:val="000000"/>
          <w:lang w:val="fr-FR"/>
        </w:rPr>
        <w:t xml:space="preserve"> les logiciels mis au point ou adaptés par un membre de l</w:t>
      </w:r>
      <w:r w:rsidR="00AB5517" w:rsidRPr="004C1836">
        <w:rPr>
          <w:iCs/>
          <w:color w:val="000000"/>
          <w:lang w:val="fr-FR"/>
        </w:rPr>
        <w:t>’</w:t>
      </w:r>
      <w:r w:rsidRPr="004C1836">
        <w:rPr>
          <w:iCs/>
          <w:color w:val="000000"/>
          <w:lang w:val="fr-FR"/>
        </w:rPr>
        <w:t>Union aux fins de l</w:t>
      </w:r>
      <w:r w:rsidR="00AB5517" w:rsidRPr="004C1836">
        <w:rPr>
          <w:iCs/>
          <w:color w:val="000000"/>
          <w:lang w:val="fr-FR"/>
        </w:rPr>
        <w:t>’</w:t>
      </w:r>
      <w:r w:rsidRPr="004C1836">
        <w:rPr>
          <w:iCs/>
          <w:color w:val="000000"/>
          <w:lang w:val="fr-FR"/>
        </w:rPr>
        <w:t>UPOV.  Néanmoins, le</w:t>
      </w:r>
      <w:r w:rsidR="00AB5517" w:rsidRPr="004C1836">
        <w:rPr>
          <w:iCs/>
          <w:color w:val="000000"/>
          <w:lang w:val="fr-FR"/>
        </w:rPr>
        <w:t> TC</w:t>
      </w:r>
      <w:r w:rsidRPr="004C1836">
        <w:rPr>
          <w:iCs/>
          <w:color w:val="000000"/>
          <w:lang w:val="fr-FR"/>
        </w:rPr>
        <w:t xml:space="preserve"> est convenu qu</w:t>
      </w:r>
      <w:r w:rsidR="00AB5517" w:rsidRPr="004C1836">
        <w:rPr>
          <w:iCs/>
          <w:color w:val="000000"/>
          <w:lang w:val="fr-FR"/>
        </w:rPr>
        <w:t>’</w:t>
      </w:r>
      <w:r w:rsidRPr="004C1836">
        <w:rPr>
          <w:iCs/>
          <w:color w:val="000000"/>
          <w:lang w:val="fr-FR"/>
        </w:rPr>
        <w:t>il serait utile d</w:t>
      </w:r>
      <w:r w:rsidR="00AB5517" w:rsidRPr="004C1836">
        <w:rPr>
          <w:iCs/>
          <w:color w:val="000000"/>
          <w:lang w:val="fr-FR"/>
        </w:rPr>
        <w:t>’</w:t>
      </w:r>
      <w:r w:rsidRPr="004C1836">
        <w:rPr>
          <w:iCs/>
          <w:color w:val="000000"/>
          <w:lang w:val="fr-FR"/>
        </w:rPr>
        <w:t>élaborer un document d</w:t>
      </w:r>
      <w:r w:rsidR="00AB5517" w:rsidRPr="004C1836">
        <w:rPr>
          <w:iCs/>
          <w:color w:val="000000"/>
          <w:lang w:val="fr-FR"/>
        </w:rPr>
        <w:t>’</w:t>
      </w:r>
      <w:r w:rsidRPr="004C1836">
        <w:rPr>
          <w:iCs/>
          <w:color w:val="000000"/>
          <w:lang w:val="fr-FR"/>
        </w:rPr>
        <w:t>information distinct qui permette aux membres de l</w:t>
      </w:r>
      <w:r w:rsidR="00AB5517" w:rsidRPr="004C1836">
        <w:rPr>
          <w:iCs/>
          <w:color w:val="000000"/>
          <w:lang w:val="fr-FR"/>
        </w:rPr>
        <w:t>’</w:t>
      </w:r>
      <w:r w:rsidRPr="004C1836">
        <w:rPr>
          <w:iCs/>
          <w:color w:val="000000"/>
          <w:lang w:val="fr-FR"/>
        </w:rPr>
        <w:t>Union de fournir des renseignements sur les logiciels et équipements (p. ex. le matériel de saisie de données) non personnalisés qui sont utilisés par les membres de l</w:t>
      </w:r>
      <w:r w:rsidR="00AB5517" w:rsidRPr="004C1836">
        <w:rPr>
          <w:iCs/>
          <w:color w:val="000000"/>
          <w:lang w:val="fr-FR"/>
        </w:rPr>
        <w:t>’</w:t>
      </w:r>
      <w:r w:rsidRPr="004C1836">
        <w:rPr>
          <w:iCs/>
          <w:color w:val="000000"/>
          <w:lang w:val="fr-FR"/>
        </w:rPr>
        <w:t xml:space="preserve">Union </w:t>
      </w:r>
      <w:r w:rsidRPr="004C1836">
        <w:rPr>
          <w:lang w:val="fr-FR"/>
        </w:rPr>
        <w:t>(voir le paragraphe 24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annexe du document CAJ/67/13)</w:t>
      </w:r>
      <w:r w:rsidRPr="004C1836">
        <w:rPr>
          <w:iCs/>
          <w:color w:val="000000"/>
          <w:lang w:val="fr-FR"/>
        </w:rPr>
        <w:t xml:space="preserve">.  </w:t>
      </w:r>
      <w:r w:rsidRPr="004C1836">
        <w:rPr>
          <w:lang w:val="fr-FR"/>
        </w:rPr>
        <w:t xml:space="preserve">Le CAJ </w:t>
      </w:r>
      <w:r w:rsidR="00DF5B20" w:rsidRPr="004C1836">
        <w:rPr>
          <w:lang w:val="fr-FR"/>
        </w:rPr>
        <w:t xml:space="preserve">a </w:t>
      </w:r>
      <w:r w:rsidRPr="004C1836">
        <w:rPr>
          <w:lang w:val="fr-FR"/>
        </w:rPr>
        <w:t>not</w:t>
      </w:r>
      <w:r w:rsidR="00DF5B20" w:rsidRPr="004C1836">
        <w:rPr>
          <w:lang w:val="fr-FR"/>
        </w:rPr>
        <w:t>é</w:t>
      </w:r>
      <w:r w:rsidRPr="004C1836">
        <w:rPr>
          <w:lang w:val="fr-FR"/>
        </w:rPr>
        <w:t xml:space="preserve"> que, à sa soixante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 xml:space="preserve">huitième session qui se tiendra à Genève en octobre 2013, il sera invité à examiner une proposition de révision du document </w:t>
      </w:r>
      <w:r w:rsidRPr="004C1836">
        <w:rPr>
          <w:iCs/>
          <w:lang w:val="fr-FR"/>
        </w:rPr>
        <w:t xml:space="preserve">UPOV/INF/16 “Logiciels échangeables” </w:t>
      </w:r>
      <w:r w:rsidRPr="004C1836">
        <w:rPr>
          <w:lang w:val="fr-FR"/>
        </w:rPr>
        <w:t xml:space="preserve">(voir les paragraphes 54 à 56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7104C6" w:rsidRPr="004C1836" w:rsidRDefault="007104C6" w:rsidP="00651893">
      <w:pPr>
        <w:rPr>
          <w:iCs/>
          <w:lang w:val="fr-FR"/>
        </w:rPr>
      </w:pPr>
    </w:p>
    <w:p w:rsidR="001643B8" w:rsidRPr="004C1836" w:rsidRDefault="001643B8" w:rsidP="000B4AA0">
      <w:pPr>
        <w:numPr>
          <w:ilvl w:val="0"/>
          <w:numId w:val="4"/>
        </w:numPr>
        <w:rPr>
          <w:lang w:val="fr-FR"/>
        </w:rPr>
      </w:pPr>
      <w:r w:rsidRPr="004C1836">
        <w:rPr>
          <w:u w:val="single"/>
          <w:lang w:val="fr-FR"/>
        </w:rPr>
        <w:t>Systèmes de dépôt électronique des demandes</w:t>
      </w:r>
      <w:r w:rsidRPr="004C1836">
        <w:rPr>
          <w:lang w:val="fr-FR"/>
        </w:rPr>
        <w:t> :</w:t>
      </w:r>
    </w:p>
    <w:p w:rsidR="007104C6" w:rsidRPr="004C1836" w:rsidRDefault="007104C6" w:rsidP="00651893">
      <w:pPr>
        <w:rPr>
          <w:lang w:val="fr-FR"/>
        </w:rPr>
      </w:pPr>
    </w:p>
    <w:p w:rsidR="001643B8" w:rsidRPr="004C1836" w:rsidRDefault="001643B8" w:rsidP="00651893">
      <w:pPr>
        <w:rPr>
          <w:snapToGrid w:val="0"/>
          <w:lang w:val="fr-FR"/>
        </w:rPr>
      </w:pPr>
      <w:r w:rsidRPr="004C1836">
        <w:rPr>
          <w:lang w:val="fr-FR"/>
        </w:rPr>
        <w:t xml:space="preserve">Le CAJ </w:t>
      </w:r>
      <w:r w:rsidR="00DF5B20" w:rsidRPr="004C1836">
        <w:rPr>
          <w:lang w:val="fr-FR"/>
        </w:rPr>
        <w:t xml:space="preserve">a </w:t>
      </w:r>
      <w:r w:rsidRPr="004C1836">
        <w:rPr>
          <w:lang w:val="fr-FR"/>
        </w:rPr>
        <w:t>pr</w:t>
      </w:r>
      <w:r w:rsidR="00DF5B20" w:rsidRPr="004C1836">
        <w:rPr>
          <w:lang w:val="fr-FR"/>
        </w:rPr>
        <w:t>is</w:t>
      </w:r>
      <w:r w:rsidRPr="004C1836">
        <w:rPr>
          <w:lang w:val="fr-FR"/>
        </w:rPr>
        <w:t xml:space="preserve"> note du rapport verbal présenté par le Bureau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Union à Genève dans la soirée du 20 mars 2013, sur la réunion consacrée à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élaboration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 prototype de formulaire électronique</w:t>
      </w:r>
      <w:r w:rsidRPr="004C1836">
        <w:rPr>
          <w:snapToGrid w:val="0"/>
          <w:lang w:val="fr-FR"/>
        </w:rPr>
        <w:t xml:space="preserve">.  Il </w:t>
      </w:r>
      <w:r w:rsidR="00DF5B20" w:rsidRPr="004C1836">
        <w:rPr>
          <w:snapToGrid w:val="0"/>
          <w:lang w:val="fr-FR"/>
        </w:rPr>
        <w:t>a été</w:t>
      </w:r>
      <w:r w:rsidRPr="004C1836">
        <w:rPr>
          <w:snapToGrid w:val="0"/>
          <w:lang w:val="fr-FR"/>
        </w:rPr>
        <w:t xml:space="preserve"> informé, en particulier, que le prototype de formulaire électronique sera</w:t>
      </w:r>
      <w:r w:rsidR="00DF5B20" w:rsidRPr="004C1836">
        <w:rPr>
          <w:snapToGrid w:val="0"/>
          <w:lang w:val="fr-FR"/>
        </w:rPr>
        <w:t>it</w:t>
      </w:r>
      <w:r w:rsidRPr="004C1836">
        <w:rPr>
          <w:snapToGrid w:val="0"/>
          <w:lang w:val="fr-FR"/>
        </w:rPr>
        <w:t xml:space="preserve"> initialement mis au point pour la laitue, la pomme de terre, le rosier et le pommier.  Il </w:t>
      </w:r>
      <w:r w:rsidR="00DF5B20" w:rsidRPr="004C1836">
        <w:rPr>
          <w:snapToGrid w:val="0"/>
          <w:lang w:val="fr-FR"/>
        </w:rPr>
        <w:t>a</w:t>
      </w:r>
      <w:r w:rsidRPr="004C1836">
        <w:rPr>
          <w:snapToGrid w:val="0"/>
          <w:lang w:val="fr-FR"/>
        </w:rPr>
        <w:t xml:space="preserve"> également</w:t>
      </w:r>
      <w:r w:rsidR="00DF5B20" w:rsidRPr="004C1836">
        <w:rPr>
          <w:snapToGrid w:val="0"/>
          <w:lang w:val="fr-FR"/>
        </w:rPr>
        <w:t xml:space="preserve"> été</w:t>
      </w:r>
      <w:r w:rsidRPr="004C1836">
        <w:rPr>
          <w:snapToGrid w:val="0"/>
          <w:lang w:val="fr-FR"/>
        </w:rPr>
        <w:t xml:space="preserve"> informé du fait qu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il a</w:t>
      </w:r>
      <w:r w:rsidR="00DF5B20" w:rsidRPr="004C1836">
        <w:rPr>
          <w:snapToGrid w:val="0"/>
          <w:lang w:val="fr-FR"/>
        </w:rPr>
        <w:t>vait</w:t>
      </w:r>
      <w:r w:rsidRPr="004C1836">
        <w:rPr>
          <w:snapToGrid w:val="0"/>
          <w:lang w:val="fr-FR"/>
        </w:rPr>
        <w:t xml:space="preserve"> été convenu, dans un premier temps, d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établir toutes les questions dans le formulaire en anglais et dans les langues des membres de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 xml:space="preserve">Union concernés par leurs propres questions.  Le CAJ </w:t>
      </w:r>
      <w:r w:rsidR="00DF5B20" w:rsidRPr="004C1836">
        <w:rPr>
          <w:snapToGrid w:val="0"/>
          <w:lang w:val="fr-FR"/>
        </w:rPr>
        <w:t xml:space="preserve">a </w:t>
      </w:r>
      <w:r w:rsidRPr="004C1836">
        <w:rPr>
          <w:snapToGrid w:val="0"/>
          <w:lang w:val="fr-FR"/>
        </w:rPr>
        <w:t>not</w:t>
      </w:r>
      <w:r w:rsidR="00DF5B20" w:rsidRPr="004C1836">
        <w:rPr>
          <w:snapToGrid w:val="0"/>
          <w:lang w:val="fr-FR"/>
        </w:rPr>
        <w:t>é</w:t>
      </w:r>
      <w:r w:rsidRPr="004C1836">
        <w:rPr>
          <w:snapToGrid w:val="0"/>
          <w:lang w:val="fr-FR"/>
        </w:rPr>
        <w:t xml:space="preserve"> que la prochaine réunion en vue de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élaboration d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un prototype de formulaire électronique se tiendra</w:t>
      </w:r>
      <w:r w:rsidR="00DF5B20" w:rsidRPr="004C1836">
        <w:rPr>
          <w:snapToGrid w:val="0"/>
          <w:lang w:val="fr-FR"/>
        </w:rPr>
        <w:t>it</w:t>
      </w:r>
      <w:r w:rsidRPr="004C1836">
        <w:rPr>
          <w:snapToGrid w:val="0"/>
          <w:lang w:val="fr-FR"/>
        </w:rPr>
        <w:t xml:space="preserve"> à Genève, dans la soirée du 24 octobre 2013 </w:t>
      </w:r>
      <w:r w:rsidRPr="004C1836">
        <w:rPr>
          <w:lang w:val="fr-FR"/>
        </w:rPr>
        <w:t xml:space="preserve">(voir le paragraphe 58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Pr="004C1836">
        <w:rPr>
          <w:snapToGrid w:val="0"/>
          <w:lang w:val="fr-FR"/>
        </w:rPr>
        <w:t>;</w:t>
      </w:r>
    </w:p>
    <w:p w:rsidR="007104C6" w:rsidRPr="004C1836" w:rsidRDefault="007104C6" w:rsidP="00651893">
      <w:pPr>
        <w:rPr>
          <w:lang w:val="fr-FR"/>
        </w:rPr>
      </w:pPr>
    </w:p>
    <w:p w:rsidR="001643B8" w:rsidRPr="004C1836" w:rsidRDefault="001643B8" w:rsidP="00E75D49">
      <w:pPr>
        <w:keepNext/>
        <w:numPr>
          <w:ilvl w:val="0"/>
          <w:numId w:val="4"/>
        </w:numPr>
        <w:rPr>
          <w:lang w:val="fr-FR"/>
        </w:rPr>
      </w:pPr>
      <w:r w:rsidRPr="004C1836">
        <w:rPr>
          <w:u w:val="single"/>
          <w:lang w:val="fr-FR"/>
        </w:rPr>
        <w:t>Utilisation de moyens de communication électroniques pour les réunions</w:t>
      </w:r>
      <w:r w:rsidRPr="004C1836">
        <w:rPr>
          <w:lang w:val="fr-FR"/>
        </w:rPr>
        <w:t> :</w:t>
      </w:r>
    </w:p>
    <w:p w:rsidR="007104C6" w:rsidRPr="004C1836" w:rsidRDefault="007104C6" w:rsidP="00E75D49">
      <w:pPr>
        <w:keepNext/>
        <w:rPr>
          <w:lang w:val="fr-FR"/>
        </w:rPr>
      </w:pPr>
    </w:p>
    <w:p w:rsidR="00C734AB" w:rsidRPr="004C1836" w:rsidRDefault="00C734AB" w:rsidP="00651893">
      <w:pPr>
        <w:rPr>
          <w:snapToGrid w:val="0"/>
          <w:lang w:val="fr-FR"/>
        </w:rPr>
      </w:pPr>
      <w:r w:rsidRPr="004C1836">
        <w:rPr>
          <w:lang w:val="fr-FR"/>
        </w:rPr>
        <w:t xml:space="preserve">Le CAJ </w:t>
      </w:r>
      <w:r w:rsidR="00DF5B20" w:rsidRPr="004C1836">
        <w:rPr>
          <w:lang w:val="fr-FR"/>
        </w:rPr>
        <w:t xml:space="preserve">a </w:t>
      </w:r>
      <w:r w:rsidRPr="004C1836">
        <w:rPr>
          <w:lang w:val="fr-FR"/>
        </w:rPr>
        <w:t>not</w:t>
      </w:r>
      <w:r w:rsidR="00DF5B20" w:rsidRPr="004C1836">
        <w:rPr>
          <w:lang w:val="fr-FR"/>
        </w:rPr>
        <w:t>é</w:t>
      </w:r>
      <w:r w:rsidRPr="004C1836">
        <w:rPr>
          <w:lang w:val="fr-FR"/>
        </w:rPr>
        <w:t xml:space="preserve"> que le Comité consultatif, à sa quatre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vingt</w:t>
      </w:r>
      <w:r w:rsidR="00A82473" w:rsidRPr="004C1836">
        <w:rPr>
          <w:lang w:val="fr-FR"/>
        </w:rPr>
        <w:noBreakHyphen/>
      </w:r>
      <w:r w:rsidRPr="004C1836">
        <w:rPr>
          <w:lang w:val="fr-FR"/>
        </w:rPr>
        <w:t>quatrième session tenue à Genève le 31 octobre 2012, a</w:t>
      </w:r>
      <w:r w:rsidR="00DF5B20" w:rsidRPr="004C1836">
        <w:rPr>
          <w:lang w:val="fr-FR"/>
        </w:rPr>
        <w:t>vait</w:t>
      </w:r>
      <w:r w:rsidRPr="004C1836">
        <w:rPr>
          <w:lang w:val="fr-FR"/>
        </w:rPr>
        <w:t xml:space="preserve"> approuvé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utilisation des conférences Web par les organes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UPOV, sous réserve que les organes concernés les jugent appropriées, afin de faciliter la participation des membres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Union et des observateurs conformément aux procédures en vigueur.  Le Comité consultatif a rappelé que les procédures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invitation aux sessions des organes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figuraient dans la Convention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UPOV, le </w:t>
      </w:r>
      <w:r w:rsidRPr="004C1836">
        <w:rPr>
          <w:lang w:val="fr-FR"/>
        </w:rPr>
        <w:lastRenderedPageBreak/>
        <w:t>règlement intérieur du Conseil, les documents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orientation destinés aux membres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concernant les obligations en cours et les notifications connexes, les règles concernant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octroi à des États et à des organisations intergouvernementales ou des organisations internationales non gouvernementales du statut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observateur auprès des organes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et les règles concernant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accès aux documents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UPOV.  Conformément à ces procédures, la participation aux conférences Web se ferait à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aide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 mot de passe délivré aux personnes désignées à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organe concerné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et elle serait supervisée par le Bureau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 xml:space="preserve">Union. </w:t>
      </w:r>
      <w:r w:rsidR="00AB5517" w:rsidRPr="004C1836">
        <w:rPr>
          <w:lang w:val="fr-FR"/>
        </w:rPr>
        <w:t xml:space="preserve"> </w:t>
      </w:r>
      <w:r w:rsidR="00AB5517" w:rsidRPr="004C1836">
        <w:rPr>
          <w:snapToGrid w:val="0"/>
          <w:lang w:val="fr-FR"/>
        </w:rPr>
        <w:t>Le</w:t>
      </w:r>
      <w:r w:rsidR="00AB5517" w:rsidRPr="004C1836">
        <w:rPr>
          <w:lang w:val="fr-FR"/>
        </w:rPr>
        <w:t> </w:t>
      </w:r>
      <w:r w:rsidR="00AB5517" w:rsidRPr="004C1836">
        <w:rPr>
          <w:snapToGrid w:val="0"/>
          <w:lang w:val="fr-FR"/>
        </w:rPr>
        <w:t>CAJ</w:t>
      </w:r>
      <w:r w:rsidRPr="004C1836">
        <w:rPr>
          <w:snapToGrid w:val="0"/>
          <w:lang w:val="fr-FR"/>
        </w:rPr>
        <w:t xml:space="preserve"> </w:t>
      </w:r>
      <w:r w:rsidR="00DF5B20" w:rsidRPr="004C1836">
        <w:rPr>
          <w:snapToGrid w:val="0"/>
          <w:lang w:val="fr-FR"/>
        </w:rPr>
        <w:t xml:space="preserve">a </w:t>
      </w:r>
      <w:r w:rsidRPr="004C1836">
        <w:rPr>
          <w:snapToGrid w:val="0"/>
          <w:lang w:val="fr-FR"/>
        </w:rPr>
        <w:t>not</w:t>
      </w:r>
      <w:r w:rsidR="00DF5B20" w:rsidRPr="004C1836">
        <w:rPr>
          <w:snapToGrid w:val="0"/>
          <w:lang w:val="fr-FR"/>
        </w:rPr>
        <w:t>é</w:t>
      </w:r>
      <w:r w:rsidRPr="004C1836">
        <w:rPr>
          <w:snapToGrid w:val="0"/>
          <w:lang w:val="fr-FR"/>
        </w:rPr>
        <w:t xml:space="preserve"> que le Comité consultatif, à sa quatre</w:t>
      </w:r>
      <w:r w:rsidR="00A82473" w:rsidRPr="004C1836">
        <w:rPr>
          <w:snapToGrid w:val="0"/>
          <w:lang w:val="fr-FR"/>
        </w:rPr>
        <w:noBreakHyphen/>
      </w:r>
      <w:r w:rsidRPr="004C1836">
        <w:rPr>
          <w:snapToGrid w:val="0"/>
          <w:lang w:val="fr-FR"/>
        </w:rPr>
        <w:t>vingt</w:t>
      </w:r>
      <w:r w:rsidR="00A82473" w:rsidRPr="004C1836">
        <w:rPr>
          <w:snapToGrid w:val="0"/>
          <w:lang w:val="fr-FR"/>
        </w:rPr>
        <w:noBreakHyphen/>
      </w:r>
      <w:r w:rsidRPr="004C1836">
        <w:rPr>
          <w:snapToGrid w:val="0"/>
          <w:lang w:val="fr-FR"/>
        </w:rPr>
        <w:t>quatrième session, a</w:t>
      </w:r>
      <w:r w:rsidR="00DF5B20" w:rsidRPr="004C1836">
        <w:rPr>
          <w:snapToGrid w:val="0"/>
          <w:lang w:val="fr-FR"/>
        </w:rPr>
        <w:t>vait</w:t>
      </w:r>
      <w:r w:rsidRPr="004C1836">
        <w:rPr>
          <w:snapToGrid w:val="0"/>
          <w:lang w:val="fr-FR"/>
        </w:rPr>
        <w:t xml:space="preserve"> également approuvé </w:t>
      </w:r>
      <w:r w:rsidRPr="004C1836">
        <w:rPr>
          <w:lang w:val="fr-FR"/>
        </w:rPr>
        <w:t>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utilisation de la diffusion sur le Web de sessions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organes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aux fins de leur consultation uniquement par les membres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Union et les observateurs conformément aux procédures en vigueur, sous réserve que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organe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concerné le juge approprié.  Le Comité consultatif a noté que les procédures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invitation aux sessions des organes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figuraient dans la Convention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UPOV, le règlement intérieur du Conseil, les documents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orientation destinés aux membres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concernant les obligations en cours et les notifications connexes, les règles concernant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octroi à des États et à des organisations intergouvernementales ou des organisations internationales non gouvernementales du statut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observateur auprès des organes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et les règles concernant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accès aux documents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UPOV.  Conformément à ces procédures, le visionnement de la diffusion sur le Web se ferait au moyen d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 mot de passe délivré aux personnes désignées à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organe concerné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UPOV et il serait supervisé par le Bureau de l</w:t>
      </w:r>
      <w:r w:rsidR="00AB5517" w:rsidRPr="004C1836">
        <w:rPr>
          <w:lang w:val="fr-FR"/>
        </w:rPr>
        <w:t>’</w:t>
      </w:r>
      <w:r w:rsidRPr="004C1836">
        <w:rPr>
          <w:lang w:val="fr-FR"/>
        </w:rPr>
        <w:t>Union.</w:t>
      </w:r>
      <w:r w:rsidRPr="004C1836">
        <w:rPr>
          <w:snapToGrid w:val="0"/>
          <w:lang w:val="fr-FR"/>
        </w:rPr>
        <w:t xml:space="preserve">  Le CAJ </w:t>
      </w:r>
      <w:r w:rsidR="00DF5B20" w:rsidRPr="004C1836">
        <w:rPr>
          <w:snapToGrid w:val="0"/>
          <w:lang w:val="fr-FR"/>
        </w:rPr>
        <w:t xml:space="preserve">a </w:t>
      </w:r>
      <w:r w:rsidRPr="004C1836">
        <w:rPr>
          <w:snapToGrid w:val="0"/>
          <w:lang w:val="fr-FR"/>
        </w:rPr>
        <w:t xml:space="preserve">également </w:t>
      </w:r>
      <w:r w:rsidR="00674FCE" w:rsidRPr="004C1836">
        <w:rPr>
          <w:snapToGrid w:val="0"/>
          <w:lang w:val="fr-FR"/>
        </w:rPr>
        <w:t xml:space="preserve">noté </w:t>
      </w:r>
      <w:r w:rsidRPr="004C1836">
        <w:rPr>
          <w:snapToGrid w:val="0"/>
          <w:lang w:val="fr-FR"/>
        </w:rPr>
        <w:t>que le Comité consultatif, à sa quatre</w:t>
      </w:r>
      <w:r w:rsidR="00A82473" w:rsidRPr="004C1836">
        <w:rPr>
          <w:snapToGrid w:val="0"/>
          <w:lang w:val="fr-FR"/>
        </w:rPr>
        <w:noBreakHyphen/>
      </w:r>
      <w:r w:rsidRPr="004C1836">
        <w:rPr>
          <w:snapToGrid w:val="0"/>
          <w:lang w:val="fr-FR"/>
        </w:rPr>
        <w:t>vingt</w:t>
      </w:r>
      <w:r w:rsidR="00A82473" w:rsidRPr="004C1836">
        <w:rPr>
          <w:snapToGrid w:val="0"/>
          <w:lang w:val="fr-FR"/>
        </w:rPr>
        <w:noBreakHyphen/>
      </w:r>
      <w:r w:rsidRPr="004C1836">
        <w:rPr>
          <w:snapToGrid w:val="0"/>
          <w:lang w:val="fr-FR"/>
        </w:rPr>
        <w:t>quatrième session, a</w:t>
      </w:r>
      <w:r w:rsidR="00674FCE" w:rsidRPr="004C1836">
        <w:rPr>
          <w:snapToGrid w:val="0"/>
          <w:lang w:val="fr-FR"/>
        </w:rPr>
        <w:t>vait</w:t>
      </w:r>
      <w:r w:rsidRPr="004C1836">
        <w:rPr>
          <w:snapToGrid w:val="0"/>
          <w:lang w:val="fr-FR"/>
        </w:rPr>
        <w:t xml:space="preserve"> décidé que, dans tous les autres cas de diffusion sur le Web, le Comité consultatif serait invité à approuver les modalités d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>une éventuelle retransmission sur l</w:t>
      </w:r>
      <w:r w:rsidR="00AB5517" w:rsidRPr="004C1836">
        <w:rPr>
          <w:snapToGrid w:val="0"/>
          <w:lang w:val="fr-FR"/>
        </w:rPr>
        <w:t>’</w:t>
      </w:r>
      <w:r w:rsidRPr="004C1836">
        <w:rPr>
          <w:snapToGrid w:val="0"/>
          <w:lang w:val="fr-FR"/>
        </w:rPr>
        <w:t xml:space="preserve">Internet </w:t>
      </w:r>
      <w:r w:rsidRPr="004C1836">
        <w:rPr>
          <w:lang w:val="fr-FR"/>
        </w:rPr>
        <w:t xml:space="preserve">(voir les paragraphes 60 et 61 du document CAJ/67/14 </w:t>
      </w:r>
      <w:r w:rsidRPr="004C1836">
        <w:rPr>
          <w:rFonts w:eastAsia="MS Mincho" w:cs="Arial"/>
          <w:lang w:val="fr-FR" w:eastAsia="ja-JP" w:bidi="th-TH"/>
        </w:rPr>
        <w:t>“</w:t>
      </w:r>
      <w:r w:rsidRPr="004C1836">
        <w:rPr>
          <w:lang w:val="fr-FR"/>
        </w:rPr>
        <w:t>Compte rendu des conclusions</w:t>
      </w:r>
      <w:r w:rsidRPr="004C1836">
        <w:rPr>
          <w:rFonts w:eastAsia="MS Mincho" w:cs="Arial"/>
          <w:lang w:val="fr-FR" w:eastAsia="ja-JP" w:bidi="th-TH"/>
        </w:rPr>
        <w:t>”</w:t>
      </w:r>
      <w:r w:rsidRPr="004C1836">
        <w:rPr>
          <w:lang w:val="fr-FR"/>
        </w:rPr>
        <w:t>)</w:t>
      </w:r>
      <w:r w:rsidR="005F6091" w:rsidRPr="004C1836">
        <w:rPr>
          <w:snapToGrid w:val="0"/>
          <w:lang w:val="fr-FR"/>
        </w:rPr>
        <w:t>.</w:t>
      </w:r>
    </w:p>
    <w:p w:rsidR="007104C6" w:rsidRPr="004C1836" w:rsidRDefault="007104C6" w:rsidP="00651893">
      <w:pPr>
        <w:rPr>
          <w:lang w:val="fr-FR"/>
        </w:rPr>
      </w:pPr>
    </w:p>
    <w:p w:rsidR="007104C6" w:rsidRPr="004C1836" w:rsidRDefault="007104C6" w:rsidP="00651893">
      <w:pPr>
        <w:rPr>
          <w:lang w:val="fr-FR"/>
        </w:rPr>
      </w:pPr>
    </w:p>
    <w:p w:rsidR="00C734AB" w:rsidRPr="004C1836" w:rsidRDefault="00C734AB" w:rsidP="00651893">
      <w:pPr>
        <w:pStyle w:val="Heading2"/>
      </w:pPr>
      <w:r w:rsidRPr="004C1836">
        <w:t>Programme de la soixante</w:t>
      </w:r>
      <w:r w:rsidR="00A82473" w:rsidRPr="004C1836">
        <w:noBreakHyphen/>
      </w:r>
      <w:r w:rsidRPr="004C1836">
        <w:t>huitième session</w:t>
      </w:r>
    </w:p>
    <w:p w:rsidR="007104C6" w:rsidRPr="004C1836" w:rsidRDefault="007104C6" w:rsidP="00651893">
      <w:pPr>
        <w:rPr>
          <w:snapToGrid w:val="0"/>
          <w:lang w:val="fr-FR"/>
        </w:rPr>
      </w:pPr>
    </w:p>
    <w:p w:rsidR="009E5A65" w:rsidRPr="004C1836" w:rsidRDefault="003E7FB2" w:rsidP="00651893">
      <w:pPr>
        <w:rPr>
          <w:kern w:val="28"/>
          <w:lang w:val="fr-FR"/>
        </w:rPr>
      </w:pPr>
      <w:r w:rsidRPr="004C1836">
        <w:rPr>
          <w:lang w:val="fr-FR"/>
        </w:rPr>
        <w:fldChar w:fldCharType="begin"/>
      </w:r>
      <w:r w:rsidRPr="004C1836">
        <w:rPr>
          <w:lang w:val="fr-FR"/>
        </w:rPr>
        <w:instrText xml:space="preserve"> AUTONUM  </w:instrText>
      </w:r>
      <w:r w:rsidRPr="004C1836">
        <w:rPr>
          <w:lang w:val="fr-FR"/>
        </w:rPr>
        <w:fldChar w:fldCharType="end"/>
      </w:r>
      <w:r w:rsidRPr="004C1836">
        <w:rPr>
          <w:lang w:val="fr-FR"/>
        </w:rPr>
        <w:tab/>
      </w:r>
      <w:r w:rsidR="00F47C4A" w:rsidRPr="004C1836">
        <w:rPr>
          <w:lang w:val="fr-FR"/>
        </w:rPr>
        <w:t>Le programme ci</w:t>
      </w:r>
      <w:r w:rsidR="00A82473" w:rsidRPr="004C1836">
        <w:rPr>
          <w:lang w:val="fr-FR"/>
        </w:rPr>
        <w:noBreakHyphen/>
      </w:r>
      <w:r w:rsidR="00F47C4A" w:rsidRPr="004C1836">
        <w:rPr>
          <w:lang w:val="fr-FR"/>
        </w:rPr>
        <w:t xml:space="preserve">après </w:t>
      </w:r>
      <w:r w:rsidR="00674FCE" w:rsidRPr="004C1836">
        <w:rPr>
          <w:lang w:val="fr-FR"/>
        </w:rPr>
        <w:t>a été</w:t>
      </w:r>
      <w:r w:rsidR="00F47C4A" w:rsidRPr="004C1836">
        <w:rPr>
          <w:lang w:val="fr-FR"/>
        </w:rPr>
        <w:t xml:space="preserve"> approuvé pour la soixante</w:t>
      </w:r>
      <w:r w:rsidR="00A82473" w:rsidRPr="004C1836">
        <w:rPr>
          <w:lang w:val="fr-FR"/>
        </w:rPr>
        <w:noBreakHyphen/>
      </w:r>
      <w:r w:rsidR="00F47C4A" w:rsidRPr="004C1836">
        <w:rPr>
          <w:lang w:val="fr-FR"/>
        </w:rPr>
        <w:t>huitième session du CAJ, qui se tiendra à Genève le 21 octobre 2013 </w:t>
      </w:r>
      <w:r w:rsidR="0074166E" w:rsidRPr="004C1836">
        <w:rPr>
          <w:lang w:val="fr-FR"/>
        </w:rPr>
        <w:t>: o</w:t>
      </w:r>
      <w:r w:rsidR="0074166E" w:rsidRPr="004C1836">
        <w:rPr>
          <w:kern w:val="28"/>
          <w:lang w:val="fr-FR"/>
        </w:rPr>
        <w:t>uverture de la session</w:t>
      </w:r>
      <w:r w:rsidR="00147E6C" w:rsidRPr="004C1836">
        <w:rPr>
          <w:kern w:val="28"/>
          <w:lang w:val="fr-FR"/>
        </w:rPr>
        <w:t xml:space="preserve">; </w:t>
      </w:r>
      <w:r w:rsidR="0074166E" w:rsidRPr="004C1836">
        <w:rPr>
          <w:kern w:val="28"/>
          <w:lang w:val="fr-FR"/>
        </w:rPr>
        <w:t xml:space="preserve"> adoption de l</w:t>
      </w:r>
      <w:r w:rsidR="00AB5517" w:rsidRPr="004C1836">
        <w:rPr>
          <w:kern w:val="28"/>
          <w:lang w:val="fr-FR"/>
        </w:rPr>
        <w:t>’</w:t>
      </w:r>
      <w:r w:rsidR="0074166E" w:rsidRPr="004C1836">
        <w:rPr>
          <w:kern w:val="28"/>
          <w:lang w:val="fr-FR"/>
        </w:rPr>
        <w:t>ordre du jour</w:t>
      </w:r>
      <w:r w:rsidR="00147E6C" w:rsidRPr="004C1836">
        <w:rPr>
          <w:kern w:val="28"/>
          <w:lang w:val="fr-FR"/>
        </w:rPr>
        <w:t xml:space="preserve">; </w:t>
      </w:r>
      <w:r w:rsidR="0074166E" w:rsidRPr="004C1836">
        <w:rPr>
          <w:kern w:val="28"/>
          <w:lang w:val="fr-FR"/>
        </w:rPr>
        <w:t xml:space="preserve"> élaboration de matériel d</w:t>
      </w:r>
      <w:r w:rsidR="00AB5517" w:rsidRPr="004C1836">
        <w:rPr>
          <w:kern w:val="28"/>
          <w:lang w:val="fr-FR"/>
        </w:rPr>
        <w:t>’</w:t>
      </w:r>
      <w:r w:rsidR="0074166E" w:rsidRPr="004C1836">
        <w:rPr>
          <w:kern w:val="28"/>
          <w:lang w:val="fr-FR"/>
        </w:rPr>
        <w:t xml:space="preserve">information concernant la </w:t>
      </w:r>
      <w:r w:rsidR="00AB5517" w:rsidRPr="004C1836">
        <w:rPr>
          <w:kern w:val="28"/>
          <w:lang w:val="fr-FR"/>
        </w:rPr>
        <w:t>Convention UPOV</w:t>
      </w:r>
      <w:r w:rsidR="00147E6C" w:rsidRPr="004C1836">
        <w:rPr>
          <w:kern w:val="28"/>
          <w:lang w:val="fr-FR"/>
        </w:rPr>
        <w:t xml:space="preserve">; </w:t>
      </w:r>
      <w:r w:rsidR="0074166E" w:rsidRPr="004C1836">
        <w:rPr>
          <w:kern w:val="28"/>
          <w:lang w:val="fr-FR"/>
        </w:rPr>
        <w:t xml:space="preserve"> techniques moléculaires</w:t>
      </w:r>
      <w:r w:rsidR="00147E6C" w:rsidRPr="004C1836">
        <w:rPr>
          <w:kern w:val="28"/>
          <w:lang w:val="fr-FR"/>
        </w:rPr>
        <w:t xml:space="preserve">; </w:t>
      </w:r>
      <w:r w:rsidR="0074166E" w:rsidRPr="004C1836">
        <w:rPr>
          <w:kern w:val="28"/>
          <w:lang w:val="fr-FR"/>
        </w:rPr>
        <w:t xml:space="preserve"> dénominations variétales</w:t>
      </w:r>
      <w:r w:rsidR="00147E6C" w:rsidRPr="004C1836">
        <w:rPr>
          <w:kern w:val="28"/>
          <w:lang w:val="fr-FR"/>
        </w:rPr>
        <w:t>;</w:t>
      </w:r>
      <w:r w:rsidR="0074166E" w:rsidRPr="004C1836">
        <w:rPr>
          <w:kern w:val="28"/>
          <w:lang w:val="fr-FR"/>
        </w:rPr>
        <w:t xml:space="preserve"> </w:t>
      </w:r>
      <w:r w:rsidR="00147E6C" w:rsidRPr="004C1836">
        <w:rPr>
          <w:kern w:val="28"/>
          <w:lang w:val="fr-FR"/>
        </w:rPr>
        <w:t xml:space="preserve"> </w:t>
      </w:r>
      <w:r w:rsidR="0074166E" w:rsidRPr="004C1836">
        <w:rPr>
          <w:kern w:val="28"/>
          <w:lang w:val="fr-FR"/>
        </w:rPr>
        <w:t>bases de données d</w:t>
      </w:r>
      <w:r w:rsidR="00AB5517" w:rsidRPr="004C1836">
        <w:rPr>
          <w:kern w:val="28"/>
          <w:lang w:val="fr-FR"/>
        </w:rPr>
        <w:t>’</w:t>
      </w:r>
      <w:r w:rsidR="0074166E" w:rsidRPr="004C1836">
        <w:rPr>
          <w:kern w:val="28"/>
          <w:lang w:val="fr-FR"/>
        </w:rPr>
        <w:t>information de l</w:t>
      </w:r>
      <w:r w:rsidR="00AB5517" w:rsidRPr="004C1836">
        <w:rPr>
          <w:kern w:val="28"/>
          <w:lang w:val="fr-FR"/>
        </w:rPr>
        <w:t>’</w:t>
      </w:r>
      <w:r w:rsidR="0074166E" w:rsidRPr="004C1836">
        <w:rPr>
          <w:kern w:val="28"/>
          <w:lang w:val="fr-FR"/>
        </w:rPr>
        <w:t>UPOV</w:t>
      </w:r>
      <w:r w:rsidR="00AB5517" w:rsidRPr="004C1836">
        <w:rPr>
          <w:kern w:val="28"/>
          <w:lang w:val="fr-FR"/>
        </w:rPr>
        <w:t>;</w:t>
      </w:r>
      <w:r w:rsidR="0090098B" w:rsidRPr="004C1836">
        <w:rPr>
          <w:kern w:val="28"/>
          <w:lang w:val="fr-FR"/>
        </w:rPr>
        <w:t xml:space="preserve">  l</w:t>
      </w:r>
      <w:r w:rsidR="0074166E" w:rsidRPr="004C1836">
        <w:rPr>
          <w:kern w:val="28"/>
          <w:lang w:val="fr-FR"/>
        </w:rPr>
        <w:t>ogiciels échangeables</w:t>
      </w:r>
      <w:r w:rsidR="00AB5517" w:rsidRPr="004C1836">
        <w:rPr>
          <w:kern w:val="28"/>
          <w:lang w:val="fr-FR"/>
        </w:rPr>
        <w:t>;</w:t>
      </w:r>
      <w:r w:rsidR="0090098B" w:rsidRPr="004C1836">
        <w:rPr>
          <w:kern w:val="28"/>
          <w:lang w:val="fr-FR"/>
        </w:rPr>
        <w:t xml:space="preserve">  s</w:t>
      </w:r>
      <w:r w:rsidR="0074166E" w:rsidRPr="004C1836">
        <w:rPr>
          <w:kern w:val="28"/>
          <w:lang w:val="fr-FR"/>
        </w:rPr>
        <w:t>ystèmes de dépôt électronique des demandes</w:t>
      </w:r>
      <w:r w:rsidR="00AB5517" w:rsidRPr="004C1836">
        <w:rPr>
          <w:kern w:val="28"/>
          <w:lang w:val="fr-FR"/>
        </w:rPr>
        <w:t>;</w:t>
      </w:r>
      <w:r w:rsidR="0090098B" w:rsidRPr="004C1836">
        <w:rPr>
          <w:kern w:val="28"/>
          <w:lang w:val="fr-FR"/>
        </w:rPr>
        <w:t xml:space="preserve">  p</w:t>
      </w:r>
      <w:r w:rsidR="0074166E" w:rsidRPr="004C1836">
        <w:rPr>
          <w:kern w:val="28"/>
          <w:lang w:val="fr-FR"/>
        </w:rPr>
        <w:t>ossibilité d</w:t>
      </w:r>
      <w:r w:rsidR="00AB5517" w:rsidRPr="004C1836">
        <w:rPr>
          <w:kern w:val="28"/>
          <w:lang w:val="fr-FR"/>
        </w:rPr>
        <w:t>’</w:t>
      </w:r>
      <w:r w:rsidR="0074166E" w:rsidRPr="004C1836">
        <w:rPr>
          <w:kern w:val="28"/>
          <w:lang w:val="fr-FR"/>
        </w:rPr>
        <w:t>élaboration d</w:t>
      </w:r>
      <w:r w:rsidR="00AB5517" w:rsidRPr="004C1836">
        <w:rPr>
          <w:kern w:val="28"/>
          <w:lang w:val="fr-FR"/>
        </w:rPr>
        <w:t>’</w:t>
      </w:r>
      <w:r w:rsidR="0074166E" w:rsidRPr="004C1836">
        <w:rPr>
          <w:kern w:val="28"/>
          <w:lang w:val="fr-FR"/>
        </w:rPr>
        <w:t>un outil de recherche de l</w:t>
      </w:r>
      <w:r w:rsidR="00AB5517" w:rsidRPr="004C1836">
        <w:rPr>
          <w:kern w:val="28"/>
          <w:lang w:val="fr-FR"/>
        </w:rPr>
        <w:t>’</w:t>
      </w:r>
      <w:r w:rsidR="0074166E" w:rsidRPr="004C1836">
        <w:rPr>
          <w:kern w:val="28"/>
          <w:lang w:val="fr-FR"/>
        </w:rPr>
        <w:t>UPOV de similarité aux fins de la dénomination variétale</w:t>
      </w:r>
      <w:r w:rsidR="00AB5517" w:rsidRPr="004C1836">
        <w:rPr>
          <w:kern w:val="28"/>
          <w:lang w:val="fr-FR"/>
        </w:rPr>
        <w:t>;</w:t>
      </w:r>
      <w:r w:rsidR="0090098B" w:rsidRPr="004C1836">
        <w:rPr>
          <w:kern w:val="28"/>
          <w:lang w:val="fr-FR"/>
        </w:rPr>
        <w:t xml:space="preserve">  p</w:t>
      </w:r>
      <w:r w:rsidR="0074166E" w:rsidRPr="004C1836">
        <w:rPr>
          <w:kern w:val="28"/>
          <w:lang w:val="fr-FR"/>
        </w:rPr>
        <w:t>rogramme de la soixante</w:t>
      </w:r>
      <w:r w:rsidR="00A82473" w:rsidRPr="004C1836">
        <w:rPr>
          <w:kern w:val="28"/>
          <w:lang w:val="fr-FR"/>
        </w:rPr>
        <w:noBreakHyphen/>
      </w:r>
      <w:r w:rsidR="0074166E" w:rsidRPr="004C1836">
        <w:rPr>
          <w:kern w:val="28"/>
          <w:lang w:val="fr-FR"/>
        </w:rPr>
        <w:t>neuvième session</w:t>
      </w:r>
      <w:r w:rsidR="00AB5517" w:rsidRPr="004C1836">
        <w:rPr>
          <w:kern w:val="28"/>
          <w:lang w:val="fr-FR"/>
        </w:rPr>
        <w:t>;</w:t>
      </w:r>
      <w:r w:rsidR="0090098B" w:rsidRPr="004C1836">
        <w:rPr>
          <w:kern w:val="28"/>
          <w:lang w:val="fr-FR"/>
        </w:rPr>
        <w:t xml:space="preserve">  a</w:t>
      </w:r>
      <w:r w:rsidR="0074166E" w:rsidRPr="004C1836">
        <w:rPr>
          <w:kern w:val="28"/>
          <w:lang w:val="fr-FR"/>
        </w:rPr>
        <w:t>doption du compte rendu des conclusions (selon le temps disponible)</w:t>
      </w:r>
      <w:r w:rsidR="00AB5517" w:rsidRPr="004C1836">
        <w:rPr>
          <w:kern w:val="28"/>
          <w:lang w:val="fr-FR"/>
        </w:rPr>
        <w:t>;</w:t>
      </w:r>
      <w:r w:rsidR="0090098B" w:rsidRPr="004C1836">
        <w:rPr>
          <w:kern w:val="28"/>
          <w:lang w:val="fr-FR"/>
        </w:rPr>
        <w:t xml:space="preserve">  et c</w:t>
      </w:r>
      <w:r w:rsidR="0074166E" w:rsidRPr="004C1836">
        <w:rPr>
          <w:kern w:val="28"/>
          <w:lang w:val="fr-FR"/>
        </w:rPr>
        <w:t>lôture de la session</w:t>
      </w:r>
      <w:r w:rsidR="0090098B" w:rsidRPr="004C1836">
        <w:rPr>
          <w:kern w:val="28"/>
          <w:lang w:val="fr-FR"/>
        </w:rPr>
        <w:t xml:space="preserve"> </w:t>
      </w:r>
      <w:r w:rsidR="00CE66C8" w:rsidRPr="004C1836">
        <w:rPr>
          <w:lang w:val="fr-FR"/>
        </w:rPr>
        <w:t xml:space="preserve">(voir le paragraphe 62 du document CAJ/67/14 </w:t>
      </w:r>
      <w:r w:rsidR="00CE66C8" w:rsidRPr="004C1836">
        <w:rPr>
          <w:rFonts w:eastAsia="MS Mincho" w:cs="Arial"/>
          <w:lang w:val="fr-FR" w:eastAsia="ja-JP" w:bidi="th-TH"/>
        </w:rPr>
        <w:t>“</w:t>
      </w:r>
      <w:r w:rsidR="00CE66C8" w:rsidRPr="004C1836">
        <w:rPr>
          <w:lang w:val="fr-FR"/>
        </w:rPr>
        <w:t>Compte rendu des conclusions</w:t>
      </w:r>
      <w:r w:rsidR="00CE66C8" w:rsidRPr="004C1836">
        <w:rPr>
          <w:rFonts w:eastAsia="MS Mincho" w:cs="Arial"/>
          <w:lang w:val="fr-FR" w:eastAsia="ja-JP" w:bidi="th-TH"/>
        </w:rPr>
        <w:t>”</w:t>
      </w:r>
      <w:r w:rsidR="00CE66C8" w:rsidRPr="004C1836">
        <w:rPr>
          <w:lang w:val="fr-FR"/>
        </w:rPr>
        <w:t>)</w:t>
      </w:r>
      <w:r w:rsidR="005F6091" w:rsidRPr="004C1836">
        <w:rPr>
          <w:snapToGrid w:val="0"/>
          <w:lang w:val="fr-FR"/>
        </w:rPr>
        <w:t>.</w:t>
      </w:r>
    </w:p>
    <w:p w:rsidR="00A93D2D" w:rsidRPr="004C1836" w:rsidRDefault="00A93D2D" w:rsidP="00651893">
      <w:pPr>
        <w:rPr>
          <w:i/>
          <w:lang w:val="fr-FR"/>
        </w:rPr>
      </w:pPr>
    </w:p>
    <w:p w:rsidR="008C4762" w:rsidRPr="004C1836" w:rsidRDefault="008C4762" w:rsidP="00E75D49">
      <w:pPr>
        <w:pStyle w:val="BodyTextIndent"/>
        <w:keepNext/>
        <w:tabs>
          <w:tab w:val="left" w:pos="5387"/>
          <w:tab w:val="left" w:pos="5954"/>
        </w:tabs>
        <w:spacing w:after="0"/>
        <w:ind w:left="4820"/>
        <w:rPr>
          <w:rFonts w:ascii="Arial" w:hAnsi="Arial" w:cs="Arial"/>
          <w:i/>
          <w:sz w:val="20"/>
          <w:lang w:val="fr-FR"/>
        </w:rPr>
      </w:pPr>
      <w:r w:rsidRPr="004C1836">
        <w:rPr>
          <w:rFonts w:ascii="Arial" w:hAnsi="Arial" w:cs="Arial"/>
          <w:i/>
          <w:sz w:val="22"/>
          <w:szCs w:val="22"/>
          <w:lang w:val="fr-FR"/>
        </w:rPr>
        <w:fldChar w:fldCharType="begin"/>
      </w:r>
      <w:r w:rsidRPr="004C1836">
        <w:rPr>
          <w:rFonts w:ascii="Arial" w:hAnsi="Arial" w:cs="Arial"/>
          <w:i/>
          <w:sz w:val="22"/>
          <w:szCs w:val="22"/>
          <w:lang w:val="fr-FR"/>
        </w:rPr>
        <w:instrText xml:space="preserve"> AUTONUM  </w:instrText>
      </w:r>
      <w:r w:rsidRPr="004C1836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4C1836">
        <w:rPr>
          <w:i/>
          <w:lang w:val="fr-FR"/>
        </w:rPr>
        <w:tab/>
      </w:r>
      <w:r w:rsidRPr="004C1836">
        <w:rPr>
          <w:rFonts w:ascii="Arial" w:hAnsi="Arial" w:cs="Arial"/>
          <w:i/>
          <w:sz w:val="20"/>
          <w:lang w:val="fr-FR"/>
        </w:rPr>
        <w:t xml:space="preserve">Le Conseil est invité </w:t>
      </w:r>
    </w:p>
    <w:p w:rsidR="008C4762" w:rsidRPr="004C1836" w:rsidRDefault="008C4762" w:rsidP="00E75D49">
      <w:pPr>
        <w:pStyle w:val="DecisionParagraphs"/>
        <w:keepNext/>
        <w:tabs>
          <w:tab w:val="left" w:pos="5954"/>
        </w:tabs>
        <w:rPr>
          <w:rFonts w:cs="Arial"/>
          <w:lang w:val="fr-FR"/>
        </w:rPr>
      </w:pPr>
    </w:p>
    <w:p w:rsidR="008C4762" w:rsidRPr="004C1836" w:rsidRDefault="00674FCE" w:rsidP="00E75D49">
      <w:pPr>
        <w:pStyle w:val="DecisionParagraphs"/>
        <w:keepNext/>
        <w:keepLines/>
        <w:numPr>
          <w:ilvl w:val="1"/>
          <w:numId w:val="2"/>
        </w:numPr>
        <w:tabs>
          <w:tab w:val="left" w:pos="5954"/>
          <w:tab w:val="left" w:pos="6663"/>
        </w:tabs>
        <w:ind w:left="4820" w:firstLine="564"/>
        <w:rPr>
          <w:rFonts w:cs="Arial"/>
          <w:lang w:val="fr-FR"/>
        </w:rPr>
      </w:pPr>
      <w:r w:rsidRPr="004C1836">
        <w:rPr>
          <w:rFonts w:cs="Arial"/>
          <w:lang w:val="fr-FR"/>
        </w:rPr>
        <w:t xml:space="preserve">à </w:t>
      </w:r>
      <w:r w:rsidR="008C4762" w:rsidRPr="004C1836">
        <w:rPr>
          <w:rFonts w:cs="Arial"/>
          <w:lang w:val="fr-FR"/>
        </w:rPr>
        <w:t>prendre note des travaux du CAJ indiqués dans le présent document et dans le rapport verbal qui doit être présenté par le président du CAJ;  et</w:t>
      </w:r>
    </w:p>
    <w:p w:rsidR="008C4762" w:rsidRPr="004C1836" w:rsidRDefault="008C4762" w:rsidP="00E75D49">
      <w:pPr>
        <w:pStyle w:val="DecisionParagraphs"/>
        <w:keepNext/>
        <w:tabs>
          <w:tab w:val="left" w:pos="5954"/>
        </w:tabs>
        <w:rPr>
          <w:rFonts w:cs="Arial"/>
          <w:lang w:val="fr-FR"/>
        </w:rPr>
      </w:pPr>
    </w:p>
    <w:p w:rsidR="008C4762" w:rsidRPr="004C1836" w:rsidRDefault="00674FCE" w:rsidP="00E75D49">
      <w:pPr>
        <w:pStyle w:val="BodyTextIndent"/>
        <w:keepNext/>
        <w:numPr>
          <w:ilvl w:val="1"/>
          <w:numId w:val="2"/>
        </w:numPr>
        <w:tabs>
          <w:tab w:val="left" w:pos="5387"/>
          <w:tab w:val="left" w:pos="5954"/>
          <w:tab w:val="left" w:pos="6663"/>
        </w:tabs>
        <w:spacing w:after="0"/>
        <w:ind w:left="4820" w:firstLine="564"/>
        <w:rPr>
          <w:rFonts w:ascii="Arial" w:hAnsi="Arial" w:cs="Arial"/>
          <w:i/>
          <w:sz w:val="20"/>
          <w:lang w:val="fr-FR"/>
        </w:rPr>
      </w:pPr>
      <w:r w:rsidRPr="004C1836">
        <w:rPr>
          <w:rFonts w:ascii="Arial" w:hAnsi="Arial" w:cs="Arial"/>
          <w:i/>
          <w:sz w:val="20"/>
          <w:lang w:val="fr-FR"/>
        </w:rPr>
        <w:t xml:space="preserve">à </w:t>
      </w:r>
      <w:r w:rsidR="008C4762" w:rsidRPr="004C1836">
        <w:rPr>
          <w:rFonts w:ascii="Arial" w:hAnsi="Arial" w:cs="Arial"/>
          <w:i/>
          <w:sz w:val="20"/>
          <w:lang w:val="fr-FR"/>
        </w:rPr>
        <w:t>approuver le programme de travail de la soixante</w:t>
      </w:r>
      <w:r w:rsidR="00A82473" w:rsidRPr="004C1836">
        <w:rPr>
          <w:rFonts w:ascii="Arial" w:hAnsi="Arial" w:cs="Arial"/>
          <w:i/>
          <w:sz w:val="20"/>
          <w:lang w:val="fr-FR"/>
        </w:rPr>
        <w:noBreakHyphen/>
      </w:r>
      <w:r w:rsidR="00863F6F" w:rsidRPr="004C1836">
        <w:rPr>
          <w:rFonts w:ascii="Arial" w:hAnsi="Arial" w:cs="Arial"/>
          <w:i/>
          <w:sz w:val="20"/>
          <w:lang w:val="fr-FR"/>
        </w:rPr>
        <w:t>neuvi</w:t>
      </w:r>
      <w:r w:rsidR="008C4762" w:rsidRPr="004C1836">
        <w:rPr>
          <w:rFonts w:ascii="Arial" w:hAnsi="Arial" w:cs="Arial"/>
          <w:i/>
          <w:sz w:val="20"/>
          <w:lang w:val="fr-FR"/>
        </w:rPr>
        <w:t>ème session du CAJ, tel qu</w:t>
      </w:r>
      <w:r w:rsidR="00AB5517" w:rsidRPr="004C1836">
        <w:rPr>
          <w:rFonts w:ascii="Arial" w:hAnsi="Arial" w:cs="Arial"/>
          <w:i/>
          <w:sz w:val="20"/>
          <w:lang w:val="fr-FR"/>
        </w:rPr>
        <w:t>’</w:t>
      </w:r>
      <w:r w:rsidR="008C4762" w:rsidRPr="004C1836">
        <w:rPr>
          <w:rFonts w:ascii="Arial" w:hAnsi="Arial" w:cs="Arial"/>
          <w:i/>
          <w:sz w:val="20"/>
          <w:lang w:val="fr-FR"/>
        </w:rPr>
        <w:t>il doit être présenté par le président du CAJ dans son rapport verbal.</w:t>
      </w:r>
    </w:p>
    <w:p w:rsidR="000A68B4" w:rsidRPr="004C1836" w:rsidRDefault="000A68B4" w:rsidP="00E75D49">
      <w:pPr>
        <w:tabs>
          <w:tab w:val="left" w:pos="5387"/>
          <w:tab w:val="left" w:pos="5954"/>
        </w:tabs>
        <w:ind w:left="4820"/>
        <w:rPr>
          <w:lang w:val="fr-FR"/>
        </w:rPr>
      </w:pPr>
    </w:p>
    <w:p w:rsidR="007104C6" w:rsidRPr="004C1836" w:rsidRDefault="007104C6" w:rsidP="00651893">
      <w:pPr>
        <w:rPr>
          <w:lang w:val="fr-FR"/>
        </w:rPr>
      </w:pPr>
    </w:p>
    <w:p w:rsidR="007104C6" w:rsidRPr="004C1836" w:rsidRDefault="007104C6" w:rsidP="00651893">
      <w:pPr>
        <w:rPr>
          <w:lang w:val="fr-FR"/>
        </w:rPr>
      </w:pPr>
    </w:p>
    <w:p w:rsidR="007104C6" w:rsidRPr="004C1836" w:rsidRDefault="0061555F" w:rsidP="00651893">
      <w:pPr>
        <w:jc w:val="right"/>
        <w:rPr>
          <w:lang w:val="fr-FR"/>
        </w:rPr>
      </w:pPr>
      <w:r w:rsidRPr="004C1836">
        <w:rPr>
          <w:lang w:val="fr-FR"/>
        </w:rPr>
        <w:t>[</w:t>
      </w:r>
      <w:r w:rsidR="00343827" w:rsidRPr="004C1836">
        <w:rPr>
          <w:lang w:val="fr-FR"/>
        </w:rPr>
        <w:t>Fin du</w:t>
      </w:r>
      <w:r w:rsidRPr="004C1836">
        <w:rPr>
          <w:lang w:val="fr-FR"/>
        </w:rPr>
        <w:t xml:space="preserve"> document]</w:t>
      </w:r>
    </w:p>
    <w:sectPr w:rsidR="007104C6" w:rsidRPr="004C1836" w:rsidSect="005F123A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2B4" w:rsidRDefault="00C142B4" w:rsidP="006655D3">
      <w:r>
        <w:separator/>
      </w:r>
    </w:p>
    <w:p w:rsidR="00C142B4" w:rsidRDefault="00C142B4" w:rsidP="006655D3"/>
    <w:p w:rsidR="00C142B4" w:rsidRDefault="00C142B4" w:rsidP="006655D3"/>
  </w:endnote>
  <w:endnote w:type="continuationSeparator" w:id="0">
    <w:p w:rsidR="00C142B4" w:rsidRDefault="00C142B4" w:rsidP="006655D3">
      <w:r>
        <w:separator/>
      </w:r>
    </w:p>
    <w:p w:rsidR="00C142B4" w:rsidRPr="00560A6D" w:rsidRDefault="00C142B4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C142B4" w:rsidRPr="00560A6D" w:rsidRDefault="00C142B4" w:rsidP="006655D3">
      <w:pPr>
        <w:rPr>
          <w:lang w:val="fr-FR"/>
        </w:rPr>
      </w:pPr>
    </w:p>
    <w:p w:rsidR="00C142B4" w:rsidRPr="00560A6D" w:rsidRDefault="00C142B4" w:rsidP="006655D3">
      <w:pPr>
        <w:rPr>
          <w:lang w:val="fr-FR"/>
        </w:rPr>
      </w:pPr>
    </w:p>
  </w:endnote>
  <w:endnote w:type="continuationNotice" w:id="1">
    <w:p w:rsidR="00C142B4" w:rsidRPr="00560A6D" w:rsidRDefault="00C142B4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C142B4" w:rsidRPr="00560A6D" w:rsidRDefault="00C142B4" w:rsidP="006655D3">
      <w:pPr>
        <w:rPr>
          <w:lang w:val="fr-FR"/>
        </w:rPr>
      </w:pPr>
    </w:p>
    <w:p w:rsidR="00C142B4" w:rsidRPr="00560A6D" w:rsidRDefault="00C142B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2B4" w:rsidRDefault="00C142B4" w:rsidP="00C95616">
      <w:pPr>
        <w:spacing w:before="120"/>
      </w:pPr>
      <w:r>
        <w:separator/>
      </w:r>
    </w:p>
  </w:footnote>
  <w:footnote w:type="continuationSeparator" w:id="0">
    <w:p w:rsidR="00C142B4" w:rsidRDefault="00C142B4" w:rsidP="006655D3">
      <w:r>
        <w:separator/>
      </w:r>
    </w:p>
  </w:footnote>
  <w:footnote w:type="continuationNotice" w:id="1">
    <w:p w:rsidR="00C142B4" w:rsidRPr="00A56FAA" w:rsidRDefault="00C142B4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F38" w:rsidRPr="00C5280D" w:rsidRDefault="00190F3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C/47/9</w:t>
    </w:r>
  </w:p>
  <w:p w:rsidR="00190F38" w:rsidRPr="00C5280D" w:rsidRDefault="00190F38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C61BA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190F38" w:rsidRPr="00C5280D" w:rsidRDefault="00190F38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979E3"/>
    <w:multiLevelType w:val="hybridMultilevel"/>
    <w:tmpl w:val="9348BEBE"/>
    <w:lvl w:ilvl="0" w:tplc="77C06976">
      <w:start w:val="1"/>
      <w:numFmt w:val="lowerRoman"/>
      <w:lvlText w:val="%1)"/>
      <w:lvlJc w:val="left"/>
      <w:pPr>
        <w:tabs>
          <w:tab w:val="num" w:pos="2836"/>
        </w:tabs>
        <w:ind w:left="1135" w:firstLine="1134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575" w:hanging="360"/>
      </w:pPr>
    </w:lvl>
    <w:lvl w:ilvl="2" w:tplc="040C001B" w:tentative="1">
      <w:start w:val="1"/>
      <w:numFmt w:val="lowerRoman"/>
      <w:lvlText w:val="%3."/>
      <w:lvlJc w:val="right"/>
      <w:pPr>
        <w:ind w:left="3295" w:hanging="180"/>
      </w:pPr>
    </w:lvl>
    <w:lvl w:ilvl="3" w:tplc="040C000F" w:tentative="1">
      <w:start w:val="1"/>
      <w:numFmt w:val="decimal"/>
      <w:lvlText w:val="%4."/>
      <w:lvlJc w:val="left"/>
      <w:pPr>
        <w:ind w:left="4015" w:hanging="360"/>
      </w:pPr>
    </w:lvl>
    <w:lvl w:ilvl="4" w:tplc="040C0019" w:tentative="1">
      <w:start w:val="1"/>
      <w:numFmt w:val="lowerLetter"/>
      <w:lvlText w:val="%5."/>
      <w:lvlJc w:val="left"/>
      <w:pPr>
        <w:ind w:left="4735" w:hanging="360"/>
      </w:pPr>
    </w:lvl>
    <w:lvl w:ilvl="5" w:tplc="040C001B" w:tentative="1">
      <w:start w:val="1"/>
      <w:numFmt w:val="lowerRoman"/>
      <w:lvlText w:val="%6."/>
      <w:lvlJc w:val="right"/>
      <w:pPr>
        <w:ind w:left="5455" w:hanging="180"/>
      </w:pPr>
    </w:lvl>
    <w:lvl w:ilvl="6" w:tplc="040C000F" w:tentative="1">
      <w:start w:val="1"/>
      <w:numFmt w:val="decimal"/>
      <w:lvlText w:val="%7."/>
      <w:lvlJc w:val="left"/>
      <w:pPr>
        <w:ind w:left="6175" w:hanging="360"/>
      </w:pPr>
    </w:lvl>
    <w:lvl w:ilvl="7" w:tplc="040C0019" w:tentative="1">
      <w:start w:val="1"/>
      <w:numFmt w:val="lowerLetter"/>
      <w:lvlText w:val="%8."/>
      <w:lvlJc w:val="left"/>
      <w:pPr>
        <w:ind w:left="6895" w:hanging="360"/>
      </w:pPr>
    </w:lvl>
    <w:lvl w:ilvl="8" w:tplc="040C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">
    <w:nsid w:val="1ED2127E"/>
    <w:multiLevelType w:val="hybridMultilevel"/>
    <w:tmpl w:val="A698BEBA"/>
    <w:lvl w:ilvl="0" w:tplc="483206A8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50" w:hanging="360"/>
      </w:pPr>
    </w:lvl>
    <w:lvl w:ilvl="2" w:tplc="040C001B" w:tentative="1">
      <w:start w:val="1"/>
      <w:numFmt w:val="lowerRoman"/>
      <w:lvlText w:val="%3."/>
      <w:lvlJc w:val="right"/>
      <w:pPr>
        <w:ind w:left="2370" w:hanging="180"/>
      </w:pPr>
    </w:lvl>
    <w:lvl w:ilvl="3" w:tplc="040C000F" w:tentative="1">
      <w:start w:val="1"/>
      <w:numFmt w:val="decimal"/>
      <w:lvlText w:val="%4."/>
      <w:lvlJc w:val="left"/>
      <w:pPr>
        <w:ind w:left="3090" w:hanging="360"/>
      </w:pPr>
    </w:lvl>
    <w:lvl w:ilvl="4" w:tplc="040C0019" w:tentative="1">
      <w:start w:val="1"/>
      <w:numFmt w:val="lowerLetter"/>
      <w:lvlText w:val="%5."/>
      <w:lvlJc w:val="left"/>
      <w:pPr>
        <w:ind w:left="3810" w:hanging="360"/>
      </w:pPr>
    </w:lvl>
    <w:lvl w:ilvl="5" w:tplc="040C001B" w:tentative="1">
      <w:start w:val="1"/>
      <w:numFmt w:val="lowerRoman"/>
      <w:lvlText w:val="%6."/>
      <w:lvlJc w:val="right"/>
      <w:pPr>
        <w:ind w:left="4530" w:hanging="180"/>
      </w:pPr>
    </w:lvl>
    <w:lvl w:ilvl="6" w:tplc="040C000F" w:tentative="1">
      <w:start w:val="1"/>
      <w:numFmt w:val="decimal"/>
      <w:lvlText w:val="%7."/>
      <w:lvlJc w:val="left"/>
      <w:pPr>
        <w:ind w:left="5250" w:hanging="360"/>
      </w:pPr>
    </w:lvl>
    <w:lvl w:ilvl="7" w:tplc="040C0019" w:tentative="1">
      <w:start w:val="1"/>
      <w:numFmt w:val="lowerLetter"/>
      <w:lvlText w:val="%8."/>
      <w:lvlJc w:val="left"/>
      <w:pPr>
        <w:ind w:left="5970" w:hanging="360"/>
      </w:pPr>
    </w:lvl>
    <w:lvl w:ilvl="8" w:tplc="040C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21A74711"/>
    <w:multiLevelType w:val="hybridMultilevel"/>
    <w:tmpl w:val="3A148368"/>
    <w:lvl w:ilvl="0" w:tplc="AD94A98C">
      <w:start w:val="1"/>
      <w:numFmt w:val="lowerRoman"/>
      <w:lvlText w:val="%1)"/>
      <w:lvlJc w:val="left"/>
      <w:pPr>
        <w:tabs>
          <w:tab w:val="num" w:pos="1707"/>
        </w:tabs>
        <w:ind w:left="0" w:firstLine="1140"/>
      </w:pPr>
      <w:rPr>
        <w:rFonts w:hint="default"/>
      </w:rPr>
    </w:lvl>
    <w:lvl w:ilvl="1" w:tplc="26B8ECE2">
      <w:start w:val="1"/>
      <w:numFmt w:val="lowerLetter"/>
      <w:lvlText w:val="%2)"/>
      <w:lvlJc w:val="left"/>
      <w:pPr>
        <w:tabs>
          <w:tab w:val="num" w:pos="1644"/>
        </w:tabs>
        <w:ind w:left="510" w:firstLine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E31D91"/>
    <w:multiLevelType w:val="hybridMultilevel"/>
    <w:tmpl w:val="00647270"/>
    <w:lvl w:ilvl="0" w:tplc="AD94A98C">
      <w:start w:val="1"/>
      <w:numFmt w:val="lowerRoman"/>
      <w:lvlText w:val="%1)"/>
      <w:lvlJc w:val="left"/>
      <w:pPr>
        <w:tabs>
          <w:tab w:val="num" w:pos="1707"/>
        </w:tabs>
        <w:ind w:left="0" w:firstLine="1140"/>
      </w:pPr>
      <w:rPr>
        <w:rFonts w:hint="default"/>
      </w:rPr>
    </w:lvl>
    <w:lvl w:ilvl="1" w:tplc="DEDADF84">
      <w:start w:val="1"/>
      <w:numFmt w:val="lowerLetter"/>
      <w:lvlText w:val="%2)"/>
      <w:lvlJc w:val="left"/>
      <w:pPr>
        <w:tabs>
          <w:tab w:val="num" w:pos="2220"/>
        </w:tabs>
        <w:ind w:left="2220" w:hanging="1140"/>
      </w:pPr>
      <w:rPr>
        <w:rFonts w:hint="default"/>
      </w:rPr>
    </w:lvl>
    <w:lvl w:ilvl="2" w:tplc="2BBACA5E">
      <w:start w:val="3"/>
      <w:numFmt w:val="decimal"/>
      <w:lvlText w:val="%3."/>
      <w:lvlJc w:val="left"/>
      <w:pPr>
        <w:tabs>
          <w:tab w:val="num" w:pos="567"/>
        </w:tabs>
        <w:ind w:left="0" w:firstLine="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891084"/>
    <w:multiLevelType w:val="hybridMultilevel"/>
    <w:tmpl w:val="A6CC70AE"/>
    <w:lvl w:ilvl="0" w:tplc="040C000F">
      <w:start w:val="1"/>
      <w:numFmt w:val="decimal"/>
      <w:lvlText w:val="%1.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27DF5674"/>
    <w:multiLevelType w:val="hybridMultilevel"/>
    <w:tmpl w:val="F496C8F0"/>
    <w:lvl w:ilvl="0" w:tplc="9A02A5B6">
      <w:start w:val="1"/>
      <w:numFmt w:val="lowerRoman"/>
      <w:lvlText w:val="%1)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36A4678D"/>
    <w:multiLevelType w:val="hybridMultilevel"/>
    <w:tmpl w:val="C0202B10"/>
    <w:lvl w:ilvl="0" w:tplc="9E7A3EDA">
      <w:start w:val="1"/>
      <w:numFmt w:val="lowerLetter"/>
      <w:lvlText w:val="%1)"/>
      <w:lvlJc w:val="left"/>
      <w:pPr>
        <w:ind w:left="1708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609F070B"/>
    <w:multiLevelType w:val="hybridMultilevel"/>
    <w:tmpl w:val="E1507694"/>
    <w:lvl w:ilvl="0" w:tplc="77C06976">
      <w:start w:val="1"/>
      <w:numFmt w:val="lowerRoman"/>
      <w:lvlText w:val="%1)"/>
      <w:lvlJc w:val="left"/>
      <w:pPr>
        <w:tabs>
          <w:tab w:val="num" w:pos="1701"/>
        </w:tabs>
        <w:ind w:left="0" w:firstLine="1134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71575D22"/>
    <w:multiLevelType w:val="hybridMultilevel"/>
    <w:tmpl w:val="706C561C"/>
    <w:lvl w:ilvl="0" w:tplc="77C06976">
      <w:start w:val="1"/>
      <w:numFmt w:val="lowerRoman"/>
      <w:lvlText w:val="%1)"/>
      <w:lvlJc w:val="left"/>
      <w:pPr>
        <w:tabs>
          <w:tab w:val="num" w:pos="2836"/>
        </w:tabs>
        <w:ind w:left="1135" w:firstLine="1134"/>
      </w:pPr>
      <w:rPr>
        <w:rFonts w:hint="default"/>
        <w:b w:val="0"/>
        <w:bCs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2575" w:hanging="360"/>
      </w:pPr>
    </w:lvl>
    <w:lvl w:ilvl="2" w:tplc="040C001B" w:tentative="1">
      <w:start w:val="1"/>
      <w:numFmt w:val="lowerRoman"/>
      <w:lvlText w:val="%3."/>
      <w:lvlJc w:val="right"/>
      <w:pPr>
        <w:ind w:left="3295" w:hanging="180"/>
      </w:pPr>
    </w:lvl>
    <w:lvl w:ilvl="3" w:tplc="040C000F" w:tentative="1">
      <w:start w:val="1"/>
      <w:numFmt w:val="decimal"/>
      <w:lvlText w:val="%4."/>
      <w:lvlJc w:val="left"/>
      <w:pPr>
        <w:ind w:left="4015" w:hanging="360"/>
      </w:pPr>
    </w:lvl>
    <w:lvl w:ilvl="4" w:tplc="040C0019" w:tentative="1">
      <w:start w:val="1"/>
      <w:numFmt w:val="lowerLetter"/>
      <w:lvlText w:val="%5."/>
      <w:lvlJc w:val="left"/>
      <w:pPr>
        <w:ind w:left="4735" w:hanging="360"/>
      </w:pPr>
    </w:lvl>
    <w:lvl w:ilvl="5" w:tplc="040C001B" w:tentative="1">
      <w:start w:val="1"/>
      <w:numFmt w:val="lowerRoman"/>
      <w:lvlText w:val="%6."/>
      <w:lvlJc w:val="right"/>
      <w:pPr>
        <w:ind w:left="5455" w:hanging="180"/>
      </w:pPr>
    </w:lvl>
    <w:lvl w:ilvl="6" w:tplc="040C000F" w:tentative="1">
      <w:start w:val="1"/>
      <w:numFmt w:val="decimal"/>
      <w:lvlText w:val="%7."/>
      <w:lvlJc w:val="left"/>
      <w:pPr>
        <w:ind w:left="6175" w:hanging="360"/>
      </w:pPr>
    </w:lvl>
    <w:lvl w:ilvl="7" w:tplc="040C0019" w:tentative="1">
      <w:start w:val="1"/>
      <w:numFmt w:val="lowerLetter"/>
      <w:lvlText w:val="%8."/>
      <w:lvlJc w:val="left"/>
      <w:pPr>
        <w:ind w:left="6895" w:hanging="360"/>
      </w:pPr>
    </w:lvl>
    <w:lvl w:ilvl="8" w:tplc="040C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9">
    <w:nsid w:val="74110173"/>
    <w:multiLevelType w:val="hybridMultilevel"/>
    <w:tmpl w:val="F496C8F0"/>
    <w:lvl w:ilvl="0" w:tplc="9A02A5B6">
      <w:start w:val="1"/>
      <w:numFmt w:val="lowerRoman"/>
      <w:lvlText w:val="%1)"/>
      <w:lvlJc w:val="left"/>
      <w:pPr>
        <w:tabs>
          <w:tab w:val="num" w:pos="1701"/>
        </w:tabs>
        <w:ind w:left="0" w:firstLine="113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2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6A56"/>
    <w:rsid w:val="00085505"/>
    <w:rsid w:val="00085A7F"/>
    <w:rsid w:val="000A68B4"/>
    <w:rsid w:val="000B4AA0"/>
    <w:rsid w:val="000C081B"/>
    <w:rsid w:val="000C13D8"/>
    <w:rsid w:val="000C4ACF"/>
    <w:rsid w:val="000C7021"/>
    <w:rsid w:val="000D13A9"/>
    <w:rsid w:val="000D6BBC"/>
    <w:rsid w:val="000D7780"/>
    <w:rsid w:val="00105929"/>
    <w:rsid w:val="001131D5"/>
    <w:rsid w:val="00141DB8"/>
    <w:rsid w:val="00147E6C"/>
    <w:rsid w:val="00160E98"/>
    <w:rsid w:val="001643B8"/>
    <w:rsid w:val="0017474A"/>
    <w:rsid w:val="001758C6"/>
    <w:rsid w:val="00182B99"/>
    <w:rsid w:val="00183346"/>
    <w:rsid w:val="00190F38"/>
    <w:rsid w:val="001933E1"/>
    <w:rsid w:val="001A0080"/>
    <w:rsid w:val="001B78BA"/>
    <w:rsid w:val="001E0CF9"/>
    <w:rsid w:val="00203F24"/>
    <w:rsid w:val="002102D9"/>
    <w:rsid w:val="0021332C"/>
    <w:rsid w:val="00213982"/>
    <w:rsid w:val="00217B06"/>
    <w:rsid w:val="00220B8A"/>
    <w:rsid w:val="002404AA"/>
    <w:rsid w:val="0024416D"/>
    <w:rsid w:val="002800A0"/>
    <w:rsid w:val="002801B3"/>
    <w:rsid w:val="0028098F"/>
    <w:rsid w:val="00281060"/>
    <w:rsid w:val="00282432"/>
    <w:rsid w:val="00282AB9"/>
    <w:rsid w:val="002940E8"/>
    <w:rsid w:val="002A6E50"/>
    <w:rsid w:val="002B595D"/>
    <w:rsid w:val="002C256A"/>
    <w:rsid w:val="002C390A"/>
    <w:rsid w:val="002D5423"/>
    <w:rsid w:val="002E19E2"/>
    <w:rsid w:val="002E41D5"/>
    <w:rsid w:val="002E7845"/>
    <w:rsid w:val="002F4AF8"/>
    <w:rsid w:val="002F5DAA"/>
    <w:rsid w:val="00305A7F"/>
    <w:rsid w:val="00315280"/>
    <w:rsid w:val="003152FE"/>
    <w:rsid w:val="00327436"/>
    <w:rsid w:val="0033507D"/>
    <w:rsid w:val="00343827"/>
    <w:rsid w:val="00344BD6"/>
    <w:rsid w:val="0035528D"/>
    <w:rsid w:val="00361821"/>
    <w:rsid w:val="003621BD"/>
    <w:rsid w:val="0038009F"/>
    <w:rsid w:val="003B576A"/>
    <w:rsid w:val="003D227C"/>
    <w:rsid w:val="003D2B4D"/>
    <w:rsid w:val="003E7FB2"/>
    <w:rsid w:val="00401478"/>
    <w:rsid w:val="00414D77"/>
    <w:rsid w:val="004166E4"/>
    <w:rsid w:val="00444A88"/>
    <w:rsid w:val="00460625"/>
    <w:rsid w:val="00460709"/>
    <w:rsid w:val="00474DA4"/>
    <w:rsid w:val="00476B4D"/>
    <w:rsid w:val="004805FA"/>
    <w:rsid w:val="004865C2"/>
    <w:rsid w:val="0049483C"/>
    <w:rsid w:val="004A075C"/>
    <w:rsid w:val="004C1836"/>
    <w:rsid w:val="004D047D"/>
    <w:rsid w:val="004E61C5"/>
    <w:rsid w:val="004F305A"/>
    <w:rsid w:val="00512164"/>
    <w:rsid w:val="00520297"/>
    <w:rsid w:val="005338F9"/>
    <w:rsid w:val="0054281C"/>
    <w:rsid w:val="0055268D"/>
    <w:rsid w:val="005559B9"/>
    <w:rsid w:val="00560A6D"/>
    <w:rsid w:val="005757B8"/>
    <w:rsid w:val="00576BE4"/>
    <w:rsid w:val="00590220"/>
    <w:rsid w:val="005A400A"/>
    <w:rsid w:val="005A6B6E"/>
    <w:rsid w:val="005B78E0"/>
    <w:rsid w:val="005C1F82"/>
    <w:rsid w:val="005F05B6"/>
    <w:rsid w:val="005F123A"/>
    <w:rsid w:val="005F6091"/>
    <w:rsid w:val="00612379"/>
    <w:rsid w:val="006138E2"/>
    <w:rsid w:val="00615309"/>
    <w:rsid w:val="0061555F"/>
    <w:rsid w:val="00617C09"/>
    <w:rsid w:val="00631587"/>
    <w:rsid w:val="00641200"/>
    <w:rsid w:val="00651893"/>
    <w:rsid w:val="006655D3"/>
    <w:rsid w:val="006671E5"/>
    <w:rsid w:val="00674FCE"/>
    <w:rsid w:val="00687EB4"/>
    <w:rsid w:val="006936C5"/>
    <w:rsid w:val="006965D5"/>
    <w:rsid w:val="006B17D2"/>
    <w:rsid w:val="006B3D73"/>
    <w:rsid w:val="006C224E"/>
    <w:rsid w:val="006D492E"/>
    <w:rsid w:val="006D780A"/>
    <w:rsid w:val="006E1FE9"/>
    <w:rsid w:val="006E2C3B"/>
    <w:rsid w:val="006E4BCF"/>
    <w:rsid w:val="006E7F4A"/>
    <w:rsid w:val="007104C6"/>
    <w:rsid w:val="0072219F"/>
    <w:rsid w:val="00732DEC"/>
    <w:rsid w:val="00735BD5"/>
    <w:rsid w:val="0074166E"/>
    <w:rsid w:val="0075111F"/>
    <w:rsid w:val="007556F6"/>
    <w:rsid w:val="00760EEF"/>
    <w:rsid w:val="00763906"/>
    <w:rsid w:val="00777EE5"/>
    <w:rsid w:val="00784836"/>
    <w:rsid w:val="0079023E"/>
    <w:rsid w:val="007A2854"/>
    <w:rsid w:val="007C1F84"/>
    <w:rsid w:val="007C5D71"/>
    <w:rsid w:val="007D02B8"/>
    <w:rsid w:val="007D0B9D"/>
    <w:rsid w:val="007D19B0"/>
    <w:rsid w:val="007D2DB3"/>
    <w:rsid w:val="007E7453"/>
    <w:rsid w:val="007F498F"/>
    <w:rsid w:val="0080679D"/>
    <w:rsid w:val="008108B0"/>
    <w:rsid w:val="00811B20"/>
    <w:rsid w:val="008159A6"/>
    <w:rsid w:val="0082296E"/>
    <w:rsid w:val="00824099"/>
    <w:rsid w:val="00863F6F"/>
    <w:rsid w:val="00867AC1"/>
    <w:rsid w:val="008A3C6D"/>
    <w:rsid w:val="008A743F"/>
    <w:rsid w:val="008B0E0D"/>
    <w:rsid w:val="008C0970"/>
    <w:rsid w:val="008C4762"/>
    <w:rsid w:val="008C61BA"/>
    <w:rsid w:val="008D2CF7"/>
    <w:rsid w:val="008F40A5"/>
    <w:rsid w:val="0090098B"/>
    <w:rsid w:val="00900C26"/>
    <w:rsid w:val="0090197F"/>
    <w:rsid w:val="00901A3F"/>
    <w:rsid w:val="00906DDC"/>
    <w:rsid w:val="00934E09"/>
    <w:rsid w:val="00936253"/>
    <w:rsid w:val="00952DD4"/>
    <w:rsid w:val="00970FED"/>
    <w:rsid w:val="009910CE"/>
    <w:rsid w:val="00995410"/>
    <w:rsid w:val="00997029"/>
    <w:rsid w:val="009C5096"/>
    <w:rsid w:val="009D336A"/>
    <w:rsid w:val="009D690D"/>
    <w:rsid w:val="009E5A65"/>
    <w:rsid w:val="009E65B6"/>
    <w:rsid w:val="009E7A47"/>
    <w:rsid w:val="009F7D0F"/>
    <w:rsid w:val="00A1511B"/>
    <w:rsid w:val="00A30CC5"/>
    <w:rsid w:val="00A42AC3"/>
    <w:rsid w:val="00A430CF"/>
    <w:rsid w:val="00A54309"/>
    <w:rsid w:val="00A56FAA"/>
    <w:rsid w:val="00A579AE"/>
    <w:rsid w:val="00A64AE1"/>
    <w:rsid w:val="00A763BD"/>
    <w:rsid w:val="00A82473"/>
    <w:rsid w:val="00A93D2D"/>
    <w:rsid w:val="00AB272D"/>
    <w:rsid w:val="00AB2B93"/>
    <w:rsid w:val="00AB5517"/>
    <w:rsid w:val="00AB7E5B"/>
    <w:rsid w:val="00AE0EF1"/>
    <w:rsid w:val="00AE2937"/>
    <w:rsid w:val="00AE2F63"/>
    <w:rsid w:val="00B0439A"/>
    <w:rsid w:val="00B07301"/>
    <w:rsid w:val="00B107A5"/>
    <w:rsid w:val="00B224DE"/>
    <w:rsid w:val="00B46575"/>
    <w:rsid w:val="00B50236"/>
    <w:rsid w:val="00B61F06"/>
    <w:rsid w:val="00B70CA8"/>
    <w:rsid w:val="00B738BE"/>
    <w:rsid w:val="00B84BBD"/>
    <w:rsid w:val="00B96AB9"/>
    <w:rsid w:val="00BA43FB"/>
    <w:rsid w:val="00BA6C9F"/>
    <w:rsid w:val="00BC127D"/>
    <w:rsid w:val="00BC1FE6"/>
    <w:rsid w:val="00C061B6"/>
    <w:rsid w:val="00C142B4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734AB"/>
    <w:rsid w:val="00C95616"/>
    <w:rsid w:val="00C973F2"/>
    <w:rsid w:val="00CA304C"/>
    <w:rsid w:val="00CA774A"/>
    <w:rsid w:val="00CA7A9D"/>
    <w:rsid w:val="00CB49F8"/>
    <w:rsid w:val="00CB55DC"/>
    <w:rsid w:val="00CC11B0"/>
    <w:rsid w:val="00CC6526"/>
    <w:rsid w:val="00CE66C8"/>
    <w:rsid w:val="00CF7BF6"/>
    <w:rsid w:val="00CF7E36"/>
    <w:rsid w:val="00D3708D"/>
    <w:rsid w:val="00D40426"/>
    <w:rsid w:val="00D40FAB"/>
    <w:rsid w:val="00D46B59"/>
    <w:rsid w:val="00D57C96"/>
    <w:rsid w:val="00D57D84"/>
    <w:rsid w:val="00D77F6B"/>
    <w:rsid w:val="00D91203"/>
    <w:rsid w:val="00D95174"/>
    <w:rsid w:val="00D9528E"/>
    <w:rsid w:val="00DA6F36"/>
    <w:rsid w:val="00DB596E"/>
    <w:rsid w:val="00DC00EA"/>
    <w:rsid w:val="00DE6D78"/>
    <w:rsid w:val="00DF5B20"/>
    <w:rsid w:val="00E03F15"/>
    <w:rsid w:val="00E04A57"/>
    <w:rsid w:val="00E123F5"/>
    <w:rsid w:val="00E32F7E"/>
    <w:rsid w:val="00E3477D"/>
    <w:rsid w:val="00E4503E"/>
    <w:rsid w:val="00E72D49"/>
    <w:rsid w:val="00E7593C"/>
    <w:rsid w:val="00E75D49"/>
    <w:rsid w:val="00E7678A"/>
    <w:rsid w:val="00E81543"/>
    <w:rsid w:val="00E935F1"/>
    <w:rsid w:val="00E94A81"/>
    <w:rsid w:val="00EA1FFB"/>
    <w:rsid w:val="00EB048E"/>
    <w:rsid w:val="00EB7096"/>
    <w:rsid w:val="00EE34DF"/>
    <w:rsid w:val="00EF2F89"/>
    <w:rsid w:val="00F00904"/>
    <w:rsid w:val="00F1237A"/>
    <w:rsid w:val="00F22CBD"/>
    <w:rsid w:val="00F45372"/>
    <w:rsid w:val="00F47C4A"/>
    <w:rsid w:val="00F560F7"/>
    <w:rsid w:val="00F56C99"/>
    <w:rsid w:val="00F6334D"/>
    <w:rsid w:val="00F80602"/>
    <w:rsid w:val="00F95DB8"/>
    <w:rsid w:val="00FA49AB"/>
    <w:rsid w:val="00FC415D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147E6C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E2C3B"/>
    <w:pPr>
      <w:keepNext/>
      <w:ind w:firstLine="567"/>
      <w:jc w:val="both"/>
      <w:outlineLvl w:val="3"/>
    </w:pPr>
    <w:rPr>
      <w:rFonts w:ascii="Arial" w:hAnsi="Arial"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147E6C"/>
    <w:rPr>
      <w:rFonts w:ascii="Arial" w:hAnsi="Arial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7104C6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7104C6"/>
    <w:rPr>
      <w:sz w:val="24"/>
    </w:rPr>
  </w:style>
  <w:style w:type="paragraph" w:styleId="ListParagraph">
    <w:name w:val="List Paragraph"/>
    <w:basedOn w:val="Normal"/>
    <w:uiPriority w:val="34"/>
    <w:qFormat/>
    <w:rsid w:val="007D02B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147E6C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E2C3B"/>
    <w:pPr>
      <w:keepNext/>
      <w:ind w:firstLine="567"/>
      <w:jc w:val="both"/>
      <w:outlineLvl w:val="3"/>
    </w:pPr>
    <w:rPr>
      <w:rFonts w:ascii="Arial" w:hAnsi="Arial"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0A6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locked/>
    <w:rsid w:val="00147E6C"/>
    <w:rPr>
      <w:rFonts w:ascii="Arial" w:hAnsi="Arial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7104C6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link w:val="BodyTextIndent"/>
    <w:rsid w:val="007104C6"/>
    <w:rPr>
      <w:sz w:val="24"/>
    </w:rPr>
  </w:style>
  <w:style w:type="paragraph" w:styleId="ListParagraph">
    <w:name w:val="List Paragraph"/>
    <w:basedOn w:val="Normal"/>
    <w:uiPriority w:val="34"/>
    <w:qFormat/>
    <w:rsid w:val="007D02B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7C1E6-5873-4D2B-B9D3-F7DAC12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3677</Words>
  <Characters>20020</Characters>
  <Application>Microsoft Office Word</Application>
  <DocSecurity>0</DocSecurity>
  <Lines>166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23650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BESSE Ariane</dc:creator>
  <cp:keywords>KO/JCH/ko</cp:keywords>
  <cp:lastModifiedBy>BESSE Ariane</cp:lastModifiedBy>
  <cp:revision>7</cp:revision>
  <cp:lastPrinted>2013-10-10T15:39:00Z</cp:lastPrinted>
  <dcterms:created xsi:type="dcterms:W3CDTF">2013-10-09T14:45:00Z</dcterms:created>
  <dcterms:modified xsi:type="dcterms:W3CDTF">2013-10-10T15:39:00Z</dcterms:modified>
</cp:coreProperties>
</file>