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9A663A" w:rsidRPr="00431D28" w:rsidTr="00102CDB">
        <w:trPr>
          <w:trHeight w:val="1760"/>
        </w:trPr>
        <w:tc>
          <w:tcPr>
            <w:tcW w:w="4243" w:type="dxa"/>
          </w:tcPr>
          <w:p w:rsidR="000D7780" w:rsidRPr="00431D28" w:rsidRDefault="000D7780" w:rsidP="006655D3">
            <w:pPr>
              <w:rPr>
                <w:lang w:val="fr-FR"/>
              </w:rPr>
            </w:pPr>
            <w:bookmarkStart w:id="0" w:name="_GoBack"/>
            <w:bookmarkEnd w:id="0"/>
          </w:p>
        </w:tc>
        <w:tc>
          <w:tcPr>
            <w:tcW w:w="1646" w:type="dxa"/>
            <w:vAlign w:val="center"/>
          </w:tcPr>
          <w:p w:rsidR="000D7780" w:rsidRPr="00431D28" w:rsidRDefault="00560E42" w:rsidP="006655D3">
            <w:pPr>
              <w:pStyle w:val="LogoUPOV"/>
              <w:rPr>
                <w:lang w:val="fr-FR"/>
              </w:rPr>
            </w:pPr>
            <w:r>
              <w:rPr>
                <w:noProof/>
              </w:rPr>
              <w:drawing>
                <wp:inline distT="0" distB="0" distL="0" distR="0">
                  <wp:extent cx="981075" cy="4857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4242" w:type="dxa"/>
            <w:vAlign w:val="center"/>
          </w:tcPr>
          <w:p w:rsidR="005A7F6B" w:rsidRPr="00431D28" w:rsidRDefault="00645A5F" w:rsidP="006655D3">
            <w:pPr>
              <w:pStyle w:val="Lettrine"/>
              <w:rPr>
                <w:lang w:val="fr-FR"/>
              </w:rPr>
            </w:pPr>
            <w:r w:rsidRPr="00431D28">
              <w:rPr>
                <w:lang w:val="fr-FR"/>
              </w:rPr>
              <w:t>F</w:t>
            </w:r>
          </w:p>
          <w:p w:rsidR="005A7F6B" w:rsidRPr="00431D28" w:rsidRDefault="00DF40AE" w:rsidP="006655D3">
            <w:pPr>
              <w:pStyle w:val="Docoriginal"/>
              <w:rPr>
                <w:lang w:val="fr-FR"/>
              </w:rPr>
            </w:pPr>
            <w:r>
              <w:rPr>
                <w:lang w:val="fr-FR"/>
              </w:rPr>
              <w:t>C/47/4 Rev.</w:t>
            </w:r>
          </w:p>
          <w:p w:rsidR="005A7F6B" w:rsidRPr="00431D28" w:rsidRDefault="0061555F" w:rsidP="006655D3">
            <w:pPr>
              <w:pStyle w:val="Docoriginal"/>
              <w:rPr>
                <w:b w:val="0"/>
                <w:spacing w:val="0"/>
                <w:lang w:val="fr-FR"/>
              </w:rPr>
            </w:pPr>
            <w:r w:rsidRPr="00431D28">
              <w:rPr>
                <w:rStyle w:val="StyleDoclangBold"/>
                <w:b/>
                <w:bCs/>
                <w:spacing w:val="0"/>
                <w:lang w:val="fr-FR"/>
              </w:rPr>
              <w:t>ORIGINAL</w:t>
            </w:r>
            <w:r w:rsidR="00645A5F" w:rsidRPr="00431D28">
              <w:rPr>
                <w:rStyle w:val="StyleDoclangBold"/>
                <w:b/>
                <w:bCs/>
                <w:spacing w:val="0"/>
                <w:lang w:val="fr-FR"/>
              </w:rPr>
              <w:t> </w:t>
            </w:r>
            <w:r w:rsidR="000D7780" w:rsidRPr="00431D28">
              <w:rPr>
                <w:rStyle w:val="StyleDoclangBold"/>
                <w:b/>
                <w:bCs/>
                <w:spacing w:val="0"/>
                <w:lang w:val="fr-FR"/>
              </w:rPr>
              <w:t>:</w:t>
            </w:r>
            <w:r w:rsidRPr="00431D28">
              <w:rPr>
                <w:rStyle w:val="StyleDocoriginalNotBold1"/>
                <w:spacing w:val="0"/>
                <w:lang w:val="fr-FR"/>
              </w:rPr>
              <w:t xml:space="preserve"> </w:t>
            </w:r>
            <w:bookmarkStart w:id="1" w:name="Original"/>
            <w:bookmarkEnd w:id="1"/>
            <w:r w:rsidR="00645A5F" w:rsidRPr="00431D28">
              <w:rPr>
                <w:b w:val="0"/>
                <w:spacing w:val="0"/>
                <w:lang w:val="fr-FR"/>
              </w:rPr>
              <w:t>anglais</w:t>
            </w:r>
          </w:p>
          <w:p w:rsidR="000D7780" w:rsidRPr="00431D28" w:rsidRDefault="00645A5F" w:rsidP="00DF40AE">
            <w:pPr>
              <w:pStyle w:val="Docoriginal"/>
              <w:rPr>
                <w:lang w:val="fr-FR"/>
              </w:rPr>
            </w:pPr>
            <w:r w:rsidRPr="00431D28">
              <w:rPr>
                <w:lang w:val="fr-FR"/>
              </w:rPr>
              <w:t>DATE </w:t>
            </w:r>
            <w:r w:rsidR="000D7780" w:rsidRPr="00431D28">
              <w:rPr>
                <w:lang w:val="fr-FR"/>
              </w:rPr>
              <w:t>:</w:t>
            </w:r>
            <w:bookmarkStart w:id="2" w:name="Date"/>
            <w:bookmarkEnd w:id="2"/>
            <w:r w:rsidRPr="00BE3C8B">
              <w:rPr>
                <w:b w:val="0"/>
              </w:rPr>
              <w:t xml:space="preserve"> </w:t>
            </w:r>
            <w:r w:rsidR="00157E60">
              <w:rPr>
                <w:b w:val="0"/>
                <w:spacing w:val="0"/>
              </w:rPr>
              <w:t>2</w:t>
            </w:r>
            <w:r w:rsidR="00DF40AE">
              <w:rPr>
                <w:b w:val="0"/>
                <w:spacing w:val="0"/>
              </w:rPr>
              <w:t>4</w:t>
            </w:r>
            <w:r w:rsidR="00BE3C8B" w:rsidRPr="00BE3C8B">
              <w:rPr>
                <w:b w:val="0"/>
                <w:spacing w:val="0"/>
              </w:rPr>
              <w:t xml:space="preserve"> </w:t>
            </w:r>
            <w:r w:rsidR="00DF40AE">
              <w:rPr>
                <w:b w:val="0"/>
                <w:spacing w:val="0"/>
              </w:rPr>
              <w:t>octobre</w:t>
            </w:r>
            <w:r w:rsidR="00BE3C8B" w:rsidRPr="00BE3C8B">
              <w:rPr>
                <w:b w:val="0"/>
                <w:spacing w:val="0"/>
              </w:rPr>
              <w:t xml:space="preserve"> 2013</w:t>
            </w:r>
          </w:p>
        </w:tc>
      </w:tr>
      <w:tr w:rsidR="009A663A" w:rsidRPr="00431D28" w:rsidTr="00102CDB">
        <w:tc>
          <w:tcPr>
            <w:tcW w:w="10131" w:type="dxa"/>
            <w:gridSpan w:val="3"/>
          </w:tcPr>
          <w:p w:rsidR="000D7780" w:rsidRPr="00431D28" w:rsidRDefault="00645A5F" w:rsidP="006655D3">
            <w:pPr>
              <w:pStyle w:val="upove"/>
              <w:rPr>
                <w:sz w:val="28"/>
                <w:lang w:val="fr-FR"/>
              </w:rPr>
            </w:pPr>
            <w:r w:rsidRPr="00431D28">
              <w:rPr>
                <w:snapToGrid w:val="0"/>
                <w:lang w:val="fr-FR"/>
              </w:rPr>
              <w:t>UNION INTERNATIONALE POUR LA PROTECTION DES OBTENTIONS VÉGÉTALES</w:t>
            </w:r>
            <w:r w:rsidR="0024416D" w:rsidRPr="00431D28">
              <w:rPr>
                <w:snapToGrid w:val="0"/>
                <w:lang w:val="fr-FR"/>
              </w:rPr>
              <w:t xml:space="preserve"> </w:t>
            </w:r>
          </w:p>
        </w:tc>
      </w:tr>
      <w:tr w:rsidR="009A663A" w:rsidRPr="00431D28" w:rsidTr="00102CDB">
        <w:tc>
          <w:tcPr>
            <w:tcW w:w="10131" w:type="dxa"/>
            <w:gridSpan w:val="3"/>
          </w:tcPr>
          <w:p w:rsidR="000D7780" w:rsidRPr="00431D28" w:rsidRDefault="00867AC1" w:rsidP="006655D3">
            <w:pPr>
              <w:pStyle w:val="Country"/>
              <w:rPr>
                <w:lang w:val="fr-FR"/>
              </w:rPr>
            </w:pPr>
            <w:r w:rsidRPr="00431D28">
              <w:rPr>
                <w:lang w:val="fr-FR"/>
              </w:rPr>
              <w:t>Gen</w:t>
            </w:r>
            <w:r w:rsidR="00645A5F" w:rsidRPr="00431D28">
              <w:rPr>
                <w:lang w:val="fr-FR"/>
              </w:rPr>
              <w:t>ève</w:t>
            </w:r>
          </w:p>
        </w:tc>
      </w:tr>
    </w:tbl>
    <w:p w:rsidR="005A7F6B" w:rsidRPr="00431D28" w:rsidRDefault="00645A5F" w:rsidP="006655D3">
      <w:pPr>
        <w:pStyle w:val="Sessiontc"/>
        <w:rPr>
          <w:lang w:val="fr-FR"/>
        </w:rPr>
      </w:pPr>
      <w:r w:rsidRPr="00431D28">
        <w:rPr>
          <w:lang w:val="fr-FR"/>
        </w:rPr>
        <w:t>CONSEIL</w:t>
      </w:r>
    </w:p>
    <w:p w:rsidR="005A7F6B" w:rsidRPr="00431D28" w:rsidRDefault="00146C93" w:rsidP="006655D3">
      <w:pPr>
        <w:pStyle w:val="Sessiontcplacedate"/>
        <w:rPr>
          <w:lang w:val="fr-FR"/>
        </w:rPr>
      </w:pPr>
      <w:r w:rsidRPr="00431D28">
        <w:rPr>
          <w:lang w:val="fr-FR"/>
        </w:rPr>
        <w:t>Quarante-septième session ordinaire</w:t>
      </w:r>
      <w:r w:rsidR="00361821" w:rsidRPr="00431D28">
        <w:rPr>
          <w:lang w:val="fr-FR"/>
        </w:rPr>
        <w:br/>
      </w:r>
      <w:r w:rsidR="00867AC1" w:rsidRPr="00431D28">
        <w:rPr>
          <w:lang w:val="fr-FR"/>
        </w:rPr>
        <w:t>Gen</w:t>
      </w:r>
      <w:r w:rsidRPr="00431D28">
        <w:rPr>
          <w:lang w:val="fr-FR"/>
        </w:rPr>
        <w:t>ève</w:t>
      </w:r>
      <w:r w:rsidR="00867AC1" w:rsidRPr="00431D28">
        <w:rPr>
          <w:lang w:val="fr-FR"/>
        </w:rPr>
        <w:t>,</w:t>
      </w:r>
      <w:r w:rsidRPr="00431D28">
        <w:rPr>
          <w:lang w:val="fr-FR"/>
        </w:rPr>
        <w:t xml:space="preserve"> 24 octobre 2013</w:t>
      </w:r>
    </w:p>
    <w:p w:rsidR="005A7F6B" w:rsidRPr="00431D28" w:rsidRDefault="00146C93" w:rsidP="00146C93">
      <w:pPr>
        <w:pStyle w:val="Titleofdoc0"/>
        <w:rPr>
          <w:lang w:val="fr-FR"/>
        </w:rPr>
      </w:pPr>
      <w:bookmarkStart w:id="3" w:name="TitleOfDoc"/>
      <w:bookmarkEnd w:id="3"/>
      <w:r w:rsidRPr="008302BB">
        <w:rPr>
          <w:b/>
          <w:caps w:val="0"/>
          <w:lang w:val="fr-FR"/>
        </w:rPr>
        <w:t>PROGRAMME</w:t>
      </w:r>
      <w:r w:rsidRPr="00431D28">
        <w:rPr>
          <w:b/>
          <w:i/>
          <w:caps w:val="0"/>
          <w:lang w:val="fr-FR"/>
        </w:rPr>
        <w:t xml:space="preserve"> </w:t>
      </w:r>
      <w:r w:rsidRPr="00431D28">
        <w:rPr>
          <w:b/>
          <w:caps w:val="0"/>
          <w:lang w:val="fr-FR"/>
        </w:rPr>
        <w:t>ET BUDGET POUR L’EXERCICE BIENNAL 2014-2015</w:t>
      </w:r>
    </w:p>
    <w:p w:rsidR="005A7F6B" w:rsidRPr="00431D28" w:rsidRDefault="00DF40AE" w:rsidP="00172EEE">
      <w:pPr>
        <w:pStyle w:val="preparedby1"/>
        <w:rPr>
          <w:lang w:val="fr-FR"/>
        </w:rPr>
      </w:pPr>
      <w:bookmarkStart w:id="4" w:name="Prepared"/>
      <w:bookmarkEnd w:id="4"/>
      <w:r>
        <w:rPr>
          <w:lang w:val="fr-FR"/>
        </w:rPr>
        <w:t>adopté par le Conseil</w:t>
      </w:r>
    </w:p>
    <w:p w:rsidR="00DF40AE" w:rsidRPr="00DF40AE" w:rsidRDefault="00A44F6C" w:rsidP="00DF40AE">
      <w:pPr>
        <w:rPr>
          <w:lang w:val="fr-FR"/>
        </w:rPr>
      </w:pPr>
      <w:r w:rsidRPr="00431D28">
        <w:rPr>
          <w:lang w:val="fr-FR"/>
        </w:rPr>
        <w:fldChar w:fldCharType="begin"/>
      </w:r>
      <w:r w:rsidRPr="00431D28">
        <w:rPr>
          <w:lang w:val="fr-FR"/>
        </w:rPr>
        <w:instrText xml:space="preserve"> AUTONUM  </w:instrText>
      </w:r>
      <w:r w:rsidRPr="00431D28">
        <w:rPr>
          <w:lang w:val="fr-FR"/>
        </w:rPr>
        <w:fldChar w:fldCharType="end"/>
      </w:r>
      <w:r w:rsidRPr="00431D28">
        <w:rPr>
          <w:lang w:val="fr-FR"/>
        </w:rPr>
        <w:tab/>
      </w:r>
      <w:r w:rsidR="00DF40AE" w:rsidRPr="00DF40AE">
        <w:rPr>
          <w:lang w:val="fr-FR"/>
        </w:rPr>
        <w:t>À sa quarante-</w:t>
      </w:r>
      <w:r w:rsidR="00DF40AE">
        <w:rPr>
          <w:lang w:val="fr-FR"/>
        </w:rPr>
        <w:t>septi</w:t>
      </w:r>
      <w:r w:rsidR="00DF40AE" w:rsidRPr="00DF40AE">
        <w:rPr>
          <w:lang w:val="fr-FR"/>
        </w:rPr>
        <w:t>ème session ordinaire, tenue à Genève le 2</w:t>
      </w:r>
      <w:r w:rsidR="00DF40AE">
        <w:rPr>
          <w:lang w:val="fr-FR"/>
        </w:rPr>
        <w:t>4</w:t>
      </w:r>
      <w:r w:rsidR="00DF40AE" w:rsidRPr="00DF40AE">
        <w:rPr>
          <w:lang w:val="fr-FR"/>
        </w:rPr>
        <w:t xml:space="preserve"> octobre 201</w:t>
      </w:r>
      <w:r w:rsidR="00DF40AE">
        <w:rPr>
          <w:lang w:val="fr-FR"/>
        </w:rPr>
        <w:t>3</w:t>
      </w:r>
      <w:r w:rsidR="00DF40AE" w:rsidRPr="00DF40AE">
        <w:rPr>
          <w:lang w:val="fr-FR"/>
        </w:rPr>
        <w:t>,</w:t>
      </w:r>
      <w:r w:rsidR="00DF40AE">
        <w:rPr>
          <w:lang w:val="fr-FR"/>
        </w:rPr>
        <w:t xml:space="preserve"> </w:t>
      </w:r>
      <w:r w:rsidR="00DF40AE" w:rsidRPr="00DF40AE">
        <w:rPr>
          <w:lang w:val="fr-FR"/>
        </w:rPr>
        <w:t>le Conseil a approuvé les propositions contenues dans le projet de programme et budget révisé</w:t>
      </w:r>
      <w:r w:rsidR="00DF40AE">
        <w:rPr>
          <w:lang w:val="fr-FR"/>
        </w:rPr>
        <w:t xml:space="preserve"> </w:t>
      </w:r>
      <w:r w:rsidR="00DF40AE" w:rsidRPr="00DF40AE">
        <w:rPr>
          <w:lang w:val="fr-FR"/>
        </w:rPr>
        <w:t>pour l’exercice biennal 201</w:t>
      </w:r>
      <w:r w:rsidR="00DF40AE">
        <w:rPr>
          <w:lang w:val="fr-FR"/>
        </w:rPr>
        <w:t>4</w:t>
      </w:r>
      <w:r w:rsidR="00DF40AE" w:rsidRPr="00DF40AE">
        <w:rPr>
          <w:lang w:val="fr-FR"/>
        </w:rPr>
        <w:t>-201</w:t>
      </w:r>
      <w:r w:rsidR="00DF40AE">
        <w:rPr>
          <w:lang w:val="fr-FR"/>
        </w:rPr>
        <w:t>5</w:t>
      </w:r>
      <w:r w:rsidR="00DF40AE" w:rsidRPr="00DF40AE">
        <w:rPr>
          <w:lang w:val="fr-FR"/>
        </w:rPr>
        <w:t>, figurant dans le document C/4</w:t>
      </w:r>
      <w:r w:rsidR="00DF40AE">
        <w:rPr>
          <w:lang w:val="fr-FR"/>
        </w:rPr>
        <w:t>7</w:t>
      </w:r>
      <w:r w:rsidR="00DF40AE" w:rsidRPr="00DF40AE">
        <w:rPr>
          <w:lang w:val="fr-FR"/>
        </w:rPr>
        <w:t>/4, y compris le</w:t>
      </w:r>
      <w:r w:rsidR="00DF40AE">
        <w:rPr>
          <w:lang w:val="fr-FR"/>
        </w:rPr>
        <w:t xml:space="preserve"> </w:t>
      </w:r>
      <w:r w:rsidR="00DF40AE" w:rsidRPr="00DF40AE">
        <w:rPr>
          <w:lang w:val="fr-FR"/>
        </w:rPr>
        <w:t>montant des contributions des membres de l’Union, le</w:t>
      </w:r>
      <w:r w:rsidR="00DF40AE">
        <w:rPr>
          <w:lang w:val="fr-FR"/>
        </w:rPr>
        <w:t> </w:t>
      </w:r>
      <w:r w:rsidR="00DF40AE" w:rsidRPr="00DF40AE">
        <w:rPr>
          <w:lang w:val="fr-FR"/>
        </w:rPr>
        <w:t>plafond proposé pour les dépenses</w:t>
      </w:r>
      <w:r w:rsidR="00DF40AE">
        <w:rPr>
          <w:lang w:val="fr-FR"/>
        </w:rPr>
        <w:t xml:space="preserve"> </w:t>
      </w:r>
      <w:r w:rsidR="00DF40AE" w:rsidRPr="00DF40AE">
        <w:rPr>
          <w:lang w:val="fr-FR"/>
        </w:rPr>
        <w:t>inscrites au budget ordinaire et le</w:t>
      </w:r>
      <w:r w:rsidR="00DF40AE">
        <w:rPr>
          <w:lang w:val="fr-FR"/>
        </w:rPr>
        <w:t xml:space="preserve"> nombre total de postes pour le </w:t>
      </w:r>
      <w:r w:rsidR="00DF40AE" w:rsidRPr="00DF40AE">
        <w:rPr>
          <w:lang w:val="fr-FR"/>
        </w:rPr>
        <w:t>Bureau de l’Union.</w:t>
      </w:r>
    </w:p>
    <w:p w:rsidR="00DF40AE" w:rsidRDefault="00DF40AE" w:rsidP="00DF40AE">
      <w:pPr>
        <w:rPr>
          <w:lang w:val="fr-FR"/>
        </w:rPr>
      </w:pPr>
    </w:p>
    <w:p w:rsidR="00DF40AE" w:rsidRDefault="00DF40AE" w:rsidP="00DF40AE">
      <w:pPr>
        <w:rPr>
          <w:lang w:val="fr-FR"/>
        </w:rPr>
      </w:pPr>
      <w:r w:rsidRPr="00431D28">
        <w:rPr>
          <w:lang w:val="fr-FR"/>
        </w:rPr>
        <w:fldChar w:fldCharType="begin"/>
      </w:r>
      <w:r w:rsidRPr="00431D28">
        <w:rPr>
          <w:lang w:val="fr-FR"/>
        </w:rPr>
        <w:instrText xml:space="preserve"> AUTONUM  </w:instrText>
      </w:r>
      <w:r w:rsidRPr="00431D28">
        <w:rPr>
          <w:lang w:val="fr-FR"/>
        </w:rPr>
        <w:fldChar w:fldCharType="end"/>
      </w:r>
      <w:r w:rsidRPr="00431D28">
        <w:rPr>
          <w:lang w:val="fr-FR"/>
        </w:rPr>
        <w:tab/>
      </w:r>
      <w:r>
        <w:rPr>
          <w:lang w:val="fr-FR"/>
        </w:rPr>
        <w:t>L’annexe de c</w:t>
      </w:r>
      <w:r w:rsidRPr="00DF40AE">
        <w:rPr>
          <w:lang w:val="fr-FR"/>
        </w:rPr>
        <w:t>e document contient le programme et budget de l’Union pour l’exercice biennal</w:t>
      </w:r>
      <w:r>
        <w:rPr>
          <w:lang w:val="fr-FR"/>
        </w:rPr>
        <w:t xml:space="preserve"> </w:t>
      </w:r>
      <w:r w:rsidRPr="00DF40AE">
        <w:rPr>
          <w:lang w:val="fr-FR"/>
        </w:rPr>
        <w:t>201</w:t>
      </w:r>
      <w:r>
        <w:rPr>
          <w:lang w:val="fr-FR"/>
        </w:rPr>
        <w:t>4</w:t>
      </w:r>
      <w:r>
        <w:rPr>
          <w:lang w:val="fr-FR"/>
        </w:rPr>
        <w:noBreakHyphen/>
      </w:r>
      <w:r w:rsidRPr="00DF40AE">
        <w:rPr>
          <w:lang w:val="fr-FR"/>
        </w:rPr>
        <w:t>201</w:t>
      </w:r>
      <w:r>
        <w:rPr>
          <w:lang w:val="fr-FR"/>
        </w:rPr>
        <w:t>5</w:t>
      </w:r>
      <w:r w:rsidRPr="00DF40AE">
        <w:rPr>
          <w:lang w:val="fr-FR"/>
        </w:rPr>
        <w:t>, tel qu’adopté par le Conseil.</w:t>
      </w:r>
    </w:p>
    <w:p w:rsidR="005A7F6B" w:rsidRPr="00431D28" w:rsidRDefault="009D5760" w:rsidP="009D5760">
      <w:pPr>
        <w:pStyle w:val="endofdoc"/>
        <w:rPr>
          <w:lang w:val="fr-FR"/>
        </w:rPr>
      </w:pPr>
      <w:r w:rsidRPr="00431D28">
        <w:rPr>
          <w:lang w:val="fr-FR"/>
        </w:rPr>
        <w:t>[L’annexe suit]</w:t>
      </w:r>
    </w:p>
    <w:p w:rsidR="00421639" w:rsidRPr="00431D28" w:rsidRDefault="00421639" w:rsidP="00C651CE">
      <w:pPr>
        <w:rPr>
          <w:lang w:val="fr-FR"/>
        </w:rPr>
        <w:sectPr w:rsidR="00421639" w:rsidRPr="00431D28" w:rsidSect="00102CDB">
          <w:headerReference w:type="default" r:id="rId10"/>
          <w:pgSz w:w="11907" w:h="16840" w:code="9"/>
          <w:pgMar w:top="510" w:right="1134" w:bottom="1134" w:left="1134" w:header="510" w:footer="680" w:gutter="0"/>
          <w:cols w:space="720"/>
          <w:titlePg/>
          <w:docGrid w:linePitch="272"/>
        </w:sectPr>
      </w:pPr>
    </w:p>
    <w:p w:rsidR="005A7F6B" w:rsidRPr="00431D28" w:rsidRDefault="00DF40AE" w:rsidP="009D5760">
      <w:pPr>
        <w:jc w:val="center"/>
        <w:rPr>
          <w:lang w:val="fr-FR"/>
        </w:rPr>
      </w:pPr>
      <w:r>
        <w:rPr>
          <w:color w:val="000000"/>
          <w:lang w:val="fr-FR"/>
        </w:rPr>
        <w:lastRenderedPageBreak/>
        <w:t>C/47/4 Rev.</w:t>
      </w:r>
    </w:p>
    <w:p w:rsidR="005A7F6B" w:rsidRPr="00431D28" w:rsidRDefault="005A7F6B" w:rsidP="00421639">
      <w:pPr>
        <w:jc w:val="center"/>
        <w:rPr>
          <w:lang w:val="fr-FR"/>
        </w:rPr>
      </w:pPr>
    </w:p>
    <w:p w:rsidR="005A7F6B" w:rsidRPr="00431D28" w:rsidRDefault="009D5760" w:rsidP="009D5760">
      <w:pPr>
        <w:jc w:val="center"/>
        <w:rPr>
          <w:lang w:val="fr-FR"/>
        </w:rPr>
      </w:pPr>
      <w:r w:rsidRPr="00431D28">
        <w:rPr>
          <w:lang w:val="fr-FR"/>
        </w:rPr>
        <w:t>ANNEXE</w:t>
      </w:r>
    </w:p>
    <w:p w:rsidR="005A7F6B" w:rsidRPr="00431D28" w:rsidRDefault="005A7F6B" w:rsidP="00421639">
      <w:pPr>
        <w:jc w:val="center"/>
        <w:rPr>
          <w:lang w:val="fr-FR"/>
        </w:rPr>
      </w:pPr>
    </w:p>
    <w:p w:rsidR="005A7F6B" w:rsidRPr="00431D28" w:rsidRDefault="009D5760" w:rsidP="009D5760">
      <w:pPr>
        <w:jc w:val="center"/>
        <w:rPr>
          <w:lang w:val="fr-FR"/>
        </w:rPr>
      </w:pPr>
      <w:r w:rsidRPr="00431D28">
        <w:rPr>
          <w:lang w:val="fr-FR"/>
        </w:rPr>
        <w:t>PROGRAMME ET BUDGET POUR L’EXERCICE BIENNAL 2014-2015</w:t>
      </w:r>
    </w:p>
    <w:p w:rsidR="005A7F6B" w:rsidRPr="00431D28" w:rsidRDefault="005A7F6B" w:rsidP="00421639">
      <w:pPr>
        <w:jc w:val="center"/>
        <w:rPr>
          <w:lang w:val="fr-FR"/>
        </w:rPr>
      </w:pPr>
    </w:p>
    <w:p w:rsidR="005A7F6B" w:rsidRPr="00431D28" w:rsidRDefault="005A7F6B" w:rsidP="00421639">
      <w:pPr>
        <w:jc w:val="center"/>
        <w:rPr>
          <w:lang w:val="fr-FR"/>
        </w:rPr>
      </w:pPr>
    </w:p>
    <w:p w:rsidR="005A7F6B" w:rsidRPr="00431D28" w:rsidRDefault="005A7F6B" w:rsidP="00421639">
      <w:pPr>
        <w:jc w:val="center"/>
        <w:rPr>
          <w:lang w:val="fr-FR"/>
        </w:rPr>
      </w:pPr>
    </w:p>
    <w:p w:rsidR="005A7F6B" w:rsidRPr="00431D28" w:rsidRDefault="006C2CC4" w:rsidP="006C2CC4">
      <w:pPr>
        <w:keepNext/>
        <w:rPr>
          <w:rFonts w:cs="Arial"/>
          <w:u w:val="single"/>
          <w:lang w:val="fr-FR"/>
        </w:rPr>
      </w:pPr>
      <w:r w:rsidRPr="00431D28">
        <w:rPr>
          <w:rFonts w:cs="Arial"/>
          <w:u w:val="single"/>
          <w:lang w:val="fr-FR"/>
        </w:rPr>
        <w:t>TABLE DES MATIÈRES</w:t>
      </w:r>
    </w:p>
    <w:p w:rsidR="005A7F6B" w:rsidRPr="00431D28" w:rsidRDefault="005A7F6B" w:rsidP="00421639">
      <w:pPr>
        <w:keepNext/>
        <w:rPr>
          <w:rFonts w:cs="Arial"/>
          <w:lang w:val="fr-FR"/>
        </w:rPr>
      </w:pPr>
    </w:p>
    <w:p w:rsidR="005A7F6B" w:rsidRPr="00431D28" w:rsidRDefault="006C2CC4" w:rsidP="006C2CC4">
      <w:pPr>
        <w:rPr>
          <w:rFonts w:cs="Arial"/>
          <w:lang w:val="fr-FR"/>
        </w:rPr>
      </w:pPr>
      <w:r w:rsidRPr="00431D28">
        <w:rPr>
          <w:rFonts w:cs="Arial"/>
          <w:lang w:val="fr-FR"/>
        </w:rPr>
        <w:t>1.</w:t>
      </w:r>
      <w:r w:rsidRPr="00431D28">
        <w:rPr>
          <w:rFonts w:cs="Arial"/>
          <w:lang w:val="fr-FR"/>
        </w:rPr>
        <w:tab/>
        <w:t>INTRODUCTION</w:t>
      </w:r>
    </w:p>
    <w:p w:rsidR="005A7F6B" w:rsidRPr="00431D28" w:rsidRDefault="005A7F6B" w:rsidP="00421639">
      <w:pPr>
        <w:rPr>
          <w:rFonts w:cs="Arial"/>
          <w:lang w:val="fr-FR"/>
        </w:rPr>
      </w:pPr>
    </w:p>
    <w:p w:rsidR="005A7F6B" w:rsidRPr="00431D28" w:rsidRDefault="006C2CC4" w:rsidP="006C2CC4">
      <w:pPr>
        <w:rPr>
          <w:rFonts w:cs="Arial"/>
          <w:lang w:val="fr-FR"/>
        </w:rPr>
      </w:pPr>
      <w:r w:rsidRPr="00431D28">
        <w:rPr>
          <w:rFonts w:cs="Arial"/>
          <w:lang w:val="fr-FR"/>
        </w:rPr>
        <w:t>2.</w:t>
      </w:r>
      <w:r w:rsidRPr="00431D28">
        <w:rPr>
          <w:rFonts w:cs="Arial"/>
          <w:lang w:val="fr-FR"/>
        </w:rPr>
        <w:tab/>
        <w:t>OBJECTIFS ET RÉSULTATS ESCOMPTÉS PAR SOUS-PROGRAMME</w:t>
      </w:r>
    </w:p>
    <w:p w:rsidR="005A7F6B" w:rsidRPr="00431D28" w:rsidRDefault="005A7F6B" w:rsidP="00421639">
      <w:pPr>
        <w:rPr>
          <w:rFonts w:cs="Arial"/>
          <w:lang w:val="fr-FR"/>
        </w:rPr>
      </w:pPr>
    </w:p>
    <w:p w:rsidR="005A7F6B" w:rsidRPr="00431D28" w:rsidRDefault="008302BB" w:rsidP="006C2CC4">
      <w:pPr>
        <w:ind w:left="567"/>
        <w:rPr>
          <w:rFonts w:cs="Arial"/>
          <w:lang w:val="fr-FR"/>
        </w:rPr>
      </w:pPr>
      <w:r>
        <w:rPr>
          <w:rFonts w:cs="Arial"/>
          <w:lang w:val="fr-FR"/>
        </w:rPr>
        <w:t>2.1</w:t>
      </w:r>
      <w:r w:rsidR="006C2CC4" w:rsidRPr="00431D28">
        <w:rPr>
          <w:rFonts w:cs="Arial"/>
          <w:lang w:val="fr-FR"/>
        </w:rPr>
        <w:tab/>
        <w:t>Sous-programme UV.1 : Politique générale en matière de protection des obtentions végétales</w:t>
      </w:r>
    </w:p>
    <w:p w:rsidR="005A7F6B" w:rsidRPr="00431D28" w:rsidRDefault="005A7F6B" w:rsidP="00421639">
      <w:pPr>
        <w:ind w:left="1134"/>
        <w:rPr>
          <w:rFonts w:cs="Arial"/>
          <w:i/>
          <w:lang w:val="fr-FR"/>
        </w:rPr>
      </w:pPr>
    </w:p>
    <w:p w:rsidR="005A7F6B" w:rsidRPr="00431D28" w:rsidRDefault="008302BB" w:rsidP="006C2CC4">
      <w:pPr>
        <w:ind w:left="1843" w:hanging="709"/>
        <w:rPr>
          <w:rFonts w:cs="Arial"/>
          <w:i/>
          <w:lang w:val="fr-FR"/>
        </w:rPr>
      </w:pPr>
      <w:r>
        <w:rPr>
          <w:rFonts w:cs="Arial"/>
          <w:lang w:val="fr-FR"/>
        </w:rPr>
        <w:t>2.1.1</w:t>
      </w:r>
      <w:r w:rsidR="006C2CC4" w:rsidRPr="00431D28">
        <w:rPr>
          <w:rFonts w:cs="Arial"/>
          <w:lang w:val="fr-FR"/>
        </w:rPr>
        <w:tab/>
      </w:r>
      <w:r w:rsidR="006C2CC4" w:rsidRPr="00431D28">
        <w:rPr>
          <w:rFonts w:cs="Arial"/>
          <w:i/>
          <w:lang w:val="fr-FR"/>
        </w:rPr>
        <w:t>Objectifs</w:t>
      </w:r>
    </w:p>
    <w:p w:rsidR="005A7F6B" w:rsidRPr="00431D28" w:rsidRDefault="008302BB" w:rsidP="006C2CC4">
      <w:pPr>
        <w:ind w:left="1843" w:hanging="709"/>
        <w:rPr>
          <w:rFonts w:cs="Arial"/>
          <w:i/>
          <w:lang w:val="fr-FR"/>
        </w:rPr>
      </w:pPr>
      <w:r>
        <w:rPr>
          <w:rFonts w:cs="Arial"/>
          <w:lang w:val="fr-FR"/>
        </w:rPr>
        <w:t>2.1.2</w:t>
      </w:r>
      <w:r w:rsidR="006C2CC4" w:rsidRPr="00431D28">
        <w:rPr>
          <w:rFonts w:cs="Arial"/>
          <w:lang w:val="fr-FR"/>
        </w:rPr>
        <w:tab/>
      </w:r>
      <w:r w:rsidR="006C2CC4" w:rsidRPr="00431D28">
        <w:rPr>
          <w:rFonts w:cs="Arial"/>
          <w:i/>
          <w:lang w:val="fr-FR"/>
        </w:rPr>
        <w:t>Descriptif</w:t>
      </w:r>
    </w:p>
    <w:p w:rsidR="005A7F6B" w:rsidRPr="00431D28" w:rsidRDefault="006C2CC4" w:rsidP="006C2CC4">
      <w:pPr>
        <w:ind w:left="1843" w:hanging="709"/>
        <w:rPr>
          <w:rFonts w:cs="Arial"/>
          <w:i/>
          <w:lang w:val="fr-FR"/>
        </w:rPr>
      </w:pPr>
      <w:r w:rsidRPr="00431D28">
        <w:rPr>
          <w:rFonts w:cs="Arial"/>
          <w:lang w:val="fr-FR"/>
        </w:rPr>
        <w:t>2.1.3</w:t>
      </w:r>
      <w:r w:rsidRPr="00431D28">
        <w:rPr>
          <w:rFonts w:cs="Arial"/>
          <w:lang w:val="fr-FR"/>
        </w:rPr>
        <w:tab/>
      </w:r>
      <w:r w:rsidRPr="00431D28">
        <w:rPr>
          <w:rFonts w:cs="Arial"/>
          <w:i/>
          <w:lang w:val="fr-FR"/>
        </w:rPr>
        <w:t>Activités</w:t>
      </w:r>
    </w:p>
    <w:p w:rsidR="005A7F6B" w:rsidRPr="00431D28" w:rsidRDefault="006C2CC4" w:rsidP="006C2CC4">
      <w:pPr>
        <w:ind w:left="1843" w:hanging="709"/>
        <w:rPr>
          <w:rFonts w:cs="Arial"/>
          <w:i/>
          <w:lang w:val="fr-FR"/>
        </w:rPr>
      </w:pPr>
      <w:r w:rsidRPr="00431D28">
        <w:rPr>
          <w:rFonts w:cs="Arial"/>
          <w:lang w:val="fr-FR"/>
        </w:rPr>
        <w:t>2.1.4</w:t>
      </w:r>
      <w:r w:rsidRPr="00431D28">
        <w:rPr>
          <w:rFonts w:cs="Arial"/>
          <w:lang w:val="fr-FR"/>
        </w:rPr>
        <w:tab/>
      </w:r>
      <w:r w:rsidRPr="00431D28">
        <w:rPr>
          <w:rFonts w:cs="Arial"/>
          <w:i/>
          <w:lang w:val="fr-FR"/>
        </w:rPr>
        <w:t>Résultats escomptés et indicateurs d'exécution</w:t>
      </w:r>
    </w:p>
    <w:p w:rsidR="005A7F6B" w:rsidRPr="00431D28" w:rsidRDefault="005A7F6B" w:rsidP="00421639">
      <w:pPr>
        <w:rPr>
          <w:rFonts w:cs="Arial"/>
          <w:lang w:val="fr-FR"/>
        </w:rPr>
      </w:pPr>
    </w:p>
    <w:p w:rsidR="005A7F6B" w:rsidRPr="00431D28" w:rsidRDefault="006C2CC4" w:rsidP="006C2CC4">
      <w:pPr>
        <w:ind w:left="1134" w:hanging="567"/>
        <w:rPr>
          <w:rFonts w:cs="Arial"/>
          <w:lang w:val="fr-FR"/>
        </w:rPr>
      </w:pPr>
      <w:r w:rsidRPr="00431D28">
        <w:rPr>
          <w:rFonts w:cs="Arial"/>
          <w:lang w:val="fr-FR"/>
        </w:rPr>
        <w:t>2.2</w:t>
      </w:r>
      <w:r w:rsidRPr="00431D28">
        <w:rPr>
          <w:rFonts w:cs="Arial"/>
          <w:lang w:val="fr-FR"/>
        </w:rPr>
        <w:tab/>
        <w:t>Sous-programme UV.2 : Services fournis à l’Union en vue d’augmenter l’efficacité du système de l’UPOV</w:t>
      </w:r>
    </w:p>
    <w:p w:rsidR="005A7F6B" w:rsidRPr="00431D28" w:rsidRDefault="005A7F6B" w:rsidP="00421639">
      <w:pPr>
        <w:ind w:left="1134" w:hanging="567"/>
        <w:rPr>
          <w:rFonts w:cs="Arial"/>
          <w:lang w:val="fr-FR"/>
        </w:rPr>
      </w:pPr>
    </w:p>
    <w:p w:rsidR="005A7F6B" w:rsidRPr="00431D28" w:rsidRDefault="008302BB" w:rsidP="006C2CC4">
      <w:pPr>
        <w:ind w:left="1843" w:hanging="709"/>
        <w:rPr>
          <w:rFonts w:cs="Arial"/>
          <w:i/>
          <w:lang w:val="fr-FR"/>
        </w:rPr>
      </w:pPr>
      <w:r>
        <w:rPr>
          <w:rFonts w:cs="Arial"/>
          <w:lang w:val="fr-FR"/>
        </w:rPr>
        <w:t>2.2.1</w:t>
      </w:r>
      <w:r w:rsidR="006C2CC4" w:rsidRPr="00431D28">
        <w:rPr>
          <w:rFonts w:cs="Arial"/>
          <w:lang w:val="fr-FR"/>
        </w:rPr>
        <w:tab/>
      </w:r>
      <w:r w:rsidR="006C2CC4" w:rsidRPr="00431D28">
        <w:rPr>
          <w:rFonts w:cs="Arial"/>
          <w:i/>
          <w:lang w:val="fr-FR"/>
        </w:rPr>
        <w:t>Objectifs</w:t>
      </w:r>
    </w:p>
    <w:p w:rsidR="005A7F6B" w:rsidRPr="00431D28" w:rsidRDefault="006C2CC4" w:rsidP="006C2CC4">
      <w:pPr>
        <w:ind w:left="1843" w:hanging="709"/>
        <w:rPr>
          <w:rFonts w:cs="Arial"/>
          <w:i/>
          <w:lang w:val="fr-FR"/>
        </w:rPr>
      </w:pPr>
      <w:r w:rsidRPr="00431D28">
        <w:rPr>
          <w:rFonts w:cs="Arial"/>
          <w:i/>
          <w:lang w:val="fr-FR"/>
        </w:rPr>
        <w:t>2.2.2</w:t>
      </w:r>
      <w:r w:rsidRPr="00431D28">
        <w:rPr>
          <w:rFonts w:cs="Arial"/>
          <w:i/>
          <w:lang w:val="fr-FR"/>
        </w:rPr>
        <w:tab/>
        <w:t>Descriptif</w:t>
      </w:r>
    </w:p>
    <w:p w:rsidR="005A7F6B" w:rsidRPr="00431D28" w:rsidRDefault="006C2CC4" w:rsidP="006C2CC4">
      <w:pPr>
        <w:ind w:left="1843" w:hanging="709"/>
        <w:rPr>
          <w:rFonts w:cs="Arial"/>
          <w:i/>
          <w:lang w:val="fr-FR"/>
        </w:rPr>
      </w:pPr>
      <w:r w:rsidRPr="00431D28">
        <w:rPr>
          <w:rFonts w:cs="Arial"/>
          <w:lang w:val="fr-FR"/>
        </w:rPr>
        <w:t>2.2.3</w:t>
      </w:r>
      <w:r w:rsidRPr="00431D28">
        <w:rPr>
          <w:rFonts w:cs="Arial"/>
          <w:lang w:val="fr-FR"/>
        </w:rPr>
        <w:tab/>
      </w:r>
      <w:r w:rsidRPr="00431D28">
        <w:rPr>
          <w:rFonts w:cs="Arial"/>
          <w:i/>
          <w:lang w:val="fr-FR"/>
        </w:rPr>
        <w:t>Activités</w:t>
      </w:r>
    </w:p>
    <w:p w:rsidR="005A7F6B" w:rsidRPr="00431D28" w:rsidRDefault="006C2CC4" w:rsidP="006C2CC4">
      <w:pPr>
        <w:ind w:left="1843" w:hanging="709"/>
        <w:rPr>
          <w:rFonts w:cs="Arial"/>
          <w:i/>
          <w:lang w:val="fr-FR"/>
        </w:rPr>
      </w:pPr>
      <w:r w:rsidRPr="00431D28">
        <w:rPr>
          <w:rFonts w:cs="Arial"/>
          <w:lang w:val="fr-FR"/>
        </w:rPr>
        <w:t>2.2.4</w:t>
      </w:r>
      <w:r w:rsidRPr="00431D28">
        <w:rPr>
          <w:rFonts w:cs="Arial"/>
          <w:lang w:val="fr-FR"/>
        </w:rPr>
        <w:tab/>
      </w:r>
      <w:r w:rsidRPr="00431D28">
        <w:rPr>
          <w:rFonts w:cs="Arial"/>
          <w:i/>
          <w:lang w:val="fr-FR"/>
        </w:rPr>
        <w:t>Résultats escomptés et indicateurs d'exécution</w:t>
      </w:r>
    </w:p>
    <w:p w:rsidR="005A7F6B" w:rsidRPr="00431D28" w:rsidRDefault="005A7F6B" w:rsidP="00421639">
      <w:pPr>
        <w:rPr>
          <w:rFonts w:cs="Arial"/>
          <w:lang w:val="fr-FR"/>
        </w:rPr>
      </w:pPr>
    </w:p>
    <w:p w:rsidR="005A7F6B" w:rsidRPr="00431D28" w:rsidRDefault="00421639" w:rsidP="006C2CC4">
      <w:pPr>
        <w:ind w:left="1134" w:hanging="567"/>
        <w:rPr>
          <w:rFonts w:cs="Arial"/>
          <w:lang w:val="fr-FR"/>
        </w:rPr>
      </w:pPr>
      <w:r w:rsidRPr="00431D28">
        <w:rPr>
          <w:rFonts w:cs="Arial"/>
          <w:lang w:val="fr-FR"/>
        </w:rPr>
        <w:t>2.3</w:t>
      </w:r>
      <w:r w:rsidRPr="00431D28">
        <w:rPr>
          <w:rFonts w:cs="Arial"/>
          <w:lang w:val="fr-FR"/>
        </w:rPr>
        <w:tab/>
      </w:r>
      <w:r w:rsidR="006C2CC4" w:rsidRPr="00431D28">
        <w:rPr>
          <w:rFonts w:cs="Arial"/>
          <w:lang w:val="fr-FR"/>
        </w:rPr>
        <w:t>Sous-programme UV.3 : Aide à la mise en place et à l’application du système de l’UPOV</w:t>
      </w:r>
      <w:r w:rsidRPr="00431D28">
        <w:rPr>
          <w:rFonts w:cs="Arial"/>
          <w:lang w:val="fr-FR"/>
        </w:rPr>
        <w:t xml:space="preserve"> </w:t>
      </w:r>
    </w:p>
    <w:p w:rsidR="005A7F6B" w:rsidRPr="00431D28" w:rsidRDefault="005A7F6B" w:rsidP="00421639">
      <w:pPr>
        <w:ind w:left="567"/>
        <w:rPr>
          <w:rFonts w:cs="Arial"/>
          <w:lang w:val="fr-FR"/>
        </w:rPr>
      </w:pPr>
    </w:p>
    <w:p w:rsidR="005A7F6B" w:rsidRPr="00431D28" w:rsidRDefault="008302BB" w:rsidP="006C2CC4">
      <w:pPr>
        <w:ind w:left="1843" w:hanging="709"/>
        <w:rPr>
          <w:rFonts w:cs="Arial"/>
          <w:i/>
          <w:lang w:val="fr-FR"/>
        </w:rPr>
      </w:pPr>
      <w:r>
        <w:rPr>
          <w:rFonts w:cs="Arial"/>
          <w:lang w:val="fr-FR"/>
        </w:rPr>
        <w:t>2.3.1</w:t>
      </w:r>
      <w:r w:rsidR="008340CD" w:rsidRPr="00431D28">
        <w:rPr>
          <w:rFonts w:cs="Arial"/>
          <w:lang w:val="fr-FR"/>
        </w:rPr>
        <w:tab/>
      </w:r>
      <w:r w:rsidR="006C2CC4" w:rsidRPr="00431D28">
        <w:rPr>
          <w:rFonts w:cs="Arial"/>
          <w:i/>
          <w:lang w:val="fr-FR"/>
        </w:rPr>
        <w:t>Objectifs</w:t>
      </w:r>
    </w:p>
    <w:p w:rsidR="005A7F6B" w:rsidRPr="00431D28" w:rsidRDefault="008340CD" w:rsidP="006C2CC4">
      <w:pPr>
        <w:ind w:left="1843" w:hanging="709"/>
        <w:rPr>
          <w:rFonts w:cs="Arial"/>
          <w:i/>
          <w:lang w:val="fr-FR"/>
        </w:rPr>
      </w:pPr>
      <w:r w:rsidRPr="00431D28">
        <w:rPr>
          <w:rFonts w:cs="Arial"/>
          <w:lang w:val="fr-FR"/>
        </w:rPr>
        <w:t>2.3.2</w:t>
      </w:r>
      <w:r w:rsidRPr="00431D28">
        <w:rPr>
          <w:rFonts w:cs="Arial"/>
          <w:lang w:val="fr-FR"/>
        </w:rPr>
        <w:tab/>
      </w:r>
      <w:r w:rsidR="006C2CC4" w:rsidRPr="00431D28">
        <w:rPr>
          <w:rFonts w:cs="Arial"/>
          <w:i/>
          <w:lang w:val="fr-FR"/>
        </w:rPr>
        <w:t>Descriptif</w:t>
      </w:r>
    </w:p>
    <w:p w:rsidR="005A7F6B" w:rsidRPr="00431D28" w:rsidRDefault="006C2CC4" w:rsidP="006C2CC4">
      <w:pPr>
        <w:ind w:left="1843" w:hanging="709"/>
        <w:rPr>
          <w:rFonts w:cs="Arial"/>
          <w:i/>
          <w:lang w:val="fr-FR"/>
        </w:rPr>
      </w:pPr>
      <w:r w:rsidRPr="00431D28">
        <w:rPr>
          <w:rFonts w:cs="Arial"/>
          <w:lang w:val="fr-FR"/>
        </w:rPr>
        <w:t>2.3.3</w:t>
      </w:r>
      <w:r w:rsidRPr="00431D28">
        <w:rPr>
          <w:rFonts w:cs="Arial"/>
          <w:lang w:val="fr-FR"/>
        </w:rPr>
        <w:tab/>
      </w:r>
      <w:r w:rsidRPr="00431D28">
        <w:rPr>
          <w:rFonts w:cs="Arial"/>
          <w:i/>
          <w:lang w:val="fr-FR"/>
        </w:rPr>
        <w:t>Activités</w:t>
      </w:r>
    </w:p>
    <w:p w:rsidR="005A7F6B" w:rsidRPr="00431D28" w:rsidRDefault="006C2CC4" w:rsidP="006C2CC4">
      <w:pPr>
        <w:ind w:left="1843" w:hanging="709"/>
        <w:rPr>
          <w:rFonts w:cs="Arial"/>
          <w:i/>
          <w:lang w:val="fr-FR"/>
        </w:rPr>
      </w:pPr>
      <w:r w:rsidRPr="00431D28">
        <w:rPr>
          <w:rFonts w:cs="Arial"/>
          <w:lang w:val="fr-FR"/>
        </w:rPr>
        <w:t>2.3.4</w:t>
      </w:r>
      <w:r w:rsidRPr="00431D28">
        <w:rPr>
          <w:rFonts w:cs="Arial"/>
          <w:lang w:val="fr-FR"/>
        </w:rPr>
        <w:tab/>
      </w:r>
      <w:r w:rsidRPr="00431D28">
        <w:rPr>
          <w:rFonts w:cs="Arial"/>
          <w:i/>
          <w:lang w:val="fr-FR"/>
        </w:rPr>
        <w:t>Résultats escomptés et indicateurs d'exécution</w:t>
      </w:r>
    </w:p>
    <w:p w:rsidR="005A7F6B" w:rsidRPr="00431D28" w:rsidRDefault="005A7F6B" w:rsidP="00421639">
      <w:pPr>
        <w:rPr>
          <w:rFonts w:cs="Arial"/>
          <w:lang w:val="fr-FR"/>
        </w:rPr>
      </w:pPr>
    </w:p>
    <w:p w:rsidR="005A7F6B" w:rsidRPr="00431D28" w:rsidRDefault="006C2CC4" w:rsidP="006C2CC4">
      <w:pPr>
        <w:ind w:left="567"/>
        <w:rPr>
          <w:rFonts w:cs="Arial"/>
          <w:lang w:val="fr-FR"/>
        </w:rPr>
      </w:pPr>
      <w:r w:rsidRPr="00431D28">
        <w:rPr>
          <w:rFonts w:cs="Arial"/>
          <w:lang w:val="fr-FR"/>
        </w:rPr>
        <w:t>2.4</w:t>
      </w:r>
      <w:r w:rsidRPr="00431D28">
        <w:rPr>
          <w:rFonts w:cs="Arial"/>
          <w:lang w:val="fr-FR"/>
        </w:rPr>
        <w:tab/>
        <w:t>Sous-programme UV.4 : Relations extérieures</w:t>
      </w:r>
    </w:p>
    <w:p w:rsidR="005A7F6B" w:rsidRPr="00431D28" w:rsidRDefault="005A7F6B" w:rsidP="00421639">
      <w:pPr>
        <w:ind w:left="567"/>
        <w:rPr>
          <w:rFonts w:cs="Arial"/>
          <w:lang w:val="fr-FR"/>
        </w:rPr>
      </w:pPr>
    </w:p>
    <w:p w:rsidR="005A7F6B" w:rsidRPr="00431D28" w:rsidRDefault="008340CD" w:rsidP="006C2CC4">
      <w:pPr>
        <w:ind w:left="1843" w:hanging="709"/>
        <w:rPr>
          <w:rFonts w:cs="Arial"/>
          <w:i/>
          <w:lang w:val="fr-FR"/>
        </w:rPr>
      </w:pPr>
      <w:r w:rsidRPr="00431D28">
        <w:rPr>
          <w:rFonts w:cs="Arial"/>
          <w:lang w:val="fr-FR"/>
        </w:rPr>
        <w:t>2.4.1</w:t>
      </w:r>
      <w:r w:rsidRPr="00431D28">
        <w:rPr>
          <w:rFonts w:cs="Arial"/>
          <w:lang w:val="fr-FR"/>
        </w:rPr>
        <w:tab/>
      </w:r>
      <w:r w:rsidR="006C2CC4" w:rsidRPr="00431D28">
        <w:rPr>
          <w:rFonts w:cs="Arial"/>
          <w:i/>
          <w:lang w:val="fr-FR"/>
        </w:rPr>
        <w:t>Objectifs</w:t>
      </w:r>
    </w:p>
    <w:p w:rsidR="005A7F6B" w:rsidRPr="00431D28" w:rsidRDefault="008340CD" w:rsidP="006C2CC4">
      <w:pPr>
        <w:ind w:left="1843" w:hanging="709"/>
        <w:rPr>
          <w:rFonts w:cs="Arial"/>
          <w:i/>
          <w:lang w:val="fr-FR"/>
        </w:rPr>
      </w:pPr>
      <w:r w:rsidRPr="00431D28">
        <w:rPr>
          <w:rFonts w:cs="Arial"/>
          <w:lang w:val="fr-FR"/>
        </w:rPr>
        <w:t>2.4.2</w:t>
      </w:r>
      <w:r w:rsidRPr="00431D28">
        <w:rPr>
          <w:rFonts w:cs="Arial"/>
          <w:lang w:val="fr-FR"/>
        </w:rPr>
        <w:tab/>
      </w:r>
      <w:r w:rsidR="006C2CC4" w:rsidRPr="00431D28">
        <w:rPr>
          <w:rFonts w:cs="Arial"/>
          <w:i/>
          <w:lang w:val="fr-FR"/>
        </w:rPr>
        <w:t>Descriptif</w:t>
      </w:r>
    </w:p>
    <w:p w:rsidR="005A7F6B" w:rsidRPr="00431D28" w:rsidRDefault="006C2CC4" w:rsidP="006C2CC4">
      <w:pPr>
        <w:ind w:left="1843" w:hanging="709"/>
        <w:rPr>
          <w:rFonts w:cs="Arial"/>
          <w:i/>
          <w:lang w:val="fr-FR"/>
        </w:rPr>
      </w:pPr>
      <w:r w:rsidRPr="00431D28">
        <w:rPr>
          <w:rFonts w:cs="Arial"/>
          <w:lang w:val="fr-FR"/>
        </w:rPr>
        <w:t>2.4.3</w:t>
      </w:r>
      <w:r w:rsidRPr="00431D28">
        <w:rPr>
          <w:rFonts w:cs="Arial"/>
          <w:lang w:val="fr-FR"/>
        </w:rPr>
        <w:tab/>
      </w:r>
      <w:r w:rsidRPr="00431D28">
        <w:rPr>
          <w:rFonts w:cs="Arial"/>
          <w:i/>
          <w:lang w:val="fr-FR"/>
        </w:rPr>
        <w:t>Activités</w:t>
      </w:r>
    </w:p>
    <w:p w:rsidR="005A7F6B" w:rsidRPr="00431D28" w:rsidRDefault="006C2CC4" w:rsidP="006C2CC4">
      <w:pPr>
        <w:ind w:left="1843" w:hanging="709"/>
        <w:rPr>
          <w:rFonts w:cs="Arial"/>
          <w:i/>
          <w:lang w:val="fr-FR"/>
        </w:rPr>
      </w:pPr>
      <w:r w:rsidRPr="00431D28">
        <w:rPr>
          <w:rFonts w:cs="Arial"/>
          <w:lang w:val="fr-FR"/>
        </w:rPr>
        <w:t>2.4.4</w:t>
      </w:r>
      <w:r w:rsidRPr="00431D28">
        <w:rPr>
          <w:rFonts w:cs="Arial"/>
          <w:lang w:val="fr-FR"/>
        </w:rPr>
        <w:tab/>
      </w:r>
      <w:r w:rsidRPr="00431D28">
        <w:rPr>
          <w:rFonts w:cs="Arial"/>
          <w:i/>
          <w:lang w:val="fr-FR"/>
        </w:rPr>
        <w:t>Résultats escomptés et indicateurs d'exécution</w:t>
      </w:r>
    </w:p>
    <w:p w:rsidR="005A7F6B" w:rsidRPr="00431D28" w:rsidRDefault="005A7F6B" w:rsidP="00421639">
      <w:pPr>
        <w:rPr>
          <w:rFonts w:cs="Arial"/>
          <w:lang w:val="fr-FR"/>
        </w:rPr>
      </w:pPr>
    </w:p>
    <w:p w:rsidR="005A7F6B" w:rsidRPr="00431D28" w:rsidRDefault="00421639" w:rsidP="008340CD">
      <w:pPr>
        <w:rPr>
          <w:rFonts w:cs="Arial"/>
          <w:lang w:val="fr-FR"/>
        </w:rPr>
      </w:pPr>
      <w:r w:rsidRPr="00431D28">
        <w:rPr>
          <w:rFonts w:cs="Arial"/>
          <w:lang w:val="fr-FR"/>
        </w:rPr>
        <w:t>3.</w:t>
      </w:r>
      <w:r w:rsidRPr="00431D28">
        <w:rPr>
          <w:rFonts w:cs="Arial"/>
          <w:lang w:val="fr-FR"/>
        </w:rPr>
        <w:tab/>
      </w:r>
      <w:r w:rsidR="008340CD" w:rsidRPr="00431D28">
        <w:rPr>
          <w:rFonts w:cs="Arial"/>
          <w:lang w:val="fr-FR"/>
        </w:rPr>
        <w:t>BUDGET PROPOSÉ</w:t>
      </w:r>
    </w:p>
    <w:p w:rsidR="005A7F6B" w:rsidRPr="00431D28" w:rsidRDefault="005A7F6B" w:rsidP="00421639">
      <w:pPr>
        <w:rPr>
          <w:rFonts w:cs="Arial"/>
          <w:lang w:val="fr-FR"/>
        </w:rPr>
      </w:pPr>
    </w:p>
    <w:p w:rsidR="005A7F6B" w:rsidRPr="00431D28" w:rsidRDefault="008340CD" w:rsidP="008340CD">
      <w:pPr>
        <w:ind w:left="567"/>
        <w:rPr>
          <w:rFonts w:cs="Arial"/>
          <w:lang w:val="fr-FR"/>
        </w:rPr>
      </w:pPr>
      <w:r w:rsidRPr="00431D28">
        <w:rPr>
          <w:rFonts w:cs="Arial"/>
          <w:lang w:val="fr-FR"/>
        </w:rPr>
        <w:t>Tableau 1 : Recettes et dépenses 2010-2011, 2012-2013 et 2014-2015</w:t>
      </w:r>
    </w:p>
    <w:p w:rsidR="005A7F6B" w:rsidRPr="00431D28" w:rsidRDefault="008340CD" w:rsidP="008340CD">
      <w:pPr>
        <w:ind w:left="567"/>
        <w:rPr>
          <w:rFonts w:cs="Arial"/>
          <w:lang w:val="fr-FR"/>
        </w:rPr>
      </w:pPr>
      <w:r w:rsidRPr="00431D28">
        <w:rPr>
          <w:rFonts w:cs="Arial"/>
          <w:lang w:val="fr-FR"/>
        </w:rPr>
        <w:t>Tableau 2 : Structure du budget proposé pour 2014-2015 par rapport à 2010-2011 et 2012-2013</w:t>
      </w:r>
    </w:p>
    <w:p w:rsidR="005A7F6B" w:rsidRPr="00431D28" w:rsidRDefault="008340CD" w:rsidP="008340CD">
      <w:pPr>
        <w:ind w:left="567"/>
        <w:rPr>
          <w:rFonts w:cs="Arial"/>
          <w:lang w:val="fr-FR"/>
        </w:rPr>
      </w:pPr>
      <w:r w:rsidRPr="00431D28">
        <w:rPr>
          <w:rFonts w:cs="Arial"/>
          <w:lang w:val="fr-FR"/>
        </w:rPr>
        <w:t>Tableau 3 : Plan des ressources pour 2012-2013 et 2014-2015</w:t>
      </w:r>
    </w:p>
    <w:p w:rsidR="005A7F6B" w:rsidRPr="00431D28" w:rsidRDefault="008340CD" w:rsidP="008340CD">
      <w:pPr>
        <w:ind w:left="567"/>
        <w:rPr>
          <w:rFonts w:cs="Arial"/>
          <w:lang w:val="fr-FR"/>
        </w:rPr>
      </w:pPr>
      <w:r w:rsidRPr="00431D28">
        <w:rPr>
          <w:rFonts w:cs="Arial"/>
          <w:lang w:val="fr-FR"/>
        </w:rPr>
        <w:t>Tableau 4 : Budget proposé pour 2014-2015 : variations budgétaires par objet de dépense</w:t>
      </w:r>
    </w:p>
    <w:p w:rsidR="005A7F6B" w:rsidRPr="00431D28" w:rsidRDefault="003E4E3B" w:rsidP="008340CD">
      <w:pPr>
        <w:ind w:left="567"/>
        <w:rPr>
          <w:rFonts w:cs="Arial"/>
          <w:lang w:val="fr-FR"/>
        </w:rPr>
      </w:pPr>
      <w:r>
        <w:rPr>
          <w:rFonts w:cs="Arial"/>
          <w:lang w:val="fr-FR"/>
        </w:rPr>
        <w:t>Tableau 5 : Budget 2014-2015 : p</w:t>
      </w:r>
      <w:r w:rsidR="008340CD" w:rsidRPr="00431D28">
        <w:rPr>
          <w:rFonts w:cs="Arial"/>
          <w:lang w:val="fr-FR"/>
        </w:rPr>
        <w:t>ostes par catégorie</w:t>
      </w:r>
    </w:p>
    <w:p w:rsidR="005A7F6B" w:rsidRPr="00431D28" w:rsidRDefault="008340CD" w:rsidP="008340CD">
      <w:pPr>
        <w:ind w:left="567"/>
        <w:rPr>
          <w:rFonts w:cs="Arial"/>
          <w:lang w:val="fr-FR"/>
        </w:rPr>
      </w:pPr>
      <w:r w:rsidRPr="00431D28">
        <w:rPr>
          <w:rFonts w:cs="Arial"/>
          <w:lang w:val="fr-FR"/>
        </w:rPr>
        <w:t>Tableau 6 : Budget proposé pour 2014-2015 : dotations par objet de dépense</w:t>
      </w:r>
    </w:p>
    <w:p w:rsidR="005A7F6B" w:rsidRPr="00431D28" w:rsidRDefault="008340CD" w:rsidP="008340CD">
      <w:pPr>
        <w:ind w:left="567"/>
        <w:rPr>
          <w:rFonts w:cs="Arial"/>
          <w:lang w:val="fr-FR"/>
        </w:rPr>
      </w:pPr>
      <w:r w:rsidRPr="00431D28">
        <w:rPr>
          <w:rFonts w:cs="Arial"/>
          <w:lang w:val="fr-FR"/>
        </w:rPr>
        <w:t>Tableau 7 : Variations budgétaires par sous-programme</w:t>
      </w:r>
    </w:p>
    <w:p w:rsidR="005A7F6B" w:rsidRPr="00431D28" w:rsidRDefault="008340CD" w:rsidP="008340CD">
      <w:pPr>
        <w:ind w:left="567"/>
        <w:rPr>
          <w:rFonts w:cs="Arial"/>
          <w:lang w:val="fr-FR"/>
        </w:rPr>
      </w:pPr>
      <w:r w:rsidRPr="00431D28">
        <w:rPr>
          <w:rFonts w:cs="Arial"/>
          <w:lang w:val="fr-FR"/>
        </w:rPr>
        <w:t>Tableau 8 : Recettes 2012-2013 et 2014-2015 : variation par source</w:t>
      </w:r>
    </w:p>
    <w:p w:rsidR="005A7F6B" w:rsidRPr="00431D28" w:rsidRDefault="005A7F6B" w:rsidP="00421639">
      <w:pPr>
        <w:ind w:left="567"/>
        <w:rPr>
          <w:rFonts w:cs="Arial"/>
          <w:lang w:val="fr-FR"/>
        </w:rPr>
      </w:pPr>
    </w:p>
    <w:p w:rsidR="005A7F6B" w:rsidRPr="00431D28" w:rsidRDefault="008340CD" w:rsidP="008340CD">
      <w:pPr>
        <w:rPr>
          <w:rFonts w:cs="Arial"/>
          <w:lang w:val="fr-FR"/>
        </w:rPr>
      </w:pPr>
      <w:r w:rsidRPr="00431D28">
        <w:rPr>
          <w:rFonts w:cs="Arial"/>
          <w:lang w:val="fr-FR"/>
        </w:rPr>
        <w:t>4.</w:t>
      </w:r>
      <w:r w:rsidRPr="00431D28">
        <w:rPr>
          <w:rFonts w:cs="Arial"/>
          <w:lang w:val="fr-FR"/>
        </w:rPr>
        <w:tab/>
        <w:t>INDICATEURS FINANCIERS POUR LA PÉRIODE 2008-2017</w:t>
      </w:r>
    </w:p>
    <w:p w:rsidR="005A7F6B" w:rsidRPr="00431D28" w:rsidRDefault="005A7F6B" w:rsidP="00421639">
      <w:pPr>
        <w:rPr>
          <w:rFonts w:cs="Arial"/>
          <w:lang w:val="fr-FR"/>
        </w:rPr>
      </w:pPr>
    </w:p>
    <w:p w:rsidR="005A7F6B" w:rsidRPr="00431D28" w:rsidRDefault="008340CD" w:rsidP="008340CD">
      <w:pPr>
        <w:ind w:left="567"/>
        <w:rPr>
          <w:rFonts w:cs="Arial"/>
          <w:lang w:val="fr-FR"/>
        </w:rPr>
      </w:pPr>
      <w:r w:rsidRPr="00431D28">
        <w:rPr>
          <w:rFonts w:cs="Arial"/>
          <w:lang w:val="fr-FR"/>
        </w:rPr>
        <w:t>Tableau 9 : Recettes, dépenses et réserves pour la période 2008-2017</w:t>
      </w:r>
    </w:p>
    <w:p w:rsidR="005A7F6B" w:rsidRPr="00431D28" w:rsidRDefault="005A7F6B" w:rsidP="00421639">
      <w:pPr>
        <w:ind w:left="567"/>
        <w:rPr>
          <w:rFonts w:cs="Arial"/>
          <w:lang w:val="fr-FR"/>
        </w:rPr>
      </w:pPr>
    </w:p>
    <w:p w:rsidR="005A7F6B" w:rsidRPr="00431D28" w:rsidRDefault="008340CD" w:rsidP="008340CD">
      <w:pPr>
        <w:rPr>
          <w:rFonts w:cs="Arial"/>
          <w:lang w:val="fr-FR"/>
        </w:rPr>
      </w:pPr>
      <w:r w:rsidRPr="00431D28">
        <w:rPr>
          <w:rFonts w:cs="Arial"/>
          <w:lang w:val="fr-FR"/>
        </w:rPr>
        <w:t xml:space="preserve">APPENDICE I : </w:t>
      </w:r>
      <w:r w:rsidR="003E4E3B">
        <w:rPr>
          <w:rFonts w:cs="Arial"/>
          <w:lang w:val="fr-FR"/>
        </w:rPr>
        <w:tab/>
      </w:r>
      <w:r w:rsidRPr="00431D28">
        <w:rPr>
          <w:rFonts w:cs="Arial"/>
          <w:lang w:val="fr-FR"/>
        </w:rPr>
        <w:t>MÉTHODE UTILISÉE POUR ÉTABLIR LE BUDGET</w:t>
      </w:r>
    </w:p>
    <w:p w:rsidR="005A7F6B" w:rsidRPr="00431D28" w:rsidRDefault="008340CD" w:rsidP="008340CD">
      <w:pPr>
        <w:rPr>
          <w:rFonts w:cs="Arial"/>
          <w:lang w:val="fr-FR"/>
        </w:rPr>
      </w:pPr>
      <w:r w:rsidRPr="00431D28">
        <w:rPr>
          <w:rFonts w:cs="Arial"/>
          <w:lang w:val="fr-FR"/>
        </w:rPr>
        <w:t xml:space="preserve">APPENDICE II : </w:t>
      </w:r>
      <w:r w:rsidR="003E4E3B">
        <w:rPr>
          <w:rFonts w:cs="Arial"/>
          <w:lang w:val="fr-FR"/>
        </w:rPr>
        <w:tab/>
      </w:r>
      <w:r w:rsidRPr="00431D28">
        <w:rPr>
          <w:rFonts w:cs="Arial"/>
          <w:lang w:val="fr-FR"/>
        </w:rPr>
        <w:t>CONTRIBUTIONS DES MEMBRES</w:t>
      </w:r>
    </w:p>
    <w:p w:rsidR="005A7F6B" w:rsidRPr="00431D28" w:rsidRDefault="008340CD" w:rsidP="008340CD">
      <w:pPr>
        <w:rPr>
          <w:rFonts w:cs="Arial"/>
          <w:lang w:val="fr-FR"/>
        </w:rPr>
      </w:pPr>
      <w:r w:rsidRPr="00431D28">
        <w:rPr>
          <w:rFonts w:cs="Arial"/>
          <w:lang w:val="fr-FR"/>
        </w:rPr>
        <w:t xml:space="preserve">APPENDICE III : </w:t>
      </w:r>
      <w:r w:rsidR="003E4E3B">
        <w:rPr>
          <w:rFonts w:cs="Arial"/>
          <w:lang w:val="fr-FR"/>
        </w:rPr>
        <w:tab/>
      </w:r>
      <w:r w:rsidRPr="00431D28">
        <w:rPr>
          <w:rFonts w:cs="Arial"/>
          <w:lang w:val="fr-FR"/>
        </w:rPr>
        <w:t>DÉFINITIONS DES RUBRIQUES BUDGÉTAIRES</w:t>
      </w:r>
    </w:p>
    <w:p w:rsidR="005A7F6B" w:rsidRPr="00431D28" w:rsidRDefault="00421639" w:rsidP="00390CE2">
      <w:pPr>
        <w:rPr>
          <w:b/>
          <w:lang w:val="fr-FR"/>
        </w:rPr>
      </w:pPr>
      <w:r w:rsidRPr="00431D28">
        <w:rPr>
          <w:rFonts w:cs="Arial"/>
          <w:lang w:val="fr-FR"/>
        </w:rPr>
        <w:br w:type="page"/>
      </w:r>
      <w:r w:rsidRPr="00431D28">
        <w:rPr>
          <w:b/>
          <w:lang w:val="fr-FR"/>
        </w:rPr>
        <w:lastRenderedPageBreak/>
        <w:t>1.</w:t>
      </w:r>
      <w:r w:rsidRPr="00431D28">
        <w:rPr>
          <w:b/>
          <w:lang w:val="fr-FR"/>
        </w:rPr>
        <w:tab/>
      </w:r>
      <w:r w:rsidR="00390CE2" w:rsidRPr="00431D28">
        <w:rPr>
          <w:b/>
          <w:lang w:val="fr-FR"/>
        </w:rPr>
        <w:t>INTRODUCTION</w:t>
      </w:r>
    </w:p>
    <w:p w:rsidR="005A7F6B" w:rsidRPr="00431D28" w:rsidRDefault="005A7F6B" w:rsidP="00421639">
      <w:pPr>
        <w:rPr>
          <w:lang w:val="fr-FR"/>
        </w:rPr>
      </w:pPr>
    </w:p>
    <w:p w:rsidR="005A7F6B" w:rsidRPr="00431D28" w:rsidRDefault="00390CE2" w:rsidP="00390CE2">
      <w:pPr>
        <w:pBdr>
          <w:top w:val="single" w:sz="4" w:space="1" w:color="auto"/>
          <w:left w:val="single" w:sz="4" w:space="4" w:color="auto"/>
          <w:bottom w:val="single" w:sz="4" w:space="1" w:color="auto"/>
          <w:right w:val="single" w:sz="4" w:space="4" w:color="auto"/>
        </w:pBdr>
        <w:jc w:val="center"/>
        <w:rPr>
          <w:b/>
          <w:u w:val="single"/>
          <w:lang w:val="fr-FR"/>
        </w:rPr>
      </w:pPr>
      <w:r w:rsidRPr="00431D28">
        <w:rPr>
          <w:b/>
          <w:u w:val="single"/>
          <w:lang w:val="fr-FR"/>
        </w:rPr>
        <w:t>Mission de l’UPOV</w:t>
      </w:r>
    </w:p>
    <w:p w:rsidR="005A7F6B" w:rsidRPr="00431D28" w:rsidRDefault="005A7F6B" w:rsidP="00421639">
      <w:pPr>
        <w:pBdr>
          <w:top w:val="single" w:sz="4" w:space="1" w:color="auto"/>
          <w:left w:val="single" w:sz="4" w:space="4" w:color="auto"/>
          <w:bottom w:val="single" w:sz="4" w:space="1" w:color="auto"/>
          <w:right w:val="single" w:sz="4" w:space="4" w:color="auto"/>
        </w:pBdr>
        <w:jc w:val="center"/>
        <w:rPr>
          <w:b/>
          <w:lang w:val="fr-FR"/>
        </w:rPr>
      </w:pPr>
    </w:p>
    <w:p w:rsidR="005A7F6B" w:rsidRPr="00431D28" w:rsidRDefault="00390CE2" w:rsidP="00390CE2">
      <w:pPr>
        <w:pBdr>
          <w:top w:val="single" w:sz="4" w:space="1" w:color="auto"/>
          <w:left w:val="single" w:sz="4" w:space="4" w:color="auto"/>
          <w:bottom w:val="single" w:sz="4" w:space="1" w:color="auto"/>
          <w:right w:val="single" w:sz="4" w:space="4" w:color="auto"/>
        </w:pBdr>
        <w:jc w:val="center"/>
        <w:rPr>
          <w:b/>
          <w:lang w:val="fr-FR"/>
        </w:rPr>
      </w:pPr>
      <w:r w:rsidRPr="00431D28">
        <w:rPr>
          <w:b/>
          <w:lang w:val="fr-FR"/>
        </w:rPr>
        <w:t>Mettre en place et promouvoir un système efficace de protection des variétés végétales</w:t>
      </w:r>
      <w:r w:rsidR="003E4E3B">
        <w:rPr>
          <w:b/>
          <w:lang w:val="fr-FR"/>
        </w:rPr>
        <w:br/>
      </w:r>
      <w:r w:rsidRPr="00431D28">
        <w:rPr>
          <w:b/>
          <w:lang w:val="fr-FR"/>
        </w:rPr>
        <w:t>afin d’encourager l’obtention de variétés dans l’intérêt de tous.</w:t>
      </w:r>
    </w:p>
    <w:p w:rsidR="005A7F6B" w:rsidRPr="00431D28" w:rsidRDefault="005A7F6B" w:rsidP="00421639">
      <w:pPr>
        <w:pBdr>
          <w:top w:val="single" w:sz="4" w:space="1" w:color="auto"/>
          <w:left w:val="single" w:sz="4" w:space="4" w:color="auto"/>
          <w:bottom w:val="single" w:sz="4" w:space="1" w:color="auto"/>
          <w:right w:val="single" w:sz="4" w:space="4" w:color="auto"/>
        </w:pBdr>
        <w:jc w:val="center"/>
        <w:rPr>
          <w:b/>
          <w:sz w:val="26"/>
          <w:lang w:val="fr-FR"/>
        </w:rPr>
      </w:pPr>
    </w:p>
    <w:p w:rsidR="005A7F6B" w:rsidRPr="00431D28" w:rsidRDefault="005A7F6B" w:rsidP="004216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lang w:val="fr-FR"/>
        </w:rPr>
      </w:pPr>
    </w:p>
    <w:p w:rsidR="005A7F6B" w:rsidRPr="00431D28" w:rsidRDefault="00390CE2" w:rsidP="003E4E3B">
      <w:pPr>
        <w:rPr>
          <w:snapToGrid w:val="0"/>
          <w:lang w:val="fr-FR"/>
        </w:rPr>
      </w:pPr>
      <w:r w:rsidRPr="00431D28">
        <w:rPr>
          <w:lang w:val="fr-FR"/>
        </w:rPr>
        <w:t>1.1</w:t>
      </w:r>
      <w:r w:rsidRPr="00431D28">
        <w:rPr>
          <w:lang w:val="fr-FR"/>
        </w:rPr>
        <w:tab/>
        <w:t>Une trilogie d'é</w:t>
      </w:r>
      <w:r w:rsidR="00E616D9">
        <w:rPr>
          <w:lang w:val="fr-FR"/>
        </w:rPr>
        <w:t>vénements en 2011 et 2012 (la “t</w:t>
      </w:r>
      <w:r w:rsidRPr="00431D28">
        <w:rPr>
          <w:lang w:val="fr-FR"/>
        </w:rPr>
        <w:t xml:space="preserve">rilogie”) a souligné l’importance du rôle que joue le </w:t>
      </w:r>
      <w:r w:rsidRPr="008C3FDB">
        <w:rPr>
          <w:lang w:val="fr-FR"/>
        </w:rPr>
        <w:t xml:space="preserve">système </w:t>
      </w:r>
      <w:r w:rsidR="007C2963" w:rsidRPr="008C3FDB">
        <w:rPr>
          <w:lang w:val="fr-FR"/>
        </w:rPr>
        <w:t>de l’</w:t>
      </w:r>
      <w:r w:rsidRPr="008C3FDB">
        <w:rPr>
          <w:lang w:val="fr-FR"/>
        </w:rPr>
        <w:t>UPOV de protection des obtentions végétales dans la création d’une agriculture productive et durable qui peut assurer la sécurité alimentaire et le développement économique et ce, dans l’intérêt de tous.</w:t>
      </w:r>
      <w:r w:rsidR="00421639" w:rsidRPr="008C3FDB">
        <w:rPr>
          <w:lang w:val="fr-FR"/>
        </w:rPr>
        <w:t xml:space="preserve">  </w:t>
      </w:r>
      <w:r w:rsidR="00563694" w:rsidRPr="008C3FDB">
        <w:rPr>
          <w:lang w:val="fr-FR"/>
        </w:rPr>
        <w:t>Le “Colloque sur la sélection végétale pour l’avenir”, tenu à Genève le 21 octobre </w:t>
      </w:r>
      <w:r w:rsidR="00431D28" w:rsidRPr="008C3FDB">
        <w:rPr>
          <w:lang w:val="fr-FR"/>
        </w:rPr>
        <w:t>2011</w:t>
      </w:r>
      <w:r w:rsidR="00107737">
        <w:rPr>
          <w:lang w:val="fr-FR"/>
        </w:rPr>
        <w:t xml:space="preserve"> </w:t>
      </w:r>
      <w:r w:rsidR="00107737" w:rsidRPr="008C3FDB">
        <w:rPr>
          <w:lang w:val="fr-FR"/>
        </w:rPr>
        <w:t>(</w:t>
      </w:r>
      <w:hyperlink r:id="rId11" w:history="1">
        <w:r w:rsidR="00107737" w:rsidRPr="007F30C1">
          <w:rPr>
            <w:rStyle w:val="Hyperlink"/>
            <w:lang w:val="fr-FR"/>
          </w:rPr>
          <w:t>http://www.upov.int/meetings/fr/details.jsp?meeting_id=24133</w:t>
        </w:r>
      </w:hyperlink>
      <w:r w:rsidR="00107737" w:rsidRPr="008C3FDB">
        <w:rPr>
          <w:lang w:val="fr-FR"/>
        </w:rPr>
        <w:t>)</w:t>
      </w:r>
      <w:r w:rsidR="00431D28" w:rsidRPr="008C3FDB">
        <w:rPr>
          <w:lang w:val="fr-FR"/>
        </w:rPr>
        <w:t>,</w:t>
      </w:r>
      <w:r w:rsidR="00563694" w:rsidRPr="008C3FDB">
        <w:rPr>
          <w:lang w:val="fr-FR"/>
        </w:rPr>
        <w:t xml:space="preserve"> a mis en relief l’importance de la sélection végétale et de la protection des obtentions végétales pour la mise au point de variétés qui permettent aux agriculteurs et aux producteurs de répondre aux besoins des consommateurs.</w:t>
      </w:r>
      <w:r w:rsidR="00421639" w:rsidRPr="008C3FDB">
        <w:rPr>
          <w:snapToGrid w:val="0"/>
          <w:lang w:val="fr-FR"/>
        </w:rPr>
        <w:t xml:space="preserve">  </w:t>
      </w:r>
      <w:r w:rsidR="00563694" w:rsidRPr="008C3FDB">
        <w:rPr>
          <w:snapToGrid w:val="0"/>
          <w:lang w:val="fr-FR"/>
        </w:rPr>
        <w:t>Le “Séminaire sur la protection des variétés végétales et le transfert de technologie : les avantages d’un partenariat secteur public-secteur privé” (</w:t>
      </w:r>
      <w:hyperlink r:id="rId12" w:history="1">
        <w:r w:rsidR="008A3AAA" w:rsidRPr="007F30C1">
          <w:rPr>
            <w:rStyle w:val="Hyperlink"/>
            <w:snapToGrid w:val="0"/>
            <w:lang w:val="fr-FR"/>
          </w:rPr>
          <w:t>http://www.upov.int/meetings/fr/details.jsp?meeting_id=22163</w:t>
        </w:r>
      </w:hyperlink>
      <w:r w:rsidR="00563694" w:rsidRPr="008C3FDB">
        <w:rPr>
          <w:snapToGrid w:val="0"/>
          <w:lang w:val="fr-FR"/>
        </w:rPr>
        <w:t>), tenu à</w:t>
      </w:r>
      <w:r w:rsidR="003E4E3B" w:rsidRPr="008C3FDB">
        <w:rPr>
          <w:snapToGrid w:val="0"/>
          <w:lang w:val="fr-FR"/>
        </w:rPr>
        <w:t xml:space="preserve"> Genève les 11 et 12 avril </w:t>
      </w:r>
      <w:r w:rsidR="007C2963" w:rsidRPr="008C3FDB">
        <w:rPr>
          <w:snapToGrid w:val="0"/>
          <w:lang w:val="fr-FR"/>
        </w:rPr>
        <w:t>2011</w:t>
      </w:r>
      <w:r w:rsidR="00563694" w:rsidRPr="008C3FDB">
        <w:rPr>
          <w:snapToGrid w:val="0"/>
          <w:lang w:val="fr-FR"/>
        </w:rPr>
        <w:t xml:space="preserve">, a démontré le rôle que joue le système </w:t>
      </w:r>
      <w:r w:rsidR="00DD3F1D" w:rsidRPr="008C3FDB">
        <w:rPr>
          <w:snapToGrid w:val="0"/>
          <w:lang w:val="fr-FR"/>
        </w:rPr>
        <w:t>de l’</w:t>
      </w:r>
      <w:r w:rsidR="00563694" w:rsidRPr="008C3FDB">
        <w:rPr>
          <w:snapToGrid w:val="0"/>
          <w:lang w:val="fr-FR"/>
        </w:rPr>
        <w:t>UPOV de protection des obtentions végétales dans la promotion de la sélection végétale dans les secteurs public et privé ainsi que dan</w:t>
      </w:r>
      <w:r w:rsidR="003E4E3B" w:rsidRPr="008C3FDB">
        <w:rPr>
          <w:snapToGrid w:val="0"/>
          <w:lang w:val="fr-FR"/>
        </w:rPr>
        <w:t xml:space="preserve">s celle des partenariats </w:t>
      </w:r>
      <w:r w:rsidR="003E4E3B" w:rsidRPr="008C3FDB">
        <w:rPr>
          <w:rFonts w:cs="Arial"/>
          <w:snapToGrid w:val="0"/>
          <w:lang w:val="fr-FR"/>
        </w:rPr>
        <w:t>public</w:t>
      </w:r>
      <w:r w:rsidR="003E4E3B" w:rsidRPr="008C3FDB">
        <w:rPr>
          <w:rFonts w:cs="Arial"/>
          <w:snapToGrid w:val="0"/>
          <w:sz w:val="24"/>
          <w:szCs w:val="24"/>
          <w:lang w:val="fr-FR"/>
        </w:rPr>
        <w:noBreakHyphen/>
      </w:r>
      <w:r w:rsidR="00563694" w:rsidRPr="008C3FDB">
        <w:rPr>
          <w:rFonts w:cs="Arial"/>
          <w:snapToGrid w:val="0"/>
          <w:lang w:val="fr-FR"/>
        </w:rPr>
        <w:t>privé</w:t>
      </w:r>
      <w:r w:rsidR="00563694" w:rsidRPr="008C3FDB">
        <w:rPr>
          <w:snapToGrid w:val="0"/>
          <w:lang w:val="fr-FR"/>
        </w:rPr>
        <w:t xml:space="preserve"> tout en soulignant son rôle dans la facilitation de la fourniture de variétés aux agriculteurs.</w:t>
      </w:r>
      <w:r w:rsidR="00421639" w:rsidRPr="008C3FDB">
        <w:rPr>
          <w:snapToGrid w:val="0"/>
          <w:lang w:val="fr-FR"/>
        </w:rPr>
        <w:t xml:space="preserve">  </w:t>
      </w:r>
      <w:r w:rsidR="00563694" w:rsidRPr="008C3FDB">
        <w:rPr>
          <w:snapToGrid w:val="0"/>
          <w:lang w:val="fr-FR"/>
        </w:rPr>
        <w:t>Le troisième événement de la trilogie, à savoir le “Colloque sur les avantages de la protection des obtentions végétales pour les agriculteurs et les producteurs</w:t>
      </w:r>
      <w:r w:rsidR="00563694" w:rsidRPr="00431D28">
        <w:rPr>
          <w:snapToGrid w:val="0"/>
          <w:lang w:val="fr-FR"/>
        </w:rPr>
        <w:t>”, tenu à Genève le 2 novembre 2012</w:t>
      </w:r>
      <w:r w:rsidR="00107737">
        <w:rPr>
          <w:snapToGrid w:val="0"/>
          <w:lang w:val="fr-FR"/>
        </w:rPr>
        <w:t xml:space="preserve"> </w:t>
      </w:r>
      <w:r w:rsidR="00107737" w:rsidRPr="00431D28">
        <w:rPr>
          <w:snapToGrid w:val="0"/>
          <w:lang w:val="fr-FR"/>
        </w:rPr>
        <w:t>(</w:t>
      </w:r>
      <w:hyperlink r:id="rId13" w:history="1">
        <w:r w:rsidR="00107737" w:rsidRPr="007F30C1">
          <w:rPr>
            <w:rStyle w:val="Hyperlink"/>
            <w:snapToGrid w:val="0"/>
            <w:lang w:val="fr-FR"/>
          </w:rPr>
          <w:t>http://www.upov.int/meetings/fr/details.jsp?meeting_id=26104</w:t>
        </w:r>
      </w:hyperlink>
      <w:r w:rsidR="00107737" w:rsidRPr="00431D28">
        <w:rPr>
          <w:snapToGrid w:val="0"/>
          <w:lang w:val="fr-FR"/>
        </w:rPr>
        <w:t>)</w:t>
      </w:r>
      <w:r w:rsidR="00563694" w:rsidRPr="00431D28">
        <w:rPr>
          <w:snapToGrid w:val="0"/>
          <w:lang w:val="fr-FR"/>
        </w:rPr>
        <w:t>, a donné des exemples de la manière dont la protection des obtentions végétales peut améliorer les revenus des agriculteurs et des producteurs en appuyant la mise au point et la fourniture de nouvelles variétés améliorées qui conviennent à leurs besoins et en fournissant un mécanisme destiné à faciliter la coopération et à ajouter de la valeur à la chaîne de production.</w:t>
      </w:r>
      <w:r w:rsidR="00421639" w:rsidRPr="00431D28">
        <w:rPr>
          <w:snapToGrid w:val="0"/>
          <w:lang w:val="fr-FR"/>
        </w:rPr>
        <w:t xml:space="preserve"> </w:t>
      </w:r>
      <w:r w:rsidR="00563694" w:rsidRPr="00431D28">
        <w:rPr>
          <w:snapToGrid w:val="0"/>
          <w:lang w:val="fr-FR"/>
        </w:rPr>
        <w:t>Le colloque a également donné des exemples de la manière dont les agriculteurs et les producteurs peuvent utiliser la protection des variétés en tant qu’obtenteurs.</w:t>
      </w:r>
    </w:p>
    <w:p w:rsidR="005A7F6B" w:rsidRPr="00431D28" w:rsidRDefault="005A7F6B" w:rsidP="00421639">
      <w:pPr>
        <w:rPr>
          <w:lang w:val="fr-FR"/>
        </w:rPr>
      </w:pPr>
    </w:p>
    <w:p w:rsidR="005A7F6B" w:rsidRPr="00431D28" w:rsidRDefault="00563694" w:rsidP="00563694">
      <w:pPr>
        <w:rPr>
          <w:lang w:val="fr-FR"/>
        </w:rPr>
      </w:pPr>
      <w:r w:rsidRPr="00431D28">
        <w:rPr>
          <w:lang w:val="fr-FR"/>
        </w:rPr>
        <w:t>1.2</w:t>
      </w:r>
      <w:r w:rsidRPr="00431D28">
        <w:rPr>
          <w:lang w:val="fr-FR"/>
        </w:rPr>
        <w:tab/>
        <w:t>La trilogie s’est appuyée sur les conclusions du Rapport de l’UPOV sur l’impact de la protection des obtentions végétales (</w:t>
      </w:r>
      <w:hyperlink r:id="rId14" w:history="1">
        <w:r w:rsidR="00107737">
          <w:rPr>
            <w:rStyle w:val="Hyperlink"/>
            <w:lang w:val="fr-FR"/>
          </w:rPr>
          <w:t>http://www.upov.int/about/fr/pdf/353_upov_report.pdf</w:t>
        </w:r>
      </w:hyperlink>
      <w:r w:rsidRPr="00431D28">
        <w:rPr>
          <w:lang w:val="fr-FR"/>
        </w:rPr>
        <w:t>), qui a démontré que, pour tirer pleinement parti des avantages de la protection des obtentions végétales, il est impératif à la fois d’adhérer à la Convention UPOV et d’être membre de l’Union.</w:t>
      </w:r>
      <w:r w:rsidR="00421639" w:rsidRPr="00431D28">
        <w:rPr>
          <w:lang w:val="fr-FR"/>
        </w:rPr>
        <w:t xml:space="preserve">  </w:t>
      </w:r>
      <w:r w:rsidRPr="00431D28">
        <w:rPr>
          <w:lang w:val="fr-FR"/>
        </w:rPr>
        <w:t>Ce rapport a également démontré que l’expansion de l’UPOV bénéficie à la fois aux nouveaux membres et aux membres actuels de l’U</w:t>
      </w:r>
      <w:r w:rsidR="00107737">
        <w:rPr>
          <w:lang w:val="fr-FR"/>
        </w:rPr>
        <w:t>POV</w:t>
      </w:r>
      <w:r w:rsidRPr="00431D28">
        <w:rPr>
          <w:lang w:val="fr-FR"/>
        </w:rPr>
        <w:t>.</w:t>
      </w:r>
    </w:p>
    <w:p w:rsidR="00421639" w:rsidRDefault="00421639" w:rsidP="00421639">
      <w:pPr>
        <w:rPr>
          <w:lang w:val="fr-FR"/>
        </w:rPr>
      </w:pPr>
    </w:p>
    <w:tbl>
      <w:tblPr>
        <w:tblStyle w:val="TableGrid"/>
        <w:tblW w:w="9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516"/>
      </w:tblGrid>
      <w:tr w:rsidR="00107737" w:rsidRPr="00107737" w:rsidTr="003D6ABB">
        <w:tc>
          <w:tcPr>
            <w:tcW w:w="9516" w:type="dxa"/>
          </w:tcPr>
          <w:p w:rsidR="00107737" w:rsidRPr="00107737" w:rsidRDefault="00107737" w:rsidP="00107737">
            <w:pPr>
              <w:rPr>
                <w:lang w:val="fr-FR"/>
              </w:rPr>
            </w:pPr>
            <w:r w:rsidRPr="00107737">
              <w:rPr>
                <w:lang w:val="fr-FR"/>
              </w:rPr>
              <w:t>Figure 1:  Nombre de nouveaux membres de l’Union</w:t>
            </w:r>
          </w:p>
        </w:tc>
      </w:tr>
      <w:tr w:rsidR="00107737" w:rsidRPr="00107737" w:rsidTr="00107737">
        <w:tc>
          <w:tcPr>
            <w:tcW w:w="9516" w:type="dxa"/>
            <w:vAlign w:val="center"/>
          </w:tcPr>
          <w:p w:rsidR="00107737" w:rsidRPr="00107737" w:rsidRDefault="00107737" w:rsidP="003D6ABB">
            <w:pPr>
              <w:jc w:val="center"/>
              <w:rPr>
                <w:highlight w:val="cyan"/>
                <w:lang w:val="fr-FR"/>
              </w:rPr>
            </w:pPr>
            <w:r w:rsidRPr="00107737">
              <w:rPr>
                <w:noProof/>
              </w:rPr>
              <w:drawing>
                <wp:inline distT="0" distB="0" distL="0" distR="0" wp14:anchorId="2D402558" wp14:editId="10E56E00">
                  <wp:extent cx="5524500" cy="3611582"/>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524500" cy="3611582"/>
                          </a:xfrm>
                          <a:prstGeom prst="rect">
                            <a:avLst/>
                          </a:prstGeom>
                        </pic:spPr>
                      </pic:pic>
                    </a:graphicData>
                  </a:graphic>
                </wp:inline>
              </w:drawing>
            </w:r>
          </w:p>
        </w:tc>
      </w:tr>
    </w:tbl>
    <w:p w:rsidR="00107737" w:rsidRPr="00431D28" w:rsidRDefault="00107737" w:rsidP="00421639">
      <w:pPr>
        <w:rPr>
          <w:lang w:val="fr-FR"/>
        </w:rPr>
      </w:pPr>
    </w:p>
    <w:p w:rsidR="005A7F6B" w:rsidRPr="008C3FDB" w:rsidRDefault="00421639" w:rsidP="00B247D2">
      <w:pPr>
        <w:rPr>
          <w:snapToGrid w:val="0"/>
          <w:lang w:val="fr-FR"/>
        </w:rPr>
      </w:pPr>
      <w:r w:rsidRPr="00431D28">
        <w:rPr>
          <w:lang w:val="fr-FR"/>
        </w:rPr>
        <w:t>1.3</w:t>
      </w:r>
      <w:r w:rsidRPr="00431D28">
        <w:rPr>
          <w:lang w:val="fr-FR"/>
        </w:rPr>
        <w:tab/>
      </w:r>
      <w:r w:rsidR="00B247D2" w:rsidRPr="00431D28">
        <w:rPr>
          <w:lang w:val="fr-FR"/>
        </w:rPr>
        <w:t>Durant la période 2007</w:t>
      </w:r>
      <w:r w:rsidR="00EB7F24" w:rsidRPr="003E4E3B">
        <w:rPr>
          <w:rFonts w:cs="Arial"/>
          <w:snapToGrid w:val="0"/>
          <w:lang w:val="fr-FR"/>
        </w:rPr>
        <w:noBreakHyphen/>
      </w:r>
      <w:r w:rsidR="00B247D2" w:rsidRPr="00431D28">
        <w:rPr>
          <w:lang w:val="fr-FR"/>
        </w:rPr>
        <w:t xml:space="preserve">2012, le nombre des membres de l’UPOV a </w:t>
      </w:r>
      <w:r w:rsidR="00B247D2" w:rsidRPr="008C3FDB">
        <w:rPr>
          <w:lang w:val="fr-FR"/>
        </w:rPr>
        <w:t>augmenté en moyenne d’un nouveau membre par an (vo</w:t>
      </w:r>
      <w:r w:rsidR="00E67AE9" w:rsidRPr="008C3FDB">
        <w:rPr>
          <w:lang w:val="fr-FR"/>
        </w:rPr>
        <w:t>ir la figure </w:t>
      </w:r>
      <w:r w:rsidR="00B247D2" w:rsidRPr="008C3FDB">
        <w:rPr>
          <w:lang w:val="fr-FR"/>
        </w:rPr>
        <w:t xml:space="preserve">1) et il est prévu qu’il continuera d’augmenter à un rythme similaire </w:t>
      </w:r>
      <w:r w:rsidR="00E67AE9" w:rsidRPr="008C3FDB">
        <w:rPr>
          <w:lang w:val="fr-FR"/>
        </w:rPr>
        <w:t>dans les années à venir.  Seize </w:t>
      </w:r>
      <w:r w:rsidR="00B247D2" w:rsidRPr="008C3FDB">
        <w:rPr>
          <w:lang w:val="fr-FR"/>
        </w:rPr>
        <w:t>États et une organisation intergouvernementale ont engagé la procédure d’adhésion à la Convention UPOV et 2</w:t>
      </w:r>
      <w:r w:rsidR="00BD0038">
        <w:rPr>
          <w:lang w:val="fr-FR"/>
        </w:rPr>
        <w:t>4</w:t>
      </w:r>
      <w:r w:rsidR="00E67AE9" w:rsidRPr="008C3FDB">
        <w:rPr>
          <w:lang w:val="fr-FR"/>
        </w:rPr>
        <w:t> </w:t>
      </w:r>
      <w:r w:rsidR="00B247D2" w:rsidRPr="008C3FDB">
        <w:rPr>
          <w:lang w:val="fr-FR"/>
        </w:rPr>
        <w:t>États et deux organisations intergouvernementales ont pris contact avec le Bureau de l’Union afin de solliciter son aide dans l’élaboration de</w:t>
      </w:r>
      <w:r w:rsidR="003D7C06">
        <w:rPr>
          <w:lang w:val="fr-FR"/>
        </w:rPr>
        <w:t xml:space="preserve"> lois fondées sur la Convention </w:t>
      </w:r>
      <w:r w:rsidR="00B247D2" w:rsidRPr="008C3FDB">
        <w:rPr>
          <w:lang w:val="fr-FR"/>
        </w:rPr>
        <w:t>UPOV.</w:t>
      </w:r>
      <w:r w:rsidRPr="008C3FDB">
        <w:rPr>
          <w:lang w:val="fr-FR"/>
        </w:rPr>
        <w:t xml:space="preserve">  </w:t>
      </w:r>
      <w:r w:rsidR="00B247D2" w:rsidRPr="008C3FDB">
        <w:rPr>
          <w:lang w:val="fr-FR"/>
        </w:rPr>
        <w:t>La figure 2 donne un aperçu graphique de la situation actuelle en rapport avec l’UPOV.</w:t>
      </w:r>
      <w:r w:rsidRPr="008C3FDB">
        <w:rPr>
          <w:lang w:val="fr-FR"/>
        </w:rPr>
        <w:t xml:space="preserve">  </w:t>
      </w:r>
      <w:r w:rsidR="00B247D2" w:rsidRPr="008C3FDB">
        <w:rPr>
          <w:lang w:val="fr-FR"/>
        </w:rPr>
        <w:t>L’encadré 1 contient des informations sur les États et organisations intergouvernementales ayant engagé la procédure d’adhésion à l’UPOV, ainsi que sur ceux ayant pris contact avec le Bureau de l’Union afin de solliciter une aide dans l’élaboration de lois fondées sur la Convention UPOV.</w:t>
      </w:r>
      <w:r w:rsidRPr="008C3FDB">
        <w:rPr>
          <w:lang w:val="fr-FR"/>
        </w:rPr>
        <w:t xml:space="preserve">  </w:t>
      </w:r>
      <w:r w:rsidR="00B247D2" w:rsidRPr="008C3FDB">
        <w:rPr>
          <w:lang w:val="fr-FR"/>
        </w:rPr>
        <w:t>Il ressort de ces données qu’il demeure nécessaire de continuer à déployer des efforts en vue de faire mieux connaître le rôle de la protection des obtentions végétales et d’aider les États et organisations à devenir membres de l’Union et à mettre en œuvre le système de l’UPOV.</w:t>
      </w:r>
      <w:r w:rsidRPr="008C3FDB">
        <w:rPr>
          <w:snapToGrid w:val="0"/>
          <w:lang w:val="fr-FR"/>
        </w:rPr>
        <w:t xml:space="preserve">  </w:t>
      </w:r>
    </w:p>
    <w:p w:rsidR="00421639" w:rsidRPr="008C3FDB" w:rsidRDefault="00421639" w:rsidP="00421639">
      <w:pPr>
        <w:rPr>
          <w:lang w:val="fr-FR"/>
        </w:rPr>
      </w:pPr>
    </w:p>
    <w:tbl>
      <w:tblPr>
        <w:tblW w:w="9923" w:type="dxa"/>
        <w:tblInd w:w="-34" w:type="dxa"/>
        <w:tblLayout w:type="fixed"/>
        <w:tblLook w:val="01E0" w:firstRow="1" w:lastRow="1" w:firstColumn="1" w:lastColumn="1" w:noHBand="0" w:noVBand="0"/>
      </w:tblPr>
      <w:tblGrid>
        <w:gridCol w:w="9923"/>
      </w:tblGrid>
      <w:tr w:rsidR="009A663A" w:rsidRPr="00431D28" w:rsidTr="00C02487">
        <w:tc>
          <w:tcPr>
            <w:tcW w:w="9923" w:type="dxa"/>
            <w:shd w:val="clear" w:color="auto" w:fill="auto"/>
            <w:vAlign w:val="center"/>
          </w:tcPr>
          <w:p w:rsidR="005A7F6B" w:rsidRPr="008C3FDB" w:rsidRDefault="00B247D2" w:rsidP="00C02487">
            <w:pPr>
              <w:keepNext/>
              <w:spacing w:after="40"/>
              <w:rPr>
                <w:lang w:val="fr-FR"/>
              </w:rPr>
            </w:pPr>
            <w:r w:rsidRPr="008C3FDB">
              <w:rPr>
                <w:lang w:val="fr-FR"/>
              </w:rPr>
              <w:t>Figure 2 : Carte indiquant (situation au 31 juillet 2013)</w:t>
            </w:r>
          </w:p>
          <w:p w:rsidR="005A7F6B" w:rsidRPr="008C3FDB" w:rsidRDefault="00421639" w:rsidP="00C02487">
            <w:pPr>
              <w:keepNext/>
              <w:ind w:left="1310" w:hanging="176"/>
              <w:rPr>
                <w:sz w:val="18"/>
                <w:szCs w:val="18"/>
                <w:lang w:val="fr-FR"/>
              </w:rPr>
            </w:pPr>
            <w:r w:rsidRPr="008C3FDB">
              <w:rPr>
                <w:sz w:val="18"/>
                <w:szCs w:val="18"/>
                <w:lang w:val="fr-FR"/>
              </w:rPr>
              <w:t>-</w:t>
            </w:r>
            <w:r w:rsidR="0028159D">
              <w:rPr>
                <w:sz w:val="18"/>
                <w:szCs w:val="18"/>
                <w:lang w:val="fr-FR"/>
              </w:rPr>
              <w:tab/>
            </w:r>
            <w:r w:rsidR="00B247D2" w:rsidRPr="008C3FDB">
              <w:rPr>
                <w:sz w:val="18"/>
                <w:szCs w:val="18"/>
                <w:lang w:val="fr-FR"/>
              </w:rPr>
              <w:t>les membres de l’UPOV (en vert);</w:t>
            </w:r>
          </w:p>
          <w:p w:rsidR="005A7F6B" w:rsidRPr="008C3FDB" w:rsidRDefault="0028159D" w:rsidP="00C02487">
            <w:pPr>
              <w:keepNext/>
              <w:ind w:left="1310" w:hanging="176"/>
              <w:rPr>
                <w:sz w:val="18"/>
                <w:szCs w:val="18"/>
                <w:lang w:val="fr-FR"/>
              </w:rPr>
            </w:pPr>
            <w:r>
              <w:rPr>
                <w:sz w:val="18"/>
                <w:szCs w:val="18"/>
                <w:lang w:val="fr-FR"/>
              </w:rPr>
              <w:t>-</w:t>
            </w:r>
            <w:r>
              <w:rPr>
                <w:sz w:val="18"/>
                <w:szCs w:val="18"/>
                <w:lang w:val="fr-FR"/>
              </w:rPr>
              <w:tab/>
            </w:r>
            <w:r w:rsidR="00B247D2" w:rsidRPr="008C3FDB">
              <w:rPr>
                <w:sz w:val="18"/>
                <w:szCs w:val="18"/>
                <w:lang w:val="fr-FR"/>
              </w:rPr>
              <w:t>les États et les organisations intergouvernementales ayant engagé la pr</w:t>
            </w:r>
            <w:r w:rsidR="00E67AE9" w:rsidRPr="008C3FDB">
              <w:rPr>
                <w:sz w:val="18"/>
                <w:szCs w:val="18"/>
                <w:lang w:val="fr-FR"/>
              </w:rPr>
              <w:t>océdure d’adhésion à l’UPOV (en </w:t>
            </w:r>
            <w:r w:rsidR="00B247D2" w:rsidRPr="008C3FDB">
              <w:rPr>
                <w:sz w:val="18"/>
                <w:szCs w:val="18"/>
                <w:lang w:val="fr-FR"/>
              </w:rPr>
              <w:t>brun);  et</w:t>
            </w:r>
            <w:r w:rsidR="00421639" w:rsidRPr="008C3FDB">
              <w:rPr>
                <w:sz w:val="18"/>
                <w:szCs w:val="18"/>
                <w:lang w:val="fr-FR"/>
              </w:rPr>
              <w:t xml:space="preserve"> </w:t>
            </w:r>
          </w:p>
          <w:p w:rsidR="00421639" w:rsidRPr="00C02487" w:rsidRDefault="0028159D" w:rsidP="00E67AE9">
            <w:pPr>
              <w:keepNext/>
              <w:ind w:left="1310" w:hanging="176"/>
              <w:rPr>
                <w:sz w:val="18"/>
                <w:szCs w:val="18"/>
                <w:lang w:val="fr-FR"/>
              </w:rPr>
            </w:pPr>
            <w:r>
              <w:rPr>
                <w:sz w:val="18"/>
                <w:szCs w:val="18"/>
                <w:lang w:val="fr-FR"/>
              </w:rPr>
              <w:t>-</w:t>
            </w:r>
            <w:r>
              <w:rPr>
                <w:sz w:val="18"/>
                <w:szCs w:val="18"/>
                <w:lang w:val="fr-FR"/>
              </w:rPr>
              <w:tab/>
            </w:r>
            <w:r w:rsidR="00B247D2" w:rsidRPr="008C3FDB">
              <w:rPr>
                <w:sz w:val="18"/>
                <w:szCs w:val="18"/>
                <w:lang w:val="fr-FR"/>
              </w:rPr>
              <w:t>les États et les organisations intergouvernementales ayant pris contact avec le Bureau de l’Union afin de</w:t>
            </w:r>
            <w:r w:rsidR="00E67AE9" w:rsidRPr="008C3FDB">
              <w:rPr>
                <w:sz w:val="18"/>
                <w:szCs w:val="18"/>
                <w:lang w:val="fr-FR"/>
              </w:rPr>
              <w:t xml:space="preserve"> </w:t>
            </w:r>
            <w:r w:rsidR="00B247D2" w:rsidRPr="008C3FDB">
              <w:rPr>
                <w:sz w:val="18"/>
                <w:szCs w:val="18"/>
                <w:lang w:val="fr-FR"/>
              </w:rPr>
              <w:t>solliciter une aide dans l’élaboration de lois fondées sur la Convention UPOV (en orange)</w:t>
            </w:r>
          </w:p>
        </w:tc>
      </w:tr>
      <w:tr w:rsidR="007425EB" w:rsidRPr="00431D28" w:rsidTr="00C02487">
        <w:tc>
          <w:tcPr>
            <w:tcW w:w="9923" w:type="dxa"/>
            <w:shd w:val="clear" w:color="auto" w:fill="auto"/>
            <w:vAlign w:val="center"/>
          </w:tcPr>
          <w:p w:rsidR="007425EB" w:rsidRPr="00C02487" w:rsidRDefault="003D7C06" w:rsidP="00C02487">
            <w:pPr>
              <w:jc w:val="center"/>
              <w:rPr>
                <w:noProof/>
                <w:lang w:val="fr-FR"/>
              </w:rPr>
            </w:pPr>
            <w:r>
              <w:rPr>
                <w:noProof/>
              </w:rPr>
              <w:drawing>
                <wp:inline distT="0" distB="0" distL="0" distR="0" wp14:anchorId="37B5EEBC" wp14:editId="599469ED">
                  <wp:extent cx="5286375" cy="2678314"/>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_01_18.PNG"/>
                          <pic:cNvPicPr/>
                        </pic:nvPicPr>
                        <pic:blipFill>
                          <a:blip r:embed="rId16">
                            <a:extLst>
                              <a:ext uri="{28A0092B-C50C-407E-A947-70E740481C1C}">
                                <a14:useLocalDpi xmlns:a14="http://schemas.microsoft.com/office/drawing/2010/main" val="0"/>
                              </a:ext>
                            </a:extLst>
                          </a:blip>
                          <a:stretch>
                            <a:fillRect/>
                          </a:stretch>
                        </pic:blipFill>
                        <pic:spPr>
                          <a:xfrm>
                            <a:off x="0" y="0"/>
                            <a:ext cx="5311815" cy="2691203"/>
                          </a:xfrm>
                          <a:prstGeom prst="rect">
                            <a:avLst/>
                          </a:prstGeom>
                        </pic:spPr>
                      </pic:pic>
                    </a:graphicData>
                  </a:graphic>
                </wp:inline>
              </w:drawing>
            </w:r>
          </w:p>
        </w:tc>
      </w:tr>
      <w:tr w:rsidR="00421639" w:rsidRPr="00431D28" w:rsidTr="00C02487">
        <w:trPr>
          <w:trHeight w:val="281"/>
        </w:trPr>
        <w:tc>
          <w:tcPr>
            <w:tcW w:w="9923" w:type="dxa"/>
            <w:shd w:val="clear" w:color="auto" w:fill="auto"/>
            <w:vAlign w:val="center"/>
          </w:tcPr>
          <w:p w:rsidR="00421639" w:rsidRPr="00C02487" w:rsidRDefault="00B247D2" w:rsidP="00C02487">
            <w:pPr>
              <w:spacing w:before="40"/>
              <w:ind w:left="885" w:right="742"/>
              <w:jc w:val="left"/>
              <w:rPr>
                <w:sz w:val="14"/>
                <w:szCs w:val="14"/>
                <w:lang w:val="fr-FR"/>
              </w:rPr>
            </w:pPr>
            <w:r w:rsidRPr="00C02487">
              <w:rPr>
                <w:sz w:val="14"/>
                <w:szCs w:val="14"/>
                <w:lang w:val="fr-FR"/>
              </w:rPr>
              <w:t xml:space="preserve">Les limites indiquées sur cette carte ne représentent en aucun cas l’expression d’une opinion de la part de l’UPOV concernant le statut juridique d’un pays ou d’un territoire </w:t>
            </w:r>
          </w:p>
        </w:tc>
      </w:tr>
    </w:tbl>
    <w:p w:rsidR="005A7F6B" w:rsidRPr="00431D28" w:rsidRDefault="005A7F6B" w:rsidP="00421639">
      <w:pPr>
        <w:rPr>
          <w:snapToGrid w:val="0"/>
          <w:lang w:val="fr-FR"/>
        </w:rPr>
      </w:pPr>
    </w:p>
    <w:p w:rsidR="00421639" w:rsidRPr="00431D28" w:rsidRDefault="00421639" w:rsidP="00421639">
      <w:pPr>
        <w:rPr>
          <w:snapToGrid w:val="0"/>
          <w:lang w:val="fr-FR"/>
        </w:rPr>
      </w:pPr>
    </w:p>
    <w:p w:rsidR="00FD0ACE" w:rsidRDefault="00FD0ACE">
      <w:r>
        <w:br w:type="page"/>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A663A" w:rsidRPr="00431D28" w:rsidTr="00C02487">
        <w:tc>
          <w:tcPr>
            <w:tcW w:w="9923" w:type="dxa"/>
            <w:tcBorders>
              <w:top w:val="nil"/>
              <w:left w:val="nil"/>
              <w:right w:val="nil"/>
            </w:tcBorders>
            <w:shd w:val="clear" w:color="auto" w:fill="auto"/>
          </w:tcPr>
          <w:p w:rsidR="00421639" w:rsidRPr="00FD0ACE" w:rsidRDefault="00B247D2" w:rsidP="007425EB">
            <w:pPr>
              <w:rPr>
                <w:snapToGrid w:val="0"/>
                <w:lang w:val="fr-FR"/>
              </w:rPr>
            </w:pPr>
            <w:r w:rsidRPr="00FD0ACE">
              <w:rPr>
                <w:snapToGrid w:val="0"/>
                <w:lang w:val="fr-FR"/>
              </w:rPr>
              <w:t>Encadré</w:t>
            </w:r>
            <w:r w:rsidR="00421639" w:rsidRPr="00FD0ACE">
              <w:rPr>
                <w:snapToGrid w:val="0"/>
                <w:lang w:val="fr-FR"/>
              </w:rPr>
              <w:t xml:space="preserve"> 1</w:t>
            </w:r>
            <w:r w:rsidRPr="00FD0ACE">
              <w:rPr>
                <w:snapToGrid w:val="0"/>
                <w:lang w:val="fr-FR"/>
              </w:rPr>
              <w:t> </w:t>
            </w:r>
            <w:r w:rsidR="00BD3B21" w:rsidRPr="00FD0ACE">
              <w:rPr>
                <w:snapToGrid w:val="0"/>
                <w:lang w:val="fr-FR"/>
              </w:rPr>
              <w:t>(</w:t>
            </w:r>
            <w:r w:rsidRPr="00FD0ACE">
              <w:rPr>
                <w:snapToGrid w:val="0"/>
                <w:lang w:val="fr-FR"/>
              </w:rPr>
              <w:t>situation au 31 juillet 2013</w:t>
            </w:r>
            <w:r w:rsidR="00BD3B21" w:rsidRPr="00FD0ACE">
              <w:rPr>
                <w:snapToGrid w:val="0"/>
                <w:lang w:val="fr-FR"/>
              </w:rPr>
              <w:t>)</w:t>
            </w:r>
          </w:p>
        </w:tc>
      </w:tr>
      <w:tr w:rsidR="009A663A" w:rsidRPr="00431D28" w:rsidTr="00C02487">
        <w:tc>
          <w:tcPr>
            <w:tcW w:w="9923" w:type="dxa"/>
            <w:shd w:val="clear" w:color="auto" w:fill="auto"/>
          </w:tcPr>
          <w:p w:rsidR="005A7F6B" w:rsidRDefault="00656DD6" w:rsidP="00C02487">
            <w:pPr>
              <w:keepNext/>
              <w:autoSpaceDE w:val="0"/>
              <w:autoSpaceDN w:val="0"/>
              <w:adjustRightInd w:val="0"/>
              <w:spacing w:before="60"/>
              <w:jc w:val="center"/>
              <w:rPr>
                <w:rFonts w:eastAsia="MS Mincho" w:cs="Arial"/>
                <w:b/>
                <w:bCs/>
                <w:sz w:val="18"/>
                <w:szCs w:val="18"/>
                <w:lang w:val="fr-FR" w:eastAsia="ja-JP"/>
              </w:rPr>
            </w:pPr>
            <w:r w:rsidRPr="00FD0ACE">
              <w:rPr>
                <w:rFonts w:eastAsia="MS Mincho" w:cs="Arial"/>
                <w:b/>
                <w:bCs/>
                <w:sz w:val="18"/>
                <w:szCs w:val="18"/>
                <w:lang w:val="fr-FR" w:eastAsia="ja-JP"/>
              </w:rPr>
              <w:t>États et organisations intergouvernementales ayant engagé la procédure d’adhésion à la Convention UPOV</w:t>
            </w:r>
            <w:r w:rsidR="00421639" w:rsidRPr="00FD0ACE">
              <w:rPr>
                <w:rFonts w:eastAsia="MS Mincho" w:cs="Arial"/>
                <w:b/>
                <w:bCs/>
                <w:sz w:val="18"/>
                <w:szCs w:val="18"/>
                <w:lang w:val="fr-FR" w:eastAsia="ja-JP"/>
              </w:rPr>
              <w:t xml:space="preserve"> </w:t>
            </w:r>
          </w:p>
          <w:p w:rsidR="0028159D" w:rsidRPr="00FD0ACE" w:rsidRDefault="0028159D" w:rsidP="0028159D">
            <w:pPr>
              <w:keepNext/>
              <w:autoSpaceDE w:val="0"/>
              <w:autoSpaceDN w:val="0"/>
              <w:adjustRightInd w:val="0"/>
              <w:jc w:val="center"/>
              <w:rPr>
                <w:rFonts w:eastAsia="MS Mincho" w:cs="Arial"/>
                <w:sz w:val="18"/>
                <w:szCs w:val="18"/>
                <w:lang w:val="fr-FR" w:eastAsia="ja-JP"/>
              </w:rPr>
            </w:pPr>
          </w:p>
          <w:p w:rsidR="005A7F6B" w:rsidRPr="00FD0ACE" w:rsidRDefault="00656DD6" w:rsidP="00C02487">
            <w:pPr>
              <w:keepNext/>
              <w:autoSpaceDE w:val="0"/>
              <w:autoSpaceDN w:val="0"/>
              <w:adjustRightInd w:val="0"/>
              <w:rPr>
                <w:rFonts w:eastAsia="MS Mincho" w:cs="Arial"/>
                <w:sz w:val="16"/>
                <w:szCs w:val="16"/>
                <w:lang w:val="fr-FR" w:eastAsia="ja-JP"/>
              </w:rPr>
            </w:pPr>
            <w:r w:rsidRPr="00FD0ACE">
              <w:rPr>
                <w:rFonts w:eastAsia="MS Mincho" w:cs="Arial"/>
                <w:i/>
                <w:iCs/>
                <w:sz w:val="16"/>
                <w:szCs w:val="16"/>
                <w:lang w:val="fr-FR" w:eastAsia="ja-JP"/>
              </w:rPr>
              <w:t>États (16)</w:t>
            </w:r>
            <w:r w:rsidR="0001457B" w:rsidRPr="00FD0ACE">
              <w:rPr>
                <w:rFonts w:eastAsia="MS Mincho" w:cs="Arial"/>
                <w:i/>
                <w:iCs/>
                <w:sz w:val="16"/>
                <w:szCs w:val="16"/>
                <w:lang w:val="fr-FR" w:eastAsia="ja-JP"/>
              </w:rPr>
              <w:t> : </w:t>
            </w:r>
          </w:p>
          <w:p w:rsidR="005A7F6B" w:rsidRPr="00FD0ACE" w:rsidRDefault="005A7F6B" w:rsidP="00C02487">
            <w:pPr>
              <w:keepNext/>
              <w:autoSpaceDE w:val="0"/>
              <w:autoSpaceDN w:val="0"/>
              <w:adjustRightInd w:val="0"/>
              <w:rPr>
                <w:rFonts w:eastAsia="MS Mincho" w:cs="Arial"/>
                <w:sz w:val="16"/>
                <w:szCs w:val="16"/>
                <w:lang w:val="fr-FR" w:eastAsia="ja-JP"/>
              </w:rPr>
            </w:pPr>
          </w:p>
          <w:p w:rsidR="005A7F6B" w:rsidRPr="00FD0ACE" w:rsidRDefault="00656DD6" w:rsidP="00C02487">
            <w:pPr>
              <w:keepNext/>
              <w:autoSpaceDE w:val="0"/>
              <w:autoSpaceDN w:val="0"/>
              <w:adjustRightInd w:val="0"/>
              <w:rPr>
                <w:rFonts w:eastAsia="MS Mincho" w:cs="Arial"/>
                <w:sz w:val="16"/>
                <w:szCs w:val="16"/>
                <w:lang w:val="fr-FR" w:eastAsia="ja-JP"/>
              </w:rPr>
            </w:pPr>
            <w:r w:rsidRPr="00FD0ACE">
              <w:rPr>
                <w:rFonts w:eastAsia="MS Mincho" w:cs="Arial"/>
                <w:sz w:val="16"/>
                <w:szCs w:val="16"/>
                <w:lang w:val="fr-FR" w:eastAsia="ja-JP"/>
              </w:rPr>
              <w:t>Arménie, Bosnie-Herzégovine, Égypte, Ghana, Guatemala, Honduras, Inde, Kazakhstan, Malaisie, Maurice, Monténégro, Philippines, République</w:t>
            </w:r>
            <w:r w:rsidR="00E67AE9" w:rsidRPr="00FD0ACE">
              <w:rPr>
                <w:rFonts w:cs="Arial"/>
                <w:snapToGrid w:val="0"/>
                <w:sz w:val="16"/>
                <w:szCs w:val="16"/>
                <w:lang w:val="fr-FR"/>
              </w:rPr>
              <w:noBreakHyphen/>
            </w:r>
            <w:r w:rsidRPr="00FD0ACE">
              <w:rPr>
                <w:rFonts w:eastAsia="MS Mincho" w:cs="Arial"/>
                <w:sz w:val="16"/>
                <w:szCs w:val="16"/>
                <w:lang w:val="fr-FR" w:eastAsia="ja-JP"/>
              </w:rPr>
              <w:t>Unie de Tanzanie, Tadjikistan, Venezuela (République bolivarienne de) et Zimbabwe.</w:t>
            </w:r>
            <w:r w:rsidR="00421639" w:rsidRPr="00FD0ACE">
              <w:rPr>
                <w:rFonts w:eastAsia="MS Mincho" w:cs="Arial"/>
                <w:sz w:val="16"/>
                <w:szCs w:val="16"/>
                <w:lang w:val="fr-FR" w:eastAsia="ja-JP"/>
              </w:rPr>
              <w:t xml:space="preserve"> </w:t>
            </w:r>
          </w:p>
          <w:p w:rsidR="005A7F6B" w:rsidRPr="00FD0ACE" w:rsidRDefault="005A7F6B" w:rsidP="00C02487">
            <w:pPr>
              <w:keepNext/>
              <w:autoSpaceDE w:val="0"/>
              <w:autoSpaceDN w:val="0"/>
              <w:adjustRightInd w:val="0"/>
              <w:rPr>
                <w:rFonts w:eastAsia="MS Mincho" w:cs="Arial"/>
                <w:i/>
                <w:iCs/>
                <w:sz w:val="16"/>
                <w:szCs w:val="16"/>
                <w:lang w:val="fr-FR" w:eastAsia="ja-JP"/>
              </w:rPr>
            </w:pPr>
          </w:p>
          <w:p w:rsidR="005A7F6B" w:rsidRPr="00FD0ACE" w:rsidRDefault="00656DD6" w:rsidP="00C02487">
            <w:pPr>
              <w:keepNext/>
              <w:autoSpaceDE w:val="0"/>
              <w:autoSpaceDN w:val="0"/>
              <w:adjustRightInd w:val="0"/>
              <w:rPr>
                <w:rFonts w:eastAsia="MS Mincho" w:cs="Arial"/>
                <w:sz w:val="16"/>
                <w:szCs w:val="16"/>
                <w:lang w:val="fr-FR" w:eastAsia="ja-JP"/>
              </w:rPr>
            </w:pPr>
            <w:r w:rsidRPr="00FD0ACE">
              <w:rPr>
                <w:rFonts w:eastAsia="MS Mincho" w:cs="Arial"/>
                <w:i/>
                <w:iCs/>
                <w:sz w:val="16"/>
                <w:szCs w:val="16"/>
                <w:lang w:val="fr-FR" w:eastAsia="ja-JP"/>
              </w:rPr>
              <w:t>Organisation (1) :</w:t>
            </w:r>
            <w:r w:rsidR="00421639" w:rsidRPr="00FD0ACE">
              <w:rPr>
                <w:rFonts w:eastAsia="MS Mincho" w:cs="Arial"/>
                <w:i/>
                <w:iCs/>
                <w:sz w:val="16"/>
                <w:szCs w:val="16"/>
                <w:lang w:val="fr-FR" w:eastAsia="ja-JP"/>
              </w:rPr>
              <w:t xml:space="preserve"> </w:t>
            </w:r>
          </w:p>
          <w:p w:rsidR="005A7F6B" w:rsidRPr="00FD0ACE" w:rsidRDefault="005A7F6B" w:rsidP="00C02487">
            <w:pPr>
              <w:keepNext/>
              <w:autoSpaceDE w:val="0"/>
              <w:autoSpaceDN w:val="0"/>
              <w:adjustRightInd w:val="0"/>
              <w:rPr>
                <w:rFonts w:eastAsia="MS Mincho" w:cs="Arial"/>
                <w:sz w:val="16"/>
                <w:szCs w:val="16"/>
                <w:lang w:val="fr-FR" w:eastAsia="ja-JP"/>
              </w:rPr>
            </w:pPr>
          </w:p>
          <w:p w:rsidR="005A7F6B" w:rsidRPr="00FD0ACE" w:rsidRDefault="00656DD6" w:rsidP="00C02487">
            <w:pPr>
              <w:keepNext/>
              <w:autoSpaceDE w:val="0"/>
              <w:autoSpaceDN w:val="0"/>
              <w:adjustRightInd w:val="0"/>
              <w:rPr>
                <w:rFonts w:eastAsia="MS Mincho" w:cs="Arial"/>
                <w:sz w:val="16"/>
                <w:szCs w:val="16"/>
                <w:lang w:val="fr-FR" w:eastAsia="ja-JP"/>
              </w:rPr>
            </w:pPr>
            <w:r w:rsidRPr="00FD0ACE">
              <w:rPr>
                <w:rFonts w:eastAsia="MS Mincho" w:cs="Arial"/>
                <w:sz w:val="16"/>
                <w:szCs w:val="16"/>
                <w:lang w:val="fr-FR" w:eastAsia="ja-JP"/>
              </w:rPr>
              <w:t>Organisation africaine de la propriété intellectuelle  (OAPI)</w:t>
            </w:r>
            <w:r w:rsidR="00421639" w:rsidRPr="00FD0ACE">
              <w:rPr>
                <w:rFonts w:eastAsia="MS Mincho" w:cs="Arial"/>
                <w:sz w:val="16"/>
                <w:szCs w:val="16"/>
                <w:lang w:val="fr-FR" w:eastAsia="ja-JP"/>
              </w:rPr>
              <w:t xml:space="preserve"> </w:t>
            </w:r>
          </w:p>
          <w:p w:rsidR="005A7F6B" w:rsidRPr="00FD0ACE" w:rsidRDefault="00656DD6" w:rsidP="00C02487">
            <w:pPr>
              <w:keepNext/>
              <w:autoSpaceDE w:val="0"/>
              <w:autoSpaceDN w:val="0"/>
              <w:adjustRightInd w:val="0"/>
              <w:rPr>
                <w:rFonts w:eastAsia="MS Mincho" w:cs="Arial"/>
                <w:sz w:val="16"/>
                <w:szCs w:val="16"/>
                <w:lang w:val="fr-FR" w:eastAsia="ja-JP"/>
              </w:rPr>
            </w:pPr>
            <w:r w:rsidRPr="00FD0ACE">
              <w:rPr>
                <w:rFonts w:eastAsia="MS Mincho" w:cs="Arial"/>
                <w:iCs/>
                <w:sz w:val="16"/>
                <w:szCs w:val="16"/>
                <w:lang w:val="fr-FR" w:eastAsia="ja-JP"/>
              </w:rPr>
              <w:t>(États membres de l'OAPI (17) : Bénin, Burkina Faso, Cameroun, Comores, Congo, Côte d’Ivoire, Gabon, Guinée, Guinée-Bissau, Guinée équatoriale, Mali, Mauritanie, Niger, République centrafricaine, Sénégal, Tchad et Togo).</w:t>
            </w:r>
            <w:r w:rsidR="00421639" w:rsidRPr="00FD0ACE">
              <w:rPr>
                <w:rFonts w:eastAsia="MS Mincho" w:cs="Arial"/>
                <w:sz w:val="16"/>
                <w:szCs w:val="16"/>
                <w:lang w:val="fr-FR" w:eastAsia="ja-JP"/>
              </w:rPr>
              <w:t xml:space="preserve"> </w:t>
            </w:r>
          </w:p>
          <w:p w:rsidR="005A7F6B" w:rsidRPr="00FD0ACE" w:rsidRDefault="005A7F6B" w:rsidP="00C02487">
            <w:pPr>
              <w:keepNext/>
              <w:autoSpaceDE w:val="0"/>
              <w:autoSpaceDN w:val="0"/>
              <w:adjustRightInd w:val="0"/>
              <w:jc w:val="center"/>
              <w:rPr>
                <w:rFonts w:eastAsia="MS Mincho" w:cs="Arial"/>
                <w:b/>
                <w:bCs/>
                <w:sz w:val="18"/>
                <w:szCs w:val="18"/>
                <w:lang w:val="fr-FR" w:eastAsia="ja-JP"/>
              </w:rPr>
            </w:pPr>
          </w:p>
          <w:p w:rsidR="005A7F6B" w:rsidRPr="00FD0ACE" w:rsidRDefault="00656DD6" w:rsidP="00C02487">
            <w:pPr>
              <w:keepNext/>
              <w:autoSpaceDE w:val="0"/>
              <w:autoSpaceDN w:val="0"/>
              <w:adjustRightInd w:val="0"/>
              <w:jc w:val="center"/>
              <w:rPr>
                <w:rFonts w:eastAsia="MS Mincho" w:cs="Arial"/>
                <w:sz w:val="18"/>
                <w:szCs w:val="18"/>
                <w:lang w:val="fr-FR" w:eastAsia="ja-JP"/>
              </w:rPr>
            </w:pPr>
            <w:r w:rsidRPr="00FD0ACE">
              <w:rPr>
                <w:rFonts w:eastAsia="MS Mincho" w:cs="Arial"/>
                <w:b/>
                <w:bCs/>
                <w:sz w:val="18"/>
                <w:szCs w:val="18"/>
                <w:lang w:val="fr-FR" w:eastAsia="ja-JP"/>
              </w:rPr>
              <w:t>États et organisations intergouvernementales ayant pris contact avec le Bureau de l’Union</w:t>
            </w:r>
            <w:r w:rsidR="00E67AE9" w:rsidRPr="00FD0ACE">
              <w:rPr>
                <w:rFonts w:eastAsia="MS Mincho" w:cs="Arial"/>
                <w:b/>
                <w:bCs/>
                <w:sz w:val="18"/>
                <w:szCs w:val="18"/>
                <w:lang w:val="fr-FR" w:eastAsia="ja-JP"/>
              </w:rPr>
              <w:br/>
            </w:r>
            <w:r w:rsidRPr="00FD0ACE">
              <w:rPr>
                <w:rFonts w:eastAsia="MS Mincho" w:cs="Arial"/>
                <w:b/>
                <w:bCs/>
                <w:sz w:val="18"/>
                <w:szCs w:val="18"/>
                <w:lang w:val="fr-FR" w:eastAsia="ja-JP"/>
              </w:rPr>
              <w:t>afin de solliciter</w:t>
            </w:r>
            <w:r w:rsidR="00E67AE9" w:rsidRPr="00FD0ACE">
              <w:rPr>
                <w:rFonts w:eastAsia="MS Mincho" w:cs="Arial"/>
                <w:b/>
                <w:bCs/>
                <w:sz w:val="18"/>
                <w:szCs w:val="18"/>
                <w:lang w:val="fr-FR" w:eastAsia="ja-JP"/>
              </w:rPr>
              <w:t xml:space="preserve"> </w:t>
            </w:r>
            <w:r w:rsidRPr="00FD0ACE">
              <w:rPr>
                <w:rFonts w:eastAsia="MS Mincho" w:cs="Arial"/>
                <w:b/>
                <w:bCs/>
                <w:sz w:val="18"/>
                <w:szCs w:val="18"/>
                <w:lang w:val="fr-FR" w:eastAsia="ja-JP"/>
              </w:rPr>
              <w:t>une aide dans l’élaboration de lois fondées sur la Convention UPOV</w:t>
            </w:r>
            <w:r w:rsidR="00421639" w:rsidRPr="00FD0ACE">
              <w:rPr>
                <w:rFonts w:eastAsia="MS Mincho" w:cs="Arial"/>
                <w:b/>
                <w:bCs/>
                <w:sz w:val="18"/>
                <w:szCs w:val="18"/>
                <w:lang w:val="fr-FR" w:eastAsia="ja-JP"/>
              </w:rPr>
              <w:t xml:space="preserve"> </w:t>
            </w:r>
          </w:p>
          <w:p w:rsidR="005A7F6B" w:rsidRPr="00FD0ACE" w:rsidRDefault="005A7F6B" w:rsidP="00C02487">
            <w:pPr>
              <w:keepNext/>
              <w:autoSpaceDE w:val="0"/>
              <w:autoSpaceDN w:val="0"/>
              <w:adjustRightInd w:val="0"/>
              <w:jc w:val="left"/>
              <w:rPr>
                <w:rFonts w:eastAsia="MS Mincho" w:cs="Arial"/>
                <w:i/>
                <w:iCs/>
                <w:sz w:val="16"/>
                <w:szCs w:val="16"/>
                <w:lang w:val="fr-FR" w:eastAsia="ja-JP"/>
              </w:rPr>
            </w:pPr>
          </w:p>
          <w:p w:rsidR="005A7F6B" w:rsidRPr="00FD0ACE" w:rsidRDefault="0001457B" w:rsidP="00C02487">
            <w:pPr>
              <w:keepNext/>
              <w:autoSpaceDE w:val="0"/>
              <w:autoSpaceDN w:val="0"/>
              <w:adjustRightInd w:val="0"/>
              <w:jc w:val="left"/>
              <w:rPr>
                <w:rFonts w:eastAsia="MS Mincho" w:cs="Arial"/>
                <w:sz w:val="16"/>
                <w:szCs w:val="16"/>
                <w:lang w:val="fr-FR" w:eastAsia="ja-JP"/>
              </w:rPr>
            </w:pPr>
            <w:r w:rsidRPr="00FD0ACE">
              <w:rPr>
                <w:rFonts w:eastAsia="MS Mincho" w:cs="Arial"/>
                <w:i/>
                <w:iCs/>
                <w:sz w:val="16"/>
                <w:szCs w:val="16"/>
                <w:lang w:val="fr-FR" w:eastAsia="ja-JP"/>
              </w:rPr>
              <w:t>États (24</w:t>
            </w:r>
            <w:r w:rsidR="00656DD6" w:rsidRPr="00FD0ACE">
              <w:rPr>
                <w:rFonts w:eastAsia="MS Mincho" w:cs="Arial"/>
                <w:i/>
                <w:iCs/>
                <w:sz w:val="16"/>
                <w:szCs w:val="16"/>
                <w:lang w:val="fr-FR" w:eastAsia="ja-JP"/>
              </w:rPr>
              <w:t>) : </w:t>
            </w:r>
          </w:p>
          <w:p w:rsidR="005A7F6B" w:rsidRPr="00FD0ACE" w:rsidRDefault="005A7F6B" w:rsidP="00C02487">
            <w:pPr>
              <w:keepNext/>
              <w:autoSpaceDE w:val="0"/>
              <w:autoSpaceDN w:val="0"/>
              <w:adjustRightInd w:val="0"/>
              <w:rPr>
                <w:rFonts w:eastAsia="MS Mincho" w:cs="Arial"/>
                <w:sz w:val="16"/>
                <w:szCs w:val="16"/>
                <w:lang w:val="fr-FR" w:eastAsia="ja-JP"/>
              </w:rPr>
            </w:pPr>
          </w:p>
          <w:p w:rsidR="005A7F6B" w:rsidRPr="00FD0ACE" w:rsidRDefault="0001457B" w:rsidP="00C02487">
            <w:pPr>
              <w:keepNext/>
              <w:autoSpaceDE w:val="0"/>
              <w:autoSpaceDN w:val="0"/>
              <w:adjustRightInd w:val="0"/>
              <w:rPr>
                <w:rFonts w:eastAsia="MS Mincho" w:cs="Arial"/>
                <w:sz w:val="16"/>
                <w:szCs w:val="16"/>
                <w:lang w:val="fr-FR" w:eastAsia="ja-JP"/>
              </w:rPr>
            </w:pPr>
            <w:r w:rsidRPr="00FD0ACE">
              <w:rPr>
                <w:rFonts w:eastAsia="MS Mincho" w:cs="Arial"/>
                <w:sz w:val="16"/>
                <w:szCs w:val="16"/>
                <w:lang w:val="fr-FR" w:eastAsia="ja-JP"/>
              </w:rPr>
              <w:t xml:space="preserve">Algérie, Arabie saoudite, Bahreïn, Barbade, Brunéi Darussalam, Cambodge, Chypre, Cuba, El Salvador, Émirats arabes unis, Indonésie, Iran (République islamique d’), Iraq, Libye, Mozambique, Myanmar, </w:t>
            </w:r>
            <w:r w:rsidR="00F27557">
              <w:rPr>
                <w:rFonts w:eastAsia="MS Mincho" w:cs="Arial"/>
                <w:sz w:val="16"/>
                <w:szCs w:val="16"/>
                <w:lang w:val="fr-FR" w:eastAsia="ja-JP"/>
              </w:rPr>
              <w:t xml:space="preserve">Namibie, </w:t>
            </w:r>
            <w:r w:rsidRPr="00FD0ACE">
              <w:rPr>
                <w:rFonts w:eastAsia="MS Mincho" w:cs="Arial"/>
                <w:sz w:val="16"/>
                <w:szCs w:val="16"/>
                <w:lang w:val="fr-FR" w:eastAsia="ja-JP"/>
              </w:rPr>
              <w:t>Pakistan, République démocratique populaire lao, Soudan, Thaïlande, Tonga, Turkménistan et Zambie.</w:t>
            </w:r>
            <w:r w:rsidR="00421639" w:rsidRPr="00FD0ACE">
              <w:rPr>
                <w:rFonts w:eastAsia="MS Mincho" w:cs="Arial"/>
                <w:sz w:val="16"/>
                <w:szCs w:val="16"/>
                <w:lang w:val="fr-FR" w:eastAsia="ja-JP"/>
              </w:rPr>
              <w:t xml:space="preserve"> </w:t>
            </w:r>
          </w:p>
          <w:p w:rsidR="005A7F6B" w:rsidRPr="00FD0ACE" w:rsidRDefault="005A7F6B" w:rsidP="00C02487">
            <w:pPr>
              <w:keepNext/>
              <w:autoSpaceDE w:val="0"/>
              <w:autoSpaceDN w:val="0"/>
              <w:adjustRightInd w:val="0"/>
              <w:rPr>
                <w:rFonts w:eastAsia="MS Mincho" w:cs="Arial"/>
                <w:i/>
                <w:iCs/>
                <w:sz w:val="16"/>
                <w:szCs w:val="16"/>
                <w:lang w:val="fr-FR" w:eastAsia="ja-JP"/>
              </w:rPr>
            </w:pPr>
          </w:p>
          <w:p w:rsidR="005A7F6B" w:rsidRPr="00FD0ACE" w:rsidRDefault="0001457B" w:rsidP="00C02487">
            <w:pPr>
              <w:keepNext/>
              <w:autoSpaceDE w:val="0"/>
              <w:autoSpaceDN w:val="0"/>
              <w:adjustRightInd w:val="0"/>
              <w:rPr>
                <w:rFonts w:eastAsia="MS Mincho" w:cs="Arial"/>
                <w:sz w:val="16"/>
                <w:szCs w:val="16"/>
                <w:lang w:val="fr-FR" w:eastAsia="ja-JP"/>
              </w:rPr>
            </w:pPr>
            <w:r w:rsidRPr="00FD0ACE">
              <w:rPr>
                <w:rFonts w:eastAsia="MS Mincho" w:cs="Arial"/>
                <w:i/>
                <w:iCs/>
                <w:sz w:val="16"/>
                <w:szCs w:val="16"/>
                <w:lang w:val="fr-FR" w:eastAsia="ja-JP"/>
              </w:rPr>
              <w:t>Organisations (2) :</w:t>
            </w:r>
            <w:r w:rsidR="00421639" w:rsidRPr="00FD0ACE">
              <w:rPr>
                <w:rFonts w:eastAsia="MS Mincho" w:cs="Arial"/>
                <w:i/>
                <w:iCs/>
                <w:sz w:val="16"/>
                <w:szCs w:val="16"/>
                <w:lang w:val="fr-FR" w:eastAsia="ja-JP"/>
              </w:rPr>
              <w:t xml:space="preserve"> </w:t>
            </w:r>
          </w:p>
          <w:p w:rsidR="005A7F6B" w:rsidRPr="00FD0ACE" w:rsidRDefault="005A7F6B" w:rsidP="00C02487">
            <w:pPr>
              <w:keepNext/>
              <w:autoSpaceDE w:val="0"/>
              <w:autoSpaceDN w:val="0"/>
              <w:adjustRightInd w:val="0"/>
              <w:rPr>
                <w:rFonts w:eastAsia="MS Mincho" w:cs="Arial"/>
                <w:sz w:val="16"/>
                <w:szCs w:val="16"/>
                <w:lang w:val="fr-FR" w:eastAsia="ja-JP"/>
              </w:rPr>
            </w:pPr>
          </w:p>
          <w:p w:rsidR="005A7F6B" w:rsidRPr="00FD0ACE" w:rsidRDefault="0001457B" w:rsidP="00C02487">
            <w:pPr>
              <w:keepNext/>
              <w:autoSpaceDE w:val="0"/>
              <w:autoSpaceDN w:val="0"/>
              <w:adjustRightInd w:val="0"/>
              <w:rPr>
                <w:rFonts w:eastAsia="MS Mincho" w:cs="Arial"/>
                <w:sz w:val="16"/>
                <w:szCs w:val="16"/>
                <w:lang w:val="fr-FR" w:eastAsia="ja-JP"/>
              </w:rPr>
            </w:pPr>
            <w:r w:rsidRPr="00FD0ACE">
              <w:rPr>
                <w:rFonts w:eastAsia="MS Mincho" w:cs="Arial"/>
                <w:sz w:val="16"/>
                <w:szCs w:val="16"/>
                <w:lang w:val="fr-FR" w:eastAsia="ja-JP"/>
              </w:rPr>
              <w:t>Organisation régionale africaine de la propriété intellectuelle (ARIPO)</w:t>
            </w:r>
            <w:r w:rsidR="00421639" w:rsidRPr="00FD0ACE">
              <w:rPr>
                <w:rFonts w:eastAsia="MS Mincho" w:cs="Arial"/>
                <w:sz w:val="16"/>
                <w:szCs w:val="16"/>
                <w:lang w:val="fr-FR" w:eastAsia="ja-JP"/>
              </w:rPr>
              <w:t xml:space="preserve"> </w:t>
            </w:r>
          </w:p>
          <w:p w:rsidR="005A7F6B" w:rsidRPr="00FD0ACE" w:rsidRDefault="0001457B" w:rsidP="00C02487">
            <w:pPr>
              <w:keepNext/>
              <w:autoSpaceDE w:val="0"/>
              <w:autoSpaceDN w:val="0"/>
              <w:adjustRightInd w:val="0"/>
              <w:ind w:left="567"/>
              <w:rPr>
                <w:rFonts w:eastAsia="MS Mincho" w:cs="Arial"/>
                <w:sz w:val="16"/>
                <w:szCs w:val="16"/>
                <w:lang w:val="fr-FR" w:eastAsia="ja-JP"/>
              </w:rPr>
            </w:pPr>
            <w:r w:rsidRPr="00FD0ACE">
              <w:rPr>
                <w:rFonts w:eastAsia="MS Mincho" w:cs="Arial"/>
                <w:i/>
                <w:iCs/>
                <w:sz w:val="16"/>
                <w:szCs w:val="16"/>
                <w:lang w:val="fr-FR" w:eastAsia="ja-JP"/>
              </w:rPr>
              <w:t>(États membres de l’ARIPO (18) : Botswana, Gambie, Ghana, Kenya, Lesotho, Libéria, Malawi, Mozambique, Namibie, Ouganda, République–Unie de Tanzanie, Rwanda, Sierra Leone, Somalie, Soudan, Swaziland, Zambie, Zimbabwe)</w:t>
            </w:r>
            <w:r w:rsidR="00421639" w:rsidRPr="00FD0ACE">
              <w:rPr>
                <w:rFonts w:eastAsia="MS Mincho" w:cs="Arial"/>
                <w:i/>
                <w:iCs/>
                <w:sz w:val="16"/>
                <w:szCs w:val="16"/>
                <w:lang w:val="fr-FR" w:eastAsia="ja-JP"/>
              </w:rPr>
              <w:t xml:space="preserve"> </w:t>
            </w:r>
          </w:p>
          <w:p w:rsidR="005A7F6B" w:rsidRPr="00FD0ACE" w:rsidRDefault="0001457B" w:rsidP="0028159D">
            <w:pPr>
              <w:keepNext/>
              <w:autoSpaceDE w:val="0"/>
              <w:autoSpaceDN w:val="0"/>
              <w:adjustRightInd w:val="0"/>
              <w:spacing w:before="120"/>
              <w:rPr>
                <w:rFonts w:eastAsia="MS Mincho" w:cs="Arial"/>
                <w:sz w:val="16"/>
                <w:szCs w:val="16"/>
                <w:lang w:val="fr-FR" w:eastAsia="ja-JP"/>
              </w:rPr>
            </w:pPr>
            <w:r w:rsidRPr="00FD0ACE">
              <w:rPr>
                <w:rFonts w:eastAsia="MS Mincho" w:cs="Arial"/>
                <w:sz w:val="16"/>
                <w:szCs w:val="16"/>
                <w:lang w:val="fr-FR" w:eastAsia="ja-JP"/>
              </w:rPr>
              <w:t>Communauté de développement de l'Afrique australe (SADC)</w:t>
            </w:r>
            <w:r w:rsidR="00421639" w:rsidRPr="00FD0ACE">
              <w:rPr>
                <w:rFonts w:eastAsia="MS Mincho" w:cs="Arial"/>
                <w:sz w:val="16"/>
                <w:szCs w:val="16"/>
                <w:lang w:val="fr-FR" w:eastAsia="ja-JP"/>
              </w:rPr>
              <w:t xml:space="preserve"> </w:t>
            </w:r>
          </w:p>
          <w:p w:rsidR="00421639" w:rsidRPr="00FD0ACE" w:rsidRDefault="0001457B" w:rsidP="00C02487">
            <w:pPr>
              <w:keepNext/>
              <w:autoSpaceDE w:val="0"/>
              <w:autoSpaceDN w:val="0"/>
              <w:adjustRightInd w:val="0"/>
              <w:spacing w:after="60"/>
              <w:ind w:left="567"/>
              <w:rPr>
                <w:snapToGrid w:val="0"/>
                <w:lang w:val="fr-FR"/>
              </w:rPr>
            </w:pPr>
            <w:r w:rsidRPr="00FD0ACE">
              <w:rPr>
                <w:rFonts w:eastAsia="MS Mincho" w:cs="Arial"/>
                <w:i/>
                <w:iCs/>
                <w:sz w:val="16"/>
                <w:szCs w:val="16"/>
                <w:lang w:val="fr-FR" w:eastAsia="ja-JP"/>
              </w:rPr>
              <w:t>(États membres de la SADC (15) : Afrique du Sud, Angola, Botswana, Lesotho, Madagascar, Malawi, Maurice, Mozambique, Namibie, République démocratique du Congo, République-Unie de Tanzanie, Seychelles, Swaziland, Zambie, Zimbabwe)</w:t>
            </w:r>
          </w:p>
        </w:tc>
      </w:tr>
    </w:tbl>
    <w:p w:rsidR="005A7F6B" w:rsidRPr="00431D28" w:rsidRDefault="005A7F6B" w:rsidP="00421639">
      <w:pPr>
        <w:rPr>
          <w:snapToGrid w:val="0"/>
          <w:lang w:val="fr-FR"/>
        </w:rPr>
      </w:pPr>
    </w:p>
    <w:p w:rsidR="00FD0ACE" w:rsidRDefault="009A663A" w:rsidP="00AF29F4">
      <w:pPr>
        <w:rPr>
          <w:lang w:val="fr-FR"/>
        </w:rPr>
      </w:pPr>
      <w:r w:rsidRPr="00431D28">
        <w:rPr>
          <w:lang w:val="fr-FR"/>
        </w:rPr>
        <w:t>1.4</w:t>
      </w:r>
      <w:r w:rsidRPr="00431D28">
        <w:rPr>
          <w:lang w:val="fr-FR"/>
        </w:rPr>
        <w:tab/>
      </w:r>
      <w:r w:rsidR="0001457B" w:rsidRPr="00431D28">
        <w:rPr>
          <w:lang w:val="fr-FR"/>
        </w:rPr>
        <w:t>Au cours de l’exercice biennal 2014</w:t>
      </w:r>
      <w:r w:rsidR="00E67AE9" w:rsidRPr="003E4E3B">
        <w:rPr>
          <w:rFonts w:cs="Arial"/>
          <w:snapToGrid w:val="0"/>
          <w:lang w:val="fr-FR"/>
        </w:rPr>
        <w:noBreakHyphen/>
      </w:r>
      <w:r w:rsidR="0001457B" w:rsidRPr="00431D28">
        <w:rPr>
          <w:lang w:val="fr-FR"/>
        </w:rPr>
        <w:t xml:space="preserve">2015, la priorité continuera d’être donnée à l’appui fourni aux membres de l’Union dans la mise en </w:t>
      </w:r>
      <w:r w:rsidR="00431D28" w:rsidRPr="00431D28">
        <w:rPr>
          <w:lang w:val="fr-FR"/>
        </w:rPr>
        <w:t>œuvre</w:t>
      </w:r>
      <w:r w:rsidR="0001457B" w:rsidRPr="00431D28">
        <w:rPr>
          <w:lang w:val="fr-FR"/>
        </w:rPr>
        <w:t xml:space="preserve"> de leur système de protection des obtentions végétales.</w:t>
      </w:r>
      <w:r w:rsidR="00421639" w:rsidRPr="00431D28">
        <w:rPr>
          <w:lang w:val="fr-FR"/>
        </w:rPr>
        <w:t xml:space="preserve">  </w:t>
      </w:r>
      <w:r w:rsidR="0001457B" w:rsidRPr="00431D28">
        <w:rPr>
          <w:lang w:val="fr-FR"/>
        </w:rPr>
        <w:t>Le système d</w:t>
      </w:r>
      <w:r w:rsidR="00E241A1">
        <w:rPr>
          <w:lang w:val="fr-FR"/>
        </w:rPr>
        <w:t>e l’UPOV continue de croître eu </w:t>
      </w:r>
      <w:r w:rsidR="0001457B" w:rsidRPr="00431D28">
        <w:rPr>
          <w:lang w:val="fr-FR"/>
        </w:rPr>
        <w:t>égard au nombre de membres de l’Union, de demandes, de titres octroyés et de titres en vigueur (voir figures</w:t>
      </w:r>
      <w:r w:rsidR="00E241A1">
        <w:rPr>
          <w:lang w:val="fr-FR"/>
        </w:rPr>
        <w:t xml:space="preserve"> 1 </w:t>
      </w:r>
      <w:r w:rsidR="00E241A1" w:rsidRPr="00FD0ACE">
        <w:rPr>
          <w:lang w:val="fr-FR"/>
        </w:rPr>
        <w:t>et </w:t>
      </w:r>
      <w:r w:rsidR="0001457B" w:rsidRPr="00FD0ACE">
        <w:rPr>
          <w:lang w:val="fr-FR"/>
        </w:rPr>
        <w:t>3).</w:t>
      </w:r>
      <w:r w:rsidR="00421639" w:rsidRPr="00FD0ACE">
        <w:rPr>
          <w:lang w:val="fr-FR"/>
        </w:rPr>
        <w:t xml:space="preserve">  </w:t>
      </w:r>
      <w:r w:rsidR="0001457B" w:rsidRPr="00FD0ACE">
        <w:rPr>
          <w:lang w:val="fr-FR"/>
        </w:rPr>
        <w:t>D’après les estimations, une protection a été demandée dans les membres de l’Union pour des variétés appartenant à plus de</w:t>
      </w:r>
      <w:r w:rsidR="00E241A1" w:rsidRPr="00FD0ACE">
        <w:rPr>
          <w:lang w:val="fr-FR"/>
        </w:rPr>
        <w:t xml:space="preserve"> 3</w:t>
      </w:r>
      <w:r w:rsidR="00F27557">
        <w:rPr>
          <w:lang w:val="fr-FR"/>
        </w:rPr>
        <w:t> </w:t>
      </w:r>
      <w:r w:rsidR="0001457B" w:rsidRPr="00FD0ACE">
        <w:rPr>
          <w:lang w:val="fr-FR"/>
        </w:rPr>
        <w:t>000</w:t>
      </w:r>
      <w:r w:rsidR="00E241A1" w:rsidRPr="00FD0ACE">
        <w:rPr>
          <w:lang w:val="fr-FR"/>
        </w:rPr>
        <w:t> </w:t>
      </w:r>
      <w:r w:rsidR="0001457B" w:rsidRPr="00FD0ACE">
        <w:rPr>
          <w:lang w:val="fr-FR"/>
        </w:rPr>
        <w:t>genres ou espèces.</w:t>
      </w:r>
      <w:r w:rsidR="00421639" w:rsidRPr="00FD0ACE">
        <w:rPr>
          <w:lang w:val="fr-FR"/>
        </w:rPr>
        <w:t xml:space="preserve">  </w:t>
      </w:r>
      <w:r w:rsidR="00AF29F4" w:rsidRPr="00FD0ACE">
        <w:rPr>
          <w:lang w:val="fr-FR"/>
        </w:rPr>
        <w:t>Ces chiffres démontrent pourquoi la coopération entre membres de l’Union représente un avantage essentiel découlant de l’adhésion à l’UPOV.</w:t>
      </w:r>
      <w:r w:rsidR="00421639" w:rsidRPr="00FD0ACE">
        <w:rPr>
          <w:lang w:val="fr-FR"/>
        </w:rPr>
        <w:t xml:space="preserve">  </w:t>
      </w:r>
      <w:r w:rsidR="00AF29F4" w:rsidRPr="00FD0ACE">
        <w:rPr>
          <w:lang w:val="fr-FR"/>
        </w:rPr>
        <w:t>À cet égard, les orientations formulées par l’UPOV en ce qui concerne l’examen des variétés encouragent l’harmonisation entre les différents membres de l’Union, en vue de faciliter l’échange d’informations et de rapports d’examen de la distinction, de l’homogénéité et de la stabilité (“DHS”).</w:t>
      </w:r>
      <w:r w:rsidR="00421639" w:rsidRPr="00FD0ACE">
        <w:rPr>
          <w:lang w:val="fr-FR"/>
        </w:rPr>
        <w:t xml:space="preserve">  </w:t>
      </w:r>
      <w:r w:rsidR="00AF29F4" w:rsidRPr="00FD0ACE">
        <w:rPr>
          <w:lang w:val="fr-FR"/>
        </w:rPr>
        <w:t>L’aide fournie par le Bureau de l’Union et la coopération au sein de l’UPOV sont fondées sur le travail et l’appui des différents membres de l’Union.</w:t>
      </w:r>
      <w:r w:rsidR="00421639" w:rsidRPr="00FD0ACE">
        <w:rPr>
          <w:spacing w:val="-2"/>
          <w:szCs w:val="24"/>
          <w:lang w:val="fr-FR"/>
        </w:rPr>
        <w:t xml:space="preserve">  </w:t>
      </w:r>
      <w:r w:rsidR="00AF29F4" w:rsidRPr="00FD0ACE">
        <w:rPr>
          <w:spacing w:val="-2"/>
          <w:szCs w:val="24"/>
          <w:lang w:val="fr-FR"/>
        </w:rPr>
        <w:t>Des membres de l’UPOV ont élaboré plus de 290 principes directeurs d’examen portant, selon les estimations, sur environ 90% des demandes de protection d’une obtention végétale déposées au sein de l’Union.</w:t>
      </w:r>
      <w:r w:rsidR="00421639" w:rsidRPr="00FD0ACE">
        <w:rPr>
          <w:lang w:val="fr-FR"/>
        </w:rPr>
        <w:t xml:space="preserve">  </w:t>
      </w:r>
      <w:r w:rsidR="00AF29F4" w:rsidRPr="00FD0ACE">
        <w:rPr>
          <w:lang w:val="fr-FR"/>
        </w:rPr>
        <w:t>Par ailleurs, ils ont fourni des informations sur leur expérience pratique en matière d’</w:t>
      </w:r>
      <w:r w:rsidR="00E241A1" w:rsidRPr="00FD0ACE">
        <w:rPr>
          <w:lang w:val="fr-FR"/>
        </w:rPr>
        <w:t>examen DHS concernant plus de 2</w:t>
      </w:r>
      <w:r w:rsidR="00F27557">
        <w:rPr>
          <w:lang w:val="fr-FR"/>
        </w:rPr>
        <w:t> </w:t>
      </w:r>
      <w:r w:rsidR="00E241A1" w:rsidRPr="00FD0ACE">
        <w:rPr>
          <w:lang w:val="fr-FR"/>
        </w:rPr>
        <w:t>600 </w:t>
      </w:r>
      <w:r w:rsidR="00AF29F4" w:rsidRPr="00FD0ACE">
        <w:rPr>
          <w:lang w:val="fr-FR"/>
        </w:rPr>
        <w:t>genres et espèces en s’appuyant sur leur volonté de partager ces données d’expérience avec les autres membres de l’Union.</w:t>
      </w:r>
      <w:r w:rsidR="00421639" w:rsidRPr="00FD0ACE">
        <w:rPr>
          <w:lang w:val="fr-FR"/>
        </w:rPr>
        <w:t xml:space="preserve">  </w:t>
      </w:r>
      <w:r w:rsidR="00AF29F4" w:rsidRPr="00FD0ACE">
        <w:rPr>
          <w:lang w:val="fr-FR"/>
        </w:rPr>
        <w:t>Des accords de coopération en matière d’examen DHS portant sur quelque</w:t>
      </w:r>
      <w:r w:rsidR="006A7D31" w:rsidRPr="00FD0ACE">
        <w:rPr>
          <w:lang w:val="fr-FR"/>
        </w:rPr>
        <w:t xml:space="preserve"> 2</w:t>
      </w:r>
      <w:r w:rsidR="00F27557">
        <w:rPr>
          <w:lang w:val="fr-FR"/>
        </w:rPr>
        <w:t> </w:t>
      </w:r>
      <w:r w:rsidR="00AF29F4" w:rsidRPr="00FD0ACE">
        <w:rPr>
          <w:lang w:val="fr-FR"/>
        </w:rPr>
        <w:t>000</w:t>
      </w:r>
      <w:r w:rsidR="006A7D31" w:rsidRPr="00FD0ACE">
        <w:rPr>
          <w:lang w:val="fr-FR"/>
        </w:rPr>
        <w:t> </w:t>
      </w:r>
      <w:r w:rsidR="00AF29F4" w:rsidRPr="00FD0ACE">
        <w:rPr>
          <w:lang w:val="fr-FR"/>
        </w:rPr>
        <w:t>genres et espèces ont été conclus entre des membres de l’Union.</w:t>
      </w:r>
      <w:r w:rsidR="00421639" w:rsidRPr="00FD0ACE">
        <w:rPr>
          <w:lang w:val="fr-FR"/>
        </w:rPr>
        <w:t xml:space="preserve">  </w:t>
      </w:r>
      <w:r w:rsidR="00AF29F4" w:rsidRPr="00FD0ACE">
        <w:rPr>
          <w:lang w:val="fr-FR"/>
        </w:rPr>
        <w:t>On trouvera à la figure 4 l’évolution de cette coopération.  Des mesures visant à favoriser et à renforcer la coopération entre les membres de l’Union continueront d’être mises en œuvre au cours de l’exercice biennal 2014</w:t>
      </w:r>
      <w:r w:rsidR="006A7D31" w:rsidRPr="00FD0ACE">
        <w:rPr>
          <w:rFonts w:cs="Arial"/>
          <w:snapToGrid w:val="0"/>
          <w:lang w:val="fr-FR"/>
        </w:rPr>
        <w:noBreakHyphen/>
      </w:r>
      <w:r w:rsidR="00AF29F4" w:rsidRPr="00FD0ACE">
        <w:rPr>
          <w:lang w:val="fr-FR"/>
        </w:rPr>
        <w:t>2015, l’accent étant</w:t>
      </w:r>
      <w:r w:rsidR="00AF29F4" w:rsidRPr="00431D28">
        <w:rPr>
          <w:lang w:val="fr-FR"/>
        </w:rPr>
        <w:t xml:space="preserve"> davantage mis sur les informations contenues dans la base de données sur les variétés végétales (PLUTO) et dans la base de données GENIE, ainsi que sur les informations contenues dans les logiciels pouvant faire l’objet d’échanges mis à disposition par les membres de l’Union.</w:t>
      </w:r>
      <w:r w:rsidR="00421639" w:rsidRPr="00431D28">
        <w:rPr>
          <w:lang w:val="fr-FR"/>
        </w:rPr>
        <w:t xml:space="preserve"> </w:t>
      </w:r>
    </w:p>
    <w:tbl>
      <w:tblPr>
        <w:tblW w:w="9889" w:type="dxa"/>
        <w:tblLook w:val="01E0" w:firstRow="1" w:lastRow="1" w:firstColumn="1" w:lastColumn="1" w:noHBand="0" w:noVBand="0"/>
      </w:tblPr>
      <w:tblGrid>
        <w:gridCol w:w="9889"/>
      </w:tblGrid>
      <w:tr w:rsidR="009A663A" w:rsidRPr="00431D28" w:rsidTr="00C02487">
        <w:tc>
          <w:tcPr>
            <w:tcW w:w="9889" w:type="dxa"/>
            <w:shd w:val="clear" w:color="auto" w:fill="auto"/>
          </w:tcPr>
          <w:p w:rsidR="00421639" w:rsidRPr="00C02487" w:rsidRDefault="00AF29F4" w:rsidP="00C02487">
            <w:pPr>
              <w:keepNext/>
              <w:rPr>
                <w:lang w:val="fr-FR"/>
              </w:rPr>
            </w:pPr>
            <w:bookmarkStart w:id="5" w:name="OLE_LINK11"/>
            <w:bookmarkStart w:id="6" w:name="OLE_LINK12"/>
            <w:r w:rsidRPr="00C02487">
              <w:rPr>
                <w:lang w:val="fr-FR"/>
              </w:rPr>
              <w:t>Figure 3 : Nombre de demandes, de titres octroyés et de titres en vigueur dans les membres de l’Union</w:t>
            </w:r>
          </w:p>
        </w:tc>
      </w:tr>
    </w:tbl>
    <w:p w:rsidR="00FD0ACE" w:rsidRDefault="00560E42" w:rsidP="00421639">
      <w:pPr>
        <w:rPr>
          <w:lang w:val="fr-FR"/>
        </w:rPr>
      </w:pPr>
      <w:r>
        <w:rPr>
          <w:noProof/>
        </w:rPr>
        <w:drawing>
          <wp:inline distT="0" distB="0" distL="0" distR="0">
            <wp:extent cx="6115050" cy="401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4010025"/>
                    </a:xfrm>
                    <a:prstGeom prst="rect">
                      <a:avLst/>
                    </a:prstGeom>
                    <a:noFill/>
                    <a:ln>
                      <a:noFill/>
                    </a:ln>
                  </pic:spPr>
                </pic:pic>
              </a:graphicData>
            </a:graphic>
          </wp:inline>
        </w:drawing>
      </w:r>
    </w:p>
    <w:p w:rsidR="00FD0ACE" w:rsidRPr="00431D28" w:rsidRDefault="00FD0ACE" w:rsidP="00421639">
      <w:pPr>
        <w:rPr>
          <w:lang w:val="fr-FR"/>
        </w:rPr>
      </w:pPr>
    </w:p>
    <w:tbl>
      <w:tblPr>
        <w:tblW w:w="9889" w:type="dxa"/>
        <w:tblLook w:val="01E0" w:firstRow="1" w:lastRow="1" w:firstColumn="1" w:lastColumn="1" w:noHBand="0" w:noVBand="0"/>
      </w:tblPr>
      <w:tblGrid>
        <w:gridCol w:w="9889"/>
      </w:tblGrid>
      <w:tr w:rsidR="00421639" w:rsidRPr="00431D28" w:rsidTr="00C02487">
        <w:tc>
          <w:tcPr>
            <w:tcW w:w="9889" w:type="dxa"/>
            <w:shd w:val="clear" w:color="auto" w:fill="auto"/>
          </w:tcPr>
          <w:p w:rsidR="00421639" w:rsidRPr="00C02487" w:rsidRDefault="00421639" w:rsidP="00C02487">
            <w:pPr>
              <w:keepNext/>
              <w:jc w:val="left"/>
              <w:rPr>
                <w:lang w:val="fr-FR"/>
              </w:rPr>
            </w:pPr>
            <w:r w:rsidRPr="00C02487">
              <w:rPr>
                <w:lang w:val="fr-FR"/>
              </w:rPr>
              <w:t>Figure 4</w:t>
            </w:r>
            <w:r w:rsidR="00AF5D34" w:rsidRPr="00C02487">
              <w:rPr>
                <w:lang w:val="fr-FR"/>
              </w:rPr>
              <w:t> : Expé</w:t>
            </w:r>
            <w:r w:rsidRPr="00C02487">
              <w:rPr>
                <w:lang w:val="fr-FR"/>
              </w:rPr>
              <w:t>rience</w:t>
            </w:r>
            <w:r w:rsidR="00AF5D34" w:rsidRPr="00C02487">
              <w:rPr>
                <w:lang w:val="fr-FR"/>
              </w:rPr>
              <w:t xml:space="preserve"> et coopération au sein de l’UPOV</w:t>
            </w:r>
          </w:p>
        </w:tc>
      </w:tr>
      <w:tr w:rsidR="00421639" w:rsidRPr="00431D28" w:rsidTr="00C02487">
        <w:tc>
          <w:tcPr>
            <w:tcW w:w="9889" w:type="dxa"/>
            <w:shd w:val="clear" w:color="auto" w:fill="auto"/>
          </w:tcPr>
          <w:p w:rsidR="00421639" w:rsidRPr="00C02487" w:rsidRDefault="00560E42" w:rsidP="00C02487">
            <w:pPr>
              <w:jc w:val="center"/>
              <w:rPr>
                <w:lang w:val="fr-FR"/>
              </w:rPr>
            </w:pPr>
            <w:r>
              <w:rPr>
                <w:noProof/>
              </w:rPr>
              <w:drawing>
                <wp:inline distT="0" distB="0" distL="0" distR="0">
                  <wp:extent cx="5845175" cy="4267835"/>
                  <wp:effectExtent l="0" t="0" r="22225" b="18415"/>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5A7F6B" w:rsidRPr="00431D28" w:rsidRDefault="005A7F6B" w:rsidP="00421639">
      <w:pPr>
        <w:rPr>
          <w:lang w:val="fr-FR"/>
        </w:rPr>
      </w:pPr>
    </w:p>
    <w:bookmarkEnd w:id="5"/>
    <w:bookmarkEnd w:id="6"/>
    <w:p w:rsidR="005A7F6B" w:rsidRPr="00431D28" w:rsidRDefault="00333EB1" w:rsidP="001B4122">
      <w:pPr>
        <w:rPr>
          <w:lang w:val="fr-FR"/>
        </w:rPr>
      </w:pPr>
      <w:r>
        <w:rPr>
          <w:snapToGrid w:val="0"/>
          <w:lang w:val="fr-FR"/>
        </w:rPr>
        <w:br w:type="page"/>
      </w:r>
      <w:r w:rsidR="00421639" w:rsidRPr="00431D28">
        <w:rPr>
          <w:snapToGrid w:val="0"/>
          <w:lang w:val="fr-FR"/>
        </w:rPr>
        <w:t>1.5</w:t>
      </w:r>
      <w:r w:rsidR="00421639" w:rsidRPr="00431D28">
        <w:rPr>
          <w:snapToGrid w:val="0"/>
          <w:lang w:val="fr-FR"/>
        </w:rPr>
        <w:tab/>
      </w:r>
      <w:r w:rsidR="001B4122" w:rsidRPr="00431D28">
        <w:rPr>
          <w:lang w:val="fr-FR"/>
        </w:rPr>
        <w:t>Afin de continuer à améliorer les services fournis à un nombre de membres de plus en plus élevé, des ressources seront axées sur l’élaboration d’orientations et de matériels d’information, y compris dans d’autres langues que celles de l’UPOV, de bases de données et de formulaires électroniques qui seront largement mis à disposition par le biais de médias appropriés, en particulier électroniques (voir Sous</w:t>
      </w:r>
      <w:r w:rsidR="006A7D31" w:rsidRPr="003E4E3B">
        <w:rPr>
          <w:rFonts w:cs="Arial"/>
          <w:snapToGrid w:val="0"/>
          <w:lang w:val="fr-FR"/>
        </w:rPr>
        <w:noBreakHyphen/>
      </w:r>
      <w:r w:rsidR="001B4122" w:rsidRPr="00431D28">
        <w:rPr>
          <w:lang w:val="fr-FR"/>
        </w:rPr>
        <w:t>programme UV.2 : Services fournis à l’Union en vue d’augmenter l’efficacité du système de l’UPOV</w:t>
      </w:r>
      <w:r w:rsidR="001B4122" w:rsidRPr="00431D28">
        <w:rPr>
          <w:b/>
          <w:lang w:val="fr-FR"/>
        </w:rPr>
        <w:t>,</w:t>
      </w:r>
      <w:r w:rsidR="001B4122" w:rsidRPr="00431D28">
        <w:rPr>
          <w:lang w:val="fr-FR"/>
        </w:rPr>
        <w:t xml:space="preserve"> Section 2.2.2.1 “Descriptif”).</w:t>
      </w:r>
    </w:p>
    <w:p w:rsidR="005A7F6B" w:rsidRPr="00431D28" w:rsidRDefault="005A7F6B" w:rsidP="00421639">
      <w:pPr>
        <w:rPr>
          <w:lang w:val="fr-FR"/>
        </w:rPr>
      </w:pPr>
    </w:p>
    <w:p w:rsidR="005A7F6B" w:rsidRPr="00431D28" w:rsidRDefault="001B4122" w:rsidP="001B4122">
      <w:pPr>
        <w:rPr>
          <w:lang w:val="fr-FR"/>
        </w:rPr>
      </w:pPr>
      <w:r w:rsidRPr="00431D28">
        <w:rPr>
          <w:lang w:val="fr-FR"/>
        </w:rPr>
        <w:t>1.6</w:t>
      </w:r>
      <w:r w:rsidRPr="00431D28">
        <w:rPr>
          <w:lang w:val="fr-FR"/>
        </w:rPr>
        <w:tab/>
        <w:t xml:space="preserve">La satisfaction des besoins particuliers des </w:t>
      </w:r>
      <w:r w:rsidRPr="005C4304">
        <w:rPr>
          <w:lang w:val="fr-FR"/>
        </w:rPr>
        <w:t xml:space="preserve">membres et membres potentiels de l’Union qui sollicitent une aide pour mettre en place et appliquer le système </w:t>
      </w:r>
      <w:r w:rsidR="00DD3F1D" w:rsidRPr="005C4304">
        <w:rPr>
          <w:lang w:val="fr-FR"/>
        </w:rPr>
        <w:t>de l’</w:t>
      </w:r>
      <w:r w:rsidRPr="005C4304">
        <w:rPr>
          <w:lang w:val="fr-FR"/>
        </w:rPr>
        <w:t>UPOV dans les limites des ressources disponibles reposera sur la mise au point continue d’outils électroniques</w:t>
      </w:r>
      <w:r w:rsidRPr="00431D28">
        <w:rPr>
          <w:lang w:val="fr-FR"/>
        </w:rPr>
        <w:t xml:space="preserve"> (comme par exemple le site Web, les cours d’enseignement à distance et les conférences Web), la hiérarchisation de l’assistance fournie par le Bureau de l’Union et l’utilisation de ressources extérieures pour la formation et l’assistance en fonction des fonds disponibles.</w:t>
      </w:r>
      <w:r w:rsidR="00421639" w:rsidRPr="00431D28">
        <w:rPr>
          <w:lang w:val="fr-FR"/>
        </w:rPr>
        <w:t xml:space="preserve">  </w:t>
      </w:r>
      <w:r w:rsidRPr="00431D28">
        <w:rPr>
          <w:lang w:val="fr-FR"/>
        </w:rPr>
        <w:t xml:space="preserve">Une assistance individuelle (missions par exemple) à l’intention des membres et membres potentiels de l’Union est accordée sur le budget ordinaire mais ce sont </w:t>
      </w:r>
      <w:r w:rsidR="006776B9">
        <w:rPr>
          <w:lang w:val="fr-FR"/>
        </w:rPr>
        <w:t xml:space="preserve">aussi </w:t>
      </w:r>
      <w:r w:rsidRPr="00431D28">
        <w:rPr>
          <w:lang w:val="fr-FR"/>
        </w:rPr>
        <w:t>des fonds extrabudgétaires et une aide en nature qui sont la principale source d’appui de ces activités.</w:t>
      </w:r>
      <w:r w:rsidR="00421639" w:rsidRPr="00431D28">
        <w:rPr>
          <w:lang w:val="fr-FR"/>
        </w:rPr>
        <w:t xml:space="preserve">  </w:t>
      </w:r>
      <w:r w:rsidRPr="00431D28">
        <w:rPr>
          <w:lang w:val="fr-FR"/>
        </w:rPr>
        <w:t>Désireux de faire preuve d’une plus grande souplesse en fonction des besoins et des ressources disponibles et, partant, de maximiser l’assistance qu’il peut offrir, le Bureau de l’Union utilisera de plus en plus des ressources extérieures (comme par exemple un appui administratif pour les cou</w:t>
      </w:r>
      <w:r w:rsidR="00B26ECB" w:rsidRPr="00431D28">
        <w:rPr>
          <w:lang w:val="fr-FR"/>
        </w:rPr>
        <w:t xml:space="preserve">rs d’enseignement à distance et </w:t>
      </w:r>
      <w:r w:rsidRPr="00431D28">
        <w:rPr>
          <w:lang w:val="fr-FR"/>
        </w:rPr>
        <w:t>édition de publications) et il fera de plus en plus appel à des formateurs extérieurs (voir Sous-programme UV.3 : Aide à la mise en place et à l’application du système de l’UPOV, Section 2.3.2.1 “Descriptif”).</w:t>
      </w:r>
    </w:p>
    <w:p w:rsidR="005A7F6B" w:rsidRPr="00431D28" w:rsidRDefault="005A7F6B" w:rsidP="00421639">
      <w:pPr>
        <w:rPr>
          <w:color w:val="000000"/>
          <w:lang w:val="fr-FR"/>
        </w:rPr>
      </w:pPr>
    </w:p>
    <w:p w:rsidR="005A7F6B" w:rsidRPr="00431D28" w:rsidRDefault="00421639" w:rsidP="00DD3F1D">
      <w:pPr>
        <w:rPr>
          <w:lang w:val="fr-FR"/>
        </w:rPr>
      </w:pPr>
      <w:r w:rsidRPr="00431D28">
        <w:rPr>
          <w:lang w:val="fr-FR"/>
        </w:rPr>
        <w:t>1.7</w:t>
      </w:r>
      <w:r w:rsidRPr="00431D28">
        <w:rPr>
          <w:lang w:val="fr-FR"/>
        </w:rPr>
        <w:tab/>
      </w:r>
      <w:r w:rsidR="00DD3F1D" w:rsidRPr="00431D28">
        <w:rPr>
          <w:lang w:val="fr-FR"/>
        </w:rPr>
        <w:t>Plus généralement, l’UPOV s’emploiera à faire mieux comprendre l’importance de la protection des obtentions végétales aux différentes parties prenantes et au grand public.</w:t>
      </w:r>
      <w:r w:rsidRPr="00431D28">
        <w:rPr>
          <w:lang w:val="fr-FR"/>
        </w:rPr>
        <w:t xml:space="preserve">  </w:t>
      </w:r>
      <w:r w:rsidR="00DD3F1D" w:rsidRPr="00431D28">
        <w:rPr>
          <w:lang w:val="fr-FR"/>
        </w:rPr>
        <w:t>À cet égard, le site Web de l’UPOV est un important moyen de communication qui sera actualisé avec de nouveaux matériels appropriés afin d’expliquer à un vaste public l’importance de la protection des obtentions végétales (voir Sous-programme UV.4 : Relations extérieures).</w:t>
      </w:r>
      <w:r w:rsidRPr="00431D28">
        <w:rPr>
          <w:lang w:val="fr-FR"/>
        </w:rPr>
        <w:t xml:space="preserve">  </w:t>
      </w:r>
      <w:r w:rsidR="00DD3F1D" w:rsidRPr="00431D28">
        <w:rPr>
          <w:lang w:val="fr-FR"/>
        </w:rPr>
        <w:t>D’autres moyens de communication comme les médias sociaux seront eux aussi envisagés.</w:t>
      </w:r>
      <w:r w:rsidRPr="00431D28">
        <w:rPr>
          <w:lang w:val="fr-FR"/>
        </w:rPr>
        <w:t xml:space="preserve">  </w:t>
      </w:r>
      <w:r w:rsidR="00DD3F1D" w:rsidRPr="00431D28">
        <w:rPr>
          <w:lang w:val="fr-FR"/>
        </w:rPr>
        <w:t>L’UPOV continuera également à contribuer aux travaux des organisations intergouvernementales compétentes en la matière, telles que l’Organisation mondiale du commerce (OMC), la Convention sur la diversité biologique (CDB) et l’Organisation des Nations Unies pour l’alimentation et l’agriculture (FAO), en vue d’expliquer le système de l’UPOV de protection des obtentions végétales et d’assurer un lien de complémentarité.</w:t>
      </w:r>
      <w:r w:rsidRPr="00431D28">
        <w:rPr>
          <w:lang w:val="fr-FR"/>
        </w:rPr>
        <w:t xml:space="preserve"> </w:t>
      </w:r>
    </w:p>
    <w:p w:rsidR="005A7F6B" w:rsidRPr="00431D28" w:rsidRDefault="005A7F6B" w:rsidP="00421639">
      <w:pPr>
        <w:rPr>
          <w:color w:val="000000"/>
          <w:lang w:val="fr-FR"/>
        </w:rPr>
      </w:pPr>
    </w:p>
    <w:p w:rsidR="005A7F6B" w:rsidRPr="00431D28" w:rsidRDefault="005A7F6B" w:rsidP="00421639">
      <w:pPr>
        <w:rPr>
          <w:lang w:val="fr-FR"/>
        </w:rPr>
      </w:pPr>
    </w:p>
    <w:p w:rsidR="005A7F6B" w:rsidRPr="00431D28" w:rsidRDefault="00421639" w:rsidP="00DD3F1D">
      <w:pPr>
        <w:rPr>
          <w:b/>
          <w:lang w:val="fr-FR"/>
        </w:rPr>
      </w:pPr>
      <w:r w:rsidRPr="00431D28">
        <w:rPr>
          <w:lang w:val="fr-FR"/>
        </w:rPr>
        <w:br w:type="page"/>
      </w:r>
      <w:r w:rsidR="00DD3F1D" w:rsidRPr="00431D28">
        <w:rPr>
          <w:b/>
          <w:lang w:val="fr-FR"/>
        </w:rPr>
        <w:t>2.</w:t>
      </w:r>
      <w:r w:rsidR="00DD3F1D" w:rsidRPr="00431D28">
        <w:rPr>
          <w:b/>
          <w:lang w:val="fr-FR"/>
        </w:rPr>
        <w:tab/>
        <w:t>OBJECTIFS ET RÉSULTATS ESCOMPTÉS PAR SOUS-PROGRAMME</w:t>
      </w:r>
    </w:p>
    <w:p w:rsidR="005A7F6B" w:rsidRPr="00431D28" w:rsidRDefault="005A7F6B" w:rsidP="004216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fr-FR"/>
        </w:rPr>
      </w:pPr>
    </w:p>
    <w:p w:rsidR="005A7F6B" w:rsidRPr="00431D28" w:rsidRDefault="00DD3F1D" w:rsidP="00DD3F1D">
      <w:pPr>
        <w:tabs>
          <w:tab w:val="left" w:pos="567"/>
        </w:tabs>
        <w:ind w:left="2835" w:hanging="2835"/>
        <w:rPr>
          <w:b/>
          <w:lang w:val="fr-FR"/>
        </w:rPr>
      </w:pPr>
      <w:r w:rsidRPr="00431D28">
        <w:rPr>
          <w:b/>
          <w:lang w:val="fr-FR"/>
        </w:rPr>
        <w:t>2.1</w:t>
      </w:r>
      <w:r w:rsidRPr="00431D28">
        <w:rPr>
          <w:lang w:val="fr-FR"/>
        </w:rPr>
        <w:tab/>
      </w:r>
      <w:r w:rsidRPr="00431D28">
        <w:rPr>
          <w:b/>
          <w:u w:val="single"/>
          <w:lang w:val="fr-FR"/>
        </w:rPr>
        <w:t>Sous-programme UV.1</w:t>
      </w:r>
      <w:r w:rsidRPr="00431D28">
        <w:rPr>
          <w:b/>
          <w:lang w:val="fr-FR"/>
        </w:rPr>
        <w:t> :</w:t>
      </w:r>
      <w:r w:rsidRPr="00431D28">
        <w:rPr>
          <w:lang w:val="fr-FR"/>
        </w:rPr>
        <w:t xml:space="preserve"> </w:t>
      </w:r>
      <w:r w:rsidRPr="00431D28">
        <w:rPr>
          <w:b/>
          <w:u w:val="single"/>
          <w:lang w:val="fr-FR"/>
        </w:rPr>
        <w:t>Politique générale en matière de protection des obtentions végétales</w:t>
      </w:r>
    </w:p>
    <w:p w:rsidR="005A7F6B" w:rsidRPr="00431D28" w:rsidRDefault="005A7F6B" w:rsidP="00421639">
      <w:pPr>
        <w:rPr>
          <w:lang w:val="fr-FR"/>
        </w:rPr>
      </w:pPr>
    </w:p>
    <w:p w:rsidR="005A7F6B" w:rsidRPr="00431D28" w:rsidRDefault="00185DB0" w:rsidP="00DD3F1D">
      <w:pPr>
        <w:rPr>
          <w:b/>
          <w:lang w:val="fr-FR"/>
        </w:rPr>
      </w:pPr>
      <w:r w:rsidRPr="00431D28">
        <w:rPr>
          <w:b/>
          <w:lang w:val="fr-FR"/>
        </w:rPr>
        <w:t>2.1.1.</w:t>
      </w:r>
      <w:r w:rsidRPr="00431D28">
        <w:rPr>
          <w:b/>
          <w:lang w:val="fr-FR"/>
        </w:rPr>
        <w:tab/>
      </w:r>
      <w:r w:rsidR="00DD3F1D" w:rsidRPr="00431D28">
        <w:rPr>
          <w:b/>
          <w:lang w:val="fr-FR"/>
        </w:rPr>
        <w:t>Objectifs</w:t>
      </w:r>
    </w:p>
    <w:p w:rsidR="005A7F6B" w:rsidRPr="00431D28" w:rsidRDefault="005A7F6B" w:rsidP="00421639">
      <w:pPr>
        <w:rPr>
          <w:lang w:val="fr-FR"/>
        </w:rPr>
      </w:pPr>
    </w:p>
    <w:p w:rsidR="005A7F6B" w:rsidRPr="00431D28" w:rsidRDefault="00421639" w:rsidP="00DD3F1D">
      <w:pPr>
        <w:rPr>
          <w:lang w:val="fr-FR"/>
        </w:rPr>
      </w:pPr>
      <w:r w:rsidRPr="00431D28">
        <w:rPr>
          <w:lang w:val="fr-FR"/>
        </w:rPr>
        <w:tab/>
      </w:r>
      <w:r w:rsidR="00DD3F1D" w:rsidRPr="00431D28">
        <w:rPr>
          <w:lang w:val="fr-FR"/>
        </w:rPr>
        <w:t>a)</w:t>
      </w:r>
      <w:r w:rsidR="00DD3F1D" w:rsidRPr="00431D28">
        <w:rPr>
          <w:lang w:val="fr-FR"/>
        </w:rPr>
        <w:tab/>
        <w:t>Orientations politiques et gestion à l’échelon exécutif.</w:t>
      </w:r>
    </w:p>
    <w:p w:rsidR="005A7F6B" w:rsidRPr="00431D28" w:rsidRDefault="005A7F6B" w:rsidP="00421639">
      <w:pPr>
        <w:rPr>
          <w:lang w:val="fr-FR"/>
        </w:rPr>
      </w:pPr>
    </w:p>
    <w:p w:rsidR="005A7F6B" w:rsidRPr="00431D28" w:rsidRDefault="00421639" w:rsidP="00185DB0">
      <w:pPr>
        <w:rPr>
          <w:lang w:val="fr-FR"/>
        </w:rPr>
      </w:pPr>
      <w:r w:rsidRPr="00431D28">
        <w:rPr>
          <w:lang w:val="fr-FR"/>
        </w:rPr>
        <w:tab/>
      </w:r>
      <w:r w:rsidR="00185DB0" w:rsidRPr="00431D28">
        <w:rPr>
          <w:lang w:val="fr-FR"/>
        </w:rPr>
        <w:t>b)</w:t>
      </w:r>
      <w:r w:rsidR="00185DB0" w:rsidRPr="00431D28">
        <w:rPr>
          <w:lang w:val="fr-FR"/>
        </w:rPr>
        <w:tab/>
        <w:t>Planification, mise en œuvre et évaluation du programme et budget.</w:t>
      </w:r>
    </w:p>
    <w:p w:rsidR="005A7F6B" w:rsidRPr="00431D28" w:rsidRDefault="005A7F6B" w:rsidP="00421639">
      <w:pPr>
        <w:rPr>
          <w:lang w:val="fr-FR"/>
        </w:rPr>
      </w:pPr>
    </w:p>
    <w:p w:rsidR="005A7F6B" w:rsidRPr="00431D28" w:rsidRDefault="00185DB0" w:rsidP="00185DB0">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fr-FR"/>
        </w:rPr>
      </w:pPr>
      <w:r w:rsidRPr="00431D28">
        <w:rPr>
          <w:b/>
          <w:lang w:val="fr-FR"/>
        </w:rPr>
        <w:t>2.1.2</w:t>
      </w:r>
      <w:r w:rsidRPr="00431D28">
        <w:rPr>
          <w:b/>
          <w:lang w:val="fr-FR"/>
        </w:rPr>
        <w:tab/>
        <w:t>Descriptif</w:t>
      </w:r>
    </w:p>
    <w:p w:rsidR="005A7F6B" w:rsidRPr="00431D28" w:rsidRDefault="005A7F6B" w:rsidP="004216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fr-FR"/>
        </w:rPr>
      </w:pPr>
    </w:p>
    <w:p w:rsidR="005A7F6B" w:rsidRPr="00431D28" w:rsidRDefault="00185DB0" w:rsidP="00185DB0">
      <w:pPr>
        <w:tabs>
          <w:tab w:val="left" w:pos="567"/>
        </w:tabs>
        <w:rPr>
          <w:spacing w:val="-2"/>
          <w:lang w:val="fr-FR"/>
        </w:rPr>
      </w:pPr>
      <w:r w:rsidRPr="00431D28">
        <w:rPr>
          <w:lang w:val="fr-FR"/>
        </w:rPr>
        <w:t>Le présent sous-programme établit le cadre dans lequel s’inscriront la définition des politiques, la gestion et la coordination des activités du programme général de l’UPOV, tel qu’il a été défini par le Conseil selon les orientations données par le Comité consultatif.</w:t>
      </w:r>
    </w:p>
    <w:p w:rsidR="005A7F6B" w:rsidRPr="00431D28" w:rsidRDefault="005A7F6B" w:rsidP="004216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fr-FR"/>
        </w:rPr>
      </w:pPr>
    </w:p>
    <w:p w:rsidR="005A7F6B" w:rsidRPr="00431D28" w:rsidRDefault="00185DB0" w:rsidP="00185DB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fr-FR"/>
        </w:rPr>
      </w:pPr>
      <w:r w:rsidRPr="00431D28">
        <w:rPr>
          <w:b/>
          <w:lang w:val="fr-FR"/>
        </w:rPr>
        <w:t>2.1.3</w:t>
      </w:r>
      <w:r w:rsidRPr="00431D28">
        <w:rPr>
          <w:b/>
          <w:lang w:val="fr-FR"/>
        </w:rPr>
        <w:tab/>
        <w:t>Activités</w:t>
      </w:r>
    </w:p>
    <w:p w:rsidR="005A7F6B" w:rsidRPr="00431D28" w:rsidRDefault="005A7F6B" w:rsidP="004216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fr-FR"/>
        </w:rPr>
      </w:pPr>
    </w:p>
    <w:p w:rsidR="005A7F6B" w:rsidRPr="00431D28" w:rsidRDefault="00185DB0" w:rsidP="00185DB0">
      <w:pPr>
        <w:spacing w:after="120"/>
        <w:ind w:left="1276" w:hanging="709"/>
        <w:rPr>
          <w:lang w:val="fr-FR"/>
        </w:rPr>
      </w:pPr>
      <w:r w:rsidRPr="00431D28">
        <w:rPr>
          <w:lang w:val="fr-FR"/>
        </w:rPr>
        <w:t>i)</w:t>
      </w:r>
      <w:r w:rsidRPr="00431D28">
        <w:rPr>
          <w:lang w:val="fr-FR"/>
        </w:rPr>
        <w:tab/>
        <w:t>Tenue de quatre sessions du Conseil et de quatre sessions du Comité consultatif.</w:t>
      </w:r>
    </w:p>
    <w:p w:rsidR="005A7F6B" w:rsidRPr="00431D28" w:rsidRDefault="00185DB0" w:rsidP="00185DB0">
      <w:pPr>
        <w:spacing w:after="120"/>
        <w:ind w:left="1276" w:hanging="709"/>
        <w:rPr>
          <w:lang w:val="fr-FR"/>
        </w:rPr>
      </w:pPr>
      <w:r w:rsidRPr="00431D28">
        <w:rPr>
          <w:lang w:val="fr-FR"/>
        </w:rPr>
        <w:t>ii)</w:t>
      </w:r>
      <w:r w:rsidRPr="00431D28">
        <w:rPr>
          <w:lang w:val="fr-FR"/>
        </w:rPr>
        <w:tab/>
        <w:t>Coordination, suivi et évaluation de l’exécution du programme et budget pour l’exercice biennal 2014-2015.</w:t>
      </w:r>
    </w:p>
    <w:p w:rsidR="005A7F6B" w:rsidRPr="00431D28" w:rsidRDefault="00185DB0" w:rsidP="00185DB0">
      <w:pPr>
        <w:spacing w:after="120"/>
        <w:ind w:left="1276" w:hanging="709"/>
        <w:rPr>
          <w:lang w:val="fr-FR"/>
        </w:rPr>
      </w:pPr>
      <w:r w:rsidRPr="00431D28">
        <w:rPr>
          <w:lang w:val="fr-FR"/>
        </w:rPr>
        <w:t>iii)</w:t>
      </w:r>
      <w:r w:rsidRPr="00431D28">
        <w:rPr>
          <w:lang w:val="fr-FR"/>
        </w:rPr>
        <w:tab/>
        <w:t>Élaboration et adoption du programme et budget pour l’exercice biennal 2016-2017.</w:t>
      </w:r>
    </w:p>
    <w:p w:rsidR="005A7F6B" w:rsidRPr="00431D28" w:rsidRDefault="005A7F6B" w:rsidP="00421639">
      <w:pPr>
        <w:tabs>
          <w:tab w:val="left" w:pos="567"/>
          <w:tab w:val="num"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851" w:hanging="284"/>
        <w:rPr>
          <w:lang w:val="fr-FR"/>
        </w:rPr>
      </w:pPr>
    </w:p>
    <w:p w:rsidR="005A7F6B" w:rsidRPr="00431D28" w:rsidRDefault="00185DB0" w:rsidP="00185DB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fr-FR"/>
        </w:rPr>
      </w:pPr>
      <w:r w:rsidRPr="00431D28">
        <w:rPr>
          <w:b/>
          <w:lang w:val="fr-FR"/>
        </w:rPr>
        <w:t>2.1.4</w:t>
      </w:r>
      <w:r w:rsidRPr="00431D28">
        <w:rPr>
          <w:b/>
          <w:lang w:val="fr-FR"/>
        </w:rPr>
        <w:tab/>
        <w:t>Résultats escomptés et indicateurs d'exécution</w:t>
      </w:r>
    </w:p>
    <w:p w:rsidR="00421639" w:rsidRPr="00431D28" w:rsidRDefault="00421639" w:rsidP="00421639">
      <w:pPr>
        <w:tabs>
          <w:tab w:val="left" w:pos="567"/>
          <w:tab w:val="num"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851" w:hanging="284"/>
        <w:rPr>
          <w:lang w:val="fr-FR"/>
        </w:rPr>
      </w:pPr>
    </w:p>
    <w:tbl>
      <w:tblPr>
        <w:tblW w:w="9889" w:type="dxa"/>
        <w:tblInd w:w="-103" w:type="dxa"/>
        <w:tblLayout w:type="fixed"/>
        <w:tblCellMar>
          <w:left w:w="0" w:type="dxa"/>
          <w:right w:w="0" w:type="dxa"/>
        </w:tblCellMar>
        <w:tblLook w:val="0000" w:firstRow="0" w:lastRow="0" w:firstColumn="0" w:lastColumn="0" w:noHBand="0" w:noVBand="0"/>
      </w:tblPr>
      <w:tblGrid>
        <w:gridCol w:w="4643"/>
        <w:gridCol w:w="5246"/>
      </w:tblGrid>
      <w:tr w:rsidR="009A663A" w:rsidRPr="00431D28"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431D28" w:rsidRDefault="00185DB0" w:rsidP="00185DB0">
            <w:pPr>
              <w:keepNext/>
              <w:spacing w:before="120" w:after="120"/>
              <w:jc w:val="center"/>
              <w:rPr>
                <w:u w:val="single"/>
                <w:lang w:val="fr-FR"/>
              </w:rPr>
            </w:pPr>
            <w:r w:rsidRPr="00431D28">
              <w:rPr>
                <w:u w:val="single"/>
                <w:lang w:val="fr-FR"/>
              </w:rPr>
              <w:t>Résultats escomptés</w:t>
            </w:r>
          </w:p>
        </w:tc>
        <w:tc>
          <w:tcPr>
            <w:tcW w:w="5246" w:type="dxa"/>
            <w:tcBorders>
              <w:top w:val="single" w:sz="4" w:space="0" w:color="000000"/>
              <w:left w:val="single" w:sz="4" w:space="0" w:color="000000"/>
              <w:bottom w:val="single" w:sz="4" w:space="0" w:color="000000"/>
              <w:right w:val="single" w:sz="4" w:space="0" w:color="000000"/>
            </w:tcBorders>
          </w:tcPr>
          <w:p w:rsidR="00421639" w:rsidRPr="00431D28" w:rsidRDefault="00185DB0" w:rsidP="00185DB0">
            <w:pPr>
              <w:keepNext/>
              <w:spacing w:before="120" w:after="120"/>
              <w:jc w:val="center"/>
              <w:rPr>
                <w:u w:val="single"/>
                <w:lang w:val="fr-FR"/>
              </w:rPr>
            </w:pPr>
            <w:r w:rsidRPr="00431D28">
              <w:rPr>
                <w:u w:val="single"/>
                <w:lang w:val="fr-FR"/>
              </w:rPr>
              <w:t>Indicateurs d’exécution</w:t>
            </w:r>
          </w:p>
        </w:tc>
      </w:tr>
      <w:tr w:rsidR="009A663A" w:rsidRPr="00431D28"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431D28" w:rsidRDefault="00185DB0" w:rsidP="00185DB0">
            <w:pPr>
              <w:keepNext/>
              <w:spacing w:before="60" w:after="60"/>
              <w:ind w:left="534" w:hanging="426"/>
              <w:jc w:val="left"/>
              <w:rPr>
                <w:lang w:val="fr-FR"/>
              </w:rPr>
            </w:pPr>
            <w:r w:rsidRPr="00431D28">
              <w:rPr>
                <w:lang w:val="fr-FR"/>
              </w:rPr>
              <w:t>1.</w:t>
            </w:r>
            <w:r w:rsidRPr="00431D28">
              <w:rPr>
                <w:lang w:val="fr-FR"/>
              </w:rPr>
              <w:tab/>
              <w:t>Organisation des sessions du Conseil et du Comité consultatif</w:t>
            </w:r>
          </w:p>
        </w:tc>
        <w:tc>
          <w:tcPr>
            <w:tcW w:w="5246" w:type="dxa"/>
            <w:tcBorders>
              <w:top w:val="single" w:sz="4" w:space="0" w:color="000000"/>
              <w:left w:val="single" w:sz="4" w:space="0" w:color="000000"/>
              <w:bottom w:val="single" w:sz="4" w:space="0" w:color="000000"/>
              <w:right w:val="single" w:sz="4" w:space="0" w:color="000000"/>
            </w:tcBorders>
          </w:tcPr>
          <w:p w:rsidR="00421639" w:rsidRPr="00431D28" w:rsidRDefault="00185DB0" w:rsidP="00185DB0">
            <w:pPr>
              <w:keepNext/>
              <w:spacing w:before="60" w:after="60"/>
              <w:ind w:left="568" w:hanging="425"/>
              <w:jc w:val="left"/>
              <w:rPr>
                <w:lang w:val="fr-FR"/>
              </w:rPr>
            </w:pPr>
            <w:r w:rsidRPr="00431D28">
              <w:rPr>
                <w:lang w:val="fr-FR"/>
              </w:rPr>
              <w:t>a)</w:t>
            </w:r>
            <w:r w:rsidRPr="00431D28">
              <w:rPr>
                <w:lang w:val="fr-FR"/>
              </w:rPr>
              <w:tab/>
              <w:t>participation aux sessions du Conseil et du Comité consultatif</w:t>
            </w:r>
            <w:r w:rsidR="003163DE">
              <w:rPr>
                <w:lang w:val="fr-FR"/>
              </w:rPr>
              <w:t>.</w:t>
            </w:r>
          </w:p>
        </w:tc>
      </w:tr>
      <w:tr w:rsidR="009A663A" w:rsidRPr="00431D28"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431D28" w:rsidRDefault="00185DB0" w:rsidP="00185DB0">
            <w:pPr>
              <w:keepNext/>
              <w:spacing w:before="60" w:after="60"/>
              <w:ind w:left="534" w:hanging="426"/>
              <w:jc w:val="left"/>
              <w:rPr>
                <w:lang w:val="fr-FR"/>
              </w:rPr>
            </w:pPr>
            <w:r w:rsidRPr="00431D28">
              <w:rPr>
                <w:lang w:val="fr-FR"/>
              </w:rPr>
              <w:t>2.</w:t>
            </w:r>
            <w:r w:rsidRPr="00431D28">
              <w:rPr>
                <w:lang w:val="fr-FR"/>
              </w:rPr>
              <w:tab/>
              <w:t>Coordination, suivi et évaluation de l’exécution du programme et budget pour l’exercice biennal 2014-­2015</w:t>
            </w:r>
          </w:p>
        </w:tc>
        <w:tc>
          <w:tcPr>
            <w:tcW w:w="5246" w:type="dxa"/>
            <w:tcBorders>
              <w:top w:val="single" w:sz="4" w:space="0" w:color="000000"/>
              <w:left w:val="single" w:sz="4" w:space="0" w:color="000000"/>
              <w:bottom w:val="single" w:sz="4" w:space="0" w:color="000000"/>
              <w:right w:val="single" w:sz="4" w:space="0" w:color="000000"/>
            </w:tcBorders>
          </w:tcPr>
          <w:p w:rsidR="00421639" w:rsidRPr="00431D28" w:rsidRDefault="00185DB0" w:rsidP="00185DB0">
            <w:pPr>
              <w:keepNext/>
              <w:spacing w:before="60" w:after="60"/>
              <w:ind w:left="568" w:hanging="425"/>
              <w:jc w:val="left"/>
              <w:rPr>
                <w:lang w:val="fr-FR"/>
              </w:rPr>
            </w:pPr>
            <w:r w:rsidRPr="00431D28">
              <w:rPr>
                <w:lang w:val="fr-FR"/>
              </w:rPr>
              <w:t>a)</w:t>
            </w:r>
            <w:r w:rsidRPr="00431D28">
              <w:rPr>
                <w:lang w:val="fr-FR"/>
              </w:rPr>
              <w:tab/>
              <w:t>mise en œuvre du programme dans les limites du budget pour l</w:t>
            </w:r>
            <w:r w:rsidR="001B2BF7">
              <w:rPr>
                <w:lang w:val="fr-FR"/>
              </w:rPr>
              <w:t>’exercice biennal 2014-</w:t>
            </w:r>
            <w:r w:rsidRPr="00431D28">
              <w:rPr>
                <w:lang w:val="fr-FR"/>
              </w:rPr>
              <w:t>2015</w:t>
            </w:r>
            <w:r w:rsidR="003163DE">
              <w:rPr>
                <w:lang w:val="fr-FR"/>
              </w:rPr>
              <w:t>.</w:t>
            </w:r>
          </w:p>
        </w:tc>
      </w:tr>
      <w:tr w:rsidR="009A663A" w:rsidRPr="00431D28"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431D28" w:rsidRDefault="00185DB0" w:rsidP="00185DB0">
            <w:pPr>
              <w:keepNext/>
              <w:spacing w:before="60" w:after="60"/>
              <w:ind w:left="534" w:hanging="426"/>
              <w:jc w:val="left"/>
              <w:rPr>
                <w:lang w:val="fr-FR"/>
              </w:rPr>
            </w:pPr>
            <w:r w:rsidRPr="00431D28">
              <w:rPr>
                <w:lang w:val="fr-FR"/>
              </w:rPr>
              <w:t>3.</w:t>
            </w:r>
            <w:r w:rsidRPr="00431D28">
              <w:rPr>
                <w:lang w:val="fr-FR"/>
              </w:rPr>
              <w:tab/>
              <w:t>Élaboration et adoption du programme et budget pour l’exercice biennal 2016-2017</w:t>
            </w:r>
          </w:p>
        </w:tc>
        <w:tc>
          <w:tcPr>
            <w:tcW w:w="5246" w:type="dxa"/>
            <w:tcBorders>
              <w:top w:val="single" w:sz="4" w:space="0" w:color="000000"/>
              <w:left w:val="single" w:sz="4" w:space="0" w:color="000000"/>
              <w:bottom w:val="single" w:sz="4" w:space="0" w:color="000000"/>
              <w:right w:val="single" w:sz="4" w:space="0" w:color="000000"/>
            </w:tcBorders>
          </w:tcPr>
          <w:p w:rsidR="00421639" w:rsidRPr="00431D28" w:rsidRDefault="00185DB0" w:rsidP="00185DB0">
            <w:pPr>
              <w:keepNext/>
              <w:spacing w:before="60" w:after="60"/>
              <w:ind w:left="568" w:hanging="425"/>
              <w:jc w:val="left"/>
              <w:rPr>
                <w:lang w:val="fr-FR"/>
              </w:rPr>
            </w:pPr>
            <w:r w:rsidRPr="00431D28">
              <w:rPr>
                <w:lang w:val="fr-FR"/>
              </w:rPr>
              <w:t>a)</w:t>
            </w:r>
            <w:r w:rsidRPr="00431D28">
              <w:rPr>
                <w:lang w:val="fr-FR"/>
              </w:rPr>
              <w:tab/>
              <w:t>élaboration et adoption du programme et budget pour l’exercice biennal 2016-2017 conformément aux dispositions du “Règlement financier et règlement d’exécution du Règlement financier de l’UPOV”</w:t>
            </w:r>
            <w:r w:rsidR="003163DE">
              <w:rPr>
                <w:lang w:val="fr-FR"/>
              </w:rPr>
              <w:t>.</w:t>
            </w:r>
          </w:p>
        </w:tc>
      </w:tr>
      <w:tr w:rsidR="009A663A" w:rsidRPr="00431D28"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431D28" w:rsidRDefault="00185DB0" w:rsidP="00185DB0">
            <w:pPr>
              <w:keepNext/>
              <w:spacing w:before="60" w:after="60"/>
              <w:ind w:left="534" w:hanging="426"/>
              <w:jc w:val="left"/>
              <w:rPr>
                <w:lang w:val="fr-FR"/>
              </w:rPr>
            </w:pPr>
            <w:r w:rsidRPr="00431D28">
              <w:rPr>
                <w:lang w:val="fr-FR"/>
              </w:rPr>
              <w:t>4.</w:t>
            </w:r>
            <w:r w:rsidRPr="00431D28">
              <w:rPr>
                <w:lang w:val="fr-FR"/>
              </w:rPr>
              <w:tab/>
              <w:t>Politique du Conseil</w:t>
            </w:r>
            <w:r w:rsidR="00421639" w:rsidRPr="00431D28">
              <w:rPr>
                <w:lang w:val="fr-FR"/>
              </w:rPr>
              <w:t xml:space="preserve"> </w:t>
            </w:r>
          </w:p>
        </w:tc>
        <w:tc>
          <w:tcPr>
            <w:tcW w:w="5246" w:type="dxa"/>
            <w:tcBorders>
              <w:top w:val="single" w:sz="4" w:space="0" w:color="000000"/>
              <w:left w:val="single" w:sz="4" w:space="0" w:color="000000"/>
              <w:bottom w:val="single" w:sz="4" w:space="0" w:color="000000"/>
              <w:right w:val="single" w:sz="4" w:space="0" w:color="000000"/>
            </w:tcBorders>
          </w:tcPr>
          <w:p w:rsidR="005A7F6B" w:rsidRPr="00431D28" w:rsidRDefault="00185DB0" w:rsidP="00185DB0">
            <w:pPr>
              <w:keepNext/>
              <w:spacing w:before="60" w:after="60"/>
              <w:ind w:left="568" w:hanging="425"/>
              <w:jc w:val="left"/>
              <w:rPr>
                <w:lang w:val="fr-FR"/>
              </w:rPr>
            </w:pPr>
            <w:r w:rsidRPr="00431D28">
              <w:rPr>
                <w:lang w:val="fr-FR"/>
              </w:rPr>
              <w:t>a)</w:t>
            </w:r>
            <w:r w:rsidRPr="00431D28">
              <w:rPr>
                <w:lang w:val="fr-FR"/>
              </w:rPr>
              <w:tab/>
              <w:t>recommandations formulées par le Comité consultatif;</w:t>
            </w:r>
          </w:p>
          <w:p w:rsidR="005A7F6B" w:rsidRPr="00431D28" w:rsidRDefault="00185DB0" w:rsidP="00185DB0">
            <w:pPr>
              <w:keepNext/>
              <w:spacing w:before="60" w:after="60"/>
              <w:ind w:left="568" w:hanging="425"/>
              <w:jc w:val="left"/>
              <w:rPr>
                <w:lang w:val="fr-FR"/>
              </w:rPr>
            </w:pPr>
            <w:r w:rsidRPr="00431D28">
              <w:rPr>
                <w:lang w:val="fr-FR"/>
              </w:rPr>
              <w:t>b)</w:t>
            </w:r>
            <w:r w:rsidRPr="00431D28">
              <w:rPr>
                <w:lang w:val="fr-FR"/>
              </w:rPr>
              <w:tab/>
              <w:t>décisions adoptées par le Conseil;</w:t>
            </w:r>
          </w:p>
          <w:p w:rsidR="00421639" w:rsidRPr="00431D28" w:rsidRDefault="00185DB0" w:rsidP="00185DB0">
            <w:pPr>
              <w:keepNext/>
              <w:spacing w:before="60" w:after="60"/>
              <w:ind w:left="568" w:hanging="425"/>
              <w:jc w:val="left"/>
              <w:rPr>
                <w:lang w:val="fr-FR"/>
              </w:rPr>
            </w:pPr>
            <w:r w:rsidRPr="00431D28">
              <w:rPr>
                <w:lang w:val="fr-FR"/>
              </w:rPr>
              <w:t>c)</w:t>
            </w:r>
            <w:r w:rsidRPr="00431D28">
              <w:rPr>
                <w:lang w:val="fr-FR"/>
              </w:rPr>
              <w:tab/>
              <w:t>adoption des documents et notes d’information par le Conseil.</w:t>
            </w:r>
          </w:p>
        </w:tc>
      </w:tr>
    </w:tbl>
    <w:p w:rsidR="005A7F6B" w:rsidRPr="00431D28" w:rsidRDefault="00421639" w:rsidP="00133F0C">
      <w:pPr>
        <w:keepNext/>
        <w:tabs>
          <w:tab w:val="left" w:pos="567"/>
        </w:tabs>
        <w:ind w:left="2835" w:hanging="2835"/>
        <w:rPr>
          <w:b/>
          <w:lang w:val="fr-FR"/>
        </w:rPr>
      </w:pPr>
      <w:r w:rsidRPr="00431D28">
        <w:rPr>
          <w:lang w:val="fr-FR"/>
        </w:rPr>
        <w:br w:type="page"/>
      </w:r>
      <w:r w:rsidR="00133F0C" w:rsidRPr="00431D28">
        <w:rPr>
          <w:b/>
          <w:lang w:val="fr-FR"/>
        </w:rPr>
        <w:t>2.2</w:t>
      </w:r>
      <w:r w:rsidR="00133F0C" w:rsidRPr="00431D28">
        <w:rPr>
          <w:b/>
          <w:lang w:val="fr-FR"/>
        </w:rPr>
        <w:tab/>
      </w:r>
      <w:r w:rsidR="00133F0C" w:rsidRPr="00431D28">
        <w:rPr>
          <w:b/>
          <w:u w:val="single"/>
          <w:lang w:val="fr-FR"/>
        </w:rPr>
        <w:t>Sous-programme UV.2</w:t>
      </w:r>
      <w:r w:rsidR="00133F0C" w:rsidRPr="00431D28">
        <w:rPr>
          <w:b/>
          <w:lang w:val="fr-FR"/>
        </w:rPr>
        <w:t xml:space="preserve"> : </w:t>
      </w:r>
      <w:r w:rsidR="00133F0C" w:rsidRPr="00431D28">
        <w:rPr>
          <w:b/>
          <w:u w:val="single"/>
          <w:lang w:val="fr-FR"/>
        </w:rPr>
        <w:t>Services fournis à l’Union en vue d’augmenter l’efficacité du système de l’UPOV</w:t>
      </w:r>
      <w:r w:rsidRPr="00431D28">
        <w:rPr>
          <w:b/>
          <w:lang w:val="fr-FR"/>
        </w:rPr>
        <w:t xml:space="preserve"> </w:t>
      </w:r>
    </w:p>
    <w:p w:rsidR="005A7F6B" w:rsidRPr="00431D28" w:rsidRDefault="005A7F6B" w:rsidP="00421639">
      <w:pPr>
        <w:keepNext/>
        <w:rPr>
          <w:lang w:val="fr-FR"/>
        </w:rPr>
      </w:pPr>
    </w:p>
    <w:p w:rsidR="005A7F6B" w:rsidRPr="00431D28" w:rsidRDefault="00133F0C" w:rsidP="00133F0C">
      <w:pPr>
        <w:keepNext/>
        <w:rPr>
          <w:b/>
          <w:lang w:val="fr-FR"/>
        </w:rPr>
      </w:pPr>
      <w:r w:rsidRPr="00431D28">
        <w:rPr>
          <w:b/>
          <w:lang w:val="fr-FR"/>
        </w:rPr>
        <w:t>2.2.1.</w:t>
      </w:r>
      <w:r w:rsidRPr="00431D28">
        <w:rPr>
          <w:b/>
          <w:lang w:val="fr-FR"/>
        </w:rPr>
        <w:tab/>
        <w:t>Objectifs</w:t>
      </w:r>
    </w:p>
    <w:p w:rsidR="005A7F6B" w:rsidRPr="00431D28" w:rsidRDefault="005A7F6B" w:rsidP="00421639">
      <w:pPr>
        <w:keepNext/>
        <w:ind w:left="142"/>
        <w:rPr>
          <w:lang w:val="fr-FR"/>
        </w:rPr>
      </w:pPr>
    </w:p>
    <w:p w:rsidR="005A7F6B" w:rsidRPr="00431D28" w:rsidRDefault="00421639" w:rsidP="00133F0C">
      <w:pPr>
        <w:rPr>
          <w:lang w:val="fr-FR"/>
        </w:rPr>
      </w:pPr>
      <w:r w:rsidRPr="00431D28">
        <w:rPr>
          <w:lang w:val="fr-FR"/>
        </w:rPr>
        <w:tab/>
      </w:r>
      <w:r w:rsidR="00133F0C" w:rsidRPr="00431D28">
        <w:rPr>
          <w:lang w:val="fr-FR"/>
        </w:rPr>
        <w:t>a)</w:t>
      </w:r>
      <w:r w:rsidR="00133F0C" w:rsidRPr="00431D28">
        <w:rPr>
          <w:lang w:val="fr-FR"/>
        </w:rPr>
        <w:tab/>
        <w:t>Maintenir et améliorer l’efficacité du système de l’UPOV.</w:t>
      </w:r>
      <w:r w:rsidRPr="00431D28">
        <w:rPr>
          <w:lang w:val="fr-FR"/>
        </w:rPr>
        <w:t xml:space="preserve"> </w:t>
      </w:r>
    </w:p>
    <w:p w:rsidR="005A7F6B" w:rsidRPr="00431D28" w:rsidRDefault="005A7F6B" w:rsidP="00421639">
      <w:pPr>
        <w:rPr>
          <w:lang w:val="fr-FR"/>
        </w:rPr>
      </w:pPr>
    </w:p>
    <w:p w:rsidR="005A7F6B" w:rsidRPr="00431D28" w:rsidRDefault="00421639" w:rsidP="00133F0C">
      <w:pPr>
        <w:rPr>
          <w:lang w:val="fr-FR"/>
        </w:rPr>
      </w:pPr>
      <w:r w:rsidRPr="00431D28">
        <w:rPr>
          <w:lang w:val="fr-FR"/>
        </w:rPr>
        <w:tab/>
      </w:r>
      <w:r w:rsidR="00133F0C" w:rsidRPr="00431D28">
        <w:rPr>
          <w:lang w:val="fr-FR"/>
        </w:rPr>
        <w:t>b)</w:t>
      </w:r>
      <w:r w:rsidR="00133F0C" w:rsidRPr="00431D28">
        <w:rPr>
          <w:lang w:val="fr-FR"/>
        </w:rPr>
        <w:tab/>
        <w:t>Jeter et développer les bases juridiques, administratives et techniques de la coopération internationale en matière de protection des obtentions végétales selon la Convention UPOV.</w:t>
      </w:r>
    </w:p>
    <w:p w:rsidR="005A7F6B" w:rsidRPr="00431D28" w:rsidRDefault="005A7F6B" w:rsidP="00421639">
      <w:pPr>
        <w:ind w:left="2410" w:hanging="2410"/>
        <w:rPr>
          <w:lang w:val="fr-FR"/>
        </w:rPr>
      </w:pPr>
    </w:p>
    <w:p w:rsidR="005A7F6B" w:rsidRPr="00431D28" w:rsidRDefault="00133F0C" w:rsidP="00133F0C">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fr-FR"/>
        </w:rPr>
      </w:pPr>
      <w:r w:rsidRPr="00431D28">
        <w:rPr>
          <w:b/>
          <w:lang w:val="fr-FR"/>
        </w:rPr>
        <w:t>2.2.2</w:t>
      </w:r>
      <w:r w:rsidRPr="00431D28">
        <w:rPr>
          <w:b/>
          <w:lang w:val="fr-FR"/>
        </w:rPr>
        <w:tab/>
        <w:t>Descriptif</w:t>
      </w:r>
    </w:p>
    <w:p w:rsidR="005A7F6B" w:rsidRPr="00431D28" w:rsidRDefault="005A7F6B" w:rsidP="00421639">
      <w:pPr>
        <w:rPr>
          <w:lang w:val="fr-FR"/>
        </w:rPr>
      </w:pPr>
    </w:p>
    <w:p w:rsidR="005A7F6B" w:rsidRPr="00431D28" w:rsidRDefault="00133F0C" w:rsidP="00133F0C">
      <w:pPr>
        <w:tabs>
          <w:tab w:val="left" w:pos="851"/>
        </w:tabs>
        <w:rPr>
          <w:lang w:val="fr-FR"/>
        </w:rPr>
      </w:pPr>
      <w:r w:rsidRPr="00431D28">
        <w:rPr>
          <w:lang w:val="fr-FR"/>
        </w:rPr>
        <w:t>2.2.2.1</w:t>
      </w:r>
      <w:r w:rsidRPr="00431D28">
        <w:rPr>
          <w:lang w:val="fr-FR"/>
        </w:rPr>
        <w:tab/>
        <w:t>Afin de continuer à améliorer les services fournis à un nombre de membres de plus en plus élevé, des ressources sont axées sur l’élaboration de matériels d’orientation et d’information, de bases de données et de formulaires électroniques qui sont mis à disposition par le biais de médias appropriés, en particulier électroniques.</w:t>
      </w:r>
      <w:r w:rsidR="00421639" w:rsidRPr="00431D28">
        <w:rPr>
          <w:lang w:val="fr-FR"/>
        </w:rPr>
        <w:t xml:space="preserve">  </w:t>
      </w:r>
      <w:r w:rsidRPr="00431D28">
        <w:rPr>
          <w:lang w:val="fr-FR"/>
        </w:rPr>
        <w:t>Dans ce contexte, les ressources comprennent le Bureau de l’Union et les membres de l’Union, en particulier au moyen de leur participation à des organes de l’UPOV et de la fourniture d’informations pour faciliter la coopération.</w:t>
      </w:r>
      <w:r w:rsidR="00421639" w:rsidRPr="00431D28">
        <w:rPr>
          <w:lang w:val="fr-FR"/>
        </w:rPr>
        <w:t xml:space="preserve">  </w:t>
      </w:r>
      <w:r w:rsidRPr="00431D28">
        <w:rPr>
          <w:lang w:val="fr-FR"/>
        </w:rPr>
        <w:t>Le présent sous-programme a trait à la fourniture d’orientations et d’informations juridiques, administratives et techniques au sujet du système</w:t>
      </w:r>
      <w:r w:rsidR="008B7DDC">
        <w:rPr>
          <w:lang w:val="fr-FR"/>
        </w:rPr>
        <w:t xml:space="preserve"> de l’UPOV</w:t>
      </w:r>
      <w:r w:rsidRPr="00431D28">
        <w:rPr>
          <w:lang w:val="fr-FR"/>
        </w:rPr>
        <w:t xml:space="preserve"> de pro</w:t>
      </w:r>
      <w:r w:rsidR="008B7DDC">
        <w:rPr>
          <w:lang w:val="fr-FR"/>
        </w:rPr>
        <w:t>tection des obtentions végétales</w:t>
      </w:r>
      <w:r w:rsidRPr="00431D28">
        <w:rPr>
          <w:lang w:val="fr-FR"/>
        </w:rPr>
        <w:t>, de l’aide à la coopération entre membres de l’Union, des activités des organes compétents de l’UPOV, des mesures visant à faciliter le dépôt de demandes de protection d’obtentions végétales et de la fourniture d’informations aux parties prenantes sur le fonctionnement du système de l’UPOV.</w:t>
      </w:r>
      <w:r w:rsidR="00421639" w:rsidRPr="00431D28">
        <w:rPr>
          <w:lang w:val="fr-FR"/>
        </w:rPr>
        <w:t xml:space="preserve">  </w:t>
      </w:r>
    </w:p>
    <w:p w:rsidR="005A7F6B" w:rsidRPr="00431D28" w:rsidRDefault="005A7F6B" w:rsidP="00421639">
      <w:pPr>
        <w:tabs>
          <w:tab w:val="left" w:pos="567"/>
        </w:tabs>
        <w:rPr>
          <w:lang w:val="fr-FR"/>
        </w:rPr>
      </w:pPr>
    </w:p>
    <w:p w:rsidR="005A7F6B" w:rsidRPr="00431D28" w:rsidRDefault="00133F0C" w:rsidP="00133F0C">
      <w:pPr>
        <w:tabs>
          <w:tab w:val="left" w:pos="567"/>
        </w:tabs>
        <w:rPr>
          <w:i/>
          <w:lang w:val="fr-FR"/>
        </w:rPr>
      </w:pPr>
      <w:r w:rsidRPr="00431D28">
        <w:rPr>
          <w:i/>
          <w:lang w:val="fr-FR"/>
        </w:rPr>
        <w:t>Matériels d’orientation et d’information</w:t>
      </w:r>
    </w:p>
    <w:p w:rsidR="005A7F6B" w:rsidRPr="00431D28" w:rsidRDefault="005A7F6B" w:rsidP="00421639">
      <w:pPr>
        <w:tabs>
          <w:tab w:val="left" w:pos="567"/>
        </w:tabs>
        <w:rPr>
          <w:lang w:val="fr-FR"/>
        </w:rPr>
      </w:pPr>
    </w:p>
    <w:p w:rsidR="005A7F6B" w:rsidRPr="00431D28" w:rsidRDefault="00133F0C" w:rsidP="00133F0C">
      <w:pPr>
        <w:tabs>
          <w:tab w:val="left" w:pos="851"/>
        </w:tabs>
        <w:rPr>
          <w:snapToGrid w:val="0"/>
          <w:lang w:val="fr-FR"/>
        </w:rPr>
      </w:pPr>
      <w:r w:rsidRPr="00431D28">
        <w:rPr>
          <w:lang w:val="fr-FR"/>
        </w:rPr>
        <w:t>2.2.2.2</w:t>
      </w:r>
      <w:r w:rsidRPr="00431D28">
        <w:rPr>
          <w:lang w:val="fr-FR"/>
        </w:rPr>
        <w:tab/>
        <w:t>L’efficacité du système de l’UPOV est renforcée par la mise à disposition de matériels d'orientation et d’information tels que les notes explicatives (dans la série “UPOV/EXN”), les documents d’information (dans la série “UPOV/INF”), l’</w:t>
      </w:r>
      <w:r w:rsidRPr="00431D28">
        <w:rPr>
          <w:i/>
          <w:lang w:val="fr-FR"/>
        </w:rPr>
        <w:t>Introduction générale à l’examen de la distinction, de l’homogénéité et de la stabilité et à l’harmonisation des descriptions des obtentions végétales</w:t>
      </w:r>
      <w:r w:rsidRPr="00431D28">
        <w:rPr>
          <w:lang w:val="fr-FR"/>
        </w:rPr>
        <w:t>, assortie de documents TGP et de principes directeurs d’examen.</w:t>
      </w:r>
      <w:r w:rsidR="00421639" w:rsidRPr="00431D28">
        <w:rPr>
          <w:snapToGrid w:val="0"/>
          <w:lang w:val="fr-FR"/>
        </w:rPr>
        <w:t xml:space="preserve">  </w:t>
      </w:r>
      <w:r w:rsidRPr="00431D28">
        <w:rPr>
          <w:snapToGrid w:val="0"/>
          <w:lang w:val="fr-FR"/>
        </w:rPr>
        <w:t>Ces documents jettent les bases de l’harmonisation et, par conséquent, favorisent la coopération entre les membres de l’Union.</w:t>
      </w:r>
      <w:r w:rsidR="00421639" w:rsidRPr="00431D28">
        <w:rPr>
          <w:snapToGrid w:val="0"/>
          <w:lang w:val="fr-FR"/>
        </w:rPr>
        <w:t xml:space="preserve">  </w:t>
      </w:r>
      <w:r w:rsidRPr="00431D28">
        <w:rPr>
          <w:snapToGrid w:val="0"/>
          <w:lang w:val="fr-FR"/>
        </w:rPr>
        <w:t>Le recensement des questions pertinentes à des fins d’orientation et l’élaboration de documents appropriés continuent d’être un objectif fondamental des travaux du Comité administratif et juridique (CAJ), du Comité technique (TC) et des groupes de travail techniques (TWP).</w:t>
      </w:r>
      <w:r w:rsidR="00421639" w:rsidRPr="00431D28">
        <w:rPr>
          <w:snapToGrid w:val="0"/>
          <w:lang w:val="fr-FR"/>
        </w:rPr>
        <w:t xml:space="preserve">  </w:t>
      </w:r>
      <w:r w:rsidRPr="00431D28">
        <w:rPr>
          <w:snapToGrid w:val="0"/>
          <w:lang w:val="fr-FR"/>
        </w:rPr>
        <w:t>À cet égard, la participation aux travaux d’organisations représentant les parties prenantes constitue un moyen essentiel de veiller à ce que l’orientation et l’information soient aussi efficaces que possible.</w:t>
      </w:r>
      <w:r w:rsidR="00421639" w:rsidRPr="00431D28">
        <w:rPr>
          <w:snapToGrid w:val="0"/>
          <w:lang w:val="fr-FR"/>
        </w:rPr>
        <w:t xml:space="preserve">  </w:t>
      </w:r>
    </w:p>
    <w:p w:rsidR="005A7F6B" w:rsidRPr="00431D28" w:rsidRDefault="005A7F6B" w:rsidP="00421639">
      <w:pPr>
        <w:tabs>
          <w:tab w:val="left" w:pos="567"/>
        </w:tabs>
        <w:rPr>
          <w:snapToGrid w:val="0"/>
          <w:lang w:val="fr-FR"/>
        </w:rPr>
      </w:pPr>
    </w:p>
    <w:p w:rsidR="005A7F6B" w:rsidRPr="00431D28" w:rsidRDefault="00133F0C" w:rsidP="009C1550">
      <w:pPr>
        <w:tabs>
          <w:tab w:val="left" w:pos="851"/>
        </w:tabs>
        <w:rPr>
          <w:lang w:val="fr-FR"/>
        </w:rPr>
      </w:pPr>
      <w:r w:rsidRPr="00431D28">
        <w:rPr>
          <w:bCs/>
          <w:szCs w:val="24"/>
          <w:lang w:val="fr-FR"/>
        </w:rPr>
        <w:t>2.2.2.3</w:t>
      </w:r>
      <w:r w:rsidRPr="00431D28">
        <w:rPr>
          <w:bCs/>
          <w:szCs w:val="24"/>
          <w:lang w:val="fr-FR"/>
        </w:rPr>
        <w:tab/>
        <w:t>Un aspect essentiel à l’efficacité du système de l’UPOV est que l’ensemble des parties prenantes, aussi bien les obtenteurs que les producteurs de semences et de plantes et les agriculteurs, comprennent bien ce qu’est le système de l’UPOV.</w:t>
      </w:r>
      <w:r w:rsidR="00421639" w:rsidRPr="00431D28">
        <w:rPr>
          <w:bCs/>
          <w:szCs w:val="24"/>
          <w:lang w:val="fr-FR"/>
        </w:rPr>
        <w:t xml:space="preserve">  </w:t>
      </w:r>
      <w:r w:rsidR="009C1550" w:rsidRPr="00431D28">
        <w:rPr>
          <w:bCs/>
          <w:szCs w:val="24"/>
          <w:lang w:val="fr-FR"/>
        </w:rPr>
        <w:t>Les matériels d’orientation et d’information élaborés par l’UPOV donnent aux parties prenantes une explication de ce système ainsi que des informations sur son fonctionnement.</w:t>
      </w:r>
      <w:r w:rsidR="00421639" w:rsidRPr="00431D28">
        <w:rPr>
          <w:bCs/>
          <w:szCs w:val="24"/>
          <w:lang w:val="fr-FR"/>
        </w:rPr>
        <w:t xml:space="preserve">  </w:t>
      </w:r>
      <w:r w:rsidR="009C1550" w:rsidRPr="00431D28">
        <w:rPr>
          <w:bCs/>
          <w:szCs w:val="24"/>
          <w:lang w:val="fr-FR"/>
        </w:rPr>
        <w:t>Le présent sous-programme comprend l’élaboration de méthodes et matériels de communication qui conviennent à une vaste gamme de parties prenantes.</w:t>
      </w:r>
      <w:r w:rsidR="00421639" w:rsidRPr="00431D28">
        <w:rPr>
          <w:bCs/>
          <w:szCs w:val="24"/>
          <w:lang w:val="fr-FR"/>
        </w:rPr>
        <w:t xml:space="preserve">  </w:t>
      </w:r>
    </w:p>
    <w:p w:rsidR="005A7F6B" w:rsidRPr="00431D28" w:rsidRDefault="005A7F6B" w:rsidP="00421639">
      <w:pPr>
        <w:tabs>
          <w:tab w:val="left" w:pos="567"/>
        </w:tabs>
        <w:rPr>
          <w:snapToGrid w:val="0"/>
          <w:lang w:val="fr-FR"/>
        </w:rPr>
      </w:pPr>
    </w:p>
    <w:p w:rsidR="005A7F6B" w:rsidRPr="00431D28" w:rsidRDefault="009C1550" w:rsidP="009C1550">
      <w:pPr>
        <w:tabs>
          <w:tab w:val="left" w:pos="567"/>
        </w:tabs>
        <w:rPr>
          <w:i/>
          <w:snapToGrid w:val="0"/>
          <w:lang w:val="fr-FR"/>
        </w:rPr>
      </w:pPr>
      <w:r w:rsidRPr="00431D28">
        <w:rPr>
          <w:i/>
          <w:snapToGrid w:val="0"/>
          <w:lang w:val="fr-FR"/>
        </w:rPr>
        <w:t>Coopération</w:t>
      </w:r>
    </w:p>
    <w:p w:rsidR="005A7F6B" w:rsidRPr="00431D28" w:rsidRDefault="005A7F6B" w:rsidP="00421639">
      <w:pPr>
        <w:tabs>
          <w:tab w:val="left" w:pos="567"/>
        </w:tabs>
        <w:rPr>
          <w:snapToGrid w:val="0"/>
          <w:lang w:val="fr-FR"/>
        </w:rPr>
      </w:pPr>
    </w:p>
    <w:p w:rsidR="005A7F6B" w:rsidRPr="00431D28" w:rsidRDefault="009C1550" w:rsidP="009C1550">
      <w:pPr>
        <w:tabs>
          <w:tab w:val="left" w:pos="851"/>
        </w:tabs>
        <w:rPr>
          <w:bCs/>
          <w:szCs w:val="24"/>
          <w:lang w:val="fr-FR"/>
        </w:rPr>
      </w:pPr>
      <w:r w:rsidRPr="00431D28">
        <w:rPr>
          <w:snapToGrid w:val="0"/>
          <w:lang w:val="fr-FR"/>
        </w:rPr>
        <w:t>2.2.2.4</w:t>
      </w:r>
      <w:r w:rsidRPr="00431D28">
        <w:rPr>
          <w:snapToGrid w:val="0"/>
          <w:lang w:val="fr-FR"/>
        </w:rPr>
        <w:tab/>
        <w:t>La coopération entre membres de l’Union est l’une des principales caractéristiques du système de l’UPOV et jette les bases d’un système efficace applicable à tous les genres et espèces végétaux.</w:t>
      </w:r>
      <w:r w:rsidR="00421639" w:rsidRPr="00431D28">
        <w:rPr>
          <w:bCs/>
          <w:szCs w:val="24"/>
          <w:lang w:val="fr-FR"/>
        </w:rPr>
        <w:t xml:space="preserve">  </w:t>
      </w:r>
      <w:r w:rsidRPr="00431D28">
        <w:rPr>
          <w:bCs/>
          <w:szCs w:val="24"/>
          <w:lang w:val="fr-FR"/>
        </w:rPr>
        <w:t>Une telle efficacité constitue un moyen essentiel de veiller à ce que le système de l’UPOV soit accessible et abordable pour tous les types d’obtenteurs.</w:t>
      </w:r>
    </w:p>
    <w:p w:rsidR="005A7F6B" w:rsidRPr="00431D28" w:rsidRDefault="005A7F6B" w:rsidP="00421639">
      <w:pPr>
        <w:tabs>
          <w:tab w:val="left" w:pos="851"/>
        </w:tabs>
        <w:rPr>
          <w:bCs/>
          <w:szCs w:val="24"/>
          <w:lang w:val="fr-FR"/>
        </w:rPr>
      </w:pPr>
    </w:p>
    <w:p w:rsidR="005A7F6B" w:rsidRPr="00431D28" w:rsidRDefault="009C1550" w:rsidP="00D24DA3">
      <w:pPr>
        <w:tabs>
          <w:tab w:val="left" w:pos="851"/>
        </w:tabs>
        <w:rPr>
          <w:bCs/>
          <w:szCs w:val="24"/>
          <w:lang w:val="fr-FR"/>
        </w:rPr>
      </w:pPr>
      <w:r w:rsidRPr="00431D28">
        <w:rPr>
          <w:bCs/>
          <w:szCs w:val="24"/>
          <w:lang w:val="fr-FR"/>
        </w:rPr>
        <w:t>2.2.2.5</w:t>
      </w:r>
      <w:r w:rsidRPr="00431D28">
        <w:rPr>
          <w:bCs/>
          <w:szCs w:val="24"/>
          <w:lang w:val="fr-FR"/>
        </w:rPr>
        <w:tab/>
        <w:t>La coopération au sein de l’UPOV repose dans une large mesure sur l’apport des membres de l’Union.</w:t>
      </w:r>
      <w:r w:rsidR="00421639" w:rsidRPr="00431D28">
        <w:rPr>
          <w:bCs/>
          <w:szCs w:val="24"/>
          <w:lang w:val="fr-FR"/>
        </w:rPr>
        <w:t xml:space="preserve">  </w:t>
      </w:r>
      <w:r w:rsidRPr="00431D28">
        <w:rPr>
          <w:bCs/>
          <w:szCs w:val="24"/>
          <w:lang w:val="fr-FR"/>
        </w:rPr>
        <w:t xml:space="preserve">Plus précisément, la coopération en matière d’examen DHS est fondée sur la participation des experts des membres de l’Union à l’élaboration des principes directeurs d’examen et sur la volonté des membres de l’Union de partager leur expérience pratique en ce qui </w:t>
      </w:r>
      <w:r w:rsidRPr="005C4304">
        <w:rPr>
          <w:bCs/>
          <w:szCs w:val="24"/>
          <w:lang w:val="fr-FR"/>
        </w:rPr>
        <w:t>concerne les genres et espèces végétaux particuliers, par exemple sous la forme de la base de données GENIE.</w:t>
      </w:r>
      <w:r w:rsidR="008E35A1" w:rsidRPr="005C4304">
        <w:rPr>
          <w:bCs/>
          <w:szCs w:val="24"/>
          <w:lang w:val="fr-FR"/>
        </w:rPr>
        <w:t xml:space="preserve">  </w:t>
      </w:r>
      <w:r w:rsidR="00D24DA3" w:rsidRPr="005C4304">
        <w:rPr>
          <w:bCs/>
          <w:szCs w:val="24"/>
          <w:lang w:val="fr-FR"/>
        </w:rPr>
        <w:t>L'établissement d'un modèle électronique pour les principes directeurs d'examen vise à aider les membres de l'Union dans le processus d'élaboration de ces principes.</w:t>
      </w:r>
      <w:r w:rsidR="00421639" w:rsidRPr="005C4304">
        <w:rPr>
          <w:bCs/>
          <w:szCs w:val="24"/>
          <w:lang w:val="fr-FR"/>
        </w:rPr>
        <w:t xml:space="preserve">  </w:t>
      </w:r>
      <w:r w:rsidR="00D24DA3" w:rsidRPr="005C4304">
        <w:rPr>
          <w:bCs/>
          <w:szCs w:val="24"/>
          <w:lang w:val="fr-FR"/>
        </w:rPr>
        <w:t>La fourniture par les membres de l’Union de données destinées à la base de données sur les variétés végétales (PLUTO) apporte une aide fondamentale dans le cadre de l’examen des dénominations variétales.</w:t>
      </w:r>
      <w:r w:rsidR="00421639" w:rsidRPr="005C4304">
        <w:rPr>
          <w:bCs/>
          <w:szCs w:val="24"/>
          <w:lang w:val="fr-FR"/>
        </w:rPr>
        <w:t xml:space="preserve">  </w:t>
      </w:r>
      <w:r w:rsidR="00D24DA3" w:rsidRPr="005C4304">
        <w:rPr>
          <w:bCs/>
          <w:szCs w:val="24"/>
          <w:lang w:val="fr-FR"/>
        </w:rPr>
        <w:t>Ces contributions sont renforcées par la fourniture de données par l’Organisation de coopération et de développement économiques (OCDE) et</w:t>
      </w:r>
      <w:r w:rsidR="00D24DA3" w:rsidRPr="00431D28">
        <w:rPr>
          <w:bCs/>
          <w:szCs w:val="24"/>
          <w:lang w:val="fr-FR"/>
        </w:rPr>
        <w:t xml:space="preserve"> par la conclusion d’accords de coopération entre l’UPOV et l’Organisation Mondiale de la Propriété Intellectuelle (OMPI) et entre l’UPOV et l’Office communautaire des variétés végétales (OCVV) de l’Union européenne.</w:t>
      </w:r>
      <w:r w:rsidR="00421639" w:rsidRPr="00431D28">
        <w:rPr>
          <w:bCs/>
          <w:szCs w:val="24"/>
          <w:lang w:val="fr-FR"/>
        </w:rPr>
        <w:t xml:space="preserve"> </w:t>
      </w:r>
      <w:r w:rsidR="006A7D31">
        <w:rPr>
          <w:bCs/>
          <w:szCs w:val="24"/>
          <w:lang w:val="fr-FR"/>
        </w:rPr>
        <w:t xml:space="preserve"> </w:t>
      </w:r>
      <w:r w:rsidR="00D24DA3" w:rsidRPr="00431D28">
        <w:rPr>
          <w:bCs/>
          <w:szCs w:val="24"/>
          <w:lang w:val="fr-FR"/>
        </w:rPr>
        <w:t>Le partage de logiciels, tels que DUST (Royaume-Uni) et GAIA et SIRIUS (France), constitue également un moyen important d’appui à l’examen des variétés.</w:t>
      </w:r>
      <w:r w:rsidR="00421639" w:rsidRPr="00431D28">
        <w:rPr>
          <w:bCs/>
          <w:szCs w:val="24"/>
          <w:lang w:val="fr-FR"/>
        </w:rPr>
        <w:t xml:space="preserve">  </w:t>
      </w:r>
    </w:p>
    <w:p w:rsidR="005A7F6B" w:rsidRPr="00431D28" w:rsidRDefault="005A7F6B" w:rsidP="00421639">
      <w:pPr>
        <w:tabs>
          <w:tab w:val="left" w:pos="851"/>
        </w:tabs>
        <w:rPr>
          <w:bCs/>
          <w:szCs w:val="24"/>
          <w:lang w:val="fr-FR"/>
        </w:rPr>
      </w:pPr>
    </w:p>
    <w:p w:rsidR="005A7F6B" w:rsidRPr="00431D28" w:rsidRDefault="00D24DA3" w:rsidP="00D24DA3">
      <w:pPr>
        <w:tabs>
          <w:tab w:val="left" w:pos="851"/>
        </w:tabs>
        <w:rPr>
          <w:bCs/>
          <w:szCs w:val="24"/>
          <w:lang w:val="fr-FR"/>
        </w:rPr>
      </w:pPr>
      <w:r w:rsidRPr="00431D28">
        <w:rPr>
          <w:bCs/>
          <w:szCs w:val="24"/>
          <w:lang w:val="fr-FR"/>
        </w:rPr>
        <w:t>2.2.2.6</w:t>
      </w:r>
      <w:r w:rsidRPr="00431D28">
        <w:rPr>
          <w:bCs/>
          <w:szCs w:val="24"/>
          <w:lang w:val="fr-FR"/>
        </w:rPr>
        <w:tab/>
        <w:t>Afin de faire mieux connaître le système de l’UPOV, les membres de l’Union fournissent des ressources extrabudgétaires supplémentaires en vue de mettre à disposition des documents dans des langues autres que celles utilisées au sein de l’UPOV (allemand, anglais, espagnol et français).</w:t>
      </w:r>
      <w:r w:rsidR="00421639" w:rsidRPr="00431D28">
        <w:rPr>
          <w:lang w:val="fr-FR"/>
        </w:rPr>
        <w:t xml:space="preserve">  </w:t>
      </w:r>
      <w:r w:rsidRPr="00431D28">
        <w:rPr>
          <w:lang w:val="fr-FR"/>
        </w:rPr>
        <w:t>Parmi ces initiatives, il convient de noter le lancement par la Fédération de Russie d’un site Web en langue russe et le financement par le Japon de la traduction de matériels de l’UPOV dans le cadre du fonds fiduciaire japonais.</w:t>
      </w:r>
      <w:r w:rsidR="00421639" w:rsidRPr="00431D28">
        <w:rPr>
          <w:lang w:val="fr-FR"/>
        </w:rPr>
        <w:t xml:space="preserve"> </w:t>
      </w:r>
    </w:p>
    <w:p w:rsidR="005A7F6B" w:rsidRPr="00431D28" w:rsidRDefault="005A7F6B" w:rsidP="00421639">
      <w:pPr>
        <w:rPr>
          <w:bCs/>
          <w:szCs w:val="24"/>
          <w:lang w:val="fr-FR"/>
        </w:rPr>
      </w:pPr>
    </w:p>
    <w:p w:rsidR="005A7F6B" w:rsidRPr="00431D28" w:rsidRDefault="00D24DA3" w:rsidP="00D24DA3">
      <w:pPr>
        <w:keepNext/>
        <w:rPr>
          <w:bCs/>
          <w:i/>
          <w:szCs w:val="24"/>
          <w:lang w:val="fr-FR"/>
        </w:rPr>
      </w:pPr>
      <w:r w:rsidRPr="00431D28">
        <w:rPr>
          <w:bCs/>
          <w:i/>
          <w:szCs w:val="24"/>
          <w:lang w:val="fr-FR"/>
        </w:rPr>
        <w:t>Facilitation du dépôt de demandes de droits d’obtenteur</w:t>
      </w:r>
    </w:p>
    <w:p w:rsidR="005A7F6B" w:rsidRPr="00431D28" w:rsidRDefault="005A7F6B" w:rsidP="00421639">
      <w:pPr>
        <w:keepNext/>
        <w:rPr>
          <w:bCs/>
          <w:szCs w:val="24"/>
          <w:lang w:val="fr-FR"/>
        </w:rPr>
      </w:pPr>
    </w:p>
    <w:p w:rsidR="005A7F6B" w:rsidRPr="00431D28" w:rsidRDefault="00D24DA3" w:rsidP="00D24DA3">
      <w:pPr>
        <w:tabs>
          <w:tab w:val="left" w:pos="851"/>
        </w:tabs>
        <w:rPr>
          <w:bCs/>
          <w:szCs w:val="24"/>
          <w:lang w:val="fr-FR"/>
        </w:rPr>
      </w:pPr>
      <w:r w:rsidRPr="00431D28">
        <w:rPr>
          <w:bCs/>
          <w:szCs w:val="24"/>
          <w:lang w:val="fr-FR"/>
        </w:rPr>
        <w:t>2.2.2.7</w:t>
      </w:r>
      <w:r w:rsidRPr="00431D28">
        <w:rPr>
          <w:bCs/>
          <w:szCs w:val="24"/>
          <w:lang w:val="fr-FR"/>
        </w:rPr>
        <w:tab/>
      </w:r>
      <w:r w:rsidRPr="005C4304">
        <w:rPr>
          <w:bCs/>
          <w:szCs w:val="24"/>
          <w:lang w:val="fr-FR"/>
        </w:rPr>
        <w:t>Les initiatives visant à faciliter le dépôt de demandes, telles que les formulaires de demande et les renvois de l'UPOV normalisés</w:t>
      </w:r>
      <w:r w:rsidRPr="00431D28">
        <w:rPr>
          <w:bCs/>
          <w:szCs w:val="24"/>
          <w:lang w:val="fr-FR"/>
        </w:rPr>
        <w:t>, ainsi que la coopération entre les membres de l’Union en matière de mise au point de systèmes de dépôt des demandes par voie électronique, présentent des avantages directs pour les déposants.</w:t>
      </w:r>
      <w:r w:rsidR="00421639" w:rsidRPr="00431D28">
        <w:rPr>
          <w:bCs/>
          <w:szCs w:val="24"/>
          <w:lang w:val="fr-FR"/>
        </w:rPr>
        <w:t xml:space="preserve">  </w:t>
      </w:r>
    </w:p>
    <w:p w:rsidR="005A7F6B" w:rsidRPr="00431D28" w:rsidRDefault="005A7F6B" w:rsidP="00421639">
      <w:pPr>
        <w:rPr>
          <w:bCs/>
          <w:szCs w:val="24"/>
          <w:lang w:val="fr-FR"/>
        </w:rPr>
      </w:pPr>
    </w:p>
    <w:p w:rsidR="005A7F6B" w:rsidRPr="00431D28" w:rsidRDefault="00D24DA3" w:rsidP="00D24DA3">
      <w:pPr>
        <w:rPr>
          <w:b/>
          <w:lang w:val="fr-FR"/>
        </w:rPr>
      </w:pPr>
      <w:r w:rsidRPr="00431D28">
        <w:rPr>
          <w:b/>
          <w:lang w:val="fr-FR"/>
        </w:rPr>
        <w:t>2.2.3</w:t>
      </w:r>
      <w:r w:rsidRPr="00431D28">
        <w:rPr>
          <w:b/>
          <w:lang w:val="fr-FR"/>
        </w:rPr>
        <w:tab/>
        <w:t>Activités</w:t>
      </w:r>
    </w:p>
    <w:p w:rsidR="005A7F6B" w:rsidRPr="00431D28" w:rsidRDefault="005A7F6B" w:rsidP="00421639">
      <w:pPr>
        <w:rPr>
          <w:lang w:val="fr-FR"/>
        </w:rPr>
      </w:pPr>
    </w:p>
    <w:p w:rsidR="005A7F6B" w:rsidRPr="00431D28" w:rsidRDefault="006A7D31" w:rsidP="006716BE">
      <w:pPr>
        <w:numPr>
          <w:ilvl w:val="0"/>
          <w:numId w:val="9"/>
        </w:numPr>
        <w:tabs>
          <w:tab w:val="clear" w:pos="720"/>
        </w:tabs>
        <w:spacing w:after="120"/>
        <w:ind w:left="1134" w:hanging="567"/>
        <w:rPr>
          <w:lang w:val="fr-FR"/>
        </w:rPr>
      </w:pPr>
      <w:r>
        <w:rPr>
          <w:lang w:val="fr-FR"/>
        </w:rPr>
        <w:t>Quatre </w:t>
      </w:r>
      <w:r w:rsidR="006716BE" w:rsidRPr="00431D28">
        <w:rPr>
          <w:lang w:val="fr-FR"/>
        </w:rPr>
        <w:t>sessions du Comité administratif et juridique, deux sessions du Comité technique, 11 sessions des groupes de travail techniques, y compris une session du Groupe de travail sur les techniques biochimiques et moléculaires, notamment les profils d’ADN (BMT), ainsi que les ateliers préparatoires correspondants.</w:t>
      </w:r>
    </w:p>
    <w:p w:rsidR="005A7F6B" w:rsidRPr="00431D28" w:rsidRDefault="006716BE" w:rsidP="006716BE">
      <w:pPr>
        <w:numPr>
          <w:ilvl w:val="0"/>
          <w:numId w:val="9"/>
        </w:numPr>
        <w:tabs>
          <w:tab w:val="clear" w:pos="720"/>
        </w:tabs>
        <w:spacing w:after="120"/>
        <w:ind w:left="1134" w:hanging="567"/>
        <w:rPr>
          <w:lang w:val="fr-FR"/>
        </w:rPr>
      </w:pPr>
      <w:r w:rsidRPr="00431D28">
        <w:rPr>
          <w:lang w:val="fr-FR"/>
        </w:rPr>
        <w:t>Élaboration de matériels d’orientation et d’information, y compris des notes explicatives et des documents d’information, au sujet de la Convention UPOV.</w:t>
      </w:r>
    </w:p>
    <w:p w:rsidR="005A7F6B" w:rsidRPr="00431D28" w:rsidRDefault="006716BE" w:rsidP="006716BE">
      <w:pPr>
        <w:numPr>
          <w:ilvl w:val="0"/>
          <w:numId w:val="9"/>
        </w:numPr>
        <w:tabs>
          <w:tab w:val="clear" w:pos="720"/>
        </w:tabs>
        <w:spacing w:after="120"/>
        <w:ind w:left="1134" w:hanging="567"/>
        <w:rPr>
          <w:lang w:val="fr-FR"/>
        </w:rPr>
      </w:pPr>
      <w:r w:rsidRPr="00431D28">
        <w:rPr>
          <w:lang w:val="fr-FR"/>
        </w:rPr>
        <w:t>Élaboration et diffusion de matériels d’information à l’intention des parties prenantes, y compris les obtenteurs, les producteurs de semences et de plantes et les agriculteurs.</w:t>
      </w:r>
    </w:p>
    <w:p w:rsidR="005A7F6B" w:rsidRPr="00431D28" w:rsidRDefault="006716BE" w:rsidP="006716BE">
      <w:pPr>
        <w:numPr>
          <w:ilvl w:val="0"/>
          <w:numId w:val="9"/>
        </w:numPr>
        <w:tabs>
          <w:tab w:val="clear" w:pos="720"/>
        </w:tabs>
        <w:spacing w:after="120"/>
        <w:ind w:left="1134" w:hanging="567"/>
        <w:rPr>
          <w:lang w:val="fr-FR"/>
        </w:rPr>
      </w:pPr>
      <w:r w:rsidRPr="00431D28">
        <w:rPr>
          <w:lang w:val="fr-FR"/>
        </w:rPr>
        <w:t>Continuation de l'élaboration de documents d’orientation concernant l’examen de la distinction, de l’homogénéité et de la stabilité (“DHS”), y compris l</w:t>
      </w:r>
      <w:r w:rsidRPr="00431D28">
        <w:rPr>
          <w:i/>
          <w:lang w:val="fr-FR"/>
        </w:rPr>
        <w:t>’Introduction générale à l’examen de la distinction, de l’homogénéité et de la stabilité et à l’harmonisation des descriptions des obtentions végétales</w:t>
      </w:r>
      <w:r w:rsidRPr="00431D28">
        <w:rPr>
          <w:lang w:val="fr-FR"/>
        </w:rPr>
        <w:t xml:space="preserve"> (Introduction générale), ainsi que des documents connexes relatifs aux procédures applicables aux principes directeurs d’examen (TGP).</w:t>
      </w:r>
    </w:p>
    <w:p w:rsidR="005A7F6B" w:rsidRPr="00431D28" w:rsidRDefault="006716BE" w:rsidP="006716BE">
      <w:pPr>
        <w:numPr>
          <w:ilvl w:val="0"/>
          <w:numId w:val="9"/>
        </w:numPr>
        <w:tabs>
          <w:tab w:val="clear" w:pos="720"/>
        </w:tabs>
        <w:spacing w:after="120"/>
        <w:ind w:left="1134" w:hanging="567"/>
        <w:rPr>
          <w:lang w:val="fr-FR"/>
        </w:rPr>
      </w:pPr>
      <w:r w:rsidRPr="00431D28">
        <w:rPr>
          <w:lang w:val="fr-FR"/>
        </w:rPr>
        <w:t>Élaboration de principes directeurs d’examen.</w:t>
      </w:r>
    </w:p>
    <w:p w:rsidR="005A7F6B" w:rsidRPr="00431D28" w:rsidRDefault="006716BE" w:rsidP="006716BE">
      <w:pPr>
        <w:numPr>
          <w:ilvl w:val="0"/>
          <w:numId w:val="9"/>
        </w:numPr>
        <w:tabs>
          <w:tab w:val="clear" w:pos="720"/>
        </w:tabs>
        <w:spacing w:after="120"/>
        <w:ind w:left="1134" w:hanging="567"/>
        <w:rPr>
          <w:lang w:val="fr-FR"/>
        </w:rPr>
      </w:pPr>
      <w:r w:rsidRPr="00431D28">
        <w:rPr>
          <w:lang w:val="fr-FR"/>
        </w:rPr>
        <w:t>Évaluation de nouvelles méthodes d’examen de la distinction, de l’homogénéité et de la stabilité (DHS).</w:t>
      </w:r>
    </w:p>
    <w:p w:rsidR="005A7F6B" w:rsidRPr="00431D28" w:rsidRDefault="006716BE" w:rsidP="006716BE">
      <w:pPr>
        <w:numPr>
          <w:ilvl w:val="0"/>
          <w:numId w:val="9"/>
        </w:numPr>
        <w:tabs>
          <w:tab w:val="clear" w:pos="720"/>
        </w:tabs>
        <w:spacing w:after="120"/>
        <w:ind w:left="1134" w:hanging="567"/>
        <w:rPr>
          <w:lang w:val="fr-FR"/>
        </w:rPr>
      </w:pPr>
      <w:r w:rsidRPr="00431D28">
        <w:rPr>
          <w:lang w:val="fr-FR"/>
        </w:rPr>
        <w:t>Examen de l’utilisation possible des marqueurs moléculaires dans l’examen DHS et définition d’un cadre d’examen de leur utilisation dans l’identification des variétés et dans la détermination des variétés essentiellement dérivées.</w:t>
      </w:r>
    </w:p>
    <w:p w:rsidR="005A7F6B" w:rsidRPr="00431D28" w:rsidRDefault="006716BE" w:rsidP="006716BE">
      <w:pPr>
        <w:keepLines/>
        <w:numPr>
          <w:ilvl w:val="0"/>
          <w:numId w:val="9"/>
        </w:numPr>
        <w:tabs>
          <w:tab w:val="clear" w:pos="720"/>
        </w:tabs>
        <w:spacing w:after="120"/>
        <w:ind w:left="1134" w:hanging="567"/>
        <w:rPr>
          <w:lang w:val="fr-FR"/>
        </w:rPr>
      </w:pPr>
      <w:r w:rsidRPr="00431D28">
        <w:rPr>
          <w:lang w:val="fr-FR"/>
        </w:rPr>
        <w:t>Actualisation et mise au point de la base de données sur les variétés végétales (PLUTO).</w:t>
      </w:r>
    </w:p>
    <w:p w:rsidR="005A7F6B" w:rsidRPr="00431D28" w:rsidRDefault="006716BE" w:rsidP="006716BE">
      <w:pPr>
        <w:keepLines/>
        <w:numPr>
          <w:ilvl w:val="0"/>
          <w:numId w:val="9"/>
        </w:numPr>
        <w:tabs>
          <w:tab w:val="clear" w:pos="720"/>
        </w:tabs>
        <w:spacing w:after="120"/>
        <w:ind w:left="1134" w:hanging="567"/>
        <w:rPr>
          <w:lang w:val="fr-FR"/>
        </w:rPr>
      </w:pPr>
      <w:r w:rsidRPr="00431D28">
        <w:rPr>
          <w:lang w:val="fr-FR"/>
        </w:rPr>
        <w:t>Actualisation de la base de données GENIE.</w:t>
      </w:r>
    </w:p>
    <w:p w:rsidR="005A7F6B" w:rsidRPr="00431D28" w:rsidRDefault="006716BE" w:rsidP="006716BE">
      <w:pPr>
        <w:keepLines/>
        <w:numPr>
          <w:ilvl w:val="0"/>
          <w:numId w:val="9"/>
        </w:numPr>
        <w:tabs>
          <w:tab w:val="clear" w:pos="720"/>
        </w:tabs>
        <w:spacing w:after="120"/>
        <w:ind w:left="1134" w:hanging="567"/>
        <w:rPr>
          <w:lang w:val="fr-FR"/>
        </w:rPr>
      </w:pPr>
      <w:r w:rsidRPr="00431D28">
        <w:rPr>
          <w:lang w:val="fr-FR"/>
        </w:rPr>
        <w:t>Mise à jour de la collection UPOV Lex relative aux lois et notifications correspondantes.</w:t>
      </w:r>
    </w:p>
    <w:p w:rsidR="005A7F6B" w:rsidRPr="00431D28" w:rsidRDefault="006716BE" w:rsidP="006716BE">
      <w:pPr>
        <w:keepLines/>
        <w:numPr>
          <w:ilvl w:val="0"/>
          <w:numId w:val="9"/>
        </w:numPr>
        <w:tabs>
          <w:tab w:val="clear" w:pos="720"/>
        </w:tabs>
        <w:spacing w:after="120"/>
        <w:ind w:left="1134" w:hanging="567"/>
        <w:rPr>
          <w:lang w:val="fr-FR"/>
        </w:rPr>
      </w:pPr>
      <w:r w:rsidRPr="00431D28">
        <w:rPr>
          <w:lang w:val="fr-FR"/>
        </w:rPr>
        <w:t>Mise à jour de la Collection de l’UPOV.</w:t>
      </w:r>
    </w:p>
    <w:p w:rsidR="005A7F6B" w:rsidRPr="00431D28" w:rsidRDefault="006716BE" w:rsidP="006716BE">
      <w:pPr>
        <w:keepLines/>
        <w:numPr>
          <w:ilvl w:val="0"/>
          <w:numId w:val="9"/>
        </w:numPr>
        <w:tabs>
          <w:tab w:val="clear" w:pos="720"/>
        </w:tabs>
        <w:spacing w:after="120"/>
        <w:ind w:left="1134" w:hanging="567"/>
        <w:rPr>
          <w:lang w:val="fr-FR"/>
        </w:rPr>
      </w:pPr>
      <w:r w:rsidRPr="00431D28">
        <w:rPr>
          <w:lang w:val="fr-FR"/>
        </w:rPr>
        <w:t>Élaboration d’un formulaire de demande électronique.</w:t>
      </w:r>
    </w:p>
    <w:p w:rsidR="005A7F6B" w:rsidRPr="005C4304" w:rsidRDefault="00A834EC" w:rsidP="00A834EC">
      <w:pPr>
        <w:numPr>
          <w:ilvl w:val="0"/>
          <w:numId w:val="9"/>
        </w:numPr>
        <w:tabs>
          <w:tab w:val="clear" w:pos="720"/>
        </w:tabs>
        <w:spacing w:after="120"/>
        <w:ind w:left="1134" w:hanging="567"/>
        <w:rPr>
          <w:lang w:val="fr-FR"/>
        </w:rPr>
      </w:pPr>
      <w:r w:rsidRPr="005C4304">
        <w:rPr>
          <w:lang w:val="fr-FR"/>
        </w:rPr>
        <w:t>Mise au point d'un modèle électronique pour les principes directeurs d'examen.</w:t>
      </w:r>
    </w:p>
    <w:p w:rsidR="005A7F6B" w:rsidRPr="00431D28" w:rsidRDefault="00A834EC" w:rsidP="00A834EC">
      <w:pPr>
        <w:numPr>
          <w:ilvl w:val="0"/>
          <w:numId w:val="9"/>
        </w:numPr>
        <w:tabs>
          <w:tab w:val="clear" w:pos="720"/>
        </w:tabs>
        <w:spacing w:after="120"/>
        <w:ind w:left="1134" w:hanging="567"/>
        <w:rPr>
          <w:lang w:val="fr-FR"/>
        </w:rPr>
      </w:pPr>
      <w:r w:rsidRPr="00431D28">
        <w:rPr>
          <w:lang w:val="fr-FR"/>
        </w:rPr>
        <w:t>Séminaires ou colloques sur des thèmes pertinents parallèlement aux sessions de l’UPOV.</w:t>
      </w:r>
    </w:p>
    <w:p w:rsidR="005A7F6B" w:rsidRPr="00431D28" w:rsidRDefault="00A834EC" w:rsidP="00A834EC">
      <w:pPr>
        <w:numPr>
          <w:ilvl w:val="0"/>
          <w:numId w:val="9"/>
        </w:numPr>
        <w:tabs>
          <w:tab w:val="clear" w:pos="720"/>
        </w:tabs>
        <w:spacing w:after="120"/>
        <w:ind w:left="1134" w:hanging="567"/>
        <w:rPr>
          <w:lang w:val="fr-FR"/>
        </w:rPr>
      </w:pPr>
      <w:r w:rsidRPr="00431D28">
        <w:rPr>
          <w:lang w:val="fr-FR"/>
        </w:rPr>
        <w:t>Mise à jour et mise au point du site Web de l’UPOV et d’autres moyens de communication.</w:t>
      </w:r>
      <w:r w:rsidR="00421639" w:rsidRPr="00431D28">
        <w:rPr>
          <w:lang w:val="fr-FR"/>
        </w:rPr>
        <w:t xml:space="preserve">  </w:t>
      </w:r>
    </w:p>
    <w:p w:rsidR="005A7F6B" w:rsidRPr="00431D28" w:rsidRDefault="005A7F6B" w:rsidP="00421639">
      <w:pPr>
        <w:rPr>
          <w:b/>
          <w:color w:val="000000"/>
          <w:lang w:val="fr-FR"/>
        </w:rPr>
      </w:pPr>
    </w:p>
    <w:p w:rsidR="005A7F6B" w:rsidRPr="00431D28" w:rsidRDefault="00A834EC" w:rsidP="00A834EC">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fr-FR"/>
        </w:rPr>
      </w:pPr>
      <w:r w:rsidRPr="00431D28">
        <w:rPr>
          <w:b/>
          <w:lang w:val="fr-FR"/>
        </w:rPr>
        <w:t>2.2.4</w:t>
      </w:r>
      <w:r w:rsidRPr="00431D28">
        <w:rPr>
          <w:b/>
          <w:lang w:val="fr-FR"/>
        </w:rPr>
        <w:tab/>
        <w:t>Résultats escomptés et indicateurs d'exécution</w:t>
      </w:r>
    </w:p>
    <w:p w:rsidR="00421639" w:rsidRPr="00431D28" w:rsidRDefault="00421639" w:rsidP="00421639">
      <w:pPr>
        <w:keepNext/>
        <w:rPr>
          <w:b/>
          <w:lang w:val="fr-FR"/>
        </w:rPr>
      </w:pPr>
    </w:p>
    <w:tbl>
      <w:tblPr>
        <w:tblW w:w="9889" w:type="dxa"/>
        <w:tblInd w:w="-103" w:type="dxa"/>
        <w:tblLayout w:type="fixed"/>
        <w:tblCellMar>
          <w:left w:w="0" w:type="dxa"/>
          <w:right w:w="0" w:type="dxa"/>
        </w:tblCellMar>
        <w:tblLook w:val="0000" w:firstRow="0" w:lastRow="0" w:firstColumn="0" w:lastColumn="0" w:noHBand="0" w:noVBand="0"/>
      </w:tblPr>
      <w:tblGrid>
        <w:gridCol w:w="4643"/>
        <w:gridCol w:w="5246"/>
      </w:tblGrid>
      <w:tr w:rsidR="009A663A" w:rsidRPr="00431D28"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431D28" w:rsidRDefault="00A834EC" w:rsidP="00A834EC">
            <w:pPr>
              <w:keepNext/>
              <w:widowControl w:val="0"/>
              <w:spacing w:before="120" w:after="120"/>
              <w:jc w:val="center"/>
              <w:rPr>
                <w:u w:val="single"/>
                <w:lang w:val="fr-FR"/>
              </w:rPr>
            </w:pPr>
            <w:r w:rsidRPr="00431D28">
              <w:rPr>
                <w:u w:val="single"/>
                <w:lang w:val="fr-FR"/>
              </w:rPr>
              <w:t>Résultats escomptés</w:t>
            </w:r>
          </w:p>
        </w:tc>
        <w:tc>
          <w:tcPr>
            <w:tcW w:w="5246" w:type="dxa"/>
            <w:tcBorders>
              <w:top w:val="single" w:sz="4" w:space="0" w:color="000000"/>
              <w:left w:val="single" w:sz="4" w:space="0" w:color="000000"/>
              <w:bottom w:val="single" w:sz="4" w:space="0" w:color="000000"/>
              <w:right w:val="single" w:sz="4" w:space="0" w:color="000000"/>
            </w:tcBorders>
          </w:tcPr>
          <w:p w:rsidR="00421639" w:rsidRPr="00431D28" w:rsidRDefault="00A834EC" w:rsidP="00A834EC">
            <w:pPr>
              <w:keepNext/>
              <w:widowControl w:val="0"/>
              <w:spacing w:before="120" w:after="120"/>
              <w:jc w:val="center"/>
              <w:rPr>
                <w:u w:val="single"/>
                <w:lang w:val="fr-FR"/>
              </w:rPr>
            </w:pPr>
            <w:r w:rsidRPr="00431D28">
              <w:rPr>
                <w:u w:val="single"/>
                <w:lang w:val="fr-FR"/>
              </w:rPr>
              <w:t>Indicateurs d’exécution</w:t>
            </w:r>
          </w:p>
        </w:tc>
      </w:tr>
      <w:tr w:rsidR="009A663A" w:rsidRPr="00431D28"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431D28" w:rsidRDefault="00A834EC" w:rsidP="00A834EC">
            <w:pPr>
              <w:keepNext/>
              <w:widowControl w:val="0"/>
              <w:spacing w:before="60" w:after="60"/>
              <w:ind w:left="108"/>
              <w:jc w:val="left"/>
              <w:rPr>
                <w:lang w:val="fr-FR"/>
              </w:rPr>
            </w:pPr>
            <w:r w:rsidRPr="00431D28">
              <w:rPr>
                <w:lang w:val="fr-FR"/>
              </w:rPr>
              <w:t>1.</w:t>
            </w:r>
            <w:r w:rsidRPr="00431D28">
              <w:rPr>
                <w:lang w:val="fr-FR"/>
              </w:rPr>
              <w:tab/>
              <w:t>Orientations au sujet de la Convention UPOV et sa mise en œuvre et informations sur son application</w:t>
            </w:r>
          </w:p>
        </w:tc>
        <w:tc>
          <w:tcPr>
            <w:tcW w:w="5246" w:type="dxa"/>
            <w:tcBorders>
              <w:top w:val="single" w:sz="4" w:space="0" w:color="000000"/>
              <w:left w:val="single" w:sz="4" w:space="0" w:color="000000"/>
              <w:bottom w:val="single" w:sz="4" w:space="0" w:color="000000"/>
              <w:right w:val="single" w:sz="4" w:space="0" w:color="000000"/>
            </w:tcBorders>
          </w:tcPr>
          <w:p w:rsidR="005A7F6B" w:rsidRPr="00431D28" w:rsidRDefault="00A834EC" w:rsidP="00A834EC">
            <w:pPr>
              <w:keepNext/>
              <w:widowControl w:val="0"/>
              <w:spacing w:before="60" w:after="60"/>
              <w:ind w:left="143"/>
              <w:jc w:val="left"/>
              <w:rPr>
                <w:lang w:val="fr-FR"/>
              </w:rPr>
            </w:pPr>
            <w:r w:rsidRPr="00431D28">
              <w:rPr>
                <w:lang w:val="fr-FR"/>
              </w:rPr>
              <w:t>a)</w:t>
            </w:r>
            <w:r w:rsidRPr="00431D28">
              <w:rPr>
                <w:lang w:val="fr-FR"/>
              </w:rPr>
              <w:tab/>
              <w:t>adoption de matériels d’information nouveaux ou révisés concernant la Convention UPOV;</w:t>
            </w:r>
          </w:p>
          <w:p w:rsidR="005A7F6B" w:rsidRPr="00431D28" w:rsidRDefault="00A834EC" w:rsidP="00A834EC">
            <w:pPr>
              <w:keepNext/>
              <w:widowControl w:val="0"/>
              <w:spacing w:before="60" w:after="60"/>
              <w:ind w:left="143"/>
              <w:jc w:val="left"/>
              <w:rPr>
                <w:lang w:val="fr-FR"/>
              </w:rPr>
            </w:pPr>
            <w:r w:rsidRPr="00431D28">
              <w:rPr>
                <w:lang w:val="fr-FR"/>
              </w:rPr>
              <w:t>b)</w:t>
            </w:r>
            <w:r w:rsidRPr="00431D28">
              <w:rPr>
                <w:lang w:val="fr-FR"/>
              </w:rPr>
              <w:tab/>
              <w:t>élaboration et diffusion de matériels d’information à l’intention des parties prenantes, y compris les obtenteurs, les producteurs de semences et de plantes et les agriculteurs;</w:t>
            </w:r>
          </w:p>
          <w:p w:rsidR="005A7F6B" w:rsidRPr="00431D28" w:rsidRDefault="00A834EC" w:rsidP="00A834EC">
            <w:pPr>
              <w:keepNext/>
              <w:widowControl w:val="0"/>
              <w:spacing w:before="60" w:after="60"/>
              <w:ind w:left="143"/>
              <w:jc w:val="left"/>
              <w:rPr>
                <w:lang w:val="fr-FR"/>
              </w:rPr>
            </w:pPr>
            <w:r w:rsidRPr="00431D28">
              <w:rPr>
                <w:lang w:val="fr-FR"/>
              </w:rPr>
              <w:t>c)</w:t>
            </w:r>
            <w:r w:rsidRPr="00431D28">
              <w:rPr>
                <w:lang w:val="fr-FR"/>
              </w:rPr>
              <w:tab/>
              <w:t xml:space="preserve">publication de la </w:t>
            </w:r>
            <w:r w:rsidRPr="00431D28">
              <w:rPr>
                <w:i/>
                <w:lang w:val="fr-FR"/>
              </w:rPr>
              <w:t xml:space="preserve">Gazette and Newsletter </w:t>
            </w:r>
            <w:r w:rsidRPr="00431D28">
              <w:rPr>
                <w:lang w:val="fr-FR"/>
              </w:rPr>
              <w:t>de l’UPOV;</w:t>
            </w:r>
          </w:p>
          <w:p w:rsidR="005A7F6B" w:rsidRPr="00431D28" w:rsidRDefault="00A834EC" w:rsidP="00A834EC">
            <w:pPr>
              <w:keepNext/>
              <w:widowControl w:val="0"/>
              <w:spacing w:before="60" w:after="60"/>
              <w:ind w:left="143"/>
              <w:jc w:val="left"/>
              <w:rPr>
                <w:lang w:val="fr-FR"/>
              </w:rPr>
            </w:pPr>
            <w:r w:rsidRPr="00431D28">
              <w:rPr>
                <w:lang w:val="fr-FR"/>
              </w:rPr>
              <w:t>d)</w:t>
            </w:r>
            <w:r w:rsidRPr="00431D28">
              <w:rPr>
                <w:lang w:val="fr-FR"/>
              </w:rPr>
              <w:tab/>
              <w:t>incorporation de lois et notifications pertinentes de membres de l’Union dans l’UPOV Lex;</w:t>
            </w:r>
          </w:p>
          <w:p w:rsidR="00421639" w:rsidRPr="00431D28" w:rsidRDefault="00A834EC" w:rsidP="00A834EC">
            <w:pPr>
              <w:keepNext/>
              <w:widowControl w:val="0"/>
              <w:spacing w:before="60" w:after="60"/>
              <w:ind w:left="143"/>
              <w:jc w:val="left"/>
              <w:rPr>
                <w:lang w:val="fr-FR"/>
              </w:rPr>
            </w:pPr>
            <w:r w:rsidRPr="00431D28">
              <w:rPr>
                <w:lang w:val="fr-FR"/>
              </w:rPr>
              <w:t>e)</w:t>
            </w:r>
            <w:r w:rsidRPr="00431D28">
              <w:rPr>
                <w:lang w:val="fr-FR"/>
              </w:rPr>
              <w:tab/>
              <w:t>participation à des séminaires et colloques organisés à Genève parallèlement aux sessions de l’UPOV.</w:t>
            </w:r>
          </w:p>
        </w:tc>
      </w:tr>
      <w:tr w:rsidR="009A663A" w:rsidRPr="00431D28"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431D28" w:rsidRDefault="00A834EC" w:rsidP="00A834EC">
            <w:pPr>
              <w:widowControl w:val="0"/>
              <w:spacing w:before="60" w:after="60"/>
              <w:ind w:left="108"/>
              <w:jc w:val="left"/>
              <w:rPr>
                <w:lang w:val="fr-FR"/>
              </w:rPr>
            </w:pPr>
            <w:r w:rsidRPr="00431D28">
              <w:rPr>
                <w:lang w:val="fr-FR"/>
              </w:rPr>
              <w:t>2.</w:t>
            </w:r>
            <w:r w:rsidRPr="00431D28">
              <w:rPr>
                <w:lang w:val="fr-FR"/>
              </w:rPr>
              <w:tab/>
              <w:t>Orientations au sujet de l’examen des variétés</w:t>
            </w:r>
          </w:p>
        </w:tc>
        <w:tc>
          <w:tcPr>
            <w:tcW w:w="5246" w:type="dxa"/>
            <w:tcBorders>
              <w:top w:val="single" w:sz="4" w:space="0" w:color="000000"/>
              <w:left w:val="single" w:sz="4" w:space="0" w:color="000000"/>
              <w:bottom w:val="single" w:sz="4" w:space="0" w:color="000000"/>
              <w:right w:val="single" w:sz="4" w:space="0" w:color="000000"/>
            </w:tcBorders>
          </w:tcPr>
          <w:p w:rsidR="005A7F6B" w:rsidRPr="00431D28" w:rsidRDefault="00A834EC" w:rsidP="00A834EC">
            <w:pPr>
              <w:widowControl w:val="0"/>
              <w:spacing w:before="60" w:after="60"/>
              <w:ind w:left="143"/>
              <w:jc w:val="left"/>
              <w:rPr>
                <w:lang w:val="fr-FR"/>
              </w:rPr>
            </w:pPr>
            <w:r w:rsidRPr="00431D28">
              <w:rPr>
                <w:lang w:val="fr-FR"/>
              </w:rPr>
              <w:t>a)</w:t>
            </w:r>
            <w:r w:rsidRPr="00431D28">
              <w:rPr>
                <w:lang w:val="fr-FR"/>
              </w:rPr>
              <w:tab/>
              <w:t>adoption de documents TGP et de matériels d’information nouveaux ou révisés;</w:t>
            </w:r>
          </w:p>
          <w:p w:rsidR="005A7F6B" w:rsidRPr="00431D28" w:rsidRDefault="00E33DAC" w:rsidP="00E33DAC">
            <w:pPr>
              <w:widowControl w:val="0"/>
              <w:spacing w:before="60" w:after="60"/>
              <w:ind w:left="143"/>
              <w:jc w:val="left"/>
              <w:rPr>
                <w:lang w:val="fr-FR"/>
              </w:rPr>
            </w:pPr>
            <w:r w:rsidRPr="00431D28">
              <w:rPr>
                <w:lang w:val="fr-FR"/>
              </w:rPr>
              <w:t>b)</w:t>
            </w:r>
            <w:r w:rsidRPr="00431D28">
              <w:rPr>
                <w:lang w:val="fr-FR"/>
              </w:rPr>
              <w:tab/>
              <w:t>adoption de principes directeurs d’examen nouveaux ou révisés;</w:t>
            </w:r>
          </w:p>
          <w:p w:rsidR="005A7F6B" w:rsidRPr="00431D28" w:rsidRDefault="00E33DAC" w:rsidP="00E33DAC">
            <w:pPr>
              <w:widowControl w:val="0"/>
              <w:spacing w:before="60" w:after="60"/>
              <w:ind w:left="143"/>
              <w:jc w:val="left"/>
              <w:rPr>
                <w:lang w:val="fr-FR"/>
              </w:rPr>
            </w:pPr>
            <w:r w:rsidRPr="00431D28">
              <w:rPr>
                <w:lang w:val="fr-FR"/>
              </w:rPr>
              <w:t>c)</w:t>
            </w:r>
            <w:r w:rsidRPr="00431D28">
              <w:rPr>
                <w:lang w:val="fr-FR"/>
              </w:rPr>
              <w:tab/>
              <w:t>nombre de demandes couvertes par les principes directeurs d’examen adoptés;</w:t>
            </w:r>
          </w:p>
          <w:p w:rsidR="00421639" w:rsidRPr="00431D28" w:rsidRDefault="00E33DAC" w:rsidP="00E33DAC">
            <w:pPr>
              <w:widowControl w:val="0"/>
              <w:spacing w:before="60" w:after="60"/>
              <w:ind w:left="143"/>
              <w:jc w:val="left"/>
              <w:rPr>
                <w:lang w:val="fr-FR"/>
              </w:rPr>
            </w:pPr>
            <w:r w:rsidRPr="00431D28">
              <w:rPr>
                <w:lang w:val="fr-FR"/>
              </w:rPr>
              <w:t>d)</w:t>
            </w:r>
            <w:r w:rsidRPr="00431D28">
              <w:rPr>
                <w:lang w:val="fr-FR"/>
              </w:rPr>
              <w:tab/>
              <w:t>participation à des séminaires et colloques organisés à Genève parallèlement aux sessions de l’UPOV.</w:t>
            </w:r>
          </w:p>
        </w:tc>
      </w:tr>
      <w:tr w:rsidR="009A663A" w:rsidRPr="00431D28"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5C4304" w:rsidRDefault="00E33DAC" w:rsidP="0095069B">
            <w:pPr>
              <w:widowControl w:val="0"/>
              <w:spacing w:before="60" w:after="60"/>
              <w:ind w:left="108"/>
              <w:jc w:val="left"/>
              <w:rPr>
                <w:lang w:val="fr-FR"/>
              </w:rPr>
            </w:pPr>
            <w:r w:rsidRPr="005C4304">
              <w:rPr>
                <w:lang w:val="fr-FR"/>
              </w:rPr>
              <w:t>3.</w:t>
            </w:r>
            <w:r w:rsidRPr="005C4304">
              <w:rPr>
                <w:lang w:val="fr-FR"/>
              </w:rPr>
              <w:tab/>
              <w:t xml:space="preserve">Coopération en matière d’examen des demandes de </w:t>
            </w:r>
            <w:r w:rsidR="0095069B">
              <w:rPr>
                <w:lang w:val="fr-FR"/>
              </w:rPr>
              <w:t>droits d’obtenteur</w:t>
            </w:r>
          </w:p>
        </w:tc>
        <w:tc>
          <w:tcPr>
            <w:tcW w:w="5246" w:type="dxa"/>
            <w:tcBorders>
              <w:top w:val="single" w:sz="4" w:space="0" w:color="000000"/>
              <w:left w:val="single" w:sz="4" w:space="0" w:color="000000"/>
              <w:bottom w:val="single" w:sz="4" w:space="0" w:color="000000"/>
              <w:right w:val="single" w:sz="4" w:space="0" w:color="000000"/>
            </w:tcBorders>
          </w:tcPr>
          <w:p w:rsidR="005A7F6B" w:rsidRPr="005C4304" w:rsidRDefault="00421639" w:rsidP="00E33DAC">
            <w:pPr>
              <w:widowControl w:val="0"/>
              <w:spacing w:before="60" w:after="60"/>
              <w:ind w:left="143"/>
              <w:jc w:val="left"/>
              <w:rPr>
                <w:lang w:val="fr-FR"/>
              </w:rPr>
            </w:pPr>
            <w:r w:rsidRPr="005C4304">
              <w:rPr>
                <w:lang w:val="fr-FR"/>
              </w:rPr>
              <w:t>a)</w:t>
            </w:r>
            <w:r w:rsidRPr="005C4304">
              <w:rPr>
                <w:lang w:val="fr-FR"/>
              </w:rPr>
              <w:tab/>
            </w:r>
            <w:r w:rsidR="00E33DAC" w:rsidRPr="005C4304">
              <w:rPr>
                <w:lang w:val="fr-FR"/>
              </w:rPr>
              <w:t>genres et espèces végétaux pour lesquels les membres de l’Union ont une expérience pratique;</w:t>
            </w:r>
          </w:p>
          <w:p w:rsidR="005A7F6B" w:rsidRPr="005C4304" w:rsidRDefault="00E33DAC" w:rsidP="00E33DAC">
            <w:pPr>
              <w:widowControl w:val="0"/>
              <w:spacing w:before="60" w:after="60"/>
              <w:ind w:left="143"/>
              <w:jc w:val="left"/>
              <w:rPr>
                <w:lang w:val="fr-FR"/>
              </w:rPr>
            </w:pPr>
            <w:r w:rsidRPr="005C4304">
              <w:rPr>
                <w:lang w:val="fr-FR"/>
              </w:rPr>
              <w:t>b)</w:t>
            </w:r>
            <w:r w:rsidRPr="005C4304">
              <w:rPr>
                <w:lang w:val="fr-FR"/>
              </w:rPr>
              <w:tab/>
              <w:t>genres et espèces végétaux pour lesquels les membres de l’Union coopèrent en matière d’examen DHS;</w:t>
            </w:r>
          </w:p>
          <w:p w:rsidR="005A7F6B" w:rsidRPr="005C4304" w:rsidRDefault="00E33DAC" w:rsidP="00E33DAC">
            <w:pPr>
              <w:widowControl w:val="0"/>
              <w:spacing w:before="60" w:after="60"/>
              <w:ind w:left="143"/>
              <w:jc w:val="left"/>
              <w:rPr>
                <w:lang w:val="fr-FR"/>
              </w:rPr>
            </w:pPr>
            <w:r w:rsidRPr="005C4304">
              <w:rPr>
                <w:lang w:val="fr-FR"/>
              </w:rPr>
              <w:t>c)</w:t>
            </w:r>
            <w:r w:rsidRPr="005C4304">
              <w:rPr>
                <w:lang w:val="fr-FR"/>
              </w:rPr>
              <w:tab/>
              <w:t>participation à l’élaboration de principes directeurs d’examen;</w:t>
            </w:r>
            <w:r w:rsidR="00421639" w:rsidRPr="005C4304">
              <w:rPr>
                <w:lang w:val="fr-FR"/>
              </w:rPr>
              <w:t xml:space="preserve"> </w:t>
            </w:r>
          </w:p>
          <w:p w:rsidR="005A7F6B" w:rsidRPr="005C4304" w:rsidRDefault="00524AFF" w:rsidP="00E33DAC">
            <w:pPr>
              <w:widowControl w:val="0"/>
              <w:spacing w:before="60" w:after="60"/>
              <w:ind w:left="143"/>
              <w:jc w:val="left"/>
              <w:rPr>
                <w:lang w:val="fr-FR"/>
              </w:rPr>
            </w:pPr>
            <w:r w:rsidRPr="005C4304">
              <w:rPr>
                <w:lang w:val="fr-FR"/>
              </w:rPr>
              <w:t>d)</w:t>
            </w:r>
            <w:r w:rsidRPr="005C4304">
              <w:rPr>
                <w:lang w:val="fr-FR"/>
              </w:rPr>
              <w:tab/>
              <w:t>u</w:t>
            </w:r>
            <w:r w:rsidR="00E33DAC" w:rsidRPr="005C4304">
              <w:rPr>
                <w:lang w:val="fr-FR"/>
              </w:rPr>
              <w:t>tilisation du modèle électronique pour les principes directeurs d'examen;</w:t>
            </w:r>
          </w:p>
          <w:p w:rsidR="005A7F6B" w:rsidRPr="005C4304" w:rsidRDefault="00E33DAC" w:rsidP="00E33DAC">
            <w:pPr>
              <w:widowControl w:val="0"/>
              <w:spacing w:before="60" w:after="60"/>
              <w:ind w:left="143"/>
              <w:jc w:val="left"/>
              <w:rPr>
                <w:lang w:val="fr-FR"/>
              </w:rPr>
            </w:pPr>
            <w:r w:rsidRPr="005C4304">
              <w:rPr>
                <w:lang w:val="fr-FR"/>
              </w:rPr>
              <w:t>e)</w:t>
            </w:r>
            <w:r w:rsidRPr="005C4304">
              <w:rPr>
                <w:lang w:val="fr-FR"/>
              </w:rPr>
              <w:tab/>
              <w:t>qualité et exhaustivité des données contenues dans la base de données sur les variétés végétales et qualité du dispositif de recherche, et moyens d’accès aux autres données pertinentes;</w:t>
            </w:r>
          </w:p>
          <w:p w:rsidR="00421639" w:rsidRPr="005C4304" w:rsidRDefault="00E33DAC" w:rsidP="00E33DAC">
            <w:pPr>
              <w:widowControl w:val="0"/>
              <w:spacing w:before="60" w:after="60"/>
              <w:ind w:left="143"/>
              <w:jc w:val="left"/>
              <w:rPr>
                <w:lang w:val="fr-FR"/>
              </w:rPr>
            </w:pPr>
            <w:r w:rsidRPr="005C4304">
              <w:rPr>
                <w:lang w:val="fr-FR"/>
              </w:rPr>
              <w:t>f)</w:t>
            </w:r>
            <w:r w:rsidRPr="005C4304">
              <w:rPr>
                <w:lang w:val="fr-FR"/>
              </w:rPr>
              <w:tab/>
              <w:t>logiciels pouvant faire l’objet d’échanges figurant dans le document UPOV/INF/16 “Logiciels pouvant faire l’objet d’échanges”.</w:t>
            </w:r>
          </w:p>
        </w:tc>
      </w:tr>
      <w:tr w:rsidR="009A663A" w:rsidRPr="00431D28"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431D28" w:rsidRDefault="00421639" w:rsidP="00524AFF">
            <w:pPr>
              <w:widowControl w:val="0"/>
              <w:spacing w:before="60" w:after="60"/>
              <w:ind w:left="108"/>
              <w:jc w:val="left"/>
              <w:rPr>
                <w:lang w:val="fr-FR"/>
              </w:rPr>
            </w:pPr>
            <w:r w:rsidRPr="00431D28">
              <w:rPr>
                <w:lang w:val="fr-FR"/>
              </w:rPr>
              <w:t>4.</w:t>
            </w:r>
            <w:r w:rsidRPr="00431D28">
              <w:rPr>
                <w:lang w:val="fr-FR"/>
              </w:rPr>
              <w:tab/>
            </w:r>
            <w:r w:rsidR="00524AFF" w:rsidRPr="00431D28">
              <w:rPr>
                <w:lang w:val="fr-FR"/>
              </w:rPr>
              <w:t>Participation des membres de l’Union et des parties prenantes aux travaux des différents organes de l’UPOV</w:t>
            </w:r>
            <w:r w:rsidRPr="00431D28">
              <w:rPr>
                <w:lang w:val="fr-FR"/>
              </w:rPr>
              <w:t xml:space="preserve"> </w:t>
            </w:r>
          </w:p>
        </w:tc>
        <w:tc>
          <w:tcPr>
            <w:tcW w:w="5246" w:type="dxa"/>
            <w:tcBorders>
              <w:top w:val="single" w:sz="4" w:space="0" w:color="000000"/>
              <w:left w:val="single" w:sz="4" w:space="0" w:color="000000"/>
              <w:bottom w:val="single" w:sz="4" w:space="0" w:color="000000"/>
              <w:right w:val="single" w:sz="4" w:space="0" w:color="000000"/>
            </w:tcBorders>
          </w:tcPr>
          <w:p w:rsidR="00421639" w:rsidRPr="00431D28" w:rsidRDefault="00524AFF" w:rsidP="00524AFF">
            <w:pPr>
              <w:widowControl w:val="0"/>
              <w:spacing w:before="60" w:after="60"/>
              <w:ind w:left="143"/>
              <w:jc w:val="left"/>
              <w:rPr>
                <w:lang w:val="fr-FR"/>
              </w:rPr>
            </w:pPr>
            <w:r w:rsidRPr="00431D28">
              <w:rPr>
                <w:lang w:val="fr-FR"/>
              </w:rPr>
              <w:t>a)</w:t>
            </w:r>
            <w:r w:rsidRPr="00431D28">
              <w:rPr>
                <w:lang w:val="fr-FR"/>
              </w:rPr>
              <w:tab/>
              <w:t>participation aux travaux du Comité administratif et juridique, du Comité technique et des groupes de travail techniques, ainsi qu’aux ateliers préparatoires correspondants.</w:t>
            </w:r>
          </w:p>
        </w:tc>
      </w:tr>
      <w:tr w:rsidR="009A663A" w:rsidRPr="00431D28"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431D28" w:rsidRDefault="00524AFF" w:rsidP="00524AFF">
            <w:pPr>
              <w:widowControl w:val="0"/>
              <w:spacing w:before="60" w:after="60"/>
              <w:ind w:left="108"/>
              <w:jc w:val="left"/>
              <w:rPr>
                <w:lang w:val="fr-FR"/>
              </w:rPr>
            </w:pPr>
            <w:r w:rsidRPr="00431D28">
              <w:rPr>
                <w:lang w:val="fr-FR"/>
              </w:rPr>
              <w:t>5.</w:t>
            </w:r>
            <w:r w:rsidRPr="00431D28">
              <w:rPr>
                <w:lang w:val="fr-FR"/>
              </w:rPr>
              <w:tab/>
              <w:t>Documents et matériels de l’UPOV dans des langues supplémentaires</w:t>
            </w:r>
          </w:p>
        </w:tc>
        <w:tc>
          <w:tcPr>
            <w:tcW w:w="5246" w:type="dxa"/>
            <w:tcBorders>
              <w:top w:val="single" w:sz="4" w:space="0" w:color="000000"/>
              <w:left w:val="single" w:sz="4" w:space="0" w:color="000000"/>
              <w:bottom w:val="single" w:sz="4" w:space="0" w:color="000000"/>
              <w:right w:val="single" w:sz="4" w:space="0" w:color="000000"/>
            </w:tcBorders>
          </w:tcPr>
          <w:p w:rsidR="00421639" w:rsidRPr="00431D28" w:rsidRDefault="00EC4493" w:rsidP="00EC4493">
            <w:pPr>
              <w:widowControl w:val="0"/>
              <w:spacing w:before="60" w:after="60"/>
              <w:ind w:left="143"/>
              <w:jc w:val="left"/>
              <w:rPr>
                <w:lang w:val="fr-FR"/>
              </w:rPr>
            </w:pPr>
            <w:r w:rsidRPr="00431D28">
              <w:rPr>
                <w:lang w:val="fr-FR"/>
              </w:rPr>
              <w:t>a)</w:t>
            </w:r>
            <w:r w:rsidRPr="00431D28">
              <w:rPr>
                <w:lang w:val="fr-FR"/>
              </w:rPr>
              <w:tab/>
              <w:t>mise à disposition de documents et de matériels de l’UPOV dans des langues autres que les langues utilisées au sein de l’UPOV (allemand, anglais, espagnol et français).</w:t>
            </w:r>
          </w:p>
        </w:tc>
      </w:tr>
      <w:tr w:rsidR="009A663A" w:rsidRPr="00431D28"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431D28" w:rsidRDefault="00EC4493" w:rsidP="0095069B">
            <w:pPr>
              <w:widowControl w:val="0"/>
              <w:spacing w:before="60" w:after="60"/>
              <w:ind w:left="108"/>
              <w:jc w:val="left"/>
              <w:rPr>
                <w:lang w:val="fr-FR"/>
              </w:rPr>
            </w:pPr>
            <w:r w:rsidRPr="00431D28">
              <w:rPr>
                <w:lang w:val="fr-FR"/>
              </w:rPr>
              <w:t>6.</w:t>
            </w:r>
            <w:r w:rsidRPr="00431D28">
              <w:rPr>
                <w:lang w:val="fr-FR"/>
              </w:rPr>
              <w:tab/>
              <w:t xml:space="preserve">Facilitation du dépôt de demandes de protection </w:t>
            </w:r>
            <w:r w:rsidR="0095069B">
              <w:rPr>
                <w:lang w:val="fr-FR"/>
              </w:rPr>
              <w:t>de droits d’obtenteur</w:t>
            </w:r>
          </w:p>
        </w:tc>
        <w:tc>
          <w:tcPr>
            <w:tcW w:w="5246" w:type="dxa"/>
            <w:tcBorders>
              <w:top w:val="single" w:sz="4" w:space="0" w:color="000000"/>
              <w:left w:val="single" w:sz="4" w:space="0" w:color="000000"/>
              <w:bottom w:val="single" w:sz="4" w:space="0" w:color="000000"/>
              <w:right w:val="single" w:sz="4" w:space="0" w:color="000000"/>
            </w:tcBorders>
          </w:tcPr>
          <w:p w:rsidR="005A7F6B" w:rsidRPr="00431D28" w:rsidRDefault="00EC4493" w:rsidP="00EC4493">
            <w:pPr>
              <w:widowControl w:val="0"/>
              <w:spacing w:before="60" w:after="60"/>
              <w:ind w:left="143"/>
              <w:jc w:val="left"/>
              <w:rPr>
                <w:lang w:val="fr-FR"/>
              </w:rPr>
            </w:pPr>
            <w:r w:rsidRPr="00431D28">
              <w:rPr>
                <w:lang w:val="fr-FR"/>
              </w:rPr>
              <w:t>a)</w:t>
            </w:r>
            <w:r w:rsidRPr="00431D28">
              <w:rPr>
                <w:lang w:val="fr-FR"/>
              </w:rPr>
              <w:tab/>
              <w:t>nombre de titres octroyés;</w:t>
            </w:r>
          </w:p>
          <w:p w:rsidR="005A7F6B" w:rsidRPr="00431D28" w:rsidRDefault="00EC4493" w:rsidP="00EC4493">
            <w:pPr>
              <w:widowControl w:val="0"/>
              <w:spacing w:before="60" w:after="60"/>
              <w:ind w:left="143"/>
              <w:jc w:val="left"/>
              <w:rPr>
                <w:lang w:val="fr-FR"/>
              </w:rPr>
            </w:pPr>
            <w:r w:rsidRPr="00431D28">
              <w:rPr>
                <w:lang w:val="fr-FR"/>
              </w:rPr>
              <w:t>b)</w:t>
            </w:r>
            <w:r w:rsidRPr="00431D28">
              <w:rPr>
                <w:lang w:val="fr-FR"/>
              </w:rPr>
              <w:tab/>
              <w:t>nombre de titres en vigueur;</w:t>
            </w:r>
          </w:p>
          <w:p w:rsidR="005A7F6B" w:rsidRPr="00431D28" w:rsidRDefault="00EC4493" w:rsidP="00EC4493">
            <w:pPr>
              <w:widowControl w:val="0"/>
              <w:spacing w:before="60" w:after="60"/>
              <w:ind w:left="143"/>
              <w:jc w:val="left"/>
              <w:rPr>
                <w:lang w:val="fr-FR"/>
              </w:rPr>
            </w:pPr>
            <w:r w:rsidRPr="00431D28">
              <w:rPr>
                <w:lang w:val="fr-FR"/>
              </w:rPr>
              <w:t>c)</w:t>
            </w:r>
            <w:r w:rsidRPr="00431D28">
              <w:rPr>
                <w:lang w:val="fr-FR"/>
              </w:rPr>
              <w:tab/>
              <w:t>nombre de genres ou espèces protégés par des membres de l’Union;</w:t>
            </w:r>
          </w:p>
          <w:p w:rsidR="005A7F6B" w:rsidRPr="00431D28" w:rsidRDefault="00EC4493" w:rsidP="00EC4493">
            <w:pPr>
              <w:widowControl w:val="0"/>
              <w:spacing w:before="60" w:after="60"/>
              <w:ind w:left="143"/>
              <w:jc w:val="left"/>
              <w:rPr>
                <w:lang w:val="fr-FR"/>
              </w:rPr>
            </w:pPr>
            <w:r w:rsidRPr="00431D28">
              <w:rPr>
                <w:lang w:val="fr-FR"/>
              </w:rPr>
              <w:t>d)</w:t>
            </w:r>
            <w:r w:rsidRPr="00431D28">
              <w:rPr>
                <w:lang w:val="fr-FR"/>
              </w:rPr>
              <w:tab/>
              <w:t>nombre de genres ou d’espèces dont des variétés sont protégées;</w:t>
            </w:r>
            <w:r w:rsidR="00421639" w:rsidRPr="00431D28">
              <w:rPr>
                <w:lang w:val="fr-FR"/>
              </w:rPr>
              <w:t xml:space="preserve"> </w:t>
            </w:r>
          </w:p>
          <w:p w:rsidR="005A7F6B" w:rsidRPr="00431D28" w:rsidRDefault="00EC4493" w:rsidP="00EC4493">
            <w:pPr>
              <w:widowControl w:val="0"/>
              <w:spacing w:before="60" w:after="60"/>
              <w:ind w:left="143"/>
              <w:jc w:val="left"/>
              <w:rPr>
                <w:lang w:val="fr-FR"/>
              </w:rPr>
            </w:pPr>
            <w:r w:rsidRPr="00431D28">
              <w:rPr>
                <w:lang w:val="fr-FR"/>
              </w:rPr>
              <w:t>e)</w:t>
            </w:r>
            <w:r w:rsidRPr="00431D28">
              <w:rPr>
                <w:lang w:val="fr-FR"/>
              </w:rPr>
              <w:tab/>
              <w:t>utilisation par les membres de l’Union de renvois normalisés dans les formulaires de demande;</w:t>
            </w:r>
          </w:p>
          <w:p w:rsidR="00421639" w:rsidRPr="00431D28" w:rsidRDefault="00EC4493" w:rsidP="00EC4493">
            <w:pPr>
              <w:widowControl w:val="0"/>
              <w:spacing w:before="60" w:after="60"/>
              <w:ind w:left="143"/>
              <w:jc w:val="left"/>
              <w:rPr>
                <w:lang w:val="fr-FR"/>
              </w:rPr>
            </w:pPr>
            <w:r w:rsidRPr="00431D28">
              <w:rPr>
                <w:lang w:val="fr-FR"/>
              </w:rPr>
              <w:t>f)</w:t>
            </w:r>
            <w:r w:rsidRPr="00431D28">
              <w:rPr>
                <w:lang w:val="fr-FR"/>
              </w:rPr>
              <w:tab/>
              <w:t>élaboration d’un formulaire de demande électronique.</w:t>
            </w:r>
          </w:p>
        </w:tc>
      </w:tr>
      <w:tr w:rsidR="009A663A" w:rsidRPr="00431D28"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431D28" w:rsidRDefault="00EC4493" w:rsidP="00EC4493">
            <w:pPr>
              <w:widowControl w:val="0"/>
              <w:spacing w:before="60" w:after="60"/>
              <w:ind w:left="108"/>
              <w:jc w:val="left"/>
              <w:rPr>
                <w:lang w:val="fr-FR"/>
              </w:rPr>
            </w:pPr>
            <w:r w:rsidRPr="00431D28">
              <w:rPr>
                <w:lang w:val="fr-FR"/>
              </w:rPr>
              <w:t>7.</w:t>
            </w:r>
            <w:r w:rsidRPr="00431D28">
              <w:rPr>
                <w:lang w:val="fr-FR"/>
              </w:rPr>
              <w:tab/>
              <w:t>Fourniture d’informations sur la Convention UPOV à l’intention des parties prenantes, y compris les obtenteurs, les producteurs de semences et de plantes et les agriculteurs</w:t>
            </w:r>
          </w:p>
        </w:tc>
        <w:tc>
          <w:tcPr>
            <w:tcW w:w="5246" w:type="dxa"/>
            <w:tcBorders>
              <w:top w:val="single" w:sz="4" w:space="0" w:color="000000"/>
              <w:left w:val="single" w:sz="4" w:space="0" w:color="000000"/>
              <w:bottom w:val="single" w:sz="4" w:space="0" w:color="000000"/>
              <w:right w:val="single" w:sz="4" w:space="0" w:color="000000"/>
            </w:tcBorders>
          </w:tcPr>
          <w:p w:rsidR="00421639" w:rsidRPr="00431D28" w:rsidRDefault="00EC4493" w:rsidP="00EC4493">
            <w:pPr>
              <w:widowControl w:val="0"/>
              <w:spacing w:before="60" w:after="60"/>
              <w:ind w:left="143"/>
              <w:jc w:val="left"/>
              <w:rPr>
                <w:lang w:val="fr-FR"/>
              </w:rPr>
            </w:pPr>
            <w:r w:rsidRPr="00431D28">
              <w:rPr>
                <w:lang w:val="fr-FR"/>
              </w:rPr>
              <w:t>a)</w:t>
            </w:r>
            <w:r w:rsidRPr="00431D28">
              <w:rPr>
                <w:lang w:val="fr-FR"/>
              </w:rPr>
              <w:tab/>
              <w:t>informations destinées aux parties prenantes sur le site Web de l’UPOV et par le biais d’autres moyens de communication.</w:t>
            </w:r>
          </w:p>
        </w:tc>
      </w:tr>
    </w:tbl>
    <w:p w:rsidR="005A7F6B" w:rsidRPr="00431D28" w:rsidRDefault="00421639" w:rsidP="00F87BF6">
      <w:pPr>
        <w:keepNext/>
        <w:tabs>
          <w:tab w:val="left" w:pos="567"/>
        </w:tabs>
        <w:ind w:left="2835" w:hanging="2835"/>
        <w:rPr>
          <w:b/>
          <w:lang w:val="fr-FR"/>
        </w:rPr>
      </w:pPr>
      <w:r w:rsidRPr="00431D28">
        <w:rPr>
          <w:b/>
          <w:lang w:val="fr-FR"/>
        </w:rPr>
        <w:br w:type="page"/>
      </w:r>
      <w:r w:rsidR="00F87BF6" w:rsidRPr="00431D28">
        <w:rPr>
          <w:b/>
          <w:lang w:val="fr-FR"/>
        </w:rPr>
        <w:t>2.3</w:t>
      </w:r>
      <w:r w:rsidR="00F87BF6" w:rsidRPr="00431D28">
        <w:rPr>
          <w:lang w:val="fr-FR"/>
        </w:rPr>
        <w:tab/>
      </w:r>
      <w:r w:rsidR="00F87BF6" w:rsidRPr="00431D28">
        <w:rPr>
          <w:b/>
          <w:u w:val="single"/>
          <w:lang w:val="fr-FR"/>
        </w:rPr>
        <w:t>Sous-programme UV.3 </w:t>
      </w:r>
      <w:r w:rsidR="00F87BF6" w:rsidRPr="00431D28">
        <w:rPr>
          <w:b/>
          <w:lang w:val="fr-FR"/>
        </w:rPr>
        <w:t>:</w:t>
      </w:r>
      <w:r w:rsidR="00F87BF6" w:rsidRPr="00431D28">
        <w:rPr>
          <w:lang w:val="fr-FR"/>
        </w:rPr>
        <w:t xml:space="preserve"> </w:t>
      </w:r>
      <w:r w:rsidR="00F87BF6" w:rsidRPr="00431D28">
        <w:rPr>
          <w:b/>
          <w:u w:val="single"/>
          <w:lang w:val="fr-FR"/>
        </w:rPr>
        <w:t>Aide à la mise en place et à l’application du système de l’UPOV</w:t>
      </w:r>
    </w:p>
    <w:p w:rsidR="005A7F6B" w:rsidRPr="00431D28" w:rsidRDefault="005A7F6B" w:rsidP="00421639">
      <w:pPr>
        <w:rPr>
          <w:lang w:val="fr-FR"/>
        </w:rPr>
      </w:pPr>
    </w:p>
    <w:p w:rsidR="005A7F6B" w:rsidRPr="00431D28" w:rsidRDefault="008302BB" w:rsidP="00F87BF6">
      <w:pPr>
        <w:keepNext/>
        <w:rPr>
          <w:b/>
          <w:lang w:val="fr-FR"/>
        </w:rPr>
      </w:pPr>
      <w:r>
        <w:rPr>
          <w:b/>
          <w:lang w:val="fr-FR"/>
        </w:rPr>
        <w:t>2.3.1.</w:t>
      </w:r>
      <w:r>
        <w:rPr>
          <w:b/>
          <w:lang w:val="fr-FR"/>
        </w:rPr>
        <w:tab/>
      </w:r>
      <w:r w:rsidR="00F87BF6" w:rsidRPr="00431D28">
        <w:rPr>
          <w:b/>
          <w:lang w:val="fr-FR"/>
        </w:rPr>
        <w:t>Objectifs</w:t>
      </w:r>
    </w:p>
    <w:p w:rsidR="005A7F6B" w:rsidRPr="00431D28" w:rsidRDefault="005A7F6B" w:rsidP="00421639">
      <w:pPr>
        <w:keepNext/>
        <w:rPr>
          <w:lang w:val="fr-FR"/>
        </w:rPr>
      </w:pPr>
    </w:p>
    <w:p w:rsidR="005A7F6B" w:rsidRPr="00431D28" w:rsidRDefault="00421639" w:rsidP="00F87BF6">
      <w:pPr>
        <w:rPr>
          <w:lang w:val="fr-FR"/>
        </w:rPr>
      </w:pPr>
      <w:r w:rsidRPr="00431D28">
        <w:rPr>
          <w:lang w:val="fr-FR"/>
        </w:rPr>
        <w:tab/>
      </w:r>
      <w:r w:rsidR="00F87BF6" w:rsidRPr="00431D28">
        <w:rPr>
          <w:lang w:val="fr-FR"/>
        </w:rPr>
        <w:t>a)</w:t>
      </w:r>
      <w:r w:rsidR="00F87BF6" w:rsidRPr="00431D28">
        <w:rPr>
          <w:lang w:val="fr-FR"/>
        </w:rPr>
        <w:tab/>
        <w:t>Faire mieux connaître l’importance de la protection des obtentions végétales conformément à la Convention UPOV.</w:t>
      </w:r>
    </w:p>
    <w:p w:rsidR="005A7F6B" w:rsidRPr="00431D28" w:rsidRDefault="005A7F6B" w:rsidP="00421639">
      <w:pPr>
        <w:rPr>
          <w:lang w:val="fr-FR"/>
        </w:rPr>
      </w:pPr>
    </w:p>
    <w:p w:rsidR="005A7F6B" w:rsidRPr="00431D28" w:rsidRDefault="00421639" w:rsidP="00F87BF6">
      <w:pPr>
        <w:rPr>
          <w:lang w:val="fr-FR"/>
        </w:rPr>
      </w:pPr>
      <w:r w:rsidRPr="00431D28">
        <w:rPr>
          <w:lang w:val="fr-FR"/>
        </w:rPr>
        <w:tab/>
      </w:r>
      <w:r w:rsidR="00F87BF6" w:rsidRPr="00431D28">
        <w:rPr>
          <w:lang w:val="fr-FR"/>
        </w:rPr>
        <w:t>b)</w:t>
      </w:r>
      <w:r w:rsidR="00F87BF6" w:rsidRPr="00431D28">
        <w:rPr>
          <w:lang w:val="fr-FR"/>
        </w:rPr>
        <w:tab/>
        <w:t>Aider les États et les organisations, en particulier les gouvernements des pays en développement et des pays en transition vers l’économie de marché, à élaborer une législation conforme à l’Acte de 1991 de la Convention UPOV.</w:t>
      </w:r>
    </w:p>
    <w:p w:rsidR="005A7F6B" w:rsidRPr="00431D28" w:rsidRDefault="005A7F6B" w:rsidP="00421639">
      <w:pPr>
        <w:rPr>
          <w:lang w:val="fr-FR"/>
        </w:rPr>
      </w:pPr>
    </w:p>
    <w:p w:rsidR="005A7F6B" w:rsidRPr="00431D28" w:rsidRDefault="00421639" w:rsidP="00F87BF6">
      <w:pPr>
        <w:rPr>
          <w:lang w:val="fr-FR"/>
        </w:rPr>
      </w:pPr>
      <w:r w:rsidRPr="00431D28">
        <w:rPr>
          <w:lang w:val="fr-FR"/>
        </w:rPr>
        <w:tab/>
      </w:r>
      <w:r w:rsidR="00F87BF6" w:rsidRPr="00431D28">
        <w:rPr>
          <w:lang w:val="fr-FR"/>
        </w:rPr>
        <w:t>c)</w:t>
      </w:r>
      <w:r w:rsidR="00F87BF6" w:rsidRPr="00431D28">
        <w:rPr>
          <w:lang w:val="fr-FR"/>
        </w:rPr>
        <w:tab/>
        <w:t>Aider les États et les organisations à adhérer à l’Acte de 1991 de la Convention UPOV.</w:t>
      </w:r>
    </w:p>
    <w:p w:rsidR="005A7F6B" w:rsidRPr="00431D28" w:rsidRDefault="005A7F6B" w:rsidP="00421639">
      <w:pPr>
        <w:rPr>
          <w:lang w:val="fr-FR"/>
        </w:rPr>
      </w:pPr>
    </w:p>
    <w:p w:rsidR="005A7F6B" w:rsidRPr="00431D28" w:rsidRDefault="00421639" w:rsidP="00F87BF6">
      <w:pPr>
        <w:rPr>
          <w:lang w:val="fr-FR"/>
        </w:rPr>
      </w:pPr>
      <w:r w:rsidRPr="00431D28">
        <w:rPr>
          <w:lang w:val="fr-FR"/>
        </w:rPr>
        <w:tab/>
      </w:r>
      <w:r w:rsidR="00F87BF6" w:rsidRPr="00431D28">
        <w:rPr>
          <w:lang w:val="fr-FR"/>
        </w:rPr>
        <w:t>d)</w:t>
      </w:r>
      <w:r w:rsidR="00F87BF6" w:rsidRPr="00431D28">
        <w:rPr>
          <w:lang w:val="fr-FR"/>
        </w:rPr>
        <w:tab/>
        <w:t>Aider les États et les organisations à mettre en œuvre un système efficace de protection des obtentions végétales conforme à la Convention UPOV.</w:t>
      </w:r>
    </w:p>
    <w:p w:rsidR="005A7F6B" w:rsidRPr="00431D28" w:rsidRDefault="005A7F6B" w:rsidP="00421639">
      <w:pPr>
        <w:rPr>
          <w:lang w:val="fr-FR"/>
        </w:rPr>
      </w:pPr>
    </w:p>
    <w:p w:rsidR="005A7F6B" w:rsidRPr="00431D28" w:rsidRDefault="00F87BF6" w:rsidP="00F87BF6">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fr-FR"/>
        </w:rPr>
      </w:pPr>
      <w:r w:rsidRPr="00431D28">
        <w:rPr>
          <w:b/>
          <w:lang w:val="fr-FR"/>
        </w:rPr>
        <w:t>2.3.2</w:t>
      </w:r>
      <w:r w:rsidRPr="00431D28">
        <w:rPr>
          <w:b/>
          <w:lang w:val="fr-FR"/>
        </w:rPr>
        <w:tab/>
        <w:t>Descriptif</w:t>
      </w:r>
    </w:p>
    <w:p w:rsidR="005A7F6B" w:rsidRPr="00431D28" w:rsidRDefault="005A7F6B" w:rsidP="00421639">
      <w:pPr>
        <w:rPr>
          <w:lang w:val="fr-FR"/>
        </w:rPr>
      </w:pPr>
    </w:p>
    <w:p w:rsidR="005A7F6B" w:rsidRPr="00431D28" w:rsidRDefault="00F87BF6" w:rsidP="00F42FE1">
      <w:pPr>
        <w:tabs>
          <w:tab w:val="left" w:pos="851"/>
        </w:tabs>
        <w:rPr>
          <w:lang w:val="fr-FR"/>
        </w:rPr>
      </w:pPr>
      <w:r w:rsidRPr="00431D28">
        <w:rPr>
          <w:lang w:val="fr-FR"/>
        </w:rPr>
        <w:t>2.3.2.1</w:t>
      </w:r>
      <w:r w:rsidRPr="00431D28">
        <w:rPr>
          <w:lang w:val="fr-FR"/>
        </w:rPr>
        <w:tab/>
        <w:t>Le présent sous-programme porte sur l’aide fournie en réponse aux demandes présentées par les membres et les membres potentiels de l’Union.</w:t>
      </w:r>
      <w:r w:rsidR="00421639" w:rsidRPr="00431D28">
        <w:rPr>
          <w:lang w:val="fr-FR"/>
        </w:rPr>
        <w:t xml:space="preserve">  </w:t>
      </w:r>
      <w:r w:rsidRPr="00431D28">
        <w:rPr>
          <w:lang w:val="fr-FR"/>
        </w:rPr>
        <w:t>La satisfaction de la demande d'aide pour mettre en place et appliquer le système de l'UPOV dans les limites des ressources disponibles repose sur la mise au point</w:t>
      </w:r>
      <w:r w:rsidR="003163DE">
        <w:rPr>
          <w:lang w:val="fr-FR"/>
        </w:rPr>
        <w:t xml:space="preserve"> </w:t>
      </w:r>
      <w:r w:rsidR="003163DE" w:rsidRPr="007E2E16">
        <w:rPr>
          <w:lang w:val="fr-FR"/>
        </w:rPr>
        <w:t>d</w:t>
      </w:r>
      <w:r w:rsidR="003163DE">
        <w:rPr>
          <w:lang w:val="fr-FR"/>
        </w:rPr>
        <w:t>’</w:t>
      </w:r>
      <w:r w:rsidR="003163DE" w:rsidRPr="007E2E16">
        <w:rPr>
          <w:lang w:val="fr-FR"/>
        </w:rPr>
        <w:t>outils éle</w:t>
      </w:r>
      <w:r w:rsidR="003163DE">
        <w:rPr>
          <w:lang w:val="fr-FR"/>
        </w:rPr>
        <w:t>ctroniques</w:t>
      </w:r>
      <w:r w:rsidR="003163DE" w:rsidRPr="007E2E16">
        <w:rPr>
          <w:lang w:val="fr-FR"/>
        </w:rPr>
        <w:t xml:space="preserve"> (</w:t>
      </w:r>
      <w:r w:rsidR="003163DE">
        <w:rPr>
          <w:lang w:val="fr-FR"/>
        </w:rPr>
        <w:t>comme par exemple le site Web</w:t>
      </w:r>
      <w:r w:rsidR="003163DE" w:rsidRPr="007E2E16">
        <w:rPr>
          <w:lang w:val="fr-FR"/>
        </w:rPr>
        <w:t xml:space="preserve">, </w:t>
      </w:r>
      <w:r w:rsidR="003163DE">
        <w:rPr>
          <w:lang w:val="fr-FR"/>
        </w:rPr>
        <w:t>les cours d’enseignement à distance et les conférences Web</w:t>
      </w:r>
      <w:r w:rsidR="003163DE" w:rsidRPr="007E2E16">
        <w:rPr>
          <w:lang w:val="fr-FR"/>
        </w:rPr>
        <w:t>),</w:t>
      </w:r>
      <w:r w:rsidR="003163DE">
        <w:rPr>
          <w:lang w:val="fr-FR"/>
        </w:rPr>
        <w:t xml:space="preserve"> la hiérarchisation de l’</w:t>
      </w:r>
      <w:r w:rsidR="003163DE" w:rsidRPr="007E2E16">
        <w:rPr>
          <w:lang w:val="fr-FR"/>
        </w:rPr>
        <w:t>assistance</w:t>
      </w:r>
      <w:r w:rsidR="003163DE">
        <w:rPr>
          <w:lang w:val="fr-FR"/>
        </w:rPr>
        <w:t xml:space="preserve"> fournie par le Bureau de l’</w:t>
      </w:r>
      <w:r w:rsidR="003163DE" w:rsidRPr="007E2E16">
        <w:rPr>
          <w:lang w:val="fr-FR"/>
        </w:rPr>
        <w:t xml:space="preserve">Union </w:t>
      </w:r>
      <w:r w:rsidR="003163DE">
        <w:rPr>
          <w:lang w:val="fr-FR"/>
        </w:rPr>
        <w:t>et l’utilisation de ressources extérieures pour la formation et l’</w:t>
      </w:r>
      <w:r w:rsidR="003163DE" w:rsidRPr="007E2E16">
        <w:rPr>
          <w:lang w:val="fr-FR"/>
        </w:rPr>
        <w:t xml:space="preserve">assistance </w:t>
      </w:r>
      <w:r w:rsidR="003163DE">
        <w:rPr>
          <w:lang w:val="fr-FR"/>
        </w:rPr>
        <w:t xml:space="preserve">en fonction des fonds disponibles.  </w:t>
      </w:r>
      <w:r w:rsidRPr="00431D28">
        <w:rPr>
          <w:lang w:val="fr-FR"/>
        </w:rPr>
        <w:t>Une assistance individuelle (missions par exemple) à l’intention des membres et membres potentiels de l’Union est accordée sur le budget ordinaire mais ce sont des fonds extrabudgétaires et une aide en nature qui sont la principale source d’appui de ces activités.</w:t>
      </w:r>
      <w:r w:rsidR="00421639" w:rsidRPr="00431D28">
        <w:rPr>
          <w:lang w:val="fr-FR"/>
        </w:rPr>
        <w:t xml:space="preserve">  </w:t>
      </w:r>
      <w:r w:rsidR="00F42FE1" w:rsidRPr="00431D28">
        <w:rPr>
          <w:lang w:val="fr-FR"/>
        </w:rPr>
        <w:t>Désireux de faire preuve d’une plus grande souplesse en fonction des besoins et des ressources disponibles et, partant, de maximiser l’assistance qu’il peut offrir, le Bureau de l’Union utilisera de plus en plus des ressources extérieures (comme par exemple un appui administratif pour les cours d’enseignement à distance et édition de publications) et il fera de plus en plus ap</w:t>
      </w:r>
      <w:r w:rsidR="003163DE">
        <w:rPr>
          <w:lang w:val="fr-FR"/>
        </w:rPr>
        <w:t>pel à des formateurs extérieurs.</w:t>
      </w:r>
    </w:p>
    <w:p w:rsidR="005A7F6B" w:rsidRPr="00431D28" w:rsidRDefault="005A7F6B" w:rsidP="00421639">
      <w:pPr>
        <w:rPr>
          <w:lang w:val="fr-FR"/>
        </w:rPr>
      </w:pPr>
    </w:p>
    <w:p w:rsidR="005A7F6B" w:rsidRPr="005C4304" w:rsidRDefault="00B26ECB" w:rsidP="00B26ECB">
      <w:pPr>
        <w:tabs>
          <w:tab w:val="left" w:pos="851"/>
        </w:tabs>
        <w:rPr>
          <w:lang w:val="fr-FR"/>
        </w:rPr>
      </w:pPr>
      <w:r w:rsidRPr="00431D28">
        <w:rPr>
          <w:lang w:val="fr-FR"/>
        </w:rPr>
        <w:t>2.3.2.2</w:t>
      </w:r>
      <w:r w:rsidR="009A663A" w:rsidRPr="00431D28">
        <w:rPr>
          <w:lang w:val="fr-FR"/>
        </w:rPr>
        <w:tab/>
      </w:r>
      <w:r w:rsidRPr="00431D28">
        <w:rPr>
          <w:lang w:val="fr-FR"/>
        </w:rPr>
        <w:t xml:space="preserve">Au </w:t>
      </w:r>
      <w:r w:rsidRPr="005C4304">
        <w:rPr>
          <w:lang w:val="fr-FR"/>
        </w:rPr>
        <w:t>31 juillet 2013, l’Union comptait 71 membres dont 51 étaient liés par l’Acte de 1991 de la Convention UPOV.</w:t>
      </w:r>
      <w:r w:rsidR="00421639" w:rsidRPr="005C4304">
        <w:rPr>
          <w:lang w:val="fr-FR"/>
        </w:rPr>
        <w:t xml:space="preserve"> </w:t>
      </w:r>
    </w:p>
    <w:p w:rsidR="005A7F6B" w:rsidRPr="005C4304" w:rsidRDefault="005A7F6B" w:rsidP="00421639">
      <w:pPr>
        <w:rPr>
          <w:lang w:val="fr-FR"/>
        </w:rPr>
      </w:pPr>
    </w:p>
    <w:p w:rsidR="005A7F6B" w:rsidRPr="00431D28" w:rsidRDefault="00B26ECB" w:rsidP="00BD1427">
      <w:pPr>
        <w:tabs>
          <w:tab w:val="left" w:pos="851"/>
        </w:tabs>
        <w:rPr>
          <w:lang w:val="fr-FR"/>
        </w:rPr>
      </w:pPr>
      <w:r w:rsidRPr="005C4304">
        <w:rPr>
          <w:lang w:val="fr-FR"/>
        </w:rPr>
        <w:t>2.3.2.3</w:t>
      </w:r>
      <w:r w:rsidRPr="005C4304">
        <w:rPr>
          <w:lang w:val="fr-FR"/>
        </w:rPr>
        <w:tab/>
        <w:t>Au 31 juillet </w:t>
      </w:r>
      <w:r w:rsidR="006A7D31" w:rsidRPr="005C4304">
        <w:rPr>
          <w:lang w:val="fr-FR"/>
        </w:rPr>
        <w:t>2013, 16 </w:t>
      </w:r>
      <w:r w:rsidRPr="005C4304">
        <w:rPr>
          <w:lang w:val="fr-FR"/>
        </w:rPr>
        <w:t>États et une organisation intergouvernementale avaient engagé la procédure d’adhésion à la Convention UPOV et 2</w:t>
      </w:r>
      <w:r w:rsidR="000D2271">
        <w:rPr>
          <w:lang w:val="fr-FR"/>
        </w:rPr>
        <w:t>4</w:t>
      </w:r>
      <w:r w:rsidR="006A7D31" w:rsidRPr="005C4304">
        <w:rPr>
          <w:lang w:val="fr-FR"/>
        </w:rPr>
        <w:t> </w:t>
      </w:r>
      <w:r w:rsidRPr="005C4304">
        <w:rPr>
          <w:lang w:val="fr-FR"/>
        </w:rPr>
        <w:t>États et deux organisations intergouvernementales avaient pris contact avec le Bureau</w:t>
      </w:r>
      <w:r w:rsidRPr="00431D28">
        <w:rPr>
          <w:lang w:val="fr-FR"/>
        </w:rPr>
        <w:t xml:space="preserve"> de l’Union afin de solliciter son aide dans l’élaboration de lois fondées sur la Convention UPOV.</w:t>
      </w:r>
      <w:r w:rsidR="00421639" w:rsidRPr="00431D28">
        <w:rPr>
          <w:lang w:val="fr-FR"/>
        </w:rPr>
        <w:t xml:space="preserve">  </w:t>
      </w:r>
      <w:r w:rsidR="00BD1427" w:rsidRPr="00431D28">
        <w:rPr>
          <w:lang w:val="fr-FR"/>
        </w:rPr>
        <w:t>Les ressources prévues au budget ordinaire de l’UPOV pour financer les activités nécessaires dans le cadre de ce sous-programme sont limitées.</w:t>
      </w:r>
      <w:r w:rsidR="00421639" w:rsidRPr="00431D28">
        <w:rPr>
          <w:lang w:val="fr-FR"/>
        </w:rPr>
        <w:t xml:space="preserve">  </w:t>
      </w:r>
      <w:r w:rsidR="00BD1427" w:rsidRPr="00431D28">
        <w:rPr>
          <w:lang w:val="fr-FR"/>
        </w:rPr>
        <w:t>La priorité a été donnée par les membres de l’Union à la fourniture d’une assistance par le Bureau de l’Union dans l’ordre suivant :</w:t>
      </w:r>
    </w:p>
    <w:p w:rsidR="005A7F6B" w:rsidRPr="00431D28" w:rsidRDefault="005A7F6B" w:rsidP="00421639">
      <w:pPr>
        <w:rPr>
          <w:lang w:val="fr-FR"/>
        </w:rPr>
      </w:pPr>
    </w:p>
    <w:p w:rsidR="005A7F6B" w:rsidRPr="00431D28" w:rsidRDefault="00BD1427" w:rsidP="00BD1427">
      <w:pPr>
        <w:spacing w:after="120"/>
        <w:ind w:left="567"/>
        <w:rPr>
          <w:lang w:val="fr-FR"/>
        </w:rPr>
      </w:pPr>
      <w:r w:rsidRPr="00431D28">
        <w:rPr>
          <w:lang w:val="fr-FR"/>
        </w:rPr>
        <w:t>i)</w:t>
      </w:r>
      <w:r w:rsidRPr="00431D28">
        <w:rPr>
          <w:lang w:val="fr-FR"/>
        </w:rPr>
        <w:tab/>
        <w:t>assistance aux membres de l’Union;</w:t>
      </w:r>
    </w:p>
    <w:p w:rsidR="005A7F6B" w:rsidRPr="00431D28" w:rsidRDefault="00BD1427" w:rsidP="00BD1427">
      <w:pPr>
        <w:spacing w:after="120"/>
        <w:ind w:left="567"/>
        <w:rPr>
          <w:lang w:val="fr-FR"/>
        </w:rPr>
      </w:pPr>
      <w:r w:rsidRPr="00431D28">
        <w:rPr>
          <w:lang w:val="fr-FR"/>
        </w:rPr>
        <w:t>ii)</w:t>
      </w:r>
      <w:r w:rsidRPr="00431D28">
        <w:rPr>
          <w:lang w:val="fr-FR"/>
        </w:rPr>
        <w:tab/>
        <w:t>assistance aux États et à certaines organisations qui ne sont pas membres de l’Union, notamment aux gouvernements de pays en développement et de pays en transition vers une économie de marché, aux fins de l’élaboration d’une législation conforme à l’Acte de</w:t>
      </w:r>
      <w:r w:rsidR="006A7D31">
        <w:rPr>
          <w:lang w:val="fr-FR"/>
        </w:rPr>
        <w:t> </w:t>
      </w:r>
      <w:r w:rsidRPr="00431D28">
        <w:rPr>
          <w:lang w:val="fr-FR"/>
        </w:rPr>
        <w:t>1991 de la Convention UPOV et de leur adhésion à la Convention UPOV;  et</w:t>
      </w:r>
    </w:p>
    <w:p w:rsidR="005A7F6B" w:rsidRPr="00431D28" w:rsidRDefault="0097495F" w:rsidP="0097495F">
      <w:pPr>
        <w:tabs>
          <w:tab w:val="left" w:pos="567"/>
        </w:tabs>
        <w:ind w:left="567"/>
        <w:rPr>
          <w:lang w:val="fr-FR"/>
        </w:rPr>
      </w:pPr>
      <w:r w:rsidRPr="00431D28">
        <w:rPr>
          <w:lang w:val="fr-FR"/>
        </w:rPr>
        <w:t>iii)</w:t>
      </w:r>
      <w:r w:rsidRPr="00431D28">
        <w:rPr>
          <w:lang w:val="fr-FR"/>
        </w:rPr>
        <w:tab/>
        <w:t>assistance aux États et à certaines organisations qui ne sont pas membres de l’Union, aux fins de l’application de la législation ayant fait l’objet d’une décision positive de la part du Conseil compte tenu de leur engagement d’adhérer à la Convention UPOV.</w:t>
      </w:r>
      <w:r w:rsidR="00421639" w:rsidRPr="00431D28">
        <w:rPr>
          <w:lang w:val="fr-FR"/>
        </w:rPr>
        <w:t xml:space="preserve">  </w:t>
      </w:r>
    </w:p>
    <w:p w:rsidR="005A7F6B" w:rsidRPr="00431D28" w:rsidRDefault="005A7F6B" w:rsidP="00421639">
      <w:pPr>
        <w:tabs>
          <w:tab w:val="left" w:pos="567"/>
        </w:tabs>
        <w:ind w:left="567"/>
        <w:rPr>
          <w:lang w:val="fr-FR"/>
        </w:rPr>
      </w:pPr>
    </w:p>
    <w:p w:rsidR="005A7F6B" w:rsidRPr="00431D28" w:rsidRDefault="0097495F" w:rsidP="0097495F">
      <w:pPr>
        <w:tabs>
          <w:tab w:val="left" w:pos="851"/>
        </w:tabs>
        <w:rPr>
          <w:lang w:val="fr-FR"/>
        </w:rPr>
      </w:pPr>
      <w:r w:rsidRPr="00431D28">
        <w:rPr>
          <w:lang w:val="fr-FR"/>
        </w:rPr>
        <w:t>2.3.2.4</w:t>
      </w:r>
      <w:r w:rsidRPr="00431D28">
        <w:rPr>
          <w:lang w:val="fr-FR"/>
        </w:rPr>
        <w:tab/>
        <w:t>Les activités au titre du présent sous-programme comprendront un recours accru aux moyens de formation électroniques, en particulier les cours d’enseignement à distance, et aux nouvelles techniques de communication, en vue de maximiser l’efficacité des ressources disponibles.</w:t>
      </w:r>
      <w:r w:rsidR="00421639" w:rsidRPr="00431D28">
        <w:rPr>
          <w:lang w:val="fr-FR"/>
        </w:rPr>
        <w:t xml:space="preserve">  </w:t>
      </w:r>
      <w:r w:rsidRPr="00431D28">
        <w:rPr>
          <w:lang w:val="fr-FR"/>
        </w:rPr>
        <w:t>Le recours aux techniques de communication se traduira par une augmentation du nombre d’activités (par exemple, des séminaires sur des thèmes donnés) organisé</w:t>
      </w:r>
      <w:r w:rsidR="00487797">
        <w:rPr>
          <w:lang w:val="fr-FR"/>
        </w:rPr>
        <w:t>e</w:t>
      </w:r>
      <w:r w:rsidRPr="00431D28">
        <w:rPr>
          <w:lang w:val="fr-FR"/>
        </w:rPr>
        <w:t>s à Genève à l’intention non seulement des participants sur place mais aussi d’un vaste public.</w:t>
      </w:r>
      <w:r w:rsidR="00421639" w:rsidRPr="00431D28">
        <w:rPr>
          <w:lang w:val="fr-FR"/>
        </w:rPr>
        <w:t xml:space="preserve">  </w:t>
      </w:r>
      <w:r w:rsidRPr="00431D28">
        <w:rPr>
          <w:lang w:val="fr-FR"/>
        </w:rPr>
        <w:t>Le Bureau de l’Union continuera, dans ses activités, d’étudier les synergies possibles avec les membres de l’Union et ses autres partenaires.</w:t>
      </w:r>
      <w:r w:rsidR="00421639" w:rsidRPr="00431D28">
        <w:rPr>
          <w:lang w:val="fr-FR"/>
        </w:rPr>
        <w:t xml:space="preserve">  </w:t>
      </w:r>
    </w:p>
    <w:p w:rsidR="005A7F6B" w:rsidRPr="00431D28" w:rsidRDefault="005A7F6B" w:rsidP="00421639">
      <w:pPr>
        <w:tabs>
          <w:tab w:val="left" w:pos="567"/>
        </w:tabs>
        <w:rPr>
          <w:lang w:val="fr-FR"/>
        </w:rPr>
      </w:pPr>
    </w:p>
    <w:p w:rsidR="005A7F6B" w:rsidRPr="00431D28" w:rsidRDefault="0097495F" w:rsidP="0097495F">
      <w:pPr>
        <w:keepNext/>
        <w:tabs>
          <w:tab w:val="left" w:pos="567"/>
        </w:tabs>
        <w:rPr>
          <w:u w:val="single"/>
          <w:lang w:val="fr-FR"/>
        </w:rPr>
      </w:pPr>
      <w:r w:rsidRPr="00431D28">
        <w:rPr>
          <w:color w:val="000000"/>
          <w:u w:val="single"/>
          <w:lang w:val="fr-FR"/>
        </w:rPr>
        <w:t>Ressources additionnelles</w:t>
      </w:r>
    </w:p>
    <w:p w:rsidR="005A7F6B" w:rsidRPr="00431D28" w:rsidRDefault="005A7F6B" w:rsidP="00421639">
      <w:pPr>
        <w:keepNext/>
        <w:tabs>
          <w:tab w:val="left" w:pos="567"/>
        </w:tabs>
        <w:rPr>
          <w:lang w:val="fr-FR"/>
        </w:rPr>
      </w:pPr>
    </w:p>
    <w:p w:rsidR="005A7F6B" w:rsidRPr="00431D28" w:rsidRDefault="0097495F" w:rsidP="0097495F">
      <w:pPr>
        <w:keepNext/>
        <w:tabs>
          <w:tab w:val="left" w:pos="851"/>
        </w:tabs>
        <w:rPr>
          <w:lang w:val="fr-FR"/>
        </w:rPr>
      </w:pPr>
      <w:r w:rsidRPr="00431D28">
        <w:rPr>
          <w:lang w:val="fr-FR"/>
        </w:rPr>
        <w:t>2.3.2.5</w:t>
      </w:r>
      <w:r w:rsidRPr="00431D28">
        <w:rPr>
          <w:lang w:val="fr-FR"/>
        </w:rPr>
        <w:tab/>
        <w:t>Une caractéristique fondamentale du présent sous-programme consiste à définir un cadre dans lequel le Bureau de l’Union puisse compléter efficacement les ressources dont il dispose grâce à l’appui financier et à l’aide en nature apportés par les membres de l’Union et d’autres organes.</w:t>
      </w:r>
      <w:r w:rsidR="00421639" w:rsidRPr="00431D28">
        <w:rPr>
          <w:lang w:val="fr-FR"/>
        </w:rPr>
        <w:t xml:space="preserve">  </w:t>
      </w:r>
      <w:r w:rsidRPr="00431D28">
        <w:rPr>
          <w:lang w:val="fr-FR"/>
        </w:rPr>
        <w:t>D’une manière générale, cet appui peut être classé de la manière suivante :</w:t>
      </w:r>
    </w:p>
    <w:p w:rsidR="005A7F6B" w:rsidRPr="00431D28" w:rsidRDefault="005A7F6B" w:rsidP="00421639">
      <w:pPr>
        <w:tabs>
          <w:tab w:val="left" w:pos="567"/>
        </w:tabs>
        <w:rPr>
          <w:lang w:val="fr-FR"/>
        </w:rPr>
      </w:pPr>
    </w:p>
    <w:p w:rsidR="005A7F6B" w:rsidRPr="00431D28" w:rsidRDefault="00DE7E53" w:rsidP="00DE7E53">
      <w:pPr>
        <w:keepNext/>
        <w:tabs>
          <w:tab w:val="left" w:pos="567"/>
        </w:tabs>
        <w:rPr>
          <w:i/>
          <w:lang w:val="fr-FR"/>
        </w:rPr>
      </w:pPr>
      <w:r w:rsidRPr="00431D28">
        <w:rPr>
          <w:i/>
          <w:lang w:val="fr-FR"/>
        </w:rPr>
        <w:t>Assistance fournie par le Bureau de l’Union au moyen de ressources financières extrabudgétaires</w:t>
      </w:r>
    </w:p>
    <w:p w:rsidR="005A7F6B" w:rsidRPr="00431D28" w:rsidRDefault="005A7F6B" w:rsidP="00421639">
      <w:pPr>
        <w:keepNext/>
        <w:tabs>
          <w:tab w:val="left" w:pos="567"/>
        </w:tabs>
        <w:rPr>
          <w:lang w:val="fr-FR"/>
        </w:rPr>
      </w:pPr>
    </w:p>
    <w:p w:rsidR="005A7F6B" w:rsidRPr="00431D28" w:rsidRDefault="00DE7E53" w:rsidP="00DE7E53">
      <w:pPr>
        <w:keepNext/>
        <w:tabs>
          <w:tab w:val="left" w:pos="851"/>
        </w:tabs>
        <w:rPr>
          <w:lang w:val="fr-FR"/>
        </w:rPr>
      </w:pPr>
      <w:r w:rsidRPr="00431D28">
        <w:rPr>
          <w:lang w:val="fr-FR"/>
        </w:rPr>
        <w:t>2.3.2.6</w:t>
      </w:r>
      <w:r w:rsidRPr="00431D28">
        <w:rPr>
          <w:lang w:val="fr-FR"/>
        </w:rPr>
        <w:tab/>
        <w:t>L’UPOV tire un grand profit des ressources financières supplémentaires volontairement mises à la disposition de l’UPOV par un membre de l’Union, sous la forme par exemple de fonds fiduciaires, généralement en vue de financer un programme d’activités précis établi d’un commun accord entre le Bureau de l’Union et le membre donateur.</w:t>
      </w:r>
      <w:r w:rsidR="00421639" w:rsidRPr="00431D28">
        <w:rPr>
          <w:lang w:val="fr-FR"/>
        </w:rPr>
        <w:t xml:space="preserve">  </w:t>
      </w:r>
      <w:r w:rsidRPr="00431D28">
        <w:rPr>
          <w:lang w:val="fr-FR"/>
        </w:rPr>
        <w:t>Ces ressources sont particulièrement importantes dans le cadre de l’assistance fournie par l’UPOV.</w:t>
      </w:r>
      <w:r w:rsidR="00421639" w:rsidRPr="00431D28">
        <w:rPr>
          <w:lang w:val="fr-FR"/>
        </w:rPr>
        <w:t xml:space="preserve">  </w:t>
      </w:r>
      <w:r w:rsidRPr="00431D28">
        <w:rPr>
          <w:lang w:val="fr-FR"/>
        </w:rPr>
        <w:t>Conscients du fait que ces fonds fiduciaires mobilisent des membres du personnel de l’UPOV ou d’autres ressources, le Bureau de l’Union et le membre de l’Union intéressé mettent au point conjointement un programme d’activités conforme aux principes et priorités fixés par le Conseil de l’UPOV.</w:t>
      </w:r>
    </w:p>
    <w:p w:rsidR="00421639" w:rsidRPr="00431D28" w:rsidRDefault="00421639" w:rsidP="00421639">
      <w:pPr>
        <w:tabs>
          <w:tab w:val="left" w:pos="567"/>
        </w:tabs>
        <w:rPr>
          <w:lang w:val="fr-FR"/>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tblGrid>
      <w:tr w:rsidR="009A663A" w:rsidRPr="00431D28" w:rsidTr="00C02487">
        <w:tc>
          <w:tcPr>
            <w:tcW w:w="7371" w:type="dxa"/>
            <w:shd w:val="clear" w:color="auto" w:fill="auto"/>
          </w:tcPr>
          <w:p w:rsidR="005A7F6B" w:rsidRPr="00C02487" w:rsidRDefault="00DE7E53" w:rsidP="00C02487">
            <w:pPr>
              <w:tabs>
                <w:tab w:val="left" w:pos="567"/>
              </w:tabs>
              <w:rPr>
                <w:lang w:val="fr-FR"/>
              </w:rPr>
            </w:pPr>
            <w:r w:rsidRPr="00C02487">
              <w:rPr>
                <w:lang w:val="fr-FR"/>
              </w:rPr>
              <w:t>Exemples :</w:t>
            </w:r>
          </w:p>
          <w:p w:rsidR="005A7F6B" w:rsidRPr="00C02487" w:rsidRDefault="005A7F6B" w:rsidP="00C02487">
            <w:pPr>
              <w:tabs>
                <w:tab w:val="left" w:pos="567"/>
              </w:tabs>
              <w:rPr>
                <w:lang w:val="fr-FR"/>
              </w:rPr>
            </w:pPr>
          </w:p>
          <w:p w:rsidR="005A7F6B" w:rsidRPr="00C02487" w:rsidRDefault="00DE7E53" w:rsidP="00C02487">
            <w:pPr>
              <w:numPr>
                <w:ilvl w:val="0"/>
                <w:numId w:val="8"/>
              </w:numPr>
              <w:tabs>
                <w:tab w:val="clear" w:pos="720"/>
                <w:tab w:val="left" w:pos="601"/>
              </w:tabs>
              <w:spacing w:after="120"/>
              <w:ind w:left="601" w:hanging="244"/>
              <w:rPr>
                <w:lang w:val="fr-FR"/>
              </w:rPr>
            </w:pPr>
            <w:r w:rsidRPr="00C02487">
              <w:rPr>
                <w:lang w:val="fr-FR"/>
              </w:rPr>
              <w:t>Les fonds fiduciaires financés par le Gouvernement japonais pour des activités menées dans la région Asie</w:t>
            </w:r>
          </w:p>
          <w:p w:rsidR="00421639" w:rsidRPr="00C02487" w:rsidRDefault="00DE7E53" w:rsidP="00C02487">
            <w:pPr>
              <w:numPr>
                <w:ilvl w:val="0"/>
                <w:numId w:val="8"/>
              </w:numPr>
              <w:tabs>
                <w:tab w:val="clear" w:pos="720"/>
                <w:tab w:val="left" w:pos="601"/>
              </w:tabs>
              <w:spacing w:after="120"/>
              <w:ind w:left="601" w:hanging="244"/>
              <w:rPr>
                <w:lang w:val="fr-FR"/>
              </w:rPr>
            </w:pPr>
            <w:r w:rsidRPr="00C02487">
              <w:rPr>
                <w:lang w:val="fr-FR"/>
              </w:rPr>
              <w:t>Le mémorandum d’accord conclu entre l’Office des brevets et des marques des États-Unis d’Amérique (USPTO) et l’UPOV</w:t>
            </w:r>
          </w:p>
        </w:tc>
      </w:tr>
    </w:tbl>
    <w:p w:rsidR="005A7F6B" w:rsidRPr="00431D28" w:rsidRDefault="005A7F6B" w:rsidP="00421639">
      <w:pPr>
        <w:tabs>
          <w:tab w:val="left" w:pos="567"/>
        </w:tabs>
        <w:rPr>
          <w:lang w:val="fr-FR"/>
        </w:rPr>
      </w:pPr>
    </w:p>
    <w:p w:rsidR="005A7F6B" w:rsidRPr="00431D28" w:rsidRDefault="00ED1024" w:rsidP="00ED1024">
      <w:pPr>
        <w:keepNext/>
        <w:tabs>
          <w:tab w:val="left" w:pos="567"/>
        </w:tabs>
        <w:rPr>
          <w:i/>
          <w:lang w:val="fr-FR"/>
        </w:rPr>
      </w:pPr>
      <w:r w:rsidRPr="00431D28">
        <w:rPr>
          <w:i/>
          <w:lang w:val="fr-FR"/>
        </w:rPr>
        <w:t>Appui fourni par des membres de l’Union</w:t>
      </w:r>
    </w:p>
    <w:p w:rsidR="005A7F6B" w:rsidRPr="00431D28" w:rsidRDefault="005A7F6B" w:rsidP="00421639">
      <w:pPr>
        <w:keepNext/>
        <w:tabs>
          <w:tab w:val="left" w:pos="567"/>
        </w:tabs>
        <w:rPr>
          <w:lang w:val="fr-FR"/>
        </w:rPr>
      </w:pPr>
    </w:p>
    <w:p w:rsidR="005A7F6B" w:rsidRPr="00431D28" w:rsidRDefault="00ED1024" w:rsidP="00ED1024">
      <w:pPr>
        <w:tabs>
          <w:tab w:val="left" w:pos="851"/>
        </w:tabs>
        <w:rPr>
          <w:lang w:val="fr-FR"/>
        </w:rPr>
      </w:pPr>
      <w:r w:rsidRPr="00431D28">
        <w:rPr>
          <w:lang w:val="fr-FR"/>
        </w:rPr>
        <w:t>2.3.2.7</w:t>
      </w:r>
      <w:r w:rsidRPr="00431D28">
        <w:rPr>
          <w:lang w:val="fr-FR"/>
        </w:rPr>
        <w:tab/>
        <w:t>Un certain nombre de membres de l’Union apportent une aide importante aux États et autres organisations compétentes.</w:t>
      </w:r>
      <w:r w:rsidR="00421639" w:rsidRPr="00431D28">
        <w:rPr>
          <w:lang w:val="fr-FR"/>
        </w:rPr>
        <w:t xml:space="preserve">  </w:t>
      </w:r>
      <w:r w:rsidRPr="00431D28">
        <w:rPr>
          <w:lang w:val="fr-FR"/>
        </w:rPr>
        <w:t>Dans la mesure du possible, et s’il y a lieu, le Bureau de l’Union indique les priorités établies par le Conseil en matière d’assistance;  toutefois, chaque membre de l’Union est libre de décider des activités qu’il souhaite mettre en œuvre.</w:t>
      </w:r>
      <w:r w:rsidR="00421639" w:rsidRPr="00431D28">
        <w:rPr>
          <w:lang w:val="fr-FR"/>
        </w:rPr>
        <w:t xml:space="preserve">  </w:t>
      </w:r>
      <w:r w:rsidRPr="00431D28">
        <w:rPr>
          <w:lang w:val="fr-FR"/>
        </w:rPr>
        <w:t>Lorsque le Bureau de l’Union est invité à collaborer à ces activités, il inscrit cette collaboration, dans la mesure du possible, dans le cadre des principes et priorités fixés par le Conseil en matière d’assistance fournie par le Bureau de l’Union.</w:t>
      </w:r>
      <w:r w:rsidR="00421639" w:rsidRPr="00431D28">
        <w:rPr>
          <w:lang w:val="fr-FR"/>
        </w:rPr>
        <w:t xml:space="preserve">  </w:t>
      </w:r>
    </w:p>
    <w:p w:rsidR="005A7F6B" w:rsidRPr="00431D28" w:rsidRDefault="005A7F6B" w:rsidP="00421639">
      <w:pPr>
        <w:tabs>
          <w:tab w:val="left" w:pos="567"/>
        </w:tabs>
        <w:rPr>
          <w:lang w:val="fr-FR"/>
        </w:rPr>
      </w:pPr>
    </w:p>
    <w:p w:rsidR="005A7F6B" w:rsidRPr="005C4304" w:rsidRDefault="00ED1024" w:rsidP="00ED1024">
      <w:pPr>
        <w:tabs>
          <w:tab w:val="left" w:pos="851"/>
        </w:tabs>
        <w:rPr>
          <w:lang w:val="fr-FR"/>
        </w:rPr>
      </w:pPr>
      <w:r w:rsidRPr="00431D28">
        <w:rPr>
          <w:lang w:val="fr-FR"/>
        </w:rPr>
        <w:t>2.3.2.8</w:t>
      </w:r>
      <w:r w:rsidRPr="00431D28">
        <w:rPr>
          <w:lang w:val="fr-FR"/>
        </w:rPr>
        <w:tab/>
        <w:t>L’une des ressources essentielles pour les travaux de l’UPOV est l’aide en nature fournie par de nombreux membres de l’Union sous forme de services d’experts participant en tant que conférenciers à des activités de l’UPOV ou de formateurs dans les cours d’enseignement à distance.</w:t>
      </w:r>
      <w:r w:rsidR="00421639" w:rsidRPr="00431D28">
        <w:rPr>
          <w:lang w:val="fr-FR"/>
        </w:rPr>
        <w:t xml:space="preserve">  </w:t>
      </w:r>
      <w:r w:rsidRPr="00431D28">
        <w:rPr>
          <w:lang w:val="fr-FR"/>
        </w:rPr>
        <w:t xml:space="preserve">Une autre forme particulièrement importante d’aide en nature consiste dans les stages de moyenne durée, entièrement financés par des membres de l’Union, effectués par des </w:t>
      </w:r>
      <w:r w:rsidRPr="005C4304">
        <w:rPr>
          <w:lang w:val="fr-FR"/>
        </w:rPr>
        <w:t>fonctionnaires dûment qualifiés, tels que celui financé par la République de Corée en 2009</w:t>
      </w:r>
      <w:r w:rsidR="006A7D31" w:rsidRPr="005C4304">
        <w:rPr>
          <w:rFonts w:cs="Arial"/>
          <w:snapToGrid w:val="0"/>
          <w:lang w:val="fr-FR"/>
        </w:rPr>
        <w:noBreakHyphen/>
      </w:r>
      <w:r w:rsidRPr="005C4304">
        <w:rPr>
          <w:lang w:val="fr-FR"/>
        </w:rPr>
        <w:t>2010.</w:t>
      </w:r>
    </w:p>
    <w:p w:rsidR="005A7F6B" w:rsidRPr="005C4304" w:rsidRDefault="005A7F6B" w:rsidP="00421639">
      <w:pPr>
        <w:tabs>
          <w:tab w:val="left" w:pos="567"/>
        </w:tabs>
        <w:rPr>
          <w:lang w:val="fr-FR"/>
        </w:rPr>
      </w:pPr>
    </w:p>
    <w:p w:rsidR="005A7F6B" w:rsidRPr="005C4304" w:rsidRDefault="00ED1024" w:rsidP="00ED1024">
      <w:pPr>
        <w:keepNext/>
        <w:tabs>
          <w:tab w:val="left" w:pos="567"/>
        </w:tabs>
        <w:rPr>
          <w:i/>
          <w:lang w:val="fr-FR"/>
        </w:rPr>
      </w:pPr>
      <w:r w:rsidRPr="005C4304">
        <w:rPr>
          <w:i/>
          <w:lang w:val="fr-FR"/>
        </w:rPr>
        <w:t>Cours de formation à la protection des obtentions végétales</w:t>
      </w:r>
    </w:p>
    <w:p w:rsidR="005A7F6B" w:rsidRPr="005C4304" w:rsidRDefault="005A7F6B" w:rsidP="00421639">
      <w:pPr>
        <w:keepNext/>
        <w:tabs>
          <w:tab w:val="left" w:pos="567"/>
        </w:tabs>
        <w:rPr>
          <w:lang w:val="fr-FR"/>
        </w:rPr>
      </w:pPr>
    </w:p>
    <w:p w:rsidR="005A7F6B" w:rsidRPr="00431D28" w:rsidRDefault="00845F91" w:rsidP="00845F91">
      <w:pPr>
        <w:tabs>
          <w:tab w:val="left" w:pos="851"/>
        </w:tabs>
        <w:rPr>
          <w:rFonts w:cs="Arial"/>
          <w:spacing w:val="-2"/>
          <w:lang w:val="fr-FR"/>
        </w:rPr>
      </w:pPr>
      <w:r w:rsidRPr="005C4304">
        <w:rPr>
          <w:rFonts w:cs="Arial"/>
          <w:lang w:val="fr-FR"/>
        </w:rPr>
        <w:t>2.3.2.9</w:t>
      </w:r>
      <w:r w:rsidRPr="005C4304">
        <w:rPr>
          <w:rFonts w:cs="Arial"/>
          <w:lang w:val="fr-FR"/>
        </w:rPr>
        <w:tab/>
        <w:t>Un certain nombre de membres de l’Union dispensent des cours de formation sur la protection des obtentions végétales conformément à la Convention UPOV (par exemple : le cours de formation à la protection des obtentions végétales organisé par l’Agence japonaise de coopération internationale (JICA) (Japon);  le “</w:t>
      </w:r>
      <w:r w:rsidRPr="005C4304">
        <w:rPr>
          <w:rFonts w:cs="Arial"/>
          <w:i/>
          <w:lang w:val="fr-FR"/>
        </w:rPr>
        <w:t>Taller internacional de evaluación de la distinción, homogeneidad y estabilidad (DHE) de variedades vegetales</w:t>
      </w:r>
      <w:r w:rsidRPr="005C4304">
        <w:rPr>
          <w:rFonts w:cs="Arial"/>
          <w:lang w:val="fr-FR"/>
        </w:rPr>
        <w:t xml:space="preserve">”, organisé par le </w:t>
      </w:r>
      <w:r w:rsidRPr="005C4304">
        <w:rPr>
          <w:rFonts w:cs="Arial"/>
          <w:i/>
          <w:lang w:val="fr-FR"/>
        </w:rPr>
        <w:t>Servicio Nacional de Inspección y Certificación de Semillas</w:t>
      </w:r>
      <w:r w:rsidRPr="005C4304">
        <w:rPr>
          <w:rFonts w:cs="Arial"/>
          <w:lang w:val="fr-FR"/>
        </w:rPr>
        <w:t xml:space="preserve"> (SNICS) et le </w:t>
      </w:r>
      <w:r w:rsidRPr="005C4304">
        <w:rPr>
          <w:rFonts w:cs="Arial"/>
          <w:i/>
          <w:lang w:val="fr-FR"/>
        </w:rPr>
        <w:t>Colegio de Postgraduados</w:t>
      </w:r>
      <w:r w:rsidRPr="005C4304">
        <w:rPr>
          <w:rFonts w:cs="Arial"/>
          <w:lang w:val="fr-FR"/>
        </w:rPr>
        <w:t xml:space="preserve"> (Mexique);  le cours sur la protection des obtentions végétales organisé par Naktuinbouw (Pays-Bas);  le cours de formation à la protection des obtentions végétales organisé par le Service coréen des semences et des variétés (KSVS) et l’Agence coréenne pour la coopération internationale (KOICA) (République de Corée);  le “</w:t>
      </w:r>
      <w:r w:rsidRPr="005C4304">
        <w:rPr>
          <w:rFonts w:cs="Arial"/>
          <w:i/>
          <w:lang w:val="fr-FR"/>
        </w:rPr>
        <w:t>Curso de formación sobre la protección de las obtenciones vegetales para países Iberoamericanos</w:t>
      </w:r>
      <w:r w:rsidRPr="005C4304">
        <w:rPr>
          <w:rFonts w:cs="Arial"/>
          <w:lang w:val="fr-FR"/>
        </w:rPr>
        <w:t>”, organisé par l’</w:t>
      </w:r>
      <w:r w:rsidRPr="005C4304">
        <w:rPr>
          <w:rFonts w:cs="Arial"/>
          <w:i/>
          <w:lang w:val="fr-FR"/>
        </w:rPr>
        <w:t>Instituto Nacional de Semillas</w:t>
      </w:r>
      <w:r w:rsidRPr="005C4304">
        <w:rPr>
          <w:rFonts w:cs="Arial"/>
          <w:lang w:val="fr-FR"/>
        </w:rPr>
        <w:t xml:space="preserve"> (INASE) (Uruguay), l’</w:t>
      </w:r>
      <w:r w:rsidRPr="005C4304">
        <w:rPr>
          <w:rFonts w:cs="Arial"/>
          <w:i/>
          <w:lang w:val="fr-FR"/>
        </w:rPr>
        <w:t>Oficina Española de Variedades Vegetales</w:t>
      </w:r>
      <w:r w:rsidRPr="00431D28">
        <w:rPr>
          <w:rFonts w:cs="Arial"/>
          <w:i/>
          <w:lang w:val="fr-FR"/>
        </w:rPr>
        <w:t xml:space="preserve"> </w:t>
      </w:r>
      <w:r w:rsidRPr="00431D28">
        <w:rPr>
          <w:rFonts w:cs="Arial"/>
          <w:lang w:val="fr-FR"/>
        </w:rPr>
        <w:t xml:space="preserve">(OEVV) </w:t>
      </w:r>
      <w:r w:rsidRPr="005C4304">
        <w:rPr>
          <w:rFonts w:cs="Arial"/>
          <w:lang w:val="fr-FR"/>
        </w:rPr>
        <w:t>(Espagne), l’</w:t>
      </w:r>
      <w:r w:rsidRPr="005C4304">
        <w:rPr>
          <w:rFonts w:cs="Arial"/>
          <w:i/>
          <w:lang w:val="fr-FR"/>
        </w:rPr>
        <w:t>Agencia</w:t>
      </w:r>
      <w:r w:rsidRPr="00431D28">
        <w:rPr>
          <w:rFonts w:cs="Arial"/>
          <w:i/>
          <w:lang w:val="fr-FR"/>
        </w:rPr>
        <w:t xml:space="preserve"> Española de Cooperación Internacional para el Desarrollo </w:t>
      </w:r>
      <w:r w:rsidRPr="00431D28">
        <w:rPr>
          <w:rFonts w:cs="Arial"/>
          <w:lang w:val="fr-FR"/>
        </w:rPr>
        <w:t>(AECID) (Espagne), l’Office des brevets et des marques des États-Unis d’Amérique (USPTO) (États-Unis d’Amérique) et l’Organisation Mondiale de la Propriété Intellectuelle (OMPI); et le cours sur la protection des obtentions végétales en vertu de la Convention UPOV, organisé par l’Académie mondiale de la propriété intellectuelle de l’USPTO).</w:t>
      </w:r>
    </w:p>
    <w:p w:rsidR="005A7F6B" w:rsidRPr="00431D28" w:rsidRDefault="005A7F6B" w:rsidP="00421639">
      <w:pPr>
        <w:tabs>
          <w:tab w:val="left" w:pos="567"/>
        </w:tabs>
        <w:rPr>
          <w:rFonts w:cs="Arial"/>
          <w:lang w:val="fr-FR"/>
        </w:rPr>
      </w:pPr>
    </w:p>
    <w:p w:rsidR="005A7F6B" w:rsidRPr="00431D28" w:rsidRDefault="006A7D31" w:rsidP="00BD1B5E">
      <w:pPr>
        <w:tabs>
          <w:tab w:val="left" w:pos="851"/>
        </w:tabs>
        <w:rPr>
          <w:lang w:val="fr-FR"/>
        </w:rPr>
      </w:pPr>
      <w:r>
        <w:rPr>
          <w:lang w:val="fr-FR"/>
        </w:rPr>
        <w:br w:type="page"/>
      </w:r>
      <w:r w:rsidR="009A663A" w:rsidRPr="00431D28">
        <w:rPr>
          <w:lang w:val="fr-FR"/>
        </w:rPr>
        <w:t>2.3.2.10</w:t>
      </w:r>
      <w:r w:rsidR="009A663A" w:rsidRPr="00431D28">
        <w:rPr>
          <w:lang w:val="fr-FR"/>
        </w:rPr>
        <w:tab/>
      </w:r>
      <w:r w:rsidR="00845F91" w:rsidRPr="00431D28">
        <w:rPr>
          <w:lang w:val="fr-FR"/>
        </w:rPr>
        <w:t xml:space="preserve">Concernant les cours de formation et d’autres cours de ce type qui, de l’avis du Bureau de l’Union, sont conformes aux principes et </w:t>
      </w:r>
      <w:r w:rsidR="00845F91" w:rsidRPr="005C4304">
        <w:rPr>
          <w:lang w:val="fr-FR"/>
        </w:rPr>
        <w:t>priorités</w:t>
      </w:r>
      <w:r w:rsidR="00BD1B5E" w:rsidRPr="005C4304">
        <w:rPr>
          <w:lang w:val="fr-FR"/>
        </w:rPr>
        <w:t xml:space="preserve"> fixés par le </w:t>
      </w:r>
      <w:r w:rsidR="00845F91" w:rsidRPr="005C4304">
        <w:rPr>
          <w:lang w:val="fr-FR"/>
        </w:rPr>
        <w:t>Conseil, le Bureau</w:t>
      </w:r>
      <w:r w:rsidR="00845F91" w:rsidRPr="00431D28">
        <w:rPr>
          <w:lang w:val="fr-FR"/>
        </w:rPr>
        <w:t xml:space="preserve"> de l’Union s’efforce d’apporter une aide aussi large que possible dans le cadre de la conception et de la réalisation de ces cours.</w:t>
      </w:r>
      <w:r w:rsidR="00421639" w:rsidRPr="00431D28">
        <w:rPr>
          <w:lang w:val="fr-FR"/>
        </w:rPr>
        <w:t xml:space="preserve">  </w:t>
      </w:r>
      <w:r w:rsidR="00BD1B5E" w:rsidRPr="00431D28">
        <w:rPr>
          <w:lang w:val="fr-FR"/>
        </w:rPr>
        <w:t>À cet égard, les organisateurs des cours de formation sont encouragés à étudier avec le Bureau de l’Union la question du choix des participants et du contenu du cours, à la lumière des principes et priorités fixés par le Conseil, et ils sont aussi invités à proposer aux participants de suivre, avant ou pendant le cours de formation, le cours de formation à distance de l’UPOV DL 205 intitulé “Introduction au système de l'UPOV de protection des obtentions végétales selon la Convention UPOV”.</w:t>
      </w:r>
      <w:r w:rsidR="00421639" w:rsidRPr="00431D28">
        <w:rPr>
          <w:lang w:val="fr-FR"/>
        </w:rPr>
        <w:t xml:space="preserve"> </w:t>
      </w:r>
    </w:p>
    <w:p w:rsidR="005A7F6B" w:rsidRPr="00431D28" w:rsidRDefault="005A7F6B" w:rsidP="00421639">
      <w:pPr>
        <w:tabs>
          <w:tab w:val="left" w:pos="567"/>
        </w:tabs>
        <w:rPr>
          <w:lang w:val="fr-FR"/>
        </w:rPr>
      </w:pPr>
    </w:p>
    <w:p w:rsidR="005A7F6B" w:rsidRPr="00431D28" w:rsidRDefault="00BD1B5E" w:rsidP="00BD1B5E">
      <w:pPr>
        <w:keepNext/>
        <w:tabs>
          <w:tab w:val="left" w:pos="567"/>
        </w:tabs>
        <w:rPr>
          <w:i/>
          <w:lang w:val="fr-FR"/>
        </w:rPr>
      </w:pPr>
      <w:r w:rsidRPr="00431D28">
        <w:rPr>
          <w:i/>
          <w:lang w:val="fr-FR"/>
        </w:rPr>
        <w:t>Coopération avec d’autres organisations et organes</w:t>
      </w:r>
    </w:p>
    <w:p w:rsidR="005A7F6B" w:rsidRPr="00431D28" w:rsidRDefault="005A7F6B" w:rsidP="00421639">
      <w:pPr>
        <w:keepNext/>
        <w:tabs>
          <w:tab w:val="left" w:pos="567"/>
        </w:tabs>
        <w:rPr>
          <w:lang w:val="fr-FR"/>
        </w:rPr>
      </w:pPr>
    </w:p>
    <w:p w:rsidR="005A7F6B" w:rsidRPr="00431D28" w:rsidRDefault="00BD1B5E" w:rsidP="00BD1B5E">
      <w:pPr>
        <w:tabs>
          <w:tab w:val="left" w:pos="851"/>
        </w:tabs>
        <w:rPr>
          <w:lang w:val="fr-FR"/>
        </w:rPr>
      </w:pPr>
      <w:r w:rsidRPr="00431D28">
        <w:rPr>
          <w:lang w:val="fr-FR"/>
        </w:rPr>
        <w:t>2.3.2.11 La coopération de l’UPOV avec l'Organisation Mondiale de la Propriété Intellectuelle (OMPI) constitue un moyen important de fournir une assistance efficace à des États et à des organisations intéressées.</w:t>
      </w:r>
      <w:r w:rsidR="00421639" w:rsidRPr="00431D28">
        <w:rPr>
          <w:lang w:val="fr-FR"/>
        </w:rPr>
        <w:t xml:space="preserve">  </w:t>
      </w:r>
    </w:p>
    <w:p w:rsidR="005A7F6B" w:rsidRPr="00431D28" w:rsidRDefault="005A7F6B" w:rsidP="00421639">
      <w:pPr>
        <w:rPr>
          <w:lang w:val="fr-FR"/>
        </w:rPr>
      </w:pPr>
    </w:p>
    <w:p w:rsidR="005A7F6B" w:rsidRPr="00431D28" w:rsidRDefault="00BD1B5E" w:rsidP="00BD1B5E">
      <w:pPr>
        <w:tabs>
          <w:tab w:val="left" w:pos="851"/>
        </w:tabs>
        <w:rPr>
          <w:lang w:val="fr-FR"/>
        </w:rPr>
      </w:pPr>
      <w:r w:rsidRPr="00431D28">
        <w:rPr>
          <w:lang w:val="fr-FR"/>
        </w:rPr>
        <w:t>2.3.2.12</w:t>
      </w:r>
      <w:r w:rsidRPr="00431D28">
        <w:rPr>
          <w:lang w:val="fr-FR"/>
        </w:rPr>
        <w:tab/>
        <w:t>Le Forum sur la protection des obtentions végétales en Asie orientale s’attache à faciliter l’amélioration de la mise en œuvre et de l’harmonisation du système de protection des obtentions végétales dans la région Asie</w:t>
      </w:r>
      <w:r w:rsidR="008B7DDC">
        <w:rPr>
          <w:lang w:val="fr-FR"/>
        </w:rPr>
        <w:t>,</w:t>
      </w:r>
      <w:r w:rsidRPr="00431D28">
        <w:rPr>
          <w:lang w:val="fr-FR"/>
        </w:rPr>
        <w:t xml:space="preserve"> et le Bureau de l’Union continuera à collaborer avec le forum.</w:t>
      </w:r>
      <w:r w:rsidR="00421639" w:rsidRPr="00431D28">
        <w:rPr>
          <w:lang w:val="fr-FR"/>
        </w:rPr>
        <w:t xml:space="preserve"> </w:t>
      </w:r>
    </w:p>
    <w:p w:rsidR="005A7F6B" w:rsidRPr="00431D28" w:rsidRDefault="005A7F6B" w:rsidP="00421639">
      <w:pPr>
        <w:tabs>
          <w:tab w:val="left" w:pos="851"/>
        </w:tabs>
        <w:rPr>
          <w:lang w:val="fr-FR"/>
        </w:rPr>
      </w:pPr>
    </w:p>
    <w:p w:rsidR="005A7F6B" w:rsidRPr="00431D28" w:rsidRDefault="00BD1B5E" w:rsidP="00BD1B5E">
      <w:pPr>
        <w:tabs>
          <w:tab w:val="left" w:pos="851"/>
        </w:tabs>
        <w:rPr>
          <w:lang w:val="fr-FR"/>
        </w:rPr>
      </w:pPr>
      <w:r w:rsidRPr="00431D28">
        <w:rPr>
          <w:lang w:val="fr-FR"/>
        </w:rPr>
        <w:t>2.3.2.13</w:t>
      </w:r>
      <w:r w:rsidRPr="00431D28">
        <w:rPr>
          <w:lang w:val="fr-FR"/>
        </w:rPr>
        <w:tab/>
        <w:t>Le projet mondial sur les semences a pour but de fournir à des pays choisis un moyen additionnel pour les aider à assurer la protection des obtentions végétales selon la Convention UPOV.</w:t>
      </w:r>
      <w:r w:rsidR="00421639" w:rsidRPr="00431D28">
        <w:rPr>
          <w:szCs w:val="24"/>
          <w:lang w:val="fr-FR"/>
        </w:rPr>
        <w:t xml:space="preserve">  </w:t>
      </w:r>
      <w:r w:rsidRPr="00431D28">
        <w:rPr>
          <w:szCs w:val="24"/>
          <w:lang w:val="fr-FR"/>
        </w:rPr>
        <w:t>Il a été conçu pour définir un cadre visant à faciliter la mise au point de nouvelles variétés et la distribution aux agriculteurs de semences de qualité afin d’augmenter la productivité agricole.</w:t>
      </w:r>
      <w:r w:rsidR="00421639" w:rsidRPr="00431D28">
        <w:rPr>
          <w:szCs w:val="24"/>
          <w:lang w:val="fr-FR"/>
        </w:rPr>
        <w:t xml:space="preserve">  </w:t>
      </w:r>
      <w:r w:rsidRPr="00431D28">
        <w:rPr>
          <w:szCs w:val="24"/>
          <w:lang w:val="fr-FR"/>
        </w:rPr>
        <w:t>Grâce aux efforts conjoints de l’Organisation des Nations Unies pour l’alimentation et l’agriculture (FAO), de l’</w:t>
      </w:r>
      <w:r w:rsidRPr="00431D28">
        <w:rPr>
          <w:i/>
          <w:szCs w:val="24"/>
          <w:lang w:val="fr-FR"/>
        </w:rPr>
        <w:t>International Seed Federation</w:t>
      </w:r>
      <w:r w:rsidRPr="00431D28">
        <w:rPr>
          <w:szCs w:val="24"/>
          <w:lang w:val="fr-FR"/>
        </w:rPr>
        <w:t xml:space="preserve"> (ISF), de l’Association internationale d’essais de semences (ISTA), de l’Organisation de coopération et de développement économiques (OCDE) et de l’UPOV, le projet a pour objet d’aider les pays choisis à élaborer et à mettre en place un cadre réglementaire stable, fiable, efficace et abordable.</w:t>
      </w:r>
      <w:r w:rsidR="00421639" w:rsidRPr="00431D28">
        <w:rPr>
          <w:szCs w:val="24"/>
          <w:lang w:val="fr-FR"/>
        </w:rPr>
        <w:t xml:space="preserve">  </w:t>
      </w:r>
      <w:r w:rsidRPr="00431D28">
        <w:rPr>
          <w:szCs w:val="24"/>
          <w:lang w:val="fr-FR"/>
        </w:rPr>
        <w:t>Les pays devant participer au projet seront sélectionnés sur la base de la pleine compatibilité du projet avec leur propre vision de l’élaboration d’un système de fourniture de semences capable de relever les défis posés à l’agriculture sur le plan local.</w:t>
      </w:r>
      <w:r w:rsidR="00421639" w:rsidRPr="00431D28">
        <w:rPr>
          <w:szCs w:val="24"/>
          <w:lang w:val="fr-FR"/>
        </w:rPr>
        <w:t xml:space="preserve">  </w:t>
      </w:r>
      <w:r w:rsidRPr="00431D28">
        <w:rPr>
          <w:szCs w:val="24"/>
          <w:lang w:val="fr-FR"/>
        </w:rPr>
        <w:t>Le projet mondial sur les semences nécessitera des fonds de donateurs extérieurs.</w:t>
      </w:r>
      <w:r w:rsidR="00421639" w:rsidRPr="00431D28">
        <w:rPr>
          <w:lang w:val="fr-FR"/>
        </w:rPr>
        <w:t xml:space="preserve"> </w:t>
      </w:r>
    </w:p>
    <w:p w:rsidR="005A7F6B" w:rsidRPr="00431D28" w:rsidRDefault="005A7F6B" w:rsidP="00421639">
      <w:pPr>
        <w:tabs>
          <w:tab w:val="left" w:pos="851"/>
        </w:tabs>
        <w:rPr>
          <w:lang w:val="fr-FR"/>
        </w:rPr>
      </w:pPr>
    </w:p>
    <w:p w:rsidR="005A7F6B" w:rsidRPr="00431D28" w:rsidRDefault="00D7528C" w:rsidP="00D7528C">
      <w:pPr>
        <w:tabs>
          <w:tab w:val="left" w:pos="851"/>
        </w:tabs>
        <w:rPr>
          <w:lang w:val="fr-FR"/>
        </w:rPr>
      </w:pPr>
      <w:r w:rsidRPr="00431D28">
        <w:rPr>
          <w:lang w:val="fr-FR"/>
        </w:rPr>
        <w:t>2.3.2.14</w:t>
      </w:r>
      <w:r w:rsidRPr="00431D28">
        <w:rPr>
          <w:lang w:val="fr-FR"/>
        </w:rPr>
        <w:tab/>
        <w:t>S’il y a lieu, le Bureau de l’Union collaborera avec les organisations susmentionnées et d’autres organisations compétentes dans le cadre des principes et priorités fixés par le Conseil en matière d’assistance fournie par le Bureau de l’Union.</w:t>
      </w:r>
      <w:r w:rsidR="00421639" w:rsidRPr="00431D28">
        <w:rPr>
          <w:lang w:val="fr-FR"/>
        </w:rPr>
        <w:t xml:space="preserve">  </w:t>
      </w:r>
    </w:p>
    <w:p w:rsidR="005A7F6B" w:rsidRPr="00431D28" w:rsidRDefault="005A7F6B" w:rsidP="00421639">
      <w:pPr>
        <w:keepNext/>
        <w:rPr>
          <w:i/>
          <w:lang w:val="fr-FR"/>
        </w:rPr>
      </w:pPr>
    </w:p>
    <w:p w:rsidR="005A7F6B" w:rsidRPr="00431D28" w:rsidRDefault="00D7528C" w:rsidP="00D7528C">
      <w:pPr>
        <w:keepNext/>
        <w:rPr>
          <w:i/>
          <w:lang w:val="fr-FR"/>
        </w:rPr>
      </w:pPr>
      <w:r w:rsidRPr="00431D28">
        <w:rPr>
          <w:i/>
          <w:lang w:val="fr-FR"/>
        </w:rPr>
        <w:t>Financement de donateurs</w:t>
      </w:r>
    </w:p>
    <w:p w:rsidR="005A7F6B" w:rsidRPr="00431D28" w:rsidRDefault="005A7F6B" w:rsidP="00421639">
      <w:pPr>
        <w:keepNext/>
        <w:rPr>
          <w:i/>
          <w:lang w:val="fr-FR"/>
        </w:rPr>
      </w:pPr>
    </w:p>
    <w:p w:rsidR="005A7F6B" w:rsidRPr="00431D28" w:rsidRDefault="00D7528C" w:rsidP="00D7528C">
      <w:pPr>
        <w:pStyle w:val="BodyText"/>
        <w:tabs>
          <w:tab w:val="left" w:pos="851"/>
        </w:tabs>
        <w:rPr>
          <w:iCs/>
          <w:szCs w:val="24"/>
          <w:lang w:val="fr-FR"/>
        </w:rPr>
      </w:pPr>
      <w:r w:rsidRPr="00431D28">
        <w:rPr>
          <w:lang w:val="fr-FR"/>
        </w:rPr>
        <w:t>2.3.2.15</w:t>
      </w:r>
      <w:r w:rsidRPr="00431D28">
        <w:rPr>
          <w:lang w:val="fr-FR"/>
        </w:rPr>
        <w:tab/>
        <w:t>L’UPOV a créé à l’intention des membres de l’Union une page “Assistance” sur son site Web destinée à faciliter la mobilisation de ressources extrabudgétaires grâce au financement de donateurs.</w:t>
      </w:r>
      <w:r w:rsidR="00421639" w:rsidRPr="00431D28">
        <w:rPr>
          <w:iCs/>
          <w:szCs w:val="24"/>
          <w:lang w:val="fr-FR"/>
        </w:rPr>
        <w:t xml:space="preserve"> </w:t>
      </w:r>
    </w:p>
    <w:p w:rsidR="005A7F6B" w:rsidRPr="00431D28" w:rsidRDefault="005A7F6B" w:rsidP="00421639">
      <w:pPr>
        <w:rPr>
          <w:i/>
          <w:lang w:val="fr-FR"/>
        </w:rPr>
      </w:pPr>
    </w:p>
    <w:p w:rsidR="005A7F6B" w:rsidRPr="00431D28" w:rsidRDefault="00D7528C" w:rsidP="00D7528C">
      <w:pPr>
        <w:rPr>
          <w:b/>
          <w:lang w:val="fr-FR"/>
        </w:rPr>
      </w:pPr>
      <w:r w:rsidRPr="00431D28">
        <w:rPr>
          <w:b/>
          <w:lang w:val="fr-FR"/>
        </w:rPr>
        <w:t>2.3.3</w:t>
      </w:r>
      <w:r w:rsidRPr="00431D28">
        <w:rPr>
          <w:b/>
          <w:lang w:val="fr-FR"/>
        </w:rPr>
        <w:tab/>
        <w:t>Activités</w:t>
      </w:r>
    </w:p>
    <w:p w:rsidR="005A7F6B" w:rsidRPr="00431D28" w:rsidRDefault="005A7F6B" w:rsidP="00421639">
      <w:pPr>
        <w:rPr>
          <w:lang w:val="fr-FR"/>
        </w:rPr>
      </w:pPr>
    </w:p>
    <w:p w:rsidR="005A7F6B" w:rsidRPr="00431D28" w:rsidRDefault="00D7528C" w:rsidP="00D7528C">
      <w:pPr>
        <w:numPr>
          <w:ilvl w:val="0"/>
          <w:numId w:val="10"/>
        </w:numPr>
        <w:tabs>
          <w:tab w:val="clear" w:pos="720"/>
        </w:tabs>
        <w:spacing w:after="120"/>
        <w:ind w:left="1134" w:hanging="567"/>
        <w:rPr>
          <w:lang w:val="fr-FR"/>
        </w:rPr>
      </w:pPr>
      <w:r w:rsidRPr="00431D28">
        <w:rPr>
          <w:lang w:val="fr-FR"/>
        </w:rPr>
        <w:t>Assistance en vue de l’élaboration d’une législation.</w:t>
      </w:r>
    </w:p>
    <w:p w:rsidR="005A7F6B" w:rsidRPr="00431D28" w:rsidRDefault="00D7528C" w:rsidP="00D7528C">
      <w:pPr>
        <w:numPr>
          <w:ilvl w:val="0"/>
          <w:numId w:val="10"/>
        </w:numPr>
        <w:tabs>
          <w:tab w:val="clear" w:pos="720"/>
        </w:tabs>
        <w:spacing w:after="120"/>
        <w:ind w:left="1134" w:hanging="567"/>
        <w:rPr>
          <w:lang w:val="fr-FR"/>
        </w:rPr>
      </w:pPr>
      <w:r w:rsidRPr="00431D28">
        <w:rPr>
          <w:lang w:val="fr-FR"/>
        </w:rPr>
        <w:t>Élaboration et mise en œuvre de cours d’enseignement à distance.</w:t>
      </w:r>
    </w:p>
    <w:p w:rsidR="005A7F6B" w:rsidRPr="00431D28" w:rsidRDefault="00D7528C" w:rsidP="00D7528C">
      <w:pPr>
        <w:numPr>
          <w:ilvl w:val="0"/>
          <w:numId w:val="10"/>
        </w:numPr>
        <w:tabs>
          <w:tab w:val="clear" w:pos="720"/>
        </w:tabs>
        <w:spacing w:after="120"/>
        <w:ind w:left="1134" w:hanging="567"/>
        <w:rPr>
          <w:lang w:val="fr-FR"/>
        </w:rPr>
      </w:pPr>
      <w:r w:rsidRPr="00431D28">
        <w:rPr>
          <w:lang w:val="fr-FR"/>
        </w:rPr>
        <w:t>Activités de formation et d’assistance.</w:t>
      </w:r>
    </w:p>
    <w:p w:rsidR="005A7F6B" w:rsidRPr="00431D28" w:rsidRDefault="00D7528C" w:rsidP="00D7528C">
      <w:pPr>
        <w:numPr>
          <w:ilvl w:val="0"/>
          <w:numId w:val="10"/>
        </w:numPr>
        <w:tabs>
          <w:tab w:val="clear" w:pos="720"/>
        </w:tabs>
        <w:spacing w:after="120"/>
        <w:ind w:left="1134" w:hanging="567"/>
        <w:rPr>
          <w:lang w:val="fr-FR"/>
        </w:rPr>
      </w:pPr>
      <w:r w:rsidRPr="00431D28">
        <w:rPr>
          <w:lang w:val="fr-FR"/>
        </w:rPr>
        <w:t>Appui dans le cadre de projets visant à mettre en place et à appliquer le système de l’UPOV.</w:t>
      </w:r>
    </w:p>
    <w:p w:rsidR="005A7F6B" w:rsidRPr="00431D28" w:rsidRDefault="00D7528C" w:rsidP="00D7528C">
      <w:pPr>
        <w:numPr>
          <w:ilvl w:val="0"/>
          <w:numId w:val="10"/>
        </w:numPr>
        <w:tabs>
          <w:tab w:val="clear" w:pos="720"/>
        </w:tabs>
        <w:spacing w:after="120"/>
        <w:ind w:left="1134" w:hanging="567"/>
        <w:rPr>
          <w:lang w:val="fr-FR"/>
        </w:rPr>
      </w:pPr>
      <w:r w:rsidRPr="00431D28">
        <w:rPr>
          <w:lang w:val="fr-FR"/>
        </w:rPr>
        <w:t>Publications sur le rôle du système</w:t>
      </w:r>
      <w:r w:rsidR="008B7DDC">
        <w:rPr>
          <w:lang w:val="fr-FR"/>
        </w:rPr>
        <w:t xml:space="preserve"> de l’UPOV</w:t>
      </w:r>
      <w:r w:rsidRPr="00431D28">
        <w:rPr>
          <w:lang w:val="fr-FR"/>
        </w:rPr>
        <w:t xml:space="preserve"> de protection de</w:t>
      </w:r>
      <w:r w:rsidR="008B7DDC">
        <w:rPr>
          <w:lang w:val="fr-FR"/>
        </w:rPr>
        <w:t>s obtentions végétales</w:t>
      </w:r>
      <w:r w:rsidRPr="00431D28">
        <w:rPr>
          <w:lang w:val="fr-FR"/>
        </w:rPr>
        <w:t>, qui seront mises à disposition sur le site Web de l’UPOV et par d’autres voies de communication.</w:t>
      </w:r>
    </w:p>
    <w:p w:rsidR="005A7F6B" w:rsidRPr="00431D28" w:rsidRDefault="00D7528C" w:rsidP="00D7528C">
      <w:pPr>
        <w:numPr>
          <w:ilvl w:val="0"/>
          <w:numId w:val="10"/>
        </w:numPr>
        <w:tabs>
          <w:tab w:val="clear" w:pos="720"/>
        </w:tabs>
        <w:spacing w:after="120"/>
        <w:ind w:left="1134" w:hanging="567"/>
        <w:rPr>
          <w:lang w:val="fr-FR"/>
        </w:rPr>
      </w:pPr>
      <w:r w:rsidRPr="00431D28">
        <w:rPr>
          <w:snapToGrid w:val="0"/>
          <w:lang w:val="fr-FR"/>
        </w:rPr>
        <w:t>Actions de sensibilisation.</w:t>
      </w:r>
    </w:p>
    <w:p w:rsidR="005A7F6B" w:rsidRPr="00431D28" w:rsidRDefault="005A7F6B" w:rsidP="00421639">
      <w:pPr>
        <w:tabs>
          <w:tab w:val="left" w:pos="567"/>
        </w:tabs>
        <w:rPr>
          <w:lang w:val="fr-FR"/>
        </w:rPr>
      </w:pPr>
    </w:p>
    <w:p w:rsidR="005A7F6B" w:rsidRPr="00431D28" w:rsidRDefault="00D7528C" w:rsidP="00D7528C">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fr-FR"/>
        </w:rPr>
      </w:pPr>
      <w:r w:rsidRPr="00431D28">
        <w:rPr>
          <w:b/>
          <w:lang w:val="fr-FR"/>
        </w:rPr>
        <w:t>2.3.4</w:t>
      </w:r>
      <w:r w:rsidRPr="00431D28">
        <w:rPr>
          <w:b/>
          <w:lang w:val="fr-FR"/>
        </w:rPr>
        <w:tab/>
        <w:t>Résultats escomptés et indicateurs d'exécution</w:t>
      </w:r>
    </w:p>
    <w:p w:rsidR="00421639" w:rsidRPr="00431D28" w:rsidRDefault="00421639" w:rsidP="00421639">
      <w:pPr>
        <w:keepNext/>
        <w:tabs>
          <w:tab w:val="left" w:pos="567"/>
        </w:tabs>
        <w:rPr>
          <w:lang w:val="fr-FR"/>
        </w:rPr>
      </w:pPr>
    </w:p>
    <w:tbl>
      <w:tblPr>
        <w:tblW w:w="9889" w:type="dxa"/>
        <w:tblInd w:w="-103" w:type="dxa"/>
        <w:tblLayout w:type="fixed"/>
        <w:tblCellMar>
          <w:left w:w="0" w:type="dxa"/>
          <w:right w:w="0" w:type="dxa"/>
        </w:tblCellMar>
        <w:tblLook w:val="0000" w:firstRow="0" w:lastRow="0" w:firstColumn="0" w:lastColumn="0" w:noHBand="0" w:noVBand="0"/>
      </w:tblPr>
      <w:tblGrid>
        <w:gridCol w:w="4643"/>
        <w:gridCol w:w="5246"/>
      </w:tblGrid>
      <w:tr w:rsidR="009A663A" w:rsidRPr="00431D28" w:rsidTr="00DC35EC">
        <w:trPr>
          <w:cantSplit/>
          <w:tblHeader/>
        </w:trPr>
        <w:tc>
          <w:tcPr>
            <w:tcW w:w="4643" w:type="dxa"/>
            <w:tcBorders>
              <w:top w:val="single" w:sz="4" w:space="0" w:color="000000"/>
              <w:left w:val="single" w:sz="4" w:space="0" w:color="000000"/>
              <w:bottom w:val="single" w:sz="4" w:space="0" w:color="000000"/>
              <w:right w:val="single" w:sz="4" w:space="0" w:color="000000"/>
            </w:tcBorders>
          </w:tcPr>
          <w:p w:rsidR="00421639" w:rsidRPr="00431D28" w:rsidRDefault="00D7528C" w:rsidP="00D7528C">
            <w:pPr>
              <w:keepNext/>
              <w:spacing w:before="120" w:after="120"/>
              <w:ind w:left="108"/>
              <w:jc w:val="center"/>
              <w:rPr>
                <w:u w:val="single"/>
                <w:lang w:val="fr-FR"/>
              </w:rPr>
            </w:pPr>
            <w:r w:rsidRPr="00431D28">
              <w:rPr>
                <w:u w:val="single"/>
                <w:lang w:val="fr-FR"/>
              </w:rPr>
              <w:t>Résultats escomptés</w:t>
            </w:r>
          </w:p>
        </w:tc>
        <w:tc>
          <w:tcPr>
            <w:tcW w:w="5246" w:type="dxa"/>
            <w:tcBorders>
              <w:top w:val="single" w:sz="4" w:space="0" w:color="000000"/>
              <w:left w:val="single" w:sz="4" w:space="0" w:color="000000"/>
              <w:bottom w:val="single" w:sz="4" w:space="0" w:color="000000"/>
              <w:right w:val="single" w:sz="4" w:space="0" w:color="000000"/>
            </w:tcBorders>
          </w:tcPr>
          <w:p w:rsidR="00421639" w:rsidRPr="00431D28" w:rsidRDefault="00D7528C" w:rsidP="00D7528C">
            <w:pPr>
              <w:keepNext/>
              <w:spacing w:before="120" w:after="120"/>
              <w:jc w:val="center"/>
              <w:rPr>
                <w:u w:val="single"/>
                <w:lang w:val="fr-FR"/>
              </w:rPr>
            </w:pPr>
            <w:r w:rsidRPr="00431D28">
              <w:rPr>
                <w:u w:val="single"/>
                <w:lang w:val="fr-FR"/>
              </w:rPr>
              <w:t>Indicateurs d’exécution</w:t>
            </w:r>
          </w:p>
        </w:tc>
      </w:tr>
      <w:tr w:rsidR="009A663A" w:rsidRPr="00431D28"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431D28" w:rsidRDefault="00D7528C" w:rsidP="00D7528C">
            <w:pPr>
              <w:spacing w:before="60" w:after="60"/>
              <w:ind w:left="108"/>
              <w:jc w:val="left"/>
              <w:rPr>
                <w:lang w:val="fr-FR"/>
              </w:rPr>
            </w:pPr>
            <w:r w:rsidRPr="00431D28">
              <w:rPr>
                <w:lang w:val="fr-FR"/>
              </w:rPr>
              <w:t>1.</w:t>
            </w:r>
            <w:r w:rsidRPr="00431D28">
              <w:rPr>
                <w:lang w:val="fr-FR"/>
              </w:rPr>
              <w:tab/>
              <w:t>Sensibilisation au rôle de la protection des obtentions végétales conformément à la Convention UPOV</w:t>
            </w:r>
            <w:r w:rsidR="00421639" w:rsidRPr="00431D28">
              <w:rPr>
                <w:lang w:val="fr-FR"/>
              </w:rPr>
              <w:t xml:space="preserve"> </w:t>
            </w:r>
          </w:p>
        </w:tc>
        <w:tc>
          <w:tcPr>
            <w:tcW w:w="5246" w:type="dxa"/>
            <w:tcBorders>
              <w:top w:val="single" w:sz="4" w:space="0" w:color="000000"/>
              <w:left w:val="single" w:sz="4" w:space="0" w:color="000000"/>
              <w:bottom w:val="single" w:sz="4" w:space="0" w:color="000000"/>
              <w:right w:val="single" w:sz="4" w:space="0" w:color="000000"/>
            </w:tcBorders>
          </w:tcPr>
          <w:p w:rsidR="005A7F6B" w:rsidRPr="00431D28" w:rsidRDefault="00D7528C" w:rsidP="00D7528C">
            <w:pPr>
              <w:spacing w:before="60" w:after="60"/>
              <w:ind w:left="143"/>
              <w:jc w:val="left"/>
              <w:rPr>
                <w:lang w:val="fr-FR"/>
              </w:rPr>
            </w:pPr>
            <w:r w:rsidRPr="00431D28">
              <w:rPr>
                <w:lang w:val="fr-FR"/>
              </w:rPr>
              <w:t>a)</w:t>
            </w:r>
            <w:r w:rsidRPr="00431D28">
              <w:rPr>
                <w:lang w:val="fr-FR"/>
              </w:rPr>
              <w:tab/>
              <w:t>publications sur le rôle du système</w:t>
            </w:r>
            <w:r w:rsidR="008B7DDC">
              <w:rPr>
                <w:lang w:val="fr-FR"/>
              </w:rPr>
              <w:t xml:space="preserve"> de l’UPOV</w:t>
            </w:r>
            <w:r w:rsidRPr="00431D28">
              <w:rPr>
                <w:lang w:val="fr-FR"/>
              </w:rPr>
              <w:t xml:space="preserve"> de protection des obtentions végétales, qui seront mises à disposition sur le site Web de l’UPOV et par d’autres voies de communication;</w:t>
            </w:r>
          </w:p>
          <w:p w:rsidR="005A7F6B" w:rsidRPr="00431D28" w:rsidRDefault="00D7528C" w:rsidP="00D7528C">
            <w:pPr>
              <w:spacing w:before="60" w:after="60"/>
              <w:ind w:left="143"/>
              <w:jc w:val="left"/>
              <w:rPr>
                <w:lang w:val="fr-FR"/>
              </w:rPr>
            </w:pPr>
            <w:r w:rsidRPr="00431D28">
              <w:rPr>
                <w:lang w:val="fr-FR"/>
              </w:rPr>
              <w:t xml:space="preserve">b) </w:t>
            </w:r>
            <w:r w:rsidRPr="00431D28">
              <w:rPr>
                <w:lang w:val="fr-FR"/>
              </w:rPr>
              <w:tab/>
              <w:t>fourniture aux États et aux organisations d’informations sur les activités de l’UPOV;</w:t>
            </w:r>
          </w:p>
          <w:p w:rsidR="005A7F6B" w:rsidRPr="00431D28" w:rsidRDefault="00D7528C" w:rsidP="00D7528C">
            <w:pPr>
              <w:spacing w:before="60" w:after="60"/>
              <w:ind w:left="143"/>
              <w:jc w:val="left"/>
              <w:rPr>
                <w:lang w:val="fr-FR"/>
              </w:rPr>
            </w:pPr>
            <w:r w:rsidRPr="00431D28">
              <w:rPr>
                <w:lang w:val="fr-FR"/>
              </w:rPr>
              <w:t>c)</w:t>
            </w:r>
            <w:r w:rsidRPr="00431D28">
              <w:rPr>
                <w:lang w:val="fr-FR"/>
              </w:rPr>
              <w:tab/>
              <w:t>États et organisations ayant contacté le Bureau de l’UPOV pour obtenir de l’aide en matière d’élaboration d’une législation relative à la protection des obtentions végétales;</w:t>
            </w:r>
          </w:p>
          <w:p w:rsidR="005A7F6B" w:rsidRPr="00431D28" w:rsidRDefault="00D7528C" w:rsidP="00D7528C">
            <w:pPr>
              <w:spacing w:before="60" w:after="60"/>
              <w:ind w:left="143"/>
              <w:jc w:val="left"/>
              <w:rPr>
                <w:lang w:val="fr-FR"/>
              </w:rPr>
            </w:pPr>
            <w:r w:rsidRPr="00431D28">
              <w:rPr>
                <w:lang w:val="fr-FR"/>
              </w:rPr>
              <w:t>d)</w:t>
            </w:r>
            <w:r w:rsidRPr="00431D28">
              <w:rPr>
                <w:lang w:val="fr-FR"/>
              </w:rPr>
              <w:tab/>
              <w:t>États et organisations ayant entamé auprès du Conseil de l’UPOV la procédure pour devenir membre de l’Union;</w:t>
            </w:r>
          </w:p>
          <w:p w:rsidR="00421639" w:rsidRPr="00431D28" w:rsidRDefault="00D7528C" w:rsidP="00D7528C">
            <w:pPr>
              <w:spacing w:before="60" w:after="60"/>
              <w:ind w:left="143"/>
              <w:jc w:val="left"/>
              <w:rPr>
                <w:lang w:val="fr-FR"/>
              </w:rPr>
            </w:pPr>
            <w:r w:rsidRPr="00431D28">
              <w:rPr>
                <w:lang w:val="fr-FR"/>
              </w:rPr>
              <w:t>e)</w:t>
            </w:r>
            <w:r w:rsidRPr="00431D28">
              <w:rPr>
                <w:lang w:val="fr-FR"/>
              </w:rPr>
              <w:tab/>
              <w:t>participation aux activités de sensibilisation organisées par l’UPOV ou aux activités faisant intervenir des membres du personnel de l’UPOV ou des formateurs de l’UPOV au nom de l’UPOV.</w:t>
            </w:r>
          </w:p>
        </w:tc>
      </w:tr>
      <w:tr w:rsidR="009A663A" w:rsidRPr="00431D28"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431D28" w:rsidRDefault="00453682" w:rsidP="00453682">
            <w:pPr>
              <w:spacing w:before="60" w:after="60"/>
              <w:ind w:left="108"/>
              <w:jc w:val="left"/>
              <w:rPr>
                <w:lang w:val="fr-FR"/>
              </w:rPr>
            </w:pPr>
            <w:r w:rsidRPr="00431D28">
              <w:rPr>
                <w:lang w:val="fr-FR"/>
              </w:rPr>
              <w:t>2.</w:t>
            </w:r>
            <w:r w:rsidRPr="00431D28">
              <w:rPr>
                <w:lang w:val="fr-FR"/>
              </w:rPr>
              <w:tab/>
              <w:t>Assistance en vue de l’élaboration d’une législation relative à la protection des obtentions végétales conforme à l’Acte de 1991 de la Convention UPOV</w:t>
            </w:r>
            <w:r w:rsidR="00421639" w:rsidRPr="00431D28">
              <w:rPr>
                <w:lang w:val="fr-FR"/>
              </w:rPr>
              <w:t xml:space="preserve"> </w:t>
            </w:r>
          </w:p>
        </w:tc>
        <w:tc>
          <w:tcPr>
            <w:tcW w:w="5246" w:type="dxa"/>
            <w:tcBorders>
              <w:top w:val="single" w:sz="4" w:space="0" w:color="000000"/>
              <w:left w:val="single" w:sz="4" w:space="0" w:color="000000"/>
              <w:bottom w:val="single" w:sz="4" w:space="0" w:color="000000"/>
              <w:right w:val="single" w:sz="4" w:space="0" w:color="000000"/>
            </w:tcBorders>
          </w:tcPr>
          <w:p w:rsidR="005A7F6B" w:rsidRPr="00431D28" w:rsidRDefault="00453682" w:rsidP="00453682">
            <w:pPr>
              <w:spacing w:before="60" w:after="60"/>
              <w:ind w:left="143"/>
              <w:jc w:val="left"/>
              <w:rPr>
                <w:lang w:val="fr-FR"/>
              </w:rPr>
            </w:pPr>
            <w:r w:rsidRPr="00431D28">
              <w:rPr>
                <w:lang w:val="fr-FR"/>
              </w:rPr>
              <w:t xml:space="preserve">a) </w:t>
            </w:r>
            <w:r w:rsidRPr="00431D28">
              <w:rPr>
                <w:lang w:val="fr-FR"/>
              </w:rPr>
              <w:tab/>
              <w:t>États et organisations ayant reçu des commentaires sur leurs lois;</w:t>
            </w:r>
          </w:p>
          <w:p w:rsidR="005A7F6B" w:rsidRPr="00431D28" w:rsidRDefault="00453682" w:rsidP="00453682">
            <w:pPr>
              <w:spacing w:before="60" w:after="60"/>
              <w:ind w:left="143"/>
              <w:jc w:val="left"/>
              <w:rPr>
                <w:lang w:val="fr-FR"/>
              </w:rPr>
            </w:pPr>
            <w:r w:rsidRPr="00431D28">
              <w:rPr>
                <w:lang w:val="fr-FR"/>
              </w:rPr>
              <w:t>b)</w:t>
            </w:r>
            <w:r w:rsidRPr="00431D28">
              <w:rPr>
                <w:lang w:val="fr-FR"/>
              </w:rPr>
              <w:tab/>
              <w:t>États et organisations ayant reçu un avis positif du Conseil de l’UPOV;</w:t>
            </w:r>
          </w:p>
          <w:p w:rsidR="00421639" w:rsidRPr="00431D28" w:rsidRDefault="00453682" w:rsidP="00453682">
            <w:pPr>
              <w:spacing w:before="60" w:after="60"/>
              <w:ind w:left="143"/>
              <w:jc w:val="left"/>
              <w:rPr>
                <w:lang w:val="fr-FR"/>
              </w:rPr>
            </w:pPr>
            <w:r w:rsidRPr="00431D28">
              <w:rPr>
                <w:lang w:val="fr-FR"/>
              </w:rPr>
              <w:t>c)</w:t>
            </w:r>
            <w:r w:rsidRPr="00431D28">
              <w:rPr>
                <w:lang w:val="fr-FR"/>
              </w:rPr>
              <w:tab/>
              <w:t>réunions avec des responsables gouvernementaux.</w:t>
            </w:r>
            <w:r w:rsidR="00421639" w:rsidRPr="00431D28">
              <w:rPr>
                <w:lang w:val="fr-FR"/>
              </w:rPr>
              <w:t xml:space="preserve"> </w:t>
            </w:r>
          </w:p>
        </w:tc>
      </w:tr>
      <w:tr w:rsidR="009A663A" w:rsidRPr="00431D28"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431D28" w:rsidRDefault="00453682" w:rsidP="00453682">
            <w:pPr>
              <w:spacing w:before="60" w:after="60"/>
              <w:ind w:left="108"/>
              <w:jc w:val="left"/>
              <w:rPr>
                <w:lang w:val="fr-FR"/>
              </w:rPr>
            </w:pPr>
            <w:r w:rsidRPr="00431D28">
              <w:rPr>
                <w:lang w:val="fr-FR"/>
              </w:rPr>
              <w:t>3.</w:t>
            </w:r>
            <w:r w:rsidRPr="00431D28">
              <w:rPr>
                <w:lang w:val="fr-FR"/>
              </w:rPr>
              <w:tab/>
              <w:t>Assistance fournie à des États et organisations en vue de leur adhésion à l’Acte de 1991 de la Convention UPOV</w:t>
            </w:r>
          </w:p>
        </w:tc>
        <w:tc>
          <w:tcPr>
            <w:tcW w:w="5246" w:type="dxa"/>
            <w:tcBorders>
              <w:top w:val="single" w:sz="4" w:space="0" w:color="000000"/>
              <w:left w:val="single" w:sz="4" w:space="0" w:color="000000"/>
              <w:bottom w:val="single" w:sz="4" w:space="0" w:color="000000"/>
              <w:right w:val="single" w:sz="4" w:space="0" w:color="000000"/>
            </w:tcBorders>
          </w:tcPr>
          <w:p w:rsidR="005A7F6B" w:rsidRPr="00431D28" w:rsidRDefault="00453682" w:rsidP="00453682">
            <w:pPr>
              <w:spacing w:before="60" w:after="60"/>
              <w:ind w:left="143"/>
              <w:jc w:val="left"/>
              <w:rPr>
                <w:lang w:val="fr-FR"/>
              </w:rPr>
            </w:pPr>
            <w:r w:rsidRPr="00431D28">
              <w:rPr>
                <w:lang w:val="fr-FR"/>
              </w:rPr>
              <w:t>a)</w:t>
            </w:r>
            <w:r w:rsidRPr="00431D28">
              <w:rPr>
                <w:lang w:val="fr-FR"/>
              </w:rPr>
              <w:tab/>
              <w:t>États ayant adhéré à l’Acte de 1991 de la Convention UPOV ou l’ayant ratifié;</w:t>
            </w:r>
          </w:p>
          <w:p w:rsidR="00421639" w:rsidRPr="00431D28" w:rsidRDefault="00453682" w:rsidP="00453682">
            <w:pPr>
              <w:spacing w:before="60" w:after="60"/>
              <w:ind w:left="143"/>
              <w:jc w:val="left"/>
              <w:rPr>
                <w:lang w:val="fr-FR"/>
              </w:rPr>
            </w:pPr>
            <w:r w:rsidRPr="00431D28">
              <w:rPr>
                <w:lang w:val="fr-FR"/>
              </w:rPr>
              <w:t>b)</w:t>
            </w:r>
            <w:r w:rsidRPr="00431D28">
              <w:rPr>
                <w:lang w:val="fr-FR"/>
              </w:rPr>
              <w:tab/>
              <w:t>États et organisations devenus membres de l’Union.</w:t>
            </w:r>
          </w:p>
        </w:tc>
      </w:tr>
      <w:tr w:rsidR="009A663A" w:rsidRPr="00431D28"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431D28" w:rsidRDefault="00453682" w:rsidP="00453682">
            <w:pPr>
              <w:spacing w:before="60" w:after="60"/>
              <w:ind w:left="108"/>
              <w:jc w:val="left"/>
              <w:rPr>
                <w:lang w:val="fr-FR"/>
              </w:rPr>
            </w:pPr>
            <w:r w:rsidRPr="00431D28">
              <w:rPr>
                <w:lang w:val="fr-FR"/>
              </w:rPr>
              <w:t>4.</w:t>
            </w:r>
            <w:r w:rsidRPr="00431D28">
              <w:rPr>
                <w:lang w:val="fr-FR"/>
              </w:rPr>
              <w:tab/>
              <w:t>Assistance à la mise en œuvre d’un système efficace de protection des obtentions végétales conforme à la Convention UPOV</w:t>
            </w:r>
          </w:p>
        </w:tc>
        <w:tc>
          <w:tcPr>
            <w:tcW w:w="5246" w:type="dxa"/>
            <w:tcBorders>
              <w:top w:val="single" w:sz="4" w:space="0" w:color="000000"/>
              <w:left w:val="single" w:sz="4" w:space="0" w:color="000000"/>
              <w:bottom w:val="single" w:sz="4" w:space="0" w:color="000000"/>
              <w:right w:val="single" w:sz="4" w:space="0" w:color="000000"/>
            </w:tcBorders>
          </w:tcPr>
          <w:p w:rsidR="005A7F6B" w:rsidRPr="00431D28" w:rsidRDefault="00453682" w:rsidP="00453682">
            <w:pPr>
              <w:spacing w:before="60" w:after="60"/>
              <w:ind w:left="143"/>
              <w:jc w:val="left"/>
              <w:rPr>
                <w:lang w:val="fr-FR"/>
              </w:rPr>
            </w:pPr>
            <w:r w:rsidRPr="00431D28">
              <w:rPr>
                <w:lang w:val="fr-FR"/>
              </w:rPr>
              <w:t>a)</w:t>
            </w:r>
            <w:r w:rsidRPr="00431D28">
              <w:rPr>
                <w:lang w:val="fr-FR"/>
              </w:rPr>
              <w:tab/>
              <w:t>participation aux cours d’enseignement à distance;</w:t>
            </w:r>
          </w:p>
          <w:p w:rsidR="005A7F6B" w:rsidRPr="00431D28" w:rsidRDefault="00453682" w:rsidP="00453682">
            <w:pPr>
              <w:widowControl w:val="0"/>
              <w:spacing w:before="60" w:after="60"/>
              <w:ind w:left="143"/>
              <w:jc w:val="left"/>
              <w:rPr>
                <w:lang w:val="fr-FR"/>
              </w:rPr>
            </w:pPr>
            <w:bookmarkStart w:id="7" w:name="OLE_LINK3"/>
            <w:bookmarkStart w:id="8" w:name="OLE_LINK4"/>
            <w:r w:rsidRPr="00431D28">
              <w:rPr>
                <w:lang w:val="fr-FR"/>
              </w:rPr>
              <w:t>b)</w:t>
            </w:r>
            <w:r w:rsidRPr="00431D28">
              <w:rPr>
                <w:lang w:val="fr-FR"/>
              </w:rPr>
              <w:tab/>
              <w:t>participation d’États et d’organisations ayant le statut d’observateurs aux travaux du CAJ, du TC, des TWP et aux ateliers préparatoires correspondants;</w:t>
            </w:r>
          </w:p>
          <w:bookmarkEnd w:id="7"/>
          <w:bookmarkEnd w:id="8"/>
          <w:p w:rsidR="005A7F6B" w:rsidRPr="00431D28" w:rsidRDefault="00453682" w:rsidP="00453682">
            <w:pPr>
              <w:widowControl w:val="0"/>
              <w:spacing w:before="60" w:after="60"/>
              <w:ind w:left="143"/>
              <w:jc w:val="left"/>
              <w:rPr>
                <w:lang w:val="fr-FR"/>
              </w:rPr>
            </w:pPr>
            <w:r w:rsidRPr="00431D28">
              <w:rPr>
                <w:lang w:val="fr-FR"/>
              </w:rPr>
              <w:t>c)</w:t>
            </w:r>
            <w:r w:rsidRPr="00431D28">
              <w:rPr>
                <w:lang w:val="fr-FR"/>
              </w:rPr>
              <w:tab/>
              <w:t>participation aux activités de l’UPOV;</w:t>
            </w:r>
          </w:p>
          <w:p w:rsidR="005A7F6B" w:rsidRPr="00431D28" w:rsidRDefault="00453682" w:rsidP="00453682">
            <w:pPr>
              <w:widowControl w:val="0"/>
              <w:spacing w:before="60" w:after="60"/>
              <w:ind w:left="143"/>
              <w:jc w:val="left"/>
              <w:rPr>
                <w:lang w:val="fr-FR"/>
              </w:rPr>
            </w:pPr>
            <w:r w:rsidRPr="00431D28">
              <w:rPr>
                <w:lang w:val="fr-FR"/>
              </w:rPr>
              <w:t>d)</w:t>
            </w:r>
            <w:r w:rsidRPr="00431D28">
              <w:rPr>
                <w:lang w:val="fr-FR"/>
              </w:rPr>
              <w:tab/>
              <w:t>participation aux activités faisant intervenir des membres du personnel de l’UPOV ou des formateurs de l’UPOV au nom de l’UPOV;</w:t>
            </w:r>
          </w:p>
          <w:p w:rsidR="005A7F6B" w:rsidRPr="00431D28" w:rsidRDefault="00453682" w:rsidP="00453682">
            <w:pPr>
              <w:spacing w:before="60" w:after="60"/>
              <w:ind w:left="143"/>
              <w:jc w:val="left"/>
              <w:rPr>
                <w:lang w:val="fr-FR"/>
              </w:rPr>
            </w:pPr>
            <w:r w:rsidRPr="00431D28">
              <w:rPr>
                <w:lang w:val="fr-FR"/>
              </w:rPr>
              <w:t>e)</w:t>
            </w:r>
            <w:r w:rsidRPr="00431D28">
              <w:rPr>
                <w:lang w:val="fr-FR"/>
              </w:rPr>
              <w:tab/>
              <w:t>formation dispensée par des formateurs de l’UPOV au cours d’activités n’ayant pas été organisées par l’UPOV;</w:t>
            </w:r>
          </w:p>
          <w:p w:rsidR="005A7F6B" w:rsidRPr="00431D28" w:rsidRDefault="00453682" w:rsidP="00453682">
            <w:pPr>
              <w:spacing w:before="60" w:after="60"/>
              <w:ind w:left="143"/>
              <w:jc w:val="left"/>
              <w:rPr>
                <w:lang w:val="fr-FR"/>
              </w:rPr>
            </w:pPr>
            <w:r w:rsidRPr="00431D28">
              <w:rPr>
                <w:lang w:val="fr-FR"/>
              </w:rPr>
              <w:t>f)</w:t>
            </w:r>
            <w:r w:rsidRPr="00431D28">
              <w:rPr>
                <w:lang w:val="fr-FR"/>
              </w:rPr>
              <w:tab/>
              <w:t>mise en œuvre de projets avec des organisations partenaires et des donateurs;</w:t>
            </w:r>
          </w:p>
          <w:p w:rsidR="00421639" w:rsidRPr="00431D28" w:rsidRDefault="00453682" w:rsidP="00453682">
            <w:pPr>
              <w:spacing w:before="60" w:after="60"/>
              <w:ind w:left="143"/>
              <w:jc w:val="left"/>
              <w:rPr>
                <w:lang w:val="fr-FR"/>
              </w:rPr>
            </w:pPr>
            <w:r w:rsidRPr="00431D28">
              <w:rPr>
                <w:lang w:val="fr-FR"/>
              </w:rPr>
              <w:t>g)</w:t>
            </w:r>
            <w:r w:rsidRPr="00431D28">
              <w:rPr>
                <w:lang w:val="fr-FR"/>
              </w:rPr>
              <w:tab/>
              <w:t>utilisation de la page Web “Assistance” en vue d’obtenir une aide dans le cadre d’un projet.</w:t>
            </w:r>
          </w:p>
        </w:tc>
      </w:tr>
    </w:tbl>
    <w:p w:rsidR="005A7F6B" w:rsidRPr="00431D28" w:rsidRDefault="005A7F6B" w:rsidP="00421639">
      <w:pPr>
        <w:rPr>
          <w:lang w:val="fr-FR"/>
        </w:rPr>
      </w:pPr>
    </w:p>
    <w:p w:rsidR="005A7F6B" w:rsidRPr="00431D28" w:rsidRDefault="00421639" w:rsidP="00453682">
      <w:pPr>
        <w:keepNext/>
        <w:tabs>
          <w:tab w:val="left" w:pos="567"/>
        </w:tabs>
        <w:ind w:left="2835" w:hanging="2835"/>
        <w:rPr>
          <w:b/>
          <w:u w:val="single"/>
          <w:lang w:val="fr-FR"/>
        </w:rPr>
      </w:pPr>
      <w:r w:rsidRPr="00431D28">
        <w:rPr>
          <w:b/>
          <w:lang w:val="fr-FR"/>
        </w:rPr>
        <w:br w:type="page"/>
      </w:r>
      <w:r w:rsidR="00453682" w:rsidRPr="00431D28">
        <w:rPr>
          <w:b/>
          <w:lang w:val="fr-FR"/>
        </w:rPr>
        <w:t>2.4</w:t>
      </w:r>
      <w:r w:rsidR="00453682" w:rsidRPr="00431D28">
        <w:rPr>
          <w:b/>
          <w:lang w:val="fr-FR"/>
        </w:rPr>
        <w:tab/>
      </w:r>
      <w:r w:rsidR="00453682" w:rsidRPr="00431D28">
        <w:rPr>
          <w:b/>
          <w:u w:val="single"/>
          <w:lang w:val="fr-FR"/>
        </w:rPr>
        <w:t>Sous-programme UV.4</w:t>
      </w:r>
      <w:r w:rsidR="00453682" w:rsidRPr="00431D28">
        <w:rPr>
          <w:b/>
          <w:lang w:val="fr-FR"/>
        </w:rPr>
        <w:t xml:space="preserve"> : </w:t>
      </w:r>
      <w:r w:rsidR="00453682" w:rsidRPr="00431D28">
        <w:rPr>
          <w:b/>
          <w:u w:val="single"/>
          <w:lang w:val="fr-FR"/>
        </w:rPr>
        <w:t>Relations extérieures</w:t>
      </w:r>
    </w:p>
    <w:p w:rsidR="005A7F6B" w:rsidRPr="00431D28" w:rsidRDefault="005A7F6B" w:rsidP="00421639">
      <w:pPr>
        <w:keepNext/>
        <w:rPr>
          <w:lang w:val="fr-FR"/>
        </w:rPr>
      </w:pPr>
    </w:p>
    <w:p w:rsidR="005A7F6B" w:rsidRPr="00431D28" w:rsidRDefault="00453682" w:rsidP="00453682">
      <w:pPr>
        <w:keepNext/>
        <w:rPr>
          <w:b/>
          <w:lang w:val="fr-FR"/>
        </w:rPr>
      </w:pPr>
      <w:r w:rsidRPr="00431D28">
        <w:rPr>
          <w:b/>
          <w:lang w:val="fr-FR"/>
        </w:rPr>
        <w:t>2.4.1</w:t>
      </w:r>
      <w:r w:rsidRPr="00431D28">
        <w:rPr>
          <w:b/>
          <w:lang w:val="fr-FR"/>
        </w:rPr>
        <w:tab/>
        <w:t>Objectifs</w:t>
      </w:r>
    </w:p>
    <w:p w:rsidR="005A7F6B" w:rsidRPr="00431D28" w:rsidRDefault="005A7F6B" w:rsidP="00421639">
      <w:pPr>
        <w:keepNext/>
        <w:tabs>
          <w:tab w:val="num" w:pos="567"/>
        </w:tabs>
        <w:rPr>
          <w:lang w:val="fr-FR"/>
        </w:rPr>
      </w:pPr>
    </w:p>
    <w:p w:rsidR="005A7F6B" w:rsidRPr="00431D28" w:rsidRDefault="00421639" w:rsidP="00453682">
      <w:pPr>
        <w:rPr>
          <w:lang w:val="fr-FR"/>
        </w:rPr>
      </w:pPr>
      <w:r w:rsidRPr="00431D28">
        <w:rPr>
          <w:lang w:val="fr-FR"/>
        </w:rPr>
        <w:tab/>
      </w:r>
      <w:r w:rsidR="00453682" w:rsidRPr="00431D28">
        <w:rPr>
          <w:lang w:val="fr-FR"/>
        </w:rPr>
        <w:t>a)</w:t>
      </w:r>
      <w:r w:rsidR="00453682" w:rsidRPr="00431D28">
        <w:rPr>
          <w:lang w:val="fr-FR"/>
        </w:rPr>
        <w:tab/>
        <w:t>Élargir et renforcer la compréhension du système de l’UPOV de protection des obtentions végétales.</w:t>
      </w:r>
    </w:p>
    <w:p w:rsidR="005A7F6B" w:rsidRPr="00431D28" w:rsidRDefault="005A7F6B" w:rsidP="00421639">
      <w:pPr>
        <w:rPr>
          <w:lang w:val="fr-FR"/>
        </w:rPr>
      </w:pPr>
    </w:p>
    <w:p w:rsidR="005A7F6B" w:rsidRPr="00431D28" w:rsidRDefault="00421639" w:rsidP="00453682">
      <w:pPr>
        <w:rPr>
          <w:lang w:val="fr-FR"/>
        </w:rPr>
      </w:pPr>
      <w:r w:rsidRPr="00431D28">
        <w:rPr>
          <w:lang w:val="fr-FR"/>
        </w:rPr>
        <w:tab/>
      </w:r>
      <w:r w:rsidR="00453682" w:rsidRPr="00431D28">
        <w:rPr>
          <w:lang w:val="fr-FR"/>
        </w:rPr>
        <w:t>b)</w:t>
      </w:r>
      <w:r w:rsidR="00453682" w:rsidRPr="00431D28">
        <w:rPr>
          <w:lang w:val="fr-FR"/>
        </w:rPr>
        <w:tab/>
        <w:t>Fournir aux autres organisations intergouvernementales des informations sur la Convention UPOV, en vue d’assurer sa complémentarité avec les autres traités internationaux.</w:t>
      </w:r>
    </w:p>
    <w:p w:rsidR="005A7F6B" w:rsidRPr="00431D28" w:rsidRDefault="005A7F6B" w:rsidP="00421639">
      <w:pPr>
        <w:rPr>
          <w:lang w:val="fr-FR"/>
        </w:rPr>
      </w:pPr>
    </w:p>
    <w:p w:rsidR="005A7F6B" w:rsidRPr="005C4304" w:rsidRDefault="00EC2F57" w:rsidP="00286737">
      <w:pPr>
        <w:rPr>
          <w:lang w:val="fr-FR"/>
        </w:rPr>
      </w:pPr>
      <w:r w:rsidRPr="00431D28">
        <w:rPr>
          <w:lang w:val="fr-FR"/>
        </w:rPr>
        <w:tab/>
      </w:r>
      <w:r w:rsidR="00286737" w:rsidRPr="005C4304">
        <w:rPr>
          <w:lang w:val="fr-FR"/>
        </w:rPr>
        <w:t>c)</w:t>
      </w:r>
      <w:r w:rsidR="00286737" w:rsidRPr="005C4304">
        <w:rPr>
          <w:lang w:val="fr-FR"/>
        </w:rPr>
        <w:tab/>
        <w:t>Informer les membres de l'Union des éléments nouveaux présentant un intérêt pour l'UPOV.</w:t>
      </w:r>
    </w:p>
    <w:p w:rsidR="005A7F6B" w:rsidRPr="005C4304" w:rsidRDefault="005A7F6B" w:rsidP="00421639">
      <w:pPr>
        <w:rPr>
          <w:lang w:val="fr-FR"/>
        </w:rPr>
      </w:pPr>
    </w:p>
    <w:p w:rsidR="005A7F6B" w:rsidRPr="005C4304" w:rsidRDefault="00286737" w:rsidP="00286737">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fr-FR"/>
        </w:rPr>
      </w:pPr>
      <w:r w:rsidRPr="005C4304">
        <w:rPr>
          <w:b/>
          <w:lang w:val="fr-FR"/>
        </w:rPr>
        <w:t>2.4.2</w:t>
      </w:r>
      <w:r w:rsidRPr="005C4304">
        <w:rPr>
          <w:b/>
          <w:lang w:val="fr-FR"/>
        </w:rPr>
        <w:tab/>
        <w:t>Descriptif</w:t>
      </w:r>
    </w:p>
    <w:p w:rsidR="005A7F6B" w:rsidRPr="005C4304" w:rsidRDefault="005A7F6B" w:rsidP="00421639">
      <w:pPr>
        <w:tabs>
          <w:tab w:val="left" w:pos="567"/>
        </w:tabs>
        <w:rPr>
          <w:lang w:val="fr-FR"/>
        </w:rPr>
      </w:pPr>
    </w:p>
    <w:p w:rsidR="005A7F6B" w:rsidRPr="005C4304" w:rsidRDefault="00286737" w:rsidP="00286737">
      <w:pPr>
        <w:tabs>
          <w:tab w:val="left" w:pos="851"/>
        </w:tabs>
        <w:rPr>
          <w:lang w:val="fr-FR"/>
        </w:rPr>
      </w:pPr>
      <w:r w:rsidRPr="005C4304">
        <w:rPr>
          <w:lang w:val="fr-FR"/>
        </w:rPr>
        <w:t>2.4.2.1</w:t>
      </w:r>
      <w:r w:rsidRPr="005C4304">
        <w:rPr>
          <w:lang w:val="fr-FR"/>
        </w:rPr>
        <w:tab/>
        <w:t xml:space="preserve">Le système de l’UPOV est un système </w:t>
      </w:r>
      <w:r w:rsidRPr="005C4304">
        <w:rPr>
          <w:i/>
          <w:lang w:val="fr-FR"/>
        </w:rPr>
        <w:t xml:space="preserve">sui generis </w:t>
      </w:r>
      <w:r w:rsidRPr="005C4304">
        <w:rPr>
          <w:lang w:val="fr-FR"/>
        </w:rPr>
        <w:t>efficace et équilibré de protection de la propriété intellectuelle, et l’UPOV doit expliquer ce système dans des domaines de politique connexes.</w:t>
      </w:r>
      <w:r w:rsidR="00421639" w:rsidRPr="005C4304">
        <w:rPr>
          <w:lang w:val="fr-FR"/>
        </w:rPr>
        <w:t xml:space="preserve"> </w:t>
      </w:r>
    </w:p>
    <w:p w:rsidR="005A7F6B" w:rsidRPr="005C4304" w:rsidRDefault="005A7F6B" w:rsidP="00421639">
      <w:pPr>
        <w:tabs>
          <w:tab w:val="left" w:pos="851"/>
        </w:tabs>
        <w:rPr>
          <w:lang w:val="fr-FR"/>
        </w:rPr>
      </w:pPr>
    </w:p>
    <w:p w:rsidR="005A7F6B" w:rsidRPr="005C4304" w:rsidRDefault="00286737" w:rsidP="005F1700">
      <w:pPr>
        <w:tabs>
          <w:tab w:val="left" w:pos="851"/>
        </w:tabs>
        <w:rPr>
          <w:lang w:val="fr-FR"/>
        </w:rPr>
      </w:pPr>
      <w:r w:rsidRPr="005C4304">
        <w:rPr>
          <w:lang w:val="fr-FR"/>
        </w:rPr>
        <w:t>2.4.2.2</w:t>
      </w:r>
      <w:r w:rsidRPr="005C4304">
        <w:rPr>
          <w:lang w:val="fr-FR"/>
        </w:rPr>
        <w:tab/>
        <w:t xml:space="preserve">Le site Web de l’UPOV est un important moyen de communication avec les parties prenantes et le grand public et il sera actualisé avec de nouveaux matériels appropriés </w:t>
      </w:r>
      <w:r w:rsidR="00385042" w:rsidRPr="005C4304">
        <w:rPr>
          <w:lang w:val="fr-FR"/>
        </w:rPr>
        <w:t xml:space="preserve">en </w:t>
      </w:r>
      <w:r w:rsidRPr="005C4304">
        <w:rPr>
          <w:lang w:val="fr-FR"/>
        </w:rPr>
        <w:t>vue d’expliquer à divers publics l’importance de la protection des obtentions végétales.</w:t>
      </w:r>
      <w:r w:rsidR="00421639" w:rsidRPr="005C4304">
        <w:rPr>
          <w:lang w:val="fr-FR"/>
        </w:rPr>
        <w:t xml:space="preserve">  </w:t>
      </w:r>
      <w:r w:rsidR="005F1700" w:rsidRPr="005C4304">
        <w:rPr>
          <w:lang w:val="fr-FR"/>
        </w:rPr>
        <w:t>D’autres moyens de communication comme les médias sociaux seront utilisés selon que de besoin.</w:t>
      </w:r>
      <w:r w:rsidR="00421639" w:rsidRPr="005C4304">
        <w:rPr>
          <w:lang w:val="fr-FR"/>
        </w:rPr>
        <w:t xml:space="preserve">  </w:t>
      </w:r>
      <w:r w:rsidR="005F1700" w:rsidRPr="005C4304">
        <w:rPr>
          <w:lang w:val="fr-FR"/>
        </w:rPr>
        <w:t>Le cas échéant, l’UPOV contribuera à des articles dans des publications pertinentes.</w:t>
      </w:r>
    </w:p>
    <w:p w:rsidR="005A7F6B" w:rsidRPr="005C4304" w:rsidRDefault="005A7F6B" w:rsidP="00421639">
      <w:pPr>
        <w:tabs>
          <w:tab w:val="left" w:pos="851"/>
        </w:tabs>
        <w:rPr>
          <w:lang w:val="fr-FR"/>
        </w:rPr>
      </w:pPr>
    </w:p>
    <w:p w:rsidR="005A7F6B" w:rsidRPr="005C4304" w:rsidRDefault="005F1700" w:rsidP="005F1700">
      <w:pPr>
        <w:tabs>
          <w:tab w:val="left" w:pos="851"/>
        </w:tabs>
        <w:rPr>
          <w:lang w:val="fr-FR"/>
        </w:rPr>
      </w:pPr>
      <w:r w:rsidRPr="005C4304">
        <w:rPr>
          <w:lang w:val="fr-FR"/>
        </w:rPr>
        <w:t>2.4.2.3</w:t>
      </w:r>
      <w:r w:rsidRPr="005C4304">
        <w:rPr>
          <w:lang w:val="fr-FR"/>
        </w:rPr>
        <w:tab/>
        <w:t xml:space="preserve">L'UPOV poursuivra sa collaboration avec les organisations intergouvernementales et les organisations non gouvernementales représentant des parties prenantes, y compris des obtenteurs, des </w:t>
      </w:r>
      <w:r w:rsidRPr="005C4304">
        <w:rPr>
          <w:color w:val="000000"/>
          <w:lang w:val="fr-FR"/>
        </w:rPr>
        <w:t>agriculteurs et des producteurs, afin de mieux faire connaître le système de l'UPOV de protection des obtentions végétales et d'échanger des informations.</w:t>
      </w:r>
      <w:r w:rsidR="00EC2F57" w:rsidRPr="005C4304">
        <w:rPr>
          <w:lang w:val="fr-FR"/>
        </w:rPr>
        <w:t xml:space="preserve"> </w:t>
      </w:r>
    </w:p>
    <w:p w:rsidR="005A7F6B" w:rsidRPr="005C4304" w:rsidRDefault="005A7F6B" w:rsidP="00EC2F57">
      <w:pPr>
        <w:rPr>
          <w:lang w:val="fr-FR"/>
        </w:rPr>
      </w:pPr>
    </w:p>
    <w:p w:rsidR="005A7F6B" w:rsidRPr="005C4304" w:rsidRDefault="00486CD9" w:rsidP="004C24DE">
      <w:pPr>
        <w:tabs>
          <w:tab w:val="left" w:pos="851"/>
        </w:tabs>
        <w:rPr>
          <w:lang w:val="fr-FR"/>
        </w:rPr>
      </w:pPr>
      <w:r w:rsidRPr="005C4304">
        <w:rPr>
          <w:lang w:val="fr-FR"/>
        </w:rPr>
        <w:t>2.4.2.4</w:t>
      </w:r>
      <w:r w:rsidRPr="005C4304">
        <w:rPr>
          <w:lang w:val="fr-FR"/>
        </w:rPr>
        <w:tab/>
      </w:r>
      <w:r w:rsidR="004C24DE" w:rsidRPr="005C4304">
        <w:rPr>
          <w:lang w:val="fr-FR"/>
        </w:rPr>
        <w:t xml:space="preserve">S’agissant des organisations intergouvernementales dans le domaine des semences, les relations établies par l’UPOV avec l’Organisation de coopération et de développement économiques (OCDE) en ce qui concerne le système de commercialisation des semences de l’OCDE, ainsi qu’avec l’Association internationale d’essais de semences (ISTA), </w:t>
      </w:r>
      <w:r w:rsidR="000D2271">
        <w:rPr>
          <w:lang w:val="fr-FR"/>
        </w:rPr>
        <w:t>revêtent une importance particulière</w:t>
      </w:r>
      <w:r w:rsidR="004C24DE" w:rsidRPr="005C4304">
        <w:rPr>
          <w:lang w:val="fr-FR"/>
        </w:rPr>
        <w:t>.</w:t>
      </w:r>
      <w:r w:rsidRPr="005C4304">
        <w:rPr>
          <w:lang w:val="fr-FR"/>
        </w:rPr>
        <w:t xml:space="preserve">  </w:t>
      </w:r>
    </w:p>
    <w:p w:rsidR="005A7F6B" w:rsidRPr="005C4304" w:rsidRDefault="005A7F6B" w:rsidP="00486CD9">
      <w:pPr>
        <w:tabs>
          <w:tab w:val="left" w:pos="851"/>
        </w:tabs>
        <w:rPr>
          <w:lang w:val="fr-FR"/>
        </w:rPr>
      </w:pPr>
    </w:p>
    <w:p w:rsidR="005A7F6B" w:rsidRPr="005C4304" w:rsidRDefault="00486CD9" w:rsidP="004C24DE">
      <w:pPr>
        <w:tabs>
          <w:tab w:val="left" w:pos="851"/>
        </w:tabs>
        <w:rPr>
          <w:lang w:val="fr-FR"/>
        </w:rPr>
      </w:pPr>
      <w:r w:rsidRPr="005C4304">
        <w:rPr>
          <w:lang w:val="fr-FR"/>
        </w:rPr>
        <w:t>2.4.2.5</w:t>
      </w:r>
      <w:r w:rsidRPr="005C4304">
        <w:rPr>
          <w:lang w:val="fr-FR"/>
        </w:rPr>
        <w:tab/>
      </w:r>
      <w:r w:rsidR="004C24DE" w:rsidRPr="005C4304">
        <w:rPr>
          <w:lang w:val="fr-FR"/>
        </w:rPr>
        <w:t>L’UPOV contribuera aux travaux des organisations intergouvernementales compétentes en vue de faire mieux connaître le système de l'UPOV de protection des obtentions végétales et d'échanger des informations, le but étant d’assurer un lien de complémentarité.</w:t>
      </w:r>
      <w:r w:rsidRPr="005C4304">
        <w:rPr>
          <w:lang w:val="fr-FR"/>
        </w:rPr>
        <w:t xml:space="preserve">  </w:t>
      </w:r>
      <w:r w:rsidR="004C24DE" w:rsidRPr="005C4304">
        <w:rPr>
          <w:lang w:val="fr-FR"/>
        </w:rPr>
        <w:t>Plus précisément, l’UPOV collaborera avec l’OMPI;  l’OMC et, en particulier, son Conseil des droits de propriété intellectuelle qui touchent au commerce (Conseil des ADPIC);  la Conférence des Parties à la Convention sur la diversité biologique (CDB), y compris, en particulier, ses divers comités et groupes de travail concernant le Protocole de Nagoya sur l’accès aux ressources génétiques et le partage juste et équitable des avantages découlant de leur utilisation à la Convention sur la diversité biologique;  et l’Organisation des Nations Unies pour l’alimentation et l’agriculture (FAO), y compris, en particulier, l’organe directeur du Traité international sur les ressources phytogénétiques pour l’alimentation et l’agriculture (ITPGRFA) et la Commission des ressources génétiques pour l’alimentation et l’agriculture.</w:t>
      </w:r>
    </w:p>
    <w:p w:rsidR="005A7F6B" w:rsidRPr="005C4304" w:rsidRDefault="005A7F6B" w:rsidP="00486CD9">
      <w:pPr>
        <w:tabs>
          <w:tab w:val="left" w:pos="851"/>
        </w:tabs>
        <w:rPr>
          <w:lang w:val="fr-FR"/>
        </w:rPr>
      </w:pPr>
    </w:p>
    <w:p w:rsidR="005A7F6B" w:rsidRPr="005C4304" w:rsidRDefault="004C24DE" w:rsidP="00986E2A">
      <w:pPr>
        <w:tabs>
          <w:tab w:val="left" w:pos="851"/>
        </w:tabs>
        <w:rPr>
          <w:lang w:val="fr-FR"/>
        </w:rPr>
      </w:pPr>
      <w:r w:rsidRPr="005C4304">
        <w:rPr>
          <w:lang w:val="fr-FR"/>
        </w:rPr>
        <w:t>2.4.2.6</w:t>
      </w:r>
      <w:r w:rsidRPr="005C4304">
        <w:rPr>
          <w:lang w:val="fr-FR"/>
        </w:rPr>
        <w:tab/>
        <w:t xml:space="preserve">En ce qui concerne la coopération avec les organisations non gouvernementales représentant des obtenteurs, l’UPOV s’emploiera, en particulier, à poursuivre la collaboration avec la Communauté internationale des obtenteurs de plantes ornementales et fruitières à reproduction asexuée (CIOPORA) et </w:t>
      </w:r>
      <w:r w:rsidR="000D2271">
        <w:rPr>
          <w:lang w:val="fr-FR"/>
        </w:rPr>
        <w:t>l’</w:t>
      </w:r>
      <w:r w:rsidRPr="005C4304">
        <w:rPr>
          <w:i/>
          <w:lang w:val="fr-FR"/>
        </w:rPr>
        <w:t xml:space="preserve">International Seed Federation </w:t>
      </w:r>
      <w:r w:rsidRPr="005C4304">
        <w:rPr>
          <w:lang w:val="fr-FR"/>
        </w:rPr>
        <w:t xml:space="preserve">(ISF), ainsi qu'avec des associations régionales d’obtenteurs, parmi lesquelles l’Association africaine du commerce des semences (AFSTA), l’Association des semenciers d’Asie et du Pacifique (APSA), l’Association européenne des semences (ESA), la </w:t>
      </w:r>
      <w:r w:rsidRPr="005C4304">
        <w:rPr>
          <w:i/>
          <w:lang w:val="fr-FR"/>
        </w:rPr>
        <w:t xml:space="preserve">Federación Latinoamericana de Asociaciones de Semillistas </w:t>
      </w:r>
      <w:r w:rsidRPr="005C4304">
        <w:rPr>
          <w:lang w:val="fr-FR"/>
        </w:rPr>
        <w:t xml:space="preserve">(FELAS) et la </w:t>
      </w:r>
      <w:r w:rsidRPr="005C4304">
        <w:rPr>
          <w:i/>
          <w:lang w:val="fr-FR"/>
        </w:rPr>
        <w:t xml:space="preserve">Seed Association of the Americas </w:t>
      </w:r>
      <w:r w:rsidRPr="005C4304">
        <w:rPr>
          <w:lang w:val="fr-FR"/>
        </w:rPr>
        <w:t>(SAA).</w:t>
      </w:r>
      <w:r w:rsidR="00385042" w:rsidRPr="005C4304">
        <w:rPr>
          <w:lang w:val="fr-FR"/>
        </w:rPr>
        <w:t xml:space="preserve">  </w:t>
      </w:r>
      <w:r w:rsidR="00986E2A" w:rsidRPr="005C4304">
        <w:rPr>
          <w:lang w:val="fr-FR"/>
        </w:rPr>
        <w:t>Le rôle de la protection des obtentions végétales pour les instituts de recherche publics signifie que l’UPOV continuera également à établir et à approfondir les relations avec les centres compétents du Groupe consultatif pour la recherche agricole internationale (GCRAI).</w:t>
      </w:r>
    </w:p>
    <w:p w:rsidR="005A7F6B" w:rsidRPr="005C4304" w:rsidRDefault="005A7F6B" w:rsidP="00EC2F57">
      <w:pPr>
        <w:tabs>
          <w:tab w:val="left" w:pos="851"/>
        </w:tabs>
        <w:rPr>
          <w:lang w:val="fr-FR"/>
        </w:rPr>
      </w:pPr>
    </w:p>
    <w:p w:rsidR="005A7F6B" w:rsidRPr="005C4304" w:rsidRDefault="00593A6D" w:rsidP="00986E2A">
      <w:pPr>
        <w:keepNext/>
        <w:rPr>
          <w:b/>
          <w:lang w:val="fr-FR"/>
        </w:rPr>
      </w:pPr>
      <w:r>
        <w:rPr>
          <w:b/>
          <w:lang w:val="fr-FR"/>
        </w:rPr>
        <w:br w:type="page"/>
      </w:r>
      <w:r w:rsidR="00986E2A" w:rsidRPr="005C4304">
        <w:rPr>
          <w:b/>
          <w:lang w:val="fr-FR"/>
        </w:rPr>
        <w:t>2.4.3</w:t>
      </w:r>
      <w:r w:rsidR="00986E2A" w:rsidRPr="005C4304">
        <w:rPr>
          <w:b/>
          <w:lang w:val="fr-FR"/>
        </w:rPr>
        <w:tab/>
        <w:t>Activités</w:t>
      </w:r>
    </w:p>
    <w:p w:rsidR="005A7F6B" w:rsidRPr="005C4304" w:rsidRDefault="005A7F6B" w:rsidP="00421639">
      <w:pPr>
        <w:keepNext/>
        <w:rPr>
          <w:lang w:val="fr-FR"/>
        </w:rPr>
      </w:pPr>
    </w:p>
    <w:p w:rsidR="005A7F6B" w:rsidRPr="005C4304" w:rsidRDefault="00986E2A" w:rsidP="00986E2A">
      <w:pPr>
        <w:numPr>
          <w:ilvl w:val="0"/>
          <w:numId w:val="11"/>
        </w:numPr>
        <w:tabs>
          <w:tab w:val="clear" w:pos="720"/>
        </w:tabs>
        <w:spacing w:after="120"/>
        <w:ind w:left="1134" w:hanging="567"/>
        <w:rPr>
          <w:lang w:val="fr-FR"/>
        </w:rPr>
      </w:pPr>
      <w:r w:rsidRPr="005C4304">
        <w:rPr>
          <w:lang w:val="fr-FR"/>
        </w:rPr>
        <w:t>Participation à des réunions avec des organisations intergouvernementales et non gouvernementales.</w:t>
      </w:r>
    </w:p>
    <w:p w:rsidR="005A7F6B" w:rsidRPr="005C4304" w:rsidRDefault="00986E2A" w:rsidP="00986E2A">
      <w:pPr>
        <w:numPr>
          <w:ilvl w:val="0"/>
          <w:numId w:val="11"/>
        </w:numPr>
        <w:tabs>
          <w:tab w:val="clear" w:pos="720"/>
        </w:tabs>
        <w:spacing w:after="120"/>
        <w:ind w:left="1134" w:hanging="567"/>
        <w:rPr>
          <w:lang w:val="fr-FR"/>
        </w:rPr>
      </w:pPr>
      <w:r w:rsidRPr="005C4304">
        <w:rPr>
          <w:lang w:val="fr-FR"/>
        </w:rPr>
        <w:t>Formulation de commentaires et fourniture d’informations à l’intention d’autres organisations intergouvernementales.</w:t>
      </w:r>
    </w:p>
    <w:p w:rsidR="005A7F6B" w:rsidRPr="005C4304" w:rsidRDefault="00986E2A" w:rsidP="00986E2A">
      <w:pPr>
        <w:numPr>
          <w:ilvl w:val="0"/>
          <w:numId w:val="11"/>
        </w:numPr>
        <w:tabs>
          <w:tab w:val="clear" w:pos="720"/>
        </w:tabs>
        <w:spacing w:after="120"/>
        <w:ind w:left="1134" w:hanging="567"/>
        <w:rPr>
          <w:lang w:val="fr-FR"/>
        </w:rPr>
      </w:pPr>
      <w:r w:rsidRPr="005C4304">
        <w:rPr>
          <w:lang w:val="fr-FR"/>
        </w:rPr>
        <w:t>Actualisation des matériels d’information de l’UPOV et élaboration de matériels adaptés au grand public.</w:t>
      </w:r>
    </w:p>
    <w:p w:rsidR="005A7F6B" w:rsidRPr="005C4304" w:rsidRDefault="005B4978" w:rsidP="00986E2A">
      <w:pPr>
        <w:numPr>
          <w:ilvl w:val="0"/>
          <w:numId w:val="11"/>
        </w:numPr>
        <w:tabs>
          <w:tab w:val="clear" w:pos="720"/>
        </w:tabs>
        <w:spacing w:after="120"/>
        <w:ind w:left="1134" w:hanging="567"/>
        <w:rPr>
          <w:lang w:val="fr-FR"/>
        </w:rPr>
      </w:pPr>
      <w:r w:rsidRPr="005C4304">
        <w:rPr>
          <w:lang w:val="fr-FR"/>
        </w:rPr>
        <w:t>Ra</w:t>
      </w:r>
      <w:r w:rsidR="00986E2A" w:rsidRPr="005C4304">
        <w:rPr>
          <w:lang w:val="fr-FR"/>
        </w:rPr>
        <w:t>p</w:t>
      </w:r>
      <w:r w:rsidRPr="005C4304">
        <w:rPr>
          <w:lang w:val="fr-FR"/>
        </w:rPr>
        <w:t>p</w:t>
      </w:r>
      <w:r w:rsidR="00986E2A" w:rsidRPr="005C4304">
        <w:rPr>
          <w:lang w:val="fr-FR"/>
        </w:rPr>
        <w:t>ort aux membres de l'Union sur les échanges d'informations tenus avec des organisations intergouvernementales et non gouvernementales.</w:t>
      </w:r>
    </w:p>
    <w:p w:rsidR="005A7F6B" w:rsidRPr="005C4304" w:rsidRDefault="005A7F6B" w:rsidP="00421639">
      <w:pPr>
        <w:ind w:left="851" w:hanging="284"/>
        <w:rPr>
          <w:lang w:val="fr-FR"/>
        </w:rPr>
      </w:pPr>
    </w:p>
    <w:p w:rsidR="005A7F6B" w:rsidRPr="005C4304" w:rsidRDefault="005B4978" w:rsidP="005B4978">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fr-FR"/>
        </w:rPr>
      </w:pPr>
      <w:r w:rsidRPr="005C4304">
        <w:rPr>
          <w:b/>
          <w:lang w:val="fr-FR"/>
        </w:rPr>
        <w:t>2.4.4</w:t>
      </w:r>
      <w:r w:rsidRPr="005C4304">
        <w:rPr>
          <w:b/>
          <w:lang w:val="fr-FR"/>
        </w:rPr>
        <w:tab/>
        <w:t>Résultats escomptés et indicateurs d'exécution</w:t>
      </w:r>
    </w:p>
    <w:p w:rsidR="00421639" w:rsidRPr="005C4304" w:rsidRDefault="00421639" w:rsidP="00421639">
      <w:pPr>
        <w:keepNext/>
        <w:rPr>
          <w:lang w:val="fr-FR"/>
        </w:rPr>
      </w:pPr>
    </w:p>
    <w:tbl>
      <w:tblPr>
        <w:tblW w:w="9889" w:type="dxa"/>
        <w:tblInd w:w="-103" w:type="dxa"/>
        <w:tblLayout w:type="fixed"/>
        <w:tblCellMar>
          <w:left w:w="0" w:type="dxa"/>
          <w:right w:w="0" w:type="dxa"/>
        </w:tblCellMar>
        <w:tblLook w:val="0000" w:firstRow="0" w:lastRow="0" w:firstColumn="0" w:lastColumn="0" w:noHBand="0" w:noVBand="0"/>
      </w:tblPr>
      <w:tblGrid>
        <w:gridCol w:w="4503"/>
        <w:gridCol w:w="5386"/>
      </w:tblGrid>
      <w:tr w:rsidR="009A663A" w:rsidRPr="005C4304" w:rsidTr="00DC35EC">
        <w:trPr>
          <w:cantSplit/>
          <w:trHeight w:val="580"/>
        </w:trPr>
        <w:tc>
          <w:tcPr>
            <w:tcW w:w="4503" w:type="dxa"/>
            <w:tcBorders>
              <w:top w:val="single" w:sz="4" w:space="0" w:color="000000"/>
              <w:left w:val="single" w:sz="4" w:space="0" w:color="000000"/>
              <w:bottom w:val="single" w:sz="4" w:space="0" w:color="000000"/>
              <w:right w:val="single" w:sz="4" w:space="0" w:color="000000"/>
            </w:tcBorders>
          </w:tcPr>
          <w:p w:rsidR="00421639" w:rsidRPr="005C4304" w:rsidRDefault="005B4978" w:rsidP="005B4978">
            <w:pPr>
              <w:keepNext/>
              <w:spacing w:before="120" w:after="120"/>
              <w:ind w:left="108" w:firstLine="108"/>
              <w:jc w:val="center"/>
              <w:rPr>
                <w:u w:val="single"/>
                <w:lang w:val="fr-FR"/>
              </w:rPr>
            </w:pPr>
            <w:r w:rsidRPr="005C4304">
              <w:rPr>
                <w:u w:val="single"/>
                <w:lang w:val="fr-FR"/>
              </w:rPr>
              <w:t>Résultats escomptés</w:t>
            </w:r>
          </w:p>
        </w:tc>
        <w:tc>
          <w:tcPr>
            <w:tcW w:w="5386" w:type="dxa"/>
            <w:tcBorders>
              <w:top w:val="single" w:sz="4" w:space="0" w:color="000000"/>
              <w:left w:val="single" w:sz="4" w:space="0" w:color="000000"/>
              <w:bottom w:val="single" w:sz="4" w:space="0" w:color="000000"/>
              <w:right w:val="single" w:sz="4" w:space="0" w:color="000000"/>
            </w:tcBorders>
          </w:tcPr>
          <w:p w:rsidR="00421639" w:rsidRPr="005C4304" w:rsidRDefault="005B4978" w:rsidP="005B4978">
            <w:pPr>
              <w:keepNext/>
              <w:spacing w:before="120" w:after="120"/>
              <w:jc w:val="center"/>
              <w:rPr>
                <w:u w:val="single"/>
                <w:lang w:val="fr-FR"/>
              </w:rPr>
            </w:pPr>
            <w:r w:rsidRPr="005C4304">
              <w:rPr>
                <w:u w:val="single"/>
                <w:lang w:val="fr-FR"/>
              </w:rPr>
              <w:t>Indicateurs d’exécution</w:t>
            </w:r>
          </w:p>
        </w:tc>
      </w:tr>
      <w:tr w:rsidR="009A663A" w:rsidRPr="005C4304" w:rsidTr="00DC35EC">
        <w:trPr>
          <w:cantSplit/>
        </w:trPr>
        <w:tc>
          <w:tcPr>
            <w:tcW w:w="4503" w:type="dxa"/>
            <w:tcBorders>
              <w:top w:val="single" w:sz="4" w:space="0" w:color="000000"/>
              <w:left w:val="single" w:sz="4" w:space="0" w:color="000000"/>
              <w:bottom w:val="single" w:sz="4" w:space="0" w:color="000000"/>
              <w:right w:val="single" w:sz="4" w:space="0" w:color="000000"/>
            </w:tcBorders>
          </w:tcPr>
          <w:p w:rsidR="00421639" w:rsidRPr="005C4304" w:rsidRDefault="005B4978" w:rsidP="005B4978">
            <w:pPr>
              <w:keepNext/>
              <w:spacing w:before="60" w:after="60"/>
              <w:ind w:left="108"/>
              <w:jc w:val="left"/>
              <w:rPr>
                <w:lang w:val="fr-FR"/>
              </w:rPr>
            </w:pPr>
            <w:r w:rsidRPr="005C4304">
              <w:rPr>
                <w:lang w:val="fr-FR"/>
              </w:rPr>
              <w:t>1.</w:t>
            </w:r>
            <w:r w:rsidRPr="005C4304">
              <w:rPr>
                <w:lang w:val="fr-FR"/>
              </w:rPr>
              <w:tab/>
              <w:t>Meilleure connaissance par le public du rôle et des activités de l’UPOV</w:t>
            </w:r>
          </w:p>
        </w:tc>
        <w:tc>
          <w:tcPr>
            <w:tcW w:w="5386" w:type="dxa"/>
            <w:tcBorders>
              <w:top w:val="single" w:sz="4" w:space="0" w:color="000000"/>
              <w:left w:val="single" w:sz="4" w:space="0" w:color="000000"/>
              <w:bottom w:val="single" w:sz="4" w:space="0" w:color="000000"/>
              <w:right w:val="single" w:sz="4" w:space="0" w:color="000000"/>
            </w:tcBorders>
          </w:tcPr>
          <w:p w:rsidR="005A7F6B" w:rsidRPr="005C4304" w:rsidRDefault="005B4978" w:rsidP="005B4978">
            <w:pPr>
              <w:spacing w:before="60" w:after="60"/>
              <w:ind w:left="141"/>
              <w:jc w:val="left"/>
              <w:rPr>
                <w:lang w:val="fr-FR"/>
              </w:rPr>
            </w:pPr>
            <w:r w:rsidRPr="005C4304">
              <w:rPr>
                <w:lang w:val="fr-FR"/>
              </w:rPr>
              <w:t>a)</w:t>
            </w:r>
            <w:r w:rsidRPr="005C4304">
              <w:rPr>
                <w:lang w:val="fr-FR"/>
              </w:rPr>
              <w:tab/>
              <w:t>mise à disposition sur le site Web de l’UPOV et par le biais d’autres médias d’informations et de matériels à l’intention du grand public;</w:t>
            </w:r>
          </w:p>
          <w:p w:rsidR="005A7F6B" w:rsidRPr="005C4304" w:rsidRDefault="005B4978" w:rsidP="005B4978">
            <w:pPr>
              <w:spacing w:before="60" w:after="60"/>
              <w:ind w:left="141"/>
              <w:jc w:val="left"/>
              <w:rPr>
                <w:lang w:val="fr-FR"/>
              </w:rPr>
            </w:pPr>
            <w:r w:rsidRPr="005C4304">
              <w:rPr>
                <w:lang w:val="fr-FR"/>
              </w:rPr>
              <w:t>b)</w:t>
            </w:r>
            <w:r w:rsidRPr="005C4304">
              <w:rPr>
                <w:lang w:val="fr-FR"/>
              </w:rPr>
              <w:tab/>
              <w:t>articles dans des publications pertinentes auxquels l’UPOV a contribué;</w:t>
            </w:r>
          </w:p>
          <w:p w:rsidR="00421639" w:rsidRPr="005C4304" w:rsidRDefault="005B4978" w:rsidP="005B4978">
            <w:pPr>
              <w:spacing w:before="60" w:after="60"/>
              <w:ind w:left="141"/>
              <w:jc w:val="left"/>
              <w:rPr>
                <w:lang w:val="fr-FR"/>
              </w:rPr>
            </w:pPr>
            <w:r w:rsidRPr="005C4304">
              <w:rPr>
                <w:lang w:val="fr-FR"/>
              </w:rPr>
              <w:t>c)</w:t>
            </w:r>
            <w:r w:rsidRPr="005C4304">
              <w:rPr>
                <w:lang w:val="fr-FR"/>
              </w:rPr>
              <w:tab/>
              <w:t>utilisation du site Web de l’UPOV et d’autres médias.</w:t>
            </w:r>
          </w:p>
        </w:tc>
      </w:tr>
      <w:tr w:rsidR="009A663A" w:rsidRPr="005C4304" w:rsidTr="00DC35EC">
        <w:trPr>
          <w:cantSplit/>
        </w:trPr>
        <w:tc>
          <w:tcPr>
            <w:tcW w:w="4503" w:type="dxa"/>
            <w:tcBorders>
              <w:top w:val="single" w:sz="4" w:space="0" w:color="000000"/>
              <w:left w:val="single" w:sz="4" w:space="0" w:color="000000"/>
              <w:bottom w:val="single" w:sz="4" w:space="0" w:color="000000"/>
              <w:right w:val="single" w:sz="4" w:space="0" w:color="000000"/>
            </w:tcBorders>
          </w:tcPr>
          <w:p w:rsidR="00421639" w:rsidRPr="005C4304" w:rsidRDefault="005B4978" w:rsidP="005B4978">
            <w:pPr>
              <w:keepNext/>
              <w:spacing w:before="60" w:after="60"/>
              <w:ind w:left="108"/>
              <w:jc w:val="left"/>
              <w:rPr>
                <w:lang w:val="fr-FR"/>
              </w:rPr>
            </w:pPr>
            <w:r w:rsidRPr="005C4304">
              <w:rPr>
                <w:lang w:val="fr-FR"/>
              </w:rPr>
              <w:t>2.</w:t>
            </w:r>
            <w:r w:rsidRPr="005C4304">
              <w:rPr>
                <w:lang w:val="fr-FR"/>
              </w:rPr>
              <w:tab/>
              <w:t>Fourniture d’informations à d’autres organisations</w:t>
            </w:r>
          </w:p>
        </w:tc>
        <w:tc>
          <w:tcPr>
            <w:tcW w:w="5386" w:type="dxa"/>
            <w:tcBorders>
              <w:top w:val="single" w:sz="4" w:space="0" w:color="000000"/>
              <w:left w:val="single" w:sz="4" w:space="0" w:color="000000"/>
              <w:bottom w:val="single" w:sz="4" w:space="0" w:color="000000"/>
              <w:right w:val="single" w:sz="4" w:space="0" w:color="000000"/>
            </w:tcBorders>
          </w:tcPr>
          <w:p w:rsidR="005A7F6B" w:rsidRPr="005C4304" w:rsidRDefault="005B4978" w:rsidP="005B4978">
            <w:pPr>
              <w:spacing w:before="60" w:after="60"/>
              <w:ind w:left="141"/>
              <w:jc w:val="left"/>
              <w:rPr>
                <w:lang w:val="fr-FR"/>
              </w:rPr>
            </w:pPr>
            <w:r w:rsidRPr="005C4304">
              <w:rPr>
                <w:lang w:val="fr-FR"/>
              </w:rPr>
              <w:t>a)</w:t>
            </w:r>
            <w:r w:rsidRPr="005C4304">
              <w:rPr>
                <w:lang w:val="fr-FR"/>
              </w:rPr>
              <w:tab/>
              <w:t>participation à des réunions d’organisations compétentes, et avec des organisations compétentes;</w:t>
            </w:r>
          </w:p>
          <w:p w:rsidR="00421639" w:rsidRPr="005C4304" w:rsidRDefault="005B4978" w:rsidP="005B4978">
            <w:pPr>
              <w:spacing w:before="60" w:after="60"/>
              <w:ind w:left="141"/>
              <w:jc w:val="left"/>
              <w:rPr>
                <w:lang w:val="fr-FR"/>
              </w:rPr>
            </w:pPr>
            <w:r w:rsidRPr="005C4304">
              <w:rPr>
                <w:lang w:val="fr-FR"/>
              </w:rPr>
              <w:t>b)</w:t>
            </w:r>
            <w:r w:rsidRPr="005C4304">
              <w:rPr>
                <w:lang w:val="fr-FR"/>
              </w:rPr>
              <w:tab/>
              <w:t>contributions apportées à des organisations compétentes.</w:t>
            </w:r>
          </w:p>
        </w:tc>
      </w:tr>
      <w:tr w:rsidR="009A663A" w:rsidRPr="00431D28" w:rsidTr="00DC35EC">
        <w:trPr>
          <w:cantSplit/>
        </w:trPr>
        <w:tc>
          <w:tcPr>
            <w:tcW w:w="4503" w:type="dxa"/>
            <w:tcBorders>
              <w:top w:val="single" w:sz="4" w:space="0" w:color="000000"/>
              <w:left w:val="single" w:sz="4" w:space="0" w:color="000000"/>
              <w:bottom w:val="single" w:sz="4" w:space="0" w:color="000000"/>
              <w:right w:val="single" w:sz="4" w:space="0" w:color="000000"/>
            </w:tcBorders>
          </w:tcPr>
          <w:p w:rsidR="0009121A" w:rsidRPr="005C4304" w:rsidRDefault="005B4978" w:rsidP="005B4978">
            <w:pPr>
              <w:keepNext/>
              <w:spacing w:before="60" w:after="60"/>
              <w:ind w:left="108"/>
              <w:jc w:val="left"/>
              <w:rPr>
                <w:lang w:val="fr-FR"/>
              </w:rPr>
            </w:pPr>
            <w:r w:rsidRPr="005C4304">
              <w:rPr>
                <w:lang w:val="fr-FR"/>
              </w:rPr>
              <w:t>3.</w:t>
            </w:r>
            <w:r w:rsidRPr="005C4304">
              <w:rPr>
                <w:lang w:val="fr-FR"/>
              </w:rPr>
              <w:tab/>
              <w:t>Informations fournies aux membres de l'Union</w:t>
            </w:r>
          </w:p>
        </w:tc>
        <w:tc>
          <w:tcPr>
            <w:tcW w:w="5386" w:type="dxa"/>
            <w:tcBorders>
              <w:top w:val="single" w:sz="4" w:space="0" w:color="000000"/>
              <w:left w:val="single" w:sz="4" w:space="0" w:color="000000"/>
              <w:bottom w:val="single" w:sz="4" w:space="0" w:color="000000"/>
              <w:right w:val="single" w:sz="4" w:space="0" w:color="000000"/>
            </w:tcBorders>
          </w:tcPr>
          <w:p w:rsidR="0009121A" w:rsidRPr="005C4304" w:rsidRDefault="005B4978" w:rsidP="005B4978">
            <w:pPr>
              <w:spacing w:before="60" w:after="60"/>
              <w:ind w:left="141"/>
              <w:jc w:val="left"/>
              <w:rPr>
                <w:lang w:val="fr-FR"/>
              </w:rPr>
            </w:pPr>
            <w:r w:rsidRPr="005C4304">
              <w:rPr>
                <w:lang w:val="fr-FR"/>
              </w:rPr>
              <w:t>a)</w:t>
            </w:r>
            <w:r w:rsidRPr="005C4304">
              <w:rPr>
                <w:lang w:val="fr-FR"/>
              </w:rPr>
              <w:tab/>
              <w:t>comptes rendus des informations et éléments nouveaux présentant un intérêt pour l'UPOV.</w:t>
            </w:r>
          </w:p>
        </w:tc>
      </w:tr>
    </w:tbl>
    <w:p w:rsidR="005A7F6B" w:rsidRPr="00431D28" w:rsidRDefault="005A7F6B" w:rsidP="00421639">
      <w:pPr>
        <w:rPr>
          <w:lang w:val="fr-FR"/>
        </w:rPr>
      </w:pPr>
    </w:p>
    <w:p w:rsidR="005A7F6B" w:rsidRPr="00431D28" w:rsidRDefault="00421639" w:rsidP="005B4978">
      <w:pPr>
        <w:keepNext/>
        <w:rPr>
          <w:b/>
          <w:lang w:val="fr-FR"/>
        </w:rPr>
      </w:pPr>
      <w:r w:rsidRPr="00431D28">
        <w:rPr>
          <w:lang w:val="fr-FR"/>
        </w:rPr>
        <w:br w:type="page"/>
      </w:r>
      <w:r w:rsidR="005B4978" w:rsidRPr="00431D28">
        <w:rPr>
          <w:b/>
          <w:lang w:val="fr-FR"/>
        </w:rPr>
        <w:t>3.</w:t>
      </w:r>
      <w:r w:rsidR="005B4978" w:rsidRPr="00431D28">
        <w:rPr>
          <w:b/>
          <w:lang w:val="fr-FR"/>
        </w:rPr>
        <w:tab/>
        <w:t>BUDGET PROPOSÉ</w:t>
      </w:r>
    </w:p>
    <w:p w:rsidR="005A7F6B" w:rsidRPr="00431D28" w:rsidRDefault="005A7F6B" w:rsidP="00421639">
      <w:pPr>
        <w:keepNext/>
        <w:rPr>
          <w:lang w:val="fr-FR"/>
        </w:rPr>
      </w:pPr>
    </w:p>
    <w:p w:rsidR="005A7F6B" w:rsidRPr="00431D28" w:rsidRDefault="005B4978" w:rsidP="005B4978">
      <w:pPr>
        <w:rPr>
          <w:spacing w:val="-2"/>
          <w:szCs w:val="24"/>
          <w:lang w:val="fr-FR"/>
        </w:rPr>
      </w:pPr>
      <w:r w:rsidRPr="00431D28">
        <w:rPr>
          <w:lang w:val="fr-FR"/>
        </w:rPr>
        <w:t>3.1</w:t>
      </w:r>
      <w:r w:rsidRPr="00431D28">
        <w:rPr>
          <w:lang w:val="fr-FR"/>
        </w:rPr>
        <w:tab/>
        <w:t>Le budget proposé po</w:t>
      </w:r>
      <w:r w:rsidR="003D6ABB">
        <w:rPr>
          <w:lang w:val="fr-FR"/>
        </w:rPr>
        <w:t xml:space="preserve">ur l’exercice biennal 2014-2015 </w:t>
      </w:r>
      <w:r w:rsidRPr="00431D28">
        <w:rPr>
          <w:lang w:val="fr-FR"/>
        </w:rPr>
        <w:t>prévoit des recettes s’</w:t>
      </w:r>
      <w:r w:rsidR="00431D28" w:rsidRPr="00431D28">
        <w:rPr>
          <w:lang w:val="fr-FR"/>
        </w:rPr>
        <w:t>élevant</w:t>
      </w:r>
      <w:r w:rsidRPr="00431D28">
        <w:rPr>
          <w:lang w:val="fr-FR"/>
        </w:rPr>
        <w:t xml:space="preserve"> à 6 794 000 francs suisses, par rapport au budget de l’exercice 2012-2013, dans lequel elles s’établissaient à 6 798 0</w:t>
      </w:r>
      <w:r w:rsidR="000D2271">
        <w:rPr>
          <w:lang w:val="fr-FR"/>
        </w:rPr>
        <w:t>0</w:t>
      </w:r>
      <w:r w:rsidRPr="00431D28">
        <w:rPr>
          <w:lang w:val="fr-FR"/>
        </w:rPr>
        <w:t xml:space="preserve">0 francs suisses (voir les </w:t>
      </w:r>
      <w:r w:rsidRPr="00431D28">
        <w:rPr>
          <w:b/>
          <w:lang w:val="fr-FR"/>
        </w:rPr>
        <w:t>tableaux 1 et 2</w:t>
      </w:r>
      <w:r w:rsidRPr="00431D28">
        <w:rPr>
          <w:lang w:val="fr-FR"/>
        </w:rPr>
        <w:t>).</w:t>
      </w:r>
    </w:p>
    <w:p w:rsidR="005A7F6B" w:rsidRPr="00431D28" w:rsidRDefault="005A7F6B" w:rsidP="00421639">
      <w:pPr>
        <w:rPr>
          <w:spacing w:val="-2"/>
          <w:szCs w:val="24"/>
          <w:lang w:val="fr-FR"/>
        </w:rPr>
      </w:pPr>
    </w:p>
    <w:p w:rsidR="005A7F6B" w:rsidRPr="00431D28" w:rsidRDefault="005B4978" w:rsidP="005B4978">
      <w:pPr>
        <w:jc w:val="center"/>
        <w:rPr>
          <w:b/>
          <w:lang w:val="fr-FR"/>
        </w:rPr>
      </w:pPr>
      <w:r w:rsidRPr="00431D28">
        <w:rPr>
          <w:b/>
          <w:lang w:val="fr-FR"/>
        </w:rPr>
        <w:t>Tableau 1 : Recettes e</w:t>
      </w:r>
      <w:r w:rsidR="003D6ABB">
        <w:rPr>
          <w:b/>
          <w:lang w:val="fr-FR"/>
        </w:rPr>
        <w:t xml:space="preserve">t dépenses 2010-2011, 2012-2013 </w:t>
      </w:r>
      <w:r w:rsidRPr="00431D28">
        <w:rPr>
          <w:b/>
          <w:lang w:val="fr-FR"/>
        </w:rPr>
        <w:t>et 2014-2015</w:t>
      </w:r>
    </w:p>
    <w:p w:rsidR="005A7F6B" w:rsidRPr="00431D28" w:rsidRDefault="005B4978" w:rsidP="005B4978">
      <w:pPr>
        <w:jc w:val="center"/>
        <w:rPr>
          <w:lang w:val="fr-FR"/>
        </w:rPr>
      </w:pPr>
      <w:r w:rsidRPr="00431D28">
        <w:rPr>
          <w:lang w:val="fr-FR"/>
        </w:rPr>
        <w:t>(en milliers de francs suisses)</w:t>
      </w:r>
    </w:p>
    <w:p w:rsidR="00421639" w:rsidRPr="00431D28" w:rsidRDefault="00421639" w:rsidP="00421639">
      <w:pPr>
        <w:rPr>
          <w:spacing w:val="-2"/>
          <w:szCs w:val="24"/>
          <w:lang w:val="fr-FR"/>
        </w:rPr>
      </w:pPr>
    </w:p>
    <w:tbl>
      <w:tblPr>
        <w:tblW w:w="9356" w:type="dxa"/>
        <w:tblInd w:w="250" w:type="dxa"/>
        <w:tblLook w:val="04A0" w:firstRow="1" w:lastRow="0" w:firstColumn="1" w:lastColumn="0" w:noHBand="0" w:noVBand="1"/>
      </w:tblPr>
      <w:tblGrid>
        <w:gridCol w:w="3827"/>
        <w:gridCol w:w="1211"/>
        <w:gridCol w:w="1231"/>
        <w:gridCol w:w="680"/>
        <w:gridCol w:w="960"/>
        <w:gridCol w:w="1447"/>
      </w:tblGrid>
      <w:tr w:rsidR="009A663A" w:rsidRPr="00431D28" w:rsidTr="001856B5">
        <w:tc>
          <w:tcPr>
            <w:tcW w:w="3827" w:type="dxa"/>
            <w:tcBorders>
              <w:top w:val="single" w:sz="4" w:space="0" w:color="auto"/>
              <w:left w:val="single" w:sz="4" w:space="0" w:color="auto"/>
              <w:bottom w:val="nil"/>
              <w:right w:val="nil"/>
            </w:tcBorders>
            <w:shd w:val="clear" w:color="auto" w:fill="auto"/>
          </w:tcPr>
          <w:p w:rsidR="001856B5" w:rsidRPr="00431D28" w:rsidRDefault="001856B5" w:rsidP="001856B5">
            <w:pPr>
              <w:spacing w:after="120"/>
              <w:ind w:firstLineChars="100" w:firstLine="200"/>
              <w:jc w:val="left"/>
              <w:rPr>
                <w:rFonts w:cs="Arial"/>
                <w:i/>
                <w:iCs/>
                <w:lang w:val="fr-FR"/>
              </w:rPr>
            </w:pPr>
          </w:p>
        </w:tc>
        <w:tc>
          <w:tcPr>
            <w:tcW w:w="1211" w:type="dxa"/>
            <w:tcBorders>
              <w:top w:val="single" w:sz="4" w:space="0" w:color="auto"/>
              <w:left w:val="single" w:sz="4" w:space="0" w:color="auto"/>
              <w:bottom w:val="nil"/>
              <w:right w:val="nil"/>
            </w:tcBorders>
            <w:shd w:val="clear" w:color="auto" w:fill="auto"/>
            <w:hideMark/>
          </w:tcPr>
          <w:p w:rsidR="001856B5" w:rsidRPr="00431D28" w:rsidRDefault="001856B5" w:rsidP="001856B5">
            <w:pPr>
              <w:spacing w:after="120"/>
              <w:jc w:val="center"/>
              <w:rPr>
                <w:rFonts w:cs="Arial"/>
                <w:i/>
                <w:iCs/>
                <w:lang w:val="fr-FR"/>
              </w:rPr>
            </w:pPr>
            <w:r w:rsidRPr="00431D28">
              <w:rPr>
                <w:rFonts w:cs="Arial"/>
                <w:i/>
                <w:iCs/>
                <w:lang w:val="fr-FR"/>
              </w:rPr>
              <w:t>2010-2011</w:t>
            </w:r>
          </w:p>
        </w:tc>
        <w:tc>
          <w:tcPr>
            <w:tcW w:w="1231" w:type="dxa"/>
            <w:tcBorders>
              <w:top w:val="single" w:sz="4" w:space="0" w:color="auto"/>
              <w:left w:val="single" w:sz="4" w:space="0" w:color="auto"/>
              <w:bottom w:val="nil"/>
              <w:right w:val="nil"/>
            </w:tcBorders>
            <w:shd w:val="clear" w:color="auto" w:fill="auto"/>
            <w:hideMark/>
          </w:tcPr>
          <w:p w:rsidR="001856B5" w:rsidRPr="00431D28" w:rsidRDefault="001856B5" w:rsidP="001856B5">
            <w:pPr>
              <w:spacing w:after="120"/>
              <w:jc w:val="center"/>
              <w:rPr>
                <w:rFonts w:cs="Arial"/>
                <w:i/>
                <w:iCs/>
                <w:lang w:val="fr-FR"/>
              </w:rPr>
            </w:pPr>
            <w:r w:rsidRPr="00431D28">
              <w:rPr>
                <w:rFonts w:cs="Arial"/>
                <w:i/>
                <w:iCs/>
                <w:lang w:val="fr-FR"/>
              </w:rPr>
              <w:t>2012-2013</w:t>
            </w:r>
          </w:p>
        </w:tc>
        <w:tc>
          <w:tcPr>
            <w:tcW w:w="1640" w:type="dxa"/>
            <w:gridSpan w:val="2"/>
            <w:tcBorders>
              <w:top w:val="single" w:sz="4" w:space="0" w:color="auto"/>
              <w:left w:val="single" w:sz="4" w:space="0" w:color="auto"/>
              <w:bottom w:val="nil"/>
              <w:right w:val="nil"/>
            </w:tcBorders>
            <w:shd w:val="clear" w:color="auto" w:fill="auto"/>
            <w:hideMark/>
          </w:tcPr>
          <w:p w:rsidR="001856B5" w:rsidRPr="00431D28" w:rsidRDefault="001856B5" w:rsidP="001856B5">
            <w:pPr>
              <w:spacing w:after="120"/>
              <w:jc w:val="center"/>
              <w:rPr>
                <w:rFonts w:cs="Arial"/>
                <w:i/>
                <w:iCs/>
                <w:lang w:val="fr-FR"/>
              </w:rPr>
            </w:pPr>
            <w:r w:rsidRPr="00431D28">
              <w:rPr>
                <w:rFonts w:cs="Arial"/>
                <w:i/>
                <w:iCs/>
                <w:lang w:val="fr-FR"/>
              </w:rPr>
              <w:t>Variation</w:t>
            </w:r>
          </w:p>
        </w:tc>
        <w:tc>
          <w:tcPr>
            <w:tcW w:w="1447" w:type="dxa"/>
            <w:tcBorders>
              <w:top w:val="single" w:sz="4" w:space="0" w:color="auto"/>
              <w:left w:val="single" w:sz="4" w:space="0" w:color="auto"/>
              <w:bottom w:val="nil"/>
              <w:right w:val="single" w:sz="4" w:space="0" w:color="auto"/>
            </w:tcBorders>
            <w:shd w:val="clear" w:color="auto" w:fill="auto"/>
            <w:hideMark/>
          </w:tcPr>
          <w:p w:rsidR="001856B5" w:rsidRPr="00431D28" w:rsidRDefault="001856B5" w:rsidP="001856B5">
            <w:pPr>
              <w:spacing w:after="120"/>
              <w:jc w:val="center"/>
              <w:rPr>
                <w:rFonts w:cs="Arial"/>
                <w:i/>
                <w:iCs/>
                <w:lang w:val="fr-FR"/>
              </w:rPr>
            </w:pPr>
            <w:r w:rsidRPr="00431D28">
              <w:rPr>
                <w:rFonts w:cs="Arial"/>
                <w:i/>
                <w:iCs/>
                <w:lang w:val="fr-FR"/>
              </w:rPr>
              <w:t>2014-2015</w:t>
            </w:r>
          </w:p>
        </w:tc>
      </w:tr>
      <w:tr w:rsidR="009A663A" w:rsidRPr="00431D28" w:rsidTr="001856B5">
        <w:trPr>
          <w:trHeight w:val="255"/>
        </w:trPr>
        <w:tc>
          <w:tcPr>
            <w:tcW w:w="3827" w:type="dxa"/>
            <w:tcBorders>
              <w:top w:val="nil"/>
              <w:left w:val="single" w:sz="4" w:space="0" w:color="auto"/>
              <w:bottom w:val="nil"/>
              <w:right w:val="nil"/>
            </w:tcBorders>
            <w:shd w:val="clear" w:color="auto" w:fill="auto"/>
          </w:tcPr>
          <w:p w:rsidR="001856B5" w:rsidRPr="00431D28" w:rsidRDefault="001856B5" w:rsidP="001856B5">
            <w:pPr>
              <w:ind w:firstLineChars="100" w:firstLine="200"/>
              <w:jc w:val="left"/>
              <w:rPr>
                <w:rFonts w:cs="Arial"/>
                <w:i/>
                <w:iCs/>
                <w:lang w:val="fr-FR"/>
              </w:rPr>
            </w:pPr>
          </w:p>
        </w:tc>
        <w:tc>
          <w:tcPr>
            <w:tcW w:w="1211" w:type="dxa"/>
            <w:tcBorders>
              <w:top w:val="nil"/>
              <w:left w:val="single" w:sz="4" w:space="0" w:color="auto"/>
              <w:bottom w:val="nil"/>
              <w:right w:val="nil"/>
            </w:tcBorders>
            <w:shd w:val="clear" w:color="auto" w:fill="auto"/>
            <w:hideMark/>
          </w:tcPr>
          <w:p w:rsidR="001856B5" w:rsidRPr="00431D28" w:rsidRDefault="005B4978" w:rsidP="001856B5">
            <w:pPr>
              <w:jc w:val="center"/>
              <w:rPr>
                <w:rFonts w:cs="Arial"/>
                <w:i/>
                <w:iCs/>
                <w:lang w:val="fr-FR"/>
              </w:rPr>
            </w:pPr>
            <w:r w:rsidRPr="00431D28">
              <w:rPr>
                <w:rFonts w:cs="Arial"/>
                <w:i/>
                <w:iCs/>
                <w:lang w:val="fr-FR"/>
              </w:rPr>
              <w:t>Montant effectif</w:t>
            </w:r>
          </w:p>
        </w:tc>
        <w:tc>
          <w:tcPr>
            <w:tcW w:w="1231" w:type="dxa"/>
            <w:tcBorders>
              <w:top w:val="nil"/>
              <w:left w:val="single" w:sz="4" w:space="0" w:color="auto"/>
              <w:bottom w:val="nil"/>
              <w:right w:val="nil"/>
            </w:tcBorders>
            <w:shd w:val="clear" w:color="auto" w:fill="auto"/>
            <w:hideMark/>
          </w:tcPr>
          <w:p w:rsidR="001856B5" w:rsidRPr="00431D28" w:rsidRDefault="001856B5" w:rsidP="001856B5">
            <w:pPr>
              <w:jc w:val="center"/>
              <w:rPr>
                <w:rFonts w:cs="Arial"/>
                <w:i/>
                <w:iCs/>
                <w:lang w:val="fr-FR"/>
              </w:rPr>
            </w:pPr>
            <w:r w:rsidRPr="00431D28">
              <w:rPr>
                <w:rFonts w:cs="Arial"/>
                <w:i/>
                <w:iCs/>
                <w:lang w:val="fr-FR"/>
              </w:rPr>
              <w:t>Budget</w:t>
            </w:r>
          </w:p>
        </w:tc>
        <w:tc>
          <w:tcPr>
            <w:tcW w:w="680" w:type="dxa"/>
            <w:tcBorders>
              <w:top w:val="nil"/>
              <w:left w:val="single" w:sz="4" w:space="0" w:color="auto"/>
              <w:bottom w:val="single" w:sz="4" w:space="0" w:color="auto"/>
              <w:right w:val="nil"/>
            </w:tcBorders>
            <w:shd w:val="clear" w:color="auto" w:fill="auto"/>
            <w:hideMark/>
          </w:tcPr>
          <w:p w:rsidR="001856B5" w:rsidRPr="00431D28" w:rsidRDefault="001856B5" w:rsidP="001856B5">
            <w:pPr>
              <w:rPr>
                <w:rFonts w:cs="Arial"/>
                <w:i/>
                <w:iCs/>
                <w:lang w:val="fr-FR"/>
              </w:rPr>
            </w:pPr>
            <w:r w:rsidRPr="00431D28">
              <w:rPr>
                <w:rFonts w:cs="Arial"/>
                <w:i/>
                <w:iCs/>
                <w:lang w:val="fr-FR"/>
              </w:rPr>
              <w:t> </w:t>
            </w:r>
          </w:p>
        </w:tc>
        <w:tc>
          <w:tcPr>
            <w:tcW w:w="960" w:type="dxa"/>
            <w:tcBorders>
              <w:top w:val="nil"/>
              <w:left w:val="nil"/>
              <w:bottom w:val="single" w:sz="4" w:space="0" w:color="auto"/>
              <w:right w:val="nil"/>
            </w:tcBorders>
            <w:shd w:val="clear" w:color="auto" w:fill="auto"/>
            <w:hideMark/>
          </w:tcPr>
          <w:p w:rsidR="001856B5" w:rsidRPr="00431D28" w:rsidRDefault="001856B5" w:rsidP="001856B5">
            <w:pPr>
              <w:rPr>
                <w:rFonts w:cs="Arial"/>
                <w:i/>
                <w:iCs/>
                <w:lang w:val="fr-FR"/>
              </w:rPr>
            </w:pPr>
            <w:r w:rsidRPr="00431D28">
              <w:rPr>
                <w:rFonts w:cs="Arial"/>
                <w:i/>
                <w:iCs/>
                <w:lang w:val="fr-FR"/>
              </w:rPr>
              <w:t> </w:t>
            </w:r>
          </w:p>
        </w:tc>
        <w:tc>
          <w:tcPr>
            <w:tcW w:w="1447" w:type="dxa"/>
            <w:tcBorders>
              <w:top w:val="nil"/>
              <w:left w:val="single" w:sz="4" w:space="0" w:color="auto"/>
              <w:bottom w:val="nil"/>
              <w:right w:val="single" w:sz="4" w:space="0" w:color="auto"/>
            </w:tcBorders>
            <w:shd w:val="clear" w:color="auto" w:fill="auto"/>
            <w:hideMark/>
          </w:tcPr>
          <w:p w:rsidR="001856B5" w:rsidRPr="00431D28" w:rsidRDefault="002A2E32" w:rsidP="001856B5">
            <w:pPr>
              <w:jc w:val="center"/>
              <w:rPr>
                <w:rFonts w:cs="Arial"/>
                <w:i/>
                <w:iCs/>
                <w:lang w:val="fr-FR"/>
              </w:rPr>
            </w:pPr>
            <w:r w:rsidRPr="00431D28">
              <w:rPr>
                <w:rFonts w:cs="Arial"/>
                <w:i/>
                <w:iCs/>
                <w:lang w:val="fr-FR"/>
              </w:rPr>
              <w:t>Montant proposé</w:t>
            </w:r>
          </w:p>
        </w:tc>
      </w:tr>
      <w:tr w:rsidR="009A663A" w:rsidRPr="00431D28" w:rsidTr="001856B5">
        <w:trPr>
          <w:trHeight w:val="255"/>
        </w:trPr>
        <w:tc>
          <w:tcPr>
            <w:tcW w:w="3827" w:type="dxa"/>
            <w:tcBorders>
              <w:top w:val="nil"/>
              <w:left w:val="single" w:sz="4" w:space="0" w:color="auto"/>
              <w:bottom w:val="single" w:sz="4" w:space="0" w:color="auto"/>
              <w:right w:val="nil"/>
            </w:tcBorders>
            <w:shd w:val="clear" w:color="auto" w:fill="auto"/>
            <w:vAlign w:val="bottom"/>
          </w:tcPr>
          <w:p w:rsidR="001856B5" w:rsidRPr="00431D28" w:rsidRDefault="001856B5" w:rsidP="001856B5">
            <w:pPr>
              <w:ind w:firstLineChars="100" w:firstLine="200"/>
              <w:jc w:val="left"/>
              <w:rPr>
                <w:rFonts w:cs="Arial"/>
                <w:i/>
                <w:iCs/>
                <w:lang w:val="fr-FR"/>
              </w:rPr>
            </w:pPr>
          </w:p>
        </w:tc>
        <w:tc>
          <w:tcPr>
            <w:tcW w:w="1211" w:type="dxa"/>
            <w:tcBorders>
              <w:top w:val="nil"/>
              <w:left w:val="single" w:sz="4" w:space="0" w:color="auto"/>
              <w:bottom w:val="single" w:sz="4" w:space="0" w:color="auto"/>
              <w:right w:val="nil"/>
            </w:tcBorders>
            <w:shd w:val="clear" w:color="auto" w:fill="auto"/>
            <w:vAlign w:val="bottom"/>
            <w:hideMark/>
          </w:tcPr>
          <w:p w:rsidR="001856B5" w:rsidRPr="00431D28" w:rsidRDefault="001856B5" w:rsidP="001856B5">
            <w:pPr>
              <w:jc w:val="center"/>
              <w:rPr>
                <w:rFonts w:cs="Arial"/>
                <w:i/>
                <w:iCs/>
                <w:lang w:val="fr-FR"/>
              </w:rPr>
            </w:pPr>
            <w:r w:rsidRPr="00431D28">
              <w:rPr>
                <w:rFonts w:cs="Arial"/>
                <w:i/>
                <w:iCs/>
                <w:lang w:val="fr-FR"/>
              </w:rPr>
              <w:t>A</w:t>
            </w:r>
          </w:p>
        </w:tc>
        <w:tc>
          <w:tcPr>
            <w:tcW w:w="1231" w:type="dxa"/>
            <w:tcBorders>
              <w:top w:val="nil"/>
              <w:left w:val="single" w:sz="4" w:space="0" w:color="auto"/>
              <w:bottom w:val="single" w:sz="4" w:space="0" w:color="auto"/>
              <w:right w:val="nil"/>
            </w:tcBorders>
            <w:shd w:val="clear" w:color="auto" w:fill="auto"/>
            <w:vAlign w:val="bottom"/>
            <w:hideMark/>
          </w:tcPr>
          <w:p w:rsidR="001856B5" w:rsidRPr="00431D28" w:rsidRDefault="001856B5" w:rsidP="001856B5">
            <w:pPr>
              <w:jc w:val="center"/>
              <w:rPr>
                <w:rFonts w:cs="Arial"/>
                <w:i/>
                <w:iCs/>
                <w:lang w:val="fr-FR"/>
              </w:rPr>
            </w:pPr>
            <w:r w:rsidRPr="00431D28">
              <w:rPr>
                <w:rFonts w:cs="Arial"/>
                <w:i/>
                <w:iCs/>
                <w:lang w:val="fr-FR"/>
              </w:rPr>
              <w:t>B</w:t>
            </w:r>
          </w:p>
        </w:tc>
        <w:tc>
          <w:tcPr>
            <w:tcW w:w="680" w:type="dxa"/>
            <w:tcBorders>
              <w:top w:val="nil"/>
              <w:left w:val="single" w:sz="4" w:space="0" w:color="auto"/>
              <w:bottom w:val="single" w:sz="4" w:space="0" w:color="auto"/>
              <w:right w:val="single" w:sz="4" w:space="0" w:color="auto"/>
            </w:tcBorders>
            <w:shd w:val="clear" w:color="auto" w:fill="auto"/>
            <w:vAlign w:val="bottom"/>
            <w:hideMark/>
          </w:tcPr>
          <w:p w:rsidR="001856B5" w:rsidRPr="00431D28" w:rsidRDefault="001856B5" w:rsidP="001856B5">
            <w:pPr>
              <w:jc w:val="center"/>
              <w:rPr>
                <w:rFonts w:cs="Arial"/>
                <w:i/>
                <w:iCs/>
                <w:lang w:val="fr-FR"/>
              </w:rPr>
            </w:pPr>
            <w:r w:rsidRPr="00431D28">
              <w:rPr>
                <w:rFonts w:cs="Arial"/>
                <w:i/>
                <w:iCs/>
                <w:lang w:val="fr-FR"/>
              </w:rPr>
              <w:t>C</w:t>
            </w:r>
          </w:p>
        </w:tc>
        <w:tc>
          <w:tcPr>
            <w:tcW w:w="960" w:type="dxa"/>
            <w:tcBorders>
              <w:top w:val="nil"/>
              <w:left w:val="nil"/>
              <w:bottom w:val="single" w:sz="4" w:space="0" w:color="auto"/>
              <w:right w:val="nil"/>
            </w:tcBorders>
            <w:shd w:val="clear" w:color="auto" w:fill="auto"/>
            <w:vAlign w:val="bottom"/>
            <w:hideMark/>
          </w:tcPr>
          <w:p w:rsidR="001856B5" w:rsidRPr="00431D28" w:rsidRDefault="001856B5" w:rsidP="001856B5">
            <w:pPr>
              <w:jc w:val="center"/>
              <w:rPr>
                <w:rFonts w:cs="Arial"/>
                <w:i/>
                <w:iCs/>
                <w:lang w:val="fr-FR"/>
              </w:rPr>
            </w:pPr>
            <w:r w:rsidRPr="00431D28">
              <w:rPr>
                <w:rFonts w:cs="Arial"/>
                <w:i/>
                <w:iCs/>
                <w:lang w:val="fr-FR"/>
              </w:rPr>
              <w:t>C/B</w:t>
            </w:r>
          </w:p>
        </w:tc>
        <w:tc>
          <w:tcPr>
            <w:tcW w:w="1447" w:type="dxa"/>
            <w:tcBorders>
              <w:top w:val="nil"/>
              <w:left w:val="single" w:sz="4" w:space="0" w:color="auto"/>
              <w:bottom w:val="single" w:sz="4" w:space="0" w:color="auto"/>
              <w:right w:val="single" w:sz="4" w:space="0" w:color="auto"/>
            </w:tcBorders>
            <w:shd w:val="clear" w:color="auto" w:fill="auto"/>
            <w:vAlign w:val="bottom"/>
            <w:hideMark/>
          </w:tcPr>
          <w:p w:rsidR="001856B5" w:rsidRPr="00431D28" w:rsidRDefault="001856B5" w:rsidP="001856B5">
            <w:pPr>
              <w:jc w:val="center"/>
              <w:rPr>
                <w:rFonts w:cs="Arial"/>
                <w:i/>
                <w:iCs/>
                <w:lang w:val="fr-FR"/>
              </w:rPr>
            </w:pPr>
            <w:r w:rsidRPr="00431D28">
              <w:rPr>
                <w:rFonts w:cs="Arial"/>
                <w:i/>
                <w:iCs/>
                <w:lang w:val="fr-FR"/>
              </w:rPr>
              <w:t>D=B+C</w:t>
            </w:r>
          </w:p>
        </w:tc>
      </w:tr>
      <w:tr w:rsidR="009A663A" w:rsidRPr="00431D28" w:rsidTr="001856B5">
        <w:trPr>
          <w:trHeight w:val="240"/>
        </w:trPr>
        <w:tc>
          <w:tcPr>
            <w:tcW w:w="3827" w:type="dxa"/>
            <w:tcBorders>
              <w:top w:val="nil"/>
              <w:left w:val="single" w:sz="4" w:space="0" w:color="auto"/>
              <w:bottom w:val="nil"/>
              <w:right w:val="nil"/>
            </w:tcBorders>
            <w:shd w:val="clear" w:color="auto" w:fill="auto"/>
            <w:hideMark/>
          </w:tcPr>
          <w:p w:rsidR="001856B5" w:rsidRPr="00431D28" w:rsidRDefault="001856B5" w:rsidP="001856B5">
            <w:pPr>
              <w:ind w:firstLineChars="100" w:firstLine="200"/>
              <w:jc w:val="left"/>
              <w:rPr>
                <w:rFonts w:cs="Arial"/>
                <w:lang w:val="fr-FR"/>
              </w:rPr>
            </w:pPr>
            <w:r w:rsidRPr="00431D28">
              <w:rPr>
                <w:rFonts w:cs="Arial"/>
                <w:lang w:val="fr-FR"/>
              </w:rPr>
              <w:t> </w:t>
            </w:r>
          </w:p>
        </w:tc>
        <w:tc>
          <w:tcPr>
            <w:tcW w:w="1211" w:type="dxa"/>
            <w:tcBorders>
              <w:top w:val="nil"/>
              <w:left w:val="single" w:sz="4" w:space="0" w:color="auto"/>
              <w:bottom w:val="nil"/>
              <w:right w:val="nil"/>
            </w:tcBorders>
            <w:shd w:val="clear" w:color="auto" w:fill="auto"/>
            <w:hideMark/>
          </w:tcPr>
          <w:p w:rsidR="001856B5" w:rsidRPr="00431D28" w:rsidRDefault="001856B5" w:rsidP="001856B5">
            <w:pPr>
              <w:rPr>
                <w:rFonts w:cs="Arial"/>
                <w:lang w:val="fr-FR"/>
              </w:rPr>
            </w:pPr>
            <w:r w:rsidRPr="00431D28">
              <w:rPr>
                <w:rFonts w:cs="Arial"/>
                <w:lang w:val="fr-FR"/>
              </w:rPr>
              <w:t> </w:t>
            </w:r>
          </w:p>
        </w:tc>
        <w:tc>
          <w:tcPr>
            <w:tcW w:w="1231" w:type="dxa"/>
            <w:tcBorders>
              <w:top w:val="nil"/>
              <w:left w:val="nil"/>
              <w:bottom w:val="nil"/>
              <w:right w:val="nil"/>
            </w:tcBorders>
            <w:shd w:val="clear" w:color="auto" w:fill="auto"/>
            <w:hideMark/>
          </w:tcPr>
          <w:p w:rsidR="001856B5" w:rsidRPr="00431D28" w:rsidRDefault="001856B5" w:rsidP="001856B5">
            <w:pPr>
              <w:rPr>
                <w:rFonts w:cs="Arial"/>
                <w:lang w:val="fr-FR"/>
              </w:rPr>
            </w:pPr>
            <w:r w:rsidRPr="00431D28">
              <w:rPr>
                <w:rFonts w:cs="Arial"/>
                <w:lang w:val="fr-FR"/>
              </w:rPr>
              <w:t> </w:t>
            </w:r>
          </w:p>
        </w:tc>
        <w:tc>
          <w:tcPr>
            <w:tcW w:w="680" w:type="dxa"/>
            <w:tcBorders>
              <w:top w:val="nil"/>
              <w:left w:val="nil"/>
              <w:bottom w:val="nil"/>
              <w:right w:val="nil"/>
            </w:tcBorders>
            <w:shd w:val="clear" w:color="auto" w:fill="auto"/>
            <w:hideMark/>
          </w:tcPr>
          <w:p w:rsidR="001856B5" w:rsidRPr="00431D28" w:rsidRDefault="001856B5" w:rsidP="001856B5">
            <w:pPr>
              <w:rPr>
                <w:rFonts w:cs="Arial"/>
                <w:lang w:val="fr-FR"/>
              </w:rPr>
            </w:pPr>
            <w:r w:rsidRPr="00431D28">
              <w:rPr>
                <w:rFonts w:cs="Arial"/>
                <w:lang w:val="fr-FR"/>
              </w:rPr>
              <w:t> </w:t>
            </w:r>
          </w:p>
        </w:tc>
        <w:tc>
          <w:tcPr>
            <w:tcW w:w="960" w:type="dxa"/>
            <w:tcBorders>
              <w:top w:val="nil"/>
              <w:left w:val="nil"/>
              <w:bottom w:val="nil"/>
              <w:right w:val="nil"/>
            </w:tcBorders>
            <w:shd w:val="clear" w:color="auto" w:fill="auto"/>
            <w:hideMark/>
          </w:tcPr>
          <w:p w:rsidR="001856B5" w:rsidRPr="00431D28" w:rsidRDefault="001856B5" w:rsidP="001856B5">
            <w:pPr>
              <w:rPr>
                <w:rFonts w:cs="Arial"/>
                <w:lang w:val="fr-FR"/>
              </w:rPr>
            </w:pPr>
            <w:r w:rsidRPr="00431D28">
              <w:rPr>
                <w:rFonts w:cs="Arial"/>
                <w:lang w:val="fr-FR"/>
              </w:rPr>
              <w:t> </w:t>
            </w:r>
          </w:p>
        </w:tc>
        <w:tc>
          <w:tcPr>
            <w:tcW w:w="1447" w:type="dxa"/>
            <w:tcBorders>
              <w:top w:val="nil"/>
              <w:left w:val="single" w:sz="4" w:space="0" w:color="auto"/>
              <w:bottom w:val="nil"/>
              <w:right w:val="single" w:sz="4" w:space="0" w:color="auto"/>
            </w:tcBorders>
            <w:shd w:val="clear" w:color="auto" w:fill="auto"/>
            <w:hideMark/>
          </w:tcPr>
          <w:p w:rsidR="001856B5" w:rsidRPr="00431D28" w:rsidRDefault="001856B5" w:rsidP="001856B5">
            <w:pPr>
              <w:rPr>
                <w:rFonts w:cs="Arial"/>
                <w:lang w:val="fr-FR"/>
              </w:rPr>
            </w:pPr>
            <w:r w:rsidRPr="00431D28">
              <w:rPr>
                <w:rFonts w:cs="Arial"/>
                <w:lang w:val="fr-FR"/>
              </w:rPr>
              <w:t> </w:t>
            </w:r>
          </w:p>
        </w:tc>
      </w:tr>
      <w:tr w:rsidR="009A663A" w:rsidRPr="00431D28" w:rsidTr="001856B5">
        <w:trPr>
          <w:trHeight w:val="315"/>
        </w:trPr>
        <w:tc>
          <w:tcPr>
            <w:tcW w:w="3827" w:type="dxa"/>
            <w:tcBorders>
              <w:top w:val="nil"/>
              <w:left w:val="single" w:sz="4" w:space="0" w:color="auto"/>
              <w:bottom w:val="nil"/>
              <w:right w:val="nil"/>
            </w:tcBorders>
            <w:shd w:val="clear" w:color="auto" w:fill="auto"/>
            <w:vAlign w:val="bottom"/>
            <w:hideMark/>
          </w:tcPr>
          <w:p w:rsidR="001856B5" w:rsidRPr="00431D28" w:rsidRDefault="002A2E32" w:rsidP="001856B5">
            <w:pPr>
              <w:jc w:val="left"/>
              <w:rPr>
                <w:rFonts w:cs="Arial"/>
                <w:lang w:val="fr-FR"/>
              </w:rPr>
            </w:pPr>
            <w:r w:rsidRPr="00431D28">
              <w:rPr>
                <w:rFonts w:cs="Arial"/>
                <w:lang w:val="fr-FR"/>
              </w:rPr>
              <w:t>1. Recettes</w:t>
            </w:r>
          </w:p>
        </w:tc>
        <w:tc>
          <w:tcPr>
            <w:tcW w:w="1211" w:type="dxa"/>
            <w:tcBorders>
              <w:top w:val="nil"/>
              <w:left w:val="single" w:sz="4" w:space="0" w:color="auto"/>
              <w:bottom w:val="nil"/>
              <w:right w:val="nil"/>
            </w:tcBorders>
            <w:shd w:val="clear" w:color="auto" w:fill="auto"/>
            <w:vAlign w:val="bottom"/>
            <w:hideMark/>
          </w:tcPr>
          <w:p w:rsidR="001856B5" w:rsidRPr="00431D28" w:rsidRDefault="004D066E" w:rsidP="001856B5">
            <w:pPr>
              <w:jc w:val="right"/>
              <w:rPr>
                <w:rFonts w:cs="Arial"/>
                <w:lang w:val="fr-FR"/>
              </w:rPr>
            </w:pPr>
            <w:r>
              <w:rPr>
                <w:rFonts w:cs="Arial"/>
                <w:lang w:val="fr-FR"/>
              </w:rPr>
              <w:t>6</w:t>
            </w:r>
            <w:r w:rsidR="003F2179">
              <w:rPr>
                <w:rFonts w:cs="Arial"/>
                <w:lang w:val="fr-FR"/>
              </w:rPr>
              <w:t> </w:t>
            </w:r>
            <w:r w:rsidR="001856B5" w:rsidRPr="00431D28">
              <w:rPr>
                <w:rFonts w:cs="Arial"/>
                <w:lang w:val="fr-FR"/>
              </w:rPr>
              <w:t>901</w:t>
            </w:r>
          </w:p>
        </w:tc>
        <w:tc>
          <w:tcPr>
            <w:tcW w:w="1231" w:type="dxa"/>
            <w:tcBorders>
              <w:top w:val="nil"/>
              <w:left w:val="nil"/>
              <w:bottom w:val="nil"/>
              <w:right w:val="nil"/>
            </w:tcBorders>
            <w:shd w:val="clear" w:color="auto" w:fill="auto"/>
            <w:vAlign w:val="bottom"/>
            <w:hideMark/>
          </w:tcPr>
          <w:p w:rsidR="001856B5" w:rsidRPr="00431D28" w:rsidRDefault="004D066E" w:rsidP="001856B5">
            <w:pPr>
              <w:jc w:val="right"/>
              <w:rPr>
                <w:rFonts w:cs="Arial"/>
                <w:lang w:val="fr-FR"/>
              </w:rPr>
            </w:pPr>
            <w:r>
              <w:rPr>
                <w:rFonts w:cs="Arial"/>
                <w:lang w:val="fr-FR"/>
              </w:rPr>
              <w:t>6</w:t>
            </w:r>
            <w:r w:rsidR="003F2179">
              <w:rPr>
                <w:rFonts w:cs="Arial"/>
                <w:lang w:val="fr-FR"/>
              </w:rPr>
              <w:t> </w:t>
            </w:r>
            <w:r w:rsidR="001856B5" w:rsidRPr="00431D28">
              <w:rPr>
                <w:rFonts w:cs="Arial"/>
                <w:lang w:val="fr-FR"/>
              </w:rPr>
              <w:t>798</w:t>
            </w:r>
          </w:p>
        </w:tc>
        <w:tc>
          <w:tcPr>
            <w:tcW w:w="680" w:type="dxa"/>
            <w:tcBorders>
              <w:top w:val="nil"/>
              <w:left w:val="nil"/>
              <w:bottom w:val="nil"/>
              <w:right w:val="nil"/>
            </w:tcBorders>
            <w:shd w:val="clear" w:color="auto" w:fill="auto"/>
            <w:vAlign w:val="bottom"/>
            <w:hideMark/>
          </w:tcPr>
          <w:p w:rsidR="001856B5" w:rsidRPr="00431D28" w:rsidRDefault="001856B5" w:rsidP="001856B5">
            <w:pPr>
              <w:jc w:val="right"/>
              <w:rPr>
                <w:rFonts w:cs="Arial"/>
                <w:lang w:val="fr-FR"/>
              </w:rPr>
            </w:pPr>
            <w:r w:rsidRPr="00431D28">
              <w:rPr>
                <w:rFonts w:cs="Arial"/>
                <w:lang w:val="fr-FR"/>
              </w:rPr>
              <w:t>-4</w:t>
            </w:r>
          </w:p>
        </w:tc>
        <w:tc>
          <w:tcPr>
            <w:tcW w:w="960" w:type="dxa"/>
            <w:tcBorders>
              <w:top w:val="nil"/>
              <w:left w:val="nil"/>
              <w:bottom w:val="nil"/>
              <w:right w:val="nil"/>
            </w:tcBorders>
            <w:shd w:val="clear" w:color="auto" w:fill="auto"/>
            <w:vAlign w:val="bottom"/>
            <w:hideMark/>
          </w:tcPr>
          <w:p w:rsidR="001856B5" w:rsidRPr="00431D28" w:rsidRDefault="002A2E32" w:rsidP="001856B5">
            <w:pPr>
              <w:jc w:val="right"/>
              <w:rPr>
                <w:rFonts w:cs="Arial"/>
                <w:lang w:val="fr-FR"/>
              </w:rPr>
            </w:pPr>
            <w:r w:rsidRPr="00431D28">
              <w:rPr>
                <w:rFonts w:cs="Arial"/>
                <w:lang w:val="fr-FR"/>
              </w:rPr>
              <w:t>-0,</w:t>
            </w:r>
            <w:r w:rsidR="001856B5" w:rsidRPr="00431D28">
              <w:rPr>
                <w:rFonts w:cs="Arial"/>
                <w:lang w:val="fr-FR"/>
              </w:rPr>
              <w:t>1%</w:t>
            </w:r>
          </w:p>
        </w:tc>
        <w:tc>
          <w:tcPr>
            <w:tcW w:w="1447" w:type="dxa"/>
            <w:tcBorders>
              <w:top w:val="nil"/>
              <w:left w:val="single" w:sz="4" w:space="0" w:color="auto"/>
              <w:bottom w:val="nil"/>
              <w:right w:val="single" w:sz="4" w:space="0" w:color="auto"/>
            </w:tcBorders>
            <w:shd w:val="clear" w:color="auto" w:fill="auto"/>
            <w:vAlign w:val="bottom"/>
            <w:hideMark/>
          </w:tcPr>
          <w:p w:rsidR="001856B5" w:rsidRPr="00431D28" w:rsidRDefault="004D066E" w:rsidP="001856B5">
            <w:pPr>
              <w:jc w:val="right"/>
              <w:rPr>
                <w:rFonts w:cs="Arial"/>
                <w:lang w:val="fr-FR"/>
              </w:rPr>
            </w:pPr>
            <w:r>
              <w:rPr>
                <w:rFonts w:cs="Arial"/>
                <w:lang w:val="fr-FR"/>
              </w:rPr>
              <w:t>6</w:t>
            </w:r>
            <w:r w:rsidR="003F2179">
              <w:rPr>
                <w:rFonts w:cs="Arial"/>
                <w:lang w:val="fr-FR"/>
              </w:rPr>
              <w:t> </w:t>
            </w:r>
            <w:r>
              <w:rPr>
                <w:rFonts w:cs="Arial"/>
                <w:lang w:val="fr-FR"/>
              </w:rPr>
              <w:t>7</w:t>
            </w:r>
            <w:r w:rsidR="001856B5" w:rsidRPr="00431D28">
              <w:rPr>
                <w:rFonts w:cs="Arial"/>
                <w:lang w:val="fr-FR"/>
              </w:rPr>
              <w:t>94</w:t>
            </w:r>
          </w:p>
        </w:tc>
      </w:tr>
      <w:tr w:rsidR="009A663A" w:rsidRPr="00431D28" w:rsidTr="001856B5">
        <w:trPr>
          <w:trHeight w:val="315"/>
        </w:trPr>
        <w:tc>
          <w:tcPr>
            <w:tcW w:w="3827" w:type="dxa"/>
            <w:tcBorders>
              <w:top w:val="nil"/>
              <w:left w:val="single" w:sz="4" w:space="0" w:color="auto"/>
              <w:bottom w:val="nil"/>
              <w:right w:val="nil"/>
            </w:tcBorders>
            <w:shd w:val="clear" w:color="auto" w:fill="auto"/>
            <w:vAlign w:val="bottom"/>
            <w:hideMark/>
          </w:tcPr>
          <w:p w:rsidR="001856B5" w:rsidRPr="00431D28" w:rsidRDefault="002A2E32" w:rsidP="001856B5">
            <w:pPr>
              <w:jc w:val="left"/>
              <w:rPr>
                <w:rFonts w:cs="Arial"/>
                <w:lang w:val="fr-FR"/>
              </w:rPr>
            </w:pPr>
            <w:r w:rsidRPr="00431D28">
              <w:rPr>
                <w:rFonts w:cs="Arial"/>
                <w:lang w:val="fr-FR"/>
              </w:rPr>
              <w:t>2. Dépenses</w:t>
            </w:r>
          </w:p>
        </w:tc>
        <w:tc>
          <w:tcPr>
            <w:tcW w:w="1211" w:type="dxa"/>
            <w:tcBorders>
              <w:top w:val="nil"/>
              <w:left w:val="single" w:sz="4" w:space="0" w:color="auto"/>
              <w:bottom w:val="nil"/>
              <w:right w:val="nil"/>
            </w:tcBorders>
            <w:shd w:val="clear" w:color="auto" w:fill="auto"/>
            <w:vAlign w:val="bottom"/>
            <w:hideMark/>
          </w:tcPr>
          <w:p w:rsidR="001856B5" w:rsidRPr="00431D28" w:rsidRDefault="004D066E" w:rsidP="001856B5">
            <w:pPr>
              <w:jc w:val="right"/>
              <w:rPr>
                <w:rFonts w:cs="Arial"/>
                <w:lang w:val="fr-FR"/>
              </w:rPr>
            </w:pPr>
            <w:r w:rsidRPr="003F2179">
              <w:t>6</w:t>
            </w:r>
            <w:r w:rsidR="00333EB1">
              <w:t> </w:t>
            </w:r>
            <w:r w:rsidR="001856B5" w:rsidRPr="003F2179">
              <w:t>479</w:t>
            </w:r>
          </w:p>
        </w:tc>
        <w:tc>
          <w:tcPr>
            <w:tcW w:w="1231" w:type="dxa"/>
            <w:tcBorders>
              <w:top w:val="nil"/>
              <w:left w:val="nil"/>
              <w:bottom w:val="nil"/>
              <w:right w:val="nil"/>
            </w:tcBorders>
            <w:shd w:val="clear" w:color="auto" w:fill="auto"/>
            <w:vAlign w:val="bottom"/>
            <w:hideMark/>
          </w:tcPr>
          <w:p w:rsidR="001856B5" w:rsidRPr="00431D28" w:rsidRDefault="004D066E" w:rsidP="001856B5">
            <w:pPr>
              <w:jc w:val="right"/>
              <w:rPr>
                <w:rFonts w:cs="Arial"/>
                <w:lang w:val="fr-FR"/>
              </w:rPr>
            </w:pPr>
            <w:r>
              <w:rPr>
                <w:rFonts w:cs="Arial"/>
                <w:lang w:val="fr-FR"/>
              </w:rPr>
              <w:t>6</w:t>
            </w:r>
            <w:r w:rsidR="003F2179">
              <w:rPr>
                <w:rFonts w:cs="Arial"/>
                <w:lang w:val="fr-FR"/>
              </w:rPr>
              <w:t> </w:t>
            </w:r>
            <w:r w:rsidR="001856B5" w:rsidRPr="00431D28">
              <w:rPr>
                <w:rFonts w:cs="Arial"/>
                <w:lang w:val="fr-FR"/>
              </w:rPr>
              <w:t>798</w:t>
            </w:r>
          </w:p>
        </w:tc>
        <w:tc>
          <w:tcPr>
            <w:tcW w:w="680" w:type="dxa"/>
            <w:tcBorders>
              <w:top w:val="nil"/>
              <w:left w:val="nil"/>
              <w:bottom w:val="nil"/>
              <w:right w:val="nil"/>
            </w:tcBorders>
            <w:shd w:val="clear" w:color="auto" w:fill="auto"/>
            <w:vAlign w:val="bottom"/>
            <w:hideMark/>
          </w:tcPr>
          <w:p w:rsidR="001856B5" w:rsidRPr="00431D28" w:rsidRDefault="001856B5" w:rsidP="001856B5">
            <w:pPr>
              <w:jc w:val="right"/>
              <w:rPr>
                <w:rFonts w:cs="Arial"/>
                <w:lang w:val="fr-FR"/>
              </w:rPr>
            </w:pPr>
            <w:r w:rsidRPr="00431D28">
              <w:rPr>
                <w:rFonts w:cs="Arial"/>
                <w:lang w:val="fr-FR"/>
              </w:rPr>
              <w:t>-4</w:t>
            </w:r>
          </w:p>
        </w:tc>
        <w:tc>
          <w:tcPr>
            <w:tcW w:w="960" w:type="dxa"/>
            <w:tcBorders>
              <w:top w:val="nil"/>
              <w:left w:val="nil"/>
              <w:bottom w:val="nil"/>
              <w:right w:val="nil"/>
            </w:tcBorders>
            <w:shd w:val="clear" w:color="auto" w:fill="auto"/>
            <w:vAlign w:val="bottom"/>
            <w:hideMark/>
          </w:tcPr>
          <w:p w:rsidR="001856B5" w:rsidRPr="00431D28" w:rsidRDefault="002A2E32" w:rsidP="001856B5">
            <w:pPr>
              <w:jc w:val="right"/>
              <w:rPr>
                <w:rFonts w:cs="Arial"/>
                <w:lang w:val="fr-FR"/>
              </w:rPr>
            </w:pPr>
            <w:r w:rsidRPr="00431D28">
              <w:rPr>
                <w:rFonts w:cs="Arial"/>
                <w:lang w:val="fr-FR"/>
              </w:rPr>
              <w:t>-0,</w:t>
            </w:r>
            <w:r w:rsidR="001856B5" w:rsidRPr="00431D28">
              <w:rPr>
                <w:rFonts w:cs="Arial"/>
                <w:lang w:val="fr-FR"/>
              </w:rPr>
              <w:t>1%</w:t>
            </w:r>
          </w:p>
        </w:tc>
        <w:tc>
          <w:tcPr>
            <w:tcW w:w="1447" w:type="dxa"/>
            <w:tcBorders>
              <w:top w:val="nil"/>
              <w:left w:val="single" w:sz="4" w:space="0" w:color="auto"/>
              <w:bottom w:val="nil"/>
              <w:right w:val="single" w:sz="4" w:space="0" w:color="auto"/>
            </w:tcBorders>
            <w:shd w:val="clear" w:color="auto" w:fill="auto"/>
            <w:vAlign w:val="bottom"/>
            <w:hideMark/>
          </w:tcPr>
          <w:p w:rsidR="001856B5" w:rsidRPr="00431D28" w:rsidRDefault="002A2E32" w:rsidP="001856B5">
            <w:pPr>
              <w:jc w:val="right"/>
              <w:rPr>
                <w:rFonts w:cs="Arial"/>
                <w:lang w:val="fr-FR"/>
              </w:rPr>
            </w:pPr>
            <w:r w:rsidRPr="00431D28">
              <w:rPr>
                <w:rFonts w:cs="Arial"/>
                <w:lang w:val="fr-FR"/>
              </w:rPr>
              <w:t>6</w:t>
            </w:r>
            <w:r w:rsidR="003F2179">
              <w:rPr>
                <w:rFonts w:cs="Arial"/>
                <w:lang w:val="fr-FR"/>
              </w:rPr>
              <w:t> </w:t>
            </w:r>
            <w:r w:rsidR="001856B5" w:rsidRPr="00431D28">
              <w:rPr>
                <w:rFonts w:cs="Arial"/>
                <w:lang w:val="fr-FR"/>
              </w:rPr>
              <w:t>794</w:t>
            </w:r>
          </w:p>
        </w:tc>
      </w:tr>
      <w:tr w:rsidR="009A663A" w:rsidRPr="00431D28" w:rsidTr="001856B5">
        <w:trPr>
          <w:trHeight w:val="315"/>
        </w:trPr>
        <w:tc>
          <w:tcPr>
            <w:tcW w:w="3827" w:type="dxa"/>
            <w:tcBorders>
              <w:top w:val="nil"/>
              <w:left w:val="single" w:sz="4" w:space="0" w:color="auto"/>
              <w:bottom w:val="single" w:sz="4" w:space="0" w:color="auto"/>
              <w:right w:val="nil"/>
            </w:tcBorders>
            <w:shd w:val="clear" w:color="auto" w:fill="auto"/>
            <w:vAlign w:val="bottom"/>
            <w:hideMark/>
          </w:tcPr>
          <w:p w:rsidR="001856B5" w:rsidRPr="00431D28" w:rsidRDefault="002A2E32" w:rsidP="001856B5">
            <w:pPr>
              <w:jc w:val="left"/>
              <w:rPr>
                <w:rFonts w:cs="Arial"/>
                <w:b/>
                <w:bCs/>
                <w:lang w:val="fr-FR"/>
              </w:rPr>
            </w:pPr>
            <w:r w:rsidRPr="00431D28">
              <w:rPr>
                <w:rFonts w:cs="Arial"/>
                <w:b/>
                <w:bCs/>
                <w:lang w:val="fr-FR"/>
              </w:rPr>
              <w:t>Diffé</w:t>
            </w:r>
            <w:r w:rsidR="001856B5" w:rsidRPr="00431D28">
              <w:rPr>
                <w:rFonts w:cs="Arial"/>
                <w:b/>
                <w:bCs/>
                <w:lang w:val="fr-FR"/>
              </w:rPr>
              <w:t>rence (1-2)</w:t>
            </w:r>
          </w:p>
        </w:tc>
        <w:tc>
          <w:tcPr>
            <w:tcW w:w="1211" w:type="dxa"/>
            <w:tcBorders>
              <w:top w:val="single" w:sz="4" w:space="0" w:color="auto"/>
              <w:left w:val="single" w:sz="4" w:space="0" w:color="auto"/>
              <w:bottom w:val="single" w:sz="4" w:space="0" w:color="auto"/>
              <w:right w:val="nil"/>
            </w:tcBorders>
            <w:shd w:val="clear" w:color="auto" w:fill="auto"/>
            <w:vAlign w:val="bottom"/>
            <w:hideMark/>
          </w:tcPr>
          <w:p w:rsidR="001856B5" w:rsidRPr="00431D28" w:rsidRDefault="001856B5" w:rsidP="001856B5">
            <w:pPr>
              <w:jc w:val="right"/>
              <w:rPr>
                <w:rFonts w:cs="Arial"/>
                <w:b/>
                <w:bCs/>
                <w:lang w:val="fr-FR"/>
              </w:rPr>
            </w:pPr>
            <w:r w:rsidRPr="00431D28">
              <w:rPr>
                <w:rFonts w:cs="Arial"/>
                <w:b/>
                <w:bCs/>
                <w:lang w:val="fr-FR"/>
              </w:rPr>
              <w:t>422</w:t>
            </w:r>
          </w:p>
        </w:tc>
        <w:tc>
          <w:tcPr>
            <w:tcW w:w="1231" w:type="dxa"/>
            <w:tcBorders>
              <w:top w:val="single" w:sz="4" w:space="0" w:color="auto"/>
              <w:left w:val="nil"/>
              <w:bottom w:val="single" w:sz="4" w:space="0" w:color="auto"/>
              <w:right w:val="nil"/>
            </w:tcBorders>
            <w:shd w:val="clear" w:color="auto" w:fill="auto"/>
            <w:vAlign w:val="bottom"/>
            <w:hideMark/>
          </w:tcPr>
          <w:p w:rsidR="001856B5" w:rsidRPr="00431D28" w:rsidRDefault="001856B5" w:rsidP="001856B5">
            <w:pPr>
              <w:jc w:val="right"/>
              <w:rPr>
                <w:rFonts w:cs="Arial"/>
                <w:b/>
                <w:bCs/>
                <w:lang w:val="fr-FR"/>
              </w:rPr>
            </w:pPr>
            <w:r w:rsidRPr="00431D28">
              <w:rPr>
                <w:rFonts w:cs="Arial"/>
                <w:b/>
                <w:bCs/>
                <w:lang w:val="fr-FR"/>
              </w:rPr>
              <w:t>-</w:t>
            </w:r>
          </w:p>
        </w:tc>
        <w:tc>
          <w:tcPr>
            <w:tcW w:w="680" w:type="dxa"/>
            <w:tcBorders>
              <w:top w:val="single" w:sz="4" w:space="0" w:color="auto"/>
              <w:left w:val="nil"/>
              <w:bottom w:val="single" w:sz="4" w:space="0" w:color="auto"/>
              <w:right w:val="nil"/>
            </w:tcBorders>
            <w:shd w:val="clear" w:color="auto" w:fill="auto"/>
            <w:vAlign w:val="bottom"/>
            <w:hideMark/>
          </w:tcPr>
          <w:p w:rsidR="001856B5" w:rsidRPr="00431D28" w:rsidRDefault="001856B5" w:rsidP="001856B5">
            <w:pPr>
              <w:jc w:val="right"/>
              <w:rPr>
                <w:rFonts w:cs="Arial"/>
                <w:b/>
                <w:bCs/>
                <w:lang w:val="fr-FR"/>
              </w:rPr>
            </w:pPr>
            <w:r w:rsidRPr="00431D28">
              <w:rPr>
                <w:rFonts w:cs="Arial"/>
                <w:b/>
                <w:bCs/>
                <w:lang w:val="fr-FR"/>
              </w:rPr>
              <w:t>-</w:t>
            </w:r>
          </w:p>
        </w:tc>
        <w:tc>
          <w:tcPr>
            <w:tcW w:w="960" w:type="dxa"/>
            <w:tcBorders>
              <w:top w:val="single" w:sz="4" w:space="0" w:color="auto"/>
              <w:left w:val="nil"/>
              <w:bottom w:val="single" w:sz="4" w:space="0" w:color="auto"/>
              <w:right w:val="nil"/>
            </w:tcBorders>
            <w:shd w:val="clear" w:color="auto" w:fill="auto"/>
            <w:vAlign w:val="bottom"/>
            <w:hideMark/>
          </w:tcPr>
          <w:p w:rsidR="001856B5" w:rsidRPr="00431D28" w:rsidRDefault="002A2E32" w:rsidP="001856B5">
            <w:pPr>
              <w:jc w:val="right"/>
              <w:rPr>
                <w:rFonts w:cs="Arial"/>
                <w:b/>
                <w:bCs/>
                <w:lang w:val="fr-FR"/>
              </w:rPr>
            </w:pPr>
            <w:r w:rsidRPr="00431D28">
              <w:rPr>
                <w:rFonts w:cs="Arial"/>
                <w:b/>
                <w:bCs/>
                <w:lang w:val="fr-FR"/>
              </w:rPr>
              <w:t>0,</w:t>
            </w:r>
            <w:r w:rsidR="001856B5" w:rsidRPr="00431D28">
              <w:rPr>
                <w:rFonts w:cs="Arial"/>
                <w:b/>
                <w:bCs/>
                <w:lang w:val="fr-FR"/>
              </w:rPr>
              <w:t>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56B5" w:rsidRPr="00431D28" w:rsidRDefault="001856B5" w:rsidP="001856B5">
            <w:pPr>
              <w:jc w:val="right"/>
              <w:rPr>
                <w:rFonts w:cs="Arial"/>
                <w:b/>
                <w:bCs/>
                <w:lang w:val="fr-FR"/>
              </w:rPr>
            </w:pPr>
            <w:r w:rsidRPr="00431D28">
              <w:rPr>
                <w:rFonts w:cs="Arial"/>
                <w:b/>
                <w:bCs/>
                <w:lang w:val="fr-FR"/>
              </w:rPr>
              <w:t>-</w:t>
            </w:r>
          </w:p>
        </w:tc>
      </w:tr>
      <w:tr w:rsidR="009A663A" w:rsidRPr="00431D28" w:rsidTr="001856B5">
        <w:trPr>
          <w:trHeight w:val="255"/>
        </w:trPr>
        <w:tc>
          <w:tcPr>
            <w:tcW w:w="3827" w:type="dxa"/>
            <w:tcBorders>
              <w:top w:val="nil"/>
              <w:left w:val="single" w:sz="4" w:space="0" w:color="auto"/>
              <w:bottom w:val="single" w:sz="4" w:space="0" w:color="auto"/>
              <w:right w:val="nil"/>
            </w:tcBorders>
            <w:shd w:val="clear" w:color="auto" w:fill="auto"/>
            <w:vAlign w:val="bottom"/>
          </w:tcPr>
          <w:p w:rsidR="001856B5" w:rsidRPr="00431D28" w:rsidRDefault="001856B5" w:rsidP="001856B5">
            <w:pPr>
              <w:jc w:val="left"/>
              <w:rPr>
                <w:rFonts w:cs="Arial"/>
                <w:b/>
                <w:bCs/>
                <w:lang w:val="fr-FR"/>
              </w:rPr>
            </w:pPr>
          </w:p>
        </w:tc>
        <w:tc>
          <w:tcPr>
            <w:tcW w:w="1211" w:type="dxa"/>
            <w:tcBorders>
              <w:top w:val="nil"/>
              <w:left w:val="nil"/>
              <w:bottom w:val="single" w:sz="4" w:space="0" w:color="auto"/>
              <w:right w:val="nil"/>
            </w:tcBorders>
            <w:shd w:val="clear" w:color="auto" w:fill="auto"/>
            <w:vAlign w:val="bottom"/>
          </w:tcPr>
          <w:p w:rsidR="001856B5" w:rsidRPr="00431D28" w:rsidRDefault="001856B5" w:rsidP="001856B5">
            <w:pPr>
              <w:jc w:val="left"/>
              <w:rPr>
                <w:rFonts w:cs="Arial"/>
                <w:b/>
                <w:bCs/>
                <w:lang w:val="fr-FR"/>
              </w:rPr>
            </w:pPr>
          </w:p>
        </w:tc>
        <w:tc>
          <w:tcPr>
            <w:tcW w:w="1231" w:type="dxa"/>
            <w:tcBorders>
              <w:top w:val="nil"/>
              <w:left w:val="nil"/>
              <w:bottom w:val="single" w:sz="4" w:space="0" w:color="auto"/>
              <w:right w:val="nil"/>
            </w:tcBorders>
            <w:shd w:val="clear" w:color="auto" w:fill="auto"/>
            <w:vAlign w:val="bottom"/>
          </w:tcPr>
          <w:p w:rsidR="001856B5" w:rsidRPr="00431D28" w:rsidRDefault="001856B5" w:rsidP="001856B5">
            <w:pPr>
              <w:jc w:val="left"/>
              <w:rPr>
                <w:rFonts w:cs="Arial"/>
                <w:b/>
                <w:bCs/>
                <w:lang w:val="fr-FR"/>
              </w:rPr>
            </w:pPr>
          </w:p>
        </w:tc>
        <w:tc>
          <w:tcPr>
            <w:tcW w:w="680" w:type="dxa"/>
            <w:tcBorders>
              <w:top w:val="nil"/>
              <w:left w:val="nil"/>
              <w:bottom w:val="single" w:sz="4" w:space="0" w:color="auto"/>
              <w:right w:val="nil"/>
            </w:tcBorders>
            <w:shd w:val="clear" w:color="auto" w:fill="auto"/>
            <w:vAlign w:val="bottom"/>
          </w:tcPr>
          <w:p w:rsidR="001856B5" w:rsidRPr="00431D28" w:rsidRDefault="001856B5" w:rsidP="001856B5">
            <w:pPr>
              <w:jc w:val="left"/>
              <w:rPr>
                <w:rFonts w:cs="Arial"/>
                <w:b/>
                <w:bCs/>
                <w:lang w:val="fr-FR"/>
              </w:rPr>
            </w:pPr>
          </w:p>
        </w:tc>
        <w:tc>
          <w:tcPr>
            <w:tcW w:w="960" w:type="dxa"/>
            <w:tcBorders>
              <w:top w:val="nil"/>
              <w:left w:val="nil"/>
              <w:bottom w:val="single" w:sz="4" w:space="0" w:color="auto"/>
              <w:right w:val="nil"/>
            </w:tcBorders>
            <w:shd w:val="clear" w:color="auto" w:fill="auto"/>
            <w:vAlign w:val="bottom"/>
          </w:tcPr>
          <w:p w:rsidR="001856B5" w:rsidRPr="00431D28" w:rsidRDefault="001856B5" w:rsidP="001856B5">
            <w:pPr>
              <w:jc w:val="left"/>
              <w:rPr>
                <w:rFonts w:cs="Arial"/>
                <w:b/>
                <w:bCs/>
                <w:lang w:val="fr-FR"/>
              </w:rPr>
            </w:pPr>
          </w:p>
        </w:tc>
        <w:tc>
          <w:tcPr>
            <w:tcW w:w="1447" w:type="dxa"/>
            <w:tcBorders>
              <w:top w:val="nil"/>
              <w:left w:val="single" w:sz="4" w:space="0" w:color="auto"/>
              <w:bottom w:val="single" w:sz="4" w:space="0" w:color="auto"/>
              <w:right w:val="single" w:sz="4" w:space="0" w:color="auto"/>
            </w:tcBorders>
            <w:shd w:val="clear" w:color="auto" w:fill="auto"/>
            <w:vAlign w:val="bottom"/>
          </w:tcPr>
          <w:p w:rsidR="001856B5" w:rsidRPr="00431D28" w:rsidRDefault="001856B5" w:rsidP="001856B5">
            <w:pPr>
              <w:jc w:val="left"/>
              <w:rPr>
                <w:rFonts w:cs="Arial"/>
                <w:b/>
                <w:bCs/>
                <w:lang w:val="fr-FR"/>
              </w:rPr>
            </w:pPr>
          </w:p>
        </w:tc>
      </w:tr>
      <w:tr w:rsidR="009A663A" w:rsidRPr="00431D28" w:rsidTr="001856B5">
        <w:trPr>
          <w:trHeight w:val="270"/>
        </w:trPr>
        <w:tc>
          <w:tcPr>
            <w:tcW w:w="3827" w:type="dxa"/>
            <w:tcBorders>
              <w:top w:val="nil"/>
              <w:left w:val="single" w:sz="4" w:space="0" w:color="auto"/>
              <w:bottom w:val="single" w:sz="4" w:space="0" w:color="auto"/>
              <w:right w:val="nil"/>
            </w:tcBorders>
            <w:shd w:val="clear" w:color="auto" w:fill="auto"/>
            <w:vAlign w:val="bottom"/>
            <w:hideMark/>
          </w:tcPr>
          <w:p w:rsidR="001856B5" w:rsidRPr="00431D28" w:rsidRDefault="002A2E32" w:rsidP="001856B5">
            <w:pPr>
              <w:jc w:val="left"/>
              <w:rPr>
                <w:rFonts w:cs="Arial"/>
                <w:b/>
                <w:bCs/>
                <w:lang w:val="fr-FR"/>
              </w:rPr>
            </w:pPr>
            <w:r w:rsidRPr="00431D28">
              <w:rPr>
                <w:rFonts w:cs="Arial"/>
                <w:b/>
                <w:bCs/>
                <w:lang w:val="fr-FR"/>
              </w:rPr>
              <w:t>3. Fonds de roulement</w:t>
            </w:r>
          </w:p>
        </w:tc>
        <w:tc>
          <w:tcPr>
            <w:tcW w:w="1211" w:type="dxa"/>
            <w:tcBorders>
              <w:top w:val="nil"/>
              <w:left w:val="nil"/>
              <w:bottom w:val="single" w:sz="4" w:space="0" w:color="auto"/>
              <w:right w:val="nil"/>
            </w:tcBorders>
            <w:shd w:val="clear" w:color="auto" w:fill="auto"/>
            <w:vAlign w:val="bottom"/>
            <w:hideMark/>
          </w:tcPr>
          <w:p w:rsidR="001856B5" w:rsidRPr="00431D28" w:rsidRDefault="001856B5" w:rsidP="001856B5">
            <w:pPr>
              <w:jc w:val="right"/>
              <w:rPr>
                <w:rFonts w:cs="Arial"/>
                <w:b/>
                <w:bCs/>
                <w:lang w:val="fr-FR"/>
              </w:rPr>
            </w:pPr>
            <w:r w:rsidRPr="00431D28">
              <w:rPr>
                <w:rFonts w:cs="Arial"/>
                <w:b/>
                <w:bCs/>
                <w:lang w:val="fr-FR"/>
              </w:rPr>
              <w:t>537</w:t>
            </w:r>
          </w:p>
        </w:tc>
        <w:tc>
          <w:tcPr>
            <w:tcW w:w="1231" w:type="dxa"/>
            <w:tcBorders>
              <w:top w:val="nil"/>
              <w:left w:val="nil"/>
              <w:bottom w:val="single" w:sz="4" w:space="0" w:color="auto"/>
              <w:right w:val="nil"/>
            </w:tcBorders>
            <w:shd w:val="clear" w:color="auto" w:fill="auto"/>
            <w:vAlign w:val="bottom"/>
            <w:hideMark/>
          </w:tcPr>
          <w:p w:rsidR="001856B5" w:rsidRPr="00431D28" w:rsidRDefault="001856B5" w:rsidP="001856B5">
            <w:pPr>
              <w:jc w:val="right"/>
              <w:rPr>
                <w:rFonts w:cs="Arial"/>
                <w:b/>
                <w:bCs/>
                <w:lang w:val="fr-FR"/>
              </w:rPr>
            </w:pPr>
            <w:r w:rsidRPr="00431D28">
              <w:rPr>
                <w:rFonts w:cs="Arial"/>
                <w:b/>
                <w:bCs/>
                <w:lang w:val="fr-FR"/>
              </w:rPr>
              <w:t>540</w:t>
            </w:r>
          </w:p>
        </w:tc>
        <w:tc>
          <w:tcPr>
            <w:tcW w:w="680" w:type="dxa"/>
            <w:tcBorders>
              <w:top w:val="nil"/>
              <w:left w:val="nil"/>
              <w:bottom w:val="single" w:sz="4" w:space="0" w:color="auto"/>
              <w:right w:val="nil"/>
            </w:tcBorders>
            <w:shd w:val="clear" w:color="auto" w:fill="auto"/>
            <w:vAlign w:val="bottom"/>
            <w:hideMark/>
          </w:tcPr>
          <w:p w:rsidR="001856B5" w:rsidRPr="00431D28" w:rsidRDefault="001856B5" w:rsidP="001856B5">
            <w:pPr>
              <w:jc w:val="right"/>
              <w:rPr>
                <w:rFonts w:cs="Arial"/>
                <w:b/>
                <w:bCs/>
                <w:lang w:val="fr-FR"/>
              </w:rPr>
            </w:pPr>
            <w:r w:rsidRPr="00431D28">
              <w:rPr>
                <w:rFonts w:cs="Arial"/>
                <w:b/>
                <w:bCs/>
                <w:lang w:val="fr-FR"/>
              </w:rPr>
              <w:t>3</w:t>
            </w:r>
          </w:p>
        </w:tc>
        <w:tc>
          <w:tcPr>
            <w:tcW w:w="960" w:type="dxa"/>
            <w:tcBorders>
              <w:top w:val="nil"/>
              <w:left w:val="nil"/>
              <w:bottom w:val="single" w:sz="4" w:space="0" w:color="auto"/>
              <w:right w:val="nil"/>
            </w:tcBorders>
            <w:shd w:val="clear" w:color="auto" w:fill="auto"/>
            <w:vAlign w:val="bottom"/>
            <w:hideMark/>
          </w:tcPr>
          <w:p w:rsidR="001856B5" w:rsidRPr="00431D28" w:rsidRDefault="002A2E32" w:rsidP="001856B5">
            <w:pPr>
              <w:jc w:val="right"/>
              <w:rPr>
                <w:rFonts w:cs="Arial"/>
                <w:b/>
                <w:bCs/>
                <w:lang w:val="fr-FR"/>
              </w:rPr>
            </w:pPr>
            <w:r w:rsidRPr="00431D28">
              <w:rPr>
                <w:rFonts w:cs="Arial"/>
                <w:b/>
                <w:bCs/>
                <w:lang w:val="fr-FR"/>
              </w:rPr>
              <w:t>0,</w:t>
            </w:r>
            <w:r w:rsidR="001856B5" w:rsidRPr="00431D28">
              <w:rPr>
                <w:rFonts w:cs="Arial"/>
                <w:b/>
                <w:bCs/>
                <w:lang w:val="fr-FR"/>
              </w:rPr>
              <w:t>6%</w:t>
            </w:r>
          </w:p>
        </w:tc>
        <w:tc>
          <w:tcPr>
            <w:tcW w:w="1447" w:type="dxa"/>
            <w:tcBorders>
              <w:top w:val="nil"/>
              <w:left w:val="single" w:sz="4" w:space="0" w:color="auto"/>
              <w:bottom w:val="single" w:sz="4" w:space="0" w:color="auto"/>
              <w:right w:val="single" w:sz="4" w:space="0" w:color="auto"/>
            </w:tcBorders>
            <w:shd w:val="clear" w:color="auto" w:fill="auto"/>
            <w:vAlign w:val="bottom"/>
            <w:hideMark/>
          </w:tcPr>
          <w:p w:rsidR="001856B5" w:rsidRPr="00431D28" w:rsidRDefault="001856B5" w:rsidP="001856B5">
            <w:pPr>
              <w:jc w:val="right"/>
              <w:rPr>
                <w:rFonts w:cs="Arial"/>
                <w:b/>
                <w:bCs/>
                <w:lang w:val="fr-FR"/>
              </w:rPr>
            </w:pPr>
            <w:r w:rsidRPr="00431D28">
              <w:rPr>
                <w:rFonts w:cs="Arial"/>
                <w:b/>
                <w:bCs/>
                <w:lang w:val="fr-FR"/>
              </w:rPr>
              <w:t>543</w:t>
            </w:r>
          </w:p>
        </w:tc>
      </w:tr>
    </w:tbl>
    <w:p w:rsidR="005A7F6B" w:rsidRPr="00431D28" w:rsidRDefault="005A7F6B" w:rsidP="00421639">
      <w:pPr>
        <w:rPr>
          <w:spacing w:val="-2"/>
          <w:szCs w:val="24"/>
          <w:lang w:val="fr-FR"/>
        </w:rPr>
      </w:pPr>
    </w:p>
    <w:p w:rsidR="005A7F6B" w:rsidRPr="00431D28" w:rsidRDefault="005A7F6B" w:rsidP="00421639">
      <w:pPr>
        <w:rPr>
          <w:spacing w:val="-2"/>
          <w:szCs w:val="24"/>
          <w:lang w:val="fr-FR"/>
        </w:rPr>
      </w:pPr>
    </w:p>
    <w:p w:rsidR="005A7F6B" w:rsidRPr="00431D28" w:rsidRDefault="00531BE0" w:rsidP="00531BE0">
      <w:pPr>
        <w:rPr>
          <w:spacing w:val="-2"/>
          <w:szCs w:val="24"/>
          <w:lang w:val="fr-FR"/>
        </w:rPr>
      </w:pPr>
      <w:r w:rsidRPr="00431D28">
        <w:rPr>
          <w:spacing w:val="-2"/>
          <w:szCs w:val="24"/>
          <w:lang w:val="fr-FR"/>
        </w:rPr>
        <w:t>3.2</w:t>
      </w:r>
      <w:r w:rsidRPr="00431D28">
        <w:rPr>
          <w:spacing w:val="-2"/>
          <w:szCs w:val="24"/>
          <w:lang w:val="fr-FR"/>
        </w:rPr>
        <w:tab/>
        <w:t>Les dépenses devraient s’établir au même niveau que les recettes prévues.</w:t>
      </w:r>
    </w:p>
    <w:p w:rsidR="005A7F6B" w:rsidRPr="00431D28" w:rsidRDefault="005A7F6B" w:rsidP="00421639">
      <w:pPr>
        <w:rPr>
          <w:spacing w:val="-2"/>
          <w:szCs w:val="24"/>
          <w:lang w:val="fr-FR"/>
        </w:rPr>
      </w:pPr>
    </w:p>
    <w:p w:rsidR="005A7F6B" w:rsidRPr="00431D28" w:rsidRDefault="00531BE0" w:rsidP="00531BE0">
      <w:pPr>
        <w:rPr>
          <w:spacing w:val="-2"/>
          <w:szCs w:val="24"/>
          <w:lang w:val="fr-FR"/>
        </w:rPr>
      </w:pPr>
      <w:r w:rsidRPr="00431D28">
        <w:rPr>
          <w:spacing w:val="-2"/>
          <w:szCs w:val="24"/>
          <w:lang w:val="fr-FR"/>
        </w:rPr>
        <w:t>3.3</w:t>
      </w:r>
      <w:r w:rsidRPr="00431D28">
        <w:rPr>
          <w:spacing w:val="-2"/>
          <w:szCs w:val="24"/>
          <w:lang w:val="fr-FR"/>
        </w:rPr>
        <w:tab/>
        <w:t>En ce qui concerne le fonds de réserve, il convient de rappeler que l’article 4.6 du document UPOV/INF/4/2 intitulé “Règlement financier et règlement d’exécution du Règlement financier de l’UPOV”, indique ce qui suit : “[…] Si, après la clôture de l’exercice financier, le montant du fonds de réserve dépasse 15% des recettes totales pour l’exercice financier, l’excédent est remboursé aux membres de l’UPOV, sauf si le Conseil en décide autrement.</w:t>
      </w:r>
      <w:r w:rsidR="00421639" w:rsidRPr="00431D28">
        <w:rPr>
          <w:spacing w:val="-2"/>
          <w:szCs w:val="24"/>
          <w:lang w:val="fr-FR"/>
        </w:rPr>
        <w:t xml:space="preserve">  </w:t>
      </w:r>
      <w:r w:rsidRPr="00431D28">
        <w:rPr>
          <w:spacing w:val="-2"/>
          <w:szCs w:val="24"/>
          <w:lang w:val="fr-FR"/>
        </w:rPr>
        <w:t>Tout membre de l’UPOV peut demander que le montant qui lui est remboursé soit déposé sur un compte spécial ou dans un fonds fiduciaire qu’il aura désigné.”  Les dispositions nécessaires seront prises pour examen par le Comité consultatif et le Conseil si une telle situation devait se présenter à la clôture de l’exercice biennal 2014</w:t>
      </w:r>
      <w:r w:rsidR="004D066E" w:rsidRPr="003E4E3B">
        <w:rPr>
          <w:rFonts w:cs="Arial"/>
          <w:snapToGrid w:val="0"/>
          <w:lang w:val="fr-FR"/>
        </w:rPr>
        <w:noBreakHyphen/>
      </w:r>
      <w:r w:rsidRPr="00431D28">
        <w:rPr>
          <w:spacing w:val="-2"/>
          <w:szCs w:val="24"/>
          <w:lang w:val="fr-FR"/>
        </w:rPr>
        <w:t>2015.</w:t>
      </w:r>
      <w:r w:rsidR="00421639" w:rsidRPr="00431D28">
        <w:rPr>
          <w:spacing w:val="-2"/>
          <w:szCs w:val="24"/>
          <w:lang w:val="fr-FR"/>
        </w:rPr>
        <w:t xml:space="preserve"> </w:t>
      </w:r>
    </w:p>
    <w:p w:rsidR="005A7F6B" w:rsidRPr="00431D28" w:rsidRDefault="005A7F6B" w:rsidP="00421639">
      <w:pPr>
        <w:rPr>
          <w:spacing w:val="-2"/>
          <w:szCs w:val="24"/>
          <w:lang w:val="fr-FR"/>
        </w:rPr>
      </w:pPr>
    </w:p>
    <w:p w:rsidR="005A7F6B" w:rsidRPr="00431D28" w:rsidRDefault="00531BE0" w:rsidP="00531BE0">
      <w:pPr>
        <w:rPr>
          <w:lang w:val="fr-FR"/>
        </w:rPr>
      </w:pPr>
      <w:r w:rsidRPr="00431D28">
        <w:rPr>
          <w:spacing w:val="-2"/>
          <w:szCs w:val="24"/>
          <w:lang w:val="fr-FR"/>
        </w:rPr>
        <w:t>3.4</w:t>
      </w:r>
      <w:r w:rsidRPr="00431D28">
        <w:rPr>
          <w:spacing w:val="-2"/>
          <w:szCs w:val="24"/>
          <w:lang w:val="fr-FR"/>
        </w:rPr>
        <w:tab/>
        <w:t>Les estimations relatives aux ressources en personnel et aux autres ressources tiennent compte de l’état financier intermédiaire pour 2012.</w:t>
      </w:r>
    </w:p>
    <w:p w:rsidR="005A7F6B" w:rsidRPr="00431D28" w:rsidRDefault="005A7F6B" w:rsidP="00421639">
      <w:pPr>
        <w:rPr>
          <w:spacing w:val="-2"/>
          <w:szCs w:val="24"/>
          <w:lang w:val="fr-FR"/>
        </w:rPr>
      </w:pPr>
    </w:p>
    <w:p w:rsidR="005A7F6B" w:rsidRPr="00431D28" w:rsidRDefault="00531BE0" w:rsidP="00531BE0">
      <w:pPr>
        <w:jc w:val="center"/>
        <w:rPr>
          <w:b/>
          <w:lang w:val="fr-FR"/>
        </w:rPr>
      </w:pPr>
      <w:r w:rsidRPr="00431D28">
        <w:rPr>
          <w:b/>
          <w:lang w:val="fr-FR"/>
        </w:rPr>
        <w:t>Tableau 2 : Structure du budget proposé pour 2014</w:t>
      </w:r>
      <w:r w:rsidR="004D066E" w:rsidRPr="004D066E">
        <w:rPr>
          <w:rFonts w:cs="Arial"/>
          <w:b/>
          <w:snapToGrid w:val="0"/>
          <w:lang w:val="fr-FR"/>
        </w:rPr>
        <w:noBreakHyphen/>
      </w:r>
      <w:r w:rsidRPr="00431D28">
        <w:rPr>
          <w:b/>
          <w:lang w:val="fr-FR"/>
        </w:rPr>
        <w:t>2015 par rapport à 2010</w:t>
      </w:r>
      <w:r w:rsidR="004D066E" w:rsidRPr="004D066E">
        <w:rPr>
          <w:rFonts w:cs="Arial"/>
          <w:b/>
          <w:snapToGrid w:val="0"/>
          <w:lang w:val="fr-FR"/>
        </w:rPr>
        <w:noBreakHyphen/>
      </w:r>
      <w:r w:rsidR="004D066E">
        <w:rPr>
          <w:b/>
          <w:lang w:val="fr-FR"/>
        </w:rPr>
        <w:t>2011 et 2012</w:t>
      </w:r>
      <w:r w:rsidR="004D066E" w:rsidRPr="004D066E">
        <w:rPr>
          <w:rFonts w:cs="Arial"/>
          <w:b/>
          <w:snapToGrid w:val="0"/>
          <w:lang w:val="fr-FR"/>
        </w:rPr>
        <w:noBreakHyphen/>
      </w:r>
      <w:r w:rsidRPr="00431D28">
        <w:rPr>
          <w:b/>
          <w:lang w:val="fr-FR"/>
        </w:rPr>
        <w:t>2013</w:t>
      </w:r>
    </w:p>
    <w:p w:rsidR="005A7F6B" w:rsidRPr="00431D28" w:rsidRDefault="00531BE0" w:rsidP="00531BE0">
      <w:pPr>
        <w:jc w:val="center"/>
        <w:rPr>
          <w:lang w:val="fr-FR"/>
        </w:rPr>
      </w:pPr>
      <w:r w:rsidRPr="00431D28">
        <w:rPr>
          <w:lang w:val="fr-FR"/>
        </w:rPr>
        <w:t>(en milliers de francs suisses)</w:t>
      </w:r>
    </w:p>
    <w:p w:rsidR="00792929" w:rsidRPr="00431D28" w:rsidRDefault="00792929" w:rsidP="00421639">
      <w:pPr>
        <w:jc w:val="center"/>
        <w:rPr>
          <w:lang w:val="fr-FR"/>
        </w:rPr>
      </w:pPr>
    </w:p>
    <w:tbl>
      <w:tblPr>
        <w:tblW w:w="9228" w:type="dxa"/>
        <w:tblInd w:w="250" w:type="dxa"/>
        <w:tblLook w:val="04A0" w:firstRow="1" w:lastRow="0" w:firstColumn="1" w:lastColumn="0" w:noHBand="0" w:noVBand="1"/>
      </w:tblPr>
      <w:tblGrid>
        <w:gridCol w:w="3686"/>
        <w:gridCol w:w="1276"/>
        <w:gridCol w:w="1275"/>
        <w:gridCol w:w="851"/>
        <w:gridCol w:w="867"/>
        <w:gridCol w:w="1273"/>
      </w:tblGrid>
      <w:tr w:rsidR="001856B5" w:rsidRPr="00431D28" w:rsidTr="00C740F2">
        <w:trPr>
          <w:trHeight w:val="255"/>
        </w:trPr>
        <w:tc>
          <w:tcPr>
            <w:tcW w:w="3686" w:type="dxa"/>
            <w:tcBorders>
              <w:top w:val="single" w:sz="4" w:space="0" w:color="auto"/>
              <w:left w:val="single" w:sz="4" w:space="0" w:color="auto"/>
              <w:bottom w:val="nil"/>
              <w:right w:val="nil"/>
            </w:tcBorders>
            <w:shd w:val="clear" w:color="auto" w:fill="auto"/>
            <w:hideMark/>
          </w:tcPr>
          <w:p w:rsidR="001856B5" w:rsidRPr="00431D28" w:rsidRDefault="001856B5" w:rsidP="009A0B7E">
            <w:pPr>
              <w:ind w:firstLineChars="100" w:firstLine="200"/>
              <w:jc w:val="left"/>
              <w:rPr>
                <w:rFonts w:cs="Arial"/>
                <w:lang w:val="fr-FR"/>
              </w:rPr>
            </w:pPr>
            <w:r w:rsidRPr="00431D28">
              <w:rPr>
                <w:rFonts w:cs="Arial"/>
                <w:lang w:val="fr-FR"/>
              </w:rPr>
              <w:t> </w:t>
            </w:r>
          </w:p>
        </w:tc>
        <w:tc>
          <w:tcPr>
            <w:tcW w:w="1276" w:type="dxa"/>
            <w:tcBorders>
              <w:top w:val="single" w:sz="4" w:space="0" w:color="auto"/>
              <w:left w:val="single" w:sz="4" w:space="0" w:color="auto"/>
              <w:bottom w:val="nil"/>
              <w:right w:val="single" w:sz="4" w:space="0" w:color="auto"/>
            </w:tcBorders>
            <w:shd w:val="clear" w:color="auto" w:fill="auto"/>
            <w:hideMark/>
          </w:tcPr>
          <w:p w:rsidR="001856B5" w:rsidRPr="00431D28" w:rsidRDefault="001856B5" w:rsidP="009A0B7E">
            <w:pPr>
              <w:jc w:val="center"/>
              <w:rPr>
                <w:rFonts w:cs="Arial"/>
                <w:i/>
                <w:iCs/>
                <w:color w:val="000000"/>
                <w:lang w:val="fr-FR"/>
              </w:rPr>
            </w:pPr>
            <w:r w:rsidRPr="00431D28">
              <w:rPr>
                <w:rFonts w:cs="Arial"/>
                <w:i/>
                <w:iCs/>
                <w:color w:val="000000"/>
                <w:lang w:val="fr-FR"/>
              </w:rPr>
              <w:t>2010</w:t>
            </w:r>
            <w:r w:rsidR="004D066E" w:rsidRPr="003E4E3B">
              <w:rPr>
                <w:rFonts w:cs="Arial"/>
                <w:snapToGrid w:val="0"/>
                <w:lang w:val="fr-FR"/>
              </w:rPr>
              <w:noBreakHyphen/>
            </w:r>
            <w:r w:rsidRPr="00431D28">
              <w:rPr>
                <w:rFonts w:cs="Arial"/>
                <w:i/>
                <w:iCs/>
                <w:color w:val="000000"/>
                <w:lang w:val="fr-FR"/>
              </w:rPr>
              <w:t>2011</w:t>
            </w:r>
          </w:p>
        </w:tc>
        <w:tc>
          <w:tcPr>
            <w:tcW w:w="1275" w:type="dxa"/>
            <w:tcBorders>
              <w:top w:val="single" w:sz="4" w:space="0" w:color="auto"/>
              <w:left w:val="nil"/>
              <w:bottom w:val="nil"/>
              <w:right w:val="single" w:sz="4" w:space="0" w:color="auto"/>
            </w:tcBorders>
            <w:shd w:val="clear" w:color="auto" w:fill="auto"/>
            <w:hideMark/>
          </w:tcPr>
          <w:p w:rsidR="001856B5" w:rsidRPr="00431D28" w:rsidRDefault="001856B5" w:rsidP="009A0B7E">
            <w:pPr>
              <w:jc w:val="center"/>
              <w:rPr>
                <w:rFonts w:cs="Arial"/>
                <w:i/>
                <w:iCs/>
                <w:color w:val="000000"/>
                <w:lang w:val="fr-FR"/>
              </w:rPr>
            </w:pPr>
            <w:r w:rsidRPr="00431D28">
              <w:rPr>
                <w:rFonts w:cs="Arial"/>
                <w:i/>
                <w:iCs/>
                <w:color w:val="000000"/>
                <w:lang w:val="fr-FR"/>
              </w:rPr>
              <w:t>2012-2013</w:t>
            </w:r>
          </w:p>
        </w:tc>
        <w:tc>
          <w:tcPr>
            <w:tcW w:w="1718" w:type="dxa"/>
            <w:gridSpan w:val="2"/>
            <w:tcBorders>
              <w:top w:val="single" w:sz="4" w:space="0" w:color="auto"/>
              <w:left w:val="nil"/>
              <w:bottom w:val="nil"/>
              <w:right w:val="single" w:sz="4" w:space="0" w:color="000000"/>
            </w:tcBorders>
            <w:shd w:val="clear" w:color="auto" w:fill="auto"/>
            <w:hideMark/>
          </w:tcPr>
          <w:p w:rsidR="001856B5" w:rsidRPr="00431D28" w:rsidRDefault="001856B5" w:rsidP="009A0B7E">
            <w:pPr>
              <w:jc w:val="center"/>
              <w:rPr>
                <w:rFonts w:cs="Arial"/>
                <w:i/>
                <w:iCs/>
                <w:color w:val="000000"/>
                <w:lang w:val="fr-FR"/>
              </w:rPr>
            </w:pPr>
            <w:r w:rsidRPr="00431D28">
              <w:rPr>
                <w:rFonts w:cs="Arial"/>
                <w:i/>
                <w:iCs/>
                <w:color w:val="000000"/>
                <w:lang w:val="fr-FR"/>
              </w:rPr>
              <w:t>Variation</w:t>
            </w:r>
          </w:p>
        </w:tc>
        <w:tc>
          <w:tcPr>
            <w:tcW w:w="1273" w:type="dxa"/>
            <w:tcBorders>
              <w:top w:val="single" w:sz="4" w:space="0" w:color="auto"/>
              <w:left w:val="nil"/>
              <w:bottom w:val="nil"/>
              <w:right w:val="single" w:sz="4" w:space="0" w:color="auto"/>
            </w:tcBorders>
            <w:shd w:val="clear" w:color="auto" w:fill="auto"/>
            <w:hideMark/>
          </w:tcPr>
          <w:p w:rsidR="001856B5" w:rsidRPr="00431D28" w:rsidRDefault="001856B5" w:rsidP="009A0B7E">
            <w:pPr>
              <w:jc w:val="center"/>
              <w:rPr>
                <w:rFonts w:cs="Arial"/>
                <w:i/>
                <w:iCs/>
                <w:color w:val="000000"/>
                <w:lang w:val="fr-FR"/>
              </w:rPr>
            </w:pPr>
            <w:r w:rsidRPr="00431D28">
              <w:rPr>
                <w:rFonts w:cs="Arial"/>
                <w:i/>
                <w:iCs/>
                <w:color w:val="000000"/>
                <w:lang w:val="fr-FR"/>
              </w:rPr>
              <w:t>2014</w:t>
            </w:r>
            <w:r w:rsidR="004D066E" w:rsidRPr="003E4E3B">
              <w:rPr>
                <w:rFonts w:cs="Arial"/>
                <w:snapToGrid w:val="0"/>
                <w:lang w:val="fr-FR"/>
              </w:rPr>
              <w:noBreakHyphen/>
            </w:r>
            <w:r w:rsidRPr="00431D28">
              <w:rPr>
                <w:rFonts w:cs="Arial"/>
                <w:i/>
                <w:iCs/>
                <w:color w:val="000000"/>
                <w:lang w:val="fr-FR"/>
              </w:rPr>
              <w:t>2015</w:t>
            </w:r>
          </w:p>
        </w:tc>
      </w:tr>
      <w:tr w:rsidR="001856B5" w:rsidRPr="00431D28" w:rsidTr="00C740F2">
        <w:trPr>
          <w:trHeight w:val="255"/>
        </w:trPr>
        <w:tc>
          <w:tcPr>
            <w:tcW w:w="3686" w:type="dxa"/>
            <w:tcBorders>
              <w:top w:val="nil"/>
              <w:left w:val="single" w:sz="4" w:space="0" w:color="auto"/>
              <w:bottom w:val="nil"/>
              <w:right w:val="nil"/>
            </w:tcBorders>
            <w:shd w:val="clear" w:color="auto" w:fill="auto"/>
            <w:hideMark/>
          </w:tcPr>
          <w:p w:rsidR="001856B5" w:rsidRPr="00431D28" w:rsidRDefault="001856B5" w:rsidP="009A0B7E">
            <w:pPr>
              <w:ind w:firstLineChars="100" w:firstLine="200"/>
              <w:jc w:val="left"/>
              <w:rPr>
                <w:rFonts w:cs="Arial"/>
                <w:lang w:val="fr-FR"/>
              </w:rPr>
            </w:pPr>
            <w:r w:rsidRPr="00431D28">
              <w:rPr>
                <w:rFonts w:cs="Arial"/>
                <w:lang w:val="fr-FR"/>
              </w:rPr>
              <w:t> </w:t>
            </w:r>
          </w:p>
        </w:tc>
        <w:tc>
          <w:tcPr>
            <w:tcW w:w="1276" w:type="dxa"/>
            <w:tcBorders>
              <w:top w:val="nil"/>
              <w:left w:val="single" w:sz="4" w:space="0" w:color="auto"/>
              <w:bottom w:val="nil"/>
              <w:right w:val="single" w:sz="4" w:space="0" w:color="auto"/>
            </w:tcBorders>
            <w:shd w:val="clear" w:color="auto" w:fill="auto"/>
            <w:hideMark/>
          </w:tcPr>
          <w:p w:rsidR="001856B5" w:rsidRPr="00431D28" w:rsidRDefault="00531BE0" w:rsidP="009A0B7E">
            <w:pPr>
              <w:jc w:val="center"/>
              <w:rPr>
                <w:rFonts w:cs="Arial"/>
                <w:i/>
                <w:iCs/>
                <w:color w:val="000000"/>
                <w:lang w:val="fr-FR"/>
              </w:rPr>
            </w:pPr>
            <w:r w:rsidRPr="00431D28">
              <w:rPr>
                <w:rFonts w:cs="Arial"/>
                <w:i/>
                <w:iCs/>
                <w:color w:val="000000"/>
                <w:lang w:val="fr-FR"/>
              </w:rPr>
              <w:t>Montant effectif</w:t>
            </w:r>
          </w:p>
        </w:tc>
        <w:tc>
          <w:tcPr>
            <w:tcW w:w="1275" w:type="dxa"/>
            <w:tcBorders>
              <w:top w:val="nil"/>
              <w:left w:val="nil"/>
              <w:bottom w:val="nil"/>
              <w:right w:val="single" w:sz="4" w:space="0" w:color="auto"/>
            </w:tcBorders>
            <w:shd w:val="clear" w:color="auto" w:fill="auto"/>
            <w:hideMark/>
          </w:tcPr>
          <w:p w:rsidR="001856B5" w:rsidRPr="00431D28" w:rsidRDefault="001856B5" w:rsidP="009A0B7E">
            <w:pPr>
              <w:jc w:val="center"/>
              <w:rPr>
                <w:rFonts w:cs="Arial"/>
                <w:i/>
                <w:iCs/>
                <w:color w:val="000000"/>
                <w:lang w:val="fr-FR"/>
              </w:rPr>
            </w:pPr>
            <w:r w:rsidRPr="00431D28">
              <w:rPr>
                <w:rFonts w:cs="Arial"/>
                <w:i/>
                <w:iCs/>
                <w:color w:val="000000"/>
                <w:lang w:val="fr-FR"/>
              </w:rPr>
              <w:t>Budget</w:t>
            </w:r>
          </w:p>
        </w:tc>
        <w:tc>
          <w:tcPr>
            <w:tcW w:w="851" w:type="dxa"/>
            <w:tcBorders>
              <w:top w:val="nil"/>
              <w:left w:val="nil"/>
              <w:bottom w:val="single" w:sz="4" w:space="0" w:color="auto"/>
              <w:right w:val="nil"/>
            </w:tcBorders>
            <w:shd w:val="clear" w:color="auto" w:fill="auto"/>
            <w:hideMark/>
          </w:tcPr>
          <w:p w:rsidR="001856B5" w:rsidRPr="00431D28" w:rsidRDefault="001856B5" w:rsidP="009A0B7E">
            <w:pPr>
              <w:jc w:val="right"/>
              <w:rPr>
                <w:rFonts w:cs="Arial"/>
                <w:i/>
                <w:iCs/>
                <w:lang w:val="fr-FR"/>
              </w:rPr>
            </w:pPr>
            <w:r w:rsidRPr="00431D28">
              <w:rPr>
                <w:rFonts w:cs="Arial"/>
                <w:i/>
                <w:iCs/>
                <w:lang w:val="fr-FR"/>
              </w:rPr>
              <w:t> </w:t>
            </w:r>
          </w:p>
        </w:tc>
        <w:tc>
          <w:tcPr>
            <w:tcW w:w="867" w:type="dxa"/>
            <w:tcBorders>
              <w:top w:val="nil"/>
              <w:left w:val="nil"/>
              <w:bottom w:val="single" w:sz="4" w:space="0" w:color="auto"/>
              <w:right w:val="single" w:sz="4" w:space="0" w:color="auto"/>
            </w:tcBorders>
            <w:shd w:val="clear" w:color="auto" w:fill="auto"/>
            <w:hideMark/>
          </w:tcPr>
          <w:p w:rsidR="001856B5" w:rsidRPr="00431D28" w:rsidRDefault="001856B5" w:rsidP="009A0B7E">
            <w:pPr>
              <w:rPr>
                <w:rFonts w:cs="Arial"/>
                <w:i/>
                <w:iCs/>
                <w:lang w:val="fr-FR"/>
              </w:rPr>
            </w:pPr>
            <w:r w:rsidRPr="00431D28">
              <w:rPr>
                <w:rFonts w:cs="Arial"/>
                <w:i/>
                <w:iCs/>
                <w:lang w:val="fr-FR"/>
              </w:rPr>
              <w:t> </w:t>
            </w:r>
          </w:p>
        </w:tc>
        <w:tc>
          <w:tcPr>
            <w:tcW w:w="1273" w:type="dxa"/>
            <w:tcBorders>
              <w:top w:val="nil"/>
              <w:left w:val="nil"/>
              <w:bottom w:val="nil"/>
              <w:right w:val="single" w:sz="4" w:space="0" w:color="auto"/>
            </w:tcBorders>
            <w:shd w:val="clear" w:color="auto" w:fill="auto"/>
            <w:hideMark/>
          </w:tcPr>
          <w:p w:rsidR="001856B5" w:rsidRPr="00431D28" w:rsidRDefault="00531BE0" w:rsidP="009A0B7E">
            <w:pPr>
              <w:jc w:val="center"/>
              <w:rPr>
                <w:rFonts w:cs="Arial"/>
                <w:i/>
                <w:iCs/>
                <w:color w:val="000000"/>
                <w:lang w:val="fr-FR"/>
              </w:rPr>
            </w:pPr>
            <w:r w:rsidRPr="00431D28">
              <w:rPr>
                <w:rFonts w:cs="Arial"/>
                <w:i/>
                <w:iCs/>
                <w:color w:val="000000"/>
                <w:lang w:val="fr-FR"/>
              </w:rPr>
              <w:t>Montant proposé</w:t>
            </w:r>
          </w:p>
        </w:tc>
      </w:tr>
      <w:tr w:rsidR="001856B5" w:rsidRPr="00431D28" w:rsidTr="00C740F2">
        <w:trPr>
          <w:trHeight w:val="255"/>
        </w:trPr>
        <w:tc>
          <w:tcPr>
            <w:tcW w:w="3686" w:type="dxa"/>
            <w:tcBorders>
              <w:top w:val="nil"/>
              <w:left w:val="single" w:sz="4" w:space="0" w:color="auto"/>
              <w:bottom w:val="single" w:sz="4" w:space="0" w:color="auto"/>
              <w:right w:val="nil"/>
            </w:tcBorders>
            <w:shd w:val="clear" w:color="auto" w:fill="auto"/>
            <w:hideMark/>
          </w:tcPr>
          <w:p w:rsidR="001856B5" w:rsidRPr="00431D28" w:rsidRDefault="001856B5" w:rsidP="009A0B7E">
            <w:pPr>
              <w:ind w:firstLineChars="100" w:firstLine="200"/>
              <w:jc w:val="left"/>
              <w:rPr>
                <w:rFonts w:cs="Arial"/>
                <w:lang w:val="fr-FR"/>
              </w:rPr>
            </w:pPr>
            <w:r w:rsidRPr="00431D28">
              <w:rPr>
                <w:rFonts w:cs="Arial"/>
                <w:lang w:val="fr-FR"/>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1856B5" w:rsidRPr="00431D28" w:rsidRDefault="001856B5" w:rsidP="009A0B7E">
            <w:pPr>
              <w:jc w:val="center"/>
              <w:rPr>
                <w:rFonts w:cs="Arial"/>
                <w:i/>
                <w:iCs/>
                <w:color w:val="000000"/>
                <w:lang w:val="fr-FR"/>
              </w:rPr>
            </w:pPr>
            <w:r w:rsidRPr="00431D28">
              <w:rPr>
                <w:rFonts w:cs="Arial"/>
                <w:i/>
                <w:iCs/>
                <w:color w:val="000000"/>
                <w:lang w:val="fr-FR"/>
              </w:rPr>
              <w:t>A</w:t>
            </w:r>
          </w:p>
        </w:tc>
        <w:tc>
          <w:tcPr>
            <w:tcW w:w="1275" w:type="dxa"/>
            <w:tcBorders>
              <w:top w:val="nil"/>
              <w:left w:val="nil"/>
              <w:bottom w:val="single" w:sz="4" w:space="0" w:color="auto"/>
              <w:right w:val="single" w:sz="4" w:space="0" w:color="auto"/>
            </w:tcBorders>
            <w:shd w:val="clear" w:color="auto" w:fill="auto"/>
            <w:vAlign w:val="bottom"/>
            <w:hideMark/>
          </w:tcPr>
          <w:p w:rsidR="001856B5" w:rsidRPr="00431D28" w:rsidRDefault="001856B5" w:rsidP="009A0B7E">
            <w:pPr>
              <w:jc w:val="center"/>
              <w:rPr>
                <w:rFonts w:cs="Arial"/>
                <w:i/>
                <w:iCs/>
                <w:color w:val="000000"/>
                <w:lang w:val="fr-FR"/>
              </w:rPr>
            </w:pPr>
            <w:r w:rsidRPr="00431D28">
              <w:rPr>
                <w:rFonts w:cs="Arial"/>
                <w:i/>
                <w:iCs/>
                <w:color w:val="000000"/>
                <w:lang w:val="fr-FR"/>
              </w:rPr>
              <w:t>B</w:t>
            </w:r>
          </w:p>
        </w:tc>
        <w:tc>
          <w:tcPr>
            <w:tcW w:w="851" w:type="dxa"/>
            <w:tcBorders>
              <w:top w:val="nil"/>
              <w:left w:val="nil"/>
              <w:bottom w:val="single" w:sz="4" w:space="0" w:color="auto"/>
              <w:right w:val="nil"/>
            </w:tcBorders>
            <w:shd w:val="clear" w:color="auto" w:fill="auto"/>
            <w:vAlign w:val="bottom"/>
            <w:hideMark/>
          </w:tcPr>
          <w:p w:rsidR="001856B5" w:rsidRPr="00431D28" w:rsidRDefault="001856B5" w:rsidP="001856B5">
            <w:pPr>
              <w:jc w:val="center"/>
              <w:rPr>
                <w:rFonts w:cs="Arial"/>
                <w:i/>
                <w:iCs/>
                <w:color w:val="000000"/>
                <w:lang w:val="fr-FR"/>
              </w:rPr>
            </w:pPr>
            <w:r w:rsidRPr="00431D28">
              <w:rPr>
                <w:rFonts w:cs="Arial"/>
                <w:i/>
                <w:iCs/>
                <w:color w:val="000000"/>
                <w:lang w:val="fr-FR"/>
              </w:rPr>
              <w:t>C</w:t>
            </w:r>
          </w:p>
        </w:tc>
        <w:tc>
          <w:tcPr>
            <w:tcW w:w="867" w:type="dxa"/>
            <w:tcBorders>
              <w:top w:val="nil"/>
              <w:left w:val="nil"/>
              <w:bottom w:val="single" w:sz="4" w:space="0" w:color="auto"/>
              <w:right w:val="nil"/>
            </w:tcBorders>
            <w:shd w:val="clear" w:color="auto" w:fill="auto"/>
            <w:vAlign w:val="bottom"/>
            <w:hideMark/>
          </w:tcPr>
          <w:p w:rsidR="001856B5" w:rsidRPr="00431D28" w:rsidRDefault="001856B5" w:rsidP="009A0B7E">
            <w:pPr>
              <w:jc w:val="center"/>
              <w:rPr>
                <w:rFonts w:cs="Arial"/>
                <w:i/>
                <w:iCs/>
                <w:color w:val="000000"/>
                <w:lang w:val="fr-FR"/>
              </w:rPr>
            </w:pPr>
            <w:r w:rsidRPr="00431D28">
              <w:rPr>
                <w:rFonts w:cs="Arial"/>
                <w:i/>
                <w:iCs/>
                <w:color w:val="000000"/>
                <w:lang w:val="fr-FR"/>
              </w:rPr>
              <w:t>C/B</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56B5" w:rsidRPr="00431D28" w:rsidRDefault="000D7C2D" w:rsidP="009A0B7E">
            <w:pPr>
              <w:jc w:val="center"/>
              <w:rPr>
                <w:rFonts w:cs="Arial"/>
                <w:i/>
                <w:iCs/>
                <w:color w:val="000000"/>
                <w:lang w:val="fr-FR"/>
              </w:rPr>
            </w:pPr>
            <w:r w:rsidRPr="00431D28">
              <w:rPr>
                <w:rFonts w:cs="Arial"/>
                <w:i/>
                <w:iCs/>
                <w:color w:val="000000"/>
                <w:lang w:val="fr-FR"/>
              </w:rPr>
              <w:t>D=B+C</w:t>
            </w:r>
          </w:p>
        </w:tc>
      </w:tr>
      <w:tr w:rsidR="001856B5" w:rsidRPr="00431D28" w:rsidTr="00C740F2">
        <w:trPr>
          <w:trHeight w:val="255"/>
        </w:trPr>
        <w:tc>
          <w:tcPr>
            <w:tcW w:w="3686" w:type="dxa"/>
            <w:tcBorders>
              <w:top w:val="nil"/>
              <w:left w:val="single" w:sz="4" w:space="0" w:color="auto"/>
              <w:bottom w:val="nil"/>
              <w:right w:val="nil"/>
            </w:tcBorders>
            <w:shd w:val="clear" w:color="auto" w:fill="auto"/>
            <w:hideMark/>
          </w:tcPr>
          <w:p w:rsidR="001856B5" w:rsidRPr="00431D28" w:rsidRDefault="001856B5" w:rsidP="009A0B7E">
            <w:pPr>
              <w:ind w:firstLineChars="100" w:firstLine="200"/>
              <w:jc w:val="left"/>
              <w:rPr>
                <w:rFonts w:cs="Arial"/>
                <w:lang w:val="fr-FR"/>
              </w:rPr>
            </w:pPr>
            <w:r w:rsidRPr="00431D28">
              <w:rPr>
                <w:rFonts w:cs="Arial"/>
                <w:lang w:val="fr-FR"/>
              </w:rPr>
              <w:t> </w:t>
            </w:r>
          </w:p>
        </w:tc>
        <w:tc>
          <w:tcPr>
            <w:tcW w:w="1276" w:type="dxa"/>
            <w:tcBorders>
              <w:top w:val="nil"/>
              <w:left w:val="nil"/>
              <w:bottom w:val="nil"/>
              <w:right w:val="nil"/>
            </w:tcBorders>
            <w:shd w:val="clear" w:color="auto" w:fill="auto"/>
            <w:hideMark/>
          </w:tcPr>
          <w:p w:rsidR="001856B5" w:rsidRPr="00431D28" w:rsidRDefault="001856B5" w:rsidP="009A0B7E">
            <w:pPr>
              <w:rPr>
                <w:rFonts w:cs="Arial"/>
                <w:lang w:val="fr-FR"/>
              </w:rPr>
            </w:pPr>
          </w:p>
        </w:tc>
        <w:tc>
          <w:tcPr>
            <w:tcW w:w="1275" w:type="dxa"/>
            <w:tcBorders>
              <w:top w:val="nil"/>
              <w:left w:val="nil"/>
              <w:bottom w:val="nil"/>
              <w:right w:val="nil"/>
            </w:tcBorders>
            <w:shd w:val="clear" w:color="auto" w:fill="auto"/>
            <w:hideMark/>
          </w:tcPr>
          <w:p w:rsidR="001856B5" w:rsidRPr="00431D28" w:rsidRDefault="001856B5" w:rsidP="009A0B7E">
            <w:pPr>
              <w:rPr>
                <w:rFonts w:cs="Arial"/>
                <w:lang w:val="fr-FR"/>
              </w:rPr>
            </w:pPr>
          </w:p>
        </w:tc>
        <w:tc>
          <w:tcPr>
            <w:tcW w:w="851" w:type="dxa"/>
            <w:tcBorders>
              <w:top w:val="nil"/>
              <w:left w:val="single" w:sz="4" w:space="0" w:color="auto"/>
              <w:bottom w:val="nil"/>
              <w:right w:val="nil"/>
            </w:tcBorders>
            <w:shd w:val="clear" w:color="auto" w:fill="auto"/>
            <w:hideMark/>
          </w:tcPr>
          <w:p w:rsidR="001856B5" w:rsidRPr="00431D28" w:rsidRDefault="001856B5" w:rsidP="009A0B7E">
            <w:pPr>
              <w:jc w:val="right"/>
              <w:rPr>
                <w:rFonts w:cs="Arial"/>
                <w:lang w:val="fr-FR"/>
              </w:rPr>
            </w:pPr>
            <w:r w:rsidRPr="00431D28">
              <w:rPr>
                <w:rFonts w:cs="Arial"/>
                <w:lang w:val="fr-FR"/>
              </w:rPr>
              <w:t> </w:t>
            </w:r>
          </w:p>
        </w:tc>
        <w:tc>
          <w:tcPr>
            <w:tcW w:w="867" w:type="dxa"/>
            <w:tcBorders>
              <w:top w:val="nil"/>
              <w:left w:val="nil"/>
              <w:bottom w:val="nil"/>
              <w:right w:val="nil"/>
            </w:tcBorders>
            <w:shd w:val="clear" w:color="auto" w:fill="auto"/>
            <w:hideMark/>
          </w:tcPr>
          <w:p w:rsidR="001856B5" w:rsidRPr="00431D28" w:rsidRDefault="001856B5" w:rsidP="009A0B7E">
            <w:pPr>
              <w:rPr>
                <w:rFonts w:cs="Arial"/>
                <w:lang w:val="fr-FR"/>
              </w:rPr>
            </w:pPr>
          </w:p>
        </w:tc>
        <w:tc>
          <w:tcPr>
            <w:tcW w:w="1273" w:type="dxa"/>
            <w:tcBorders>
              <w:top w:val="nil"/>
              <w:left w:val="nil"/>
              <w:bottom w:val="nil"/>
              <w:right w:val="single" w:sz="4" w:space="0" w:color="auto"/>
            </w:tcBorders>
            <w:shd w:val="clear" w:color="auto" w:fill="auto"/>
            <w:hideMark/>
          </w:tcPr>
          <w:p w:rsidR="001856B5" w:rsidRPr="00431D28" w:rsidRDefault="001856B5" w:rsidP="009A0B7E">
            <w:pPr>
              <w:rPr>
                <w:rFonts w:cs="Arial"/>
                <w:lang w:val="fr-FR"/>
              </w:rPr>
            </w:pPr>
            <w:r w:rsidRPr="00431D28">
              <w:rPr>
                <w:rFonts w:cs="Arial"/>
                <w:lang w:val="fr-FR"/>
              </w:rPr>
              <w:t> </w:t>
            </w:r>
          </w:p>
        </w:tc>
      </w:tr>
      <w:tr w:rsidR="001856B5" w:rsidRPr="00431D28" w:rsidTr="00C740F2">
        <w:trPr>
          <w:trHeight w:val="369"/>
        </w:trPr>
        <w:tc>
          <w:tcPr>
            <w:tcW w:w="3686" w:type="dxa"/>
            <w:tcBorders>
              <w:top w:val="nil"/>
              <w:left w:val="single" w:sz="4" w:space="0" w:color="auto"/>
              <w:bottom w:val="nil"/>
              <w:right w:val="nil"/>
            </w:tcBorders>
            <w:shd w:val="clear" w:color="auto" w:fill="auto"/>
            <w:vAlign w:val="bottom"/>
            <w:hideMark/>
          </w:tcPr>
          <w:p w:rsidR="001856B5" w:rsidRPr="00431D28" w:rsidRDefault="00531BE0" w:rsidP="009A0B7E">
            <w:pPr>
              <w:jc w:val="left"/>
              <w:rPr>
                <w:rFonts w:cs="Arial"/>
                <w:b/>
                <w:lang w:val="fr-FR"/>
              </w:rPr>
            </w:pPr>
            <w:r w:rsidRPr="00431D28">
              <w:rPr>
                <w:rFonts w:cs="Arial"/>
                <w:b/>
                <w:lang w:val="fr-FR"/>
              </w:rPr>
              <w:t>1. Dépenses de personnel</w:t>
            </w:r>
          </w:p>
        </w:tc>
        <w:tc>
          <w:tcPr>
            <w:tcW w:w="1276" w:type="dxa"/>
            <w:tcBorders>
              <w:top w:val="nil"/>
              <w:left w:val="nil"/>
              <w:bottom w:val="nil"/>
              <w:right w:val="nil"/>
            </w:tcBorders>
            <w:shd w:val="clear" w:color="auto" w:fill="auto"/>
            <w:vAlign w:val="bottom"/>
            <w:hideMark/>
          </w:tcPr>
          <w:p w:rsidR="001856B5" w:rsidRPr="00431D28" w:rsidRDefault="00802344" w:rsidP="009A0B7E">
            <w:pPr>
              <w:jc w:val="right"/>
              <w:rPr>
                <w:rFonts w:cs="Arial"/>
                <w:b/>
                <w:color w:val="000000"/>
                <w:lang w:val="fr-FR"/>
              </w:rPr>
            </w:pPr>
            <w:r>
              <w:rPr>
                <w:rFonts w:cs="Arial"/>
                <w:b/>
                <w:color w:val="000000"/>
                <w:lang w:val="fr-FR"/>
              </w:rPr>
              <w:t>4</w:t>
            </w:r>
            <w:r w:rsidR="003F2179">
              <w:rPr>
                <w:rFonts w:cs="Arial"/>
                <w:b/>
                <w:color w:val="000000"/>
                <w:lang w:val="fr-FR"/>
              </w:rPr>
              <w:t> </w:t>
            </w:r>
            <w:r w:rsidR="001856B5" w:rsidRPr="00431D28">
              <w:rPr>
                <w:rFonts w:cs="Arial"/>
                <w:b/>
                <w:color w:val="000000"/>
                <w:lang w:val="fr-FR"/>
              </w:rPr>
              <w:t>271</w:t>
            </w:r>
          </w:p>
        </w:tc>
        <w:tc>
          <w:tcPr>
            <w:tcW w:w="1275" w:type="dxa"/>
            <w:tcBorders>
              <w:top w:val="nil"/>
              <w:left w:val="nil"/>
              <w:bottom w:val="nil"/>
              <w:right w:val="single" w:sz="4" w:space="0" w:color="auto"/>
            </w:tcBorders>
            <w:shd w:val="clear" w:color="auto" w:fill="auto"/>
            <w:vAlign w:val="bottom"/>
            <w:hideMark/>
          </w:tcPr>
          <w:p w:rsidR="001856B5" w:rsidRPr="00431D28" w:rsidRDefault="00802344" w:rsidP="009A0B7E">
            <w:pPr>
              <w:jc w:val="right"/>
              <w:rPr>
                <w:rFonts w:cs="Arial"/>
                <w:b/>
                <w:color w:val="000000"/>
                <w:lang w:val="fr-FR"/>
              </w:rPr>
            </w:pPr>
            <w:r>
              <w:rPr>
                <w:rFonts w:cs="Arial"/>
                <w:b/>
                <w:color w:val="000000"/>
                <w:lang w:val="fr-FR"/>
              </w:rPr>
              <w:t>4</w:t>
            </w:r>
            <w:r w:rsidR="003F2179">
              <w:rPr>
                <w:rFonts w:cs="Arial"/>
                <w:b/>
                <w:color w:val="000000"/>
                <w:lang w:val="fr-FR"/>
              </w:rPr>
              <w:t> </w:t>
            </w:r>
            <w:r w:rsidR="001856B5" w:rsidRPr="00431D28">
              <w:rPr>
                <w:rFonts w:cs="Arial"/>
                <w:b/>
                <w:color w:val="000000"/>
                <w:lang w:val="fr-FR"/>
              </w:rPr>
              <w:t>542</w:t>
            </w:r>
          </w:p>
        </w:tc>
        <w:tc>
          <w:tcPr>
            <w:tcW w:w="851" w:type="dxa"/>
            <w:tcBorders>
              <w:top w:val="nil"/>
              <w:left w:val="nil"/>
              <w:bottom w:val="nil"/>
              <w:right w:val="nil"/>
            </w:tcBorders>
            <w:shd w:val="clear" w:color="auto" w:fill="auto"/>
            <w:vAlign w:val="bottom"/>
            <w:hideMark/>
          </w:tcPr>
          <w:p w:rsidR="001856B5" w:rsidRPr="00431D28" w:rsidRDefault="001856B5" w:rsidP="009A0B7E">
            <w:pPr>
              <w:jc w:val="right"/>
              <w:rPr>
                <w:rFonts w:cs="Arial"/>
                <w:b/>
                <w:color w:val="000000"/>
                <w:lang w:val="fr-FR"/>
              </w:rPr>
            </w:pPr>
            <w:r w:rsidRPr="00431D28">
              <w:rPr>
                <w:rFonts w:cs="Arial"/>
                <w:b/>
                <w:color w:val="000000"/>
                <w:lang w:val="fr-FR"/>
              </w:rPr>
              <w:t>-117</w:t>
            </w:r>
          </w:p>
        </w:tc>
        <w:tc>
          <w:tcPr>
            <w:tcW w:w="867" w:type="dxa"/>
            <w:tcBorders>
              <w:top w:val="nil"/>
              <w:left w:val="nil"/>
              <w:bottom w:val="nil"/>
              <w:right w:val="nil"/>
            </w:tcBorders>
            <w:shd w:val="clear" w:color="auto" w:fill="auto"/>
            <w:vAlign w:val="bottom"/>
            <w:hideMark/>
          </w:tcPr>
          <w:p w:rsidR="001856B5" w:rsidRPr="00431D28" w:rsidRDefault="00531BE0" w:rsidP="009A0B7E">
            <w:pPr>
              <w:jc w:val="right"/>
              <w:rPr>
                <w:rFonts w:cs="Arial"/>
                <w:b/>
                <w:color w:val="000000"/>
                <w:lang w:val="fr-FR"/>
              </w:rPr>
            </w:pPr>
            <w:r w:rsidRPr="00431D28">
              <w:rPr>
                <w:rFonts w:cs="Arial"/>
                <w:b/>
                <w:color w:val="000000"/>
                <w:lang w:val="fr-FR"/>
              </w:rPr>
              <w:t>-2,</w:t>
            </w:r>
            <w:r w:rsidR="001856B5" w:rsidRPr="00431D28">
              <w:rPr>
                <w:rFonts w:cs="Arial"/>
                <w:b/>
                <w:color w:val="000000"/>
                <w:lang w:val="fr-FR"/>
              </w:rPr>
              <w:t>6%</w:t>
            </w:r>
          </w:p>
        </w:tc>
        <w:tc>
          <w:tcPr>
            <w:tcW w:w="1273" w:type="dxa"/>
            <w:tcBorders>
              <w:top w:val="nil"/>
              <w:left w:val="nil"/>
              <w:bottom w:val="nil"/>
              <w:right w:val="single" w:sz="4" w:space="0" w:color="auto"/>
            </w:tcBorders>
            <w:shd w:val="clear" w:color="auto" w:fill="auto"/>
            <w:vAlign w:val="bottom"/>
            <w:hideMark/>
          </w:tcPr>
          <w:p w:rsidR="001856B5" w:rsidRPr="00431D28" w:rsidRDefault="00802344" w:rsidP="009A0B7E">
            <w:pPr>
              <w:jc w:val="right"/>
              <w:rPr>
                <w:rFonts w:cs="Arial"/>
                <w:b/>
                <w:color w:val="000000"/>
                <w:lang w:val="fr-FR"/>
              </w:rPr>
            </w:pPr>
            <w:r>
              <w:rPr>
                <w:rFonts w:cs="Arial"/>
                <w:b/>
                <w:color w:val="000000"/>
                <w:lang w:val="fr-FR"/>
              </w:rPr>
              <w:t>4</w:t>
            </w:r>
            <w:r w:rsidR="003F2179">
              <w:rPr>
                <w:rFonts w:cs="Arial"/>
                <w:b/>
                <w:color w:val="000000"/>
                <w:lang w:val="fr-FR"/>
              </w:rPr>
              <w:t> </w:t>
            </w:r>
            <w:r w:rsidR="001856B5" w:rsidRPr="00431D28">
              <w:rPr>
                <w:rFonts w:cs="Arial"/>
                <w:b/>
                <w:color w:val="000000"/>
                <w:lang w:val="fr-FR"/>
              </w:rPr>
              <w:t>425</w:t>
            </w:r>
          </w:p>
        </w:tc>
      </w:tr>
      <w:tr w:rsidR="001856B5" w:rsidRPr="00431D28" w:rsidTr="00C740F2">
        <w:trPr>
          <w:trHeight w:val="369"/>
        </w:trPr>
        <w:tc>
          <w:tcPr>
            <w:tcW w:w="3686" w:type="dxa"/>
            <w:tcBorders>
              <w:top w:val="nil"/>
              <w:left w:val="single" w:sz="4" w:space="0" w:color="auto"/>
              <w:bottom w:val="nil"/>
              <w:right w:val="nil"/>
            </w:tcBorders>
            <w:shd w:val="clear" w:color="auto" w:fill="auto"/>
            <w:vAlign w:val="bottom"/>
            <w:hideMark/>
          </w:tcPr>
          <w:p w:rsidR="001856B5" w:rsidRPr="00431D28" w:rsidRDefault="00531BE0" w:rsidP="009A0B7E">
            <w:pPr>
              <w:jc w:val="left"/>
              <w:rPr>
                <w:rFonts w:cs="Arial"/>
                <w:b/>
                <w:lang w:val="fr-FR"/>
              </w:rPr>
            </w:pPr>
            <w:r w:rsidRPr="00431D28">
              <w:rPr>
                <w:rFonts w:cs="Arial"/>
                <w:b/>
                <w:lang w:val="fr-FR"/>
              </w:rPr>
              <w:t>2. Autres dépenses</w:t>
            </w:r>
          </w:p>
        </w:tc>
        <w:tc>
          <w:tcPr>
            <w:tcW w:w="1276" w:type="dxa"/>
            <w:tcBorders>
              <w:top w:val="nil"/>
              <w:left w:val="nil"/>
              <w:bottom w:val="nil"/>
              <w:right w:val="nil"/>
            </w:tcBorders>
            <w:shd w:val="clear" w:color="auto" w:fill="auto"/>
            <w:vAlign w:val="bottom"/>
            <w:hideMark/>
          </w:tcPr>
          <w:p w:rsidR="001856B5" w:rsidRPr="00431D28" w:rsidRDefault="00802344" w:rsidP="009A0B7E">
            <w:pPr>
              <w:jc w:val="right"/>
              <w:rPr>
                <w:rFonts w:cs="Arial"/>
                <w:b/>
                <w:color w:val="000000"/>
                <w:lang w:val="fr-FR"/>
              </w:rPr>
            </w:pPr>
            <w:r>
              <w:rPr>
                <w:rFonts w:cs="Arial"/>
                <w:b/>
                <w:color w:val="000000"/>
                <w:lang w:val="fr-FR"/>
              </w:rPr>
              <w:t>2</w:t>
            </w:r>
            <w:r w:rsidR="003F2179">
              <w:rPr>
                <w:rFonts w:cs="Arial"/>
                <w:b/>
                <w:color w:val="000000"/>
                <w:lang w:val="fr-FR"/>
              </w:rPr>
              <w:t> </w:t>
            </w:r>
            <w:r w:rsidR="001856B5" w:rsidRPr="00431D28">
              <w:rPr>
                <w:rFonts w:cs="Arial"/>
                <w:b/>
                <w:color w:val="000000"/>
                <w:lang w:val="fr-FR"/>
              </w:rPr>
              <w:t>208</w:t>
            </w:r>
          </w:p>
        </w:tc>
        <w:tc>
          <w:tcPr>
            <w:tcW w:w="1275" w:type="dxa"/>
            <w:tcBorders>
              <w:top w:val="nil"/>
              <w:left w:val="nil"/>
              <w:bottom w:val="nil"/>
              <w:right w:val="single" w:sz="4" w:space="0" w:color="auto"/>
            </w:tcBorders>
            <w:shd w:val="clear" w:color="auto" w:fill="auto"/>
            <w:vAlign w:val="bottom"/>
            <w:hideMark/>
          </w:tcPr>
          <w:p w:rsidR="001856B5" w:rsidRPr="00431D28" w:rsidRDefault="00802344" w:rsidP="009A0B7E">
            <w:pPr>
              <w:jc w:val="right"/>
              <w:rPr>
                <w:rFonts w:cs="Arial"/>
                <w:b/>
                <w:color w:val="000000"/>
                <w:lang w:val="fr-FR"/>
              </w:rPr>
            </w:pPr>
            <w:r>
              <w:rPr>
                <w:rFonts w:cs="Arial"/>
                <w:b/>
                <w:color w:val="000000"/>
                <w:lang w:val="fr-FR"/>
              </w:rPr>
              <w:t>2</w:t>
            </w:r>
            <w:r w:rsidR="003F2179">
              <w:rPr>
                <w:rFonts w:cs="Arial"/>
                <w:b/>
                <w:color w:val="000000"/>
                <w:lang w:val="fr-FR"/>
              </w:rPr>
              <w:t> </w:t>
            </w:r>
            <w:r w:rsidR="001856B5" w:rsidRPr="00431D28">
              <w:rPr>
                <w:rFonts w:cs="Arial"/>
                <w:b/>
                <w:color w:val="000000"/>
                <w:lang w:val="fr-FR"/>
              </w:rPr>
              <w:t>256</w:t>
            </w:r>
          </w:p>
        </w:tc>
        <w:tc>
          <w:tcPr>
            <w:tcW w:w="851" w:type="dxa"/>
            <w:tcBorders>
              <w:top w:val="nil"/>
              <w:left w:val="nil"/>
              <w:bottom w:val="nil"/>
              <w:right w:val="nil"/>
            </w:tcBorders>
            <w:shd w:val="clear" w:color="auto" w:fill="auto"/>
            <w:vAlign w:val="bottom"/>
            <w:hideMark/>
          </w:tcPr>
          <w:p w:rsidR="001856B5" w:rsidRPr="00431D28" w:rsidRDefault="001856B5" w:rsidP="009A0B7E">
            <w:pPr>
              <w:jc w:val="right"/>
              <w:rPr>
                <w:rFonts w:cs="Arial"/>
                <w:b/>
                <w:color w:val="000000"/>
                <w:lang w:val="fr-FR"/>
              </w:rPr>
            </w:pPr>
            <w:r w:rsidRPr="00431D28">
              <w:rPr>
                <w:rFonts w:cs="Arial"/>
                <w:b/>
                <w:color w:val="000000"/>
                <w:lang w:val="fr-FR"/>
              </w:rPr>
              <w:t>113</w:t>
            </w:r>
          </w:p>
        </w:tc>
        <w:tc>
          <w:tcPr>
            <w:tcW w:w="867" w:type="dxa"/>
            <w:tcBorders>
              <w:top w:val="nil"/>
              <w:left w:val="nil"/>
              <w:bottom w:val="nil"/>
              <w:right w:val="nil"/>
            </w:tcBorders>
            <w:shd w:val="clear" w:color="auto" w:fill="auto"/>
            <w:vAlign w:val="bottom"/>
            <w:hideMark/>
          </w:tcPr>
          <w:p w:rsidR="001856B5" w:rsidRPr="00431D28" w:rsidRDefault="00531BE0" w:rsidP="009A0B7E">
            <w:pPr>
              <w:jc w:val="right"/>
              <w:rPr>
                <w:rFonts w:cs="Arial"/>
                <w:b/>
                <w:color w:val="000000"/>
                <w:lang w:val="fr-FR"/>
              </w:rPr>
            </w:pPr>
            <w:r w:rsidRPr="00431D28">
              <w:rPr>
                <w:rFonts w:cs="Arial"/>
                <w:b/>
                <w:color w:val="000000"/>
                <w:lang w:val="fr-FR"/>
              </w:rPr>
              <w:t>5,</w:t>
            </w:r>
            <w:r w:rsidR="001856B5" w:rsidRPr="00431D28">
              <w:rPr>
                <w:rFonts w:cs="Arial"/>
                <w:b/>
                <w:color w:val="000000"/>
                <w:lang w:val="fr-FR"/>
              </w:rPr>
              <w:t>0%</w:t>
            </w:r>
          </w:p>
        </w:tc>
        <w:tc>
          <w:tcPr>
            <w:tcW w:w="1273" w:type="dxa"/>
            <w:tcBorders>
              <w:top w:val="nil"/>
              <w:left w:val="nil"/>
              <w:bottom w:val="nil"/>
              <w:right w:val="single" w:sz="4" w:space="0" w:color="auto"/>
            </w:tcBorders>
            <w:shd w:val="clear" w:color="auto" w:fill="auto"/>
            <w:vAlign w:val="bottom"/>
            <w:hideMark/>
          </w:tcPr>
          <w:p w:rsidR="001856B5" w:rsidRPr="00431D28" w:rsidRDefault="00802344" w:rsidP="009A0B7E">
            <w:pPr>
              <w:jc w:val="right"/>
              <w:rPr>
                <w:rFonts w:cs="Arial"/>
                <w:b/>
                <w:color w:val="000000"/>
                <w:lang w:val="fr-FR"/>
              </w:rPr>
            </w:pPr>
            <w:r>
              <w:rPr>
                <w:rFonts w:cs="Arial"/>
                <w:b/>
                <w:color w:val="000000"/>
                <w:lang w:val="fr-FR"/>
              </w:rPr>
              <w:t>2</w:t>
            </w:r>
            <w:r w:rsidR="003F2179">
              <w:rPr>
                <w:rFonts w:cs="Arial"/>
                <w:b/>
                <w:color w:val="000000"/>
                <w:lang w:val="fr-FR"/>
              </w:rPr>
              <w:t> </w:t>
            </w:r>
            <w:r w:rsidR="001856B5" w:rsidRPr="00431D28">
              <w:rPr>
                <w:rFonts w:cs="Arial"/>
                <w:b/>
                <w:color w:val="000000"/>
                <w:lang w:val="fr-FR"/>
              </w:rPr>
              <w:t>369</w:t>
            </w:r>
          </w:p>
        </w:tc>
      </w:tr>
      <w:tr w:rsidR="001856B5" w:rsidRPr="00431D28" w:rsidTr="00C740F2">
        <w:trPr>
          <w:trHeight w:val="369"/>
        </w:trPr>
        <w:tc>
          <w:tcPr>
            <w:tcW w:w="3686" w:type="dxa"/>
            <w:tcBorders>
              <w:top w:val="nil"/>
              <w:left w:val="single" w:sz="4" w:space="0" w:color="auto"/>
              <w:bottom w:val="nil"/>
              <w:right w:val="nil"/>
            </w:tcBorders>
            <w:shd w:val="clear" w:color="auto" w:fill="auto"/>
            <w:vAlign w:val="bottom"/>
            <w:hideMark/>
          </w:tcPr>
          <w:p w:rsidR="001856B5" w:rsidRPr="00431D28" w:rsidRDefault="00531BE0" w:rsidP="00C740F2">
            <w:pPr>
              <w:ind w:left="317"/>
              <w:jc w:val="left"/>
              <w:rPr>
                <w:rFonts w:cs="Arial"/>
                <w:iCs/>
                <w:lang w:val="fr-FR"/>
              </w:rPr>
            </w:pPr>
            <w:r w:rsidRPr="00431D28">
              <w:rPr>
                <w:rFonts w:cs="Arial"/>
                <w:iCs/>
                <w:lang w:val="fr-FR"/>
              </w:rPr>
              <w:t>Voyages et services contractuels</w:t>
            </w:r>
          </w:p>
        </w:tc>
        <w:tc>
          <w:tcPr>
            <w:tcW w:w="1276" w:type="dxa"/>
            <w:tcBorders>
              <w:top w:val="nil"/>
              <w:left w:val="nil"/>
              <w:bottom w:val="nil"/>
              <w:right w:val="nil"/>
            </w:tcBorders>
            <w:shd w:val="clear" w:color="auto" w:fill="auto"/>
            <w:vAlign w:val="bottom"/>
            <w:hideMark/>
          </w:tcPr>
          <w:p w:rsidR="001856B5" w:rsidRPr="00431D28" w:rsidRDefault="001856B5" w:rsidP="009A0B7E">
            <w:pPr>
              <w:jc w:val="right"/>
              <w:rPr>
                <w:rFonts w:cs="Arial"/>
                <w:color w:val="000000"/>
                <w:lang w:val="fr-FR"/>
              </w:rPr>
            </w:pPr>
            <w:r w:rsidRPr="00431D28">
              <w:rPr>
                <w:rFonts w:cs="Arial"/>
                <w:color w:val="000000"/>
                <w:lang w:val="fr-FR"/>
              </w:rPr>
              <w:t>908</w:t>
            </w:r>
          </w:p>
        </w:tc>
        <w:tc>
          <w:tcPr>
            <w:tcW w:w="1275" w:type="dxa"/>
            <w:tcBorders>
              <w:top w:val="nil"/>
              <w:left w:val="nil"/>
              <w:bottom w:val="nil"/>
              <w:right w:val="single" w:sz="4" w:space="0" w:color="auto"/>
            </w:tcBorders>
            <w:shd w:val="clear" w:color="auto" w:fill="auto"/>
            <w:vAlign w:val="bottom"/>
            <w:hideMark/>
          </w:tcPr>
          <w:p w:rsidR="001856B5" w:rsidRPr="00431D28" w:rsidRDefault="001856B5" w:rsidP="009A0B7E">
            <w:pPr>
              <w:jc w:val="right"/>
              <w:rPr>
                <w:rFonts w:cs="Arial"/>
                <w:color w:val="000000"/>
                <w:lang w:val="fr-FR"/>
              </w:rPr>
            </w:pPr>
            <w:r w:rsidRPr="00431D28">
              <w:rPr>
                <w:rFonts w:cs="Arial"/>
                <w:color w:val="000000"/>
                <w:lang w:val="fr-FR"/>
              </w:rPr>
              <w:t>990</w:t>
            </w:r>
          </w:p>
        </w:tc>
        <w:tc>
          <w:tcPr>
            <w:tcW w:w="851" w:type="dxa"/>
            <w:tcBorders>
              <w:top w:val="nil"/>
              <w:left w:val="nil"/>
              <w:bottom w:val="nil"/>
              <w:right w:val="nil"/>
            </w:tcBorders>
            <w:shd w:val="clear" w:color="auto" w:fill="auto"/>
            <w:vAlign w:val="bottom"/>
            <w:hideMark/>
          </w:tcPr>
          <w:p w:rsidR="001856B5" w:rsidRPr="00431D28" w:rsidRDefault="001856B5" w:rsidP="009A0B7E">
            <w:pPr>
              <w:jc w:val="right"/>
              <w:rPr>
                <w:rFonts w:cs="Arial"/>
                <w:color w:val="000000"/>
                <w:lang w:val="fr-FR"/>
              </w:rPr>
            </w:pPr>
            <w:r w:rsidRPr="00431D28">
              <w:rPr>
                <w:rFonts w:cs="Arial"/>
                <w:color w:val="000000"/>
                <w:lang w:val="fr-FR"/>
              </w:rPr>
              <w:t>75</w:t>
            </w:r>
          </w:p>
        </w:tc>
        <w:tc>
          <w:tcPr>
            <w:tcW w:w="867" w:type="dxa"/>
            <w:tcBorders>
              <w:top w:val="nil"/>
              <w:left w:val="nil"/>
              <w:bottom w:val="nil"/>
              <w:right w:val="nil"/>
            </w:tcBorders>
            <w:shd w:val="clear" w:color="auto" w:fill="auto"/>
            <w:vAlign w:val="bottom"/>
            <w:hideMark/>
          </w:tcPr>
          <w:p w:rsidR="001856B5" w:rsidRPr="00431D28" w:rsidRDefault="00531BE0" w:rsidP="009A0B7E">
            <w:pPr>
              <w:jc w:val="right"/>
              <w:rPr>
                <w:rFonts w:cs="Arial"/>
                <w:color w:val="000000"/>
                <w:lang w:val="fr-FR"/>
              </w:rPr>
            </w:pPr>
            <w:r w:rsidRPr="00431D28">
              <w:rPr>
                <w:rFonts w:cs="Arial"/>
                <w:color w:val="000000"/>
                <w:lang w:val="fr-FR"/>
              </w:rPr>
              <w:t>7,</w:t>
            </w:r>
            <w:r w:rsidR="001856B5" w:rsidRPr="00431D28">
              <w:rPr>
                <w:rFonts w:cs="Arial"/>
                <w:color w:val="000000"/>
                <w:lang w:val="fr-FR"/>
              </w:rPr>
              <w:t>6%</w:t>
            </w:r>
          </w:p>
        </w:tc>
        <w:tc>
          <w:tcPr>
            <w:tcW w:w="1273" w:type="dxa"/>
            <w:tcBorders>
              <w:top w:val="nil"/>
              <w:left w:val="nil"/>
              <w:bottom w:val="nil"/>
              <w:right w:val="single" w:sz="4" w:space="0" w:color="auto"/>
            </w:tcBorders>
            <w:shd w:val="clear" w:color="auto" w:fill="auto"/>
            <w:vAlign w:val="bottom"/>
            <w:hideMark/>
          </w:tcPr>
          <w:p w:rsidR="001856B5" w:rsidRPr="00431D28" w:rsidRDefault="00802344" w:rsidP="009A0B7E">
            <w:pPr>
              <w:jc w:val="right"/>
              <w:rPr>
                <w:rFonts w:cs="Arial"/>
                <w:color w:val="000000"/>
                <w:lang w:val="fr-FR"/>
              </w:rPr>
            </w:pPr>
            <w:r>
              <w:rPr>
                <w:rFonts w:cs="Arial"/>
                <w:color w:val="000000"/>
                <w:lang w:val="fr-FR"/>
              </w:rPr>
              <w:t>1</w:t>
            </w:r>
            <w:r w:rsidR="003F2179">
              <w:rPr>
                <w:rFonts w:cs="Arial"/>
                <w:color w:val="000000"/>
                <w:lang w:val="fr-FR"/>
              </w:rPr>
              <w:t> </w:t>
            </w:r>
            <w:r w:rsidR="001856B5" w:rsidRPr="00431D28">
              <w:rPr>
                <w:rFonts w:cs="Arial"/>
                <w:color w:val="000000"/>
                <w:lang w:val="fr-FR"/>
              </w:rPr>
              <w:t>065</w:t>
            </w:r>
          </w:p>
        </w:tc>
      </w:tr>
      <w:tr w:rsidR="001856B5" w:rsidRPr="00431D28" w:rsidTr="00C740F2">
        <w:trPr>
          <w:trHeight w:val="567"/>
        </w:trPr>
        <w:tc>
          <w:tcPr>
            <w:tcW w:w="3686" w:type="dxa"/>
            <w:tcBorders>
              <w:top w:val="nil"/>
              <w:left w:val="single" w:sz="4" w:space="0" w:color="auto"/>
              <w:bottom w:val="nil"/>
              <w:right w:val="nil"/>
            </w:tcBorders>
            <w:shd w:val="clear" w:color="auto" w:fill="auto"/>
            <w:vAlign w:val="bottom"/>
            <w:hideMark/>
          </w:tcPr>
          <w:p w:rsidR="001856B5" w:rsidRPr="00431D28" w:rsidRDefault="00531BE0" w:rsidP="008035AB">
            <w:pPr>
              <w:ind w:left="317"/>
              <w:jc w:val="left"/>
              <w:rPr>
                <w:rFonts w:cs="Arial"/>
                <w:iCs/>
                <w:lang w:val="fr-FR"/>
              </w:rPr>
            </w:pPr>
            <w:r w:rsidRPr="00431D28">
              <w:rPr>
                <w:rFonts w:cs="Arial"/>
                <w:iCs/>
                <w:lang w:val="fr-FR"/>
              </w:rPr>
              <w:t xml:space="preserve">Dépenses de fonctionnement, </w:t>
            </w:r>
            <w:r w:rsidR="008035AB" w:rsidRPr="005C4304">
              <w:rPr>
                <w:rFonts w:cs="Arial"/>
                <w:iCs/>
                <w:lang w:val="fr-FR"/>
              </w:rPr>
              <w:t>matériel et fournitures</w:t>
            </w:r>
          </w:p>
        </w:tc>
        <w:tc>
          <w:tcPr>
            <w:tcW w:w="1276" w:type="dxa"/>
            <w:tcBorders>
              <w:top w:val="nil"/>
              <w:left w:val="nil"/>
              <w:bottom w:val="nil"/>
              <w:right w:val="nil"/>
            </w:tcBorders>
            <w:shd w:val="clear" w:color="auto" w:fill="auto"/>
            <w:vAlign w:val="bottom"/>
            <w:hideMark/>
          </w:tcPr>
          <w:p w:rsidR="001856B5" w:rsidRPr="00431D28" w:rsidRDefault="00802344" w:rsidP="009A0B7E">
            <w:pPr>
              <w:jc w:val="right"/>
              <w:rPr>
                <w:rFonts w:cs="Arial"/>
                <w:color w:val="000000"/>
                <w:lang w:val="fr-FR"/>
              </w:rPr>
            </w:pPr>
            <w:r>
              <w:rPr>
                <w:rFonts w:cs="Arial"/>
                <w:color w:val="000000"/>
                <w:lang w:val="fr-FR"/>
              </w:rPr>
              <w:t>1</w:t>
            </w:r>
            <w:r w:rsidR="003F2179">
              <w:rPr>
                <w:rFonts w:cs="Arial"/>
                <w:color w:val="000000"/>
                <w:lang w:val="fr-FR"/>
              </w:rPr>
              <w:t> </w:t>
            </w:r>
            <w:r w:rsidR="001856B5" w:rsidRPr="00431D28">
              <w:rPr>
                <w:rFonts w:cs="Arial"/>
                <w:color w:val="000000"/>
                <w:lang w:val="fr-FR"/>
              </w:rPr>
              <w:t>301</w:t>
            </w:r>
          </w:p>
        </w:tc>
        <w:tc>
          <w:tcPr>
            <w:tcW w:w="1275" w:type="dxa"/>
            <w:tcBorders>
              <w:top w:val="nil"/>
              <w:left w:val="nil"/>
              <w:bottom w:val="nil"/>
              <w:right w:val="single" w:sz="4" w:space="0" w:color="auto"/>
            </w:tcBorders>
            <w:shd w:val="clear" w:color="auto" w:fill="auto"/>
            <w:vAlign w:val="bottom"/>
            <w:hideMark/>
          </w:tcPr>
          <w:p w:rsidR="001856B5" w:rsidRPr="00431D28" w:rsidRDefault="00802344" w:rsidP="009A0B7E">
            <w:pPr>
              <w:jc w:val="right"/>
              <w:rPr>
                <w:rFonts w:cs="Arial"/>
                <w:color w:val="000000"/>
                <w:lang w:val="fr-FR"/>
              </w:rPr>
            </w:pPr>
            <w:r>
              <w:rPr>
                <w:rFonts w:cs="Arial"/>
                <w:color w:val="000000"/>
                <w:lang w:val="fr-FR"/>
              </w:rPr>
              <w:t>1</w:t>
            </w:r>
            <w:r w:rsidR="003F2179">
              <w:rPr>
                <w:rFonts w:cs="Arial"/>
                <w:color w:val="000000"/>
                <w:lang w:val="fr-FR"/>
              </w:rPr>
              <w:t> </w:t>
            </w:r>
            <w:r w:rsidR="001856B5" w:rsidRPr="00431D28">
              <w:rPr>
                <w:rFonts w:cs="Arial"/>
                <w:color w:val="000000"/>
                <w:lang w:val="fr-FR"/>
              </w:rPr>
              <w:t>266</w:t>
            </w:r>
          </w:p>
        </w:tc>
        <w:tc>
          <w:tcPr>
            <w:tcW w:w="851" w:type="dxa"/>
            <w:tcBorders>
              <w:top w:val="nil"/>
              <w:left w:val="nil"/>
              <w:bottom w:val="nil"/>
              <w:right w:val="nil"/>
            </w:tcBorders>
            <w:shd w:val="clear" w:color="auto" w:fill="auto"/>
            <w:vAlign w:val="bottom"/>
            <w:hideMark/>
          </w:tcPr>
          <w:p w:rsidR="001856B5" w:rsidRPr="00431D28" w:rsidRDefault="001856B5" w:rsidP="009A0B7E">
            <w:pPr>
              <w:jc w:val="right"/>
              <w:rPr>
                <w:rFonts w:cs="Arial"/>
                <w:color w:val="000000"/>
                <w:lang w:val="fr-FR"/>
              </w:rPr>
            </w:pPr>
            <w:r w:rsidRPr="00431D28">
              <w:rPr>
                <w:rFonts w:cs="Arial"/>
                <w:color w:val="000000"/>
                <w:lang w:val="fr-FR"/>
              </w:rPr>
              <w:t>38</w:t>
            </w:r>
          </w:p>
        </w:tc>
        <w:tc>
          <w:tcPr>
            <w:tcW w:w="867" w:type="dxa"/>
            <w:tcBorders>
              <w:top w:val="nil"/>
              <w:left w:val="nil"/>
              <w:bottom w:val="nil"/>
              <w:right w:val="nil"/>
            </w:tcBorders>
            <w:shd w:val="clear" w:color="auto" w:fill="auto"/>
            <w:vAlign w:val="bottom"/>
            <w:hideMark/>
          </w:tcPr>
          <w:p w:rsidR="001856B5" w:rsidRPr="00431D28" w:rsidRDefault="008035AB" w:rsidP="009A0B7E">
            <w:pPr>
              <w:jc w:val="right"/>
              <w:rPr>
                <w:rFonts w:cs="Arial"/>
                <w:color w:val="000000"/>
                <w:lang w:val="fr-FR"/>
              </w:rPr>
            </w:pPr>
            <w:r w:rsidRPr="00431D28">
              <w:rPr>
                <w:rFonts w:cs="Arial"/>
                <w:color w:val="000000"/>
                <w:lang w:val="fr-FR"/>
              </w:rPr>
              <w:t>3,</w:t>
            </w:r>
            <w:r w:rsidR="001856B5" w:rsidRPr="00431D28">
              <w:rPr>
                <w:rFonts w:cs="Arial"/>
                <w:color w:val="000000"/>
                <w:lang w:val="fr-FR"/>
              </w:rPr>
              <w:t>0%</w:t>
            </w:r>
          </w:p>
        </w:tc>
        <w:tc>
          <w:tcPr>
            <w:tcW w:w="1273" w:type="dxa"/>
            <w:tcBorders>
              <w:top w:val="nil"/>
              <w:left w:val="nil"/>
              <w:bottom w:val="nil"/>
              <w:right w:val="single" w:sz="4" w:space="0" w:color="auto"/>
            </w:tcBorders>
            <w:shd w:val="clear" w:color="auto" w:fill="auto"/>
            <w:vAlign w:val="bottom"/>
            <w:hideMark/>
          </w:tcPr>
          <w:p w:rsidR="001856B5" w:rsidRPr="00431D28" w:rsidRDefault="00802344" w:rsidP="009A0B7E">
            <w:pPr>
              <w:jc w:val="right"/>
              <w:rPr>
                <w:rFonts w:cs="Arial"/>
                <w:color w:val="000000"/>
                <w:lang w:val="fr-FR"/>
              </w:rPr>
            </w:pPr>
            <w:r>
              <w:rPr>
                <w:rFonts w:cs="Arial"/>
                <w:color w:val="000000"/>
                <w:lang w:val="fr-FR"/>
              </w:rPr>
              <w:t>1</w:t>
            </w:r>
            <w:r w:rsidR="003F2179">
              <w:rPr>
                <w:rFonts w:cs="Arial"/>
                <w:color w:val="000000"/>
                <w:lang w:val="fr-FR"/>
              </w:rPr>
              <w:t> </w:t>
            </w:r>
            <w:r w:rsidR="001856B5" w:rsidRPr="00431D28">
              <w:rPr>
                <w:rFonts w:cs="Arial"/>
                <w:color w:val="000000"/>
                <w:lang w:val="fr-FR"/>
              </w:rPr>
              <w:t>304</w:t>
            </w:r>
          </w:p>
        </w:tc>
      </w:tr>
      <w:tr w:rsidR="001856B5" w:rsidRPr="00431D28" w:rsidTr="00C740F2">
        <w:trPr>
          <w:trHeight w:val="369"/>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56B5" w:rsidRPr="00431D28" w:rsidRDefault="008035AB" w:rsidP="009A0B7E">
            <w:pPr>
              <w:jc w:val="left"/>
              <w:rPr>
                <w:rFonts w:cs="Arial"/>
                <w:b/>
                <w:bCs/>
                <w:lang w:val="fr-FR"/>
              </w:rPr>
            </w:pPr>
            <w:r w:rsidRPr="00431D28">
              <w:rPr>
                <w:rFonts w:cs="Arial"/>
                <w:b/>
                <w:bCs/>
                <w:lang w:val="fr-FR"/>
              </w:rPr>
              <w:t>3. Total global</w:t>
            </w:r>
          </w:p>
        </w:tc>
        <w:tc>
          <w:tcPr>
            <w:tcW w:w="1276" w:type="dxa"/>
            <w:tcBorders>
              <w:top w:val="single" w:sz="4" w:space="0" w:color="auto"/>
              <w:left w:val="nil"/>
              <w:bottom w:val="single" w:sz="4" w:space="0" w:color="auto"/>
              <w:right w:val="nil"/>
            </w:tcBorders>
            <w:shd w:val="clear" w:color="auto" w:fill="auto"/>
            <w:vAlign w:val="bottom"/>
            <w:hideMark/>
          </w:tcPr>
          <w:p w:rsidR="001856B5" w:rsidRPr="00431D28" w:rsidRDefault="00802344" w:rsidP="009A0B7E">
            <w:pPr>
              <w:jc w:val="right"/>
              <w:rPr>
                <w:rFonts w:cs="Arial"/>
                <w:b/>
                <w:bCs/>
                <w:color w:val="000000"/>
                <w:lang w:val="fr-FR"/>
              </w:rPr>
            </w:pPr>
            <w:r>
              <w:rPr>
                <w:rFonts w:cs="Arial"/>
                <w:b/>
                <w:bCs/>
                <w:color w:val="000000"/>
                <w:lang w:val="fr-FR"/>
              </w:rPr>
              <w:t>6</w:t>
            </w:r>
            <w:r w:rsidR="003F2179">
              <w:rPr>
                <w:rFonts w:cs="Arial"/>
                <w:b/>
                <w:bCs/>
                <w:color w:val="000000"/>
                <w:lang w:val="fr-FR"/>
              </w:rPr>
              <w:t> </w:t>
            </w:r>
            <w:r w:rsidR="001856B5" w:rsidRPr="00431D28">
              <w:rPr>
                <w:rFonts w:cs="Arial"/>
                <w:b/>
                <w:bCs/>
                <w:color w:val="000000"/>
                <w:lang w:val="fr-FR"/>
              </w:rPr>
              <w:t>479</w:t>
            </w:r>
          </w:p>
        </w:tc>
        <w:tc>
          <w:tcPr>
            <w:tcW w:w="1275" w:type="dxa"/>
            <w:tcBorders>
              <w:top w:val="single" w:sz="4" w:space="0" w:color="auto"/>
              <w:left w:val="nil"/>
              <w:bottom w:val="single" w:sz="4" w:space="0" w:color="auto"/>
              <w:right w:val="nil"/>
            </w:tcBorders>
            <w:shd w:val="clear" w:color="auto" w:fill="auto"/>
            <w:vAlign w:val="bottom"/>
            <w:hideMark/>
          </w:tcPr>
          <w:p w:rsidR="001856B5" w:rsidRPr="00431D28" w:rsidRDefault="00802344" w:rsidP="009A0B7E">
            <w:pPr>
              <w:jc w:val="right"/>
              <w:rPr>
                <w:rFonts w:cs="Arial"/>
                <w:b/>
                <w:bCs/>
                <w:color w:val="000000"/>
                <w:lang w:val="fr-FR"/>
              </w:rPr>
            </w:pPr>
            <w:r>
              <w:rPr>
                <w:rFonts w:cs="Arial"/>
                <w:b/>
                <w:bCs/>
                <w:color w:val="000000"/>
                <w:lang w:val="fr-FR"/>
              </w:rPr>
              <w:t>6</w:t>
            </w:r>
            <w:r w:rsidR="003F2179">
              <w:rPr>
                <w:rFonts w:cs="Arial"/>
                <w:b/>
                <w:bCs/>
                <w:color w:val="000000"/>
                <w:lang w:val="fr-FR"/>
              </w:rPr>
              <w:t> </w:t>
            </w:r>
            <w:r w:rsidR="001856B5" w:rsidRPr="00431D28">
              <w:rPr>
                <w:rFonts w:cs="Arial"/>
                <w:b/>
                <w:bCs/>
                <w:color w:val="000000"/>
                <w:lang w:val="fr-FR"/>
              </w:rPr>
              <w:t>798</w:t>
            </w:r>
          </w:p>
        </w:tc>
        <w:tc>
          <w:tcPr>
            <w:tcW w:w="851" w:type="dxa"/>
            <w:tcBorders>
              <w:top w:val="single" w:sz="4" w:space="0" w:color="auto"/>
              <w:left w:val="nil"/>
              <w:bottom w:val="single" w:sz="4" w:space="0" w:color="auto"/>
              <w:right w:val="nil"/>
            </w:tcBorders>
            <w:shd w:val="clear" w:color="auto" w:fill="auto"/>
            <w:vAlign w:val="bottom"/>
            <w:hideMark/>
          </w:tcPr>
          <w:p w:rsidR="001856B5" w:rsidRPr="00431D28" w:rsidRDefault="001856B5" w:rsidP="009A0B7E">
            <w:pPr>
              <w:jc w:val="right"/>
              <w:rPr>
                <w:rFonts w:cs="Arial"/>
                <w:b/>
                <w:bCs/>
                <w:color w:val="000000"/>
                <w:lang w:val="fr-FR"/>
              </w:rPr>
            </w:pPr>
            <w:r w:rsidRPr="00431D28">
              <w:rPr>
                <w:rFonts w:cs="Arial"/>
                <w:b/>
                <w:bCs/>
                <w:color w:val="000000"/>
                <w:lang w:val="fr-FR"/>
              </w:rPr>
              <w:t>-4</w:t>
            </w:r>
          </w:p>
        </w:tc>
        <w:tc>
          <w:tcPr>
            <w:tcW w:w="867" w:type="dxa"/>
            <w:tcBorders>
              <w:top w:val="single" w:sz="4" w:space="0" w:color="auto"/>
              <w:left w:val="nil"/>
              <w:bottom w:val="single" w:sz="4" w:space="0" w:color="auto"/>
              <w:right w:val="nil"/>
            </w:tcBorders>
            <w:shd w:val="clear" w:color="auto" w:fill="auto"/>
            <w:vAlign w:val="bottom"/>
            <w:hideMark/>
          </w:tcPr>
          <w:p w:rsidR="001856B5" w:rsidRPr="00431D28" w:rsidRDefault="008035AB" w:rsidP="009A0B7E">
            <w:pPr>
              <w:jc w:val="right"/>
              <w:rPr>
                <w:rFonts w:cs="Arial"/>
                <w:b/>
                <w:bCs/>
                <w:lang w:val="fr-FR"/>
              </w:rPr>
            </w:pPr>
            <w:r w:rsidRPr="00431D28">
              <w:rPr>
                <w:rFonts w:cs="Arial"/>
                <w:b/>
                <w:bCs/>
                <w:lang w:val="fr-FR"/>
              </w:rPr>
              <w:t>-0,</w:t>
            </w:r>
            <w:r w:rsidR="001856B5" w:rsidRPr="00431D28">
              <w:rPr>
                <w:rFonts w:cs="Arial"/>
                <w:b/>
                <w:bCs/>
                <w:lang w:val="fr-FR"/>
              </w:rPr>
              <w:t>1%</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rsidR="001856B5" w:rsidRPr="00431D28" w:rsidRDefault="00802344" w:rsidP="009A0B7E">
            <w:pPr>
              <w:jc w:val="right"/>
              <w:rPr>
                <w:rFonts w:cs="Arial"/>
                <w:b/>
                <w:bCs/>
                <w:color w:val="000000"/>
                <w:lang w:val="fr-FR"/>
              </w:rPr>
            </w:pPr>
            <w:r>
              <w:rPr>
                <w:rFonts w:cs="Arial"/>
                <w:b/>
                <w:bCs/>
                <w:color w:val="000000"/>
                <w:lang w:val="fr-FR"/>
              </w:rPr>
              <w:t>6</w:t>
            </w:r>
            <w:r w:rsidR="003F2179">
              <w:rPr>
                <w:rFonts w:cs="Arial"/>
                <w:b/>
                <w:bCs/>
                <w:color w:val="000000"/>
                <w:lang w:val="fr-FR"/>
              </w:rPr>
              <w:t> </w:t>
            </w:r>
            <w:r w:rsidR="001856B5" w:rsidRPr="00431D28">
              <w:rPr>
                <w:rFonts w:cs="Arial"/>
                <w:b/>
                <w:bCs/>
                <w:color w:val="000000"/>
                <w:lang w:val="fr-FR"/>
              </w:rPr>
              <w:t>794</w:t>
            </w:r>
          </w:p>
        </w:tc>
      </w:tr>
    </w:tbl>
    <w:p w:rsidR="005A7F6B" w:rsidRPr="00431D28" w:rsidRDefault="005A7F6B" w:rsidP="001856B5">
      <w:pPr>
        <w:rPr>
          <w:spacing w:val="-2"/>
          <w:szCs w:val="24"/>
          <w:lang w:val="fr-FR"/>
        </w:rPr>
      </w:pPr>
    </w:p>
    <w:p w:rsidR="005A7F6B" w:rsidRPr="00431D28" w:rsidRDefault="005A7F6B" w:rsidP="001856B5">
      <w:pPr>
        <w:rPr>
          <w:spacing w:val="-2"/>
          <w:szCs w:val="24"/>
          <w:lang w:val="fr-FR"/>
        </w:rPr>
      </w:pPr>
    </w:p>
    <w:p w:rsidR="005A7F6B" w:rsidRPr="00431D28" w:rsidRDefault="001A1520" w:rsidP="001A1520">
      <w:pPr>
        <w:tabs>
          <w:tab w:val="left" w:pos="567"/>
        </w:tabs>
        <w:rPr>
          <w:lang w:val="fr-FR"/>
        </w:rPr>
      </w:pPr>
      <w:r w:rsidRPr="00431D28">
        <w:rPr>
          <w:lang w:val="fr-FR"/>
        </w:rPr>
        <w:t>3.5</w:t>
      </w:r>
      <w:r w:rsidRPr="00431D28">
        <w:rPr>
          <w:lang w:val="fr-FR"/>
        </w:rPr>
        <w:tab/>
        <w:t>Le</w:t>
      </w:r>
      <w:r w:rsidRPr="00431D28">
        <w:rPr>
          <w:b/>
          <w:lang w:val="fr-FR"/>
        </w:rPr>
        <w:t xml:space="preserve"> tableau 3</w:t>
      </w:r>
      <w:r w:rsidRPr="00431D28">
        <w:rPr>
          <w:lang w:val="fr-FR"/>
        </w:rPr>
        <w:t xml:space="preserve"> contient un plan des ressources pour les exercices biennaux 2012</w:t>
      </w:r>
      <w:r w:rsidR="00802344" w:rsidRPr="003E4E3B">
        <w:rPr>
          <w:rFonts w:cs="Arial"/>
          <w:snapToGrid w:val="0"/>
          <w:lang w:val="fr-FR"/>
        </w:rPr>
        <w:noBreakHyphen/>
      </w:r>
      <w:r w:rsidRPr="00431D28">
        <w:rPr>
          <w:lang w:val="fr-FR"/>
        </w:rPr>
        <w:t>2013 et 2014</w:t>
      </w:r>
      <w:r w:rsidR="00802344" w:rsidRPr="003E4E3B">
        <w:rPr>
          <w:rFonts w:cs="Arial"/>
          <w:snapToGrid w:val="0"/>
          <w:lang w:val="fr-FR"/>
        </w:rPr>
        <w:noBreakHyphen/>
      </w:r>
      <w:r w:rsidRPr="00431D28">
        <w:rPr>
          <w:lang w:val="fr-FR"/>
        </w:rPr>
        <w:t>2015.</w:t>
      </w:r>
      <w:r w:rsidR="00421639" w:rsidRPr="00431D28">
        <w:rPr>
          <w:lang w:val="fr-FR"/>
        </w:rPr>
        <w:t xml:space="preserve">  </w:t>
      </w:r>
      <w:r w:rsidRPr="00431D28">
        <w:rPr>
          <w:lang w:val="fr-FR"/>
        </w:rPr>
        <w:t xml:space="preserve">Le budget correspondant à l’ensemble du programme des activités à mener par l’UPOV au cours </w:t>
      </w:r>
      <w:r w:rsidR="00FE3084">
        <w:rPr>
          <w:lang w:val="fr-FR"/>
        </w:rPr>
        <w:br/>
      </w:r>
      <w:r w:rsidRPr="00431D28">
        <w:rPr>
          <w:lang w:val="fr-FR"/>
        </w:rPr>
        <w:t>de l’exercice biennal 2014</w:t>
      </w:r>
      <w:r w:rsidR="00802344" w:rsidRPr="003E4E3B">
        <w:rPr>
          <w:rFonts w:cs="Arial"/>
          <w:snapToGrid w:val="0"/>
          <w:lang w:val="fr-FR"/>
        </w:rPr>
        <w:noBreakHyphen/>
      </w:r>
      <w:r w:rsidRPr="00431D28">
        <w:rPr>
          <w:lang w:val="fr-FR"/>
        </w:rPr>
        <w:t>2015</w:t>
      </w:r>
      <w:r w:rsidR="00FE3084">
        <w:rPr>
          <w:lang w:val="fr-FR"/>
        </w:rPr>
        <w:t xml:space="preserve"> </w:t>
      </w:r>
      <w:r w:rsidRPr="00431D28">
        <w:rPr>
          <w:lang w:val="fr-FR"/>
        </w:rPr>
        <w:t>s’élève à 7 134 000 francs suisses.</w:t>
      </w:r>
      <w:r w:rsidR="00FE3084">
        <w:rPr>
          <w:lang w:val="fr-FR"/>
        </w:rPr>
        <w:t xml:space="preserve"> </w:t>
      </w:r>
      <w:r w:rsidRPr="00431D28">
        <w:rPr>
          <w:lang w:val="fr-FR"/>
        </w:rPr>
        <w:t xml:space="preserve">Ce montant comprend 6 794 000 francs suisses inscrits au budget ordinaire (voir le tableau 1) et un </w:t>
      </w:r>
      <w:r w:rsidR="0044183C">
        <w:rPr>
          <w:lang w:val="fr-FR"/>
        </w:rPr>
        <w:t>montant estimé à 340 000 francs </w:t>
      </w:r>
      <w:r w:rsidRPr="00431D28">
        <w:rPr>
          <w:lang w:val="fr-FR"/>
        </w:rPr>
        <w:t>suisses au titre des fonds fiduciaires.</w:t>
      </w:r>
      <w:r w:rsidR="00421639" w:rsidRPr="00431D28">
        <w:rPr>
          <w:lang w:val="fr-FR"/>
        </w:rPr>
        <w:t xml:space="preserve">  </w:t>
      </w:r>
    </w:p>
    <w:p w:rsidR="005A7F6B" w:rsidRPr="00431D28" w:rsidRDefault="005A7F6B" w:rsidP="00421639">
      <w:pPr>
        <w:tabs>
          <w:tab w:val="left" w:pos="567"/>
        </w:tabs>
        <w:rPr>
          <w:lang w:val="fr-FR"/>
        </w:rPr>
      </w:pPr>
    </w:p>
    <w:p w:rsidR="005A7F6B" w:rsidRPr="00431D28" w:rsidRDefault="001A1520" w:rsidP="001A1520">
      <w:pPr>
        <w:tabs>
          <w:tab w:val="left" w:pos="567"/>
        </w:tabs>
        <w:rPr>
          <w:lang w:val="fr-FR"/>
        </w:rPr>
      </w:pPr>
      <w:r w:rsidRPr="00431D28">
        <w:rPr>
          <w:lang w:val="fr-FR"/>
        </w:rPr>
        <w:t>3.6</w:t>
      </w:r>
      <w:r w:rsidRPr="00431D28">
        <w:rPr>
          <w:lang w:val="fr-FR"/>
        </w:rPr>
        <w:tab/>
        <w:t>Pour l’exercice biennal 2014</w:t>
      </w:r>
      <w:r w:rsidR="0044183C" w:rsidRPr="003E4E3B">
        <w:rPr>
          <w:rFonts w:cs="Arial"/>
          <w:snapToGrid w:val="0"/>
          <w:lang w:val="fr-FR"/>
        </w:rPr>
        <w:noBreakHyphen/>
      </w:r>
      <w:r w:rsidRPr="00431D28">
        <w:rPr>
          <w:lang w:val="fr-FR"/>
        </w:rPr>
        <w:t>2015, les montants des recettes et des dépenses devraient s’équilibrer.</w:t>
      </w:r>
    </w:p>
    <w:p w:rsidR="005A7F6B" w:rsidRPr="00431D28" w:rsidRDefault="005A7F6B" w:rsidP="00421639">
      <w:pPr>
        <w:tabs>
          <w:tab w:val="left" w:pos="567"/>
        </w:tabs>
        <w:rPr>
          <w:lang w:val="fr-FR"/>
        </w:rPr>
      </w:pPr>
    </w:p>
    <w:p w:rsidR="005A7F6B" w:rsidRPr="00431D28" w:rsidRDefault="001A1520" w:rsidP="001A1520">
      <w:pPr>
        <w:tabs>
          <w:tab w:val="left" w:pos="567"/>
        </w:tabs>
        <w:rPr>
          <w:spacing w:val="-2"/>
          <w:szCs w:val="24"/>
          <w:lang w:val="fr-FR"/>
        </w:rPr>
      </w:pPr>
      <w:r w:rsidRPr="00431D28">
        <w:rPr>
          <w:lang w:val="fr-FR"/>
        </w:rPr>
        <w:t>3.7</w:t>
      </w:r>
      <w:r w:rsidRPr="00431D28">
        <w:rPr>
          <w:lang w:val="fr-FR"/>
        </w:rPr>
        <w:tab/>
        <w:t>Les fonds fiduciaires sont des contributions financières volontaires versées à l’UPOV par un membre de l’Union, généralement pour financer un programme d’activités précis faisant l’objet d’un accord entre le Bureau de l’Union et le pays donateur.</w:t>
      </w:r>
      <w:r w:rsidR="00421639" w:rsidRPr="00431D28">
        <w:rPr>
          <w:lang w:val="fr-FR"/>
        </w:rPr>
        <w:t xml:space="preserve">  </w:t>
      </w:r>
      <w:r w:rsidRPr="00431D28">
        <w:rPr>
          <w:lang w:val="fr-FR"/>
        </w:rPr>
        <w:t>Sans préjuger des décisions souveraines des pays donateurs, le montant global des fonds fiduciaires pour l’exercice biennal 2014</w:t>
      </w:r>
      <w:r w:rsidR="0044183C" w:rsidRPr="003E4E3B">
        <w:rPr>
          <w:rFonts w:cs="Arial"/>
          <w:snapToGrid w:val="0"/>
          <w:lang w:val="fr-FR"/>
        </w:rPr>
        <w:noBreakHyphen/>
      </w:r>
      <w:r w:rsidRPr="00431D28">
        <w:rPr>
          <w:lang w:val="fr-FR"/>
        </w:rPr>
        <w:t>2015 devrait s’établir à 340 000 francs suisses.</w:t>
      </w:r>
      <w:r w:rsidR="00421639" w:rsidRPr="00431D28">
        <w:rPr>
          <w:spacing w:val="-2"/>
          <w:szCs w:val="24"/>
          <w:lang w:val="fr-FR"/>
        </w:rPr>
        <w:t xml:space="preserve"> </w:t>
      </w:r>
      <w:r w:rsidR="00421639" w:rsidRPr="00431D28">
        <w:rPr>
          <w:lang w:val="fr-FR"/>
        </w:rPr>
        <w:t xml:space="preserve"> </w:t>
      </w:r>
      <w:r w:rsidRPr="00431D28">
        <w:rPr>
          <w:lang w:val="fr-FR"/>
        </w:rPr>
        <w:t>Il convient de noter que les contributions non financières (aide en nature), en particulier dans le domaine de l’assistance technique et des activités de formation, des membres de l’Union ne sont pas inscrites au budget de l’UPOV.</w:t>
      </w:r>
    </w:p>
    <w:p w:rsidR="005A7F6B" w:rsidRPr="00431D28" w:rsidRDefault="005A7F6B" w:rsidP="00421639">
      <w:pPr>
        <w:rPr>
          <w:lang w:val="fr-FR"/>
        </w:rPr>
      </w:pPr>
    </w:p>
    <w:p w:rsidR="005A7F6B" w:rsidRPr="00431D28" w:rsidRDefault="001A1520" w:rsidP="001A1520">
      <w:pPr>
        <w:jc w:val="center"/>
        <w:rPr>
          <w:b/>
          <w:lang w:val="fr-FR"/>
        </w:rPr>
      </w:pPr>
      <w:r w:rsidRPr="00431D28">
        <w:rPr>
          <w:b/>
          <w:lang w:val="fr-FR"/>
        </w:rPr>
        <w:t>Tableau 3 : Plan des ressources pour 2012-2013 et 2014-2015</w:t>
      </w:r>
    </w:p>
    <w:p w:rsidR="005A7F6B" w:rsidRPr="00431D28" w:rsidRDefault="001A1520" w:rsidP="001A1520">
      <w:pPr>
        <w:jc w:val="center"/>
        <w:rPr>
          <w:lang w:val="fr-FR"/>
        </w:rPr>
      </w:pPr>
      <w:r w:rsidRPr="00431D28">
        <w:rPr>
          <w:lang w:val="fr-FR"/>
        </w:rPr>
        <w:t>(en milliers de francs suisses)</w:t>
      </w:r>
    </w:p>
    <w:p w:rsidR="00421639" w:rsidRPr="00431D28" w:rsidRDefault="00421639" w:rsidP="00421639">
      <w:pPr>
        <w:jc w:val="center"/>
        <w:rPr>
          <w:lang w:val="fr-FR"/>
        </w:rPr>
      </w:pPr>
    </w:p>
    <w:tbl>
      <w:tblPr>
        <w:tblW w:w="7541" w:type="dxa"/>
        <w:tblInd w:w="1384" w:type="dxa"/>
        <w:tblLook w:val="04A0" w:firstRow="1" w:lastRow="0" w:firstColumn="1" w:lastColumn="0" w:noHBand="0" w:noVBand="1"/>
      </w:tblPr>
      <w:tblGrid>
        <w:gridCol w:w="359"/>
        <w:gridCol w:w="3327"/>
        <w:gridCol w:w="1134"/>
        <w:gridCol w:w="1217"/>
        <w:gridCol w:w="1504"/>
      </w:tblGrid>
      <w:tr w:rsidR="00D26E03" w:rsidRPr="00431D28" w:rsidTr="009C6144">
        <w:trPr>
          <w:trHeight w:val="750"/>
        </w:trPr>
        <w:tc>
          <w:tcPr>
            <w:tcW w:w="3686" w:type="dxa"/>
            <w:gridSpan w:val="2"/>
            <w:tcBorders>
              <w:top w:val="single" w:sz="4" w:space="0" w:color="auto"/>
              <w:left w:val="single" w:sz="4" w:space="0" w:color="auto"/>
              <w:bottom w:val="nil"/>
              <w:right w:val="nil"/>
            </w:tcBorders>
            <w:shd w:val="clear" w:color="auto" w:fill="auto"/>
            <w:vAlign w:val="bottom"/>
            <w:hideMark/>
          </w:tcPr>
          <w:p w:rsidR="00D26E03" w:rsidRPr="00431D28" w:rsidRDefault="00D26E03" w:rsidP="00D26E03">
            <w:pPr>
              <w:jc w:val="left"/>
              <w:rPr>
                <w:rFonts w:cs="Arial"/>
                <w:b/>
                <w:bCs/>
                <w:color w:val="000000"/>
                <w:lang w:val="fr-FR"/>
              </w:rPr>
            </w:pPr>
            <w:r w:rsidRPr="00431D28">
              <w:rPr>
                <w:rFonts w:cs="Arial"/>
                <w:b/>
                <w:bCs/>
                <w:color w:val="000000"/>
                <w:lang w:val="fr-FR"/>
              </w:rPr>
              <w:t> </w:t>
            </w:r>
          </w:p>
        </w:tc>
        <w:tc>
          <w:tcPr>
            <w:tcW w:w="1134" w:type="dxa"/>
            <w:tcBorders>
              <w:top w:val="single" w:sz="4" w:space="0" w:color="auto"/>
              <w:left w:val="nil"/>
              <w:bottom w:val="nil"/>
              <w:right w:val="nil"/>
            </w:tcBorders>
            <w:shd w:val="clear" w:color="auto" w:fill="auto"/>
            <w:hideMark/>
          </w:tcPr>
          <w:p w:rsidR="00D26E03" w:rsidRPr="00431D28" w:rsidRDefault="001A1520" w:rsidP="00D26E03">
            <w:pPr>
              <w:jc w:val="center"/>
              <w:rPr>
                <w:rFonts w:cs="Arial"/>
                <w:b/>
                <w:bCs/>
                <w:color w:val="000000"/>
                <w:lang w:val="fr-FR"/>
              </w:rPr>
            </w:pPr>
            <w:r w:rsidRPr="00431D28">
              <w:rPr>
                <w:rFonts w:cs="Arial"/>
                <w:b/>
                <w:bCs/>
                <w:color w:val="000000"/>
                <w:lang w:val="fr-FR"/>
              </w:rPr>
              <w:t>Budget ordinaire</w:t>
            </w:r>
          </w:p>
        </w:tc>
        <w:tc>
          <w:tcPr>
            <w:tcW w:w="1217" w:type="dxa"/>
            <w:tcBorders>
              <w:top w:val="single" w:sz="4" w:space="0" w:color="auto"/>
              <w:left w:val="single" w:sz="4" w:space="0" w:color="auto"/>
              <w:bottom w:val="nil"/>
              <w:right w:val="single" w:sz="4" w:space="0" w:color="auto"/>
            </w:tcBorders>
            <w:shd w:val="clear" w:color="auto" w:fill="auto"/>
            <w:hideMark/>
          </w:tcPr>
          <w:p w:rsidR="00D26E03" w:rsidRPr="00431D28" w:rsidRDefault="001A1520" w:rsidP="00D26E03">
            <w:pPr>
              <w:jc w:val="center"/>
              <w:rPr>
                <w:rFonts w:cs="Arial"/>
                <w:b/>
                <w:bCs/>
                <w:color w:val="000000"/>
                <w:lang w:val="fr-FR"/>
              </w:rPr>
            </w:pPr>
            <w:r w:rsidRPr="00431D28">
              <w:rPr>
                <w:rFonts w:cs="Arial"/>
                <w:b/>
                <w:bCs/>
                <w:color w:val="000000"/>
                <w:lang w:val="fr-FR"/>
              </w:rPr>
              <w:t>Fonds fiduciaires</w:t>
            </w:r>
          </w:p>
        </w:tc>
        <w:tc>
          <w:tcPr>
            <w:tcW w:w="1504" w:type="dxa"/>
            <w:tcBorders>
              <w:top w:val="single" w:sz="4" w:space="0" w:color="auto"/>
              <w:left w:val="nil"/>
              <w:bottom w:val="nil"/>
              <w:right w:val="single" w:sz="4" w:space="0" w:color="auto"/>
            </w:tcBorders>
            <w:shd w:val="clear" w:color="auto" w:fill="auto"/>
            <w:hideMark/>
          </w:tcPr>
          <w:p w:rsidR="00D26E03" w:rsidRPr="00431D28" w:rsidRDefault="001A1520" w:rsidP="00D26E03">
            <w:pPr>
              <w:jc w:val="center"/>
              <w:rPr>
                <w:rFonts w:cs="Arial"/>
                <w:b/>
                <w:bCs/>
                <w:color w:val="000000"/>
                <w:lang w:val="fr-FR"/>
              </w:rPr>
            </w:pPr>
            <w:r w:rsidRPr="00431D28">
              <w:rPr>
                <w:rFonts w:cs="Arial"/>
                <w:b/>
                <w:bCs/>
                <w:color w:val="000000"/>
                <w:lang w:val="fr-FR"/>
              </w:rPr>
              <w:t>Total des ressources</w:t>
            </w:r>
          </w:p>
        </w:tc>
      </w:tr>
      <w:tr w:rsidR="00D26E03" w:rsidRPr="00431D28" w:rsidTr="009C6144">
        <w:trPr>
          <w:trHeight w:val="300"/>
        </w:trPr>
        <w:tc>
          <w:tcPr>
            <w:tcW w:w="3686" w:type="dxa"/>
            <w:gridSpan w:val="2"/>
            <w:tcBorders>
              <w:top w:val="nil"/>
              <w:left w:val="single" w:sz="4" w:space="0" w:color="auto"/>
              <w:bottom w:val="nil"/>
              <w:right w:val="nil"/>
            </w:tcBorders>
            <w:shd w:val="clear" w:color="auto" w:fill="auto"/>
            <w:vAlign w:val="bottom"/>
            <w:hideMark/>
          </w:tcPr>
          <w:p w:rsidR="00D26E03" w:rsidRPr="00431D28" w:rsidRDefault="001A1520" w:rsidP="00D26E03">
            <w:pPr>
              <w:jc w:val="left"/>
              <w:rPr>
                <w:rFonts w:cs="Arial"/>
                <w:b/>
                <w:bCs/>
                <w:color w:val="000000"/>
                <w:lang w:val="fr-FR"/>
              </w:rPr>
            </w:pPr>
            <w:r w:rsidRPr="00431D28">
              <w:rPr>
                <w:rFonts w:cs="Arial"/>
                <w:b/>
                <w:bCs/>
                <w:color w:val="000000"/>
                <w:lang w:val="fr-FR"/>
              </w:rPr>
              <w:t>Budget et ressources disponibles</w:t>
            </w:r>
          </w:p>
        </w:tc>
        <w:tc>
          <w:tcPr>
            <w:tcW w:w="1134" w:type="dxa"/>
            <w:tcBorders>
              <w:top w:val="nil"/>
              <w:left w:val="nil"/>
              <w:bottom w:val="nil"/>
              <w:right w:val="nil"/>
            </w:tcBorders>
            <w:shd w:val="clear" w:color="auto" w:fill="auto"/>
            <w:hideMark/>
          </w:tcPr>
          <w:p w:rsidR="00D26E03" w:rsidRPr="00431D28" w:rsidRDefault="00D26E03" w:rsidP="00D26E03">
            <w:pPr>
              <w:jc w:val="left"/>
              <w:rPr>
                <w:rFonts w:cs="Arial"/>
                <w:b/>
                <w:bCs/>
                <w:color w:val="000000"/>
                <w:lang w:val="fr-FR"/>
              </w:rPr>
            </w:pPr>
          </w:p>
        </w:tc>
        <w:tc>
          <w:tcPr>
            <w:tcW w:w="1217" w:type="dxa"/>
            <w:tcBorders>
              <w:top w:val="nil"/>
              <w:left w:val="single" w:sz="4" w:space="0" w:color="auto"/>
              <w:bottom w:val="nil"/>
              <w:right w:val="single" w:sz="4" w:space="0" w:color="auto"/>
            </w:tcBorders>
            <w:shd w:val="clear" w:color="auto" w:fill="auto"/>
            <w:noWrap/>
            <w:vAlign w:val="bottom"/>
            <w:hideMark/>
          </w:tcPr>
          <w:p w:rsidR="00D26E03" w:rsidRPr="00431D28" w:rsidRDefault="00D26E03" w:rsidP="00D26E03">
            <w:pPr>
              <w:jc w:val="left"/>
              <w:rPr>
                <w:rFonts w:cs="Arial"/>
                <w:b/>
                <w:bCs/>
                <w:lang w:val="fr-FR"/>
              </w:rPr>
            </w:pPr>
            <w:r w:rsidRPr="00431D28">
              <w:rPr>
                <w:rFonts w:cs="Arial"/>
                <w:b/>
                <w:bCs/>
                <w:lang w:val="fr-FR"/>
              </w:rPr>
              <w:t> </w:t>
            </w:r>
          </w:p>
        </w:tc>
        <w:tc>
          <w:tcPr>
            <w:tcW w:w="1504" w:type="dxa"/>
            <w:tcBorders>
              <w:top w:val="nil"/>
              <w:left w:val="nil"/>
              <w:bottom w:val="single" w:sz="4" w:space="0" w:color="auto"/>
              <w:right w:val="single" w:sz="4" w:space="0" w:color="auto"/>
            </w:tcBorders>
            <w:shd w:val="clear" w:color="auto" w:fill="auto"/>
            <w:hideMark/>
          </w:tcPr>
          <w:p w:rsidR="00D26E03" w:rsidRPr="00431D28" w:rsidRDefault="00D26E03" w:rsidP="00D26E03">
            <w:pPr>
              <w:jc w:val="left"/>
              <w:rPr>
                <w:rFonts w:cs="Arial"/>
                <w:b/>
                <w:bCs/>
                <w:color w:val="000000"/>
                <w:lang w:val="fr-FR"/>
              </w:rPr>
            </w:pPr>
            <w:r w:rsidRPr="00431D28">
              <w:rPr>
                <w:rFonts w:cs="Arial"/>
                <w:b/>
                <w:bCs/>
                <w:color w:val="000000"/>
                <w:lang w:val="fr-FR"/>
              </w:rPr>
              <w:t> </w:t>
            </w:r>
          </w:p>
        </w:tc>
      </w:tr>
      <w:tr w:rsidR="00D26E03" w:rsidRPr="00431D28" w:rsidTr="009C6144">
        <w:trPr>
          <w:trHeight w:val="255"/>
        </w:trPr>
        <w:tc>
          <w:tcPr>
            <w:tcW w:w="3686" w:type="dxa"/>
            <w:gridSpan w:val="2"/>
            <w:tcBorders>
              <w:top w:val="single" w:sz="4" w:space="0" w:color="auto"/>
              <w:left w:val="single" w:sz="4" w:space="0" w:color="auto"/>
              <w:bottom w:val="single" w:sz="4" w:space="0" w:color="auto"/>
              <w:right w:val="nil"/>
            </w:tcBorders>
            <w:shd w:val="clear" w:color="auto" w:fill="auto"/>
            <w:vAlign w:val="bottom"/>
            <w:hideMark/>
          </w:tcPr>
          <w:p w:rsidR="00D26E03" w:rsidRPr="00431D28" w:rsidRDefault="00D26E03" w:rsidP="00D26E03">
            <w:pPr>
              <w:jc w:val="left"/>
              <w:rPr>
                <w:rFonts w:cs="Arial"/>
                <w:lang w:val="fr-FR"/>
              </w:rPr>
            </w:pPr>
            <w:r w:rsidRPr="00431D28">
              <w:rPr>
                <w:rFonts w:cs="Arial"/>
                <w:lang w:val="fr-FR"/>
              </w:rPr>
              <w:t> </w:t>
            </w:r>
          </w:p>
        </w:tc>
        <w:tc>
          <w:tcPr>
            <w:tcW w:w="1134" w:type="dxa"/>
            <w:tcBorders>
              <w:top w:val="single" w:sz="4" w:space="0" w:color="auto"/>
              <w:left w:val="nil"/>
              <w:bottom w:val="single" w:sz="4" w:space="0" w:color="auto"/>
              <w:right w:val="nil"/>
            </w:tcBorders>
            <w:shd w:val="clear" w:color="auto" w:fill="auto"/>
            <w:hideMark/>
          </w:tcPr>
          <w:p w:rsidR="00D26E03" w:rsidRPr="00431D28" w:rsidRDefault="00D26E03" w:rsidP="00D26E03">
            <w:pPr>
              <w:jc w:val="center"/>
              <w:rPr>
                <w:rFonts w:cs="Arial"/>
                <w:b/>
                <w:bCs/>
                <w:i/>
                <w:lang w:val="fr-FR"/>
              </w:rPr>
            </w:pPr>
            <w:r w:rsidRPr="00431D28">
              <w:rPr>
                <w:rFonts w:cs="Arial"/>
                <w:b/>
                <w:bCs/>
                <w:i/>
                <w:lang w:val="fr-FR"/>
              </w:rPr>
              <w:t>A</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D26E03" w:rsidRPr="00431D28" w:rsidRDefault="00D26E03" w:rsidP="00D26E03">
            <w:pPr>
              <w:jc w:val="center"/>
              <w:rPr>
                <w:rFonts w:cs="Arial"/>
                <w:b/>
                <w:bCs/>
                <w:i/>
                <w:iCs/>
                <w:color w:val="000000"/>
                <w:lang w:val="fr-FR"/>
              </w:rPr>
            </w:pPr>
            <w:r w:rsidRPr="00431D28">
              <w:rPr>
                <w:rFonts w:cs="Arial"/>
                <w:b/>
                <w:bCs/>
                <w:i/>
                <w:iCs/>
                <w:color w:val="000000"/>
                <w:lang w:val="fr-FR"/>
              </w:rPr>
              <w:t>B</w:t>
            </w:r>
          </w:p>
        </w:tc>
        <w:tc>
          <w:tcPr>
            <w:tcW w:w="1504" w:type="dxa"/>
            <w:tcBorders>
              <w:top w:val="nil"/>
              <w:left w:val="nil"/>
              <w:bottom w:val="single" w:sz="4" w:space="0" w:color="auto"/>
              <w:right w:val="single" w:sz="4" w:space="0" w:color="auto"/>
            </w:tcBorders>
            <w:shd w:val="clear" w:color="auto" w:fill="auto"/>
            <w:hideMark/>
          </w:tcPr>
          <w:p w:rsidR="00D26E03" w:rsidRPr="00431D28" w:rsidRDefault="00D26E03" w:rsidP="00D26E03">
            <w:pPr>
              <w:jc w:val="center"/>
              <w:rPr>
                <w:rFonts w:cs="Arial"/>
                <w:b/>
                <w:bCs/>
                <w:i/>
                <w:iCs/>
                <w:color w:val="000000"/>
                <w:lang w:val="fr-FR"/>
              </w:rPr>
            </w:pPr>
            <w:r w:rsidRPr="00431D28">
              <w:rPr>
                <w:rFonts w:cs="Arial"/>
                <w:b/>
                <w:bCs/>
                <w:i/>
                <w:iCs/>
                <w:color w:val="000000"/>
                <w:lang w:val="fr-FR"/>
              </w:rPr>
              <w:t>C = A+B</w:t>
            </w:r>
          </w:p>
        </w:tc>
      </w:tr>
      <w:tr w:rsidR="00D26E03" w:rsidRPr="00431D28" w:rsidTr="009C6144">
        <w:trPr>
          <w:trHeight w:val="255"/>
        </w:trPr>
        <w:tc>
          <w:tcPr>
            <w:tcW w:w="3686" w:type="dxa"/>
            <w:gridSpan w:val="2"/>
            <w:tcBorders>
              <w:top w:val="nil"/>
              <w:left w:val="single" w:sz="4" w:space="0" w:color="auto"/>
              <w:bottom w:val="nil"/>
              <w:right w:val="nil"/>
            </w:tcBorders>
            <w:shd w:val="clear" w:color="auto" w:fill="auto"/>
            <w:vAlign w:val="bottom"/>
            <w:hideMark/>
          </w:tcPr>
          <w:p w:rsidR="00D26E03" w:rsidRPr="00431D28" w:rsidRDefault="00D26E03" w:rsidP="00D26E03">
            <w:pPr>
              <w:jc w:val="left"/>
              <w:rPr>
                <w:rFonts w:cs="Arial"/>
                <w:b/>
                <w:bCs/>
                <w:color w:val="000000"/>
                <w:lang w:val="fr-FR"/>
              </w:rPr>
            </w:pPr>
            <w:r w:rsidRPr="00431D28">
              <w:rPr>
                <w:rFonts w:cs="Arial"/>
                <w:b/>
                <w:bCs/>
                <w:color w:val="000000"/>
                <w:lang w:val="fr-FR"/>
              </w:rPr>
              <w:t> </w:t>
            </w:r>
          </w:p>
        </w:tc>
        <w:tc>
          <w:tcPr>
            <w:tcW w:w="1134" w:type="dxa"/>
            <w:tcBorders>
              <w:top w:val="nil"/>
              <w:left w:val="nil"/>
              <w:bottom w:val="nil"/>
              <w:right w:val="nil"/>
            </w:tcBorders>
            <w:shd w:val="clear" w:color="auto" w:fill="auto"/>
            <w:vAlign w:val="bottom"/>
            <w:hideMark/>
          </w:tcPr>
          <w:p w:rsidR="00D26E03" w:rsidRPr="00431D28" w:rsidRDefault="00D26E03" w:rsidP="00D26E03">
            <w:pPr>
              <w:jc w:val="right"/>
              <w:rPr>
                <w:rFonts w:cs="Arial"/>
                <w:b/>
                <w:bCs/>
                <w:color w:val="000000"/>
                <w:lang w:val="fr-FR"/>
              </w:rPr>
            </w:pPr>
          </w:p>
        </w:tc>
        <w:tc>
          <w:tcPr>
            <w:tcW w:w="1217" w:type="dxa"/>
            <w:tcBorders>
              <w:top w:val="nil"/>
              <w:left w:val="single" w:sz="4" w:space="0" w:color="auto"/>
              <w:bottom w:val="nil"/>
              <w:right w:val="nil"/>
            </w:tcBorders>
            <w:shd w:val="clear" w:color="auto" w:fill="auto"/>
            <w:vAlign w:val="bottom"/>
            <w:hideMark/>
          </w:tcPr>
          <w:p w:rsidR="00D26E03" w:rsidRPr="00431D28" w:rsidRDefault="00D26E03" w:rsidP="00D26E03">
            <w:pPr>
              <w:jc w:val="right"/>
              <w:rPr>
                <w:rFonts w:cs="Arial"/>
                <w:color w:val="000000"/>
                <w:lang w:val="fr-FR"/>
              </w:rPr>
            </w:pPr>
            <w:r w:rsidRPr="00431D28">
              <w:rPr>
                <w:rFonts w:cs="Arial"/>
                <w:color w:val="000000"/>
                <w:lang w:val="fr-FR"/>
              </w:rPr>
              <w:t> </w:t>
            </w:r>
          </w:p>
        </w:tc>
        <w:tc>
          <w:tcPr>
            <w:tcW w:w="1504" w:type="dxa"/>
            <w:tcBorders>
              <w:top w:val="nil"/>
              <w:left w:val="single" w:sz="4" w:space="0" w:color="auto"/>
              <w:bottom w:val="nil"/>
              <w:right w:val="single" w:sz="4" w:space="0" w:color="auto"/>
            </w:tcBorders>
            <w:shd w:val="clear" w:color="auto" w:fill="auto"/>
            <w:vAlign w:val="bottom"/>
            <w:hideMark/>
          </w:tcPr>
          <w:p w:rsidR="00D26E03" w:rsidRPr="00431D28" w:rsidRDefault="00D26E03" w:rsidP="00D26E03">
            <w:pPr>
              <w:jc w:val="right"/>
              <w:rPr>
                <w:rFonts w:cs="Arial"/>
                <w:color w:val="000000"/>
                <w:lang w:val="fr-FR"/>
              </w:rPr>
            </w:pPr>
            <w:r w:rsidRPr="00431D28">
              <w:rPr>
                <w:rFonts w:cs="Arial"/>
                <w:color w:val="000000"/>
                <w:lang w:val="fr-FR"/>
              </w:rPr>
              <w:t> </w:t>
            </w:r>
          </w:p>
        </w:tc>
      </w:tr>
      <w:tr w:rsidR="00D26E03" w:rsidRPr="00431D28" w:rsidTr="009C6144">
        <w:trPr>
          <w:trHeight w:val="315"/>
        </w:trPr>
        <w:tc>
          <w:tcPr>
            <w:tcW w:w="3686" w:type="dxa"/>
            <w:gridSpan w:val="2"/>
            <w:tcBorders>
              <w:top w:val="nil"/>
              <w:left w:val="single" w:sz="4" w:space="0" w:color="auto"/>
              <w:bottom w:val="nil"/>
              <w:right w:val="nil"/>
            </w:tcBorders>
            <w:shd w:val="clear" w:color="auto" w:fill="auto"/>
            <w:vAlign w:val="bottom"/>
            <w:hideMark/>
          </w:tcPr>
          <w:p w:rsidR="00D26E03" w:rsidRPr="00431D28" w:rsidRDefault="001A1520" w:rsidP="00D26E03">
            <w:pPr>
              <w:jc w:val="left"/>
              <w:rPr>
                <w:rFonts w:cs="Arial"/>
                <w:b/>
                <w:bCs/>
                <w:color w:val="000000"/>
                <w:lang w:val="fr-FR"/>
              </w:rPr>
            </w:pPr>
            <w:r w:rsidRPr="00431D28">
              <w:rPr>
                <w:rFonts w:cs="Arial"/>
                <w:b/>
                <w:bCs/>
                <w:color w:val="000000"/>
                <w:lang w:val="fr-FR"/>
              </w:rPr>
              <w:t>Ressources disponibles</w:t>
            </w:r>
            <w:r w:rsidR="00D26E03" w:rsidRPr="00431D28">
              <w:rPr>
                <w:rFonts w:cs="Arial"/>
                <w:b/>
                <w:bCs/>
                <w:color w:val="000000"/>
                <w:lang w:val="fr-FR"/>
              </w:rPr>
              <w:t xml:space="preserve"> 2012-2013</w:t>
            </w:r>
          </w:p>
        </w:tc>
        <w:tc>
          <w:tcPr>
            <w:tcW w:w="1134" w:type="dxa"/>
            <w:tcBorders>
              <w:top w:val="nil"/>
              <w:left w:val="nil"/>
              <w:bottom w:val="nil"/>
              <w:right w:val="nil"/>
            </w:tcBorders>
            <w:shd w:val="clear" w:color="auto" w:fill="auto"/>
            <w:noWrap/>
            <w:vAlign w:val="bottom"/>
            <w:hideMark/>
          </w:tcPr>
          <w:p w:rsidR="00D26E03" w:rsidRPr="00431D28" w:rsidRDefault="00D26E03" w:rsidP="00D26E03">
            <w:pPr>
              <w:jc w:val="right"/>
              <w:rPr>
                <w:rFonts w:cs="Arial"/>
                <w:lang w:val="fr-FR"/>
              </w:rPr>
            </w:pPr>
          </w:p>
        </w:tc>
        <w:tc>
          <w:tcPr>
            <w:tcW w:w="1217" w:type="dxa"/>
            <w:tcBorders>
              <w:top w:val="nil"/>
              <w:left w:val="single" w:sz="4" w:space="0" w:color="auto"/>
              <w:bottom w:val="nil"/>
              <w:right w:val="nil"/>
            </w:tcBorders>
            <w:shd w:val="clear" w:color="auto" w:fill="auto"/>
            <w:vAlign w:val="bottom"/>
            <w:hideMark/>
          </w:tcPr>
          <w:p w:rsidR="00D26E03" w:rsidRPr="00431D28" w:rsidRDefault="00D26E03" w:rsidP="00D26E03">
            <w:pPr>
              <w:jc w:val="right"/>
              <w:rPr>
                <w:rFonts w:cs="Arial"/>
                <w:color w:val="000000"/>
                <w:lang w:val="fr-FR"/>
              </w:rPr>
            </w:pPr>
            <w:r w:rsidRPr="00431D28">
              <w:rPr>
                <w:rFonts w:cs="Arial"/>
                <w:color w:val="000000"/>
                <w:lang w:val="fr-FR"/>
              </w:rPr>
              <w:t> </w:t>
            </w:r>
          </w:p>
        </w:tc>
        <w:tc>
          <w:tcPr>
            <w:tcW w:w="1504" w:type="dxa"/>
            <w:tcBorders>
              <w:top w:val="nil"/>
              <w:left w:val="single" w:sz="4" w:space="0" w:color="auto"/>
              <w:bottom w:val="nil"/>
              <w:right w:val="single" w:sz="4" w:space="0" w:color="auto"/>
            </w:tcBorders>
            <w:shd w:val="clear" w:color="auto" w:fill="auto"/>
            <w:vAlign w:val="bottom"/>
            <w:hideMark/>
          </w:tcPr>
          <w:p w:rsidR="00D26E03" w:rsidRPr="00431D28" w:rsidRDefault="00D26E03" w:rsidP="00D26E03">
            <w:pPr>
              <w:jc w:val="right"/>
              <w:rPr>
                <w:rFonts w:cs="Arial"/>
                <w:color w:val="000000"/>
                <w:lang w:val="fr-FR"/>
              </w:rPr>
            </w:pPr>
            <w:r w:rsidRPr="00431D28">
              <w:rPr>
                <w:rFonts w:cs="Arial"/>
                <w:color w:val="000000"/>
                <w:lang w:val="fr-FR"/>
              </w:rPr>
              <w:t> </w:t>
            </w:r>
          </w:p>
        </w:tc>
      </w:tr>
      <w:tr w:rsidR="00D26E03" w:rsidRPr="00431D28" w:rsidTr="009C6144">
        <w:trPr>
          <w:trHeight w:val="300"/>
        </w:trPr>
        <w:tc>
          <w:tcPr>
            <w:tcW w:w="359" w:type="dxa"/>
            <w:tcBorders>
              <w:top w:val="nil"/>
              <w:left w:val="single" w:sz="4" w:space="0" w:color="auto"/>
              <w:bottom w:val="nil"/>
              <w:right w:val="nil"/>
            </w:tcBorders>
            <w:shd w:val="clear" w:color="auto" w:fill="auto"/>
            <w:vAlign w:val="bottom"/>
            <w:hideMark/>
          </w:tcPr>
          <w:p w:rsidR="00D26E03" w:rsidRPr="00431D28" w:rsidRDefault="00D26E03" w:rsidP="00D26E03">
            <w:pPr>
              <w:jc w:val="left"/>
              <w:rPr>
                <w:rFonts w:cs="Arial"/>
                <w:color w:val="000000"/>
                <w:lang w:val="fr-FR"/>
              </w:rPr>
            </w:pPr>
            <w:r w:rsidRPr="00431D28">
              <w:rPr>
                <w:rFonts w:cs="Arial"/>
                <w:color w:val="000000"/>
                <w:lang w:val="fr-FR"/>
              </w:rPr>
              <w:t>1</w:t>
            </w:r>
          </w:p>
        </w:tc>
        <w:tc>
          <w:tcPr>
            <w:tcW w:w="3327" w:type="dxa"/>
            <w:tcBorders>
              <w:top w:val="nil"/>
              <w:left w:val="nil"/>
              <w:bottom w:val="nil"/>
              <w:right w:val="nil"/>
            </w:tcBorders>
            <w:shd w:val="clear" w:color="auto" w:fill="auto"/>
            <w:vAlign w:val="bottom"/>
            <w:hideMark/>
          </w:tcPr>
          <w:p w:rsidR="00D26E03" w:rsidRPr="00431D28" w:rsidRDefault="001A1520" w:rsidP="00D26E03">
            <w:pPr>
              <w:jc w:val="left"/>
              <w:rPr>
                <w:rFonts w:cs="Arial"/>
                <w:color w:val="000000"/>
                <w:lang w:val="fr-FR"/>
              </w:rPr>
            </w:pPr>
            <w:r w:rsidRPr="00431D28">
              <w:rPr>
                <w:rFonts w:cs="Arial"/>
                <w:color w:val="000000"/>
                <w:lang w:val="fr-FR"/>
              </w:rPr>
              <w:t>Recettes (</w:t>
            </w:r>
            <w:r w:rsidR="00D26E03" w:rsidRPr="00431D28">
              <w:rPr>
                <w:rFonts w:cs="Arial"/>
                <w:color w:val="000000"/>
                <w:lang w:val="fr-FR"/>
              </w:rPr>
              <w:t>Budget)</w:t>
            </w:r>
          </w:p>
        </w:tc>
        <w:tc>
          <w:tcPr>
            <w:tcW w:w="1134" w:type="dxa"/>
            <w:tcBorders>
              <w:top w:val="nil"/>
              <w:left w:val="nil"/>
              <w:bottom w:val="nil"/>
              <w:right w:val="nil"/>
            </w:tcBorders>
            <w:shd w:val="clear" w:color="auto" w:fill="auto"/>
            <w:vAlign w:val="bottom"/>
            <w:hideMark/>
          </w:tcPr>
          <w:p w:rsidR="00D26E03" w:rsidRPr="00431D28" w:rsidRDefault="0044183C" w:rsidP="00D26E03">
            <w:pPr>
              <w:jc w:val="right"/>
              <w:rPr>
                <w:rFonts w:cs="Arial"/>
                <w:color w:val="000000"/>
                <w:lang w:val="fr-FR"/>
              </w:rPr>
            </w:pPr>
            <w:r>
              <w:rPr>
                <w:rFonts w:cs="Arial"/>
                <w:color w:val="000000"/>
                <w:lang w:val="fr-FR"/>
              </w:rPr>
              <w:t>6</w:t>
            </w:r>
            <w:r w:rsidR="003F2179">
              <w:rPr>
                <w:rFonts w:cs="Arial"/>
                <w:color w:val="000000"/>
                <w:lang w:val="fr-FR"/>
              </w:rPr>
              <w:t> </w:t>
            </w:r>
            <w:r w:rsidR="00D26E03" w:rsidRPr="00431D28">
              <w:rPr>
                <w:rFonts w:cs="Arial"/>
                <w:color w:val="000000"/>
                <w:lang w:val="fr-FR"/>
              </w:rPr>
              <w:t>798</w:t>
            </w:r>
          </w:p>
        </w:tc>
        <w:tc>
          <w:tcPr>
            <w:tcW w:w="1217" w:type="dxa"/>
            <w:tcBorders>
              <w:top w:val="nil"/>
              <w:left w:val="single" w:sz="4" w:space="0" w:color="auto"/>
              <w:bottom w:val="nil"/>
              <w:right w:val="single" w:sz="4" w:space="0" w:color="auto"/>
            </w:tcBorders>
            <w:shd w:val="clear" w:color="auto" w:fill="auto"/>
            <w:vAlign w:val="bottom"/>
            <w:hideMark/>
          </w:tcPr>
          <w:p w:rsidR="00D26E03" w:rsidRPr="00431D28" w:rsidRDefault="009A0B7E" w:rsidP="009A0B7E">
            <w:pPr>
              <w:jc w:val="right"/>
              <w:rPr>
                <w:rFonts w:cs="Arial"/>
                <w:color w:val="000000"/>
                <w:lang w:val="fr-FR"/>
              </w:rPr>
            </w:pPr>
            <w:r w:rsidRPr="00431D28">
              <w:rPr>
                <w:rFonts w:cs="Arial"/>
                <w:color w:val="000000"/>
                <w:lang w:val="fr-FR"/>
              </w:rPr>
              <w:t>684</w:t>
            </w:r>
          </w:p>
        </w:tc>
        <w:tc>
          <w:tcPr>
            <w:tcW w:w="1504" w:type="dxa"/>
            <w:tcBorders>
              <w:top w:val="nil"/>
              <w:left w:val="nil"/>
              <w:bottom w:val="nil"/>
              <w:right w:val="single" w:sz="4" w:space="0" w:color="auto"/>
            </w:tcBorders>
            <w:shd w:val="clear" w:color="auto" w:fill="auto"/>
            <w:vAlign w:val="bottom"/>
            <w:hideMark/>
          </w:tcPr>
          <w:p w:rsidR="00D26E03" w:rsidRPr="00431D28" w:rsidRDefault="0044183C" w:rsidP="003F2179">
            <w:pPr>
              <w:jc w:val="right"/>
              <w:rPr>
                <w:rFonts w:cs="Arial"/>
                <w:color w:val="000000"/>
                <w:lang w:val="fr-FR"/>
              </w:rPr>
            </w:pPr>
            <w:r>
              <w:rPr>
                <w:rFonts w:cs="Arial"/>
                <w:color w:val="000000"/>
                <w:lang w:val="fr-FR"/>
              </w:rPr>
              <w:t>7</w:t>
            </w:r>
            <w:r w:rsidR="003F2179">
              <w:rPr>
                <w:rFonts w:cs="Arial"/>
                <w:color w:val="000000"/>
                <w:lang w:val="fr-FR"/>
              </w:rPr>
              <w:t> </w:t>
            </w:r>
            <w:r w:rsidR="009A0B7E" w:rsidRPr="00431D28">
              <w:rPr>
                <w:rFonts w:cs="Arial"/>
                <w:color w:val="000000"/>
                <w:lang w:val="fr-FR"/>
              </w:rPr>
              <w:t>482</w:t>
            </w:r>
          </w:p>
        </w:tc>
      </w:tr>
      <w:tr w:rsidR="00D26E03" w:rsidRPr="00431D28" w:rsidTr="009C6144">
        <w:trPr>
          <w:trHeight w:val="300"/>
        </w:trPr>
        <w:tc>
          <w:tcPr>
            <w:tcW w:w="359" w:type="dxa"/>
            <w:tcBorders>
              <w:top w:val="nil"/>
              <w:left w:val="single" w:sz="4" w:space="0" w:color="auto"/>
              <w:bottom w:val="nil"/>
              <w:right w:val="nil"/>
            </w:tcBorders>
            <w:shd w:val="clear" w:color="auto" w:fill="auto"/>
            <w:vAlign w:val="bottom"/>
            <w:hideMark/>
          </w:tcPr>
          <w:p w:rsidR="00D26E03" w:rsidRPr="00431D28" w:rsidRDefault="00D26E03" w:rsidP="00D26E03">
            <w:pPr>
              <w:jc w:val="left"/>
              <w:rPr>
                <w:rFonts w:cs="Arial"/>
                <w:color w:val="000000"/>
                <w:lang w:val="fr-FR"/>
              </w:rPr>
            </w:pPr>
            <w:r w:rsidRPr="00431D28">
              <w:rPr>
                <w:rFonts w:cs="Arial"/>
                <w:color w:val="000000"/>
                <w:lang w:val="fr-FR"/>
              </w:rPr>
              <w:t>2</w:t>
            </w:r>
          </w:p>
        </w:tc>
        <w:tc>
          <w:tcPr>
            <w:tcW w:w="3327" w:type="dxa"/>
            <w:tcBorders>
              <w:top w:val="nil"/>
              <w:left w:val="nil"/>
              <w:bottom w:val="nil"/>
              <w:right w:val="nil"/>
            </w:tcBorders>
            <w:shd w:val="clear" w:color="auto" w:fill="auto"/>
            <w:vAlign w:val="bottom"/>
            <w:hideMark/>
          </w:tcPr>
          <w:p w:rsidR="00D26E03" w:rsidRPr="00431D28" w:rsidRDefault="00D26E03" w:rsidP="009C6144">
            <w:pPr>
              <w:ind w:right="-249"/>
              <w:jc w:val="left"/>
              <w:rPr>
                <w:rFonts w:cs="Arial"/>
                <w:color w:val="000000"/>
                <w:lang w:val="fr-FR"/>
              </w:rPr>
            </w:pPr>
            <w:r w:rsidRPr="00431D28">
              <w:rPr>
                <w:rFonts w:cs="Arial"/>
                <w:color w:val="000000"/>
                <w:lang w:val="fr-FR"/>
              </w:rPr>
              <w:t>+/(-) Transfer</w:t>
            </w:r>
            <w:r w:rsidR="001A1520" w:rsidRPr="00431D28">
              <w:rPr>
                <w:rFonts w:cs="Arial"/>
                <w:color w:val="000000"/>
                <w:lang w:val="fr-FR"/>
              </w:rPr>
              <w:t>t</w:t>
            </w:r>
            <w:r w:rsidRPr="00431D28">
              <w:rPr>
                <w:rFonts w:cs="Arial"/>
                <w:color w:val="000000"/>
                <w:lang w:val="fr-FR"/>
              </w:rPr>
              <w:t xml:space="preserve"> </w:t>
            </w:r>
            <w:r w:rsidR="001A1520" w:rsidRPr="00431D28">
              <w:rPr>
                <w:rFonts w:cs="Arial"/>
                <w:color w:val="000000"/>
                <w:lang w:val="fr-FR"/>
              </w:rPr>
              <w:t>des/vers les</w:t>
            </w:r>
            <w:r w:rsidR="009C6144" w:rsidRPr="00431D28">
              <w:rPr>
                <w:rFonts w:cs="Arial"/>
                <w:color w:val="000000"/>
                <w:lang w:val="fr-FR"/>
              </w:rPr>
              <w:t xml:space="preserve"> réserves</w:t>
            </w:r>
            <w:r w:rsidR="00E40745" w:rsidRPr="00431D28">
              <w:rPr>
                <w:rFonts w:cs="Arial"/>
                <w:color w:val="000000"/>
                <w:lang w:val="fr-FR"/>
              </w:rPr>
              <w:t xml:space="preserve"> </w:t>
            </w:r>
          </w:p>
        </w:tc>
        <w:tc>
          <w:tcPr>
            <w:tcW w:w="1134" w:type="dxa"/>
            <w:tcBorders>
              <w:top w:val="nil"/>
              <w:left w:val="nil"/>
              <w:bottom w:val="nil"/>
              <w:right w:val="nil"/>
            </w:tcBorders>
            <w:shd w:val="clear" w:color="auto" w:fill="auto"/>
            <w:vAlign w:val="bottom"/>
            <w:hideMark/>
          </w:tcPr>
          <w:p w:rsidR="00D26E03" w:rsidRPr="00431D28" w:rsidRDefault="00D26E03" w:rsidP="00D26E03">
            <w:pPr>
              <w:jc w:val="right"/>
              <w:rPr>
                <w:rFonts w:cs="Arial"/>
                <w:color w:val="000000"/>
                <w:lang w:val="fr-FR"/>
              </w:rPr>
            </w:pPr>
            <w:r w:rsidRPr="00431D28">
              <w:rPr>
                <w:rFonts w:cs="Arial"/>
                <w:color w:val="000000"/>
                <w:lang w:val="fr-FR"/>
              </w:rPr>
              <w:t>-</w:t>
            </w:r>
          </w:p>
        </w:tc>
        <w:tc>
          <w:tcPr>
            <w:tcW w:w="1217" w:type="dxa"/>
            <w:tcBorders>
              <w:top w:val="nil"/>
              <w:left w:val="single" w:sz="4" w:space="0" w:color="auto"/>
              <w:bottom w:val="nil"/>
              <w:right w:val="single" w:sz="4" w:space="0" w:color="auto"/>
            </w:tcBorders>
            <w:shd w:val="clear" w:color="auto" w:fill="auto"/>
            <w:vAlign w:val="bottom"/>
            <w:hideMark/>
          </w:tcPr>
          <w:p w:rsidR="00D26E03" w:rsidRPr="00431D28" w:rsidRDefault="00D26E03" w:rsidP="00D26E03">
            <w:pPr>
              <w:jc w:val="right"/>
              <w:rPr>
                <w:rFonts w:cs="Arial"/>
                <w:color w:val="000000"/>
                <w:lang w:val="fr-FR"/>
              </w:rPr>
            </w:pPr>
            <w:r w:rsidRPr="00431D28">
              <w:rPr>
                <w:rFonts w:cs="Arial"/>
                <w:color w:val="000000"/>
                <w:lang w:val="fr-FR"/>
              </w:rPr>
              <w:t>-</w:t>
            </w:r>
          </w:p>
        </w:tc>
        <w:tc>
          <w:tcPr>
            <w:tcW w:w="1504" w:type="dxa"/>
            <w:tcBorders>
              <w:top w:val="nil"/>
              <w:left w:val="nil"/>
              <w:bottom w:val="nil"/>
              <w:right w:val="single" w:sz="4" w:space="0" w:color="auto"/>
            </w:tcBorders>
            <w:shd w:val="clear" w:color="auto" w:fill="auto"/>
            <w:vAlign w:val="bottom"/>
            <w:hideMark/>
          </w:tcPr>
          <w:p w:rsidR="00D26E03" w:rsidRPr="00431D28" w:rsidRDefault="00D26E03" w:rsidP="00D26E03">
            <w:pPr>
              <w:jc w:val="right"/>
              <w:rPr>
                <w:rFonts w:cs="Arial"/>
                <w:color w:val="000000"/>
                <w:lang w:val="fr-FR"/>
              </w:rPr>
            </w:pPr>
            <w:r w:rsidRPr="00431D28">
              <w:rPr>
                <w:rFonts w:cs="Arial"/>
                <w:color w:val="000000"/>
                <w:lang w:val="fr-FR"/>
              </w:rPr>
              <w:t>-</w:t>
            </w:r>
          </w:p>
        </w:tc>
      </w:tr>
      <w:tr w:rsidR="00D26E03" w:rsidRPr="00431D28" w:rsidTr="009C6144">
        <w:trPr>
          <w:trHeight w:val="255"/>
        </w:trPr>
        <w:tc>
          <w:tcPr>
            <w:tcW w:w="359" w:type="dxa"/>
            <w:tcBorders>
              <w:top w:val="nil"/>
              <w:left w:val="single" w:sz="4" w:space="0" w:color="auto"/>
              <w:bottom w:val="nil"/>
              <w:right w:val="nil"/>
            </w:tcBorders>
            <w:shd w:val="clear" w:color="auto" w:fill="auto"/>
            <w:vAlign w:val="bottom"/>
            <w:hideMark/>
          </w:tcPr>
          <w:p w:rsidR="00D26E03" w:rsidRPr="00431D28" w:rsidRDefault="00D26E03" w:rsidP="00D26E03">
            <w:pPr>
              <w:jc w:val="left"/>
              <w:rPr>
                <w:rFonts w:cs="Arial"/>
                <w:color w:val="000000"/>
                <w:lang w:val="fr-FR"/>
              </w:rPr>
            </w:pPr>
            <w:r w:rsidRPr="00431D28">
              <w:rPr>
                <w:rFonts w:cs="Arial"/>
                <w:color w:val="000000"/>
                <w:lang w:val="fr-FR"/>
              </w:rPr>
              <w:t>3</w:t>
            </w:r>
          </w:p>
        </w:tc>
        <w:tc>
          <w:tcPr>
            <w:tcW w:w="3327" w:type="dxa"/>
            <w:tcBorders>
              <w:top w:val="nil"/>
              <w:left w:val="nil"/>
              <w:bottom w:val="nil"/>
              <w:right w:val="nil"/>
            </w:tcBorders>
            <w:shd w:val="clear" w:color="auto" w:fill="auto"/>
            <w:vAlign w:val="bottom"/>
            <w:hideMark/>
          </w:tcPr>
          <w:p w:rsidR="00D26E03" w:rsidRPr="00431D28" w:rsidRDefault="00E40745" w:rsidP="00D26E03">
            <w:pPr>
              <w:jc w:val="left"/>
              <w:rPr>
                <w:rFonts w:cs="Arial"/>
                <w:color w:val="000000"/>
                <w:lang w:val="fr-FR"/>
              </w:rPr>
            </w:pPr>
            <w:r w:rsidRPr="00431D28">
              <w:rPr>
                <w:rFonts w:cs="Arial"/>
                <w:color w:val="000000"/>
                <w:lang w:val="fr-FR"/>
              </w:rPr>
              <w:t>Total des ressources</w:t>
            </w:r>
          </w:p>
        </w:tc>
        <w:tc>
          <w:tcPr>
            <w:tcW w:w="1134" w:type="dxa"/>
            <w:tcBorders>
              <w:top w:val="nil"/>
              <w:left w:val="nil"/>
              <w:bottom w:val="nil"/>
              <w:right w:val="nil"/>
            </w:tcBorders>
            <w:shd w:val="clear" w:color="auto" w:fill="auto"/>
            <w:vAlign w:val="bottom"/>
            <w:hideMark/>
          </w:tcPr>
          <w:p w:rsidR="00D26E03" w:rsidRPr="00431D28" w:rsidRDefault="0044183C" w:rsidP="00D26E03">
            <w:pPr>
              <w:jc w:val="right"/>
              <w:rPr>
                <w:rFonts w:cs="Arial"/>
                <w:color w:val="000000"/>
                <w:lang w:val="fr-FR"/>
              </w:rPr>
            </w:pPr>
            <w:r>
              <w:rPr>
                <w:rFonts w:cs="Arial"/>
                <w:color w:val="000000"/>
                <w:lang w:val="fr-FR"/>
              </w:rPr>
              <w:t>6</w:t>
            </w:r>
            <w:r w:rsidR="003F2179">
              <w:rPr>
                <w:rFonts w:cs="Arial"/>
                <w:color w:val="000000"/>
                <w:lang w:val="fr-FR"/>
              </w:rPr>
              <w:t> </w:t>
            </w:r>
            <w:r w:rsidR="00D26E03" w:rsidRPr="00431D28">
              <w:rPr>
                <w:rFonts w:cs="Arial"/>
                <w:color w:val="000000"/>
                <w:lang w:val="fr-FR"/>
              </w:rPr>
              <w:t>798</w:t>
            </w:r>
          </w:p>
        </w:tc>
        <w:tc>
          <w:tcPr>
            <w:tcW w:w="1217" w:type="dxa"/>
            <w:tcBorders>
              <w:top w:val="nil"/>
              <w:left w:val="single" w:sz="4" w:space="0" w:color="auto"/>
              <w:bottom w:val="nil"/>
              <w:right w:val="single" w:sz="4" w:space="0" w:color="auto"/>
            </w:tcBorders>
            <w:shd w:val="clear" w:color="auto" w:fill="auto"/>
            <w:vAlign w:val="bottom"/>
            <w:hideMark/>
          </w:tcPr>
          <w:p w:rsidR="00D26E03" w:rsidRPr="00431D28" w:rsidRDefault="009A0B7E" w:rsidP="00D26E03">
            <w:pPr>
              <w:jc w:val="right"/>
              <w:rPr>
                <w:rFonts w:cs="Arial"/>
                <w:color w:val="000000"/>
                <w:lang w:val="fr-FR"/>
              </w:rPr>
            </w:pPr>
            <w:r w:rsidRPr="00431D28">
              <w:rPr>
                <w:rFonts w:cs="Arial"/>
                <w:color w:val="000000"/>
                <w:lang w:val="fr-FR"/>
              </w:rPr>
              <w:t>684</w:t>
            </w:r>
          </w:p>
        </w:tc>
        <w:tc>
          <w:tcPr>
            <w:tcW w:w="1504" w:type="dxa"/>
            <w:tcBorders>
              <w:top w:val="nil"/>
              <w:left w:val="nil"/>
              <w:bottom w:val="nil"/>
              <w:right w:val="single" w:sz="4" w:space="0" w:color="auto"/>
            </w:tcBorders>
            <w:shd w:val="clear" w:color="auto" w:fill="auto"/>
            <w:vAlign w:val="bottom"/>
            <w:hideMark/>
          </w:tcPr>
          <w:p w:rsidR="00D26E03" w:rsidRPr="00431D28" w:rsidRDefault="0044183C" w:rsidP="009A0B7E">
            <w:pPr>
              <w:jc w:val="right"/>
              <w:rPr>
                <w:rFonts w:cs="Arial"/>
                <w:color w:val="000000"/>
                <w:lang w:val="fr-FR"/>
              </w:rPr>
            </w:pPr>
            <w:r>
              <w:rPr>
                <w:rFonts w:cs="Arial"/>
                <w:color w:val="000000"/>
                <w:lang w:val="fr-FR"/>
              </w:rPr>
              <w:t>7</w:t>
            </w:r>
            <w:r w:rsidR="003F2179">
              <w:rPr>
                <w:rFonts w:cs="Arial"/>
                <w:color w:val="000000"/>
                <w:lang w:val="fr-FR"/>
              </w:rPr>
              <w:t> </w:t>
            </w:r>
            <w:r w:rsidR="009A0B7E" w:rsidRPr="00431D28">
              <w:rPr>
                <w:rFonts w:cs="Arial"/>
                <w:color w:val="000000"/>
                <w:lang w:val="fr-FR"/>
              </w:rPr>
              <w:t>482</w:t>
            </w:r>
          </w:p>
        </w:tc>
      </w:tr>
      <w:tr w:rsidR="00D26E03" w:rsidRPr="00431D28" w:rsidTr="009C6144">
        <w:trPr>
          <w:trHeight w:val="255"/>
        </w:trPr>
        <w:tc>
          <w:tcPr>
            <w:tcW w:w="359" w:type="dxa"/>
            <w:tcBorders>
              <w:top w:val="nil"/>
              <w:left w:val="single" w:sz="4" w:space="0" w:color="auto"/>
              <w:bottom w:val="nil"/>
              <w:right w:val="nil"/>
            </w:tcBorders>
            <w:shd w:val="clear" w:color="auto" w:fill="auto"/>
            <w:vAlign w:val="bottom"/>
            <w:hideMark/>
          </w:tcPr>
          <w:p w:rsidR="00D26E03" w:rsidRPr="00431D28" w:rsidRDefault="00D26E03" w:rsidP="00D26E03">
            <w:pPr>
              <w:jc w:val="left"/>
              <w:rPr>
                <w:rFonts w:cs="Arial"/>
                <w:color w:val="000000"/>
                <w:lang w:val="fr-FR"/>
              </w:rPr>
            </w:pPr>
            <w:r w:rsidRPr="00431D28">
              <w:rPr>
                <w:rFonts w:cs="Arial"/>
                <w:color w:val="000000"/>
                <w:lang w:val="fr-FR"/>
              </w:rPr>
              <w:t> </w:t>
            </w:r>
          </w:p>
        </w:tc>
        <w:tc>
          <w:tcPr>
            <w:tcW w:w="3327" w:type="dxa"/>
            <w:tcBorders>
              <w:top w:val="nil"/>
              <w:left w:val="nil"/>
              <w:bottom w:val="nil"/>
              <w:right w:val="nil"/>
            </w:tcBorders>
            <w:shd w:val="clear" w:color="auto" w:fill="auto"/>
            <w:vAlign w:val="bottom"/>
            <w:hideMark/>
          </w:tcPr>
          <w:p w:rsidR="00D26E03" w:rsidRPr="00431D28" w:rsidRDefault="00D26E03" w:rsidP="00D26E03">
            <w:pPr>
              <w:jc w:val="left"/>
              <w:rPr>
                <w:rFonts w:cs="Arial"/>
                <w:color w:val="000000"/>
                <w:lang w:val="fr-FR"/>
              </w:rPr>
            </w:pPr>
          </w:p>
        </w:tc>
        <w:tc>
          <w:tcPr>
            <w:tcW w:w="1134" w:type="dxa"/>
            <w:tcBorders>
              <w:top w:val="nil"/>
              <w:left w:val="nil"/>
              <w:bottom w:val="nil"/>
              <w:right w:val="nil"/>
            </w:tcBorders>
            <w:shd w:val="clear" w:color="auto" w:fill="auto"/>
            <w:vAlign w:val="bottom"/>
            <w:hideMark/>
          </w:tcPr>
          <w:p w:rsidR="00D26E03" w:rsidRPr="00431D28" w:rsidRDefault="00D26E03" w:rsidP="00D26E03">
            <w:pPr>
              <w:jc w:val="right"/>
              <w:rPr>
                <w:rFonts w:cs="Arial"/>
                <w:color w:val="000000"/>
                <w:lang w:val="fr-FR"/>
              </w:rPr>
            </w:pPr>
          </w:p>
        </w:tc>
        <w:tc>
          <w:tcPr>
            <w:tcW w:w="1217" w:type="dxa"/>
            <w:tcBorders>
              <w:top w:val="nil"/>
              <w:left w:val="single" w:sz="4" w:space="0" w:color="auto"/>
              <w:bottom w:val="nil"/>
              <w:right w:val="single" w:sz="4" w:space="0" w:color="auto"/>
            </w:tcBorders>
            <w:shd w:val="clear" w:color="auto" w:fill="auto"/>
            <w:vAlign w:val="bottom"/>
            <w:hideMark/>
          </w:tcPr>
          <w:p w:rsidR="00D26E03" w:rsidRPr="00431D28" w:rsidRDefault="00D26E03" w:rsidP="00D26E03">
            <w:pPr>
              <w:jc w:val="right"/>
              <w:rPr>
                <w:rFonts w:cs="Arial"/>
                <w:color w:val="000000"/>
                <w:lang w:val="fr-FR"/>
              </w:rPr>
            </w:pPr>
            <w:r w:rsidRPr="00431D28">
              <w:rPr>
                <w:rFonts w:cs="Arial"/>
                <w:color w:val="000000"/>
                <w:lang w:val="fr-FR"/>
              </w:rPr>
              <w:t> </w:t>
            </w:r>
          </w:p>
        </w:tc>
        <w:tc>
          <w:tcPr>
            <w:tcW w:w="1504" w:type="dxa"/>
            <w:tcBorders>
              <w:top w:val="nil"/>
              <w:left w:val="nil"/>
              <w:bottom w:val="nil"/>
              <w:right w:val="single" w:sz="4" w:space="0" w:color="auto"/>
            </w:tcBorders>
            <w:shd w:val="clear" w:color="auto" w:fill="auto"/>
            <w:vAlign w:val="bottom"/>
            <w:hideMark/>
          </w:tcPr>
          <w:p w:rsidR="00D26E03" w:rsidRPr="00431D28" w:rsidRDefault="00D26E03" w:rsidP="00D26E03">
            <w:pPr>
              <w:jc w:val="right"/>
              <w:rPr>
                <w:rFonts w:cs="Arial"/>
                <w:color w:val="000000"/>
                <w:lang w:val="fr-FR"/>
              </w:rPr>
            </w:pPr>
            <w:r w:rsidRPr="00431D28">
              <w:rPr>
                <w:rFonts w:cs="Arial"/>
                <w:color w:val="000000"/>
                <w:lang w:val="fr-FR"/>
              </w:rPr>
              <w:t> </w:t>
            </w:r>
          </w:p>
        </w:tc>
      </w:tr>
      <w:tr w:rsidR="00D26E03" w:rsidRPr="00431D28" w:rsidTr="009C6144">
        <w:trPr>
          <w:trHeight w:val="345"/>
        </w:trPr>
        <w:tc>
          <w:tcPr>
            <w:tcW w:w="3686" w:type="dxa"/>
            <w:gridSpan w:val="2"/>
            <w:tcBorders>
              <w:top w:val="nil"/>
              <w:left w:val="single" w:sz="4" w:space="0" w:color="auto"/>
              <w:bottom w:val="nil"/>
              <w:right w:val="nil"/>
            </w:tcBorders>
            <w:shd w:val="clear" w:color="auto" w:fill="auto"/>
            <w:vAlign w:val="bottom"/>
            <w:hideMark/>
          </w:tcPr>
          <w:p w:rsidR="00D26E03" w:rsidRPr="00431D28" w:rsidRDefault="00E40745" w:rsidP="00D26E03">
            <w:pPr>
              <w:jc w:val="left"/>
              <w:rPr>
                <w:rFonts w:cs="Arial"/>
                <w:b/>
                <w:bCs/>
                <w:color w:val="000000"/>
                <w:lang w:val="fr-FR"/>
              </w:rPr>
            </w:pPr>
            <w:r w:rsidRPr="00431D28">
              <w:rPr>
                <w:rFonts w:cs="Arial"/>
                <w:b/>
                <w:bCs/>
                <w:color w:val="000000"/>
                <w:lang w:val="fr-FR"/>
              </w:rPr>
              <w:t>Ressources disponibles</w:t>
            </w:r>
            <w:r w:rsidR="00D26E03" w:rsidRPr="00431D28">
              <w:rPr>
                <w:rFonts w:cs="Arial"/>
                <w:b/>
                <w:bCs/>
                <w:color w:val="000000"/>
                <w:lang w:val="fr-FR"/>
              </w:rPr>
              <w:t xml:space="preserve"> 2014-2015</w:t>
            </w:r>
          </w:p>
        </w:tc>
        <w:tc>
          <w:tcPr>
            <w:tcW w:w="1134" w:type="dxa"/>
            <w:tcBorders>
              <w:top w:val="nil"/>
              <w:left w:val="nil"/>
              <w:bottom w:val="nil"/>
              <w:right w:val="nil"/>
            </w:tcBorders>
            <w:shd w:val="clear" w:color="auto" w:fill="auto"/>
            <w:vAlign w:val="bottom"/>
            <w:hideMark/>
          </w:tcPr>
          <w:p w:rsidR="00D26E03" w:rsidRPr="00431D28" w:rsidRDefault="00D26E03" w:rsidP="00D26E03">
            <w:pPr>
              <w:jc w:val="right"/>
              <w:rPr>
                <w:rFonts w:cs="Arial"/>
                <w:b/>
                <w:bCs/>
                <w:color w:val="000000"/>
                <w:lang w:val="fr-FR"/>
              </w:rPr>
            </w:pPr>
          </w:p>
        </w:tc>
        <w:tc>
          <w:tcPr>
            <w:tcW w:w="1217" w:type="dxa"/>
            <w:tcBorders>
              <w:top w:val="nil"/>
              <w:left w:val="single" w:sz="4" w:space="0" w:color="auto"/>
              <w:bottom w:val="nil"/>
              <w:right w:val="single" w:sz="4" w:space="0" w:color="auto"/>
            </w:tcBorders>
            <w:shd w:val="clear" w:color="auto" w:fill="auto"/>
            <w:vAlign w:val="bottom"/>
            <w:hideMark/>
          </w:tcPr>
          <w:p w:rsidR="00D26E03" w:rsidRPr="00431D28" w:rsidRDefault="00D26E03" w:rsidP="00D26E03">
            <w:pPr>
              <w:jc w:val="right"/>
              <w:rPr>
                <w:rFonts w:cs="Arial"/>
                <w:color w:val="000000"/>
                <w:lang w:val="fr-FR"/>
              </w:rPr>
            </w:pPr>
            <w:r w:rsidRPr="00431D28">
              <w:rPr>
                <w:rFonts w:cs="Arial"/>
                <w:color w:val="000000"/>
                <w:lang w:val="fr-FR"/>
              </w:rPr>
              <w:t> </w:t>
            </w:r>
          </w:p>
        </w:tc>
        <w:tc>
          <w:tcPr>
            <w:tcW w:w="1504" w:type="dxa"/>
            <w:tcBorders>
              <w:top w:val="nil"/>
              <w:left w:val="nil"/>
              <w:bottom w:val="nil"/>
              <w:right w:val="single" w:sz="4" w:space="0" w:color="auto"/>
            </w:tcBorders>
            <w:shd w:val="clear" w:color="auto" w:fill="auto"/>
            <w:vAlign w:val="bottom"/>
            <w:hideMark/>
          </w:tcPr>
          <w:p w:rsidR="00D26E03" w:rsidRPr="00431D28" w:rsidRDefault="00D26E03" w:rsidP="00D26E03">
            <w:pPr>
              <w:jc w:val="right"/>
              <w:rPr>
                <w:rFonts w:cs="Arial"/>
                <w:color w:val="000000"/>
                <w:lang w:val="fr-FR"/>
              </w:rPr>
            </w:pPr>
            <w:r w:rsidRPr="00431D28">
              <w:rPr>
                <w:rFonts w:cs="Arial"/>
                <w:color w:val="000000"/>
                <w:lang w:val="fr-FR"/>
              </w:rPr>
              <w:t> </w:t>
            </w:r>
          </w:p>
        </w:tc>
      </w:tr>
      <w:tr w:rsidR="00D26E03" w:rsidRPr="00431D28" w:rsidTr="009C6144">
        <w:trPr>
          <w:trHeight w:val="300"/>
        </w:trPr>
        <w:tc>
          <w:tcPr>
            <w:tcW w:w="359" w:type="dxa"/>
            <w:tcBorders>
              <w:top w:val="nil"/>
              <w:left w:val="single" w:sz="4" w:space="0" w:color="auto"/>
              <w:bottom w:val="nil"/>
              <w:right w:val="nil"/>
            </w:tcBorders>
            <w:shd w:val="clear" w:color="auto" w:fill="auto"/>
            <w:vAlign w:val="bottom"/>
            <w:hideMark/>
          </w:tcPr>
          <w:p w:rsidR="00D26E03" w:rsidRPr="00431D28" w:rsidRDefault="00D26E03" w:rsidP="00D26E03">
            <w:pPr>
              <w:jc w:val="left"/>
              <w:rPr>
                <w:rFonts w:cs="Arial"/>
                <w:color w:val="000000"/>
                <w:lang w:val="fr-FR"/>
              </w:rPr>
            </w:pPr>
            <w:r w:rsidRPr="00431D28">
              <w:rPr>
                <w:rFonts w:cs="Arial"/>
                <w:color w:val="000000"/>
                <w:lang w:val="fr-FR"/>
              </w:rPr>
              <w:t>4</w:t>
            </w:r>
          </w:p>
        </w:tc>
        <w:tc>
          <w:tcPr>
            <w:tcW w:w="3327" w:type="dxa"/>
            <w:tcBorders>
              <w:top w:val="nil"/>
              <w:left w:val="nil"/>
              <w:bottom w:val="nil"/>
              <w:right w:val="nil"/>
            </w:tcBorders>
            <w:shd w:val="clear" w:color="auto" w:fill="auto"/>
            <w:vAlign w:val="bottom"/>
            <w:hideMark/>
          </w:tcPr>
          <w:p w:rsidR="00D26E03" w:rsidRPr="00431D28" w:rsidRDefault="00E40745" w:rsidP="00D26E03">
            <w:pPr>
              <w:jc w:val="left"/>
              <w:rPr>
                <w:rFonts w:cs="Arial"/>
                <w:color w:val="000000"/>
                <w:lang w:val="fr-FR"/>
              </w:rPr>
            </w:pPr>
            <w:r w:rsidRPr="00431D28">
              <w:rPr>
                <w:rFonts w:cs="Arial"/>
                <w:color w:val="000000"/>
                <w:lang w:val="fr-FR"/>
              </w:rPr>
              <w:t>Recettes</w:t>
            </w:r>
          </w:p>
        </w:tc>
        <w:tc>
          <w:tcPr>
            <w:tcW w:w="1134" w:type="dxa"/>
            <w:tcBorders>
              <w:top w:val="nil"/>
              <w:left w:val="nil"/>
              <w:bottom w:val="nil"/>
              <w:right w:val="nil"/>
            </w:tcBorders>
            <w:shd w:val="clear" w:color="auto" w:fill="auto"/>
            <w:vAlign w:val="bottom"/>
            <w:hideMark/>
          </w:tcPr>
          <w:p w:rsidR="00D26E03" w:rsidRPr="00431D28" w:rsidRDefault="0044183C" w:rsidP="00D26E03">
            <w:pPr>
              <w:jc w:val="right"/>
              <w:rPr>
                <w:rFonts w:cs="Arial"/>
                <w:color w:val="000000"/>
                <w:lang w:val="fr-FR"/>
              </w:rPr>
            </w:pPr>
            <w:r>
              <w:rPr>
                <w:rFonts w:cs="Arial"/>
                <w:color w:val="000000"/>
                <w:lang w:val="fr-FR"/>
              </w:rPr>
              <w:t>6</w:t>
            </w:r>
            <w:r w:rsidR="003F2179">
              <w:rPr>
                <w:rFonts w:cs="Arial"/>
                <w:color w:val="000000"/>
                <w:lang w:val="fr-FR"/>
              </w:rPr>
              <w:t> </w:t>
            </w:r>
            <w:r w:rsidR="00D26E03" w:rsidRPr="00431D28">
              <w:rPr>
                <w:rFonts w:cs="Arial"/>
                <w:color w:val="000000"/>
                <w:lang w:val="fr-FR"/>
              </w:rPr>
              <w:t>794</w:t>
            </w:r>
          </w:p>
        </w:tc>
        <w:tc>
          <w:tcPr>
            <w:tcW w:w="1217" w:type="dxa"/>
            <w:tcBorders>
              <w:top w:val="nil"/>
              <w:left w:val="single" w:sz="4" w:space="0" w:color="auto"/>
              <w:bottom w:val="nil"/>
              <w:right w:val="single" w:sz="4" w:space="0" w:color="auto"/>
            </w:tcBorders>
            <w:shd w:val="clear" w:color="auto" w:fill="auto"/>
            <w:vAlign w:val="bottom"/>
            <w:hideMark/>
          </w:tcPr>
          <w:p w:rsidR="00D26E03" w:rsidRPr="00431D28" w:rsidRDefault="009A0B7E" w:rsidP="00D26E03">
            <w:pPr>
              <w:jc w:val="right"/>
              <w:rPr>
                <w:rFonts w:cs="Arial"/>
                <w:color w:val="000000"/>
                <w:lang w:val="fr-FR"/>
              </w:rPr>
            </w:pPr>
            <w:r w:rsidRPr="00431D28">
              <w:rPr>
                <w:rFonts w:cs="Arial"/>
                <w:color w:val="000000"/>
                <w:lang w:val="fr-FR"/>
              </w:rPr>
              <w:t>340</w:t>
            </w:r>
          </w:p>
        </w:tc>
        <w:tc>
          <w:tcPr>
            <w:tcW w:w="1504" w:type="dxa"/>
            <w:tcBorders>
              <w:top w:val="nil"/>
              <w:left w:val="nil"/>
              <w:bottom w:val="nil"/>
              <w:right w:val="single" w:sz="4" w:space="0" w:color="auto"/>
            </w:tcBorders>
            <w:shd w:val="clear" w:color="auto" w:fill="auto"/>
            <w:vAlign w:val="bottom"/>
            <w:hideMark/>
          </w:tcPr>
          <w:p w:rsidR="00D26E03" w:rsidRPr="00431D28" w:rsidRDefault="0044183C" w:rsidP="009A0B7E">
            <w:pPr>
              <w:jc w:val="right"/>
              <w:rPr>
                <w:rFonts w:cs="Arial"/>
                <w:color w:val="000000"/>
                <w:lang w:val="fr-FR"/>
              </w:rPr>
            </w:pPr>
            <w:r>
              <w:rPr>
                <w:rFonts w:cs="Arial"/>
                <w:color w:val="000000"/>
                <w:lang w:val="fr-FR"/>
              </w:rPr>
              <w:t>7</w:t>
            </w:r>
            <w:r w:rsidR="003F2179">
              <w:rPr>
                <w:rFonts w:cs="Arial"/>
                <w:color w:val="000000"/>
                <w:lang w:val="fr-FR"/>
              </w:rPr>
              <w:t> </w:t>
            </w:r>
            <w:r w:rsidR="009A0B7E" w:rsidRPr="00431D28">
              <w:rPr>
                <w:rFonts w:cs="Arial"/>
                <w:color w:val="000000"/>
                <w:lang w:val="fr-FR"/>
              </w:rPr>
              <w:t>134</w:t>
            </w:r>
          </w:p>
        </w:tc>
      </w:tr>
      <w:tr w:rsidR="00D26E03" w:rsidRPr="00431D28" w:rsidTr="009C6144">
        <w:trPr>
          <w:trHeight w:val="255"/>
        </w:trPr>
        <w:tc>
          <w:tcPr>
            <w:tcW w:w="359" w:type="dxa"/>
            <w:tcBorders>
              <w:top w:val="nil"/>
              <w:left w:val="single" w:sz="4" w:space="0" w:color="auto"/>
              <w:bottom w:val="nil"/>
              <w:right w:val="nil"/>
            </w:tcBorders>
            <w:shd w:val="clear" w:color="auto" w:fill="auto"/>
            <w:vAlign w:val="bottom"/>
            <w:hideMark/>
          </w:tcPr>
          <w:p w:rsidR="00D26E03" w:rsidRPr="00431D28" w:rsidRDefault="00D26E03" w:rsidP="00D26E03">
            <w:pPr>
              <w:jc w:val="left"/>
              <w:rPr>
                <w:rFonts w:cs="Arial"/>
                <w:color w:val="000000"/>
                <w:lang w:val="fr-FR"/>
              </w:rPr>
            </w:pPr>
            <w:r w:rsidRPr="00431D28">
              <w:rPr>
                <w:rFonts w:cs="Arial"/>
                <w:color w:val="000000"/>
                <w:lang w:val="fr-FR"/>
              </w:rPr>
              <w:t>5</w:t>
            </w:r>
          </w:p>
        </w:tc>
        <w:tc>
          <w:tcPr>
            <w:tcW w:w="3327" w:type="dxa"/>
            <w:tcBorders>
              <w:top w:val="nil"/>
              <w:left w:val="nil"/>
              <w:bottom w:val="nil"/>
              <w:right w:val="nil"/>
            </w:tcBorders>
            <w:shd w:val="clear" w:color="auto" w:fill="auto"/>
            <w:vAlign w:val="bottom"/>
            <w:hideMark/>
          </w:tcPr>
          <w:p w:rsidR="00D26E03" w:rsidRPr="00431D28" w:rsidRDefault="00E40745" w:rsidP="009C6144">
            <w:pPr>
              <w:ind w:right="-249"/>
              <w:jc w:val="left"/>
              <w:rPr>
                <w:rFonts w:cs="Arial"/>
                <w:color w:val="000000"/>
                <w:lang w:val="fr-FR"/>
              </w:rPr>
            </w:pPr>
            <w:r w:rsidRPr="00431D28">
              <w:rPr>
                <w:rFonts w:cs="Arial"/>
                <w:color w:val="000000"/>
                <w:lang w:val="fr-FR"/>
              </w:rPr>
              <w:t>+/(-) Transfert des/vers les</w:t>
            </w:r>
            <w:r w:rsidR="009C6144" w:rsidRPr="00431D28">
              <w:rPr>
                <w:rFonts w:cs="Arial"/>
                <w:color w:val="000000"/>
                <w:lang w:val="fr-FR"/>
              </w:rPr>
              <w:t xml:space="preserve"> réserves</w:t>
            </w:r>
            <w:r w:rsidRPr="00431D28">
              <w:rPr>
                <w:rFonts w:cs="Arial"/>
                <w:color w:val="000000"/>
                <w:lang w:val="fr-FR"/>
              </w:rPr>
              <w:t xml:space="preserve"> </w:t>
            </w:r>
          </w:p>
        </w:tc>
        <w:tc>
          <w:tcPr>
            <w:tcW w:w="1134" w:type="dxa"/>
            <w:tcBorders>
              <w:top w:val="nil"/>
              <w:left w:val="nil"/>
              <w:bottom w:val="nil"/>
              <w:right w:val="nil"/>
            </w:tcBorders>
            <w:shd w:val="clear" w:color="auto" w:fill="auto"/>
            <w:vAlign w:val="bottom"/>
            <w:hideMark/>
          </w:tcPr>
          <w:p w:rsidR="00D26E03" w:rsidRPr="00431D28" w:rsidRDefault="00D26E03" w:rsidP="00D26E03">
            <w:pPr>
              <w:jc w:val="right"/>
              <w:rPr>
                <w:rFonts w:cs="Arial"/>
                <w:color w:val="000000"/>
                <w:lang w:val="fr-FR"/>
              </w:rPr>
            </w:pPr>
            <w:r w:rsidRPr="00431D28">
              <w:rPr>
                <w:rFonts w:cs="Arial"/>
                <w:color w:val="000000"/>
                <w:lang w:val="fr-FR"/>
              </w:rPr>
              <w:t>-</w:t>
            </w:r>
          </w:p>
        </w:tc>
        <w:tc>
          <w:tcPr>
            <w:tcW w:w="1217" w:type="dxa"/>
            <w:tcBorders>
              <w:top w:val="nil"/>
              <w:left w:val="single" w:sz="4" w:space="0" w:color="auto"/>
              <w:bottom w:val="nil"/>
              <w:right w:val="single" w:sz="4" w:space="0" w:color="auto"/>
            </w:tcBorders>
            <w:shd w:val="clear" w:color="auto" w:fill="auto"/>
            <w:vAlign w:val="bottom"/>
            <w:hideMark/>
          </w:tcPr>
          <w:p w:rsidR="00D26E03" w:rsidRPr="00431D28" w:rsidRDefault="00D26E03" w:rsidP="00D26E03">
            <w:pPr>
              <w:jc w:val="right"/>
              <w:rPr>
                <w:rFonts w:cs="Arial"/>
                <w:color w:val="000000"/>
                <w:lang w:val="fr-FR"/>
              </w:rPr>
            </w:pPr>
            <w:r w:rsidRPr="00431D28">
              <w:rPr>
                <w:rFonts w:cs="Arial"/>
                <w:color w:val="000000"/>
                <w:lang w:val="fr-FR"/>
              </w:rPr>
              <w:t>-</w:t>
            </w:r>
          </w:p>
        </w:tc>
        <w:tc>
          <w:tcPr>
            <w:tcW w:w="1504" w:type="dxa"/>
            <w:tcBorders>
              <w:top w:val="nil"/>
              <w:left w:val="nil"/>
              <w:bottom w:val="nil"/>
              <w:right w:val="single" w:sz="4" w:space="0" w:color="auto"/>
            </w:tcBorders>
            <w:shd w:val="clear" w:color="auto" w:fill="auto"/>
            <w:vAlign w:val="bottom"/>
            <w:hideMark/>
          </w:tcPr>
          <w:p w:rsidR="00D26E03" w:rsidRPr="00431D28" w:rsidRDefault="00D26E03" w:rsidP="00D26E03">
            <w:pPr>
              <w:jc w:val="right"/>
              <w:rPr>
                <w:rFonts w:cs="Arial"/>
                <w:color w:val="000000"/>
                <w:lang w:val="fr-FR"/>
              </w:rPr>
            </w:pPr>
            <w:r w:rsidRPr="00431D28">
              <w:rPr>
                <w:rFonts w:cs="Arial"/>
                <w:color w:val="000000"/>
                <w:lang w:val="fr-FR"/>
              </w:rPr>
              <w:t>-</w:t>
            </w:r>
          </w:p>
        </w:tc>
      </w:tr>
      <w:tr w:rsidR="00D26E03" w:rsidRPr="00431D28" w:rsidTr="009C6144">
        <w:trPr>
          <w:trHeight w:val="255"/>
        </w:trPr>
        <w:tc>
          <w:tcPr>
            <w:tcW w:w="359" w:type="dxa"/>
            <w:tcBorders>
              <w:top w:val="nil"/>
              <w:left w:val="single" w:sz="4" w:space="0" w:color="auto"/>
              <w:bottom w:val="nil"/>
              <w:right w:val="nil"/>
            </w:tcBorders>
            <w:shd w:val="clear" w:color="auto" w:fill="auto"/>
            <w:vAlign w:val="bottom"/>
            <w:hideMark/>
          </w:tcPr>
          <w:p w:rsidR="00D26E03" w:rsidRPr="00431D28" w:rsidRDefault="00D26E03" w:rsidP="00D26E03">
            <w:pPr>
              <w:jc w:val="left"/>
              <w:rPr>
                <w:rFonts w:cs="Arial"/>
                <w:color w:val="000000"/>
                <w:lang w:val="fr-FR"/>
              </w:rPr>
            </w:pPr>
            <w:r w:rsidRPr="00431D28">
              <w:rPr>
                <w:rFonts w:cs="Arial"/>
                <w:color w:val="000000"/>
                <w:lang w:val="fr-FR"/>
              </w:rPr>
              <w:t>6</w:t>
            </w:r>
          </w:p>
        </w:tc>
        <w:tc>
          <w:tcPr>
            <w:tcW w:w="3327" w:type="dxa"/>
            <w:tcBorders>
              <w:top w:val="nil"/>
              <w:left w:val="nil"/>
              <w:bottom w:val="nil"/>
              <w:right w:val="nil"/>
            </w:tcBorders>
            <w:shd w:val="clear" w:color="auto" w:fill="auto"/>
            <w:vAlign w:val="bottom"/>
            <w:hideMark/>
          </w:tcPr>
          <w:p w:rsidR="00D26E03" w:rsidRPr="00431D28" w:rsidRDefault="00E40745" w:rsidP="00D26E03">
            <w:pPr>
              <w:jc w:val="left"/>
              <w:rPr>
                <w:rFonts w:cs="Arial"/>
                <w:b/>
                <w:bCs/>
                <w:color w:val="000000"/>
                <w:lang w:val="fr-FR"/>
              </w:rPr>
            </w:pPr>
            <w:r w:rsidRPr="00431D28">
              <w:rPr>
                <w:rFonts w:cs="Arial"/>
                <w:b/>
                <w:bCs/>
                <w:color w:val="000000"/>
                <w:lang w:val="fr-FR"/>
              </w:rPr>
              <w:t>Total des ressources</w:t>
            </w:r>
          </w:p>
        </w:tc>
        <w:tc>
          <w:tcPr>
            <w:tcW w:w="1134" w:type="dxa"/>
            <w:tcBorders>
              <w:top w:val="nil"/>
              <w:left w:val="nil"/>
              <w:bottom w:val="nil"/>
              <w:right w:val="nil"/>
            </w:tcBorders>
            <w:shd w:val="clear" w:color="auto" w:fill="auto"/>
            <w:vAlign w:val="bottom"/>
            <w:hideMark/>
          </w:tcPr>
          <w:p w:rsidR="00D26E03" w:rsidRPr="00431D28" w:rsidRDefault="0044183C" w:rsidP="00D26E03">
            <w:pPr>
              <w:jc w:val="right"/>
              <w:rPr>
                <w:rFonts w:cs="Arial"/>
                <w:b/>
                <w:bCs/>
                <w:color w:val="000000"/>
                <w:lang w:val="fr-FR"/>
              </w:rPr>
            </w:pPr>
            <w:r>
              <w:rPr>
                <w:rFonts w:cs="Arial"/>
                <w:b/>
                <w:bCs/>
                <w:color w:val="000000"/>
                <w:lang w:val="fr-FR"/>
              </w:rPr>
              <w:t>6</w:t>
            </w:r>
            <w:r w:rsidR="003F2179">
              <w:rPr>
                <w:rFonts w:cs="Arial"/>
                <w:b/>
                <w:bCs/>
                <w:color w:val="000000"/>
                <w:lang w:val="fr-FR"/>
              </w:rPr>
              <w:t> </w:t>
            </w:r>
            <w:r w:rsidR="00D26E03" w:rsidRPr="00431D28">
              <w:rPr>
                <w:rFonts w:cs="Arial"/>
                <w:b/>
                <w:bCs/>
                <w:color w:val="000000"/>
                <w:lang w:val="fr-FR"/>
              </w:rPr>
              <w:t>794</w:t>
            </w:r>
          </w:p>
        </w:tc>
        <w:tc>
          <w:tcPr>
            <w:tcW w:w="1217" w:type="dxa"/>
            <w:tcBorders>
              <w:top w:val="nil"/>
              <w:left w:val="single" w:sz="4" w:space="0" w:color="auto"/>
              <w:bottom w:val="nil"/>
              <w:right w:val="single" w:sz="4" w:space="0" w:color="auto"/>
            </w:tcBorders>
            <w:shd w:val="clear" w:color="auto" w:fill="auto"/>
            <w:vAlign w:val="bottom"/>
            <w:hideMark/>
          </w:tcPr>
          <w:p w:rsidR="00D26E03" w:rsidRPr="00431D28" w:rsidRDefault="009A0B7E" w:rsidP="00D26E03">
            <w:pPr>
              <w:jc w:val="right"/>
              <w:rPr>
                <w:rFonts w:cs="Arial"/>
                <w:b/>
                <w:bCs/>
                <w:color w:val="000000"/>
                <w:lang w:val="fr-FR"/>
              </w:rPr>
            </w:pPr>
            <w:r w:rsidRPr="00431D28">
              <w:rPr>
                <w:rFonts w:cs="Arial"/>
                <w:b/>
                <w:bCs/>
                <w:color w:val="000000"/>
                <w:lang w:val="fr-FR"/>
              </w:rPr>
              <w:t>340</w:t>
            </w:r>
          </w:p>
        </w:tc>
        <w:tc>
          <w:tcPr>
            <w:tcW w:w="1504" w:type="dxa"/>
            <w:tcBorders>
              <w:top w:val="nil"/>
              <w:left w:val="nil"/>
              <w:right w:val="single" w:sz="4" w:space="0" w:color="auto"/>
            </w:tcBorders>
            <w:shd w:val="clear" w:color="auto" w:fill="auto"/>
            <w:vAlign w:val="bottom"/>
            <w:hideMark/>
          </w:tcPr>
          <w:p w:rsidR="00D26E03" w:rsidRPr="00431D28" w:rsidRDefault="0044183C" w:rsidP="009A0B7E">
            <w:pPr>
              <w:jc w:val="right"/>
              <w:rPr>
                <w:rFonts w:cs="Arial"/>
                <w:b/>
                <w:bCs/>
                <w:color w:val="000000"/>
                <w:lang w:val="fr-FR"/>
              </w:rPr>
            </w:pPr>
            <w:r>
              <w:rPr>
                <w:rFonts w:cs="Arial"/>
                <w:b/>
                <w:bCs/>
                <w:color w:val="000000"/>
                <w:lang w:val="fr-FR"/>
              </w:rPr>
              <w:t>7</w:t>
            </w:r>
            <w:r w:rsidR="003F2179">
              <w:rPr>
                <w:rFonts w:cs="Arial"/>
                <w:b/>
                <w:bCs/>
                <w:color w:val="000000"/>
                <w:lang w:val="fr-FR"/>
              </w:rPr>
              <w:t> </w:t>
            </w:r>
            <w:r w:rsidR="009A0B7E" w:rsidRPr="00431D28">
              <w:rPr>
                <w:rFonts w:cs="Arial"/>
                <w:b/>
                <w:bCs/>
                <w:color w:val="000000"/>
                <w:lang w:val="fr-FR"/>
              </w:rPr>
              <w:t>134</w:t>
            </w:r>
          </w:p>
        </w:tc>
      </w:tr>
      <w:tr w:rsidR="00D26E03" w:rsidRPr="00431D28" w:rsidTr="009C6144">
        <w:trPr>
          <w:trHeight w:val="255"/>
        </w:trPr>
        <w:tc>
          <w:tcPr>
            <w:tcW w:w="359" w:type="dxa"/>
            <w:tcBorders>
              <w:top w:val="nil"/>
              <w:left w:val="single" w:sz="4" w:space="0" w:color="auto"/>
              <w:right w:val="nil"/>
            </w:tcBorders>
            <w:shd w:val="clear" w:color="auto" w:fill="auto"/>
            <w:vAlign w:val="bottom"/>
            <w:hideMark/>
          </w:tcPr>
          <w:p w:rsidR="00D26E03" w:rsidRPr="00431D28" w:rsidRDefault="00D26E03" w:rsidP="00D26E03">
            <w:pPr>
              <w:jc w:val="left"/>
              <w:rPr>
                <w:rFonts w:cs="Arial"/>
                <w:color w:val="000000"/>
                <w:lang w:val="fr-FR"/>
              </w:rPr>
            </w:pPr>
            <w:r w:rsidRPr="00431D28">
              <w:rPr>
                <w:rFonts w:cs="Arial"/>
                <w:color w:val="000000"/>
                <w:lang w:val="fr-FR"/>
              </w:rPr>
              <w:t>7</w:t>
            </w:r>
          </w:p>
        </w:tc>
        <w:tc>
          <w:tcPr>
            <w:tcW w:w="3327" w:type="dxa"/>
            <w:tcBorders>
              <w:top w:val="nil"/>
              <w:left w:val="nil"/>
              <w:right w:val="nil"/>
            </w:tcBorders>
            <w:shd w:val="clear" w:color="auto" w:fill="auto"/>
            <w:vAlign w:val="bottom"/>
            <w:hideMark/>
          </w:tcPr>
          <w:p w:rsidR="00D26E03" w:rsidRPr="00431D28" w:rsidRDefault="00D26E03" w:rsidP="00D26E03">
            <w:pPr>
              <w:jc w:val="left"/>
              <w:rPr>
                <w:rFonts w:cs="Arial"/>
                <w:color w:val="000000"/>
                <w:lang w:val="fr-FR"/>
              </w:rPr>
            </w:pPr>
            <w:r w:rsidRPr="00431D28">
              <w:rPr>
                <w:rFonts w:cs="Arial"/>
                <w:color w:val="000000"/>
                <w:lang w:val="fr-FR"/>
              </w:rPr>
              <w:t>Variation 6/3(%)</w:t>
            </w:r>
          </w:p>
        </w:tc>
        <w:tc>
          <w:tcPr>
            <w:tcW w:w="1134" w:type="dxa"/>
            <w:tcBorders>
              <w:top w:val="nil"/>
              <w:left w:val="nil"/>
              <w:right w:val="nil"/>
            </w:tcBorders>
            <w:shd w:val="clear" w:color="auto" w:fill="auto"/>
            <w:vAlign w:val="bottom"/>
            <w:hideMark/>
          </w:tcPr>
          <w:p w:rsidR="00D26E03" w:rsidRPr="00431D28" w:rsidRDefault="00E40745" w:rsidP="00D26E03">
            <w:pPr>
              <w:jc w:val="right"/>
              <w:rPr>
                <w:rFonts w:cs="Arial"/>
                <w:color w:val="000000"/>
                <w:lang w:val="fr-FR"/>
              </w:rPr>
            </w:pPr>
            <w:r w:rsidRPr="00431D28">
              <w:rPr>
                <w:rFonts w:cs="Arial"/>
                <w:color w:val="000000"/>
                <w:lang w:val="fr-FR"/>
              </w:rPr>
              <w:t>-0,</w:t>
            </w:r>
            <w:r w:rsidR="00D26E03" w:rsidRPr="00431D28">
              <w:rPr>
                <w:rFonts w:cs="Arial"/>
                <w:color w:val="000000"/>
                <w:lang w:val="fr-FR"/>
              </w:rPr>
              <w:t>1%</w:t>
            </w:r>
          </w:p>
        </w:tc>
        <w:tc>
          <w:tcPr>
            <w:tcW w:w="1217" w:type="dxa"/>
            <w:tcBorders>
              <w:top w:val="nil"/>
              <w:left w:val="single" w:sz="4" w:space="0" w:color="auto"/>
              <w:right w:val="single" w:sz="4" w:space="0" w:color="auto"/>
            </w:tcBorders>
            <w:shd w:val="clear" w:color="auto" w:fill="auto"/>
            <w:vAlign w:val="bottom"/>
            <w:hideMark/>
          </w:tcPr>
          <w:p w:rsidR="00D26E03" w:rsidRPr="00431D28" w:rsidRDefault="009A0B7E" w:rsidP="00D26E03">
            <w:pPr>
              <w:jc w:val="right"/>
              <w:rPr>
                <w:rFonts w:cs="Arial"/>
                <w:b/>
                <w:bCs/>
                <w:color w:val="000000"/>
                <w:lang w:val="fr-FR"/>
              </w:rPr>
            </w:pPr>
            <w:r w:rsidRPr="00431D28">
              <w:rPr>
                <w:rFonts w:cs="Arial"/>
                <w:b/>
                <w:bCs/>
                <w:color w:val="000000"/>
                <w:lang w:val="fr-FR"/>
              </w:rPr>
              <w:t>-</w:t>
            </w:r>
          </w:p>
        </w:tc>
        <w:tc>
          <w:tcPr>
            <w:tcW w:w="1504" w:type="dxa"/>
            <w:tcBorders>
              <w:top w:val="nil"/>
              <w:left w:val="nil"/>
              <w:right w:val="single" w:sz="4" w:space="0" w:color="auto"/>
            </w:tcBorders>
            <w:shd w:val="clear" w:color="auto" w:fill="auto"/>
            <w:vAlign w:val="bottom"/>
            <w:hideMark/>
          </w:tcPr>
          <w:p w:rsidR="00D26E03" w:rsidRPr="00431D28" w:rsidRDefault="009A0B7E" w:rsidP="009A0B7E">
            <w:pPr>
              <w:jc w:val="right"/>
              <w:rPr>
                <w:rFonts w:cs="Arial"/>
                <w:color w:val="000000"/>
                <w:lang w:val="fr-FR"/>
              </w:rPr>
            </w:pPr>
            <w:r w:rsidRPr="00431D28">
              <w:rPr>
                <w:rFonts w:cs="Arial"/>
                <w:color w:val="000000"/>
                <w:lang w:val="fr-FR"/>
              </w:rPr>
              <w:t>-4</w:t>
            </w:r>
            <w:r w:rsidR="00E40745" w:rsidRPr="00431D28">
              <w:rPr>
                <w:rFonts w:cs="Arial"/>
                <w:color w:val="000000"/>
                <w:lang w:val="fr-FR"/>
              </w:rPr>
              <w:t>,</w:t>
            </w:r>
            <w:r w:rsidRPr="00431D28">
              <w:rPr>
                <w:rFonts w:cs="Arial"/>
                <w:color w:val="000000"/>
                <w:lang w:val="fr-FR"/>
              </w:rPr>
              <w:t>7</w:t>
            </w:r>
            <w:r w:rsidR="00D26E03" w:rsidRPr="00431D28">
              <w:rPr>
                <w:rFonts w:cs="Arial"/>
                <w:color w:val="000000"/>
                <w:lang w:val="fr-FR"/>
              </w:rPr>
              <w:t>%</w:t>
            </w:r>
          </w:p>
        </w:tc>
      </w:tr>
      <w:tr w:rsidR="00D26E03" w:rsidRPr="00431D28" w:rsidTr="009C6144">
        <w:trPr>
          <w:trHeight w:val="255"/>
        </w:trPr>
        <w:tc>
          <w:tcPr>
            <w:tcW w:w="3686" w:type="dxa"/>
            <w:gridSpan w:val="2"/>
            <w:tcBorders>
              <w:top w:val="nil"/>
              <w:left w:val="single" w:sz="4" w:space="0" w:color="auto"/>
              <w:bottom w:val="single" w:sz="4" w:space="0" w:color="auto"/>
              <w:right w:val="nil"/>
            </w:tcBorders>
            <w:shd w:val="clear" w:color="auto" w:fill="auto"/>
            <w:vAlign w:val="bottom"/>
            <w:hideMark/>
          </w:tcPr>
          <w:p w:rsidR="00D26E03" w:rsidRPr="00431D28" w:rsidRDefault="00D26E03" w:rsidP="00D26E03">
            <w:pPr>
              <w:jc w:val="left"/>
              <w:rPr>
                <w:rFonts w:cs="Arial"/>
                <w:color w:val="000000"/>
                <w:lang w:val="fr-FR"/>
              </w:rPr>
            </w:pPr>
          </w:p>
        </w:tc>
        <w:tc>
          <w:tcPr>
            <w:tcW w:w="1134" w:type="dxa"/>
            <w:tcBorders>
              <w:top w:val="nil"/>
              <w:left w:val="nil"/>
              <w:bottom w:val="single" w:sz="4" w:space="0" w:color="auto"/>
              <w:right w:val="nil"/>
            </w:tcBorders>
            <w:shd w:val="clear" w:color="auto" w:fill="auto"/>
            <w:vAlign w:val="bottom"/>
            <w:hideMark/>
          </w:tcPr>
          <w:p w:rsidR="00D26E03" w:rsidRPr="00431D28" w:rsidRDefault="00D26E03" w:rsidP="00D26E03">
            <w:pPr>
              <w:jc w:val="right"/>
              <w:rPr>
                <w:rFonts w:cs="Arial"/>
                <w:color w:val="000000"/>
                <w:lang w:val="fr-FR"/>
              </w:rPr>
            </w:pPr>
          </w:p>
        </w:tc>
        <w:tc>
          <w:tcPr>
            <w:tcW w:w="1217" w:type="dxa"/>
            <w:tcBorders>
              <w:top w:val="nil"/>
              <w:left w:val="single" w:sz="4" w:space="0" w:color="auto"/>
              <w:bottom w:val="single" w:sz="4" w:space="0" w:color="auto"/>
              <w:right w:val="single" w:sz="4" w:space="0" w:color="auto"/>
            </w:tcBorders>
            <w:shd w:val="clear" w:color="auto" w:fill="auto"/>
            <w:vAlign w:val="bottom"/>
            <w:hideMark/>
          </w:tcPr>
          <w:p w:rsidR="00D26E03" w:rsidRPr="00431D28" w:rsidRDefault="00D26E03" w:rsidP="00D26E03">
            <w:pPr>
              <w:jc w:val="right"/>
              <w:rPr>
                <w:rFonts w:cs="Arial"/>
                <w:b/>
                <w:bCs/>
                <w:color w:val="000000"/>
                <w:lang w:val="fr-FR"/>
              </w:rPr>
            </w:pPr>
            <w:r w:rsidRPr="00431D28">
              <w:rPr>
                <w:rFonts w:cs="Arial"/>
                <w:b/>
                <w:bCs/>
                <w:color w:val="000000"/>
                <w:lang w:val="fr-FR"/>
              </w:rPr>
              <w:t> </w:t>
            </w:r>
          </w:p>
        </w:tc>
        <w:tc>
          <w:tcPr>
            <w:tcW w:w="1504" w:type="dxa"/>
            <w:tcBorders>
              <w:top w:val="nil"/>
              <w:left w:val="nil"/>
              <w:bottom w:val="single" w:sz="4" w:space="0" w:color="auto"/>
              <w:right w:val="single" w:sz="4" w:space="0" w:color="auto"/>
            </w:tcBorders>
            <w:shd w:val="clear" w:color="auto" w:fill="auto"/>
            <w:vAlign w:val="bottom"/>
            <w:hideMark/>
          </w:tcPr>
          <w:p w:rsidR="00D26E03" w:rsidRPr="00431D28" w:rsidRDefault="00D26E03" w:rsidP="00D26E03">
            <w:pPr>
              <w:jc w:val="right"/>
              <w:rPr>
                <w:rFonts w:cs="Arial"/>
                <w:b/>
                <w:bCs/>
                <w:color w:val="000000"/>
                <w:lang w:val="fr-FR"/>
              </w:rPr>
            </w:pPr>
            <w:r w:rsidRPr="00431D28">
              <w:rPr>
                <w:rFonts w:cs="Arial"/>
                <w:b/>
                <w:bCs/>
                <w:color w:val="000000"/>
                <w:lang w:val="fr-FR"/>
              </w:rPr>
              <w:t> </w:t>
            </w:r>
          </w:p>
        </w:tc>
      </w:tr>
    </w:tbl>
    <w:p w:rsidR="005A7F6B" w:rsidRPr="00431D28" w:rsidRDefault="005A7F6B" w:rsidP="00421639">
      <w:pPr>
        <w:jc w:val="center"/>
        <w:rPr>
          <w:lang w:val="fr-FR"/>
        </w:rPr>
      </w:pPr>
    </w:p>
    <w:p w:rsidR="005A7F6B" w:rsidRPr="00431D28" w:rsidRDefault="005A7F6B" w:rsidP="00421639">
      <w:pPr>
        <w:jc w:val="center"/>
        <w:rPr>
          <w:lang w:val="fr-FR"/>
        </w:rPr>
      </w:pPr>
    </w:p>
    <w:p w:rsidR="005A7F6B" w:rsidRPr="00431D28" w:rsidRDefault="004133CD" w:rsidP="004133CD">
      <w:pPr>
        <w:tabs>
          <w:tab w:val="left" w:pos="567"/>
        </w:tabs>
        <w:rPr>
          <w:lang w:val="fr-FR"/>
        </w:rPr>
      </w:pPr>
      <w:bookmarkStart w:id="9" w:name="RANGE!A1:F18"/>
      <w:bookmarkEnd w:id="9"/>
      <w:r w:rsidRPr="00431D28">
        <w:rPr>
          <w:lang w:val="fr-FR"/>
        </w:rPr>
        <w:t>3.8</w:t>
      </w:r>
      <w:r w:rsidRPr="00431D28">
        <w:rPr>
          <w:lang w:val="fr-FR"/>
        </w:rPr>
        <w:tab/>
        <w:t xml:space="preserve">Le </w:t>
      </w:r>
      <w:r w:rsidRPr="00431D28">
        <w:rPr>
          <w:b/>
          <w:lang w:val="fr-FR"/>
        </w:rPr>
        <w:t>tableau 4</w:t>
      </w:r>
      <w:r w:rsidRPr="00431D28">
        <w:rPr>
          <w:lang w:val="fr-FR"/>
        </w:rPr>
        <w:t xml:space="preserve"> indique les variations budgétaires par objet de dépense entre les exercices biennaux 2010-2011 et 2014</w:t>
      </w:r>
      <w:r w:rsidR="0044183C" w:rsidRPr="003E4E3B">
        <w:rPr>
          <w:rFonts w:cs="Arial"/>
          <w:snapToGrid w:val="0"/>
          <w:lang w:val="fr-FR"/>
        </w:rPr>
        <w:noBreakHyphen/>
      </w:r>
      <w:r w:rsidRPr="00431D28">
        <w:rPr>
          <w:lang w:val="fr-FR"/>
        </w:rPr>
        <w:t>2015.</w:t>
      </w:r>
      <w:r w:rsidR="00421639" w:rsidRPr="00431D28">
        <w:rPr>
          <w:lang w:val="fr-FR"/>
        </w:rPr>
        <w:t xml:space="preserve">  </w:t>
      </w:r>
      <w:r w:rsidRPr="00431D28">
        <w:rPr>
          <w:lang w:val="fr-FR"/>
        </w:rPr>
        <w:t>Les dépenses effectuées en 2010</w:t>
      </w:r>
      <w:r w:rsidR="0044183C" w:rsidRPr="003E4E3B">
        <w:rPr>
          <w:rFonts w:cs="Arial"/>
          <w:snapToGrid w:val="0"/>
          <w:lang w:val="fr-FR"/>
        </w:rPr>
        <w:noBreakHyphen/>
      </w:r>
      <w:r w:rsidRPr="00431D28">
        <w:rPr>
          <w:lang w:val="fr-FR"/>
        </w:rPr>
        <w:t>20</w:t>
      </w:r>
      <w:r w:rsidR="0044183C">
        <w:rPr>
          <w:lang w:val="fr-FR"/>
        </w:rPr>
        <w:t>11 s’élèvent à 6 479 000 francs </w:t>
      </w:r>
      <w:r w:rsidRPr="00431D28">
        <w:rPr>
          <w:lang w:val="fr-FR"/>
        </w:rPr>
        <w:t>suisses.</w:t>
      </w:r>
      <w:r w:rsidR="00421639" w:rsidRPr="00431D28">
        <w:rPr>
          <w:lang w:val="fr-FR"/>
        </w:rPr>
        <w:t xml:space="preserve">  </w:t>
      </w:r>
      <w:r w:rsidRPr="00431D28">
        <w:rPr>
          <w:lang w:val="fr-FR"/>
        </w:rPr>
        <w:t>Le budget pour 2012</w:t>
      </w:r>
      <w:r w:rsidR="0044183C" w:rsidRPr="003E4E3B">
        <w:rPr>
          <w:rFonts w:cs="Arial"/>
          <w:snapToGrid w:val="0"/>
          <w:lang w:val="fr-FR"/>
        </w:rPr>
        <w:noBreakHyphen/>
      </w:r>
      <w:r w:rsidRPr="00431D28">
        <w:rPr>
          <w:lang w:val="fr-FR"/>
        </w:rPr>
        <w:t>2013 s’élève à 6 798 000 francs suisses, soit une augmentation de 4,9%.</w:t>
      </w:r>
      <w:r w:rsidR="00421639" w:rsidRPr="00431D28">
        <w:rPr>
          <w:lang w:val="fr-FR"/>
        </w:rPr>
        <w:t xml:space="preserve">  </w:t>
      </w:r>
      <w:r w:rsidRPr="00431D28">
        <w:rPr>
          <w:lang w:val="fr-FR"/>
        </w:rPr>
        <w:t>Le budget proposé pour 2014</w:t>
      </w:r>
      <w:r w:rsidR="0044183C" w:rsidRPr="003E4E3B">
        <w:rPr>
          <w:rFonts w:cs="Arial"/>
          <w:snapToGrid w:val="0"/>
          <w:lang w:val="fr-FR"/>
        </w:rPr>
        <w:noBreakHyphen/>
      </w:r>
      <w:r w:rsidRPr="00431D28">
        <w:rPr>
          <w:lang w:val="fr-FR"/>
        </w:rPr>
        <w:t>2015 s’élève à 6 794 000 francs suisses, soit une diminution de 4 000 francs suisses (0,1%) par rapport au budget 2012</w:t>
      </w:r>
      <w:r w:rsidR="0044183C" w:rsidRPr="003E4E3B">
        <w:rPr>
          <w:rFonts w:cs="Arial"/>
          <w:snapToGrid w:val="0"/>
          <w:lang w:val="fr-FR"/>
        </w:rPr>
        <w:noBreakHyphen/>
      </w:r>
      <w:r w:rsidRPr="00431D28">
        <w:rPr>
          <w:lang w:val="fr-FR"/>
        </w:rPr>
        <w:t>2013.</w:t>
      </w:r>
    </w:p>
    <w:p w:rsidR="005A7F6B" w:rsidRPr="00431D28" w:rsidRDefault="005A7F6B" w:rsidP="00421639">
      <w:pPr>
        <w:tabs>
          <w:tab w:val="left" w:pos="567"/>
        </w:tabs>
        <w:rPr>
          <w:lang w:val="fr-FR"/>
        </w:rPr>
      </w:pPr>
    </w:p>
    <w:p w:rsidR="005A7F6B" w:rsidRPr="005C4304" w:rsidRDefault="00523307" w:rsidP="00523307">
      <w:pPr>
        <w:keepNext/>
        <w:keepLines/>
        <w:tabs>
          <w:tab w:val="num" w:pos="690"/>
        </w:tabs>
        <w:rPr>
          <w:rFonts w:cs="Arial"/>
          <w:bCs/>
          <w:lang w:val="fr-FR"/>
        </w:rPr>
      </w:pPr>
      <w:r w:rsidRPr="00431D28">
        <w:rPr>
          <w:rFonts w:eastAsia="SimSun" w:cs="Arial"/>
          <w:lang w:val="fr-FR" w:eastAsia="zh-CN"/>
        </w:rPr>
        <w:t>3.9</w:t>
      </w:r>
      <w:r w:rsidRPr="00431D28">
        <w:rPr>
          <w:rFonts w:eastAsia="SimSun" w:cs="Arial"/>
          <w:lang w:val="fr-FR" w:eastAsia="zh-CN"/>
        </w:rPr>
        <w:tab/>
        <w:t>La dénomination et le groupement des objets de dépense ont été améliorés et révisés afin</w:t>
      </w:r>
      <w:r w:rsidR="0044183C">
        <w:rPr>
          <w:rFonts w:eastAsia="SimSun" w:cs="Arial"/>
          <w:lang w:val="fr-FR" w:eastAsia="zh-CN"/>
        </w:rPr>
        <w:t xml:space="preserve"> </w:t>
      </w:r>
      <w:r w:rsidRPr="00431D28">
        <w:rPr>
          <w:rFonts w:eastAsia="SimSun" w:cs="Arial"/>
          <w:lang w:val="fr-FR" w:eastAsia="zh-CN"/>
        </w:rPr>
        <w:t>i) de tenir compte, pour l’établissement de rapports sur les coûts de personnel, de la réforme des contrats récemment mise en œuvre, et ii) de continuer de renforcer l’efficacité et la transparence de l’établissement de rapports sur l’utilisation des ressources.</w:t>
      </w:r>
      <w:r w:rsidR="009C0336" w:rsidRPr="00431D28">
        <w:rPr>
          <w:rFonts w:eastAsia="SimSun" w:cs="Arial"/>
          <w:lang w:val="fr-FR" w:eastAsia="zh-CN"/>
        </w:rPr>
        <w:t xml:space="preserve">  </w:t>
      </w:r>
      <w:r w:rsidRPr="00431D28">
        <w:rPr>
          <w:rFonts w:eastAsia="SimSun" w:cs="Arial"/>
          <w:lang w:val="fr-FR" w:eastAsia="zh-CN"/>
        </w:rPr>
        <w:t>Pour faciliter la comparaison des ressources entre les exercices biennaux</w:t>
      </w:r>
      <w:r w:rsidR="00412646" w:rsidRPr="00431D28">
        <w:rPr>
          <w:rFonts w:eastAsia="SimSun" w:cs="Arial"/>
          <w:lang w:val="fr-FR" w:eastAsia="zh-CN"/>
        </w:rPr>
        <w:t>, le budget 2012</w:t>
      </w:r>
      <w:r w:rsidR="0044183C" w:rsidRPr="003E4E3B">
        <w:rPr>
          <w:rFonts w:cs="Arial"/>
          <w:snapToGrid w:val="0"/>
          <w:lang w:val="fr-FR"/>
        </w:rPr>
        <w:noBreakHyphen/>
      </w:r>
      <w:r w:rsidR="00412646" w:rsidRPr="00431D28">
        <w:rPr>
          <w:rFonts w:eastAsia="SimSun" w:cs="Arial"/>
          <w:lang w:val="fr-FR" w:eastAsia="zh-CN"/>
        </w:rPr>
        <w:t xml:space="preserve">2013 </w:t>
      </w:r>
      <w:r w:rsidR="00412646" w:rsidRPr="005C4304">
        <w:rPr>
          <w:rFonts w:eastAsia="SimSun" w:cs="Arial"/>
          <w:lang w:val="fr-FR" w:eastAsia="zh-CN"/>
        </w:rPr>
        <w:t xml:space="preserve">approuvé </w:t>
      </w:r>
      <w:r w:rsidRPr="005C4304">
        <w:rPr>
          <w:rFonts w:eastAsia="SimSun" w:cs="Arial"/>
          <w:lang w:val="fr-FR" w:eastAsia="zh-CN"/>
        </w:rPr>
        <w:t>a été restructuré compte tenu des objet</w:t>
      </w:r>
      <w:r w:rsidR="0044183C" w:rsidRPr="005C4304">
        <w:rPr>
          <w:rFonts w:eastAsia="SimSun" w:cs="Arial"/>
          <w:lang w:val="fr-FR" w:eastAsia="zh-CN"/>
        </w:rPr>
        <w:t>s de dépense proposés pour 2014</w:t>
      </w:r>
      <w:r w:rsidR="0044183C" w:rsidRPr="005C4304">
        <w:rPr>
          <w:rFonts w:cs="Arial"/>
          <w:snapToGrid w:val="0"/>
          <w:lang w:val="fr-FR"/>
        </w:rPr>
        <w:noBreakHyphen/>
      </w:r>
      <w:r w:rsidRPr="005C4304">
        <w:rPr>
          <w:rFonts w:eastAsia="SimSun" w:cs="Arial"/>
          <w:lang w:val="fr-FR" w:eastAsia="zh-CN"/>
        </w:rPr>
        <w:t>2015.</w:t>
      </w:r>
      <w:r w:rsidR="009C0336" w:rsidRPr="005C4304">
        <w:rPr>
          <w:rFonts w:eastAsia="SimSun" w:cs="Arial"/>
          <w:lang w:val="fr-FR" w:eastAsia="zh-CN"/>
        </w:rPr>
        <w:t xml:space="preserve">  </w:t>
      </w:r>
      <w:r w:rsidRPr="005C4304">
        <w:rPr>
          <w:rFonts w:eastAsia="SimSun" w:cs="Arial"/>
          <w:lang w:val="fr-FR" w:eastAsia="zh-CN"/>
        </w:rPr>
        <w:t>L’appendice III donne un aperçu de la définition des rubriques budgétaires.</w:t>
      </w:r>
      <w:r w:rsidR="009C0336" w:rsidRPr="005C4304">
        <w:rPr>
          <w:rFonts w:eastAsia="SimSun" w:cs="Arial"/>
          <w:lang w:val="fr-FR" w:eastAsia="zh-CN"/>
        </w:rPr>
        <w:t xml:space="preserve"> </w:t>
      </w:r>
    </w:p>
    <w:p w:rsidR="005A7F6B" w:rsidRPr="005C4304" w:rsidRDefault="005A7F6B" w:rsidP="00421639">
      <w:pPr>
        <w:tabs>
          <w:tab w:val="left" w:pos="567"/>
        </w:tabs>
        <w:rPr>
          <w:lang w:val="fr-FR"/>
        </w:rPr>
      </w:pPr>
    </w:p>
    <w:p w:rsidR="005A7F6B" w:rsidRPr="00431D28" w:rsidRDefault="00412646" w:rsidP="00412646">
      <w:pPr>
        <w:widowControl w:val="0"/>
        <w:tabs>
          <w:tab w:val="num" w:pos="690"/>
        </w:tabs>
        <w:rPr>
          <w:rFonts w:cs="Arial"/>
          <w:bCs/>
          <w:lang w:val="fr-FR"/>
        </w:rPr>
      </w:pPr>
      <w:r w:rsidRPr="005C4304">
        <w:rPr>
          <w:rFonts w:eastAsia="SimSun" w:cs="Arial"/>
          <w:lang w:val="fr-FR" w:eastAsia="zh-CN"/>
        </w:rPr>
        <w:t>3.10</w:t>
      </w:r>
      <w:r w:rsidRPr="005C4304">
        <w:rPr>
          <w:rFonts w:eastAsia="SimSun" w:cs="Arial"/>
          <w:lang w:val="fr-FR" w:eastAsia="zh-CN"/>
        </w:rPr>
        <w:tab/>
        <w:t xml:space="preserve">Les modifications effectuées dans les </w:t>
      </w:r>
      <w:r w:rsidR="003D6ABB">
        <w:rPr>
          <w:rFonts w:eastAsia="SimSun" w:cs="Arial"/>
          <w:lang w:val="fr-FR" w:eastAsia="zh-CN"/>
        </w:rPr>
        <w:t xml:space="preserve">catégories </w:t>
      </w:r>
      <w:r w:rsidRPr="005C4304">
        <w:rPr>
          <w:rFonts w:eastAsia="SimSun" w:cs="Arial"/>
          <w:lang w:val="fr-FR" w:eastAsia="zh-CN"/>
        </w:rPr>
        <w:t>de dépenses pour l'exercice biennal 2014</w:t>
      </w:r>
      <w:r w:rsidR="0044183C" w:rsidRPr="005C4304">
        <w:rPr>
          <w:rFonts w:cs="Arial"/>
          <w:snapToGrid w:val="0"/>
          <w:lang w:val="fr-FR"/>
        </w:rPr>
        <w:noBreakHyphen/>
      </w:r>
      <w:r w:rsidRPr="005C4304">
        <w:rPr>
          <w:rFonts w:eastAsia="SimSun" w:cs="Arial"/>
          <w:lang w:val="fr-FR" w:eastAsia="zh-CN"/>
        </w:rPr>
        <w:t>2015 sont résumées ci-dessous:</w:t>
      </w:r>
      <w:r w:rsidR="00D541D0" w:rsidRPr="00431D28">
        <w:rPr>
          <w:rFonts w:eastAsia="SimSun" w:cs="Arial"/>
          <w:lang w:val="fr-FR" w:eastAsia="zh-CN"/>
        </w:rPr>
        <w:t xml:space="preserve"> </w:t>
      </w:r>
    </w:p>
    <w:p w:rsidR="005A7F6B" w:rsidRPr="00431D28" w:rsidRDefault="005A7F6B" w:rsidP="00D541D0">
      <w:pPr>
        <w:widowControl w:val="0"/>
        <w:rPr>
          <w:rFonts w:cs="Arial"/>
          <w:bCs/>
          <w:lang w:val="fr-FR"/>
        </w:rPr>
      </w:pPr>
    </w:p>
    <w:p w:rsidR="005A7F6B" w:rsidRPr="00431D28" w:rsidRDefault="00412646" w:rsidP="00412646">
      <w:pPr>
        <w:numPr>
          <w:ilvl w:val="1"/>
          <w:numId w:val="16"/>
        </w:numPr>
        <w:spacing w:after="200"/>
        <w:ind w:hanging="513"/>
        <w:rPr>
          <w:rFonts w:eastAsia="SimSun" w:cs="Arial"/>
          <w:lang w:val="fr-FR" w:eastAsia="zh-CN"/>
        </w:rPr>
      </w:pPr>
      <w:r w:rsidRPr="00431D28">
        <w:rPr>
          <w:rFonts w:eastAsia="SimSun" w:cs="Arial"/>
          <w:lang w:val="fr-FR" w:eastAsia="zh-CN"/>
        </w:rPr>
        <w:t xml:space="preserve">À la suite de la mise en œuvre de la réforme des contrats, les objets de dépense correspondant aux ressources en personnel ont été révisés et comprennent désormais les postes et les </w:t>
      </w:r>
      <w:r w:rsidR="00DE7689">
        <w:rPr>
          <w:rFonts w:eastAsia="SimSun" w:cs="Arial"/>
          <w:lang w:val="fr-FR" w:eastAsia="zh-CN"/>
        </w:rPr>
        <w:t>agents</w:t>
      </w:r>
      <w:r w:rsidRPr="00431D28">
        <w:rPr>
          <w:rFonts w:eastAsia="SimSun" w:cs="Arial"/>
          <w:lang w:val="fr-FR" w:eastAsia="zh-CN"/>
        </w:rPr>
        <w:t xml:space="preserve"> temporaires, tandis que les autres ressources ne figurent plus dans cette catégorie.</w:t>
      </w:r>
      <w:r w:rsidR="00D541D0" w:rsidRPr="00431D28">
        <w:rPr>
          <w:rFonts w:eastAsia="SimSun" w:cs="Arial"/>
          <w:lang w:val="fr-FR" w:eastAsia="zh-CN"/>
        </w:rPr>
        <w:t xml:space="preserve">  </w:t>
      </w:r>
      <w:r w:rsidRPr="00431D28">
        <w:rPr>
          <w:rFonts w:eastAsia="SimSun" w:cs="Arial"/>
          <w:lang w:val="fr-FR" w:eastAsia="zh-CN"/>
        </w:rPr>
        <w:t>Les nouveaux postes de dépenses sont les suivants :</w:t>
      </w:r>
      <w:r w:rsidR="00D541D0" w:rsidRPr="00431D28">
        <w:rPr>
          <w:rFonts w:eastAsia="SimSun" w:cs="Arial"/>
          <w:lang w:val="fr-FR" w:eastAsia="zh-CN"/>
        </w:rPr>
        <w:t xml:space="preserve"> </w:t>
      </w:r>
    </w:p>
    <w:p w:rsidR="005A7F6B" w:rsidRPr="00431D28" w:rsidRDefault="00412646" w:rsidP="00412646">
      <w:pPr>
        <w:numPr>
          <w:ilvl w:val="2"/>
          <w:numId w:val="16"/>
        </w:numPr>
        <w:tabs>
          <w:tab w:val="clear" w:pos="1790"/>
        </w:tabs>
        <w:spacing w:after="200"/>
        <w:ind w:left="1701" w:hanging="567"/>
        <w:rPr>
          <w:rFonts w:eastAsia="SimSun" w:cs="Arial"/>
          <w:lang w:val="fr-FR" w:eastAsia="zh-CN"/>
        </w:rPr>
      </w:pPr>
      <w:r w:rsidRPr="00431D28">
        <w:rPr>
          <w:rFonts w:eastAsia="SimSun" w:cs="Arial"/>
          <w:b/>
          <w:bCs/>
          <w:lang w:val="fr-FR" w:eastAsia="zh-CN"/>
        </w:rPr>
        <w:t>Postes</w:t>
      </w:r>
      <w:r w:rsidRPr="00431D28">
        <w:rPr>
          <w:rFonts w:eastAsia="SimSun" w:cs="Arial"/>
          <w:bCs/>
          <w:lang w:val="fr-FR" w:eastAsia="zh-CN"/>
        </w:rPr>
        <w:t xml:space="preserve"> – cette catégorie comprend les ressources prévues pour les fonctionnaires titulaires d’un engagement de durée déterminée, d’un engagement continu ou d’un engagement permanent par rapport aux postes approuvés inscrits au budget ordinaire, dans la catégorie des administrateurs et celle des services généraux.</w:t>
      </w:r>
    </w:p>
    <w:p w:rsidR="005A7F6B" w:rsidRPr="00431D28" w:rsidRDefault="00DE7689" w:rsidP="00412646">
      <w:pPr>
        <w:numPr>
          <w:ilvl w:val="2"/>
          <w:numId w:val="16"/>
        </w:numPr>
        <w:tabs>
          <w:tab w:val="clear" w:pos="1790"/>
          <w:tab w:val="num" w:pos="1701"/>
        </w:tabs>
        <w:spacing w:after="200"/>
        <w:ind w:left="1701" w:hanging="567"/>
        <w:rPr>
          <w:rFonts w:eastAsia="SimSun" w:cs="Arial"/>
          <w:lang w:val="fr-FR" w:eastAsia="zh-CN"/>
        </w:rPr>
      </w:pPr>
      <w:r>
        <w:rPr>
          <w:rFonts w:eastAsia="SimSun" w:cs="Arial"/>
          <w:b/>
          <w:bCs/>
          <w:lang w:val="fr-FR" w:eastAsia="zh-CN"/>
        </w:rPr>
        <w:t>Agents</w:t>
      </w:r>
      <w:r w:rsidR="00412646" w:rsidRPr="00431D28">
        <w:rPr>
          <w:rFonts w:eastAsia="SimSun" w:cs="Arial"/>
          <w:b/>
          <w:bCs/>
          <w:lang w:val="fr-FR" w:eastAsia="zh-CN"/>
        </w:rPr>
        <w:t xml:space="preserve"> temporaires</w:t>
      </w:r>
      <w:r w:rsidR="00412646" w:rsidRPr="00431D28">
        <w:rPr>
          <w:rFonts w:eastAsia="SimSun" w:cs="Arial"/>
          <w:bCs/>
          <w:lang w:val="fr-FR" w:eastAsia="zh-CN"/>
        </w:rPr>
        <w:t xml:space="preserve"> – cette catégorie comprend les ressources prévues pour les personnes dont les contrats de courte durée ont été transformés en engagements temporaires, ainsi que les nouveaux engagements temporaires en vertu du Statut et Règlement du personnel.</w:t>
      </w:r>
      <w:r w:rsidR="00D541D0" w:rsidRPr="00431D28">
        <w:rPr>
          <w:rFonts w:eastAsia="SimSun" w:cs="Arial"/>
          <w:lang w:val="fr-FR" w:eastAsia="zh-CN"/>
        </w:rPr>
        <w:t xml:space="preserve">  </w:t>
      </w:r>
    </w:p>
    <w:p w:rsidR="005A7F6B" w:rsidRPr="00431D28" w:rsidRDefault="00412646" w:rsidP="00412646">
      <w:pPr>
        <w:numPr>
          <w:ilvl w:val="2"/>
          <w:numId w:val="16"/>
        </w:numPr>
        <w:tabs>
          <w:tab w:val="clear" w:pos="1790"/>
        </w:tabs>
        <w:spacing w:after="200"/>
        <w:ind w:left="1701" w:hanging="567"/>
        <w:rPr>
          <w:rFonts w:eastAsia="SimSun" w:cs="Arial"/>
          <w:lang w:val="fr-FR" w:eastAsia="zh-CN"/>
        </w:rPr>
      </w:pPr>
      <w:r w:rsidRPr="00431D28">
        <w:rPr>
          <w:rFonts w:eastAsia="SimSun" w:cs="Arial"/>
          <w:b/>
          <w:bCs/>
          <w:lang w:val="fr-FR" w:eastAsia="zh-CN"/>
        </w:rPr>
        <w:t xml:space="preserve">Stagiaires </w:t>
      </w:r>
      <w:r w:rsidRPr="00431D28">
        <w:rPr>
          <w:rFonts w:eastAsia="SimSun" w:cs="Arial"/>
          <w:bCs/>
          <w:lang w:val="fr-FR" w:eastAsia="zh-CN"/>
        </w:rPr>
        <w:t>– ce</w:t>
      </w:r>
      <w:r w:rsidR="001D5AE3">
        <w:rPr>
          <w:rFonts w:eastAsia="SimSun" w:cs="Arial"/>
          <w:bCs/>
          <w:lang w:val="fr-FR" w:eastAsia="zh-CN"/>
        </w:rPr>
        <w:t>tte catégorie</w:t>
      </w:r>
      <w:r w:rsidRPr="00431D28">
        <w:rPr>
          <w:rFonts w:eastAsia="SimSun" w:cs="Arial"/>
          <w:bCs/>
          <w:lang w:val="fr-FR" w:eastAsia="zh-CN"/>
        </w:rPr>
        <w:t xml:space="preserve"> continue de comprendre le même type de personnes, à savoir des stagiaires, mais il a été déplacé de la catégorie des ressources en personnel à celle des autres ressources, afin de refléter de manière appropriée la nature de la relation entre ces personnes et l’Organisation.</w:t>
      </w:r>
      <w:r w:rsidR="00D541D0" w:rsidRPr="00431D28">
        <w:rPr>
          <w:rFonts w:eastAsia="SimSun" w:cs="Arial"/>
          <w:lang w:val="fr-FR" w:eastAsia="zh-CN"/>
        </w:rPr>
        <w:t xml:space="preserve">  </w:t>
      </w:r>
      <w:r w:rsidRPr="00431D28">
        <w:rPr>
          <w:rFonts w:eastAsia="SimSun" w:cs="Arial"/>
          <w:lang w:val="fr-FR" w:eastAsia="zh-CN"/>
        </w:rPr>
        <w:t>Puisqu’elles ne relèvent pas du Statut et Règlement du personnel, elles sont considérées comme des ressources autres que les ressources en personnel et figurent donc sous la rubrique ʺAutres ressourcesʺ.</w:t>
      </w:r>
    </w:p>
    <w:p w:rsidR="005A7F6B" w:rsidRPr="00431D28" w:rsidRDefault="00412646" w:rsidP="00412646">
      <w:pPr>
        <w:numPr>
          <w:ilvl w:val="1"/>
          <w:numId w:val="16"/>
        </w:numPr>
        <w:spacing w:after="200"/>
        <w:ind w:hanging="513"/>
        <w:rPr>
          <w:rFonts w:eastAsia="SimSun" w:cs="Arial"/>
          <w:lang w:val="fr-FR" w:eastAsia="zh-CN"/>
        </w:rPr>
      </w:pPr>
      <w:r w:rsidRPr="00431D28">
        <w:rPr>
          <w:rFonts w:eastAsia="SimSun" w:cs="Arial"/>
          <w:lang w:val="fr-FR" w:eastAsia="zh-CN"/>
        </w:rPr>
        <w:t xml:space="preserve">La catégorie des autres dépenses de personnel a été créée pour illustrer les différents types de coûts communs aux postes et aux </w:t>
      </w:r>
      <w:r w:rsidR="00DE7689">
        <w:rPr>
          <w:rFonts w:eastAsia="SimSun" w:cs="Arial"/>
          <w:lang w:val="fr-FR" w:eastAsia="zh-CN"/>
        </w:rPr>
        <w:t>agents</w:t>
      </w:r>
      <w:r w:rsidR="001D5AE3">
        <w:rPr>
          <w:rFonts w:eastAsia="SimSun" w:cs="Arial"/>
          <w:lang w:val="fr-FR" w:eastAsia="zh-CN"/>
        </w:rPr>
        <w:t xml:space="preserve"> </w:t>
      </w:r>
      <w:r w:rsidRPr="00431D28">
        <w:rPr>
          <w:rFonts w:eastAsia="SimSun" w:cs="Arial"/>
          <w:lang w:val="fr-FR" w:eastAsia="zh-CN"/>
        </w:rPr>
        <w:t>temporaires.</w:t>
      </w:r>
      <w:r w:rsidR="00D541D0" w:rsidRPr="00431D28">
        <w:rPr>
          <w:rFonts w:eastAsia="SimSun" w:cs="Arial"/>
          <w:lang w:val="fr-FR" w:eastAsia="zh-CN"/>
        </w:rPr>
        <w:t xml:space="preserve">  </w:t>
      </w:r>
      <w:r w:rsidRPr="00431D28">
        <w:rPr>
          <w:rFonts w:eastAsia="SimSun" w:cs="Arial"/>
          <w:lang w:val="fr-FR" w:eastAsia="zh-CN"/>
        </w:rPr>
        <w:t>Les autres dépenses de personnel comprennent les dotations budgétaires au titre de l’assurance accidents professionnels, des contributions à la caisse de pension fermée et des frais de justice.</w:t>
      </w:r>
    </w:p>
    <w:p w:rsidR="005A7F6B" w:rsidRPr="00431D28" w:rsidRDefault="00412646" w:rsidP="00412646">
      <w:pPr>
        <w:widowControl w:val="0"/>
        <w:numPr>
          <w:ilvl w:val="1"/>
          <w:numId w:val="16"/>
        </w:numPr>
        <w:spacing w:after="120"/>
        <w:ind w:left="1077" w:hanging="510"/>
        <w:rPr>
          <w:rFonts w:eastAsia="SimSun" w:cs="Arial"/>
          <w:lang w:val="fr-FR" w:eastAsia="zh-CN"/>
        </w:rPr>
      </w:pPr>
      <w:r w:rsidRPr="00431D28">
        <w:rPr>
          <w:rFonts w:eastAsia="SimSun" w:cs="Arial"/>
          <w:lang w:val="fr-FR" w:eastAsia="zh-CN"/>
        </w:rPr>
        <w:t>Les catégories relevant des services contractuels ont été regroupées sous les rubriques suivantes :</w:t>
      </w:r>
      <w:r w:rsidR="00D541D0" w:rsidRPr="00431D28">
        <w:rPr>
          <w:rFonts w:eastAsia="SimSun" w:cs="Arial"/>
          <w:lang w:val="fr-FR" w:eastAsia="zh-CN"/>
        </w:rPr>
        <w:t xml:space="preserve"> </w:t>
      </w:r>
    </w:p>
    <w:p w:rsidR="005A7F6B" w:rsidRPr="00431D28" w:rsidRDefault="003705C7" w:rsidP="003705C7">
      <w:pPr>
        <w:widowControl w:val="0"/>
        <w:numPr>
          <w:ilvl w:val="3"/>
          <w:numId w:val="16"/>
        </w:numPr>
        <w:tabs>
          <w:tab w:val="clear" w:pos="2520"/>
          <w:tab w:val="num" w:pos="2127"/>
        </w:tabs>
        <w:spacing w:after="120"/>
        <w:ind w:left="2126" w:hanging="425"/>
        <w:rPr>
          <w:rFonts w:eastAsia="SimSun" w:cs="Arial"/>
          <w:lang w:val="fr-FR" w:eastAsia="zh-CN"/>
        </w:rPr>
      </w:pPr>
      <w:r w:rsidRPr="00431D28">
        <w:rPr>
          <w:rFonts w:eastAsia="SimSun" w:cs="Arial"/>
          <w:lang w:val="fr-FR" w:eastAsia="zh-CN"/>
        </w:rPr>
        <w:t>les services contractuels de personnes, qui comprennent les dépenses prévues pour l’ensemble des contrats de ce type (précédemment connus sous le nom de “contrats de louage de services” (SSA) et d’“honoraires d’experts”);  et</w:t>
      </w:r>
      <w:r w:rsidR="00D541D0" w:rsidRPr="00431D28">
        <w:rPr>
          <w:rFonts w:eastAsia="SimSun" w:cs="Arial"/>
          <w:lang w:val="fr-FR" w:eastAsia="zh-CN"/>
        </w:rPr>
        <w:t xml:space="preserve"> </w:t>
      </w:r>
    </w:p>
    <w:p w:rsidR="005A7F6B" w:rsidRPr="00431D28" w:rsidRDefault="003705C7" w:rsidP="003705C7">
      <w:pPr>
        <w:widowControl w:val="0"/>
        <w:numPr>
          <w:ilvl w:val="3"/>
          <w:numId w:val="16"/>
        </w:numPr>
        <w:tabs>
          <w:tab w:val="clear" w:pos="2520"/>
          <w:tab w:val="num" w:pos="2127"/>
        </w:tabs>
        <w:ind w:left="2127" w:hanging="426"/>
        <w:rPr>
          <w:rFonts w:eastAsia="SimSun" w:cs="Arial"/>
          <w:lang w:val="fr-FR" w:eastAsia="zh-CN"/>
        </w:rPr>
      </w:pPr>
      <w:r w:rsidRPr="00431D28">
        <w:rPr>
          <w:rFonts w:eastAsia="SimSun" w:cs="Arial"/>
          <w:lang w:val="fr-FR" w:eastAsia="zh-CN"/>
        </w:rPr>
        <w:t>les autres services contractuels, qui comprennent tous les services contractuels avec des prestataires de services commerciaux et non commerciaux.</w:t>
      </w:r>
    </w:p>
    <w:p w:rsidR="005A7F6B" w:rsidRPr="00431D28" w:rsidRDefault="005A7F6B" w:rsidP="00D541D0">
      <w:pPr>
        <w:widowControl w:val="0"/>
        <w:rPr>
          <w:rFonts w:eastAsia="SimSun" w:cs="Arial"/>
          <w:color w:val="000000"/>
          <w:lang w:val="fr-FR" w:eastAsia="zh-CN"/>
        </w:rPr>
      </w:pPr>
    </w:p>
    <w:p w:rsidR="005A7F6B" w:rsidRPr="00431D28" w:rsidRDefault="0044183C" w:rsidP="00421639">
      <w:pPr>
        <w:rPr>
          <w:b/>
          <w:spacing w:val="-2"/>
          <w:szCs w:val="24"/>
          <w:lang w:val="fr-FR"/>
        </w:rPr>
      </w:pPr>
      <w:r>
        <w:rPr>
          <w:b/>
          <w:spacing w:val="-2"/>
          <w:szCs w:val="24"/>
          <w:lang w:val="fr-FR"/>
        </w:rPr>
        <w:br w:type="page"/>
      </w:r>
    </w:p>
    <w:p w:rsidR="005A7F6B" w:rsidRPr="00431D28" w:rsidRDefault="00421639" w:rsidP="00421639">
      <w:pPr>
        <w:keepNext/>
        <w:jc w:val="center"/>
        <w:rPr>
          <w:b/>
          <w:lang w:val="fr-FR"/>
        </w:rPr>
      </w:pPr>
      <w:r w:rsidRPr="00431D28">
        <w:rPr>
          <w:b/>
          <w:lang w:val="fr-FR"/>
        </w:rPr>
        <w:t>Table</w:t>
      </w:r>
      <w:r w:rsidR="003705C7" w:rsidRPr="00431D28">
        <w:rPr>
          <w:b/>
          <w:lang w:val="fr-FR"/>
        </w:rPr>
        <w:t>au</w:t>
      </w:r>
      <w:r w:rsidRPr="00431D28">
        <w:rPr>
          <w:b/>
          <w:lang w:val="fr-FR"/>
        </w:rPr>
        <w:t xml:space="preserve"> 4</w:t>
      </w:r>
      <w:r w:rsidR="003705C7" w:rsidRPr="00431D28">
        <w:rPr>
          <w:b/>
          <w:lang w:val="fr-FR"/>
        </w:rPr>
        <w:t> </w:t>
      </w:r>
      <w:r w:rsidRPr="00431D28">
        <w:rPr>
          <w:b/>
          <w:lang w:val="fr-FR"/>
        </w:rPr>
        <w:t>:</w:t>
      </w:r>
      <w:r w:rsidR="003705C7" w:rsidRPr="00431D28">
        <w:rPr>
          <w:b/>
          <w:lang w:val="fr-FR"/>
        </w:rPr>
        <w:t xml:space="preserve"> Budget proposé pour 2014-2015 : variations budgétaires par objet de dépense</w:t>
      </w:r>
    </w:p>
    <w:p w:rsidR="005A7F6B" w:rsidRPr="00431D28" w:rsidRDefault="003705C7" w:rsidP="00421639">
      <w:pPr>
        <w:keepNext/>
        <w:jc w:val="center"/>
        <w:rPr>
          <w:lang w:val="fr-FR"/>
        </w:rPr>
      </w:pPr>
      <w:r w:rsidRPr="00431D28">
        <w:rPr>
          <w:lang w:val="fr-FR"/>
        </w:rPr>
        <w:t>(en milliers de francs suisses</w:t>
      </w:r>
      <w:r w:rsidR="00421639" w:rsidRPr="00431D28">
        <w:rPr>
          <w:lang w:val="fr-FR"/>
        </w:rPr>
        <w:t>)</w:t>
      </w:r>
    </w:p>
    <w:p w:rsidR="00830231" w:rsidRPr="00431D28" w:rsidRDefault="00830231" w:rsidP="00421639">
      <w:pPr>
        <w:keepNext/>
        <w:jc w:val="center"/>
        <w:rPr>
          <w:lang w:val="fr-FR"/>
        </w:rPr>
      </w:pPr>
    </w:p>
    <w:tbl>
      <w:tblPr>
        <w:tblW w:w="9371" w:type="dxa"/>
        <w:tblInd w:w="250" w:type="dxa"/>
        <w:tblLook w:val="04A0" w:firstRow="1" w:lastRow="0" w:firstColumn="1" w:lastColumn="0" w:noHBand="0" w:noVBand="1"/>
      </w:tblPr>
      <w:tblGrid>
        <w:gridCol w:w="3276"/>
        <w:gridCol w:w="1275"/>
        <w:gridCol w:w="1418"/>
        <w:gridCol w:w="1134"/>
        <w:gridCol w:w="992"/>
        <w:gridCol w:w="1276"/>
      </w:tblGrid>
      <w:tr w:rsidR="00830231" w:rsidRPr="00431D28" w:rsidTr="00830231">
        <w:trPr>
          <w:trHeight w:val="25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30231" w:rsidRPr="00431D28" w:rsidRDefault="003705C7" w:rsidP="00830231">
            <w:pPr>
              <w:jc w:val="center"/>
              <w:rPr>
                <w:rFonts w:cs="Arial"/>
                <w:b/>
                <w:bCs/>
                <w:lang w:val="fr-FR"/>
              </w:rPr>
            </w:pPr>
            <w:r w:rsidRPr="00431D28">
              <w:rPr>
                <w:rFonts w:cs="Arial"/>
                <w:b/>
                <w:bCs/>
                <w:lang w:val="fr-FR"/>
              </w:rPr>
              <w:t>Objet de dépense</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30231" w:rsidRPr="00431D28" w:rsidRDefault="003705C7" w:rsidP="00830231">
            <w:pPr>
              <w:jc w:val="center"/>
              <w:rPr>
                <w:rFonts w:cs="Arial"/>
                <w:b/>
                <w:bCs/>
                <w:lang w:val="fr-FR"/>
              </w:rPr>
            </w:pPr>
            <w:r w:rsidRPr="00431D28">
              <w:rPr>
                <w:rFonts w:cs="Arial"/>
                <w:b/>
                <w:bCs/>
                <w:lang w:val="fr-FR"/>
              </w:rPr>
              <w:t>2010-2011 Montant effectif</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30231" w:rsidRPr="00431D28" w:rsidRDefault="00830231" w:rsidP="00830231">
            <w:pPr>
              <w:jc w:val="center"/>
              <w:rPr>
                <w:rFonts w:cs="Arial"/>
                <w:b/>
                <w:bCs/>
                <w:lang w:val="fr-FR"/>
              </w:rPr>
            </w:pPr>
            <w:r w:rsidRPr="00431D28">
              <w:rPr>
                <w:rFonts w:cs="Arial"/>
                <w:b/>
                <w:bCs/>
                <w:lang w:val="fr-FR"/>
              </w:rPr>
              <w:t>2012-2013 Budget</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0231" w:rsidRPr="00431D28" w:rsidRDefault="003705C7" w:rsidP="00830231">
            <w:pPr>
              <w:jc w:val="center"/>
              <w:rPr>
                <w:rFonts w:cs="Arial"/>
                <w:b/>
                <w:bCs/>
                <w:lang w:val="fr-FR"/>
              </w:rPr>
            </w:pPr>
            <w:r w:rsidRPr="00431D28">
              <w:rPr>
                <w:rFonts w:cs="Arial"/>
                <w:b/>
                <w:bCs/>
                <w:lang w:val="fr-FR"/>
              </w:rPr>
              <w:t>Variation des ressources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30231" w:rsidRPr="00431D28" w:rsidRDefault="003705C7" w:rsidP="00830231">
            <w:pPr>
              <w:jc w:val="center"/>
              <w:rPr>
                <w:rFonts w:cs="Arial"/>
                <w:b/>
                <w:bCs/>
                <w:lang w:val="fr-FR"/>
              </w:rPr>
            </w:pPr>
            <w:r w:rsidRPr="00431D28">
              <w:rPr>
                <w:rFonts w:cs="Arial"/>
                <w:b/>
                <w:bCs/>
                <w:lang w:val="fr-FR"/>
              </w:rPr>
              <w:t>2014-2015 Montant proposé</w:t>
            </w:r>
          </w:p>
        </w:tc>
      </w:tr>
      <w:tr w:rsidR="00830231" w:rsidRPr="00431D28" w:rsidTr="00830231">
        <w:trPr>
          <w:trHeight w:val="255"/>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830231" w:rsidRPr="00431D28" w:rsidRDefault="00830231" w:rsidP="00830231">
            <w:pPr>
              <w:jc w:val="left"/>
              <w:rPr>
                <w:rFonts w:cs="Arial"/>
                <w:b/>
                <w:bCs/>
                <w:lang w:val="fr-FR"/>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830231" w:rsidRPr="00431D28" w:rsidRDefault="00830231" w:rsidP="00830231">
            <w:pPr>
              <w:jc w:val="left"/>
              <w:rPr>
                <w:rFonts w:cs="Arial"/>
                <w:b/>
                <w:bCs/>
                <w:lang w:val="fr-FR"/>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30231" w:rsidRPr="00431D28" w:rsidRDefault="00830231" w:rsidP="00830231">
            <w:pPr>
              <w:jc w:val="left"/>
              <w:rPr>
                <w:rFonts w:cs="Arial"/>
                <w:b/>
                <w:bCs/>
                <w:lang w:val="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830231" w:rsidRPr="00431D28" w:rsidRDefault="00830231" w:rsidP="00830231">
            <w:pPr>
              <w:jc w:val="left"/>
              <w:rPr>
                <w:rFonts w:cs="Arial"/>
                <w:b/>
                <w:bCs/>
                <w:lang w:val="fr-FR"/>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30231" w:rsidRPr="00431D28" w:rsidRDefault="00830231" w:rsidP="00830231">
            <w:pPr>
              <w:jc w:val="left"/>
              <w:rPr>
                <w:rFonts w:cs="Arial"/>
                <w:b/>
                <w:bCs/>
                <w:lang w:val="fr-FR"/>
              </w:rPr>
            </w:pPr>
          </w:p>
        </w:tc>
      </w:tr>
      <w:tr w:rsidR="00830231" w:rsidRPr="00431D28" w:rsidTr="00830231">
        <w:trPr>
          <w:trHeight w:val="255"/>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830231" w:rsidRPr="00431D28" w:rsidRDefault="00830231" w:rsidP="00830231">
            <w:pPr>
              <w:jc w:val="left"/>
              <w:rPr>
                <w:rFonts w:cs="Arial"/>
                <w:b/>
                <w:bCs/>
                <w:lang w:val="fr-FR"/>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830231" w:rsidRPr="00431D28" w:rsidRDefault="00830231" w:rsidP="00830231">
            <w:pPr>
              <w:jc w:val="left"/>
              <w:rPr>
                <w:rFonts w:cs="Arial"/>
                <w:b/>
                <w:bCs/>
                <w:lang w:val="fr-FR"/>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30231" w:rsidRPr="00431D28" w:rsidRDefault="00830231" w:rsidP="00830231">
            <w:pPr>
              <w:jc w:val="left"/>
              <w:rPr>
                <w:rFonts w:cs="Arial"/>
                <w:b/>
                <w:bCs/>
                <w:lang w:val="fr-FR"/>
              </w:rPr>
            </w:pPr>
          </w:p>
        </w:tc>
        <w:tc>
          <w:tcPr>
            <w:tcW w:w="1134" w:type="dxa"/>
            <w:tcBorders>
              <w:top w:val="nil"/>
              <w:left w:val="nil"/>
              <w:bottom w:val="single" w:sz="4" w:space="0" w:color="auto"/>
              <w:right w:val="single" w:sz="4" w:space="0" w:color="auto"/>
            </w:tcBorders>
            <w:shd w:val="clear" w:color="auto" w:fill="auto"/>
            <w:vAlign w:val="bottom"/>
            <w:hideMark/>
          </w:tcPr>
          <w:p w:rsidR="00830231" w:rsidRPr="00431D28" w:rsidRDefault="00431D28" w:rsidP="00830231">
            <w:pPr>
              <w:jc w:val="center"/>
              <w:rPr>
                <w:rFonts w:cs="Arial"/>
                <w:b/>
                <w:bCs/>
                <w:lang w:val="fr-FR"/>
              </w:rPr>
            </w:pPr>
            <w:r>
              <w:rPr>
                <w:rFonts w:cs="Arial"/>
                <w:b/>
                <w:bCs/>
                <w:lang w:val="fr-FR"/>
              </w:rPr>
              <w:t>Montant</w:t>
            </w:r>
          </w:p>
        </w:tc>
        <w:tc>
          <w:tcPr>
            <w:tcW w:w="992"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center"/>
              <w:rPr>
                <w:rFonts w:cs="Arial"/>
                <w:b/>
                <w:bCs/>
                <w:lang w:val="fr-FR"/>
              </w:rPr>
            </w:pPr>
            <w:r w:rsidRPr="00431D28">
              <w:rPr>
                <w:rFonts w:cs="Arial"/>
                <w:b/>
                <w:bCs/>
                <w:lang w:val="fr-FR"/>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30231" w:rsidRPr="00431D28" w:rsidRDefault="00830231" w:rsidP="00830231">
            <w:pPr>
              <w:jc w:val="left"/>
              <w:rPr>
                <w:rFonts w:cs="Arial"/>
                <w:b/>
                <w:bCs/>
                <w:lang w:val="fr-FR"/>
              </w:rPr>
            </w:pPr>
          </w:p>
        </w:tc>
      </w:tr>
      <w:tr w:rsidR="00830231" w:rsidRPr="00431D28" w:rsidTr="00830231">
        <w:trPr>
          <w:trHeight w:val="255"/>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830231" w:rsidRPr="00431D28" w:rsidRDefault="00830231" w:rsidP="00830231">
            <w:pPr>
              <w:jc w:val="left"/>
              <w:rPr>
                <w:rFonts w:cs="Arial"/>
                <w:b/>
                <w:bCs/>
                <w:lang w:val="fr-FR"/>
              </w:rPr>
            </w:pPr>
          </w:p>
        </w:tc>
        <w:tc>
          <w:tcPr>
            <w:tcW w:w="1275" w:type="dxa"/>
            <w:tcBorders>
              <w:top w:val="nil"/>
              <w:left w:val="nil"/>
              <w:bottom w:val="single" w:sz="4" w:space="0" w:color="auto"/>
              <w:right w:val="nil"/>
            </w:tcBorders>
            <w:shd w:val="clear" w:color="auto" w:fill="auto"/>
            <w:vAlign w:val="bottom"/>
            <w:hideMark/>
          </w:tcPr>
          <w:p w:rsidR="00830231" w:rsidRPr="00431D28" w:rsidRDefault="00830231" w:rsidP="00830231">
            <w:pPr>
              <w:jc w:val="center"/>
              <w:rPr>
                <w:rFonts w:cs="Arial"/>
                <w:b/>
                <w:bCs/>
                <w:lang w:val="fr-FR"/>
              </w:rPr>
            </w:pPr>
            <w:r w:rsidRPr="00431D28">
              <w:rPr>
                <w:rFonts w:cs="Arial"/>
                <w:b/>
                <w:bCs/>
                <w:lang w:val="fr-FR"/>
              </w:rPr>
              <w:t>A</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830231" w:rsidRPr="00431D28" w:rsidRDefault="00830231" w:rsidP="00830231">
            <w:pPr>
              <w:jc w:val="center"/>
              <w:rPr>
                <w:rFonts w:cs="Arial"/>
                <w:b/>
                <w:bCs/>
                <w:lang w:val="fr-FR"/>
              </w:rPr>
            </w:pPr>
            <w:r w:rsidRPr="00431D28">
              <w:rPr>
                <w:rFonts w:cs="Arial"/>
                <w:b/>
                <w:bCs/>
                <w:lang w:val="fr-FR"/>
              </w:rPr>
              <w:t>B</w:t>
            </w:r>
          </w:p>
        </w:tc>
        <w:tc>
          <w:tcPr>
            <w:tcW w:w="1134"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center"/>
              <w:rPr>
                <w:rFonts w:cs="Arial"/>
                <w:b/>
                <w:bCs/>
                <w:lang w:val="fr-FR"/>
              </w:rPr>
            </w:pPr>
            <w:r w:rsidRPr="00431D28">
              <w:rPr>
                <w:rFonts w:cs="Arial"/>
                <w:b/>
                <w:bCs/>
                <w:lang w:val="fr-FR"/>
              </w:rPr>
              <w:t>C</w:t>
            </w:r>
          </w:p>
        </w:tc>
        <w:tc>
          <w:tcPr>
            <w:tcW w:w="992"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center"/>
              <w:rPr>
                <w:rFonts w:cs="Arial"/>
                <w:b/>
                <w:bCs/>
                <w:lang w:val="fr-FR"/>
              </w:rPr>
            </w:pPr>
            <w:r w:rsidRPr="00431D28">
              <w:rPr>
                <w:rFonts w:cs="Arial"/>
                <w:b/>
                <w:bCs/>
                <w:lang w:val="fr-FR"/>
              </w:rPr>
              <w:t>C/B</w:t>
            </w:r>
          </w:p>
        </w:tc>
        <w:tc>
          <w:tcPr>
            <w:tcW w:w="1276"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center"/>
              <w:rPr>
                <w:rFonts w:cs="Arial"/>
                <w:b/>
                <w:bCs/>
                <w:lang w:val="fr-FR"/>
              </w:rPr>
            </w:pPr>
            <w:r w:rsidRPr="00431D28">
              <w:rPr>
                <w:rFonts w:cs="Arial"/>
                <w:b/>
                <w:bCs/>
                <w:lang w:val="fr-FR"/>
              </w:rPr>
              <w:t>D=B+C</w:t>
            </w:r>
          </w:p>
        </w:tc>
      </w:tr>
      <w:tr w:rsidR="00830231" w:rsidRPr="00431D28" w:rsidTr="00830231">
        <w:trPr>
          <w:trHeight w:val="255"/>
        </w:trPr>
        <w:tc>
          <w:tcPr>
            <w:tcW w:w="9371" w:type="dxa"/>
            <w:gridSpan w:val="6"/>
            <w:tcBorders>
              <w:top w:val="nil"/>
              <w:left w:val="single" w:sz="4" w:space="0" w:color="auto"/>
              <w:bottom w:val="nil"/>
              <w:right w:val="single" w:sz="4" w:space="0" w:color="000000"/>
            </w:tcBorders>
            <w:shd w:val="clear" w:color="auto" w:fill="auto"/>
            <w:vAlign w:val="bottom"/>
            <w:hideMark/>
          </w:tcPr>
          <w:p w:rsidR="00830231" w:rsidRPr="00431D28" w:rsidRDefault="003705C7" w:rsidP="00830231">
            <w:pPr>
              <w:jc w:val="left"/>
              <w:rPr>
                <w:rFonts w:cs="Arial"/>
                <w:b/>
                <w:bCs/>
                <w:lang w:val="fr-FR"/>
              </w:rPr>
            </w:pPr>
            <w:r w:rsidRPr="00431D28">
              <w:rPr>
                <w:rFonts w:cs="Arial"/>
                <w:b/>
                <w:bCs/>
                <w:lang w:val="fr-FR"/>
              </w:rPr>
              <w:t>A.  Ressources en personnel</w:t>
            </w:r>
          </w:p>
        </w:tc>
      </w:tr>
      <w:tr w:rsidR="00830231" w:rsidRPr="00431D28" w:rsidTr="00830231">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0231" w:rsidRPr="00431D28" w:rsidRDefault="003705C7" w:rsidP="00830231">
            <w:pPr>
              <w:jc w:val="left"/>
              <w:rPr>
                <w:rFonts w:cs="Arial"/>
                <w:color w:val="000000"/>
                <w:lang w:val="fr-FR"/>
              </w:rPr>
            </w:pPr>
            <w:r w:rsidRPr="00431D28">
              <w:rPr>
                <w:rFonts w:cs="Arial"/>
                <w:color w:val="000000"/>
                <w:lang w:val="fr-FR"/>
              </w:rPr>
              <w:t>Postes</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44183C" w:rsidP="00830231">
            <w:pPr>
              <w:jc w:val="right"/>
              <w:rPr>
                <w:rFonts w:cs="Arial"/>
                <w:lang w:val="fr-FR"/>
              </w:rPr>
            </w:pPr>
            <w:r>
              <w:rPr>
                <w:rFonts w:cs="Arial"/>
                <w:lang w:val="fr-FR"/>
              </w:rPr>
              <w:t>4</w:t>
            </w:r>
            <w:r w:rsidR="007632C2">
              <w:rPr>
                <w:rFonts w:cs="Arial"/>
                <w:lang w:val="fr-FR"/>
              </w:rPr>
              <w:t> </w:t>
            </w:r>
            <w:r w:rsidR="00830231" w:rsidRPr="00431D28">
              <w:rPr>
                <w:rFonts w:cs="Arial"/>
                <w:lang w:val="fr-FR"/>
              </w:rPr>
              <w:t>055</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44183C" w:rsidP="00830231">
            <w:pPr>
              <w:jc w:val="right"/>
              <w:rPr>
                <w:rFonts w:cs="Arial"/>
                <w:lang w:val="fr-FR"/>
              </w:rPr>
            </w:pPr>
            <w:r>
              <w:rPr>
                <w:rFonts w:cs="Arial"/>
                <w:lang w:val="fr-FR"/>
              </w:rPr>
              <w:t>4</w:t>
            </w:r>
            <w:r w:rsidR="007632C2">
              <w:rPr>
                <w:rFonts w:cs="Arial"/>
                <w:lang w:val="fr-FR"/>
              </w:rPr>
              <w:t> </w:t>
            </w:r>
            <w:r w:rsidR="00830231" w:rsidRPr="00431D28">
              <w:rPr>
                <w:rFonts w:cs="Arial"/>
                <w:lang w:val="fr-FR"/>
              </w:rPr>
              <w:t>382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-157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3705C7" w:rsidP="00830231">
            <w:pPr>
              <w:jc w:val="right"/>
              <w:rPr>
                <w:rFonts w:cs="Arial"/>
                <w:lang w:val="fr-FR"/>
              </w:rPr>
            </w:pPr>
            <w:r w:rsidRPr="00431D28">
              <w:rPr>
                <w:rFonts w:cs="Arial"/>
                <w:lang w:val="fr-FR"/>
              </w:rPr>
              <w:t>-3,</w:t>
            </w:r>
            <w:r w:rsidR="00830231" w:rsidRPr="00431D28">
              <w:rPr>
                <w:rFonts w:cs="Arial"/>
                <w:lang w:val="fr-FR"/>
              </w:rPr>
              <w:t>6%</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44183C" w:rsidP="00830231">
            <w:pPr>
              <w:jc w:val="right"/>
              <w:rPr>
                <w:rFonts w:cs="Arial"/>
                <w:lang w:val="fr-FR"/>
              </w:rPr>
            </w:pPr>
            <w:r>
              <w:rPr>
                <w:rFonts w:cs="Arial"/>
                <w:lang w:val="fr-FR"/>
              </w:rPr>
              <w:t>4</w:t>
            </w:r>
            <w:r w:rsidR="007632C2">
              <w:rPr>
                <w:rFonts w:cs="Arial"/>
                <w:lang w:val="fr-FR"/>
              </w:rPr>
              <w:t> </w:t>
            </w:r>
            <w:r w:rsidR="00830231" w:rsidRPr="00431D28">
              <w:rPr>
                <w:rFonts w:cs="Arial"/>
                <w:lang w:val="fr-FR"/>
              </w:rPr>
              <w:t>225</w:t>
            </w:r>
          </w:p>
        </w:tc>
      </w:tr>
      <w:tr w:rsidR="00830231" w:rsidRPr="00431D28" w:rsidTr="00830231">
        <w:trPr>
          <w:trHeight w:val="31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30231" w:rsidRPr="00431D28" w:rsidRDefault="003705C7" w:rsidP="00830231">
            <w:pPr>
              <w:jc w:val="left"/>
              <w:rPr>
                <w:rFonts w:cs="Arial"/>
                <w:color w:val="000000"/>
                <w:lang w:val="fr-FR"/>
              </w:rPr>
            </w:pPr>
            <w:r w:rsidRPr="00431D28">
              <w:rPr>
                <w:rFonts w:cs="Arial"/>
                <w:color w:val="000000"/>
                <w:lang w:val="fr-FR"/>
              </w:rPr>
              <w:t>Agents temporaires</w:t>
            </w:r>
          </w:p>
        </w:tc>
        <w:tc>
          <w:tcPr>
            <w:tcW w:w="1275"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204</w:t>
            </w:r>
          </w:p>
        </w:tc>
        <w:tc>
          <w:tcPr>
            <w:tcW w:w="1418"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160</w:t>
            </w:r>
          </w:p>
        </w:tc>
        <w:tc>
          <w:tcPr>
            <w:tcW w:w="1134"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40</w:t>
            </w:r>
          </w:p>
        </w:tc>
        <w:tc>
          <w:tcPr>
            <w:tcW w:w="992" w:type="dxa"/>
            <w:tcBorders>
              <w:top w:val="nil"/>
              <w:left w:val="nil"/>
              <w:bottom w:val="single" w:sz="4" w:space="0" w:color="auto"/>
              <w:right w:val="single" w:sz="4" w:space="0" w:color="auto"/>
            </w:tcBorders>
            <w:shd w:val="clear" w:color="auto" w:fill="auto"/>
            <w:vAlign w:val="bottom"/>
            <w:hideMark/>
          </w:tcPr>
          <w:p w:rsidR="00830231" w:rsidRPr="00431D28" w:rsidRDefault="003705C7" w:rsidP="00830231">
            <w:pPr>
              <w:jc w:val="right"/>
              <w:rPr>
                <w:rFonts w:cs="Arial"/>
                <w:lang w:val="fr-FR"/>
              </w:rPr>
            </w:pPr>
            <w:r w:rsidRPr="00431D28">
              <w:rPr>
                <w:rFonts w:cs="Arial"/>
                <w:lang w:val="fr-FR"/>
              </w:rPr>
              <w:t>25,</w:t>
            </w:r>
            <w:r w:rsidR="00830231" w:rsidRPr="00431D28">
              <w:rPr>
                <w:rFonts w:cs="Arial"/>
                <w:lang w:val="fr-FR"/>
              </w:rPr>
              <w:t>0%</w:t>
            </w:r>
          </w:p>
        </w:tc>
        <w:tc>
          <w:tcPr>
            <w:tcW w:w="1276"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200</w:t>
            </w:r>
          </w:p>
        </w:tc>
      </w:tr>
      <w:tr w:rsidR="00830231" w:rsidRPr="00431D28" w:rsidTr="00830231">
        <w:trPr>
          <w:trHeight w:val="36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b/>
                <w:bCs/>
                <w:color w:val="000000"/>
                <w:lang w:val="fr-FR"/>
              </w:rPr>
            </w:pPr>
            <w:r w:rsidRPr="00431D28">
              <w:rPr>
                <w:rFonts w:cs="Arial"/>
                <w:b/>
                <w:bCs/>
                <w:color w:val="000000"/>
                <w:lang w:val="fr-FR"/>
              </w:rPr>
              <w:t>Total, A</w:t>
            </w:r>
          </w:p>
        </w:tc>
        <w:tc>
          <w:tcPr>
            <w:tcW w:w="1275" w:type="dxa"/>
            <w:tcBorders>
              <w:top w:val="nil"/>
              <w:left w:val="nil"/>
              <w:bottom w:val="single" w:sz="4" w:space="0" w:color="auto"/>
              <w:right w:val="single" w:sz="4" w:space="0" w:color="auto"/>
            </w:tcBorders>
            <w:shd w:val="clear" w:color="auto" w:fill="auto"/>
            <w:vAlign w:val="bottom"/>
            <w:hideMark/>
          </w:tcPr>
          <w:p w:rsidR="00830231" w:rsidRPr="00431D28" w:rsidRDefault="0044183C" w:rsidP="00830231">
            <w:pPr>
              <w:jc w:val="right"/>
              <w:rPr>
                <w:rFonts w:cs="Arial"/>
                <w:b/>
                <w:bCs/>
                <w:lang w:val="fr-FR"/>
              </w:rPr>
            </w:pPr>
            <w:r>
              <w:rPr>
                <w:rFonts w:cs="Arial"/>
                <w:b/>
                <w:bCs/>
                <w:lang w:val="fr-FR"/>
              </w:rPr>
              <w:t>4</w:t>
            </w:r>
            <w:r w:rsidR="007632C2">
              <w:rPr>
                <w:rFonts w:cs="Arial"/>
                <w:b/>
                <w:bCs/>
                <w:lang w:val="fr-FR"/>
              </w:rPr>
              <w:t> </w:t>
            </w:r>
            <w:r w:rsidR="00830231" w:rsidRPr="00431D28">
              <w:rPr>
                <w:rFonts w:cs="Arial"/>
                <w:b/>
                <w:bCs/>
                <w:lang w:val="fr-FR"/>
              </w:rPr>
              <w:t>259</w:t>
            </w:r>
          </w:p>
        </w:tc>
        <w:tc>
          <w:tcPr>
            <w:tcW w:w="1418" w:type="dxa"/>
            <w:tcBorders>
              <w:top w:val="nil"/>
              <w:left w:val="nil"/>
              <w:bottom w:val="single" w:sz="4" w:space="0" w:color="auto"/>
              <w:right w:val="single" w:sz="4" w:space="0" w:color="auto"/>
            </w:tcBorders>
            <w:shd w:val="clear" w:color="auto" w:fill="auto"/>
            <w:vAlign w:val="bottom"/>
            <w:hideMark/>
          </w:tcPr>
          <w:p w:rsidR="00830231" w:rsidRPr="00431D28" w:rsidRDefault="0044183C" w:rsidP="00830231">
            <w:pPr>
              <w:jc w:val="right"/>
              <w:rPr>
                <w:rFonts w:cs="Arial"/>
                <w:b/>
                <w:bCs/>
                <w:lang w:val="fr-FR"/>
              </w:rPr>
            </w:pPr>
            <w:r>
              <w:rPr>
                <w:rFonts w:cs="Arial"/>
                <w:b/>
                <w:bCs/>
                <w:lang w:val="fr-FR"/>
              </w:rPr>
              <w:t>4</w:t>
            </w:r>
            <w:r w:rsidR="007632C2">
              <w:rPr>
                <w:rFonts w:cs="Arial"/>
                <w:b/>
                <w:bCs/>
                <w:lang w:val="fr-FR"/>
              </w:rPr>
              <w:t> </w:t>
            </w:r>
            <w:r w:rsidR="00830231" w:rsidRPr="00431D28">
              <w:rPr>
                <w:rFonts w:cs="Arial"/>
                <w:b/>
                <w:bCs/>
                <w:lang w:val="fr-FR"/>
              </w:rPr>
              <w:t>542</w:t>
            </w:r>
          </w:p>
        </w:tc>
        <w:tc>
          <w:tcPr>
            <w:tcW w:w="1134"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b/>
                <w:bCs/>
                <w:lang w:val="fr-FR"/>
              </w:rPr>
            </w:pPr>
            <w:r w:rsidRPr="00431D28">
              <w:rPr>
                <w:rFonts w:cs="Arial"/>
                <w:b/>
                <w:bCs/>
                <w:lang w:val="fr-FR"/>
              </w:rPr>
              <w:t>-117</w:t>
            </w:r>
          </w:p>
        </w:tc>
        <w:tc>
          <w:tcPr>
            <w:tcW w:w="992" w:type="dxa"/>
            <w:tcBorders>
              <w:top w:val="nil"/>
              <w:left w:val="nil"/>
              <w:bottom w:val="single" w:sz="4" w:space="0" w:color="auto"/>
              <w:right w:val="single" w:sz="4" w:space="0" w:color="auto"/>
            </w:tcBorders>
            <w:shd w:val="clear" w:color="auto" w:fill="auto"/>
            <w:vAlign w:val="bottom"/>
            <w:hideMark/>
          </w:tcPr>
          <w:p w:rsidR="00830231" w:rsidRPr="00431D28" w:rsidRDefault="003705C7" w:rsidP="00830231">
            <w:pPr>
              <w:jc w:val="right"/>
              <w:rPr>
                <w:rFonts w:cs="Arial"/>
                <w:b/>
                <w:bCs/>
                <w:lang w:val="fr-FR"/>
              </w:rPr>
            </w:pPr>
            <w:r w:rsidRPr="00431D28">
              <w:rPr>
                <w:rFonts w:cs="Arial"/>
                <w:b/>
                <w:bCs/>
                <w:lang w:val="fr-FR"/>
              </w:rPr>
              <w:t>-2,</w:t>
            </w:r>
            <w:r w:rsidR="00830231" w:rsidRPr="00431D28">
              <w:rPr>
                <w:rFonts w:cs="Arial"/>
                <w:b/>
                <w:bCs/>
                <w:lang w:val="fr-FR"/>
              </w:rPr>
              <w:t>6%</w:t>
            </w:r>
          </w:p>
        </w:tc>
        <w:tc>
          <w:tcPr>
            <w:tcW w:w="1276" w:type="dxa"/>
            <w:tcBorders>
              <w:top w:val="nil"/>
              <w:left w:val="nil"/>
              <w:bottom w:val="single" w:sz="4" w:space="0" w:color="auto"/>
              <w:right w:val="single" w:sz="4" w:space="0" w:color="auto"/>
            </w:tcBorders>
            <w:shd w:val="clear" w:color="auto" w:fill="auto"/>
            <w:vAlign w:val="bottom"/>
            <w:hideMark/>
          </w:tcPr>
          <w:p w:rsidR="00830231" w:rsidRPr="00431D28" w:rsidRDefault="0044183C" w:rsidP="00830231">
            <w:pPr>
              <w:jc w:val="right"/>
              <w:rPr>
                <w:rFonts w:cs="Arial"/>
                <w:b/>
                <w:bCs/>
                <w:lang w:val="fr-FR"/>
              </w:rPr>
            </w:pPr>
            <w:r>
              <w:rPr>
                <w:rFonts w:cs="Arial"/>
                <w:b/>
                <w:bCs/>
                <w:lang w:val="fr-FR"/>
              </w:rPr>
              <w:t>4</w:t>
            </w:r>
            <w:r w:rsidR="007632C2">
              <w:rPr>
                <w:rFonts w:cs="Arial"/>
                <w:b/>
                <w:bCs/>
                <w:lang w:val="fr-FR"/>
              </w:rPr>
              <w:t> </w:t>
            </w:r>
            <w:r w:rsidR="00830231" w:rsidRPr="00431D28">
              <w:rPr>
                <w:rFonts w:cs="Arial"/>
                <w:b/>
                <w:bCs/>
                <w:lang w:val="fr-FR"/>
              </w:rPr>
              <w:t>425</w:t>
            </w:r>
          </w:p>
        </w:tc>
      </w:tr>
      <w:tr w:rsidR="00830231" w:rsidRPr="00431D28" w:rsidTr="00830231">
        <w:trPr>
          <w:trHeight w:val="360"/>
        </w:trPr>
        <w:tc>
          <w:tcPr>
            <w:tcW w:w="9371"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830231" w:rsidRPr="00431D28" w:rsidRDefault="003705C7" w:rsidP="00830231">
            <w:pPr>
              <w:jc w:val="left"/>
              <w:rPr>
                <w:rFonts w:cs="Arial"/>
                <w:b/>
                <w:bCs/>
                <w:lang w:val="fr-FR"/>
              </w:rPr>
            </w:pPr>
            <w:r w:rsidRPr="00431D28">
              <w:rPr>
                <w:rFonts w:cs="Arial"/>
                <w:b/>
                <w:bCs/>
                <w:lang w:val="fr-FR"/>
              </w:rPr>
              <w:t>B.  Autres ressources</w:t>
            </w:r>
          </w:p>
        </w:tc>
      </w:tr>
      <w:tr w:rsidR="00830231" w:rsidRPr="00431D28" w:rsidTr="00830231">
        <w:trPr>
          <w:trHeight w:val="36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30231" w:rsidRPr="005C4304" w:rsidRDefault="003705C7" w:rsidP="00830231">
            <w:pPr>
              <w:jc w:val="left"/>
              <w:rPr>
                <w:rFonts w:cs="Arial"/>
                <w:b/>
                <w:bCs/>
                <w:i/>
                <w:iCs/>
                <w:lang w:val="fr-FR"/>
              </w:rPr>
            </w:pPr>
            <w:r w:rsidRPr="005C4304">
              <w:rPr>
                <w:rFonts w:cs="Arial"/>
                <w:b/>
                <w:bCs/>
                <w:i/>
                <w:iCs/>
                <w:lang w:val="fr-FR"/>
              </w:rPr>
              <w:t>Stagiaires</w:t>
            </w:r>
          </w:p>
        </w:tc>
        <w:tc>
          <w:tcPr>
            <w:tcW w:w="1275"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 </w:t>
            </w:r>
          </w:p>
        </w:tc>
        <w:tc>
          <w:tcPr>
            <w:tcW w:w="1418"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 </w:t>
            </w:r>
          </w:p>
        </w:tc>
        <w:tc>
          <w:tcPr>
            <w:tcW w:w="1134"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 </w:t>
            </w:r>
          </w:p>
        </w:tc>
        <w:tc>
          <w:tcPr>
            <w:tcW w:w="992"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 </w:t>
            </w:r>
          </w:p>
        </w:tc>
        <w:tc>
          <w:tcPr>
            <w:tcW w:w="1276"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 </w:t>
            </w:r>
          </w:p>
        </w:tc>
      </w:tr>
      <w:tr w:rsidR="00830231" w:rsidRPr="00431D28" w:rsidTr="00830231">
        <w:trPr>
          <w:trHeight w:val="36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30231" w:rsidRPr="005C4304" w:rsidRDefault="003705C7" w:rsidP="00830231">
            <w:pPr>
              <w:jc w:val="right"/>
              <w:rPr>
                <w:rFonts w:cs="Arial"/>
                <w:b/>
                <w:bCs/>
                <w:lang w:val="fr-FR"/>
              </w:rPr>
            </w:pPr>
            <w:r w:rsidRPr="005C4304">
              <w:rPr>
                <w:rFonts w:cs="Arial"/>
                <w:b/>
                <w:bCs/>
                <w:lang w:val="fr-FR"/>
              </w:rPr>
              <w:t>Total partiel</w:t>
            </w:r>
          </w:p>
        </w:tc>
        <w:tc>
          <w:tcPr>
            <w:tcW w:w="1275"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b/>
                <w:bCs/>
                <w:lang w:val="fr-FR"/>
              </w:rPr>
            </w:pPr>
            <w:r w:rsidRPr="00431D28">
              <w:rPr>
                <w:rFonts w:cs="Arial"/>
                <w:b/>
                <w:bCs/>
                <w:lang w:val="fr-FR"/>
              </w:rPr>
              <w:t>12</w:t>
            </w:r>
          </w:p>
        </w:tc>
        <w:tc>
          <w:tcPr>
            <w:tcW w:w="1418"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b/>
                <w:bCs/>
                <w:lang w:val="fr-FR"/>
              </w:rPr>
            </w:pPr>
            <w:r w:rsidRPr="00431D28">
              <w:rPr>
                <w:rFonts w:cs="Arial"/>
                <w:b/>
                <w:bCs/>
                <w:lang w:val="fr-FR"/>
              </w:rPr>
              <w:t>-</w:t>
            </w:r>
          </w:p>
        </w:tc>
        <w:tc>
          <w:tcPr>
            <w:tcW w:w="1134"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b/>
                <w:bCs/>
                <w:lang w:val="fr-FR"/>
              </w:rPr>
            </w:pPr>
            <w:r w:rsidRPr="00431D28">
              <w:rPr>
                <w:rFonts w:cs="Arial"/>
                <w:b/>
                <w:bCs/>
                <w:lang w:val="fr-FR"/>
              </w:rPr>
              <w:t>-</w:t>
            </w:r>
          </w:p>
        </w:tc>
        <w:tc>
          <w:tcPr>
            <w:tcW w:w="992" w:type="dxa"/>
            <w:tcBorders>
              <w:top w:val="nil"/>
              <w:left w:val="nil"/>
              <w:bottom w:val="single" w:sz="4" w:space="0" w:color="auto"/>
              <w:right w:val="single" w:sz="4" w:space="0" w:color="auto"/>
            </w:tcBorders>
            <w:shd w:val="clear" w:color="auto" w:fill="auto"/>
            <w:vAlign w:val="bottom"/>
            <w:hideMark/>
          </w:tcPr>
          <w:p w:rsidR="00830231" w:rsidRPr="00431D28" w:rsidRDefault="003705C7" w:rsidP="00830231">
            <w:pPr>
              <w:jc w:val="right"/>
              <w:rPr>
                <w:rFonts w:cs="Arial"/>
                <w:b/>
                <w:bCs/>
                <w:lang w:val="fr-FR"/>
              </w:rPr>
            </w:pPr>
            <w:r w:rsidRPr="00431D28">
              <w:rPr>
                <w:rFonts w:cs="Arial"/>
                <w:b/>
                <w:bCs/>
                <w:lang w:val="fr-FR"/>
              </w:rPr>
              <w:t>0,</w:t>
            </w:r>
            <w:r w:rsidR="00830231" w:rsidRPr="00431D28">
              <w:rPr>
                <w:rFonts w:cs="Arial"/>
                <w:b/>
                <w:bCs/>
                <w:lang w:val="fr-FR"/>
              </w:rPr>
              <w:t>0%</w:t>
            </w:r>
          </w:p>
        </w:tc>
        <w:tc>
          <w:tcPr>
            <w:tcW w:w="1276"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b/>
                <w:bCs/>
                <w:lang w:val="fr-FR"/>
              </w:rPr>
            </w:pPr>
            <w:r w:rsidRPr="00431D28">
              <w:rPr>
                <w:rFonts w:cs="Arial"/>
                <w:b/>
                <w:bCs/>
                <w:lang w:val="fr-FR"/>
              </w:rPr>
              <w:t>-</w:t>
            </w:r>
          </w:p>
        </w:tc>
      </w:tr>
      <w:tr w:rsidR="00830231" w:rsidRPr="00431D28" w:rsidTr="00830231">
        <w:trPr>
          <w:trHeight w:val="360"/>
        </w:trPr>
        <w:tc>
          <w:tcPr>
            <w:tcW w:w="9371" w:type="dxa"/>
            <w:gridSpan w:val="6"/>
            <w:tcBorders>
              <w:top w:val="nil"/>
              <w:left w:val="single" w:sz="4" w:space="0" w:color="auto"/>
              <w:bottom w:val="nil"/>
              <w:right w:val="single" w:sz="4" w:space="0" w:color="000000"/>
            </w:tcBorders>
            <w:shd w:val="clear" w:color="auto" w:fill="auto"/>
            <w:vAlign w:val="bottom"/>
            <w:hideMark/>
          </w:tcPr>
          <w:p w:rsidR="00830231" w:rsidRPr="005C4304" w:rsidRDefault="003705C7" w:rsidP="00830231">
            <w:pPr>
              <w:jc w:val="left"/>
              <w:rPr>
                <w:rFonts w:cs="Arial"/>
                <w:b/>
                <w:bCs/>
                <w:i/>
                <w:iCs/>
                <w:lang w:val="fr-FR"/>
              </w:rPr>
            </w:pPr>
            <w:r w:rsidRPr="005C4304">
              <w:rPr>
                <w:rFonts w:cs="Arial"/>
                <w:b/>
                <w:bCs/>
                <w:i/>
                <w:iCs/>
                <w:lang w:val="fr-FR"/>
              </w:rPr>
              <w:t>Voyages</w:t>
            </w:r>
          </w:p>
        </w:tc>
      </w:tr>
      <w:tr w:rsidR="00830231" w:rsidRPr="00431D28" w:rsidTr="00830231">
        <w:trPr>
          <w:trHeight w:val="285"/>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0231" w:rsidRPr="005C4304" w:rsidRDefault="003705C7" w:rsidP="00830231">
            <w:pPr>
              <w:jc w:val="left"/>
              <w:rPr>
                <w:rFonts w:cs="Arial"/>
                <w:color w:val="000000"/>
                <w:lang w:val="fr-FR"/>
              </w:rPr>
            </w:pPr>
            <w:r w:rsidRPr="005C4304">
              <w:rPr>
                <w:rFonts w:cs="Arial"/>
                <w:color w:val="000000"/>
                <w:lang w:val="fr-FR"/>
              </w:rPr>
              <w:t>Missions de fonctionnaires</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437</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470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3705C7" w:rsidP="00830231">
            <w:pPr>
              <w:jc w:val="right"/>
              <w:rPr>
                <w:rFonts w:cs="Arial"/>
                <w:lang w:val="fr-FR"/>
              </w:rPr>
            </w:pPr>
            <w:r w:rsidRPr="00431D28">
              <w:rPr>
                <w:rFonts w:cs="Arial"/>
                <w:lang w:val="fr-FR"/>
              </w:rPr>
              <w:t>0,</w:t>
            </w:r>
            <w:r w:rsidR="00830231" w:rsidRPr="00431D28">
              <w:rPr>
                <w:rFonts w:cs="Arial"/>
                <w:lang w:val="fr-FR"/>
              </w:rPr>
              <w:t>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470</w:t>
            </w:r>
          </w:p>
        </w:tc>
      </w:tr>
      <w:tr w:rsidR="00830231" w:rsidRPr="00431D28" w:rsidTr="00830231">
        <w:trPr>
          <w:trHeight w:val="28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30231" w:rsidRPr="005C4304" w:rsidRDefault="003705C7" w:rsidP="00830231">
            <w:pPr>
              <w:jc w:val="left"/>
              <w:rPr>
                <w:rFonts w:cs="Arial"/>
                <w:color w:val="000000"/>
                <w:lang w:val="fr-FR"/>
              </w:rPr>
            </w:pPr>
            <w:r w:rsidRPr="005C4304">
              <w:rPr>
                <w:rFonts w:cs="Arial"/>
                <w:color w:val="000000"/>
                <w:lang w:val="fr-FR"/>
              </w:rPr>
              <w:t>Voyages de tiers</w:t>
            </w:r>
          </w:p>
        </w:tc>
        <w:tc>
          <w:tcPr>
            <w:tcW w:w="1275"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184</w:t>
            </w:r>
          </w:p>
        </w:tc>
        <w:tc>
          <w:tcPr>
            <w:tcW w:w="1418"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90</w:t>
            </w:r>
          </w:p>
        </w:tc>
        <w:tc>
          <w:tcPr>
            <w:tcW w:w="1134"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30</w:t>
            </w:r>
          </w:p>
        </w:tc>
        <w:tc>
          <w:tcPr>
            <w:tcW w:w="992" w:type="dxa"/>
            <w:tcBorders>
              <w:top w:val="nil"/>
              <w:left w:val="nil"/>
              <w:bottom w:val="single" w:sz="4" w:space="0" w:color="auto"/>
              <w:right w:val="single" w:sz="4" w:space="0" w:color="auto"/>
            </w:tcBorders>
            <w:shd w:val="clear" w:color="auto" w:fill="auto"/>
            <w:vAlign w:val="bottom"/>
            <w:hideMark/>
          </w:tcPr>
          <w:p w:rsidR="00830231" w:rsidRPr="00431D28" w:rsidRDefault="003705C7" w:rsidP="00830231">
            <w:pPr>
              <w:jc w:val="right"/>
              <w:rPr>
                <w:rFonts w:cs="Arial"/>
                <w:lang w:val="fr-FR"/>
              </w:rPr>
            </w:pPr>
            <w:r w:rsidRPr="00431D28">
              <w:rPr>
                <w:rFonts w:cs="Arial"/>
                <w:lang w:val="fr-FR"/>
              </w:rPr>
              <w:t>33,</w:t>
            </w:r>
            <w:r w:rsidR="00830231" w:rsidRPr="00431D28">
              <w:rPr>
                <w:rFonts w:cs="Arial"/>
                <w:lang w:val="fr-FR"/>
              </w:rPr>
              <w:t>3%</w:t>
            </w:r>
          </w:p>
        </w:tc>
        <w:tc>
          <w:tcPr>
            <w:tcW w:w="1276"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120</w:t>
            </w:r>
          </w:p>
        </w:tc>
      </w:tr>
      <w:tr w:rsidR="00830231" w:rsidRPr="00431D28" w:rsidTr="00830231">
        <w:trPr>
          <w:trHeight w:val="36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30231" w:rsidRPr="005C4304" w:rsidRDefault="003705C7" w:rsidP="00830231">
            <w:pPr>
              <w:jc w:val="right"/>
              <w:rPr>
                <w:rFonts w:cs="Arial"/>
                <w:b/>
                <w:bCs/>
                <w:lang w:val="fr-FR"/>
              </w:rPr>
            </w:pPr>
            <w:r w:rsidRPr="005C4304">
              <w:rPr>
                <w:rFonts w:cs="Arial"/>
                <w:b/>
                <w:bCs/>
                <w:lang w:val="fr-FR"/>
              </w:rPr>
              <w:t>Total partiel</w:t>
            </w:r>
          </w:p>
        </w:tc>
        <w:tc>
          <w:tcPr>
            <w:tcW w:w="1275"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b/>
                <w:bCs/>
                <w:lang w:val="fr-FR"/>
              </w:rPr>
            </w:pPr>
            <w:r w:rsidRPr="00431D28">
              <w:rPr>
                <w:rFonts w:cs="Arial"/>
                <w:b/>
                <w:bCs/>
                <w:lang w:val="fr-FR"/>
              </w:rPr>
              <w:t>621</w:t>
            </w:r>
          </w:p>
        </w:tc>
        <w:tc>
          <w:tcPr>
            <w:tcW w:w="1418"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b/>
                <w:bCs/>
                <w:lang w:val="fr-FR"/>
              </w:rPr>
            </w:pPr>
            <w:r w:rsidRPr="00431D28">
              <w:rPr>
                <w:rFonts w:cs="Arial"/>
                <w:b/>
                <w:bCs/>
                <w:lang w:val="fr-FR"/>
              </w:rPr>
              <w:t>560</w:t>
            </w:r>
          </w:p>
        </w:tc>
        <w:tc>
          <w:tcPr>
            <w:tcW w:w="1134"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b/>
                <w:bCs/>
                <w:lang w:val="fr-FR"/>
              </w:rPr>
            </w:pPr>
            <w:r w:rsidRPr="00431D28">
              <w:rPr>
                <w:rFonts w:cs="Arial"/>
                <w:b/>
                <w:bCs/>
                <w:lang w:val="fr-FR"/>
              </w:rPr>
              <w:t>30</w:t>
            </w:r>
          </w:p>
        </w:tc>
        <w:tc>
          <w:tcPr>
            <w:tcW w:w="992" w:type="dxa"/>
            <w:tcBorders>
              <w:top w:val="nil"/>
              <w:left w:val="nil"/>
              <w:bottom w:val="single" w:sz="4" w:space="0" w:color="auto"/>
              <w:right w:val="single" w:sz="4" w:space="0" w:color="auto"/>
            </w:tcBorders>
            <w:shd w:val="clear" w:color="auto" w:fill="auto"/>
            <w:vAlign w:val="bottom"/>
            <w:hideMark/>
          </w:tcPr>
          <w:p w:rsidR="00830231" w:rsidRPr="00431D28" w:rsidRDefault="003705C7" w:rsidP="00830231">
            <w:pPr>
              <w:jc w:val="right"/>
              <w:rPr>
                <w:rFonts w:cs="Arial"/>
                <w:b/>
                <w:bCs/>
                <w:lang w:val="fr-FR"/>
              </w:rPr>
            </w:pPr>
            <w:r w:rsidRPr="00431D28">
              <w:rPr>
                <w:rFonts w:cs="Arial"/>
                <w:b/>
                <w:bCs/>
                <w:lang w:val="fr-FR"/>
              </w:rPr>
              <w:t>5,</w:t>
            </w:r>
            <w:r w:rsidR="00830231" w:rsidRPr="00431D28">
              <w:rPr>
                <w:rFonts w:cs="Arial"/>
                <w:b/>
                <w:bCs/>
                <w:lang w:val="fr-FR"/>
              </w:rPr>
              <w:t>4%</w:t>
            </w:r>
          </w:p>
        </w:tc>
        <w:tc>
          <w:tcPr>
            <w:tcW w:w="1276"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b/>
                <w:bCs/>
                <w:lang w:val="fr-FR"/>
              </w:rPr>
            </w:pPr>
            <w:r w:rsidRPr="00431D28">
              <w:rPr>
                <w:rFonts w:cs="Arial"/>
                <w:b/>
                <w:bCs/>
                <w:lang w:val="fr-FR"/>
              </w:rPr>
              <w:t>590</w:t>
            </w:r>
          </w:p>
        </w:tc>
      </w:tr>
      <w:tr w:rsidR="00830231" w:rsidRPr="00431D28" w:rsidTr="00830231">
        <w:trPr>
          <w:trHeight w:val="360"/>
        </w:trPr>
        <w:tc>
          <w:tcPr>
            <w:tcW w:w="9371" w:type="dxa"/>
            <w:gridSpan w:val="6"/>
            <w:tcBorders>
              <w:top w:val="nil"/>
              <w:left w:val="single" w:sz="4" w:space="0" w:color="auto"/>
              <w:bottom w:val="nil"/>
              <w:right w:val="single" w:sz="4" w:space="0" w:color="000000"/>
            </w:tcBorders>
            <w:shd w:val="clear" w:color="auto" w:fill="auto"/>
            <w:vAlign w:val="bottom"/>
            <w:hideMark/>
          </w:tcPr>
          <w:p w:rsidR="00830231" w:rsidRPr="005C4304" w:rsidRDefault="003705C7" w:rsidP="00830231">
            <w:pPr>
              <w:jc w:val="left"/>
              <w:rPr>
                <w:rFonts w:cs="Arial"/>
                <w:b/>
                <w:bCs/>
                <w:i/>
                <w:iCs/>
                <w:lang w:val="fr-FR"/>
              </w:rPr>
            </w:pPr>
            <w:r w:rsidRPr="005C4304">
              <w:rPr>
                <w:rFonts w:cs="Arial"/>
                <w:b/>
                <w:bCs/>
                <w:i/>
                <w:iCs/>
                <w:lang w:val="fr-FR"/>
              </w:rPr>
              <w:t>Services contractuels</w:t>
            </w:r>
          </w:p>
        </w:tc>
      </w:tr>
      <w:tr w:rsidR="00830231" w:rsidRPr="00431D28" w:rsidTr="00830231">
        <w:trPr>
          <w:trHeight w:val="360"/>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0231" w:rsidRPr="005C4304" w:rsidRDefault="003705C7" w:rsidP="00830231">
            <w:pPr>
              <w:jc w:val="left"/>
              <w:rPr>
                <w:rFonts w:cs="Arial"/>
                <w:color w:val="000000"/>
                <w:lang w:val="fr-FR"/>
              </w:rPr>
            </w:pPr>
            <w:r w:rsidRPr="005C4304">
              <w:rPr>
                <w:rFonts w:cs="Arial"/>
                <w:color w:val="000000"/>
                <w:lang w:val="fr-FR"/>
              </w:rPr>
              <w:t>Confé</w:t>
            </w:r>
            <w:r w:rsidR="00830231" w:rsidRPr="005C4304">
              <w:rPr>
                <w:rFonts w:cs="Arial"/>
                <w:color w:val="000000"/>
                <w:lang w:val="fr-FR"/>
              </w:rPr>
              <w:t>rences</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224</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250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3705C7" w:rsidP="00830231">
            <w:pPr>
              <w:jc w:val="right"/>
              <w:rPr>
                <w:rFonts w:cs="Arial"/>
                <w:lang w:val="fr-FR"/>
              </w:rPr>
            </w:pPr>
            <w:r w:rsidRPr="00431D28">
              <w:rPr>
                <w:rFonts w:cs="Arial"/>
                <w:lang w:val="fr-FR"/>
              </w:rPr>
              <w:t>0,</w:t>
            </w:r>
            <w:r w:rsidR="00830231" w:rsidRPr="00431D28">
              <w:rPr>
                <w:rFonts w:cs="Arial"/>
                <w:lang w:val="fr-FR"/>
              </w:rPr>
              <w:t>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250</w:t>
            </w:r>
          </w:p>
        </w:tc>
      </w:tr>
      <w:tr w:rsidR="00830231" w:rsidRPr="00431D28" w:rsidTr="00830231">
        <w:trPr>
          <w:trHeight w:val="36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30231" w:rsidRPr="005C4304" w:rsidRDefault="003705C7" w:rsidP="00830231">
            <w:pPr>
              <w:jc w:val="left"/>
              <w:rPr>
                <w:rFonts w:cs="Arial"/>
                <w:color w:val="000000"/>
                <w:lang w:val="fr-FR"/>
              </w:rPr>
            </w:pPr>
            <w:r w:rsidRPr="005C4304">
              <w:rPr>
                <w:rFonts w:cs="Arial"/>
                <w:color w:val="000000"/>
                <w:lang w:val="fr-FR"/>
              </w:rPr>
              <w:t>Publications</w:t>
            </w:r>
          </w:p>
        </w:tc>
        <w:tc>
          <w:tcPr>
            <w:tcW w:w="1275"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48</w:t>
            </w:r>
          </w:p>
        </w:tc>
        <w:tc>
          <w:tcPr>
            <w:tcW w:w="1418"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70</w:t>
            </w:r>
          </w:p>
        </w:tc>
        <w:tc>
          <w:tcPr>
            <w:tcW w:w="1134"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-35</w:t>
            </w:r>
          </w:p>
        </w:tc>
        <w:tc>
          <w:tcPr>
            <w:tcW w:w="992"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-50%</w:t>
            </w:r>
          </w:p>
        </w:tc>
        <w:tc>
          <w:tcPr>
            <w:tcW w:w="1276"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35</w:t>
            </w:r>
          </w:p>
        </w:tc>
      </w:tr>
      <w:tr w:rsidR="00830231" w:rsidRPr="00431D28" w:rsidTr="00830231">
        <w:trPr>
          <w:trHeight w:val="36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30231" w:rsidRPr="005C4304" w:rsidRDefault="00DA6705" w:rsidP="00830231">
            <w:pPr>
              <w:jc w:val="left"/>
              <w:rPr>
                <w:rFonts w:cs="Arial"/>
                <w:color w:val="000000"/>
                <w:lang w:val="fr-FR"/>
              </w:rPr>
            </w:pPr>
            <w:r w:rsidRPr="005C4304">
              <w:rPr>
                <w:rFonts w:cs="Arial"/>
                <w:color w:val="000000"/>
                <w:lang w:val="fr-FR"/>
              </w:rPr>
              <w:t>Services contractuels de personnes</w:t>
            </w:r>
          </w:p>
        </w:tc>
        <w:tc>
          <w:tcPr>
            <w:tcW w:w="1275"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8</w:t>
            </w:r>
          </w:p>
        </w:tc>
        <w:tc>
          <w:tcPr>
            <w:tcW w:w="1418"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20</w:t>
            </w:r>
          </w:p>
        </w:tc>
        <w:tc>
          <w:tcPr>
            <w:tcW w:w="1134"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20</w:t>
            </w:r>
          </w:p>
        </w:tc>
        <w:tc>
          <w:tcPr>
            <w:tcW w:w="992" w:type="dxa"/>
            <w:tcBorders>
              <w:top w:val="nil"/>
              <w:left w:val="nil"/>
              <w:bottom w:val="single" w:sz="4" w:space="0" w:color="auto"/>
              <w:right w:val="single" w:sz="4" w:space="0" w:color="auto"/>
            </w:tcBorders>
            <w:shd w:val="clear" w:color="auto" w:fill="auto"/>
            <w:vAlign w:val="bottom"/>
            <w:hideMark/>
          </w:tcPr>
          <w:p w:rsidR="00830231" w:rsidRPr="00431D28" w:rsidRDefault="00DA6705" w:rsidP="00830231">
            <w:pPr>
              <w:jc w:val="right"/>
              <w:rPr>
                <w:rFonts w:cs="Arial"/>
                <w:lang w:val="fr-FR"/>
              </w:rPr>
            </w:pPr>
            <w:r w:rsidRPr="00431D28">
              <w:rPr>
                <w:rFonts w:cs="Arial"/>
                <w:lang w:val="fr-FR"/>
              </w:rPr>
              <w:t>100,</w:t>
            </w:r>
            <w:r w:rsidR="00830231" w:rsidRPr="00431D28">
              <w:rPr>
                <w:rFonts w:cs="Arial"/>
                <w:lang w:val="fr-FR"/>
              </w:rPr>
              <w:t>0%</w:t>
            </w:r>
          </w:p>
        </w:tc>
        <w:tc>
          <w:tcPr>
            <w:tcW w:w="1276"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40</w:t>
            </w:r>
          </w:p>
        </w:tc>
      </w:tr>
      <w:tr w:rsidR="00830231" w:rsidRPr="00431D28" w:rsidTr="00830231">
        <w:trPr>
          <w:trHeight w:val="36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30231" w:rsidRPr="005C4304" w:rsidRDefault="00DA6705" w:rsidP="00830231">
            <w:pPr>
              <w:jc w:val="left"/>
              <w:rPr>
                <w:rFonts w:cs="Arial"/>
                <w:color w:val="000000"/>
                <w:lang w:val="fr-FR"/>
              </w:rPr>
            </w:pPr>
            <w:r w:rsidRPr="005C4304">
              <w:rPr>
                <w:rFonts w:cs="Arial"/>
                <w:color w:val="000000"/>
                <w:lang w:val="fr-FR"/>
              </w:rPr>
              <w:t>Autres services contractuels</w:t>
            </w:r>
          </w:p>
        </w:tc>
        <w:tc>
          <w:tcPr>
            <w:tcW w:w="1275"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6</w:t>
            </w:r>
          </w:p>
        </w:tc>
        <w:tc>
          <w:tcPr>
            <w:tcW w:w="1418"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90</w:t>
            </w:r>
          </w:p>
        </w:tc>
        <w:tc>
          <w:tcPr>
            <w:tcW w:w="1134"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60</w:t>
            </w:r>
          </w:p>
        </w:tc>
        <w:tc>
          <w:tcPr>
            <w:tcW w:w="992"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67%</w:t>
            </w:r>
          </w:p>
        </w:tc>
        <w:tc>
          <w:tcPr>
            <w:tcW w:w="1276"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150</w:t>
            </w:r>
          </w:p>
        </w:tc>
      </w:tr>
      <w:tr w:rsidR="00830231" w:rsidRPr="00431D28" w:rsidTr="00830231">
        <w:trPr>
          <w:trHeight w:val="36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30231" w:rsidRPr="005C4304" w:rsidRDefault="00DA6705" w:rsidP="00830231">
            <w:pPr>
              <w:jc w:val="right"/>
              <w:rPr>
                <w:rFonts w:cs="Arial"/>
                <w:b/>
                <w:bCs/>
                <w:lang w:val="fr-FR"/>
              </w:rPr>
            </w:pPr>
            <w:r w:rsidRPr="005C4304">
              <w:rPr>
                <w:rFonts w:cs="Arial"/>
                <w:b/>
                <w:bCs/>
                <w:lang w:val="fr-FR"/>
              </w:rPr>
              <w:t>Total partiel</w:t>
            </w:r>
          </w:p>
        </w:tc>
        <w:tc>
          <w:tcPr>
            <w:tcW w:w="1275"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b/>
                <w:bCs/>
                <w:lang w:val="fr-FR"/>
              </w:rPr>
            </w:pPr>
            <w:r w:rsidRPr="00431D28">
              <w:rPr>
                <w:rFonts w:cs="Arial"/>
                <w:b/>
                <w:bCs/>
                <w:lang w:val="fr-FR"/>
              </w:rPr>
              <w:t>286</w:t>
            </w:r>
          </w:p>
        </w:tc>
        <w:tc>
          <w:tcPr>
            <w:tcW w:w="1418"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b/>
                <w:bCs/>
                <w:lang w:val="fr-FR"/>
              </w:rPr>
            </w:pPr>
            <w:r w:rsidRPr="00431D28">
              <w:rPr>
                <w:rFonts w:cs="Arial"/>
                <w:b/>
                <w:bCs/>
                <w:lang w:val="fr-FR"/>
              </w:rPr>
              <w:t>430</w:t>
            </w:r>
          </w:p>
        </w:tc>
        <w:tc>
          <w:tcPr>
            <w:tcW w:w="1134"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b/>
                <w:bCs/>
                <w:lang w:val="fr-FR"/>
              </w:rPr>
            </w:pPr>
            <w:r w:rsidRPr="00431D28">
              <w:rPr>
                <w:rFonts w:cs="Arial"/>
                <w:b/>
                <w:bCs/>
                <w:lang w:val="fr-FR"/>
              </w:rPr>
              <w:t>45</w:t>
            </w:r>
          </w:p>
        </w:tc>
        <w:tc>
          <w:tcPr>
            <w:tcW w:w="992" w:type="dxa"/>
            <w:tcBorders>
              <w:top w:val="nil"/>
              <w:left w:val="nil"/>
              <w:bottom w:val="single" w:sz="4" w:space="0" w:color="auto"/>
              <w:right w:val="single" w:sz="4" w:space="0" w:color="auto"/>
            </w:tcBorders>
            <w:shd w:val="clear" w:color="auto" w:fill="auto"/>
            <w:vAlign w:val="bottom"/>
            <w:hideMark/>
          </w:tcPr>
          <w:p w:rsidR="00830231" w:rsidRPr="00431D28" w:rsidRDefault="00DA6705" w:rsidP="00830231">
            <w:pPr>
              <w:jc w:val="right"/>
              <w:rPr>
                <w:rFonts w:cs="Arial"/>
                <w:b/>
                <w:bCs/>
                <w:lang w:val="fr-FR"/>
              </w:rPr>
            </w:pPr>
            <w:r w:rsidRPr="00431D28">
              <w:rPr>
                <w:rFonts w:cs="Arial"/>
                <w:b/>
                <w:bCs/>
                <w:lang w:val="fr-FR"/>
              </w:rPr>
              <w:t>10,</w:t>
            </w:r>
            <w:r w:rsidR="00830231" w:rsidRPr="00431D28">
              <w:rPr>
                <w:rFonts w:cs="Arial"/>
                <w:b/>
                <w:bCs/>
                <w:lang w:val="fr-FR"/>
              </w:rPr>
              <w:t>5%</w:t>
            </w:r>
          </w:p>
        </w:tc>
        <w:tc>
          <w:tcPr>
            <w:tcW w:w="1276"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b/>
                <w:bCs/>
                <w:lang w:val="fr-FR"/>
              </w:rPr>
            </w:pPr>
            <w:r w:rsidRPr="00431D28">
              <w:rPr>
                <w:rFonts w:cs="Arial"/>
                <w:b/>
                <w:bCs/>
                <w:lang w:val="fr-FR"/>
              </w:rPr>
              <w:t>475</w:t>
            </w:r>
          </w:p>
        </w:tc>
      </w:tr>
      <w:tr w:rsidR="00830231" w:rsidRPr="00431D28" w:rsidTr="00830231">
        <w:trPr>
          <w:trHeight w:val="360"/>
        </w:trPr>
        <w:tc>
          <w:tcPr>
            <w:tcW w:w="9371" w:type="dxa"/>
            <w:gridSpan w:val="6"/>
            <w:tcBorders>
              <w:top w:val="nil"/>
              <w:left w:val="single" w:sz="4" w:space="0" w:color="auto"/>
              <w:bottom w:val="nil"/>
              <w:right w:val="single" w:sz="4" w:space="0" w:color="000000"/>
            </w:tcBorders>
            <w:shd w:val="clear" w:color="auto" w:fill="auto"/>
            <w:vAlign w:val="bottom"/>
            <w:hideMark/>
          </w:tcPr>
          <w:p w:rsidR="00830231" w:rsidRPr="005C4304" w:rsidRDefault="00DA6705" w:rsidP="00830231">
            <w:pPr>
              <w:jc w:val="left"/>
              <w:rPr>
                <w:rFonts w:cs="Arial"/>
                <w:b/>
                <w:bCs/>
                <w:i/>
                <w:iCs/>
                <w:lang w:val="fr-FR"/>
              </w:rPr>
            </w:pPr>
            <w:r w:rsidRPr="005C4304">
              <w:rPr>
                <w:rFonts w:cs="Arial"/>
                <w:b/>
                <w:bCs/>
                <w:i/>
                <w:iCs/>
                <w:lang w:val="fr-FR"/>
              </w:rPr>
              <w:t>Dépenses de fonctionnement</w:t>
            </w:r>
          </w:p>
        </w:tc>
      </w:tr>
      <w:tr w:rsidR="00830231" w:rsidRPr="00431D28" w:rsidTr="00830231">
        <w:trPr>
          <w:trHeight w:val="360"/>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0231" w:rsidRPr="005C4304" w:rsidRDefault="00DA6705" w:rsidP="00830231">
            <w:pPr>
              <w:jc w:val="right"/>
              <w:rPr>
                <w:rFonts w:cs="Arial"/>
                <w:b/>
                <w:bCs/>
                <w:color w:val="000000"/>
                <w:lang w:val="fr-FR"/>
              </w:rPr>
            </w:pPr>
            <w:r w:rsidRPr="005C4304">
              <w:rPr>
                <w:rFonts w:cs="Arial"/>
                <w:b/>
                <w:bCs/>
                <w:color w:val="000000"/>
                <w:lang w:val="fr-FR"/>
              </w:rPr>
              <w:t>Total partiel</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44183C" w:rsidP="00830231">
            <w:pPr>
              <w:jc w:val="right"/>
              <w:rPr>
                <w:rFonts w:cs="Arial"/>
                <w:b/>
                <w:bCs/>
                <w:lang w:val="fr-FR"/>
              </w:rPr>
            </w:pPr>
            <w:r>
              <w:rPr>
                <w:rFonts w:cs="Arial"/>
                <w:b/>
                <w:bCs/>
                <w:lang w:val="fr-FR"/>
              </w:rPr>
              <w:t>1</w:t>
            </w:r>
            <w:r w:rsidR="007632C2">
              <w:rPr>
                <w:rFonts w:cs="Arial"/>
                <w:b/>
                <w:bCs/>
                <w:lang w:val="fr-FR"/>
              </w:rPr>
              <w:t> </w:t>
            </w:r>
            <w:r w:rsidR="00830231" w:rsidRPr="00431D28">
              <w:rPr>
                <w:rFonts w:cs="Arial"/>
                <w:b/>
                <w:bCs/>
                <w:lang w:val="fr-FR"/>
              </w:rPr>
              <w:t>274</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44183C" w:rsidP="00830231">
            <w:pPr>
              <w:jc w:val="right"/>
              <w:rPr>
                <w:rFonts w:cs="Arial"/>
                <w:b/>
                <w:bCs/>
                <w:lang w:val="fr-FR"/>
              </w:rPr>
            </w:pPr>
            <w:r>
              <w:rPr>
                <w:rFonts w:cs="Arial"/>
                <w:b/>
                <w:bCs/>
                <w:lang w:val="fr-FR"/>
              </w:rPr>
              <w:t>1</w:t>
            </w:r>
            <w:r w:rsidR="007632C2">
              <w:rPr>
                <w:rFonts w:cs="Arial"/>
                <w:b/>
                <w:bCs/>
                <w:lang w:val="fr-FR"/>
              </w:rPr>
              <w:t> </w:t>
            </w:r>
            <w:r w:rsidR="00830231" w:rsidRPr="00431D28">
              <w:rPr>
                <w:rFonts w:cs="Arial"/>
                <w:b/>
                <w:bCs/>
                <w:lang w:val="fr-FR"/>
              </w:rPr>
              <w:t>236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b/>
                <w:bCs/>
                <w:lang w:val="fr-FR"/>
              </w:rPr>
            </w:pPr>
            <w:r w:rsidRPr="00431D28">
              <w:rPr>
                <w:rFonts w:cs="Arial"/>
                <w:b/>
                <w:bCs/>
                <w:lang w:val="fr-FR"/>
              </w:rPr>
              <w:t>30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DA6705" w:rsidP="00830231">
            <w:pPr>
              <w:jc w:val="right"/>
              <w:rPr>
                <w:rFonts w:cs="Arial"/>
                <w:b/>
                <w:bCs/>
                <w:lang w:val="fr-FR"/>
              </w:rPr>
            </w:pPr>
            <w:r w:rsidRPr="00431D28">
              <w:rPr>
                <w:rFonts w:cs="Arial"/>
                <w:b/>
                <w:bCs/>
                <w:lang w:val="fr-FR"/>
              </w:rPr>
              <w:t>2,</w:t>
            </w:r>
            <w:r w:rsidR="00830231" w:rsidRPr="00431D28">
              <w:rPr>
                <w:rFonts w:cs="Arial"/>
                <w:b/>
                <w:bCs/>
                <w:lang w:val="fr-FR"/>
              </w:rPr>
              <w:t>4%</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44183C" w:rsidP="00830231">
            <w:pPr>
              <w:jc w:val="right"/>
              <w:rPr>
                <w:rFonts w:cs="Arial"/>
                <w:b/>
                <w:bCs/>
                <w:lang w:val="fr-FR"/>
              </w:rPr>
            </w:pPr>
            <w:r>
              <w:rPr>
                <w:rFonts w:cs="Arial"/>
                <w:b/>
                <w:bCs/>
                <w:lang w:val="fr-FR"/>
              </w:rPr>
              <w:t>1</w:t>
            </w:r>
            <w:r w:rsidR="007632C2">
              <w:rPr>
                <w:rFonts w:cs="Arial"/>
                <w:b/>
                <w:bCs/>
                <w:lang w:val="fr-FR"/>
              </w:rPr>
              <w:t> </w:t>
            </w:r>
            <w:r w:rsidR="00830231" w:rsidRPr="00431D28">
              <w:rPr>
                <w:rFonts w:cs="Arial"/>
                <w:b/>
                <w:bCs/>
                <w:lang w:val="fr-FR"/>
              </w:rPr>
              <w:t>266</w:t>
            </w:r>
          </w:p>
        </w:tc>
      </w:tr>
      <w:tr w:rsidR="00830231" w:rsidRPr="00431D28" w:rsidTr="00830231">
        <w:trPr>
          <w:trHeight w:val="360"/>
        </w:trPr>
        <w:tc>
          <w:tcPr>
            <w:tcW w:w="9371" w:type="dxa"/>
            <w:gridSpan w:val="6"/>
            <w:tcBorders>
              <w:top w:val="nil"/>
              <w:left w:val="single" w:sz="4" w:space="0" w:color="auto"/>
              <w:bottom w:val="nil"/>
              <w:right w:val="single" w:sz="4" w:space="0" w:color="000000"/>
            </w:tcBorders>
            <w:shd w:val="clear" w:color="auto" w:fill="auto"/>
            <w:vAlign w:val="bottom"/>
            <w:hideMark/>
          </w:tcPr>
          <w:p w:rsidR="00830231" w:rsidRPr="005C4304" w:rsidRDefault="00DA6705" w:rsidP="00830231">
            <w:pPr>
              <w:jc w:val="left"/>
              <w:rPr>
                <w:rFonts w:cs="Arial"/>
                <w:b/>
                <w:bCs/>
                <w:i/>
                <w:iCs/>
                <w:lang w:val="fr-FR"/>
              </w:rPr>
            </w:pPr>
            <w:r w:rsidRPr="005C4304">
              <w:rPr>
                <w:rFonts w:cs="Arial"/>
                <w:b/>
                <w:bCs/>
                <w:i/>
                <w:iCs/>
                <w:lang w:val="fr-FR"/>
              </w:rPr>
              <w:t>Matériel et fournitures</w:t>
            </w:r>
          </w:p>
        </w:tc>
      </w:tr>
      <w:tr w:rsidR="00830231" w:rsidRPr="00431D28" w:rsidTr="00830231">
        <w:trPr>
          <w:trHeight w:val="285"/>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0231" w:rsidRPr="005C4304" w:rsidRDefault="00DA6705" w:rsidP="00830231">
            <w:pPr>
              <w:jc w:val="left"/>
              <w:rPr>
                <w:rFonts w:cs="Arial"/>
                <w:color w:val="000000"/>
                <w:lang w:val="fr-FR"/>
              </w:rPr>
            </w:pPr>
            <w:r w:rsidRPr="005C4304">
              <w:rPr>
                <w:rFonts w:cs="Arial"/>
                <w:color w:val="000000"/>
                <w:lang w:val="fr-FR"/>
              </w:rPr>
              <w:t>Mobilier et matériel</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6</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10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80%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18</w:t>
            </w:r>
          </w:p>
        </w:tc>
      </w:tr>
      <w:tr w:rsidR="00830231" w:rsidRPr="00431D28" w:rsidTr="00830231">
        <w:trPr>
          <w:trHeight w:val="28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30231" w:rsidRPr="005C4304" w:rsidRDefault="00DA6705" w:rsidP="00830231">
            <w:pPr>
              <w:jc w:val="left"/>
              <w:rPr>
                <w:rFonts w:cs="Arial"/>
                <w:color w:val="000000"/>
                <w:lang w:val="fr-FR"/>
              </w:rPr>
            </w:pPr>
            <w:r w:rsidRPr="005C4304">
              <w:rPr>
                <w:rFonts w:cs="Arial"/>
                <w:color w:val="000000"/>
                <w:lang w:val="fr-FR"/>
              </w:rPr>
              <w:t>Fournitures</w:t>
            </w:r>
          </w:p>
        </w:tc>
        <w:tc>
          <w:tcPr>
            <w:tcW w:w="1275"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21</w:t>
            </w:r>
          </w:p>
        </w:tc>
        <w:tc>
          <w:tcPr>
            <w:tcW w:w="1418"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20</w:t>
            </w:r>
          </w:p>
        </w:tc>
        <w:tc>
          <w:tcPr>
            <w:tcW w:w="1134"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w:t>
            </w:r>
          </w:p>
        </w:tc>
        <w:tc>
          <w:tcPr>
            <w:tcW w:w="992"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0%</w:t>
            </w:r>
          </w:p>
        </w:tc>
        <w:tc>
          <w:tcPr>
            <w:tcW w:w="1276"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lang w:val="fr-FR"/>
              </w:rPr>
            </w:pPr>
            <w:r w:rsidRPr="00431D28">
              <w:rPr>
                <w:rFonts w:cs="Arial"/>
                <w:lang w:val="fr-FR"/>
              </w:rPr>
              <w:t>20</w:t>
            </w:r>
          </w:p>
        </w:tc>
      </w:tr>
      <w:tr w:rsidR="00830231" w:rsidRPr="00431D28" w:rsidTr="00830231">
        <w:trPr>
          <w:trHeight w:val="36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30231" w:rsidRPr="005C4304" w:rsidRDefault="00DA6705" w:rsidP="00830231">
            <w:pPr>
              <w:jc w:val="right"/>
              <w:rPr>
                <w:rFonts w:cs="Arial"/>
                <w:b/>
                <w:bCs/>
                <w:lang w:val="fr-FR"/>
              </w:rPr>
            </w:pPr>
            <w:r w:rsidRPr="005C4304">
              <w:rPr>
                <w:rFonts w:cs="Arial"/>
                <w:b/>
                <w:bCs/>
                <w:lang w:val="fr-FR"/>
              </w:rPr>
              <w:t>Total partiel</w:t>
            </w:r>
          </w:p>
        </w:tc>
        <w:tc>
          <w:tcPr>
            <w:tcW w:w="1275"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b/>
                <w:bCs/>
                <w:lang w:val="fr-FR"/>
              </w:rPr>
            </w:pPr>
            <w:r w:rsidRPr="00431D28">
              <w:rPr>
                <w:rFonts w:cs="Arial"/>
                <w:b/>
                <w:bCs/>
                <w:lang w:val="fr-FR"/>
              </w:rPr>
              <w:t>27</w:t>
            </w:r>
          </w:p>
        </w:tc>
        <w:tc>
          <w:tcPr>
            <w:tcW w:w="1418"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b/>
                <w:bCs/>
                <w:lang w:val="fr-FR"/>
              </w:rPr>
            </w:pPr>
            <w:r w:rsidRPr="00431D28">
              <w:rPr>
                <w:rFonts w:cs="Arial"/>
                <w:b/>
                <w:bCs/>
                <w:lang w:val="fr-FR"/>
              </w:rPr>
              <w:t>30</w:t>
            </w:r>
          </w:p>
        </w:tc>
        <w:tc>
          <w:tcPr>
            <w:tcW w:w="1134"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b/>
                <w:bCs/>
                <w:lang w:val="fr-FR"/>
              </w:rPr>
            </w:pPr>
            <w:r w:rsidRPr="00431D28">
              <w:rPr>
                <w:rFonts w:cs="Arial"/>
                <w:b/>
                <w:bCs/>
                <w:lang w:val="fr-FR"/>
              </w:rPr>
              <w:t>8</w:t>
            </w:r>
          </w:p>
        </w:tc>
        <w:tc>
          <w:tcPr>
            <w:tcW w:w="992" w:type="dxa"/>
            <w:tcBorders>
              <w:top w:val="nil"/>
              <w:left w:val="nil"/>
              <w:bottom w:val="single" w:sz="4" w:space="0" w:color="auto"/>
              <w:right w:val="single" w:sz="4" w:space="0" w:color="auto"/>
            </w:tcBorders>
            <w:shd w:val="clear" w:color="auto" w:fill="auto"/>
            <w:vAlign w:val="bottom"/>
            <w:hideMark/>
          </w:tcPr>
          <w:p w:rsidR="00830231" w:rsidRPr="00431D28" w:rsidRDefault="00DA6705" w:rsidP="00830231">
            <w:pPr>
              <w:jc w:val="right"/>
              <w:rPr>
                <w:rFonts w:cs="Arial"/>
                <w:b/>
                <w:bCs/>
                <w:lang w:val="fr-FR"/>
              </w:rPr>
            </w:pPr>
            <w:r w:rsidRPr="00431D28">
              <w:rPr>
                <w:rFonts w:cs="Arial"/>
                <w:b/>
                <w:bCs/>
                <w:lang w:val="fr-FR"/>
              </w:rPr>
              <w:t>26,</w:t>
            </w:r>
            <w:r w:rsidR="00830231" w:rsidRPr="00431D28">
              <w:rPr>
                <w:rFonts w:cs="Arial"/>
                <w:b/>
                <w:bCs/>
                <w:lang w:val="fr-FR"/>
              </w:rPr>
              <w:t>7%</w:t>
            </w:r>
          </w:p>
        </w:tc>
        <w:tc>
          <w:tcPr>
            <w:tcW w:w="1276" w:type="dxa"/>
            <w:tcBorders>
              <w:top w:val="nil"/>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b/>
                <w:bCs/>
                <w:lang w:val="fr-FR"/>
              </w:rPr>
            </w:pPr>
            <w:r w:rsidRPr="00431D28">
              <w:rPr>
                <w:rFonts w:cs="Arial"/>
                <w:b/>
                <w:bCs/>
                <w:lang w:val="fr-FR"/>
              </w:rPr>
              <w:t>38</w:t>
            </w:r>
          </w:p>
        </w:tc>
      </w:tr>
      <w:tr w:rsidR="00830231" w:rsidRPr="00431D28" w:rsidTr="00830231">
        <w:trPr>
          <w:trHeight w:val="360"/>
        </w:trPr>
        <w:tc>
          <w:tcPr>
            <w:tcW w:w="3276" w:type="dxa"/>
            <w:tcBorders>
              <w:top w:val="nil"/>
              <w:left w:val="single" w:sz="4" w:space="0" w:color="auto"/>
              <w:bottom w:val="nil"/>
              <w:right w:val="nil"/>
            </w:tcBorders>
            <w:shd w:val="clear" w:color="auto" w:fill="auto"/>
            <w:vAlign w:val="bottom"/>
            <w:hideMark/>
          </w:tcPr>
          <w:p w:rsidR="00830231" w:rsidRPr="005C4304" w:rsidRDefault="00830231" w:rsidP="00830231">
            <w:pPr>
              <w:jc w:val="right"/>
              <w:rPr>
                <w:rFonts w:cs="Arial"/>
                <w:b/>
                <w:bCs/>
                <w:lang w:val="fr-FR"/>
              </w:rPr>
            </w:pPr>
            <w:r w:rsidRPr="005C4304">
              <w:rPr>
                <w:rFonts w:cs="Arial"/>
                <w:b/>
                <w:bCs/>
                <w:lang w:val="fr-FR"/>
              </w:rPr>
              <w:t>Total,</w:t>
            </w:r>
            <w:r w:rsidR="008066A6" w:rsidRPr="005C4304">
              <w:rPr>
                <w:rFonts w:cs="Arial"/>
                <w:b/>
                <w:bCs/>
                <w:lang w:val="fr-FR"/>
              </w:rPr>
              <w:t xml:space="preserve"> </w:t>
            </w:r>
            <w:r w:rsidRPr="005C4304">
              <w:rPr>
                <w:rFonts w:cs="Arial"/>
                <w:b/>
                <w:bCs/>
                <w:lang w:val="fr-FR"/>
              </w:rPr>
              <w:t>B</w:t>
            </w:r>
          </w:p>
        </w:tc>
        <w:tc>
          <w:tcPr>
            <w:tcW w:w="1275" w:type="dxa"/>
            <w:tcBorders>
              <w:top w:val="nil"/>
              <w:left w:val="nil"/>
              <w:bottom w:val="nil"/>
              <w:right w:val="nil"/>
            </w:tcBorders>
            <w:shd w:val="clear" w:color="auto" w:fill="auto"/>
            <w:vAlign w:val="bottom"/>
            <w:hideMark/>
          </w:tcPr>
          <w:p w:rsidR="00830231" w:rsidRPr="00431D28" w:rsidRDefault="0044183C" w:rsidP="00830231">
            <w:pPr>
              <w:jc w:val="right"/>
              <w:rPr>
                <w:rFonts w:cs="Arial"/>
                <w:b/>
                <w:bCs/>
                <w:lang w:val="fr-FR"/>
              </w:rPr>
            </w:pPr>
            <w:r>
              <w:rPr>
                <w:rFonts w:cs="Arial"/>
                <w:b/>
                <w:bCs/>
                <w:lang w:val="fr-FR"/>
              </w:rPr>
              <w:t>2</w:t>
            </w:r>
            <w:r w:rsidR="007632C2">
              <w:rPr>
                <w:rFonts w:cs="Arial"/>
                <w:b/>
                <w:bCs/>
                <w:lang w:val="fr-FR"/>
              </w:rPr>
              <w:t> </w:t>
            </w:r>
            <w:r w:rsidR="00830231" w:rsidRPr="00431D28">
              <w:rPr>
                <w:rFonts w:cs="Arial"/>
                <w:b/>
                <w:bCs/>
                <w:lang w:val="fr-FR"/>
              </w:rPr>
              <w:t>220</w:t>
            </w:r>
          </w:p>
        </w:tc>
        <w:tc>
          <w:tcPr>
            <w:tcW w:w="1418" w:type="dxa"/>
            <w:tcBorders>
              <w:top w:val="nil"/>
              <w:left w:val="nil"/>
              <w:bottom w:val="nil"/>
              <w:right w:val="nil"/>
            </w:tcBorders>
            <w:shd w:val="clear" w:color="auto" w:fill="auto"/>
            <w:vAlign w:val="bottom"/>
            <w:hideMark/>
          </w:tcPr>
          <w:p w:rsidR="00830231" w:rsidRPr="00431D28" w:rsidRDefault="0044183C" w:rsidP="00830231">
            <w:pPr>
              <w:jc w:val="right"/>
              <w:rPr>
                <w:rFonts w:cs="Arial"/>
                <w:b/>
                <w:bCs/>
                <w:lang w:val="fr-FR"/>
              </w:rPr>
            </w:pPr>
            <w:r>
              <w:rPr>
                <w:rFonts w:cs="Arial"/>
                <w:b/>
                <w:bCs/>
                <w:lang w:val="fr-FR"/>
              </w:rPr>
              <w:t>2</w:t>
            </w:r>
            <w:r w:rsidR="007632C2">
              <w:rPr>
                <w:rFonts w:cs="Arial"/>
                <w:b/>
                <w:bCs/>
                <w:lang w:val="fr-FR"/>
              </w:rPr>
              <w:t> </w:t>
            </w:r>
            <w:r w:rsidR="00830231" w:rsidRPr="00431D28">
              <w:rPr>
                <w:rFonts w:cs="Arial"/>
                <w:b/>
                <w:bCs/>
                <w:lang w:val="fr-FR"/>
              </w:rPr>
              <w:t>256</w:t>
            </w:r>
          </w:p>
        </w:tc>
        <w:tc>
          <w:tcPr>
            <w:tcW w:w="1134" w:type="dxa"/>
            <w:tcBorders>
              <w:top w:val="nil"/>
              <w:left w:val="nil"/>
              <w:bottom w:val="nil"/>
              <w:right w:val="nil"/>
            </w:tcBorders>
            <w:shd w:val="clear" w:color="auto" w:fill="auto"/>
            <w:vAlign w:val="bottom"/>
            <w:hideMark/>
          </w:tcPr>
          <w:p w:rsidR="00830231" w:rsidRPr="00431D28" w:rsidRDefault="00830231" w:rsidP="00830231">
            <w:pPr>
              <w:jc w:val="right"/>
              <w:rPr>
                <w:rFonts w:cs="Arial"/>
                <w:b/>
                <w:bCs/>
                <w:lang w:val="fr-FR"/>
              </w:rPr>
            </w:pPr>
            <w:r w:rsidRPr="00431D28">
              <w:rPr>
                <w:rFonts w:cs="Arial"/>
                <w:b/>
                <w:bCs/>
                <w:lang w:val="fr-FR"/>
              </w:rPr>
              <w:t>113</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830231" w:rsidRPr="00431D28" w:rsidRDefault="00DA6705" w:rsidP="00830231">
            <w:pPr>
              <w:jc w:val="right"/>
              <w:rPr>
                <w:rFonts w:cs="Arial"/>
                <w:b/>
                <w:bCs/>
                <w:lang w:val="fr-FR"/>
              </w:rPr>
            </w:pPr>
            <w:r w:rsidRPr="00431D28">
              <w:rPr>
                <w:rFonts w:cs="Arial"/>
                <w:b/>
                <w:bCs/>
                <w:lang w:val="fr-FR"/>
              </w:rPr>
              <w:t>5,</w:t>
            </w:r>
            <w:r w:rsidR="00830231" w:rsidRPr="00431D28">
              <w:rPr>
                <w:rFonts w:cs="Arial"/>
                <w:b/>
                <w:bCs/>
                <w:lang w:val="fr-FR"/>
              </w:rPr>
              <w:t>0%</w:t>
            </w:r>
          </w:p>
        </w:tc>
        <w:tc>
          <w:tcPr>
            <w:tcW w:w="1276" w:type="dxa"/>
            <w:tcBorders>
              <w:top w:val="nil"/>
              <w:left w:val="nil"/>
              <w:bottom w:val="nil"/>
              <w:right w:val="single" w:sz="4" w:space="0" w:color="auto"/>
            </w:tcBorders>
            <w:shd w:val="clear" w:color="auto" w:fill="auto"/>
            <w:vAlign w:val="bottom"/>
            <w:hideMark/>
          </w:tcPr>
          <w:p w:rsidR="00830231" w:rsidRPr="00431D28" w:rsidRDefault="0044183C" w:rsidP="00830231">
            <w:pPr>
              <w:jc w:val="right"/>
              <w:rPr>
                <w:rFonts w:cs="Arial"/>
                <w:b/>
                <w:bCs/>
                <w:lang w:val="fr-FR"/>
              </w:rPr>
            </w:pPr>
            <w:r>
              <w:rPr>
                <w:rFonts w:cs="Arial"/>
                <w:b/>
                <w:bCs/>
                <w:lang w:val="fr-FR"/>
              </w:rPr>
              <w:t>2</w:t>
            </w:r>
            <w:r w:rsidR="007632C2">
              <w:rPr>
                <w:rFonts w:cs="Arial"/>
                <w:b/>
                <w:bCs/>
                <w:lang w:val="fr-FR"/>
              </w:rPr>
              <w:t> </w:t>
            </w:r>
            <w:r w:rsidR="00830231" w:rsidRPr="00431D28">
              <w:rPr>
                <w:rFonts w:cs="Arial"/>
                <w:b/>
                <w:bCs/>
                <w:lang w:val="fr-FR"/>
              </w:rPr>
              <w:t>369</w:t>
            </w:r>
          </w:p>
        </w:tc>
      </w:tr>
      <w:tr w:rsidR="00830231" w:rsidRPr="00431D28" w:rsidTr="00C740F2">
        <w:trPr>
          <w:trHeight w:val="369"/>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0231" w:rsidRPr="00431D28" w:rsidRDefault="00DA6705" w:rsidP="00830231">
            <w:pPr>
              <w:jc w:val="center"/>
              <w:rPr>
                <w:rFonts w:cs="Arial"/>
                <w:b/>
                <w:bCs/>
                <w:lang w:val="fr-FR"/>
              </w:rPr>
            </w:pPr>
            <w:r w:rsidRPr="00431D28">
              <w:rPr>
                <w:rFonts w:cs="Arial"/>
                <w:b/>
                <w:bCs/>
                <w:lang w:val="fr-FR"/>
              </w:rPr>
              <w:t>TOTAL GLOBAL</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44183C" w:rsidP="00830231">
            <w:pPr>
              <w:jc w:val="right"/>
              <w:rPr>
                <w:rFonts w:cs="Arial"/>
                <w:b/>
                <w:bCs/>
                <w:lang w:val="fr-FR"/>
              </w:rPr>
            </w:pPr>
            <w:r>
              <w:rPr>
                <w:rFonts w:cs="Arial"/>
                <w:b/>
                <w:bCs/>
                <w:lang w:val="fr-FR"/>
              </w:rPr>
              <w:t>6</w:t>
            </w:r>
            <w:r w:rsidR="007632C2">
              <w:rPr>
                <w:rFonts w:cs="Arial"/>
                <w:b/>
                <w:bCs/>
                <w:lang w:val="fr-FR"/>
              </w:rPr>
              <w:t> </w:t>
            </w:r>
            <w:r w:rsidR="00830231" w:rsidRPr="00431D28">
              <w:rPr>
                <w:rFonts w:cs="Arial"/>
                <w:b/>
                <w:bCs/>
                <w:lang w:val="fr-FR"/>
              </w:rPr>
              <w:t>479</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44183C" w:rsidP="00830231">
            <w:pPr>
              <w:jc w:val="right"/>
              <w:rPr>
                <w:rFonts w:cs="Arial"/>
                <w:b/>
                <w:bCs/>
                <w:lang w:val="fr-FR"/>
              </w:rPr>
            </w:pPr>
            <w:r>
              <w:rPr>
                <w:rFonts w:cs="Arial"/>
                <w:b/>
                <w:bCs/>
                <w:lang w:val="fr-FR"/>
              </w:rPr>
              <w:t>6</w:t>
            </w:r>
            <w:r w:rsidR="007632C2">
              <w:rPr>
                <w:rFonts w:cs="Arial"/>
                <w:b/>
                <w:bCs/>
                <w:lang w:val="fr-FR"/>
              </w:rPr>
              <w:t> </w:t>
            </w:r>
            <w:r w:rsidR="00830231" w:rsidRPr="00431D28">
              <w:rPr>
                <w:rFonts w:cs="Arial"/>
                <w:b/>
                <w:bCs/>
                <w:lang w:val="fr-FR"/>
              </w:rPr>
              <w:t>798</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830231" w:rsidP="00830231">
            <w:pPr>
              <w:jc w:val="right"/>
              <w:rPr>
                <w:rFonts w:cs="Arial"/>
                <w:b/>
                <w:bCs/>
                <w:lang w:val="fr-FR"/>
              </w:rPr>
            </w:pPr>
            <w:r w:rsidRPr="00431D28">
              <w:rPr>
                <w:rFonts w:cs="Arial"/>
                <w:b/>
                <w:bCs/>
                <w:lang w:val="fr-FR"/>
              </w:rPr>
              <w:t>-4</w:t>
            </w:r>
          </w:p>
        </w:tc>
        <w:tc>
          <w:tcPr>
            <w:tcW w:w="992" w:type="dxa"/>
            <w:tcBorders>
              <w:top w:val="nil"/>
              <w:left w:val="nil"/>
              <w:bottom w:val="single" w:sz="4" w:space="0" w:color="auto"/>
              <w:right w:val="single" w:sz="4" w:space="0" w:color="auto"/>
            </w:tcBorders>
            <w:shd w:val="clear" w:color="auto" w:fill="auto"/>
            <w:vAlign w:val="bottom"/>
            <w:hideMark/>
          </w:tcPr>
          <w:p w:rsidR="00830231" w:rsidRPr="00431D28" w:rsidRDefault="00DA6705" w:rsidP="00830231">
            <w:pPr>
              <w:jc w:val="right"/>
              <w:rPr>
                <w:rFonts w:cs="Arial"/>
                <w:b/>
                <w:bCs/>
                <w:lang w:val="fr-FR"/>
              </w:rPr>
            </w:pPr>
            <w:r w:rsidRPr="00431D28">
              <w:rPr>
                <w:rFonts w:cs="Arial"/>
                <w:b/>
                <w:bCs/>
                <w:lang w:val="fr-FR"/>
              </w:rPr>
              <w:t>-0,</w:t>
            </w:r>
            <w:r w:rsidR="00830231" w:rsidRPr="00431D28">
              <w:rPr>
                <w:rFonts w:cs="Arial"/>
                <w:b/>
                <w:bCs/>
                <w:lang w:val="fr-FR"/>
              </w:rPr>
              <w:t>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30231" w:rsidRPr="00431D28" w:rsidRDefault="0044183C" w:rsidP="00830231">
            <w:pPr>
              <w:jc w:val="right"/>
              <w:rPr>
                <w:rFonts w:cs="Arial"/>
                <w:b/>
                <w:bCs/>
                <w:lang w:val="fr-FR"/>
              </w:rPr>
            </w:pPr>
            <w:r>
              <w:rPr>
                <w:rFonts w:cs="Arial"/>
                <w:b/>
                <w:bCs/>
                <w:lang w:val="fr-FR"/>
              </w:rPr>
              <w:t>6</w:t>
            </w:r>
            <w:r w:rsidR="007632C2">
              <w:rPr>
                <w:rFonts w:cs="Arial"/>
                <w:b/>
                <w:bCs/>
                <w:lang w:val="fr-FR"/>
              </w:rPr>
              <w:t> </w:t>
            </w:r>
            <w:r w:rsidR="00830231" w:rsidRPr="00431D28">
              <w:rPr>
                <w:rFonts w:cs="Arial"/>
                <w:b/>
                <w:bCs/>
                <w:lang w:val="fr-FR"/>
              </w:rPr>
              <w:t>794</w:t>
            </w:r>
          </w:p>
        </w:tc>
      </w:tr>
    </w:tbl>
    <w:p w:rsidR="005A7F6B" w:rsidRDefault="005A7F6B" w:rsidP="00FE3084"/>
    <w:p w:rsidR="00FE3084" w:rsidRPr="00FE3084" w:rsidRDefault="00FE3084" w:rsidP="00FE3084"/>
    <w:p w:rsidR="005A7F6B" w:rsidRPr="00431D28" w:rsidRDefault="00421639" w:rsidP="007948D0">
      <w:pPr>
        <w:keepNext/>
        <w:tabs>
          <w:tab w:val="left" w:pos="567"/>
        </w:tabs>
        <w:rPr>
          <w:lang w:val="fr-FR"/>
        </w:rPr>
      </w:pPr>
      <w:r w:rsidRPr="00431D28">
        <w:rPr>
          <w:lang w:val="fr-FR"/>
        </w:rPr>
        <w:t>3.9</w:t>
      </w:r>
      <w:r w:rsidRPr="00431D28">
        <w:rPr>
          <w:lang w:val="fr-FR"/>
        </w:rPr>
        <w:tab/>
      </w:r>
      <w:r w:rsidR="004C2364" w:rsidRPr="00431D28">
        <w:rPr>
          <w:lang w:val="fr-FR"/>
        </w:rPr>
        <w:t xml:space="preserve">Le </w:t>
      </w:r>
      <w:r w:rsidR="004C2364" w:rsidRPr="00431D28">
        <w:rPr>
          <w:b/>
          <w:lang w:val="fr-FR"/>
        </w:rPr>
        <w:t>tableau 5</w:t>
      </w:r>
      <w:r w:rsidR="004C2364" w:rsidRPr="00431D28">
        <w:rPr>
          <w:lang w:val="fr-FR"/>
        </w:rPr>
        <w:t xml:space="preserve"> indique le nombre de postes ainsi que leur ventilation par grade.</w:t>
      </w:r>
      <w:r w:rsidRPr="00431D28">
        <w:rPr>
          <w:lang w:val="fr-FR"/>
        </w:rPr>
        <w:t xml:space="preserve">  </w:t>
      </w:r>
      <w:r w:rsidR="007948D0" w:rsidRPr="00431D28">
        <w:rPr>
          <w:lang w:val="fr-FR"/>
        </w:rPr>
        <w:t>Le poste de secrétaire général est inclus dans ces chiffres, mais sans incidences financières, étant donné que le directeur général actuel de l’OMPI a renoncé à percevoir tout traitement ou indemnité pour ses fonctions de secrétaire général de l’UPOV.</w:t>
      </w:r>
      <w:r w:rsidRPr="00431D28">
        <w:rPr>
          <w:lang w:val="fr-FR"/>
        </w:rPr>
        <w:t xml:space="preserve"> </w:t>
      </w:r>
    </w:p>
    <w:p w:rsidR="005A7F6B" w:rsidRPr="00431D28" w:rsidRDefault="005A7F6B" w:rsidP="00966021">
      <w:pPr>
        <w:keepNext/>
        <w:tabs>
          <w:tab w:val="left" w:pos="567"/>
        </w:tabs>
        <w:rPr>
          <w:lang w:val="fr-FR"/>
        </w:rPr>
      </w:pPr>
    </w:p>
    <w:p w:rsidR="005A7F6B" w:rsidRPr="00431D28" w:rsidRDefault="007948D0" w:rsidP="007948D0">
      <w:pPr>
        <w:tabs>
          <w:tab w:val="left" w:pos="567"/>
        </w:tabs>
        <w:rPr>
          <w:lang w:val="fr-FR"/>
        </w:rPr>
      </w:pPr>
      <w:r w:rsidRPr="00431D28">
        <w:rPr>
          <w:lang w:val="fr-FR"/>
        </w:rPr>
        <w:t>3.10</w:t>
      </w:r>
      <w:r w:rsidRPr="00431D28">
        <w:rPr>
          <w:lang w:val="fr-FR"/>
        </w:rPr>
        <w:tab/>
        <w:t>Le programme et budget pour l’exercice biennal 2014</w:t>
      </w:r>
      <w:r w:rsidR="0044183C" w:rsidRPr="003E4E3B">
        <w:rPr>
          <w:rFonts w:cs="Arial"/>
          <w:snapToGrid w:val="0"/>
          <w:lang w:val="fr-FR"/>
        </w:rPr>
        <w:noBreakHyphen/>
      </w:r>
      <w:r w:rsidRPr="00431D28">
        <w:rPr>
          <w:lang w:val="fr-FR"/>
        </w:rPr>
        <w:t>2015 ne prévoit aucune augmentation du nombre des postes.</w:t>
      </w:r>
      <w:r w:rsidR="00421639" w:rsidRPr="00431D28">
        <w:rPr>
          <w:lang w:val="fr-FR"/>
        </w:rPr>
        <w:t xml:space="preserve">  </w:t>
      </w:r>
      <w:r w:rsidRPr="00431D28">
        <w:rPr>
          <w:lang w:val="fr-FR"/>
        </w:rPr>
        <w:t>L’approche retenue pour fournir des services améliorés à un nombre de membres de plus en plus élevé et pour répondre aux demandes d’assistance de futurs membres potentiels de l’Union consiste à axer des ressources sur l’élaboration de matériels d’orientation et d’information, de bases de données et de formulaires électroniques (voir Sous</w:t>
      </w:r>
      <w:r w:rsidR="0044183C" w:rsidRPr="003E4E3B">
        <w:rPr>
          <w:rFonts w:cs="Arial"/>
          <w:snapToGrid w:val="0"/>
          <w:lang w:val="fr-FR"/>
        </w:rPr>
        <w:noBreakHyphen/>
      </w:r>
      <w:r w:rsidRPr="00431D28">
        <w:rPr>
          <w:lang w:val="fr-FR"/>
        </w:rPr>
        <w:t>programme UV.2.2.2.1 “Descriptif”) ainsi que sur l’utilisation de ressources extérieures à des fins de formation et d’assistance en fonction des fonds disponibles (voir Sous</w:t>
      </w:r>
      <w:r w:rsidR="0044183C" w:rsidRPr="003E4E3B">
        <w:rPr>
          <w:rFonts w:cs="Arial"/>
          <w:snapToGrid w:val="0"/>
          <w:lang w:val="fr-FR"/>
        </w:rPr>
        <w:noBreakHyphen/>
      </w:r>
      <w:r w:rsidRPr="00431D28">
        <w:rPr>
          <w:lang w:val="fr-FR"/>
        </w:rPr>
        <w:t>programme UV.2.3.2.1 “Descriptif”).</w:t>
      </w:r>
      <w:r w:rsidR="00421639" w:rsidRPr="00431D28">
        <w:rPr>
          <w:lang w:val="fr-FR"/>
        </w:rPr>
        <w:t xml:space="preserve">  </w:t>
      </w:r>
      <w:r w:rsidRPr="00431D28">
        <w:rPr>
          <w:lang w:val="fr-FR"/>
        </w:rPr>
        <w:t>Cette approche se retrouve dans les postes par catégorie pour le programme et budget de l’exercice biennal 2014</w:t>
      </w:r>
      <w:r w:rsidR="007632C2" w:rsidRPr="003E4E3B">
        <w:rPr>
          <w:rFonts w:cs="Arial"/>
          <w:snapToGrid w:val="0"/>
          <w:lang w:val="fr-FR"/>
        </w:rPr>
        <w:noBreakHyphen/>
      </w:r>
      <w:r w:rsidRPr="00431D28">
        <w:rPr>
          <w:lang w:val="fr-FR"/>
        </w:rPr>
        <w:t>2015.</w:t>
      </w:r>
      <w:r w:rsidR="00421639" w:rsidRPr="00431D28">
        <w:rPr>
          <w:lang w:val="fr-FR"/>
        </w:rPr>
        <w:t xml:space="preserve">  </w:t>
      </w:r>
      <w:r w:rsidRPr="00431D28">
        <w:rPr>
          <w:lang w:val="fr-FR"/>
        </w:rPr>
        <w:t>Le programme et budget pour l’exercice biennal 2012</w:t>
      </w:r>
      <w:r w:rsidR="007632C2" w:rsidRPr="003E4E3B">
        <w:rPr>
          <w:rFonts w:cs="Arial"/>
          <w:snapToGrid w:val="0"/>
          <w:lang w:val="fr-FR"/>
        </w:rPr>
        <w:noBreakHyphen/>
      </w:r>
      <w:r w:rsidRPr="00431D28">
        <w:rPr>
          <w:lang w:val="fr-FR"/>
        </w:rPr>
        <w:t>2013 prévoyait trois postes dans la catégorie des directeurs.</w:t>
      </w:r>
      <w:r w:rsidR="00421639" w:rsidRPr="00431D28">
        <w:rPr>
          <w:lang w:val="fr-FR"/>
        </w:rPr>
        <w:t xml:space="preserve">  </w:t>
      </w:r>
      <w:r w:rsidRPr="00431D28">
        <w:rPr>
          <w:lang w:val="fr-FR"/>
        </w:rPr>
        <w:t>Toutefois, en raison de changements de personnel imprévus, deux seulement de ces trois postes ont été pourvus.</w:t>
      </w:r>
      <w:r w:rsidR="00421639" w:rsidRPr="00431D28">
        <w:rPr>
          <w:lang w:val="fr-FR"/>
        </w:rPr>
        <w:t xml:space="preserve">  </w:t>
      </w:r>
      <w:r w:rsidRPr="00431D28">
        <w:rPr>
          <w:lang w:val="fr-FR"/>
        </w:rPr>
        <w:t>En temps opportun et en fonction d’une augmentation des responsabilités, il est prévu de reclasser un des postes qui figurent actuellement dans la catégorie des administrateurs à la catégorie des directeurs.</w:t>
      </w:r>
      <w:r w:rsidR="00421639" w:rsidRPr="00431D28">
        <w:rPr>
          <w:lang w:val="fr-FR"/>
        </w:rPr>
        <w:t xml:space="preserve">  </w:t>
      </w:r>
      <w:r w:rsidRPr="00431D28">
        <w:rPr>
          <w:lang w:val="fr-FR"/>
        </w:rPr>
        <w:t>En outre, pour couvrir les responsabilités de supervision des ressources extérieures (comme par exemple l’appui administratif pour les cours d’enseignement à distance, l’administration des formateurs et l’édition des publications), il est proposé de reclasser un poste de la catégorie des services généraux dans la catégorie des administrateurs.</w:t>
      </w:r>
      <w:r w:rsidR="00421639" w:rsidRPr="00431D28">
        <w:rPr>
          <w:lang w:val="fr-FR"/>
        </w:rPr>
        <w:t xml:space="preserve">  </w:t>
      </w:r>
      <w:r w:rsidRPr="00431D28">
        <w:rPr>
          <w:lang w:val="fr-FR"/>
        </w:rPr>
        <w:t>Conformément à l’approche retenue dans l’exercice biennal 2012</w:t>
      </w:r>
      <w:r w:rsidR="007632C2" w:rsidRPr="003E4E3B">
        <w:rPr>
          <w:rFonts w:cs="Arial"/>
          <w:snapToGrid w:val="0"/>
          <w:lang w:val="fr-FR"/>
        </w:rPr>
        <w:noBreakHyphen/>
      </w:r>
      <w:r w:rsidRPr="00431D28">
        <w:rPr>
          <w:lang w:val="fr-FR"/>
        </w:rPr>
        <w:t>2013, l’appui à court terme dans la catégorie des services généraux sera utilisé selon que de besoin et dans les limites du budget.</w:t>
      </w:r>
    </w:p>
    <w:p w:rsidR="005A7F6B" w:rsidRPr="00431D28" w:rsidRDefault="005A7F6B" w:rsidP="00421639">
      <w:pPr>
        <w:tabs>
          <w:tab w:val="left" w:pos="567"/>
        </w:tabs>
        <w:rPr>
          <w:lang w:val="fr-FR"/>
        </w:rPr>
      </w:pPr>
    </w:p>
    <w:p w:rsidR="005A7F6B" w:rsidRPr="00431D28" w:rsidRDefault="007948D0" w:rsidP="007948D0">
      <w:pPr>
        <w:keepNext/>
        <w:jc w:val="center"/>
        <w:rPr>
          <w:b/>
          <w:lang w:val="fr-FR"/>
        </w:rPr>
      </w:pPr>
      <w:r w:rsidRPr="00431D28">
        <w:rPr>
          <w:b/>
          <w:lang w:val="fr-FR"/>
        </w:rPr>
        <w:t>Tableau 5 : Budget 2014-2015 : Postes par catégorie</w:t>
      </w:r>
    </w:p>
    <w:p w:rsidR="00421639" w:rsidRPr="00431D28" w:rsidRDefault="00421639" w:rsidP="00421639">
      <w:pPr>
        <w:keepNext/>
        <w:rPr>
          <w:lang w:val="fr-FR"/>
        </w:rPr>
      </w:pPr>
    </w:p>
    <w:tbl>
      <w:tblPr>
        <w:tblW w:w="7513" w:type="dxa"/>
        <w:tblInd w:w="1242" w:type="dxa"/>
        <w:tblLook w:val="04A0" w:firstRow="1" w:lastRow="0" w:firstColumn="1" w:lastColumn="0" w:noHBand="0" w:noVBand="1"/>
      </w:tblPr>
      <w:tblGrid>
        <w:gridCol w:w="2268"/>
        <w:gridCol w:w="1284"/>
        <w:gridCol w:w="1284"/>
        <w:gridCol w:w="1260"/>
        <w:gridCol w:w="1417"/>
      </w:tblGrid>
      <w:tr w:rsidR="007313F2" w:rsidRPr="00431D28" w:rsidTr="007313F2">
        <w:trPr>
          <w:trHeight w:val="510"/>
        </w:trPr>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313F2" w:rsidRPr="00431D28" w:rsidRDefault="007948D0" w:rsidP="007313F2">
            <w:pPr>
              <w:jc w:val="left"/>
              <w:rPr>
                <w:rFonts w:cs="Arial"/>
                <w:i/>
                <w:iCs/>
                <w:lang w:val="fr-FR"/>
              </w:rPr>
            </w:pPr>
            <w:r w:rsidRPr="00431D28">
              <w:rPr>
                <w:rFonts w:cs="Arial"/>
                <w:i/>
                <w:iCs/>
                <w:lang w:val="fr-FR"/>
              </w:rPr>
              <w:t>Catégorie</w:t>
            </w:r>
          </w:p>
        </w:tc>
        <w:tc>
          <w:tcPr>
            <w:tcW w:w="1284" w:type="dxa"/>
            <w:tcBorders>
              <w:top w:val="single" w:sz="4" w:space="0" w:color="auto"/>
              <w:left w:val="nil"/>
              <w:bottom w:val="nil"/>
              <w:right w:val="single" w:sz="4" w:space="0" w:color="auto"/>
            </w:tcBorders>
            <w:shd w:val="clear" w:color="auto" w:fill="auto"/>
            <w:hideMark/>
          </w:tcPr>
          <w:p w:rsidR="007313F2" w:rsidRPr="00431D28" w:rsidRDefault="007313F2" w:rsidP="007313F2">
            <w:pPr>
              <w:jc w:val="center"/>
              <w:rPr>
                <w:rFonts w:cs="Arial"/>
                <w:i/>
                <w:iCs/>
                <w:lang w:val="fr-FR"/>
              </w:rPr>
            </w:pPr>
            <w:r w:rsidRPr="00431D28">
              <w:rPr>
                <w:rFonts w:cs="Arial"/>
                <w:i/>
                <w:iCs/>
                <w:lang w:val="fr-FR"/>
              </w:rPr>
              <w:t>2010-2011</w:t>
            </w:r>
          </w:p>
        </w:tc>
        <w:tc>
          <w:tcPr>
            <w:tcW w:w="1284" w:type="dxa"/>
            <w:tcBorders>
              <w:top w:val="single" w:sz="4" w:space="0" w:color="auto"/>
              <w:left w:val="nil"/>
              <w:bottom w:val="nil"/>
              <w:right w:val="single" w:sz="4" w:space="0" w:color="auto"/>
            </w:tcBorders>
            <w:shd w:val="clear" w:color="auto" w:fill="auto"/>
            <w:hideMark/>
          </w:tcPr>
          <w:p w:rsidR="007313F2" w:rsidRPr="00431D28" w:rsidRDefault="007313F2" w:rsidP="007313F2">
            <w:pPr>
              <w:jc w:val="center"/>
              <w:rPr>
                <w:rFonts w:cs="Arial"/>
                <w:i/>
                <w:iCs/>
                <w:lang w:val="fr-FR"/>
              </w:rPr>
            </w:pPr>
            <w:r w:rsidRPr="00431D28">
              <w:rPr>
                <w:rFonts w:cs="Arial"/>
                <w:i/>
                <w:iCs/>
                <w:lang w:val="fr-FR"/>
              </w:rPr>
              <w:t>2012-2013</w:t>
            </w:r>
          </w:p>
        </w:tc>
        <w:tc>
          <w:tcPr>
            <w:tcW w:w="1260" w:type="dxa"/>
            <w:tcBorders>
              <w:top w:val="single" w:sz="4" w:space="0" w:color="auto"/>
              <w:left w:val="nil"/>
              <w:bottom w:val="nil"/>
              <w:right w:val="single" w:sz="4" w:space="0" w:color="auto"/>
            </w:tcBorders>
            <w:shd w:val="clear" w:color="auto" w:fill="auto"/>
            <w:hideMark/>
          </w:tcPr>
          <w:p w:rsidR="007313F2" w:rsidRPr="00431D28" w:rsidRDefault="007313F2" w:rsidP="007313F2">
            <w:pPr>
              <w:jc w:val="center"/>
              <w:rPr>
                <w:rFonts w:cs="Arial"/>
                <w:i/>
                <w:iCs/>
                <w:lang w:val="fr-FR"/>
              </w:rPr>
            </w:pPr>
            <w:r w:rsidRPr="00431D28">
              <w:rPr>
                <w:rFonts w:cs="Arial"/>
                <w:i/>
                <w:iCs/>
                <w:lang w:val="fr-FR"/>
              </w:rPr>
              <w:t>Variation</w:t>
            </w:r>
          </w:p>
        </w:tc>
        <w:tc>
          <w:tcPr>
            <w:tcW w:w="1417" w:type="dxa"/>
            <w:tcBorders>
              <w:top w:val="single" w:sz="4" w:space="0" w:color="auto"/>
              <w:left w:val="nil"/>
              <w:bottom w:val="nil"/>
              <w:right w:val="single" w:sz="4" w:space="0" w:color="auto"/>
            </w:tcBorders>
            <w:shd w:val="clear" w:color="auto" w:fill="auto"/>
            <w:hideMark/>
          </w:tcPr>
          <w:p w:rsidR="007313F2" w:rsidRPr="00431D28" w:rsidRDefault="007313F2" w:rsidP="007313F2">
            <w:pPr>
              <w:jc w:val="center"/>
              <w:rPr>
                <w:rFonts w:cs="Arial"/>
                <w:i/>
                <w:iCs/>
                <w:lang w:val="fr-FR"/>
              </w:rPr>
            </w:pPr>
            <w:r w:rsidRPr="00431D28">
              <w:rPr>
                <w:rFonts w:cs="Arial"/>
                <w:i/>
                <w:iCs/>
                <w:lang w:val="fr-FR"/>
              </w:rPr>
              <w:t>2014-2015</w:t>
            </w:r>
            <w:r w:rsidR="007948D0" w:rsidRPr="00431D28">
              <w:rPr>
                <w:rFonts w:cs="Arial"/>
                <w:i/>
                <w:iCs/>
                <w:lang w:val="fr-FR"/>
              </w:rPr>
              <w:t xml:space="preserve"> Proposé</w:t>
            </w:r>
          </w:p>
        </w:tc>
      </w:tr>
      <w:tr w:rsidR="007313F2" w:rsidRPr="00431D28" w:rsidTr="007313F2">
        <w:trPr>
          <w:trHeight w:val="255"/>
        </w:trPr>
        <w:tc>
          <w:tcPr>
            <w:tcW w:w="2268" w:type="dxa"/>
            <w:vMerge/>
            <w:tcBorders>
              <w:top w:val="single" w:sz="4" w:space="0" w:color="auto"/>
              <w:left w:val="single" w:sz="4" w:space="0" w:color="auto"/>
              <w:bottom w:val="single" w:sz="4" w:space="0" w:color="000000"/>
              <w:right w:val="single" w:sz="4" w:space="0" w:color="auto"/>
            </w:tcBorders>
            <w:vAlign w:val="center"/>
            <w:hideMark/>
          </w:tcPr>
          <w:p w:rsidR="007313F2" w:rsidRPr="00431D28" w:rsidRDefault="007313F2" w:rsidP="007313F2">
            <w:pPr>
              <w:jc w:val="left"/>
              <w:rPr>
                <w:rFonts w:cs="Arial"/>
                <w:i/>
                <w:iCs/>
                <w:lang w:val="fr-FR"/>
              </w:rPr>
            </w:pPr>
          </w:p>
        </w:tc>
        <w:tc>
          <w:tcPr>
            <w:tcW w:w="1284" w:type="dxa"/>
            <w:tcBorders>
              <w:top w:val="nil"/>
              <w:left w:val="nil"/>
              <w:bottom w:val="single" w:sz="4" w:space="0" w:color="auto"/>
              <w:right w:val="single" w:sz="4" w:space="0" w:color="auto"/>
            </w:tcBorders>
            <w:shd w:val="clear" w:color="auto" w:fill="auto"/>
            <w:hideMark/>
          </w:tcPr>
          <w:p w:rsidR="007313F2" w:rsidRPr="00431D28" w:rsidRDefault="007313F2" w:rsidP="007313F2">
            <w:pPr>
              <w:jc w:val="center"/>
              <w:rPr>
                <w:rFonts w:cs="Arial"/>
                <w:i/>
                <w:iCs/>
                <w:lang w:val="fr-FR"/>
              </w:rPr>
            </w:pPr>
            <w:r w:rsidRPr="00431D28">
              <w:rPr>
                <w:rFonts w:cs="Arial"/>
                <w:i/>
                <w:iCs/>
                <w:lang w:val="fr-FR"/>
              </w:rPr>
              <w:t>A</w:t>
            </w:r>
          </w:p>
        </w:tc>
        <w:tc>
          <w:tcPr>
            <w:tcW w:w="1284" w:type="dxa"/>
            <w:tcBorders>
              <w:top w:val="nil"/>
              <w:left w:val="nil"/>
              <w:bottom w:val="single" w:sz="4" w:space="0" w:color="auto"/>
              <w:right w:val="single" w:sz="4" w:space="0" w:color="auto"/>
            </w:tcBorders>
            <w:shd w:val="clear" w:color="auto" w:fill="auto"/>
            <w:hideMark/>
          </w:tcPr>
          <w:p w:rsidR="007313F2" w:rsidRPr="00431D28" w:rsidRDefault="007313F2" w:rsidP="007313F2">
            <w:pPr>
              <w:jc w:val="center"/>
              <w:rPr>
                <w:rFonts w:cs="Arial"/>
                <w:i/>
                <w:iCs/>
                <w:lang w:val="fr-FR"/>
              </w:rPr>
            </w:pPr>
            <w:r w:rsidRPr="00431D28">
              <w:rPr>
                <w:rFonts w:cs="Arial"/>
                <w:i/>
                <w:iCs/>
                <w:lang w:val="fr-FR"/>
              </w:rPr>
              <w:t>B</w:t>
            </w:r>
          </w:p>
        </w:tc>
        <w:tc>
          <w:tcPr>
            <w:tcW w:w="1260" w:type="dxa"/>
            <w:tcBorders>
              <w:top w:val="nil"/>
              <w:left w:val="nil"/>
              <w:bottom w:val="single" w:sz="4" w:space="0" w:color="auto"/>
              <w:right w:val="single" w:sz="4" w:space="0" w:color="auto"/>
            </w:tcBorders>
            <w:shd w:val="clear" w:color="auto" w:fill="auto"/>
            <w:hideMark/>
          </w:tcPr>
          <w:p w:rsidR="007313F2" w:rsidRPr="00431D28" w:rsidRDefault="007313F2" w:rsidP="007313F2">
            <w:pPr>
              <w:jc w:val="center"/>
              <w:rPr>
                <w:rFonts w:cs="Arial"/>
                <w:i/>
                <w:iCs/>
                <w:lang w:val="fr-FR"/>
              </w:rPr>
            </w:pPr>
            <w:r w:rsidRPr="00431D28">
              <w:rPr>
                <w:rFonts w:cs="Arial"/>
                <w:i/>
                <w:iCs/>
                <w:lang w:val="fr-FR"/>
              </w:rPr>
              <w:t>C-B</w:t>
            </w:r>
          </w:p>
        </w:tc>
        <w:tc>
          <w:tcPr>
            <w:tcW w:w="1417" w:type="dxa"/>
            <w:tcBorders>
              <w:top w:val="nil"/>
              <w:left w:val="nil"/>
              <w:bottom w:val="single" w:sz="4" w:space="0" w:color="auto"/>
              <w:right w:val="single" w:sz="4" w:space="0" w:color="auto"/>
            </w:tcBorders>
            <w:shd w:val="clear" w:color="auto" w:fill="auto"/>
            <w:hideMark/>
          </w:tcPr>
          <w:p w:rsidR="007313F2" w:rsidRPr="00431D28" w:rsidRDefault="007313F2" w:rsidP="007313F2">
            <w:pPr>
              <w:jc w:val="center"/>
              <w:rPr>
                <w:rFonts w:cs="Arial"/>
                <w:i/>
                <w:iCs/>
                <w:lang w:val="fr-FR"/>
              </w:rPr>
            </w:pPr>
            <w:r w:rsidRPr="00431D28">
              <w:rPr>
                <w:rFonts w:cs="Arial"/>
                <w:i/>
                <w:iCs/>
                <w:lang w:val="fr-FR"/>
              </w:rPr>
              <w:t>C</w:t>
            </w:r>
          </w:p>
        </w:tc>
      </w:tr>
      <w:tr w:rsidR="007313F2" w:rsidRPr="00431D28" w:rsidTr="007313F2">
        <w:trPr>
          <w:trHeight w:val="255"/>
        </w:trPr>
        <w:tc>
          <w:tcPr>
            <w:tcW w:w="2268" w:type="dxa"/>
            <w:tcBorders>
              <w:top w:val="nil"/>
              <w:left w:val="single" w:sz="4" w:space="0" w:color="auto"/>
              <w:right w:val="single" w:sz="4" w:space="0" w:color="auto"/>
            </w:tcBorders>
            <w:shd w:val="clear" w:color="auto" w:fill="auto"/>
            <w:hideMark/>
          </w:tcPr>
          <w:p w:rsidR="007313F2" w:rsidRPr="00431D28" w:rsidRDefault="007313F2" w:rsidP="007313F2">
            <w:pPr>
              <w:rPr>
                <w:rFonts w:cs="Arial"/>
                <w:lang w:val="fr-FR"/>
              </w:rPr>
            </w:pPr>
            <w:r w:rsidRPr="00431D28">
              <w:rPr>
                <w:rFonts w:cs="Arial"/>
                <w:lang w:val="fr-FR"/>
              </w:rPr>
              <w:t> </w:t>
            </w:r>
          </w:p>
        </w:tc>
        <w:tc>
          <w:tcPr>
            <w:tcW w:w="1284" w:type="dxa"/>
            <w:tcBorders>
              <w:top w:val="nil"/>
              <w:left w:val="nil"/>
              <w:right w:val="single" w:sz="4" w:space="0" w:color="auto"/>
            </w:tcBorders>
            <w:shd w:val="clear" w:color="auto" w:fill="auto"/>
            <w:vAlign w:val="center"/>
            <w:hideMark/>
          </w:tcPr>
          <w:p w:rsidR="007313F2" w:rsidRPr="00431D28" w:rsidRDefault="007313F2" w:rsidP="007313F2">
            <w:pPr>
              <w:jc w:val="center"/>
              <w:rPr>
                <w:rFonts w:cs="Arial"/>
                <w:lang w:val="fr-FR"/>
              </w:rPr>
            </w:pPr>
          </w:p>
        </w:tc>
        <w:tc>
          <w:tcPr>
            <w:tcW w:w="1284" w:type="dxa"/>
            <w:tcBorders>
              <w:top w:val="nil"/>
              <w:left w:val="nil"/>
              <w:right w:val="single" w:sz="4" w:space="0" w:color="auto"/>
            </w:tcBorders>
            <w:shd w:val="clear" w:color="auto" w:fill="auto"/>
            <w:vAlign w:val="center"/>
            <w:hideMark/>
          </w:tcPr>
          <w:p w:rsidR="007313F2" w:rsidRPr="00431D28" w:rsidRDefault="007313F2" w:rsidP="007313F2">
            <w:pPr>
              <w:jc w:val="center"/>
              <w:rPr>
                <w:rFonts w:cs="Arial"/>
                <w:lang w:val="fr-FR"/>
              </w:rPr>
            </w:pPr>
          </w:p>
        </w:tc>
        <w:tc>
          <w:tcPr>
            <w:tcW w:w="1260" w:type="dxa"/>
            <w:tcBorders>
              <w:top w:val="nil"/>
              <w:left w:val="nil"/>
              <w:right w:val="single" w:sz="4" w:space="0" w:color="auto"/>
            </w:tcBorders>
            <w:shd w:val="clear" w:color="auto" w:fill="auto"/>
            <w:vAlign w:val="center"/>
            <w:hideMark/>
          </w:tcPr>
          <w:p w:rsidR="007313F2" w:rsidRPr="00431D28" w:rsidRDefault="007313F2" w:rsidP="007313F2">
            <w:pPr>
              <w:jc w:val="center"/>
              <w:rPr>
                <w:rFonts w:cs="Arial"/>
                <w:lang w:val="fr-FR"/>
              </w:rPr>
            </w:pPr>
          </w:p>
        </w:tc>
        <w:tc>
          <w:tcPr>
            <w:tcW w:w="1417" w:type="dxa"/>
            <w:tcBorders>
              <w:top w:val="nil"/>
              <w:left w:val="nil"/>
              <w:right w:val="single" w:sz="4" w:space="0" w:color="auto"/>
            </w:tcBorders>
            <w:shd w:val="clear" w:color="auto" w:fill="auto"/>
            <w:vAlign w:val="center"/>
            <w:hideMark/>
          </w:tcPr>
          <w:p w:rsidR="007313F2" w:rsidRPr="00431D28" w:rsidRDefault="007313F2" w:rsidP="007313F2">
            <w:pPr>
              <w:jc w:val="center"/>
              <w:rPr>
                <w:rFonts w:cs="Arial"/>
                <w:lang w:val="fr-FR"/>
              </w:rPr>
            </w:pPr>
          </w:p>
        </w:tc>
      </w:tr>
      <w:tr w:rsidR="007313F2" w:rsidRPr="00431D28" w:rsidTr="007313F2">
        <w:trPr>
          <w:trHeight w:val="340"/>
        </w:trPr>
        <w:tc>
          <w:tcPr>
            <w:tcW w:w="2268" w:type="dxa"/>
            <w:tcBorders>
              <w:top w:val="nil"/>
              <w:left w:val="single" w:sz="4" w:space="0" w:color="auto"/>
              <w:right w:val="single" w:sz="4" w:space="0" w:color="auto"/>
            </w:tcBorders>
            <w:shd w:val="clear" w:color="auto" w:fill="auto"/>
            <w:vAlign w:val="center"/>
            <w:hideMark/>
          </w:tcPr>
          <w:p w:rsidR="007313F2" w:rsidRPr="00431D28" w:rsidRDefault="007948D0" w:rsidP="007313F2">
            <w:pPr>
              <w:jc w:val="left"/>
              <w:rPr>
                <w:rFonts w:cs="Arial"/>
                <w:lang w:val="fr-FR"/>
              </w:rPr>
            </w:pPr>
            <w:r w:rsidRPr="00431D28">
              <w:rPr>
                <w:rFonts w:cs="Arial"/>
                <w:lang w:val="fr-FR"/>
              </w:rPr>
              <w:t>Directeurs</w:t>
            </w:r>
          </w:p>
        </w:tc>
        <w:tc>
          <w:tcPr>
            <w:tcW w:w="1284" w:type="dxa"/>
            <w:tcBorders>
              <w:top w:val="nil"/>
              <w:left w:val="nil"/>
              <w:right w:val="single" w:sz="4" w:space="0" w:color="auto"/>
            </w:tcBorders>
            <w:shd w:val="clear" w:color="auto" w:fill="auto"/>
            <w:vAlign w:val="center"/>
            <w:hideMark/>
          </w:tcPr>
          <w:p w:rsidR="007313F2" w:rsidRPr="00431D28" w:rsidRDefault="007313F2" w:rsidP="007313F2">
            <w:pPr>
              <w:jc w:val="center"/>
              <w:rPr>
                <w:rFonts w:cs="Arial"/>
                <w:lang w:val="fr-FR"/>
              </w:rPr>
            </w:pPr>
            <w:r w:rsidRPr="00431D28">
              <w:rPr>
                <w:rFonts w:cs="Arial"/>
                <w:lang w:val="fr-FR"/>
              </w:rPr>
              <w:t>3</w:t>
            </w:r>
          </w:p>
        </w:tc>
        <w:tc>
          <w:tcPr>
            <w:tcW w:w="1284" w:type="dxa"/>
            <w:tcBorders>
              <w:top w:val="nil"/>
              <w:left w:val="nil"/>
              <w:right w:val="single" w:sz="4" w:space="0" w:color="auto"/>
            </w:tcBorders>
            <w:shd w:val="clear" w:color="auto" w:fill="auto"/>
            <w:vAlign w:val="center"/>
            <w:hideMark/>
          </w:tcPr>
          <w:p w:rsidR="007313F2" w:rsidRPr="00431D28" w:rsidRDefault="007313F2" w:rsidP="007313F2">
            <w:pPr>
              <w:jc w:val="center"/>
              <w:rPr>
                <w:rFonts w:cs="Arial"/>
                <w:lang w:val="fr-FR"/>
              </w:rPr>
            </w:pPr>
            <w:r w:rsidRPr="00431D28">
              <w:rPr>
                <w:rFonts w:cs="Arial"/>
                <w:lang w:val="fr-FR"/>
              </w:rPr>
              <w:t>3</w:t>
            </w:r>
          </w:p>
        </w:tc>
        <w:tc>
          <w:tcPr>
            <w:tcW w:w="1260" w:type="dxa"/>
            <w:tcBorders>
              <w:top w:val="nil"/>
              <w:left w:val="nil"/>
              <w:right w:val="single" w:sz="4" w:space="0" w:color="auto"/>
            </w:tcBorders>
            <w:shd w:val="clear" w:color="auto" w:fill="auto"/>
            <w:vAlign w:val="center"/>
            <w:hideMark/>
          </w:tcPr>
          <w:p w:rsidR="007313F2" w:rsidRPr="00431D28" w:rsidRDefault="007313F2" w:rsidP="007313F2">
            <w:pPr>
              <w:jc w:val="center"/>
              <w:rPr>
                <w:rFonts w:cs="Arial"/>
                <w:lang w:val="fr-FR"/>
              </w:rPr>
            </w:pPr>
            <w:r w:rsidRPr="00431D28">
              <w:rPr>
                <w:rFonts w:cs="Arial"/>
                <w:lang w:val="fr-FR"/>
              </w:rPr>
              <w:t>-</w:t>
            </w:r>
          </w:p>
        </w:tc>
        <w:tc>
          <w:tcPr>
            <w:tcW w:w="1417" w:type="dxa"/>
            <w:tcBorders>
              <w:top w:val="nil"/>
              <w:left w:val="nil"/>
              <w:right w:val="single" w:sz="4" w:space="0" w:color="auto"/>
            </w:tcBorders>
            <w:shd w:val="clear" w:color="auto" w:fill="auto"/>
            <w:vAlign w:val="center"/>
            <w:hideMark/>
          </w:tcPr>
          <w:p w:rsidR="007313F2" w:rsidRPr="00431D28" w:rsidRDefault="007313F2" w:rsidP="007313F2">
            <w:pPr>
              <w:jc w:val="center"/>
              <w:rPr>
                <w:rFonts w:cs="Arial"/>
                <w:lang w:val="fr-FR"/>
              </w:rPr>
            </w:pPr>
            <w:r w:rsidRPr="00431D28">
              <w:rPr>
                <w:rFonts w:cs="Arial"/>
                <w:lang w:val="fr-FR"/>
              </w:rPr>
              <w:t>3</w:t>
            </w:r>
          </w:p>
        </w:tc>
      </w:tr>
      <w:tr w:rsidR="007313F2" w:rsidRPr="00431D28" w:rsidTr="007313F2">
        <w:trPr>
          <w:trHeight w:val="340"/>
        </w:trPr>
        <w:tc>
          <w:tcPr>
            <w:tcW w:w="2268" w:type="dxa"/>
            <w:tcBorders>
              <w:top w:val="nil"/>
              <w:left w:val="single" w:sz="4" w:space="0" w:color="auto"/>
              <w:right w:val="single" w:sz="4" w:space="0" w:color="auto"/>
            </w:tcBorders>
            <w:shd w:val="clear" w:color="auto" w:fill="auto"/>
            <w:vAlign w:val="center"/>
            <w:hideMark/>
          </w:tcPr>
          <w:p w:rsidR="007313F2" w:rsidRPr="00431D28" w:rsidRDefault="007948D0" w:rsidP="007313F2">
            <w:pPr>
              <w:jc w:val="left"/>
              <w:rPr>
                <w:rFonts w:cs="Arial"/>
                <w:lang w:val="fr-FR"/>
              </w:rPr>
            </w:pPr>
            <w:r w:rsidRPr="00431D28">
              <w:rPr>
                <w:rFonts w:cs="Arial"/>
                <w:lang w:val="fr-FR"/>
              </w:rPr>
              <w:t>Administrateurs</w:t>
            </w:r>
          </w:p>
        </w:tc>
        <w:tc>
          <w:tcPr>
            <w:tcW w:w="1284" w:type="dxa"/>
            <w:tcBorders>
              <w:top w:val="nil"/>
              <w:left w:val="nil"/>
              <w:right w:val="single" w:sz="4" w:space="0" w:color="auto"/>
            </w:tcBorders>
            <w:shd w:val="clear" w:color="auto" w:fill="auto"/>
            <w:vAlign w:val="center"/>
            <w:hideMark/>
          </w:tcPr>
          <w:p w:rsidR="007313F2" w:rsidRPr="00431D28" w:rsidRDefault="007313F2" w:rsidP="007313F2">
            <w:pPr>
              <w:jc w:val="center"/>
              <w:rPr>
                <w:rFonts w:cs="Arial"/>
                <w:lang w:val="fr-FR"/>
              </w:rPr>
            </w:pPr>
            <w:r w:rsidRPr="00431D28">
              <w:rPr>
                <w:rFonts w:cs="Arial"/>
                <w:lang w:val="fr-FR"/>
              </w:rPr>
              <w:t>3</w:t>
            </w:r>
          </w:p>
        </w:tc>
        <w:tc>
          <w:tcPr>
            <w:tcW w:w="1284" w:type="dxa"/>
            <w:tcBorders>
              <w:top w:val="nil"/>
              <w:left w:val="nil"/>
              <w:right w:val="single" w:sz="4" w:space="0" w:color="auto"/>
            </w:tcBorders>
            <w:shd w:val="clear" w:color="auto" w:fill="auto"/>
            <w:vAlign w:val="center"/>
            <w:hideMark/>
          </w:tcPr>
          <w:p w:rsidR="007313F2" w:rsidRPr="00431D28" w:rsidRDefault="007313F2" w:rsidP="007313F2">
            <w:pPr>
              <w:jc w:val="center"/>
              <w:rPr>
                <w:rFonts w:cs="Arial"/>
                <w:lang w:val="fr-FR"/>
              </w:rPr>
            </w:pPr>
            <w:r w:rsidRPr="00431D28">
              <w:rPr>
                <w:rFonts w:cs="Arial"/>
                <w:lang w:val="fr-FR"/>
              </w:rPr>
              <w:t>3</w:t>
            </w:r>
          </w:p>
        </w:tc>
        <w:tc>
          <w:tcPr>
            <w:tcW w:w="1260" w:type="dxa"/>
            <w:tcBorders>
              <w:top w:val="nil"/>
              <w:left w:val="nil"/>
              <w:right w:val="single" w:sz="4" w:space="0" w:color="auto"/>
            </w:tcBorders>
            <w:shd w:val="clear" w:color="auto" w:fill="auto"/>
            <w:vAlign w:val="center"/>
            <w:hideMark/>
          </w:tcPr>
          <w:p w:rsidR="007313F2" w:rsidRPr="00431D28" w:rsidRDefault="007313F2" w:rsidP="007313F2">
            <w:pPr>
              <w:jc w:val="center"/>
              <w:rPr>
                <w:rFonts w:cs="Arial"/>
                <w:lang w:val="fr-FR"/>
              </w:rPr>
            </w:pPr>
            <w:r w:rsidRPr="00431D28">
              <w:rPr>
                <w:rFonts w:cs="Arial"/>
                <w:lang w:val="fr-FR"/>
              </w:rPr>
              <w:t>1</w:t>
            </w:r>
          </w:p>
        </w:tc>
        <w:tc>
          <w:tcPr>
            <w:tcW w:w="1417" w:type="dxa"/>
            <w:tcBorders>
              <w:top w:val="nil"/>
              <w:left w:val="nil"/>
              <w:right w:val="single" w:sz="4" w:space="0" w:color="auto"/>
            </w:tcBorders>
            <w:shd w:val="clear" w:color="auto" w:fill="auto"/>
            <w:vAlign w:val="center"/>
            <w:hideMark/>
          </w:tcPr>
          <w:p w:rsidR="007313F2" w:rsidRPr="00431D28" w:rsidRDefault="007313F2" w:rsidP="007313F2">
            <w:pPr>
              <w:jc w:val="center"/>
              <w:rPr>
                <w:rFonts w:cs="Arial"/>
                <w:lang w:val="fr-FR"/>
              </w:rPr>
            </w:pPr>
            <w:r w:rsidRPr="00431D28">
              <w:rPr>
                <w:rFonts w:cs="Arial"/>
                <w:lang w:val="fr-FR"/>
              </w:rPr>
              <w:t>4</w:t>
            </w:r>
          </w:p>
        </w:tc>
      </w:tr>
      <w:tr w:rsidR="007313F2" w:rsidRPr="00431D28" w:rsidTr="007313F2">
        <w:trPr>
          <w:trHeight w:val="34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313F2" w:rsidRPr="00431D28" w:rsidRDefault="007948D0" w:rsidP="007313F2">
            <w:pPr>
              <w:jc w:val="left"/>
              <w:rPr>
                <w:rFonts w:cs="Arial"/>
                <w:lang w:val="fr-FR"/>
              </w:rPr>
            </w:pPr>
            <w:r w:rsidRPr="00431D28">
              <w:rPr>
                <w:rFonts w:cs="Arial"/>
                <w:lang w:val="fr-FR"/>
              </w:rPr>
              <w:t>Services généraux</w:t>
            </w:r>
          </w:p>
        </w:tc>
        <w:tc>
          <w:tcPr>
            <w:tcW w:w="1284" w:type="dxa"/>
            <w:tcBorders>
              <w:top w:val="nil"/>
              <w:left w:val="nil"/>
              <w:bottom w:val="single" w:sz="4" w:space="0" w:color="auto"/>
              <w:right w:val="single" w:sz="4" w:space="0" w:color="auto"/>
            </w:tcBorders>
            <w:shd w:val="clear" w:color="auto" w:fill="auto"/>
            <w:vAlign w:val="center"/>
            <w:hideMark/>
          </w:tcPr>
          <w:p w:rsidR="007313F2" w:rsidRPr="00431D28" w:rsidRDefault="007313F2" w:rsidP="007313F2">
            <w:pPr>
              <w:jc w:val="center"/>
              <w:rPr>
                <w:rFonts w:cs="Arial"/>
                <w:lang w:val="fr-FR"/>
              </w:rPr>
            </w:pPr>
            <w:r w:rsidRPr="00431D28">
              <w:rPr>
                <w:rFonts w:cs="Arial"/>
                <w:lang w:val="fr-FR"/>
              </w:rPr>
              <w:t>5</w:t>
            </w:r>
          </w:p>
        </w:tc>
        <w:tc>
          <w:tcPr>
            <w:tcW w:w="1284" w:type="dxa"/>
            <w:tcBorders>
              <w:top w:val="nil"/>
              <w:left w:val="nil"/>
              <w:bottom w:val="single" w:sz="4" w:space="0" w:color="auto"/>
              <w:right w:val="single" w:sz="4" w:space="0" w:color="auto"/>
            </w:tcBorders>
            <w:shd w:val="clear" w:color="auto" w:fill="auto"/>
            <w:vAlign w:val="center"/>
            <w:hideMark/>
          </w:tcPr>
          <w:p w:rsidR="007313F2" w:rsidRPr="00431D28" w:rsidRDefault="007313F2" w:rsidP="007313F2">
            <w:pPr>
              <w:jc w:val="center"/>
              <w:rPr>
                <w:rFonts w:cs="Arial"/>
                <w:lang w:val="fr-FR"/>
              </w:rPr>
            </w:pPr>
            <w:r w:rsidRPr="00431D28">
              <w:rPr>
                <w:rFonts w:cs="Arial"/>
                <w:lang w:val="fr-FR"/>
              </w:rPr>
              <w:t>5</w:t>
            </w:r>
          </w:p>
        </w:tc>
        <w:tc>
          <w:tcPr>
            <w:tcW w:w="1260" w:type="dxa"/>
            <w:tcBorders>
              <w:top w:val="nil"/>
              <w:left w:val="nil"/>
              <w:bottom w:val="single" w:sz="4" w:space="0" w:color="auto"/>
              <w:right w:val="single" w:sz="4" w:space="0" w:color="auto"/>
            </w:tcBorders>
            <w:shd w:val="clear" w:color="auto" w:fill="auto"/>
            <w:vAlign w:val="center"/>
            <w:hideMark/>
          </w:tcPr>
          <w:p w:rsidR="007313F2" w:rsidRPr="00431D28" w:rsidRDefault="007313F2" w:rsidP="007313F2">
            <w:pPr>
              <w:jc w:val="center"/>
              <w:rPr>
                <w:rFonts w:cs="Arial"/>
                <w:lang w:val="fr-FR"/>
              </w:rPr>
            </w:pPr>
            <w:r w:rsidRPr="00431D28">
              <w:rPr>
                <w:rFonts w:cs="Arial"/>
                <w:lang w:val="fr-FR"/>
              </w:rPr>
              <w:t>-1</w:t>
            </w:r>
          </w:p>
        </w:tc>
        <w:tc>
          <w:tcPr>
            <w:tcW w:w="1417" w:type="dxa"/>
            <w:tcBorders>
              <w:top w:val="nil"/>
              <w:left w:val="nil"/>
              <w:bottom w:val="single" w:sz="4" w:space="0" w:color="auto"/>
              <w:right w:val="single" w:sz="4" w:space="0" w:color="auto"/>
            </w:tcBorders>
            <w:shd w:val="clear" w:color="auto" w:fill="auto"/>
            <w:vAlign w:val="center"/>
            <w:hideMark/>
          </w:tcPr>
          <w:p w:rsidR="007313F2" w:rsidRPr="00431D28" w:rsidRDefault="007313F2" w:rsidP="007313F2">
            <w:pPr>
              <w:jc w:val="center"/>
              <w:rPr>
                <w:rFonts w:cs="Arial"/>
                <w:lang w:val="fr-FR"/>
              </w:rPr>
            </w:pPr>
            <w:r w:rsidRPr="00431D28">
              <w:rPr>
                <w:rFonts w:cs="Arial"/>
                <w:lang w:val="fr-FR"/>
              </w:rPr>
              <w:t>4</w:t>
            </w:r>
          </w:p>
        </w:tc>
      </w:tr>
      <w:tr w:rsidR="007313F2" w:rsidRPr="00431D28" w:rsidTr="007313F2">
        <w:trPr>
          <w:trHeight w:val="34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313F2" w:rsidRPr="00431D28" w:rsidRDefault="007313F2" w:rsidP="007313F2">
            <w:pPr>
              <w:jc w:val="left"/>
              <w:rPr>
                <w:rFonts w:cs="Arial"/>
                <w:b/>
                <w:bCs/>
                <w:lang w:val="fr-FR"/>
              </w:rPr>
            </w:pPr>
            <w:r w:rsidRPr="00431D28">
              <w:rPr>
                <w:rFonts w:cs="Arial"/>
                <w:b/>
                <w:bCs/>
                <w:lang w:val="fr-FR"/>
              </w:rPr>
              <w:t>Total</w:t>
            </w:r>
          </w:p>
        </w:tc>
        <w:tc>
          <w:tcPr>
            <w:tcW w:w="1284" w:type="dxa"/>
            <w:tcBorders>
              <w:top w:val="nil"/>
              <w:left w:val="nil"/>
              <w:bottom w:val="single" w:sz="4" w:space="0" w:color="auto"/>
              <w:right w:val="single" w:sz="4" w:space="0" w:color="auto"/>
            </w:tcBorders>
            <w:shd w:val="clear" w:color="auto" w:fill="auto"/>
            <w:vAlign w:val="center"/>
            <w:hideMark/>
          </w:tcPr>
          <w:p w:rsidR="007313F2" w:rsidRPr="00431D28" w:rsidRDefault="007313F2" w:rsidP="007313F2">
            <w:pPr>
              <w:jc w:val="center"/>
              <w:rPr>
                <w:rFonts w:cs="Arial"/>
                <w:b/>
                <w:bCs/>
                <w:lang w:val="fr-FR"/>
              </w:rPr>
            </w:pPr>
            <w:r w:rsidRPr="00431D28">
              <w:rPr>
                <w:rFonts w:cs="Arial"/>
                <w:b/>
                <w:bCs/>
                <w:lang w:val="fr-FR"/>
              </w:rPr>
              <w:t>11</w:t>
            </w:r>
          </w:p>
        </w:tc>
        <w:tc>
          <w:tcPr>
            <w:tcW w:w="1284" w:type="dxa"/>
            <w:tcBorders>
              <w:top w:val="nil"/>
              <w:left w:val="nil"/>
              <w:bottom w:val="single" w:sz="4" w:space="0" w:color="auto"/>
              <w:right w:val="single" w:sz="4" w:space="0" w:color="auto"/>
            </w:tcBorders>
            <w:shd w:val="clear" w:color="auto" w:fill="auto"/>
            <w:vAlign w:val="center"/>
            <w:hideMark/>
          </w:tcPr>
          <w:p w:rsidR="007313F2" w:rsidRPr="00431D28" w:rsidRDefault="007313F2" w:rsidP="007313F2">
            <w:pPr>
              <w:jc w:val="center"/>
              <w:rPr>
                <w:rFonts w:cs="Arial"/>
                <w:b/>
                <w:bCs/>
                <w:lang w:val="fr-FR"/>
              </w:rPr>
            </w:pPr>
            <w:r w:rsidRPr="00431D28">
              <w:rPr>
                <w:rFonts w:cs="Arial"/>
                <w:b/>
                <w:bCs/>
                <w:lang w:val="fr-FR"/>
              </w:rPr>
              <w:t>11</w:t>
            </w:r>
          </w:p>
        </w:tc>
        <w:tc>
          <w:tcPr>
            <w:tcW w:w="1260" w:type="dxa"/>
            <w:tcBorders>
              <w:top w:val="nil"/>
              <w:left w:val="nil"/>
              <w:bottom w:val="single" w:sz="4" w:space="0" w:color="auto"/>
              <w:right w:val="single" w:sz="4" w:space="0" w:color="auto"/>
            </w:tcBorders>
            <w:shd w:val="clear" w:color="auto" w:fill="auto"/>
            <w:vAlign w:val="center"/>
            <w:hideMark/>
          </w:tcPr>
          <w:p w:rsidR="007313F2" w:rsidRPr="00431D28" w:rsidRDefault="007313F2" w:rsidP="007313F2">
            <w:pPr>
              <w:jc w:val="center"/>
              <w:rPr>
                <w:rFonts w:cs="Arial"/>
                <w:lang w:val="fr-FR"/>
              </w:rPr>
            </w:pPr>
            <w:r w:rsidRPr="00431D28">
              <w:rPr>
                <w:rFonts w:cs="Arial"/>
                <w:lang w:val="fr-FR"/>
              </w:rPr>
              <w:t>-</w:t>
            </w:r>
          </w:p>
        </w:tc>
        <w:tc>
          <w:tcPr>
            <w:tcW w:w="1417" w:type="dxa"/>
            <w:tcBorders>
              <w:top w:val="nil"/>
              <w:left w:val="nil"/>
              <w:bottom w:val="single" w:sz="4" w:space="0" w:color="auto"/>
              <w:right w:val="single" w:sz="4" w:space="0" w:color="auto"/>
            </w:tcBorders>
            <w:shd w:val="clear" w:color="auto" w:fill="auto"/>
            <w:vAlign w:val="center"/>
            <w:hideMark/>
          </w:tcPr>
          <w:p w:rsidR="007313F2" w:rsidRPr="00431D28" w:rsidRDefault="007313F2" w:rsidP="007313F2">
            <w:pPr>
              <w:jc w:val="center"/>
              <w:rPr>
                <w:rFonts w:cs="Arial"/>
                <w:b/>
                <w:bCs/>
                <w:lang w:val="fr-FR"/>
              </w:rPr>
            </w:pPr>
            <w:r w:rsidRPr="00431D28">
              <w:rPr>
                <w:rFonts w:cs="Arial"/>
                <w:b/>
                <w:bCs/>
                <w:lang w:val="fr-FR"/>
              </w:rPr>
              <w:t>11</w:t>
            </w:r>
          </w:p>
        </w:tc>
      </w:tr>
    </w:tbl>
    <w:p w:rsidR="005A7F6B" w:rsidRPr="00431D28" w:rsidRDefault="005A7F6B" w:rsidP="00421639">
      <w:pPr>
        <w:tabs>
          <w:tab w:val="left" w:pos="567"/>
        </w:tabs>
        <w:rPr>
          <w:color w:val="000000"/>
          <w:lang w:val="fr-FR"/>
        </w:rPr>
      </w:pPr>
      <w:bookmarkStart w:id="10" w:name="OLE_LINK9"/>
      <w:bookmarkStart w:id="11" w:name="OLE_LINK10"/>
    </w:p>
    <w:p w:rsidR="005A7F6B" w:rsidRPr="00431D28" w:rsidRDefault="005A7F6B" w:rsidP="00421639">
      <w:pPr>
        <w:tabs>
          <w:tab w:val="left" w:pos="567"/>
        </w:tabs>
        <w:rPr>
          <w:color w:val="000000"/>
          <w:lang w:val="fr-FR"/>
        </w:rPr>
      </w:pPr>
    </w:p>
    <w:bookmarkEnd w:id="10"/>
    <w:bookmarkEnd w:id="11"/>
    <w:p w:rsidR="005A7F6B" w:rsidRPr="00431D28" w:rsidRDefault="00B20CFA" w:rsidP="00B20CFA">
      <w:pPr>
        <w:tabs>
          <w:tab w:val="left" w:pos="567"/>
        </w:tabs>
        <w:rPr>
          <w:lang w:val="fr-FR"/>
        </w:rPr>
      </w:pPr>
      <w:r w:rsidRPr="00431D28">
        <w:rPr>
          <w:lang w:val="fr-FR"/>
        </w:rPr>
        <w:t>3.11</w:t>
      </w:r>
      <w:r w:rsidRPr="00431D28">
        <w:rPr>
          <w:lang w:val="fr-FR"/>
        </w:rPr>
        <w:tab/>
        <w:t xml:space="preserve">On trouvera au </w:t>
      </w:r>
      <w:r w:rsidRPr="00431D28">
        <w:rPr>
          <w:b/>
          <w:lang w:val="fr-FR"/>
        </w:rPr>
        <w:t>tableau 6</w:t>
      </w:r>
      <w:r w:rsidRPr="00431D28">
        <w:rPr>
          <w:lang w:val="fr-FR"/>
        </w:rPr>
        <w:t xml:space="preserve"> les montants qu’il est proposé d’allouer par sous-programme.</w:t>
      </w:r>
    </w:p>
    <w:p w:rsidR="005A7F6B" w:rsidRPr="00431D28" w:rsidRDefault="005A7F6B" w:rsidP="00421639">
      <w:pPr>
        <w:tabs>
          <w:tab w:val="left" w:pos="567"/>
        </w:tabs>
        <w:rPr>
          <w:lang w:val="fr-FR"/>
        </w:rPr>
      </w:pPr>
    </w:p>
    <w:p w:rsidR="005A7F6B" w:rsidRPr="00431D28" w:rsidRDefault="00B20CFA" w:rsidP="00B20CFA">
      <w:pPr>
        <w:tabs>
          <w:tab w:val="left" w:pos="567"/>
        </w:tabs>
        <w:rPr>
          <w:lang w:val="fr-FR"/>
        </w:rPr>
      </w:pPr>
      <w:r w:rsidRPr="00431D28">
        <w:rPr>
          <w:lang w:val="fr-FR"/>
        </w:rPr>
        <w:t>3.12</w:t>
      </w:r>
      <w:r w:rsidRPr="00431D28">
        <w:rPr>
          <w:lang w:val="fr-FR"/>
        </w:rPr>
        <w:tab/>
        <w:t>Le programme et budget proposé pour l’exercice biennal 2014</w:t>
      </w:r>
      <w:r w:rsidR="00FE3084">
        <w:rPr>
          <w:lang w:val="fr-FR"/>
        </w:rPr>
        <w:t xml:space="preserve">-2015 </w:t>
      </w:r>
      <w:r w:rsidR="007632C2">
        <w:rPr>
          <w:lang w:val="fr-FR"/>
        </w:rPr>
        <w:t>est divisé en quatre sous</w:t>
      </w:r>
      <w:r w:rsidR="007632C2" w:rsidRPr="003E4E3B">
        <w:rPr>
          <w:rFonts w:cs="Arial"/>
          <w:snapToGrid w:val="0"/>
          <w:lang w:val="fr-FR"/>
        </w:rPr>
        <w:noBreakHyphen/>
      </w:r>
      <w:r w:rsidRPr="00431D28">
        <w:rPr>
          <w:lang w:val="fr-FR"/>
        </w:rPr>
        <w:t>programmes :</w:t>
      </w:r>
      <w:r w:rsidR="00421639" w:rsidRPr="00431D28">
        <w:rPr>
          <w:lang w:val="fr-FR"/>
        </w:rPr>
        <w:t xml:space="preserve">  </w:t>
      </w:r>
    </w:p>
    <w:p w:rsidR="005A7F6B" w:rsidRPr="00431D28" w:rsidRDefault="005A7F6B" w:rsidP="00421639">
      <w:pPr>
        <w:tabs>
          <w:tab w:val="left" w:pos="567"/>
        </w:tabs>
        <w:rPr>
          <w:lang w:val="fr-FR"/>
        </w:rPr>
      </w:pPr>
    </w:p>
    <w:p w:rsidR="005A7F6B" w:rsidRPr="00431D28" w:rsidRDefault="00B20CFA" w:rsidP="00B20CFA">
      <w:pPr>
        <w:keepNext/>
        <w:autoSpaceDE w:val="0"/>
        <w:autoSpaceDN w:val="0"/>
        <w:adjustRightInd w:val="0"/>
        <w:ind w:left="1417" w:hanging="850"/>
        <w:jc w:val="left"/>
        <w:rPr>
          <w:bCs/>
          <w:szCs w:val="24"/>
          <w:lang w:val="fr-FR"/>
        </w:rPr>
      </w:pPr>
      <w:r w:rsidRPr="00431D28">
        <w:rPr>
          <w:bCs/>
          <w:szCs w:val="24"/>
          <w:lang w:val="fr-FR"/>
        </w:rPr>
        <w:t>UV.1 :</w:t>
      </w:r>
      <w:r w:rsidRPr="00431D28">
        <w:rPr>
          <w:bCs/>
          <w:szCs w:val="24"/>
          <w:lang w:val="fr-FR"/>
        </w:rPr>
        <w:tab/>
        <w:t>Politique générale en matière de protection des obtentions végétales</w:t>
      </w:r>
    </w:p>
    <w:p w:rsidR="005A7F6B" w:rsidRPr="00431D28" w:rsidRDefault="00B20CFA" w:rsidP="00B20CFA">
      <w:pPr>
        <w:ind w:left="1417" w:hanging="850"/>
        <w:rPr>
          <w:lang w:val="fr-FR"/>
        </w:rPr>
      </w:pPr>
      <w:r w:rsidRPr="00431D28">
        <w:rPr>
          <w:lang w:val="fr-FR"/>
        </w:rPr>
        <w:t>UV.2 :</w:t>
      </w:r>
      <w:r w:rsidRPr="00431D28">
        <w:rPr>
          <w:lang w:val="fr-FR"/>
        </w:rPr>
        <w:tab/>
        <w:t>Services fournis à l’Union en vue d’augmenter l’efficacité du système de l’UPOV</w:t>
      </w:r>
    </w:p>
    <w:p w:rsidR="005A7F6B" w:rsidRPr="00431D28" w:rsidRDefault="00B20CFA" w:rsidP="00B20CFA">
      <w:pPr>
        <w:ind w:left="1417" w:hanging="850"/>
        <w:rPr>
          <w:lang w:val="fr-FR"/>
        </w:rPr>
      </w:pPr>
      <w:r w:rsidRPr="00431D28">
        <w:rPr>
          <w:lang w:val="fr-FR"/>
        </w:rPr>
        <w:t>UV.3 :</w:t>
      </w:r>
      <w:r w:rsidRPr="00431D28">
        <w:rPr>
          <w:lang w:val="fr-FR"/>
        </w:rPr>
        <w:tab/>
        <w:t>Aide à la mise en place et à l’application du système de l’UPOV</w:t>
      </w:r>
    </w:p>
    <w:p w:rsidR="005A7F6B" w:rsidRPr="00431D28" w:rsidRDefault="00B20CFA" w:rsidP="00B20CFA">
      <w:pPr>
        <w:ind w:left="1417" w:hanging="850"/>
        <w:rPr>
          <w:lang w:val="fr-FR"/>
        </w:rPr>
      </w:pPr>
      <w:r w:rsidRPr="00431D28">
        <w:rPr>
          <w:bCs/>
          <w:szCs w:val="24"/>
          <w:lang w:val="fr-FR"/>
        </w:rPr>
        <w:t>UV.4 :</w:t>
      </w:r>
      <w:r w:rsidRPr="00431D28">
        <w:rPr>
          <w:bCs/>
          <w:szCs w:val="24"/>
          <w:lang w:val="fr-FR"/>
        </w:rPr>
        <w:tab/>
        <w:t>Relations extérieures</w:t>
      </w:r>
    </w:p>
    <w:p w:rsidR="005A7F6B" w:rsidRPr="00431D28" w:rsidRDefault="005A7F6B" w:rsidP="00421639">
      <w:pPr>
        <w:tabs>
          <w:tab w:val="left" w:pos="567"/>
        </w:tabs>
        <w:rPr>
          <w:lang w:val="fr-FR"/>
        </w:rPr>
      </w:pPr>
    </w:p>
    <w:p w:rsidR="005A7F6B" w:rsidRPr="00431D28" w:rsidRDefault="00B20CFA" w:rsidP="000B1094">
      <w:pPr>
        <w:tabs>
          <w:tab w:val="left" w:pos="567"/>
        </w:tabs>
        <w:rPr>
          <w:lang w:val="fr-FR"/>
        </w:rPr>
      </w:pPr>
      <w:r w:rsidRPr="00431D28">
        <w:rPr>
          <w:lang w:val="fr-FR"/>
        </w:rPr>
        <w:t>3.13</w:t>
      </w:r>
      <w:r w:rsidRPr="00431D28">
        <w:rPr>
          <w:lang w:val="fr-FR"/>
        </w:rPr>
        <w:tab/>
        <w:t>Les ressources en personnel ont été réparties entre les sous-programmes en fonction du temps que le personnel devrait consacrer à chaque sous-programme.</w:t>
      </w:r>
      <w:r w:rsidR="00421639" w:rsidRPr="00431D28">
        <w:rPr>
          <w:lang w:val="fr-FR"/>
        </w:rPr>
        <w:t xml:space="preserve">  </w:t>
      </w:r>
      <w:r w:rsidRPr="00431D28">
        <w:rPr>
          <w:lang w:val="fr-FR"/>
        </w:rPr>
        <w:t>Les autres dépenses ont été réparties entre les sous</w:t>
      </w:r>
      <w:r w:rsidR="007632C2" w:rsidRPr="003E4E3B">
        <w:rPr>
          <w:rFonts w:cs="Arial"/>
          <w:snapToGrid w:val="0"/>
          <w:lang w:val="fr-FR"/>
        </w:rPr>
        <w:noBreakHyphen/>
      </w:r>
      <w:r w:rsidRPr="00431D28">
        <w:rPr>
          <w:lang w:val="fr-FR"/>
        </w:rPr>
        <w:t>programmes compte tenu des activités correspondantes prévues.</w:t>
      </w:r>
      <w:r w:rsidR="00421639" w:rsidRPr="00431D28">
        <w:rPr>
          <w:lang w:val="fr-FR"/>
        </w:rPr>
        <w:t xml:space="preserve">  </w:t>
      </w:r>
      <w:r w:rsidR="000B1094" w:rsidRPr="00431D28">
        <w:rPr>
          <w:lang w:val="fr-FR"/>
        </w:rPr>
        <w:t>Il convient de noter que les dépenses communes avec l’OMPI en ce qui concerne les services fournis à l'UPOV</w:t>
      </w:r>
      <w:r w:rsidR="007632C2">
        <w:rPr>
          <w:lang w:val="fr-FR"/>
        </w:rPr>
        <w:t xml:space="preserve"> figurent dans le cadre du sous</w:t>
      </w:r>
      <w:r w:rsidR="007632C2" w:rsidRPr="003E4E3B">
        <w:rPr>
          <w:rFonts w:cs="Arial"/>
          <w:snapToGrid w:val="0"/>
          <w:lang w:val="fr-FR"/>
        </w:rPr>
        <w:noBreakHyphen/>
      </w:r>
      <w:r w:rsidR="000B1094" w:rsidRPr="00431D28">
        <w:rPr>
          <w:lang w:val="fr-FR"/>
        </w:rPr>
        <w:t>programme UV.2.</w:t>
      </w:r>
    </w:p>
    <w:p w:rsidR="005A7F6B" w:rsidRPr="00431D28" w:rsidRDefault="005A7F6B" w:rsidP="0035241B">
      <w:pPr>
        <w:tabs>
          <w:tab w:val="left" w:pos="567"/>
        </w:tabs>
        <w:rPr>
          <w:lang w:val="fr-FR"/>
        </w:rPr>
      </w:pPr>
    </w:p>
    <w:p w:rsidR="005A7F6B" w:rsidRPr="00431D28" w:rsidRDefault="006F35E5">
      <w:pPr>
        <w:jc w:val="left"/>
        <w:rPr>
          <w:b/>
          <w:lang w:val="fr-FR"/>
        </w:rPr>
      </w:pPr>
      <w:r w:rsidRPr="00431D28">
        <w:rPr>
          <w:b/>
          <w:lang w:val="fr-FR"/>
        </w:rPr>
        <w:br w:type="page"/>
      </w:r>
    </w:p>
    <w:p w:rsidR="005A7F6B" w:rsidRPr="00431D28" w:rsidRDefault="000B1094" w:rsidP="000B1094">
      <w:pPr>
        <w:keepNext/>
        <w:jc w:val="center"/>
        <w:rPr>
          <w:b/>
          <w:lang w:val="fr-FR"/>
        </w:rPr>
      </w:pPr>
      <w:r w:rsidRPr="00431D28">
        <w:rPr>
          <w:b/>
          <w:lang w:val="fr-FR"/>
        </w:rPr>
        <w:t>Tableau 6 : Budget proposé pour 2014-2015 : dotations par objet de dépense</w:t>
      </w:r>
    </w:p>
    <w:p w:rsidR="005A7F6B" w:rsidRPr="00431D28" w:rsidRDefault="000B1094" w:rsidP="000B1094">
      <w:pPr>
        <w:keepNext/>
        <w:jc w:val="center"/>
        <w:rPr>
          <w:lang w:val="fr-FR"/>
        </w:rPr>
      </w:pPr>
      <w:r w:rsidRPr="00431D28">
        <w:rPr>
          <w:lang w:val="fr-FR"/>
        </w:rPr>
        <w:t>(en milliers de francs suisses)</w:t>
      </w:r>
    </w:p>
    <w:p w:rsidR="00946029" w:rsidRPr="00431D28" w:rsidRDefault="00946029" w:rsidP="009A0B7E">
      <w:pPr>
        <w:keepNext/>
        <w:rPr>
          <w:lang w:val="fr-FR"/>
        </w:rPr>
      </w:pPr>
    </w:p>
    <w:tbl>
      <w:tblPr>
        <w:tblW w:w="9000" w:type="dxa"/>
        <w:tblInd w:w="392" w:type="dxa"/>
        <w:tblLook w:val="04A0" w:firstRow="1" w:lastRow="0" w:firstColumn="1" w:lastColumn="0" w:noHBand="0" w:noVBand="1"/>
      </w:tblPr>
      <w:tblGrid>
        <w:gridCol w:w="1173"/>
        <w:gridCol w:w="2904"/>
        <w:gridCol w:w="971"/>
        <w:gridCol w:w="1012"/>
        <w:gridCol w:w="976"/>
        <w:gridCol w:w="971"/>
        <w:gridCol w:w="993"/>
      </w:tblGrid>
      <w:tr w:rsidR="006F35E5" w:rsidRPr="00431D28" w:rsidTr="006F35E5">
        <w:trPr>
          <w:trHeight w:val="270"/>
        </w:trPr>
        <w:tc>
          <w:tcPr>
            <w:tcW w:w="958" w:type="dxa"/>
            <w:tcBorders>
              <w:top w:val="single" w:sz="4" w:space="0" w:color="auto"/>
              <w:left w:val="single" w:sz="4" w:space="0" w:color="auto"/>
              <w:bottom w:val="nil"/>
              <w:right w:val="nil"/>
            </w:tcBorders>
            <w:shd w:val="clear" w:color="auto" w:fill="auto"/>
            <w:vAlign w:val="bottom"/>
            <w:hideMark/>
          </w:tcPr>
          <w:p w:rsidR="006F35E5" w:rsidRPr="00431D28" w:rsidRDefault="006F35E5" w:rsidP="006F35E5">
            <w:pPr>
              <w:jc w:val="left"/>
              <w:rPr>
                <w:rFonts w:cs="Arial"/>
                <w:b/>
                <w:bCs/>
                <w:lang w:val="fr-FR"/>
              </w:rPr>
            </w:pPr>
          </w:p>
        </w:tc>
        <w:tc>
          <w:tcPr>
            <w:tcW w:w="3011" w:type="dxa"/>
            <w:tcBorders>
              <w:top w:val="single" w:sz="4" w:space="0" w:color="auto"/>
              <w:left w:val="nil"/>
              <w:bottom w:val="nil"/>
              <w:right w:val="nil"/>
            </w:tcBorders>
            <w:shd w:val="clear" w:color="auto" w:fill="auto"/>
            <w:vAlign w:val="bottom"/>
            <w:hideMark/>
          </w:tcPr>
          <w:p w:rsidR="006F35E5" w:rsidRPr="00431D28" w:rsidRDefault="006F35E5" w:rsidP="006F35E5">
            <w:pPr>
              <w:jc w:val="left"/>
              <w:rPr>
                <w:rFonts w:cs="Arial"/>
                <w:b/>
                <w:bCs/>
                <w:lang w:val="fr-FR"/>
              </w:rPr>
            </w:pPr>
          </w:p>
        </w:tc>
        <w:tc>
          <w:tcPr>
            <w:tcW w:w="4017" w:type="dxa"/>
            <w:gridSpan w:val="4"/>
            <w:tcBorders>
              <w:top w:val="single" w:sz="4" w:space="0" w:color="auto"/>
              <w:left w:val="single" w:sz="4" w:space="0" w:color="auto"/>
              <w:bottom w:val="nil"/>
              <w:right w:val="single" w:sz="4" w:space="0" w:color="auto"/>
            </w:tcBorders>
            <w:shd w:val="clear" w:color="auto" w:fill="auto"/>
            <w:vAlign w:val="bottom"/>
            <w:hideMark/>
          </w:tcPr>
          <w:p w:rsidR="006F35E5" w:rsidRPr="00431D28" w:rsidRDefault="000B1094" w:rsidP="006F35E5">
            <w:pPr>
              <w:jc w:val="center"/>
              <w:rPr>
                <w:rFonts w:cs="Arial"/>
                <w:b/>
                <w:bCs/>
                <w:i/>
                <w:iCs/>
                <w:lang w:val="fr-FR"/>
              </w:rPr>
            </w:pPr>
            <w:r w:rsidRPr="00431D28">
              <w:rPr>
                <w:rFonts w:cs="Arial"/>
                <w:b/>
                <w:bCs/>
                <w:i/>
                <w:iCs/>
                <w:lang w:val="fr-FR"/>
              </w:rPr>
              <w:t>Sous-programme</w:t>
            </w:r>
          </w:p>
        </w:tc>
        <w:tc>
          <w:tcPr>
            <w:tcW w:w="1014" w:type="dxa"/>
            <w:tcBorders>
              <w:top w:val="single" w:sz="4" w:space="0" w:color="auto"/>
              <w:left w:val="nil"/>
              <w:bottom w:val="nil"/>
              <w:right w:val="single" w:sz="4" w:space="0" w:color="auto"/>
            </w:tcBorders>
            <w:shd w:val="clear" w:color="auto" w:fill="auto"/>
            <w:vAlign w:val="bottom"/>
            <w:hideMark/>
          </w:tcPr>
          <w:p w:rsidR="006F35E5" w:rsidRPr="00431D28" w:rsidRDefault="006F35E5" w:rsidP="006F35E5">
            <w:pPr>
              <w:jc w:val="center"/>
              <w:rPr>
                <w:rFonts w:cs="Arial"/>
                <w:b/>
                <w:bCs/>
                <w:i/>
                <w:iCs/>
                <w:lang w:val="fr-FR"/>
              </w:rPr>
            </w:pPr>
            <w:r w:rsidRPr="00431D28">
              <w:rPr>
                <w:rFonts w:cs="Arial"/>
                <w:b/>
                <w:bCs/>
                <w:i/>
                <w:iCs/>
                <w:lang w:val="fr-FR"/>
              </w:rPr>
              <w:t> </w:t>
            </w:r>
          </w:p>
        </w:tc>
      </w:tr>
      <w:tr w:rsidR="006F35E5" w:rsidRPr="00431D28" w:rsidTr="006F35E5">
        <w:trPr>
          <w:trHeight w:val="255"/>
        </w:trPr>
        <w:tc>
          <w:tcPr>
            <w:tcW w:w="958" w:type="dxa"/>
            <w:tcBorders>
              <w:top w:val="nil"/>
              <w:left w:val="single" w:sz="4" w:space="0" w:color="auto"/>
              <w:bottom w:val="single" w:sz="4" w:space="0" w:color="auto"/>
              <w:right w:val="nil"/>
            </w:tcBorders>
            <w:shd w:val="clear" w:color="auto" w:fill="auto"/>
            <w:vAlign w:val="bottom"/>
            <w:hideMark/>
          </w:tcPr>
          <w:p w:rsidR="006F35E5" w:rsidRPr="00431D28" w:rsidRDefault="006F35E5" w:rsidP="006F35E5">
            <w:pPr>
              <w:jc w:val="left"/>
              <w:rPr>
                <w:rFonts w:cs="Arial"/>
                <w:b/>
                <w:bCs/>
                <w:lang w:val="fr-FR"/>
              </w:rPr>
            </w:pPr>
          </w:p>
        </w:tc>
        <w:tc>
          <w:tcPr>
            <w:tcW w:w="3011" w:type="dxa"/>
            <w:tcBorders>
              <w:top w:val="nil"/>
              <w:left w:val="nil"/>
              <w:bottom w:val="single" w:sz="4" w:space="0" w:color="auto"/>
              <w:right w:val="nil"/>
            </w:tcBorders>
            <w:shd w:val="clear" w:color="auto" w:fill="auto"/>
            <w:vAlign w:val="bottom"/>
            <w:hideMark/>
          </w:tcPr>
          <w:p w:rsidR="006F35E5" w:rsidRPr="00431D28" w:rsidRDefault="000B1094" w:rsidP="006F35E5">
            <w:pPr>
              <w:jc w:val="left"/>
              <w:rPr>
                <w:rFonts w:cs="Arial"/>
                <w:b/>
                <w:bCs/>
                <w:i/>
                <w:iCs/>
                <w:lang w:val="fr-FR"/>
              </w:rPr>
            </w:pPr>
            <w:r w:rsidRPr="00431D28">
              <w:rPr>
                <w:rFonts w:cs="Arial"/>
                <w:b/>
                <w:bCs/>
                <w:i/>
                <w:iCs/>
                <w:lang w:val="fr-FR"/>
              </w:rPr>
              <w:t>Objet de dépense</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35E5" w:rsidRPr="00431D28" w:rsidRDefault="006F35E5" w:rsidP="006F35E5">
            <w:pPr>
              <w:jc w:val="center"/>
              <w:rPr>
                <w:rFonts w:cs="Arial"/>
                <w:b/>
                <w:bCs/>
                <w:i/>
                <w:iCs/>
                <w:lang w:val="fr-FR"/>
              </w:rPr>
            </w:pPr>
            <w:r w:rsidRPr="00431D28">
              <w:rPr>
                <w:rFonts w:cs="Arial"/>
                <w:b/>
                <w:bCs/>
                <w:i/>
                <w:iCs/>
                <w:lang w:val="fr-FR"/>
              </w:rPr>
              <w:t>UV.1</w:t>
            </w:r>
          </w:p>
        </w:tc>
        <w:tc>
          <w:tcPr>
            <w:tcW w:w="1034" w:type="dxa"/>
            <w:tcBorders>
              <w:top w:val="single" w:sz="4" w:space="0" w:color="auto"/>
              <w:left w:val="nil"/>
              <w:bottom w:val="single" w:sz="4" w:space="0" w:color="auto"/>
              <w:right w:val="single" w:sz="4" w:space="0" w:color="auto"/>
            </w:tcBorders>
            <w:shd w:val="clear" w:color="auto" w:fill="auto"/>
            <w:vAlign w:val="bottom"/>
            <w:hideMark/>
          </w:tcPr>
          <w:p w:rsidR="006F35E5" w:rsidRPr="00431D28" w:rsidRDefault="006F35E5" w:rsidP="006F35E5">
            <w:pPr>
              <w:jc w:val="center"/>
              <w:rPr>
                <w:rFonts w:cs="Arial"/>
                <w:b/>
                <w:bCs/>
                <w:i/>
                <w:iCs/>
                <w:lang w:val="fr-FR"/>
              </w:rPr>
            </w:pPr>
            <w:r w:rsidRPr="00431D28">
              <w:rPr>
                <w:rFonts w:cs="Arial"/>
                <w:b/>
                <w:bCs/>
                <w:i/>
                <w:iCs/>
                <w:lang w:val="fr-FR"/>
              </w:rPr>
              <w:t>UV.2</w:t>
            </w:r>
          </w:p>
        </w:tc>
        <w:tc>
          <w:tcPr>
            <w:tcW w:w="995" w:type="dxa"/>
            <w:tcBorders>
              <w:top w:val="single" w:sz="4" w:space="0" w:color="auto"/>
              <w:left w:val="nil"/>
              <w:bottom w:val="single" w:sz="4" w:space="0" w:color="auto"/>
              <w:right w:val="single" w:sz="4" w:space="0" w:color="auto"/>
            </w:tcBorders>
            <w:shd w:val="clear" w:color="auto" w:fill="auto"/>
            <w:vAlign w:val="bottom"/>
            <w:hideMark/>
          </w:tcPr>
          <w:p w:rsidR="006F35E5" w:rsidRPr="00431D28" w:rsidRDefault="006F35E5" w:rsidP="006F35E5">
            <w:pPr>
              <w:jc w:val="center"/>
              <w:rPr>
                <w:rFonts w:cs="Arial"/>
                <w:b/>
                <w:bCs/>
                <w:i/>
                <w:iCs/>
                <w:lang w:val="fr-FR"/>
              </w:rPr>
            </w:pPr>
            <w:r w:rsidRPr="00431D28">
              <w:rPr>
                <w:rFonts w:cs="Arial"/>
                <w:b/>
                <w:bCs/>
                <w:i/>
                <w:iCs/>
                <w:lang w:val="fr-FR"/>
              </w:rPr>
              <w:t>UV.3</w:t>
            </w:r>
          </w:p>
        </w:tc>
        <w:tc>
          <w:tcPr>
            <w:tcW w:w="994" w:type="dxa"/>
            <w:tcBorders>
              <w:top w:val="single" w:sz="4" w:space="0" w:color="auto"/>
              <w:left w:val="nil"/>
              <w:bottom w:val="single" w:sz="4" w:space="0" w:color="auto"/>
              <w:right w:val="single" w:sz="4" w:space="0" w:color="auto"/>
            </w:tcBorders>
            <w:shd w:val="clear" w:color="auto" w:fill="auto"/>
            <w:vAlign w:val="bottom"/>
            <w:hideMark/>
          </w:tcPr>
          <w:p w:rsidR="006F35E5" w:rsidRPr="00431D28" w:rsidRDefault="006F35E5" w:rsidP="006F35E5">
            <w:pPr>
              <w:jc w:val="center"/>
              <w:rPr>
                <w:rFonts w:cs="Arial"/>
                <w:b/>
                <w:bCs/>
                <w:i/>
                <w:iCs/>
                <w:lang w:val="fr-FR"/>
              </w:rPr>
            </w:pPr>
            <w:r w:rsidRPr="00431D28">
              <w:rPr>
                <w:rFonts w:cs="Arial"/>
                <w:b/>
                <w:bCs/>
                <w:i/>
                <w:iCs/>
                <w:lang w:val="fr-FR"/>
              </w:rPr>
              <w:t>UV.4</w:t>
            </w:r>
          </w:p>
        </w:tc>
        <w:tc>
          <w:tcPr>
            <w:tcW w:w="1014" w:type="dxa"/>
            <w:tcBorders>
              <w:top w:val="nil"/>
              <w:left w:val="nil"/>
              <w:bottom w:val="single" w:sz="4" w:space="0" w:color="auto"/>
              <w:right w:val="single" w:sz="4" w:space="0" w:color="auto"/>
            </w:tcBorders>
            <w:shd w:val="clear" w:color="auto" w:fill="auto"/>
            <w:vAlign w:val="bottom"/>
            <w:hideMark/>
          </w:tcPr>
          <w:p w:rsidR="006F35E5" w:rsidRPr="00431D28" w:rsidRDefault="006F35E5" w:rsidP="006F35E5">
            <w:pPr>
              <w:jc w:val="center"/>
              <w:rPr>
                <w:rFonts w:cs="Arial"/>
                <w:b/>
                <w:bCs/>
                <w:i/>
                <w:iCs/>
                <w:lang w:val="fr-FR"/>
              </w:rPr>
            </w:pPr>
            <w:r w:rsidRPr="00431D28">
              <w:rPr>
                <w:rFonts w:cs="Arial"/>
                <w:b/>
                <w:bCs/>
                <w:i/>
                <w:iCs/>
                <w:lang w:val="fr-FR"/>
              </w:rPr>
              <w:t>Total</w:t>
            </w:r>
          </w:p>
        </w:tc>
      </w:tr>
      <w:tr w:rsidR="006F35E5" w:rsidRPr="00431D28" w:rsidTr="006F35E5">
        <w:trPr>
          <w:trHeight w:val="255"/>
        </w:trPr>
        <w:tc>
          <w:tcPr>
            <w:tcW w:w="3969" w:type="dxa"/>
            <w:gridSpan w:val="2"/>
            <w:tcBorders>
              <w:top w:val="nil"/>
              <w:left w:val="single" w:sz="4" w:space="0" w:color="auto"/>
              <w:bottom w:val="nil"/>
              <w:right w:val="nil"/>
            </w:tcBorders>
            <w:shd w:val="clear" w:color="auto" w:fill="auto"/>
            <w:vAlign w:val="bottom"/>
            <w:hideMark/>
          </w:tcPr>
          <w:p w:rsidR="006F35E5" w:rsidRPr="00431D28" w:rsidRDefault="006F35E5" w:rsidP="006F35E5">
            <w:pPr>
              <w:jc w:val="left"/>
              <w:rPr>
                <w:rFonts w:cs="Arial"/>
                <w:b/>
                <w:bCs/>
                <w:lang w:val="fr-FR"/>
              </w:rPr>
            </w:pP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p>
        </w:tc>
        <w:tc>
          <w:tcPr>
            <w:tcW w:w="1034"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p>
        </w:tc>
        <w:tc>
          <w:tcPr>
            <w:tcW w:w="995"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p>
        </w:tc>
        <w:tc>
          <w:tcPr>
            <w:tcW w:w="1014" w:type="dxa"/>
            <w:tcBorders>
              <w:top w:val="nil"/>
              <w:left w:val="nil"/>
              <w:bottom w:val="nil"/>
              <w:right w:val="single" w:sz="4" w:space="0" w:color="auto"/>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 </w:t>
            </w:r>
          </w:p>
        </w:tc>
      </w:tr>
      <w:tr w:rsidR="006F35E5" w:rsidRPr="00431D28" w:rsidTr="006F35E5">
        <w:trPr>
          <w:trHeight w:val="510"/>
        </w:trPr>
        <w:tc>
          <w:tcPr>
            <w:tcW w:w="3969" w:type="dxa"/>
            <w:gridSpan w:val="2"/>
            <w:tcBorders>
              <w:top w:val="nil"/>
              <w:left w:val="single" w:sz="4" w:space="0" w:color="auto"/>
              <w:bottom w:val="nil"/>
              <w:right w:val="nil"/>
            </w:tcBorders>
            <w:shd w:val="clear" w:color="auto" w:fill="auto"/>
            <w:vAlign w:val="bottom"/>
            <w:hideMark/>
          </w:tcPr>
          <w:p w:rsidR="006F35E5" w:rsidRPr="00431D28" w:rsidRDefault="000B1094" w:rsidP="006F35E5">
            <w:pPr>
              <w:jc w:val="left"/>
              <w:rPr>
                <w:rFonts w:cs="Arial"/>
                <w:b/>
                <w:bCs/>
                <w:lang w:val="fr-FR"/>
              </w:rPr>
            </w:pPr>
            <w:r w:rsidRPr="00431D28">
              <w:rPr>
                <w:rFonts w:cs="Arial"/>
                <w:b/>
                <w:bCs/>
                <w:lang w:val="fr-FR"/>
              </w:rPr>
              <w:t>A.  Ressources en personnel</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592</w:t>
            </w:r>
          </w:p>
        </w:tc>
        <w:tc>
          <w:tcPr>
            <w:tcW w:w="1034" w:type="dxa"/>
            <w:tcBorders>
              <w:top w:val="nil"/>
              <w:left w:val="nil"/>
              <w:bottom w:val="nil"/>
              <w:right w:val="nil"/>
            </w:tcBorders>
            <w:shd w:val="clear" w:color="auto" w:fill="auto"/>
            <w:vAlign w:val="bottom"/>
            <w:hideMark/>
          </w:tcPr>
          <w:p w:rsidR="006F35E5" w:rsidRPr="00431D28" w:rsidRDefault="000B1094" w:rsidP="007632C2">
            <w:pPr>
              <w:jc w:val="right"/>
              <w:rPr>
                <w:rFonts w:cs="Arial"/>
                <w:b/>
                <w:bCs/>
                <w:lang w:val="fr-FR"/>
              </w:rPr>
            </w:pPr>
            <w:r w:rsidRPr="00431D28">
              <w:rPr>
                <w:rFonts w:cs="Arial"/>
                <w:b/>
                <w:bCs/>
                <w:lang w:val="fr-FR"/>
              </w:rPr>
              <w:t>2</w:t>
            </w:r>
            <w:r w:rsidR="007632C2">
              <w:rPr>
                <w:rFonts w:cs="Arial"/>
                <w:b/>
                <w:bCs/>
                <w:lang w:val="fr-FR"/>
              </w:rPr>
              <w:t> </w:t>
            </w:r>
            <w:r w:rsidR="006F35E5" w:rsidRPr="00431D28">
              <w:rPr>
                <w:rFonts w:cs="Arial"/>
                <w:b/>
                <w:bCs/>
                <w:lang w:val="fr-FR"/>
              </w:rPr>
              <w:t>213</w:t>
            </w:r>
          </w:p>
        </w:tc>
        <w:tc>
          <w:tcPr>
            <w:tcW w:w="995" w:type="dxa"/>
            <w:tcBorders>
              <w:top w:val="nil"/>
              <w:left w:val="nil"/>
              <w:bottom w:val="nil"/>
              <w:right w:val="nil"/>
            </w:tcBorders>
            <w:shd w:val="clear" w:color="auto" w:fill="auto"/>
            <w:vAlign w:val="bottom"/>
            <w:hideMark/>
          </w:tcPr>
          <w:p w:rsidR="006F35E5" w:rsidRPr="00431D28" w:rsidRDefault="000B1094" w:rsidP="007632C2">
            <w:pPr>
              <w:jc w:val="right"/>
              <w:rPr>
                <w:rFonts w:cs="Arial"/>
                <w:b/>
                <w:bCs/>
                <w:lang w:val="fr-FR"/>
              </w:rPr>
            </w:pPr>
            <w:r w:rsidRPr="00431D28">
              <w:rPr>
                <w:rFonts w:cs="Arial"/>
                <w:b/>
                <w:bCs/>
                <w:lang w:val="fr-FR"/>
              </w:rPr>
              <w:t>1</w:t>
            </w:r>
            <w:r w:rsidR="007632C2">
              <w:rPr>
                <w:rFonts w:cs="Arial"/>
                <w:b/>
                <w:bCs/>
                <w:lang w:val="fr-FR"/>
              </w:rPr>
              <w:t> </w:t>
            </w:r>
            <w:r w:rsidR="006F35E5" w:rsidRPr="00431D28">
              <w:rPr>
                <w:rFonts w:cs="Arial"/>
                <w:b/>
                <w:bCs/>
                <w:lang w:val="fr-FR"/>
              </w:rPr>
              <w:t>198</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422</w:t>
            </w:r>
          </w:p>
        </w:tc>
        <w:tc>
          <w:tcPr>
            <w:tcW w:w="1014" w:type="dxa"/>
            <w:tcBorders>
              <w:top w:val="nil"/>
              <w:left w:val="nil"/>
              <w:bottom w:val="nil"/>
              <w:right w:val="single" w:sz="4" w:space="0" w:color="auto"/>
            </w:tcBorders>
            <w:shd w:val="clear" w:color="auto" w:fill="auto"/>
            <w:vAlign w:val="bottom"/>
            <w:hideMark/>
          </w:tcPr>
          <w:p w:rsidR="006F35E5" w:rsidRPr="00431D28" w:rsidRDefault="000B1094" w:rsidP="007632C2">
            <w:pPr>
              <w:jc w:val="right"/>
              <w:rPr>
                <w:rFonts w:cs="Arial"/>
                <w:b/>
                <w:bCs/>
                <w:lang w:val="fr-FR"/>
              </w:rPr>
            </w:pPr>
            <w:r w:rsidRPr="00431D28">
              <w:rPr>
                <w:rFonts w:cs="Arial"/>
                <w:b/>
                <w:bCs/>
                <w:lang w:val="fr-FR"/>
              </w:rPr>
              <w:t>4</w:t>
            </w:r>
            <w:r w:rsidR="007632C2">
              <w:rPr>
                <w:rFonts w:cs="Arial"/>
                <w:b/>
                <w:bCs/>
                <w:lang w:val="fr-FR"/>
              </w:rPr>
              <w:t> </w:t>
            </w:r>
            <w:r w:rsidR="006F35E5" w:rsidRPr="00431D28">
              <w:rPr>
                <w:rFonts w:cs="Arial"/>
                <w:b/>
                <w:bCs/>
                <w:lang w:val="fr-FR"/>
              </w:rPr>
              <w:t>425</w:t>
            </w:r>
          </w:p>
        </w:tc>
      </w:tr>
      <w:tr w:rsidR="006F35E5" w:rsidRPr="00431D28" w:rsidTr="006F35E5">
        <w:trPr>
          <w:trHeight w:val="255"/>
        </w:trPr>
        <w:tc>
          <w:tcPr>
            <w:tcW w:w="958" w:type="dxa"/>
            <w:tcBorders>
              <w:top w:val="nil"/>
              <w:left w:val="single" w:sz="4" w:space="0" w:color="auto"/>
              <w:bottom w:val="nil"/>
              <w:right w:val="nil"/>
            </w:tcBorders>
            <w:shd w:val="clear" w:color="auto" w:fill="auto"/>
            <w:vAlign w:val="bottom"/>
            <w:hideMark/>
          </w:tcPr>
          <w:p w:rsidR="006F35E5" w:rsidRPr="00431D28" w:rsidRDefault="006F35E5" w:rsidP="006F35E5">
            <w:pPr>
              <w:jc w:val="left"/>
              <w:rPr>
                <w:rFonts w:cs="Arial"/>
                <w:lang w:val="fr-FR"/>
              </w:rPr>
            </w:pPr>
          </w:p>
        </w:tc>
        <w:tc>
          <w:tcPr>
            <w:tcW w:w="3011" w:type="dxa"/>
            <w:tcBorders>
              <w:top w:val="nil"/>
              <w:left w:val="nil"/>
              <w:bottom w:val="nil"/>
              <w:right w:val="nil"/>
            </w:tcBorders>
            <w:shd w:val="clear" w:color="auto" w:fill="auto"/>
            <w:vAlign w:val="bottom"/>
            <w:hideMark/>
          </w:tcPr>
          <w:p w:rsidR="006F35E5" w:rsidRPr="00431D28" w:rsidRDefault="000B1094" w:rsidP="006F35E5">
            <w:pPr>
              <w:jc w:val="left"/>
              <w:rPr>
                <w:rFonts w:cs="Arial"/>
                <w:lang w:val="fr-FR"/>
              </w:rPr>
            </w:pPr>
            <w:r w:rsidRPr="00431D28">
              <w:rPr>
                <w:rFonts w:cs="Arial"/>
                <w:lang w:val="fr-FR"/>
              </w:rPr>
              <w:t>Postes</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592</w:t>
            </w:r>
          </w:p>
        </w:tc>
        <w:tc>
          <w:tcPr>
            <w:tcW w:w="1034" w:type="dxa"/>
            <w:tcBorders>
              <w:top w:val="nil"/>
              <w:left w:val="nil"/>
              <w:bottom w:val="nil"/>
              <w:right w:val="nil"/>
            </w:tcBorders>
            <w:shd w:val="clear" w:color="auto" w:fill="auto"/>
            <w:vAlign w:val="bottom"/>
            <w:hideMark/>
          </w:tcPr>
          <w:p w:rsidR="006F35E5" w:rsidRPr="00431D28" w:rsidRDefault="000B1094" w:rsidP="007632C2">
            <w:pPr>
              <w:jc w:val="right"/>
              <w:rPr>
                <w:rFonts w:cs="Arial"/>
                <w:lang w:val="fr-FR"/>
              </w:rPr>
            </w:pPr>
            <w:r w:rsidRPr="00431D28">
              <w:rPr>
                <w:rFonts w:cs="Arial"/>
                <w:lang w:val="fr-FR"/>
              </w:rPr>
              <w:t>2</w:t>
            </w:r>
            <w:r w:rsidR="007632C2">
              <w:rPr>
                <w:rFonts w:cs="Arial"/>
                <w:lang w:val="fr-FR"/>
              </w:rPr>
              <w:t> </w:t>
            </w:r>
            <w:r w:rsidR="006F35E5" w:rsidRPr="00431D28">
              <w:rPr>
                <w:rFonts w:cs="Arial"/>
                <w:lang w:val="fr-FR"/>
              </w:rPr>
              <w:t>113</w:t>
            </w:r>
          </w:p>
        </w:tc>
        <w:tc>
          <w:tcPr>
            <w:tcW w:w="995" w:type="dxa"/>
            <w:tcBorders>
              <w:top w:val="nil"/>
              <w:left w:val="nil"/>
              <w:bottom w:val="nil"/>
              <w:right w:val="nil"/>
            </w:tcBorders>
            <w:shd w:val="clear" w:color="auto" w:fill="auto"/>
            <w:vAlign w:val="bottom"/>
            <w:hideMark/>
          </w:tcPr>
          <w:p w:rsidR="006F35E5" w:rsidRPr="00431D28" w:rsidRDefault="000B1094" w:rsidP="006F35E5">
            <w:pPr>
              <w:jc w:val="right"/>
              <w:rPr>
                <w:rFonts w:cs="Arial"/>
                <w:lang w:val="fr-FR"/>
              </w:rPr>
            </w:pPr>
            <w:r w:rsidRPr="00431D28">
              <w:rPr>
                <w:rFonts w:cs="Arial"/>
                <w:lang w:val="fr-FR"/>
              </w:rPr>
              <w:t>1 </w:t>
            </w:r>
            <w:r w:rsidR="006F35E5" w:rsidRPr="00431D28">
              <w:rPr>
                <w:rFonts w:cs="Arial"/>
                <w:lang w:val="fr-FR"/>
              </w:rPr>
              <w:t>098</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422</w:t>
            </w:r>
          </w:p>
        </w:tc>
        <w:tc>
          <w:tcPr>
            <w:tcW w:w="1014" w:type="dxa"/>
            <w:tcBorders>
              <w:top w:val="nil"/>
              <w:left w:val="nil"/>
              <w:bottom w:val="nil"/>
              <w:right w:val="single" w:sz="4" w:space="0" w:color="auto"/>
            </w:tcBorders>
            <w:shd w:val="clear" w:color="auto" w:fill="auto"/>
            <w:vAlign w:val="bottom"/>
            <w:hideMark/>
          </w:tcPr>
          <w:p w:rsidR="006F35E5" w:rsidRPr="00431D28" w:rsidRDefault="007632C2" w:rsidP="006F35E5">
            <w:pPr>
              <w:jc w:val="right"/>
              <w:rPr>
                <w:rFonts w:cs="Arial"/>
                <w:lang w:val="fr-FR"/>
              </w:rPr>
            </w:pPr>
            <w:r>
              <w:rPr>
                <w:rFonts w:cs="Arial"/>
                <w:lang w:val="fr-FR"/>
              </w:rPr>
              <w:t>4 </w:t>
            </w:r>
            <w:r w:rsidR="006F35E5" w:rsidRPr="00431D28">
              <w:rPr>
                <w:rFonts w:cs="Arial"/>
                <w:lang w:val="fr-FR"/>
              </w:rPr>
              <w:t>225</w:t>
            </w:r>
          </w:p>
        </w:tc>
      </w:tr>
      <w:tr w:rsidR="006F35E5" w:rsidRPr="00431D28" w:rsidTr="006F35E5">
        <w:trPr>
          <w:trHeight w:val="255"/>
        </w:trPr>
        <w:tc>
          <w:tcPr>
            <w:tcW w:w="958" w:type="dxa"/>
            <w:tcBorders>
              <w:top w:val="nil"/>
              <w:left w:val="single" w:sz="4" w:space="0" w:color="auto"/>
              <w:bottom w:val="nil"/>
              <w:right w:val="nil"/>
            </w:tcBorders>
            <w:shd w:val="clear" w:color="auto" w:fill="auto"/>
            <w:vAlign w:val="bottom"/>
            <w:hideMark/>
          </w:tcPr>
          <w:p w:rsidR="006F35E5" w:rsidRPr="00431D28" w:rsidRDefault="006F35E5" w:rsidP="006F35E5">
            <w:pPr>
              <w:jc w:val="left"/>
              <w:rPr>
                <w:rFonts w:cs="Arial"/>
                <w:lang w:val="fr-FR"/>
              </w:rPr>
            </w:pPr>
          </w:p>
        </w:tc>
        <w:tc>
          <w:tcPr>
            <w:tcW w:w="3011" w:type="dxa"/>
            <w:tcBorders>
              <w:top w:val="nil"/>
              <w:left w:val="nil"/>
              <w:bottom w:val="nil"/>
              <w:right w:val="nil"/>
            </w:tcBorders>
            <w:shd w:val="clear" w:color="auto" w:fill="auto"/>
            <w:vAlign w:val="bottom"/>
            <w:hideMark/>
          </w:tcPr>
          <w:p w:rsidR="006F35E5" w:rsidRPr="005C4304" w:rsidRDefault="000B1094" w:rsidP="006F35E5">
            <w:pPr>
              <w:jc w:val="left"/>
              <w:rPr>
                <w:rFonts w:cs="Arial"/>
                <w:color w:val="000000"/>
                <w:lang w:val="fr-FR"/>
              </w:rPr>
            </w:pPr>
            <w:r w:rsidRPr="005C4304">
              <w:rPr>
                <w:rFonts w:cs="Arial"/>
                <w:color w:val="000000"/>
                <w:lang w:val="fr-FR"/>
              </w:rPr>
              <w:t>Agents temporaires</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w:t>
            </w:r>
          </w:p>
        </w:tc>
        <w:tc>
          <w:tcPr>
            <w:tcW w:w="103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100</w:t>
            </w:r>
          </w:p>
        </w:tc>
        <w:tc>
          <w:tcPr>
            <w:tcW w:w="995"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100</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w:t>
            </w:r>
          </w:p>
        </w:tc>
        <w:tc>
          <w:tcPr>
            <w:tcW w:w="1014" w:type="dxa"/>
            <w:tcBorders>
              <w:top w:val="nil"/>
              <w:left w:val="nil"/>
              <w:bottom w:val="nil"/>
              <w:right w:val="single" w:sz="4" w:space="0" w:color="auto"/>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200</w:t>
            </w:r>
          </w:p>
        </w:tc>
      </w:tr>
      <w:tr w:rsidR="006F35E5" w:rsidRPr="00431D28" w:rsidTr="006F35E5">
        <w:trPr>
          <w:trHeight w:val="255"/>
        </w:trPr>
        <w:tc>
          <w:tcPr>
            <w:tcW w:w="958" w:type="dxa"/>
            <w:tcBorders>
              <w:top w:val="nil"/>
              <w:left w:val="single" w:sz="4" w:space="0" w:color="auto"/>
              <w:bottom w:val="nil"/>
              <w:right w:val="nil"/>
            </w:tcBorders>
            <w:shd w:val="clear" w:color="auto" w:fill="auto"/>
            <w:vAlign w:val="bottom"/>
            <w:hideMark/>
          </w:tcPr>
          <w:p w:rsidR="006F35E5" w:rsidRPr="00431D28" w:rsidRDefault="006F35E5" w:rsidP="006F35E5">
            <w:pPr>
              <w:jc w:val="left"/>
              <w:rPr>
                <w:rFonts w:cs="Arial"/>
                <w:lang w:val="fr-FR"/>
              </w:rPr>
            </w:pPr>
          </w:p>
        </w:tc>
        <w:tc>
          <w:tcPr>
            <w:tcW w:w="3011" w:type="dxa"/>
            <w:tcBorders>
              <w:top w:val="nil"/>
              <w:left w:val="nil"/>
              <w:bottom w:val="nil"/>
              <w:right w:val="nil"/>
            </w:tcBorders>
            <w:shd w:val="clear" w:color="auto" w:fill="auto"/>
            <w:vAlign w:val="bottom"/>
            <w:hideMark/>
          </w:tcPr>
          <w:p w:rsidR="006F35E5" w:rsidRPr="005C4304" w:rsidRDefault="006F35E5" w:rsidP="006F35E5">
            <w:pPr>
              <w:jc w:val="left"/>
              <w:rPr>
                <w:rFonts w:cs="Arial"/>
                <w:color w:val="000000"/>
                <w:lang w:val="fr-FR"/>
              </w:rPr>
            </w:pP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p>
        </w:tc>
        <w:tc>
          <w:tcPr>
            <w:tcW w:w="103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p>
        </w:tc>
        <w:tc>
          <w:tcPr>
            <w:tcW w:w="995"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p>
        </w:tc>
        <w:tc>
          <w:tcPr>
            <w:tcW w:w="1014" w:type="dxa"/>
            <w:tcBorders>
              <w:top w:val="nil"/>
              <w:left w:val="nil"/>
              <w:bottom w:val="nil"/>
              <w:right w:val="single" w:sz="4" w:space="0" w:color="auto"/>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 </w:t>
            </w:r>
          </w:p>
        </w:tc>
      </w:tr>
      <w:tr w:rsidR="006F35E5" w:rsidRPr="00431D28" w:rsidTr="006F35E5">
        <w:trPr>
          <w:trHeight w:val="255"/>
        </w:trPr>
        <w:tc>
          <w:tcPr>
            <w:tcW w:w="3969" w:type="dxa"/>
            <w:gridSpan w:val="2"/>
            <w:tcBorders>
              <w:top w:val="nil"/>
              <w:left w:val="single" w:sz="4" w:space="0" w:color="auto"/>
              <w:bottom w:val="nil"/>
              <w:right w:val="nil"/>
            </w:tcBorders>
            <w:shd w:val="clear" w:color="auto" w:fill="auto"/>
            <w:vAlign w:val="bottom"/>
            <w:hideMark/>
          </w:tcPr>
          <w:p w:rsidR="006F35E5" w:rsidRPr="005C4304" w:rsidRDefault="000B1094" w:rsidP="006F35E5">
            <w:pPr>
              <w:jc w:val="left"/>
              <w:rPr>
                <w:rFonts w:cs="Arial"/>
                <w:b/>
                <w:bCs/>
                <w:lang w:val="fr-FR"/>
              </w:rPr>
            </w:pPr>
            <w:r w:rsidRPr="005C4304">
              <w:rPr>
                <w:rFonts w:cs="Arial"/>
                <w:b/>
                <w:bCs/>
                <w:lang w:val="fr-FR"/>
              </w:rPr>
              <w:t>B.  Autres ressources</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128</w:t>
            </w:r>
          </w:p>
        </w:tc>
        <w:tc>
          <w:tcPr>
            <w:tcW w:w="1034" w:type="dxa"/>
            <w:tcBorders>
              <w:top w:val="nil"/>
              <w:left w:val="nil"/>
              <w:bottom w:val="nil"/>
              <w:right w:val="nil"/>
            </w:tcBorders>
            <w:shd w:val="clear" w:color="auto" w:fill="auto"/>
            <w:vAlign w:val="bottom"/>
            <w:hideMark/>
          </w:tcPr>
          <w:p w:rsidR="006F35E5" w:rsidRPr="00431D28" w:rsidRDefault="007632C2" w:rsidP="006F35E5">
            <w:pPr>
              <w:jc w:val="right"/>
              <w:rPr>
                <w:rFonts w:cs="Arial"/>
                <w:b/>
                <w:bCs/>
                <w:lang w:val="fr-FR"/>
              </w:rPr>
            </w:pPr>
            <w:r>
              <w:rPr>
                <w:rFonts w:cs="Arial"/>
                <w:b/>
                <w:bCs/>
                <w:lang w:val="fr-FR"/>
              </w:rPr>
              <w:t>1 </w:t>
            </w:r>
            <w:r w:rsidR="006F35E5" w:rsidRPr="00431D28">
              <w:rPr>
                <w:rFonts w:cs="Arial"/>
                <w:b/>
                <w:bCs/>
                <w:lang w:val="fr-FR"/>
              </w:rPr>
              <w:t>721</w:t>
            </w:r>
          </w:p>
        </w:tc>
        <w:tc>
          <w:tcPr>
            <w:tcW w:w="995"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380</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140</w:t>
            </w:r>
          </w:p>
        </w:tc>
        <w:tc>
          <w:tcPr>
            <w:tcW w:w="1014" w:type="dxa"/>
            <w:tcBorders>
              <w:top w:val="nil"/>
              <w:left w:val="nil"/>
              <w:bottom w:val="nil"/>
              <w:right w:val="single" w:sz="4" w:space="0" w:color="auto"/>
            </w:tcBorders>
            <w:shd w:val="clear" w:color="auto" w:fill="auto"/>
            <w:vAlign w:val="bottom"/>
            <w:hideMark/>
          </w:tcPr>
          <w:p w:rsidR="006F35E5" w:rsidRPr="00431D28" w:rsidRDefault="007632C2" w:rsidP="006F35E5">
            <w:pPr>
              <w:jc w:val="right"/>
              <w:rPr>
                <w:rFonts w:cs="Arial"/>
                <w:b/>
                <w:bCs/>
                <w:lang w:val="fr-FR"/>
              </w:rPr>
            </w:pPr>
            <w:r>
              <w:rPr>
                <w:rFonts w:cs="Arial"/>
                <w:b/>
                <w:bCs/>
                <w:lang w:val="fr-FR"/>
              </w:rPr>
              <w:t>2 </w:t>
            </w:r>
            <w:r w:rsidR="006F35E5" w:rsidRPr="00431D28">
              <w:rPr>
                <w:rFonts w:cs="Arial"/>
                <w:b/>
                <w:bCs/>
                <w:lang w:val="fr-FR"/>
              </w:rPr>
              <w:t>369</w:t>
            </w:r>
          </w:p>
        </w:tc>
      </w:tr>
      <w:tr w:rsidR="006F35E5" w:rsidRPr="00431D28" w:rsidTr="006F35E5">
        <w:trPr>
          <w:trHeight w:val="255"/>
        </w:trPr>
        <w:tc>
          <w:tcPr>
            <w:tcW w:w="958" w:type="dxa"/>
            <w:tcBorders>
              <w:top w:val="nil"/>
              <w:left w:val="single" w:sz="4" w:space="0" w:color="auto"/>
              <w:bottom w:val="nil"/>
              <w:right w:val="nil"/>
            </w:tcBorders>
            <w:shd w:val="clear" w:color="auto" w:fill="auto"/>
            <w:vAlign w:val="bottom"/>
            <w:hideMark/>
          </w:tcPr>
          <w:p w:rsidR="006F35E5" w:rsidRPr="005C4304" w:rsidRDefault="000B1094" w:rsidP="006F35E5">
            <w:pPr>
              <w:jc w:val="left"/>
              <w:rPr>
                <w:rFonts w:cs="Arial"/>
                <w:b/>
                <w:bCs/>
                <w:i/>
                <w:iCs/>
                <w:lang w:val="fr-FR"/>
              </w:rPr>
            </w:pPr>
            <w:r w:rsidRPr="005C4304">
              <w:rPr>
                <w:rFonts w:cs="Arial"/>
                <w:b/>
                <w:bCs/>
                <w:i/>
                <w:iCs/>
                <w:lang w:val="fr-FR"/>
              </w:rPr>
              <w:t>Stagiaires</w:t>
            </w:r>
          </w:p>
        </w:tc>
        <w:tc>
          <w:tcPr>
            <w:tcW w:w="3011" w:type="dxa"/>
            <w:tcBorders>
              <w:top w:val="nil"/>
              <w:left w:val="nil"/>
              <w:bottom w:val="nil"/>
              <w:right w:val="nil"/>
            </w:tcBorders>
            <w:shd w:val="clear" w:color="auto" w:fill="auto"/>
            <w:vAlign w:val="bottom"/>
            <w:hideMark/>
          </w:tcPr>
          <w:p w:rsidR="006F35E5" w:rsidRPr="005C4304" w:rsidRDefault="006F35E5" w:rsidP="006F35E5">
            <w:pPr>
              <w:jc w:val="left"/>
              <w:rPr>
                <w:rFonts w:cs="Arial"/>
                <w:b/>
                <w:bCs/>
                <w:lang w:val="fr-FR"/>
              </w:rPr>
            </w:pP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w:t>
            </w:r>
          </w:p>
        </w:tc>
        <w:tc>
          <w:tcPr>
            <w:tcW w:w="1034"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w:t>
            </w:r>
          </w:p>
        </w:tc>
        <w:tc>
          <w:tcPr>
            <w:tcW w:w="995"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w:t>
            </w:r>
          </w:p>
        </w:tc>
        <w:tc>
          <w:tcPr>
            <w:tcW w:w="1014" w:type="dxa"/>
            <w:tcBorders>
              <w:top w:val="nil"/>
              <w:left w:val="nil"/>
              <w:bottom w:val="nil"/>
              <w:right w:val="single" w:sz="4" w:space="0" w:color="auto"/>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w:t>
            </w:r>
          </w:p>
        </w:tc>
      </w:tr>
      <w:tr w:rsidR="006F35E5" w:rsidRPr="00431D28" w:rsidTr="006F35E5">
        <w:trPr>
          <w:trHeight w:val="255"/>
        </w:trPr>
        <w:tc>
          <w:tcPr>
            <w:tcW w:w="958" w:type="dxa"/>
            <w:tcBorders>
              <w:top w:val="nil"/>
              <w:left w:val="single" w:sz="4" w:space="0" w:color="auto"/>
              <w:bottom w:val="nil"/>
              <w:right w:val="nil"/>
            </w:tcBorders>
            <w:shd w:val="clear" w:color="auto" w:fill="auto"/>
            <w:vAlign w:val="bottom"/>
            <w:hideMark/>
          </w:tcPr>
          <w:p w:rsidR="006F35E5" w:rsidRPr="00431D28" w:rsidRDefault="006F35E5" w:rsidP="006F35E5">
            <w:pPr>
              <w:jc w:val="left"/>
              <w:rPr>
                <w:rFonts w:cs="Arial"/>
                <w:b/>
                <w:bCs/>
                <w:lang w:val="fr-FR"/>
              </w:rPr>
            </w:pPr>
          </w:p>
        </w:tc>
        <w:tc>
          <w:tcPr>
            <w:tcW w:w="3011" w:type="dxa"/>
            <w:tcBorders>
              <w:top w:val="nil"/>
              <w:left w:val="nil"/>
              <w:bottom w:val="nil"/>
              <w:right w:val="nil"/>
            </w:tcBorders>
            <w:shd w:val="clear" w:color="auto" w:fill="auto"/>
            <w:vAlign w:val="bottom"/>
            <w:hideMark/>
          </w:tcPr>
          <w:p w:rsidR="006F35E5" w:rsidRPr="005C4304" w:rsidRDefault="000B1094" w:rsidP="006F35E5">
            <w:pPr>
              <w:jc w:val="left"/>
              <w:rPr>
                <w:rFonts w:cs="Arial"/>
                <w:lang w:val="fr-FR"/>
              </w:rPr>
            </w:pPr>
            <w:r w:rsidRPr="005C4304">
              <w:rPr>
                <w:rFonts w:cs="Arial"/>
                <w:lang w:val="fr-FR"/>
              </w:rPr>
              <w:t>Stagiaires</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w:t>
            </w:r>
          </w:p>
        </w:tc>
        <w:tc>
          <w:tcPr>
            <w:tcW w:w="1034"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w:t>
            </w:r>
          </w:p>
        </w:tc>
        <w:tc>
          <w:tcPr>
            <w:tcW w:w="995"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w:t>
            </w:r>
          </w:p>
        </w:tc>
        <w:tc>
          <w:tcPr>
            <w:tcW w:w="1014" w:type="dxa"/>
            <w:tcBorders>
              <w:top w:val="nil"/>
              <w:left w:val="nil"/>
              <w:bottom w:val="nil"/>
              <w:right w:val="single" w:sz="4" w:space="0" w:color="auto"/>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w:t>
            </w:r>
          </w:p>
        </w:tc>
      </w:tr>
      <w:tr w:rsidR="006F35E5" w:rsidRPr="00431D28" w:rsidTr="006F35E5">
        <w:trPr>
          <w:trHeight w:val="255"/>
        </w:trPr>
        <w:tc>
          <w:tcPr>
            <w:tcW w:w="3969" w:type="dxa"/>
            <w:gridSpan w:val="2"/>
            <w:tcBorders>
              <w:top w:val="nil"/>
              <w:left w:val="single" w:sz="4" w:space="0" w:color="auto"/>
              <w:bottom w:val="nil"/>
              <w:right w:val="nil"/>
            </w:tcBorders>
            <w:shd w:val="clear" w:color="auto" w:fill="auto"/>
            <w:vAlign w:val="bottom"/>
            <w:hideMark/>
          </w:tcPr>
          <w:p w:rsidR="006F35E5" w:rsidRPr="005C4304" w:rsidRDefault="000B1094" w:rsidP="006F35E5">
            <w:pPr>
              <w:jc w:val="left"/>
              <w:rPr>
                <w:rFonts w:cs="Arial"/>
                <w:b/>
                <w:bCs/>
                <w:i/>
                <w:iCs/>
                <w:lang w:val="fr-FR"/>
              </w:rPr>
            </w:pPr>
            <w:r w:rsidRPr="005C4304">
              <w:rPr>
                <w:rFonts w:cs="Arial"/>
                <w:b/>
                <w:bCs/>
                <w:i/>
                <w:iCs/>
                <w:lang w:val="fr-FR"/>
              </w:rPr>
              <w:t>Voyages</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w:t>
            </w:r>
          </w:p>
        </w:tc>
        <w:tc>
          <w:tcPr>
            <w:tcW w:w="1034"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180</w:t>
            </w:r>
          </w:p>
        </w:tc>
        <w:tc>
          <w:tcPr>
            <w:tcW w:w="995"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300</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110</w:t>
            </w:r>
          </w:p>
        </w:tc>
        <w:tc>
          <w:tcPr>
            <w:tcW w:w="1014" w:type="dxa"/>
            <w:tcBorders>
              <w:top w:val="nil"/>
              <w:left w:val="nil"/>
              <w:bottom w:val="nil"/>
              <w:right w:val="single" w:sz="4" w:space="0" w:color="auto"/>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590</w:t>
            </w:r>
          </w:p>
        </w:tc>
      </w:tr>
      <w:tr w:rsidR="006F35E5" w:rsidRPr="00431D28" w:rsidTr="006F35E5">
        <w:trPr>
          <w:trHeight w:val="255"/>
        </w:trPr>
        <w:tc>
          <w:tcPr>
            <w:tcW w:w="958" w:type="dxa"/>
            <w:tcBorders>
              <w:top w:val="nil"/>
              <w:left w:val="single" w:sz="4" w:space="0" w:color="auto"/>
              <w:bottom w:val="nil"/>
              <w:right w:val="nil"/>
            </w:tcBorders>
            <w:shd w:val="clear" w:color="auto" w:fill="auto"/>
            <w:vAlign w:val="bottom"/>
            <w:hideMark/>
          </w:tcPr>
          <w:p w:rsidR="006F35E5" w:rsidRPr="00431D28" w:rsidRDefault="006F35E5" w:rsidP="006F35E5">
            <w:pPr>
              <w:jc w:val="left"/>
              <w:rPr>
                <w:rFonts w:cs="Arial"/>
                <w:lang w:val="fr-FR"/>
              </w:rPr>
            </w:pPr>
          </w:p>
        </w:tc>
        <w:tc>
          <w:tcPr>
            <w:tcW w:w="3011" w:type="dxa"/>
            <w:tcBorders>
              <w:top w:val="nil"/>
              <w:left w:val="nil"/>
              <w:bottom w:val="nil"/>
              <w:right w:val="nil"/>
            </w:tcBorders>
            <w:shd w:val="clear" w:color="auto" w:fill="auto"/>
            <w:vAlign w:val="bottom"/>
            <w:hideMark/>
          </w:tcPr>
          <w:p w:rsidR="006F35E5" w:rsidRPr="005C4304" w:rsidRDefault="000B1094" w:rsidP="006F35E5">
            <w:pPr>
              <w:jc w:val="left"/>
              <w:rPr>
                <w:rFonts w:cs="Arial"/>
                <w:lang w:val="fr-FR"/>
              </w:rPr>
            </w:pPr>
            <w:r w:rsidRPr="005C4304">
              <w:rPr>
                <w:rFonts w:cs="Arial"/>
                <w:lang w:val="fr-FR"/>
              </w:rPr>
              <w:t>Missions de fonctionnaires</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w:t>
            </w:r>
          </w:p>
        </w:tc>
        <w:tc>
          <w:tcPr>
            <w:tcW w:w="103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180</w:t>
            </w:r>
          </w:p>
        </w:tc>
        <w:tc>
          <w:tcPr>
            <w:tcW w:w="995"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180</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110</w:t>
            </w:r>
          </w:p>
        </w:tc>
        <w:tc>
          <w:tcPr>
            <w:tcW w:w="1014" w:type="dxa"/>
            <w:tcBorders>
              <w:top w:val="nil"/>
              <w:left w:val="nil"/>
              <w:bottom w:val="nil"/>
              <w:right w:val="single" w:sz="4" w:space="0" w:color="auto"/>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470</w:t>
            </w:r>
          </w:p>
        </w:tc>
      </w:tr>
      <w:tr w:rsidR="006F35E5" w:rsidRPr="00431D28" w:rsidTr="006F35E5">
        <w:trPr>
          <w:trHeight w:val="255"/>
        </w:trPr>
        <w:tc>
          <w:tcPr>
            <w:tcW w:w="958" w:type="dxa"/>
            <w:tcBorders>
              <w:top w:val="nil"/>
              <w:left w:val="single" w:sz="4" w:space="0" w:color="auto"/>
              <w:bottom w:val="nil"/>
              <w:right w:val="nil"/>
            </w:tcBorders>
            <w:shd w:val="clear" w:color="auto" w:fill="auto"/>
            <w:vAlign w:val="bottom"/>
            <w:hideMark/>
          </w:tcPr>
          <w:p w:rsidR="006F35E5" w:rsidRPr="00431D28" w:rsidRDefault="006F35E5" w:rsidP="006F35E5">
            <w:pPr>
              <w:jc w:val="left"/>
              <w:rPr>
                <w:rFonts w:cs="Arial"/>
                <w:lang w:val="fr-FR"/>
              </w:rPr>
            </w:pPr>
          </w:p>
        </w:tc>
        <w:tc>
          <w:tcPr>
            <w:tcW w:w="3011" w:type="dxa"/>
            <w:tcBorders>
              <w:top w:val="nil"/>
              <w:left w:val="nil"/>
              <w:bottom w:val="nil"/>
              <w:right w:val="nil"/>
            </w:tcBorders>
            <w:shd w:val="clear" w:color="auto" w:fill="auto"/>
            <w:vAlign w:val="bottom"/>
            <w:hideMark/>
          </w:tcPr>
          <w:p w:rsidR="006F35E5" w:rsidRPr="005C4304" w:rsidRDefault="000B1094" w:rsidP="006F35E5">
            <w:pPr>
              <w:jc w:val="left"/>
              <w:rPr>
                <w:rFonts w:cs="Arial"/>
                <w:lang w:val="fr-FR"/>
              </w:rPr>
            </w:pPr>
            <w:r w:rsidRPr="005C4304">
              <w:rPr>
                <w:rFonts w:cs="Arial"/>
                <w:lang w:val="fr-FR"/>
              </w:rPr>
              <w:t>Voyages de tiers</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w:t>
            </w:r>
          </w:p>
        </w:tc>
        <w:tc>
          <w:tcPr>
            <w:tcW w:w="103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w:t>
            </w:r>
          </w:p>
        </w:tc>
        <w:tc>
          <w:tcPr>
            <w:tcW w:w="995"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120</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p>
        </w:tc>
        <w:tc>
          <w:tcPr>
            <w:tcW w:w="1014" w:type="dxa"/>
            <w:tcBorders>
              <w:top w:val="nil"/>
              <w:left w:val="nil"/>
              <w:bottom w:val="nil"/>
              <w:right w:val="single" w:sz="4" w:space="0" w:color="auto"/>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120</w:t>
            </w:r>
          </w:p>
        </w:tc>
      </w:tr>
      <w:tr w:rsidR="006F35E5" w:rsidRPr="00431D28" w:rsidTr="006F35E5">
        <w:trPr>
          <w:trHeight w:val="270"/>
        </w:trPr>
        <w:tc>
          <w:tcPr>
            <w:tcW w:w="3969" w:type="dxa"/>
            <w:gridSpan w:val="2"/>
            <w:tcBorders>
              <w:top w:val="nil"/>
              <w:left w:val="single" w:sz="4" w:space="0" w:color="auto"/>
              <w:bottom w:val="nil"/>
              <w:right w:val="nil"/>
            </w:tcBorders>
            <w:shd w:val="clear" w:color="auto" w:fill="auto"/>
            <w:vAlign w:val="bottom"/>
            <w:hideMark/>
          </w:tcPr>
          <w:p w:rsidR="006F35E5" w:rsidRPr="005C4304" w:rsidRDefault="000B1094" w:rsidP="006F35E5">
            <w:pPr>
              <w:jc w:val="left"/>
              <w:rPr>
                <w:rFonts w:cs="Arial"/>
                <w:b/>
                <w:bCs/>
                <w:i/>
                <w:iCs/>
                <w:lang w:val="fr-FR"/>
              </w:rPr>
            </w:pPr>
            <w:r w:rsidRPr="005C4304">
              <w:rPr>
                <w:rFonts w:cs="Arial"/>
                <w:b/>
                <w:bCs/>
                <w:i/>
                <w:iCs/>
                <w:lang w:val="fr-FR"/>
              </w:rPr>
              <w:t>Services contractuels</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80</w:t>
            </w:r>
          </w:p>
        </w:tc>
        <w:tc>
          <w:tcPr>
            <w:tcW w:w="1034"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305</w:t>
            </w:r>
          </w:p>
        </w:tc>
        <w:tc>
          <w:tcPr>
            <w:tcW w:w="995"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70</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20</w:t>
            </w:r>
          </w:p>
        </w:tc>
        <w:tc>
          <w:tcPr>
            <w:tcW w:w="1014" w:type="dxa"/>
            <w:tcBorders>
              <w:top w:val="nil"/>
              <w:left w:val="nil"/>
              <w:bottom w:val="nil"/>
              <w:right w:val="single" w:sz="4" w:space="0" w:color="auto"/>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475</w:t>
            </w:r>
          </w:p>
        </w:tc>
      </w:tr>
      <w:tr w:rsidR="006F35E5" w:rsidRPr="00431D28" w:rsidTr="006F35E5">
        <w:trPr>
          <w:trHeight w:val="255"/>
        </w:trPr>
        <w:tc>
          <w:tcPr>
            <w:tcW w:w="958" w:type="dxa"/>
            <w:tcBorders>
              <w:top w:val="nil"/>
              <w:left w:val="single" w:sz="4" w:space="0" w:color="auto"/>
              <w:bottom w:val="nil"/>
              <w:right w:val="nil"/>
            </w:tcBorders>
            <w:shd w:val="clear" w:color="auto" w:fill="auto"/>
            <w:vAlign w:val="bottom"/>
            <w:hideMark/>
          </w:tcPr>
          <w:p w:rsidR="006F35E5" w:rsidRPr="00431D28" w:rsidRDefault="006F35E5" w:rsidP="006F35E5">
            <w:pPr>
              <w:jc w:val="left"/>
              <w:rPr>
                <w:rFonts w:cs="Arial"/>
                <w:lang w:val="fr-FR"/>
              </w:rPr>
            </w:pPr>
          </w:p>
        </w:tc>
        <w:tc>
          <w:tcPr>
            <w:tcW w:w="3011" w:type="dxa"/>
            <w:tcBorders>
              <w:top w:val="nil"/>
              <w:left w:val="nil"/>
              <w:bottom w:val="nil"/>
              <w:right w:val="nil"/>
            </w:tcBorders>
            <w:shd w:val="clear" w:color="auto" w:fill="auto"/>
            <w:vAlign w:val="bottom"/>
            <w:hideMark/>
          </w:tcPr>
          <w:p w:rsidR="006F35E5" w:rsidRPr="005C4304" w:rsidRDefault="000B1094" w:rsidP="006F35E5">
            <w:pPr>
              <w:jc w:val="left"/>
              <w:rPr>
                <w:rFonts w:cs="Arial"/>
                <w:lang w:val="fr-FR"/>
              </w:rPr>
            </w:pPr>
            <w:r w:rsidRPr="005C4304">
              <w:rPr>
                <w:rFonts w:cs="Arial"/>
                <w:lang w:val="fr-FR"/>
              </w:rPr>
              <w:t>Confé</w:t>
            </w:r>
            <w:r w:rsidR="006F35E5" w:rsidRPr="005C4304">
              <w:rPr>
                <w:rFonts w:cs="Arial"/>
                <w:lang w:val="fr-FR"/>
              </w:rPr>
              <w:t>rences</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80</w:t>
            </w:r>
          </w:p>
        </w:tc>
        <w:tc>
          <w:tcPr>
            <w:tcW w:w="103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120</w:t>
            </w:r>
          </w:p>
        </w:tc>
        <w:tc>
          <w:tcPr>
            <w:tcW w:w="995"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40</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10</w:t>
            </w:r>
          </w:p>
        </w:tc>
        <w:tc>
          <w:tcPr>
            <w:tcW w:w="1014" w:type="dxa"/>
            <w:tcBorders>
              <w:top w:val="nil"/>
              <w:left w:val="nil"/>
              <w:bottom w:val="nil"/>
              <w:right w:val="single" w:sz="4" w:space="0" w:color="auto"/>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250</w:t>
            </w:r>
          </w:p>
        </w:tc>
      </w:tr>
      <w:tr w:rsidR="006F35E5" w:rsidRPr="00431D28" w:rsidTr="006F35E5">
        <w:trPr>
          <w:trHeight w:val="255"/>
        </w:trPr>
        <w:tc>
          <w:tcPr>
            <w:tcW w:w="958" w:type="dxa"/>
            <w:tcBorders>
              <w:top w:val="nil"/>
              <w:left w:val="single" w:sz="4" w:space="0" w:color="auto"/>
              <w:bottom w:val="nil"/>
              <w:right w:val="nil"/>
            </w:tcBorders>
            <w:shd w:val="clear" w:color="auto" w:fill="auto"/>
            <w:vAlign w:val="bottom"/>
            <w:hideMark/>
          </w:tcPr>
          <w:p w:rsidR="006F35E5" w:rsidRPr="00431D28" w:rsidRDefault="006F35E5" w:rsidP="006F35E5">
            <w:pPr>
              <w:jc w:val="left"/>
              <w:rPr>
                <w:rFonts w:cs="Arial"/>
                <w:lang w:val="fr-FR"/>
              </w:rPr>
            </w:pPr>
          </w:p>
        </w:tc>
        <w:tc>
          <w:tcPr>
            <w:tcW w:w="3011" w:type="dxa"/>
            <w:tcBorders>
              <w:top w:val="nil"/>
              <w:left w:val="nil"/>
              <w:bottom w:val="nil"/>
              <w:right w:val="nil"/>
            </w:tcBorders>
            <w:shd w:val="clear" w:color="auto" w:fill="auto"/>
            <w:vAlign w:val="bottom"/>
            <w:hideMark/>
          </w:tcPr>
          <w:p w:rsidR="006F35E5" w:rsidRPr="005C4304" w:rsidRDefault="000B1094" w:rsidP="006F35E5">
            <w:pPr>
              <w:jc w:val="left"/>
              <w:rPr>
                <w:rFonts w:cs="Arial"/>
                <w:lang w:val="fr-FR"/>
              </w:rPr>
            </w:pPr>
            <w:r w:rsidRPr="005C4304">
              <w:rPr>
                <w:rFonts w:cs="Arial"/>
                <w:lang w:val="fr-FR"/>
              </w:rPr>
              <w:t>Publications</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w:t>
            </w:r>
          </w:p>
        </w:tc>
        <w:tc>
          <w:tcPr>
            <w:tcW w:w="103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35</w:t>
            </w:r>
          </w:p>
        </w:tc>
        <w:tc>
          <w:tcPr>
            <w:tcW w:w="995"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w:t>
            </w:r>
          </w:p>
        </w:tc>
        <w:tc>
          <w:tcPr>
            <w:tcW w:w="1014" w:type="dxa"/>
            <w:tcBorders>
              <w:top w:val="nil"/>
              <w:left w:val="nil"/>
              <w:bottom w:val="nil"/>
              <w:right w:val="single" w:sz="4" w:space="0" w:color="auto"/>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35</w:t>
            </w:r>
          </w:p>
        </w:tc>
      </w:tr>
      <w:tr w:rsidR="006F35E5" w:rsidRPr="00431D28" w:rsidTr="006F35E5">
        <w:trPr>
          <w:trHeight w:val="315"/>
        </w:trPr>
        <w:tc>
          <w:tcPr>
            <w:tcW w:w="958" w:type="dxa"/>
            <w:tcBorders>
              <w:top w:val="nil"/>
              <w:left w:val="single" w:sz="4" w:space="0" w:color="auto"/>
              <w:bottom w:val="nil"/>
              <w:right w:val="nil"/>
            </w:tcBorders>
            <w:shd w:val="clear" w:color="auto" w:fill="auto"/>
            <w:vAlign w:val="bottom"/>
            <w:hideMark/>
          </w:tcPr>
          <w:p w:rsidR="006F35E5" w:rsidRPr="00431D28" w:rsidRDefault="006F35E5" w:rsidP="006F35E5">
            <w:pPr>
              <w:jc w:val="left"/>
              <w:rPr>
                <w:rFonts w:cs="Arial"/>
                <w:lang w:val="fr-FR"/>
              </w:rPr>
            </w:pPr>
          </w:p>
        </w:tc>
        <w:tc>
          <w:tcPr>
            <w:tcW w:w="3011" w:type="dxa"/>
            <w:tcBorders>
              <w:top w:val="nil"/>
              <w:left w:val="nil"/>
              <w:bottom w:val="nil"/>
              <w:right w:val="nil"/>
            </w:tcBorders>
            <w:shd w:val="clear" w:color="auto" w:fill="auto"/>
            <w:vAlign w:val="bottom"/>
            <w:hideMark/>
          </w:tcPr>
          <w:p w:rsidR="006F35E5" w:rsidRPr="005C4304" w:rsidRDefault="000B1094" w:rsidP="006F35E5">
            <w:pPr>
              <w:jc w:val="left"/>
              <w:rPr>
                <w:rFonts w:cs="Arial"/>
                <w:lang w:val="fr-FR"/>
              </w:rPr>
            </w:pPr>
            <w:r w:rsidRPr="005C4304">
              <w:rPr>
                <w:rFonts w:cs="Arial"/>
                <w:lang w:val="fr-FR"/>
              </w:rPr>
              <w:t>Services contractuels de personnes</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w:t>
            </w:r>
          </w:p>
        </w:tc>
        <w:tc>
          <w:tcPr>
            <w:tcW w:w="103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w:t>
            </w:r>
          </w:p>
        </w:tc>
        <w:tc>
          <w:tcPr>
            <w:tcW w:w="995"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30</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10</w:t>
            </w:r>
          </w:p>
        </w:tc>
        <w:tc>
          <w:tcPr>
            <w:tcW w:w="1014" w:type="dxa"/>
            <w:tcBorders>
              <w:top w:val="nil"/>
              <w:left w:val="nil"/>
              <w:bottom w:val="nil"/>
              <w:right w:val="single" w:sz="4" w:space="0" w:color="auto"/>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40</w:t>
            </w:r>
          </w:p>
        </w:tc>
      </w:tr>
      <w:tr w:rsidR="006F35E5" w:rsidRPr="00431D28" w:rsidTr="006F35E5">
        <w:trPr>
          <w:trHeight w:val="255"/>
        </w:trPr>
        <w:tc>
          <w:tcPr>
            <w:tcW w:w="958" w:type="dxa"/>
            <w:tcBorders>
              <w:top w:val="nil"/>
              <w:left w:val="single" w:sz="4" w:space="0" w:color="auto"/>
              <w:bottom w:val="nil"/>
              <w:right w:val="nil"/>
            </w:tcBorders>
            <w:shd w:val="clear" w:color="auto" w:fill="auto"/>
            <w:vAlign w:val="bottom"/>
            <w:hideMark/>
          </w:tcPr>
          <w:p w:rsidR="006F35E5" w:rsidRPr="00431D28" w:rsidRDefault="006F35E5" w:rsidP="006F35E5">
            <w:pPr>
              <w:jc w:val="left"/>
              <w:rPr>
                <w:rFonts w:cs="Arial"/>
                <w:lang w:val="fr-FR"/>
              </w:rPr>
            </w:pPr>
          </w:p>
        </w:tc>
        <w:tc>
          <w:tcPr>
            <w:tcW w:w="3011" w:type="dxa"/>
            <w:tcBorders>
              <w:top w:val="nil"/>
              <w:left w:val="nil"/>
              <w:bottom w:val="nil"/>
              <w:right w:val="nil"/>
            </w:tcBorders>
            <w:shd w:val="clear" w:color="auto" w:fill="auto"/>
            <w:vAlign w:val="bottom"/>
            <w:hideMark/>
          </w:tcPr>
          <w:p w:rsidR="006F35E5" w:rsidRPr="005C4304" w:rsidRDefault="000B1094" w:rsidP="006F35E5">
            <w:pPr>
              <w:jc w:val="left"/>
              <w:rPr>
                <w:rFonts w:cs="Arial"/>
                <w:lang w:val="fr-FR"/>
              </w:rPr>
            </w:pPr>
            <w:r w:rsidRPr="005C4304">
              <w:rPr>
                <w:rFonts w:cs="Arial"/>
                <w:lang w:val="fr-FR"/>
              </w:rPr>
              <w:t>Autres services contractuels</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w:t>
            </w:r>
          </w:p>
        </w:tc>
        <w:tc>
          <w:tcPr>
            <w:tcW w:w="103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150</w:t>
            </w:r>
          </w:p>
        </w:tc>
        <w:tc>
          <w:tcPr>
            <w:tcW w:w="995"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w:t>
            </w:r>
          </w:p>
        </w:tc>
        <w:tc>
          <w:tcPr>
            <w:tcW w:w="1014" w:type="dxa"/>
            <w:tcBorders>
              <w:top w:val="nil"/>
              <w:left w:val="nil"/>
              <w:bottom w:val="nil"/>
              <w:right w:val="single" w:sz="4" w:space="0" w:color="auto"/>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150</w:t>
            </w:r>
          </w:p>
        </w:tc>
      </w:tr>
      <w:tr w:rsidR="006F35E5" w:rsidRPr="00431D28" w:rsidTr="006F35E5">
        <w:trPr>
          <w:trHeight w:val="300"/>
        </w:trPr>
        <w:tc>
          <w:tcPr>
            <w:tcW w:w="3969" w:type="dxa"/>
            <w:gridSpan w:val="2"/>
            <w:tcBorders>
              <w:top w:val="nil"/>
              <w:left w:val="single" w:sz="4" w:space="0" w:color="auto"/>
              <w:bottom w:val="nil"/>
              <w:right w:val="nil"/>
            </w:tcBorders>
            <w:shd w:val="clear" w:color="auto" w:fill="auto"/>
            <w:vAlign w:val="bottom"/>
            <w:hideMark/>
          </w:tcPr>
          <w:p w:rsidR="006F35E5" w:rsidRPr="005C4304" w:rsidRDefault="000B1094" w:rsidP="006F35E5">
            <w:pPr>
              <w:jc w:val="left"/>
              <w:rPr>
                <w:rFonts w:cs="Arial"/>
                <w:b/>
                <w:bCs/>
                <w:i/>
                <w:iCs/>
                <w:lang w:val="fr-FR"/>
              </w:rPr>
            </w:pPr>
            <w:r w:rsidRPr="005C4304">
              <w:rPr>
                <w:rFonts w:cs="Arial"/>
                <w:b/>
                <w:bCs/>
                <w:i/>
                <w:iCs/>
                <w:lang w:val="fr-FR"/>
              </w:rPr>
              <w:t>Dépenses de fonctionnement</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10</w:t>
            </w:r>
          </w:p>
        </w:tc>
        <w:tc>
          <w:tcPr>
            <w:tcW w:w="1034" w:type="dxa"/>
            <w:tcBorders>
              <w:top w:val="nil"/>
              <w:left w:val="nil"/>
              <w:bottom w:val="nil"/>
              <w:right w:val="nil"/>
            </w:tcBorders>
            <w:shd w:val="clear" w:color="auto" w:fill="auto"/>
            <w:vAlign w:val="bottom"/>
            <w:hideMark/>
          </w:tcPr>
          <w:p w:rsidR="006F35E5" w:rsidRPr="00431D28" w:rsidRDefault="007632C2" w:rsidP="006F35E5">
            <w:pPr>
              <w:jc w:val="right"/>
              <w:rPr>
                <w:rFonts w:cs="Arial"/>
                <w:b/>
                <w:bCs/>
                <w:lang w:val="fr-FR"/>
              </w:rPr>
            </w:pPr>
            <w:r>
              <w:rPr>
                <w:rFonts w:cs="Arial"/>
                <w:b/>
                <w:bCs/>
                <w:lang w:val="fr-FR"/>
              </w:rPr>
              <w:t>1 </w:t>
            </w:r>
            <w:r w:rsidR="006F35E5" w:rsidRPr="00431D28">
              <w:rPr>
                <w:rFonts w:cs="Arial"/>
                <w:b/>
                <w:bCs/>
                <w:lang w:val="fr-FR"/>
              </w:rPr>
              <w:t>236</w:t>
            </w:r>
          </w:p>
        </w:tc>
        <w:tc>
          <w:tcPr>
            <w:tcW w:w="995"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10</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10</w:t>
            </w:r>
          </w:p>
        </w:tc>
        <w:tc>
          <w:tcPr>
            <w:tcW w:w="1014" w:type="dxa"/>
            <w:tcBorders>
              <w:top w:val="nil"/>
              <w:left w:val="nil"/>
              <w:bottom w:val="nil"/>
              <w:right w:val="single" w:sz="4" w:space="0" w:color="auto"/>
            </w:tcBorders>
            <w:shd w:val="clear" w:color="auto" w:fill="auto"/>
            <w:vAlign w:val="bottom"/>
            <w:hideMark/>
          </w:tcPr>
          <w:p w:rsidR="006F35E5" w:rsidRPr="00431D28" w:rsidRDefault="007632C2" w:rsidP="006F35E5">
            <w:pPr>
              <w:jc w:val="right"/>
              <w:rPr>
                <w:rFonts w:cs="Arial"/>
                <w:b/>
                <w:bCs/>
                <w:lang w:val="fr-FR"/>
              </w:rPr>
            </w:pPr>
            <w:r>
              <w:rPr>
                <w:rFonts w:cs="Arial"/>
                <w:b/>
                <w:bCs/>
                <w:lang w:val="fr-FR"/>
              </w:rPr>
              <w:t>1 </w:t>
            </w:r>
            <w:r w:rsidR="006F35E5" w:rsidRPr="00431D28">
              <w:rPr>
                <w:rFonts w:cs="Arial"/>
                <w:b/>
                <w:bCs/>
                <w:lang w:val="fr-FR"/>
              </w:rPr>
              <w:t>266</w:t>
            </w:r>
          </w:p>
        </w:tc>
      </w:tr>
      <w:tr w:rsidR="006F35E5" w:rsidRPr="00431D28" w:rsidTr="006F35E5">
        <w:trPr>
          <w:trHeight w:val="315"/>
        </w:trPr>
        <w:tc>
          <w:tcPr>
            <w:tcW w:w="3969" w:type="dxa"/>
            <w:gridSpan w:val="2"/>
            <w:tcBorders>
              <w:top w:val="nil"/>
              <w:left w:val="single" w:sz="4" w:space="0" w:color="auto"/>
              <w:bottom w:val="nil"/>
              <w:right w:val="nil"/>
            </w:tcBorders>
            <w:shd w:val="clear" w:color="auto" w:fill="auto"/>
            <w:vAlign w:val="bottom"/>
            <w:hideMark/>
          </w:tcPr>
          <w:p w:rsidR="006F35E5" w:rsidRPr="00431D28" w:rsidRDefault="000B1094" w:rsidP="006F35E5">
            <w:pPr>
              <w:jc w:val="left"/>
              <w:rPr>
                <w:rFonts w:cs="Arial"/>
                <w:b/>
                <w:bCs/>
                <w:i/>
                <w:iCs/>
                <w:lang w:val="fr-FR"/>
              </w:rPr>
            </w:pPr>
            <w:r w:rsidRPr="00431D28">
              <w:rPr>
                <w:rFonts w:cs="Arial"/>
                <w:b/>
                <w:bCs/>
                <w:i/>
                <w:iCs/>
                <w:lang w:val="fr-FR"/>
              </w:rPr>
              <w:t>Matériel et fournitures</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38</w:t>
            </w:r>
          </w:p>
        </w:tc>
        <w:tc>
          <w:tcPr>
            <w:tcW w:w="1034"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w:t>
            </w:r>
          </w:p>
        </w:tc>
        <w:tc>
          <w:tcPr>
            <w:tcW w:w="995"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w:t>
            </w:r>
          </w:p>
        </w:tc>
        <w:tc>
          <w:tcPr>
            <w:tcW w:w="1014" w:type="dxa"/>
            <w:tcBorders>
              <w:top w:val="nil"/>
              <w:left w:val="nil"/>
              <w:bottom w:val="nil"/>
              <w:right w:val="single" w:sz="4" w:space="0" w:color="auto"/>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38</w:t>
            </w:r>
          </w:p>
        </w:tc>
      </w:tr>
      <w:tr w:rsidR="006F35E5" w:rsidRPr="00431D28" w:rsidTr="006F35E5">
        <w:trPr>
          <w:trHeight w:val="255"/>
        </w:trPr>
        <w:tc>
          <w:tcPr>
            <w:tcW w:w="958" w:type="dxa"/>
            <w:tcBorders>
              <w:top w:val="nil"/>
              <w:left w:val="single" w:sz="4" w:space="0" w:color="auto"/>
              <w:bottom w:val="nil"/>
              <w:right w:val="nil"/>
            </w:tcBorders>
            <w:shd w:val="clear" w:color="auto" w:fill="auto"/>
            <w:vAlign w:val="bottom"/>
            <w:hideMark/>
          </w:tcPr>
          <w:p w:rsidR="006F35E5" w:rsidRPr="00431D28" w:rsidRDefault="006F35E5" w:rsidP="006F35E5">
            <w:pPr>
              <w:jc w:val="left"/>
              <w:rPr>
                <w:rFonts w:cs="Arial"/>
                <w:lang w:val="fr-FR"/>
              </w:rPr>
            </w:pPr>
          </w:p>
        </w:tc>
        <w:tc>
          <w:tcPr>
            <w:tcW w:w="3011" w:type="dxa"/>
            <w:tcBorders>
              <w:top w:val="nil"/>
              <w:left w:val="nil"/>
              <w:bottom w:val="nil"/>
              <w:right w:val="nil"/>
            </w:tcBorders>
            <w:shd w:val="clear" w:color="auto" w:fill="auto"/>
            <w:vAlign w:val="bottom"/>
            <w:hideMark/>
          </w:tcPr>
          <w:p w:rsidR="006F35E5" w:rsidRPr="00431D28" w:rsidRDefault="000B1094" w:rsidP="006F35E5">
            <w:pPr>
              <w:jc w:val="left"/>
              <w:rPr>
                <w:rFonts w:cs="Arial"/>
                <w:lang w:val="fr-FR"/>
              </w:rPr>
            </w:pPr>
            <w:r w:rsidRPr="00431D28">
              <w:rPr>
                <w:rFonts w:cs="Arial"/>
                <w:lang w:val="fr-FR"/>
              </w:rPr>
              <w:t>Mobilier et matériel</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18</w:t>
            </w:r>
          </w:p>
        </w:tc>
        <w:tc>
          <w:tcPr>
            <w:tcW w:w="103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w:t>
            </w:r>
          </w:p>
        </w:tc>
        <w:tc>
          <w:tcPr>
            <w:tcW w:w="995"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p>
        </w:tc>
        <w:tc>
          <w:tcPr>
            <w:tcW w:w="1014" w:type="dxa"/>
            <w:tcBorders>
              <w:top w:val="nil"/>
              <w:left w:val="nil"/>
              <w:bottom w:val="nil"/>
              <w:right w:val="single" w:sz="4" w:space="0" w:color="auto"/>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18</w:t>
            </w:r>
          </w:p>
        </w:tc>
      </w:tr>
      <w:tr w:rsidR="006F35E5" w:rsidRPr="00431D28" w:rsidTr="006F35E5">
        <w:trPr>
          <w:trHeight w:val="255"/>
        </w:trPr>
        <w:tc>
          <w:tcPr>
            <w:tcW w:w="958" w:type="dxa"/>
            <w:tcBorders>
              <w:top w:val="nil"/>
              <w:left w:val="single" w:sz="4" w:space="0" w:color="auto"/>
              <w:bottom w:val="nil"/>
              <w:right w:val="nil"/>
            </w:tcBorders>
            <w:shd w:val="clear" w:color="auto" w:fill="auto"/>
            <w:vAlign w:val="bottom"/>
            <w:hideMark/>
          </w:tcPr>
          <w:p w:rsidR="006F35E5" w:rsidRPr="00431D28" w:rsidRDefault="006F35E5" w:rsidP="006F35E5">
            <w:pPr>
              <w:jc w:val="left"/>
              <w:rPr>
                <w:rFonts w:cs="Arial"/>
                <w:lang w:val="fr-FR"/>
              </w:rPr>
            </w:pPr>
          </w:p>
        </w:tc>
        <w:tc>
          <w:tcPr>
            <w:tcW w:w="3011" w:type="dxa"/>
            <w:tcBorders>
              <w:top w:val="nil"/>
              <w:left w:val="nil"/>
              <w:bottom w:val="nil"/>
              <w:right w:val="nil"/>
            </w:tcBorders>
            <w:shd w:val="clear" w:color="auto" w:fill="auto"/>
            <w:vAlign w:val="bottom"/>
            <w:hideMark/>
          </w:tcPr>
          <w:p w:rsidR="006F35E5" w:rsidRPr="00431D28" w:rsidRDefault="000B1094" w:rsidP="006F35E5">
            <w:pPr>
              <w:jc w:val="left"/>
              <w:rPr>
                <w:rFonts w:cs="Arial"/>
                <w:lang w:val="fr-FR"/>
              </w:rPr>
            </w:pPr>
            <w:r w:rsidRPr="00431D28">
              <w:rPr>
                <w:rFonts w:cs="Arial"/>
                <w:lang w:val="fr-FR"/>
              </w:rPr>
              <w:t>Fournitures</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20</w:t>
            </w:r>
          </w:p>
        </w:tc>
        <w:tc>
          <w:tcPr>
            <w:tcW w:w="103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w:t>
            </w:r>
          </w:p>
        </w:tc>
        <w:tc>
          <w:tcPr>
            <w:tcW w:w="995"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w:t>
            </w: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w:t>
            </w:r>
          </w:p>
        </w:tc>
        <w:tc>
          <w:tcPr>
            <w:tcW w:w="1014" w:type="dxa"/>
            <w:tcBorders>
              <w:top w:val="nil"/>
              <w:left w:val="nil"/>
              <w:bottom w:val="nil"/>
              <w:right w:val="single" w:sz="4" w:space="0" w:color="auto"/>
            </w:tcBorders>
            <w:shd w:val="clear" w:color="auto" w:fill="auto"/>
            <w:vAlign w:val="bottom"/>
            <w:hideMark/>
          </w:tcPr>
          <w:p w:rsidR="006F35E5" w:rsidRPr="00431D28" w:rsidRDefault="006F35E5" w:rsidP="006F35E5">
            <w:pPr>
              <w:jc w:val="right"/>
              <w:rPr>
                <w:rFonts w:cs="Arial"/>
                <w:lang w:val="fr-FR"/>
              </w:rPr>
            </w:pPr>
            <w:r w:rsidRPr="00431D28">
              <w:rPr>
                <w:rFonts w:cs="Arial"/>
                <w:lang w:val="fr-FR"/>
              </w:rPr>
              <w:t>20</w:t>
            </w:r>
          </w:p>
        </w:tc>
      </w:tr>
      <w:tr w:rsidR="006F35E5" w:rsidRPr="00431D28" w:rsidTr="006F35E5">
        <w:trPr>
          <w:trHeight w:val="255"/>
        </w:trPr>
        <w:tc>
          <w:tcPr>
            <w:tcW w:w="958" w:type="dxa"/>
            <w:tcBorders>
              <w:top w:val="nil"/>
              <w:left w:val="single" w:sz="4" w:space="0" w:color="auto"/>
              <w:bottom w:val="nil"/>
              <w:right w:val="nil"/>
            </w:tcBorders>
            <w:shd w:val="clear" w:color="auto" w:fill="auto"/>
            <w:vAlign w:val="bottom"/>
            <w:hideMark/>
          </w:tcPr>
          <w:p w:rsidR="006F35E5" w:rsidRPr="00431D28" w:rsidRDefault="006F35E5" w:rsidP="006F35E5">
            <w:pPr>
              <w:jc w:val="left"/>
              <w:rPr>
                <w:rFonts w:cs="Arial"/>
                <w:lang w:val="fr-FR"/>
              </w:rPr>
            </w:pPr>
          </w:p>
        </w:tc>
        <w:tc>
          <w:tcPr>
            <w:tcW w:w="3011" w:type="dxa"/>
            <w:tcBorders>
              <w:top w:val="nil"/>
              <w:left w:val="nil"/>
              <w:bottom w:val="nil"/>
              <w:right w:val="nil"/>
            </w:tcBorders>
            <w:shd w:val="clear" w:color="auto" w:fill="auto"/>
            <w:vAlign w:val="bottom"/>
            <w:hideMark/>
          </w:tcPr>
          <w:p w:rsidR="006F35E5" w:rsidRPr="00431D28" w:rsidRDefault="006F35E5" w:rsidP="006F35E5">
            <w:pPr>
              <w:jc w:val="left"/>
              <w:rPr>
                <w:rFonts w:cs="Arial"/>
                <w:lang w:val="fr-FR"/>
              </w:rPr>
            </w:pP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p>
        </w:tc>
        <w:tc>
          <w:tcPr>
            <w:tcW w:w="103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p>
        </w:tc>
        <w:tc>
          <w:tcPr>
            <w:tcW w:w="995"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p>
        </w:tc>
        <w:tc>
          <w:tcPr>
            <w:tcW w:w="994" w:type="dxa"/>
            <w:tcBorders>
              <w:top w:val="nil"/>
              <w:left w:val="nil"/>
              <w:bottom w:val="nil"/>
              <w:right w:val="nil"/>
            </w:tcBorders>
            <w:shd w:val="clear" w:color="auto" w:fill="auto"/>
            <w:vAlign w:val="bottom"/>
            <w:hideMark/>
          </w:tcPr>
          <w:p w:rsidR="006F35E5" w:rsidRPr="00431D28" w:rsidRDefault="006F35E5" w:rsidP="006F35E5">
            <w:pPr>
              <w:jc w:val="right"/>
              <w:rPr>
                <w:rFonts w:cs="Arial"/>
                <w:lang w:val="fr-FR"/>
              </w:rPr>
            </w:pPr>
          </w:p>
        </w:tc>
        <w:tc>
          <w:tcPr>
            <w:tcW w:w="1014" w:type="dxa"/>
            <w:tcBorders>
              <w:top w:val="nil"/>
              <w:left w:val="nil"/>
              <w:bottom w:val="nil"/>
              <w:right w:val="single" w:sz="4" w:space="0" w:color="auto"/>
            </w:tcBorders>
            <w:shd w:val="clear" w:color="auto" w:fill="auto"/>
            <w:vAlign w:val="bottom"/>
            <w:hideMark/>
          </w:tcPr>
          <w:p w:rsidR="006F35E5" w:rsidRPr="00431D28" w:rsidRDefault="006F35E5" w:rsidP="006F35E5">
            <w:pPr>
              <w:jc w:val="right"/>
              <w:rPr>
                <w:rFonts w:cs="Arial"/>
                <w:lang w:val="fr-FR"/>
              </w:rPr>
            </w:pPr>
          </w:p>
        </w:tc>
      </w:tr>
      <w:tr w:rsidR="006F35E5" w:rsidRPr="00431D28" w:rsidTr="006F35E5">
        <w:trPr>
          <w:trHeight w:val="255"/>
        </w:trPr>
        <w:tc>
          <w:tcPr>
            <w:tcW w:w="958" w:type="dxa"/>
            <w:tcBorders>
              <w:top w:val="single" w:sz="4" w:space="0" w:color="auto"/>
              <w:left w:val="single" w:sz="4" w:space="0" w:color="auto"/>
              <w:bottom w:val="single" w:sz="4" w:space="0" w:color="auto"/>
              <w:right w:val="nil"/>
            </w:tcBorders>
            <w:shd w:val="clear" w:color="auto" w:fill="auto"/>
            <w:vAlign w:val="bottom"/>
            <w:hideMark/>
          </w:tcPr>
          <w:p w:rsidR="006F35E5" w:rsidRPr="00431D28" w:rsidRDefault="006F35E5" w:rsidP="006F35E5">
            <w:pPr>
              <w:jc w:val="left"/>
              <w:rPr>
                <w:rFonts w:cs="Arial"/>
                <w:b/>
                <w:bCs/>
                <w:lang w:val="fr-FR"/>
              </w:rPr>
            </w:pPr>
          </w:p>
        </w:tc>
        <w:tc>
          <w:tcPr>
            <w:tcW w:w="3011" w:type="dxa"/>
            <w:tcBorders>
              <w:top w:val="single" w:sz="4" w:space="0" w:color="auto"/>
              <w:left w:val="nil"/>
              <w:bottom w:val="single" w:sz="4" w:space="0" w:color="auto"/>
              <w:right w:val="nil"/>
            </w:tcBorders>
            <w:shd w:val="clear" w:color="auto" w:fill="auto"/>
            <w:vAlign w:val="bottom"/>
            <w:hideMark/>
          </w:tcPr>
          <w:p w:rsidR="006F35E5" w:rsidRPr="00431D28" w:rsidRDefault="000B1094" w:rsidP="006F35E5">
            <w:pPr>
              <w:jc w:val="left"/>
              <w:rPr>
                <w:rFonts w:cs="Arial"/>
                <w:b/>
                <w:bCs/>
                <w:lang w:val="fr-FR"/>
              </w:rPr>
            </w:pPr>
            <w:r w:rsidRPr="00431D28">
              <w:rPr>
                <w:rFonts w:cs="Arial"/>
                <w:b/>
                <w:bCs/>
                <w:lang w:val="fr-FR"/>
              </w:rPr>
              <w:t>TOTAL GLOBAL</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720</w:t>
            </w:r>
          </w:p>
        </w:tc>
        <w:tc>
          <w:tcPr>
            <w:tcW w:w="1034" w:type="dxa"/>
            <w:tcBorders>
              <w:top w:val="single" w:sz="4" w:space="0" w:color="auto"/>
              <w:left w:val="nil"/>
              <w:bottom w:val="single" w:sz="4" w:space="0" w:color="auto"/>
              <w:right w:val="single" w:sz="4" w:space="0" w:color="auto"/>
            </w:tcBorders>
            <w:shd w:val="clear" w:color="auto" w:fill="auto"/>
            <w:vAlign w:val="bottom"/>
            <w:hideMark/>
          </w:tcPr>
          <w:p w:rsidR="006F35E5" w:rsidRPr="00431D28" w:rsidRDefault="007632C2" w:rsidP="006F35E5">
            <w:pPr>
              <w:jc w:val="right"/>
              <w:rPr>
                <w:rFonts w:cs="Arial"/>
                <w:b/>
                <w:bCs/>
                <w:lang w:val="fr-FR"/>
              </w:rPr>
            </w:pPr>
            <w:r>
              <w:rPr>
                <w:rFonts w:cs="Arial"/>
                <w:b/>
                <w:bCs/>
                <w:lang w:val="fr-FR"/>
              </w:rPr>
              <w:t>3 </w:t>
            </w:r>
            <w:r w:rsidR="006F35E5" w:rsidRPr="00431D28">
              <w:rPr>
                <w:rFonts w:cs="Arial"/>
                <w:b/>
                <w:bCs/>
                <w:lang w:val="fr-FR"/>
              </w:rPr>
              <w:t>934</w:t>
            </w:r>
          </w:p>
        </w:tc>
        <w:tc>
          <w:tcPr>
            <w:tcW w:w="995" w:type="dxa"/>
            <w:tcBorders>
              <w:top w:val="single" w:sz="4" w:space="0" w:color="auto"/>
              <w:left w:val="nil"/>
              <w:bottom w:val="single" w:sz="4" w:space="0" w:color="auto"/>
              <w:right w:val="single" w:sz="4" w:space="0" w:color="auto"/>
            </w:tcBorders>
            <w:shd w:val="clear" w:color="auto" w:fill="auto"/>
            <w:vAlign w:val="bottom"/>
            <w:hideMark/>
          </w:tcPr>
          <w:p w:rsidR="006F35E5" w:rsidRPr="00431D28" w:rsidRDefault="007632C2" w:rsidP="006F35E5">
            <w:pPr>
              <w:jc w:val="right"/>
              <w:rPr>
                <w:rFonts w:cs="Arial"/>
                <w:b/>
                <w:bCs/>
                <w:lang w:val="fr-FR"/>
              </w:rPr>
            </w:pPr>
            <w:r>
              <w:rPr>
                <w:rFonts w:cs="Arial"/>
                <w:b/>
                <w:bCs/>
                <w:lang w:val="fr-FR"/>
              </w:rPr>
              <w:t>1 </w:t>
            </w:r>
            <w:r w:rsidR="006F35E5" w:rsidRPr="00431D28">
              <w:rPr>
                <w:rFonts w:cs="Arial"/>
                <w:b/>
                <w:bCs/>
                <w:lang w:val="fr-FR"/>
              </w:rPr>
              <w:t>578</w:t>
            </w:r>
          </w:p>
        </w:tc>
        <w:tc>
          <w:tcPr>
            <w:tcW w:w="994" w:type="dxa"/>
            <w:tcBorders>
              <w:top w:val="single" w:sz="4" w:space="0" w:color="auto"/>
              <w:left w:val="nil"/>
              <w:bottom w:val="single" w:sz="4" w:space="0" w:color="auto"/>
              <w:right w:val="single" w:sz="4" w:space="0" w:color="auto"/>
            </w:tcBorders>
            <w:shd w:val="clear" w:color="auto" w:fill="auto"/>
            <w:vAlign w:val="bottom"/>
            <w:hideMark/>
          </w:tcPr>
          <w:p w:rsidR="006F35E5" w:rsidRPr="00431D28" w:rsidRDefault="006F35E5" w:rsidP="006F35E5">
            <w:pPr>
              <w:jc w:val="right"/>
              <w:rPr>
                <w:rFonts w:cs="Arial"/>
                <w:b/>
                <w:bCs/>
                <w:lang w:val="fr-FR"/>
              </w:rPr>
            </w:pPr>
            <w:r w:rsidRPr="00431D28">
              <w:rPr>
                <w:rFonts w:cs="Arial"/>
                <w:b/>
                <w:bCs/>
                <w:lang w:val="fr-FR"/>
              </w:rPr>
              <w:t>562</w:t>
            </w:r>
          </w:p>
        </w:tc>
        <w:tc>
          <w:tcPr>
            <w:tcW w:w="1014" w:type="dxa"/>
            <w:tcBorders>
              <w:top w:val="single" w:sz="4" w:space="0" w:color="auto"/>
              <w:left w:val="nil"/>
              <w:bottom w:val="single" w:sz="4" w:space="0" w:color="auto"/>
              <w:right w:val="single" w:sz="4" w:space="0" w:color="auto"/>
            </w:tcBorders>
            <w:shd w:val="clear" w:color="auto" w:fill="auto"/>
            <w:vAlign w:val="bottom"/>
            <w:hideMark/>
          </w:tcPr>
          <w:p w:rsidR="006F35E5" w:rsidRPr="00431D28" w:rsidRDefault="007632C2" w:rsidP="006F35E5">
            <w:pPr>
              <w:jc w:val="right"/>
              <w:rPr>
                <w:rFonts w:cs="Arial"/>
                <w:b/>
                <w:bCs/>
                <w:lang w:val="fr-FR"/>
              </w:rPr>
            </w:pPr>
            <w:r>
              <w:rPr>
                <w:rFonts w:cs="Arial"/>
                <w:b/>
                <w:bCs/>
                <w:lang w:val="fr-FR"/>
              </w:rPr>
              <w:t>6 </w:t>
            </w:r>
            <w:r w:rsidR="006F35E5" w:rsidRPr="00431D28">
              <w:rPr>
                <w:rFonts w:cs="Arial"/>
                <w:b/>
                <w:bCs/>
                <w:lang w:val="fr-FR"/>
              </w:rPr>
              <w:t>794</w:t>
            </w:r>
          </w:p>
        </w:tc>
      </w:tr>
    </w:tbl>
    <w:p w:rsidR="005A7F6B" w:rsidRPr="00431D28" w:rsidRDefault="005A7F6B" w:rsidP="006F35E5">
      <w:pPr>
        <w:rPr>
          <w:lang w:val="fr-FR"/>
        </w:rPr>
      </w:pPr>
    </w:p>
    <w:p w:rsidR="005A7F6B" w:rsidRPr="00431D28" w:rsidRDefault="005A7F6B" w:rsidP="00421639">
      <w:pPr>
        <w:rPr>
          <w:lang w:val="fr-FR"/>
        </w:rPr>
      </w:pPr>
    </w:p>
    <w:p w:rsidR="005A7F6B" w:rsidRPr="00431D28" w:rsidRDefault="00B544C8" w:rsidP="00B544C8">
      <w:pPr>
        <w:keepNext/>
        <w:tabs>
          <w:tab w:val="left" w:pos="567"/>
        </w:tabs>
        <w:rPr>
          <w:lang w:val="fr-FR"/>
        </w:rPr>
      </w:pPr>
      <w:r w:rsidRPr="00431D28">
        <w:rPr>
          <w:lang w:val="fr-FR"/>
        </w:rPr>
        <w:t>3.14</w:t>
      </w:r>
      <w:r w:rsidRPr="00431D28">
        <w:rPr>
          <w:lang w:val="fr-FR"/>
        </w:rPr>
        <w:tab/>
        <w:t xml:space="preserve">Le </w:t>
      </w:r>
      <w:r w:rsidRPr="00431D28">
        <w:rPr>
          <w:b/>
          <w:lang w:val="fr-FR"/>
        </w:rPr>
        <w:t>tableau 7</w:t>
      </w:r>
      <w:r w:rsidRPr="00431D28">
        <w:rPr>
          <w:lang w:val="fr-FR"/>
        </w:rPr>
        <w:t> indique les variations budgétaires par sous-programme entre le budget de l’exercice biennal 2012-2013 et le budget proposé pour 2014-2015.</w:t>
      </w:r>
    </w:p>
    <w:p w:rsidR="005A7F6B" w:rsidRPr="00431D28" w:rsidRDefault="005A7F6B" w:rsidP="00421639">
      <w:pPr>
        <w:keepNext/>
        <w:rPr>
          <w:lang w:val="fr-FR"/>
        </w:rPr>
      </w:pPr>
    </w:p>
    <w:p w:rsidR="005A7F6B" w:rsidRPr="00431D28" w:rsidRDefault="00B544C8" w:rsidP="00B544C8">
      <w:pPr>
        <w:keepNext/>
        <w:jc w:val="center"/>
        <w:rPr>
          <w:b/>
          <w:lang w:val="fr-FR"/>
        </w:rPr>
      </w:pPr>
      <w:r w:rsidRPr="00431D28">
        <w:rPr>
          <w:b/>
          <w:lang w:val="fr-FR"/>
        </w:rPr>
        <w:t>Tableau 7 : Variations budgétaires par sous-programme</w:t>
      </w:r>
    </w:p>
    <w:p w:rsidR="005A7F6B" w:rsidRPr="00431D28" w:rsidRDefault="00B544C8" w:rsidP="00B544C8">
      <w:pPr>
        <w:keepNext/>
        <w:jc w:val="center"/>
        <w:rPr>
          <w:lang w:val="fr-FR"/>
        </w:rPr>
      </w:pPr>
      <w:r w:rsidRPr="00431D28">
        <w:rPr>
          <w:lang w:val="fr-FR"/>
        </w:rPr>
        <w:t>(en milliers de francs suisses)</w:t>
      </w:r>
    </w:p>
    <w:p w:rsidR="00421639" w:rsidRPr="00431D28" w:rsidRDefault="00421639" w:rsidP="00421639">
      <w:pPr>
        <w:keepNext/>
        <w:rPr>
          <w:lang w:val="fr-FR"/>
        </w:rPr>
      </w:pPr>
    </w:p>
    <w:tbl>
      <w:tblPr>
        <w:tblW w:w="6173" w:type="dxa"/>
        <w:tblInd w:w="1951" w:type="dxa"/>
        <w:tblLook w:val="04A0" w:firstRow="1" w:lastRow="0" w:firstColumn="1" w:lastColumn="0" w:noHBand="0" w:noVBand="1"/>
      </w:tblPr>
      <w:tblGrid>
        <w:gridCol w:w="1872"/>
        <w:gridCol w:w="1173"/>
        <w:gridCol w:w="994"/>
        <w:gridCol w:w="961"/>
        <w:gridCol w:w="1173"/>
      </w:tblGrid>
      <w:tr w:rsidR="004B6286" w:rsidRPr="00431D28" w:rsidTr="00B256C0">
        <w:trPr>
          <w:trHeight w:val="270"/>
        </w:trPr>
        <w:tc>
          <w:tcPr>
            <w:tcW w:w="1872" w:type="dxa"/>
            <w:vMerge w:val="restart"/>
            <w:tcBorders>
              <w:top w:val="single" w:sz="4" w:space="0" w:color="auto"/>
              <w:left w:val="single" w:sz="4" w:space="0" w:color="auto"/>
              <w:bottom w:val="single" w:sz="4" w:space="0" w:color="000000"/>
              <w:right w:val="nil"/>
            </w:tcBorders>
            <w:shd w:val="clear" w:color="auto" w:fill="auto"/>
            <w:vAlign w:val="bottom"/>
            <w:hideMark/>
          </w:tcPr>
          <w:p w:rsidR="004B6286" w:rsidRPr="00431D28" w:rsidRDefault="00B544C8" w:rsidP="004B6286">
            <w:pPr>
              <w:jc w:val="center"/>
              <w:rPr>
                <w:rFonts w:cs="Arial"/>
                <w:b/>
                <w:bCs/>
                <w:color w:val="000000"/>
                <w:lang w:val="fr-FR"/>
              </w:rPr>
            </w:pPr>
            <w:r w:rsidRPr="00431D28">
              <w:rPr>
                <w:rFonts w:cs="Arial"/>
                <w:b/>
                <w:bCs/>
                <w:color w:val="000000"/>
                <w:lang w:val="fr-FR"/>
              </w:rPr>
              <w:t>Sous</w:t>
            </w:r>
            <w:r w:rsidR="007632C2" w:rsidRPr="007632C2">
              <w:rPr>
                <w:rFonts w:cs="Arial"/>
                <w:b/>
                <w:snapToGrid w:val="0"/>
                <w:lang w:val="fr-FR"/>
              </w:rPr>
              <w:noBreakHyphen/>
            </w:r>
            <w:r w:rsidRPr="00431D28">
              <w:rPr>
                <w:rFonts w:cs="Arial"/>
                <w:b/>
                <w:bCs/>
                <w:color w:val="000000"/>
                <w:lang w:val="fr-FR"/>
              </w:rPr>
              <w:t>programme</w:t>
            </w:r>
          </w:p>
        </w:tc>
        <w:tc>
          <w:tcPr>
            <w:tcW w:w="1173" w:type="dxa"/>
            <w:tcBorders>
              <w:top w:val="single" w:sz="4" w:space="0" w:color="auto"/>
              <w:left w:val="single" w:sz="4" w:space="0" w:color="auto"/>
              <w:bottom w:val="nil"/>
              <w:right w:val="nil"/>
            </w:tcBorders>
            <w:shd w:val="clear" w:color="auto" w:fill="auto"/>
            <w:vAlign w:val="bottom"/>
            <w:hideMark/>
          </w:tcPr>
          <w:p w:rsidR="004B6286" w:rsidRPr="00431D28" w:rsidRDefault="007632C2" w:rsidP="004B6286">
            <w:pPr>
              <w:jc w:val="center"/>
              <w:rPr>
                <w:rFonts w:cs="Arial"/>
                <w:b/>
                <w:bCs/>
                <w:color w:val="000000"/>
                <w:lang w:val="fr-FR"/>
              </w:rPr>
            </w:pPr>
            <w:r>
              <w:rPr>
                <w:rFonts w:cs="Arial"/>
                <w:b/>
                <w:bCs/>
                <w:color w:val="000000"/>
                <w:lang w:val="fr-FR"/>
              </w:rPr>
              <w:t>2012</w:t>
            </w:r>
            <w:r w:rsidRPr="007632C2">
              <w:rPr>
                <w:rFonts w:cs="Arial"/>
                <w:b/>
                <w:snapToGrid w:val="0"/>
                <w:lang w:val="fr-FR"/>
              </w:rPr>
              <w:noBreakHyphen/>
            </w:r>
            <w:r w:rsidR="004B6286" w:rsidRPr="00431D28">
              <w:rPr>
                <w:rFonts w:cs="Arial"/>
                <w:b/>
                <w:bCs/>
                <w:color w:val="000000"/>
                <w:lang w:val="fr-FR"/>
              </w:rPr>
              <w:t>2013</w:t>
            </w:r>
          </w:p>
        </w:tc>
        <w:tc>
          <w:tcPr>
            <w:tcW w:w="1955" w:type="dxa"/>
            <w:gridSpan w:val="2"/>
            <w:tcBorders>
              <w:top w:val="single" w:sz="4" w:space="0" w:color="auto"/>
              <w:left w:val="single" w:sz="4" w:space="0" w:color="auto"/>
              <w:bottom w:val="nil"/>
              <w:right w:val="single" w:sz="4" w:space="0" w:color="000000"/>
            </w:tcBorders>
            <w:shd w:val="clear" w:color="auto" w:fill="auto"/>
            <w:vAlign w:val="bottom"/>
            <w:hideMark/>
          </w:tcPr>
          <w:p w:rsidR="004B6286" w:rsidRPr="00431D28" w:rsidRDefault="004B6286" w:rsidP="004B6286">
            <w:pPr>
              <w:jc w:val="center"/>
              <w:rPr>
                <w:rFonts w:cs="Arial"/>
                <w:b/>
                <w:bCs/>
                <w:color w:val="000000"/>
                <w:lang w:val="fr-FR"/>
              </w:rPr>
            </w:pPr>
            <w:r w:rsidRPr="00431D28">
              <w:rPr>
                <w:rFonts w:cs="Arial"/>
                <w:b/>
                <w:bCs/>
                <w:color w:val="000000"/>
                <w:lang w:val="fr-FR"/>
              </w:rPr>
              <w:t>Variation</w:t>
            </w:r>
          </w:p>
        </w:tc>
        <w:tc>
          <w:tcPr>
            <w:tcW w:w="1173" w:type="dxa"/>
            <w:tcBorders>
              <w:top w:val="single" w:sz="4" w:space="0" w:color="auto"/>
              <w:left w:val="nil"/>
              <w:bottom w:val="nil"/>
              <w:right w:val="single" w:sz="4" w:space="0" w:color="auto"/>
            </w:tcBorders>
            <w:shd w:val="clear" w:color="auto" w:fill="auto"/>
            <w:vAlign w:val="bottom"/>
            <w:hideMark/>
          </w:tcPr>
          <w:p w:rsidR="004B6286" w:rsidRPr="00431D28" w:rsidRDefault="004B6286" w:rsidP="004B6286">
            <w:pPr>
              <w:jc w:val="center"/>
              <w:rPr>
                <w:rFonts w:cs="Arial"/>
                <w:b/>
                <w:bCs/>
                <w:color w:val="000000"/>
                <w:lang w:val="fr-FR"/>
              </w:rPr>
            </w:pPr>
            <w:r w:rsidRPr="00431D28">
              <w:rPr>
                <w:rFonts w:cs="Arial"/>
                <w:b/>
                <w:bCs/>
                <w:color w:val="000000"/>
                <w:lang w:val="fr-FR"/>
              </w:rPr>
              <w:t>2014</w:t>
            </w:r>
            <w:r w:rsidR="007632C2" w:rsidRPr="007632C2">
              <w:rPr>
                <w:rFonts w:cs="Arial"/>
                <w:b/>
                <w:snapToGrid w:val="0"/>
                <w:lang w:val="fr-FR"/>
              </w:rPr>
              <w:noBreakHyphen/>
            </w:r>
            <w:r w:rsidRPr="00431D28">
              <w:rPr>
                <w:rFonts w:cs="Arial"/>
                <w:b/>
                <w:bCs/>
                <w:color w:val="000000"/>
                <w:lang w:val="fr-FR"/>
              </w:rPr>
              <w:t>2015</w:t>
            </w:r>
          </w:p>
        </w:tc>
      </w:tr>
      <w:tr w:rsidR="004B6286" w:rsidRPr="00431D28" w:rsidTr="00B256C0">
        <w:trPr>
          <w:trHeight w:val="240"/>
        </w:trPr>
        <w:tc>
          <w:tcPr>
            <w:tcW w:w="1872" w:type="dxa"/>
            <w:vMerge/>
            <w:tcBorders>
              <w:top w:val="single" w:sz="4" w:space="0" w:color="auto"/>
              <w:left w:val="single" w:sz="4" w:space="0" w:color="auto"/>
              <w:bottom w:val="single" w:sz="4" w:space="0" w:color="000000"/>
              <w:right w:val="nil"/>
            </w:tcBorders>
            <w:vAlign w:val="center"/>
            <w:hideMark/>
          </w:tcPr>
          <w:p w:rsidR="004B6286" w:rsidRPr="00431D28" w:rsidRDefault="004B6286" w:rsidP="004B6286">
            <w:pPr>
              <w:jc w:val="left"/>
              <w:rPr>
                <w:rFonts w:cs="Arial"/>
                <w:b/>
                <w:bCs/>
                <w:color w:val="000000"/>
                <w:lang w:val="fr-FR"/>
              </w:rPr>
            </w:pPr>
          </w:p>
        </w:tc>
        <w:tc>
          <w:tcPr>
            <w:tcW w:w="1173" w:type="dxa"/>
            <w:tcBorders>
              <w:top w:val="nil"/>
              <w:left w:val="single" w:sz="4" w:space="0" w:color="auto"/>
              <w:bottom w:val="nil"/>
              <w:right w:val="nil"/>
            </w:tcBorders>
            <w:shd w:val="clear" w:color="auto" w:fill="auto"/>
            <w:vAlign w:val="bottom"/>
            <w:hideMark/>
          </w:tcPr>
          <w:p w:rsidR="004B6286" w:rsidRPr="00431D28" w:rsidRDefault="004B6286" w:rsidP="004B6286">
            <w:pPr>
              <w:jc w:val="center"/>
              <w:rPr>
                <w:rFonts w:cs="Arial"/>
                <w:b/>
                <w:bCs/>
                <w:color w:val="000000"/>
                <w:lang w:val="fr-FR"/>
              </w:rPr>
            </w:pPr>
            <w:r w:rsidRPr="00431D28">
              <w:rPr>
                <w:rFonts w:cs="Arial"/>
                <w:b/>
                <w:bCs/>
                <w:color w:val="000000"/>
                <w:lang w:val="fr-FR"/>
              </w:rPr>
              <w:t>Budget</w:t>
            </w:r>
          </w:p>
        </w:tc>
        <w:tc>
          <w:tcPr>
            <w:tcW w:w="994" w:type="dxa"/>
            <w:tcBorders>
              <w:top w:val="single" w:sz="4" w:space="0" w:color="auto"/>
              <w:left w:val="single" w:sz="4" w:space="0" w:color="auto"/>
              <w:bottom w:val="nil"/>
              <w:right w:val="single" w:sz="4" w:space="0" w:color="auto"/>
            </w:tcBorders>
            <w:shd w:val="clear" w:color="auto" w:fill="auto"/>
            <w:vAlign w:val="bottom"/>
            <w:hideMark/>
          </w:tcPr>
          <w:p w:rsidR="004B6286" w:rsidRPr="00431D28" w:rsidRDefault="00B544C8" w:rsidP="004B6286">
            <w:pPr>
              <w:jc w:val="center"/>
              <w:rPr>
                <w:rFonts w:cs="Arial"/>
                <w:b/>
                <w:bCs/>
                <w:color w:val="000000"/>
                <w:lang w:val="fr-FR"/>
              </w:rPr>
            </w:pPr>
            <w:r w:rsidRPr="00431D28">
              <w:rPr>
                <w:rFonts w:cs="Arial"/>
                <w:b/>
                <w:bCs/>
                <w:color w:val="000000"/>
                <w:lang w:val="fr-FR"/>
              </w:rPr>
              <w:t>Montant</w:t>
            </w:r>
          </w:p>
        </w:tc>
        <w:tc>
          <w:tcPr>
            <w:tcW w:w="961" w:type="dxa"/>
            <w:tcBorders>
              <w:top w:val="single" w:sz="4" w:space="0" w:color="auto"/>
              <w:left w:val="nil"/>
              <w:bottom w:val="nil"/>
              <w:right w:val="single" w:sz="4" w:space="0" w:color="auto"/>
            </w:tcBorders>
            <w:shd w:val="clear" w:color="auto" w:fill="auto"/>
            <w:vAlign w:val="bottom"/>
            <w:hideMark/>
          </w:tcPr>
          <w:p w:rsidR="004B6286" w:rsidRPr="00431D28" w:rsidRDefault="004B6286" w:rsidP="004B6286">
            <w:pPr>
              <w:jc w:val="center"/>
              <w:rPr>
                <w:rFonts w:cs="Arial"/>
                <w:b/>
                <w:bCs/>
                <w:color w:val="000000"/>
                <w:lang w:val="fr-FR"/>
              </w:rPr>
            </w:pPr>
            <w:r w:rsidRPr="00431D28">
              <w:rPr>
                <w:rFonts w:cs="Arial"/>
                <w:b/>
                <w:bCs/>
                <w:color w:val="000000"/>
                <w:lang w:val="fr-FR"/>
              </w:rPr>
              <w:t>%</w:t>
            </w:r>
          </w:p>
        </w:tc>
        <w:tc>
          <w:tcPr>
            <w:tcW w:w="1173" w:type="dxa"/>
            <w:tcBorders>
              <w:top w:val="nil"/>
              <w:left w:val="nil"/>
              <w:bottom w:val="nil"/>
              <w:right w:val="single" w:sz="4" w:space="0" w:color="auto"/>
            </w:tcBorders>
            <w:shd w:val="clear" w:color="auto" w:fill="auto"/>
            <w:vAlign w:val="bottom"/>
            <w:hideMark/>
          </w:tcPr>
          <w:p w:rsidR="004B6286" w:rsidRPr="00431D28" w:rsidRDefault="00B544C8" w:rsidP="004B6286">
            <w:pPr>
              <w:jc w:val="center"/>
              <w:rPr>
                <w:rFonts w:cs="Arial"/>
                <w:b/>
                <w:bCs/>
                <w:color w:val="000000"/>
                <w:lang w:val="fr-FR"/>
              </w:rPr>
            </w:pPr>
            <w:r w:rsidRPr="00431D28">
              <w:rPr>
                <w:rFonts w:cs="Arial"/>
                <w:b/>
                <w:bCs/>
                <w:color w:val="000000"/>
                <w:lang w:val="fr-FR"/>
              </w:rPr>
              <w:t>Budget proposé</w:t>
            </w:r>
          </w:p>
        </w:tc>
      </w:tr>
      <w:tr w:rsidR="004B6286" w:rsidRPr="00431D28" w:rsidTr="00B256C0">
        <w:trPr>
          <w:trHeight w:val="255"/>
        </w:trPr>
        <w:tc>
          <w:tcPr>
            <w:tcW w:w="1872" w:type="dxa"/>
            <w:vMerge/>
            <w:tcBorders>
              <w:top w:val="single" w:sz="4" w:space="0" w:color="auto"/>
              <w:left w:val="single" w:sz="4" w:space="0" w:color="auto"/>
              <w:bottom w:val="single" w:sz="4" w:space="0" w:color="000000"/>
              <w:right w:val="nil"/>
            </w:tcBorders>
            <w:vAlign w:val="center"/>
            <w:hideMark/>
          </w:tcPr>
          <w:p w:rsidR="004B6286" w:rsidRPr="00431D28" w:rsidRDefault="004B6286" w:rsidP="004B6286">
            <w:pPr>
              <w:jc w:val="left"/>
              <w:rPr>
                <w:rFonts w:cs="Arial"/>
                <w:b/>
                <w:bCs/>
                <w:color w:val="000000"/>
                <w:lang w:val="fr-FR"/>
              </w:rPr>
            </w:pPr>
          </w:p>
        </w:tc>
        <w:tc>
          <w:tcPr>
            <w:tcW w:w="1173" w:type="dxa"/>
            <w:tcBorders>
              <w:top w:val="nil"/>
              <w:left w:val="single" w:sz="4" w:space="0" w:color="auto"/>
              <w:bottom w:val="single" w:sz="4" w:space="0" w:color="auto"/>
              <w:right w:val="nil"/>
            </w:tcBorders>
            <w:shd w:val="clear" w:color="auto" w:fill="auto"/>
            <w:vAlign w:val="bottom"/>
            <w:hideMark/>
          </w:tcPr>
          <w:p w:rsidR="004B6286" w:rsidRPr="00431D28" w:rsidRDefault="004B6286" w:rsidP="004B6286">
            <w:pPr>
              <w:jc w:val="center"/>
              <w:rPr>
                <w:rFonts w:cs="Arial"/>
                <w:b/>
                <w:bCs/>
                <w:color w:val="000000"/>
                <w:lang w:val="fr-FR"/>
              </w:rPr>
            </w:pPr>
            <w:r w:rsidRPr="00431D28">
              <w:rPr>
                <w:rFonts w:cs="Arial"/>
                <w:b/>
                <w:bCs/>
                <w:color w:val="000000"/>
                <w:lang w:val="fr-FR"/>
              </w:rPr>
              <w:t>A</w:t>
            </w:r>
          </w:p>
        </w:tc>
        <w:tc>
          <w:tcPr>
            <w:tcW w:w="994" w:type="dxa"/>
            <w:tcBorders>
              <w:top w:val="nil"/>
              <w:left w:val="single" w:sz="4" w:space="0" w:color="auto"/>
              <w:bottom w:val="single" w:sz="4" w:space="0" w:color="auto"/>
              <w:right w:val="single" w:sz="4" w:space="0" w:color="auto"/>
            </w:tcBorders>
            <w:shd w:val="clear" w:color="auto" w:fill="auto"/>
            <w:vAlign w:val="bottom"/>
            <w:hideMark/>
          </w:tcPr>
          <w:p w:rsidR="004B6286" w:rsidRPr="00431D28" w:rsidRDefault="004B6286" w:rsidP="004B6286">
            <w:pPr>
              <w:jc w:val="center"/>
              <w:rPr>
                <w:rFonts w:cs="Arial"/>
                <w:b/>
                <w:bCs/>
                <w:color w:val="000000"/>
                <w:lang w:val="fr-FR"/>
              </w:rPr>
            </w:pPr>
            <w:r w:rsidRPr="00431D28">
              <w:rPr>
                <w:rFonts w:cs="Arial"/>
                <w:b/>
                <w:bCs/>
                <w:color w:val="000000"/>
                <w:lang w:val="fr-FR"/>
              </w:rPr>
              <w:t>B</w:t>
            </w:r>
          </w:p>
        </w:tc>
        <w:tc>
          <w:tcPr>
            <w:tcW w:w="961" w:type="dxa"/>
            <w:tcBorders>
              <w:top w:val="nil"/>
              <w:left w:val="nil"/>
              <w:bottom w:val="single" w:sz="4" w:space="0" w:color="auto"/>
              <w:right w:val="single" w:sz="4" w:space="0" w:color="auto"/>
            </w:tcBorders>
            <w:shd w:val="clear" w:color="auto" w:fill="auto"/>
            <w:vAlign w:val="bottom"/>
            <w:hideMark/>
          </w:tcPr>
          <w:p w:rsidR="004B6286" w:rsidRPr="00431D28" w:rsidRDefault="004B6286" w:rsidP="004B6286">
            <w:pPr>
              <w:jc w:val="center"/>
              <w:rPr>
                <w:rFonts w:cs="Arial"/>
                <w:b/>
                <w:bCs/>
                <w:color w:val="000000"/>
                <w:lang w:val="fr-FR"/>
              </w:rPr>
            </w:pPr>
            <w:r w:rsidRPr="00431D28">
              <w:rPr>
                <w:rFonts w:cs="Arial"/>
                <w:b/>
                <w:bCs/>
                <w:color w:val="000000"/>
                <w:lang w:val="fr-FR"/>
              </w:rPr>
              <w:t>B/A</w:t>
            </w:r>
          </w:p>
        </w:tc>
        <w:tc>
          <w:tcPr>
            <w:tcW w:w="1173" w:type="dxa"/>
            <w:tcBorders>
              <w:top w:val="nil"/>
              <w:left w:val="nil"/>
              <w:bottom w:val="single" w:sz="4" w:space="0" w:color="auto"/>
              <w:right w:val="single" w:sz="4" w:space="0" w:color="auto"/>
            </w:tcBorders>
            <w:shd w:val="clear" w:color="auto" w:fill="auto"/>
            <w:vAlign w:val="bottom"/>
            <w:hideMark/>
          </w:tcPr>
          <w:p w:rsidR="004B6286" w:rsidRPr="00431D28" w:rsidRDefault="004B6286" w:rsidP="004B6286">
            <w:pPr>
              <w:jc w:val="center"/>
              <w:rPr>
                <w:rFonts w:cs="Arial"/>
                <w:b/>
                <w:bCs/>
                <w:color w:val="000000"/>
                <w:lang w:val="fr-FR"/>
              </w:rPr>
            </w:pPr>
            <w:r w:rsidRPr="00431D28">
              <w:rPr>
                <w:rFonts w:cs="Arial"/>
                <w:b/>
                <w:bCs/>
                <w:color w:val="000000"/>
                <w:lang w:val="fr-FR"/>
              </w:rPr>
              <w:t>C=A+B</w:t>
            </w:r>
          </w:p>
        </w:tc>
      </w:tr>
      <w:tr w:rsidR="004B6286" w:rsidRPr="00431D28" w:rsidTr="00B256C0">
        <w:trPr>
          <w:trHeight w:val="255"/>
        </w:trPr>
        <w:tc>
          <w:tcPr>
            <w:tcW w:w="1872" w:type="dxa"/>
            <w:tcBorders>
              <w:top w:val="nil"/>
              <w:left w:val="single" w:sz="4" w:space="0" w:color="auto"/>
              <w:bottom w:val="nil"/>
              <w:right w:val="nil"/>
            </w:tcBorders>
            <w:shd w:val="clear" w:color="auto" w:fill="auto"/>
            <w:hideMark/>
          </w:tcPr>
          <w:p w:rsidR="004B6286" w:rsidRPr="00431D28" w:rsidRDefault="004B6286" w:rsidP="004B6286">
            <w:pPr>
              <w:jc w:val="center"/>
              <w:rPr>
                <w:rFonts w:cs="Arial"/>
                <w:color w:val="000000"/>
                <w:lang w:val="fr-FR"/>
              </w:rPr>
            </w:pPr>
          </w:p>
        </w:tc>
        <w:tc>
          <w:tcPr>
            <w:tcW w:w="1173" w:type="dxa"/>
            <w:tcBorders>
              <w:top w:val="nil"/>
              <w:left w:val="single" w:sz="4" w:space="0" w:color="auto"/>
              <w:bottom w:val="nil"/>
              <w:right w:val="single" w:sz="4" w:space="0" w:color="auto"/>
            </w:tcBorders>
            <w:shd w:val="clear" w:color="auto" w:fill="auto"/>
            <w:hideMark/>
          </w:tcPr>
          <w:p w:rsidR="004B6286" w:rsidRPr="00431D28" w:rsidRDefault="004B6286" w:rsidP="004B6286">
            <w:pPr>
              <w:jc w:val="right"/>
              <w:rPr>
                <w:rFonts w:cs="Arial"/>
                <w:color w:val="000000"/>
                <w:lang w:val="fr-FR"/>
              </w:rPr>
            </w:pPr>
          </w:p>
        </w:tc>
        <w:tc>
          <w:tcPr>
            <w:tcW w:w="994" w:type="dxa"/>
            <w:tcBorders>
              <w:top w:val="nil"/>
              <w:left w:val="nil"/>
              <w:bottom w:val="nil"/>
              <w:right w:val="single" w:sz="4" w:space="0" w:color="auto"/>
            </w:tcBorders>
            <w:shd w:val="clear" w:color="auto" w:fill="auto"/>
            <w:hideMark/>
          </w:tcPr>
          <w:p w:rsidR="004B6286" w:rsidRPr="00431D28" w:rsidRDefault="004B6286" w:rsidP="004B6286">
            <w:pPr>
              <w:jc w:val="right"/>
              <w:rPr>
                <w:rFonts w:cs="Arial"/>
                <w:color w:val="000000"/>
                <w:lang w:val="fr-FR"/>
              </w:rPr>
            </w:pPr>
          </w:p>
        </w:tc>
        <w:tc>
          <w:tcPr>
            <w:tcW w:w="961" w:type="dxa"/>
            <w:tcBorders>
              <w:top w:val="nil"/>
              <w:left w:val="nil"/>
              <w:bottom w:val="nil"/>
              <w:right w:val="single" w:sz="4" w:space="0" w:color="auto"/>
            </w:tcBorders>
            <w:shd w:val="clear" w:color="auto" w:fill="auto"/>
            <w:hideMark/>
          </w:tcPr>
          <w:p w:rsidR="004B6286" w:rsidRPr="00431D28" w:rsidRDefault="004B6286" w:rsidP="004B6286">
            <w:pPr>
              <w:jc w:val="right"/>
              <w:rPr>
                <w:rFonts w:cs="Arial"/>
                <w:color w:val="000000"/>
                <w:lang w:val="fr-FR"/>
              </w:rPr>
            </w:pPr>
          </w:p>
        </w:tc>
        <w:tc>
          <w:tcPr>
            <w:tcW w:w="1173" w:type="dxa"/>
            <w:tcBorders>
              <w:top w:val="nil"/>
              <w:left w:val="nil"/>
              <w:bottom w:val="nil"/>
              <w:right w:val="single" w:sz="4" w:space="0" w:color="auto"/>
            </w:tcBorders>
            <w:shd w:val="clear" w:color="auto" w:fill="auto"/>
            <w:hideMark/>
          </w:tcPr>
          <w:p w:rsidR="004B6286" w:rsidRPr="00431D28" w:rsidRDefault="004B6286" w:rsidP="004B6286">
            <w:pPr>
              <w:jc w:val="right"/>
              <w:rPr>
                <w:rFonts w:cs="Arial"/>
                <w:color w:val="000000"/>
                <w:lang w:val="fr-FR"/>
              </w:rPr>
            </w:pPr>
          </w:p>
        </w:tc>
      </w:tr>
      <w:tr w:rsidR="004B6286" w:rsidRPr="00431D28" w:rsidTr="00B256C0">
        <w:trPr>
          <w:trHeight w:val="315"/>
        </w:trPr>
        <w:tc>
          <w:tcPr>
            <w:tcW w:w="1872" w:type="dxa"/>
            <w:tcBorders>
              <w:top w:val="nil"/>
              <w:left w:val="single" w:sz="4" w:space="0" w:color="auto"/>
              <w:bottom w:val="nil"/>
              <w:right w:val="nil"/>
            </w:tcBorders>
            <w:shd w:val="clear" w:color="auto" w:fill="auto"/>
            <w:hideMark/>
          </w:tcPr>
          <w:p w:rsidR="004B6286" w:rsidRPr="00431D28" w:rsidRDefault="004B6286" w:rsidP="004B6286">
            <w:pPr>
              <w:jc w:val="center"/>
              <w:rPr>
                <w:rFonts w:cs="Arial"/>
                <w:color w:val="000000"/>
                <w:lang w:val="fr-FR"/>
              </w:rPr>
            </w:pPr>
            <w:r w:rsidRPr="00431D28">
              <w:rPr>
                <w:rFonts w:cs="Arial"/>
                <w:color w:val="000000"/>
                <w:lang w:val="fr-FR"/>
              </w:rPr>
              <w:t>UV.1</w:t>
            </w:r>
          </w:p>
        </w:tc>
        <w:tc>
          <w:tcPr>
            <w:tcW w:w="1173" w:type="dxa"/>
            <w:tcBorders>
              <w:top w:val="nil"/>
              <w:left w:val="single" w:sz="4" w:space="0" w:color="auto"/>
              <w:bottom w:val="nil"/>
              <w:right w:val="single" w:sz="4" w:space="0" w:color="auto"/>
            </w:tcBorders>
            <w:shd w:val="clear" w:color="auto" w:fill="auto"/>
            <w:hideMark/>
          </w:tcPr>
          <w:p w:rsidR="004B6286" w:rsidRPr="00431D28" w:rsidRDefault="004B6286" w:rsidP="004B6286">
            <w:pPr>
              <w:jc w:val="right"/>
              <w:rPr>
                <w:rFonts w:cs="Arial"/>
                <w:color w:val="000000"/>
                <w:lang w:val="fr-FR"/>
              </w:rPr>
            </w:pPr>
            <w:r w:rsidRPr="00431D28">
              <w:rPr>
                <w:rFonts w:cs="Arial"/>
                <w:color w:val="000000"/>
                <w:lang w:val="fr-FR"/>
              </w:rPr>
              <w:t>729</w:t>
            </w:r>
          </w:p>
        </w:tc>
        <w:tc>
          <w:tcPr>
            <w:tcW w:w="994" w:type="dxa"/>
            <w:tcBorders>
              <w:top w:val="nil"/>
              <w:left w:val="nil"/>
              <w:bottom w:val="nil"/>
              <w:right w:val="single" w:sz="4" w:space="0" w:color="auto"/>
            </w:tcBorders>
            <w:shd w:val="clear" w:color="auto" w:fill="auto"/>
            <w:hideMark/>
          </w:tcPr>
          <w:p w:rsidR="004B6286" w:rsidRPr="00431D28" w:rsidRDefault="004B6286" w:rsidP="004B6286">
            <w:pPr>
              <w:jc w:val="right"/>
              <w:rPr>
                <w:rFonts w:cs="Arial"/>
                <w:color w:val="000000"/>
                <w:lang w:val="fr-FR"/>
              </w:rPr>
            </w:pPr>
            <w:r w:rsidRPr="00431D28">
              <w:rPr>
                <w:rFonts w:cs="Arial"/>
                <w:color w:val="000000"/>
                <w:lang w:val="fr-FR"/>
              </w:rPr>
              <w:t>-9</w:t>
            </w:r>
          </w:p>
        </w:tc>
        <w:tc>
          <w:tcPr>
            <w:tcW w:w="961" w:type="dxa"/>
            <w:tcBorders>
              <w:top w:val="nil"/>
              <w:left w:val="nil"/>
              <w:bottom w:val="nil"/>
              <w:right w:val="nil"/>
            </w:tcBorders>
            <w:shd w:val="clear" w:color="auto" w:fill="auto"/>
            <w:hideMark/>
          </w:tcPr>
          <w:p w:rsidR="004B6286" w:rsidRPr="00431D28" w:rsidRDefault="00B544C8" w:rsidP="004B6286">
            <w:pPr>
              <w:jc w:val="right"/>
              <w:rPr>
                <w:rFonts w:cs="Arial"/>
                <w:color w:val="000000"/>
                <w:lang w:val="fr-FR"/>
              </w:rPr>
            </w:pPr>
            <w:r w:rsidRPr="00431D28">
              <w:rPr>
                <w:rFonts w:cs="Arial"/>
                <w:color w:val="000000"/>
                <w:lang w:val="fr-FR"/>
              </w:rPr>
              <w:t>-1,</w:t>
            </w:r>
            <w:r w:rsidR="004B6286" w:rsidRPr="00431D28">
              <w:rPr>
                <w:rFonts w:cs="Arial"/>
                <w:color w:val="000000"/>
                <w:lang w:val="fr-FR"/>
              </w:rPr>
              <w:t>2%</w:t>
            </w:r>
          </w:p>
        </w:tc>
        <w:tc>
          <w:tcPr>
            <w:tcW w:w="1173" w:type="dxa"/>
            <w:tcBorders>
              <w:top w:val="nil"/>
              <w:left w:val="single" w:sz="4" w:space="0" w:color="auto"/>
              <w:bottom w:val="nil"/>
              <w:right w:val="single" w:sz="4" w:space="0" w:color="auto"/>
            </w:tcBorders>
            <w:shd w:val="clear" w:color="auto" w:fill="auto"/>
            <w:hideMark/>
          </w:tcPr>
          <w:p w:rsidR="004B6286" w:rsidRPr="00431D28" w:rsidRDefault="004B6286" w:rsidP="004B6286">
            <w:pPr>
              <w:jc w:val="right"/>
              <w:rPr>
                <w:rFonts w:cs="Arial"/>
                <w:color w:val="000000"/>
                <w:lang w:val="fr-FR"/>
              </w:rPr>
            </w:pPr>
            <w:r w:rsidRPr="00431D28">
              <w:rPr>
                <w:rFonts w:cs="Arial"/>
                <w:color w:val="000000"/>
                <w:lang w:val="fr-FR"/>
              </w:rPr>
              <w:t>720</w:t>
            </w:r>
          </w:p>
        </w:tc>
      </w:tr>
      <w:tr w:rsidR="004B6286" w:rsidRPr="00431D28" w:rsidTr="00B256C0">
        <w:trPr>
          <w:trHeight w:val="315"/>
        </w:trPr>
        <w:tc>
          <w:tcPr>
            <w:tcW w:w="1872" w:type="dxa"/>
            <w:tcBorders>
              <w:top w:val="nil"/>
              <w:left w:val="single" w:sz="4" w:space="0" w:color="auto"/>
              <w:bottom w:val="nil"/>
              <w:right w:val="nil"/>
            </w:tcBorders>
            <w:shd w:val="clear" w:color="auto" w:fill="auto"/>
            <w:hideMark/>
          </w:tcPr>
          <w:p w:rsidR="004B6286" w:rsidRPr="00431D28" w:rsidRDefault="004B6286" w:rsidP="004B6286">
            <w:pPr>
              <w:jc w:val="center"/>
              <w:rPr>
                <w:rFonts w:cs="Arial"/>
                <w:color w:val="000000"/>
                <w:lang w:val="fr-FR"/>
              </w:rPr>
            </w:pPr>
            <w:r w:rsidRPr="00431D28">
              <w:rPr>
                <w:rFonts w:cs="Arial"/>
                <w:color w:val="000000"/>
                <w:lang w:val="fr-FR"/>
              </w:rPr>
              <w:t>UV.2</w:t>
            </w:r>
          </w:p>
        </w:tc>
        <w:tc>
          <w:tcPr>
            <w:tcW w:w="1173" w:type="dxa"/>
            <w:tcBorders>
              <w:top w:val="nil"/>
              <w:left w:val="single" w:sz="4" w:space="0" w:color="auto"/>
              <w:bottom w:val="nil"/>
              <w:right w:val="single" w:sz="4" w:space="0" w:color="auto"/>
            </w:tcBorders>
            <w:shd w:val="clear" w:color="auto" w:fill="auto"/>
            <w:hideMark/>
          </w:tcPr>
          <w:p w:rsidR="004B6286" w:rsidRPr="00431D28" w:rsidRDefault="007632C2" w:rsidP="004B6286">
            <w:pPr>
              <w:jc w:val="right"/>
              <w:rPr>
                <w:rFonts w:cs="Arial"/>
                <w:color w:val="000000"/>
                <w:lang w:val="fr-FR"/>
              </w:rPr>
            </w:pPr>
            <w:r>
              <w:rPr>
                <w:rFonts w:cs="Arial"/>
                <w:color w:val="000000"/>
                <w:lang w:val="fr-FR"/>
              </w:rPr>
              <w:t>3 </w:t>
            </w:r>
            <w:r w:rsidR="004B6286" w:rsidRPr="00431D28">
              <w:rPr>
                <w:rFonts w:cs="Arial"/>
                <w:color w:val="000000"/>
                <w:lang w:val="fr-FR"/>
              </w:rPr>
              <w:t>801</w:t>
            </w:r>
          </w:p>
        </w:tc>
        <w:tc>
          <w:tcPr>
            <w:tcW w:w="994" w:type="dxa"/>
            <w:tcBorders>
              <w:top w:val="nil"/>
              <w:left w:val="nil"/>
              <w:bottom w:val="nil"/>
              <w:right w:val="single" w:sz="4" w:space="0" w:color="auto"/>
            </w:tcBorders>
            <w:shd w:val="clear" w:color="auto" w:fill="auto"/>
            <w:hideMark/>
          </w:tcPr>
          <w:p w:rsidR="004B6286" w:rsidRPr="00431D28" w:rsidRDefault="004B6286" w:rsidP="004B6286">
            <w:pPr>
              <w:jc w:val="right"/>
              <w:rPr>
                <w:rFonts w:cs="Arial"/>
                <w:color w:val="000000"/>
                <w:lang w:val="fr-FR"/>
              </w:rPr>
            </w:pPr>
            <w:r w:rsidRPr="00431D28">
              <w:rPr>
                <w:rFonts w:cs="Arial"/>
                <w:color w:val="000000"/>
                <w:lang w:val="fr-FR"/>
              </w:rPr>
              <w:t>133</w:t>
            </w:r>
          </w:p>
        </w:tc>
        <w:tc>
          <w:tcPr>
            <w:tcW w:w="961" w:type="dxa"/>
            <w:tcBorders>
              <w:top w:val="nil"/>
              <w:left w:val="nil"/>
              <w:bottom w:val="nil"/>
              <w:right w:val="nil"/>
            </w:tcBorders>
            <w:shd w:val="clear" w:color="auto" w:fill="auto"/>
            <w:hideMark/>
          </w:tcPr>
          <w:p w:rsidR="004B6286" w:rsidRPr="00431D28" w:rsidRDefault="00B544C8" w:rsidP="004B6286">
            <w:pPr>
              <w:jc w:val="right"/>
              <w:rPr>
                <w:rFonts w:cs="Arial"/>
                <w:color w:val="000000"/>
                <w:lang w:val="fr-FR"/>
              </w:rPr>
            </w:pPr>
            <w:r w:rsidRPr="00431D28">
              <w:rPr>
                <w:rFonts w:cs="Arial"/>
                <w:color w:val="000000"/>
                <w:lang w:val="fr-FR"/>
              </w:rPr>
              <w:t>3,</w:t>
            </w:r>
            <w:r w:rsidR="004B6286" w:rsidRPr="00431D28">
              <w:rPr>
                <w:rFonts w:cs="Arial"/>
                <w:color w:val="000000"/>
                <w:lang w:val="fr-FR"/>
              </w:rPr>
              <w:t>5%</w:t>
            </w:r>
          </w:p>
        </w:tc>
        <w:tc>
          <w:tcPr>
            <w:tcW w:w="1173" w:type="dxa"/>
            <w:tcBorders>
              <w:top w:val="nil"/>
              <w:left w:val="single" w:sz="4" w:space="0" w:color="auto"/>
              <w:bottom w:val="nil"/>
              <w:right w:val="single" w:sz="4" w:space="0" w:color="auto"/>
            </w:tcBorders>
            <w:shd w:val="clear" w:color="auto" w:fill="auto"/>
            <w:hideMark/>
          </w:tcPr>
          <w:p w:rsidR="004B6286" w:rsidRPr="00431D28" w:rsidRDefault="007632C2" w:rsidP="004B6286">
            <w:pPr>
              <w:jc w:val="right"/>
              <w:rPr>
                <w:rFonts w:cs="Arial"/>
                <w:color w:val="000000"/>
                <w:lang w:val="fr-FR"/>
              </w:rPr>
            </w:pPr>
            <w:r>
              <w:rPr>
                <w:rFonts w:cs="Arial"/>
                <w:color w:val="000000"/>
                <w:lang w:val="fr-FR"/>
              </w:rPr>
              <w:t>3 </w:t>
            </w:r>
            <w:r w:rsidR="004B6286" w:rsidRPr="00431D28">
              <w:rPr>
                <w:rFonts w:cs="Arial"/>
                <w:color w:val="000000"/>
                <w:lang w:val="fr-FR"/>
              </w:rPr>
              <w:t>934</w:t>
            </w:r>
          </w:p>
        </w:tc>
      </w:tr>
      <w:tr w:rsidR="004B6286" w:rsidRPr="00431D28" w:rsidTr="00B256C0">
        <w:trPr>
          <w:trHeight w:val="330"/>
        </w:trPr>
        <w:tc>
          <w:tcPr>
            <w:tcW w:w="1872" w:type="dxa"/>
            <w:tcBorders>
              <w:top w:val="nil"/>
              <w:left w:val="single" w:sz="4" w:space="0" w:color="auto"/>
              <w:bottom w:val="nil"/>
              <w:right w:val="nil"/>
            </w:tcBorders>
            <w:shd w:val="clear" w:color="auto" w:fill="auto"/>
            <w:hideMark/>
          </w:tcPr>
          <w:p w:rsidR="004B6286" w:rsidRPr="00431D28" w:rsidRDefault="004B6286" w:rsidP="004B6286">
            <w:pPr>
              <w:jc w:val="center"/>
              <w:rPr>
                <w:rFonts w:cs="Arial"/>
                <w:color w:val="000000"/>
                <w:lang w:val="fr-FR"/>
              </w:rPr>
            </w:pPr>
            <w:r w:rsidRPr="00431D28">
              <w:rPr>
                <w:rFonts w:cs="Arial"/>
                <w:color w:val="000000"/>
                <w:lang w:val="fr-FR"/>
              </w:rPr>
              <w:t>UV.3</w:t>
            </w:r>
          </w:p>
        </w:tc>
        <w:tc>
          <w:tcPr>
            <w:tcW w:w="1173" w:type="dxa"/>
            <w:tcBorders>
              <w:top w:val="nil"/>
              <w:left w:val="single" w:sz="4" w:space="0" w:color="auto"/>
              <w:bottom w:val="nil"/>
              <w:right w:val="single" w:sz="4" w:space="0" w:color="auto"/>
            </w:tcBorders>
            <w:shd w:val="clear" w:color="auto" w:fill="auto"/>
            <w:hideMark/>
          </w:tcPr>
          <w:p w:rsidR="004B6286" w:rsidRPr="00431D28" w:rsidRDefault="007632C2" w:rsidP="004B6286">
            <w:pPr>
              <w:jc w:val="right"/>
              <w:rPr>
                <w:rFonts w:cs="Arial"/>
                <w:color w:val="000000"/>
                <w:lang w:val="fr-FR"/>
              </w:rPr>
            </w:pPr>
            <w:r>
              <w:rPr>
                <w:rFonts w:cs="Arial"/>
                <w:color w:val="000000"/>
                <w:lang w:val="fr-FR"/>
              </w:rPr>
              <w:t>1 </w:t>
            </w:r>
            <w:r w:rsidR="004B6286" w:rsidRPr="00431D28">
              <w:rPr>
                <w:rFonts w:cs="Arial"/>
                <w:color w:val="000000"/>
                <w:lang w:val="fr-FR"/>
              </w:rPr>
              <w:t>631</w:t>
            </w:r>
          </w:p>
        </w:tc>
        <w:tc>
          <w:tcPr>
            <w:tcW w:w="994" w:type="dxa"/>
            <w:tcBorders>
              <w:top w:val="nil"/>
              <w:left w:val="nil"/>
              <w:bottom w:val="nil"/>
              <w:right w:val="single" w:sz="4" w:space="0" w:color="auto"/>
            </w:tcBorders>
            <w:shd w:val="clear" w:color="auto" w:fill="auto"/>
            <w:hideMark/>
          </w:tcPr>
          <w:p w:rsidR="004B6286" w:rsidRPr="00431D28" w:rsidRDefault="004B6286" w:rsidP="004B6286">
            <w:pPr>
              <w:jc w:val="right"/>
              <w:rPr>
                <w:rFonts w:cs="Arial"/>
                <w:color w:val="000000"/>
                <w:lang w:val="fr-FR"/>
              </w:rPr>
            </w:pPr>
            <w:r w:rsidRPr="00431D28">
              <w:rPr>
                <w:rFonts w:cs="Arial"/>
                <w:color w:val="000000"/>
                <w:lang w:val="fr-FR"/>
              </w:rPr>
              <w:t>-53</w:t>
            </w:r>
          </w:p>
        </w:tc>
        <w:tc>
          <w:tcPr>
            <w:tcW w:w="961" w:type="dxa"/>
            <w:tcBorders>
              <w:top w:val="nil"/>
              <w:left w:val="nil"/>
              <w:bottom w:val="nil"/>
              <w:right w:val="nil"/>
            </w:tcBorders>
            <w:shd w:val="clear" w:color="auto" w:fill="auto"/>
            <w:hideMark/>
          </w:tcPr>
          <w:p w:rsidR="004B6286" w:rsidRPr="00431D28" w:rsidRDefault="00B544C8" w:rsidP="004B6286">
            <w:pPr>
              <w:jc w:val="right"/>
              <w:rPr>
                <w:rFonts w:cs="Arial"/>
                <w:color w:val="000000"/>
                <w:lang w:val="fr-FR"/>
              </w:rPr>
            </w:pPr>
            <w:r w:rsidRPr="00431D28">
              <w:rPr>
                <w:rFonts w:cs="Arial"/>
                <w:color w:val="000000"/>
                <w:lang w:val="fr-FR"/>
              </w:rPr>
              <w:t>-3,</w:t>
            </w:r>
            <w:r w:rsidR="004B6286" w:rsidRPr="00431D28">
              <w:rPr>
                <w:rFonts w:cs="Arial"/>
                <w:color w:val="000000"/>
                <w:lang w:val="fr-FR"/>
              </w:rPr>
              <w:t>2%</w:t>
            </w:r>
          </w:p>
        </w:tc>
        <w:tc>
          <w:tcPr>
            <w:tcW w:w="1173" w:type="dxa"/>
            <w:tcBorders>
              <w:top w:val="nil"/>
              <w:left w:val="single" w:sz="4" w:space="0" w:color="auto"/>
              <w:bottom w:val="nil"/>
              <w:right w:val="single" w:sz="4" w:space="0" w:color="auto"/>
            </w:tcBorders>
            <w:shd w:val="clear" w:color="auto" w:fill="auto"/>
            <w:hideMark/>
          </w:tcPr>
          <w:p w:rsidR="004B6286" w:rsidRPr="00431D28" w:rsidRDefault="007632C2" w:rsidP="004B6286">
            <w:pPr>
              <w:jc w:val="right"/>
              <w:rPr>
                <w:rFonts w:cs="Arial"/>
                <w:color w:val="000000"/>
                <w:lang w:val="fr-FR"/>
              </w:rPr>
            </w:pPr>
            <w:r>
              <w:rPr>
                <w:rFonts w:cs="Arial"/>
                <w:color w:val="000000"/>
                <w:lang w:val="fr-FR"/>
              </w:rPr>
              <w:t>1 </w:t>
            </w:r>
            <w:r w:rsidR="004B6286" w:rsidRPr="00431D28">
              <w:rPr>
                <w:rFonts w:cs="Arial"/>
                <w:color w:val="000000"/>
                <w:lang w:val="fr-FR"/>
              </w:rPr>
              <w:t>578</w:t>
            </w:r>
          </w:p>
        </w:tc>
      </w:tr>
      <w:tr w:rsidR="004B6286" w:rsidRPr="00431D28" w:rsidTr="00B256C0">
        <w:trPr>
          <w:trHeight w:val="330"/>
        </w:trPr>
        <w:tc>
          <w:tcPr>
            <w:tcW w:w="1872" w:type="dxa"/>
            <w:tcBorders>
              <w:top w:val="nil"/>
              <w:left w:val="single" w:sz="4" w:space="0" w:color="auto"/>
              <w:bottom w:val="nil"/>
              <w:right w:val="nil"/>
            </w:tcBorders>
            <w:shd w:val="clear" w:color="auto" w:fill="auto"/>
            <w:hideMark/>
          </w:tcPr>
          <w:p w:rsidR="004B6286" w:rsidRPr="00431D28" w:rsidRDefault="004B6286" w:rsidP="004B6286">
            <w:pPr>
              <w:jc w:val="center"/>
              <w:rPr>
                <w:rFonts w:cs="Arial"/>
                <w:color w:val="000000"/>
                <w:lang w:val="fr-FR"/>
              </w:rPr>
            </w:pPr>
            <w:r w:rsidRPr="00431D28">
              <w:rPr>
                <w:rFonts w:cs="Arial"/>
                <w:color w:val="000000"/>
                <w:lang w:val="fr-FR"/>
              </w:rPr>
              <w:t>UV.4</w:t>
            </w:r>
          </w:p>
        </w:tc>
        <w:tc>
          <w:tcPr>
            <w:tcW w:w="1173" w:type="dxa"/>
            <w:tcBorders>
              <w:top w:val="nil"/>
              <w:left w:val="single" w:sz="4" w:space="0" w:color="auto"/>
              <w:bottom w:val="nil"/>
              <w:right w:val="single" w:sz="4" w:space="0" w:color="auto"/>
            </w:tcBorders>
            <w:shd w:val="clear" w:color="auto" w:fill="auto"/>
            <w:hideMark/>
          </w:tcPr>
          <w:p w:rsidR="004B6286" w:rsidRPr="00431D28" w:rsidRDefault="004B6286" w:rsidP="004B6286">
            <w:pPr>
              <w:jc w:val="right"/>
              <w:rPr>
                <w:rFonts w:cs="Arial"/>
                <w:color w:val="000000"/>
                <w:lang w:val="fr-FR"/>
              </w:rPr>
            </w:pPr>
            <w:r w:rsidRPr="00431D28">
              <w:rPr>
                <w:rFonts w:cs="Arial"/>
                <w:color w:val="000000"/>
                <w:lang w:val="fr-FR"/>
              </w:rPr>
              <w:t>637</w:t>
            </w:r>
          </w:p>
        </w:tc>
        <w:tc>
          <w:tcPr>
            <w:tcW w:w="994" w:type="dxa"/>
            <w:tcBorders>
              <w:top w:val="nil"/>
              <w:left w:val="nil"/>
              <w:bottom w:val="nil"/>
              <w:right w:val="single" w:sz="4" w:space="0" w:color="auto"/>
            </w:tcBorders>
            <w:shd w:val="clear" w:color="auto" w:fill="auto"/>
            <w:hideMark/>
          </w:tcPr>
          <w:p w:rsidR="004B6286" w:rsidRPr="00431D28" w:rsidRDefault="004B6286" w:rsidP="004B6286">
            <w:pPr>
              <w:jc w:val="right"/>
              <w:rPr>
                <w:rFonts w:cs="Arial"/>
                <w:color w:val="000000"/>
                <w:lang w:val="fr-FR"/>
              </w:rPr>
            </w:pPr>
            <w:r w:rsidRPr="00431D28">
              <w:rPr>
                <w:rFonts w:cs="Arial"/>
                <w:color w:val="000000"/>
                <w:lang w:val="fr-FR"/>
              </w:rPr>
              <w:t>-75</w:t>
            </w:r>
          </w:p>
        </w:tc>
        <w:tc>
          <w:tcPr>
            <w:tcW w:w="961" w:type="dxa"/>
            <w:tcBorders>
              <w:top w:val="nil"/>
              <w:left w:val="nil"/>
              <w:bottom w:val="nil"/>
              <w:right w:val="nil"/>
            </w:tcBorders>
            <w:shd w:val="clear" w:color="auto" w:fill="auto"/>
            <w:hideMark/>
          </w:tcPr>
          <w:p w:rsidR="004B6286" w:rsidRPr="00431D28" w:rsidRDefault="00B544C8" w:rsidP="004B6286">
            <w:pPr>
              <w:jc w:val="right"/>
              <w:rPr>
                <w:rFonts w:cs="Arial"/>
                <w:color w:val="000000"/>
                <w:lang w:val="fr-FR"/>
              </w:rPr>
            </w:pPr>
            <w:r w:rsidRPr="00431D28">
              <w:rPr>
                <w:rFonts w:cs="Arial"/>
                <w:color w:val="000000"/>
                <w:lang w:val="fr-FR"/>
              </w:rPr>
              <w:t>-11,</w:t>
            </w:r>
            <w:r w:rsidR="004B6286" w:rsidRPr="00431D28">
              <w:rPr>
                <w:rFonts w:cs="Arial"/>
                <w:color w:val="000000"/>
                <w:lang w:val="fr-FR"/>
              </w:rPr>
              <w:t>8%</w:t>
            </w:r>
          </w:p>
        </w:tc>
        <w:tc>
          <w:tcPr>
            <w:tcW w:w="1173" w:type="dxa"/>
            <w:tcBorders>
              <w:top w:val="nil"/>
              <w:left w:val="single" w:sz="4" w:space="0" w:color="auto"/>
              <w:bottom w:val="nil"/>
              <w:right w:val="single" w:sz="4" w:space="0" w:color="auto"/>
            </w:tcBorders>
            <w:shd w:val="clear" w:color="auto" w:fill="auto"/>
            <w:hideMark/>
          </w:tcPr>
          <w:p w:rsidR="004B6286" w:rsidRPr="00431D28" w:rsidRDefault="004B6286" w:rsidP="004B6286">
            <w:pPr>
              <w:jc w:val="right"/>
              <w:rPr>
                <w:rFonts w:cs="Arial"/>
                <w:color w:val="000000"/>
                <w:lang w:val="fr-FR"/>
              </w:rPr>
            </w:pPr>
            <w:r w:rsidRPr="00431D28">
              <w:rPr>
                <w:rFonts w:cs="Arial"/>
                <w:color w:val="000000"/>
                <w:lang w:val="fr-FR"/>
              </w:rPr>
              <w:t>562</w:t>
            </w:r>
          </w:p>
        </w:tc>
      </w:tr>
      <w:tr w:rsidR="004B6286" w:rsidRPr="00431D28" w:rsidTr="00B256C0">
        <w:trPr>
          <w:trHeight w:val="330"/>
        </w:trPr>
        <w:tc>
          <w:tcPr>
            <w:tcW w:w="1872" w:type="dxa"/>
            <w:tcBorders>
              <w:top w:val="nil"/>
              <w:left w:val="single" w:sz="4" w:space="0" w:color="auto"/>
              <w:bottom w:val="nil"/>
              <w:right w:val="nil"/>
            </w:tcBorders>
            <w:shd w:val="clear" w:color="auto" w:fill="auto"/>
            <w:hideMark/>
          </w:tcPr>
          <w:p w:rsidR="004B6286" w:rsidRPr="00431D28" w:rsidRDefault="004B6286" w:rsidP="004B6286">
            <w:pPr>
              <w:jc w:val="center"/>
              <w:rPr>
                <w:rFonts w:cs="Arial"/>
                <w:color w:val="000000"/>
                <w:lang w:val="fr-FR"/>
              </w:rPr>
            </w:pPr>
          </w:p>
        </w:tc>
        <w:tc>
          <w:tcPr>
            <w:tcW w:w="1173" w:type="dxa"/>
            <w:tcBorders>
              <w:top w:val="nil"/>
              <w:left w:val="single" w:sz="4" w:space="0" w:color="auto"/>
              <w:bottom w:val="single" w:sz="4" w:space="0" w:color="auto"/>
              <w:right w:val="single" w:sz="4" w:space="0" w:color="auto"/>
            </w:tcBorders>
            <w:shd w:val="clear" w:color="auto" w:fill="auto"/>
            <w:hideMark/>
          </w:tcPr>
          <w:p w:rsidR="004B6286" w:rsidRPr="00431D28" w:rsidRDefault="004B6286" w:rsidP="004B6286">
            <w:pPr>
              <w:jc w:val="right"/>
              <w:rPr>
                <w:rFonts w:cs="Arial"/>
                <w:color w:val="000000"/>
                <w:lang w:val="fr-FR"/>
              </w:rPr>
            </w:pPr>
          </w:p>
        </w:tc>
        <w:tc>
          <w:tcPr>
            <w:tcW w:w="994" w:type="dxa"/>
            <w:tcBorders>
              <w:top w:val="nil"/>
              <w:left w:val="nil"/>
              <w:bottom w:val="nil"/>
              <w:right w:val="single" w:sz="4" w:space="0" w:color="auto"/>
            </w:tcBorders>
            <w:shd w:val="clear" w:color="auto" w:fill="auto"/>
            <w:hideMark/>
          </w:tcPr>
          <w:p w:rsidR="004B6286" w:rsidRPr="00431D28" w:rsidRDefault="004B6286" w:rsidP="004B6286">
            <w:pPr>
              <w:jc w:val="right"/>
              <w:rPr>
                <w:rFonts w:cs="Arial"/>
                <w:color w:val="000000"/>
                <w:lang w:val="fr-FR"/>
              </w:rPr>
            </w:pPr>
          </w:p>
        </w:tc>
        <w:tc>
          <w:tcPr>
            <w:tcW w:w="961" w:type="dxa"/>
            <w:tcBorders>
              <w:top w:val="nil"/>
              <w:left w:val="nil"/>
              <w:bottom w:val="nil"/>
              <w:right w:val="nil"/>
            </w:tcBorders>
            <w:shd w:val="clear" w:color="auto" w:fill="auto"/>
            <w:hideMark/>
          </w:tcPr>
          <w:p w:rsidR="004B6286" w:rsidRPr="00431D28" w:rsidRDefault="004B6286" w:rsidP="004B6286">
            <w:pPr>
              <w:jc w:val="right"/>
              <w:rPr>
                <w:rFonts w:cs="Arial"/>
                <w:color w:val="000000"/>
                <w:lang w:val="fr-FR"/>
              </w:rPr>
            </w:pPr>
          </w:p>
        </w:tc>
        <w:tc>
          <w:tcPr>
            <w:tcW w:w="1173" w:type="dxa"/>
            <w:tcBorders>
              <w:top w:val="nil"/>
              <w:left w:val="single" w:sz="4" w:space="0" w:color="auto"/>
              <w:bottom w:val="single" w:sz="4" w:space="0" w:color="auto"/>
              <w:right w:val="single" w:sz="4" w:space="0" w:color="auto"/>
            </w:tcBorders>
            <w:shd w:val="clear" w:color="auto" w:fill="auto"/>
            <w:hideMark/>
          </w:tcPr>
          <w:p w:rsidR="004B6286" w:rsidRPr="00431D28" w:rsidRDefault="004B6286" w:rsidP="004B6286">
            <w:pPr>
              <w:jc w:val="right"/>
              <w:rPr>
                <w:rFonts w:cs="Arial"/>
                <w:color w:val="000000"/>
                <w:lang w:val="fr-FR"/>
              </w:rPr>
            </w:pPr>
          </w:p>
        </w:tc>
      </w:tr>
      <w:tr w:rsidR="004B6286" w:rsidRPr="00431D28" w:rsidTr="00B256C0">
        <w:trPr>
          <w:trHeight w:val="255"/>
        </w:trPr>
        <w:tc>
          <w:tcPr>
            <w:tcW w:w="1872" w:type="dxa"/>
            <w:tcBorders>
              <w:top w:val="single" w:sz="4" w:space="0" w:color="auto"/>
              <w:left w:val="single" w:sz="4" w:space="0" w:color="auto"/>
              <w:bottom w:val="single" w:sz="4" w:space="0" w:color="auto"/>
              <w:right w:val="nil"/>
            </w:tcBorders>
            <w:shd w:val="clear" w:color="auto" w:fill="auto"/>
            <w:hideMark/>
          </w:tcPr>
          <w:p w:rsidR="004B6286" w:rsidRPr="00431D28" w:rsidRDefault="004B6286" w:rsidP="004B6286">
            <w:pPr>
              <w:jc w:val="center"/>
              <w:rPr>
                <w:rFonts w:cs="Arial"/>
                <w:b/>
                <w:bCs/>
                <w:color w:val="000000"/>
                <w:lang w:val="fr-FR"/>
              </w:rPr>
            </w:pPr>
            <w:r w:rsidRPr="00431D28">
              <w:rPr>
                <w:rFonts w:cs="Arial"/>
                <w:b/>
                <w:bCs/>
                <w:color w:val="000000"/>
                <w:lang w:val="fr-FR"/>
              </w:rPr>
              <w:t>TOTAL</w:t>
            </w:r>
          </w:p>
        </w:tc>
        <w:tc>
          <w:tcPr>
            <w:tcW w:w="1173" w:type="dxa"/>
            <w:tcBorders>
              <w:top w:val="nil"/>
              <w:left w:val="single" w:sz="4" w:space="0" w:color="auto"/>
              <w:bottom w:val="single" w:sz="4" w:space="0" w:color="auto"/>
              <w:right w:val="nil"/>
            </w:tcBorders>
            <w:shd w:val="clear" w:color="auto" w:fill="auto"/>
            <w:hideMark/>
          </w:tcPr>
          <w:p w:rsidR="004B6286" w:rsidRPr="00431D28" w:rsidRDefault="007632C2" w:rsidP="004B6286">
            <w:pPr>
              <w:jc w:val="right"/>
              <w:rPr>
                <w:rFonts w:cs="Arial"/>
                <w:b/>
                <w:bCs/>
                <w:color w:val="000000"/>
                <w:lang w:val="fr-FR"/>
              </w:rPr>
            </w:pPr>
            <w:r>
              <w:rPr>
                <w:rFonts w:cs="Arial"/>
                <w:b/>
                <w:bCs/>
                <w:color w:val="000000"/>
                <w:lang w:val="fr-FR"/>
              </w:rPr>
              <w:t>6 </w:t>
            </w:r>
            <w:r w:rsidR="004B6286" w:rsidRPr="00431D28">
              <w:rPr>
                <w:rFonts w:cs="Arial"/>
                <w:b/>
                <w:bCs/>
                <w:color w:val="000000"/>
                <w:lang w:val="fr-FR"/>
              </w:rPr>
              <w:t>798</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B6286" w:rsidRPr="00431D28" w:rsidRDefault="004B6286" w:rsidP="004B6286">
            <w:pPr>
              <w:jc w:val="right"/>
              <w:rPr>
                <w:rFonts w:cs="Arial"/>
                <w:b/>
                <w:bCs/>
                <w:color w:val="000000"/>
                <w:lang w:val="fr-FR"/>
              </w:rPr>
            </w:pPr>
            <w:r w:rsidRPr="00431D28">
              <w:rPr>
                <w:rFonts w:cs="Arial"/>
                <w:b/>
                <w:bCs/>
                <w:color w:val="000000"/>
                <w:lang w:val="fr-FR"/>
              </w:rPr>
              <w:t>-4</w:t>
            </w:r>
          </w:p>
        </w:tc>
        <w:tc>
          <w:tcPr>
            <w:tcW w:w="961" w:type="dxa"/>
            <w:tcBorders>
              <w:top w:val="single" w:sz="4" w:space="0" w:color="auto"/>
              <w:left w:val="nil"/>
              <w:bottom w:val="single" w:sz="4" w:space="0" w:color="auto"/>
              <w:right w:val="single" w:sz="4" w:space="0" w:color="auto"/>
            </w:tcBorders>
            <w:shd w:val="clear" w:color="auto" w:fill="auto"/>
            <w:hideMark/>
          </w:tcPr>
          <w:p w:rsidR="004B6286" w:rsidRPr="00431D28" w:rsidRDefault="00B544C8" w:rsidP="004B6286">
            <w:pPr>
              <w:jc w:val="right"/>
              <w:rPr>
                <w:rFonts w:cs="Arial"/>
                <w:b/>
                <w:bCs/>
                <w:color w:val="000000"/>
                <w:lang w:val="fr-FR"/>
              </w:rPr>
            </w:pPr>
            <w:r w:rsidRPr="00431D28">
              <w:rPr>
                <w:rFonts w:cs="Arial"/>
                <w:b/>
                <w:bCs/>
                <w:color w:val="000000"/>
                <w:lang w:val="fr-FR"/>
              </w:rPr>
              <w:t>-0,</w:t>
            </w:r>
            <w:r w:rsidR="004B6286" w:rsidRPr="00431D28">
              <w:rPr>
                <w:rFonts w:cs="Arial"/>
                <w:b/>
                <w:bCs/>
                <w:color w:val="000000"/>
                <w:lang w:val="fr-FR"/>
              </w:rPr>
              <w:t>1%</w:t>
            </w:r>
          </w:p>
        </w:tc>
        <w:tc>
          <w:tcPr>
            <w:tcW w:w="1173" w:type="dxa"/>
            <w:tcBorders>
              <w:top w:val="nil"/>
              <w:left w:val="nil"/>
              <w:bottom w:val="single" w:sz="4" w:space="0" w:color="auto"/>
              <w:right w:val="single" w:sz="4" w:space="0" w:color="auto"/>
            </w:tcBorders>
            <w:shd w:val="clear" w:color="auto" w:fill="auto"/>
            <w:hideMark/>
          </w:tcPr>
          <w:p w:rsidR="004B6286" w:rsidRPr="00431D28" w:rsidRDefault="007632C2" w:rsidP="004B6286">
            <w:pPr>
              <w:jc w:val="right"/>
              <w:rPr>
                <w:rFonts w:cs="Arial"/>
                <w:b/>
                <w:bCs/>
                <w:color w:val="000000"/>
                <w:lang w:val="fr-FR"/>
              </w:rPr>
            </w:pPr>
            <w:r>
              <w:rPr>
                <w:rFonts w:cs="Arial"/>
                <w:b/>
                <w:bCs/>
                <w:color w:val="000000"/>
                <w:lang w:val="fr-FR"/>
              </w:rPr>
              <w:t>6 </w:t>
            </w:r>
            <w:r w:rsidR="004B6286" w:rsidRPr="00431D28">
              <w:rPr>
                <w:rFonts w:cs="Arial"/>
                <w:b/>
                <w:bCs/>
                <w:color w:val="000000"/>
                <w:lang w:val="fr-FR"/>
              </w:rPr>
              <w:t>794</w:t>
            </w:r>
          </w:p>
        </w:tc>
      </w:tr>
    </w:tbl>
    <w:p w:rsidR="005A7F6B" w:rsidRPr="00431D28" w:rsidRDefault="005A7F6B" w:rsidP="004B6286">
      <w:pPr>
        <w:rPr>
          <w:lang w:val="fr-FR"/>
        </w:rPr>
      </w:pPr>
    </w:p>
    <w:p w:rsidR="005A7F6B" w:rsidRPr="00431D28" w:rsidRDefault="005A7F6B" w:rsidP="004B6286">
      <w:pPr>
        <w:rPr>
          <w:lang w:val="fr-FR"/>
        </w:rPr>
      </w:pPr>
    </w:p>
    <w:p w:rsidR="005A7F6B" w:rsidRPr="00431D28" w:rsidRDefault="004B6286">
      <w:pPr>
        <w:jc w:val="left"/>
        <w:rPr>
          <w:color w:val="000000"/>
          <w:lang w:val="fr-FR"/>
        </w:rPr>
      </w:pPr>
      <w:r w:rsidRPr="00431D28">
        <w:rPr>
          <w:color w:val="000000"/>
          <w:lang w:val="fr-FR"/>
        </w:rPr>
        <w:br w:type="page"/>
      </w:r>
    </w:p>
    <w:p w:rsidR="005A7F6B" w:rsidRPr="00431D28" w:rsidRDefault="00175E28" w:rsidP="00175E28">
      <w:pPr>
        <w:rPr>
          <w:lang w:val="fr-FR"/>
        </w:rPr>
      </w:pPr>
      <w:r w:rsidRPr="00431D28">
        <w:rPr>
          <w:lang w:val="fr-FR"/>
        </w:rPr>
        <w:t>3.15</w:t>
      </w:r>
      <w:r w:rsidRPr="00431D28">
        <w:rPr>
          <w:lang w:val="fr-FR"/>
        </w:rPr>
        <w:tab/>
        <w:t xml:space="preserve">Le </w:t>
      </w:r>
      <w:r w:rsidRPr="00431D28">
        <w:rPr>
          <w:b/>
          <w:lang w:val="fr-FR"/>
        </w:rPr>
        <w:t>tableau 8</w:t>
      </w:r>
      <w:r w:rsidRPr="00431D28">
        <w:rPr>
          <w:lang w:val="fr-FR"/>
        </w:rPr>
        <w:t xml:space="preserve"> présente les recettes détaillées par source pour les exercices biennaux 2012</w:t>
      </w:r>
      <w:r w:rsidR="007632C2" w:rsidRPr="003E4E3B">
        <w:rPr>
          <w:rFonts w:cs="Arial"/>
          <w:snapToGrid w:val="0"/>
          <w:lang w:val="fr-FR"/>
        </w:rPr>
        <w:noBreakHyphen/>
      </w:r>
      <w:r w:rsidR="009662A1">
        <w:rPr>
          <w:lang w:val="fr-FR"/>
        </w:rPr>
        <w:t>2013 et 2014­</w:t>
      </w:r>
      <w:r w:rsidRPr="00431D28">
        <w:rPr>
          <w:lang w:val="fr-FR"/>
        </w:rPr>
        <w:t>2015.</w:t>
      </w:r>
      <w:r w:rsidR="00421639" w:rsidRPr="00431D28">
        <w:rPr>
          <w:lang w:val="fr-FR"/>
        </w:rPr>
        <w:t xml:space="preserve"> </w:t>
      </w:r>
    </w:p>
    <w:p w:rsidR="005A7F6B" w:rsidRPr="00431D28" w:rsidRDefault="005A7F6B" w:rsidP="00421639">
      <w:pPr>
        <w:rPr>
          <w:lang w:val="fr-FR"/>
        </w:rPr>
      </w:pPr>
    </w:p>
    <w:p w:rsidR="005A7F6B" w:rsidRPr="00431D28" w:rsidRDefault="00175E28" w:rsidP="00175E28">
      <w:pPr>
        <w:rPr>
          <w:lang w:val="fr-FR"/>
        </w:rPr>
      </w:pPr>
      <w:r w:rsidRPr="00431D28">
        <w:rPr>
          <w:lang w:val="fr-FR"/>
        </w:rPr>
        <w:t>3.16</w:t>
      </w:r>
      <w:r w:rsidRPr="00431D28">
        <w:rPr>
          <w:lang w:val="fr-FR"/>
        </w:rPr>
        <w:tab/>
        <w:t>Le montant total des recettes inscrites au budget ordinaire pour l’exerci</w:t>
      </w:r>
      <w:r w:rsidRPr="005C4304">
        <w:rPr>
          <w:lang w:val="fr-FR"/>
        </w:rPr>
        <w:t>ce biennal 2014-2015 devrait s’établir à 6 794 000 francs suisses.</w:t>
      </w:r>
      <w:r w:rsidR="00421639" w:rsidRPr="005C4304">
        <w:rPr>
          <w:lang w:val="fr-FR"/>
        </w:rPr>
        <w:t xml:space="preserve">  </w:t>
      </w:r>
      <w:r w:rsidRPr="005C4304">
        <w:rPr>
          <w:lang w:val="fr-FR"/>
        </w:rPr>
        <w:t>Ce chiffre marque une diminution</w:t>
      </w:r>
      <w:r w:rsidRPr="00431D28">
        <w:rPr>
          <w:lang w:val="fr-FR"/>
        </w:rPr>
        <w:t xml:space="preserve"> de 4</w:t>
      </w:r>
      <w:r w:rsidR="00C74F48">
        <w:rPr>
          <w:lang w:val="fr-FR"/>
        </w:rPr>
        <w:t> </w:t>
      </w:r>
      <w:r w:rsidRPr="00431D28">
        <w:rPr>
          <w:lang w:val="fr-FR"/>
        </w:rPr>
        <w:t>000 francs suisses (0,1%) par rapport au montant des recettes pour l’exercice biennal 2012</w:t>
      </w:r>
      <w:r w:rsidR="007632C2" w:rsidRPr="003E4E3B">
        <w:rPr>
          <w:rFonts w:cs="Arial"/>
          <w:snapToGrid w:val="0"/>
          <w:lang w:val="fr-FR"/>
        </w:rPr>
        <w:noBreakHyphen/>
      </w:r>
      <w:r w:rsidRPr="00431D28">
        <w:rPr>
          <w:lang w:val="fr-FR"/>
        </w:rPr>
        <w:t>2013, qui s’élevait à 6 798 000 francs suisses.</w:t>
      </w:r>
      <w:r w:rsidR="00421639" w:rsidRPr="00431D28">
        <w:rPr>
          <w:lang w:val="fr-FR"/>
        </w:rPr>
        <w:t xml:space="preserve">  </w:t>
      </w:r>
      <w:r w:rsidRPr="00431D28">
        <w:rPr>
          <w:lang w:val="fr-FR"/>
        </w:rPr>
        <w:t>Ces prévisions se fondent en particulier sur un nombre d’unités de contribution de 62,15 en 2014 et de 62,35 en 2015 et sur la proposition de maintenir la valeur de l’unité de contribution à 53 641 francs suisses pour les deux prochaines années.</w:t>
      </w:r>
      <w:r w:rsidR="00421639" w:rsidRPr="00431D28">
        <w:rPr>
          <w:lang w:val="fr-FR"/>
        </w:rPr>
        <w:t xml:space="preserve">  </w:t>
      </w:r>
    </w:p>
    <w:p w:rsidR="005A7F6B" w:rsidRPr="00431D28" w:rsidRDefault="005A7F6B" w:rsidP="00421639">
      <w:pPr>
        <w:rPr>
          <w:lang w:val="fr-FR"/>
        </w:rPr>
      </w:pPr>
    </w:p>
    <w:p w:rsidR="005A7F6B" w:rsidRPr="00431D28" w:rsidRDefault="00175E28" w:rsidP="00175E28">
      <w:pPr>
        <w:rPr>
          <w:lang w:val="fr-FR"/>
        </w:rPr>
      </w:pPr>
      <w:r w:rsidRPr="00431D28">
        <w:rPr>
          <w:lang w:val="fr-FR"/>
        </w:rPr>
        <w:t>3.17</w:t>
      </w:r>
      <w:r w:rsidRPr="00431D28">
        <w:rPr>
          <w:lang w:val="fr-FR"/>
        </w:rPr>
        <w:tab/>
        <w:t>Les recettes provenant des contributions ont été estimées sur la base d’un nouveau membre de l’Union par an contribuant pour 0,2 unité de contribution au budget (et 1 667 francs suisses au fonds de roulement).</w:t>
      </w:r>
      <w:r w:rsidR="00421639" w:rsidRPr="00431D28">
        <w:rPr>
          <w:lang w:val="fr-FR"/>
        </w:rPr>
        <w:t xml:space="preserve">  </w:t>
      </w:r>
      <w:r w:rsidRPr="00431D28">
        <w:rPr>
          <w:lang w:val="fr-FR"/>
        </w:rPr>
        <w:t>À sa vingt</w:t>
      </w:r>
      <w:r w:rsidR="007632C2" w:rsidRPr="003E4E3B">
        <w:rPr>
          <w:rFonts w:cs="Arial"/>
          <w:snapToGrid w:val="0"/>
          <w:lang w:val="fr-FR"/>
        </w:rPr>
        <w:noBreakHyphen/>
      </w:r>
      <w:r w:rsidRPr="00431D28">
        <w:rPr>
          <w:lang w:val="fr-FR"/>
        </w:rPr>
        <w:t>troisième session extraordinaire, tenue à Genève le 7 avril 2006, le Conseil a décidé que “les membres de l’Union ne devraient pas revoir à la baisse leur nombre d’unités de contribution sans tenir compte des incidences pour l’UPOV et de la manière dont une telle réduction serait compensée par d’autres membres de l’Union.</w:t>
      </w:r>
      <w:r w:rsidR="00421639" w:rsidRPr="00431D28">
        <w:rPr>
          <w:lang w:val="fr-FR"/>
        </w:rPr>
        <w:t xml:space="preserve">  </w:t>
      </w:r>
      <w:r w:rsidRPr="00431D28">
        <w:rPr>
          <w:lang w:val="fr-FR"/>
        </w:rPr>
        <w:t>En particulier, les membres de l’Union ne devraient pas réduire le nombre d’unités de contribution qui leur est applicable au cours d’un exercice budgétaire approuvé par le Conseil, sauf circonstances exceptionnelles et inévitables” (annexe III du document C(Extr.)/23/5).</w:t>
      </w:r>
      <w:r w:rsidR="00421639" w:rsidRPr="00431D28">
        <w:rPr>
          <w:lang w:val="fr-FR"/>
        </w:rPr>
        <w:t xml:space="preserve">  </w:t>
      </w:r>
      <w:r w:rsidRPr="00431D28">
        <w:rPr>
          <w:lang w:val="fr-FR"/>
        </w:rPr>
        <w:t>Sur cette base, aucune réduction supplémentaire n’est prév</w:t>
      </w:r>
      <w:r w:rsidR="00503195">
        <w:rPr>
          <w:lang w:val="fr-FR"/>
        </w:rPr>
        <w:t>ue pour l’exercice biennal 2014</w:t>
      </w:r>
      <w:r w:rsidR="007632C2" w:rsidRPr="003E4E3B">
        <w:rPr>
          <w:rFonts w:cs="Arial"/>
          <w:snapToGrid w:val="0"/>
          <w:lang w:val="fr-FR"/>
        </w:rPr>
        <w:noBreakHyphen/>
      </w:r>
      <w:r w:rsidRPr="00431D28">
        <w:rPr>
          <w:lang w:val="fr-FR"/>
        </w:rPr>
        <w:t>2015.</w:t>
      </w:r>
    </w:p>
    <w:p w:rsidR="005A7F6B" w:rsidRPr="00431D28" w:rsidRDefault="005A7F6B" w:rsidP="00421639">
      <w:pPr>
        <w:rPr>
          <w:lang w:val="fr-FR"/>
        </w:rPr>
      </w:pPr>
    </w:p>
    <w:p w:rsidR="005A7F6B" w:rsidRPr="00431D28" w:rsidRDefault="00175E28" w:rsidP="00175E28">
      <w:pPr>
        <w:tabs>
          <w:tab w:val="left" w:pos="567"/>
        </w:tabs>
        <w:rPr>
          <w:lang w:val="fr-FR"/>
        </w:rPr>
      </w:pPr>
      <w:r w:rsidRPr="00431D28">
        <w:rPr>
          <w:lang w:val="fr-FR"/>
        </w:rPr>
        <w:t>3.18</w:t>
      </w:r>
      <w:r w:rsidRPr="00431D28">
        <w:rPr>
          <w:lang w:val="fr-FR"/>
        </w:rPr>
        <w:tab/>
        <w:t>Outre les contributions des membres de l’Union, l’UPOV tire des recettes de la vente de publications, (10 000 francs suisses), des intérêts bancaires sur les fonds de réserve et de roulement (20 000 francs suisses), et d’</w:t>
      </w:r>
      <w:r w:rsidR="00C74F48">
        <w:rPr>
          <w:lang w:val="fr-FR"/>
        </w:rPr>
        <w:t>autres recettes diverses (86 </w:t>
      </w:r>
      <w:r w:rsidRPr="00431D28">
        <w:rPr>
          <w:lang w:val="fr-FR"/>
        </w:rPr>
        <w:t>000 francs suisses), notamment les droits d’inscription des participants au programme d’enseignement à distance de l’UPOV et les coûts d’appui administratif au titre des fonds fiduciaires.</w:t>
      </w:r>
      <w:r w:rsidR="00421639" w:rsidRPr="00431D28">
        <w:rPr>
          <w:lang w:val="fr-FR"/>
        </w:rPr>
        <w:t xml:space="preserve">  </w:t>
      </w:r>
      <w:r w:rsidRPr="00431D28">
        <w:rPr>
          <w:lang w:val="fr-FR"/>
        </w:rPr>
        <w:t>À l’exclusion des contributions, toutes ces sources prises ensemble devraient fournir 1,7% des recettes ordinaires de l’UPOV pour l’exercice biennal 2014</w:t>
      </w:r>
      <w:r w:rsidR="007632C2" w:rsidRPr="003E4E3B">
        <w:rPr>
          <w:rFonts w:cs="Arial"/>
          <w:snapToGrid w:val="0"/>
          <w:lang w:val="fr-FR"/>
        </w:rPr>
        <w:noBreakHyphen/>
      </w:r>
      <w:r w:rsidRPr="00431D28">
        <w:rPr>
          <w:lang w:val="fr-FR"/>
        </w:rPr>
        <w:t>2015.</w:t>
      </w:r>
      <w:r w:rsidR="00421639" w:rsidRPr="00431D28">
        <w:rPr>
          <w:lang w:val="fr-FR"/>
        </w:rPr>
        <w:t xml:space="preserve">  </w:t>
      </w:r>
    </w:p>
    <w:p w:rsidR="005A7F6B" w:rsidRPr="00431D28" w:rsidRDefault="005A7F6B" w:rsidP="00421639">
      <w:pPr>
        <w:tabs>
          <w:tab w:val="left" w:pos="567"/>
        </w:tabs>
        <w:rPr>
          <w:lang w:val="fr-FR"/>
        </w:rPr>
      </w:pPr>
    </w:p>
    <w:p w:rsidR="005A7F6B" w:rsidRPr="00431D28" w:rsidRDefault="00175E28" w:rsidP="00175E28">
      <w:pPr>
        <w:rPr>
          <w:spacing w:val="-2"/>
          <w:szCs w:val="24"/>
          <w:lang w:val="fr-FR"/>
        </w:rPr>
      </w:pPr>
      <w:r w:rsidRPr="00431D28">
        <w:rPr>
          <w:lang w:val="fr-FR"/>
        </w:rPr>
        <w:t>3.19</w:t>
      </w:r>
      <w:r w:rsidRPr="00431D28">
        <w:rPr>
          <w:lang w:val="fr-FR"/>
        </w:rPr>
        <w:tab/>
        <w:t>Les recettes au titre de l’exercice biennal 2014</w:t>
      </w:r>
      <w:r w:rsidR="007632C2" w:rsidRPr="003E4E3B">
        <w:rPr>
          <w:rFonts w:cs="Arial"/>
          <w:snapToGrid w:val="0"/>
          <w:lang w:val="fr-FR"/>
        </w:rPr>
        <w:noBreakHyphen/>
      </w:r>
      <w:r w:rsidRPr="00431D28">
        <w:rPr>
          <w:lang w:val="fr-FR"/>
        </w:rPr>
        <w:t>2015 devraient enregistrer une réduction découlant de la baisse du produit des intérêts et de l’absence de recettes des abonnements à la base de données sur les variétés végétales UPOV</w:t>
      </w:r>
      <w:r w:rsidR="007632C2" w:rsidRPr="003E4E3B">
        <w:rPr>
          <w:rFonts w:cs="Arial"/>
          <w:snapToGrid w:val="0"/>
          <w:lang w:val="fr-FR"/>
        </w:rPr>
        <w:noBreakHyphen/>
      </w:r>
      <w:r w:rsidRPr="00431D28">
        <w:rPr>
          <w:lang w:val="fr-FR"/>
        </w:rPr>
        <w:t>ROM, eu égard à la décision du Conseil de lancer une version Web de la base de données sur les variétés végétales (PLUTO), qui sera librement accessible à l’ensemble des utilisateurs.</w:t>
      </w:r>
      <w:r w:rsidR="00421639" w:rsidRPr="00431D28">
        <w:rPr>
          <w:spacing w:val="-2"/>
          <w:szCs w:val="24"/>
          <w:lang w:val="fr-FR"/>
        </w:rPr>
        <w:t xml:space="preserve">  </w:t>
      </w:r>
    </w:p>
    <w:p w:rsidR="005A7F6B" w:rsidRPr="00431D28" w:rsidRDefault="005A7F6B" w:rsidP="00421639">
      <w:pPr>
        <w:rPr>
          <w:lang w:val="fr-FR"/>
        </w:rPr>
      </w:pPr>
    </w:p>
    <w:p w:rsidR="005A7F6B" w:rsidRPr="00431D28" w:rsidRDefault="00175E28" w:rsidP="00175E28">
      <w:pPr>
        <w:keepNext/>
        <w:jc w:val="center"/>
        <w:rPr>
          <w:b/>
          <w:lang w:val="fr-FR"/>
        </w:rPr>
      </w:pPr>
      <w:r w:rsidRPr="00431D28">
        <w:rPr>
          <w:b/>
          <w:lang w:val="fr-FR"/>
        </w:rPr>
        <w:t>Tableau 8 : Recettes 2012-2013</w:t>
      </w:r>
      <w:r w:rsidR="008A0E41">
        <w:rPr>
          <w:b/>
          <w:lang w:val="fr-FR"/>
        </w:rPr>
        <w:t xml:space="preserve"> </w:t>
      </w:r>
      <w:r w:rsidRPr="00431D28">
        <w:rPr>
          <w:b/>
          <w:lang w:val="fr-FR"/>
        </w:rPr>
        <w:t>et 2014-2015 : variation par source</w:t>
      </w:r>
    </w:p>
    <w:p w:rsidR="005A7F6B" w:rsidRPr="00431D28" w:rsidRDefault="00175E28" w:rsidP="00175E28">
      <w:pPr>
        <w:keepNext/>
        <w:jc w:val="center"/>
        <w:rPr>
          <w:lang w:val="fr-FR"/>
        </w:rPr>
      </w:pPr>
      <w:r w:rsidRPr="00431D28">
        <w:rPr>
          <w:lang w:val="fr-FR"/>
        </w:rPr>
        <w:t>(en milliers de francs suisses)</w:t>
      </w:r>
    </w:p>
    <w:p w:rsidR="00421639" w:rsidRPr="00431D28" w:rsidRDefault="00421639" w:rsidP="00421639">
      <w:pPr>
        <w:keepNext/>
        <w:jc w:val="center"/>
        <w:rPr>
          <w:lang w:val="fr-FR"/>
        </w:rPr>
      </w:pPr>
    </w:p>
    <w:tbl>
      <w:tblPr>
        <w:tblW w:w="7662" w:type="dxa"/>
        <w:tblInd w:w="1101" w:type="dxa"/>
        <w:tblLook w:val="04A0" w:firstRow="1" w:lastRow="0" w:firstColumn="1" w:lastColumn="0" w:noHBand="0" w:noVBand="1"/>
      </w:tblPr>
      <w:tblGrid>
        <w:gridCol w:w="1506"/>
        <w:gridCol w:w="1314"/>
        <w:gridCol w:w="1195"/>
        <w:gridCol w:w="1058"/>
        <w:gridCol w:w="1261"/>
        <w:gridCol w:w="1328"/>
      </w:tblGrid>
      <w:tr w:rsidR="00BB0A3D" w:rsidRPr="00431D28" w:rsidTr="002834E1">
        <w:trPr>
          <w:trHeight w:val="315"/>
        </w:trPr>
        <w:tc>
          <w:tcPr>
            <w:tcW w:w="1506" w:type="dxa"/>
            <w:tcBorders>
              <w:top w:val="single" w:sz="4" w:space="0" w:color="auto"/>
              <w:left w:val="single" w:sz="4" w:space="0" w:color="auto"/>
              <w:bottom w:val="nil"/>
              <w:right w:val="nil"/>
            </w:tcBorders>
            <w:shd w:val="clear" w:color="auto" w:fill="auto"/>
            <w:hideMark/>
          </w:tcPr>
          <w:p w:rsidR="00BB0A3D" w:rsidRPr="00431D28" w:rsidRDefault="00BB0A3D" w:rsidP="00BB0A3D">
            <w:pPr>
              <w:rPr>
                <w:rFonts w:cs="Arial"/>
                <w:b/>
                <w:bCs/>
                <w:lang w:val="fr-FR"/>
              </w:rPr>
            </w:pPr>
          </w:p>
        </w:tc>
        <w:tc>
          <w:tcPr>
            <w:tcW w:w="1314" w:type="dxa"/>
            <w:tcBorders>
              <w:top w:val="single" w:sz="4" w:space="0" w:color="auto"/>
              <w:left w:val="single" w:sz="4" w:space="0" w:color="auto"/>
              <w:bottom w:val="nil"/>
              <w:right w:val="single" w:sz="4" w:space="0" w:color="auto"/>
            </w:tcBorders>
            <w:shd w:val="clear" w:color="auto" w:fill="auto"/>
            <w:hideMark/>
          </w:tcPr>
          <w:p w:rsidR="00BB0A3D" w:rsidRPr="00431D28" w:rsidRDefault="00BB0A3D" w:rsidP="00BB0A3D">
            <w:pPr>
              <w:jc w:val="center"/>
              <w:rPr>
                <w:rFonts w:cs="Arial"/>
                <w:i/>
                <w:iCs/>
                <w:color w:val="000000"/>
                <w:lang w:val="fr-FR"/>
              </w:rPr>
            </w:pPr>
            <w:r w:rsidRPr="00431D28">
              <w:rPr>
                <w:rFonts w:cs="Arial"/>
                <w:i/>
                <w:iCs/>
                <w:color w:val="000000"/>
                <w:lang w:val="fr-FR"/>
              </w:rPr>
              <w:t>2010</w:t>
            </w:r>
            <w:r w:rsidR="007632C2" w:rsidRPr="003E4E3B">
              <w:rPr>
                <w:rFonts w:cs="Arial"/>
                <w:snapToGrid w:val="0"/>
                <w:lang w:val="fr-FR"/>
              </w:rPr>
              <w:noBreakHyphen/>
            </w:r>
            <w:r w:rsidRPr="00431D28">
              <w:rPr>
                <w:rFonts w:cs="Arial"/>
                <w:i/>
                <w:iCs/>
                <w:color w:val="000000"/>
                <w:lang w:val="fr-FR"/>
              </w:rPr>
              <w:t>2011</w:t>
            </w:r>
          </w:p>
        </w:tc>
        <w:tc>
          <w:tcPr>
            <w:tcW w:w="1195" w:type="dxa"/>
            <w:tcBorders>
              <w:top w:val="single" w:sz="4" w:space="0" w:color="auto"/>
              <w:left w:val="nil"/>
              <w:bottom w:val="nil"/>
              <w:right w:val="single" w:sz="4" w:space="0" w:color="auto"/>
            </w:tcBorders>
            <w:shd w:val="clear" w:color="auto" w:fill="auto"/>
            <w:hideMark/>
          </w:tcPr>
          <w:p w:rsidR="00BB0A3D" w:rsidRPr="00431D28" w:rsidRDefault="00BB0A3D" w:rsidP="007632C2">
            <w:pPr>
              <w:jc w:val="center"/>
              <w:rPr>
                <w:rFonts w:cs="Arial"/>
                <w:i/>
                <w:iCs/>
                <w:color w:val="000000"/>
                <w:lang w:val="fr-FR"/>
              </w:rPr>
            </w:pPr>
            <w:r w:rsidRPr="00431D28">
              <w:rPr>
                <w:rFonts w:cs="Arial"/>
                <w:i/>
                <w:iCs/>
                <w:color w:val="000000"/>
                <w:lang w:val="fr-FR"/>
              </w:rPr>
              <w:t>2012</w:t>
            </w:r>
            <w:r w:rsidR="007632C2" w:rsidRPr="003E4E3B">
              <w:rPr>
                <w:rFonts w:cs="Arial"/>
                <w:snapToGrid w:val="0"/>
                <w:lang w:val="fr-FR"/>
              </w:rPr>
              <w:noBreakHyphen/>
            </w:r>
            <w:r w:rsidRPr="00431D28">
              <w:rPr>
                <w:rFonts w:cs="Arial"/>
                <w:i/>
                <w:iCs/>
                <w:color w:val="000000"/>
                <w:lang w:val="fr-FR"/>
              </w:rPr>
              <w:t>2013</w:t>
            </w:r>
          </w:p>
        </w:tc>
        <w:tc>
          <w:tcPr>
            <w:tcW w:w="2319" w:type="dxa"/>
            <w:gridSpan w:val="2"/>
            <w:tcBorders>
              <w:top w:val="single" w:sz="4" w:space="0" w:color="auto"/>
              <w:left w:val="nil"/>
              <w:bottom w:val="nil"/>
              <w:right w:val="single" w:sz="4" w:space="0" w:color="000000"/>
            </w:tcBorders>
            <w:shd w:val="clear" w:color="auto" w:fill="auto"/>
            <w:hideMark/>
          </w:tcPr>
          <w:p w:rsidR="00BB0A3D" w:rsidRPr="00431D28" w:rsidRDefault="00BB0A3D" w:rsidP="00BB0A3D">
            <w:pPr>
              <w:jc w:val="center"/>
              <w:rPr>
                <w:rFonts w:cs="Arial"/>
                <w:i/>
                <w:iCs/>
                <w:color w:val="000000"/>
                <w:lang w:val="fr-FR"/>
              </w:rPr>
            </w:pPr>
            <w:r w:rsidRPr="00431D28">
              <w:rPr>
                <w:rFonts w:cs="Arial"/>
                <w:i/>
                <w:iCs/>
                <w:color w:val="000000"/>
                <w:lang w:val="fr-FR"/>
              </w:rPr>
              <w:t>Variation</w:t>
            </w:r>
          </w:p>
        </w:tc>
        <w:tc>
          <w:tcPr>
            <w:tcW w:w="1328" w:type="dxa"/>
            <w:tcBorders>
              <w:top w:val="single" w:sz="4" w:space="0" w:color="auto"/>
              <w:left w:val="nil"/>
              <w:bottom w:val="nil"/>
              <w:right w:val="single" w:sz="4" w:space="0" w:color="auto"/>
            </w:tcBorders>
            <w:shd w:val="clear" w:color="auto" w:fill="auto"/>
            <w:hideMark/>
          </w:tcPr>
          <w:p w:rsidR="00BB0A3D" w:rsidRPr="00431D28" w:rsidRDefault="00BB0A3D" w:rsidP="007632C2">
            <w:pPr>
              <w:jc w:val="center"/>
              <w:rPr>
                <w:rFonts w:cs="Arial"/>
                <w:i/>
                <w:iCs/>
                <w:color w:val="000000"/>
                <w:lang w:val="fr-FR"/>
              </w:rPr>
            </w:pPr>
            <w:r w:rsidRPr="00431D28">
              <w:rPr>
                <w:rFonts w:cs="Arial"/>
                <w:i/>
                <w:iCs/>
                <w:color w:val="000000"/>
                <w:lang w:val="fr-FR"/>
              </w:rPr>
              <w:t>2014</w:t>
            </w:r>
            <w:r w:rsidR="007632C2" w:rsidRPr="003E4E3B">
              <w:rPr>
                <w:rFonts w:cs="Arial"/>
                <w:snapToGrid w:val="0"/>
                <w:lang w:val="fr-FR"/>
              </w:rPr>
              <w:noBreakHyphen/>
            </w:r>
            <w:r w:rsidRPr="00431D28">
              <w:rPr>
                <w:rFonts w:cs="Arial"/>
                <w:i/>
                <w:iCs/>
                <w:color w:val="000000"/>
                <w:lang w:val="fr-FR"/>
              </w:rPr>
              <w:t>2015</w:t>
            </w:r>
          </w:p>
        </w:tc>
      </w:tr>
      <w:tr w:rsidR="00BB0A3D" w:rsidRPr="00431D28" w:rsidTr="002834E1">
        <w:trPr>
          <w:trHeight w:val="255"/>
        </w:trPr>
        <w:tc>
          <w:tcPr>
            <w:tcW w:w="1506" w:type="dxa"/>
            <w:tcBorders>
              <w:top w:val="nil"/>
              <w:left w:val="single" w:sz="4" w:space="0" w:color="auto"/>
              <w:bottom w:val="nil"/>
              <w:right w:val="nil"/>
            </w:tcBorders>
            <w:shd w:val="clear" w:color="auto" w:fill="auto"/>
            <w:hideMark/>
          </w:tcPr>
          <w:p w:rsidR="00BB0A3D" w:rsidRPr="00431D28" w:rsidRDefault="00BB0A3D" w:rsidP="00BB0A3D">
            <w:pPr>
              <w:rPr>
                <w:rFonts w:cs="Arial"/>
                <w:color w:val="000000"/>
                <w:lang w:val="fr-FR"/>
              </w:rPr>
            </w:pPr>
            <w:r w:rsidRPr="00431D28">
              <w:rPr>
                <w:rFonts w:cs="Arial"/>
                <w:color w:val="000000"/>
                <w:lang w:val="fr-FR"/>
              </w:rPr>
              <w:t>Source</w:t>
            </w:r>
          </w:p>
        </w:tc>
        <w:tc>
          <w:tcPr>
            <w:tcW w:w="1314" w:type="dxa"/>
            <w:tcBorders>
              <w:top w:val="nil"/>
              <w:left w:val="single" w:sz="4" w:space="0" w:color="auto"/>
              <w:bottom w:val="nil"/>
              <w:right w:val="single" w:sz="4" w:space="0" w:color="auto"/>
            </w:tcBorders>
            <w:shd w:val="clear" w:color="auto" w:fill="auto"/>
            <w:hideMark/>
          </w:tcPr>
          <w:p w:rsidR="00BB0A3D" w:rsidRPr="00431D28" w:rsidRDefault="00175E28" w:rsidP="00BB0A3D">
            <w:pPr>
              <w:jc w:val="center"/>
              <w:rPr>
                <w:rFonts w:cs="Arial"/>
                <w:i/>
                <w:iCs/>
                <w:color w:val="000000"/>
                <w:lang w:val="fr-FR"/>
              </w:rPr>
            </w:pPr>
            <w:r w:rsidRPr="00431D28">
              <w:rPr>
                <w:rFonts w:cs="Arial"/>
                <w:i/>
                <w:iCs/>
                <w:color w:val="000000"/>
                <w:lang w:val="fr-FR"/>
              </w:rPr>
              <w:t>Montant effectif</w:t>
            </w:r>
          </w:p>
        </w:tc>
        <w:tc>
          <w:tcPr>
            <w:tcW w:w="1195" w:type="dxa"/>
            <w:tcBorders>
              <w:top w:val="nil"/>
              <w:left w:val="nil"/>
              <w:bottom w:val="nil"/>
              <w:right w:val="single" w:sz="4" w:space="0" w:color="auto"/>
            </w:tcBorders>
            <w:shd w:val="clear" w:color="auto" w:fill="auto"/>
            <w:hideMark/>
          </w:tcPr>
          <w:p w:rsidR="00BB0A3D" w:rsidRPr="00431D28" w:rsidRDefault="00175E28" w:rsidP="00BB0A3D">
            <w:pPr>
              <w:jc w:val="center"/>
              <w:rPr>
                <w:rFonts w:cs="Arial"/>
                <w:i/>
                <w:iCs/>
                <w:color w:val="000000"/>
                <w:lang w:val="fr-FR"/>
              </w:rPr>
            </w:pPr>
            <w:r w:rsidRPr="00431D28">
              <w:rPr>
                <w:rFonts w:cs="Arial"/>
                <w:i/>
                <w:iCs/>
                <w:color w:val="000000"/>
                <w:lang w:val="fr-FR"/>
              </w:rPr>
              <w:t>Montant adopté</w:t>
            </w:r>
          </w:p>
        </w:tc>
        <w:tc>
          <w:tcPr>
            <w:tcW w:w="1058" w:type="dxa"/>
            <w:tcBorders>
              <w:top w:val="nil"/>
              <w:left w:val="nil"/>
              <w:bottom w:val="nil"/>
              <w:right w:val="nil"/>
            </w:tcBorders>
            <w:shd w:val="clear" w:color="auto" w:fill="auto"/>
            <w:hideMark/>
          </w:tcPr>
          <w:p w:rsidR="00BB0A3D" w:rsidRPr="00431D28" w:rsidRDefault="00BB0A3D" w:rsidP="00BB0A3D">
            <w:pPr>
              <w:rPr>
                <w:rFonts w:cs="Arial"/>
                <w:lang w:val="fr-FR"/>
              </w:rPr>
            </w:pPr>
          </w:p>
        </w:tc>
        <w:tc>
          <w:tcPr>
            <w:tcW w:w="1261" w:type="dxa"/>
            <w:tcBorders>
              <w:top w:val="nil"/>
              <w:left w:val="nil"/>
              <w:bottom w:val="nil"/>
              <w:right w:val="single" w:sz="4" w:space="0" w:color="auto"/>
            </w:tcBorders>
            <w:shd w:val="clear" w:color="auto" w:fill="auto"/>
            <w:hideMark/>
          </w:tcPr>
          <w:p w:rsidR="00BB0A3D" w:rsidRPr="00431D28" w:rsidRDefault="00BB0A3D" w:rsidP="00BB0A3D">
            <w:pPr>
              <w:rPr>
                <w:rFonts w:cs="Arial"/>
                <w:lang w:val="fr-FR"/>
              </w:rPr>
            </w:pPr>
          </w:p>
        </w:tc>
        <w:tc>
          <w:tcPr>
            <w:tcW w:w="1328" w:type="dxa"/>
            <w:tcBorders>
              <w:top w:val="nil"/>
              <w:left w:val="nil"/>
              <w:bottom w:val="nil"/>
              <w:right w:val="single" w:sz="4" w:space="0" w:color="auto"/>
            </w:tcBorders>
            <w:shd w:val="clear" w:color="auto" w:fill="auto"/>
            <w:hideMark/>
          </w:tcPr>
          <w:p w:rsidR="00BB0A3D" w:rsidRPr="00431D28" w:rsidRDefault="00175E28" w:rsidP="00BB0A3D">
            <w:pPr>
              <w:jc w:val="center"/>
              <w:rPr>
                <w:rFonts w:cs="Arial"/>
                <w:i/>
                <w:iCs/>
                <w:color w:val="000000"/>
                <w:lang w:val="fr-FR"/>
              </w:rPr>
            </w:pPr>
            <w:r w:rsidRPr="00431D28">
              <w:rPr>
                <w:rFonts w:cs="Arial"/>
                <w:i/>
                <w:iCs/>
                <w:color w:val="000000"/>
                <w:lang w:val="fr-FR"/>
              </w:rPr>
              <w:t>Montant proposé</w:t>
            </w:r>
          </w:p>
        </w:tc>
      </w:tr>
      <w:tr w:rsidR="00BB0A3D" w:rsidRPr="00431D28" w:rsidTr="002834E1">
        <w:trPr>
          <w:trHeight w:val="255"/>
        </w:trPr>
        <w:tc>
          <w:tcPr>
            <w:tcW w:w="1506" w:type="dxa"/>
            <w:tcBorders>
              <w:top w:val="nil"/>
              <w:left w:val="single" w:sz="4" w:space="0" w:color="auto"/>
              <w:bottom w:val="single" w:sz="4" w:space="0" w:color="auto"/>
              <w:right w:val="nil"/>
            </w:tcBorders>
            <w:shd w:val="clear" w:color="auto" w:fill="auto"/>
            <w:hideMark/>
          </w:tcPr>
          <w:p w:rsidR="00BB0A3D" w:rsidRPr="00431D28" w:rsidRDefault="00BB0A3D" w:rsidP="00BB0A3D">
            <w:pPr>
              <w:rPr>
                <w:rFonts w:cs="Arial"/>
                <w:b/>
                <w:bCs/>
                <w:lang w:val="fr-FR"/>
              </w:rPr>
            </w:pPr>
          </w:p>
        </w:tc>
        <w:tc>
          <w:tcPr>
            <w:tcW w:w="1314" w:type="dxa"/>
            <w:tcBorders>
              <w:top w:val="nil"/>
              <w:left w:val="single" w:sz="4" w:space="0" w:color="auto"/>
              <w:bottom w:val="single" w:sz="4" w:space="0" w:color="auto"/>
              <w:right w:val="single" w:sz="4" w:space="0" w:color="auto"/>
            </w:tcBorders>
            <w:shd w:val="clear" w:color="auto" w:fill="auto"/>
            <w:hideMark/>
          </w:tcPr>
          <w:p w:rsidR="00BB0A3D" w:rsidRPr="00431D28" w:rsidRDefault="00BB0A3D" w:rsidP="00BB0A3D">
            <w:pPr>
              <w:jc w:val="center"/>
              <w:rPr>
                <w:rFonts w:cs="Arial"/>
                <w:i/>
                <w:iCs/>
                <w:color w:val="000000"/>
                <w:lang w:val="fr-FR"/>
              </w:rPr>
            </w:pPr>
            <w:r w:rsidRPr="00431D28">
              <w:rPr>
                <w:rFonts w:cs="Arial"/>
                <w:i/>
                <w:iCs/>
                <w:color w:val="000000"/>
                <w:lang w:val="fr-FR"/>
              </w:rPr>
              <w:t>A</w:t>
            </w:r>
          </w:p>
        </w:tc>
        <w:tc>
          <w:tcPr>
            <w:tcW w:w="1195" w:type="dxa"/>
            <w:tcBorders>
              <w:top w:val="nil"/>
              <w:left w:val="nil"/>
              <w:bottom w:val="single" w:sz="4" w:space="0" w:color="auto"/>
              <w:right w:val="single" w:sz="4" w:space="0" w:color="auto"/>
            </w:tcBorders>
            <w:shd w:val="clear" w:color="auto" w:fill="auto"/>
            <w:hideMark/>
          </w:tcPr>
          <w:p w:rsidR="00BB0A3D" w:rsidRPr="00431D28" w:rsidRDefault="00BB0A3D" w:rsidP="00BB0A3D">
            <w:pPr>
              <w:jc w:val="center"/>
              <w:rPr>
                <w:rFonts w:cs="Arial"/>
                <w:i/>
                <w:iCs/>
                <w:color w:val="000000"/>
                <w:lang w:val="fr-FR"/>
              </w:rPr>
            </w:pPr>
            <w:r w:rsidRPr="00431D28">
              <w:rPr>
                <w:rFonts w:cs="Arial"/>
                <w:i/>
                <w:iCs/>
                <w:color w:val="000000"/>
                <w:lang w:val="fr-FR"/>
              </w:rPr>
              <w:t>B</w:t>
            </w:r>
          </w:p>
        </w:tc>
        <w:tc>
          <w:tcPr>
            <w:tcW w:w="1058" w:type="dxa"/>
            <w:tcBorders>
              <w:top w:val="single" w:sz="4" w:space="0" w:color="auto"/>
              <w:left w:val="nil"/>
              <w:bottom w:val="single" w:sz="4" w:space="0" w:color="auto"/>
              <w:right w:val="nil"/>
            </w:tcBorders>
            <w:shd w:val="clear" w:color="auto" w:fill="auto"/>
            <w:hideMark/>
          </w:tcPr>
          <w:p w:rsidR="00BB0A3D" w:rsidRPr="00431D28" w:rsidRDefault="00BB0A3D" w:rsidP="00BB0A3D">
            <w:pPr>
              <w:jc w:val="center"/>
              <w:rPr>
                <w:rFonts w:cs="Arial"/>
                <w:i/>
                <w:iCs/>
                <w:color w:val="000000"/>
                <w:lang w:val="fr-FR"/>
              </w:rPr>
            </w:pPr>
            <w:r w:rsidRPr="00431D28">
              <w:rPr>
                <w:rFonts w:cs="Arial"/>
                <w:i/>
                <w:iCs/>
                <w:color w:val="000000"/>
                <w:lang w:val="fr-FR"/>
              </w:rPr>
              <w:t>C</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B0A3D" w:rsidRPr="00431D28" w:rsidRDefault="00BB0A3D" w:rsidP="00BB0A3D">
            <w:pPr>
              <w:jc w:val="center"/>
              <w:rPr>
                <w:rFonts w:cs="Arial"/>
                <w:i/>
                <w:iCs/>
                <w:color w:val="000000"/>
                <w:lang w:val="fr-FR"/>
              </w:rPr>
            </w:pPr>
            <w:r w:rsidRPr="00431D28">
              <w:rPr>
                <w:rFonts w:cs="Arial"/>
                <w:i/>
                <w:iCs/>
                <w:color w:val="000000"/>
                <w:lang w:val="fr-FR"/>
              </w:rPr>
              <w:t>C/B(%)</w:t>
            </w:r>
          </w:p>
        </w:tc>
        <w:tc>
          <w:tcPr>
            <w:tcW w:w="1328" w:type="dxa"/>
            <w:tcBorders>
              <w:top w:val="single" w:sz="4" w:space="0" w:color="auto"/>
              <w:left w:val="nil"/>
              <w:bottom w:val="nil"/>
              <w:right w:val="single" w:sz="4" w:space="0" w:color="auto"/>
            </w:tcBorders>
            <w:shd w:val="clear" w:color="auto" w:fill="auto"/>
            <w:hideMark/>
          </w:tcPr>
          <w:p w:rsidR="00BB0A3D" w:rsidRPr="00431D28" w:rsidRDefault="00BB0A3D" w:rsidP="00BB0A3D">
            <w:pPr>
              <w:jc w:val="center"/>
              <w:rPr>
                <w:rFonts w:cs="Arial"/>
                <w:i/>
                <w:iCs/>
                <w:color w:val="000000"/>
                <w:lang w:val="fr-FR"/>
              </w:rPr>
            </w:pPr>
            <w:r w:rsidRPr="00431D28">
              <w:rPr>
                <w:rFonts w:cs="Arial"/>
                <w:i/>
                <w:iCs/>
                <w:color w:val="000000"/>
                <w:lang w:val="fr-FR"/>
              </w:rPr>
              <w:t>D=B+C</w:t>
            </w:r>
          </w:p>
        </w:tc>
      </w:tr>
      <w:tr w:rsidR="00BB0A3D" w:rsidRPr="00431D28" w:rsidTr="002834E1">
        <w:trPr>
          <w:trHeight w:val="450"/>
        </w:trPr>
        <w:tc>
          <w:tcPr>
            <w:tcW w:w="1506" w:type="dxa"/>
            <w:tcBorders>
              <w:top w:val="nil"/>
              <w:left w:val="single" w:sz="4" w:space="0" w:color="auto"/>
              <w:bottom w:val="nil"/>
              <w:right w:val="nil"/>
            </w:tcBorders>
            <w:shd w:val="clear" w:color="auto" w:fill="auto"/>
            <w:vAlign w:val="bottom"/>
            <w:hideMark/>
          </w:tcPr>
          <w:p w:rsidR="00BB0A3D" w:rsidRPr="00431D28" w:rsidRDefault="00BB0A3D" w:rsidP="00BB0A3D">
            <w:pPr>
              <w:jc w:val="left"/>
              <w:rPr>
                <w:rFonts w:cs="Arial"/>
                <w:color w:val="000000"/>
                <w:lang w:val="fr-FR"/>
              </w:rPr>
            </w:pPr>
            <w:r w:rsidRPr="00431D28">
              <w:rPr>
                <w:rFonts w:cs="Arial"/>
                <w:color w:val="000000"/>
                <w:lang w:val="fr-FR"/>
              </w:rPr>
              <w:t>Contributions</w:t>
            </w:r>
          </w:p>
        </w:tc>
        <w:tc>
          <w:tcPr>
            <w:tcW w:w="1314" w:type="dxa"/>
            <w:tcBorders>
              <w:top w:val="nil"/>
              <w:left w:val="single" w:sz="4" w:space="0" w:color="auto"/>
              <w:bottom w:val="nil"/>
              <w:right w:val="single" w:sz="4" w:space="0" w:color="auto"/>
            </w:tcBorders>
            <w:shd w:val="clear" w:color="auto" w:fill="auto"/>
            <w:vAlign w:val="bottom"/>
            <w:hideMark/>
          </w:tcPr>
          <w:p w:rsidR="00BB0A3D" w:rsidRPr="00431D28" w:rsidRDefault="008338AF" w:rsidP="00BB0A3D">
            <w:pPr>
              <w:jc w:val="right"/>
              <w:rPr>
                <w:rFonts w:cs="Arial"/>
                <w:color w:val="000000"/>
                <w:lang w:val="fr-FR"/>
              </w:rPr>
            </w:pPr>
            <w:r w:rsidRPr="00431D28">
              <w:rPr>
                <w:rFonts w:cs="Arial"/>
                <w:color w:val="000000"/>
                <w:lang w:val="fr-FR"/>
              </w:rPr>
              <w:t>6 </w:t>
            </w:r>
            <w:r w:rsidR="00BB0A3D" w:rsidRPr="00431D28">
              <w:rPr>
                <w:rFonts w:cs="Arial"/>
                <w:color w:val="000000"/>
                <w:lang w:val="fr-FR"/>
              </w:rPr>
              <w:t>563</w:t>
            </w:r>
          </w:p>
        </w:tc>
        <w:tc>
          <w:tcPr>
            <w:tcW w:w="1195" w:type="dxa"/>
            <w:tcBorders>
              <w:top w:val="nil"/>
              <w:left w:val="nil"/>
              <w:bottom w:val="nil"/>
              <w:right w:val="single" w:sz="4" w:space="0" w:color="auto"/>
            </w:tcBorders>
            <w:shd w:val="clear" w:color="auto" w:fill="auto"/>
            <w:vAlign w:val="bottom"/>
            <w:hideMark/>
          </w:tcPr>
          <w:p w:rsidR="00BB0A3D" w:rsidRPr="00431D28" w:rsidRDefault="008338AF" w:rsidP="00BB0A3D">
            <w:pPr>
              <w:jc w:val="right"/>
              <w:rPr>
                <w:rFonts w:cs="Arial"/>
                <w:color w:val="000000"/>
                <w:lang w:val="fr-FR"/>
              </w:rPr>
            </w:pPr>
            <w:r w:rsidRPr="00431D28">
              <w:rPr>
                <w:rFonts w:cs="Arial"/>
                <w:color w:val="000000"/>
                <w:lang w:val="fr-FR"/>
              </w:rPr>
              <w:t>6 </w:t>
            </w:r>
            <w:r w:rsidR="00BB0A3D" w:rsidRPr="00431D28">
              <w:rPr>
                <w:rFonts w:cs="Arial"/>
                <w:color w:val="000000"/>
                <w:lang w:val="fr-FR"/>
              </w:rPr>
              <w:t>657</w:t>
            </w:r>
          </w:p>
        </w:tc>
        <w:tc>
          <w:tcPr>
            <w:tcW w:w="1058" w:type="dxa"/>
            <w:tcBorders>
              <w:top w:val="nil"/>
              <w:left w:val="nil"/>
              <w:bottom w:val="nil"/>
              <w:right w:val="nil"/>
            </w:tcBorders>
            <w:shd w:val="clear" w:color="auto" w:fill="auto"/>
            <w:vAlign w:val="bottom"/>
            <w:hideMark/>
          </w:tcPr>
          <w:p w:rsidR="00BB0A3D" w:rsidRPr="00431D28" w:rsidRDefault="00BB0A3D" w:rsidP="00BB0A3D">
            <w:pPr>
              <w:jc w:val="right"/>
              <w:rPr>
                <w:rFonts w:cs="Arial"/>
                <w:color w:val="000000"/>
                <w:lang w:val="fr-FR"/>
              </w:rPr>
            </w:pPr>
            <w:r w:rsidRPr="00431D28">
              <w:rPr>
                <w:rFonts w:cs="Arial"/>
                <w:color w:val="000000"/>
                <w:lang w:val="fr-FR"/>
              </w:rPr>
              <w:t>21</w:t>
            </w:r>
          </w:p>
        </w:tc>
        <w:tc>
          <w:tcPr>
            <w:tcW w:w="1261" w:type="dxa"/>
            <w:tcBorders>
              <w:top w:val="nil"/>
              <w:left w:val="single" w:sz="4" w:space="0" w:color="auto"/>
              <w:bottom w:val="nil"/>
              <w:right w:val="single" w:sz="4" w:space="0" w:color="auto"/>
            </w:tcBorders>
            <w:shd w:val="clear" w:color="auto" w:fill="auto"/>
            <w:vAlign w:val="bottom"/>
            <w:hideMark/>
          </w:tcPr>
          <w:p w:rsidR="00BB0A3D" w:rsidRPr="00431D28" w:rsidRDefault="008338AF" w:rsidP="00BB0A3D">
            <w:pPr>
              <w:jc w:val="right"/>
              <w:rPr>
                <w:rFonts w:cs="Arial"/>
                <w:color w:val="000000"/>
                <w:lang w:val="fr-FR"/>
              </w:rPr>
            </w:pPr>
            <w:r w:rsidRPr="00431D28">
              <w:rPr>
                <w:rFonts w:cs="Arial"/>
                <w:color w:val="000000"/>
                <w:lang w:val="fr-FR"/>
              </w:rPr>
              <w:t>0,</w:t>
            </w:r>
            <w:r w:rsidR="00BB0A3D" w:rsidRPr="00431D28">
              <w:rPr>
                <w:rFonts w:cs="Arial"/>
                <w:color w:val="000000"/>
                <w:lang w:val="fr-FR"/>
              </w:rPr>
              <w:t>3%</w:t>
            </w:r>
          </w:p>
        </w:tc>
        <w:tc>
          <w:tcPr>
            <w:tcW w:w="1328" w:type="dxa"/>
            <w:tcBorders>
              <w:top w:val="single" w:sz="4" w:space="0" w:color="auto"/>
              <w:left w:val="nil"/>
              <w:bottom w:val="nil"/>
              <w:right w:val="single" w:sz="4" w:space="0" w:color="auto"/>
            </w:tcBorders>
            <w:shd w:val="clear" w:color="auto" w:fill="auto"/>
            <w:vAlign w:val="bottom"/>
            <w:hideMark/>
          </w:tcPr>
          <w:p w:rsidR="00BB0A3D" w:rsidRPr="00431D28" w:rsidRDefault="008338AF" w:rsidP="00BB0A3D">
            <w:pPr>
              <w:jc w:val="right"/>
              <w:rPr>
                <w:rFonts w:cs="Arial"/>
                <w:color w:val="000000"/>
                <w:lang w:val="fr-FR"/>
              </w:rPr>
            </w:pPr>
            <w:r w:rsidRPr="00431D28">
              <w:rPr>
                <w:rFonts w:cs="Arial"/>
                <w:color w:val="000000"/>
                <w:lang w:val="fr-FR"/>
              </w:rPr>
              <w:t>6 </w:t>
            </w:r>
            <w:r w:rsidR="00BB0A3D" w:rsidRPr="00431D28">
              <w:rPr>
                <w:rFonts w:cs="Arial"/>
                <w:color w:val="000000"/>
                <w:lang w:val="fr-FR"/>
              </w:rPr>
              <w:t>678</w:t>
            </w:r>
          </w:p>
        </w:tc>
      </w:tr>
      <w:tr w:rsidR="00BB0A3D" w:rsidRPr="00431D28" w:rsidTr="002834E1">
        <w:trPr>
          <w:trHeight w:val="450"/>
        </w:trPr>
        <w:tc>
          <w:tcPr>
            <w:tcW w:w="1506" w:type="dxa"/>
            <w:tcBorders>
              <w:top w:val="nil"/>
              <w:left w:val="single" w:sz="4" w:space="0" w:color="auto"/>
              <w:bottom w:val="nil"/>
              <w:right w:val="nil"/>
            </w:tcBorders>
            <w:shd w:val="clear" w:color="auto" w:fill="auto"/>
            <w:vAlign w:val="bottom"/>
            <w:hideMark/>
          </w:tcPr>
          <w:p w:rsidR="00BB0A3D" w:rsidRPr="00431D28" w:rsidRDefault="00BB0A3D" w:rsidP="00BB0A3D">
            <w:pPr>
              <w:jc w:val="left"/>
              <w:rPr>
                <w:rFonts w:cs="Arial"/>
                <w:color w:val="000000"/>
                <w:lang w:val="fr-FR"/>
              </w:rPr>
            </w:pPr>
            <w:r w:rsidRPr="00431D28">
              <w:rPr>
                <w:rFonts w:cs="Arial"/>
                <w:color w:val="000000"/>
                <w:lang w:val="fr-FR"/>
              </w:rPr>
              <w:t>Publications</w:t>
            </w:r>
          </w:p>
        </w:tc>
        <w:tc>
          <w:tcPr>
            <w:tcW w:w="1314" w:type="dxa"/>
            <w:tcBorders>
              <w:top w:val="nil"/>
              <w:left w:val="single" w:sz="4" w:space="0" w:color="auto"/>
              <w:bottom w:val="nil"/>
              <w:right w:val="single" w:sz="4" w:space="0" w:color="auto"/>
            </w:tcBorders>
            <w:shd w:val="clear" w:color="auto" w:fill="auto"/>
            <w:vAlign w:val="bottom"/>
            <w:hideMark/>
          </w:tcPr>
          <w:p w:rsidR="00BB0A3D" w:rsidRPr="00431D28" w:rsidRDefault="00BB0A3D" w:rsidP="00BB0A3D">
            <w:pPr>
              <w:jc w:val="right"/>
              <w:rPr>
                <w:rFonts w:cs="Arial"/>
                <w:color w:val="000000"/>
                <w:lang w:val="fr-FR"/>
              </w:rPr>
            </w:pPr>
            <w:r w:rsidRPr="00431D28">
              <w:rPr>
                <w:rFonts w:cs="Arial"/>
                <w:color w:val="000000"/>
                <w:lang w:val="fr-FR"/>
              </w:rPr>
              <w:t>48</w:t>
            </w:r>
          </w:p>
        </w:tc>
        <w:tc>
          <w:tcPr>
            <w:tcW w:w="1195" w:type="dxa"/>
            <w:tcBorders>
              <w:top w:val="nil"/>
              <w:left w:val="nil"/>
              <w:bottom w:val="nil"/>
              <w:right w:val="single" w:sz="4" w:space="0" w:color="auto"/>
            </w:tcBorders>
            <w:shd w:val="clear" w:color="auto" w:fill="auto"/>
            <w:vAlign w:val="bottom"/>
            <w:hideMark/>
          </w:tcPr>
          <w:p w:rsidR="00BB0A3D" w:rsidRPr="00431D28" w:rsidRDefault="00BB0A3D" w:rsidP="00BB0A3D">
            <w:pPr>
              <w:jc w:val="right"/>
              <w:rPr>
                <w:rFonts w:cs="Arial"/>
                <w:color w:val="000000"/>
                <w:lang w:val="fr-FR"/>
              </w:rPr>
            </w:pPr>
            <w:r w:rsidRPr="00431D28">
              <w:rPr>
                <w:rFonts w:cs="Arial"/>
                <w:color w:val="000000"/>
                <w:lang w:val="fr-FR"/>
              </w:rPr>
              <w:t>10</w:t>
            </w:r>
          </w:p>
        </w:tc>
        <w:tc>
          <w:tcPr>
            <w:tcW w:w="1058" w:type="dxa"/>
            <w:tcBorders>
              <w:top w:val="nil"/>
              <w:left w:val="nil"/>
              <w:bottom w:val="nil"/>
              <w:right w:val="nil"/>
            </w:tcBorders>
            <w:shd w:val="clear" w:color="auto" w:fill="auto"/>
            <w:vAlign w:val="bottom"/>
            <w:hideMark/>
          </w:tcPr>
          <w:p w:rsidR="00BB0A3D" w:rsidRPr="00431D28" w:rsidRDefault="00BB0A3D" w:rsidP="00BB0A3D">
            <w:pPr>
              <w:jc w:val="right"/>
              <w:rPr>
                <w:rFonts w:cs="Arial"/>
                <w:color w:val="000000"/>
                <w:lang w:val="fr-FR"/>
              </w:rPr>
            </w:pPr>
            <w:r w:rsidRPr="00431D28">
              <w:rPr>
                <w:rFonts w:cs="Arial"/>
                <w:color w:val="000000"/>
                <w:lang w:val="fr-FR"/>
              </w:rPr>
              <w:t>0</w:t>
            </w:r>
          </w:p>
        </w:tc>
        <w:tc>
          <w:tcPr>
            <w:tcW w:w="1261" w:type="dxa"/>
            <w:tcBorders>
              <w:top w:val="nil"/>
              <w:left w:val="single" w:sz="4" w:space="0" w:color="auto"/>
              <w:bottom w:val="nil"/>
              <w:right w:val="single" w:sz="4" w:space="0" w:color="auto"/>
            </w:tcBorders>
            <w:shd w:val="clear" w:color="auto" w:fill="auto"/>
            <w:vAlign w:val="bottom"/>
            <w:hideMark/>
          </w:tcPr>
          <w:p w:rsidR="00BB0A3D" w:rsidRPr="00431D28" w:rsidRDefault="008338AF" w:rsidP="00BB0A3D">
            <w:pPr>
              <w:jc w:val="right"/>
              <w:rPr>
                <w:rFonts w:cs="Arial"/>
                <w:color w:val="000000"/>
                <w:lang w:val="fr-FR"/>
              </w:rPr>
            </w:pPr>
            <w:r w:rsidRPr="00431D28">
              <w:rPr>
                <w:rFonts w:cs="Arial"/>
                <w:color w:val="000000"/>
                <w:lang w:val="fr-FR"/>
              </w:rPr>
              <w:t>0,</w:t>
            </w:r>
            <w:r w:rsidR="00BB0A3D" w:rsidRPr="00431D28">
              <w:rPr>
                <w:rFonts w:cs="Arial"/>
                <w:color w:val="000000"/>
                <w:lang w:val="fr-FR"/>
              </w:rPr>
              <w:t>0%</w:t>
            </w:r>
          </w:p>
        </w:tc>
        <w:tc>
          <w:tcPr>
            <w:tcW w:w="1328" w:type="dxa"/>
            <w:tcBorders>
              <w:top w:val="nil"/>
              <w:left w:val="nil"/>
              <w:bottom w:val="nil"/>
              <w:right w:val="single" w:sz="4" w:space="0" w:color="auto"/>
            </w:tcBorders>
            <w:shd w:val="clear" w:color="auto" w:fill="auto"/>
            <w:vAlign w:val="bottom"/>
            <w:hideMark/>
          </w:tcPr>
          <w:p w:rsidR="00BB0A3D" w:rsidRPr="00431D28" w:rsidRDefault="00BB0A3D" w:rsidP="00BB0A3D">
            <w:pPr>
              <w:jc w:val="right"/>
              <w:rPr>
                <w:rFonts w:cs="Arial"/>
                <w:color w:val="000000"/>
                <w:lang w:val="fr-FR"/>
              </w:rPr>
            </w:pPr>
            <w:r w:rsidRPr="00431D28">
              <w:rPr>
                <w:rFonts w:cs="Arial"/>
                <w:color w:val="000000"/>
                <w:lang w:val="fr-FR"/>
              </w:rPr>
              <w:t>10</w:t>
            </w:r>
          </w:p>
        </w:tc>
      </w:tr>
      <w:tr w:rsidR="00BB0A3D" w:rsidRPr="00431D28" w:rsidTr="002834E1">
        <w:trPr>
          <w:trHeight w:val="450"/>
        </w:trPr>
        <w:tc>
          <w:tcPr>
            <w:tcW w:w="1506" w:type="dxa"/>
            <w:tcBorders>
              <w:top w:val="nil"/>
              <w:left w:val="single" w:sz="4" w:space="0" w:color="auto"/>
              <w:bottom w:val="nil"/>
              <w:right w:val="nil"/>
            </w:tcBorders>
            <w:shd w:val="clear" w:color="auto" w:fill="auto"/>
            <w:vAlign w:val="bottom"/>
            <w:hideMark/>
          </w:tcPr>
          <w:p w:rsidR="00BB0A3D" w:rsidRPr="00431D28" w:rsidRDefault="008338AF" w:rsidP="00BB0A3D">
            <w:pPr>
              <w:jc w:val="left"/>
              <w:rPr>
                <w:rFonts w:cs="Arial"/>
                <w:color w:val="000000"/>
                <w:lang w:val="fr-FR"/>
              </w:rPr>
            </w:pPr>
            <w:r w:rsidRPr="00431D28">
              <w:rPr>
                <w:rFonts w:cs="Arial"/>
                <w:color w:val="000000"/>
                <w:lang w:val="fr-FR"/>
              </w:rPr>
              <w:t>Intérêts</w:t>
            </w:r>
          </w:p>
        </w:tc>
        <w:tc>
          <w:tcPr>
            <w:tcW w:w="1314" w:type="dxa"/>
            <w:tcBorders>
              <w:top w:val="nil"/>
              <w:left w:val="single" w:sz="4" w:space="0" w:color="auto"/>
              <w:bottom w:val="nil"/>
              <w:right w:val="single" w:sz="4" w:space="0" w:color="auto"/>
            </w:tcBorders>
            <w:shd w:val="clear" w:color="auto" w:fill="auto"/>
            <w:vAlign w:val="bottom"/>
            <w:hideMark/>
          </w:tcPr>
          <w:p w:rsidR="00BB0A3D" w:rsidRPr="00431D28" w:rsidRDefault="00BB0A3D" w:rsidP="00BB0A3D">
            <w:pPr>
              <w:jc w:val="right"/>
              <w:rPr>
                <w:rFonts w:cs="Arial"/>
                <w:color w:val="000000"/>
                <w:lang w:val="fr-FR"/>
              </w:rPr>
            </w:pPr>
            <w:r w:rsidRPr="00431D28">
              <w:rPr>
                <w:rFonts w:cs="Arial"/>
                <w:color w:val="000000"/>
                <w:lang w:val="fr-FR"/>
              </w:rPr>
              <w:t>78</w:t>
            </w:r>
          </w:p>
        </w:tc>
        <w:tc>
          <w:tcPr>
            <w:tcW w:w="1195" w:type="dxa"/>
            <w:tcBorders>
              <w:top w:val="nil"/>
              <w:left w:val="nil"/>
              <w:bottom w:val="nil"/>
              <w:right w:val="single" w:sz="4" w:space="0" w:color="auto"/>
            </w:tcBorders>
            <w:shd w:val="clear" w:color="auto" w:fill="auto"/>
            <w:vAlign w:val="bottom"/>
            <w:hideMark/>
          </w:tcPr>
          <w:p w:rsidR="00BB0A3D" w:rsidRPr="00431D28" w:rsidRDefault="00BB0A3D" w:rsidP="00BB0A3D">
            <w:pPr>
              <w:jc w:val="right"/>
              <w:rPr>
                <w:rFonts w:cs="Arial"/>
                <w:color w:val="000000"/>
                <w:lang w:val="fr-FR"/>
              </w:rPr>
            </w:pPr>
            <w:r w:rsidRPr="00431D28">
              <w:rPr>
                <w:rFonts w:cs="Arial"/>
                <w:color w:val="000000"/>
                <w:lang w:val="fr-FR"/>
              </w:rPr>
              <w:t>70</w:t>
            </w:r>
          </w:p>
        </w:tc>
        <w:tc>
          <w:tcPr>
            <w:tcW w:w="1058" w:type="dxa"/>
            <w:tcBorders>
              <w:top w:val="nil"/>
              <w:left w:val="nil"/>
              <w:bottom w:val="nil"/>
              <w:right w:val="nil"/>
            </w:tcBorders>
            <w:shd w:val="clear" w:color="auto" w:fill="auto"/>
            <w:vAlign w:val="bottom"/>
            <w:hideMark/>
          </w:tcPr>
          <w:p w:rsidR="00BB0A3D" w:rsidRPr="00431D28" w:rsidRDefault="00BB0A3D" w:rsidP="00BB0A3D">
            <w:pPr>
              <w:jc w:val="right"/>
              <w:rPr>
                <w:rFonts w:cs="Arial"/>
                <w:color w:val="000000"/>
                <w:lang w:val="fr-FR"/>
              </w:rPr>
            </w:pPr>
            <w:r w:rsidRPr="00431D28">
              <w:rPr>
                <w:rFonts w:cs="Arial"/>
                <w:color w:val="000000"/>
                <w:lang w:val="fr-FR"/>
              </w:rPr>
              <w:t>-50</w:t>
            </w:r>
          </w:p>
        </w:tc>
        <w:tc>
          <w:tcPr>
            <w:tcW w:w="1261" w:type="dxa"/>
            <w:tcBorders>
              <w:top w:val="nil"/>
              <w:left w:val="single" w:sz="4" w:space="0" w:color="auto"/>
              <w:bottom w:val="nil"/>
              <w:right w:val="single" w:sz="4" w:space="0" w:color="auto"/>
            </w:tcBorders>
            <w:shd w:val="clear" w:color="auto" w:fill="auto"/>
            <w:vAlign w:val="bottom"/>
            <w:hideMark/>
          </w:tcPr>
          <w:p w:rsidR="00BB0A3D" w:rsidRPr="00431D28" w:rsidRDefault="008338AF" w:rsidP="00BB0A3D">
            <w:pPr>
              <w:jc w:val="right"/>
              <w:rPr>
                <w:rFonts w:cs="Arial"/>
                <w:color w:val="000000"/>
                <w:lang w:val="fr-FR"/>
              </w:rPr>
            </w:pPr>
            <w:r w:rsidRPr="00431D28">
              <w:rPr>
                <w:rFonts w:cs="Arial"/>
                <w:color w:val="000000"/>
                <w:lang w:val="fr-FR"/>
              </w:rPr>
              <w:t>-71,</w:t>
            </w:r>
            <w:r w:rsidR="00BB0A3D" w:rsidRPr="00431D28">
              <w:rPr>
                <w:rFonts w:cs="Arial"/>
                <w:color w:val="000000"/>
                <w:lang w:val="fr-FR"/>
              </w:rPr>
              <w:t>4%</w:t>
            </w:r>
          </w:p>
        </w:tc>
        <w:tc>
          <w:tcPr>
            <w:tcW w:w="1328" w:type="dxa"/>
            <w:tcBorders>
              <w:top w:val="nil"/>
              <w:left w:val="nil"/>
              <w:bottom w:val="nil"/>
              <w:right w:val="single" w:sz="4" w:space="0" w:color="auto"/>
            </w:tcBorders>
            <w:shd w:val="clear" w:color="auto" w:fill="auto"/>
            <w:vAlign w:val="bottom"/>
            <w:hideMark/>
          </w:tcPr>
          <w:p w:rsidR="00BB0A3D" w:rsidRPr="00431D28" w:rsidRDefault="00BB0A3D" w:rsidP="00BB0A3D">
            <w:pPr>
              <w:jc w:val="right"/>
              <w:rPr>
                <w:rFonts w:cs="Arial"/>
                <w:color w:val="000000"/>
                <w:lang w:val="fr-FR"/>
              </w:rPr>
            </w:pPr>
            <w:r w:rsidRPr="00431D28">
              <w:rPr>
                <w:rFonts w:cs="Arial"/>
                <w:color w:val="000000"/>
                <w:lang w:val="fr-FR"/>
              </w:rPr>
              <w:t>20</w:t>
            </w:r>
          </w:p>
        </w:tc>
      </w:tr>
      <w:tr w:rsidR="00BB0A3D" w:rsidRPr="00431D28" w:rsidTr="002834E1">
        <w:trPr>
          <w:trHeight w:val="450"/>
        </w:trPr>
        <w:tc>
          <w:tcPr>
            <w:tcW w:w="1506" w:type="dxa"/>
            <w:tcBorders>
              <w:top w:val="nil"/>
              <w:left w:val="single" w:sz="4" w:space="0" w:color="auto"/>
              <w:bottom w:val="nil"/>
              <w:right w:val="nil"/>
            </w:tcBorders>
            <w:shd w:val="clear" w:color="auto" w:fill="auto"/>
            <w:vAlign w:val="bottom"/>
            <w:hideMark/>
          </w:tcPr>
          <w:p w:rsidR="00BB0A3D" w:rsidRPr="00431D28" w:rsidRDefault="008338AF" w:rsidP="00BB0A3D">
            <w:pPr>
              <w:jc w:val="left"/>
              <w:rPr>
                <w:rFonts w:cs="Arial"/>
                <w:color w:val="000000"/>
                <w:lang w:val="fr-FR"/>
              </w:rPr>
            </w:pPr>
            <w:r w:rsidRPr="00431D28">
              <w:rPr>
                <w:rFonts w:cs="Arial"/>
                <w:color w:val="000000"/>
                <w:lang w:val="fr-FR"/>
              </w:rPr>
              <w:t>Autres</w:t>
            </w:r>
            <w:r w:rsidR="00BB0A3D" w:rsidRPr="00431D28">
              <w:rPr>
                <w:rFonts w:cs="Arial"/>
                <w:color w:val="000000"/>
                <w:lang w:val="fr-FR"/>
              </w:rPr>
              <w:t>*</w:t>
            </w:r>
          </w:p>
        </w:tc>
        <w:tc>
          <w:tcPr>
            <w:tcW w:w="1314" w:type="dxa"/>
            <w:tcBorders>
              <w:top w:val="nil"/>
              <w:left w:val="single" w:sz="4" w:space="0" w:color="auto"/>
              <w:bottom w:val="nil"/>
              <w:right w:val="single" w:sz="4" w:space="0" w:color="auto"/>
            </w:tcBorders>
            <w:shd w:val="clear" w:color="auto" w:fill="auto"/>
            <w:vAlign w:val="bottom"/>
            <w:hideMark/>
          </w:tcPr>
          <w:p w:rsidR="00BB0A3D" w:rsidRPr="00431D28" w:rsidRDefault="00BB0A3D" w:rsidP="00BB0A3D">
            <w:pPr>
              <w:jc w:val="right"/>
              <w:rPr>
                <w:rFonts w:cs="Arial"/>
                <w:color w:val="000000"/>
                <w:lang w:val="fr-FR"/>
              </w:rPr>
            </w:pPr>
            <w:r w:rsidRPr="00431D28">
              <w:rPr>
                <w:rFonts w:cs="Arial"/>
                <w:color w:val="000000"/>
                <w:lang w:val="fr-FR"/>
              </w:rPr>
              <w:t>212</w:t>
            </w:r>
          </w:p>
        </w:tc>
        <w:tc>
          <w:tcPr>
            <w:tcW w:w="1195" w:type="dxa"/>
            <w:tcBorders>
              <w:top w:val="nil"/>
              <w:left w:val="nil"/>
              <w:bottom w:val="nil"/>
              <w:right w:val="single" w:sz="4" w:space="0" w:color="auto"/>
            </w:tcBorders>
            <w:shd w:val="clear" w:color="auto" w:fill="auto"/>
            <w:vAlign w:val="bottom"/>
            <w:hideMark/>
          </w:tcPr>
          <w:p w:rsidR="00BB0A3D" w:rsidRPr="00431D28" w:rsidRDefault="00BB0A3D" w:rsidP="00BB0A3D">
            <w:pPr>
              <w:jc w:val="right"/>
              <w:rPr>
                <w:rFonts w:cs="Arial"/>
                <w:color w:val="000000"/>
                <w:lang w:val="fr-FR"/>
              </w:rPr>
            </w:pPr>
            <w:r w:rsidRPr="00431D28">
              <w:rPr>
                <w:rFonts w:cs="Arial"/>
                <w:color w:val="000000"/>
                <w:lang w:val="fr-FR"/>
              </w:rPr>
              <w:t>61</w:t>
            </w:r>
          </w:p>
        </w:tc>
        <w:tc>
          <w:tcPr>
            <w:tcW w:w="1058" w:type="dxa"/>
            <w:tcBorders>
              <w:top w:val="nil"/>
              <w:left w:val="nil"/>
              <w:bottom w:val="nil"/>
              <w:right w:val="nil"/>
            </w:tcBorders>
            <w:shd w:val="clear" w:color="auto" w:fill="auto"/>
            <w:vAlign w:val="bottom"/>
            <w:hideMark/>
          </w:tcPr>
          <w:p w:rsidR="00BB0A3D" w:rsidRPr="00431D28" w:rsidRDefault="00BB0A3D" w:rsidP="00BB0A3D">
            <w:pPr>
              <w:jc w:val="right"/>
              <w:rPr>
                <w:rFonts w:cs="Arial"/>
                <w:color w:val="000000"/>
                <w:lang w:val="fr-FR"/>
              </w:rPr>
            </w:pPr>
            <w:r w:rsidRPr="00431D28">
              <w:rPr>
                <w:rFonts w:cs="Arial"/>
                <w:color w:val="000000"/>
                <w:lang w:val="fr-FR"/>
              </w:rPr>
              <w:t>25</w:t>
            </w:r>
          </w:p>
        </w:tc>
        <w:tc>
          <w:tcPr>
            <w:tcW w:w="1261" w:type="dxa"/>
            <w:tcBorders>
              <w:top w:val="nil"/>
              <w:left w:val="single" w:sz="4" w:space="0" w:color="auto"/>
              <w:bottom w:val="nil"/>
              <w:right w:val="single" w:sz="4" w:space="0" w:color="auto"/>
            </w:tcBorders>
            <w:shd w:val="clear" w:color="auto" w:fill="auto"/>
            <w:vAlign w:val="bottom"/>
            <w:hideMark/>
          </w:tcPr>
          <w:p w:rsidR="00BB0A3D" w:rsidRPr="00431D28" w:rsidRDefault="008338AF" w:rsidP="00BB0A3D">
            <w:pPr>
              <w:jc w:val="right"/>
              <w:rPr>
                <w:rFonts w:cs="Arial"/>
                <w:color w:val="000000"/>
                <w:lang w:val="fr-FR"/>
              </w:rPr>
            </w:pPr>
            <w:r w:rsidRPr="00431D28">
              <w:rPr>
                <w:rFonts w:cs="Arial"/>
                <w:color w:val="000000"/>
                <w:lang w:val="fr-FR"/>
              </w:rPr>
              <w:t>41,</w:t>
            </w:r>
            <w:r w:rsidR="00BB0A3D" w:rsidRPr="00431D28">
              <w:rPr>
                <w:rFonts w:cs="Arial"/>
                <w:color w:val="000000"/>
                <w:lang w:val="fr-FR"/>
              </w:rPr>
              <w:t>0%</w:t>
            </w:r>
          </w:p>
        </w:tc>
        <w:tc>
          <w:tcPr>
            <w:tcW w:w="1328" w:type="dxa"/>
            <w:tcBorders>
              <w:top w:val="nil"/>
              <w:left w:val="nil"/>
              <w:bottom w:val="nil"/>
              <w:right w:val="single" w:sz="4" w:space="0" w:color="auto"/>
            </w:tcBorders>
            <w:shd w:val="clear" w:color="auto" w:fill="auto"/>
            <w:vAlign w:val="bottom"/>
            <w:hideMark/>
          </w:tcPr>
          <w:p w:rsidR="00BB0A3D" w:rsidRPr="00431D28" w:rsidRDefault="00BB0A3D" w:rsidP="00BB0A3D">
            <w:pPr>
              <w:jc w:val="right"/>
              <w:rPr>
                <w:rFonts w:cs="Arial"/>
                <w:color w:val="000000"/>
                <w:lang w:val="fr-FR"/>
              </w:rPr>
            </w:pPr>
            <w:r w:rsidRPr="00431D28">
              <w:rPr>
                <w:rFonts w:cs="Arial"/>
                <w:color w:val="000000"/>
                <w:lang w:val="fr-FR"/>
              </w:rPr>
              <w:t>86</w:t>
            </w:r>
          </w:p>
        </w:tc>
      </w:tr>
      <w:tr w:rsidR="00BB0A3D" w:rsidRPr="00431D28" w:rsidTr="002834E1">
        <w:trPr>
          <w:trHeight w:val="585"/>
        </w:trPr>
        <w:tc>
          <w:tcPr>
            <w:tcW w:w="1506" w:type="dxa"/>
            <w:tcBorders>
              <w:top w:val="single" w:sz="4" w:space="0" w:color="auto"/>
              <w:left w:val="single" w:sz="4" w:space="0" w:color="auto"/>
              <w:bottom w:val="single" w:sz="4" w:space="0" w:color="auto"/>
              <w:right w:val="nil"/>
            </w:tcBorders>
            <w:shd w:val="clear" w:color="auto" w:fill="auto"/>
            <w:vAlign w:val="bottom"/>
            <w:hideMark/>
          </w:tcPr>
          <w:p w:rsidR="00BB0A3D" w:rsidRPr="00431D28" w:rsidRDefault="00BB0A3D" w:rsidP="00BB0A3D">
            <w:pPr>
              <w:rPr>
                <w:rFonts w:cs="Arial"/>
                <w:b/>
                <w:bCs/>
                <w:color w:val="000000"/>
                <w:lang w:val="fr-FR"/>
              </w:rPr>
            </w:pPr>
            <w:r w:rsidRPr="00431D28">
              <w:rPr>
                <w:rFonts w:cs="Arial"/>
                <w:b/>
                <w:bCs/>
                <w:color w:val="000000"/>
                <w:lang w:val="fr-FR"/>
              </w:rPr>
              <w:t>Total</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0A3D" w:rsidRPr="00431D28" w:rsidRDefault="008338AF" w:rsidP="00BB0A3D">
            <w:pPr>
              <w:jc w:val="right"/>
              <w:rPr>
                <w:rFonts w:cs="Arial"/>
                <w:b/>
                <w:bCs/>
                <w:color w:val="000000"/>
                <w:lang w:val="fr-FR"/>
              </w:rPr>
            </w:pPr>
            <w:r w:rsidRPr="00431D28">
              <w:rPr>
                <w:rFonts w:cs="Arial"/>
                <w:b/>
                <w:bCs/>
                <w:color w:val="000000"/>
                <w:lang w:val="fr-FR"/>
              </w:rPr>
              <w:t>6 </w:t>
            </w:r>
            <w:r w:rsidR="00BB0A3D" w:rsidRPr="00431D28">
              <w:rPr>
                <w:rFonts w:cs="Arial"/>
                <w:b/>
                <w:bCs/>
                <w:color w:val="000000"/>
                <w:lang w:val="fr-FR"/>
              </w:rPr>
              <w:t>901</w:t>
            </w:r>
          </w:p>
        </w:tc>
        <w:tc>
          <w:tcPr>
            <w:tcW w:w="1195" w:type="dxa"/>
            <w:tcBorders>
              <w:top w:val="single" w:sz="4" w:space="0" w:color="auto"/>
              <w:left w:val="nil"/>
              <w:bottom w:val="single" w:sz="4" w:space="0" w:color="auto"/>
              <w:right w:val="single" w:sz="4" w:space="0" w:color="auto"/>
            </w:tcBorders>
            <w:shd w:val="clear" w:color="auto" w:fill="auto"/>
            <w:vAlign w:val="bottom"/>
            <w:hideMark/>
          </w:tcPr>
          <w:p w:rsidR="00BB0A3D" w:rsidRPr="00431D28" w:rsidRDefault="008338AF" w:rsidP="00BB0A3D">
            <w:pPr>
              <w:jc w:val="right"/>
              <w:rPr>
                <w:rFonts w:cs="Arial"/>
                <w:b/>
                <w:bCs/>
                <w:color w:val="000000"/>
                <w:lang w:val="fr-FR"/>
              </w:rPr>
            </w:pPr>
            <w:r w:rsidRPr="00431D28">
              <w:rPr>
                <w:rFonts w:cs="Arial"/>
                <w:b/>
                <w:bCs/>
                <w:color w:val="000000"/>
                <w:lang w:val="fr-FR"/>
              </w:rPr>
              <w:t>6 </w:t>
            </w:r>
            <w:r w:rsidR="00BB0A3D" w:rsidRPr="00431D28">
              <w:rPr>
                <w:rFonts w:cs="Arial"/>
                <w:b/>
                <w:bCs/>
                <w:color w:val="000000"/>
                <w:lang w:val="fr-FR"/>
              </w:rPr>
              <w:t>798</w:t>
            </w:r>
          </w:p>
        </w:tc>
        <w:tc>
          <w:tcPr>
            <w:tcW w:w="1058" w:type="dxa"/>
            <w:tcBorders>
              <w:top w:val="single" w:sz="4" w:space="0" w:color="auto"/>
              <w:left w:val="nil"/>
              <w:bottom w:val="single" w:sz="4" w:space="0" w:color="auto"/>
              <w:right w:val="single" w:sz="4" w:space="0" w:color="auto"/>
            </w:tcBorders>
            <w:shd w:val="clear" w:color="auto" w:fill="auto"/>
            <w:vAlign w:val="bottom"/>
            <w:hideMark/>
          </w:tcPr>
          <w:p w:rsidR="00BB0A3D" w:rsidRPr="00431D28" w:rsidRDefault="00BB0A3D" w:rsidP="00BB0A3D">
            <w:pPr>
              <w:jc w:val="right"/>
              <w:rPr>
                <w:rFonts w:cs="Arial"/>
                <w:b/>
                <w:bCs/>
                <w:color w:val="000000"/>
                <w:lang w:val="fr-FR"/>
              </w:rPr>
            </w:pPr>
            <w:r w:rsidRPr="00431D28">
              <w:rPr>
                <w:rFonts w:cs="Arial"/>
                <w:b/>
                <w:bCs/>
                <w:color w:val="000000"/>
                <w:lang w:val="fr-FR"/>
              </w:rPr>
              <w:t>-4</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rsidR="00BB0A3D" w:rsidRPr="00431D28" w:rsidRDefault="008338AF" w:rsidP="00BB0A3D">
            <w:pPr>
              <w:jc w:val="right"/>
              <w:rPr>
                <w:rFonts w:cs="Arial"/>
                <w:b/>
                <w:bCs/>
                <w:color w:val="000000"/>
                <w:lang w:val="fr-FR"/>
              </w:rPr>
            </w:pPr>
            <w:r w:rsidRPr="00431D28">
              <w:rPr>
                <w:rFonts w:cs="Arial"/>
                <w:b/>
                <w:bCs/>
                <w:color w:val="000000"/>
                <w:lang w:val="fr-FR"/>
              </w:rPr>
              <w:t>-0,</w:t>
            </w:r>
            <w:r w:rsidR="00BB0A3D" w:rsidRPr="00431D28">
              <w:rPr>
                <w:rFonts w:cs="Arial"/>
                <w:b/>
                <w:bCs/>
                <w:color w:val="000000"/>
                <w:lang w:val="fr-FR"/>
              </w:rPr>
              <w:t>06%</w:t>
            </w:r>
          </w:p>
        </w:tc>
        <w:tc>
          <w:tcPr>
            <w:tcW w:w="1328" w:type="dxa"/>
            <w:tcBorders>
              <w:top w:val="single" w:sz="4" w:space="0" w:color="auto"/>
              <w:left w:val="nil"/>
              <w:bottom w:val="single" w:sz="4" w:space="0" w:color="auto"/>
              <w:right w:val="single" w:sz="4" w:space="0" w:color="auto"/>
            </w:tcBorders>
            <w:shd w:val="clear" w:color="auto" w:fill="auto"/>
            <w:vAlign w:val="bottom"/>
            <w:hideMark/>
          </w:tcPr>
          <w:p w:rsidR="00BB0A3D" w:rsidRPr="00431D28" w:rsidRDefault="008338AF" w:rsidP="00BB0A3D">
            <w:pPr>
              <w:jc w:val="right"/>
              <w:rPr>
                <w:rFonts w:cs="Arial"/>
                <w:b/>
                <w:bCs/>
                <w:color w:val="000000"/>
                <w:lang w:val="fr-FR"/>
              </w:rPr>
            </w:pPr>
            <w:r w:rsidRPr="00431D28">
              <w:rPr>
                <w:rFonts w:cs="Arial"/>
                <w:b/>
                <w:bCs/>
                <w:color w:val="000000"/>
                <w:lang w:val="fr-FR"/>
              </w:rPr>
              <w:t>6 </w:t>
            </w:r>
            <w:r w:rsidR="00BB0A3D" w:rsidRPr="00431D28">
              <w:rPr>
                <w:rFonts w:cs="Arial"/>
                <w:b/>
                <w:bCs/>
                <w:color w:val="000000"/>
                <w:lang w:val="fr-FR"/>
              </w:rPr>
              <w:t>794</w:t>
            </w:r>
          </w:p>
        </w:tc>
      </w:tr>
    </w:tbl>
    <w:p w:rsidR="005A7F6B" w:rsidRPr="00431D28" w:rsidRDefault="00421639" w:rsidP="0085263B">
      <w:pPr>
        <w:spacing w:before="120"/>
        <w:ind w:left="993" w:right="1134"/>
        <w:rPr>
          <w:sz w:val="18"/>
          <w:szCs w:val="18"/>
          <w:lang w:val="fr-FR"/>
        </w:rPr>
      </w:pPr>
      <w:bookmarkStart w:id="12" w:name="_MON_1420012625"/>
      <w:bookmarkStart w:id="13" w:name="_MON_1421480327"/>
      <w:bookmarkEnd w:id="12"/>
      <w:bookmarkEnd w:id="13"/>
      <w:r w:rsidRPr="00431D28">
        <w:rPr>
          <w:sz w:val="18"/>
          <w:szCs w:val="18"/>
          <w:lang w:val="fr-FR"/>
        </w:rPr>
        <w:t>*</w:t>
      </w:r>
      <w:r w:rsidR="0086636E" w:rsidRPr="00431D28">
        <w:rPr>
          <w:sz w:val="18"/>
          <w:szCs w:val="18"/>
          <w:lang w:val="fr-FR"/>
        </w:rPr>
        <w:t> </w:t>
      </w:r>
      <w:r w:rsidRPr="00431D28">
        <w:rPr>
          <w:sz w:val="18"/>
          <w:szCs w:val="18"/>
          <w:lang w:val="fr-FR"/>
        </w:rPr>
        <w:t xml:space="preserve">: </w:t>
      </w:r>
      <w:r w:rsidR="008338AF" w:rsidRPr="00431D28">
        <w:rPr>
          <w:i/>
          <w:sz w:val="18"/>
          <w:szCs w:val="18"/>
          <w:lang w:val="fr-FR"/>
        </w:rPr>
        <w:t xml:space="preserve">Concerne essentiellement les coûts d’appui administratif au titre des fonds </w:t>
      </w:r>
      <w:r w:rsidR="00431D28" w:rsidRPr="00431D28">
        <w:rPr>
          <w:i/>
          <w:sz w:val="18"/>
          <w:szCs w:val="18"/>
          <w:lang w:val="fr-FR"/>
        </w:rPr>
        <w:t>fiduciaires</w:t>
      </w:r>
      <w:r w:rsidR="008338AF" w:rsidRPr="00431D28">
        <w:rPr>
          <w:i/>
          <w:sz w:val="18"/>
          <w:szCs w:val="18"/>
          <w:lang w:val="fr-FR"/>
        </w:rPr>
        <w:t xml:space="preserve"> et les recettes provenant des droits d’inscription des participants </w:t>
      </w:r>
      <w:r w:rsidR="008338AF" w:rsidRPr="005C4304">
        <w:rPr>
          <w:i/>
          <w:sz w:val="18"/>
          <w:szCs w:val="18"/>
          <w:lang w:val="fr-FR"/>
        </w:rPr>
        <w:t>au programme</w:t>
      </w:r>
      <w:r w:rsidR="008338AF" w:rsidRPr="00431D28">
        <w:rPr>
          <w:i/>
          <w:sz w:val="18"/>
          <w:szCs w:val="18"/>
          <w:lang w:val="fr-FR"/>
        </w:rPr>
        <w:t xml:space="preserve"> d’enseignement à distance de l’UPOV.</w:t>
      </w:r>
    </w:p>
    <w:p w:rsidR="005A7F6B" w:rsidRPr="00431D28" w:rsidRDefault="00421639" w:rsidP="00271FAA">
      <w:pPr>
        <w:keepNext/>
        <w:rPr>
          <w:lang w:val="fr-FR"/>
        </w:rPr>
      </w:pPr>
      <w:r w:rsidRPr="00431D28">
        <w:rPr>
          <w:b/>
          <w:lang w:val="fr-FR"/>
        </w:rPr>
        <w:br w:type="page"/>
      </w:r>
      <w:r w:rsidR="00271FAA" w:rsidRPr="00431D28">
        <w:rPr>
          <w:b/>
          <w:lang w:val="fr-FR"/>
        </w:rPr>
        <w:t>4.</w:t>
      </w:r>
      <w:r w:rsidR="00271FAA" w:rsidRPr="00431D28">
        <w:rPr>
          <w:b/>
          <w:lang w:val="fr-FR"/>
        </w:rPr>
        <w:tab/>
        <w:t>INDICATEURS FINANCIERS POUR LA PÉRIODE 2008-2017</w:t>
      </w:r>
    </w:p>
    <w:p w:rsidR="005A7F6B" w:rsidRPr="00431D28" w:rsidRDefault="005A7F6B" w:rsidP="00421639">
      <w:pPr>
        <w:rPr>
          <w:lang w:val="fr-FR"/>
        </w:rPr>
      </w:pPr>
    </w:p>
    <w:p w:rsidR="005A7F6B" w:rsidRPr="00431D28" w:rsidRDefault="00271FAA" w:rsidP="00271FAA">
      <w:pPr>
        <w:tabs>
          <w:tab w:val="left" w:pos="567"/>
        </w:tabs>
        <w:rPr>
          <w:lang w:val="fr-FR"/>
        </w:rPr>
      </w:pPr>
      <w:r w:rsidRPr="00431D28">
        <w:rPr>
          <w:lang w:val="fr-FR"/>
        </w:rPr>
        <w:t>4.1</w:t>
      </w:r>
      <w:r w:rsidRPr="00431D28">
        <w:rPr>
          <w:lang w:val="fr-FR"/>
        </w:rPr>
        <w:tab/>
        <w:t>Le programme et</w:t>
      </w:r>
      <w:r w:rsidR="002834E1">
        <w:rPr>
          <w:lang w:val="fr-FR"/>
        </w:rPr>
        <w:t xml:space="preserve"> budget pour l’exercice biennal 2014-2015 </w:t>
      </w:r>
      <w:r w:rsidRPr="00431D28">
        <w:rPr>
          <w:lang w:val="fr-FR"/>
        </w:rPr>
        <w:t>comprend une présentation des indicateurs financiers couvrant une période de 10 ans, y compris deux années au-delà du nouvel exercice biennal, ainsi que des renseignements sur le passé proche.</w:t>
      </w:r>
      <w:r w:rsidR="00421639" w:rsidRPr="00431D28">
        <w:rPr>
          <w:lang w:val="fr-FR"/>
        </w:rPr>
        <w:t xml:space="preserve">  </w:t>
      </w:r>
      <w:r w:rsidRPr="00431D28">
        <w:rPr>
          <w:lang w:val="fr-FR"/>
        </w:rPr>
        <w:t>La présentation des indicateurs financiers est destinée à situer le budget propo</w:t>
      </w:r>
      <w:r w:rsidR="002834E1">
        <w:rPr>
          <w:lang w:val="fr-FR"/>
        </w:rPr>
        <w:t xml:space="preserve">sé pour l’exercice biennal 2014-2015 </w:t>
      </w:r>
      <w:r w:rsidRPr="00431D28">
        <w:rPr>
          <w:lang w:val="fr-FR"/>
        </w:rPr>
        <w:t>dans son contexte : indiquer les tendances et évaluer la viabilité financière pour l’avenir.</w:t>
      </w:r>
      <w:r w:rsidR="00421639" w:rsidRPr="00431D28">
        <w:rPr>
          <w:lang w:val="fr-FR"/>
        </w:rPr>
        <w:t xml:space="preserve">  </w:t>
      </w:r>
      <w:r w:rsidRPr="00431D28">
        <w:rPr>
          <w:lang w:val="fr-FR"/>
        </w:rPr>
        <w:t xml:space="preserve">Ces renseignements sont destinés à faciliter l’examen du programme et budget </w:t>
      </w:r>
      <w:r w:rsidR="00934EDF">
        <w:rPr>
          <w:lang w:val="fr-FR"/>
        </w:rPr>
        <w:t xml:space="preserve">proposé </w:t>
      </w:r>
      <w:r w:rsidRPr="00431D28">
        <w:rPr>
          <w:lang w:val="fr-FR"/>
        </w:rPr>
        <w:t>par les membres et leurs décisions en la matière et ils ne doivent pas être interprétés comme signifiant un quelconque engagement ou accord financier au-delà de 2015.</w:t>
      </w:r>
      <w:r w:rsidR="00421639" w:rsidRPr="00431D28">
        <w:rPr>
          <w:lang w:val="fr-FR"/>
        </w:rPr>
        <w:t xml:space="preserve">  </w:t>
      </w:r>
    </w:p>
    <w:p w:rsidR="005A7F6B" w:rsidRPr="00431D28" w:rsidRDefault="005A7F6B" w:rsidP="00421639">
      <w:pPr>
        <w:tabs>
          <w:tab w:val="left" w:pos="567"/>
        </w:tabs>
        <w:rPr>
          <w:lang w:val="fr-FR"/>
        </w:rPr>
      </w:pPr>
    </w:p>
    <w:p w:rsidR="005A7F6B" w:rsidRPr="00431D28" w:rsidRDefault="00271FAA" w:rsidP="00271FAA">
      <w:pPr>
        <w:tabs>
          <w:tab w:val="left" w:pos="567"/>
        </w:tabs>
        <w:rPr>
          <w:lang w:val="fr-FR"/>
        </w:rPr>
      </w:pPr>
      <w:r w:rsidRPr="00431D28">
        <w:rPr>
          <w:lang w:val="fr-FR"/>
        </w:rPr>
        <w:t>4.2</w:t>
      </w:r>
      <w:r w:rsidRPr="00431D28">
        <w:rPr>
          <w:lang w:val="fr-FR"/>
        </w:rPr>
        <w:tab/>
        <w:t xml:space="preserve">Le </w:t>
      </w:r>
      <w:r w:rsidRPr="00431D28">
        <w:rPr>
          <w:b/>
          <w:lang w:val="fr-FR"/>
        </w:rPr>
        <w:t>tableau 9</w:t>
      </w:r>
      <w:r w:rsidRPr="00431D28">
        <w:rPr>
          <w:lang w:val="fr-FR"/>
        </w:rPr>
        <w:t xml:space="preserve"> et le </w:t>
      </w:r>
      <w:r w:rsidRPr="00431D28">
        <w:rPr>
          <w:b/>
          <w:lang w:val="fr-FR"/>
        </w:rPr>
        <w:t>graphique</w:t>
      </w:r>
      <w:r w:rsidRPr="00431D28">
        <w:rPr>
          <w:lang w:val="fr-FR"/>
        </w:rPr>
        <w:t xml:space="preserve"> ci-dessous montrent l’évolution du budget ordinaire en ce qui concerne les recettes, les dépenses et les fonds de réserve et de roulement.</w:t>
      </w:r>
    </w:p>
    <w:p w:rsidR="005A7F6B" w:rsidRPr="00431D28" w:rsidRDefault="005A7F6B" w:rsidP="00421639">
      <w:pPr>
        <w:tabs>
          <w:tab w:val="left" w:pos="567"/>
        </w:tabs>
        <w:rPr>
          <w:lang w:val="fr-FR"/>
        </w:rPr>
      </w:pPr>
    </w:p>
    <w:p w:rsidR="005A7F6B" w:rsidRPr="00431D28" w:rsidRDefault="00271FAA" w:rsidP="00271FAA">
      <w:pPr>
        <w:keepNext/>
        <w:jc w:val="center"/>
        <w:rPr>
          <w:b/>
          <w:lang w:val="fr-FR"/>
        </w:rPr>
      </w:pPr>
      <w:r w:rsidRPr="00431D28">
        <w:rPr>
          <w:b/>
          <w:lang w:val="fr-FR"/>
        </w:rPr>
        <w:t>Tableau 9 : Recettes, dépenses et réserves pour la période 2008-2017</w:t>
      </w:r>
    </w:p>
    <w:p w:rsidR="005A7F6B" w:rsidRPr="00431D28" w:rsidRDefault="00271FAA" w:rsidP="00271FAA">
      <w:pPr>
        <w:keepNext/>
        <w:jc w:val="center"/>
        <w:rPr>
          <w:lang w:val="fr-FR"/>
        </w:rPr>
      </w:pPr>
      <w:r w:rsidRPr="00431D28">
        <w:rPr>
          <w:lang w:val="fr-FR"/>
        </w:rPr>
        <w:t>(en milliers de francs suisses)</w:t>
      </w:r>
    </w:p>
    <w:p w:rsidR="004236BB" w:rsidRPr="00431D28" w:rsidRDefault="004236BB" w:rsidP="00421639">
      <w:pPr>
        <w:keepNext/>
        <w:jc w:val="center"/>
        <w:rPr>
          <w:lang w:val="fr-FR"/>
        </w:rPr>
      </w:pPr>
    </w:p>
    <w:tbl>
      <w:tblPr>
        <w:tblW w:w="9528" w:type="dxa"/>
        <w:tblInd w:w="93" w:type="dxa"/>
        <w:tblLook w:val="04A0" w:firstRow="1" w:lastRow="0" w:firstColumn="1" w:lastColumn="0" w:noHBand="0" w:noVBand="1"/>
      </w:tblPr>
      <w:tblGrid>
        <w:gridCol w:w="1575"/>
        <w:gridCol w:w="850"/>
        <w:gridCol w:w="851"/>
        <w:gridCol w:w="116"/>
        <w:gridCol w:w="592"/>
        <w:gridCol w:w="175"/>
        <w:gridCol w:w="692"/>
        <w:gridCol w:w="842"/>
        <w:gridCol w:w="701"/>
        <w:gridCol w:w="833"/>
        <w:gridCol w:w="767"/>
        <w:gridCol w:w="767"/>
        <w:gridCol w:w="767"/>
      </w:tblGrid>
      <w:tr w:rsidR="004236BB" w:rsidRPr="00431D28" w:rsidTr="007632C2">
        <w:trPr>
          <w:trHeight w:val="255"/>
        </w:trPr>
        <w:tc>
          <w:tcPr>
            <w:tcW w:w="1575" w:type="dxa"/>
            <w:tcBorders>
              <w:top w:val="nil"/>
              <w:left w:val="nil"/>
              <w:bottom w:val="nil"/>
              <w:right w:val="nil"/>
            </w:tcBorders>
            <w:shd w:val="clear" w:color="000000" w:fill="FFFFFF"/>
            <w:noWrap/>
            <w:vAlign w:val="bottom"/>
            <w:hideMark/>
          </w:tcPr>
          <w:p w:rsidR="004236BB" w:rsidRPr="00431D28" w:rsidRDefault="00271FAA" w:rsidP="004236BB">
            <w:pPr>
              <w:jc w:val="left"/>
              <w:rPr>
                <w:rFonts w:cs="Arial"/>
                <w:sz w:val="18"/>
                <w:szCs w:val="18"/>
                <w:lang w:val="fr-FR"/>
              </w:rPr>
            </w:pPr>
            <w:r w:rsidRPr="00431D28">
              <w:rPr>
                <w:rFonts w:cs="Arial"/>
                <w:sz w:val="18"/>
                <w:szCs w:val="18"/>
                <w:lang w:val="fr-FR"/>
              </w:rPr>
              <w:t>Base budgétaire</w:t>
            </w:r>
            <w:r w:rsidR="004236BB" w:rsidRPr="00431D28">
              <w:rPr>
                <w:rFonts w:cs="Arial"/>
                <w:sz w:val="18"/>
                <w:szCs w:val="18"/>
                <w:lang w:val="fr-FR"/>
              </w:rPr>
              <w:t xml:space="preserve"> </w:t>
            </w:r>
          </w:p>
        </w:tc>
        <w:tc>
          <w:tcPr>
            <w:tcW w:w="850" w:type="dxa"/>
            <w:tcBorders>
              <w:top w:val="nil"/>
              <w:left w:val="nil"/>
              <w:bottom w:val="nil"/>
              <w:right w:val="nil"/>
            </w:tcBorders>
            <w:shd w:val="clear" w:color="000000" w:fill="FFFFFF"/>
            <w:noWrap/>
            <w:vAlign w:val="bottom"/>
            <w:hideMark/>
          </w:tcPr>
          <w:p w:rsidR="004236BB" w:rsidRPr="00431D28" w:rsidRDefault="004236BB" w:rsidP="004236BB">
            <w:pPr>
              <w:jc w:val="left"/>
              <w:rPr>
                <w:rFonts w:cs="Arial"/>
                <w:sz w:val="18"/>
                <w:szCs w:val="18"/>
                <w:lang w:val="fr-FR"/>
              </w:rPr>
            </w:pPr>
            <w:r w:rsidRPr="00431D28">
              <w:rPr>
                <w:rFonts w:cs="Arial"/>
                <w:sz w:val="18"/>
                <w:szCs w:val="18"/>
                <w:lang w:val="fr-FR"/>
              </w:rPr>
              <w:t> </w:t>
            </w:r>
          </w:p>
        </w:tc>
        <w:tc>
          <w:tcPr>
            <w:tcW w:w="967" w:type="dxa"/>
            <w:gridSpan w:val="2"/>
            <w:tcBorders>
              <w:top w:val="nil"/>
              <w:left w:val="nil"/>
              <w:bottom w:val="nil"/>
              <w:right w:val="nil"/>
            </w:tcBorders>
            <w:shd w:val="clear" w:color="000000" w:fill="FFFFFF"/>
            <w:noWrap/>
            <w:vAlign w:val="bottom"/>
            <w:hideMark/>
          </w:tcPr>
          <w:p w:rsidR="004236BB" w:rsidRPr="00431D28" w:rsidRDefault="004236BB" w:rsidP="004236BB">
            <w:pPr>
              <w:jc w:val="left"/>
              <w:rPr>
                <w:rFonts w:cs="Arial"/>
                <w:sz w:val="18"/>
                <w:szCs w:val="18"/>
                <w:lang w:val="fr-FR"/>
              </w:rPr>
            </w:pPr>
            <w:r w:rsidRPr="00431D28">
              <w:rPr>
                <w:rFonts w:cs="Arial"/>
                <w:sz w:val="18"/>
                <w:szCs w:val="18"/>
                <w:lang w:val="fr-FR"/>
              </w:rPr>
              <w:t> </w:t>
            </w:r>
          </w:p>
        </w:tc>
        <w:tc>
          <w:tcPr>
            <w:tcW w:w="767" w:type="dxa"/>
            <w:gridSpan w:val="2"/>
            <w:tcBorders>
              <w:top w:val="nil"/>
              <w:left w:val="nil"/>
              <w:bottom w:val="nil"/>
              <w:right w:val="nil"/>
            </w:tcBorders>
            <w:shd w:val="clear" w:color="000000" w:fill="FFFFFF"/>
            <w:noWrap/>
            <w:vAlign w:val="bottom"/>
            <w:hideMark/>
          </w:tcPr>
          <w:p w:rsidR="004236BB" w:rsidRPr="00431D28" w:rsidRDefault="004236BB" w:rsidP="004236BB">
            <w:pPr>
              <w:jc w:val="left"/>
              <w:rPr>
                <w:rFonts w:cs="Arial"/>
                <w:sz w:val="18"/>
                <w:szCs w:val="18"/>
                <w:lang w:val="fr-FR"/>
              </w:rPr>
            </w:pPr>
            <w:r w:rsidRPr="00431D28">
              <w:rPr>
                <w:rFonts w:cs="Arial"/>
                <w:sz w:val="18"/>
                <w:szCs w:val="18"/>
                <w:lang w:val="fr-FR"/>
              </w:rPr>
              <w:t> </w:t>
            </w:r>
          </w:p>
        </w:tc>
        <w:tc>
          <w:tcPr>
            <w:tcW w:w="692" w:type="dxa"/>
            <w:tcBorders>
              <w:top w:val="nil"/>
              <w:left w:val="nil"/>
              <w:bottom w:val="nil"/>
              <w:right w:val="nil"/>
            </w:tcBorders>
            <w:shd w:val="clear" w:color="000000" w:fill="FFFFFF"/>
            <w:noWrap/>
            <w:vAlign w:val="bottom"/>
            <w:hideMark/>
          </w:tcPr>
          <w:p w:rsidR="004236BB" w:rsidRPr="00431D28" w:rsidRDefault="004236BB" w:rsidP="004236BB">
            <w:pPr>
              <w:jc w:val="left"/>
              <w:rPr>
                <w:rFonts w:cs="Arial"/>
                <w:sz w:val="18"/>
                <w:szCs w:val="18"/>
                <w:lang w:val="fr-FR"/>
              </w:rPr>
            </w:pPr>
            <w:r w:rsidRPr="00431D28">
              <w:rPr>
                <w:rFonts w:cs="Arial"/>
                <w:sz w:val="18"/>
                <w:szCs w:val="18"/>
                <w:lang w:val="fr-FR"/>
              </w:rPr>
              <w:t> </w:t>
            </w:r>
          </w:p>
        </w:tc>
        <w:tc>
          <w:tcPr>
            <w:tcW w:w="3143"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236BB" w:rsidRPr="00431D28" w:rsidRDefault="004236BB" w:rsidP="004236BB">
            <w:pPr>
              <w:jc w:val="center"/>
              <w:rPr>
                <w:rFonts w:cs="Arial"/>
                <w:sz w:val="18"/>
                <w:szCs w:val="18"/>
                <w:lang w:val="fr-FR"/>
              </w:rPr>
            </w:pPr>
            <w:r w:rsidRPr="00431D28">
              <w:rPr>
                <w:rFonts w:cs="Arial"/>
                <w:sz w:val="18"/>
                <w:szCs w:val="18"/>
                <w:lang w:val="fr-FR"/>
              </w:rPr>
              <w:t> </w:t>
            </w:r>
          </w:p>
        </w:tc>
        <w:tc>
          <w:tcPr>
            <w:tcW w:w="767" w:type="dxa"/>
            <w:tcBorders>
              <w:top w:val="single" w:sz="4" w:space="0" w:color="auto"/>
              <w:left w:val="nil"/>
              <w:bottom w:val="single" w:sz="4" w:space="0" w:color="auto"/>
              <w:right w:val="nil"/>
            </w:tcBorders>
            <w:shd w:val="clear" w:color="000000" w:fill="FFFFFF"/>
            <w:noWrap/>
            <w:vAlign w:val="bottom"/>
            <w:hideMark/>
          </w:tcPr>
          <w:p w:rsidR="004236BB" w:rsidRPr="00431D28" w:rsidRDefault="004236BB" w:rsidP="004236BB">
            <w:pPr>
              <w:jc w:val="left"/>
              <w:rPr>
                <w:rFonts w:cs="Arial"/>
                <w:sz w:val="18"/>
                <w:szCs w:val="18"/>
                <w:lang w:val="fr-FR"/>
              </w:rPr>
            </w:pPr>
            <w:r w:rsidRPr="00431D28">
              <w:rPr>
                <w:rFonts w:cs="Arial"/>
                <w:sz w:val="18"/>
                <w:szCs w:val="18"/>
                <w:lang w:val="fr-FR"/>
              </w:rPr>
              <w:t> </w:t>
            </w:r>
          </w:p>
        </w:tc>
        <w:tc>
          <w:tcPr>
            <w:tcW w:w="767" w:type="dxa"/>
            <w:tcBorders>
              <w:top w:val="single" w:sz="4" w:space="0" w:color="auto"/>
              <w:left w:val="nil"/>
              <w:bottom w:val="single" w:sz="4" w:space="0" w:color="auto"/>
              <w:right w:val="single" w:sz="4" w:space="0" w:color="auto"/>
            </w:tcBorders>
            <w:shd w:val="clear" w:color="000000" w:fill="FFFFFF"/>
            <w:noWrap/>
            <w:vAlign w:val="bottom"/>
            <w:hideMark/>
          </w:tcPr>
          <w:p w:rsidR="004236BB" w:rsidRPr="00431D28" w:rsidRDefault="004236BB" w:rsidP="004236BB">
            <w:pPr>
              <w:jc w:val="left"/>
              <w:rPr>
                <w:rFonts w:cs="Arial"/>
                <w:sz w:val="18"/>
                <w:szCs w:val="18"/>
                <w:lang w:val="fr-FR"/>
              </w:rPr>
            </w:pPr>
            <w:r w:rsidRPr="00431D28">
              <w:rPr>
                <w:rFonts w:cs="Arial"/>
                <w:sz w:val="18"/>
                <w:szCs w:val="18"/>
                <w:lang w:val="fr-FR"/>
              </w:rPr>
              <w:t> </w:t>
            </w:r>
          </w:p>
        </w:tc>
      </w:tr>
      <w:tr w:rsidR="004236BB" w:rsidRPr="00431D28" w:rsidTr="007632C2">
        <w:trPr>
          <w:trHeight w:val="300"/>
        </w:trPr>
        <w:tc>
          <w:tcPr>
            <w:tcW w:w="1575" w:type="dxa"/>
            <w:tcBorders>
              <w:top w:val="single" w:sz="4" w:space="0" w:color="auto"/>
              <w:left w:val="single" w:sz="4" w:space="0" w:color="auto"/>
              <w:bottom w:val="nil"/>
              <w:right w:val="single" w:sz="4" w:space="0" w:color="auto"/>
            </w:tcBorders>
            <w:shd w:val="clear" w:color="000000" w:fill="FFFFFF"/>
            <w:hideMark/>
          </w:tcPr>
          <w:p w:rsidR="004236BB" w:rsidRPr="00431D28" w:rsidRDefault="004236BB" w:rsidP="004236BB">
            <w:pPr>
              <w:jc w:val="center"/>
              <w:rPr>
                <w:rFonts w:cs="Arial"/>
                <w:i/>
                <w:iCs/>
                <w:color w:val="000000"/>
                <w:sz w:val="18"/>
                <w:szCs w:val="18"/>
                <w:lang w:val="fr-FR"/>
              </w:rPr>
            </w:pPr>
            <w:bookmarkStart w:id="14" w:name="RANGE!B6"/>
            <w:r w:rsidRPr="00431D28">
              <w:rPr>
                <w:rFonts w:cs="Arial"/>
                <w:i/>
                <w:iCs/>
                <w:color w:val="000000"/>
                <w:sz w:val="18"/>
                <w:szCs w:val="18"/>
                <w:lang w:val="fr-FR"/>
              </w:rPr>
              <w:t> </w:t>
            </w:r>
            <w:bookmarkEnd w:id="14"/>
          </w:p>
        </w:tc>
        <w:tc>
          <w:tcPr>
            <w:tcW w:w="3276" w:type="dxa"/>
            <w:gridSpan w:val="6"/>
            <w:tcBorders>
              <w:top w:val="single" w:sz="4" w:space="0" w:color="auto"/>
              <w:left w:val="nil"/>
              <w:bottom w:val="single" w:sz="4" w:space="0" w:color="auto"/>
              <w:right w:val="nil"/>
            </w:tcBorders>
            <w:shd w:val="clear" w:color="000000" w:fill="FFFFFF"/>
            <w:hideMark/>
          </w:tcPr>
          <w:p w:rsidR="004236BB" w:rsidRPr="00431D28" w:rsidRDefault="00271FAA" w:rsidP="004236BB">
            <w:pPr>
              <w:jc w:val="center"/>
              <w:rPr>
                <w:rFonts w:cs="Arial"/>
                <w:i/>
                <w:iCs/>
                <w:color w:val="000000"/>
                <w:sz w:val="18"/>
                <w:szCs w:val="18"/>
                <w:lang w:val="fr-FR"/>
              </w:rPr>
            </w:pPr>
            <w:r w:rsidRPr="00431D28">
              <w:rPr>
                <w:rFonts w:cs="Arial"/>
                <w:i/>
                <w:iCs/>
                <w:color w:val="000000"/>
                <w:sz w:val="18"/>
                <w:szCs w:val="18"/>
                <w:lang w:val="fr-FR"/>
              </w:rPr>
              <w:t>Montant effectif</w:t>
            </w:r>
          </w:p>
        </w:tc>
        <w:tc>
          <w:tcPr>
            <w:tcW w:w="1543" w:type="dxa"/>
            <w:gridSpan w:val="2"/>
            <w:tcBorders>
              <w:top w:val="single" w:sz="4" w:space="0" w:color="auto"/>
              <w:left w:val="nil"/>
              <w:bottom w:val="single" w:sz="4" w:space="0" w:color="auto"/>
              <w:right w:val="single" w:sz="4" w:space="0" w:color="000000"/>
            </w:tcBorders>
            <w:shd w:val="clear" w:color="000000" w:fill="FFFFFF"/>
            <w:hideMark/>
          </w:tcPr>
          <w:p w:rsidR="004236BB" w:rsidRPr="00431D28" w:rsidRDefault="004236BB" w:rsidP="004236BB">
            <w:pPr>
              <w:jc w:val="center"/>
              <w:rPr>
                <w:rFonts w:cs="Arial"/>
                <w:i/>
                <w:iCs/>
                <w:color w:val="000000"/>
                <w:sz w:val="18"/>
                <w:szCs w:val="18"/>
                <w:lang w:val="fr-FR"/>
              </w:rPr>
            </w:pPr>
            <w:r w:rsidRPr="00431D28">
              <w:rPr>
                <w:rFonts w:cs="Arial"/>
                <w:i/>
                <w:iCs/>
                <w:color w:val="000000"/>
                <w:sz w:val="18"/>
                <w:szCs w:val="18"/>
                <w:lang w:val="fr-FR"/>
              </w:rPr>
              <w:t>Budget</w:t>
            </w:r>
          </w:p>
        </w:tc>
        <w:tc>
          <w:tcPr>
            <w:tcW w:w="1600" w:type="dxa"/>
            <w:gridSpan w:val="2"/>
            <w:tcBorders>
              <w:top w:val="single" w:sz="4" w:space="0" w:color="auto"/>
              <w:left w:val="nil"/>
              <w:bottom w:val="single" w:sz="4" w:space="0" w:color="auto"/>
              <w:right w:val="single" w:sz="4" w:space="0" w:color="000000"/>
            </w:tcBorders>
            <w:shd w:val="clear" w:color="000000" w:fill="FFFFFF"/>
            <w:hideMark/>
          </w:tcPr>
          <w:p w:rsidR="004236BB" w:rsidRPr="00431D28" w:rsidRDefault="00271FAA" w:rsidP="004236BB">
            <w:pPr>
              <w:jc w:val="center"/>
              <w:rPr>
                <w:rFonts w:cs="Arial"/>
                <w:i/>
                <w:iCs/>
                <w:color w:val="000000"/>
                <w:sz w:val="18"/>
                <w:szCs w:val="18"/>
                <w:lang w:val="fr-FR"/>
              </w:rPr>
            </w:pPr>
            <w:r w:rsidRPr="00431D28">
              <w:rPr>
                <w:rFonts w:cs="Arial"/>
                <w:i/>
                <w:iCs/>
                <w:color w:val="000000"/>
                <w:sz w:val="18"/>
                <w:szCs w:val="18"/>
                <w:lang w:val="fr-FR"/>
              </w:rPr>
              <w:t>Montant proposé</w:t>
            </w:r>
          </w:p>
        </w:tc>
        <w:tc>
          <w:tcPr>
            <w:tcW w:w="1534" w:type="dxa"/>
            <w:gridSpan w:val="2"/>
            <w:tcBorders>
              <w:top w:val="single" w:sz="4" w:space="0" w:color="auto"/>
              <w:left w:val="nil"/>
              <w:bottom w:val="single" w:sz="4" w:space="0" w:color="auto"/>
              <w:right w:val="single" w:sz="4" w:space="0" w:color="000000"/>
            </w:tcBorders>
            <w:shd w:val="clear" w:color="000000" w:fill="FFFFFF"/>
            <w:hideMark/>
          </w:tcPr>
          <w:p w:rsidR="004236BB" w:rsidRPr="00431D28" w:rsidRDefault="00271FAA" w:rsidP="004236BB">
            <w:pPr>
              <w:jc w:val="center"/>
              <w:rPr>
                <w:rFonts w:cs="Arial"/>
                <w:i/>
                <w:iCs/>
                <w:color w:val="000000"/>
                <w:sz w:val="18"/>
                <w:szCs w:val="18"/>
                <w:lang w:val="fr-FR"/>
              </w:rPr>
            </w:pPr>
            <w:r w:rsidRPr="00431D28">
              <w:rPr>
                <w:rFonts w:cs="Arial"/>
                <w:i/>
                <w:iCs/>
                <w:color w:val="000000"/>
                <w:sz w:val="18"/>
                <w:szCs w:val="18"/>
                <w:lang w:val="fr-FR"/>
              </w:rPr>
              <w:t>Montant estimé</w:t>
            </w:r>
          </w:p>
        </w:tc>
      </w:tr>
      <w:tr w:rsidR="004236BB" w:rsidRPr="00431D28" w:rsidTr="007632C2">
        <w:trPr>
          <w:trHeight w:val="255"/>
        </w:trPr>
        <w:tc>
          <w:tcPr>
            <w:tcW w:w="1575" w:type="dxa"/>
            <w:tcBorders>
              <w:top w:val="nil"/>
              <w:left w:val="single" w:sz="4" w:space="0" w:color="auto"/>
              <w:bottom w:val="single" w:sz="4" w:space="0" w:color="auto"/>
              <w:right w:val="single" w:sz="4" w:space="0" w:color="auto"/>
            </w:tcBorders>
            <w:shd w:val="clear" w:color="000000" w:fill="FFFFFF"/>
            <w:hideMark/>
          </w:tcPr>
          <w:p w:rsidR="004236BB" w:rsidRPr="00431D28" w:rsidRDefault="004236BB" w:rsidP="004236BB">
            <w:pPr>
              <w:jc w:val="right"/>
              <w:rPr>
                <w:rFonts w:cs="Arial"/>
                <w:i/>
                <w:iCs/>
                <w:color w:val="000000"/>
                <w:sz w:val="18"/>
                <w:szCs w:val="18"/>
                <w:lang w:val="fr-FR"/>
              </w:rPr>
            </w:pPr>
            <w:r w:rsidRPr="00431D28">
              <w:rPr>
                <w:rFonts w:cs="Arial"/>
                <w:i/>
                <w:iCs/>
                <w:color w:val="000000"/>
                <w:sz w:val="18"/>
                <w:szCs w:val="18"/>
                <w:lang w:val="fr-FR"/>
              </w:rPr>
              <w:t> </w:t>
            </w:r>
          </w:p>
        </w:tc>
        <w:tc>
          <w:tcPr>
            <w:tcW w:w="850" w:type="dxa"/>
            <w:tcBorders>
              <w:top w:val="nil"/>
              <w:left w:val="nil"/>
              <w:bottom w:val="single" w:sz="4" w:space="0" w:color="auto"/>
              <w:right w:val="nil"/>
            </w:tcBorders>
            <w:shd w:val="clear" w:color="000000" w:fill="FFFFFF"/>
            <w:hideMark/>
          </w:tcPr>
          <w:p w:rsidR="004236BB" w:rsidRPr="00431D28" w:rsidRDefault="004236BB" w:rsidP="004236BB">
            <w:pPr>
              <w:jc w:val="center"/>
              <w:rPr>
                <w:rFonts w:cs="Arial"/>
                <w:i/>
                <w:iCs/>
                <w:color w:val="000000"/>
                <w:sz w:val="18"/>
                <w:szCs w:val="18"/>
                <w:lang w:val="fr-FR"/>
              </w:rPr>
            </w:pPr>
            <w:r w:rsidRPr="00431D28">
              <w:rPr>
                <w:rFonts w:cs="Arial"/>
                <w:i/>
                <w:iCs/>
                <w:color w:val="000000"/>
                <w:sz w:val="18"/>
                <w:szCs w:val="18"/>
                <w:lang w:val="fr-FR"/>
              </w:rPr>
              <w:t>2008</w:t>
            </w:r>
          </w:p>
        </w:tc>
        <w:tc>
          <w:tcPr>
            <w:tcW w:w="851" w:type="dxa"/>
            <w:tcBorders>
              <w:top w:val="nil"/>
              <w:left w:val="nil"/>
              <w:bottom w:val="single" w:sz="4" w:space="0" w:color="auto"/>
              <w:right w:val="nil"/>
            </w:tcBorders>
            <w:shd w:val="clear" w:color="000000" w:fill="FFFFFF"/>
            <w:hideMark/>
          </w:tcPr>
          <w:p w:rsidR="004236BB" w:rsidRPr="00431D28" w:rsidRDefault="004236BB" w:rsidP="004236BB">
            <w:pPr>
              <w:jc w:val="center"/>
              <w:rPr>
                <w:rFonts w:cs="Arial"/>
                <w:i/>
                <w:iCs/>
                <w:color w:val="000000"/>
                <w:sz w:val="18"/>
                <w:szCs w:val="18"/>
                <w:lang w:val="fr-FR"/>
              </w:rPr>
            </w:pPr>
            <w:r w:rsidRPr="00431D28">
              <w:rPr>
                <w:rFonts w:cs="Arial"/>
                <w:i/>
                <w:iCs/>
                <w:color w:val="000000"/>
                <w:sz w:val="18"/>
                <w:szCs w:val="18"/>
                <w:lang w:val="fr-FR"/>
              </w:rPr>
              <w:t>2009</w:t>
            </w:r>
          </w:p>
        </w:tc>
        <w:tc>
          <w:tcPr>
            <w:tcW w:w="708" w:type="dxa"/>
            <w:gridSpan w:val="2"/>
            <w:tcBorders>
              <w:top w:val="nil"/>
              <w:left w:val="nil"/>
              <w:bottom w:val="single" w:sz="4" w:space="0" w:color="auto"/>
              <w:right w:val="nil"/>
            </w:tcBorders>
            <w:shd w:val="clear" w:color="000000" w:fill="FFFFFF"/>
            <w:hideMark/>
          </w:tcPr>
          <w:p w:rsidR="004236BB" w:rsidRPr="00431D28" w:rsidRDefault="004236BB" w:rsidP="004236BB">
            <w:pPr>
              <w:jc w:val="center"/>
              <w:rPr>
                <w:rFonts w:cs="Arial"/>
                <w:i/>
                <w:iCs/>
                <w:color w:val="000000"/>
                <w:sz w:val="18"/>
                <w:szCs w:val="18"/>
                <w:lang w:val="fr-FR"/>
              </w:rPr>
            </w:pPr>
            <w:r w:rsidRPr="00431D28">
              <w:rPr>
                <w:rFonts w:cs="Arial"/>
                <w:i/>
                <w:iCs/>
                <w:color w:val="000000"/>
                <w:sz w:val="18"/>
                <w:szCs w:val="18"/>
                <w:lang w:val="fr-FR"/>
              </w:rPr>
              <w:t>2010</w:t>
            </w:r>
          </w:p>
        </w:tc>
        <w:tc>
          <w:tcPr>
            <w:tcW w:w="867" w:type="dxa"/>
            <w:gridSpan w:val="2"/>
            <w:tcBorders>
              <w:top w:val="nil"/>
              <w:left w:val="nil"/>
              <w:bottom w:val="single" w:sz="4" w:space="0" w:color="auto"/>
              <w:right w:val="single" w:sz="4" w:space="0" w:color="auto"/>
            </w:tcBorders>
            <w:shd w:val="clear" w:color="000000" w:fill="FFFFFF"/>
            <w:hideMark/>
          </w:tcPr>
          <w:p w:rsidR="004236BB" w:rsidRPr="00431D28" w:rsidRDefault="004236BB" w:rsidP="004236BB">
            <w:pPr>
              <w:jc w:val="center"/>
              <w:rPr>
                <w:rFonts w:cs="Arial"/>
                <w:i/>
                <w:iCs/>
                <w:color w:val="000000"/>
                <w:sz w:val="18"/>
                <w:szCs w:val="18"/>
                <w:lang w:val="fr-FR"/>
              </w:rPr>
            </w:pPr>
            <w:r w:rsidRPr="00431D28">
              <w:rPr>
                <w:rFonts w:cs="Arial"/>
                <w:i/>
                <w:iCs/>
                <w:color w:val="000000"/>
                <w:sz w:val="18"/>
                <w:szCs w:val="18"/>
                <w:lang w:val="fr-FR"/>
              </w:rPr>
              <w:t>2011</w:t>
            </w:r>
          </w:p>
        </w:tc>
        <w:tc>
          <w:tcPr>
            <w:tcW w:w="842" w:type="dxa"/>
            <w:tcBorders>
              <w:top w:val="nil"/>
              <w:left w:val="nil"/>
              <w:bottom w:val="single" w:sz="4" w:space="0" w:color="auto"/>
              <w:right w:val="nil"/>
            </w:tcBorders>
            <w:shd w:val="clear" w:color="000000" w:fill="FFFFFF"/>
            <w:hideMark/>
          </w:tcPr>
          <w:p w:rsidR="004236BB" w:rsidRPr="00431D28" w:rsidRDefault="004236BB" w:rsidP="004236BB">
            <w:pPr>
              <w:jc w:val="center"/>
              <w:rPr>
                <w:rFonts w:cs="Arial"/>
                <w:i/>
                <w:iCs/>
                <w:color w:val="000000"/>
                <w:sz w:val="18"/>
                <w:szCs w:val="18"/>
                <w:lang w:val="fr-FR"/>
              </w:rPr>
            </w:pPr>
            <w:r w:rsidRPr="00431D28">
              <w:rPr>
                <w:rFonts w:cs="Arial"/>
                <w:i/>
                <w:iCs/>
                <w:color w:val="000000"/>
                <w:sz w:val="18"/>
                <w:szCs w:val="18"/>
                <w:lang w:val="fr-FR"/>
              </w:rPr>
              <w:t>2012</w:t>
            </w:r>
          </w:p>
        </w:tc>
        <w:tc>
          <w:tcPr>
            <w:tcW w:w="701" w:type="dxa"/>
            <w:tcBorders>
              <w:top w:val="nil"/>
              <w:left w:val="nil"/>
              <w:bottom w:val="single" w:sz="4" w:space="0" w:color="auto"/>
              <w:right w:val="single" w:sz="4" w:space="0" w:color="auto"/>
            </w:tcBorders>
            <w:shd w:val="clear" w:color="000000" w:fill="FFFFFF"/>
            <w:hideMark/>
          </w:tcPr>
          <w:p w:rsidR="004236BB" w:rsidRPr="00431D28" w:rsidRDefault="004236BB" w:rsidP="004236BB">
            <w:pPr>
              <w:jc w:val="center"/>
              <w:rPr>
                <w:rFonts w:cs="Arial"/>
                <w:i/>
                <w:iCs/>
                <w:color w:val="000000"/>
                <w:sz w:val="18"/>
                <w:szCs w:val="18"/>
                <w:lang w:val="fr-FR"/>
              </w:rPr>
            </w:pPr>
            <w:r w:rsidRPr="00431D28">
              <w:rPr>
                <w:rFonts w:cs="Arial"/>
                <w:i/>
                <w:iCs/>
                <w:color w:val="000000"/>
                <w:sz w:val="18"/>
                <w:szCs w:val="18"/>
                <w:lang w:val="fr-FR"/>
              </w:rPr>
              <w:t>2013</w:t>
            </w:r>
          </w:p>
        </w:tc>
        <w:tc>
          <w:tcPr>
            <w:tcW w:w="833" w:type="dxa"/>
            <w:tcBorders>
              <w:top w:val="nil"/>
              <w:left w:val="nil"/>
              <w:bottom w:val="single" w:sz="4" w:space="0" w:color="auto"/>
              <w:right w:val="nil"/>
            </w:tcBorders>
            <w:shd w:val="clear" w:color="000000" w:fill="FFFFFF"/>
            <w:hideMark/>
          </w:tcPr>
          <w:p w:rsidR="004236BB" w:rsidRPr="00431D28" w:rsidRDefault="004236BB" w:rsidP="004236BB">
            <w:pPr>
              <w:jc w:val="center"/>
              <w:rPr>
                <w:rFonts w:cs="Arial"/>
                <w:i/>
                <w:iCs/>
                <w:color w:val="000000"/>
                <w:sz w:val="18"/>
                <w:szCs w:val="18"/>
                <w:lang w:val="fr-FR"/>
              </w:rPr>
            </w:pPr>
            <w:r w:rsidRPr="00431D28">
              <w:rPr>
                <w:rFonts w:cs="Arial"/>
                <w:i/>
                <w:iCs/>
                <w:color w:val="000000"/>
                <w:sz w:val="18"/>
                <w:szCs w:val="18"/>
                <w:lang w:val="fr-FR"/>
              </w:rPr>
              <w:t>2014</w:t>
            </w:r>
          </w:p>
        </w:tc>
        <w:tc>
          <w:tcPr>
            <w:tcW w:w="767" w:type="dxa"/>
            <w:tcBorders>
              <w:top w:val="nil"/>
              <w:left w:val="nil"/>
              <w:bottom w:val="single" w:sz="4" w:space="0" w:color="auto"/>
              <w:right w:val="single" w:sz="4" w:space="0" w:color="auto"/>
            </w:tcBorders>
            <w:shd w:val="clear" w:color="000000" w:fill="FFFFFF"/>
            <w:hideMark/>
          </w:tcPr>
          <w:p w:rsidR="004236BB" w:rsidRPr="00431D28" w:rsidRDefault="004236BB" w:rsidP="004236BB">
            <w:pPr>
              <w:jc w:val="center"/>
              <w:rPr>
                <w:rFonts w:cs="Arial"/>
                <w:i/>
                <w:iCs/>
                <w:color w:val="000000"/>
                <w:sz w:val="18"/>
                <w:szCs w:val="18"/>
                <w:lang w:val="fr-FR"/>
              </w:rPr>
            </w:pPr>
            <w:r w:rsidRPr="00431D28">
              <w:rPr>
                <w:rFonts w:cs="Arial"/>
                <w:i/>
                <w:iCs/>
                <w:color w:val="000000"/>
                <w:sz w:val="18"/>
                <w:szCs w:val="18"/>
                <w:lang w:val="fr-FR"/>
              </w:rPr>
              <w:t>2015</w:t>
            </w:r>
          </w:p>
        </w:tc>
        <w:tc>
          <w:tcPr>
            <w:tcW w:w="767" w:type="dxa"/>
            <w:tcBorders>
              <w:top w:val="nil"/>
              <w:left w:val="nil"/>
              <w:bottom w:val="single" w:sz="4" w:space="0" w:color="auto"/>
              <w:right w:val="nil"/>
            </w:tcBorders>
            <w:shd w:val="clear" w:color="000000" w:fill="FFFFFF"/>
            <w:hideMark/>
          </w:tcPr>
          <w:p w:rsidR="004236BB" w:rsidRPr="00431D28" w:rsidRDefault="004236BB" w:rsidP="004236BB">
            <w:pPr>
              <w:jc w:val="center"/>
              <w:rPr>
                <w:rFonts w:cs="Arial"/>
                <w:i/>
                <w:iCs/>
                <w:color w:val="000000"/>
                <w:sz w:val="18"/>
                <w:szCs w:val="18"/>
                <w:lang w:val="fr-FR"/>
              </w:rPr>
            </w:pPr>
            <w:r w:rsidRPr="00431D28">
              <w:rPr>
                <w:rFonts w:cs="Arial"/>
                <w:i/>
                <w:iCs/>
                <w:color w:val="000000"/>
                <w:sz w:val="18"/>
                <w:szCs w:val="18"/>
                <w:lang w:val="fr-FR"/>
              </w:rPr>
              <w:t>2016</w:t>
            </w:r>
          </w:p>
        </w:tc>
        <w:tc>
          <w:tcPr>
            <w:tcW w:w="767" w:type="dxa"/>
            <w:tcBorders>
              <w:top w:val="nil"/>
              <w:left w:val="nil"/>
              <w:bottom w:val="single" w:sz="4" w:space="0" w:color="auto"/>
              <w:right w:val="single" w:sz="4" w:space="0" w:color="auto"/>
            </w:tcBorders>
            <w:shd w:val="clear" w:color="000000" w:fill="FFFFFF"/>
            <w:hideMark/>
          </w:tcPr>
          <w:p w:rsidR="004236BB" w:rsidRPr="00431D28" w:rsidRDefault="004236BB" w:rsidP="004236BB">
            <w:pPr>
              <w:jc w:val="center"/>
              <w:rPr>
                <w:rFonts w:cs="Arial"/>
                <w:i/>
                <w:iCs/>
                <w:color w:val="000000"/>
                <w:sz w:val="18"/>
                <w:szCs w:val="18"/>
                <w:lang w:val="fr-FR"/>
              </w:rPr>
            </w:pPr>
            <w:r w:rsidRPr="00431D28">
              <w:rPr>
                <w:rFonts w:cs="Arial"/>
                <w:i/>
                <w:iCs/>
                <w:color w:val="000000"/>
                <w:sz w:val="18"/>
                <w:szCs w:val="18"/>
                <w:lang w:val="fr-FR"/>
              </w:rPr>
              <w:t>2017</w:t>
            </w:r>
          </w:p>
        </w:tc>
      </w:tr>
      <w:tr w:rsidR="004236BB" w:rsidRPr="00431D28" w:rsidTr="007632C2">
        <w:trPr>
          <w:trHeight w:val="345"/>
        </w:trPr>
        <w:tc>
          <w:tcPr>
            <w:tcW w:w="1575" w:type="dxa"/>
            <w:tcBorders>
              <w:top w:val="nil"/>
              <w:left w:val="single" w:sz="4" w:space="0" w:color="auto"/>
              <w:bottom w:val="nil"/>
              <w:right w:val="nil"/>
            </w:tcBorders>
            <w:shd w:val="clear" w:color="000000" w:fill="FFFFFF"/>
            <w:vAlign w:val="bottom"/>
            <w:hideMark/>
          </w:tcPr>
          <w:p w:rsidR="004236BB" w:rsidRPr="00431D28" w:rsidRDefault="00271FAA" w:rsidP="004236BB">
            <w:pPr>
              <w:jc w:val="left"/>
              <w:rPr>
                <w:rFonts w:cs="Arial"/>
                <w:color w:val="000000"/>
                <w:sz w:val="18"/>
                <w:szCs w:val="18"/>
                <w:lang w:val="fr-FR"/>
              </w:rPr>
            </w:pPr>
            <w:r w:rsidRPr="00431D28">
              <w:rPr>
                <w:rFonts w:cs="Arial"/>
                <w:color w:val="000000"/>
                <w:sz w:val="18"/>
                <w:szCs w:val="18"/>
                <w:lang w:val="fr-FR"/>
              </w:rPr>
              <w:t>Recettes</w:t>
            </w:r>
          </w:p>
        </w:tc>
        <w:tc>
          <w:tcPr>
            <w:tcW w:w="850" w:type="dxa"/>
            <w:tcBorders>
              <w:top w:val="nil"/>
              <w:left w:val="nil"/>
              <w:bottom w:val="nil"/>
              <w:right w:val="nil"/>
            </w:tcBorders>
            <w:shd w:val="clear" w:color="000000" w:fill="FFFFFF"/>
            <w:vAlign w:val="bottom"/>
            <w:hideMark/>
          </w:tcPr>
          <w:p w:rsidR="004236BB" w:rsidRPr="00431D28" w:rsidRDefault="00271FAA" w:rsidP="004236BB">
            <w:pPr>
              <w:jc w:val="right"/>
              <w:rPr>
                <w:rFonts w:cs="Arial"/>
                <w:color w:val="000000"/>
                <w:sz w:val="18"/>
                <w:szCs w:val="18"/>
                <w:lang w:val="fr-FR"/>
              </w:rPr>
            </w:pPr>
            <w:r w:rsidRPr="00431D28">
              <w:rPr>
                <w:rFonts w:cs="Arial"/>
                <w:color w:val="000000"/>
                <w:sz w:val="18"/>
                <w:szCs w:val="18"/>
                <w:lang w:val="fr-FR"/>
              </w:rPr>
              <w:t>3 </w:t>
            </w:r>
            <w:r w:rsidR="004236BB" w:rsidRPr="00431D28">
              <w:rPr>
                <w:rFonts w:cs="Arial"/>
                <w:color w:val="000000"/>
                <w:sz w:val="18"/>
                <w:szCs w:val="18"/>
                <w:lang w:val="fr-FR"/>
              </w:rPr>
              <w:t>378</w:t>
            </w:r>
          </w:p>
        </w:tc>
        <w:tc>
          <w:tcPr>
            <w:tcW w:w="851" w:type="dxa"/>
            <w:tcBorders>
              <w:top w:val="nil"/>
              <w:left w:val="nil"/>
              <w:bottom w:val="nil"/>
              <w:right w:val="nil"/>
            </w:tcBorders>
            <w:shd w:val="clear" w:color="000000" w:fill="FFFFFF"/>
            <w:vAlign w:val="bottom"/>
            <w:hideMark/>
          </w:tcPr>
          <w:p w:rsidR="004236BB" w:rsidRPr="00431D28" w:rsidRDefault="00271FAA" w:rsidP="004236BB">
            <w:pPr>
              <w:jc w:val="right"/>
              <w:rPr>
                <w:rFonts w:cs="Arial"/>
                <w:color w:val="000000"/>
                <w:sz w:val="18"/>
                <w:szCs w:val="18"/>
                <w:lang w:val="fr-FR"/>
              </w:rPr>
            </w:pPr>
            <w:r w:rsidRPr="00431D28">
              <w:rPr>
                <w:rFonts w:cs="Arial"/>
                <w:color w:val="000000"/>
                <w:sz w:val="18"/>
                <w:szCs w:val="18"/>
                <w:lang w:val="fr-FR"/>
              </w:rPr>
              <w:t>3 </w:t>
            </w:r>
            <w:r w:rsidR="004236BB" w:rsidRPr="00431D28">
              <w:rPr>
                <w:rFonts w:cs="Arial"/>
                <w:color w:val="000000"/>
                <w:sz w:val="18"/>
                <w:szCs w:val="18"/>
                <w:lang w:val="fr-FR"/>
              </w:rPr>
              <w:t>393</w:t>
            </w:r>
          </w:p>
        </w:tc>
        <w:tc>
          <w:tcPr>
            <w:tcW w:w="708" w:type="dxa"/>
            <w:gridSpan w:val="2"/>
            <w:tcBorders>
              <w:top w:val="nil"/>
              <w:left w:val="nil"/>
              <w:bottom w:val="nil"/>
              <w:right w:val="nil"/>
            </w:tcBorders>
            <w:shd w:val="clear" w:color="000000" w:fill="FFFFFF"/>
            <w:vAlign w:val="bottom"/>
            <w:hideMark/>
          </w:tcPr>
          <w:p w:rsidR="004236BB" w:rsidRPr="00431D28" w:rsidRDefault="00271FAA" w:rsidP="004236BB">
            <w:pPr>
              <w:jc w:val="right"/>
              <w:rPr>
                <w:rFonts w:cs="Arial"/>
                <w:sz w:val="18"/>
                <w:szCs w:val="18"/>
                <w:lang w:val="fr-FR"/>
              </w:rPr>
            </w:pPr>
            <w:r w:rsidRPr="00431D28">
              <w:rPr>
                <w:rFonts w:cs="Arial"/>
                <w:sz w:val="18"/>
                <w:szCs w:val="18"/>
                <w:lang w:val="fr-FR"/>
              </w:rPr>
              <w:t>3 </w:t>
            </w:r>
            <w:r w:rsidR="004236BB" w:rsidRPr="00431D28">
              <w:rPr>
                <w:rFonts w:cs="Arial"/>
                <w:sz w:val="18"/>
                <w:szCs w:val="18"/>
                <w:lang w:val="fr-FR"/>
              </w:rPr>
              <w:t>412</w:t>
            </w:r>
          </w:p>
        </w:tc>
        <w:tc>
          <w:tcPr>
            <w:tcW w:w="867" w:type="dxa"/>
            <w:gridSpan w:val="2"/>
            <w:tcBorders>
              <w:top w:val="nil"/>
              <w:left w:val="nil"/>
              <w:bottom w:val="nil"/>
              <w:right w:val="single" w:sz="4" w:space="0" w:color="auto"/>
            </w:tcBorders>
            <w:shd w:val="clear" w:color="000000" w:fill="FFFFFF"/>
            <w:vAlign w:val="bottom"/>
            <w:hideMark/>
          </w:tcPr>
          <w:p w:rsidR="004236BB" w:rsidRPr="00431D28" w:rsidRDefault="00271FAA" w:rsidP="004236BB">
            <w:pPr>
              <w:jc w:val="right"/>
              <w:rPr>
                <w:rFonts w:cs="Arial"/>
                <w:sz w:val="18"/>
                <w:szCs w:val="18"/>
                <w:lang w:val="fr-FR"/>
              </w:rPr>
            </w:pPr>
            <w:r w:rsidRPr="00431D28">
              <w:rPr>
                <w:rFonts w:cs="Arial"/>
                <w:sz w:val="18"/>
                <w:szCs w:val="18"/>
                <w:lang w:val="fr-FR"/>
              </w:rPr>
              <w:t>3 </w:t>
            </w:r>
            <w:r w:rsidR="004236BB" w:rsidRPr="00431D28">
              <w:rPr>
                <w:rFonts w:cs="Arial"/>
                <w:sz w:val="18"/>
                <w:szCs w:val="18"/>
                <w:lang w:val="fr-FR"/>
              </w:rPr>
              <w:t>489</w:t>
            </w:r>
          </w:p>
        </w:tc>
        <w:tc>
          <w:tcPr>
            <w:tcW w:w="842" w:type="dxa"/>
            <w:tcBorders>
              <w:top w:val="nil"/>
              <w:left w:val="nil"/>
              <w:bottom w:val="nil"/>
              <w:right w:val="nil"/>
            </w:tcBorders>
            <w:shd w:val="clear" w:color="000000" w:fill="FFFFFF"/>
            <w:noWrap/>
            <w:vAlign w:val="bottom"/>
            <w:hideMark/>
          </w:tcPr>
          <w:p w:rsidR="004236BB" w:rsidRPr="00431D28" w:rsidRDefault="00271FAA" w:rsidP="004236BB">
            <w:pPr>
              <w:jc w:val="right"/>
              <w:rPr>
                <w:rFonts w:cs="Arial"/>
                <w:sz w:val="18"/>
                <w:szCs w:val="18"/>
                <w:lang w:val="fr-FR"/>
              </w:rPr>
            </w:pPr>
            <w:r w:rsidRPr="00431D28">
              <w:rPr>
                <w:rFonts w:cs="Arial"/>
                <w:sz w:val="18"/>
                <w:szCs w:val="18"/>
                <w:lang w:val="fr-FR"/>
              </w:rPr>
              <w:t>3 </w:t>
            </w:r>
            <w:r w:rsidR="004236BB" w:rsidRPr="00431D28">
              <w:rPr>
                <w:rFonts w:cs="Arial"/>
                <w:sz w:val="18"/>
                <w:szCs w:val="18"/>
                <w:lang w:val="fr-FR"/>
              </w:rPr>
              <w:t>394</w:t>
            </w:r>
          </w:p>
        </w:tc>
        <w:tc>
          <w:tcPr>
            <w:tcW w:w="701" w:type="dxa"/>
            <w:tcBorders>
              <w:top w:val="nil"/>
              <w:left w:val="nil"/>
              <w:bottom w:val="nil"/>
              <w:right w:val="single" w:sz="4" w:space="0" w:color="auto"/>
            </w:tcBorders>
            <w:shd w:val="clear" w:color="000000" w:fill="FFFFFF"/>
            <w:noWrap/>
            <w:vAlign w:val="bottom"/>
            <w:hideMark/>
          </w:tcPr>
          <w:p w:rsidR="004236BB" w:rsidRPr="00431D28" w:rsidRDefault="00271FAA" w:rsidP="004236BB">
            <w:pPr>
              <w:jc w:val="right"/>
              <w:rPr>
                <w:rFonts w:cs="Arial"/>
                <w:sz w:val="18"/>
                <w:szCs w:val="18"/>
                <w:lang w:val="fr-FR"/>
              </w:rPr>
            </w:pPr>
            <w:r w:rsidRPr="00431D28">
              <w:rPr>
                <w:rFonts w:cs="Arial"/>
                <w:sz w:val="18"/>
                <w:szCs w:val="18"/>
                <w:lang w:val="fr-FR"/>
              </w:rPr>
              <w:t>3 </w:t>
            </w:r>
            <w:r w:rsidR="004236BB" w:rsidRPr="00431D28">
              <w:rPr>
                <w:rFonts w:cs="Arial"/>
                <w:sz w:val="18"/>
                <w:szCs w:val="18"/>
                <w:lang w:val="fr-FR"/>
              </w:rPr>
              <w:t>404</w:t>
            </w:r>
          </w:p>
        </w:tc>
        <w:tc>
          <w:tcPr>
            <w:tcW w:w="833" w:type="dxa"/>
            <w:tcBorders>
              <w:top w:val="nil"/>
              <w:left w:val="nil"/>
              <w:bottom w:val="nil"/>
              <w:right w:val="nil"/>
            </w:tcBorders>
            <w:shd w:val="clear" w:color="000000" w:fill="FFFFFF"/>
            <w:noWrap/>
            <w:vAlign w:val="bottom"/>
            <w:hideMark/>
          </w:tcPr>
          <w:p w:rsidR="004236BB" w:rsidRPr="00431D28" w:rsidRDefault="00271FAA" w:rsidP="004236BB">
            <w:pPr>
              <w:jc w:val="right"/>
              <w:rPr>
                <w:rFonts w:cs="Arial"/>
                <w:sz w:val="18"/>
                <w:szCs w:val="18"/>
                <w:lang w:val="fr-FR"/>
              </w:rPr>
            </w:pPr>
            <w:r w:rsidRPr="00431D28">
              <w:rPr>
                <w:rFonts w:cs="Arial"/>
                <w:sz w:val="18"/>
                <w:szCs w:val="18"/>
                <w:lang w:val="fr-FR"/>
              </w:rPr>
              <w:t>3 </w:t>
            </w:r>
            <w:r w:rsidR="004236BB" w:rsidRPr="00431D28">
              <w:rPr>
                <w:rFonts w:cs="Arial"/>
                <w:sz w:val="18"/>
                <w:szCs w:val="18"/>
                <w:lang w:val="fr-FR"/>
              </w:rPr>
              <w:t>392</w:t>
            </w:r>
          </w:p>
        </w:tc>
        <w:tc>
          <w:tcPr>
            <w:tcW w:w="767" w:type="dxa"/>
            <w:tcBorders>
              <w:top w:val="nil"/>
              <w:left w:val="nil"/>
              <w:bottom w:val="nil"/>
              <w:right w:val="single" w:sz="4" w:space="0" w:color="auto"/>
            </w:tcBorders>
            <w:shd w:val="clear" w:color="000000" w:fill="FFFFFF"/>
            <w:noWrap/>
            <w:vAlign w:val="bottom"/>
            <w:hideMark/>
          </w:tcPr>
          <w:p w:rsidR="004236BB" w:rsidRPr="00431D28" w:rsidRDefault="00271FAA" w:rsidP="004236BB">
            <w:pPr>
              <w:jc w:val="right"/>
              <w:rPr>
                <w:rFonts w:cs="Arial"/>
                <w:sz w:val="18"/>
                <w:szCs w:val="18"/>
                <w:lang w:val="fr-FR"/>
              </w:rPr>
            </w:pPr>
            <w:r w:rsidRPr="00431D28">
              <w:rPr>
                <w:rFonts w:cs="Arial"/>
                <w:sz w:val="18"/>
                <w:szCs w:val="18"/>
                <w:lang w:val="fr-FR"/>
              </w:rPr>
              <w:t>3 </w:t>
            </w:r>
            <w:r w:rsidR="004236BB" w:rsidRPr="00431D28">
              <w:rPr>
                <w:rFonts w:cs="Arial"/>
                <w:sz w:val="18"/>
                <w:szCs w:val="18"/>
                <w:lang w:val="fr-FR"/>
              </w:rPr>
              <w:t>402</w:t>
            </w:r>
          </w:p>
        </w:tc>
        <w:tc>
          <w:tcPr>
            <w:tcW w:w="767" w:type="dxa"/>
            <w:tcBorders>
              <w:top w:val="nil"/>
              <w:left w:val="nil"/>
              <w:bottom w:val="nil"/>
              <w:right w:val="nil"/>
            </w:tcBorders>
            <w:shd w:val="clear" w:color="000000" w:fill="FFFFFF"/>
            <w:noWrap/>
            <w:vAlign w:val="bottom"/>
            <w:hideMark/>
          </w:tcPr>
          <w:p w:rsidR="004236BB" w:rsidRPr="00431D28" w:rsidRDefault="00271FAA" w:rsidP="004236BB">
            <w:pPr>
              <w:jc w:val="right"/>
              <w:rPr>
                <w:rFonts w:cs="Arial"/>
                <w:sz w:val="18"/>
                <w:szCs w:val="18"/>
                <w:lang w:val="fr-FR"/>
              </w:rPr>
            </w:pPr>
            <w:r w:rsidRPr="00431D28">
              <w:rPr>
                <w:rFonts w:cs="Arial"/>
                <w:sz w:val="18"/>
                <w:szCs w:val="18"/>
                <w:lang w:val="fr-FR"/>
              </w:rPr>
              <w:t>3 </w:t>
            </w:r>
            <w:r w:rsidR="004236BB" w:rsidRPr="00431D28">
              <w:rPr>
                <w:rFonts w:cs="Arial"/>
                <w:sz w:val="18"/>
                <w:szCs w:val="18"/>
                <w:lang w:val="fr-FR"/>
              </w:rPr>
              <w:t>413</w:t>
            </w:r>
          </w:p>
        </w:tc>
        <w:tc>
          <w:tcPr>
            <w:tcW w:w="767" w:type="dxa"/>
            <w:tcBorders>
              <w:top w:val="nil"/>
              <w:left w:val="nil"/>
              <w:bottom w:val="nil"/>
              <w:right w:val="single" w:sz="4" w:space="0" w:color="auto"/>
            </w:tcBorders>
            <w:shd w:val="clear" w:color="000000" w:fill="FFFFFF"/>
            <w:noWrap/>
            <w:vAlign w:val="bottom"/>
            <w:hideMark/>
          </w:tcPr>
          <w:p w:rsidR="004236BB" w:rsidRPr="00431D28" w:rsidRDefault="00271FAA" w:rsidP="004236BB">
            <w:pPr>
              <w:jc w:val="right"/>
              <w:rPr>
                <w:rFonts w:cs="Arial"/>
                <w:sz w:val="18"/>
                <w:szCs w:val="18"/>
                <w:lang w:val="fr-FR"/>
              </w:rPr>
            </w:pPr>
            <w:r w:rsidRPr="00431D28">
              <w:rPr>
                <w:rFonts w:cs="Arial"/>
                <w:sz w:val="18"/>
                <w:szCs w:val="18"/>
                <w:lang w:val="fr-FR"/>
              </w:rPr>
              <w:t>3 </w:t>
            </w:r>
            <w:r w:rsidR="004236BB" w:rsidRPr="00431D28">
              <w:rPr>
                <w:rFonts w:cs="Arial"/>
                <w:sz w:val="18"/>
                <w:szCs w:val="18"/>
                <w:lang w:val="fr-FR"/>
              </w:rPr>
              <w:t>423</w:t>
            </w:r>
          </w:p>
        </w:tc>
      </w:tr>
      <w:tr w:rsidR="004236BB" w:rsidRPr="00431D28" w:rsidTr="007632C2">
        <w:trPr>
          <w:trHeight w:val="345"/>
        </w:trPr>
        <w:tc>
          <w:tcPr>
            <w:tcW w:w="1575" w:type="dxa"/>
            <w:tcBorders>
              <w:top w:val="nil"/>
              <w:left w:val="single" w:sz="4" w:space="0" w:color="auto"/>
              <w:bottom w:val="nil"/>
              <w:right w:val="nil"/>
            </w:tcBorders>
            <w:shd w:val="clear" w:color="000000" w:fill="FFFFFF"/>
            <w:vAlign w:val="bottom"/>
            <w:hideMark/>
          </w:tcPr>
          <w:p w:rsidR="004236BB" w:rsidRPr="00431D28" w:rsidRDefault="00271FAA" w:rsidP="004236BB">
            <w:pPr>
              <w:jc w:val="left"/>
              <w:rPr>
                <w:rFonts w:cs="Arial"/>
                <w:color w:val="000000"/>
                <w:sz w:val="18"/>
                <w:szCs w:val="18"/>
                <w:lang w:val="fr-FR"/>
              </w:rPr>
            </w:pPr>
            <w:r w:rsidRPr="00431D28">
              <w:rPr>
                <w:rFonts w:cs="Arial"/>
                <w:color w:val="000000"/>
                <w:sz w:val="18"/>
                <w:szCs w:val="18"/>
                <w:lang w:val="fr-FR"/>
              </w:rPr>
              <w:t>Dépenses</w:t>
            </w:r>
          </w:p>
        </w:tc>
        <w:tc>
          <w:tcPr>
            <w:tcW w:w="850" w:type="dxa"/>
            <w:tcBorders>
              <w:top w:val="nil"/>
              <w:left w:val="nil"/>
              <w:bottom w:val="nil"/>
              <w:right w:val="nil"/>
            </w:tcBorders>
            <w:shd w:val="clear" w:color="000000" w:fill="FFFFFF"/>
            <w:vAlign w:val="bottom"/>
            <w:hideMark/>
          </w:tcPr>
          <w:p w:rsidR="004236BB" w:rsidRPr="00431D28" w:rsidRDefault="00271FAA" w:rsidP="004236BB">
            <w:pPr>
              <w:jc w:val="right"/>
              <w:rPr>
                <w:rFonts w:cs="Arial"/>
                <w:color w:val="000000"/>
                <w:sz w:val="18"/>
                <w:szCs w:val="18"/>
                <w:lang w:val="fr-FR"/>
              </w:rPr>
            </w:pPr>
            <w:r w:rsidRPr="00431D28">
              <w:rPr>
                <w:rFonts w:cs="Arial"/>
                <w:color w:val="000000"/>
                <w:sz w:val="18"/>
                <w:szCs w:val="18"/>
                <w:lang w:val="fr-FR"/>
              </w:rPr>
              <w:t>3 </w:t>
            </w:r>
            <w:r w:rsidR="004236BB" w:rsidRPr="00431D28">
              <w:rPr>
                <w:rFonts w:cs="Arial"/>
                <w:color w:val="000000"/>
                <w:sz w:val="18"/>
                <w:szCs w:val="18"/>
                <w:lang w:val="fr-FR"/>
              </w:rPr>
              <w:t>034</w:t>
            </w:r>
          </w:p>
        </w:tc>
        <w:tc>
          <w:tcPr>
            <w:tcW w:w="851" w:type="dxa"/>
            <w:tcBorders>
              <w:top w:val="nil"/>
              <w:left w:val="nil"/>
              <w:bottom w:val="nil"/>
              <w:right w:val="nil"/>
            </w:tcBorders>
            <w:shd w:val="clear" w:color="000000" w:fill="FFFFFF"/>
            <w:vAlign w:val="bottom"/>
            <w:hideMark/>
          </w:tcPr>
          <w:p w:rsidR="004236BB" w:rsidRPr="00431D28" w:rsidRDefault="00271FAA" w:rsidP="004236BB">
            <w:pPr>
              <w:jc w:val="right"/>
              <w:rPr>
                <w:rFonts w:cs="Arial"/>
                <w:color w:val="000000"/>
                <w:sz w:val="18"/>
                <w:szCs w:val="18"/>
                <w:lang w:val="fr-FR"/>
              </w:rPr>
            </w:pPr>
            <w:r w:rsidRPr="00431D28">
              <w:rPr>
                <w:rFonts w:cs="Arial"/>
                <w:color w:val="000000"/>
                <w:sz w:val="18"/>
                <w:szCs w:val="18"/>
                <w:lang w:val="fr-FR"/>
              </w:rPr>
              <w:t>3 </w:t>
            </w:r>
            <w:r w:rsidR="004236BB" w:rsidRPr="00431D28">
              <w:rPr>
                <w:rFonts w:cs="Arial"/>
                <w:color w:val="000000"/>
                <w:sz w:val="18"/>
                <w:szCs w:val="18"/>
                <w:lang w:val="fr-FR"/>
              </w:rPr>
              <w:t>347</w:t>
            </w:r>
          </w:p>
        </w:tc>
        <w:tc>
          <w:tcPr>
            <w:tcW w:w="708" w:type="dxa"/>
            <w:gridSpan w:val="2"/>
            <w:tcBorders>
              <w:top w:val="nil"/>
              <w:left w:val="nil"/>
              <w:bottom w:val="nil"/>
              <w:right w:val="nil"/>
            </w:tcBorders>
            <w:shd w:val="clear" w:color="000000" w:fill="FFFFFF"/>
            <w:vAlign w:val="bottom"/>
            <w:hideMark/>
          </w:tcPr>
          <w:p w:rsidR="004236BB" w:rsidRPr="00431D28" w:rsidRDefault="00271FAA" w:rsidP="004236BB">
            <w:pPr>
              <w:jc w:val="right"/>
              <w:rPr>
                <w:rFonts w:cs="Arial"/>
                <w:sz w:val="18"/>
                <w:szCs w:val="18"/>
                <w:lang w:val="fr-FR"/>
              </w:rPr>
            </w:pPr>
            <w:r w:rsidRPr="00431D28">
              <w:rPr>
                <w:rFonts w:cs="Arial"/>
                <w:sz w:val="18"/>
                <w:szCs w:val="18"/>
                <w:lang w:val="fr-FR"/>
              </w:rPr>
              <w:t>3 </w:t>
            </w:r>
            <w:r w:rsidR="004236BB" w:rsidRPr="00431D28">
              <w:rPr>
                <w:rFonts w:cs="Arial"/>
                <w:sz w:val="18"/>
                <w:szCs w:val="18"/>
                <w:lang w:val="fr-FR"/>
              </w:rPr>
              <w:t>501</w:t>
            </w:r>
          </w:p>
        </w:tc>
        <w:tc>
          <w:tcPr>
            <w:tcW w:w="867" w:type="dxa"/>
            <w:gridSpan w:val="2"/>
            <w:tcBorders>
              <w:top w:val="nil"/>
              <w:left w:val="nil"/>
              <w:bottom w:val="nil"/>
              <w:right w:val="single" w:sz="4" w:space="0" w:color="auto"/>
            </w:tcBorders>
            <w:shd w:val="clear" w:color="000000" w:fill="FFFFFF"/>
            <w:vAlign w:val="bottom"/>
            <w:hideMark/>
          </w:tcPr>
          <w:p w:rsidR="004236BB" w:rsidRPr="00431D28" w:rsidRDefault="00271FAA" w:rsidP="004236BB">
            <w:pPr>
              <w:jc w:val="right"/>
              <w:rPr>
                <w:rFonts w:cs="Arial"/>
                <w:sz w:val="18"/>
                <w:szCs w:val="18"/>
                <w:lang w:val="fr-FR"/>
              </w:rPr>
            </w:pPr>
            <w:r w:rsidRPr="00431D28">
              <w:rPr>
                <w:rFonts w:cs="Arial"/>
                <w:sz w:val="18"/>
                <w:szCs w:val="18"/>
                <w:lang w:val="fr-FR"/>
              </w:rPr>
              <w:t>2 </w:t>
            </w:r>
            <w:r w:rsidR="004236BB" w:rsidRPr="00431D28">
              <w:rPr>
                <w:rFonts w:cs="Arial"/>
                <w:sz w:val="18"/>
                <w:szCs w:val="18"/>
                <w:lang w:val="fr-FR"/>
              </w:rPr>
              <w:t>978</w:t>
            </w:r>
          </w:p>
        </w:tc>
        <w:tc>
          <w:tcPr>
            <w:tcW w:w="842" w:type="dxa"/>
            <w:tcBorders>
              <w:top w:val="nil"/>
              <w:left w:val="nil"/>
              <w:bottom w:val="nil"/>
              <w:right w:val="nil"/>
            </w:tcBorders>
            <w:shd w:val="clear" w:color="000000" w:fill="FFFFFF"/>
            <w:vAlign w:val="bottom"/>
            <w:hideMark/>
          </w:tcPr>
          <w:p w:rsidR="004236BB" w:rsidRPr="00431D28" w:rsidRDefault="00271FAA" w:rsidP="004236BB">
            <w:pPr>
              <w:jc w:val="right"/>
              <w:rPr>
                <w:rFonts w:cs="Arial"/>
                <w:color w:val="000000"/>
                <w:sz w:val="18"/>
                <w:szCs w:val="18"/>
                <w:lang w:val="fr-FR"/>
              </w:rPr>
            </w:pPr>
            <w:r w:rsidRPr="00431D28">
              <w:rPr>
                <w:rFonts w:cs="Arial"/>
                <w:color w:val="000000"/>
                <w:sz w:val="18"/>
                <w:szCs w:val="18"/>
                <w:lang w:val="fr-FR"/>
              </w:rPr>
              <w:t>3 </w:t>
            </w:r>
            <w:r w:rsidR="004236BB" w:rsidRPr="00431D28">
              <w:rPr>
                <w:rFonts w:cs="Arial"/>
                <w:color w:val="000000"/>
                <w:sz w:val="18"/>
                <w:szCs w:val="18"/>
                <w:lang w:val="fr-FR"/>
              </w:rPr>
              <w:t>394</w:t>
            </w:r>
          </w:p>
        </w:tc>
        <w:tc>
          <w:tcPr>
            <w:tcW w:w="701" w:type="dxa"/>
            <w:tcBorders>
              <w:top w:val="nil"/>
              <w:left w:val="nil"/>
              <w:bottom w:val="nil"/>
              <w:right w:val="single" w:sz="4" w:space="0" w:color="auto"/>
            </w:tcBorders>
            <w:shd w:val="clear" w:color="000000" w:fill="FFFFFF"/>
            <w:vAlign w:val="bottom"/>
            <w:hideMark/>
          </w:tcPr>
          <w:p w:rsidR="004236BB" w:rsidRPr="00431D28" w:rsidRDefault="00271FAA" w:rsidP="004236BB">
            <w:pPr>
              <w:jc w:val="right"/>
              <w:rPr>
                <w:rFonts w:cs="Arial"/>
                <w:color w:val="000000"/>
                <w:sz w:val="18"/>
                <w:szCs w:val="18"/>
                <w:lang w:val="fr-FR"/>
              </w:rPr>
            </w:pPr>
            <w:r w:rsidRPr="00431D28">
              <w:rPr>
                <w:rFonts w:cs="Arial"/>
                <w:color w:val="000000"/>
                <w:sz w:val="18"/>
                <w:szCs w:val="18"/>
                <w:lang w:val="fr-FR"/>
              </w:rPr>
              <w:t>3 </w:t>
            </w:r>
            <w:r w:rsidR="004236BB" w:rsidRPr="00431D28">
              <w:rPr>
                <w:rFonts w:cs="Arial"/>
                <w:color w:val="000000"/>
                <w:sz w:val="18"/>
                <w:szCs w:val="18"/>
                <w:lang w:val="fr-FR"/>
              </w:rPr>
              <w:t>404</w:t>
            </w:r>
          </w:p>
        </w:tc>
        <w:tc>
          <w:tcPr>
            <w:tcW w:w="833" w:type="dxa"/>
            <w:tcBorders>
              <w:top w:val="nil"/>
              <w:left w:val="nil"/>
              <w:bottom w:val="nil"/>
              <w:right w:val="nil"/>
            </w:tcBorders>
            <w:shd w:val="clear" w:color="000000" w:fill="FFFFFF"/>
            <w:vAlign w:val="bottom"/>
            <w:hideMark/>
          </w:tcPr>
          <w:p w:rsidR="004236BB" w:rsidRPr="00431D28" w:rsidRDefault="00271FAA" w:rsidP="004236BB">
            <w:pPr>
              <w:jc w:val="right"/>
              <w:rPr>
                <w:rFonts w:cs="Arial"/>
                <w:color w:val="000000"/>
                <w:sz w:val="18"/>
                <w:szCs w:val="18"/>
                <w:lang w:val="fr-FR"/>
              </w:rPr>
            </w:pPr>
            <w:r w:rsidRPr="00431D28">
              <w:rPr>
                <w:rFonts w:cs="Arial"/>
                <w:color w:val="000000"/>
                <w:sz w:val="18"/>
                <w:szCs w:val="18"/>
                <w:lang w:val="fr-FR"/>
              </w:rPr>
              <w:t>3 </w:t>
            </w:r>
            <w:r w:rsidR="004236BB" w:rsidRPr="00431D28">
              <w:rPr>
                <w:rFonts w:cs="Arial"/>
                <w:color w:val="000000"/>
                <w:sz w:val="18"/>
                <w:szCs w:val="18"/>
                <w:lang w:val="fr-FR"/>
              </w:rPr>
              <w:t>392</w:t>
            </w:r>
          </w:p>
        </w:tc>
        <w:tc>
          <w:tcPr>
            <w:tcW w:w="767" w:type="dxa"/>
            <w:tcBorders>
              <w:top w:val="nil"/>
              <w:left w:val="nil"/>
              <w:bottom w:val="nil"/>
              <w:right w:val="single" w:sz="4" w:space="0" w:color="auto"/>
            </w:tcBorders>
            <w:shd w:val="clear" w:color="000000" w:fill="FFFFFF"/>
            <w:vAlign w:val="bottom"/>
            <w:hideMark/>
          </w:tcPr>
          <w:p w:rsidR="004236BB" w:rsidRPr="00431D28" w:rsidRDefault="00271FAA" w:rsidP="004236BB">
            <w:pPr>
              <w:jc w:val="right"/>
              <w:rPr>
                <w:rFonts w:cs="Arial"/>
                <w:color w:val="000000"/>
                <w:sz w:val="18"/>
                <w:szCs w:val="18"/>
                <w:lang w:val="fr-FR"/>
              </w:rPr>
            </w:pPr>
            <w:r w:rsidRPr="00431D28">
              <w:rPr>
                <w:rFonts w:cs="Arial"/>
                <w:color w:val="000000"/>
                <w:sz w:val="18"/>
                <w:szCs w:val="18"/>
                <w:lang w:val="fr-FR"/>
              </w:rPr>
              <w:t>3 </w:t>
            </w:r>
            <w:r w:rsidR="004236BB" w:rsidRPr="00431D28">
              <w:rPr>
                <w:rFonts w:cs="Arial"/>
                <w:color w:val="000000"/>
                <w:sz w:val="18"/>
                <w:szCs w:val="18"/>
                <w:lang w:val="fr-FR"/>
              </w:rPr>
              <w:t>402</w:t>
            </w:r>
          </w:p>
        </w:tc>
        <w:tc>
          <w:tcPr>
            <w:tcW w:w="767" w:type="dxa"/>
            <w:tcBorders>
              <w:top w:val="nil"/>
              <w:left w:val="nil"/>
              <w:bottom w:val="nil"/>
              <w:right w:val="nil"/>
            </w:tcBorders>
            <w:shd w:val="clear" w:color="000000" w:fill="FFFFFF"/>
            <w:noWrap/>
            <w:vAlign w:val="bottom"/>
            <w:hideMark/>
          </w:tcPr>
          <w:p w:rsidR="004236BB" w:rsidRPr="00431D28" w:rsidRDefault="00271FAA" w:rsidP="004236BB">
            <w:pPr>
              <w:jc w:val="right"/>
              <w:rPr>
                <w:rFonts w:cs="Arial"/>
                <w:sz w:val="18"/>
                <w:szCs w:val="18"/>
                <w:lang w:val="fr-FR"/>
              </w:rPr>
            </w:pPr>
            <w:r w:rsidRPr="00431D28">
              <w:rPr>
                <w:rFonts w:cs="Arial"/>
                <w:sz w:val="18"/>
                <w:szCs w:val="18"/>
                <w:lang w:val="fr-FR"/>
              </w:rPr>
              <w:t>3 </w:t>
            </w:r>
            <w:r w:rsidR="004236BB" w:rsidRPr="00431D28">
              <w:rPr>
                <w:rFonts w:cs="Arial"/>
                <w:sz w:val="18"/>
                <w:szCs w:val="18"/>
                <w:lang w:val="fr-FR"/>
              </w:rPr>
              <w:t>413</w:t>
            </w:r>
          </w:p>
        </w:tc>
        <w:tc>
          <w:tcPr>
            <w:tcW w:w="767" w:type="dxa"/>
            <w:tcBorders>
              <w:top w:val="nil"/>
              <w:left w:val="nil"/>
              <w:bottom w:val="nil"/>
              <w:right w:val="single" w:sz="4" w:space="0" w:color="auto"/>
            </w:tcBorders>
            <w:shd w:val="clear" w:color="000000" w:fill="FFFFFF"/>
            <w:noWrap/>
            <w:vAlign w:val="bottom"/>
            <w:hideMark/>
          </w:tcPr>
          <w:p w:rsidR="004236BB" w:rsidRPr="00431D28" w:rsidRDefault="00271FAA" w:rsidP="004236BB">
            <w:pPr>
              <w:jc w:val="right"/>
              <w:rPr>
                <w:rFonts w:cs="Arial"/>
                <w:sz w:val="18"/>
                <w:szCs w:val="18"/>
                <w:lang w:val="fr-FR"/>
              </w:rPr>
            </w:pPr>
            <w:r w:rsidRPr="00431D28">
              <w:rPr>
                <w:rFonts w:cs="Arial"/>
                <w:sz w:val="18"/>
                <w:szCs w:val="18"/>
                <w:lang w:val="fr-FR"/>
              </w:rPr>
              <w:t>3 </w:t>
            </w:r>
            <w:r w:rsidR="004236BB" w:rsidRPr="00431D28">
              <w:rPr>
                <w:rFonts w:cs="Arial"/>
                <w:sz w:val="18"/>
                <w:szCs w:val="18"/>
                <w:lang w:val="fr-FR"/>
              </w:rPr>
              <w:t>423</w:t>
            </w:r>
          </w:p>
        </w:tc>
      </w:tr>
      <w:tr w:rsidR="004236BB" w:rsidRPr="00431D28" w:rsidTr="007632C2">
        <w:trPr>
          <w:trHeight w:val="390"/>
        </w:trPr>
        <w:tc>
          <w:tcPr>
            <w:tcW w:w="1575" w:type="dxa"/>
            <w:tcBorders>
              <w:top w:val="nil"/>
              <w:left w:val="single" w:sz="4" w:space="0" w:color="auto"/>
              <w:bottom w:val="single" w:sz="4" w:space="0" w:color="auto"/>
              <w:right w:val="nil"/>
            </w:tcBorders>
            <w:shd w:val="clear" w:color="000000" w:fill="FFFFFF"/>
            <w:vAlign w:val="bottom"/>
            <w:hideMark/>
          </w:tcPr>
          <w:p w:rsidR="004236BB" w:rsidRPr="00431D28" w:rsidRDefault="00271FAA" w:rsidP="004236BB">
            <w:pPr>
              <w:jc w:val="left"/>
              <w:rPr>
                <w:rFonts w:cs="Arial"/>
                <w:i/>
                <w:iCs/>
                <w:color w:val="000000"/>
                <w:sz w:val="18"/>
                <w:szCs w:val="18"/>
                <w:lang w:val="fr-FR"/>
              </w:rPr>
            </w:pPr>
            <w:r w:rsidRPr="00431D28">
              <w:rPr>
                <w:rFonts w:cs="Arial"/>
                <w:i/>
                <w:iCs/>
                <w:color w:val="000000"/>
                <w:sz w:val="18"/>
                <w:szCs w:val="18"/>
                <w:lang w:val="fr-FR"/>
              </w:rPr>
              <w:t>Diffé</w:t>
            </w:r>
            <w:r w:rsidR="004236BB" w:rsidRPr="00431D28">
              <w:rPr>
                <w:rFonts w:cs="Arial"/>
                <w:i/>
                <w:iCs/>
                <w:color w:val="000000"/>
                <w:sz w:val="18"/>
                <w:szCs w:val="18"/>
                <w:lang w:val="fr-FR"/>
              </w:rPr>
              <w:t>rence</w:t>
            </w:r>
          </w:p>
        </w:tc>
        <w:tc>
          <w:tcPr>
            <w:tcW w:w="850" w:type="dxa"/>
            <w:tcBorders>
              <w:top w:val="nil"/>
              <w:left w:val="nil"/>
              <w:bottom w:val="single" w:sz="4" w:space="0" w:color="auto"/>
              <w:right w:val="nil"/>
            </w:tcBorders>
            <w:shd w:val="clear" w:color="000000" w:fill="FFFFFF"/>
            <w:vAlign w:val="bottom"/>
            <w:hideMark/>
          </w:tcPr>
          <w:p w:rsidR="004236BB" w:rsidRPr="00431D28" w:rsidRDefault="004236BB" w:rsidP="004236BB">
            <w:pPr>
              <w:jc w:val="right"/>
              <w:rPr>
                <w:rFonts w:cs="Arial"/>
                <w:i/>
                <w:iCs/>
                <w:color w:val="000000"/>
                <w:sz w:val="18"/>
                <w:szCs w:val="18"/>
                <w:lang w:val="fr-FR"/>
              </w:rPr>
            </w:pPr>
            <w:r w:rsidRPr="00431D28">
              <w:rPr>
                <w:rFonts w:cs="Arial"/>
                <w:i/>
                <w:iCs/>
                <w:color w:val="000000"/>
                <w:sz w:val="18"/>
                <w:szCs w:val="18"/>
                <w:lang w:val="fr-FR"/>
              </w:rPr>
              <w:t>344</w:t>
            </w:r>
          </w:p>
        </w:tc>
        <w:tc>
          <w:tcPr>
            <w:tcW w:w="851" w:type="dxa"/>
            <w:tcBorders>
              <w:top w:val="nil"/>
              <w:left w:val="nil"/>
              <w:bottom w:val="single" w:sz="4" w:space="0" w:color="auto"/>
              <w:right w:val="nil"/>
            </w:tcBorders>
            <w:shd w:val="clear" w:color="000000" w:fill="FFFFFF"/>
            <w:vAlign w:val="bottom"/>
            <w:hideMark/>
          </w:tcPr>
          <w:p w:rsidR="004236BB" w:rsidRPr="00431D28" w:rsidRDefault="004236BB" w:rsidP="004236BB">
            <w:pPr>
              <w:jc w:val="right"/>
              <w:rPr>
                <w:rFonts w:cs="Arial"/>
                <w:i/>
                <w:iCs/>
                <w:color w:val="000000"/>
                <w:sz w:val="18"/>
                <w:szCs w:val="18"/>
                <w:lang w:val="fr-FR"/>
              </w:rPr>
            </w:pPr>
            <w:r w:rsidRPr="00431D28">
              <w:rPr>
                <w:rFonts w:cs="Arial"/>
                <w:i/>
                <w:iCs/>
                <w:color w:val="000000"/>
                <w:sz w:val="18"/>
                <w:szCs w:val="18"/>
                <w:lang w:val="fr-FR"/>
              </w:rPr>
              <w:t>46</w:t>
            </w:r>
          </w:p>
        </w:tc>
        <w:tc>
          <w:tcPr>
            <w:tcW w:w="708" w:type="dxa"/>
            <w:gridSpan w:val="2"/>
            <w:tcBorders>
              <w:top w:val="nil"/>
              <w:left w:val="nil"/>
              <w:bottom w:val="single" w:sz="4" w:space="0" w:color="auto"/>
              <w:right w:val="nil"/>
            </w:tcBorders>
            <w:shd w:val="clear" w:color="000000" w:fill="FFFFFF"/>
            <w:vAlign w:val="bottom"/>
            <w:hideMark/>
          </w:tcPr>
          <w:p w:rsidR="004236BB" w:rsidRPr="00431D28" w:rsidRDefault="004236BB" w:rsidP="004236BB">
            <w:pPr>
              <w:jc w:val="right"/>
              <w:rPr>
                <w:rFonts w:cs="Arial"/>
                <w:i/>
                <w:iCs/>
                <w:color w:val="000000"/>
                <w:sz w:val="18"/>
                <w:szCs w:val="18"/>
                <w:lang w:val="fr-FR"/>
              </w:rPr>
            </w:pPr>
            <w:r w:rsidRPr="00431D28">
              <w:rPr>
                <w:rFonts w:cs="Arial"/>
                <w:i/>
                <w:iCs/>
                <w:color w:val="000000"/>
                <w:sz w:val="18"/>
                <w:szCs w:val="18"/>
                <w:lang w:val="fr-FR"/>
              </w:rPr>
              <w:t>-89</w:t>
            </w:r>
          </w:p>
        </w:tc>
        <w:tc>
          <w:tcPr>
            <w:tcW w:w="867" w:type="dxa"/>
            <w:gridSpan w:val="2"/>
            <w:tcBorders>
              <w:top w:val="nil"/>
              <w:left w:val="nil"/>
              <w:bottom w:val="single" w:sz="4" w:space="0" w:color="auto"/>
              <w:right w:val="single" w:sz="4" w:space="0" w:color="auto"/>
            </w:tcBorders>
            <w:shd w:val="clear" w:color="000000" w:fill="FFFFFF"/>
            <w:vAlign w:val="bottom"/>
            <w:hideMark/>
          </w:tcPr>
          <w:p w:rsidR="004236BB" w:rsidRPr="00431D28" w:rsidRDefault="004236BB" w:rsidP="004236BB">
            <w:pPr>
              <w:jc w:val="right"/>
              <w:rPr>
                <w:rFonts w:cs="Arial"/>
                <w:i/>
                <w:iCs/>
                <w:color w:val="000000"/>
                <w:sz w:val="18"/>
                <w:szCs w:val="18"/>
                <w:lang w:val="fr-FR"/>
              </w:rPr>
            </w:pPr>
            <w:r w:rsidRPr="00431D28">
              <w:rPr>
                <w:rFonts w:cs="Arial"/>
                <w:i/>
                <w:iCs/>
                <w:color w:val="000000"/>
                <w:sz w:val="18"/>
                <w:szCs w:val="18"/>
                <w:lang w:val="fr-FR"/>
              </w:rPr>
              <w:t>511</w:t>
            </w:r>
          </w:p>
        </w:tc>
        <w:tc>
          <w:tcPr>
            <w:tcW w:w="842" w:type="dxa"/>
            <w:tcBorders>
              <w:top w:val="nil"/>
              <w:left w:val="nil"/>
              <w:bottom w:val="single" w:sz="4" w:space="0" w:color="auto"/>
              <w:right w:val="nil"/>
            </w:tcBorders>
            <w:shd w:val="clear" w:color="000000" w:fill="FFFFFF"/>
            <w:vAlign w:val="bottom"/>
            <w:hideMark/>
          </w:tcPr>
          <w:p w:rsidR="004236BB" w:rsidRPr="00431D28" w:rsidRDefault="004236BB" w:rsidP="004236BB">
            <w:pPr>
              <w:jc w:val="right"/>
              <w:rPr>
                <w:rFonts w:cs="Arial"/>
                <w:i/>
                <w:iCs/>
                <w:color w:val="000000"/>
                <w:sz w:val="18"/>
                <w:szCs w:val="18"/>
                <w:lang w:val="fr-FR"/>
              </w:rPr>
            </w:pPr>
            <w:r w:rsidRPr="00431D28">
              <w:rPr>
                <w:rFonts w:cs="Arial"/>
                <w:i/>
                <w:iCs/>
                <w:color w:val="000000"/>
                <w:sz w:val="18"/>
                <w:szCs w:val="18"/>
                <w:lang w:val="fr-FR"/>
              </w:rPr>
              <w:t>-</w:t>
            </w:r>
          </w:p>
        </w:tc>
        <w:tc>
          <w:tcPr>
            <w:tcW w:w="701" w:type="dxa"/>
            <w:tcBorders>
              <w:top w:val="nil"/>
              <w:left w:val="nil"/>
              <w:bottom w:val="single" w:sz="4" w:space="0" w:color="auto"/>
              <w:right w:val="single" w:sz="4" w:space="0" w:color="auto"/>
            </w:tcBorders>
            <w:shd w:val="clear" w:color="000000" w:fill="FFFFFF"/>
            <w:vAlign w:val="bottom"/>
            <w:hideMark/>
          </w:tcPr>
          <w:p w:rsidR="004236BB" w:rsidRPr="00431D28" w:rsidRDefault="004236BB" w:rsidP="004236BB">
            <w:pPr>
              <w:jc w:val="right"/>
              <w:rPr>
                <w:rFonts w:cs="Arial"/>
                <w:i/>
                <w:iCs/>
                <w:color w:val="000000"/>
                <w:sz w:val="18"/>
                <w:szCs w:val="18"/>
                <w:lang w:val="fr-FR"/>
              </w:rPr>
            </w:pPr>
            <w:r w:rsidRPr="00431D28">
              <w:rPr>
                <w:rFonts w:cs="Arial"/>
                <w:i/>
                <w:iCs/>
                <w:color w:val="000000"/>
                <w:sz w:val="18"/>
                <w:szCs w:val="18"/>
                <w:lang w:val="fr-FR"/>
              </w:rPr>
              <w:t>-</w:t>
            </w:r>
          </w:p>
        </w:tc>
        <w:tc>
          <w:tcPr>
            <w:tcW w:w="833" w:type="dxa"/>
            <w:tcBorders>
              <w:top w:val="nil"/>
              <w:left w:val="nil"/>
              <w:bottom w:val="single" w:sz="4" w:space="0" w:color="auto"/>
              <w:right w:val="nil"/>
            </w:tcBorders>
            <w:shd w:val="clear" w:color="000000" w:fill="FFFFFF"/>
            <w:vAlign w:val="bottom"/>
            <w:hideMark/>
          </w:tcPr>
          <w:p w:rsidR="004236BB" w:rsidRPr="00431D28" w:rsidRDefault="004236BB" w:rsidP="004236BB">
            <w:pPr>
              <w:jc w:val="right"/>
              <w:rPr>
                <w:rFonts w:cs="Arial"/>
                <w:i/>
                <w:iCs/>
                <w:color w:val="000000"/>
                <w:sz w:val="18"/>
                <w:szCs w:val="18"/>
                <w:lang w:val="fr-FR"/>
              </w:rPr>
            </w:pPr>
            <w:r w:rsidRPr="00431D28">
              <w:rPr>
                <w:rFonts w:cs="Arial"/>
                <w:i/>
                <w:iCs/>
                <w:color w:val="000000"/>
                <w:sz w:val="18"/>
                <w:szCs w:val="18"/>
                <w:lang w:val="fr-FR"/>
              </w:rPr>
              <w:t>-</w:t>
            </w:r>
          </w:p>
        </w:tc>
        <w:tc>
          <w:tcPr>
            <w:tcW w:w="767" w:type="dxa"/>
            <w:tcBorders>
              <w:top w:val="nil"/>
              <w:left w:val="nil"/>
              <w:bottom w:val="single" w:sz="4" w:space="0" w:color="auto"/>
              <w:right w:val="single" w:sz="4" w:space="0" w:color="auto"/>
            </w:tcBorders>
            <w:shd w:val="clear" w:color="000000" w:fill="FFFFFF"/>
            <w:vAlign w:val="bottom"/>
            <w:hideMark/>
          </w:tcPr>
          <w:p w:rsidR="004236BB" w:rsidRPr="00431D28" w:rsidRDefault="004236BB" w:rsidP="004236BB">
            <w:pPr>
              <w:jc w:val="right"/>
              <w:rPr>
                <w:rFonts w:cs="Arial"/>
                <w:i/>
                <w:iCs/>
                <w:color w:val="000000"/>
                <w:sz w:val="18"/>
                <w:szCs w:val="18"/>
                <w:lang w:val="fr-FR"/>
              </w:rPr>
            </w:pPr>
            <w:r w:rsidRPr="00431D28">
              <w:rPr>
                <w:rFonts w:cs="Arial"/>
                <w:i/>
                <w:iCs/>
                <w:color w:val="000000"/>
                <w:sz w:val="18"/>
                <w:szCs w:val="18"/>
                <w:lang w:val="fr-FR"/>
              </w:rPr>
              <w:t>-</w:t>
            </w:r>
          </w:p>
        </w:tc>
        <w:tc>
          <w:tcPr>
            <w:tcW w:w="767" w:type="dxa"/>
            <w:tcBorders>
              <w:top w:val="nil"/>
              <w:left w:val="nil"/>
              <w:bottom w:val="single" w:sz="4" w:space="0" w:color="auto"/>
              <w:right w:val="nil"/>
            </w:tcBorders>
            <w:shd w:val="clear" w:color="000000" w:fill="FFFFFF"/>
            <w:vAlign w:val="bottom"/>
            <w:hideMark/>
          </w:tcPr>
          <w:p w:rsidR="004236BB" w:rsidRPr="00431D28" w:rsidRDefault="004236BB" w:rsidP="004236BB">
            <w:pPr>
              <w:jc w:val="right"/>
              <w:rPr>
                <w:rFonts w:cs="Arial"/>
                <w:i/>
                <w:iCs/>
                <w:color w:val="000000"/>
                <w:sz w:val="18"/>
                <w:szCs w:val="18"/>
                <w:lang w:val="fr-FR"/>
              </w:rPr>
            </w:pPr>
          </w:p>
        </w:tc>
        <w:tc>
          <w:tcPr>
            <w:tcW w:w="767" w:type="dxa"/>
            <w:tcBorders>
              <w:top w:val="nil"/>
              <w:left w:val="nil"/>
              <w:bottom w:val="single" w:sz="4" w:space="0" w:color="auto"/>
              <w:right w:val="single" w:sz="4" w:space="0" w:color="auto"/>
            </w:tcBorders>
            <w:shd w:val="clear" w:color="000000" w:fill="FFFFFF"/>
            <w:vAlign w:val="bottom"/>
            <w:hideMark/>
          </w:tcPr>
          <w:p w:rsidR="004236BB" w:rsidRPr="00431D28" w:rsidRDefault="004236BB" w:rsidP="004236BB">
            <w:pPr>
              <w:jc w:val="right"/>
              <w:rPr>
                <w:rFonts w:cs="Arial"/>
                <w:i/>
                <w:iCs/>
                <w:color w:val="000000"/>
                <w:sz w:val="18"/>
                <w:szCs w:val="18"/>
                <w:lang w:val="fr-FR"/>
              </w:rPr>
            </w:pPr>
          </w:p>
        </w:tc>
      </w:tr>
    </w:tbl>
    <w:p w:rsidR="005A7F6B" w:rsidRPr="00431D28" w:rsidRDefault="005A7F6B" w:rsidP="00421639">
      <w:pPr>
        <w:keepNext/>
        <w:jc w:val="center"/>
        <w:rPr>
          <w:sz w:val="18"/>
          <w:szCs w:val="18"/>
          <w:lang w:val="fr-FR"/>
        </w:rPr>
      </w:pPr>
    </w:p>
    <w:p w:rsidR="004236BB" w:rsidRPr="00431D28" w:rsidRDefault="004236BB" w:rsidP="00421639">
      <w:pPr>
        <w:keepNext/>
        <w:jc w:val="center"/>
        <w:rPr>
          <w:sz w:val="18"/>
          <w:szCs w:val="18"/>
          <w:lang w:val="fr-FR"/>
        </w:rPr>
      </w:pPr>
    </w:p>
    <w:tbl>
      <w:tblPr>
        <w:tblW w:w="5821" w:type="dxa"/>
        <w:tblInd w:w="675" w:type="dxa"/>
        <w:tblLook w:val="04A0" w:firstRow="1" w:lastRow="0" w:firstColumn="1" w:lastColumn="0" w:noHBand="0" w:noVBand="1"/>
      </w:tblPr>
      <w:tblGrid>
        <w:gridCol w:w="4644"/>
        <w:gridCol w:w="1177"/>
      </w:tblGrid>
      <w:tr w:rsidR="004236BB" w:rsidRPr="00431D28" w:rsidTr="00267DEF">
        <w:trPr>
          <w:trHeight w:val="255"/>
        </w:trPr>
        <w:tc>
          <w:tcPr>
            <w:tcW w:w="4644" w:type="dxa"/>
            <w:tcBorders>
              <w:top w:val="single" w:sz="4" w:space="0" w:color="auto"/>
              <w:left w:val="single" w:sz="4" w:space="0" w:color="auto"/>
              <w:bottom w:val="nil"/>
              <w:right w:val="nil"/>
            </w:tcBorders>
            <w:shd w:val="clear" w:color="auto" w:fill="auto"/>
            <w:noWrap/>
            <w:vAlign w:val="bottom"/>
            <w:hideMark/>
          </w:tcPr>
          <w:p w:rsidR="004236BB" w:rsidRPr="00431D28" w:rsidRDefault="00271FAA" w:rsidP="004236BB">
            <w:pPr>
              <w:jc w:val="left"/>
              <w:rPr>
                <w:rFonts w:cs="Arial"/>
                <w:b/>
                <w:bCs/>
                <w:color w:val="000000"/>
                <w:sz w:val="18"/>
                <w:szCs w:val="18"/>
                <w:u w:val="single"/>
                <w:lang w:val="fr-FR"/>
              </w:rPr>
            </w:pPr>
            <w:r w:rsidRPr="00431D28">
              <w:rPr>
                <w:rFonts w:cs="Arial"/>
                <w:b/>
                <w:bCs/>
                <w:color w:val="000000"/>
                <w:sz w:val="18"/>
                <w:szCs w:val="18"/>
                <w:u w:val="single"/>
                <w:lang w:val="fr-FR"/>
              </w:rPr>
              <w:t>PLAFOND DES RÉSERVES</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4236BB" w:rsidRPr="00431D28" w:rsidRDefault="00267DEF" w:rsidP="004236BB">
            <w:pPr>
              <w:jc w:val="left"/>
              <w:rPr>
                <w:rFonts w:cs="Arial"/>
                <w:b/>
                <w:bCs/>
                <w:sz w:val="18"/>
                <w:szCs w:val="18"/>
                <w:lang w:val="fr-FR"/>
              </w:rPr>
            </w:pPr>
            <w:r>
              <w:rPr>
                <w:rFonts w:cs="Arial"/>
                <w:b/>
                <w:bCs/>
                <w:sz w:val="18"/>
                <w:szCs w:val="18"/>
                <w:lang w:val="fr-FR"/>
              </w:rPr>
              <w:t>2010-</w:t>
            </w:r>
            <w:r w:rsidR="004236BB" w:rsidRPr="00431D28">
              <w:rPr>
                <w:rFonts w:cs="Arial"/>
                <w:b/>
                <w:bCs/>
                <w:sz w:val="18"/>
                <w:szCs w:val="18"/>
                <w:lang w:val="fr-FR"/>
              </w:rPr>
              <w:t>2011</w:t>
            </w:r>
          </w:p>
        </w:tc>
      </w:tr>
      <w:tr w:rsidR="004236BB" w:rsidRPr="00431D28" w:rsidTr="00267DEF">
        <w:trPr>
          <w:trHeight w:val="375"/>
        </w:trPr>
        <w:tc>
          <w:tcPr>
            <w:tcW w:w="4644" w:type="dxa"/>
            <w:tcBorders>
              <w:top w:val="nil"/>
              <w:left w:val="single" w:sz="4" w:space="0" w:color="auto"/>
              <w:bottom w:val="nil"/>
              <w:right w:val="nil"/>
            </w:tcBorders>
            <w:shd w:val="clear" w:color="auto" w:fill="auto"/>
            <w:noWrap/>
            <w:vAlign w:val="bottom"/>
            <w:hideMark/>
          </w:tcPr>
          <w:p w:rsidR="004236BB" w:rsidRPr="00431D28" w:rsidRDefault="0086636E" w:rsidP="004236BB">
            <w:pPr>
              <w:jc w:val="left"/>
              <w:rPr>
                <w:rFonts w:cs="Arial"/>
                <w:sz w:val="18"/>
                <w:szCs w:val="18"/>
                <w:lang w:val="fr-FR"/>
              </w:rPr>
            </w:pPr>
            <w:r w:rsidRPr="00431D28">
              <w:rPr>
                <w:rFonts w:cs="Arial"/>
                <w:sz w:val="18"/>
                <w:szCs w:val="18"/>
                <w:lang w:val="fr-FR"/>
              </w:rPr>
              <w:t>Solde de clôture des ré</w:t>
            </w:r>
            <w:r w:rsidR="00271FAA" w:rsidRPr="00431D28">
              <w:rPr>
                <w:rFonts w:cs="Arial"/>
                <w:sz w:val="18"/>
                <w:szCs w:val="18"/>
                <w:lang w:val="fr-FR"/>
              </w:rPr>
              <w:t>serves 2011</w:t>
            </w:r>
          </w:p>
        </w:tc>
        <w:tc>
          <w:tcPr>
            <w:tcW w:w="1177" w:type="dxa"/>
            <w:tcBorders>
              <w:top w:val="nil"/>
              <w:left w:val="nil"/>
              <w:bottom w:val="nil"/>
              <w:right w:val="single" w:sz="4" w:space="0" w:color="auto"/>
            </w:tcBorders>
            <w:shd w:val="clear" w:color="auto" w:fill="auto"/>
            <w:noWrap/>
            <w:vAlign w:val="bottom"/>
            <w:hideMark/>
          </w:tcPr>
          <w:p w:rsidR="004236BB" w:rsidRPr="00431D28" w:rsidRDefault="00271FAA" w:rsidP="004236BB">
            <w:pPr>
              <w:jc w:val="right"/>
              <w:rPr>
                <w:rFonts w:cs="Arial"/>
                <w:sz w:val="18"/>
                <w:szCs w:val="18"/>
                <w:lang w:val="fr-FR"/>
              </w:rPr>
            </w:pPr>
            <w:r w:rsidRPr="00431D28">
              <w:rPr>
                <w:rFonts w:cs="Arial"/>
                <w:sz w:val="18"/>
                <w:szCs w:val="18"/>
                <w:lang w:val="fr-FR"/>
              </w:rPr>
              <w:t>1 </w:t>
            </w:r>
            <w:r w:rsidR="004236BB" w:rsidRPr="00431D28">
              <w:rPr>
                <w:rFonts w:cs="Arial"/>
                <w:sz w:val="18"/>
                <w:szCs w:val="18"/>
                <w:lang w:val="fr-FR"/>
              </w:rPr>
              <w:t>459</w:t>
            </w:r>
          </w:p>
        </w:tc>
      </w:tr>
      <w:tr w:rsidR="004236BB" w:rsidRPr="00431D28" w:rsidTr="00267DEF">
        <w:trPr>
          <w:trHeight w:val="255"/>
        </w:trPr>
        <w:tc>
          <w:tcPr>
            <w:tcW w:w="4644" w:type="dxa"/>
            <w:tcBorders>
              <w:top w:val="nil"/>
              <w:left w:val="single" w:sz="4" w:space="0" w:color="auto"/>
              <w:bottom w:val="nil"/>
              <w:right w:val="nil"/>
            </w:tcBorders>
            <w:shd w:val="clear" w:color="auto" w:fill="auto"/>
            <w:noWrap/>
            <w:vAlign w:val="bottom"/>
            <w:hideMark/>
          </w:tcPr>
          <w:p w:rsidR="004236BB" w:rsidRPr="00431D28" w:rsidRDefault="00271FAA" w:rsidP="004236BB">
            <w:pPr>
              <w:jc w:val="left"/>
              <w:rPr>
                <w:rFonts w:cs="Arial"/>
                <w:sz w:val="18"/>
                <w:szCs w:val="18"/>
                <w:lang w:val="fr-FR"/>
              </w:rPr>
            </w:pPr>
            <w:r w:rsidRPr="00431D28">
              <w:rPr>
                <w:rFonts w:cs="Arial"/>
                <w:sz w:val="18"/>
                <w:szCs w:val="18"/>
                <w:lang w:val="fr-FR"/>
              </w:rPr>
              <w:t>Ajustements IPSAS aux soldes d’ouverture</w:t>
            </w:r>
          </w:p>
        </w:tc>
        <w:tc>
          <w:tcPr>
            <w:tcW w:w="1177" w:type="dxa"/>
            <w:tcBorders>
              <w:top w:val="nil"/>
              <w:left w:val="nil"/>
              <w:bottom w:val="single" w:sz="4" w:space="0" w:color="auto"/>
              <w:right w:val="single" w:sz="4" w:space="0" w:color="auto"/>
            </w:tcBorders>
            <w:shd w:val="clear" w:color="auto" w:fill="auto"/>
            <w:noWrap/>
            <w:vAlign w:val="bottom"/>
            <w:hideMark/>
          </w:tcPr>
          <w:p w:rsidR="004236BB" w:rsidRPr="00431D28" w:rsidRDefault="004236BB" w:rsidP="004236BB">
            <w:pPr>
              <w:jc w:val="right"/>
              <w:rPr>
                <w:rFonts w:cs="Arial"/>
                <w:sz w:val="18"/>
                <w:szCs w:val="18"/>
                <w:lang w:val="fr-FR"/>
              </w:rPr>
            </w:pPr>
            <w:r w:rsidRPr="00431D28">
              <w:rPr>
                <w:rFonts w:cs="Arial"/>
                <w:sz w:val="18"/>
                <w:szCs w:val="18"/>
                <w:lang w:val="fr-FR"/>
              </w:rPr>
              <w:t>-759</w:t>
            </w:r>
          </w:p>
        </w:tc>
      </w:tr>
      <w:tr w:rsidR="004236BB" w:rsidRPr="00431D28" w:rsidTr="00267DEF">
        <w:trPr>
          <w:trHeight w:val="255"/>
        </w:trPr>
        <w:tc>
          <w:tcPr>
            <w:tcW w:w="4644" w:type="dxa"/>
            <w:tcBorders>
              <w:top w:val="nil"/>
              <w:left w:val="single" w:sz="4" w:space="0" w:color="auto"/>
              <w:bottom w:val="single" w:sz="4" w:space="0" w:color="auto"/>
              <w:right w:val="nil"/>
            </w:tcBorders>
            <w:shd w:val="clear" w:color="auto" w:fill="auto"/>
            <w:noWrap/>
            <w:vAlign w:val="bottom"/>
            <w:hideMark/>
          </w:tcPr>
          <w:p w:rsidR="004236BB" w:rsidRPr="00431D28" w:rsidRDefault="0086636E" w:rsidP="004236BB">
            <w:pPr>
              <w:jc w:val="left"/>
              <w:rPr>
                <w:rFonts w:cs="Arial"/>
                <w:sz w:val="18"/>
                <w:szCs w:val="18"/>
                <w:lang w:val="fr-FR"/>
              </w:rPr>
            </w:pPr>
            <w:r w:rsidRPr="00431D28">
              <w:rPr>
                <w:rFonts w:cs="Arial"/>
                <w:sz w:val="18"/>
                <w:szCs w:val="18"/>
                <w:lang w:val="fr-FR"/>
              </w:rPr>
              <w:t>Solde d’ouverture des réserves 2012</w:t>
            </w:r>
          </w:p>
        </w:tc>
        <w:tc>
          <w:tcPr>
            <w:tcW w:w="1177" w:type="dxa"/>
            <w:tcBorders>
              <w:top w:val="nil"/>
              <w:left w:val="nil"/>
              <w:bottom w:val="single" w:sz="4" w:space="0" w:color="auto"/>
              <w:right w:val="single" w:sz="4" w:space="0" w:color="auto"/>
            </w:tcBorders>
            <w:shd w:val="clear" w:color="auto" w:fill="auto"/>
            <w:noWrap/>
            <w:vAlign w:val="bottom"/>
            <w:hideMark/>
          </w:tcPr>
          <w:p w:rsidR="004236BB" w:rsidRPr="00431D28" w:rsidRDefault="004236BB" w:rsidP="004236BB">
            <w:pPr>
              <w:jc w:val="right"/>
              <w:rPr>
                <w:rFonts w:cs="Arial"/>
                <w:sz w:val="18"/>
                <w:szCs w:val="18"/>
                <w:lang w:val="fr-FR"/>
              </w:rPr>
            </w:pPr>
            <w:r w:rsidRPr="00431D28">
              <w:rPr>
                <w:rFonts w:cs="Arial"/>
                <w:sz w:val="18"/>
                <w:szCs w:val="18"/>
                <w:lang w:val="fr-FR"/>
              </w:rPr>
              <w:t>700</w:t>
            </w:r>
          </w:p>
        </w:tc>
      </w:tr>
      <w:tr w:rsidR="004236BB" w:rsidRPr="00431D28" w:rsidTr="00267DEF">
        <w:trPr>
          <w:trHeight w:val="360"/>
        </w:trPr>
        <w:tc>
          <w:tcPr>
            <w:tcW w:w="4644" w:type="dxa"/>
            <w:tcBorders>
              <w:top w:val="nil"/>
              <w:left w:val="nil"/>
              <w:bottom w:val="nil"/>
              <w:right w:val="nil"/>
            </w:tcBorders>
            <w:shd w:val="clear" w:color="auto" w:fill="auto"/>
            <w:noWrap/>
            <w:vAlign w:val="bottom"/>
            <w:hideMark/>
          </w:tcPr>
          <w:p w:rsidR="004236BB" w:rsidRPr="00431D28" w:rsidRDefault="004236BB" w:rsidP="004236BB">
            <w:pPr>
              <w:jc w:val="left"/>
              <w:rPr>
                <w:rFonts w:cs="Arial"/>
                <w:sz w:val="18"/>
                <w:szCs w:val="18"/>
                <w:lang w:val="fr-FR"/>
              </w:rPr>
            </w:pPr>
          </w:p>
        </w:tc>
        <w:tc>
          <w:tcPr>
            <w:tcW w:w="1177" w:type="dxa"/>
            <w:tcBorders>
              <w:top w:val="nil"/>
              <w:left w:val="nil"/>
              <w:bottom w:val="nil"/>
              <w:right w:val="nil"/>
            </w:tcBorders>
            <w:shd w:val="clear" w:color="auto" w:fill="auto"/>
            <w:noWrap/>
            <w:vAlign w:val="bottom"/>
            <w:hideMark/>
          </w:tcPr>
          <w:p w:rsidR="004236BB" w:rsidRPr="00431D28" w:rsidRDefault="004236BB" w:rsidP="004236BB">
            <w:pPr>
              <w:jc w:val="right"/>
              <w:rPr>
                <w:rFonts w:cs="Arial"/>
                <w:sz w:val="18"/>
                <w:szCs w:val="18"/>
                <w:lang w:val="fr-FR"/>
              </w:rPr>
            </w:pPr>
          </w:p>
        </w:tc>
      </w:tr>
      <w:tr w:rsidR="004236BB" w:rsidRPr="00431D28" w:rsidTr="00267DEF">
        <w:trPr>
          <w:trHeight w:val="255"/>
        </w:trPr>
        <w:tc>
          <w:tcPr>
            <w:tcW w:w="4644" w:type="dxa"/>
            <w:tcBorders>
              <w:top w:val="single" w:sz="4" w:space="0" w:color="auto"/>
              <w:left w:val="single" w:sz="4" w:space="0" w:color="auto"/>
              <w:bottom w:val="nil"/>
              <w:right w:val="nil"/>
            </w:tcBorders>
            <w:shd w:val="clear" w:color="auto" w:fill="auto"/>
            <w:noWrap/>
            <w:vAlign w:val="bottom"/>
            <w:hideMark/>
          </w:tcPr>
          <w:p w:rsidR="004236BB" w:rsidRPr="00431D28" w:rsidRDefault="0086636E" w:rsidP="004236BB">
            <w:pPr>
              <w:jc w:val="left"/>
              <w:rPr>
                <w:rFonts w:cs="Arial"/>
                <w:sz w:val="18"/>
                <w:szCs w:val="18"/>
                <w:lang w:val="fr-FR"/>
              </w:rPr>
            </w:pPr>
            <w:r w:rsidRPr="00431D28">
              <w:rPr>
                <w:rFonts w:cs="Arial"/>
                <w:sz w:val="18"/>
                <w:szCs w:val="18"/>
                <w:lang w:val="fr-FR"/>
              </w:rPr>
              <w:t xml:space="preserve">Recettes </w:t>
            </w:r>
            <w:r w:rsidR="004236BB" w:rsidRPr="00431D28">
              <w:rPr>
                <w:rFonts w:cs="Arial"/>
                <w:sz w:val="18"/>
                <w:szCs w:val="18"/>
                <w:lang w:val="fr-FR"/>
              </w:rPr>
              <w:t>2010/2011</w:t>
            </w:r>
          </w:p>
        </w:tc>
        <w:tc>
          <w:tcPr>
            <w:tcW w:w="1177" w:type="dxa"/>
            <w:tcBorders>
              <w:top w:val="single" w:sz="4" w:space="0" w:color="auto"/>
              <w:left w:val="nil"/>
              <w:bottom w:val="nil"/>
              <w:right w:val="single" w:sz="4" w:space="0" w:color="auto"/>
            </w:tcBorders>
            <w:shd w:val="clear" w:color="auto" w:fill="auto"/>
            <w:noWrap/>
            <w:vAlign w:val="bottom"/>
            <w:hideMark/>
          </w:tcPr>
          <w:p w:rsidR="004236BB" w:rsidRPr="00431D28" w:rsidRDefault="0086636E" w:rsidP="004236BB">
            <w:pPr>
              <w:jc w:val="right"/>
              <w:rPr>
                <w:rFonts w:cs="Arial"/>
                <w:sz w:val="18"/>
                <w:szCs w:val="18"/>
                <w:lang w:val="fr-FR"/>
              </w:rPr>
            </w:pPr>
            <w:r w:rsidRPr="00431D28">
              <w:rPr>
                <w:rFonts w:cs="Arial"/>
                <w:sz w:val="18"/>
                <w:szCs w:val="18"/>
                <w:lang w:val="fr-FR"/>
              </w:rPr>
              <w:t>6 </w:t>
            </w:r>
            <w:r w:rsidR="004236BB" w:rsidRPr="00431D28">
              <w:rPr>
                <w:rFonts w:cs="Arial"/>
                <w:sz w:val="18"/>
                <w:szCs w:val="18"/>
                <w:lang w:val="fr-FR"/>
              </w:rPr>
              <w:t>901</w:t>
            </w:r>
          </w:p>
        </w:tc>
      </w:tr>
      <w:tr w:rsidR="004236BB" w:rsidRPr="00431D28" w:rsidTr="00267DEF">
        <w:trPr>
          <w:trHeight w:val="255"/>
        </w:trPr>
        <w:tc>
          <w:tcPr>
            <w:tcW w:w="4644" w:type="dxa"/>
            <w:tcBorders>
              <w:top w:val="nil"/>
              <w:left w:val="single" w:sz="4" w:space="0" w:color="auto"/>
              <w:bottom w:val="nil"/>
              <w:right w:val="nil"/>
            </w:tcBorders>
            <w:shd w:val="clear" w:color="auto" w:fill="auto"/>
            <w:noWrap/>
            <w:vAlign w:val="bottom"/>
            <w:hideMark/>
          </w:tcPr>
          <w:p w:rsidR="004236BB" w:rsidRPr="00431D28" w:rsidRDefault="0086636E" w:rsidP="004236BB">
            <w:pPr>
              <w:jc w:val="left"/>
              <w:rPr>
                <w:rFonts w:cs="Arial"/>
                <w:sz w:val="18"/>
                <w:szCs w:val="18"/>
                <w:lang w:val="fr-FR"/>
              </w:rPr>
            </w:pPr>
            <w:r w:rsidRPr="00431D28">
              <w:rPr>
                <w:rFonts w:cs="Arial"/>
                <w:sz w:val="18"/>
                <w:szCs w:val="18"/>
                <w:lang w:val="fr-FR"/>
              </w:rPr>
              <w:t>Plafond des réserves en</w:t>
            </w:r>
            <w:r w:rsidR="004236BB" w:rsidRPr="00431D28">
              <w:rPr>
                <w:rFonts w:cs="Arial"/>
                <w:sz w:val="18"/>
                <w:szCs w:val="18"/>
                <w:lang w:val="fr-FR"/>
              </w:rPr>
              <w:t xml:space="preserve"> %</w:t>
            </w:r>
            <w:r w:rsidRPr="00431D28">
              <w:rPr>
                <w:rFonts w:cs="Arial"/>
                <w:sz w:val="18"/>
                <w:szCs w:val="18"/>
                <w:lang w:val="fr-FR"/>
              </w:rPr>
              <w:t xml:space="preserve"> des réserves </w:t>
            </w:r>
            <w:r w:rsidR="004236BB" w:rsidRPr="00431D28">
              <w:rPr>
                <w:rFonts w:cs="Arial"/>
                <w:sz w:val="18"/>
                <w:szCs w:val="18"/>
                <w:lang w:val="fr-FR"/>
              </w:rPr>
              <w:t>(15%)*</w:t>
            </w:r>
          </w:p>
        </w:tc>
        <w:tc>
          <w:tcPr>
            <w:tcW w:w="1177" w:type="dxa"/>
            <w:tcBorders>
              <w:top w:val="nil"/>
              <w:left w:val="nil"/>
              <w:bottom w:val="nil"/>
              <w:right w:val="single" w:sz="4" w:space="0" w:color="auto"/>
            </w:tcBorders>
            <w:shd w:val="clear" w:color="auto" w:fill="auto"/>
            <w:noWrap/>
            <w:vAlign w:val="bottom"/>
            <w:hideMark/>
          </w:tcPr>
          <w:p w:rsidR="004236BB" w:rsidRPr="00431D28" w:rsidRDefault="0086636E" w:rsidP="004236BB">
            <w:pPr>
              <w:jc w:val="right"/>
              <w:rPr>
                <w:rFonts w:cs="Arial"/>
                <w:sz w:val="18"/>
                <w:szCs w:val="18"/>
                <w:lang w:val="fr-FR"/>
              </w:rPr>
            </w:pPr>
            <w:r w:rsidRPr="00431D28">
              <w:rPr>
                <w:rFonts w:cs="Arial"/>
                <w:sz w:val="18"/>
                <w:szCs w:val="18"/>
                <w:lang w:val="fr-FR"/>
              </w:rPr>
              <w:t>1 </w:t>
            </w:r>
            <w:r w:rsidR="004236BB" w:rsidRPr="00431D28">
              <w:rPr>
                <w:rFonts w:cs="Arial"/>
                <w:sz w:val="18"/>
                <w:szCs w:val="18"/>
                <w:lang w:val="fr-FR"/>
              </w:rPr>
              <w:t xml:space="preserve">035 </w:t>
            </w:r>
          </w:p>
        </w:tc>
      </w:tr>
      <w:tr w:rsidR="004236BB" w:rsidRPr="00431D28" w:rsidTr="00267DEF">
        <w:trPr>
          <w:trHeight w:val="255"/>
        </w:trPr>
        <w:tc>
          <w:tcPr>
            <w:tcW w:w="4644" w:type="dxa"/>
            <w:tcBorders>
              <w:top w:val="nil"/>
              <w:left w:val="single" w:sz="4" w:space="0" w:color="auto"/>
              <w:bottom w:val="nil"/>
              <w:right w:val="nil"/>
            </w:tcBorders>
            <w:shd w:val="clear" w:color="auto" w:fill="auto"/>
            <w:noWrap/>
            <w:vAlign w:val="bottom"/>
            <w:hideMark/>
          </w:tcPr>
          <w:p w:rsidR="004236BB" w:rsidRPr="00431D28" w:rsidRDefault="0086636E" w:rsidP="004236BB">
            <w:pPr>
              <w:jc w:val="left"/>
              <w:rPr>
                <w:rFonts w:cs="Arial"/>
                <w:sz w:val="18"/>
                <w:szCs w:val="18"/>
                <w:lang w:val="fr-FR"/>
              </w:rPr>
            </w:pPr>
            <w:r w:rsidRPr="00431D28">
              <w:rPr>
                <w:rFonts w:cs="Arial"/>
                <w:sz w:val="18"/>
                <w:szCs w:val="18"/>
                <w:lang w:val="fr-FR"/>
              </w:rPr>
              <w:t xml:space="preserve">Fonds de réserve dépassant </w:t>
            </w:r>
            <w:r w:rsidR="004236BB" w:rsidRPr="00431D28">
              <w:rPr>
                <w:rFonts w:cs="Arial"/>
                <w:sz w:val="18"/>
                <w:szCs w:val="18"/>
                <w:lang w:val="fr-FR"/>
              </w:rPr>
              <w:t>15%</w:t>
            </w:r>
          </w:p>
        </w:tc>
        <w:tc>
          <w:tcPr>
            <w:tcW w:w="1177" w:type="dxa"/>
            <w:tcBorders>
              <w:top w:val="nil"/>
              <w:left w:val="nil"/>
              <w:bottom w:val="nil"/>
              <w:right w:val="single" w:sz="4" w:space="0" w:color="auto"/>
            </w:tcBorders>
            <w:shd w:val="clear" w:color="auto" w:fill="auto"/>
            <w:noWrap/>
            <w:vAlign w:val="bottom"/>
            <w:hideMark/>
          </w:tcPr>
          <w:p w:rsidR="004236BB" w:rsidRPr="00431D28" w:rsidRDefault="004236BB" w:rsidP="00561957">
            <w:pPr>
              <w:jc w:val="right"/>
              <w:rPr>
                <w:rFonts w:cs="Arial"/>
                <w:sz w:val="18"/>
                <w:szCs w:val="18"/>
                <w:lang w:val="fr-FR"/>
              </w:rPr>
            </w:pPr>
            <w:r w:rsidRPr="00431D28">
              <w:rPr>
                <w:rFonts w:cs="Arial"/>
                <w:sz w:val="18"/>
                <w:szCs w:val="18"/>
                <w:lang w:val="fr-FR"/>
              </w:rPr>
              <w:t>-335</w:t>
            </w:r>
          </w:p>
        </w:tc>
      </w:tr>
      <w:tr w:rsidR="004236BB" w:rsidRPr="00431D28" w:rsidTr="00267DEF">
        <w:trPr>
          <w:trHeight w:val="255"/>
        </w:trPr>
        <w:tc>
          <w:tcPr>
            <w:tcW w:w="4644" w:type="dxa"/>
            <w:tcBorders>
              <w:top w:val="nil"/>
              <w:left w:val="single" w:sz="4" w:space="0" w:color="auto"/>
              <w:bottom w:val="single" w:sz="4" w:space="0" w:color="auto"/>
              <w:right w:val="nil"/>
            </w:tcBorders>
            <w:shd w:val="clear" w:color="000000" w:fill="FFFFFF"/>
            <w:noWrap/>
            <w:vAlign w:val="bottom"/>
            <w:hideMark/>
          </w:tcPr>
          <w:p w:rsidR="004236BB" w:rsidRPr="00431D28" w:rsidRDefault="004236BB" w:rsidP="004236BB">
            <w:pPr>
              <w:jc w:val="left"/>
              <w:rPr>
                <w:rFonts w:cs="Arial"/>
                <w:sz w:val="18"/>
                <w:szCs w:val="18"/>
                <w:lang w:val="fr-FR"/>
              </w:rPr>
            </w:pPr>
          </w:p>
        </w:tc>
        <w:tc>
          <w:tcPr>
            <w:tcW w:w="1177" w:type="dxa"/>
            <w:tcBorders>
              <w:top w:val="nil"/>
              <w:left w:val="nil"/>
              <w:bottom w:val="single" w:sz="4" w:space="0" w:color="auto"/>
              <w:right w:val="single" w:sz="4" w:space="0" w:color="auto"/>
            </w:tcBorders>
            <w:shd w:val="clear" w:color="000000" w:fill="FFFFFF"/>
            <w:noWrap/>
            <w:vAlign w:val="bottom"/>
            <w:hideMark/>
          </w:tcPr>
          <w:p w:rsidR="004236BB" w:rsidRPr="00431D28" w:rsidRDefault="004236BB" w:rsidP="00DD4DAE">
            <w:pPr>
              <w:jc w:val="right"/>
              <w:rPr>
                <w:rFonts w:cs="Arial"/>
                <w:sz w:val="18"/>
                <w:szCs w:val="18"/>
                <w:lang w:val="fr-FR"/>
              </w:rPr>
            </w:pPr>
          </w:p>
        </w:tc>
      </w:tr>
    </w:tbl>
    <w:p w:rsidR="005A7F6B" w:rsidRPr="00431D28" w:rsidRDefault="005A7F6B" w:rsidP="00421639">
      <w:pPr>
        <w:keepNext/>
        <w:jc w:val="center"/>
        <w:rPr>
          <w:lang w:val="fr-FR"/>
        </w:rPr>
      </w:pPr>
    </w:p>
    <w:p w:rsidR="005A7F6B" w:rsidRPr="00431D28" w:rsidRDefault="0086636E" w:rsidP="00C74F48">
      <w:pPr>
        <w:tabs>
          <w:tab w:val="left" w:pos="567"/>
        </w:tabs>
        <w:ind w:left="567" w:right="141"/>
        <w:rPr>
          <w:i/>
          <w:sz w:val="18"/>
          <w:szCs w:val="18"/>
          <w:lang w:val="fr-FR"/>
        </w:rPr>
      </w:pPr>
      <w:r w:rsidRPr="00431D28">
        <w:rPr>
          <w:i/>
          <w:sz w:val="18"/>
          <w:szCs w:val="18"/>
          <w:lang w:val="fr-FR"/>
        </w:rPr>
        <w:t>* : Selon l’article 4.6 du règlement financier sur les fonds de réserve, “[l]’utilisation du fonds de réserve à des fins autres que pour couvrir un déficit relève de la décision du Conseil.  Si, après la clôture de l’exercice financier, le montant du fonds de réserve dépasse 15% des recettes totales pour l’exercice financier, l’excédent est remboursé aux membres de l’UPOV, sauf si le Conseil en décide autrement.  Tout membre de l’UPOV peut demander que le montant qui lui est remboursé soit déposé sur un compte spécial ou dans un fonds fiduciaire qu’il aura désigné”.</w:t>
      </w:r>
    </w:p>
    <w:p w:rsidR="005A7F6B" w:rsidRPr="00431D28" w:rsidRDefault="005A7F6B" w:rsidP="00DD18EE">
      <w:pPr>
        <w:tabs>
          <w:tab w:val="left" w:pos="567"/>
        </w:tabs>
        <w:rPr>
          <w:i/>
          <w:lang w:val="fr-FR"/>
        </w:rPr>
      </w:pPr>
    </w:p>
    <w:p w:rsidR="005A7F6B" w:rsidRPr="00431D28" w:rsidRDefault="005A7F6B" w:rsidP="00DD18EE">
      <w:pPr>
        <w:tabs>
          <w:tab w:val="left" w:pos="567"/>
        </w:tabs>
        <w:rPr>
          <w:i/>
          <w:lang w:val="fr-FR"/>
        </w:rPr>
      </w:pPr>
    </w:p>
    <w:p w:rsidR="005A7F6B" w:rsidRPr="00431D28" w:rsidRDefault="0086636E" w:rsidP="004236BB">
      <w:pPr>
        <w:keepNext/>
        <w:tabs>
          <w:tab w:val="left" w:pos="567"/>
        </w:tabs>
        <w:jc w:val="center"/>
        <w:rPr>
          <w:b/>
          <w:lang w:val="fr-FR"/>
        </w:rPr>
      </w:pPr>
      <w:r w:rsidRPr="00431D28">
        <w:rPr>
          <w:b/>
          <w:lang w:val="fr-FR"/>
        </w:rPr>
        <w:t>Graphique du tableau 9</w:t>
      </w:r>
    </w:p>
    <w:p w:rsidR="005A7F6B" w:rsidRPr="00431D28" w:rsidRDefault="005A7F6B" w:rsidP="004236BB">
      <w:pPr>
        <w:keepNext/>
        <w:rPr>
          <w:lang w:val="fr-FR"/>
        </w:rPr>
      </w:pPr>
    </w:p>
    <w:p w:rsidR="005A7F6B" w:rsidRPr="00431D28" w:rsidRDefault="00560E42" w:rsidP="00421639">
      <w:pPr>
        <w:tabs>
          <w:tab w:val="left" w:pos="567"/>
        </w:tabs>
        <w:rPr>
          <w:lang w:val="fr-FR"/>
        </w:rPr>
      </w:pPr>
      <w:r>
        <w:rPr>
          <w:noProof/>
        </w:rPr>
        <w:drawing>
          <wp:inline distT="0" distB="0" distL="0" distR="0">
            <wp:extent cx="6082665" cy="3296285"/>
            <wp:effectExtent l="0" t="0" r="13335" b="18415"/>
            <wp:docPr id="6"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A7F6B" w:rsidRPr="00431D28" w:rsidRDefault="005A7F6B" w:rsidP="00421639">
      <w:pPr>
        <w:rPr>
          <w:lang w:val="fr-FR"/>
        </w:rPr>
      </w:pPr>
    </w:p>
    <w:p w:rsidR="005A7F6B" w:rsidRPr="00431D28" w:rsidRDefault="005A7F6B" w:rsidP="00421639">
      <w:pPr>
        <w:rPr>
          <w:lang w:val="fr-FR"/>
        </w:rPr>
      </w:pPr>
    </w:p>
    <w:p w:rsidR="005A7F6B" w:rsidRPr="00431D28" w:rsidRDefault="003F2179" w:rsidP="00662B3C">
      <w:pPr>
        <w:rPr>
          <w:lang w:val="fr-FR"/>
        </w:rPr>
      </w:pPr>
      <w:r>
        <w:rPr>
          <w:lang w:val="fr-FR"/>
        </w:rPr>
        <w:t>4.3</w:t>
      </w:r>
      <w:r>
        <w:rPr>
          <w:lang w:val="fr-FR"/>
        </w:rPr>
        <w:tab/>
        <w:t>Les hypothèses ci</w:t>
      </w:r>
      <w:r w:rsidRPr="003E4E3B">
        <w:rPr>
          <w:rFonts w:cs="Arial"/>
          <w:snapToGrid w:val="0"/>
          <w:lang w:val="fr-FR"/>
        </w:rPr>
        <w:noBreakHyphen/>
      </w:r>
      <w:r w:rsidR="00662B3C" w:rsidRPr="00431D28">
        <w:rPr>
          <w:lang w:val="fr-FR"/>
        </w:rPr>
        <w:t>après sont posées :</w:t>
      </w:r>
    </w:p>
    <w:p w:rsidR="005A7F6B" w:rsidRPr="00431D28" w:rsidRDefault="005A7F6B" w:rsidP="00421639">
      <w:pPr>
        <w:rPr>
          <w:lang w:val="fr-FR"/>
        </w:rPr>
      </w:pPr>
    </w:p>
    <w:p w:rsidR="005A7F6B" w:rsidRPr="00431D28" w:rsidRDefault="00081074" w:rsidP="00081074">
      <w:pPr>
        <w:ind w:left="567" w:hanging="567"/>
        <w:rPr>
          <w:lang w:val="fr-FR"/>
        </w:rPr>
      </w:pPr>
      <w:r w:rsidRPr="00431D28">
        <w:rPr>
          <w:i/>
          <w:lang w:val="fr-FR"/>
        </w:rPr>
        <w:t>–</w:t>
      </w:r>
      <w:r w:rsidRPr="00431D28">
        <w:rPr>
          <w:lang w:val="fr-FR"/>
        </w:rPr>
        <w:tab/>
      </w:r>
      <w:r w:rsidRPr="00431D28">
        <w:rPr>
          <w:u w:val="single"/>
          <w:lang w:val="fr-FR"/>
        </w:rPr>
        <w:t>Recettes et fonds de roulement</w:t>
      </w:r>
      <w:r w:rsidRPr="00431D28">
        <w:rPr>
          <w:lang w:val="fr-FR"/>
        </w:rPr>
        <w:t xml:space="preserve"> : adhésion d’un membre supplémentaire par an, contribuant au budget pour un montant équivalant à 0,2 unité de contribution </w:t>
      </w:r>
      <w:r w:rsidR="003F2179">
        <w:rPr>
          <w:lang w:val="fr-FR"/>
        </w:rPr>
        <w:t>et au fonds de roulement pour 1</w:t>
      </w:r>
      <w:r w:rsidR="007C2995">
        <w:rPr>
          <w:lang w:val="fr-FR"/>
        </w:rPr>
        <w:t> </w:t>
      </w:r>
      <w:r w:rsidR="003F2179">
        <w:rPr>
          <w:lang w:val="fr-FR"/>
        </w:rPr>
        <w:t>667 francs </w:t>
      </w:r>
      <w:r w:rsidRPr="00431D28">
        <w:rPr>
          <w:lang w:val="fr-FR"/>
        </w:rPr>
        <w:t>suisses.</w:t>
      </w:r>
      <w:r w:rsidR="00431D28">
        <w:rPr>
          <w:lang w:val="fr-FR"/>
        </w:rPr>
        <w:t xml:space="preserve">  Les montants correspondants ont été indiqués sous forme arrondie.</w:t>
      </w:r>
    </w:p>
    <w:p w:rsidR="005A7F6B" w:rsidRPr="00431D28" w:rsidRDefault="005A7F6B" w:rsidP="00421639">
      <w:pPr>
        <w:ind w:left="567" w:hanging="567"/>
        <w:rPr>
          <w:lang w:val="fr-FR"/>
        </w:rPr>
      </w:pPr>
    </w:p>
    <w:p w:rsidR="005A7F6B" w:rsidRPr="00431D28" w:rsidRDefault="00421639" w:rsidP="00421639">
      <w:pPr>
        <w:ind w:left="567" w:hanging="567"/>
        <w:rPr>
          <w:lang w:val="fr-FR"/>
        </w:rPr>
      </w:pPr>
      <w:r w:rsidRPr="00431D28">
        <w:rPr>
          <w:lang w:val="fr-FR"/>
        </w:rPr>
        <w:t>–</w:t>
      </w:r>
      <w:r w:rsidRPr="00431D28">
        <w:rPr>
          <w:lang w:val="fr-FR"/>
        </w:rPr>
        <w:tab/>
      </w:r>
      <w:r w:rsidR="00081074" w:rsidRPr="00431D28">
        <w:rPr>
          <w:u w:val="single"/>
          <w:lang w:val="fr-FR"/>
        </w:rPr>
        <w:t>Dépenses</w:t>
      </w:r>
      <w:r w:rsidR="00081074" w:rsidRPr="00431D28">
        <w:rPr>
          <w:lang w:val="fr-FR"/>
        </w:rPr>
        <w:t> </w:t>
      </w:r>
      <w:r w:rsidRPr="00431D28">
        <w:rPr>
          <w:lang w:val="fr-FR"/>
        </w:rPr>
        <w:t xml:space="preserve">:  </w:t>
      </w:r>
    </w:p>
    <w:p w:rsidR="005A7F6B" w:rsidRPr="00431D28" w:rsidRDefault="005A7F6B" w:rsidP="00421639">
      <w:pPr>
        <w:ind w:left="567" w:hanging="567"/>
        <w:rPr>
          <w:lang w:val="fr-FR"/>
        </w:rPr>
      </w:pPr>
    </w:p>
    <w:p w:rsidR="005A7F6B" w:rsidRPr="00431D28" w:rsidRDefault="00421639" w:rsidP="00081074">
      <w:pPr>
        <w:ind w:left="567" w:hanging="567"/>
        <w:rPr>
          <w:lang w:val="fr-FR"/>
        </w:rPr>
      </w:pPr>
      <w:r w:rsidRPr="00431D28">
        <w:rPr>
          <w:lang w:val="fr-FR"/>
        </w:rPr>
        <w:tab/>
      </w:r>
      <w:r w:rsidR="00431D28">
        <w:rPr>
          <w:i/>
          <w:lang w:val="fr-FR"/>
        </w:rPr>
        <w:t>Ressources en personnel </w:t>
      </w:r>
      <w:r w:rsidR="00081074" w:rsidRPr="00431D28">
        <w:rPr>
          <w:i/>
          <w:lang w:val="fr-FR"/>
        </w:rPr>
        <w:t xml:space="preserve">: </w:t>
      </w:r>
      <w:r w:rsidR="00081074" w:rsidRPr="00431D28">
        <w:rPr>
          <w:lang w:val="fr-FR"/>
        </w:rPr>
        <w:t>aucun recrutement supplémentaire n’est prévu pour le Bureau de l’Union au cours de la période considérée.</w:t>
      </w:r>
      <w:r w:rsidRPr="00431D28">
        <w:rPr>
          <w:lang w:val="fr-FR"/>
        </w:rPr>
        <w:t xml:space="preserve">  </w:t>
      </w:r>
      <w:r w:rsidR="00081074" w:rsidRPr="00431D28">
        <w:rPr>
          <w:lang w:val="fr-FR"/>
        </w:rPr>
        <w:t>Les ressources en personnel devraient re</w:t>
      </w:r>
      <w:r w:rsidR="003F2179">
        <w:rPr>
          <w:lang w:val="fr-FR"/>
        </w:rPr>
        <w:t>présenter 65% du budget en 2014</w:t>
      </w:r>
      <w:r w:rsidR="003F2179" w:rsidRPr="003E4E3B">
        <w:rPr>
          <w:rFonts w:cs="Arial"/>
          <w:snapToGrid w:val="0"/>
          <w:lang w:val="fr-FR"/>
        </w:rPr>
        <w:noBreakHyphen/>
      </w:r>
      <w:r w:rsidR="00081074" w:rsidRPr="00431D28">
        <w:rPr>
          <w:lang w:val="fr-FR"/>
        </w:rPr>
        <w:t>2015 et 66% en 2016</w:t>
      </w:r>
      <w:r w:rsidR="003F2179" w:rsidRPr="003E4E3B">
        <w:rPr>
          <w:rFonts w:cs="Arial"/>
          <w:snapToGrid w:val="0"/>
          <w:lang w:val="fr-FR"/>
        </w:rPr>
        <w:noBreakHyphen/>
      </w:r>
      <w:r w:rsidR="00081074" w:rsidRPr="00431D28">
        <w:rPr>
          <w:lang w:val="fr-FR"/>
        </w:rPr>
        <w:t>2017, contre 66% au cours de l’exercice biennal 2010</w:t>
      </w:r>
      <w:r w:rsidR="003F2179" w:rsidRPr="003E4E3B">
        <w:rPr>
          <w:rFonts w:cs="Arial"/>
          <w:snapToGrid w:val="0"/>
          <w:lang w:val="fr-FR"/>
        </w:rPr>
        <w:noBreakHyphen/>
      </w:r>
      <w:r w:rsidR="00081074" w:rsidRPr="00431D28">
        <w:rPr>
          <w:lang w:val="fr-FR"/>
        </w:rPr>
        <w:t>2011 et 67% au cours de l’exercice biennal 2012</w:t>
      </w:r>
      <w:r w:rsidR="003F2179" w:rsidRPr="003E4E3B">
        <w:rPr>
          <w:rFonts w:cs="Arial"/>
          <w:snapToGrid w:val="0"/>
          <w:lang w:val="fr-FR"/>
        </w:rPr>
        <w:noBreakHyphen/>
      </w:r>
      <w:r w:rsidR="00081074" w:rsidRPr="00431D28">
        <w:rPr>
          <w:lang w:val="fr-FR"/>
        </w:rPr>
        <w:t>2013.</w:t>
      </w:r>
      <w:r w:rsidRPr="00431D28">
        <w:rPr>
          <w:lang w:val="fr-FR"/>
        </w:rPr>
        <w:t xml:space="preserve">  </w:t>
      </w:r>
    </w:p>
    <w:p w:rsidR="005A7F6B" w:rsidRPr="00431D28" w:rsidRDefault="005A7F6B" w:rsidP="00421639">
      <w:pPr>
        <w:ind w:left="567" w:hanging="567"/>
        <w:rPr>
          <w:lang w:val="fr-FR"/>
        </w:rPr>
      </w:pPr>
    </w:p>
    <w:p w:rsidR="005A7F6B" w:rsidRPr="00431D28" w:rsidRDefault="00421639" w:rsidP="00081074">
      <w:pPr>
        <w:ind w:left="567" w:hanging="567"/>
        <w:rPr>
          <w:lang w:val="fr-FR"/>
        </w:rPr>
      </w:pPr>
      <w:r w:rsidRPr="00431D28">
        <w:rPr>
          <w:lang w:val="fr-FR"/>
        </w:rPr>
        <w:tab/>
      </w:r>
      <w:r w:rsidR="00081074" w:rsidRPr="00431D28">
        <w:rPr>
          <w:i/>
          <w:lang w:val="fr-FR"/>
        </w:rPr>
        <w:t xml:space="preserve">Autres ressources : </w:t>
      </w:r>
      <w:r w:rsidR="005C7BCF">
        <w:rPr>
          <w:lang w:val="fr-FR"/>
        </w:rPr>
        <w:t>l</w:t>
      </w:r>
      <w:r w:rsidR="00081074" w:rsidRPr="00431D28">
        <w:rPr>
          <w:lang w:val="fr-FR"/>
        </w:rPr>
        <w:t>es dépenses de fonctionnement, de mobilier et de fournitures devraient rester stables et représenter 19% du budget au cours des deux exercices biennaux 2014</w:t>
      </w:r>
      <w:r w:rsidR="003F2179" w:rsidRPr="003E4E3B">
        <w:rPr>
          <w:rFonts w:cs="Arial"/>
          <w:snapToGrid w:val="0"/>
          <w:lang w:val="fr-FR"/>
        </w:rPr>
        <w:noBreakHyphen/>
      </w:r>
      <w:r w:rsidR="00081074" w:rsidRPr="00431D28">
        <w:rPr>
          <w:lang w:val="fr-FR"/>
        </w:rPr>
        <w:t>2015 et 2016</w:t>
      </w:r>
      <w:r w:rsidR="003F2179" w:rsidRPr="003E4E3B">
        <w:rPr>
          <w:rFonts w:cs="Arial"/>
          <w:snapToGrid w:val="0"/>
          <w:lang w:val="fr-FR"/>
        </w:rPr>
        <w:noBreakHyphen/>
      </w:r>
      <w:r w:rsidR="00081074" w:rsidRPr="00431D28">
        <w:rPr>
          <w:lang w:val="fr-FR"/>
        </w:rPr>
        <w:t>2017, contre 20% au cours de l’exercice 2010</w:t>
      </w:r>
      <w:r w:rsidR="003F2179" w:rsidRPr="003E4E3B">
        <w:rPr>
          <w:rFonts w:cs="Arial"/>
          <w:snapToGrid w:val="0"/>
          <w:lang w:val="fr-FR"/>
        </w:rPr>
        <w:noBreakHyphen/>
      </w:r>
      <w:r w:rsidR="00081074" w:rsidRPr="00431D28">
        <w:rPr>
          <w:lang w:val="fr-FR"/>
        </w:rPr>
        <w:t>2011 et 19% au cours de l’exercice 2012</w:t>
      </w:r>
      <w:r w:rsidR="003F2179" w:rsidRPr="003E4E3B">
        <w:rPr>
          <w:rFonts w:cs="Arial"/>
          <w:snapToGrid w:val="0"/>
          <w:lang w:val="fr-FR"/>
        </w:rPr>
        <w:noBreakHyphen/>
      </w:r>
      <w:r w:rsidR="00081074" w:rsidRPr="00431D28">
        <w:rPr>
          <w:lang w:val="fr-FR"/>
        </w:rPr>
        <w:t>2013.</w:t>
      </w:r>
      <w:r w:rsidRPr="00431D28">
        <w:rPr>
          <w:lang w:val="fr-FR"/>
        </w:rPr>
        <w:t xml:space="preserve">  </w:t>
      </w:r>
      <w:r w:rsidR="00081074" w:rsidRPr="00431D28">
        <w:rPr>
          <w:lang w:val="fr-FR"/>
        </w:rPr>
        <w:t>Les dépenses au titre des voyages et des services contractuels devraient représenter 16% du budget en 2014-2015 et 15% en 2016</w:t>
      </w:r>
      <w:r w:rsidR="003F2179" w:rsidRPr="003E4E3B">
        <w:rPr>
          <w:rFonts w:cs="Arial"/>
          <w:snapToGrid w:val="0"/>
          <w:lang w:val="fr-FR"/>
        </w:rPr>
        <w:noBreakHyphen/>
      </w:r>
      <w:r w:rsidR="00081074" w:rsidRPr="00431D28">
        <w:rPr>
          <w:lang w:val="fr-FR"/>
        </w:rPr>
        <w:t>2017, contre 14% en 2010</w:t>
      </w:r>
      <w:r w:rsidR="003F2179" w:rsidRPr="003E4E3B">
        <w:rPr>
          <w:rFonts w:cs="Arial"/>
          <w:snapToGrid w:val="0"/>
          <w:lang w:val="fr-FR"/>
        </w:rPr>
        <w:noBreakHyphen/>
      </w:r>
      <w:r w:rsidR="00081074" w:rsidRPr="00431D28">
        <w:rPr>
          <w:lang w:val="fr-FR"/>
        </w:rPr>
        <w:t>2011 et 15% en 2012</w:t>
      </w:r>
      <w:r w:rsidR="003F2179" w:rsidRPr="003E4E3B">
        <w:rPr>
          <w:rFonts w:cs="Arial"/>
          <w:snapToGrid w:val="0"/>
          <w:lang w:val="fr-FR"/>
        </w:rPr>
        <w:noBreakHyphen/>
      </w:r>
      <w:r w:rsidR="00081074" w:rsidRPr="00431D28">
        <w:rPr>
          <w:lang w:val="fr-FR"/>
        </w:rPr>
        <w:t>2013.</w:t>
      </w:r>
    </w:p>
    <w:p w:rsidR="005A7F6B" w:rsidRPr="00431D28" w:rsidRDefault="005A7F6B" w:rsidP="00421639">
      <w:pPr>
        <w:ind w:left="567" w:hanging="567"/>
        <w:rPr>
          <w:lang w:val="fr-FR"/>
        </w:rPr>
      </w:pPr>
    </w:p>
    <w:p w:rsidR="005A7F6B" w:rsidRPr="00431D28" w:rsidRDefault="005A7F6B" w:rsidP="00421639">
      <w:pPr>
        <w:ind w:left="567" w:hanging="567"/>
        <w:rPr>
          <w:lang w:val="fr-FR"/>
        </w:rPr>
      </w:pPr>
    </w:p>
    <w:p w:rsidR="00421639" w:rsidRPr="00431D28" w:rsidRDefault="00421639" w:rsidP="00421639">
      <w:pPr>
        <w:rPr>
          <w:lang w:val="fr-FR"/>
        </w:rPr>
        <w:sectPr w:rsidR="00421639" w:rsidRPr="00431D28" w:rsidSect="00102CDB">
          <w:headerReference w:type="default" r:id="rId20"/>
          <w:headerReference w:type="first" r:id="rId21"/>
          <w:footerReference w:type="first" r:id="rId22"/>
          <w:pgSz w:w="11907" w:h="16840" w:code="9"/>
          <w:pgMar w:top="510" w:right="1134" w:bottom="1134" w:left="1134" w:header="510" w:footer="680" w:gutter="0"/>
          <w:pgNumType w:start="1"/>
          <w:cols w:space="720"/>
          <w:titlePg/>
          <w:docGrid w:linePitch="272"/>
        </w:sectPr>
      </w:pPr>
    </w:p>
    <w:p w:rsidR="005A7F6B" w:rsidRPr="00431D28" w:rsidRDefault="00081074" w:rsidP="00081074">
      <w:pPr>
        <w:jc w:val="center"/>
        <w:rPr>
          <w:lang w:val="fr-FR"/>
        </w:rPr>
      </w:pPr>
      <w:r w:rsidRPr="00431D28">
        <w:rPr>
          <w:lang w:val="fr-FR"/>
        </w:rPr>
        <w:t>APPENDICE I</w:t>
      </w:r>
    </w:p>
    <w:p w:rsidR="005A7F6B" w:rsidRPr="00431D28" w:rsidRDefault="005A7F6B" w:rsidP="00421639">
      <w:pPr>
        <w:jc w:val="center"/>
        <w:rPr>
          <w:lang w:val="fr-FR"/>
        </w:rPr>
      </w:pPr>
    </w:p>
    <w:p w:rsidR="005A7F6B" w:rsidRPr="00431D28" w:rsidRDefault="005A7F6B" w:rsidP="00421639">
      <w:pPr>
        <w:jc w:val="center"/>
        <w:rPr>
          <w:lang w:val="fr-FR"/>
        </w:rPr>
      </w:pPr>
    </w:p>
    <w:p w:rsidR="005A7F6B" w:rsidRPr="00431D28" w:rsidRDefault="00081074" w:rsidP="00081074">
      <w:pPr>
        <w:jc w:val="center"/>
        <w:rPr>
          <w:lang w:val="fr-FR"/>
        </w:rPr>
      </w:pPr>
      <w:r w:rsidRPr="00431D28">
        <w:rPr>
          <w:lang w:val="fr-FR"/>
        </w:rPr>
        <w:t>MÉTHODE UTILISÉE POUR ÉTABLIR LE BUDGET</w:t>
      </w:r>
    </w:p>
    <w:p w:rsidR="005A7F6B" w:rsidRPr="00431D28" w:rsidRDefault="005A7F6B" w:rsidP="00421639">
      <w:pPr>
        <w:jc w:val="center"/>
        <w:rPr>
          <w:lang w:val="fr-FR"/>
        </w:rPr>
      </w:pPr>
    </w:p>
    <w:p w:rsidR="005A7F6B" w:rsidRPr="00431D28" w:rsidRDefault="005A7F6B" w:rsidP="00421639">
      <w:pPr>
        <w:jc w:val="center"/>
        <w:rPr>
          <w:lang w:val="fr-FR"/>
        </w:rPr>
      </w:pPr>
    </w:p>
    <w:p w:rsidR="005A7F6B" w:rsidRPr="00431D28" w:rsidRDefault="00081074" w:rsidP="00081074">
      <w:pPr>
        <w:tabs>
          <w:tab w:val="left" w:pos="567"/>
        </w:tabs>
        <w:rPr>
          <w:lang w:val="fr-FR"/>
        </w:rPr>
      </w:pPr>
      <w:r w:rsidRPr="00431D28">
        <w:rPr>
          <w:lang w:val="fr-FR"/>
        </w:rPr>
        <w:t>1.</w:t>
      </w:r>
      <w:r w:rsidRPr="00431D28">
        <w:rPr>
          <w:lang w:val="fr-FR"/>
        </w:rPr>
        <w:tab/>
        <w:t>La description de la méthode utilisée pour établir le budget ordinaire rationalise et précise la pratique budgétaire ainsi que le rôle des différentes sections contenues dans ce</w:t>
      </w:r>
      <w:r w:rsidR="00497C27">
        <w:rPr>
          <w:lang w:val="fr-FR"/>
        </w:rPr>
        <w:t xml:space="preserve"> </w:t>
      </w:r>
      <w:r w:rsidRPr="00431D28">
        <w:rPr>
          <w:lang w:val="fr-FR"/>
        </w:rPr>
        <w:t>programme et budget</w:t>
      </w:r>
      <w:r w:rsidR="00982E84">
        <w:rPr>
          <w:lang w:val="fr-FR"/>
        </w:rPr>
        <w:t xml:space="preserve"> proposé</w:t>
      </w:r>
      <w:r w:rsidRPr="00431D28">
        <w:rPr>
          <w:lang w:val="fr-FR"/>
        </w:rPr>
        <w:t>.</w:t>
      </w:r>
      <w:r w:rsidR="00421639" w:rsidRPr="00431D28">
        <w:rPr>
          <w:lang w:val="fr-FR"/>
        </w:rPr>
        <w:t xml:space="preserve">  </w:t>
      </w:r>
      <w:r w:rsidRPr="00431D28">
        <w:rPr>
          <w:lang w:val="fr-FR"/>
        </w:rPr>
        <w:t>Le processus de formulation du budget débute par l’élaboration du budget initial pour 2012</w:t>
      </w:r>
      <w:r w:rsidR="003F2179" w:rsidRPr="003E4E3B">
        <w:rPr>
          <w:rFonts w:cs="Arial"/>
          <w:snapToGrid w:val="0"/>
          <w:lang w:val="fr-FR"/>
        </w:rPr>
        <w:noBreakHyphen/>
      </w:r>
      <w:r w:rsidRPr="00431D28">
        <w:rPr>
          <w:lang w:val="fr-FR"/>
        </w:rPr>
        <w:t xml:space="preserve">2013, et se termine par le budget </w:t>
      </w:r>
      <w:r w:rsidR="00497C27">
        <w:rPr>
          <w:lang w:val="fr-FR"/>
        </w:rPr>
        <w:t xml:space="preserve">proposé </w:t>
      </w:r>
      <w:r w:rsidRPr="00431D28">
        <w:rPr>
          <w:lang w:val="fr-FR"/>
        </w:rPr>
        <w:t>pour l’exercice 2014</w:t>
      </w:r>
      <w:r w:rsidR="003F2179" w:rsidRPr="003E4E3B">
        <w:rPr>
          <w:rFonts w:cs="Arial"/>
          <w:snapToGrid w:val="0"/>
          <w:lang w:val="fr-FR"/>
        </w:rPr>
        <w:noBreakHyphen/>
      </w:r>
      <w:r w:rsidRPr="00431D28">
        <w:rPr>
          <w:lang w:val="fr-FR"/>
        </w:rPr>
        <w:t>2015 qui tient compte de la variation des ressources entre le budget 2012</w:t>
      </w:r>
      <w:r w:rsidR="003F2179" w:rsidRPr="003E4E3B">
        <w:rPr>
          <w:rFonts w:cs="Arial"/>
          <w:snapToGrid w:val="0"/>
          <w:lang w:val="fr-FR"/>
        </w:rPr>
        <w:noBreakHyphen/>
      </w:r>
      <w:r w:rsidRPr="00431D28">
        <w:rPr>
          <w:lang w:val="fr-FR"/>
        </w:rPr>
        <w:t xml:space="preserve">2013 et le budget </w:t>
      </w:r>
      <w:r w:rsidR="00497C27">
        <w:rPr>
          <w:lang w:val="fr-FR"/>
        </w:rPr>
        <w:t xml:space="preserve">proposé </w:t>
      </w:r>
      <w:r w:rsidRPr="00431D28">
        <w:rPr>
          <w:lang w:val="fr-FR"/>
        </w:rPr>
        <w:t>pour l’exercice 2014</w:t>
      </w:r>
      <w:r w:rsidR="003F2179" w:rsidRPr="003E4E3B">
        <w:rPr>
          <w:rFonts w:cs="Arial"/>
          <w:snapToGrid w:val="0"/>
          <w:lang w:val="fr-FR"/>
        </w:rPr>
        <w:noBreakHyphen/>
      </w:r>
      <w:r w:rsidRPr="00431D28">
        <w:rPr>
          <w:lang w:val="fr-FR"/>
        </w:rPr>
        <w:t>2015.</w:t>
      </w:r>
      <w:r w:rsidR="00421639" w:rsidRPr="00431D28">
        <w:rPr>
          <w:lang w:val="fr-FR"/>
        </w:rPr>
        <w:t xml:space="preserve">  </w:t>
      </w:r>
      <w:r w:rsidRPr="00431D28">
        <w:rPr>
          <w:lang w:val="fr-FR"/>
        </w:rPr>
        <w:t>Le tableau 4 présente un résumé des principaux indicateurs examinés dans l’appendice I.</w:t>
      </w:r>
    </w:p>
    <w:p w:rsidR="005A7F6B" w:rsidRPr="00431D28" w:rsidRDefault="005A7F6B" w:rsidP="00421639">
      <w:pPr>
        <w:rPr>
          <w:lang w:val="fr-FR"/>
        </w:rPr>
      </w:pPr>
    </w:p>
    <w:p w:rsidR="005A7F6B" w:rsidRPr="00431D28" w:rsidRDefault="00081074" w:rsidP="00081074">
      <w:pPr>
        <w:tabs>
          <w:tab w:val="left" w:pos="567"/>
        </w:tabs>
        <w:rPr>
          <w:lang w:val="fr-FR"/>
        </w:rPr>
      </w:pPr>
      <w:r w:rsidRPr="00431D28">
        <w:rPr>
          <w:lang w:val="fr-FR"/>
        </w:rPr>
        <w:t>2.</w:t>
      </w:r>
      <w:r w:rsidRPr="00431D28">
        <w:rPr>
          <w:lang w:val="fr-FR"/>
        </w:rPr>
        <w:tab/>
        <w:t>Budget 2012</w:t>
      </w:r>
      <w:r w:rsidR="003F2179" w:rsidRPr="003E4E3B">
        <w:rPr>
          <w:rFonts w:cs="Arial"/>
          <w:snapToGrid w:val="0"/>
          <w:lang w:val="fr-FR"/>
        </w:rPr>
        <w:noBreakHyphen/>
      </w:r>
      <w:r w:rsidRPr="00431D28">
        <w:rPr>
          <w:lang w:val="fr-FR"/>
        </w:rPr>
        <w:t>2013 : le point de départ pour ce budget est celui qui a été présenté dans le document C/45/4 Rev.2.</w:t>
      </w:r>
    </w:p>
    <w:p w:rsidR="005A7F6B" w:rsidRPr="00431D28" w:rsidRDefault="005A7F6B" w:rsidP="00421639">
      <w:pPr>
        <w:rPr>
          <w:lang w:val="fr-FR"/>
        </w:rPr>
      </w:pPr>
    </w:p>
    <w:p w:rsidR="005A7F6B" w:rsidRPr="00431D28" w:rsidRDefault="00081074" w:rsidP="00081074">
      <w:pPr>
        <w:tabs>
          <w:tab w:val="left" w:pos="567"/>
        </w:tabs>
        <w:rPr>
          <w:lang w:val="fr-FR"/>
        </w:rPr>
      </w:pPr>
      <w:r w:rsidRPr="00431D28">
        <w:rPr>
          <w:lang w:val="fr-FR"/>
        </w:rPr>
        <w:t>3.</w:t>
      </w:r>
      <w:r w:rsidRPr="00431D28">
        <w:rPr>
          <w:lang w:val="fr-FR"/>
        </w:rPr>
        <w:tab/>
        <w:t>Budget proposé pour l’exercice 2014</w:t>
      </w:r>
      <w:r w:rsidR="003F2179" w:rsidRPr="003E4E3B">
        <w:rPr>
          <w:rFonts w:cs="Arial"/>
          <w:snapToGrid w:val="0"/>
          <w:lang w:val="fr-FR"/>
        </w:rPr>
        <w:noBreakHyphen/>
      </w:r>
      <w:r w:rsidRPr="00431D28">
        <w:rPr>
          <w:lang w:val="fr-FR"/>
        </w:rPr>
        <w:t>2015 : le budget proposé représente la somme de la variation des ressources et du budget 2012</w:t>
      </w:r>
      <w:r w:rsidR="003F2179" w:rsidRPr="003E4E3B">
        <w:rPr>
          <w:rFonts w:cs="Arial"/>
          <w:snapToGrid w:val="0"/>
          <w:lang w:val="fr-FR"/>
        </w:rPr>
        <w:noBreakHyphen/>
      </w:r>
      <w:r w:rsidRPr="00431D28">
        <w:rPr>
          <w:lang w:val="fr-FR"/>
        </w:rPr>
        <w:t>2013 et des révisions ultérieures des rubriques de dépense conformément aux priorités de l’UPOV.</w:t>
      </w:r>
    </w:p>
    <w:p w:rsidR="005A7F6B" w:rsidRPr="00431D28" w:rsidRDefault="005A7F6B" w:rsidP="00421639">
      <w:pPr>
        <w:rPr>
          <w:lang w:val="fr-FR"/>
        </w:rPr>
      </w:pPr>
    </w:p>
    <w:p w:rsidR="005A7F6B" w:rsidRPr="00431D28" w:rsidRDefault="00497C27" w:rsidP="00081074">
      <w:pPr>
        <w:tabs>
          <w:tab w:val="left" w:pos="567"/>
        </w:tabs>
        <w:rPr>
          <w:lang w:val="fr-FR"/>
        </w:rPr>
      </w:pPr>
      <w:r>
        <w:rPr>
          <w:lang w:val="fr-FR"/>
        </w:rPr>
        <w:t>4.</w:t>
      </w:r>
      <w:r>
        <w:rPr>
          <w:lang w:val="fr-FR"/>
        </w:rPr>
        <w:tab/>
      </w:r>
      <w:r w:rsidR="00081074" w:rsidRPr="00431D28">
        <w:rPr>
          <w:lang w:val="fr-FR"/>
        </w:rPr>
        <w:t>Un plan des ressources établi pour une période de 10 ans est présenté dans le tableau 9 du présent document afin d’offrir une vue d’ensemble de données financières, y compris les estimations budgétaires, les ressources disponibles et les mouvements des réserves.</w:t>
      </w:r>
      <w:r w:rsidR="00421639" w:rsidRPr="00431D28">
        <w:rPr>
          <w:lang w:val="fr-FR"/>
        </w:rPr>
        <w:t xml:space="preserve">  </w:t>
      </w:r>
      <w:r w:rsidR="00081074" w:rsidRPr="00431D28">
        <w:rPr>
          <w:lang w:val="fr-FR"/>
        </w:rPr>
        <w:t>Ce plan devrait permettre de mieux évaluer la viabilité financière de l’Union à moyen terme.</w:t>
      </w:r>
    </w:p>
    <w:p w:rsidR="005A7F6B" w:rsidRPr="00431D28" w:rsidRDefault="005A7F6B" w:rsidP="00421639">
      <w:pPr>
        <w:rPr>
          <w:lang w:val="fr-FR"/>
        </w:rPr>
      </w:pPr>
    </w:p>
    <w:p w:rsidR="005A7F6B" w:rsidRPr="00431D28" w:rsidRDefault="005A7F6B" w:rsidP="00421639">
      <w:pPr>
        <w:rPr>
          <w:lang w:val="fr-FR"/>
        </w:rPr>
      </w:pPr>
    </w:p>
    <w:p w:rsidR="005A7F6B" w:rsidRPr="00431D28" w:rsidRDefault="005A7F6B" w:rsidP="00421639">
      <w:pPr>
        <w:rPr>
          <w:lang w:val="fr-FR"/>
        </w:rPr>
      </w:pPr>
    </w:p>
    <w:p w:rsidR="005A7F6B" w:rsidRPr="00431D28" w:rsidRDefault="001110E9" w:rsidP="001110E9">
      <w:pPr>
        <w:jc w:val="right"/>
        <w:rPr>
          <w:rFonts w:cs="Arial"/>
          <w:snapToGrid w:val="0"/>
          <w:lang w:val="fr-FR"/>
        </w:rPr>
      </w:pPr>
      <w:r w:rsidRPr="00431D28">
        <w:rPr>
          <w:rFonts w:cs="Arial"/>
          <w:snapToGrid w:val="0"/>
          <w:lang w:val="fr-FR"/>
        </w:rPr>
        <w:t>[L’appendice II suit]</w:t>
      </w:r>
    </w:p>
    <w:p w:rsidR="005A7F6B" w:rsidRPr="00431D28" w:rsidRDefault="005A7F6B" w:rsidP="00421639">
      <w:pPr>
        <w:rPr>
          <w:lang w:val="fr-FR"/>
        </w:rPr>
      </w:pPr>
    </w:p>
    <w:p w:rsidR="005A7F6B" w:rsidRPr="00431D28" w:rsidRDefault="005A7F6B" w:rsidP="00421639">
      <w:pPr>
        <w:rPr>
          <w:lang w:val="fr-FR"/>
        </w:rPr>
      </w:pPr>
    </w:p>
    <w:p w:rsidR="005A7F6B" w:rsidRPr="00431D28" w:rsidRDefault="005A7F6B" w:rsidP="00421639">
      <w:pPr>
        <w:rPr>
          <w:lang w:val="fr-FR"/>
        </w:rPr>
      </w:pPr>
    </w:p>
    <w:p w:rsidR="005A7F6B" w:rsidRPr="00431D28" w:rsidRDefault="005A7F6B" w:rsidP="00421639">
      <w:pPr>
        <w:rPr>
          <w:lang w:val="fr-FR"/>
        </w:rPr>
      </w:pPr>
    </w:p>
    <w:p w:rsidR="00421639" w:rsidRPr="00431D28" w:rsidRDefault="00421639" w:rsidP="00421639">
      <w:pPr>
        <w:rPr>
          <w:lang w:val="fr-FR"/>
        </w:rPr>
        <w:sectPr w:rsidR="00421639" w:rsidRPr="00431D28" w:rsidSect="00102CDB">
          <w:headerReference w:type="default" r:id="rId23"/>
          <w:headerReference w:type="first" r:id="rId24"/>
          <w:pgSz w:w="11907" w:h="16840" w:code="9"/>
          <w:pgMar w:top="510" w:right="1134" w:bottom="1134" w:left="1134" w:header="510" w:footer="680" w:gutter="0"/>
          <w:cols w:space="720"/>
          <w:titlePg/>
          <w:docGrid w:linePitch="272"/>
        </w:sectPr>
      </w:pPr>
    </w:p>
    <w:p w:rsidR="005A7F6B" w:rsidRPr="00431D28" w:rsidRDefault="001110E9" w:rsidP="001110E9">
      <w:pPr>
        <w:jc w:val="center"/>
        <w:rPr>
          <w:lang w:val="fr-FR"/>
        </w:rPr>
      </w:pPr>
      <w:r w:rsidRPr="00431D28">
        <w:rPr>
          <w:lang w:val="fr-FR"/>
        </w:rPr>
        <w:t>APPENDICE II</w:t>
      </w:r>
    </w:p>
    <w:p w:rsidR="005A7F6B" w:rsidRPr="00431D28" w:rsidRDefault="005A7F6B" w:rsidP="00421639">
      <w:pPr>
        <w:jc w:val="center"/>
        <w:rPr>
          <w:lang w:val="fr-FR"/>
        </w:rPr>
      </w:pPr>
    </w:p>
    <w:p w:rsidR="005A7F6B" w:rsidRPr="00431D28" w:rsidRDefault="005A7F6B" w:rsidP="00421639">
      <w:pPr>
        <w:jc w:val="center"/>
        <w:rPr>
          <w:lang w:val="fr-FR"/>
        </w:rPr>
      </w:pPr>
    </w:p>
    <w:p w:rsidR="005A7F6B" w:rsidRPr="00431D28" w:rsidRDefault="001110E9" w:rsidP="001110E9">
      <w:pPr>
        <w:jc w:val="center"/>
        <w:rPr>
          <w:lang w:val="fr-FR"/>
        </w:rPr>
      </w:pPr>
      <w:r w:rsidRPr="00431D28">
        <w:rPr>
          <w:lang w:val="fr-FR"/>
        </w:rPr>
        <w:t>CONTRIBUTIONS DES MEMBRES</w:t>
      </w:r>
    </w:p>
    <w:p w:rsidR="005A7F6B" w:rsidRPr="00431D28" w:rsidRDefault="007E2AA2" w:rsidP="00421639">
      <w:pPr>
        <w:jc w:val="center"/>
        <w:rPr>
          <w:lang w:val="fr-FR"/>
        </w:rPr>
      </w:pPr>
      <w:r w:rsidRPr="00431D28">
        <w:rPr>
          <w:lang w:val="fr-FR"/>
        </w:rPr>
        <w:t>AU 31 JUILLET 2013</w:t>
      </w:r>
    </w:p>
    <w:p w:rsidR="005A7F6B" w:rsidRPr="007670FE" w:rsidRDefault="001110E9" w:rsidP="001110E9">
      <w:pPr>
        <w:jc w:val="center"/>
        <w:rPr>
          <w:lang w:val="fr-FR"/>
        </w:rPr>
      </w:pPr>
      <w:r w:rsidRPr="007670FE">
        <w:rPr>
          <w:lang w:val="fr-FR"/>
        </w:rPr>
        <w:t>(en francs suisses)</w:t>
      </w:r>
    </w:p>
    <w:p w:rsidR="007E2AA2" w:rsidRPr="007C2995" w:rsidRDefault="007E2AA2" w:rsidP="001110E9">
      <w:pPr>
        <w:jc w:val="center"/>
        <w:rPr>
          <w:i/>
          <w:lang w:val="fr-FR"/>
        </w:rPr>
      </w:pPr>
    </w:p>
    <w:tbl>
      <w:tblPr>
        <w:tblW w:w="9680" w:type="dxa"/>
        <w:tblInd w:w="30" w:type="dxa"/>
        <w:tblLayout w:type="fixed"/>
        <w:tblCellMar>
          <w:left w:w="30" w:type="dxa"/>
          <w:right w:w="30" w:type="dxa"/>
        </w:tblCellMar>
        <w:tblLook w:val="0000" w:firstRow="0" w:lastRow="0" w:firstColumn="0" w:lastColumn="0" w:noHBand="0" w:noVBand="0"/>
      </w:tblPr>
      <w:tblGrid>
        <w:gridCol w:w="1218"/>
        <w:gridCol w:w="1302"/>
        <w:gridCol w:w="2880"/>
        <w:gridCol w:w="1161"/>
        <w:gridCol w:w="1560"/>
        <w:gridCol w:w="1559"/>
      </w:tblGrid>
      <w:tr w:rsidR="007E2AA2" w:rsidRPr="00431D28" w:rsidTr="007E2AA2">
        <w:trPr>
          <w:cantSplit/>
          <w:trHeight w:val="340"/>
          <w:tblHeader/>
        </w:trPr>
        <w:tc>
          <w:tcPr>
            <w:tcW w:w="1218" w:type="dxa"/>
            <w:tcBorders>
              <w:top w:val="single" w:sz="8" w:space="0" w:color="auto"/>
              <w:bottom w:val="single" w:sz="8" w:space="0" w:color="auto"/>
            </w:tcBorders>
            <w:vAlign w:val="bottom"/>
          </w:tcPr>
          <w:p w:rsidR="007E2AA2" w:rsidRPr="00431D28" w:rsidRDefault="007E2AA2" w:rsidP="007E2AA2">
            <w:pPr>
              <w:spacing w:before="120" w:after="120"/>
              <w:jc w:val="center"/>
              <w:rPr>
                <w:rFonts w:cs="Arial"/>
                <w:lang w:val="fr-FR"/>
              </w:rPr>
            </w:pPr>
            <w:r w:rsidRPr="00431D28">
              <w:rPr>
                <w:rFonts w:cs="Arial"/>
                <w:lang w:val="fr-FR"/>
              </w:rPr>
              <w:t>Contribution de 2012</w:t>
            </w:r>
          </w:p>
        </w:tc>
        <w:tc>
          <w:tcPr>
            <w:tcW w:w="1302" w:type="dxa"/>
            <w:tcBorders>
              <w:top w:val="single" w:sz="8" w:space="0" w:color="auto"/>
              <w:bottom w:val="single" w:sz="8" w:space="0" w:color="auto"/>
            </w:tcBorders>
            <w:vAlign w:val="bottom"/>
          </w:tcPr>
          <w:p w:rsidR="007E2AA2" w:rsidRPr="00431D28" w:rsidRDefault="007E2AA2" w:rsidP="007E2AA2">
            <w:pPr>
              <w:spacing w:before="120" w:after="120"/>
              <w:jc w:val="center"/>
              <w:rPr>
                <w:rFonts w:cs="Arial"/>
                <w:lang w:val="fr-FR"/>
              </w:rPr>
            </w:pPr>
            <w:r w:rsidRPr="00431D28">
              <w:rPr>
                <w:rFonts w:cs="Arial"/>
                <w:lang w:val="fr-FR"/>
              </w:rPr>
              <w:t>Contribution de 2013</w:t>
            </w:r>
          </w:p>
        </w:tc>
        <w:tc>
          <w:tcPr>
            <w:tcW w:w="2880" w:type="dxa"/>
            <w:tcBorders>
              <w:top w:val="single" w:sz="8" w:space="0" w:color="auto"/>
              <w:bottom w:val="single" w:sz="8" w:space="0" w:color="auto"/>
            </w:tcBorders>
            <w:vAlign w:val="bottom"/>
          </w:tcPr>
          <w:p w:rsidR="007E2AA2" w:rsidRPr="00431D28" w:rsidRDefault="007E2AA2" w:rsidP="008A0E41">
            <w:pPr>
              <w:spacing w:before="120" w:after="120"/>
              <w:jc w:val="center"/>
              <w:rPr>
                <w:rFonts w:cs="Arial"/>
                <w:snapToGrid w:val="0"/>
                <w:lang w:val="fr-FR"/>
              </w:rPr>
            </w:pPr>
            <w:r w:rsidRPr="00431D28">
              <w:rPr>
                <w:rFonts w:cs="Arial"/>
                <w:snapToGrid w:val="0"/>
                <w:lang w:val="fr-FR"/>
              </w:rPr>
              <w:t>Membres</w:t>
            </w:r>
          </w:p>
        </w:tc>
        <w:tc>
          <w:tcPr>
            <w:tcW w:w="1161" w:type="dxa"/>
            <w:tcBorders>
              <w:top w:val="single" w:sz="8" w:space="0" w:color="auto"/>
              <w:bottom w:val="single" w:sz="8" w:space="0" w:color="auto"/>
            </w:tcBorders>
            <w:vAlign w:val="bottom"/>
          </w:tcPr>
          <w:p w:rsidR="007E2AA2" w:rsidRPr="00431D28" w:rsidRDefault="007E2AA2" w:rsidP="007E2AA2">
            <w:pPr>
              <w:spacing w:before="120" w:after="120"/>
              <w:jc w:val="center"/>
              <w:rPr>
                <w:rFonts w:cs="Arial"/>
                <w:snapToGrid w:val="0"/>
                <w:lang w:val="fr-FR"/>
              </w:rPr>
            </w:pPr>
            <w:r w:rsidRPr="00431D28">
              <w:rPr>
                <w:rFonts w:cs="Arial"/>
                <w:snapToGrid w:val="0"/>
                <w:lang w:val="fr-FR"/>
              </w:rPr>
              <w:t>Nombre d’unités de contribution</w:t>
            </w:r>
          </w:p>
        </w:tc>
        <w:tc>
          <w:tcPr>
            <w:tcW w:w="1560" w:type="dxa"/>
            <w:tcBorders>
              <w:top w:val="single" w:sz="8" w:space="0" w:color="auto"/>
              <w:bottom w:val="single" w:sz="8" w:space="0" w:color="auto"/>
            </w:tcBorders>
            <w:vAlign w:val="bottom"/>
          </w:tcPr>
          <w:p w:rsidR="007E2AA2" w:rsidRPr="00431D28" w:rsidRDefault="007E2AA2" w:rsidP="007E2AA2">
            <w:pPr>
              <w:spacing w:before="120" w:after="120"/>
              <w:jc w:val="center"/>
              <w:rPr>
                <w:rFonts w:cs="Arial"/>
                <w:lang w:val="fr-FR"/>
              </w:rPr>
            </w:pPr>
            <w:r w:rsidRPr="00431D28">
              <w:rPr>
                <w:rFonts w:cs="Arial"/>
                <w:lang w:val="fr-FR"/>
              </w:rPr>
              <w:t>Contribution payable en janvier </w:t>
            </w:r>
            <w:r w:rsidRPr="00431D28">
              <w:rPr>
                <w:rFonts w:cs="Arial"/>
                <w:snapToGrid w:val="0"/>
                <w:lang w:val="fr-FR"/>
              </w:rPr>
              <w:t>2014</w:t>
            </w:r>
          </w:p>
        </w:tc>
        <w:tc>
          <w:tcPr>
            <w:tcW w:w="1559" w:type="dxa"/>
            <w:tcBorders>
              <w:top w:val="single" w:sz="8" w:space="0" w:color="auto"/>
              <w:bottom w:val="single" w:sz="8" w:space="0" w:color="auto"/>
            </w:tcBorders>
            <w:vAlign w:val="bottom"/>
          </w:tcPr>
          <w:p w:rsidR="007E2AA2" w:rsidRPr="00431D28" w:rsidRDefault="007E2AA2" w:rsidP="007E2AA2">
            <w:pPr>
              <w:spacing w:before="120" w:after="120"/>
              <w:jc w:val="center"/>
              <w:rPr>
                <w:rFonts w:cs="Arial"/>
                <w:lang w:val="fr-FR"/>
              </w:rPr>
            </w:pPr>
            <w:r w:rsidRPr="00431D28">
              <w:rPr>
                <w:rFonts w:cs="Arial"/>
                <w:lang w:val="fr-FR"/>
              </w:rPr>
              <w:t>Contribution payable en janvier </w:t>
            </w:r>
            <w:r w:rsidRPr="00431D28">
              <w:rPr>
                <w:rFonts w:cs="Arial"/>
                <w:snapToGrid w:val="0"/>
                <w:lang w:val="fr-FR"/>
              </w:rPr>
              <w:t>2015</w:t>
            </w:r>
          </w:p>
        </w:tc>
      </w:tr>
      <w:tr w:rsidR="007E2AA2" w:rsidRPr="00431D28" w:rsidTr="007E2AA2">
        <w:tblPrEx>
          <w:tblCellMar>
            <w:left w:w="85" w:type="dxa"/>
            <w:right w:w="85" w:type="dxa"/>
          </w:tblCellMar>
        </w:tblPrEx>
        <w:trPr>
          <w:cantSplit/>
          <w:tblHeader/>
        </w:trPr>
        <w:tc>
          <w:tcPr>
            <w:tcW w:w="1218" w:type="dxa"/>
            <w:tcBorders>
              <w:top w:val="single" w:sz="8" w:space="0" w:color="auto"/>
            </w:tcBorders>
          </w:tcPr>
          <w:p w:rsidR="007E2AA2" w:rsidRPr="00431D28" w:rsidRDefault="007E2AA2" w:rsidP="007E2AA2">
            <w:pPr>
              <w:jc w:val="right"/>
              <w:rPr>
                <w:rFonts w:cs="Arial"/>
                <w:snapToGrid w:val="0"/>
                <w:color w:val="000000"/>
                <w:lang w:val="fr-FR"/>
              </w:rPr>
            </w:pPr>
          </w:p>
        </w:tc>
        <w:tc>
          <w:tcPr>
            <w:tcW w:w="1302" w:type="dxa"/>
            <w:tcBorders>
              <w:top w:val="single" w:sz="8" w:space="0" w:color="auto"/>
            </w:tcBorders>
          </w:tcPr>
          <w:p w:rsidR="007E2AA2" w:rsidRPr="00431D28" w:rsidRDefault="007E2AA2" w:rsidP="007E2AA2">
            <w:pPr>
              <w:jc w:val="right"/>
              <w:rPr>
                <w:rFonts w:cs="Arial"/>
                <w:snapToGrid w:val="0"/>
                <w:color w:val="000000"/>
                <w:lang w:val="fr-FR"/>
              </w:rPr>
            </w:pPr>
          </w:p>
        </w:tc>
        <w:tc>
          <w:tcPr>
            <w:tcW w:w="2880" w:type="dxa"/>
            <w:tcBorders>
              <w:top w:val="single" w:sz="8" w:space="0" w:color="auto"/>
            </w:tcBorders>
          </w:tcPr>
          <w:p w:rsidR="007E2AA2" w:rsidRPr="00431D28" w:rsidRDefault="007E2AA2" w:rsidP="007E2AA2">
            <w:pPr>
              <w:ind w:left="138"/>
              <w:rPr>
                <w:rFonts w:cs="Arial"/>
                <w:snapToGrid w:val="0"/>
                <w:color w:val="000000"/>
                <w:lang w:val="fr-FR"/>
              </w:rPr>
            </w:pPr>
          </w:p>
        </w:tc>
        <w:tc>
          <w:tcPr>
            <w:tcW w:w="1161" w:type="dxa"/>
            <w:tcBorders>
              <w:top w:val="single" w:sz="8" w:space="0" w:color="auto"/>
            </w:tcBorders>
          </w:tcPr>
          <w:p w:rsidR="007E2AA2" w:rsidRPr="00431D28" w:rsidRDefault="007E2AA2" w:rsidP="007E2AA2">
            <w:pPr>
              <w:tabs>
                <w:tab w:val="decimal" w:pos="482"/>
              </w:tabs>
              <w:jc w:val="left"/>
              <w:rPr>
                <w:rFonts w:cs="Arial"/>
                <w:snapToGrid w:val="0"/>
                <w:color w:val="000000"/>
                <w:lang w:val="fr-FR"/>
              </w:rPr>
            </w:pPr>
          </w:p>
        </w:tc>
        <w:tc>
          <w:tcPr>
            <w:tcW w:w="1560" w:type="dxa"/>
            <w:tcBorders>
              <w:top w:val="single" w:sz="8" w:space="0" w:color="auto"/>
            </w:tcBorders>
          </w:tcPr>
          <w:p w:rsidR="007E2AA2" w:rsidRPr="00431D28" w:rsidRDefault="007E2AA2" w:rsidP="007E2AA2">
            <w:pPr>
              <w:jc w:val="right"/>
              <w:rPr>
                <w:rFonts w:cs="Arial"/>
                <w:snapToGrid w:val="0"/>
                <w:color w:val="000000"/>
                <w:lang w:val="fr-FR"/>
              </w:rPr>
            </w:pPr>
          </w:p>
        </w:tc>
        <w:tc>
          <w:tcPr>
            <w:tcW w:w="1559" w:type="dxa"/>
            <w:tcBorders>
              <w:top w:val="single" w:sz="8" w:space="0" w:color="auto"/>
            </w:tcBorders>
          </w:tcPr>
          <w:p w:rsidR="007E2AA2" w:rsidRPr="00431D28" w:rsidRDefault="007E2AA2" w:rsidP="007E2AA2">
            <w:pPr>
              <w:jc w:val="right"/>
              <w:rPr>
                <w:rFonts w:cs="Arial"/>
                <w:snapToGrid w:val="0"/>
                <w:color w:val="000000"/>
                <w:lang w:val="fr-FR"/>
              </w:rPr>
            </w:pP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c>
          <w:tcPr>
            <w:tcW w:w="2880" w:type="dxa"/>
          </w:tcPr>
          <w:p w:rsidR="007E2AA2" w:rsidRPr="00431D28" w:rsidRDefault="007E2AA2" w:rsidP="007E2AA2">
            <w:pPr>
              <w:tabs>
                <w:tab w:val="left" w:pos="212"/>
              </w:tabs>
              <w:ind w:left="57" w:right="-141"/>
              <w:rPr>
                <w:rFonts w:cs="Arial"/>
                <w:snapToGrid w:val="0"/>
                <w:color w:val="000000"/>
                <w:lang w:val="fr-FR"/>
              </w:rPr>
            </w:pPr>
            <w:r w:rsidRPr="00431D28">
              <w:rPr>
                <w:rFonts w:cs="Arial"/>
                <w:snapToGrid w:val="0"/>
                <w:color w:val="000000"/>
                <w:lang w:val="fr-FR"/>
              </w:rPr>
              <w:t>Afrique du Sud</w:t>
            </w:r>
          </w:p>
        </w:tc>
        <w:tc>
          <w:tcPr>
            <w:tcW w:w="1161" w:type="dxa"/>
          </w:tcPr>
          <w:p w:rsidR="007E2AA2" w:rsidRPr="00431D28" w:rsidRDefault="007E2AA2" w:rsidP="007670FE">
            <w:pPr>
              <w:ind w:right="113"/>
              <w:jc w:val="right"/>
              <w:rPr>
                <w:rFonts w:cs="Arial"/>
                <w:lang w:val="fr-FR"/>
              </w:rPr>
            </w:pPr>
            <w:r w:rsidRPr="00431D28">
              <w:rPr>
                <w:rFonts w:cs="Arial"/>
                <w:lang w:val="fr-FR"/>
              </w:rPr>
              <w:t>1,00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bookmarkStart w:id="15" w:name="_Hlk173836680"/>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Albanie</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snapToGrid w:val="0"/>
                <w:color w:val="000000"/>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bookmarkEnd w:id="15"/>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268 205</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268 205</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Allemagne</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lang w:val="fr-FR"/>
              </w:rPr>
              <w:t>5,00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268 205</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268 205</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Argentine</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snapToGrid w:val="0"/>
                <w:color w:val="000000"/>
                <w:lang w:val="fr-FR"/>
              </w:rPr>
              <w:t>0,50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Australie</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lang w:val="fr-FR"/>
              </w:rPr>
              <w:t>1,00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40 231</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40 231</w:t>
            </w:r>
          </w:p>
        </w:tc>
        <w:tc>
          <w:tcPr>
            <w:tcW w:w="2880" w:type="dxa"/>
          </w:tcPr>
          <w:p w:rsidR="007E2AA2" w:rsidRPr="00431D28" w:rsidRDefault="007E2AA2" w:rsidP="007E2AA2">
            <w:pPr>
              <w:ind w:left="57"/>
              <w:rPr>
                <w:rFonts w:cs="Arial"/>
                <w:snapToGrid w:val="0"/>
                <w:color w:val="000000"/>
                <w:vertAlign w:val="superscript"/>
                <w:lang w:val="fr-FR"/>
              </w:rPr>
            </w:pPr>
            <w:r w:rsidRPr="00431D28">
              <w:rPr>
                <w:rFonts w:cs="Arial"/>
                <w:snapToGrid w:val="0"/>
                <w:color w:val="000000"/>
                <w:lang w:val="fr-FR"/>
              </w:rPr>
              <w:t>Autriche</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snapToGrid w:val="0"/>
                <w:color w:val="000000"/>
                <w:lang w:val="fr-FR"/>
              </w:rPr>
              <w:t>0,75</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40 231</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40 231</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Azerbaïdjan</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snapToGrid w:val="0"/>
                <w:color w:val="000000"/>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Pr>
                <w:rFonts w:cs="Arial"/>
                <w:snapToGrid w:val="0"/>
                <w:color w:val="000000"/>
                <w:vertAlign w:val="superscript"/>
                <w:lang w:val="fr-FR"/>
              </w:rPr>
            </w:pPr>
            <w:r w:rsidRPr="00431D28">
              <w:rPr>
                <w:rFonts w:cs="Arial"/>
                <w:snapToGrid w:val="0"/>
                <w:color w:val="000000"/>
                <w:lang w:val="fr-FR"/>
              </w:rPr>
              <w:t>Bélarus</w:t>
            </w:r>
          </w:p>
        </w:tc>
        <w:tc>
          <w:tcPr>
            <w:tcW w:w="1161" w:type="dxa"/>
          </w:tcPr>
          <w:p w:rsidR="007E2AA2" w:rsidRPr="00431D28" w:rsidRDefault="007E2AA2" w:rsidP="007670FE">
            <w:pPr>
              <w:ind w:right="113"/>
              <w:jc w:val="right"/>
              <w:rPr>
                <w:rFonts w:cs="Arial"/>
                <w:snapToGrid w:val="0"/>
                <w:color w:val="000000"/>
                <w:vertAlign w:val="superscript"/>
                <w:lang w:val="fr-FR"/>
              </w:rPr>
            </w:pPr>
            <w:r w:rsidRPr="00431D28">
              <w:rPr>
                <w:rFonts w:cs="Arial"/>
                <w:snapToGrid w:val="0"/>
                <w:color w:val="000000"/>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80 462</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80 462</w:t>
            </w:r>
          </w:p>
        </w:tc>
        <w:tc>
          <w:tcPr>
            <w:tcW w:w="2880" w:type="dxa"/>
          </w:tcPr>
          <w:p w:rsidR="007E2AA2" w:rsidRPr="00431D28" w:rsidRDefault="007E2AA2" w:rsidP="007E2AA2">
            <w:pPr>
              <w:ind w:left="57"/>
              <w:rPr>
                <w:rFonts w:cs="Arial"/>
                <w:snapToGrid w:val="0"/>
                <w:color w:val="000000"/>
                <w:vertAlign w:val="superscript"/>
                <w:lang w:val="fr-FR"/>
              </w:rPr>
            </w:pPr>
            <w:r w:rsidRPr="00431D28">
              <w:rPr>
                <w:rFonts w:cs="Arial"/>
                <w:snapToGrid w:val="0"/>
                <w:color w:val="000000"/>
                <w:lang w:val="fr-FR"/>
              </w:rPr>
              <w:t>Belgique</w:t>
            </w:r>
            <w:r w:rsidRPr="00431D28">
              <w:rPr>
                <w:rFonts w:cs="Arial"/>
                <w:snapToGrid w:val="0"/>
                <w:color w:val="000000"/>
                <w:vertAlign w:val="superscript"/>
                <w:lang w:val="fr-FR"/>
              </w:rPr>
              <w:t xml:space="preserve"> </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snapToGrid w:val="0"/>
                <w:color w:val="000000"/>
                <w:lang w:val="fr-FR"/>
              </w:rPr>
              <w:t>1,50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80 462</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80 462</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Bolivie (État plurinational de)</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snapToGrid w:val="0"/>
                <w:color w:val="000000"/>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13 410</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13 410</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Brésil</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snapToGrid w:val="0"/>
                <w:color w:val="000000"/>
                <w:lang w:val="fr-FR"/>
              </w:rPr>
              <w:t>0,25</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13 410</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13 410</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Bulgarie</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snapToGrid w:val="0"/>
                <w:color w:val="000000"/>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Canada</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lang w:val="fr-FR"/>
              </w:rPr>
              <w:t>1,00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Chili</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snapToGrid w:val="0"/>
                <w:color w:val="000000"/>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Chine</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snapToGrid w:val="0"/>
                <w:color w:val="000000"/>
                <w:lang w:val="fr-FR"/>
              </w:rPr>
              <w:t>0,50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Colombie</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snapToGrid w:val="0"/>
                <w:color w:val="000000"/>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Costa Rica</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snapToGrid w:val="0"/>
                <w:color w:val="000000"/>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Croatie</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snapToGrid w:val="0"/>
                <w:color w:val="000000"/>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Danemark</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snapToGrid w:val="0"/>
                <w:color w:val="000000"/>
                <w:lang w:val="fr-FR"/>
              </w:rPr>
              <w:t>0,50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Équateur</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snapToGrid w:val="0"/>
                <w:color w:val="000000"/>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107 282</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107 282</w:t>
            </w:r>
          </w:p>
        </w:tc>
        <w:tc>
          <w:tcPr>
            <w:tcW w:w="2880" w:type="dxa"/>
          </w:tcPr>
          <w:p w:rsidR="007E2AA2" w:rsidRPr="00431D28" w:rsidRDefault="007E2AA2" w:rsidP="007E2AA2">
            <w:pPr>
              <w:ind w:left="57" w:right="-141"/>
              <w:rPr>
                <w:rFonts w:cs="Arial"/>
                <w:snapToGrid w:val="0"/>
                <w:color w:val="000000"/>
                <w:lang w:val="fr-FR"/>
              </w:rPr>
            </w:pPr>
            <w:r w:rsidRPr="00431D28">
              <w:rPr>
                <w:rFonts w:cs="Arial"/>
                <w:snapToGrid w:val="0"/>
                <w:color w:val="000000"/>
                <w:lang w:val="fr-FR"/>
              </w:rPr>
              <w:t>Espagne</w:t>
            </w:r>
          </w:p>
        </w:tc>
        <w:tc>
          <w:tcPr>
            <w:tcW w:w="1161" w:type="dxa"/>
          </w:tcPr>
          <w:p w:rsidR="007E2AA2" w:rsidRPr="00431D28" w:rsidRDefault="007E2AA2" w:rsidP="007670FE">
            <w:pPr>
              <w:ind w:right="113"/>
              <w:jc w:val="right"/>
              <w:rPr>
                <w:rFonts w:cs="Arial"/>
                <w:lang w:val="fr-FR"/>
              </w:rPr>
            </w:pPr>
            <w:r w:rsidRPr="00431D28">
              <w:rPr>
                <w:rFonts w:cs="Arial"/>
                <w:lang w:val="fr-FR"/>
              </w:rPr>
              <w:t>2,00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107 282</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107 282</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Estonie</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snapToGrid w:val="0"/>
                <w:color w:val="000000"/>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268 205</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268 205</w:t>
            </w:r>
          </w:p>
        </w:tc>
        <w:tc>
          <w:tcPr>
            <w:tcW w:w="2880" w:type="dxa"/>
          </w:tcPr>
          <w:p w:rsidR="007E2AA2" w:rsidRPr="00431D28" w:rsidRDefault="007E2AA2" w:rsidP="007E2AA2">
            <w:pPr>
              <w:ind w:left="57" w:right="-141"/>
              <w:jc w:val="left"/>
              <w:rPr>
                <w:rFonts w:cs="Arial"/>
                <w:snapToGrid w:val="0"/>
                <w:color w:val="000000"/>
                <w:lang w:val="fr-FR"/>
              </w:rPr>
            </w:pPr>
            <w:r w:rsidRPr="00431D28">
              <w:rPr>
                <w:rFonts w:cs="Arial"/>
                <w:snapToGrid w:val="0"/>
                <w:color w:val="000000"/>
                <w:lang w:val="fr-FR"/>
              </w:rPr>
              <w:t>États</w:t>
            </w:r>
            <w:r w:rsidRPr="00431D28">
              <w:rPr>
                <w:rFonts w:cs="Arial"/>
                <w:snapToGrid w:val="0"/>
                <w:color w:val="000000"/>
                <w:lang w:val="fr-FR"/>
              </w:rPr>
              <w:noBreakHyphen/>
              <w:t>Unis d’Amérique</w:t>
            </w:r>
          </w:p>
        </w:tc>
        <w:tc>
          <w:tcPr>
            <w:tcW w:w="1161" w:type="dxa"/>
          </w:tcPr>
          <w:p w:rsidR="007E2AA2" w:rsidRPr="00431D28" w:rsidRDefault="007E2AA2" w:rsidP="007670FE">
            <w:pPr>
              <w:ind w:right="113"/>
              <w:jc w:val="right"/>
              <w:rPr>
                <w:rFonts w:cs="Arial"/>
                <w:lang w:val="fr-FR"/>
              </w:rPr>
            </w:pPr>
            <w:r w:rsidRPr="00431D28">
              <w:rPr>
                <w:rFonts w:cs="Arial"/>
                <w:lang w:val="fr-FR"/>
              </w:rPr>
              <w:t>5,00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268 205</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268 205</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spacing w:after="40"/>
              <w:ind w:left="57" w:right="-142"/>
              <w:jc w:val="left"/>
              <w:rPr>
                <w:rFonts w:cs="Arial"/>
                <w:snapToGrid w:val="0"/>
                <w:color w:val="000000"/>
                <w:lang w:val="fr-FR"/>
              </w:rPr>
            </w:pPr>
            <w:r w:rsidRPr="00431D28">
              <w:rPr>
                <w:rFonts w:cs="Arial"/>
                <w:snapToGrid w:val="0"/>
                <w:color w:val="000000"/>
                <w:lang w:val="fr-FR"/>
              </w:rPr>
              <w:t>Ex</w:t>
            </w:r>
            <w:r w:rsidRPr="00431D28">
              <w:rPr>
                <w:rFonts w:cs="Arial"/>
                <w:snapToGrid w:val="0"/>
                <w:color w:val="000000"/>
                <w:lang w:val="fr-FR"/>
              </w:rPr>
              <w:noBreakHyphen/>
              <w:t>République yougoslave de Macédoine</w:t>
            </w:r>
          </w:p>
        </w:tc>
        <w:tc>
          <w:tcPr>
            <w:tcW w:w="1161" w:type="dxa"/>
          </w:tcPr>
          <w:p w:rsidR="007E2AA2" w:rsidRPr="00431D28" w:rsidRDefault="007E2AA2" w:rsidP="007670FE">
            <w:pPr>
              <w:ind w:right="113"/>
              <w:jc w:val="right"/>
              <w:rPr>
                <w:rFonts w:cs="Arial"/>
                <w:lang w:val="fr-FR"/>
              </w:rPr>
            </w:pPr>
            <w:r w:rsidRPr="00431D28">
              <w:rPr>
                <w:rFonts w:cs="Arial"/>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2880" w:type="dxa"/>
          </w:tcPr>
          <w:p w:rsidR="007E2AA2" w:rsidRPr="00431D28" w:rsidRDefault="007E2AA2" w:rsidP="007E2AA2">
            <w:pPr>
              <w:ind w:left="57" w:right="-141"/>
              <w:rPr>
                <w:rFonts w:cs="Arial"/>
                <w:snapToGrid w:val="0"/>
                <w:color w:val="000000"/>
                <w:lang w:val="fr-FR"/>
              </w:rPr>
            </w:pPr>
            <w:r w:rsidRPr="00431D28">
              <w:rPr>
                <w:rFonts w:cs="Arial"/>
                <w:snapToGrid w:val="0"/>
                <w:color w:val="000000"/>
                <w:lang w:val="fr-FR"/>
              </w:rPr>
              <w:t xml:space="preserve">Fédération de Russie </w:t>
            </w:r>
          </w:p>
        </w:tc>
        <w:tc>
          <w:tcPr>
            <w:tcW w:w="1161" w:type="dxa"/>
          </w:tcPr>
          <w:p w:rsidR="007E2AA2" w:rsidRPr="00431D28" w:rsidRDefault="007E2AA2" w:rsidP="007670FE">
            <w:pPr>
              <w:ind w:right="113"/>
              <w:jc w:val="right"/>
              <w:rPr>
                <w:rFonts w:cs="Arial"/>
                <w:lang w:val="fr-FR"/>
              </w:rPr>
            </w:pPr>
            <w:r w:rsidRPr="00431D28">
              <w:rPr>
                <w:rFonts w:cs="Arial"/>
                <w:lang w:val="fr-FR"/>
              </w:rPr>
              <w:t>0,50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Finlande</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lang w:val="fr-FR"/>
              </w:rPr>
              <w:t>1,00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268 205</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268 205</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France</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lang w:val="fr-FR"/>
              </w:rPr>
              <w:t>5,00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268 205</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268 205</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ind w:left="57"/>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Géorgie</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snapToGrid w:val="0"/>
                <w:color w:val="000000"/>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Hongrie</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snapToGrid w:val="0"/>
                <w:color w:val="000000"/>
                <w:lang w:val="fr-FR"/>
              </w:rPr>
              <w:t>0,50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Irlande</w:t>
            </w:r>
          </w:p>
        </w:tc>
        <w:tc>
          <w:tcPr>
            <w:tcW w:w="1161" w:type="dxa"/>
          </w:tcPr>
          <w:p w:rsidR="007E2AA2" w:rsidRPr="00431D28" w:rsidRDefault="007E2AA2" w:rsidP="007670FE">
            <w:pPr>
              <w:ind w:right="113"/>
              <w:jc w:val="right"/>
              <w:rPr>
                <w:rFonts w:cs="Arial"/>
                <w:snapToGrid w:val="0"/>
                <w:color w:val="000000"/>
                <w:vertAlign w:val="superscript"/>
                <w:lang w:val="fr-FR"/>
              </w:rPr>
            </w:pPr>
            <w:r w:rsidRPr="00431D28">
              <w:rPr>
                <w:rFonts w:cs="Arial"/>
                <w:lang w:val="fr-FR"/>
              </w:rPr>
              <w:t>1,00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Islande</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snapToGrid w:val="0"/>
                <w:color w:val="000000"/>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Israël</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snapToGrid w:val="0"/>
                <w:color w:val="000000"/>
                <w:lang w:val="fr-FR"/>
              </w:rPr>
              <w:t>0,50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107 282</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107 282</w:t>
            </w:r>
          </w:p>
        </w:tc>
        <w:tc>
          <w:tcPr>
            <w:tcW w:w="2880" w:type="dxa"/>
          </w:tcPr>
          <w:p w:rsidR="007E2AA2" w:rsidRPr="00431D28" w:rsidRDefault="007E2AA2" w:rsidP="007E2AA2">
            <w:pPr>
              <w:ind w:left="57"/>
              <w:rPr>
                <w:rFonts w:cs="Arial"/>
                <w:snapToGrid w:val="0"/>
                <w:color w:val="000000"/>
                <w:vertAlign w:val="superscript"/>
                <w:lang w:val="fr-FR"/>
              </w:rPr>
            </w:pPr>
            <w:r w:rsidRPr="00431D28">
              <w:rPr>
                <w:rFonts w:cs="Arial"/>
                <w:snapToGrid w:val="0"/>
                <w:color w:val="000000"/>
                <w:lang w:val="fr-FR"/>
              </w:rPr>
              <w:t>Italie</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snapToGrid w:val="0"/>
                <w:color w:val="000000"/>
                <w:lang w:val="fr-FR"/>
              </w:rPr>
              <w:t>2,00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107 282</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107 282</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268 205</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268 205</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Japon</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lang w:val="fr-FR"/>
              </w:rPr>
              <w:t>5,00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268 205</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268 205</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Jordanie</w:t>
            </w:r>
          </w:p>
        </w:tc>
        <w:tc>
          <w:tcPr>
            <w:tcW w:w="1161" w:type="dxa"/>
          </w:tcPr>
          <w:p w:rsidR="007E2AA2" w:rsidRPr="00431D28" w:rsidRDefault="007E2AA2" w:rsidP="007670FE">
            <w:pPr>
              <w:ind w:right="113"/>
              <w:jc w:val="right"/>
              <w:rPr>
                <w:rFonts w:cs="Arial"/>
                <w:lang w:val="fr-FR"/>
              </w:rPr>
            </w:pPr>
            <w:r w:rsidRPr="00431D28">
              <w:rPr>
                <w:rFonts w:cs="Arial"/>
                <w:snapToGrid w:val="0"/>
                <w:color w:val="000000"/>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Kenya</w:t>
            </w:r>
          </w:p>
        </w:tc>
        <w:tc>
          <w:tcPr>
            <w:tcW w:w="1161" w:type="dxa"/>
          </w:tcPr>
          <w:p w:rsidR="007E2AA2" w:rsidRPr="00431D28" w:rsidRDefault="007E2AA2" w:rsidP="007670FE">
            <w:pPr>
              <w:ind w:right="113"/>
              <w:jc w:val="right"/>
              <w:rPr>
                <w:rFonts w:cs="Arial"/>
                <w:lang w:val="fr-FR"/>
              </w:rPr>
            </w:pPr>
            <w:r w:rsidRPr="00431D28">
              <w:rPr>
                <w:rFonts w:cs="Arial"/>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Kirghizistan</w:t>
            </w:r>
          </w:p>
        </w:tc>
        <w:tc>
          <w:tcPr>
            <w:tcW w:w="1161" w:type="dxa"/>
          </w:tcPr>
          <w:p w:rsidR="007E2AA2" w:rsidRPr="00431D28" w:rsidRDefault="007E2AA2" w:rsidP="007670FE">
            <w:pPr>
              <w:ind w:right="113"/>
              <w:jc w:val="right"/>
              <w:rPr>
                <w:rFonts w:cs="Arial"/>
                <w:lang w:val="fr-FR"/>
              </w:rPr>
            </w:pPr>
            <w:r w:rsidRPr="00431D28">
              <w:rPr>
                <w:rFonts w:cs="Arial"/>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Lettonie</w:t>
            </w:r>
          </w:p>
        </w:tc>
        <w:tc>
          <w:tcPr>
            <w:tcW w:w="1161" w:type="dxa"/>
          </w:tcPr>
          <w:p w:rsidR="007E2AA2" w:rsidRPr="00431D28" w:rsidRDefault="007E2AA2" w:rsidP="007670FE">
            <w:pPr>
              <w:ind w:right="113"/>
              <w:jc w:val="right"/>
              <w:rPr>
                <w:rFonts w:cs="Arial"/>
                <w:lang w:val="fr-FR"/>
              </w:rPr>
            </w:pPr>
            <w:r w:rsidRPr="00431D28">
              <w:rPr>
                <w:rFonts w:cs="Arial"/>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Lituanie</w:t>
            </w:r>
          </w:p>
        </w:tc>
        <w:tc>
          <w:tcPr>
            <w:tcW w:w="1161" w:type="dxa"/>
          </w:tcPr>
          <w:p w:rsidR="007E2AA2" w:rsidRPr="00431D28" w:rsidRDefault="007E2AA2" w:rsidP="007670FE">
            <w:pPr>
              <w:ind w:right="113"/>
              <w:jc w:val="right"/>
              <w:rPr>
                <w:rFonts w:cs="Arial"/>
                <w:lang w:val="fr-FR"/>
              </w:rPr>
            </w:pPr>
            <w:r w:rsidRPr="00431D28">
              <w:rPr>
                <w:rFonts w:cs="Arial"/>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Maroc</w:t>
            </w:r>
          </w:p>
        </w:tc>
        <w:tc>
          <w:tcPr>
            <w:tcW w:w="1161" w:type="dxa"/>
          </w:tcPr>
          <w:p w:rsidR="007E2AA2" w:rsidRPr="00431D28" w:rsidRDefault="007E2AA2" w:rsidP="007670FE">
            <w:pPr>
              <w:ind w:right="113"/>
              <w:jc w:val="right"/>
              <w:rPr>
                <w:rFonts w:cs="Arial"/>
                <w:lang w:val="fr-FR"/>
              </w:rPr>
            </w:pPr>
            <w:r w:rsidRPr="00431D28">
              <w:rPr>
                <w:rFonts w:cs="Arial"/>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40 231</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40 231</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Mexique</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snapToGrid w:val="0"/>
                <w:color w:val="000000"/>
                <w:lang w:val="fr-FR"/>
              </w:rPr>
              <w:t>0,75</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40 231</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40 231</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Nicaragua</w:t>
            </w:r>
          </w:p>
        </w:tc>
        <w:tc>
          <w:tcPr>
            <w:tcW w:w="1161" w:type="dxa"/>
          </w:tcPr>
          <w:p w:rsidR="007E2AA2" w:rsidRPr="00431D28" w:rsidRDefault="007E2AA2" w:rsidP="007670FE">
            <w:pPr>
              <w:ind w:right="113"/>
              <w:jc w:val="right"/>
              <w:rPr>
                <w:rFonts w:cs="Arial"/>
                <w:lang w:val="fr-FR"/>
              </w:rPr>
            </w:pPr>
            <w:r w:rsidRPr="00431D28">
              <w:rPr>
                <w:rFonts w:cs="Arial"/>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Norvège</w:t>
            </w:r>
          </w:p>
        </w:tc>
        <w:tc>
          <w:tcPr>
            <w:tcW w:w="1161" w:type="dxa"/>
          </w:tcPr>
          <w:p w:rsidR="007E2AA2" w:rsidRPr="00431D28" w:rsidRDefault="007E2AA2" w:rsidP="007670FE">
            <w:pPr>
              <w:ind w:right="113"/>
              <w:jc w:val="right"/>
              <w:rPr>
                <w:rFonts w:cs="Arial"/>
                <w:lang w:val="fr-FR"/>
              </w:rPr>
            </w:pPr>
            <w:r w:rsidRPr="00431D28">
              <w:rPr>
                <w:rFonts w:cs="Arial"/>
                <w:lang w:val="fr-FR"/>
              </w:rPr>
              <w:t>1,00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Nouvelle</w:t>
            </w:r>
            <w:r w:rsidRPr="00431D28">
              <w:rPr>
                <w:rFonts w:cs="Arial"/>
                <w:snapToGrid w:val="0"/>
                <w:color w:val="000000"/>
                <w:lang w:val="fr-FR"/>
              </w:rPr>
              <w:noBreakHyphen/>
              <w:t>Zélande</w:t>
            </w:r>
          </w:p>
        </w:tc>
        <w:tc>
          <w:tcPr>
            <w:tcW w:w="1161" w:type="dxa"/>
          </w:tcPr>
          <w:p w:rsidR="007E2AA2" w:rsidRPr="00431D28" w:rsidRDefault="007E2AA2" w:rsidP="007670FE">
            <w:pPr>
              <w:ind w:right="113"/>
              <w:jc w:val="right"/>
              <w:rPr>
                <w:rFonts w:cs="Arial"/>
                <w:lang w:val="fr-FR"/>
              </w:rPr>
            </w:pPr>
            <w:r w:rsidRPr="00431D28">
              <w:rPr>
                <w:rFonts w:cs="Arial"/>
                <w:lang w:val="fr-FR"/>
              </w:rPr>
              <w:t>1,00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Oman</w:t>
            </w:r>
          </w:p>
        </w:tc>
        <w:tc>
          <w:tcPr>
            <w:tcW w:w="1161" w:type="dxa"/>
          </w:tcPr>
          <w:p w:rsidR="007E2AA2" w:rsidRPr="00431D28" w:rsidRDefault="007E2AA2" w:rsidP="007670FE">
            <w:pPr>
              <w:ind w:right="113"/>
              <w:jc w:val="right"/>
              <w:rPr>
                <w:rFonts w:cs="Arial"/>
                <w:lang w:val="fr-FR"/>
              </w:rPr>
            </w:pPr>
            <w:r w:rsidRPr="00431D28">
              <w:rPr>
                <w:rFonts w:cs="Arial"/>
                <w:lang w:val="fr-FR"/>
              </w:rPr>
              <w:t>1,00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53 641</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ight="-141"/>
              <w:rPr>
                <w:rFonts w:cs="Arial"/>
                <w:snapToGrid w:val="0"/>
                <w:color w:val="000000"/>
                <w:lang w:val="fr-FR"/>
              </w:rPr>
            </w:pPr>
            <w:r w:rsidRPr="00431D28">
              <w:rPr>
                <w:rFonts w:cs="Arial"/>
                <w:snapToGrid w:val="0"/>
                <w:color w:val="000000"/>
                <w:lang w:val="fr-FR"/>
              </w:rPr>
              <w:t>Ouzbékistan</w:t>
            </w:r>
          </w:p>
        </w:tc>
        <w:tc>
          <w:tcPr>
            <w:tcW w:w="1161" w:type="dxa"/>
          </w:tcPr>
          <w:p w:rsidR="007E2AA2" w:rsidRPr="00431D28" w:rsidRDefault="007E2AA2" w:rsidP="007670FE">
            <w:pPr>
              <w:ind w:right="113"/>
              <w:jc w:val="right"/>
              <w:rPr>
                <w:rFonts w:cs="Arial"/>
                <w:lang w:val="fr-FR"/>
              </w:rPr>
            </w:pPr>
            <w:r w:rsidRPr="00431D28">
              <w:rPr>
                <w:rFonts w:cs="Arial"/>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Panama</w:t>
            </w:r>
          </w:p>
        </w:tc>
        <w:tc>
          <w:tcPr>
            <w:tcW w:w="1161" w:type="dxa"/>
          </w:tcPr>
          <w:p w:rsidR="007E2AA2" w:rsidRPr="00431D28" w:rsidRDefault="007E2AA2" w:rsidP="007670FE">
            <w:pPr>
              <w:ind w:right="113"/>
              <w:jc w:val="right"/>
              <w:rPr>
                <w:rFonts w:cs="Arial"/>
                <w:lang w:val="fr-FR"/>
              </w:rPr>
            </w:pPr>
            <w:r w:rsidRPr="00431D28">
              <w:rPr>
                <w:rFonts w:cs="Arial"/>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Paraguay</w:t>
            </w:r>
          </w:p>
        </w:tc>
        <w:tc>
          <w:tcPr>
            <w:tcW w:w="1161" w:type="dxa"/>
          </w:tcPr>
          <w:p w:rsidR="007E2AA2" w:rsidRPr="00431D28" w:rsidRDefault="007E2AA2" w:rsidP="007670FE">
            <w:pPr>
              <w:ind w:right="113"/>
              <w:jc w:val="right"/>
              <w:rPr>
                <w:rFonts w:cs="Arial"/>
                <w:lang w:val="fr-FR"/>
              </w:rPr>
            </w:pPr>
            <w:r w:rsidRPr="00431D28">
              <w:rPr>
                <w:rFonts w:cs="Arial"/>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160 923</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160 923</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Pays</w:t>
            </w:r>
            <w:r w:rsidRPr="00431D28">
              <w:rPr>
                <w:rFonts w:cs="Arial"/>
                <w:snapToGrid w:val="0"/>
                <w:color w:val="000000"/>
                <w:lang w:val="fr-FR"/>
              </w:rPr>
              <w:noBreakHyphen/>
              <w:t xml:space="preserve">Bas </w:t>
            </w:r>
          </w:p>
        </w:tc>
        <w:tc>
          <w:tcPr>
            <w:tcW w:w="1161" w:type="dxa"/>
          </w:tcPr>
          <w:p w:rsidR="007E2AA2" w:rsidRPr="00431D28" w:rsidRDefault="007E2AA2" w:rsidP="007670FE">
            <w:pPr>
              <w:ind w:right="113"/>
              <w:jc w:val="right"/>
              <w:rPr>
                <w:rFonts w:cs="Arial"/>
                <w:lang w:val="fr-FR"/>
              </w:rPr>
            </w:pPr>
            <w:r w:rsidRPr="00431D28">
              <w:rPr>
                <w:rFonts w:cs="Arial"/>
                <w:lang w:val="fr-FR"/>
              </w:rPr>
              <w:t>3,00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160 923</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160 923</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Pérou</w:t>
            </w:r>
          </w:p>
        </w:tc>
        <w:tc>
          <w:tcPr>
            <w:tcW w:w="1161" w:type="dxa"/>
          </w:tcPr>
          <w:p w:rsidR="007E2AA2" w:rsidRPr="00431D28" w:rsidRDefault="007E2AA2" w:rsidP="007670FE">
            <w:pPr>
              <w:ind w:right="113"/>
              <w:jc w:val="right"/>
              <w:rPr>
                <w:rFonts w:cs="Arial"/>
                <w:lang w:val="fr-FR"/>
              </w:rPr>
            </w:pPr>
            <w:r w:rsidRPr="00431D28">
              <w:rPr>
                <w:rFonts w:cs="Arial"/>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Pologne</w:t>
            </w:r>
          </w:p>
        </w:tc>
        <w:tc>
          <w:tcPr>
            <w:tcW w:w="1161" w:type="dxa"/>
          </w:tcPr>
          <w:p w:rsidR="007E2AA2" w:rsidRPr="00431D28" w:rsidRDefault="007E2AA2" w:rsidP="007670FE">
            <w:pPr>
              <w:ind w:right="113"/>
              <w:jc w:val="right"/>
              <w:rPr>
                <w:rFonts w:cs="Arial"/>
                <w:lang w:val="fr-FR"/>
              </w:rPr>
            </w:pPr>
            <w:r w:rsidRPr="00431D28">
              <w:rPr>
                <w:rFonts w:cs="Arial"/>
                <w:lang w:val="fr-FR"/>
              </w:rPr>
              <w:t>0,50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ight="-141"/>
              <w:rPr>
                <w:rFonts w:cs="Arial"/>
                <w:snapToGrid w:val="0"/>
                <w:color w:val="000000"/>
                <w:lang w:val="fr-FR"/>
              </w:rPr>
            </w:pPr>
            <w:r w:rsidRPr="00431D28">
              <w:rPr>
                <w:rFonts w:cs="Arial"/>
                <w:snapToGrid w:val="0"/>
                <w:color w:val="000000"/>
                <w:lang w:val="fr-FR"/>
              </w:rPr>
              <w:t>Portugal</w:t>
            </w:r>
          </w:p>
        </w:tc>
        <w:tc>
          <w:tcPr>
            <w:tcW w:w="1161" w:type="dxa"/>
          </w:tcPr>
          <w:p w:rsidR="007E2AA2" w:rsidRPr="00431D28" w:rsidRDefault="007E2AA2" w:rsidP="007670FE">
            <w:pPr>
              <w:ind w:right="113"/>
              <w:jc w:val="right"/>
              <w:rPr>
                <w:rFonts w:cs="Arial"/>
                <w:lang w:val="fr-FR"/>
              </w:rPr>
            </w:pPr>
            <w:r w:rsidRPr="00431D28">
              <w:rPr>
                <w:rFonts w:cs="Arial"/>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80 462</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80 462</w:t>
            </w:r>
          </w:p>
        </w:tc>
        <w:tc>
          <w:tcPr>
            <w:tcW w:w="2880" w:type="dxa"/>
          </w:tcPr>
          <w:p w:rsidR="007E2AA2" w:rsidRPr="00431D28" w:rsidRDefault="007E2AA2" w:rsidP="007E2AA2">
            <w:pPr>
              <w:ind w:left="57" w:right="-141"/>
              <w:rPr>
                <w:rFonts w:cs="Arial"/>
                <w:snapToGrid w:val="0"/>
                <w:color w:val="000000"/>
                <w:lang w:val="fr-FR"/>
              </w:rPr>
            </w:pPr>
            <w:r w:rsidRPr="00431D28">
              <w:rPr>
                <w:rFonts w:cs="Arial"/>
                <w:snapToGrid w:val="0"/>
                <w:color w:val="000000"/>
                <w:lang w:val="fr-FR"/>
              </w:rPr>
              <w:t>République de Corée</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snapToGrid w:val="0"/>
                <w:color w:val="000000"/>
                <w:lang w:val="fr-FR"/>
              </w:rPr>
              <w:t>1,50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80 462</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80 462</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ight="-141"/>
              <w:rPr>
                <w:rFonts w:cs="Arial"/>
                <w:snapToGrid w:val="0"/>
                <w:color w:val="000000"/>
                <w:lang w:val="fr-FR"/>
              </w:rPr>
            </w:pPr>
            <w:r w:rsidRPr="00431D28">
              <w:rPr>
                <w:rFonts w:cs="Arial"/>
                <w:snapToGrid w:val="0"/>
                <w:color w:val="000000"/>
                <w:lang w:val="fr-FR"/>
              </w:rPr>
              <w:t>République de Moldova</w:t>
            </w:r>
          </w:p>
        </w:tc>
        <w:tc>
          <w:tcPr>
            <w:tcW w:w="1161" w:type="dxa"/>
          </w:tcPr>
          <w:p w:rsidR="007E2AA2" w:rsidRPr="00431D28" w:rsidRDefault="007E2AA2" w:rsidP="007670FE">
            <w:pPr>
              <w:ind w:right="113"/>
              <w:jc w:val="right"/>
              <w:rPr>
                <w:rFonts w:cs="Arial"/>
                <w:lang w:val="fr-FR"/>
              </w:rPr>
            </w:pPr>
            <w:r w:rsidRPr="00431D28">
              <w:rPr>
                <w:rFonts w:cs="Arial"/>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République dominicaine</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snapToGrid w:val="0"/>
                <w:color w:val="000000"/>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 xml:space="preserve">République tchèque </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snapToGrid w:val="0"/>
                <w:color w:val="000000"/>
                <w:lang w:val="fr-FR"/>
              </w:rPr>
              <w:t>0,50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ight="-141"/>
              <w:rPr>
                <w:rFonts w:cs="Arial"/>
                <w:snapToGrid w:val="0"/>
                <w:color w:val="000000"/>
                <w:lang w:val="fr-FR"/>
              </w:rPr>
            </w:pPr>
            <w:r w:rsidRPr="00431D28">
              <w:rPr>
                <w:rFonts w:cs="Arial"/>
                <w:snapToGrid w:val="0"/>
                <w:color w:val="000000"/>
                <w:lang w:val="fr-FR"/>
              </w:rPr>
              <w:t>Roumanie</w:t>
            </w:r>
          </w:p>
        </w:tc>
        <w:tc>
          <w:tcPr>
            <w:tcW w:w="1161" w:type="dxa"/>
          </w:tcPr>
          <w:p w:rsidR="007E2AA2" w:rsidRPr="00431D28" w:rsidRDefault="007E2AA2" w:rsidP="007670FE">
            <w:pPr>
              <w:ind w:right="113"/>
              <w:jc w:val="right"/>
              <w:rPr>
                <w:rFonts w:cs="Arial"/>
                <w:lang w:val="fr-FR"/>
              </w:rPr>
            </w:pPr>
            <w:r w:rsidRPr="00431D28">
              <w:rPr>
                <w:rFonts w:cs="Arial"/>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107 282</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107 282</w:t>
            </w:r>
          </w:p>
        </w:tc>
        <w:tc>
          <w:tcPr>
            <w:tcW w:w="2880" w:type="dxa"/>
          </w:tcPr>
          <w:p w:rsidR="007E2AA2" w:rsidRPr="00431D28" w:rsidRDefault="007E2AA2" w:rsidP="007E2AA2">
            <w:pPr>
              <w:ind w:left="57" w:right="-141"/>
              <w:rPr>
                <w:rFonts w:cs="Arial"/>
                <w:snapToGrid w:val="0"/>
                <w:color w:val="000000"/>
                <w:lang w:val="fr-FR"/>
              </w:rPr>
            </w:pPr>
            <w:r w:rsidRPr="00431D28">
              <w:rPr>
                <w:rFonts w:cs="Arial"/>
                <w:snapToGrid w:val="0"/>
                <w:color w:val="000000"/>
                <w:lang w:val="fr-FR"/>
              </w:rPr>
              <w:t>Royaume</w:t>
            </w:r>
            <w:r w:rsidRPr="00431D28">
              <w:rPr>
                <w:rFonts w:cs="Arial"/>
                <w:snapToGrid w:val="0"/>
                <w:color w:val="000000"/>
                <w:lang w:val="fr-FR"/>
              </w:rPr>
              <w:noBreakHyphen/>
              <w:t>Uni</w:t>
            </w:r>
          </w:p>
        </w:tc>
        <w:tc>
          <w:tcPr>
            <w:tcW w:w="1161" w:type="dxa"/>
          </w:tcPr>
          <w:p w:rsidR="007E2AA2" w:rsidRPr="00431D28" w:rsidRDefault="007E2AA2" w:rsidP="007670FE">
            <w:pPr>
              <w:ind w:right="113"/>
              <w:jc w:val="right"/>
              <w:rPr>
                <w:rFonts w:cs="Arial"/>
                <w:lang w:val="fr-FR"/>
              </w:rPr>
            </w:pPr>
            <w:r w:rsidRPr="00431D28">
              <w:rPr>
                <w:rFonts w:cs="Arial"/>
                <w:lang w:val="fr-FR"/>
              </w:rPr>
              <w:t>2,00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107 282</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107 282</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0</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0</w:t>
            </w:r>
          </w:p>
        </w:tc>
        <w:tc>
          <w:tcPr>
            <w:tcW w:w="2880" w:type="dxa"/>
          </w:tcPr>
          <w:p w:rsidR="007E2AA2" w:rsidRPr="00431D28" w:rsidRDefault="007E2AA2" w:rsidP="007E2AA2">
            <w:pPr>
              <w:ind w:left="57" w:right="-141"/>
              <w:rPr>
                <w:rFonts w:cs="Arial"/>
                <w:snapToGrid w:val="0"/>
                <w:color w:val="000000"/>
                <w:lang w:val="fr-FR"/>
              </w:rPr>
            </w:pPr>
            <w:r w:rsidRPr="00431D28">
              <w:rPr>
                <w:rFonts w:cs="Arial"/>
                <w:snapToGrid w:val="0"/>
                <w:color w:val="000000"/>
                <w:lang w:val="fr-FR"/>
              </w:rPr>
              <w:t>Serbie</w:t>
            </w:r>
          </w:p>
        </w:tc>
        <w:tc>
          <w:tcPr>
            <w:tcW w:w="1161" w:type="dxa"/>
          </w:tcPr>
          <w:p w:rsidR="007E2AA2" w:rsidRPr="00431D28" w:rsidRDefault="007E2AA2" w:rsidP="007670FE">
            <w:pPr>
              <w:ind w:right="113"/>
              <w:jc w:val="right"/>
              <w:rPr>
                <w:rFonts w:cs="Arial"/>
                <w:lang w:val="fr-FR"/>
              </w:rPr>
            </w:pPr>
            <w:r w:rsidRPr="00431D28">
              <w:rPr>
                <w:rFonts w:cs="Arial"/>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ight="-141"/>
              <w:rPr>
                <w:rFonts w:cs="Arial"/>
                <w:snapToGrid w:val="0"/>
                <w:color w:val="000000"/>
                <w:lang w:val="fr-FR"/>
              </w:rPr>
            </w:pPr>
            <w:r w:rsidRPr="00431D28">
              <w:rPr>
                <w:rFonts w:cs="Arial"/>
                <w:snapToGrid w:val="0"/>
                <w:color w:val="000000"/>
                <w:lang w:val="fr-FR"/>
              </w:rPr>
              <w:t>Singapour</w:t>
            </w:r>
          </w:p>
        </w:tc>
        <w:tc>
          <w:tcPr>
            <w:tcW w:w="1161" w:type="dxa"/>
          </w:tcPr>
          <w:p w:rsidR="007E2AA2" w:rsidRPr="00431D28" w:rsidRDefault="007E2AA2" w:rsidP="007670FE">
            <w:pPr>
              <w:ind w:right="113"/>
              <w:jc w:val="right"/>
              <w:rPr>
                <w:rFonts w:cs="Arial"/>
                <w:lang w:val="fr-FR"/>
              </w:rPr>
            </w:pPr>
            <w:r w:rsidRPr="00431D28">
              <w:rPr>
                <w:rFonts w:cs="Arial"/>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2880" w:type="dxa"/>
          </w:tcPr>
          <w:p w:rsidR="007E2AA2" w:rsidRPr="00431D28" w:rsidRDefault="007E2AA2" w:rsidP="007E2AA2">
            <w:pPr>
              <w:ind w:left="57" w:right="-141"/>
              <w:rPr>
                <w:rFonts w:cs="Arial"/>
                <w:snapToGrid w:val="0"/>
                <w:color w:val="000000"/>
                <w:lang w:val="fr-FR"/>
              </w:rPr>
            </w:pPr>
            <w:r w:rsidRPr="00431D28">
              <w:rPr>
                <w:rFonts w:cs="Arial"/>
                <w:snapToGrid w:val="0"/>
                <w:color w:val="000000"/>
                <w:lang w:val="fr-FR"/>
              </w:rPr>
              <w:t>Slovaquie</w:t>
            </w:r>
          </w:p>
        </w:tc>
        <w:tc>
          <w:tcPr>
            <w:tcW w:w="1161" w:type="dxa"/>
          </w:tcPr>
          <w:p w:rsidR="007E2AA2" w:rsidRPr="00431D28" w:rsidRDefault="007E2AA2" w:rsidP="007670FE">
            <w:pPr>
              <w:ind w:right="113"/>
              <w:jc w:val="right"/>
              <w:rPr>
                <w:rFonts w:cs="Arial"/>
                <w:lang w:val="fr-FR"/>
              </w:rPr>
            </w:pPr>
            <w:r w:rsidRPr="00431D28">
              <w:rPr>
                <w:rFonts w:cs="Arial"/>
                <w:lang w:val="fr-FR"/>
              </w:rPr>
              <w:t>0,50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ight="-141"/>
              <w:rPr>
                <w:rFonts w:cs="Arial"/>
                <w:snapToGrid w:val="0"/>
                <w:color w:val="000000"/>
                <w:lang w:val="fr-FR"/>
              </w:rPr>
            </w:pPr>
            <w:r w:rsidRPr="00431D28">
              <w:rPr>
                <w:rFonts w:cs="Arial"/>
                <w:snapToGrid w:val="0"/>
                <w:color w:val="000000"/>
                <w:lang w:val="fr-FR"/>
              </w:rPr>
              <w:t>Slovénie</w:t>
            </w:r>
          </w:p>
        </w:tc>
        <w:tc>
          <w:tcPr>
            <w:tcW w:w="1161" w:type="dxa"/>
          </w:tcPr>
          <w:p w:rsidR="007E2AA2" w:rsidRPr="00431D28" w:rsidRDefault="007E2AA2" w:rsidP="007670FE">
            <w:pPr>
              <w:ind w:right="113"/>
              <w:jc w:val="right"/>
              <w:rPr>
                <w:rFonts w:cs="Arial"/>
                <w:lang w:val="fr-FR"/>
              </w:rPr>
            </w:pPr>
            <w:r w:rsidRPr="00431D28">
              <w:rPr>
                <w:rFonts w:cs="Arial"/>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80 462</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80 462</w:t>
            </w:r>
          </w:p>
        </w:tc>
        <w:tc>
          <w:tcPr>
            <w:tcW w:w="2880" w:type="dxa"/>
          </w:tcPr>
          <w:p w:rsidR="007E2AA2" w:rsidRPr="00431D28" w:rsidRDefault="007E2AA2" w:rsidP="007E2AA2">
            <w:pPr>
              <w:ind w:left="57" w:right="-141"/>
              <w:rPr>
                <w:rFonts w:cs="Arial"/>
                <w:snapToGrid w:val="0"/>
                <w:color w:val="000000"/>
                <w:lang w:val="fr-FR"/>
              </w:rPr>
            </w:pPr>
            <w:r w:rsidRPr="00431D28">
              <w:rPr>
                <w:rFonts w:cs="Arial"/>
                <w:snapToGrid w:val="0"/>
                <w:color w:val="000000"/>
                <w:lang w:val="fr-FR"/>
              </w:rPr>
              <w:t>Suède</w:t>
            </w:r>
          </w:p>
        </w:tc>
        <w:tc>
          <w:tcPr>
            <w:tcW w:w="1161" w:type="dxa"/>
          </w:tcPr>
          <w:p w:rsidR="007E2AA2" w:rsidRPr="00431D28" w:rsidRDefault="007E2AA2" w:rsidP="007670FE">
            <w:pPr>
              <w:ind w:right="113"/>
              <w:jc w:val="right"/>
              <w:rPr>
                <w:rFonts w:cs="Arial"/>
                <w:lang w:val="fr-FR"/>
              </w:rPr>
            </w:pPr>
            <w:r w:rsidRPr="00431D28">
              <w:rPr>
                <w:rFonts w:cs="Arial"/>
                <w:lang w:val="fr-FR"/>
              </w:rPr>
              <w:t>1,50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80 462</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80 462</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80 462</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80 462</w:t>
            </w:r>
          </w:p>
        </w:tc>
        <w:tc>
          <w:tcPr>
            <w:tcW w:w="2880" w:type="dxa"/>
          </w:tcPr>
          <w:p w:rsidR="007E2AA2" w:rsidRPr="00431D28" w:rsidRDefault="007E2AA2" w:rsidP="007E2AA2">
            <w:pPr>
              <w:ind w:left="57" w:right="-141"/>
              <w:rPr>
                <w:rFonts w:cs="Arial"/>
                <w:snapToGrid w:val="0"/>
                <w:color w:val="000000"/>
                <w:lang w:val="fr-FR"/>
              </w:rPr>
            </w:pPr>
            <w:r w:rsidRPr="00431D28">
              <w:rPr>
                <w:rFonts w:cs="Arial"/>
                <w:snapToGrid w:val="0"/>
                <w:color w:val="000000"/>
                <w:lang w:val="fr-FR"/>
              </w:rPr>
              <w:t>Suisse</w:t>
            </w:r>
          </w:p>
        </w:tc>
        <w:tc>
          <w:tcPr>
            <w:tcW w:w="1161" w:type="dxa"/>
          </w:tcPr>
          <w:p w:rsidR="007E2AA2" w:rsidRPr="00431D28" w:rsidRDefault="007E2AA2" w:rsidP="007670FE">
            <w:pPr>
              <w:ind w:right="113"/>
              <w:jc w:val="right"/>
              <w:rPr>
                <w:rFonts w:cs="Arial"/>
                <w:lang w:val="fr-FR"/>
              </w:rPr>
            </w:pPr>
            <w:r w:rsidRPr="00431D28">
              <w:rPr>
                <w:rFonts w:cs="Arial"/>
                <w:lang w:val="fr-FR"/>
              </w:rPr>
              <w:t>1,50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80 462</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80 462</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ight="-141"/>
              <w:rPr>
                <w:rFonts w:cs="Arial"/>
                <w:snapToGrid w:val="0"/>
                <w:color w:val="000000"/>
                <w:lang w:val="fr-FR"/>
              </w:rPr>
            </w:pPr>
            <w:r w:rsidRPr="00431D28">
              <w:rPr>
                <w:rFonts w:cs="Arial"/>
                <w:snapToGrid w:val="0"/>
                <w:color w:val="000000"/>
                <w:lang w:val="fr-FR"/>
              </w:rPr>
              <w:t>Trinité</w:t>
            </w:r>
            <w:r w:rsidRPr="00431D28">
              <w:rPr>
                <w:rFonts w:cs="Arial"/>
                <w:snapToGrid w:val="0"/>
                <w:color w:val="000000"/>
                <w:lang w:val="fr-FR"/>
              </w:rPr>
              <w:noBreakHyphen/>
              <w:t>et</w:t>
            </w:r>
            <w:r w:rsidRPr="00431D28">
              <w:rPr>
                <w:rFonts w:cs="Arial"/>
                <w:snapToGrid w:val="0"/>
                <w:color w:val="000000"/>
                <w:lang w:val="fr-FR"/>
              </w:rPr>
              <w:noBreakHyphen/>
              <w:t>Tobago</w:t>
            </w:r>
          </w:p>
        </w:tc>
        <w:tc>
          <w:tcPr>
            <w:tcW w:w="1161" w:type="dxa"/>
          </w:tcPr>
          <w:p w:rsidR="007E2AA2" w:rsidRPr="00431D28" w:rsidRDefault="007E2AA2" w:rsidP="007670FE">
            <w:pPr>
              <w:ind w:right="113"/>
              <w:jc w:val="right"/>
              <w:rPr>
                <w:rFonts w:cs="Arial"/>
                <w:lang w:val="fr-FR"/>
              </w:rPr>
            </w:pPr>
            <w:r w:rsidRPr="00431D28">
              <w:rPr>
                <w:rFonts w:cs="Arial"/>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ight="-141"/>
              <w:rPr>
                <w:rFonts w:cs="Arial"/>
                <w:snapToGrid w:val="0"/>
                <w:color w:val="000000"/>
                <w:lang w:val="fr-FR"/>
              </w:rPr>
            </w:pPr>
            <w:r w:rsidRPr="00431D28">
              <w:rPr>
                <w:rFonts w:cs="Arial"/>
                <w:snapToGrid w:val="0"/>
                <w:color w:val="000000"/>
                <w:lang w:val="fr-FR"/>
              </w:rPr>
              <w:t>Tunisie</w:t>
            </w:r>
          </w:p>
        </w:tc>
        <w:tc>
          <w:tcPr>
            <w:tcW w:w="1161" w:type="dxa"/>
          </w:tcPr>
          <w:p w:rsidR="007E2AA2" w:rsidRPr="00431D28" w:rsidRDefault="007E2AA2" w:rsidP="007670FE">
            <w:pPr>
              <w:ind w:right="113"/>
              <w:jc w:val="right"/>
              <w:rPr>
                <w:rFonts w:cs="Arial"/>
                <w:lang w:val="fr-FR"/>
              </w:rPr>
            </w:pPr>
            <w:r w:rsidRPr="00431D28">
              <w:rPr>
                <w:rFonts w:cs="Arial"/>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2880" w:type="dxa"/>
          </w:tcPr>
          <w:p w:rsidR="007E2AA2" w:rsidRPr="00431D28" w:rsidRDefault="007E2AA2" w:rsidP="007E2AA2">
            <w:pPr>
              <w:ind w:left="57" w:right="-141"/>
              <w:rPr>
                <w:rFonts w:cs="Arial"/>
                <w:snapToGrid w:val="0"/>
                <w:color w:val="000000"/>
                <w:lang w:val="fr-FR"/>
              </w:rPr>
            </w:pPr>
            <w:r w:rsidRPr="00431D28">
              <w:rPr>
                <w:rFonts w:cs="Arial"/>
                <w:snapToGrid w:val="0"/>
                <w:color w:val="000000"/>
                <w:lang w:val="fr-FR"/>
              </w:rPr>
              <w:t>Turquie</w:t>
            </w:r>
          </w:p>
        </w:tc>
        <w:tc>
          <w:tcPr>
            <w:tcW w:w="1161" w:type="dxa"/>
          </w:tcPr>
          <w:p w:rsidR="007E2AA2" w:rsidRPr="00431D28" w:rsidRDefault="007E2AA2" w:rsidP="007670FE">
            <w:pPr>
              <w:ind w:right="113"/>
              <w:jc w:val="right"/>
              <w:rPr>
                <w:rFonts w:cs="Arial"/>
                <w:lang w:val="fr-FR"/>
              </w:rPr>
            </w:pPr>
            <w:r w:rsidRPr="00431D28">
              <w:rPr>
                <w:rFonts w:cs="Arial"/>
                <w:lang w:val="fr-FR"/>
              </w:rPr>
              <w:t>0,50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26 820</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ight="-141"/>
              <w:rPr>
                <w:rFonts w:cs="Arial"/>
                <w:snapToGrid w:val="0"/>
                <w:color w:val="000000"/>
                <w:lang w:val="fr-FR"/>
              </w:rPr>
            </w:pPr>
            <w:r w:rsidRPr="00431D28">
              <w:rPr>
                <w:rFonts w:cs="Arial"/>
                <w:snapToGrid w:val="0"/>
                <w:color w:val="000000"/>
                <w:lang w:val="fr-FR"/>
              </w:rPr>
              <w:t>Ukraine</w:t>
            </w:r>
          </w:p>
        </w:tc>
        <w:tc>
          <w:tcPr>
            <w:tcW w:w="1161" w:type="dxa"/>
          </w:tcPr>
          <w:p w:rsidR="007E2AA2" w:rsidRPr="00431D28" w:rsidRDefault="007E2AA2" w:rsidP="007670FE">
            <w:pPr>
              <w:ind w:right="113"/>
              <w:jc w:val="right"/>
              <w:rPr>
                <w:rFonts w:cs="Arial"/>
                <w:lang w:val="fr-FR"/>
              </w:rPr>
            </w:pPr>
            <w:r w:rsidRPr="00431D28">
              <w:rPr>
                <w:rFonts w:cs="Arial"/>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268 205</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268 205</w:t>
            </w:r>
          </w:p>
        </w:tc>
        <w:tc>
          <w:tcPr>
            <w:tcW w:w="2880" w:type="dxa"/>
          </w:tcPr>
          <w:p w:rsidR="007E2AA2" w:rsidRPr="00431D28" w:rsidRDefault="007E2AA2" w:rsidP="007E2AA2">
            <w:pPr>
              <w:ind w:left="57"/>
              <w:rPr>
                <w:rFonts w:cs="Arial"/>
                <w:snapToGrid w:val="0"/>
                <w:color w:val="000000"/>
                <w:lang w:val="fr-FR"/>
              </w:rPr>
            </w:pPr>
            <w:r w:rsidRPr="00431D28">
              <w:rPr>
                <w:rFonts w:cs="Arial"/>
                <w:snapToGrid w:val="0"/>
                <w:color w:val="000000"/>
                <w:lang w:val="fr-FR"/>
              </w:rPr>
              <w:t>Union européenne</w:t>
            </w:r>
          </w:p>
        </w:tc>
        <w:tc>
          <w:tcPr>
            <w:tcW w:w="1161" w:type="dxa"/>
          </w:tcPr>
          <w:p w:rsidR="007E2AA2" w:rsidRPr="00431D28" w:rsidRDefault="007E2AA2" w:rsidP="007670FE">
            <w:pPr>
              <w:ind w:right="113"/>
              <w:jc w:val="right"/>
              <w:rPr>
                <w:rFonts w:cs="Arial"/>
                <w:snapToGrid w:val="0"/>
                <w:color w:val="000000"/>
                <w:lang w:val="fr-FR"/>
              </w:rPr>
            </w:pPr>
            <w:r w:rsidRPr="00431D28">
              <w:rPr>
                <w:rFonts w:cs="Arial"/>
                <w:lang w:val="fr-FR"/>
              </w:rPr>
              <w:t>5,00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268 205</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268 205</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ight="-141"/>
              <w:rPr>
                <w:rFonts w:cs="Arial"/>
                <w:snapToGrid w:val="0"/>
                <w:color w:val="000000"/>
                <w:lang w:val="fr-FR"/>
              </w:rPr>
            </w:pPr>
            <w:r w:rsidRPr="00431D28">
              <w:rPr>
                <w:rFonts w:cs="Arial"/>
                <w:snapToGrid w:val="0"/>
                <w:color w:val="000000"/>
                <w:lang w:val="fr-FR"/>
              </w:rPr>
              <w:t>Uruguay</w:t>
            </w:r>
          </w:p>
        </w:tc>
        <w:tc>
          <w:tcPr>
            <w:tcW w:w="1161" w:type="dxa"/>
          </w:tcPr>
          <w:p w:rsidR="007E2AA2" w:rsidRPr="00431D28" w:rsidRDefault="007E2AA2" w:rsidP="007670FE">
            <w:pPr>
              <w:ind w:right="113"/>
              <w:jc w:val="right"/>
              <w:rPr>
                <w:rFonts w:cs="Arial"/>
                <w:lang w:val="fr-FR"/>
              </w:rPr>
            </w:pPr>
            <w:r w:rsidRPr="00431D28">
              <w:rPr>
                <w:rFonts w:cs="Arial"/>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rPr>
        <w:tc>
          <w:tcPr>
            <w:tcW w:w="1218"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302"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2880" w:type="dxa"/>
          </w:tcPr>
          <w:p w:rsidR="007E2AA2" w:rsidRPr="00431D28" w:rsidRDefault="007E2AA2" w:rsidP="007E2AA2">
            <w:pPr>
              <w:ind w:left="57" w:right="-141"/>
              <w:rPr>
                <w:rFonts w:cs="Arial"/>
                <w:snapToGrid w:val="0"/>
                <w:color w:val="000000"/>
                <w:lang w:val="fr-FR"/>
              </w:rPr>
            </w:pPr>
            <w:r w:rsidRPr="00431D28">
              <w:rPr>
                <w:rFonts w:cs="Arial"/>
                <w:snapToGrid w:val="0"/>
                <w:color w:val="000000"/>
                <w:lang w:val="fr-FR"/>
              </w:rPr>
              <w:t>Viet Nam</w:t>
            </w:r>
          </w:p>
        </w:tc>
        <w:tc>
          <w:tcPr>
            <w:tcW w:w="1161" w:type="dxa"/>
          </w:tcPr>
          <w:p w:rsidR="007E2AA2" w:rsidRPr="00431D28" w:rsidRDefault="007E2AA2" w:rsidP="007670FE">
            <w:pPr>
              <w:ind w:right="113"/>
              <w:jc w:val="right"/>
              <w:rPr>
                <w:rFonts w:cs="Arial"/>
                <w:lang w:val="fr-FR"/>
              </w:rPr>
            </w:pPr>
            <w:r w:rsidRPr="00431D28">
              <w:rPr>
                <w:rFonts w:cs="Arial"/>
                <w:lang w:val="fr-FR"/>
              </w:rPr>
              <w:t>0,20</w:t>
            </w:r>
          </w:p>
        </w:tc>
        <w:tc>
          <w:tcPr>
            <w:tcW w:w="1560"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c>
          <w:tcPr>
            <w:tcW w:w="1559" w:type="dxa"/>
          </w:tcPr>
          <w:p w:rsidR="007E2AA2" w:rsidRPr="00431D28" w:rsidRDefault="007E2AA2" w:rsidP="007E2AA2">
            <w:pPr>
              <w:jc w:val="right"/>
              <w:rPr>
                <w:rFonts w:cs="Arial"/>
                <w:snapToGrid w:val="0"/>
                <w:color w:val="000000"/>
                <w:lang w:val="fr-FR"/>
              </w:rPr>
            </w:pPr>
            <w:r w:rsidRPr="00431D28">
              <w:rPr>
                <w:rFonts w:cs="Arial"/>
                <w:snapToGrid w:val="0"/>
                <w:color w:val="000000"/>
                <w:lang w:val="fr-FR"/>
              </w:rPr>
              <w:t>10 728</w:t>
            </w:r>
          </w:p>
        </w:tc>
      </w:tr>
      <w:tr w:rsidR="007E2AA2" w:rsidRPr="00431D28" w:rsidTr="007E2AA2">
        <w:tblPrEx>
          <w:tblCellMar>
            <w:left w:w="85" w:type="dxa"/>
            <w:right w:w="85" w:type="dxa"/>
          </w:tblCellMar>
        </w:tblPrEx>
        <w:trPr>
          <w:cantSplit/>
          <w:trHeight w:val="312"/>
          <w:tblHeader/>
        </w:trPr>
        <w:tc>
          <w:tcPr>
            <w:tcW w:w="1218" w:type="dxa"/>
            <w:tcBorders>
              <w:bottom w:val="single" w:sz="12" w:space="0" w:color="auto"/>
            </w:tcBorders>
          </w:tcPr>
          <w:p w:rsidR="007E2AA2" w:rsidRPr="00431D28" w:rsidRDefault="007E2AA2" w:rsidP="007E2AA2">
            <w:pPr>
              <w:jc w:val="right"/>
              <w:rPr>
                <w:rFonts w:cs="Arial"/>
                <w:snapToGrid w:val="0"/>
                <w:color w:val="000000"/>
                <w:lang w:val="fr-FR"/>
              </w:rPr>
            </w:pPr>
          </w:p>
        </w:tc>
        <w:tc>
          <w:tcPr>
            <w:tcW w:w="1302" w:type="dxa"/>
            <w:tcBorders>
              <w:bottom w:val="single" w:sz="12" w:space="0" w:color="auto"/>
            </w:tcBorders>
          </w:tcPr>
          <w:p w:rsidR="007E2AA2" w:rsidRPr="00431D28" w:rsidRDefault="007E2AA2" w:rsidP="007E2AA2">
            <w:pPr>
              <w:jc w:val="right"/>
              <w:rPr>
                <w:rFonts w:cs="Arial"/>
                <w:snapToGrid w:val="0"/>
                <w:color w:val="000000"/>
                <w:lang w:val="fr-FR"/>
              </w:rPr>
            </w:pPr>
          </w:p>
        </w:tc>
        <w:tc>
          <w:tcPr>
            <w:tcW w:w="2880" w:type="dxa"/>
            <w:tcBorders>
              <w:bottom w:val="single" w:sz="12" w:space="0" w:color="auto"/>
            </w:tcBorders>
          </w:tcPr>
          <w:p w:rsidR="007E2AA2" w:rsidRPr="00431D28" w:rsidRDefault="007E2AA2" w:rsidP="007E2AA2">
            <w:pPr>
              <w:ind w:left="138"/>
              <w:rPr>
                <w:rFonts w:cs="Arial"/>
                <w:snapToGrid w:val="0"/>
                <w:color w:val="000000"/>
                <w:lang w:val="fr-FR"/>
              </w:rPr>
            </w:pPr>
          </w:p>
        </w:tc>
        <w:tc>
          <w:tcPr>
            <w:tcW w:w="1161" w:type="dxa"/>
            <w:tcBorders>
              <w:bottom w:val="single" w:sz="12" w:space="0" w:color="auto"/>
            </w:tcBorders>
          </w:tcPr>
          <w:p w:rsidR="007E2AA2" w:rsidRPr="00431D28" w:rsidRDefault="007E2AA2" w:rsidP="007670FE">
            <w:pPr>
              <w:ind w:right="113"/>
              <w:jc w:val="right"/>
              <w:rPr>
                <w:rFonts w:cs="Arial"/>
                <w:snapToGrid w:val="0"/>
                <w:color w:val="000000"/>
                <w:lang w:val="fr-FR"/>
              </w:rPr>
            </w:pPr>
          </w:p>
        </w:tc>
        <w:tc>
          <w:tcPr>
            <w:tcW w:w="1560" w:type="dxa"/>
            <w:tcBorders>
              <w:bottom w:val="single" w:sz="12" w:space="0" w:color="auto"/>
            </w:tcBorders>
          </w:tcPr>
          <w:p w:rsidR="007E2AA2" w:rsidRPr="00431D28" w:rsidRDefault="007E2AA2" w:rsidP="007E2AA2">
            <w:pPr>
              <w:jc w:val="right"/>
              <w:rPr>
                <w:rFonts w:cs="Arial"/>
                <w:snapToGrid w:val="0"/>
                <w:color w:val="000000"/>
                <w:lang w:val="fr-FR"/>
              </w:rPr>
            </w:pPr>
          </w:p>
        </w:tc>
        <w:tc>
          <w:tcPr>
            <w:tcW w:w="1559" w:type="dxa"/>
            <w:tcBorders>
              <w:bottom w:val="single" w:sz="12" w:space="0" w:color="auto"/>
            </w:tcBorders>
          </w:tcPr>
          <w:p w:rsidR="007E2AA2" w:rsidRPr="00431D28" w:rsidRDefault="007E2AA2" w:rsidP="007E2AA2">
            <w:pPr>
              <w:jc w:val="right"/>
              <w:rPr>
                <w:rFonts w:cs="Arial"/>
                <w:snapToGrid w:val="0"/>
                <w:color w:val="000000"/>
                <w:lang w:val="fr-FR"/>
              </w:rPr>
            </w:pPr>
          </w:p>
        </w:tc>
      </w:tr>
      <w:tr w:rsidR="007E2AA2" w:rsidRPr="00431D28" w:rsidTr="007E2AA2">
        <w:tblPrEx>
          <w:tblCellMar>
            <w:left w:w="85" w:type="dxa"/>
            <w:right w:w="85" w:type="dxa"/>
          </w:tblCellMar>
        </w:tblPrEx>
        <w:trPr>
          <w:cantSplit/>
          <w:trHeight w:val="312"/>
        </w:trPr>
        <w:tc>
          <w:tcPr>
            <w:tcW w:w="1218" w:type="dxa"/>
            <w:tcBorders>
              <w:top w:val="single" w:sz="12" w:space="0" w:color="auto"/>
              <w:bottom w:val="single" w:sz="12" w:space="0" w:color="auto"/>
            </w:tcBorders>
          </w:tcPr>
          <w:p w:rsidR="007E2AA2" w:rsidRPr="00431D28" w:rsidRDefault="007E2AA2" w:rsidP="007E2AA2">
            <w:pPr>
              <w:spacing w:before="40"/>
              <w:ind w:left="-98" w:right="-113"/>
              <w:jc w:val="center"/>
              <w:rPr>
                <w:rFonts w:cs="Arial"/>
                <w:b/>
                <w:snapToGrid w:val="0"/>
                <w:lang w:val="fr-FR"/>
              </w:rPr>
            </w:pPr>
            <w:r w:rsidRPr="00431D28">
              <w:rPr>
                <w:rFonts w:cs="Arial"/>
                <w:b/>
                <w:snapToGrid w:val="0"/>
                <w:lang w:val="fr-FR"/>
              </w:rPr>
              <w:t>3 323 050</w:t>
            </w:r>
          </w:p>
        </w:tc>
        <w:tc>
          <w:tcPr>
            <w:tcW w:w="1302" w:type="dxa"/>
            <w:tcBorders>
              <w:top w:val="single" w:sz="12" w:space="0" w:color="auto"/>
              <w:bottom w:val="single" w:sz="12" w:space="0" w:color="auto"/>
            </w:tcBorders>
          </w:tcPr>
          <w:p w:rsidR="007E2AA2" w:rsidRPr="00431D28" w:rsidRDefault="007E2AA2" w:rsidP="007E2AA2">
            <w:pPr>
              <w:spacing w:before="40"/>
              <w:ind w:hanging="1"/>
              <w:jc w:val="center"/>
              <w:rPr>
                <w:rFonts w:cs="Arial"/>
                <w:b/>
                <w:snapToGrid w:val="0"/>
                <w:lang w:val="fr-FR"/>
              </w:rPr>
            </w:pPr>
            <w:r w:rsidRPr="00431D28">
              <w:rPr>
                <w:rFonts w:cs="Arial"/>
                <w:b/>
                <w:snapToGrid w:val="0"/>
                <w:lang w:val="fr-FR"/>
              </w:rPr>
              <w:t>3 323 050</w:t>
            </w:r>
          </w:p>
        </w:tc>
        <w:tc>
          <w:tcPr>
            <w:tcW w:w="2880" w:type="dxa"/>
            <w:tcBorders>
              <w:top w:val="single" w:sz="12" w:space="0" w:color="auto"/>
              <w:bottom w:val="single" w:sz="12" w:space="0" w:color="auto"/>
            </w:tcBorders>
          </w:tcPr>
          <w:p w:rsidR="007E2AA2" w:rsidRPr="00431D28" w:rsidRDefault="007E2AA2" w:rsidP="007E2AA2">
            <w:pPr>
              <w:spacing w:before="40"/>
              <w:ind w:left="57"/>
              <w:rPr>
                <w:rFonts w:cs="Arial"/>
                <w:b/>
                <w:snapToGrid w:val="0"/>
                <w:vertAlign w:val="superscript"/>
                <w:lang w:val="fr-FR"/>
              </w:rPr>
            </w:pPr>
          </w:p>
        </w:tc>
        <w:tc>
          <w:tcPr>
            <w:tcW w:w="1161" w:type="dxa"/>
            <w:tcBorders>
              <w:top w:val="single" w:sz="12" w:space="0" w:color="auto"/>
              <w:bottom w:val="single" w:sz="12" w:space="0" w:color="auto"/>
            </w:tcBorders>
          </w:tcPr>
          <w:p w:rsidR="007E2AA2" w:rsidRPr="00431D28" w:rsidRDefault="007E2AA2" w:rsidP="007670FE">
            <w:pPr>
              <w:spacing w:before="40"/>
              <w:ind w:right="113"/>
              <w:jc w:val="right"/>
              <w:rPr>
                <w:rFonts w:cs="Arial"/>
                <w:b/>
                <w:snapToGrid w:val="0"/>
                <w:lang w:val="fr-FR"/>
              </w:rPr>
            </w:pPr>
            <w:r w:rsidRPr="00431D28">
              <w:rPr>
                <w:rFonts w:cs="Arial"/>
                <w:b/>
                <w:snapToGrid w:val="0"/>
                <w:lang w:val="fr-FR"/>
              </w:rPr>
              <w:t>62,15</w:t>
            </w:r>
          </w:p>
        </w:tc>
        <w:tc>
          <w:tcPr>
            <w:tcW w:w="1560" w:type="dxa"/>
            <w:tcBorders>
              <w:top w:val="single" w:sz="12" w:space="0" w:color="auto"/>
              <w:bottom w:val="single" w:sz="12" w:space="0" w:color="auto"/>
            </w:tcBorders>
          </w:tcPr>
          <w:p w:rsidR="007E2AA2" w:rsidRPr="00431D28" w:rsidRDefault="007E2AA2" w:rsidP="007E2AA2">
            <w:pPr>
              <w:spacing w:before="40"/>
              <w:jc w:val="right"/>
              <w:rPr>
                <w:rFonts w:cs="Arial"/>
                <w:b/>
                <w:snapToGrid w:val="0"/>
                <w:lang w:val="fr-FR"/>
              </w:rPr>
            </w:pPr>
            <w:r w:rsidRPr="00431D28">
              <w:rPr>
                <w:rFonts w:cs="Arial"/>
                <w:b/>
                <w:snapToGrid w:val="0"/>
                <w:lang w:val="fr-FR"/>
              </w:rPr>
              <w:t>3 333 778</w:t>
            </w:r>
          </w:p>
        </w:tc>
        <w:tc>
          <w:tcPr>
            <w:tcW w:w="1559" w:type="dxa"/>
            <w:tcBorders>
              <w:top w:val="single" w:sz="12" w:space="0" w:color="auto"/>
              <w:bottom w:val="single" w:sz="12" w:space="0" w:color="auto"/>
            </w:tcBorders>
          </w:tcPr>
          <w:p w:rsidR="007E2AA2" w:rsidRPr="00431D28" w:rsidRDefault="007E2AA2" w:rsidP="007E2AA2">
            <w:pPr>
              <w:spacing w:before="40"/>
              <w:ind w:right="57"/>
              <w:jc w:val="right"/>
              <w:rPr>
                <w:rFonts w:cs="Arial"/>
                <w:b/>
                <w:snapToGrid w:val="0"/>
                <w:lang w:val="fr-FR"/>
              </w:rPr>
            </w:pPr>
            <w:r w:rsidRPr="00431D28">
              <w:rPr>
                <w:rFonts w:cs="Arial"/>
                <w:b/>
                <w:snapToGrid w:val="0"/>
                <w:lang w:val="fr-FR"/>
              </w:rPr>
              <w:t>3 333 778</w:t>
            </w:r>
          </w:p>
        </w:tc>
      </w:tr>
    </w:tbl>
    <w:p w:rsidR="005A7F6B" w:rsidRPr="00431D28" w:rsidRDefault="005A7F6B" w:rsidP="001110E9">
      <w:pPr>
        <w:jc w:val="center"/>
        <w:rPr>
          <w:caps/>
          <w:lang w:val="fr-FR"/>
        </w:rPr>
      </w:pPr>
    </w:p>
    <w:p w:rsidR="005A7F6B" w:rsidRPr="00431D28" w:rsidRDefault="005A7F6B" w:rsidP="00421639">
      <w:pPr>
        <w:rPr>
          <w:lang w:val="fr-FR"/>
        </w:rPr>
      </w:pPr>
    </w:p>
    <w:p w:rsidR="005A7F6B" w:rsidRPr="00431D28" w:rsidRDefault="005A7F6B" w:rsidP="00421639">
      <w:pPr>
        <w:rPr>
          <w:lang w:val="fr-FR"/>
        </w:rPr>
      </w:pPr>
    </w:p>
    <w:p w:rsidR="005A7F6B" w:rsidRPr="00431D28" w:rsidRDefault="007E2AA2" w:rsidP="00421639">
      <w:pPr>
        <w:tabs>
          <w:tab w:val="decimal" w:pos="9071"/>
        </w:tabs>
        <w:ind w:right="-1"/>
        <w:jc w:val="right"/>
        <w:rPr>
          <w:rFonts w:cs="Arial"/>
          <w:lang w:val="fr-FR"/>
        </w:rPr>
      </w:pPr>
      <w:r w:rsidRPr="00431D28">
        <w:rPr>
          <w:rFonts w:cs="Arial"/>
          <w:snapToGrid w:val="0"/>
          <w:lang w:val="fr-FR"/>
        </w:rPr>
        <w:t>[</w:t>
      </w:r>
      <w:r w:rsidR="00431D28" w:rsidRPr="00431D28">
        <w:rPr>
          <w:rFonts w:cs="Arial"/>
          <w:snapToGrid w:val="0"/>
          <w:lang w:val="fr-FR"/>
        </w:rPr>
        <w:t>L’appendice</w:t>
      </w:r>
      <w:r w:rsidRPr="00431D28">
        <w:rPr>
          <w:rFonts w:cs="Arial"/>
          <w:snapToGrid w:val="0"/>
          <w:lang w:val="fr-FR"/>
        </w:rPr>
        <w:t xml:space="preserve"> III suit</w:t>
      </w:r>
      <w:r w:rsidR="00421639" w:rsidRPr="00431D28">
        <w:rPr>
          <w:rFonts w:cs="Arial"/>
          <w:snapToGrid w:val="0"/>
          <w:lang w:val="fr-FR"/>
        </w:rPr>
        <w:t>]</w:t>
      </w:r>
    </w:p>
    <w:p w:rsidR="00421639" w:rsidRPr="00431D28" w:rsidRDefault="00421639" w:rsidP="00421639">
      <w:pPr>
        <w:rPr>
          <w:rFonts w:cs="Arial"/>
          <w:b/>
          <w:color w:val="0000FF"/>
          <w:lang w:val="fr-FR"/>
        </w:rPr>
        <w:sectPr w:rsidR="00421639" w:rsidRPr="00431D28" w:rsidSect="00102CDB">
          <w:headerReference w:type="default" r:id="rId25"/>
          <w:footerReference w:type="first" r:id="rId26"/>
          <w:pgSz w:w="11907" w:h="16840" w:code="9"/>
          <w:pgMar w:top="510" w:right="1134" w:bottom="1134" w:left="1134" w:header="510" w:footer="680" w:gutter="0"/>
          <w:pgNumType w:start="1"/>
          <w:cols w:space="720"/>
          <w:titlePg/>
          <w:docGrid w:linePitch="272"/>
        </w:sectPr>
      </w:pPr>
    </w:p>
    <w:p w:rsidR="005A7F6B" w:rsidRPr="00431D28" w:rsidRDefault="004966E7" w:rsidP="00421639">
      <w:pPr>
        <w:jc w:val="center"/>
        <w:rPr>
          <w:lang w:val="fr-FR"/>
        </w:rPr>
      </w:pPr>
      <w:r w:rsidRPr="00431D28">
        <w:rPr>
          <w:lang w:val="fr-FR"/>
        </w:rPr>
        <w:t>APPENDICE</w:t>
      </w:r>
      <w:r w:rsidR="00421639" w:rsidRPr="00431D28">
        <w:rPr>
          <w:lang w:val="fr-FR"/>
        </w:rPr>
        <w:t xml:space="preserve"> III</w:t>
      </w:r>
    </w:p>
    <w:p w:rsidR="005A7F6B" w:rsidRPr="00431D28" w:rsidRDefault="005A7F6B" w:rsidP="00421639">
      <w:pPr>
        <w:jc w:val="center"/>
        <w:rPr>
          <w:lang w:val="fr-FR"/>
        </w:rPr>
      </w:pPr>
    </w:p>
    <w:p w:rsidR="005A7F6B" w:rsidRPr="00431D28" w:rsidRDefault="004966E7" w:rsidP="004966E7">
      <w:pPr>
        <w:jc w:val="center"/>
        <w:rPr>
          <w:lang w:val="fr-FR"/>
        </w:rPr>
      </w:pPr>
      <w:r w:rsidRPr="00431D28">
        <w:rPr>
          <w:lang w:val="fr-FR"/>
        </w:rPr>
        <w:t>D</w:t>
      </w:r>
      <w:r w:rsidRPr="00431D28">
        <w:rPr>
          <w:rFonts w:cs="Arial"/>
          <w:lang w:val="fr-FR"/>
        </w:rPr>
        <w:t>É</w:t>
      </w:r>
      <w:r w:rsidRPr="00431D28">
        <w:rPr>
          <w:lang w:val="fr-FR"/>
        </w:rPr>
        <w:t>FINITIONS DES RUBRIQUES BUDG</w:t>
      </w:r>
      <w:r w:rsidRPr="00431D28">
        <w:rPr>
          <w:rFonts w:cs="Arial"/>
          <w:lang w:val="fr-FR"/>
        </w:rPr>
        <w:t>É</w:t>
      </w:r>
      <w:r w:rsidRPr="00431D28">
        <w:rPr>
          <w:lang w:val="fr-FR"/>
        </w:rPr>
        <w:t>TAIRES</w:t>
      </w:r>
    </w:p>
    <w:p w:rsidR="005A7F6B" w:rsidRPr="00431D28" w:rsidRDefault="005A7F6B" w:rsidP="00421639">
      <w:pPr>
        <w:rPr>
          <w:lang w:val="fr-FR"/>
        </w:rPr>
      </w:pPr>
    </w:p>
    <w:p w:rsidR="005A7F6B" w:rsidRPr="00431D28" w:rsidRDefault="004966E7" w:rsidP="00421639">
      <w:pPr>
        <w:jc w:val="center"/>
        <w:rPr>
          <w:b/>
          <w:szCs w:val="24"/>
          <w:lang w:val="fr-FR"/>
        </w:rPr>
      </w:pPr>
      <w:r w:rsidRPr="00431D28">
        <w:rPr>
          <w:rStyle w:val="underline"/>
          <w:b/>
          <w:szCs w:val="24"/>
          <w:lang w:val="fr-FR"/>
        </w:rPr>
        <w:t>Recettes par provenance</w:t>
      </w:r>
    </w:p>
    <w:p w:rsidR="005A7F6B" w:rsidRPr="00431D28" w:rsidRDefault="005A7F6B" w:rsidP="00421639">
      <w:pPr>
        <w:rPr>
          <w:lang w:val="fr-FR"/>
        </w:rPr>
      </w:pPr>
    </w:p>
    <w:p w:rsidR="005A7F6B" w:rsidRPr="00431D28" w:rsidRDefault="005A7F6B" w:rsidP="00421639">
      <w:pPr>
        <w:rPr>
          <w:lang w:val="fr-FR"/>
        </w:rPr>
      </w:pPr>
    </w:p>
    <w:p w:rsidR="005A7F6B" w:rsidRPr="00431D28" w:rsidRDefault="00421639" w:rsidP="00421639">
      <w:pPr>
        <w:rPr>
          <w:rStyle w:val="underline"/>
          <w:b/>
          <w:i/>
          <w:lang w:val="fr-FR"/>
        </w:rPr>
      </w:pPr>
      <w:r w:rsidRPr="00431D28">
        <w:rPr>
          <w:b/>
          <w:u w:val="single"/>
          <w:lang w:val="fr-FR"/>
        </w:rPr>
        <w:t>Contributions</w:t>
      </w:r>
    </w:p>
    <w:p w:rsidR="005A7F6B" w:rsidRPr="00431D28" w:rsidRDefault="005A7F6B" w:rsidP="00421639">
      <w:pPr>
        <w:rPr>
          <w:lang w:val="fr-FR"/>
        </w:rPr>
      </w:pPr>
    </w:p>
    <w:p w:rsidR="005A7F6B" w:rsidRPr="00431D28" w:rsidRDefault="004966E7" w:rsidP="004966E7">
      <w:pPr>
        <w:rPr>
          <w:lang w:val="fr-FR"/>
        </w:rPr>
      </w:pPr>
      <w:r w:rsidRPr="00431D28">
        <w:rPr>
          <w:lang w:val="fr-FR"/>
        </w:rPr>
        <w:t>Contributions des membres de l’Union selon la Convention UPOV (article 29 de l’Acte de 1991 et article 26 de l’Acte de 1978).</w:t>
      </w:r>
    </w:p>
    <w:p w:rsidR="005A7F6B" w:rsidRPr="00431D28" w:rsidRDefault="005A7F6B" w:rsidP="00421639">
      <w:pPr>
        <w:rPr>
          <w:lang w:val="fr-FR"/>
        </w:rPr>
      </w:pPr>
    </w:p>
    <w:p w:rsidR="005A7F6B" w:rsidRPr="00431D28" w:rsidRDefault="004966E7" w:rsidP="004966E7">
      <w:pPr>
        <w:keepNext/>
        <w:spacing w:after="40"/>
        <w:rPr>
          <w:b/>
          <w:lang w:val="fr-FR"/>
        </w:rPr>
      </w:pPr>
      <w:r w:rsidRPr="00431D28">
        <w:rPr>
          <w:b/>
          <w:lang w:val="fr-FR"/>
        </w:rPr>
        <w:t>Publications</w:t>
      </w:r>
    </w:p>
    <w:p w:rsidR="005A7F6B" w:rsidRPr="00431D28" w:rsidRDefault="004966E7" w:rsidP="004966E7">
      <w:pPr>
        <w:rPr>
          <w:lang w:val="fr-FR"/>
        </w:rPr>
      </w:pPr>
      <w:r w:rsidRPr="00431D28">
        <w:rPr>
          <w:lang w:val="fr-FR"/>
        </w:rPr>
        <w:t>Recettes provenant de la vente des publications et des produits du Bureau de l’Union.</w:t>
      </w:r>
    </w:p>
    <w:p w:rsidR="005A7F6B" w:rsidRPr="00431D28" w:rsidRDefault="005A7F6B" w:rsidP="00421639">
      <w:pPr>
        <w:rPr>
          <w:lang w:val="fr-FR"/>
        </w:rPr>
      </w:pPr>
    </w:p>
    <w:p w:rsidR="005A7F6B" w:rsidRPr="00431D28" w:rsidRDefault="004966E7" w:rsidP="004966E7">
      <w:pPr>
        <w:keepNext/>
        <w:spacing w:after="40"/>
        <w:rPr>
          <w:b/>
          <w:lang w:val="fr-FR"/>
        </w:rPr>
      </w:pPr>
      <w:r w:rsidRPr="00431D28">
        <w:rPr>
          <w:b/>
          <w:lang w:val="fr-FR"/>
        </w:rPr>
        <w:t>Intérêts</w:t>
      </w:r>
    </w:p>
    <w:p w:rsidR="005A7F6B" w:rsidRPr="00431D28" w:rsidRDefault="004966E7" w:rsidP="004966E7">
      <w:pPr>
        <w:rPr>
          <w:lang w:val="fr-FR"/>
        </w:rPr>
      </w:pPr>
      <w:r w:rsidRPr="00431D28">
        <w:rPr>
          <w:lang w:val="fr-FR"/>
        </w:rPr>
        <w:t>Recettes représentant les intérêts sur les dépôts en espèces.</w:t>
      </w:r>
    </w:p>
    <w:p w:rsidR="005A7F6B" w:rsidRPr="00431D28" w:rsidRDefault="005A7F6B" w:rsidP="00421639">
      <w:pPr>
        <w:rPr>
          <w:lang w:val="fr-FR"/>
        </w:rPr>
      </w:pPr>
    </w:p>
    <w:p w:rsidR="005A7F6B" w:rsidRPr="00431D28" w:rsidRDefault="004966E7" w:rsidP="004966E7">
      <w:pPr>
        <w:keepNext/>
        <w:spacing w:after="40"/>
        <w:rPr>
          <w:b/>
          <w:lang w:val="fr-FR"/>
        </w:rPr>
      </w:pPr>
      <w:r w:rsidRPr="00431D28">
        <w:rPr>
          <w:b/>
          <w:lang w:val="fr-FR"/>
        </w:rPr>
        <w:t>Autres recettes</w:t>
      </w:r>
    </w:p>
    <w:p w:rsidR="005A7F6B" w:rsidRPr="00431D28" w:rsidRDefault="004966E7" w:rsidP="004966E7">
      <w:pPr>
        <w:rPr>
          <w:lang w:val="fr-FR"/>
        </w:rPr>
      </w:pPr>
      <w:r w:rsidRPr="00431D28">
        <w:rPr>
          <w:lang w:val="fr-FR"/>
        </w:rPr>
        <w:t>Toutes les recettes non répertoriées ci-dessus, y compris les ajustements comptables (crédits) relatifs à des années antérieures, les ajustements de change (crédits) et les recettes correspondant aux “dépenses d’appui” relatives aux activités extrabudgétaires de l’UPOV financées par les fonds fiduciaires.</w:t>
      </w:r>
    </w:p>
    <w:p w:rsidR="005A7F6B" w:rsidRPr="00431D28" w:rsidRDefault="005A7F6B" w:rsidP="00421639">
      <w:pPr>
        <w:rPr>
          <w:lang w:val="fr-FR"/>
        </w:rPr>
      </w:pPr>
    </w:p>
    <w:p w:rsidR="005A7F6B" w:rsidRPr="00431D28" w:rsidRDefault="005A7F6B" w:rsidP="00421639">
      <w:pPr>
        <w:rPr>
          <w:lang w:val="fr-FR"/>
        </w:rPr>
      </w:pPr>
    </w:p>
    <w:p w:rsidR="005A7F6B" w:rsidRPr="00431D28" w:rsidRDefault="004966E7" w:rsidP="004966E7">
      <w:pPr>
        <w:jc w:val="center"/>
        <w:rPr>
          <w:rStyle w:val="underline"/>
          <w:b/>
          <w:szCs w:val="24"/>
          <w:lang w:val="fr-FR"/>
        </w:rPr>
      </w:pPr>
      <w:r w:rsidRPr="00431D28">
        <w:rPr>
          <w:rStyle w:val="underline"/>
          <w:b/>
          <w:szCs w:val="24"/>
          <w:lang w:val="fr-FR"/>
        </w:rPr>
        <w:t>Objets de dépense</w:t>
      </w:r>
    </w:p>
    <w:p w:rsidR="005A7F6B" w:rsidRPr="00431D28" w:rsidRDefault="005A7F6B" w:rsidP="00421639">
      <w:pPr>
        <w:jc w:val="center"/>
        <w:rPr>
          <w:lang w:val="fr-FR"/>
        </w:rPr>
      </w:pPr>
    </w:p>
    <w:p w:rsidR="005A7F6B" w:rsidRPr="00431D28" w:rsidRDefault="005A7F6B" w:rsidP="00421639">
      <w:pPr>
        <w:jc w:val="center"/>
        <w:rPr>
          <w:lang w:val="fr-FR"/>
        </w:rPr>
      </w:pPr>
    </w:p>
    <w:p w:rsidR="005A7F6B" w:rsidRPr="00431D28" w:rsidRDefault="004966E7" w:rsidP="004966E7">
      <w:pPr>
        <w:pStyle w:val="zanxtext"/>
        <w:spacing w:before="0"/>
        <w:ind w:right="91"/>
        <w:jc w:val="both"/>
        <w:rPr>
          <w:rFonts w:ascii="Arial" w:hAnsi="Arial" w:cs="Arial"/>
          <w:bCs/>
          <w:sz w:val="20"/>
          <w:lang w:val="fr-FR"/>
        </w:rPr>
      </w:pPr>
      <w:r w:rsidRPr="00431D28">
        <w:rPr>
          <w:rFonts w:ascii="Arial" w:hAnsi="Arial" w:cs="Arial"/>
          <w:bCs/>
          <w:color w:val="000000"/>
          <w:sz w:val="20"/>
          <w:lang w:val="fr-FR"/>
        </w:rPr>
        <w:t>RESSOURCES EN PERSONNEL</w:t>
      </w:r>
    </w:p>
    <w:p w:rsidR="005A7F6B" w:rsidRPr="00431D28" w:rsidRDefault="005A7F6B" w:rsidP="002418F6">
      <w:pPr>
        <w:pStyle w:val="zanxtext"/>
        <w:spacing w:before="0"/>
        <w:ind w:right="91"/>
        <w:jc w:val="both"/>
        <w:rPr>
          <w:rFonts w:ascii="Arial" w:hAnsi="Arial" w:cs="Arial"/>
          <w:b/>
          <w:sz w:val="20"/>
          <w:u w:val="single"/>
          <w:lang w:val="fr-FR"/>
        </w:rPr>
      </w:pPr>
    </w:p>
    <w:p w:rsidR="005A7F6B" w:rsidRPr="00431D28" w:rsidRDefault="004966E7" w:rsidP="004966E7">
      <w:pPr>
        <w:tabs>
          <w:tab w:val="left" w:pos="567"/>
        </w:tabs>
        <w:ind w:left="567" w:right="91"/>
        <w:rPr>
          <w:rFonts w:cs="Arial"/>
          <w:lang w:val="fr-FR"/>
        </w:rPr>
      </w:pPr>
      <w:r w:rsidRPr="00431D28">
        <w:rPr>
          <w:rFonts w:cs="Arial"/>
          <w:b/>
          <w:i/>
          <w:color w:val="000000"/>
          <w:lang w:val="fr-FR"/>
        </w:rPr>
        <w:t>Postes </w:t>
      </w:r>
      <w:r w:rsidRPr="00431D28">
        <w:rPr>
          <w:rFonts w:cs="Arial"/>
          <w:b/>
          <w:i/>
          <w:color w:val="008080"/>
          <w:lang w:val="fr-FR"/>
        </w:rPr>
        <w:t>:</w:t>
      </w:r>
      <w:r w:rsidR="000715AD" w:rsidRPr="00431D28">
        <w:rPr>
          <w:rFonts w:cs="Arial"/>
          <w:color w:val="000000"/>
          <w:lang w:val="fr-FR"/>
        </w:rPr>
        <w:t xml:space="preserve"> rémunération perçue</w:t>
      </w:r>
      <w:r w:rsidRPr="00431D28">
        <w:rPr>
          <w:rFonts w:cs="Arial"/>
          <w:color w:val="000000"/>
          <w:lang w:val="fr-FR"/>
        </w:rPr>
        <w:t xml:space="preserve"> par les fonctionnaires, en particulier les trait</w:t>
      </w:r>
      <w:r w:rsidR="000715AD" w:rsidRPr="00431D28">
        <w:rPr>
          <w:rFonts w:cs="Arial"/>
          <w:color w:val="000000"/>
          <w:lang w:val="fr-FR"/>
        </w:rPr>
        <w:t>e</w:t>
      </w:r>
      <w:r w:rsidRPr="00431D28">
        <w:rPr>
          <w:rFonts w:cs="Arial"/>
          <w:color w:val="000000"/>
          <w:lang w:val="fr-FR"/>
        </w:rPr>
        <w:t>ments, les indemnités de poste, les allocations familiales, les primes pour connaissances linguistiques, les paiements pour heures supplémentaires, les indemnités de non-résident, les primes d'affectation et les indemnités de représentation.</w:t>
      </w:r>
    </w:p>
    <w:p w:rsidR="005A7F6B" w:rsidRPr="00431D28" w:rsidRDefault="005A7F6B" w:rsidP="002418F6">
      <w:pPr>
        <w:tabs>
          <w:tab w:val="left" w:pos="567"/>
        </w:tabs>
        <w:ind w:left="567" w:right="91"/>
        <w:rPr>
          <w:rFonts w:cs="Arial"/>
          <w:i/>
          <w:lang w:val="fr-FR"/>
        </w:rPr>
      </w:pPr>
    </w:p>
    <w:p w:rsidR="005A7F6B" w:rsidRPr="00431D28" w:rsidRDefault="00DE7689" w:rsidP="000715AD">
      <w:pPr>
        <w:tabs>
          <w:tab w:val="left" w:pos="567"/>
        </w:tabs>
        <w:ind w:left="567" w:right="91"/>
        <w:rPr>
          <w:rFonts w:cs="Arial"/>
          <w:color w:val="000000"/>
          <w:lang w:val="fr-FR"/>
        </w:rPr>
      </w:pPr>
      <w:r>
        <w:rPr>
          <w:rFonts w:cs="Arial"/>
          <w:b/>
          <w:bCs/>
          <w:i/>
          <w:iCs/>
          <w:color w:val="000000"/>
          <w:lang w:val="fr-FR"/>
        </w:rPr>
        <w:t xml:space="preserve">Agents </w:t>
      </w:r>
      <w:r w:rsidR="000715AD" w:rsidRPr="00431D28">
        <w:rPr>
          <w:rFonts w:cs="Arial"/>
          <w:b/>
          <w:bCs/>
          <w:i/>
          <w:iCs/>
          <w:color w:val="000000"/>
          <w:lang w:val="fr-FR"/>
        </w:rPr>
        <w:t xml:space="preserve">temporaires : </w:t>
      </w:r>
      <w:r w:rsidR="000715AD" w:rsidRPr="00431D28">
        <w:rPr>
          <w:rFonts w:cs="Arial"/>
          <w:bCs/>
          <w:iCs/>
          <w:color w:val="000000"/>
          <w:lang w:val="fr-FR"/>
        </w:rPr>
        <w:t xml:space="preserve">rémunération et indemnités versées aux </w:t>
      </w:r>
      <w:r>
        <w:rPr>
          <w:rFonts w:cs="Arial"/>
          <w:bCs/>
          <w:iCs/>
          <w:color w:val="000000"/>
          <w:lang w:val="fr-FR"/>
        </w:rPr>
        <w:t xml:space="preserve">agents </w:t>
      </w:r>
      <w:r w:rsidR="000715AD" w:rsidRPr="00431D28">
        <w:rPr>
          <w:rFonts w:cs="Arial"/>
          <w:bCs/>
          <w:iCs/>
          <w:color w:val="000000"/>
          <w:lang w:val="fr-FR"/>
        </w:rPr>
        <w:t>temporaires de la catégorie des administrateurs et des services généraux au bénéfice de contrats à court terme.</w:t>
      </w:r>
    </w:p>
    <w:p w:rsidR="005A7F6B" w:rsidRPr="00431D28" w:rsidRDefault="005A7F6B" w:rsidP="002418F6">
      <w:pPr>
        <w:rPr>
          <w:rFonts w:cs="Arial"/>
          <w:b/>
          <w:bCs/>
          <w:lang w:val="fr-FR"/>
        </w:rPr>
      </w:pPr>
    </w:p>
    <w:p w:rsidR="005A7F6B" w:rsidRPr="00431D28" w:rsidRDefault="005A7F6B" w:rsidP="002418F6">
      <w:pPr>
        <w:rPr>
          <w:rFonts w:cs="Arial"/>
          <w:lang w:val="fr-FR"/>
        </w:rPr>
      </w:pPr>
    </w:p>
    <w:p w:rsidR="005A7F6B" w:rsidRPr="00431D28" w:rsidRDefault="005A7F6B" w:rsidP="005A7F6B">
      <w:pPr>
        <w:rPr>
          <w:rFonts w:cs="Arial"/>
          <w:lang w:val="fr-FR"/>
        </w:rPr>
      </w:pPr>
      <w:r w:rsidRPr="00431D28">
        <w:rPr>
          <w:rFonts w:cs="Arial"/>
          <w:color w:val="000000"/>
          <w:lang w:val="fr-FR"/>
        </w:rPr>
        <w:t>AUTRES RESSOURCES</w:t>
      </w:r>
    </w:p>
    <w:p w:rsidR="005A7F6B" w:rsidRPr="00431D28" w:rsidRDefault="005A7F6B" w:rsidP="002418F6">
      <w:pPr>
        <w:rPr>
          <w:rFonts w:cs="Arial"/>
          <w:lang w:val="fr-FR"/>
        </w:rPr>
      </w:pPr>
    </w:p>
    <w:p w:rsidR="005A7F6B" w:rsidRPr="00431D28" w:rsidRDefault="005A7F6B" w:rsidP="005A7F6B">
      <w:pPr>
        <w:rPr>
          <w:rFonts w:cs="Arial"/>
          <w:b/>
          <w:bCs/>
          <w:lang w:val="fr-FR"/>
        </w:rPr>
      </w:pPr>
      <w:r w:rsidRPr="00431D28">
        <w:rPr>
          <w:rFonts w:cs="Arial"/>
          <w:b/>
          <w:bCs/>
          <w:color w:val="000000"/>
          <w:lang w:val="fr-FR"/>
        </w:rPr>
        <w:t>Stages</w:t>
      </w:r>
      <w:r w:rsidR="002418F6" w:rsidRPr="00431D28">
        <w:rPr>
          <w:rFonts w:cs="Arial"/>
          <w:b/>
          <w:bCs/>
          <w:lang w:val="fr-FR"/>
        </w:rPr>
        <w:t xml:space="preserve"> </w:t>
      </w:r>
    </w:p>
    <w:p w:rsidR="005A7F6B" w:rsidRPr="00431D28" w:rsidRDefault="005A7F6B" w:rsidP="002418F6">
      <w:pPr>
        <w:rPr>
          <w:rFonts w:cs="Arial"/>
          <w:b/>
          <w:bCs/>
          <w:lang w:val="fr-FR"/>
        </w:rPr>
      </w:pPr>
    </w:p>
    <w:p w:rsidR="005A7F6B" w:rsidRPr="00431D28" w:rsidRDefault="005A7F6B" w:rsidP="005A7F6B">
      <w:pPr>
        <w:numPr>
          <w:ilvl w:val="0"/>
          <w:numId w:val="12"/>
        </w:numPr>
        <w:tabs>
          <w:tab w:val="clear" w:pos="1287"/>
          <w:tab w:val="num" w:pos="567"/>
        </w:tabs>
        <w:ind w:left="567" w:hanging="283"/>
        <w:rPr>
          <w:rFonts w:cs="Arial"/>
          <w:lang w:val="fr-FR"/>
        </w:rPr>
      </w:pPr>
      <w:r w:rsidRPr="00431D28">
        <w:rPr>
          <w:rFonts w:cs="Arial"/>
          <w:b/>
          <w:bCs/>
          <w:i/>
          <w:iCs/>
          <w:color w:val="000000"/>
          <w:lang w:val="fr-FR"/>
        </w:rPr>
        <w:t xml:space="preserve">Stages : </w:t>
      </w:r>
      <w:r w:rsidRPr="00431D28">
        <w:rPr>
          <w:rFonts w:cs="Arial"/>
          <w:bCs/>
          <w:iCs/>
          <w:color w:val="000000"/>
          <w:lang w:val="fr-FR"/>
        </w:rPr>
        <w:t>rémunération et indemnités versées aux stagiaires.</w:t>
      </w:r>
      <w:r w:rsidR="002418F6" w:rsidRPr="00431D28">
        <w:rPr>
          <w:rFonts w:cs="Arial"/>
          <w:lang w:val="fr-FR"/>
        </w:rPr>
        <w:t xml:space="preserve"> </w:t>
      </w:r>
    </w:p>
    <w:p w:rsidR="005A7F6B" w:rsidRPr="00431D28" w:rsidRDefault="005A7F6B" w:rsidP="002C4A47">
      <w:pPr>
        <w:ind w:left="567"/>
        <w:rPr>
          <w:rFonts w:cs="Arial"/>
          <w:lang w:val="fr-FR"/>
        </w:rPr>
      </w:pPr>
    </w:p>
    <w:p w:rsidR="005A7F6B" w:rsidRPr="00431D28" w:rsidRDefault="005A7F6B" w:rsidP="002418F6">
      <w:pPr>
        <w:rPr>
          <w:rFonts w:cs="Arial"/>
          <w:b/>
          <w:bCs/>
          <w:lang w:val="fr-FR"/>
        </w:rPr>
      </w:pPr>
    </w:p>
    <w:p w:rsidR="005A7F6B" w:rsidRPr="00431D28" w:rsidRDefault="005A7F6B" w:rsidP="005A7F6B">
      <w:pPr>
        <w:rPr>
          <w:rFonts w:cs="Arial"/>
          <w:b/>
          <w:bCs/>
          <w:lang w:val="fr-FR"/>
        </w:rPr>
      </w:pPr>
      <w:r w:rsidRPr="00431D28">
        <w:rPr>
          <w:rFonts w:cs="Arial"/>
          <w:b/>
          <w:bCs/>
          <w:lang w:val="fr-FR"/>
        </w:rPr>
        <w:t>Voyages</w:t>
      </w:r>
    </w:p>
    <w:p w:rsidR="005A7F6B" w:rsidRPr="00431D28" w:rsidRDefault="005A7F6B" w:rsidP="002418F6">
      <w:pPr>
        <w:rPr>
          <w:rFonts w:cs="Arial"/>
          <w:lang w:val="fr-FR"/>
        </w:rPr>
      </w:pPr>
    </w:p>
    <w:p w:rsidR="005A7F6B" w:rsidRPr="00431D28" w:rsidRDefault="005A7F6B" w:rsidP="005A7F6B">
      <w:pPr>
        <w:numPr>
          <w:ilvl w:val="0"/>
          <w:numId w:val="13"/>
        </w:numPr>
        <w:tabs>
          <w:tab w:val="clear" w:pos="1120"/>
          <w:tab w:val="num" w:pos="567"/>
        </w:tabs>
        <w:ind w:left="567" w:hanging="283"/>
        <w:rPr>
          <w:rFonts w:cs="Arial"/>
          <w:lang w:val="fr-FR"/>
        </w:rPr>
      </w:pPr>
      <w:r w:rsidRPr="00431D28">
        <w:rPr>
          <w:rFonts w:cs="Arial"/>
          <w:b/>
          <w:bCs/>
          <w:i/>
          <w:iCs/>
          <w:lang w:val="fr-FR"/>
        </w:rPr>
        <w:t xml:space="preserve">Missions de fonctionnaires : </w:t>
      </w:r>
      <w:r w:rsidRPr="00431D28">
        <w:rPr>
          <w:rFonts w:cs="Arial"/>
          <w:bCs/>
          <w:iCs/>
          <w:lang w:val="fr-FR"/>
        </w:rPr>
        <w:t>frais de voyage et indemnités journalières de subsistance pour tous les fonctionnaires en voyage officiel.</w:t>
      </w:r>
    </w:p>
    <w:p w:rsidR="005A7F6B" w:rsidRPr="00431D28" w:rsidRDefault="005A7F6B" w:rsidP="002418F6">
      <w:pPr>
        <w:tabs>
          <w:tab w:val="num" w:pos="567"/>
        </w:tabs>
        <w:ind w:left="567" w:hanging="283"/>
        <w:rPr>
          <w:rFonts w:cs="Arial"/>
          <w:lang w:val="fr-FR"/>
        </w:rPr>
      </w:pPr>
    </w:p>
    <w:p w:rsidR="005A7F6B" w:rsidRPr="005C4304" w:rsidRDefault="005A7F6B" w:rsidP="005A7F6B">
      <w:pPr>
        <w:numPr>
          <w:ilvl w:val="0"/>
          <w:numId w:val="13"/>
        </w:numPr>
        <w:tabs>
          <w:tab w:val="clear" w:pos="1120"/>
          <w:tab w:val="num" w:pos="567"/>
        </w:tabs>
        <w:ind w:left="567" w:hanging="283"/>
        <w:rPr>
          <w:rFonts w:cs="Arial"/>
          <w:lang w:val="fr-FR"/>
        </w:rPr>
      </w:pPr>
      <w:r w:rsidRPr="00431D28">
        <w:rPr>
          <w:rFonts w:cs="Arial"/>
          <w:b/>
          <w:bCs/>
          <w:i/>
          <w:iCs/>
          <w:lang w:val="fr-FR"/>
        </w:rPr>
        <w:t xml:space="preserve">Voyages de tiers : </w:t>
      </w:r>
      <w:r w:rsidRPr="00431D28">
        <w:rPr>
          <w:rFonts w:cs="Arial"/>
          <w:bCs/>
          <w:iCs/>
          <w:lang w:val="fr-FR"/>
        </w:rPr>
        <w:t xml:space="preserve">frais de voyage et indemnités journalières de subsistance pour tous les tiers, y compris les frais de voyage de fonctionnaires nationaux, de participants et de conférenciers se rendant à des réunions organisées sous l'égide </w:t>
      </w:r>
      <w:r w:rsidRPr="005C4304">
        <w:rPr>
          <w:rFonts w:cs="Arial"/>
          <w:bCs/>
          <w:iCs/>
          <w:lang w:val="fr-FR"/>
        </w:rPr>
        <w:t>de l'UPOV.</w:t>
      </w:r>
    </w:p>
    <w:p w:rsidR="005A7F6B" w:rsidRPr="00431D28" w:rsidRDefault="005A7F6B" w:rsidP="002C4A47">
      <w:pPr>
        <w:tabs>
          <w:tab w:val="num" w:pos="567"/>
        </w:tabs>
        <w:rPr>
          <w:rFonts w:cs="Arial"/>
          <w:lang w:val="fr-FR"/>
        </w:rPr>
      </w:pPr>
    </w:p>
    <w:p w:rsidR="005A7F6B" w:rsidRPr="00431D28" w:rsidRDefault="005A7F6B" w:rsidP="002418F6">
      <w:pPr>
        <w:rPr>
          <w:rFonts w:cs="Arial"/>
          <w:b/>
          <w:bCs/>
          <w:lang w:val="fr-FR"/>
        </w:rPr>
      </w:pPr>
      <w:bookmarkStart w:id="16" w:name="RANGE!A11"/>
    </w:p>
    <w:bookmarkEnd w:id="16"/>
    <w:p w:rsidR="005A7F6B" w:rsidRPr="00431D28" w:rsidRDefault="005A7F6B" w:rsidP="005A7F6B">
      <w:pPr>
        <w:keepNext/>
        <w:keepLines/>
        <w:rPr>
          <w:rFonts w:cs="Arial"/>
          <w:b/>
          <w:bCs/>
          <w:lang w:val="fr-FR"/>
        </w:rPr>
      </w:pPr>
      <w:r w:rsidRPr="00431D28">
        <w:rPr>
          <w:rFonts w:cs="Arial"/>
          <w:b/>
          <w:bCs/>
          <w:lang w:val="fr-FR"/>
        </w:rPr>
        <w:t>Services contractuels</w:t>
      </w:r>
    </w:p>
    <w:p w:rsidR="005A7F6B" w:rsidRPr="00431D28" w:rsidRDefault="005A7F6B" w:rsidP="002418F6">
      <w:pPr>
        <w:keepNext/>
        <w:keepLines/>
        <w:rPr>
          <w:rFonts w:cs="Arial"/>
          <w:lang w:val="fr-FR"/>
        </w:rPr>
      </w:pPr>
    </w:p>
    <w:p w:rsidR="005A7F6B" w:rsidRPr="00431D28" w:rsidRDefault="005A7F6B" w:rsidP="005A7F6B">
      <w:pPr>
        <w:keepNext/>
        <w:keepLines/>
        <w:numPr>
          <w:ilvl w:val="0"/>
          <w:numId w:val="13"/>
        </w:numPr>
        <w:tabs>
          <w:tab w:val="clear" w:pos="1120"/>
        </w:tabs>
        <w:ind w:left="567" w:hanging="283"/>
        <w:jc w:val="left"/>
        <w:rPr>
          <w:rFonts w:cs="Arial"/>
          <w:color w:val="000000"/>
          <w:lang w:val="fr-FR"/>
        </w:rPr>
      </w:pPr>
      <w:r w:rsidRPr="00431D28">
        <w:rPr>
          <w:rFonts w:cs="Arial"/>
          <w:b/>
          <w:bCs/>
          <w:i/>
          <w:iCs/>
          <w:color w:val="000000"/>
          <w:lang w:val="fr-FR"/>
        </w:rPr>
        <w:t xml:space="preserve">Conférences : </w:t>
      </w:r>
      <w:r w:rsidRPr="00431D28">
        <w:rPr>
          <w:rFonts w:cs="Arial"/>
          <w:bCs/>
          <w:iCs/>
          <w:color w:val="000000"/>
          <w:lang w:val="fr-FR"/>
        </w:rPr>
        <w:t>rémunération, frais de voyage et indemnités journalières de subsistance des interprètes;  location de salles de conférence et de matériel d'interprétation;  rafraîchissements et réceptions;  et frais afférents à tout autre service directement lié à l'organisation d'une conférence.</w:t>
      </w:r>
      <w:r w:rsidR="002418F6" w:rsidRPr="00431D28">
        <w:rPr>
          <w:rFonts w:cs="Arial"/>
          <w:color w:val="000000"/>
          <w:lang w:val="fr-FR"/>
        </w:rPr>
        <w:t xml:space="preserve"> </w:t>
      </w:r>
    </w:p>
    <w:p w:rsidR="005A7F6B" w:rsidRPr="00431D28" w:rsidRDefault="005A7F6B" w:rsidP="002418F6">
      <w:pPr>
        <w:keepNext/>
        <w:keepLines/>
        <w:ind w:left="567" w:hanging="283"/>
        <w:rPr>
          <w:rFonts w:cs="Arial"/>
          <w:lang w:val="fr-FR"/>
        </w:rPr>
      </w:pPr>
    </w:p>
    <w:p w:rsidR="005A7F6B" w:rsidRPr="00431D28" w:rsidRDefault="003F2179" w:rsidP="001F3DC2">
      <w:pPr>
        <w:numPr>
          <w:ilvl w:val="0"/>
          <w:numId w:val="13"/>
        </w:numPr>
        <w:tabs>
          <w:tab w:val="clear" w:pos="1120"/>
        </w:tabs>
        <w:ind w:left="567" w:hanging="283"/>
        <w:rPr>
          <w:rFonts w:cs="Arial"/>
          <w:lang w:val="fr-FR"/>
        </w:rPr>
      </w:pPr>
      <w:r>
        <w:rPr>
          <w:rFonts w:cs="Arial"/>
          <w:b/>
          <w:bCs/>
          <w:i/>
          <w:iCs/>
          <w:lang w:val="fr-FR"/>
        </w:rPr>
        <w:br w:type="page"/>
      </w:r>
      <w:r w:rsidR="001F3DC2" w:rsidRPr="00431D28">
        <w:rPr>
          <w:rFonts w:cs="Arial"/>
          <w:b/>
          <w:bCs/>
          <w:i/>
          <w:iCs/>
          <w:lang w:val="fr-FR"/>
        </w:rPr>
        <w:t>Publication :</w:t>
      </w:r>
      <w:r w:rsidR="001F3DC2" w:rsidRPr="00431D28">
        <w:rPr>
          <w:rFonts w:cs="Arial"/>
          <w:bCs/>
          <w:iCs/>
          <w:lang w:val="fr-FR"/>
        </w:rPr>
        <w:t xml:space="preserve">  travaux d’impression et de reliure faits à l’extérieur;  revues;  papier et impression;  autres travaux d’impression;  tirages à part d’articles parus dans les revues;  brochures;  traités;  recueils;  manuels;  formulaires de travail et autres travaux d’impression divers;  production de CD-ROM, de cassettes vidéos, de bandes magnétiques et autres formes de publication électronique.</w:t>
      </w:r>
    </w:p>
    <w:p w:rsidR="005A7F6B" w:rsidRPr="00431D28" w:rsidRDefault="005A7F6B" w:rsidP="002418F6">
      <w:pPr>
        <w:ind w:left="567" w:firstLineChars="200" w:firstLine="400"/>
        <w:rPr>
          <w:rFonts w:cs="Arial"/>
          <w:lang w:val="fr-FR"/>
        </w:rPr>
      </w:pPr>
    </w:p>
    <w:p w:rsidR="005A7F6B" w:rsidRPr="00431D28" w:rsidRDefault="001F3DC2" w:rsidP="001F3DC2">
      <w:pPr>
        <w:numPr>
          <w:ilvl w:val="0"/>
          <w:numId w:val="13"/>
        </w:numPr>
        <w:tabs>
          <w:tab w:val="clear" w:pos="1120"/>
        </w:tabs>
        <w:ind w:left="567" w:hanging="283"/>
        <w:rPr>
          <w:rFonts w:cs="Arial"/>
          <w:lang w:val="fr-FR"/>
        </w:rPr>
      </w:pPr>
      <w:r w:rsidRPr="00431D28">
        <w:rPr>
          <w:rFonts w:cs="Arial"/>
          <w:b/>
          <w:bCs/>
          <w:i/>
          <w:iCs/>
          <w:lang w:val="fr-FR"/>
        </w:rPr>
        <w:t xml:space="preserve">Services contractuels de personnes : </w:t>
      </w:r>
      <w:r w:rsidRPr="00431D28">
        <w:rPr>
          <w:rFonts w:cs="Arial"/>
          <w:bCs/>
          <w:iCs/>
          <w:lang w:val="fr-FR"/>
        </w:rPr>
        <w:t>rémunération versée pour des services contractuels de personnes.</w:t>
      </w:r>
      <w:r w:rsidR="002418F6" w:rsidRPr="00431D28">
        <w:rPr>
          <w:rFonts w:cs="Arial"/>
          <w:lang w:val="fr-FR"/>
        </w:rPr>
        <w:t xml:space="preserve">  </w:t>
      </w:r>
    </w:p>
    <w:p w:rsidR="005A7F6B" w:rsidRPr="00431D28" w:rsidRDefault="005A7F6B" w:rsidP="002418F6">
      <w:pPr>
        <w:ind w:left="567" w:hanging="283"/>
        <w:rPr>
          <w:rFonts w:cs="Arial"/>
          <w:lang w:val="fr-FR"/>
        </w:rPr>
      </w:pPr>
    </w:p>
    <w:p w:rsidR="005A7F6B" w:rsidRPr="00431D28" w:rsidRDefault="001F3DC2" w:rsidP="001F3DC2">
      <w:pPr>
        <w:numPr>
          <w:ilvl w:val="0"/>
          <w:numId w:val="13"/>
        </w:numPr>
        <w:tabs>
          <w:tab w:val="clear" w:pos="1120"/>
        </w:tabs>
        <w:ind w:left="567" w:hanging="283"/>
        <w:rPr>
          <w:rFonts w:cs="Arial"/>
          <w:lang w:val="fr-FR"/>
        </w:rPr>
      </w:pPr>
      <w:r w:rsidRPr="00431D28">
        <w:rPr>
          <w:rFonts w:cs="Arial"/>
          <w:b/>
          <w:bCs/>
          <w:i/>
          <w:iCs/>
          <w:lang w:val="fr-FR"/>
        </w:rPr>
        <w:t xml:space="preserve">Autres services contractuels : </w:t>
      </w:r>
      <w:r w:rsidRPr="00431D28">
        <w:rPr>
          <w:rFonts w:cs="Arial"/>
          <w:bCs/>
          <w:iCs/>
          <w:lang w:val="fr-FR"/>
        </w:rPr>
        <w:t>comprend tous les autres services contractuels conclus avec des prestataires de services commerciaux et non commerciaux.</w:t>
      </w:r>
    </w:p>
    <w:p w:rsidR="005A7F6B" w:rsidRPr="00431D28" w:rsidRDefault="005A7F6B" w:rsidP="002418F6">
      <w:pPr>
        <w:rPr>
          <w:rFonts w:cs="Arial"/>
          <w:lang w:val="fr-FR"/>
        </w:rPr>
      </w:pPr>
    </w:p>
    <w:p w:rsidR="005A7F6B" w:rsidRPr="00431D28" w:rsidRDefault="005A7F6B" w:rsidP="002418F6">
      <w:pPr>
        <w:keepNext/>
        <w:keepLines/>
        <w:rPr>
          <w:rFonts w:cs="Arial"/>
          <w:b/>
          <w:bCs/>
          <w:lang w:val="fr-FR"/>
        </w:rPr>
      </w:pPr>
      <w:bookmarkStart w:id="17" w:name="RANGE!A23"/>
    </w:p>
    <w:bookmarkEnd w:id="17"/>
    <w:p w:rsidR="005A7F6B" w:rsidRPr="00431D28" w:rsidRDefault="001F3DC2" w:rsidP="001F3DC2">
      <w:pPr>
        <w:keepNext/>
        <w:keepLines/>
        <w:rPr>
          <w:rFonts w:cs="Arial"/>
          <w:b/>
          <w:bCs/>
          <w:lang w:val="fr-FR"/>
        </w:rPr>
      </w:pPr>
      <w:r w:rsidRPr="00431D28">
        <w:rPr>
          <w:rFonts w:cs="Arial"/>
          <w:b/>
          <w:bCs/>
          <w:lang w:val="fr-FR"/>
        </w:rPr>
        <w:t>Dépenses de fonctionnement</w:t>
      </w:r>
    </w:p>
    <w:p w:rsidR="005A7F6B" w:rsidRPr="00431D28" w:rsidRDefault="005A7F6B" w:rsidP="002418F6">
      <w:pPr>
        <w:keepNext/>
        <w:keepLines/>
        <w:rPr>
          <w:rFonts w:cs="Arial"/>
          <w:lang w:val="fr-FR"/>
        </w:rPr>
      </w:pPr>
    </w:p>
    <w:p w:rsidR="005A7F6B" w:rsidRPr="00431D28" w:rsidRDefault="001F3DC2" w:rsidP="001F3DC2">
      <w:pPr>
        <w:keepNext/>
        <w:keepLines/>
        <w:numPr>
          <w:ilvl w:val="0"/>
          <w:numId w:val="14"/>
        </w:numPr>
        <w:tabs>
          <w:tab w:val="clear" w:pos="1160"/>
          <w:tab w:val="num" w:pos="567"/>
        </w:tabs>
        <w:ind w:left="567" w:hanging="283"/>
        <w:rPr>
          <w:rFonts w:cs="Arial"/>
          <w:lang w:val="fr-FR"/>
        </w:rPr>
      </w:pPr>
      <w:r w:rsidRPr="00431D28">
        <w:rPr>
          <w:rFonts w:cs="Arial"/>
          <w:b/>
          <w:bCs/>
          <w:i/>
          <w:iCs/>
          <w:lang w:val="fr-FR"/>
        </w:rPr>
        <w:t>Locaux et entretien</w:t>
      </w:r>
      <w:r w:rsidRPr="00431D28">
        <w:rPr>
          <w:rFonts w:cs="Arial"/>
          <w:bCs/>
          <w:iCs/>
          <w:lang w:val="fr-FR"/>
        </w:rPr>
        <w:t> : acquisition, location, amélioration et entretien des locaux à usage de bureaux et location ou entretien de matériel et de mobilier.</w:t>
      </w:r>
    </w:p>
    <w:p w:rsidR="005A7F6B" w:rsidRPr="00431D28" w:rsidRDefault="005A7F6B" w:rsidP="002418F6">
      <w:pPr>
        <w:tabs>
          <w:tab w:val="num" w:pos="567"/>
        </w:tabs>
        <w:ind w:left="567" w:hanging="283"/>
        <w:rPr>
          <w:rFonts w:cs="Arial"/>
          <w:lang w:val="fr-FR"/>
        </w:rPr>
      </w:pPr>
    </w:p>
    <w:p w:rsidR="005A7F6B" w:rsidRPr="00431D28" w:rsidRDefault="001F3DC2" w:rsidP="001F3DC2">
      <w:pPr>
        <w:numPr>
          <w:ilvl w:val="0"/>
          <w:numId w:val="14"/>
        </w:numPr>
        <w:tabs>
          <w:tab w:val="clear" w:pos="1160"/>
          <w:tab w:val="num" w:pos="567"/>
        </w:tabs>
        <w:ind w:left="567" w:hanging="283"/>
        <w:rPr>
          <w:rFonts w:cs="Arial"/>
          <w:lang w:val="fr-FR"/>
        </w:rPr>
      </w:pPr>
      <w:r w:rsidRPr="00431D28">
        <w:rPr>
          <w:rFonts w:cs="Arial"/>
          <w:b/>
          <w:bCs/>
          <w:i/>
          <w:iCs/>
          <w:lang w:val="fr-FR"/>
        </w:rPr>
        <w:t xml:space="preserve">Communication : </w:t>
      </w:r>
      <w:r w:rsidRPr="00431D28">
        <w:rPr>
          <w:rFonts w:cs="Arial"/>
          <w:bCs/>
          <w:iCs/>
          <w:lang w:val="fr-FR"/>
        </w:rPr>
        <w:t>frais de communication comme le téléphone, l'internet, la télécopie et le courrier, les frais de port et de transport de documents.</w:t>
      </w:r>
      <w:r w:rsidR="002418F6" w:rsidRPr="00431D28">
        <w:rPr>
          <w:rFonts w:cs="Arial"/>
          <w:lang w:val="fr-FR"/>
        </w:rPr>
        <w:t xml:space="preserve"> </w:t>
      </w:r>
    </w:p>
    <w:p w:rsidR="005A7F6B" w:rsidRPr="00431D28" w:rsidRDefault="005A7F6B" w:rsidP="002418F6">
      <w:pPr>
        <w:tabs>
          <w:tab w:val="num" w:pos="567"/>
        </w:tabs>
        <w:ind w:left="567" w:firstLineChars="200" w:firstLine="400"/>
        <w:rPr>
          <w:rFonts w:cs="Arial"/>
          <w:lang w:val="fr-FR"/>
        </w:rPr>
      </w:pPr>
    </w:p>
    <w:p w:rsidR="005A7F6B" w:rsidRPr="00431D28" w:rsidRDefault="001F3DC2" w:rsidP="001F3DC2">
      <w:pPr>
        <w:numPr>
          <w:ilvl w:val="0"/>
          <w:numId w:val="14"/>
        </w:numPr>
        <w:tabs>
          <w:tab w:val="clear" w:pos="1160"/>
          <w:tab w:val="num" w:pos="567"/>
        </w:tabs>
        <w:ind w:left="567" w:hanging="283"/>
        <w:rPr>
          <w:rFonts w:cs="Arial"/>
          <w:lang w:val="fr-FR"/>
        </w:rPr>
      </w:pPr>
      <w:r w:rsidRPr="00431D28">
        <w:rPr>
          <w:rFonts w:cs="Arial"/>
          <w:b/>
          <w:bCs/>
          <w:i/>
          <w:iCs/>
          <w:lang w:val="fr-FR"/>
        </w:rPr>
        <w:t>Représentation</w:t>
      </w:r>
      <w:r w:rsidRPr="00431D28">
        <w:rPr>
          <w:rFonts w:cs="Arial"/>
          <w:bCs/>
          <w:iCs/>
          <w:lang w:val="fr-FR"/>
        </w:rPr>
        <w:t> : dépenses pour les réceptions officielles.</w:t>
      </w:r>
    </w:p>
    <w:p w:rsidR="005A7F6B" w:rsidRPr="00431D28" w:rsidRDefault="005A7F6B" w:rsidP="002418F6">
      <w:pPr>
        <w:tabs>
          <w:tab w:val="num" w:pos="567"/>
        </w:tabs>
        <w:ind w:left="567" w:firstLineChars="200" w:firstLine="400"/>
        <w:rPr>
          <w:rFonts w:cs="Arial"/>
          <w:lang w:val="fr-FR"/>
        </w:rPr>
      </w:pPr>
    </w:p>
    <w:p w:rsidR="005A7F6B" w:rsidRPr="00431D28" w:rsidRDefault="001F3DC2" w:rsidP="001F3DC2">
      <w:pPr>
        <w:numPr>
          <w:ilvl w:val="0"/>
          <w:numId w:val="14"/>
        </w:numPr>
        <w:tabs>
          <w:tab w:val="clear" w:pos="1160"/>
          <w:tab w:val="num" w:pos="567"/>
        </w:tabs>
        <w:ind w:left="567" w:hanging="283"/>
        <w:rPr>
          <w:rFonts w:cs="Arial"/>
          <w:lang w:val="fr-FR"/>
        </w:rPr>
      </w:pPr>
      <w:r w:rsidRPr="00431D28">
        <w:rPr>
          <w:rFonts w:cs="Arial"/>
          <w:b/>
          <w:bCs/>
          <w:i/>
          <w:iCs/>
          <w:lang w:val="fr-FR"/>
        </w:rPr>
        <w:t xml:space="preserve">Frais administratifs et bancaires : </w:t>
      </w:r>
      <w:r w:rsidRPr="00431D28">
        <w:rPr>
          <w:rFonts w:cs="Arial"/>
          <w:bCs/>
          <w:iCs/>
          <w:lang w:val="fr-FR"/>
        </w:rPr>
        <w:t>frais bancaires;  ajustements de change;  contribution à l'Association du personnel.</w:t>
      </w:r>
      <w:r w:rsidR="002418F6" w:rsidRPr="00431D28">
        <w:rPr>
          <w:rFonts w:cs="Arial"/>
          <w:lang w:val="fr-FR"/>
        </w:rPr>
        <w:t xml:space="preserve">  </w:t>
      </w:r>
    </w:p>
    <w:p w:rsidR="005A7F6B" w:rsidRPr="00431D28" w:rsidRDefault="005A7F6B" w:rsidP="002418F6">
      <w:pPr>
        <w:ind w:firstLineChars="200" w:firstLine="400"/>
        <w:rPr>
          <w:rFonts w:cs="Arial"/>
          <w:lang w:val="fr-FR"/>
        </w:rPr>
      </w:pPr>
    </w:p>
    <w:p w:rsidR="005A7F6B" w:rsidRPr="00431D28" w:rsidRDefault="001F3DC2" w:rsidP="001F3DC2">
      <w:pPr>
        <w:numPr>
          <w:ilvl w:val="0"/>
          <w:numId w:val="14"/>
        </w:numPr>
        <w:tabs>
          <w:tab w:val="clear" w:pos="1160"/>
          <w:tab w:val="num" w:pos="567"/>
        </w:tabs>
        <w:ind w:left="567" w:hanging="283"/>
        <w:rPr>
          <w:rFonts w:cs="Arial"/>
          <w:lang w:val="fr-FR"/>
        </w:rPr>
      </w:pPr>
      <w:r w:rsidRPr="00431D28">
        <w:rPr>
          <w:rFonts w:cs="Arial"/>
          <w:b/>
          <w:bCs/>
          <w:i/>
          <w:iCs/>
          <w:lang w:val="fr-FR"/>
        </w:rPr>
        <w:t>Services communs du système des Nations</w:t>
      </w:r>
      <w:r w:rsidR="003F2179">
        <w:rPr>
          <w:rFonts w:cs="Arial"/>
          <w:b/>
          <w:bCs/>
          <w:i/>
          <w:iCs/>
          <w:lang w:val="fr-FR"/>
        </w:rPr>
        <w:t> </w:t>
      </w:r>
      <w:r w:rsidRPr="00431D28">
        <w:rPr>
          <w:rFonts w:cs="Arial"/>
          <w:b/>
          <w:bCs/>
          <w:i/>
          <w:iCs/>
          <w:lang w:val="fr-FR"/>
        </w:rPr>
        <w:t xml:space="preserve">Unies : </w:t>
      </w:r>
      <w:r w:rsidRPr="00431D28">
        <w:rPr>
          <w:rFonts w:cs="Arial"/>
          <w:bCs/>
          <w:iCs/>
          <w:lang w:val="fr-FR"/>
        </w:rPr>
        <w:t>assistance médicale, contributions à des activités administratives communes du système des Nations Unies, activités financées en commun par le système des Nations</w:t>
      </w:r>
      <w:r w:rsidR="003F2179">
        <w:rPr>
          <w:rFonts w:cs="Arial"/>
          <w:bCs/>
          <w:iCs/>
          <w:lang w:val="fr-FR"/>
        </w:rPr>
        <w:t> </w:t>
      </w:r>
      <w:r w:rsidRPr="00431D28">
        <w:rPr>
          <w:rFonts w:cs="Arial"/>
          <w:bCs/>
          <w:iCs/>
          <w:lang w:val="fr-FR"/>
        </w:rPr>
        <w:t>Unies, tribunal administratif.</w:t>
      </w:r>
    </w:p>
    <w:p w:rsidR="005A7F6B" w:rsidRPr="00431D28" w:rsidRDefault="005A7F6B" w:rsidP="002418F6">
      <w:pPr>
        <w:rPr>
          <w:rFonts w:cs="Arial"/>
          <w:b/>
          <w:bCs/>
          <w:lang w:val="fr-FR"/>
        </w:rPr>
      </w:pPr>
    </w:p>
    <w:p w:rsidR="005A7F6B" w:rsidRPr="00431D28" w:rsidRDefault="005A7F6B" w:rsidP="002418F6">
      <w:pPr>
        <w:rPr>
          <w:rFonts w:cs="Arial"/>
          <w:b/>
          <w:bCs/>
          <w:lang w:val="fr-FR"/>
        </w:rPr>
      </w:pPr>
      <w:bookmarkStart w:id="18" w:name="RANGE!A35"/>
    </w:p>
    <w:bookmarkEnd w:id="18"/>
    <w:p w:rsidR="005A7F6B" w:rsidRPr="00431D28" w:rsidRDefault="001F3DC2" w:rsidP="001F3DC2">
      <w:pPr>
        <w:rPr>
          <w:rFonts w:cs="Arial"/>
          <w:b/>
          <w:bCs/>
          <w:lang w:val="fr-FR"/>
        </w:rPr>
      </w:pPr>
      <w:r w:rsidRPr="00431D28">
        <w:rPr>
          <w:rFonts w:cs="Arial"/>
          <w:b/>
          <w:bCs/>
          <w:lang w:val="fr-FR"/>
        </w:rPr>
        <w:t>Matériel et fournitures</w:t>
      </w:r>
    </w:p>
    <w:p w:rsidR="005A7F6B" w:rsidRPr="00431D28" w:rsidRDefault="005A7F6B" w:rsidP="002418F6">
      <w:pPr>
        <w:rPr>
          <w:rFonts w:cs="Arial"/>
          <w:lang w:val="fr-FR"/>
        </w:rPr>
      </w:pPr>
    </w:p>
    <w:p w:rsidR="005A7F6B" w:rsidRPr="00431D28" w:rsidRDefault="004B060B" w:rsidP="004B060B">
      <w:pPr>
        <w:numPr>
          <w:ilvl w:val="0"/>
          <w:numId w:val="15"/>
        </w:numPr>
        <w:tabs>
          <w:tab w:val="clear" w:pos="1160"/>
          <w:tab w:val="num" w:pos="567"/>
        </w:tabs>
        <w:ind w:left="567" w:hanging="283"/>
        <w:rPr>
          <w:rFonts w:cs="Arial"/>
          <w:lang w:val="fr-FR"/>
        </w:rPr>
      </w:pPr>
      <w:r w:rsidRPr="00431D28">
        <w:rPr>
          <w:rFonts w:cs="Arial"/>
          <w:b/>
          <w:bCs/>
          <w:i/>
          <w:iCs/>
          <w:lang w:val="fr-FR"/>
        </w:rPr>
        <w:t xml:space="preserve">Mobilier et matériel : </w:t>
      </w:r>
      <w:r w:rsidRPr="00431D28">
        <w:rPr>
          <w:rFonts w:cs="Arial"/>
          <w:bCs/>
          <w:iCs/>
          <w:lang w:val="fr-FR"/>
        </w:rPr>
        <w:t>achat de mobilier et machines de bureau, de matériel informatique (ordinateurs personnels, ordinateurs portables, imprimantes, serveurs, etc.), de matériel utilisé pour les conférences, de matériel de reproduction des documents et de matériel de transport.</w:t>
      </w:r>
    </w:p>
    <w:p w:rsidR="005A7F6B" w:rsidRPr="00431D28" w:rsidRDefault="005A7F6B" w:rsidP="002418F6">
      <w:pPr>
        <w:tabs>
          <w:tab w:val="num" w:pos="567"/>
        </w:tabs>
        <w:ind w:left="567" w:hanging="283"/>
        <w:rPr>
          <w:rFonts w:cs="Arial"/>
          <w:lang w:val="fr-FR"/>
        </w:rPr>
      </w:pPr>
    </w:p>
    <w:p w:rsidR="005A7F6B" w:rsidRPr="00431D28" w:rsidRDefault="004B060B" w:rsidP="004B060B">
      <w:pPr>
        <w:numPr>
          <w:ilvl w:val="0"/>
          <w:numId w:val="15"/>
        </w:numPr>
        <w:tabs>
          <w:tab w:val="clear" w:pos="1160"/>
          <w:tab w:val="num" w:pos="567"/>
        </w:tabs>
        <w:ind w:left="567" w:hanging="283"/>
        <w:rPr>
          <w:rFonts w:cs="Arial"/>
          <w:lang w:val="fr-FR"/>
        </w:rPr>
      </w:pPr>
      <w:r w:rsidRPr="00431D28">
        <w:rPr>
          <w:rFonts w:cs="Arial"/>
          <w:b/>
          <w:bCs/>
          <w:i/>
          <w:iCs/>
          <w:lang w:val="fr-FR"/>
        </w:rPr>
        <w:t xml:space="preserve">Fournitures : </w:t>
      </w:r>
      <w:r w:rsidRPr="00431D28">
        <w:rPr>
          <w:rFonts w:cs="Arial"/>
          <w:bCs/>
          <w:iCs/>
          <w:lang w:val="fr-FR"/>
        </w:rPr>
        <w:t xml:space="preserve">papier et fournitures de bureau;  fournitures de reproduction interne (offset, microfilms, etc.);  livres de bibliothèque et abonnements à des revues et périodiques;  uniformes;  fournitures de </w:t>
      </w:r>
      <w:r w:rsidR="003412C8">
        <w:rPr>
          <w:rFonts w:cs="Arial"/>
          <w:bCs/>
          <w:iCs/>
          <w:lang w:val="fr-FR"/>
        </w:rPr>
        <w:t>matériel informatique</w:t>
      </w:r>
      <w:r w:rsidRPr="00431D28">
        <w:rPr>
          <w:rFonts w:cs="Arial"/>
          <w:bCs/>
          <w:iCs/>
          <w:lang w:val="fr-FR"/>
        </w:rPr>
        <w:t>;  logiciels et licences informatiques.</w:t>
      </w:r>
    </w:p>
    <w:p w:rsidR="005A7F6B" w:rsidRPr="00431D28" w:rsidRDefault="005A7F6B" w:rsidP="00421639">
      <w:pPr>
        <w:jc w:val="center"/>
        <w:rPr>
          <w:lang w:val="fr-FR"/>
        </w:rPr>
      </w:pPr>
    </w:p>
    <w:p w:rsidR="005A7F6B" w:rsidRPr="00431D28" w:rsidRDefault="005A7F6B" w:rsidP="002C4A47">
      <w:pPr>
        <w:jc w:val="center"/>
        <w:rPr>
          <w:lang w:val="fr-FR"/>
        </w:rPr>
      </w:pPr>
    </w:p>
    <w:p w:rsidR="005A7F6B" w:rsidRPr="00431D28" w:rsidRDefault="004B060B" w:rsidP="004B060B">
      <w:pPr>
        <w:jc w:val="center"/>
        <w:rPr>
          <w:rStyle w:val="underline"/>
          <w:b/>
          <w:szCs w:val="24"/>
          <w:lang w:val="fr-FR"/>
        </w:rPr>
      </w:pPr>
      <w:r w:rsidRPr="00431D28">
        <w:rPr>
          <w:rStyle w:val="underline"/>
          <w:b/>
          <w:szCs w:val="24"/>
          <w:lang w:val="fr-FR"/>
        </w:rPr>
        <w:t>Programme</w:t>
      </w:r>
    </w:p>
    <w:p w:rsidR="005A7F6B" w:rsidRPr="00431D28" w:rsidRDefault="005A7F6B" w:rsidP="00421639">
      <w:pPr>
        <w:jc w:val="center"/>
        <w:rPr>
          <w:lang w:val="fr-FR"/>
        </w:rPr>
      </w:pPr>
    </w:p>
    <w:p w:rsidR="005A7F6B" w:rsidRPr="00431D28" w:rsidRDefault="005A7F6B" w:rsidP="00421639">
      <w:pPr>
        <w:jc w:val="center"/>
        <w:rPr>
          <w:lang w:val="fr-FR"/>
        </w:rPr>
      </w:pPr>
    </w:p>
    <w:p w:rsidR="005A7F6B" w:rsidRPr="00431D28" w:rsidRDefault="004B060B" w:rsidP="004B060B">
      <w:pPr>
        <w:rPr>
          <w:lang w:val="fr-FR"/>
        </w:rPr>
      </w:pPr>
      <w:r w:rsidRPr="00431D28">
        <w:rPr>
          <w:b/>
          <w:lang w:val="fr-FR"/>
        </w:rPr>
        <w:t>Programme principal :</w:t>
      </w:r>
      <w:r w:rsidRPr="00431D28">
        <w:rPr>
          <w:lang w:val="fr-FR"/>
        </w:rPr>
        <w:t xml:space="preserve"> le programme de l’UPOV consiste en un programme principal unique qui a été conçu de manière à répondre aux priorités définies par les membres de l’Union.</w:t>
      </w:r>
      <w:r w:rsidR="00421639" w:rsidRPr="00431D28">
        <w:rPr>
          <w:lang w:val="fr-FR"/>
        </w:rPr>
        <w:t xml:space="preserve">  </w:t>
      </w:r>
      <w:r w:rsidRPr="00431D28">
        <w:rPr>
          <w:lang w:val="fr-FR"/>
        </w:rPr>
        <w:t>Ses objectifs, ambitieux, sont regroupés par type dans les différents sous-programmes.</w:t>
      </w:r>
    </w:p>
    <w:p w:rsidR="005A7F6B" w:rsidRPr="00431D28" w:rsidRDefault="005A7F6B" w:rsidP="00421639">
      <w:pPr>
        <w:rPr>
          <w:lang w:val="fr-FR"/>
        </w:rPr>
      </w:pPr>
    </w:p>
    <w:p w:rsidR="005A7F6B" w:rsidRPr="00431D28" w:rsidRDefault="004B060B" w:rsidP="004B060B">
      <w:pPr>
        <w:rPr>
          <w:lang w:val="fr-FR"/>
        </w:rPr>
      </w:pPr>
      <w:r w:rsidRPr="00431D28">
        <w:rPr>
          <w:b/>
          <w:lang w:val="fr-FR"/>
        </w:rPr>
        <w:t>Sous-programmes :</w:t>
      </w:r>
      <w:r w:rsidRPr="00431D28">
        <w:rPr>
          <w:lang w:val="fr-FR"/>
        </w:rPr>
        <w:t xml:space="preserve"> le programme principal de l’UPOV est divisé en quatre sous-programmes </w:t>
      </w:r>
      <w:r w:rsidR="003F2179">
        <w:rPr>
          <w:lang w:val="fr-FR"/>
        </w:rPr>
        <w:br/>
      </w:r>
      <w:r w:rsidRPr="00431D28">
        <w:rPr>
          <w:lang w:val="fr-FR"/>
        </w:rPr>
        <w:t>(UV.1 – UV.4).</w:t>
      </w:r>
      <w:r w:rsidR="00421639" w:rsidRPr="00431D28">
        <w:rPr>
          <w:lang w:val="fr-FR"/>
        </w:rPr>
        <w:t xml:space="preserve">  </w:t>
      </w:r>
      <w:r w:rsidRPr="00431D28">
        <w:rPr>
          <w:lang w:val="fr-FR"/>
        </w:rPr>
        <w:t>La réalisation de chaque sous-programme est mesurée par rapport à des objectifs prédéfinis.</w:t>
      </w:r>
      <w:r w:rsidR="00421639" w:rsidRPr="00431D28">
        <w:rPr>
          <w:lang w:val="fr-FR"/>
        </w:rPr>
        <w:t xml:space="preserve">  </w:t>
      </w:r>
      <w:r w:rsidRPr="00431D28">
        <w:rPr>
          <w:lang w:val="fr-FR"/>
        </w:rPr>
        <w:t>Cette méthode s’appuie sur une utilisation efficace et rentable des ressources et un système de reddition des comptes pour la mise en œuvre du programme.</w:t>
      </w:r>
    </w:p>
    <w:p w:rsidR="005A7F6B" w:rsidRPr="00431D28" w:rsidRDefault="004B060B" w:rsidP="004B060B">
      <w:pPr>
        <w:pStyle w:val="endofdoc"/>
        <w:rPr>
          <w:rFonts w:cs="Arial"/>
          <w:lang w:val="fr-FR"/>
        </w:rPr>
      </w:pPr>
      <w:r w:rsidRPr="00431D28">
        <w:rPr>
          <w:lang w:val="fr-FR"/>
        </w:rPr>
        <w:t>[Fin de l’appendice III et du document]</w:t>
      </w:r>
    </w:p>
    <w:sectPr w:rsidR="005A7F6B" w:rsidRPr="00431D28" w:rsidSect="00102CDB">
      <w:headerReference w:type="default" r:id="rId27"/>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ABB" w:rsidRDefault="003D6ABB" w:rsidP="006655D3">
      <w:r>
        <w:separator/>
      </w:r>
    </w:p>
    <w:p w:rsidR="003D6ABB" w:rsidRDefault="003D6ABB" w:rsidP="006655D3"/>
    <w:p w:rsidR="003D6ABB" w:rsidRDefault="003D6ABB" w:rsidP="006655D3"/>
  </w:endnote>
  <w:endnote w:type="continuationSeparator" w:id="0">
    <w:p w:rsidR="003D6ABB" w:rsidRDefault="003D6ABB" w:rsidP="006655D3">
      <w:r>
        <w:separator/>
      </w:r>
    </w:p>
    <w:p w:rsidR="003D6ABB" w:rsidRPr="00560A6D" w:rsidRDefault="003D6ABB">
      <w:pPr>
        <w:pStyle w:val="Footer"/>
        <w:spacing w:after="60"/>
        <w:rPr>
          <w:sz w:val="18"/>
          <w:lang w:val="fr-FR"/>
        </w:rPr>
      </w:pPr>
      <w:r w:rsidRPr="00560A6D">
        <w:rPr>
          <w:sz w:val="18"/>
          <w:lang w:val="fr-FR"/>
        </w:rPr>
        <w:t>[Suite de la note de la page précédente]</w:t>
      </w:r>
    </w:p>
    <w:p w:rsidR="003D6ABB" w:rsidRPr="00560A6D" w:rsidRDefault="003D6ABB" w:rsidP="006655D3">
      <w:pPr>
        <w:rPr>
          <w:lang w:val="fr-FR"/>
        </w:rPr>
      </w:pPr>
    </w:p>
    <w:p w:rsidR="003D6ABB" w:rsidRPr="00560A6D" w:rsidRDefault="003D6ABB" w:rsidP="006655D3">
      <w:pPr>
        <w:rPr>
          <w:lang w:val="fr-FR"/>
        </w:rPr>
      </w:pPr>
    </w:p>
  </w:endnote>
  <w:endnote w:type="continuationNotice" w:id="1">
    <w:p w:rsidR="003D6ABB" w:rsidRPr="00560A6D" w:rsidRDefault="003D6ABB" w:rsidP="006655D3">
      <w:pPr>
        <w:rPr>
          <w:lang w:val="fr-FR"/>
        </w:rPr>
      </w:pPr>
      <w:r w:rsidRPr="00560A6D">
        <w:rPr>
          <w:lang w:val="fr-FR"/>
        </w:rPr>
        <w:t>[Suite de la note page suivante]</w:t>
      </w:r>
    </w:p>
    <w:p w:rsidR="003D6ABB" w:rsidRPr="00560A6D" w:rsidRDefault="003D6ABB" w:rsidP="006655D3">
      <w:pPr>
        <w:rPr>
          <w:lang w:val="fr-FR"/>
        </w:rPr>
      </w:pPr>
    </w:p>
    <w:p w:rsidR="003D6ABB" w:rsidRPr="00560A6D" w:rsidRDefault="003D6AB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BB" w:rsidRPr="00221F69" w:rsidRDefault="003D6ABB" w:rsidP="00DC35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BB" w:rsidRDefault="003D6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ABB" w:rsidRDefault="003D6ABB" w:rsidP="00C95616">
      <w:pPr>
        <w:spacing w:before="120"/>
      </w:pPr>
      <w:r>
        <w:separator/>
      </w:r>
    </w:p>
  </w:footnote>
  <w:footnote w:type="continuationSeparator" w:id="0">
    <w:p w:rsidR="003D6ABB" w:rsidRDefault="003D6ABB" w:rsidP="006655D3">
      <w:r>
        <w:separator/>
      </w:r>
    </w:p>
  </w:footnote>
  <w:footnote w:type="continuationNotice" w:id="1">
    <w:p w:rsidR="003D6ABB" w:rsidRPr="00A56FAA" w:rsidRDefault="003D6ABB"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BB" w:rsidRPr="00C5280D" w:rsidRDefault="00DF40AE" w:rsidP="00EB048E">
    <w:pPr>
      <w:pStyle w:val="Header"/>
      <w:rPr>
        <w:rStyle w:val="PageNumber"/>
        <w:lang w:val="en-US"/>
      </w:rPr>
    </w:pPr>
    <w:r>
      <w:rPr>
        <w:rStyle w:val="PageNumber"/>
        <w:lang w:val="en-US"/>
      </w:rPr>
      <w:t>C/47/4 Rev.</w:t>
    </w:r>
  </w:p>
  <w:p w:rsidR="003D6ABB" w:rsidRPr="00C5280D" w:rsidRDefault="003D6AB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137C4">
      <w:rPr>
        <w:rStyle w:val="PageNumber"/>
        <w:noProof/>
        <w:lang w:val="en-US"/>
      </w:rPr>
      <w:t>2</w:t>
    </w:r>
    <w:r w:rsidRPr="00C5280D">
      <w:rPr>
        <w:rStyle w:val="PageNumber"/>
        <w:lang w:val="en-US"/>
      </w:rPr>
      <w:fldChar w:fldCharType="end"/>
    </w:r>
  </w:p>
  <w:p w:rsidR="003D6ABB" w:rsidRPr="00C5280D" w:rsidRDefault="003D6ABB"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BB" w:rsidRPr="00C5280D" w:rsidRDefault="00DF40AE" w:rsidP="00EB048E">
    <w:pPr>
      <w:pStyle w:val="Header"/>
      <w:rPr>
        <w:rStyle w:val="PageNumber"/>
        <w:lang w:val="en-US"/>
      </w:rPr>
    </w:pPr>
    <w:r>
      <w:rPr>
        <w:rStyle w:val="PageNumber"/>
        <w:lang w:val="en-US"/>
      </w:rPr>
      <w:t>C/47/4 Rev.</w:t>
    </w:r>
  </w:p>
  <w:p w:rsidR="003D6ABB" w:rsidRPr="00C5280D" w:rsidRDefault="003D6ABB" w:rsidP="00EB048E">
    <w:pPr>
      <w:pStyle w:val="Header"/>
      <w:rPr>
        <w:lang w:val="en-US"/>
      </w:rPr>
    </w:pPr>
    <w:r>
      <w:rPr>
        <w:lang w:val="en-US"/>
      </w:rPr>
      <w:t xml:space="preserve">Annexe,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137C4">
      <w:rPr>
        <w:rStyle w:val="PageNumber"/>
        <w:noProof/>
        <w:lang w:val="en-US"/>
      </w:rPr>
      <w:t>2</w:t>
    </w:r>
    <w:r w:rsidRPr="00C5280D">
      <w:rPr>
        <w:rStyle w:val="PageNumber"/>
        <w:lang w:val="en-US"/>
      </w:rPr>
      <w:fldChar w:fldCharType="end"/>
    </w:r>
  </w:p>
  <w:p w:rsidR="003D6ABB" w:rsidRPr="00C5280D" w:rsidRDefault="003D6ABB"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BB" w:rsidRPr="005C7228" w:rsidRDefault="003D6ABB" w:rsidP="00DC35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BB" w:rsidRPr="00C5280D" w:rsidRDefault="003D6ABB" w:rsidP="00EB048E">
    <w:pPr>
      <w:pStyle w:val="Header"/>
      <w:rPr>
        <w:rStyle w:val="PageNumber"/>
        <w:lang w:val="en-US"/>
      </w:rPr>
    </w:pPr>
    <w:r>
      <w:rPr>
        <w:rStyle w:val="PageNumber"/>
        <w:lang w:val="en-US"/>
      </w:rPr>
      <w:t>CC/85/4:  ANNEX</w:t>
    </w:r>
  </w:p>
  <w:p w:rsidR="003D6ABB" w:rsidRPr="00C5280D" w:rsidRDefault="003D6ABB"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BB" w:rsidRPr="00C5280D" w:rsidRDefault="00DF40AE" w:rsidP="00DC35EC">
    <w:pPr>
      <w:pStyle w:val="Header"/>
      <w:rPr>
        <w:rStyle w:val="PageNumber"/>
        <w:lang w:val="en-US"/>
      </w:rPr>
    </w:pPr>
    <w:r>
      <w:rPr>
        <w:rStyle w:val="PageNumber"/>
        <w:lang w:val="en-US"/>
      </w:rPr>
      <w:t>C/47/4 Rev.</w:t>
    </w:r>
    <w:r w:rsidR="003D6ABB">
      <w:rPr>
        <w:rStyle w:val="PageNumber"/>
        <w:lang w:val="en-US"/>
      </w:rPr>
      <w:t> : ANNEXE</w:t>
    </w:r>
  </w:p>
  <w:p w:rsidR="003D6ABB" w:rsidRPr="005C7228" w:rsidRDefault="003D6ABB" w:rsidP="00DC35E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BB" w:rsidRPr="00B8035E" w:rsidRDefault="00DF40AE" w:rsidP="00DC35EC">
    <w:pPr>
      <w:pStyle w:val="Header"/>
      <w:rPr>
        <w:rStyle w:val="PageNumber"/>
      </w:rPr>
    </w:pPr>
    <w:r>
      <w:rPr>
        <w:rStyle w:val="PageNumber"/>
      </w:rPr>
      <w:t>C/47/4 Rev.</w:t>
    </w:r>
    <w:r w:rsidR="003D6ABB" w:rsidRPr="00B8035E">
      <w:rPr>
        <w:rStyle w:val="PageNumber"/>
      </w:rPr>
      <w:t>: ANNEXE</w:t>
    </w:r>
  </w:p>
  <w:p w:rsidR="003D6ABB" w:rsidRDefault="003D6ABB" w:rsidP="00DC35EC">
    <w:pPr>
      <w:pStyle w:val="Header"/>
      <w:rPr>
        <w:rStyle w:val="PageNumber"/>
      </w:rPr>
    </w:pPr>
    <w:r>
      <w:t xml:space="preserve">Appendice II, page </w:t>
    </w:r>
    <w:r>
      <w:rPr>
        <w:rStyle w:val="PageNumber"/>
      </w:rPr>
      <w:fldChar w:fldCharType="begin"/>
    </w:r>
    <w:r>
      <w:rPr>
        <w:rStyle w:val="PageNumber"/>
      </w:rPr>
      <w:instrText xml:space="preserve"> PAGE </w:instrText>
    </w:r>
    <w:r>
      <w:rPr>
        <w:rStyle w:val="PageNumber"/>
      </w:rPr>
      <w:fldChar w:fldCharType="separate"/>
    </w:r>
    <w:r w:rsidR="002137C4">
      <w:rPr>
        <w:rStyle w:val="PageNumber"/>
        <w:noProof/>
      </w:rPr>
      <w:t>2</w:t>
    </w:r>
    <w:r>
      <w:rPr>
        <w:rStyle w:val="PageNumber"/>
      </w:rPr>
      <w:fldChar w:fldCharType="end"/>
    </w:r>
  </w:p>
  <w:p w:rsidR="003D6ABB" w:rsidRPr="004312D5" w:rsidRDefault="003D6ABB" w:rsidP="00DC35E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BB" w:rsidRPr="00B8035E" w:rsidRDefault="00DF40AE" w:rsidP="00DC35EC">
    <w:pPr>
      <w:pStyle w:val="Header"/>
      <w:rPr>
        <w:rStyle w:val="PageNumber"/>
      </w:rPr>
    </w:pPr>
    <w:r>
      <w:rPr>
        <w:rStyle w:val="PageNumber"/>
      </w:rPr>
      <w:t>C/47/4 Rev.</w:t>
    </w:r>
    <w:r w:rsidR="003D6ABB">
      <w:rPr>
        <w:rStyle w:val="PageNumber"/>
      </w:rPr>
      <w:t xml:space="preserve"> : </w:t>
    </w:r>
    <w:r w:rsidR="003D6ABB" w:rsidRPr="00B8035E">
      <w:rPr>
        <w:rStyle w:val="PageNumber"/>
      </w:rPr>
      <w:t>ANNEX</w:t>
    </w:r>
    <w:r w:rsidR="003D6ABB">
      <w:rPr>
        <w:rStyle w:val="PageNumber"/>
      </w:rPr>
      <w:t>E</w:t>
    </w:r>
  </w:p>
  <w:p w:rsidR="003D6ABB" w:rsidRDefault="003D6ABB" w:rsidP="00DC35EC">
    <w:pPr>
      <w:pStyle w:val="Header"/>
      <w:rPr>
        <w:rStyle w:val="PageNumber"/>
      </w:rPr>
    </w:pPr>
    <w:r>
      <w:t xml:space="preserve">Appendice III, page </w:t>
    </w:r>
    <w:r>
      <w:rPr>
        <w:rStyle w:val="PageNumber"/>
      </w:rPr>
      <w:fldChar w:fldCharType="begin"/>
    </w:r>
    <w:r>
      <w:rPr>
        <w:rStyle w:val="PageNumber"/>
      </w:rPr>
      <w:instrText xml:space="preserve"> PAGE </w:instrText>
    </w:r>
    <w:r>
      <w:rPr>
        <w:rStyle w:val="PageNumber"/>
      </w:rPr>
      <w:fldChar w:fldCharType="separate"/>
    </w:r>
    <w:r w:rsidR="002137C4">
      <w:rPr>
        <w:rStyle w:val="PageNumber"/>
        <w:noProof/>
      </w:rPr>
      <w:t>2</w:t>
    </w:r>
    <w:r>
      <w:rPr>
        <w:rStyle w:val="PageNumber"/>
      </w:rPr>
      <w:fldChar w:fldCharType="end"/>
    </w:r>
  </w:p>
  <w:p w:rsidR="003D6ABB" w:rsidRPr="004312D5" w:rsidRDefault="003D6ABB" w:rsidP="00DC35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3AC8"/>
    <w:multiLevelType w:val="hybridMultilevel"/>
    <w:tmpl w:val="2AD0C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2D170B"/>
    <w:multiLevelType w:val="hybridMultilevel"/>
    <w:tmpl w:val="8B04C1F2"/>
    <w:lvl w:ilvl="0" w:tplc="D30041CC">
      <w:start w:val="1"/>
      <w:numFmt w:val="lowerRoman"/>
      <w:lvlText w:val="%1)"/>
      <w:lvlJc w:val="left"/>
      <w:pPr>
        <w:tabs>
          <w:tab w:val="num" w:pos="720"/>
        </w:tabs>
        <w:ind w:left="720" w:hanging="360"/>
      </w:pPr>
      <w:rPr>
        <w:rFonts w:hint="default"/>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FB0B05"/>
    <w:multiLevelType w:val="hybridMultilevel"/>
    <w:tmpl w:val="9526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1A7FFC"/>
    <w:multiLevelType w:val="hybridMultilevel"/>
    <w:tmpl w:val="3D3A5068"/>
    <w:lvl w:ilvl="0" w:tplc="716CB16E">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E1587A"/>
    <w:multiLevelType w:val="hybridMultilevel"/>
    <w:tmpl w:val="53A08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5E7006"/>
    <w:multiLevelType w:val="hybridMultilevel"/>
    <w:tmpl w:val="0CCE9F72"/>
    <w:lvl w:ilvl="0" w:tplc="75FA6534">
      <w:start w:val="1"/>
      <w:numFmt w:val="decimal"/>
      <w:lvlText w:val="%1."/>
      <w:lvlJc w:val="left"/>
      <w:pPr>
        <w:tabs>
          <w:tab w:val="num" w:pos="360"/>
        </w:tabs>
        <w:ind w:left="360" w:hanging="360"/>
      </w:pPr>
    </w:lvl>
    <w:lvl w:ilvl="1" w:tplc="E17AC034">
      <w:start w:val="1"/>
      <w:numFmt w:val="lowerLetter"/>
      <w:lvlText w:val="%2)"/>
      <w:lvlJc w:val="left"/>
      <w:pPr>
        <w:tabs>
          <w:tab w:val="num" w:pos="1080"/>
        </w:tabs>
        <w:ind w:left="1080" w:hanging="360"/>
      </w:pPr>
      <w:rPr>
        <w:rFonts w:hint="default"/>
      </w:rPr>
    </w:lvl>
    <w:lvl w:ilvl="2" w:tplc="749E6C20">
      <w:start w:val="1"/>
      <w:numFmt w:val="lowerRoman"/>
      <w:lvlText w:val="%3)"/>
      <w:lvlJc w:val="left"/>
      <w:pPr>
        <w:tabs>
          <w:tab w:val="num" w:pos="1790"/>
        </w:tabs>
        <w:ind w:left="1620" w:firstLine="0"/>
      </w:pPr>
      <w:rPr>
        <w:rFonts w:hint="default"/>
      </w:rPr>
    </w:lvl>
    <w:lvl w:ilvl="3" w:tplc="04090011">
      <w:start w:val="1"/>
      <w:numFmt w:val="decimal"/>
      <w:lvlText w:val="%4)"/>
      <w:lvlJc w:val="left"/>
      <w:pPr>
        <w:tabs>
          <w:tab w:val="num" w:pos="2520"/>
        </w:tabs>
        <w:ind w:left="2520" w:hanging="360"/>
      </w:pPr>
      <w:rPr>
        <w:rFonts w:hint="default"/>
      </w:rPr>
    </w:lvl>
    <w:lvl w:ilvl="4" w:tplc="04090003">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nsid w:val="24726D81"/>
    <w:multiLevelType w:val="hybridMultilevel"/>
    <w:tmpl w:val="259AE5A4"/>
    <w:lvl w:ilvl="0" w:tplc="04090001">
      <w:start w:val="1"/>
      <w:numFmt w:val="bullet"/>
      <w:lvlText w:val=""/>
      <w:lvlJc w:val="left"/>
      <w:pPr>
        <w:tabs>
          <w:tab w:val="num" w:pos="1160"/>
        </w:tabs>
        <w:ind w:left="1160" w:hanging="360"/>
      </w:pPr>
      <w:rPr>
        <w:rFonts w:ascii="Symbol" w:hAnsi="Symbol" w:hint="default"/>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7">
    <w:nsid w:val="276F7D50"/>
    <w:multiLevelType w:val="hybridMultilevel"/>
    <w:tmpl w:val="E26E1252"/>
    <w:lvl w:ilvl="0" w:tplc="04090001">
      <w:start w:val="1"/>
      <w:numFmt w:val="bullet"/>
      <w:lvlText w:val=""/>
      <w:lvlJc w:val="left"/>
      <w:pPr>
        <w:tabs>
          <w:tab w:val="num" w:pos="1160"/>
        </w:tabs>
        <w:ind w:left="1160" w:hanging="360"/>
      </w:pPr>
      <w:rPr>
        <w:rFonts w:ascii="Symbol" w:hAnsi="Symbol" w:hint="default"/>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8">
    <w:nsid w:val="2CDB7DD2"/>
    <w:multiLevelType w:val="hybridMultilevel"/>
    <w:tmpl w:val="8CF8A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7F1CA2"/>
    <w:multiLevelType w:val="hybridMultilevel"/>
    <w:tmpl w:val="449ED5AA"/>
    <w:lvl w:ilvl="0" w:tplc="04090001">
      <w:start w:val="1"/>
      <w:numFmt w:val="bullet"/>
      <w:lvlText w:val=""/>
      <w:lvlJc w:val="left"/>
      <w:pPr>
        <w:tabs>
          <w:tab w:val="num" w:pos="1120"/>
        </w:tabs>
        <w:ind w:left="112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cs="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cs="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nsid w:val="319B534E"/>
    <w:multiLevelType w:val="hybridMultilevel"/>
    <w:tmpl w:val="FD5C801E"/>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1583"/>
        </w:tabs>
        <w:ind w:left="1583" w:hanging="360"/>
      </w:pPr>
      <w:rPr>
        <w:rFonts w:ascii="Courier New" w:hAnsi="Courier New" w:cs="Courier New" w:hint="default"/>
      </w:rPr>
    </w:lvl>
    <w:lvl w:ilvl="2" w:tplc="04090005">
      <w:start w:val="1"/>
      <w:numFmt w:val="bullet"/>
      <w:lvlText w:val=""/>
      <w:lvlJc w:val="left"/>
      <w:pPr>
        <w:tabs>
          <w:tab w:val="num" w:pos="2303"/>
        </w:tabs>
        <w:ind w:left="2303" w:hanging="360"/>
      </w:pPr>
      <w:rPr>
        <w:rFonts w:ascii="Wingdings" w:hAnsi="Wingdings" w:hint="default"/>
      </w:rPr>
    </w:lvl>
    <w:lvl w:ilvl="3" w:tplc="04090001" w:tentative="1">
      <w:start w:val="1"/>
      <w:numFmt w:val="bullet"/>
      <w:lvlText w:val=""/>
      <w:lvlJc w:val="left"/>
      <w:pPr>
        <w:tabs>
          <w:tab w:val="num" w:pos="3023"/>
        </w:tabs>
        <w:ind w:left="3023" w:hanging="360"/>
      </w:pPr>
      <w:rPr>
        <w:rFonts w:ascii="Symbol" w:hAnsi="Symbol" w:hint="default"/>
      </w:rPr>
    </w:lvl>
    <w:lvl w:ilvl="4" w:tplc="04090003" w:tentative="1">
      <w:start w:val="1"/>
      <w:numFmt w:val="bullet"/>
      <w:lvlText w:val="o"/>
      <w:lvlJc w:val="left"/>
      <w:pPr>
        <w:tabs>
          <w:tab w:val="num" w:pos="3743"/>
        </w:tabs>
        <w:ind w:left="3743" w:hanging="360"/>
      </w:pPr>
      <w:rPr>
        <w:rFonts w:ascii="Courier New" w:hAnsi="Courier New" w:cs="Courier New" w:hint="default"/>
      </w:rPr>
    </w:lvl>
    <w:lvl w:ilvl="5" w:tplc="04090005" w:tentative="1">
      <w:start w:val="1"/>
      <w:numFmt w:val="bullet"/>
      <w:lvlText w:val=""/>
      <w:lvlJc w:val="left"/>
      <w:pPr>
        <w:tabs>
          <w:tab w:val="num" w:pos="4463"/>
        </w:tabs>
        <w:ind w:left="4463" w:hanging="360"/>
      </w:pPr>
      <w:rPr>
        <w:rFonts w:ascii="Wingdings" w:hAnsi="Wingdings" w:hint="default"/>
      </w:rPr>
    </w:lvl>
    <w:lvl w:ilvl="6" w:tplc="04090001" w:tentative="1">
      <w:start w:val="1"/>
      <w:numFmt w:val="bullet"/>
      <w:lvlText w:val=""/>
      <w:lvlJc w:val="left"/>
      <w:pPr>
        <w:tabs>
          <w:tab w:val="num" w:pos="5183"/>
        </w:tabs>
        <w:ind w:left="5183" w:hanging="360"/>
      </w:pPr>
      <w:rPr>
        <w:rFonts w:ascii="Symbol" w:hAnsi="Symbol" w:hint="default"/>
      </w:rPr>
    </w:lvl>
    <w:lvl w:ilvl="7" w:tplc="04090003" w:tentative="1">
      <w:start w:val="1"/>
      <w:numFmt w:val="bullet"/>
      <w:lvlText w:val="o"/>
      <w:lvlJc w:val="left"/>
      <w:pPr>
        <w:tabs>
          <w:tab w:val="num" w:pos="5903"/>
        </w:tabs>
        <w:ind w:left="5903" w:hanging="360"/>
      </w:pPr>
      <w:rPr>
        <w:rFonts w:ascii="Courier New" w:hAnsi="Courier New" w:cs="Courier New" w:hint="default"/>
      </w:rPr>
    </w:lvl>
    <w:lvl w:ilvl="8" w:tplc="04090005" w:tentative="1">
      <w:start w:val="1"/>
      <w:numFmt w:val="bullet"/>
      <w:lvlText w:val=""/>
      <w:lvlJc w:val="left"/>
      <w:pPr>
        <w:tabs>
          <w:tab w:val="num" w:pos="6623"/>
        </w:tabs>
        <w:ind w:left="6623" w:hanging="360"/>
      </w:pPr>
      <w:rPr>
        <w:rFonts w:ascii="Wingdings" w:hAnsi="Wingdings" w:hint="default"/>
      </w:rPr>
    </w:lvl>
  </w:abstractNum>
  <w:abstractNum w:abstractNumId="11">
    <w:nsid w:val="38F67A6F"/>
    <w:multiLevelType w:val="hybridMultilevel"/>
    <w:tmpl w:val="78C46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386AE8"/>
    <w:multiLevelType w:val="hybridMultilevel"/>
    <w:tmpl w:val="57E20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313078"/>
    <w:multiLevelType w:val="hybridMultilevel"/>
    <w:tmpl w:val="847AC65C"/>
    <w:lvl w:ilvl="0" w:tplc="716CB16E">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530B29"/>
    <w:multiLevelType w:val="hybridMultilevel"/>
    <w:tmpl w:val="E360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2"/>
  </w:num>
  <w:num w:numId="4">
    <w:abstractNumId w:val="14"/>
  </w:num>
  <w:num w:numId="5">
    <w:abstractNumId w:val="2"/>
  </w:num>
  <w:num w:numId="6">
    <w:abstractNumId w:val="4"/>
  </w:num>
  <w:num w:numId="7">
    <w:abstractNumId w:val="8"/>
  </w:num>
  <w:num w:numId="8">
    <w:abstractNumId w:val="15"/>
  </w:num>
  <w:num w:numId="9">
    <w:abstractNumId w:val="3"/>
  </w:num>
  <w:num w:numId="10">
    <w:abstractNumId w:val="1"/>
  </w:num>
  <w:num w:numId="11">
    <w:abstractNumId w:val="13"/>
  </w:num>
  <w:num w:numId="12">
    <w:abstractNumId w:val="10"/>
  </w:num>
  <w:num w:numId="13">
    <w:abstractNumId w:val="9"/>
  </w:num>
  <w:num w:numId="14">
    <w:abstractNumId w:val="7"/>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WIPOTemp|UPOV"/>
    <w:docVar w:name="TermBaseURL" w:val="empty"/>
    <w:docVar w:name="TextBases" w:val="IP in General\Arbitration and Mediation|IP in General\Meetings|IP in General\Other|IP in General\Press Room|IP in General\Publications|Glossaries\EN-FR|Treaties\Model Laws|Treaties\Other Laws and Agreements|Treaties\WIPO-administered|Administrative\Meetings|Administrative\Other|Administrative\Publications|Budget and Finance\Meetings|Budget and Finance\Other|Budget and Finance\Publications|Copyright\Meetings|Copyright\Other|Copyright\Publications|IP in General\Academy|Patents\Meetings|Patents\Other|Patents\Publications|Trademarks\Meetings|Trademarks\Other|Trademarks\Publications|UPOV\Meetings|UPOV\Other|UPOV\Publications|UPOV\Technical Guidelines|WorkspaceFTS\Budget"/>
    <w:docVar w:name="TextBaseURL" w:val="empty"/>
    <w:docVar w:name="UILng" w:val="en"/>
  </w:docVars>
  <w:rsids>
    <w:rsidRoot w:val="00A44F6C"/>
    <w:rsid w:val="00010CF3"/>
    <w:rsid w:val="00011E27"/>
    <w:rsid w:val="0001457B"/>
    <w:rsid w:val="000148BC"/>
    <w:rsid w:val="00024AB8"/>
    <w:rsid w:val="0002759B"/>
    <w:rsid w:val="00030854"/>
    <w:rsid w:val="00036028"/>
    <w:rsid w:val="0004373E"/>
    <w:rsid w:val="00044642"/>
    <w:rsid w:val="000446B9"/>
    <w:rsid w:val="000457A3"/>
    <w:rsid w:val="00047E21"/>
    <w:rsid w:val="0005633D"/>
    <w:rsid w:val="000712DA"/>
    <w:rsid w:val="000715AD"/>
    <w:rsid w:val="00081074"/>
    <w:rsid w:val="00085505"/>
    <w:rsid w:val="0009121A"/>
    <w:rsid w:val="000A68B4"/>
    <w:rsid w:val="000B1094"/>
    <w:rsid w:val="000C7021"/>
    <w:rsid w:val="000D2271"/>
    <w:rsid w:val="000D6BBC"/>
    <w:rsid w:val="000D7780"/>
    <w:rsid w:val="000D7C2D"/>
    <w:rsid w:val="000F20F4"/>
    <w:rsid w:val="00102CDB"/>
    <w:rsid w:val="00105929"/>
    <w:rsid w:val="00107737"/>
    <w:rsid w:val="001110E9"/>
    <w:rsid w:val="001131D5"/>
    <w:rsid w:val="00133F0C"/>
    <w:rsid w:val="00141DB8"/>
    <w:rsid w:val="00146C93"/>
    <w:rsid w:val="00157E60"/>
    <w:rsid w:val="00167B98"/>
    <w:rsid w:val="00172EEE"/>
    <w:rsid w:val="0017474A"/>
    <w:rsid w:val="001758C6"/>
    <w:rsid w:val="00175E28"/>
    <w:rsid w:val="00182B99"/>
    <w:rsid w:val="00185193"/>
    <w:rsid w:val="001856B5"/>
    <w:rsid w:val="00185DB0"/>
    <w:rsid w:val="001A0080"/>
    <w:rsid w:val="001A0E1A"/>
    <w:rsid w:val="001A1520"/>
    <w:rsid w:val="001B2BF7"/>
    <w:rsid w:val="001B4122"/>
    <w:rsid w:val="001B5703"/>
    <w:rsid w:val="001D2D11"/>
    <w:rsid w:val="001D5AE3"/>
    <w:rsid w:val="001D6669"/>
    <w:rsid w:val="001E0CF9"/>
    <w:rsid w:val="001E327C"/>
    <w:rsid w:val="001F3DC2"/>
    <w:rsid w:val="002122FA"/>
    <w:rsid w:val="0021332C"/>
    <w:rsid w:val="002137C4"/>
    <w:rsid w:val="00213982"/>
    <w:rsid w:val="002418F6"/>
    <w:rsid w:val="0024416D"/>
    <w:rsid w:val="00267DEF"/>
    <w:rsid w:val="00271FAA"/>
    <w:rsid w:val="002800A0"/>
    <w:rsid w:val="002801B3"/>
    <w:rsid w:val="0028098F"/>
    <w:rsid w:val="00281060"/>
    <w:rsid w:val="0028159D"/>
    <w:rsid w:val="002834E1"/>
    <w:rsid w:val="00286737"/>
    <w:rsid w:val="002919FA"/>
    <w:rsid w:val="002940E8"/>
    <w:rsid w:val="002A2E32"/>
    <w:rsid w:val="002A5B3F"/>
    <w:rsid w:val="002A6E50"/>
    <w:rsid w:val="002A78EE"/>
    <w:rsid w:val="002C256A"/>
    <w:rsid w:val="002C4A47"/>
    <w:rsid w:val="002E51D8"/>
    <w:rsid w:val="00305A7F"/>
    <w:rsid w:val="00314EB0"/>
    <w:rsid w:val="00315280"/>
    <w:rsid w:val="003152FE"/>
    <w:rsid w:val="003163DE"/>
    <w:rsid w:val="00320A0E"/>
    <w:rsid w:val="00325C7B"/>
    <w:rsid w:val="00327436"/>
    <w:rsid w:val="00333EB1"/>
    <w:rsid w:val="0033507D"/>
    <w:rsid w:val="003412C8"/>
    <w:rsid w:val="00341660"/>
    <w:rsid w:val="00344BD6"/>
    <w:rsid w:val="0035241B"/>
    <w:rsid w:val="0035528D"/>
    <w:rsid w:val="0035637D"/>
    <w:rsid w:val="00361821"/>
    <w:rsid w:val="003705C7"/>
    <w:rsid w:val="00385042"/>
    <w:rsid w:val="00390CE2"/>
    <w:rsid w:val="003B550A"/>
    <w:rsid w:val="003D227C"/>
    <w:rsid w:val="003D2B4D"/>
    <w:rsid w:val="003D6ABB"/>
    <w:rsid w:val="003D7C06"/>
    <w:rsid w:val="003E4E3B"/>
    <w:rsid w:val="003F2179"/>
    <w:rsid w:val="003F54EA"/>
    <w:rsid w:val="00407417"/>
    <w:rsid w:val="004105B6"/>
    <w:rsid w:val="00412646"/>
    <w:rsid w:val="004133CD"/>
    <w:rsid w:val="00416F63"/>
    <w:rsid w:val="00420BD2"/>
    <w:rsid w:val="00421639"/>
    <w:rsid w:val="004236BB"/>
    <w:rsid w:val="00431D28"/>
    <w:rsid w:val="0044183C"/>
    <w:rsid w:val="00444A88"/>
    <w:rsid w:val="00453682"/>
    <w:rsid w:val="00471088"/>
    <w:rsid w:val="00474DA4"/>
    <w:rsid w:val="00476B4D"/>
    <w:rsid w:val="004805FA"/>
    <w:rsid w:val="00486CD9"/>
    <w:rsid w:val="00487797"/>
    <w:rsid w:val="004951EA"/>
    <w:rsid w:val="004966E7"/>
    <w:rsid w:val="00497C27"/>
    <w:rsid w:val="004B060B"/>
    <w:rsid w:val="004B6286"/>
    <w:rsid w:val="004C2364"/>
    <w:rsid w:val="004C24DE"/>
    <w:rsid w:val="004D047D"/>
    <w:rsid w:val="004D066E"/>
    <w:rsid w:val="004E7B00"/>
    <w:rsid w:val="004F305A"/>
    <w:rsid w:val="00503195"/>
    <w:rsid w:val="00512068"/>
    <w:rsid w:val="00512164"/>
    <w:rsid w:val="00520297"/>
    <w:rsid w:val="00523307"/>
    <w:rsid w:val="00523382"/>
    <w:rsid w:val="00524AFF"/>
    <w:rsid w:val="00531BE0"/>
    <w:rsid w:val="005338F9"/>
    <w:rsid w:val="0054281C"/>
    <w:rsid w:val="0055268D"/>
    <w:rsid w:val="00560A6D"/>
    <w:rsid w:val="00560E42"/>
    <w:rsid w:val="00561957"/>
    <w:rsid w:val="00563694"/>
    <w:rsid w:val="00576BE4"/>
    <w:rsid w:val="005851D4"/>
    <w:rsid w:val="00593A6D"/>
    <w:rsid w:val="005944CB"/>
    <w:rsid w:val="005A400A"/>
    <w:rsid w:val="005A7F6B"/>
    <w:rsid w:val="005B0934"/>
    <w:rsid w:val="005B2FA6"/>
    <w:rsid w:val="005B4978"/>
    <w:rsid w:val="005C4304"/>
    <w:rsid w:val="005C7BCF"/>
    <w:rsid w:val="005D77D2"/>
    <w:rsid w:val="005E348F"/>
    <w:rsid w:val="005E79BF"/>
    <w:rsid w:val="005F05B6"/>
    <w:rsid w:val="005F1700"/>
    <w:rsid w:val="00612379"/>
    <w:rsid w:val="0061555F"/>
    <w:rsid w:val="00630A77"/>
    <w:rsid w:val="00632A64"/>
    <w:rsid w:val="00641200"/>
    <w:rsid w:val="00645210"/>
    <w:rsid w:val="00645A5F"/>
    <w:rsid w:val="00650965"/>
    <w:rsid w:val="00653452"/>
    <w:rsid w:val="00656D37"/>
    <w:rsid w:val="00656DD6"/>
    <w:rsid w:val="00662B3C"/>
    <w:rsid w:val="006655D3"/>
    <w:rsid w:val="006716BE"/>
    <w:rsid w:val="006776B9"/>
    <w:rsid w:val="00687EB4"/>
    <w:rsid w:val="00697B4A"/>
    <w:rsid w:val="006A7D31"/>
    <w:rsid w:val="006B17D2"/>
    <w:rsid w:val="006C224E"/>
    <w:rsid w:val="006C2CC4"/>
    <w:rsid w:val="006C532E"/>
    <w:rsid w:val="006C6E31"/>
    <w:rsid w:val="006D5D8F"/>
    <w:rsid w:val="006D780A"/>
    <w:rsid w:val="006F35E5"/>
    <w:rsid w:val="006F4476"/>
    <w:rsid w:val="00710DA9"/>
    <w:rsid w:val="007115E9"/>
    <w:rsid w:val="00722B37"/>
    <w:rsid w:val="007313F2"/>
    <w:rsid w:val="00732DEC"/>
    <w:rsid w:val="00735BD5"/>
    <w:rsid w:val="00737E13"/>
    <w:rsid w:val="007425EB"/>
    <w:rsid w:val="0075335B"/>
    <w:rsid w:val="007556F6"/>
    <w:rsid w:val="00760EEF"/>
    <w:rsid w:val="007632C2"/>
    <w:rsid w:val="007670FE"/>
    <w:rsid w:val="00777EE5"/>
    <w:rsid w:val="00780A6B"/>
    <w:rsid w:val="00784836"/>
    <w:rsid w:val="00784DBB"/>
    <w:rsid w:val="0079023E"/>
    <w:rsid w:val="00792929"/>
    <w:rsid w:val="007948D0"/>
    <w:rsid w:val="00797C48"/>
    <w:rsid w:val="007A2854"/>
    <w:rsid w:val="007A4FCD"/>
    <w:rsid w:val="007A7840"/>
    <w:rsid w:val="007C2963"/>
    <w:rsid w:val="007C2995"/>
    <w:rsid w:val="007D0B9D"/>
    <w:rsid w:val="007D19B0"/>
    <w:rsid w:val="007E2AA2"/>
    <w:rsid w:val="007F498F"/>
    <w:rsid w:val="00801EF0"/>
    <w:rsid w:val="00802344"/>
    <w:rsid w:val="008035AB"/>
    <w:rsid w:val="008066A6"/>
    <w:rsid w:val="0080679D"/>
    <w:rsid w:val="008108B0"/>
    <w:rsid w:val="00811B20"/>
    <w:rsid w:val="0082296E"/>
    <w:rsid w:val="00824099"/>
    <w:rsid w:val="00830231"/>
    <w:rsid w:val="008302BB"/>
    <w:rsid w:val="008338AF"/>
    <w:rsid w:val="008340CD"/>
    <w:rsid w:val="00845F91"/>
    <w:rsid w:val="0085263B"/>
    <w:rsid w:val="0086636E"/>
    <w:rsid w:val="00867AC1"/>
    <w:rsid w:val="008853D2"/>
    <w:rsid w:val="008A0E41"/>
    <w:rsid w:val="008A3AAA"/>
    <w:rsid w:val="008A3C6D"/>
    <w:rsid w:val="008A743F"/>
    <w:rsid w:val="008B7DDC"/>
    <w:rsid w:val="008C0970"/>
    <w:rsid w:val="008C3FDB"/>
    <w:rsid w:val="008D2CF7"/>
    <w:rsid w:val="008E35A1"/>
    <w:rsid w:val="00900AC4"/>
    <w:rsid w:val="00900C26"/>
    <w:rsid w:val="0090197F"/>
    <w:rsid w:val="00901A3F"/>
    <w:rsid w:val="00906DDC"/>
    <w:rsid w:val="00934E09"/>
    <w:rsid w:val="00934EDF"/>
    <w:rsid w:val="00936253"/>
    <w:rsid w:val="009425E0"/>
    <w:rsid w:val="009432C8"/>
    <w:rsid w:val="00945966"/>
    <w:rsid w:val="00946029"/>
    <w:rsid w:val="0095069B"/>
    <w:rsid w:val="00952DD4"/>
    <w:rsid w:val="00956FDC"/>
    <w:rsid w:val="00960511"/>
    <w:rsid w:val="00966021"/>
    <w:rsid w:val="009662A1"/>
    <w:rsid w:val="00970FED"/>
    <w:rsid w:val="00974363"/>
    <w:rsid w:val="009747D9"/>
    <w:rsid w:val="0097495F"/>
    <w:rsid w:val="00982E84"/>
    <w:rsid w:val="00986E2A"/>
    <w:rsid w:val="00997029"/>
    <w:rsid w:val="009A0B7E"/>
    <w:rsid w:val="009A663A"/>
    <w:rsid w:val="009C0336"/>
    <w:rsid w:val="009C1550"/>
    <w:rsid w:val="009C6144"/>
    <w:rsid w:val="009D5760"/>
    <w:rsid w:val="009D690D"/>
    <w:rsid w:val="009E65B6"/>
    <w:rsid w:val="009F7D0F"/>
    <w:rsid w:val="00A24A4D"/>
    <w:rsid w:val="00A30C46"/>
    <w:rsid w:val="00A42AC3"/>
    <w:rsid w:val="00A430CF"/>
    <w:rsid w:val="00A44F6C"/>
    <w:rsid w:val="00A54309"/>
    <w:rsid w:val="00A56FAA"/>
    <w:rsid w:val="00A834EC"/>
    <w:rsid w:val="00AB2B93"/>
    <w:rsid w:val="00AB7E5B"/>
    <w:rsid w:val="00AE0EF1"/>
    <w:rsid w:val="00AE1D74"/>
    <w:rsid w:val="00AE2937"/>
    <w:rsid w:val="00AF29F4"/>
    <w:rsid w:val="00AF5D34"/>
    <w:rsid w:val="00B07301"/>
    <w:rsid w:val="00B20CFA"/>
    <w:rsid w:val="00B224DE"/>
    <w:rsid w:val="00B247D2"/>
    <w:rsid w:val="00B256C0"/>
    <w:rsid w:val="00B26ECB"/>
    <w:rsid w:val="00B417A5"/>
    <w:rsid w:val="00B46575"/>
    <w:rsid w:val="00B47D5C"/>
    <w:rsid w:val="00B544C8"/>
    <w:rsid w:val="00B8035E"/>
    <w:rsid w:val="00B84BBD"/>
    <w:rsid w:val="00BA43FB"/>
    <w:rsid w:val="00BB0A3D"/>
    <w:rsid w:val="00BC127D"/>
    <w:rsid w:val="00BC1FE6"/>
    <w:rsid w:val="00BD0038"/>
    <w:rsid w:val="00BD1427"/>
    <w:rsid w:val="00BD1B5E"/>
    <w:rsid w:val="00BD3B21"/>
    <w:rsid w:val="00BE04D9"/>
    <w:rsid w:val="00BE3C8B"/>
    <w:rsid w:val="00BE70AC"/>
    <w:rsid w:val="00C01753"/>
    <w:rsid w:val="00C02487"/>
    <w:rsid w:val="00C061B6"/>
    <w:rsid w:val="00C2446C"/>
    <w:rsid w:val="00C36AE5"/>
    <w:rsid w:val="00C41F17"/>
    <w:rsid w:val="00C47E43"/>
    <w:rsid w:val="00C51D44"/>
    <w:rsid w:val="00C5280D"/>
    <w:rsid w:val="00C5640B"/>
    <w:rsid w:val="00C5791C"/>
    <w:rsid w:val="00C63B52"/>
    <w:rsid w:val="00C651CE"/>
    <w:rsid w:val="00C66290"/>
    <w:rsid w:val="00C724E7"/>
    <w:rsid w:val="00C72B7A"/>
    <w:rsid w:val="00C740F2"/>
    <w:rsid w:val="00C74F48"/>
    <w:rsid w:val="00C83C2B"/>
    <w:rsid w:val="00C95616"/>
    <w:rsid w:val="00C973F2"/>
    <w:rsid w:val="00CA304C"/>
    <w:rsid w:val="00CA774A"/>
    <w:rsid w:val="00CA77D0"/>
    <w:rsid w:val="00CB75C1"/>
    <w:rsid w:val="00CC11B0"/>
    <w:rsid w:val="00CE718D"/>
    <w:rsid w:val="00CF7E36"/>
    <w:rsid w:val="00D24DA3"/>
    <w:rsid w:val="00D26E03"/>
    <w:rsid w:val="00D3708D"/>
    <w:rsid w:val="00D40426"/>
    <w:rsid w:val="00D541D0"/>
    <w:rsid w:val="00D54537"/>
    <w:rsid w:val="00D57C96"/>
    <w:rsid w:val="00D67D01"/>
    <w:rsid w:val="00D7528C"/>
    <w:rsid w:val="00D906BE"/>
    <w:rsid w:val="00D91203"/>
    <w:rsid w:val="00D95174"/>
    <w:rsid w:val="00DA0559"/>
    <w:rsid w:val="00DA6705"/>
    <w:rsid w:val="00DA6F36"/>
    <w:rsid w:val="00DB593C"/>
    <w:rsid w:val="00DB596E"/>
    <w:rsid w:val="00DB6B6B"/>
    <w:rsid w:val="00DC00EA"/>
    <w:rsid w:val="00DC35EC"/>
    <w:rsid w:val="00DD18EE"/>
    <w:rsid w:val="00DD3F1D"/>
    <w:rsid w:val="00DD4DAE"/>
    <w:rsid w:val="00DE14BA"/>
    <w:rsid w:val="00DE7689"/>
    <w:rsid w:val="00DE7E53"/>
    <w:rsid w:val="00DF40AE"/>
    <w:rsid w:val="00E241A1"/>
    <w:rsid w:val="00E32CBA"/>
    <w:rsid w:val="00E32F7E"/>
    <w:rsid w:val="00E33DAC"/>
    <w:rsid w:val="00E40745"/>
    <w:rsid w:val="00E53156"/>
    <w:rsid w:val="00E616D9"/>
    <w:rsid w:val="00E64320"/>
    <w:rsid w:val="00E64D1C"/>
    <w:rsid w:val="00E67AE9"/>
    <w:rsid w:val="00E72D49"/>
    <w:rsid w:val="00E7593C"/>
    <w:rsid w:val="00E7678A"/>
    <w:rsid w:val="00E935F1"/>
    <w:rsid w:val="00E94A81"/>
    <w:rsid w:val="00EA1FFB"/>
    <w:rsid w:val="00EA7F18"/>
    <w:rsid w:val="00EB048E"/>
    <w:rsid w:val="00EB7F24"/>
    <w:rsid w:val="00EC2F57"/>
    <w:rsid w:val="00EC4493"/>
    <w:rsid w:val="00ED1024"/>
    <w:rsid w:val="00ED32C1"/>
    <w:rsid w:val="00EE34DF"/>
    <w:rsid w:val="00EF2F89"/>
    <w:rsid w:val="00EF3628"/>
    <w:rsid w:val="00EF49C4"/>
    <w:rsid w:val="00EF6346"/>
    <w:rsid w:val="00F1237A"/>
    <w:rsid w:val="00F1392B"/>
    <w:rsid w:val="00F22CBD"/>
    <w:rsid w:val="00F27557"/>
    <w:rsid w:val="00F42FE1"/>
    <w:rsid w:val="00F45372"/>
    <w:rsid w:val="00F560F7"/>
    <w:rsid w:val="00F56C99"/>
    <w:rsid w:val="00F6334D"/>
    <w:rsid w:val="00F80602"/>
    <w:rsid w:val="00F87BF6"/>
    <w:rsid w:val="00F93AB4"/>
    <w:rsid w:val="00FA1B68"/>
    <w:rsid w:val="00FA49AB"/>
    <w:rsid w:val="00FD0ACE"/>
    <w:rsid w:val="00FE2F44"/>
    <w:rsid w:val="00FE3084"/>
    <w:rsid w:val="00FE39C7"/>
    <w:rsid w:val="00FE3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4BA"/>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link w:val="Docoriginal"/>
    <w:rsid w:val="0033507D"/>
    <w:rPr>
      <w:rFonts w:ascii="Arial" w:hAnsi="Arial"/>
      <w:b/>
      <w:bCs/>
      <w:spacing w:val="10"/>
      <w:lang w:val="en-US" w:eastAsia="en-US" w:bidi="ar-SA"/>
    </w:rPr>
  </w:style>
  <w:style w:type="character" w:customStyle="1" w:styleId="StyleDocoriginalNotBoldChar">
    <w:name w:val="Style Doc_original + Not Bold 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rsid w:val="0033507D"/>
    <w:rPr>
      <w:rFonts w:ascii="Arial" w:hAnsi="Arial"/>
      <w:b/>
      <w:bCs/>
      <w:spacing w:val="10"/>
      <w:lang w:val="en-US" w:eastAsia="en-US" w:bidi="ar-SA"/>
    </w:rPr>
  </w:style>
  <w:style w:type="character" w:customStyle="1" w:styleId="StyleDoclangBold">
    <w:name w:val="Style Doc_lang + Bold"/>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link w:val="BalloonText"/>
    <w:rsid w:val="00560A6D"/>
    <w:rPr>
      <w:rFonts w:ascii="Tahoma" w:hAnsi="Tahoma" w:cs="Tahoma"/>
      <w:sz w:val="16"/>
      <w:szCs w:val="16"/>
    </w:rPr>
  </w:style>
  <w:style w:type="table" w:styleId="TableGrid">
    <w:name w:val="Table Grid"/>
    <w:basedOn w:val="TableNormal"/>
    <w:rsid w:val="00A44F6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4Normal">
    <w:name w:val="Inf_4_Normal"/>
    <w:basedOn w:val="Normal"/>
    <w:rsid w:val="00421639"/>
    <w:pPr>
      <w:spacing w:before="108"/>
    </w:pPr>
    <w:rPr>
      <w:rFonts w:ascii="Times New Roman" w:hAnsi="Times New Roman"/>
      <w:sz w:val="24"/>
    </w:rPr>
  </w:style>
  <w:style w:type="paragraph" w:customStyle="1" w:styleId="Inf4Heading4">
    <w:name w:val="Inf_4_Heading_4"/>
    <w:basedOn w:val="Heading4"/>
    <w:next w:val="Normal"/>
    <w:rsid w:val="00421639"/>
    <w:pPr>
      <w:spacing w:before="120"/>
      <w:ind w:left="0"/>
    </w:pPr>
    <w:rPr>
      <w:rFonts w:ascii="Times New Roman" w:hAnsi="Times New Roman"/>
      <w:b/>
      <w:bCs/>
      <w:i w:val="0"/>
      <w:sz w:val="22"/>
      <w:lang w:val="en-US"/>
    </w:rPr>
  </w:style>
  <w:style w:type="paragraph" w:customStyle="1" w:styleId="Inf4Heading6">
    <w:name w:val="Inf_4_Heading_6"/>
    <w:basedOn w:val="Normal"/>
    <w:rsid w:val="00421639"/>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421639"/>
    <w:pPr>
      <w:spacing w:before="240"/>
    </w:pPr>
    <w:rPr>
      <w:rFonts w:ascii="Times New Roman" w:hAnsi="Times New Roman"/>
      <w:b/>
      <w:bCs/>
      <w:i w:val="0"/>
      <w:sz w:val="24"/>
    </w:rPr>
  </w:style>
  <w:style w:type="paragraph" w:customStyle="1" w:styleId="ZchnZchn1">
    <w:name w:val="Zchn Zchn1"/>
    <w:basedOn w:val="Normal"/>
    <w:rsid w:val="00421639"/>
    <w:pPr>
      <w:spacing w:after="160" w:line="240" w:lineRule="exact"/>
      <w:jc w:val="left"/>
    </w:pPr>
    <w:rPr>
      <w:rFonts w:ascii="Verdana" w:eastAsia="PMingLiU" w:hAnsi="Verdana"/>
    </w:rPr>
  </w:style>
  <w:style w:type="paragraph" w:styleId="Subtitle">
    <w:name w:val="Subtitle"/>
    <w:basedOn w:val="Normal"/>
    <w:link w:val="SubtitleChar"/>
    <w:qFormat/>
    <w:rsid w:val="00421639"/>
    <w:pPr>
      <w:jc w:val="center"/>
    </w:pPr>
    <w:rPr>
      <w:rFonts w:ascii="Times New Roman" w:hAnsi="Times New Roman"/>
      <w:b/>
      <w:caps/>
      <w:color w:val="0000FF"/>
      <w:sz w:val="28"/>
    </w:rPr>
  </w:style>
  <w:style w:type="character" w:customStyle="1" w:styleId="SubtitleChar">
    <w:name w:val="Subtitle Char"/>
    <w:link w:val="Subtitle"/>
    <w:rsid w:val="00421639"/>
    <w:rPr>
      <w:b/>
      <w:caps/>
      <w:color w:val="0000FF"/>
      <w:sz w:val="28"/>
    </w:rPr>
  </w:style>
  <w:style w:type="character" w:customStyle="1" w:styleId="underline">
    <w:name w:val="underline"/>
    <w:rsid w:val="00421639"/>
    <w:rPr>
      <w:u w:val="single"/>
    </w:rPr>
  </w:style>
  <w:style w:type="paragraph" w:customStyle="1" w:styleId="zanxtext">
    <w:name w:val="zanxtext"/>
    <w:basedOn w:val="Normal"/>
    <w:rsid w:val="002418F6"/>
    <w:pPr>
      <w:spacing w:before="120"/>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4BA"/>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link w:val="Docoriginal"/>
    <w:rsid w:val="0033507D"/>
    <w:rPr>
      <w:rFonts w:ascii="Arial" w:hAnsi="Arial"/>
      <w:b/>
      <w:bCs/>
      <w:spacing w:val="10"/>
      <w:lang w:val="en-US" w:eastAsia="en-US" w:bidi="ar-SA"/>
    </w:rPr>
  </w:style>
  <w:style w:type="character" w:customStyle="1" w:styleId="StyleDocoriginalNotBoldChar">
    <w:name w:val="Style Doc_original + Not Bold 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rsid w:val="0033507D"/>
    <w:rPr>
      <w:rFonts w:ascii="Arial" w:hAnsi="Arial"/>
      <w:b/>
      <w:bCs/>
      <w:spacing w:val="10"/>
      <w:lang w:val="en-US" w:eastAsia="en-US" w:bidi="ar-SA"/>
    </w:rPr>
  </w:style>
  <w:style w:type="character" w:customStyle="1" w:styleId="StyleDoclangBold">
    <w:name w:val="Style Doc_lang + Bold"/>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link w:val="BalloonText"/>
    <w:rsid w:val="00560A6D"/>
    <w:rPr>
      <w:rFonts w:ascii="Tahoma" w:hAnsi="Tahoma" w:cs="Tahoma"/>
      <w:sz w:val="16"/>
      <w:szCs w:val="16"/>
    </w:rPr>
  </w:style>
  <w:style w:type="table" w:styleId="TableGrid">
    <w:name w:val="Table Grid"/>
    <w:basedOn w:val="TableNormal"/>
    <w:rsid w:val="00A44F6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4Normal">
    <w:name w:val="Inf_4_Normal"/>
    <w:basedOn w:val="Normal"/>
    <w:rsid w:val="00421639"/>
    <w:pPr>
      <w:spacing w:before="108"/>
    </w:pPr>
    <w:rPr>
      <w:rFonts w:ascii="Times New Roman" w:hAnsi="Times New Roman"/>
      <w:sz w:val="24"/>
    </w:rPr>
  </w:style>
  <w:style w:type="paragraph" w:customStyle="1" w:styleId="Inf4Heading4">
    <w:name w:val="Inf_4_Heading_4"/>
    <w:basedOn w:val="Heading4"/>
    <w:next w:val="Normal"/>
    <w:rsid w:val="00421639"/>
    <w:pPr>
      <w:spacing w:before="120"/>
      <w:ind w:left="0"/>
    </w:pPr>
    <w:rPr>
      <w:rFonts w:ascii="Times New Roman" w:hAnsi="Times New Roman"/>
      <w:b/>
      <w:bCs/>
      <w:i w:val="0"/>
      <w:sz w:val="22"/>
      <w:lang w:val="en-US"/>
    </w:rPr>
  </w:style>
  <w:style w:type="paragraph" w:customStyle="1" w:styleId="Inf4Heading6">
    <w:name w:val="Inf_4_Heading_6"/>
    <w:basedOn w:val="Normal"/>
    <w:rsid w:val="00421639"/>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421639"/>
    <w:pPr>
      <w:spacing w:before="240"/>
    </w:pPr>
    <w:rPr>
      <w:rFonts w:ascii="Times New Roman" w:hAnsi="Times New Roman"/>
      <w:b/>
      <w:bCs/>
      <w:i w:val="0"/>
      <w:sz w:val="24"/>
    </w:rPr>
  </w:style>
  <w:style w:type="paragraph" w:customStyle="1" w:styleId="ZchnZchn1">
    <w:name w:val="Zchn Zchn1"/>
    <w:basedOn w:val="Normal"/>
    <w:rsid w:val="00421639"/>
    <w:pPr>
      <w:spacing w:after="160" w:line="240" w:lineRule="exact"/>
      <w:jc w:val="left"/>
    </w:pPr>
    <w:rPr>
      <w:rFonts w:ascii="Verdana" w:eastAsia="PMingLiU" w:hAnsi="Verdana"/>
    </w:rPr>
  </w:style>
  <w:style w:type="paragraph" w:styleId="Subtitle">
    <w:name w:val="Subtitle"/>
    <w:basedOn w:val="Normal"/>
    <w:link w:val="SubtitleChar"/>
    <w:qFormat/>
    <w:rsid w:val="00421639"/>
    <w:pPr>
      <w:jc w:val="center"/>
    </w:pPr>
    <w:rPr>
      <w:rFonts w:ascii="Times New Roman" w:hAnsi="Times New Roman"/>
      <w:b/>
      <w:caps/>
      <w:color w:val="0000FF"/>
      <w:sz w:val="28"/>
    </w:rPr>
  </w:style>
  <w:style w:type="character" w:customStyle="1" w:styleId="SubtitleChar">
    <w:name w:val="Subtitle Char"/>
    <w:link w:val="Subtitle"/>
    <w:rsid w:val="00421639"/>
    <w:rPr>
      <w:b/>
      <w:caps/>
      <w:color w:val="0000FF"/>
      <w:sz w:val="28"/>
    </w:rPr>
  </w:style>
  <w:style w:type="character" w:customStyle="1" w:styleId="underline">
    <w:name w:val="underline"/>
    <w:rsid w:val="00421639"/>
    <w:rPr>
      <w:u w:val="single"/>
    </w:rPr>
  </w:style>
  <w:style w:type="paragraph" w:customStyle="1" w:styleId="zanxtext">
    <w:name w:val="zanxtext"/>
    <w:basedOn w:val="Normal"/>
    <w:rsid w:val="002418F6"/>
    <w:pPr>
      <w:spacing w:before="120"/>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7569">
      <w:bodyDiv w:val="1"/>
      <w:marLeft w:val="0"/>
      <w:marRight w:val="0"/>
      <w:marTop w:val="0"/>
      <w:marBottom w:val="0"/>
      <w:divBdr>
        <w:top w:val="none" w:sz="0" w:space="0" w:color="auto"/>
        <w:left w:val="none" w:sz="0" w:space="0" w:color="auto"/>
        <w:bottom w:val="none" w:sz="0" w:space="0" w:color="auto"/>
        <w:right w:val="none" w:sz="0" w:space="0" w:color="auto"/>
      </w:divBdr>
    </w:div>
    <w:div w:id="405610906">
      <w:bodyDiv w:val="1"/>
      <w:marLeft w:val="0"/>
      <w:marRight w:val="0"/>
      <w:marTop w:val="0"/>
      <w:marBottom w:val="0"/>
      <w:divBdr>
        <w:top w:val="none" w:sz="0" w:space="0" w:color="auto"/>
        <w:left w:val="none" w:sz="0" w:space="0" w:color="auto"/>
        <w:bottom w:val="none" w:sz="0" w:space="0" w:color="auto"/>
        <w:right w:val="none" w:sz="0" w:space="0" w:color="auto"/>
      </w:divBdr>
    </w:div>
    <w:div w:id="520434709">
      <w:bodyDiv w:val="1"/>
      <w:marLeft w:val="0"/>
      <w:marRight w:val="0"/>
      <w:marTop w:val="0"/>
      <w:marBottom w:val="0"/>
      <w:divBdr>
        <w:top w:val="none" w:sz="0" w:space="0" w:color="auto"/>
        <w:left w:val="none" w:sz="0" w:space="0" w:color="auto"/>
        <w:bottom w:val="none" w:sz="0" w:space="0" w:color="auto"/>
        <w:right w:val="none" w:sz="0" w:space="0" w:color="auto"/>
      </w:divBdr>
    </w:div>
    <w:div w:id="682972164">
      <w:bodyDiv w:val="1"/>
      <w:marLeft w:val="0"/>
      <w:marRight w:val="0"/>
      <w:marTop w:val="0"/>
      <w:marBottom w:val="0"/>
      <w:divBdr>
        <w:top w:val="none" w:sz="0" w:space="0" w:color="auto"/>
        <w:left w:val="none" w:sz="0" w:space="0" w:color="auto"/>
        <w:bottom w:val="none" w:sz="0" w:space="0" w:color="auto"/>
        <w:right w:val="none" w:sz="0" w:space="0" w:color="auto"/>
      </w:divBdr>
    </w:div>
    <w:div w:id="742070775">
      <w:bodyDiv w:val="1"/>
      <w:marLeft w:val="0"/>
      <w:marRight w:val="0"/>
      <w:marTop w:val="0"/>
      <w:marBottom w:val="0"/>
      <w:divBdr>
        <w:top w:val="none" w:sz="0" w:space="0" w:color="auto"/>
        <w:left w:val="none" w:sz="0" w:space="0" w:color="auto"/>
        <w:bottom w:val="none" w:sz="0" w:space="0" w:color="auto"/>
        <w:right w:val="none" w:sz="0" w:space="0" w:color="auto"/>
      </w:divBdr>
    </w:div>
    <w:div w:id="800264511">
      <w:bodyDiv w:val="1"/>
      <w:marLeft w:val="0"/>
      <w:marRight w:val="0"/>
      <w:marTop w:val="0"/>
      <w:marBottom w:val="0"/>
      <w:divBdr>
        <w:top w:val="none" w:sz="0" w:space="0" w:color="auto"/>
        <w:left w:val="none" w:sz="0" w:space="0" w:color="auto"/>
        <w:bottom w:val="none" w:sz="0" w:space="0" w:color="auto"/>
        <w:right w:val="none" w:sz="0" w:space="0" w:color="auto"/>
      </w:divBdr>
    </w:div>
    <w:div w:id="954948981">
      <w:bodyDiv w:val="1"/>
      <w:marLeft w:val="0"/>
      <w:marRight w:val="0"/>
      <w:marTop w:val="0"/>
      <w:marBottom w:val="0"/>
      <w:divBdr>
        <w:top w:val="none" w:sz="0" w:space="0" w:color="auto"/>
        <w:left w:val="none" w:sz="0" w:space="0" w:color="auto"/>
        <w:bottom w:val="none" w:sz="0" w:space="0" w:color="auto"/>
        <w:right w:val="none" w:sz="0" w:space="0" w:color="auto"/>
      </w:divBdr>
    </w:div>
    <w:div w:id="1134831097">
      <w:bodyDiv w:val="1"/>
      <w:marLeft w:val="0"/>
      <w:marRight w:val="0"/>
      <w:marTop w:val="0"/>
      <w:marBottom w:val="0"/>
      <w:divBdr>
        <w:top w:val="none" w:sz="0" w:space="0" w:color="auto"/>
        <w:left w:val="none" w:sz="0" w:space="0" w:color="auto"/>
        <w:bottom w:val="none" w:sz="0" w:space="0" w:color="auto"/>
        <w:right w:val="none" w:sz="0" w:space="0" w:color="auto"/>
      </w:divBdr>
    </w:div>
    <w:div w:id="1361079602">
      <w:bodyDiv w:val="1"/>
      <w:marLeft w:val="0"/>
      <w:marRight w:val="0"/>
      <w:marTop w:val="0"/>
      <w:marBottom w:val="0"/>
      <w:divBdr>
        <w:top w:val="none" w:sz="0" w:space="0" w:color="auto"/>
        <w:left w:val="none" w:sz="0" w:space="0" w:color="auto"/>
        <w:bottom w:val="none" w:sz="0" w:space="0" w:color="auto"/>
        <w:right w:val="none" w:sz="0" w:space="0" w:color="auto"/>
      </w:divBdr>
    </w:div>
    <w:div w:id="1380593716">
      <w:bodyDiv w:val="1"/>
      <w:marLeft w:val="0"/>
      <w:marRight w:val="0"/>
      <w:marTop w:val="0"/>
      <w:marBottom w:val="0"/>
      <w:divBdr>
        <w:top w:val="none" w:sz="0" w:space="0" w:color="auto"/>
        <w:left w:val="none" w:sz="0" w:space="0" w:color="auto"/>
        <w:bottom w:val="none" w:sz="0" w:space="0" w:color="auto"/>
        <w:right w:val="none" w:sz="0" w:space="0" w:color="auto"/>
      </w:divBdr>
    </w:div>
    <w:div w:id="1447702472">
      <w:bodyDiv w:val="1"/>
      <w:marLeft w:val="0"/>
      <w:marRight w:val="0"/>
      <w:marTop w:val="0"/>
      <w:marBottom w:val="0"/>
      <w:divBdr>
        <w:top w:val="none" w:sz="0" w:space="0" w:color="auto"/>
        <w:left w:val="none" w:sz="0" w:space="0" w:color="auto"/>
        <w:bottom w:val="none" w:sz="0" w:space="0" w:color="auto"/>
        <w:right w:val="none" w:sz="0" w:space="0" w:color="auto"/>
      </w:divBdr>
    </w:div>
    <w:div w:id="1789161914">
      <w:bodyDiv w:val="1"/>
      <w:marLeft w:val="0"/>
      <w:marRight w:val="0"/>
      <w:marTop w:val="0"/>
      <w:marBottom w:val="0"/>
      <w:divBdr>
        <w:top w:val="none" w:sz="0" w:space="0" w:color="auto"/>
        <w:left w:val="none" w:sz="0" w:space="0" w:color="auto"/>
        <w:bottom w:val="none" w:sz="0" w:space="0" w:color="auto"/>
        <w:right w:val="none" w:sz="0" w:space="0" w:color="auto"/>
      </w:divBdr>
    </w:div>
    <w:div w:id="1842163759">
      <w:bodyDiv w:val="1"/>
      <w:marLeft w:val="0"/>
      <w:marRight w:val="0"/>
      <w:marTop w:val="0"/>
      <w:marBottom w:val="0"/>
      <w:divBdr>
        <w:top w:val="none" w:sz="0" w:space="0" w:color="auto"/>
        <w:left w:val="none" w:sz="0" w:space="0" w:color="auto"/>
        <w:bottom w:val="none" w:sz="0" w:space="0" w:color="auto"/>
        <w:right w:val="none" w:sz="0" w:space="0" w:color="auto"/>
      </w:divBdr>
    </w:div>
    <w:div w:id="1995913811">
      <w:bodyDiv w:val="1"/>
      <w:marLeft w:val="0"/>
      <w:marRight w:val="0"/>
      <w:marTop w:val="0"/>
      <w:marBottom w:val="0"/>
      <w:divBdr>
        <w:top w:val="none" w:sz="0" w:space="0" w:color="auto"/>
        <w:left w:val="none" w:sz="0" w:space="0" w:color="auto"/>
        <w:bottom w:val="none" w:sz="0" w:space="0" w:color="auto"/>
        <w:right w:val="none" w:sz="0" w:space="0" w:color="auto"/>
      </w:divBdr>
    </w:div>
    <w:div w:id="2024822881">
      <w:bodyDiv w:val="1"/>
      <w:marLeft w:val="0"/>
      <w:marRight w:val="0"/>
      <w:marTop w:val="0"/>
      <w:marBottom w:val="0"/>
      <w:divBdr>
        <w:top w:val="none" w:sz="0" w:space="0" w:color="auto"/>
        <w:left w:val="none" w:sz="0" w:space="0" w:color="auto"/>
        <w:bottom w:val="none" w:sz="0" w:space="0" w:color="auto"/>
        <w:right w:val="none" w:sz="0" w:space="0" w:color="auto"/>
      </w:divBdr>
    </w:div>
    <w:div w:id="2133278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meetings/fr/details.jsp?meeting_id=26104" TargetMode="External"/><Relationship Id="rId18" Type="http://schemas.openxmlformats.org/officeDocument/2006/relationships/chart" Target="charts/chart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upov.int/meetings/fr/details.jsp?meeting_id=22163" TargetMode="External"/><Relationship Id="rId17" Type="http://schemas.openxmlformats.org/officeDocument/2006/relationships/image" Target="media/image4.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fr/details.jsp?meeting_id=24133"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about/fr/pdf/353_upov_report.pdf" TargetMode="External"/><Relationship Id="rId22" Type="http://schemas.openxmlformats.org/officeDocument/2006/relationships/footer" Target="footer1.xml"/><Relationship Id="rId27" Type="http://schemas.openxmlformats.org/officeDocument/2006/relationships/header" Target="header7.xml"/></Relationships>
</file>

<file path=word/charts/_rels/chart1.xml.rels><?xml version="1.0" encoding="UTF-8" standalone="yes"?>
<Relationships xmlns="http://schemas.openxmlformats.org/package/2006/relationships"><Relationship Id="rId2" Type="http://schemas.openxmlformats.org/officeDocument/2006/relationships/oleObject" Target="file:///\\wipogvafs01\redirected$\spring\Documents\OMPI\2013\Traductions\c_47_04_figures33324_EN.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wipogvafs01\redirected$\spring\Documents\OMPI\2013\Traductions\Budget%20Tables%20for%20201415_33324_EN.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0"/>
      <c:hPercent val="100"/>
      <c:rotY val="10"/>
      <c:depthPercent val="100"/>
      <c:rAngAx val="0"/>
      <c:perspective val="30"/>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470122133514657"/>
          <c:y val="0.18241758241758241"/>
          <c:w val="0.82391018142147543"/>
          <c:h val="0.68351648351648353"/>
        </c:manualLayout>
      </c:layout>
      <c:bar3DChart>
        <c:barDir val="col"/>
        <c:grouping val="standard"/>
        <c:varyColors val="0"/>
        <c:ser>
          <c:idx val="0"/>
          <c:order val="0"/>
          <c:tx>
            <c:v>Accords de coopération</c:v>
          </c:tx>
          <c:spPr>
            <a:solidFill>
              <a:srgbClr val="FFCC00"/>
            </a:solidFill>
            <a:ln w="12700">
              <a:solidFill>
                <a:srgbClr val="000000"/>
              </a:solidFill>
              <a:prstDash val="solid"/>
            </a:ln>
          </c:spPr>
          <c:invertIfNegative val="0"/>
          <c:dLbls>
            <c:dLbl>
              <c:idx val="0"/>
              <c:layout>
                <c:manualLayout>
                  <c:x val="2.3514562106044792E-3"/>
                  <c:y val="5.4083470335438838E-2"/>
                </c:manualLayout>
              </c:layout>
              <c:spPr>
                <a:noFill/>
                <a:ln w="25400">
                  <a:noFill/>
                </a:ln>
              </c:spPr>
              <c:txPr>
                <a:bodyPr/>
                <a:lstStyle/>
                <a:p>
                  <a:pPr>
                    <a:defRPr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layout>
                <c:manualLayout>
                  <c:x val="6.462035541195477E-3"/>
                  <c:y val="5.2747252747252747E-2"/>
                </c:manualLayout>
              </c:layout>
              <c:showLegendKey val="0"/>
              <c:showVal val="1"/>
              <c:showCatName val="0"/>
              <c:showSerName val="0"/>
              <c:showPercent val="0"/>
              <c:showBubbleSize val="0"/>
            </c:dLbl>
            <c:txPr>
              <a:bodyPr/>
              <a:lstStyle/>
              <a:p>
                <a:pPr>
                  <a:defRPr sz="800" b="1"/>
                </a:pPr>
                <a:endParaRPr lang="en-US"/>
              </a:p>
            </c:txPr>
            <c:showLegendKey val="0"/>
            <c:showVal val="1"/>
            <c:showCatName val="0"/>
            <c:showSerName val="0"/>
            <c:showPercent val="0"/>
            <c:showBubbleSize val="0"/>
            <c:showLeaderLines val="0"/>
          </c:dLbls>
          <c:cat>
            <c:numRef>
              <c:f>'Fig.4-Exp&amp;Cooperation'!$A$30:$A$37</c:f>
              <c:numCache>
                <c:formatCode>General</c:formatCode>
                <c:ptCount val="8"/>
                <c:pt idx="0">
                  <c:v>2005</c:v>
                </c:pt>
                <c:pt idx="1">
                  <c:v>2006</c:v>
                </c:pt>
                <c:pt idx="2">
                  <c:v>2007</c:v>
                </c:pt>
                <c:pt idx="3">
                  <c:v>2008</c:v>
                </c:pt>
                <c:pt idx="4">
                  <c:v>2009</c:v>
                </c:pt>
                <c:pt idx="5">
                  <c:v>2010</c:v>
                </c:pt>
                <c:pt idx="6">
                  <c:v>2011</c:v>
                </c:pt>
                <c:pt idx="7">
                  <c:v>2012</c:v>
                </c:pt>
              </c:numCache>
            </c:numRef>
          </c:cat>
          <c:val>
            <c:numRef>
              <c:f>'Fig.4-Exp&amp;Cooperation'!$E$30:$E$37</c:f>
              <c:numCache>
                <c:formatCode>General</c:formatCode>
                <c:ptCount val="8"/>
                <c:pt idx="0">
                  <c:v>640</c:v>
                </c:pt>
                <c:pt idx="1">
                  <c:v>570</c:v>
                </c:pt>
                <c:pt idx="2">
                  <c:v>1360</c:v>
                </c:pt>
                <c:pt idx="3">
                  <c:v>1360</c:v>
                </c:pt>
                <c:pt idx="4">
                  <c:v>1379</c:v>
                </c:pt>
                <c:pt idx="5">
                  <c:v>1417</c:v>
                </c:pt>
                <c:pt idx="6">
                  <c:v>1990</c:v>
                </c:pt>
                <c:pt idx="7">
                  <c:v>1991</c:v>
                </c:pt>
              </c:numCache>
            </c:numRef>
          </c:val>
        </c:ser>
        <c:ser>
          <c:idx val="1"/>
          <c:order val="1"/>
          <c:tx>
            <c:v>Expérience pratique</c:v>
          </c:tx>
          <c:spPr>
            <a:solidFill>
              <a:srgbClr val="99CC00"/>
            </a:solidFill>
            <a:ln w="12700">
              <a:solidFill>
                <a:srgbClr val="000000"/>
              </a:solidFill>
              <a:prstDash val="solid"/>
            </a:ln>
          </c:spPr>
          <c:invertIfNegative val="0"/>
          <c:dLbls>
            <c:dLbl>
              <c:idx val="0"/>
              <c:layout>
                <c:manualLayout>
                  <c:x val="2.2045916398601008E-3"/>
                  <c:y val="5.1338582677165318E-2"/>
                </c:manualLayout>
              </c:layout>
              <c:spPr>
                <a:noFill/>
                <a:ln w="25400">
                  <a:noFill/>
                </a:ln>
              </c:spPr>
              <c:txPr>
                <a:bodyPr/>
                <a:lstStyle/>
                <a:p>
                  <a:pPr>
                    <a:defRPr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layout>
                <c:manualLayout>
                  <c:x val="6.462035541195477E-3"/>
                  <c:y val="4.981684981684982E-2"/>
                </c:manualLayout>
              </c:layout>
              <c:showLegendKey val="0"/>
              <c:showVal val="1"/>
              <c:showCatName val="0"/>
              <c:showSerName val="0"/>
              <c:showPercent val="0"/>
              <c:showBubbleSize val="0"/>
            </c:dLbl>
            <c:txPr>
              <a:bodyPr/>
              <a:lstStyle/>
              <a:p>
                <a:pPr>
                  <a:defRPr sz="800" b="1"/>
                </a:pPr>
                <a:endParaRPr lang="en-US"/>
              </a:p>
            </c:txPr>
            <c:showLegendKey val="0"/>
            <c:showVal val="1"/>
            <c:showCatName val="0"/>
            <c:showSerName val="0"/>
            <c:showPercent val="0"/>
            <c:showBubbleSize val="0"/>
            <c:showLeaderLines val="0"/>
          </c:dLbls>
          <c:cat>
            <c:numRef>
              <c:f>'Fig.4-Exp&amp;Cooperation'!$A$30:$A$37</c:f>
              <c:numCache>
                <c:formatCode>General</c:formatCode>
                <c:ptCount val="8"/>
                <c:pt idx="0">
                  <c:v>2005</c:v>
                </c:pt>
                <c:pt idx="1">
                  <c:v>2006</c:v>
                </c:pt>
                <c:pt idx="2">
                  <c:v>2007</c:v>
                </c:pt>
                <c:pt idx="3">
                  <c:v>2008</c:v>
                </c:pt>
                <c:pt idx="4">
                  <c:v>2009</c:v>
                </c:pt>
                <c:pt idx="5">
                  <c:v>2010</c:v>
                </c:pt>
                <c:pt idx="6">
                  <c:v>2011</c:v>
                </c:pt>
                <c:pt idx="7">
                  <c:v>2012</c:v>
                </c:pt>
              </c:numCache>
            </c:numRef>
          </c:cat>
          <c:val>
            <c:numRef>
              <c:f>'Fig.4-Exp&amp;Cooperation'!$D$30:$D$37</c:f>
              <c:numCache>
                <c:formatCode>General</c:formatCode>
                <c:ptCount val="8"/>
                <c:pt idx="0">
                  <c:v>1750</c:v>
                </c:pt>
                <c:pt idx="1">
                  <c:v>1900</c:v>
                </c:pt>
                <c:pt idx="2">
                  <c:v>2000</c:v>
                </c:pt>
                <c:pt idx="3">
                  <c:v>2170</c:v>
                </c:pt>
                <c:pt idx="4">
                  <c:v>2209</c:v>
                </c:pt>
                <c:pt idx="5">
                  <c:v>2254</c:v>
                </c:pt>
                <c:pt idx="6">
                  <c:v>2679</c:v>
                </c:pt>
                <c:pt idx="7">
                  <c:v>2726</c:v>
                </c:pt>
              </c:numCache>
            </c:numRef>
          </c:val>
        </c:ser>
        <c:ser>
          <c:idx val="2"/>
          <c:order val="2"/>
          <c:tx>
            <c:v>Entrées de droits d'obtenteur dans la base de données sur les obtentions végétales</c:v>
          </c:tx>
          <c:spPr>
            <a:solidFill>
              <a:srgbClr val="FFFFCC"/>
            </a:solidFill>
            <a:ln w="12700">
              <a:solidFill>
                <a:srgbClr val="000000"/>
              </a:solidFill>
              <a:prstDash val="solid"/>
            </a:ln>
          </c:spPr>
          <c:invertIfNegative val="0"/>
          <c:dLbls>
            <c:dLbl>
              <c:idx val="0"/>
              <c:layout>
                <c:manualLayout>
                  <c:x val="1.5538265313902789E-3"/>
                  <c:y val="4.9303913933835222E-2"/>
                </c:manualLayout>
              </c:layout>
              <c:spPr>
                <a:noFill/>
                <a:ln w="25400">
                  <a:noFill/>
                </a:ln>
              </c:spPr>
              <c:txPr>
                <a:bodyPr/>
                <a:lstStyle/>
                <a:p>
                  <a:pPr>
                    <a:defRPr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layout>
                <c:manualLayout>
                  <c:x val="6.462035541195477E-3"/>
                  <c:y val="4.6886446886446886E-2"/>
                </c:manualLayout>
              </c:layout>
              <c:showLegendKey val="0"/>
              <c:showVal val="1"/>
              <c:showCatName val="0"/>
              <c:showSerName val="0"/>
              <c:showPercent val="0"/>
              <c:showBubbleSize val="0"/>
            </c:dLbl>
            <c:txPr>
              <a:bodyPr/>
              <a:lstStyle/>
              <a:p>
                <a:pPr>
                  <a:defRPr sz="800" b="1"/>
                </a:pPr>
                <a:endParaRPr lang="en-US"/>
              </a:p>
            </c:txPr>
            <c:showLegendKey val="0"/>
            <c:showVal val="1"/>
            <c:showCatName val="0"/>
            <c:showSerName val="0"/>
            <c:showPercent val="0"/>
            <c:showBubbleSize val="0"/>
            <c:showLeaderLines val="0"/>
          </c:dLbls>
          <c:cat>
            <c:numRef>
              <c:f>'Fig.4-Exp&amp;Cooperation'!$A$30:$A$37</c:f>
              <c:numCache>
                <c:formatCode>General</c:formatCode>
                <c:ptCount val="8"/>
                <c:pt idx="0">
                  <c:v>2005</c:v>
                </c:pt>
                <c:pt idx="1">
                  <c:v>2006</c:v>
                </c:pt>
                <c:pt idx="2">
                  <c:v>2007</c:v>
                </c:pt>
                <c:pt idx="3">
                  <c:v>2008</c:v>
                </c:pt>
                <c:pt idx="4">
                  <c:v>2009</c:v>
                </c:pt>
                <c:pt idx="5">
                  <c:v>2010</c:v>
                </c:pt>
                <c:pt idx="6">
                  <c:v>2011</c:v>
                </c:pt>
                <c:pt idx="7">
                  <c:v>2012</c:v>
                </c:pt>
              </c:numCache>
            </c:numRef>
          </c:cat>
          <c:val>
            <c:numRef>
              <c:f>'Fig.4-Exp&amp;Cooperation'!$C$30:$C$37</c:f>
              <c:numCache>
                <c:formatCode>General</c:formatCode>
                <c:ptCount val="8"/>
                <c:pt idx="0">
                  <c:v>2336</c:v>
                </c:pt>
                <c:pt idx="1">
                  <c:v>2429</c:v>
                </c:pt>
                <c:pt idx="2">
                  <c:v>2522</c:v>
                </c:pt>
                <c:pt idx="3">
                  <c:v>2654</c:v>
                </c:pt>
                <c:pt idx="4">
                  <c:v>2790</c:v>
                </c:pt>
                <c:pt idx="5">
                  <c:v>2940</c:v>
                </c:pt>
                <c:pt idx="6">
                  <c:v>3042</c:v>
                </c:pt>
                <c:pt idx="7">
                  <c:v>3144</c:v>
                </c:pt>
              </c:numCache>
            </c:numRef>
          </c:val>
        </c:ser>
        <c:dLbls>
          <c:showLegendKey val="0"/>
          <c:showVal val="0"/>
          <c:showCatName val="0"/>
          <c:showSerName val="0"/>
          <c:showPercent val="0"/>
          <c:showBubbleSize val="0"/>
        </c:dLbls>
        <c:gapWidth val="110"/>
        <c:shape val="box"/>
        <c:axId val="77495296"/>
        <c:axId val="78820480"/>
        <c:axId val="34550656"/>
      </c:bar3DChart>
      <c:catAx>
        <c:axId val="77495296"/>
        <c:scaling>
          <c:orientation val="minMax"/>
        </c:scaling>
        <c:delete val="0"/>
        <c:axPos val="b"/>
        <c:title>
          <c:tx>
            <c:rich>
              <a:bodyPr/>
              <a:lstStyle/>
              <a:p>
                <a:pPr>
                  <a:defRPr sz="900" b="1" i="0" u="none" strike="noStrike" baseline="0">
                    <a:solidFill>
                      <a:srgbClr val="000000"/>
                    </a:solidFill>
                    <a:latin typeface="Arial"/>
                    <a:ea typeface="Arial"/>
                    <a:cs typeface="Arial"/>
                  </a:defRPr>
                </a:pPr>
                <a:r>
                  <a:rPr lang="en-US"/>
                  <a:t>Année</a:t>
                </a:r>
              </a:p>
            </c:rich>
          </c:tx>
          <c:layout>
            <c:manualLayout>
              <c:xMode val="edge"/>
              <c:yMode val="edge"/>
              <c:x val="0.48788406821428543"/>
              <c:y val="0.91648351648351645"/>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78820480"/>
        <c:crosses val="autoZero"/>
        <c:auto val="1"/>
        <c:lblAlgn val="ctr"/>
        <c:lblOffset val="100"/>
        <c:tickLblSkip val="1"/>
        <c:tickMarkSkip val="1"/>
        <c:noMultiLvlLbl val="1"/>
      </c:catAx>
      <c:valAx>
        <c:axId val="78820480"/>
        <c:scaling>
          <c:orientation val="minMax"/>
        </c:scaling>
        <c:delete val="0"/>
        <c:axPos val="l"/>
        <c:majorGridlines>
          <c:spPr>
            <a:ln w="3175">
              <a:solidFill>
                <a:srgbClr val="000000"/>
              </a:solidFill>
              <a:prstDash val="solid"/>
            </a:ln>
          </c:spPr>
        </c:majorGridlines>
        <c:title>
          <c:tx>
            <c:rich>
              <a:bodyPr/>
              <a:lstStyle/>
              <a:p>
                <a:pPr>
                  <a:defRPr sz="900" b="1" i="0" u="none" strike="noStrike" baseline="0">
                    <a:solidFill>
                      <a:srgbClr val="000000"/>
                    </a:solidFill>
                    <a:latin typeface="Arial"/>
                    <a:ea typeface="Arial"/>
                    <a:cs typeface="Arial"/>
                  </a:defRPr>
                </a:pPr>
                <a:r>
                  <a:rPr lang="en-US"/>
                  <a:t>Nombre</a:t>
                </a:r>
                <a:r>
                  <a:rPr lang="en-US" baseline="0"/>
                  <a:t> de genres/espèces</a:t>
                </a:r>
                <a:endParaRPr lang="en-US"/>
              </a:p>
            </c:rich>
          </c:tx>
          <c:layout>
            <c:manualLayout>
              <c:xMode val="edge"/>
              <c:yMode val="edge"/>
              <c:x val="3.8772213247172858E-2"/>
              <c:y val="0.3362637362637362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77495296"/>
        <c:crosses val="autoZero"/>
        <c:crossBetween val="between"/>
      </c:valAx>
      <c:serAx>
        <c:axId val="34550656"/>
        <c:scaling>
          <c:orientation val="minMax"/>
        </c:scaling>
        <c:delete val="1"/>
        <c:axPos val="b"/>
        <c:majorTickMark val="out"/>
        <c:minorTickMark val="none"/>
        <c:tickLblPos val="nextTo"/>
        <c:crossAx val="78820480"/>
        <c:crosses val="autoZero"/>
      </c:serAx>
      <c:spPr>
        <a:noFill/>
        <a:ln w="25400">
          <a:noFill/>
        </a:ln>
      </c:spPr>
    </c:plotArea>
    <c:legend>
      <c:legendPos val="t"/>
      <c:layout>
        <c:manualLayout>
          <c:xMode val="edge"/>
          <c:yMode val="edge"/>
          <c:x val="0.47819108077592953"/>
          <c:y val="1.7615182717544923E-2"/>
          <c:w val="0.3925689687949383"/>
          <c:h val="0.16407263952212975"/>
        </c:manualLayout>
      </c:layout>
      <c:overlay val="0"/>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900" b="0" i="0" u="none" strike="noStrike" baseline="0">
          <a:solidFill>
            <a:srgbClr val="000000"/>
          </a:solidFill>
          <a:latin typeface="Arial"/>
          <a:ea typeface="Arial"/>
          <a:cs typeface="Arial"/>
        </a:defRPr>
      </a:pPr>
      <a:endParaRPr lang="en-US"/>
    </a:p>
  </c:txPr>
  <c:externalData r:id="rId2">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342653177742453"/>
          <c:y val="6.309529227921655E-2"/>
          <c:w val="0.87873900738933453"/>
          <c:h val="0.77813693808505147"/>
        </c:manualLayout>
      </c:layout>
      <c:barChart>
        <c:barDir val="col"/>
        <c:grouping val="clustered"/>
        <c:varyColors val="0"/>
        <c:ser>
          <c:idx val="1"/>
          <c:order val="0"/>
          <c:tx>
            <c:strRef>
              <c:f>'Chart on table 9 (2)'!$B$7</c:f>
              <c:strCache>
                <c:ptCount val="1"/>
                <c:pt idx="0">
                  <c:v>Recettes</c:v>
                </c:pt>
              </c:strCache>
            </c:strRef>
          </c:tx>
          <c:spPr>
            <a:gradFill rotWithShape="0">
              <a:gsLst>
                <a:gs pos="0">
                  <a:srgbClr val="339966"/>
                </a:gs>
                <a:gs pos="100000">
                  <a:srgbClr val="333333"/>
                </a:gs>
              </a:gsLst>
              <a:lin ang="0" scaled="1"/>
            </a:gradFill>
            <a:ln w="12700">
              <a:solidFill>
                <a:srgbClr val="000000"/>
              </a:solidFill>
              <a:prstDash val="solid"/>
            </a:ln>
          </c:spPr>
          <c:invertIfNegative val="0"/>
          <c:cat>
            <c:numRef>
              <c:f>'Chart on table 9 (2)'!$C$6:$N$6</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'Chart on table 9 (2)'!$C$7:$N$7</c:f>
              <c:numCache>
                <c:formatCode>#,##0</c:formatCode>
                <c:ptCount val="12"/>
                <c:pt idx="0" formatCode="0">
                  <c:v>3355</c:v>
                </c:pt>
                <c:pt idx="1">
                  <c:v>3406</c:v>
                </c:pt>
                <c:pt idx="2">
                  <c:v>3378</c:v>
                </c:pt>
                <c:pt idx="3">
                  <c:v>3393</c:v>
                </c:pt>
                <c:pt idx="4">
                  <c:v>3412</c:v>
                </c:pt>
                <c:pt idx="5">
                  <c:v>3489</c:v>
                </c:pt>
                <c:pt idx="6">
                  <c:v>3393.5</c:v>
                </c:pt>
                <c:pt idx="7">
                  <c:v>3404.2</c:v>
                </c:pt>
                <c:pt idx="8">
                  <c:v>3392</c:v>
                </c:pt>
                <c:pt idx="9">
                  <c:v>3402</c:v>
                </c:pt>
                <c:pt idx="10">
                  <c:v>3412.7280000000001</c:v>
                </c:pt>
                <c:pt idx="11">
                  <c:v>3423.4560000000001</c:v>
                </c:pt>
              </c:numCache>
            </c:numRef>
          </c:val>
        </c:ser>
        <c:ser>
          <c:idx val="0"/>
          <c:order val="1"/>
          <c:tx>
            <c:strRef>
              <c:f>'Chart on table 9 (2)'!$B$8</c:f>
              <c:strCache>
                <c:ptCount val="1"/>
                <c:pt idx="0">
                  <c:v>Dépenses</c:v>
                </c:pt>
              </c:strCache>
            </c:strRef>
          </c:tx>
          <c:spPr>
            <a:gradFill rotWithShape="0">
              <a:gsLst>
                <a:gs pos="0">
                  <a:srgbClr val="33CCCC"/>
                </a:gs>
                <a:gs pos="100000">
                  <a:srgbClr val="CCFFCC"/>
                </a:gs>
              </a:gsLst>
              <a:lin ang="0" scaled="1"/>
            </a:gradFill>
            <a:ln w="12700">
              <a:solidFill>
                <a:srgbClr val="000000"/>
              </a:solidFill>
              <a:prstDash val="solid"/>
            </a:ln>
          </c:spPr>
          <c:invertIfNegative val="0"/>
          <c:cat>
            <c:numRef>
              <c:f>'Chart on table 9 (2)'!$C$6:$N$6</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'Chart on table 9 (2)'!$C$8:$N$8</c:f>
              <c:numCache>
                <c:formatCode>#,##0</c:formatCode>
                <c:ptCount val="12"/>
                <c:pt idx="0">
                  <c:v>2930</c:v>
                </c:pt>
                <c:pt idx="1">
                  <c:v>3284</c:v>
                </c:pt>
                <c:pt idx="2">
                  <c:v>3034</c:v>
                </c:pt>
                <c:pt idx="3">
                  <c:v>3347</c:v>
                </c:pt>
                <c:pt idx="4">
                  <c:v>3501</c:v>
                </c:pt>
                <c:pt idx="5">
                  <c:v>2978</c:v>
                </c:pt>
                <c:pt idx="6">
                  <c:v>3393.5</c:v>
                </c:pt>
                <c:pt idx="7">
                  <c:v>3404.2</c:v>
                </c:pt>
                <c:pt idx="8">
                  <c:v>3392</c:v>
                </c:pt>
                <c:pt idx="9">
                  <c:v>3402</c:v>
                </c:pt>
                <c:pt idx="10">
                  <c:v>3412.7280000000001</c:v>
                </c:pt>
                <c:pt idx="11">
                  <c:v>3423.4560000000001</c:v>
                </c:pt>
              </c:numCache>
            </c:numRef>
          </c:val>
        </c:ser>
        <c:ser>
          <c:idx val="4"/>
          <c:order val="2"/>
          <c:tx>
            <c:strRef>
              <c:f>'Chart on table 9 (2)'!$B$9</c:f>
              <c:strCache>
                <c:ptCount val="1"/>
                <c:pt idx="0">
                  <c:v>Fonds de roulement</c:v>
                </c:pt>
              </c:strCache>
            </c:strRef>
          </c:tx>
          <c:spPr>
            <a:gradFill rotWithShape="0">
              <a:gsLst>
                <a:gs pos="0">
                  <a:srgbClr val="FF99CC"/>
                </a:gs>
                <a:gs pos="50000">
                  <a:srgbClr val="993366"/>
                </a:gs>
                <a:gs pos="100000">
                  <a:srgbClr val="FF99CC"/>
                </a:gs>
              </a:gsLst>
              <a:lin ang="0" scaled="1"/>
            </a:gradFill>
            <a:ln w="12700">
              <a:solidFill>
                <a:srgbClr val="000000"/>
              </a:solidFill>
              <a:prstDash val="solid"/>
            </a:ln>
          </c:spPr>
          <c:invertIfNegative val="0"/>
          <c:cat>
            <c:numRef>
              <c:f>'Chart on table 9 (2)'!$C$6:$N$6</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'Chart on table 9 (2)'!$C$9:$N$9</c:f>
              <c:numCache>
                <c:formatCode>#,##0</c:formatCode>
                <c:ptCount val="12"/>
                <c:pt idx="0" formatCode="General">
                  <c:v>#N/A</c:v>
                </c:pt>
                <c:pt idx="1">
                  <c:v>513</c:v>
                </c:pt>
                <c:pt idx="2" formatCode="General">
                  <c:v>#N/A</c:v>
                </c:pt>
                <c:pt idx="3">
                  <c:v>520.4</c:v>
                </c:pt>
                <c:pt idx="4" formatCode="General">
                  <c:v>#N/A</c:v>
                </c:pt>
                <c:pt idx="5">
                  <c:v>537</c:v>
                </c:pt>
                <c:pt idx="6" formatCode="General">
                  <c:v>#N/A</c:v>
                </c:pt>
                <c:pt idx="7">
                  <c:v>540</c:v>
                </c:pt>
                <c:pt idx="8" formatCode="General">
                  <c:v>#N/A</c:v>
                </c:pt>
                <c:pt idx="9">
                  <c:v>543</c:v>
                </c:pt>
                <c:pt idx="11" formatCode="0">
                  <c:v>547</c:v>
                </c:pt>
              </c:numCache>
            </c:numRef>
          </c:val>
        </c:ser>
        <c:dLbls>
          <c:showLegendKey val="0"/>
          <c:showVal val="0"/>
          <c:showCatName val="0"/>
          <c:showSerName val="0"/>
          <c:showPercent val="0"/>
          <c:showBubbleSize val="0"/>
        </c:dLbls>
        <c:gapWidth val="150"/>
        <c:axId val="121132928"/>
        <c:axId val="121143680"/>
      </c:barChart>
      <c:catAx>
        <c:axId val="121132928"/>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21143680"/>
        <c:crosses val="autoZero"/>
        <c:auto val="0"/>
        <c:lblAlgn val="ctr"/>
        <c:lblOffset val="100"/>
        <c:tickLblSkip val="1"/>
        <c:tickMarkSkip val="1"/>
        <c:noMultiLvlLbl val="0"/>
      </c:catAx>
      <c:valAx>
        <c:axId val="121143680"/>
        <c:scaling>
          <c:orientation val="minMax"/>
          <c:max val="3500"/>
        </c:scaling>
        <c:delete val="0"/>
        <c:axPos val="l"/>
        <c:title>
          <c:tx>
            <c:rich>
              <a:bodyPr/>
              <a:lstStyle/>
              <a:p>
                <a:pPr>
                  <a:defRPr sz="800" b="1" i="0" u="none" strike="noStrike" baseline="0">
                    <a:solidFill>
                      <a:srgbClr val="000000"/>
                    </a:solidFill>
                    <a:latin typeface="Arial"/>
                    <a:ea typeface="Arial"/>
                    <a:cs typeface="Arial"/>
                  </a:defRPr>
                </a:pPr>
                <a:r>
                  <a:rPr lang="en-US"/>
                  <a:t>En</a:t>
                </a:r>
                <a:r>
                  <a:rPr lang="en-US" baseline="0"/>
                  <a:t> milliers de francs suisses</a:t>
                </a:r>
                <a:endParaRPr lang="en-US"/>
              </a:p>
            </c:rich>
          </c:tx>
          <c:layout>
            <c:manualLayout>
              <c:xMode val="edge"/>
              <c:yMode val="edge"/>
              <c:x val="7.5115268097937548E-3"/>
              <c:y val="0.19946444555702214"/>
            </c:manualLayout>
          </c:layout>
          <c:overlay val="0"/>
          <c:spPr>
            <a:noFill/>
            <a:ln w="25400">
              <a:noFill/>
            </a:ln>
          </c:spPr>
        </c:title>
        <c:numFmt formatCode="0" sourceLinked="1"/>
        <c:majorTickMark val="cross"/>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21132928"/>
        <c:crosses val="autoZero"/>
        <c:crossBetween val="between"/>
        <c:majorUnit val="250"/>
      </c:valAx>
      <c:spPr>
        <a:noFill/>
        <a:ln w="12700">
          <a:solidFill>
            <a:srgbClr val="808080"/>
          </a:solidFill>
          <a:prstDash val="solid"/>
        </a:ln>
      </c:spPr>
    </c:plotArea>
    <c:legend>
      <c:legendPos val="b"/>
      <c:layout>
        <c:manualLayout>
          <c:xMode val="edge"/>
          <c:yMode val="edge"/>
          <c:x val="0.17834394904458598"/>
          <c:y val="0.93127962085308058"/>
          <c:w val="0.7184713375796179"/>
          <c:h val="5.2132701421800931E-2"/>
        </c:manualLayout>
      </c:layout>
      <c:overlay val="0"/>
      <c:spPr>
        <a:solidFill>
          <a:srgbClr val="FFFFFF"/>
        </a:solidFill>
        <a:ln w="3175">
          <a:solidFill>
            <a:srgbClr val="000000"/>
          </a:solidFill>
          <a:prstDash val="solid"/>
        </a:ln>
      </c:spPr>
      <c:txPr>
        <a:bodyPr/>
        <a:lstStyle/>
        <a:p>
          <a:pPr>
            <a:defRPr sz="800" b="1" i="0" u="none" strike="noStrike" baseline="0">
              <a:solidFill>
                <a:srgbClr val="000000"/>
              </a:solidFill>
              <a:latin typeface="Arial"/>
              <a:ea typeface="Arial"/>
              <a:cs typeface="Arial"/>
            </a:defRPr>
          </a:pPr>
          <a:endParaRPr lang="en-US"/>
        </a:p>
      </c:txPr>
    </c:legend>
    <c:plotVisOnly val="1"/>
    <c:dispBlanksAs val="gap"/>
    <c:showDLblsOverMax val="0"/>
  </c:chart>
  <c:spPr>
    <a:noFill/>
    <a:ln w="3175">
      <a:solidFill>
        <a:srgbClr val="000000"/>
      </a:solidFill>
      <a:prstDash val="solid"/>
    </a:ln>
  </c:spPr>
  <c:txPr>
    <a:bodyPr/>
    <a:lstStyle/>
    <a:p>
      <a:pPr>
        <a:defRPr sz="800" b="1" i="0" u="none" strike="noStrike" baseline="0">
          <a:solidFill>
            <a:srgbClr val="000000"/>
          </a:solidFill>
          <a:latin typeface="Arial"/>
          <a:ea typeface="Arial"/>
          <a:cs typeface="Arial"/>
        </a:defRPr>
      </a:pPr>
      <a:endParaRPr lang="en-US"/>
    </a:p>
  </c:txPr>
  <c:externalData r:id="rId2">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05FA6-BEDB-44A5-A5A9-8C22EA09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11375</Words>
  <Characters>64839</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UPOV</Company>
  <LinksUpToDate>false</LinksUpToDate>
  <CharactersWithSpaces>76062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SANCHEZ-VIZCAINO GOMEZ Rosa Maria</dc:creator>
  <cp:lastModifiedBy>SANCHEZ-VIZCAINO GOMEZ Rosa Maria</cp:lastModifiedBy>
  <cp:revision>2</cp:revision>
  <cp:lastPrinted>2013-11-01T08:44:00Z</cp:lastPrinted>
  <dcterms:created xsi:type="dcterms:W3CDTF">2013-11-01T16:52:00Z</dcterms:created>
  <dcterms:modified xsi:type="dcterms:W3CDTF">2013-11-01T16:52:00Z</dcterms:modified>
</cp:coreProperties>
</file>