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48528B" w:rsidTr="001E467E">
        <w:trPr>
          <w:trHeight w:val="1760"/>
        </w:trPr>
        <w:tc>
          <w:tcPr>
            <w:tcW w:w="4243" w:type="dxa"/>
          </w:tcPr>
          <w:p w:rsidR="000D7780" w:rsidRPr="0048528B" w:rsidRDefault="000D7780" w:rsidP="006655D3">
            <w:pPr>
              <w:rPr>
                <w:lang w:val="fr-FR"/>
              </w:rPr>
            </w:pPr>
            <w:bookmarkStart w:id="0" w:name="_GoBack"/>
            <w:bookmarkEnd w:id="0"/>
          </w:p>
        </w:tc>
        <w:tc>
          <w:tcPr>
            <w:tcW w:w="1646" w:type="dxa"/>
            <w:vAlign w:val="center"/>
          </w:tcPr>
          <w:p w:rsidR="000D7780" w:rsidRPr="0048528B" w:rsidRDefault="00395D64" w:rsidP="006655D3">
            <w:pPr>
              <w:pStyle w:val="LogoUPOV"/>
              <w:rPr>
                <w:lang w:val="fr-FR"/>
              </w:rPr>
            </w:pPr>
            <w:r>
              <w:rPr>
                <w:noProof/>
              </w:rPr>
              <w:drawing>
                <wp:inline distT="0" distB="0" distL="0" distR="0">
                  <wp:extent cx="981075" cy="483235"/>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483235"/>
                          </a:xfrm>
                          <a:prstGeom prst="rect">
                            <a:avLst/>
                          </a:prstGeom>
                          <a:noFill/>
                          <a:ln>
                            <a:noFill/>
                          </a:ln>
                        </pic:spPr>
                      </pic:pic>
                    </a:graphicData>
                  </a:graphic>
                </wp:inline>
              </w:drawing>
            </w:r>
          </w:p>
        </w:tc>
        <w:tc>
          <w:tcPr>
            <w:tcW w:w="4242" w:type="dxa"/>
            <w:vAlign w:val="center"/>
          </w:tcPr>
          <w:p w:rsidR="00204800" w:rsidRPr="0048528B" w:rsidRDefault="00E4187C" w:rsidP="006655D3">
            <w:pPr>
              <w:pStyle w:val="Lettrine"/>
              <w:rPr>
                <w:lang w:val="fr-FR"/>
              </w:rPr>
            </w:pPr>
            <w:r w:rsidRPr="0048528B">
              <w:rPr>
                <w:lang w:val="fr-FR"/>
              </w:rPr>
              <w:t>F</w:t>
            </w:r>
          </w:p>
          <w:p w:rsidR="00204800" w:rsidRPr="0048528B" w:rsidRDefault="00B003A3" w:rsidP="006655D3">
            <w:pPr>
              <w:pStyle w:val="Docoriginal"/>
              <w:rPr>
                <w:lang w:val="fr-FR"/>
              </w:rPr>
            </w:pPr>
            <w:r w:rsidRPr="0048528B">
              <w:rPr>
                <w:lang w:val="fr-FR"/>
              </w:rPr>
              <w:t>C/47/10</w:t>
            </w:r>
            <w:bookmarkStart w:id="1" w:name="Code"/>
            <w:bookmarkEnd w:id="1"/>
          </w:p>
          <w:p w:rsidR="00204800" w:rsidRPr="0048528B" w:rsidRDefault="0061555F" w:rsidP="006655D3">
            <w:pPr>
              <w:pStyle w:val="Docoriginal"/>
              <w:rPr>
                <w:b w:val="0"/>
                <w:spacing w:val="0"/>
                <w:lang w:val="fr-FR"/>
              </w:rPr>
            </w:pPr>
            <w:r w:rsidRPr="0048528B">
              <w:rPr>
                <w:rStyle w:val="StyleDoclangBold"/>
                <w:b/>
                <w:bCs/>
                <w:spacing w:val="0"/>
                <w:lang w:val="fr-FR"/>
              </w:rPr>
              <w:t>ORIGINAL</w:t>
            </w:r>
            <w:r w:rsidR="00E3136C" w:rsidRPr="0048528B">
              <w:rPr>
                <w:rStyle w:val="StyleDoclangBold"/>
                <w:b/>
                <w:bCs/>
                <w:spacing w:val="0"/>
                <w:lang w:val="fr-FR"/>
              </w:rPr>
              <w:t> </w:t>
            </w:r>
            <w:r w:rsidR="000D7780" w:rsidRPr="0048528B">
              <w:rPr>
                <w:rStyle w:val="StyleDoclangBold"/>
                <w:b/>
                <w:bCs/>
                <w:spacing w:val="0"/>
                <w:lang w:val="fr-FR"/>
              </w:rPr>
              <w:t>:</w:t>
            </w:r>
            <w:r w:rsidR="000D7780" w:rsidRPr="0048528B">
              <w:rPr>
                <w:lang w:val="fr-FR"/>
              </w:rPr>
              <w:t xml:space="preserve"> </w:t>
            </w:r>
            <w:bookmarkStart w:id="2" w:name="Original"/>
            <w:bookmarkEnd w:id="2"/>
            <w:r w:rsidR="001E5B04" w:rsidRPr="0048528B">
              <w:rPr>
                <w:b w:val="0"/>
                <w:spacing w:val="0"/>
                <w:lang w:val="fr-FR"/>
              </w:rPr>
              <w:t>anglais</w:t>
            </w:r>
          </w:p>
          <w:p w:rsidR="000D7780" w:rsidRPr="0048528B" w:rsidRDefault="000D7780" w:rsidP="001E5B04">
            <w:pPr>
              <w:pStyle w:val="Docoriginal"/>
              <w:rPr>
                <w:lang w:val="fr-FR"/>
              </w:rPr>
            </w:pPr>
            <w:r w:rsidRPr="0048528B">
              <w:rPr>
                <w:lang w:val="fr-FR"/>
              </w:rPr>
              <w:t>DATE</w:t>
            </w:r>
            <w:r w:rsidR="00E3136C" w:rsidRPr="0048528B">
              <w:rPr>
                <w:lang w:val="fr-FR"/>
              </w:rPr>
              <w:t> </w:t>
            </w:r>
            <w:r w:rsidRPr="0048528B">
              <w:rPr>
                <w:lang w:val="fr-FR"/>
              </w:rPr>
              <w:t>:</w:t>
            </w:r>
            <w:r w:rsidR="0061555F" w:rsidRPr="0048528B">
              <w:rPr>
                <w:lang w:val="fr-FR"/>
              </w:rPr>
              <w:t xml:space="preserve"> </w:t>
            </w:r>
            <w:bookmarkStart w:id="3" w:name="Date"/>
            <w:bookmarkEnd w:id="3"/>
            <w:r w:rsidR="00CE0C30" w:rsidRPr="0048528B">
              <w:rPr>
                <w:b w:val="0"/>
                <w:spacing w:val="0"/>
                <w:lang w:val="fr-FR"/>
              </w:rPr>
              <w:t>4 septembre 20</w:t>
            </w:r>
            <w:r w:rsidR="001131D5" w:rsidRPr="0048528B">
              <w:rPr>
                <w:b w:val="0"/>
                <w:spacing w:val="0"/>
                <w:lang w:val="fr-FR"/>
              </w:rPr>
              <w:t>1</w:t>
            </w:r>
            <w:r w:rsidR="00F56C99" w:rsidRPr="0048528B">
              <w:rPr>
                <w:b w:val="0"/>
                <w:spacing w:val="0"/>
                <w:lang w:val="fr-FR"/>
              </w:rPr>
              <w:t>3</w:t>
            </w:r>
          </w:p>
        </w:tc>
      </w:tr>
      <w:tr w:rsidR="00E4187C" w:rsidRPr="0048528B" w:rsidTr="000E5325">
        <w:tc>
          <w:tcPr>
            <w:tcW w:w="10131" w:type="dxa"/>
            <w:gridSpan w:val="3"/>
          </w:tcPr>
          <w:p w:rsidR="00E4187C" w:rsidRPr="0048528B" w:rsidRDefault="00E4187C" w:rsidP="000E5325">
            <w:pPr>
              <w:pStyle w:val="upove"/>
              <w:rPr>
                <w:sz w:val="28"/>
                <w:lang w:val="fr-FR"/>
              </w:rPr>
            </w:pPr>
            <w:r w:rsidRPr="0048528B">
              <w:rPr>
                <w:spacing w:val="6"/>
                <w:lang w:val="fr-FR"/>
              </w:rPr>
              <w:t>UNION INTERNATIONALE POUR LA PROTECTION DES OBTENTIONS VÉGÉTALES</w:t>
            </w:r>
          </w:p>
        </w:tc>
      </w:tr>
      <w:tr w:rsidR="00E4187C" w:rsidRPr="0048528B" w:rsidTr="000E5325">
        <w:tc>
          <w:tcPr>
            <w:tcW w:w="10131" w:type="dxa"/>
            <w:gridSpan w:val="3"/>
          </w:tcPr>
          <w:p w:rsidR="00E4187C" w:rsidRPr="0048528B" w:rsidRDefault="00E4187C" w:rsidP="000E5325">
            <w:pPr>
              <w:pStyle w:val="Country"/>
              <w:rPr>
                <w:lang w:val="fr-FR"/>
              </w:rPr>
            </w:pPr>
            <w:r w:rsidRPr="0048528B">
              <w:rPr>
                <w:lang w:val="fr-FR"/>
              </w:rPr>
              <w:t>Genève</w:t>
            </w:r>
          </w:p>
        </w:tc>
      </w:tr>
    </w:tbl>
    <w:p w:rsidR="00E4187C" w:rsidRPr="0048528B" w:rsidRDefault="00E4187C" w:rsidP="00E4187C">
      <w:pPr>
        <w:pStyle w:val="Sessiontc"/>
        <w:rPr>
          <w:lang w:val="fr-FR"/>
        </w:rPr>
      </w:pPr>
      <w:r w:rsidRPr="0048528B">
        <w:rPr>
          <w:lang w:val="fr-FR"/>
        </w:rPr>
        <w:t>COnseil</w:t>
      </w:r>
    </w:p>
    <w:p w:rsidR="00204800" w:rsidRPr="0048528B" w:rsidRDefault="00E4187C" w:rsidP="00E4187C">
      <w:pPr>
        <w:pStyle w:val="Sessiontcplacedate"/>
        <w:rPr>
          <w:lang w:val="fr-FR"/>
        </w:rPr>
      </w:pPr>
      <w:r w:rsidRPr="0048528B">
        <w:rPr>
          <w:lang w:val="fr-FR"/>
        </w:rPr>
        <w:t>Quarante</w:t>
      </w:r>
      <w:r w:rsidR="003F00B6" w:rsidRPr="0048528B">
        <w:rPr>
          <w:lang w:val="fr-FR"/>
        </w:rPr>
        <w:noBreakHyphen/>
      </w:r>
      <w:r w:rsidRPr="0048528B">
        <w:rPr>
          <w:lang w:val="fr-FR"/>
        </w:rPr>
        <w:t>septième session ordinaire</w:t>
      </w:r>
      <w:r w:rsidRPr="0048528B">
        <w:rPr>
          <w:lang w:val="fr-FR"/>
        </w:rPr>
        <w:br/>
        <w:t>Genève, 2</w:t>
      </w:r>
      <w:r w:rsidR="00CE0C30" w:rsidRPr="0048528B">
        <w:rPr>
          <w:lang w:val="fr-FR"/>
        </w:rPr>
        <w:t>4 octobre 20</w:t>
      </w:r>
      <w:r w:rsidRPr="0048528B">
        <w:rPr>
          <w:lang w:val="fr-FR"/>
        </w:rPr>
        <w:t>13</w:t>
      </w:r>
    </w:p>
    <w:p w:rsidR="00204800" w:rsidRPr="0048528B" w:rsidRDefault="005F4453" w:rsidP="006655D3">
      <w:pPr>
        <w:pStyle w:val="Titleofdoc0"/>
        <w:rPr>
          <w:lang w:val="fr-FR"/>
        </w:rPr>
      </w:pPr>
      <w:bookmarkStart w:id="4" w:name="TitleOfDoc"/>
      <w:bookmarkEnd w:id="4"/>
      <w:r w:rsidRPr="0048528B">
        <w:rPr>
          <w:lang w:val="fr-FR"/>
        </w:rPr>
        <w:t>RAPPORT SUR L</w:t>
      </w:r>
      <w:r w:rsidR="00F3296C" w:rsidRPr="0048528B">
        <w:rPr>
          <w:lang w:val="fr-FR"/>
        </w:rPr>
        <w:t>’</w:t>
      </w:r>
      <w:r w:rsidRPr="0048528B">
        <w:rPr>
          <w:lang w:val="fr-FR"/>
        </w:rPr>
        <w:t>État D</w:t>
      </w:r>
      <w:r w:rsidR="00F3296C" w:rsidRPr="0048528B">
        <w:rPr>
          <w:lang w:val="fr-FR"/>
        </w:rPr>
        <w:t>’</w:t>
      </w:r>
      <w:r w:rsidRPr="0048528B">
        <w:rPr>
          <w:lang w:val="fr-FR"/>
        </w:rPr>
        <w:t>AVANCEMENT DES TRAVAUX DU COMITé TECHNIQUE,</w:t>
      </w:r>
      <w:r w:rsidR="00B003A3" w:rsidRPr="0048528B">
        <w:rPr>
          <w:lang w:val="fr-FR"/>
        </w:rPr>
        <w:br/>
      </w:r>
      <w:r w:rsidRPr="0048528B">
        <w:rPr>
          <w:lang w:val="fr-FR"/>
        </w:rPr>
        <w:t>DES GROUPES DE TRAVAIL TECHNIQUES ET DU GROUPE DE TRAVAIL</w:t>
      </w:r>
      <w:r w:rsidR="006A03CA" w:rsidRPr="0048528B">
        <w:rPr>
          <w:lang w:val="fr-FR"/>
        </w:rPr>
        <w:br/>
      </w:r>
      <w:r w:rsidRPr="0048528B">
        <w:rPr>
          <w:lang w:val="fr-FR"/>
        </w:rPr>
        <w:t>SUR</w:t>
      </w:r>
      <w:r w:rsidR="006A03CA" w:rsidRPr="0048528B">
        <w:rPr>
          <w:lang w:val="fr-FR"/>
        </w:rPr>
        <w:t xml:space="preserve"> </w:t>
      </w:r>
      <w:r w:rsidRPr="0048528B">
        <w:rPr>
          <w:lang w:val="fr-FR"/>
        </w:rPr>
        <w:t>LES</w:t>
      </w:r>
      <w:r w:rsidR="00B003A3" w:rsidRPr="0048528B">
        <w:rPr>
          <w:lang w:val="fr-FR"/>
        </w:rPr>
        <w:t xml:space="preserve"> Techniques</w:t>
      </w:r>
      <w:r w:rsidRPr="0048528B">
        <w:rPr>
          <w:lang w:val="fr-FR"/>
        </w:rPr>
        <w:t xml:space="preserve"> BIOCHIMIQUES ET MOLéCULAIRES</w:t>
      </w:r>
      <w:r w:rsidR="006A03CA" w:rsidRPr="0048528B">
        <w:rPr>
          <w:lang w:val="fr-FR"/>
        </w:rPr>
        <w:t>,</w:t>
      </w:r>
      <w:r w:rsidR="006A03CA" w:rsidRPr="0048528B">
        <w:rPr>
          <w:lang w:val="fr-FR"/>
        </w:rPr>
        <w:br/>
      </w:r>
      <w:r w:rsidRPr="0048528B">
        <w:rPr>
          <w:lang w:val="fr-FR"/>
        </w:rPr>
        <w:t>NOTAMMENT LES PROFILS D</w:t>
      </w:r>
      <w:r w:rsidR="00F3296C" w:rsidRPr="0048528B">
        <w:rPr>
          <w:lang w:val="fr-FR"/>
        </w:rPr>
        <w:t>’</w:t>
      </w:r>
      <w:r w:rsidRPr="0048528B">
        <w:rPr>
          <w:lang w:val="fr-FR"/>
        </w:rPr>
        <w:t>ADN</w:t>
      </w:r>
    </w:p>
    <w:p w:rsidR="00204800" w:rsidRPr="0048528B" w:rsidRDefault="001E5B04" w:rsidP="006655D3">
      <w:pPr>
        <w:pStyle w:val="preparedby1"/>
        <w:rPr>
          <w:lang w:val="fr-FR"/>
        </w:rPr>
      </w:pPr>
      <w:bookmarkStart w:id="5" w:name="Prepared"/>
      <w:bookmarkEnd w:id="5"/>
      <w:r w:rsidRPr="0048528B">
        <w:rPr>
          <w:lang w:val="fr-FR"/>
        </w:rPr>
        <w:t>Document établi par le Bureau de l</w:t>
      </w:r>
      <w:r w:rsidR="00F3296C" w:rsidRPr="0048528B">
        <w:rPr>
          <w:lang w:val="fr-FR"/>
        </w:rPr>
        <w:t>’</w:t>
      </w:r>
      <w:r w:rsidRPr="0048528B">
        <w:rPr>
          <w:lang w:val="fr-FR"/>
        </w:rPr>
        <w:t>Union</w:t>
      </w:r>
      <w:r w:rsidR="00560A6D" w:rsidRPr="0048528B">
        <w:rPr>
          <w:lang w:val="fr-FR"/>
        </w:rPr>
        <w:br/>
      </w:r>
      <w:r w:rsidR="00560A6D" w:rsidRPr="0048528B">
        <w:rPr>
          <w:lang w:val="fr-FR"/>
        </w:rPr>
        <w:br/>
      </w:r>
      <w:r w:rsidRPr="0048528B">
        <w:rPr>
          <w:color w:val="A6A6A6"/>
          <w:lang w:val="fr-FR"/>
        </w:rPr>
        <w:t>Avertissement : le présent document ne représente pas les principes ou les orientations de l</w:t>
      </w:r>
      <w:r w:rsidR="00F3296C" w:rsidRPr="0048528B">
        <w:rPr>
          <w:color w:val="A6A6A6"/>
          <w:lang w:val="fr-FR"/>
        </w:rPr>
        <w:t>’</w:t>
      </w:r>
      <w:r w:rsidRPr="0048528B">
        <w:rPr>
          <w:color w:val="A6A6A6"/>
          <w:lang w:val="fr-FR"/>
        </w:rPr>
        <w:t>UPOV</w:t>
      </w:r>
    </w:p>
    <w:p w:rsidR="00204800" w:rsidRPr="0048528B" w:rsidRDefault="002B6DFD" w:rsidP="00A37DBC">
      <w:pPr>
        <w:rPr>
          <w:szCs w:val="24"/>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A37DBC" w:rsidRPr="0048528B">
        <w:rPr>
          <w:szCs w:val="24"/>
          <w:lang w:val="fr-FR"/>
        </w:rPr>
        <w:t>Le présent document indique l</w:t>
      </w:r>
      <w:r w:rsidR="00F3296C" w:rsidRPr="0048528B">
        <w:rPr>
          <w:szCs w:val="24"/>
          <w:lang w:val="fr-FR"/>
        </w:rPr>
        <w:t>’</w:t>
      </w:r>
      <w:r w:rsidR="00A37DBC" w:rsidRPr="0048528B">
        <w:rPr>
          <w:szCs w:val="24"/>
          <w:lang w:val="fr-FR"/>
        </w:rPr>
        <w:t>état d</w:t>
      </w:r>
      <w:r w:rsidR="00F3296C" w:rsidRPr="0048528B">
        <w:rPr>
          <w:szCs w:val="24"/>
          <w:lang w:val="fr-FR"/>
        </w:rPr>
        <w:t>’</w:t>
      </w:r>
      <w:r w:rsidR="00A37DBC" w:rsidRPr="0048528B">
        <w:rPr>
          <w:szCs w:val="24"/>
          <w:lang w:val="fr-FR"/>
        </w:rPr>
        <w:t>avancement des travaux du Comité technique (TC) et de ses</w:t>
      </w:r>
      <w:r w:rsidR="00E4187C" w:rsidRPr="0048528B">
        <w:rPr>
          <w:szCs w:val="24"/>
          <w:lang w:val="fr-FR"/>
        </w:rPr>
        <w:t> </w:t>
      </w:r>
      <w:r w:rsidR="00A37DBC" w:rsidRPr="0048528B">
        <w:rPr>
          <w:szCs w:val="24"/>
          <w:lang w:val="fr-FR"/>
        </w:rPr>
        <w:t>groupes</w:t>
      </w:r>
      <w:r w:rsidR="001E5EC4" w:rsidRPr="0048528B">
        <w:rPr>
          <w:szCs w:val="24"/>
          <w:lang w:val="fr-FR"/>
        </w:rPr>
        <w:t xml:space="preserve"> de travail techniques (TWP), y </w:t>
      </w:r>
      <w:r w:rsidR="00A37DBC" w:rsidRPr="0048528B">
        <w:rPr>
          <w:szCs w:val="24"/>
          <w:lang w:val="fr-FR"/>
        </w:rPr>
        <w:t>compris le Groupe de travail sur les techniques biochimiques et moléculaires, notamment les profils d</w:t>
      </w:r>
      <w:r w:rsidR="00F3296C" w:rsidRPr="0048528B">
        <w:rPr>
          <w:szCs w:val="24"/>
          <w:lang w:val="fr-FR"/>
        </w:rPr>
        <w:t>’</w:t>
      </w:r>
      <w:r w:rsidR="00A37DBC" w:rsidRPr="0048528B">
        <w:rPr>
          <w:szCs w:val="24"/>
          <w:lang w:val="fr-FR"/>
        </w:rPr>
        <w:t>ADN (BMT).</w:t>
      </w:r>
    </w:p>
    <w:p w:rsidR="00204800" w:rsidRPr="0048528B" w:rsidRDefault="00204800" w:rsidP="002B6DFD">
      <w:pPr>
        <w:rPr>
          <w:szCs w:val="24"/>
          <w:lang w:val="fr-FR"/>
        </w:rPr>
      </w:pPr>
    </w:p>
    <w:p w:rsidR="00204800" w:rsidRPr="0048528B" w:rsidRDefault="002B6DFD" w:rsidP="00A37DBC">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A37DBC" w:rsidRPr="0048528B">
        <w:rPr>
          <w:lang w:val="fr-FR"/>
        </w:rPr>
        <w:t>Les abréviations ci</w:t>
      </w:r>
      <w:r w:rsidR="003F00B6" w:rsidRPr="0048528B">
        <w:rPr>
          <w:lang w:val="fr-FR"/>
        </w:rPr>
        <w:noBreakHyphen/>
      </w:r>
      <w:r w:rsidR="00A37DBC" w:rsidRPr="0048528B">
        <w:rPr>
          <w:lang w:val="fr-FR"/>
        </w:rPr>
        <w:t>après sont utilisées dans le présent document :</w:t>
      </w:r>
    </w:p>
    <w:p w:rsidR="00204800" w:rsidRPr="0048528B" w:rsidRDefault="00204800" w:rsidP="002B6DFD">
      <w:pPr>
        <w:rPr>
          <w:lang w:val="fr-FR"/>
        </w:rPr>
      </w:pPr>
    </w:p>
    <w:p w:rsidR="00CE0C30" w:rsidRPr="0048528B" w:rsidRDefault="001E5EC4" w:rsidP="001E5EC4">
      <w:pPr>
        <w:tabs>
          <w:tab w:val="left" w:pos="1701"/>
        </w:tabs>
        <w:ind w:left="1701" w:right="-1" w:hanging="1134"/>
        <w:jc w:val="left"/>
        <w:rPr>
          <w:lang w:val="fr-FR"/>
        </w:rPr>
      </w:pPr>
      <w:r w:rsidRPr="0048528B">
        <w:rPr>
          <w:lang w:val="fr-FR"/>
        </w:rPr>
        <w:t>CAJ :</w:t>
      </w:r>
      <w:r w:rsidR="00E3136C" w:rsidRPr="0048528B">
        <w:rPr>
          <w:lang w:val="fr-FR"/>
        </w:rPr>
        <w:t xml:space="preserve"> </w:t>
      </w:r>
      <w:r w:rsidRPr="0048528B">
        <w:rPr>
          <w:lang w:val="fr-FR"/>
        </w:rPr>
        <w:tab/>
      </w:r>
      <w:r w:rsidR="00A37DBC" w:rsidRPr="0048528B">
        <w:rPr>
          <w:lang w:val="fr-FR"/>
        </w:rPr>
        <w:t>Comité administratif et juridique</w:t>
      </w:r>
    </w:p>
    <w:p w:rsidR="00204800" w:rsidRPr="0048528B" w:rsidRDefault="00A37DBC" w:rsidP="001E5EC4">
      <w:pPr>
        <w:tabs>
          <w:tab w:val="left" w:pos="1701"/>
        </w:tabs>
        <w:ind w:left="1701" w:right="-1" w:hanging="1134"/>
        <w:jc w:val="left"/>
        <w:rPr>
          <w:lang w:val="fr-FR"/>
        </w:rPr>
      </w:pPr>
      <w:r w:rsidRPr="0048528B">
        <w:rPr>
          <w:lang w:val="fr-FR"/>
        </w:rPr>
        <w:t xml:space="preserve">TC : </w:t>
      </w:r>
      <w:r w:rsidR="001E5EC4" w:rsidRPr="0048528B">
        <w:rPr>
          <w:lang w:val="fr-FR"/>
        </w:rPr>
        <w:tab/>
      </w:r>
      <w:r w:rsidRPr="0048528B">
        <w:rPr>
          <w:lang w:val="fr-FR"/>
        </w:rPr>
        <w:t>Comité technique</w:t>
      </w:r>
    </w:p>
    <w:p w:rsidR="00204800" w:rsidRPr="0048528B" w:rsidRDefault="00A37DBC" w:rsidP="001E5EC4">
      <w:pPr>
        <w:tabs>
          <w:tab w:val="left" w:pos="1701"/>
        </w:tabs>
        <w:ind w:left="1701" w:right="-1" w:hanging="1134"/>
        <w:jc w:val="left"/>
        <w:rPr>
          <w:lang w:val="fr-FR"/>
        </w:rPr>
      </w:pPr>
      <w:r w:rsidRPr="0048528B">
        <w:rPr>
          <w:lang w:val="fr-FR"/>
        </w:rPr>
        <w:t>TC</w:t>
      </w:r>
      <w:r w:rsidR="003F00B6" w:rsidRPr="0048528B">
        <w:rPr>
          <w:lang w:val="fr-FR"/>
        </w:rPr>
        <w:noBreakHyphen/>
      </w:r>
      <w:r w:rsidRPr="0048528B">
        <w:rPr>
          <w:lang w:val="fr-FR"/>
        </w:rPr>
        <w:t>EDC :</w:t>
      </w:r>
      <w:r w:rsidR="00E3136C" w:rsidRPr="0048528B">
        <w:rPr>
          <w:lang w:val="fr-FR"/>
        </w:rPr>
        <w:t xml:space="preserve"> </w:t>
      </w:r>
      <w:r w:rsidR="001E5EC4" w:rsidRPr="0048528B">
        <w:rPr>
          <w:lang w:val="fr-FR"/>
        </w:rPr>
        <w:tab/>
      </w:r>
      <w:r w:rsidRPr="0048528B">
        <w:rPr>
          <w:lang w:val="fr-FR"/>
        </w:rPr>
        <w:t>Comité de rédaction élargi du Comité technique</w:t>
      </w:r>
    </w:p>
    <w:p w:rsidR="00204800" w:rsidRPr="0048528B" w:rsidRDefault="00A37DBC" w:rsidP="001E5EC4">
      <w:pPr>
        <w:tabs>
          <w:tab w:val="left" w:pos="1701"/>
        </w:tabs>
        <w:ind w:left="1701" w:right="-1" w:hanging="1134"/>
        <w:jc w:val="left"/>
        <w:rPr>
          <w:lang w:val="fr-FR"/>
        </w:rPr>
      </w:pPr>
      <w:r w:rsidRPr="0048528B">
        <w:rPr>
          <w:lang w:val="fr-FR"/>
        </w:rPr>
        <w:t>TWP</w:t>
      </w:r>
      <w:r w:rsidR="00E3136C" w:rsidRPr="0048528B">
        <w:rPr>
          <w:lang w:val="fr-FR"/>
        </w:rPr>
        <w:t xml:space="preserve"> : </w:t>
      </w:r>
      <w:r w:rsidR="001E5EC4" w:rsidRPr="0048528B">
        <w:rPr>
          <w:lang w:val="fr-FR"/>
        </w:rPr>
        <w:tab/>
      </w:r>
      <w:r w:rsidRPr="0048528B">
        <w:rPr>
          <w:lang w:val="fr-FR"/>
        </w:rPr>
        <w:t>Groupes de travail techniques</w:t>
      </w:r>
    </w:p>
    <w:p w:rsidR="00204800" w:rsidRPr="0048528B" w:rsidRDefault="001E5EC4" w:rsidP="001E5EC4">
      <w:pPr>
        <w:tabs>
          <w:tab w:val="left" w:pos="1701"/>
        </w:tabs>
        <w:ind w:left="1701" w:right="-1" w:hanging="1134"/>
        <w:jc w:val="left"/>
        <w:rPr>
          <w:lang w:val="fr-FR"/>
        </w:rPr>
      </w:pPr>
      <w:r w:rsidRPr="0048528B">
        <w:rPr>
          <w:lang w:val="fr-FR"/>
        </w:rPr>
        <w:t>TWA :</w:t>
      </w:r>
      <w:r w:rsidR="00E3136C" w:rsidRPr="0048528B">
        <w:rPr>
          <w:lang w:val="fr-FR"/>
        </w:rPr>
        <w:t xml:space="preserve"> </w:t>
      </w:r>
      <w:r w:rsidRPr="0048528B">
        <w:rPr>
          <w:lang w:val="fr-FR"/>
        </w:rPr>
        <w:tab/>
      </w:r>
      <w:r w:rsidR="00A37DBC" w:rsidRPr="0048528B">
        <w:rPr>
          <w:lang w:val="fr-FR"/>
        </w:rPr>
        <w:t>Groupe de travail technique sur les plantes agricoles</w:t>
      </w:r>
    </w:p>
    <w:p w:rsidR="00204800" w:rsidRPr="0048528B" w:rsidRDefault="001E5EC4" w:rsidP="001E5EC4">
      <w:pPr>
        <w:tabs>
          <w:tab w:val="left" w:pos="1701"/>
        </w:tabs>
        <w:ind w:left="1701" w:right="-1" w:hanging="1134"/>
        <w:jc w:val="left"/>
        <w:rPr>
          <w:lang w:val="fr-FR"/>
        </w:rPr>
      </w:pPr>
      <w:r w:rsidRPr="0048528B">
        <w:rPr>
          <w:lang w:val="fr-FR"/>
        </w:rPr>
        <w:t>TWC :</w:t>
      </w:r>
      <w:r w:rsidR="00E3136C" w:rsidRPr="0048528B">
        <w:rPr>
          <w:lang w:val="fr-FR"/>
        </w:rPr>
        <w:t xml:space="preserve"> </w:t>
      </w:r>
      <w:r w:rsidRPr="0048528B">
        <w:rPr>
          <w:lang w:val="fr-FR"/>
        </w:rPr>
        <w:tab/>
      </w:r>
      <w:r w:rsidR="00A37DBC" w:rsidRPr="0048528B">
        <w:rPr>
          <w:lang w:val="fr-FR"/>
        </w:rPr>
        <w:t>Groupe de travail technique sur les systèmes d</w:t>
      </w:r>
      <w:r w:rsidR="00F3296C" w:rsidRPr="0048528B">
        <w:rPr>
          <w:lang w:val="fr-FR"/>
        </w:rPr>
        <w:t>’</w:t>
      </w:r>
      <w:r w:rsidR="00A37DBC" w:rsidRPr="0048528B">
        <w:rPr>
          <w:lang w:val="fr-FR"/>
        </w:rPr>
        <w:t>automatisation et</w:t>
      </w:r>
      <w:r w:rsidRPr="0048528B">
        <w:rPr>
          <w:lang w:val="fr-FR"/>
        </w:rPr>
        <w:br/>
      </w:r>
      <w:r w:rsidR="00A37DBC" w:rsidRPr="0048528B">
        <w:rPr>
          <w:lang w:val="fr-FR"/>
        </w:rPr>
        <w:t>les programmes d</w:t>
      </w:r>
      <w:r w:rsidR="00F3296C" w:rsidRPr="0048528B">
        <w:rPr>
          <w:lang w:val="fr-FR"/>
        </w:rPr>
        <w:t>’</w:t>
      </w:r>
      <w:r w:rsidR="00A37DBC" w:rsidRPr="0048528B">
        <w:rPr>
          <w:lang w:val="fr-FR"/>
        </w:rPr>
        <w:t>ordinateurs</w:t>
      </w:r>
    </w:p>
    <w:p w:rsidR="00204800" w:rsidRPr="0048528B" w:rsidRDefault="00A37DBC" w:rsidP="001E5EC4">
      <w:pPr>
        <w:tabs>
          <w:tab w:val="left" w:pos="1701"/>
        </w:tabs>
        <w:ind w:left="1701" w:right="-1" w:hanging="1134"/>
        <w:jc w:val="left"/>
        <w:rPr>
          <w:lang w:val="fr-FR"/>
        </w:rPr>
      </w:pPr>
      <w:r w:rsidRPr="0048528B">
        <w:rPr>
          <w:lang w:val="fr-FR"/>
        </w:rPr>
        <w:t xml:space="preserve">TWF : </w:t>
      </w:r>
      <w:r w:rsidR="001E5EC4" w:rsidRPr="0048528B">
        <w:rPr>
          <w:lang w:val="fr-FR"/>
        </w:rPr>
        <w:tab/>
      </w:r>
      <w:r w:rsidRPr="0048528B">
        <w:rPr>
          <w:lang w:val="fr-FR"/>
        </w:rPr>
        <w:t>Groupe de travail technique sur les plantes fruitières</w:t>
      </w:r>
    </w:p>
    <w:p w:rsidR="00204800" w:rsidRPr="0048528B" w:rsidRDefault="00A37DBC" w:rsidP="001E5EC4">
      <w:pPr>
        <w:tabs>
          <w:tab w:val="left" w:pos="1701"/>
        </w:tabs>
        <w:ind w:left="1701" w:right="-1" w:hanging="1134"/>
        <w:jc w:val="left"/>
        <w:rPr>
          <w:lang w:val="fr-FR"/>
        </w:rPr>
      </w:pPr>
      <w:r w:rsidRPr="0048528B">
        <w:rPr>
          <w:lang w:val="fr-FR"/>
        </w:rPr>
        <w:t xml:space="preserve">TWO : </w:t>
      </w:r>
      <w:r w:rsidR="001E5EC4" w:rsidRPr="0048528B">
        <w:rPr>
          <w:lang w:val="fr-FR"/>
        </w:rPr>
        <w:tab/>
      </w:r>
      <w:r w:rsidRPr="0048528B">
        <w:rPr>
          <w:lang w:val="fr-FR"/>
        </w:rPr>
        <w:t>Groupe de travail technique sur les plantes ornementales et les arbres forestiers</w:t>
      </w:r>
    </w:p>
    <w:p w:rsidR="00204800" w:rsidRPr="0048528B" w:rsidRDefault="00A37DBC" w:rsidP="001E5EC4">
      <w:pPr>
        <w:tabs>
          <w:tab w:val="left" w:pos="1701"/>
        </w:tabs>
        <w:ind w:left="1701" w:right="-1" w:hanging="1134"/>
        <w:jc w:val="left"/>
        <w:rPr>
          <w:lang w:val="fr-FR"/>
        </w:rPr>
      </w:pPr>
      <w:r w:rsidRPr="0048528B">
        <w:rPr>
          <w:lang w:val="fr-FR"/>
        </w:rPr>
        <w:t xml:space="preserve">TWV : </w:t>
      </w:r>
      <w:r w:rsidR="001E5EC4" w:rsidRPr="0048528B">
        <w:rPr>
          <w:lang w:val="fr-FR"/>
        </w:rPr>
        <w:tab/>
      </w:r>
      <w:r w:rsidRPr="0048528B">
        <w:rPr>
          <w:lang w:val="fr-FR"/>
        </w:rPr>
        <w:t>Groupe de travail technique sur les plantes potagères</w:t>
      </w:r>
    </w:p>
    <w:p w:rsidR="00204800" w:rsidRPr="0048528B" w:rsidRDefault="00A37DBC" w:rsidP="001E5EC4">
      <w:pPr>
        <w:tabs>
          <w:tab w:val="left" w:pos="1701"/>
        </w:tabs>
        <w:ind w:left="1701" w:right="-1" w:hanging="1134"/>
        <w:jc w:val="left"/>
        <w:rPr>
          <w:lang w:val="fr-FR"/>
        </w:rPr>
      </w:pPr>
      <w:r w:rsidRPr="0048528B">
        <w:rPr>
          <w:lang w:val="fr-FR"/>
        </w:rPr>
        <w:t>BMT</w:t>
      </w:r>
      <w:r w:rsidR="00E3136C" w:rsidRPr="0048528B">
        <w:rPr>
          <w:lang w:val="fr-FR"/>
        </w:rPr>
        <w:t> </w:t>
      </w:r>
      <w:r w:rsidRPr="0048528B">
        <w:rPr>
          <w:lang w:val="fr-FR"/>
        </w:rPr>
        <w:t xml:space="preserve">: </w:t>
      </w:r>
      <w:r w:rsidR="001E5EC4" w:rsidRPr="0048528B">
        <w:rPr>
          <w:lang w:val="fr-FR"/>
        </w:rPr>
        <w:tab/>
      </w:r>
      <w:r w:rsidRPr="0048528B">
        <w:rPr>
          <w:lang w:val="fr-FR"/>
        </w:rPr>
        <w:t>Groupe de travail sur les techniques biochimiques et moléculaires, notamment</w:t>
      </w:r>
      <w:r w:rsidR="001E5EC4" w:rsidRPr="0048528B">
        <w:rPr>
          <w:lang w:val="fr-FR"/>
        </w:rPr>
        <w:br/>
      </w:r>
      <w:r w:rsidRPr="0048528B">
        <w:rPr>
          <w:lang w:val="fr-FR"/>
        </w:rPr>
        <w:t>les profils d</w:t>
      </w:r>
      <w:r w:rsidR="00F3296C" w:rsidRPr="0048528B">
        <w:rPr>
          <w:lang w:val="fr-FR"/>
        </w:rPr>
        <w:t>’</w:t>
      </w:r>
      <w:r w:rsidRPr="0048528B">
        <w:rPr>
          <w:lang w:val="fr-FR"/>
        </w:rPr>
        <w:t>ADN</w:t>
      </w:r>
    </w:p>
    <w:p w:rsidR="00204800" w:rsidRPr="0048528B" w:rsidRDefault="00A37DBC" w:rsidP="001E5EC4">
      <w:pPr>
        <w:tabs>
          <w:tab w:val="left" w:pos="1701"/>
        </w:tabs>
        <w:ind w:left="1701" w:right="-1" w:hanging="1134"/>
        <w:jc w:val="left"/>
        <w:rPr>
          <w:lang w:val="fr-FR"/>
        </w:rPr>
      </w:pPr>
      <w:r w:rsidRPr="0048528B">
        <w:rPr>
          <w:lang w:val="fr-FR"/>
        </w:rPr>
        <w:t>Groupe de réflexion sur les travaux du BMT : Sous</w:t>
      </w:r>
      <w:r w:rsidR="003F00B6" w:rsidRPr="0048528B">
        <w:rPr>
          <w:lang w:val="fr-FR"/>
        </w:rPr>
        <w:noBreakHyphen/>
      </w:r>
      <w:r w:rsidRPr="0048528B">
        <w:rPr>
          <w:lang w:val="fr-FR"/>
        </w:rPr>
        <w:t>groupe ad hoc d</w:t>
      </w:r>
      <w:r w:rsidR="00F3296C" w:rsidRPr="0048528B">
        <w:rPr>
          <w:lang w:val="fr-FR"/>
        </w:rPr>
        <w:t>’</w:t>
      </w:r>
      <w:r w:rsidRPr="0048528B">
        <w:rPr>
          <w:lang w:val="fr-FR"/>
        </w:rPr>
        <w:t>experts techniques et juridiques sur les techniques biochimiques et moléculaires</w:t>
      </w:r>
    </w:p>
    <w:p w:rsidR="00CE0C30" w:rsidRPr="0048528B" w:rsidRDefault="00A37DBC" w:rsidP="001E5EC4">
      <w:pPr>
        <w:tabs>
          <w:tab w:val="left" w:pos="1701"/>
        </w:tabs>
        <w:ind w:left="1701" w:right="-427" w:hanging="1134"/>
        <w:jc w:val="left"/>
        <w:rPr>
          <w:rFonts w:cs="Arial"/>
          <w:snapToGrid w:val="0"/>
          <w:lang w:val="fr-FR"/>
        </w:rPr>
      </w:pPr>
      <w:r w:rsidRPr="0048528B">
        <w:rPr>
          <w:rFonts w:cs="Arial"/>
          <w:snapToGrid w:val="0"/>
          <w:lang w:val="fr-FR"/>
        </w:rPr>
        <w:t>WG</w:t>
      </w:r>
      <w:r w:rsidR="003F00B6" w:rsidRPr="0048528B">
        <w:rPr>
          <w:rFonts w:cs="Arial"/>
          <w:snapToGrid w:val="0"/>
          <w:lang w:val="fr-FR"/>
        </w:rPr>
        <w:noBreakHyphen/>
      </w:r>
      <w:r w:rsidRPr="0048528B">
        <w:rPr>
          <w:rFonts w:cs="Arial"/>
          <w:snapToGrid w:val="0"/>
          <w:lang w:val="fr-FR"/>
        </w:rPr>
        <w:t xml:space="preserve">PVD : </w:t>
      </w:r>
      <w:r w:rsidR="001E5EC4" w:rsidRPr="0048528B">
        <w:rPr>
          <w:rFonts w:cs="Arial"/>
          <w:snapToGrid w:val="0"/>
          <w:lang w:val="fr-FR"/>
        </w:rPr>
        <w:tab/>
      </w:r>
      <w:r w:rsidRPr="0048528B">
        <w:rPr>
          <w:rFonts w:cs="Arial"/>
          <w:snapToGrid w:val="0"/>
          <w:lang w:val="fr-FR"/>
        </w:rPr>
        <w:t>Groupe de travail ad</w:t>
      </w:r>
      <w:r w:rsidR="00E3136C" w:rsidRPr="0048528B">
        <w:rPr>
          <w:rFonts w:cs="Arial"/>
          <w:snapToGrid w:val="0"/>
          <w:lang w:val="fr-FR"/>
        </w:rPr>
        <w:t> </w:t>
      </w:r>
      <w:r w:rsidRPr="0048528B">
        <w:rPr>
          <w:rFonts w:cs="Arial"/>
          <w:snapToGrid w:val="0"/>
          <w:lang w:val="fr-FR"/>
        </w:rPr>
        <w:t>hoc sur la publication des descriptions variétales</w:t>
      </w:r>
    </w:p>
    <w:p w:rsidR="00204800" w:rsidRPr="0048528B" w:rsidRDefault="00A37DBC" w:rsidP="001E5EC4">
      <w:pPr>
        <w:tabs>
          <w:tab w:val="left" w:pos="1701"/>
        </w:tabs>
        <w:ind w:left="1701" w:right="-1" w:hanging="1134"/>
        <w:jc w:val="left"/>
        <w:rPr>
          <w:rFonts w:cs="Arial"/>
          <w:lang w:val="fr-FR"/>
        </w:rPr>
      </w:pPr>
      <w:r w:rsidRPr="0048528B">
        <w:rPr>
          <w:rFonts w:cs="Arial"/>
          <w:lang w:val="fr-FR"/>
        </w:rPr>
        <w:t>Sous</w:t>
      </w:r>
      <w:r w:rsidR="003F00B6" w:rsidRPr="0048528B">
        <w:rPr>
          <w:rFonts w:cs="Arial"/>
          <w:lang w:val="fr-FR"/>
        </w:rPr>
        <w:noBreakHyphen/>
      </w:r>
      <w:r w:rsidRPr="0048528B">
        <w:rPr>
          <w:rFonts w:cs="Arial"/>
          <w:lang w:val="fr-FR"/>
        </w:rPr>
        <w:t>groupes sur les plantes cultivées</w:t>
      </w:r>
      <w:r w:rsidR="00E3136C" w:rsidRPr="0048528B">
        <w:rPr>
          <w:rFonts w:cs="Arial"/>
          <w:lang w:val="fr-FR"/>
        </w:rPr>
        <w:t> </w:t>
      </w:r>
      <w:r w:rsidRPr="0048528B">
        <w:rPr>
          <w:rFonts w:cs="Arial"/>
          <w:lang w:val="fr-FR"/>
        </w:rPr>
        <w:t>: Sous</w:t>
      </w:r>
      <w:r w:rsidR="003F00B6" w:rsidRPr="0048528B">
        <w:rPr>
          <w:rFonts w:cs="Arial"/>
          <w:lang w:val="fr-FR"/>
        </w:rPr>
        <w:noBreakHyphen/>
      </w:r>
      <w:r w:rsidRPr="0048528B">
        <w:rPr>
          <w:rFonts w:cs="Arial"/>
          <w:lang w:val="fr-FR"/>
        </w:rPr>
        <w:t>groupes ad hoc</w:t>
      </w:r>
      <w:r w:rsidRPr="0048528B">
        <w:rPr>
          <w:rFonts w:cs="Arial"/>
          <w:i/>
          <w:lang w:val="fr-FR"/>
        </w:rPr>
        <w:t xml:space="preserve"> </w:t>
      </w:r>
      <w:r w:rsidRPr="0048528B">
        <w:rPr>
          <w:rFonts w:cs="Arial"/>
          <w:lang w:val="fr-FR"/>
        </w:rPr>
        <w:t>sur l</w:t>
      </w:r>
      <w:r w:rsidR="00F3296C" w:rsidRPr="0048528B">
        <w:rPr>
          <w:rFonts w:cs="Arial"/>
          <w:lang w:val="fr-FR"/>
        </w:rPr>
        <w:t>’</w:t>
      </w:r>
      <w:r w:rsidRPr="0048528B">
        <w:rPr>
          <w:rFonts w:cs="Arial"/>
          <w:lang w:val="fr-FR"/>
        </w:rPr>
        <w:t>application des techniques moléculaires</w:t>
      </w:r>
    </w:p>
    <w:p w:rsidR="00CE0C30" w:rsidRPr="0048528B" w:rsidRDefault="00A37DBC" w:rsidP="001E5EC4">
      <w:pPr>
        <w:tabs>
          <w:tab w:val="left" w:pos="1701"/>
        </w:tabs>
        <w:ind w:left="1701" w:right="-1" w:hanging="1134"/>
        <w:jc w:val="left"/>
        <w:rPr>
          <w:rFonts w:cs="Arial"/>
          <w:lang w:val="fr-FR"/>
        </w:rPr>
      </w:pPr>
      <w:r w:rsidRPr="0048528B">
        <w:rPr>
          <w:rFonts w:cs="Arial"/>
          <w:lang w:val="fr-FR"/>
        </w:rPr>
        <w:t>DHS</w:t>
      </w:r>
      <w:r w:rsidR="00E3136C" w:rsidRPr="0048528B">
        <w:rPr>
          <w:rFonts w:cs="Arial"/>
          <w:lang w:val="fr-FR"/>
        </w:rPr>
        <w:t> </w:t>
      </w:r>
      <w:r w:rsidRPr="0048528B">
        <w:rPr>
          <w:rFonts w:cs="Arial"/>
          <w:lang w:val="fr-FR"/>
        </w:rPr>
        <w:t xml:space="preserve">: </w:t>
      </w:r>
      <w:r w:rsidR="001E5EC4" w:rsidRPr="0048528B">
        <w:rPr>
          <w:rFonts w:cs="Arial"/>
          <w:lang w:val="fr-FR"/>
        </w:rPr>
        <w:tab/>
      </w:r>
      <w:r w:rsidRPr="0048528B">
        <w:rPr>
          <w:rFonts w:cs="Arial"/>
          <w:lang w:val="fr-FR"/>
        </w:rPr>
        <w:t>Distinction, homogénéité et stabilité</w:t>
      </w:r>
    </w:p>
    <w:p w:rsidR="00204800" w:rsidRPr="0048528B" w:rsidRDefault="00A37DBC" w:rsidP="001E5EC4">
      <w:pPr>
        <w:tabs>
          <w:tab w:val="left" w:pos="1701"/>
        </w:tabs>
        <w:ind w:left="1701" w:right="-1" w:hanging="1134"/>
        <w:jc w:val="left"/>
        <w:rPr>
          <w:rFonts w:cs="Arial"/>
          <w:lang w:val="fr-FR"/>
        </w:rPr>
      </w:pPr>
      <w:r w:rsidRPr="0048528B">
        <w:rPr>
          <w:rFonts w:cs="Arial"/>
          <w:lang w:val="fr-FR"/>
        </w:rPr>
        <w:t>Bureau</w:t>
      </w:r>
      <w:r w:rsidR="00E3136C" w:rsidRPr="0048528B">
        <w:rPr>
          <w:rFonts w:cs="Arial"/>
          <w:lang w:val="fr-FR"/>
        </w:rPr>
        <w:t> </w:t>
      </w:r>
      <w:r w:rsidRPr="0048528B">
        <w:rPr>
          <w:rFonts w:cs="Arial"/>
          <w:lang w:val="fr-FR"/>
        </w:rPr>
        <w:t xml:space="preserve">: </w:t>
      </w:r>
      <w:r w:rsidR="001E5EC4" w:rsidRPr="0048528B">
        <w:rPr>
          <w:rFonts w:cs="Arial"/>
          <w:lang w:val="fr-FR"/>
        </w:rPr>
        <w:tab/>
      </w:r>
      <w:r w:rsidRPr="0048528B">
        <w:rPr>
          <w:rFonts w:cs="Arial"/>
          <w:lang w:val="fr-FR"/>
        </w:rPr>
        <w:t>Bureau de l</w:t>
      </w:r>
      <w:r w:rsidR="00F3296C" w:rsidRPr="0048528B">
        <w:rPr>
          <w:rFonts w:cs="Arial"/>
          <w:lang w:val="fr-FR"/>
        </w:rPr>
        <w:t>’</w:t>
      </w:r>
      <w:r w:rsidRPr="0048528B">
        <w:rPr>
          <w:rFonts w:cs="Arial"/>
          <w:lang w:val="fr-FR"/>
        </w:rPr>
        <w:t>Union</w:t>
      </w:r>
    </w:p>
    <w:p w:rsidR="00204800" w:rsidRPr="0048528B" w:rsidRDefault="00204800" w:rsidP="002B6DFD">
      <w:pPr>
        <w:rPr>
          <w:lang w:val="fr-FR"/>
        </w:rPr>
      </w:pPr>
    </w:p>
    <w:p w:rsidR="00204800" w:rsidRPr="0048528B" w:rsidRDefault="002B6DFD" w:rsidP="00EA681A">
      <w:pPr>
        <w:jc w:val="center"/>
        <w:rPr>
          <w:rFonts w:cs="Arial"/>
          <w:lang w:val="fr-FR"/>
        </w:rPr>
      </w:pPr>
      <w:r w:rsidRPr="0048528B">
        <w:rPr>
          <w:rFonts w:cs="Arial"/>
          <w:lang w:val="fr-FR"/>
        </w:rPr>
        <w:br w:type="page"/>
      </w:r>
      <w:r w:rsidR="00A37DBC" w:rsidRPr="0048528B">
        <w:rPr>
          <w:rFonts w:cs="Arial"/>
          <w:lang w:val="fr-FR"/>
        </w:rPr>
        <w:lastRenderedPageBreak/>
        <w:t>TABLE DES MATIÈRES</w:t>
      </w:r>
    </w:p>
    <w:p w:rsidR="00A831BD" w:rsidRPr="0090610B" w:rsidRDefault="00C97F0D">
      <w:pPr>
        <w:pStyle w:val="TOC1"/>
        <w:rPr>
          <w:rFonts w:ascii="Calibri" w:hAnsi="Calibri"/>
          <w:caps w:val="0"/>
          <w:sz w:val="22"/>
          <w:szCs w:val="22"/>
        </w:rPr>
      </w:pPr>
      <w:r w:rsidRPr="0048528B">
        <w:rPr>
          <w:caps w:val="0"/>
          <w:lang w:val="fr-FR"/>
        </w:rPr>
        <w:fldChar w:fldCharType="begin"/>
      </w:r>
      <w:r w:rsidRPr="0048528B">
        <w:rPr>
          <w:caps w:val="0"/>
          <w:lang w:val="fr-FR"/>
        </w:rPr>
        <w:instrText xml:space="preserve"> TOC \o "1-3" \u </w:instrText>
      </w:r>
      <w:r w:rsidRPr="0048528B">
        <w:rPr>
          <w:caps w:val="0"/>
          <w:lang w:val="fr-FR"/>
        </w:rPr>
        <w:fldChar w:fldCharType="separate"/>
      </w:r>
      <w:r w:rsidR="00A831BD" w:rsidRPr="0082676A">
        <w:rPr>
          <w:lang w:val="fr-FR"/>
        </w:rPr>
        <w:t>I.</w:t>
      </w:r>
      <w:r w:rsidR="00A831BD" w:rsidRPr="0090610B">
        <w:rPr>
          <w:rFonts w:ascii="Calibri" w:hAnsi="Calibri"/>
          <w:caps w:val="0"/>
          <w:sz w:val="22"/>
          <w:szCs w:val="22"/>
        </w:rPr>
        <w:tab/>
      </w:r>
      <w:r w:rsidR="00A831BD" w:rsidRPr="0082676A">
        <w:rPr>
          <w:lang w:val="fr-FR"/>
        </w:rPr>
        <w:t>Rapport sur l’état d’avancement des travaux du comité technique</w:t>
      </w:r>
      <w:r w:rsidR="00A831BD">
        <w:tab/>
      </w:r>
      <w:r w:rsidR="00A831BD">
        <w:fldChar w:fldCharType="begin"/>
      </w:r>
      <w:r w:rsidR="00A831BD">
        <w:instrText xml:space="preserve"> PAGEREF _Toc367888527 \h </w:instrText>
      </w:r>
      <w:r w:rsidR="00A831BD">
        <w:fldChar w:fldCharType="separate"/>
      </w:r>
      <w:r w:rsidR="00C741B2">
        <w:t>4</w:t>
      </w:r>
      <w:r w:rsidR="00A831BD">
        <w:fldChar w:fldCharType="end"/>
      </w:r>
    </w:p>
    <w:p w:rsidR="00A831BD" w:rsidRPr="0090610B" w:rsidRDefault="00A831BD">
      <w:pPr>
        <w:pStyle w:val="TOC2"/>
        <w:rPr>
          <w:rFonts w:ascii="Calibri" w:hAnsi="Calibri"/>
          <w:sz w:val="22"/>
          <w:szCs w:val="22"/>
        </w:rPr>
      </w:pPr>
      <w:r w:rsidRPr="0082676A">
        <w:rPr>
          <w:lang w:val="fr-FR"/>
        </w:rPr>
        <w:t>Rapport sur les faits nouveaux survenus au sein de l’UPOV, y compris certaines questions examinées lors des dernières sessions du Comité administratif et juridique, du Comité consultatif et du Conseil (rapport verbal du secrétaire général adjoint)</w:t>
      </w:r>
      <w:r>
        <w:tab/>
      </w:r>
      <w:r>
        <w:fldChar w:fldCharType="begin"/>
      </w:r>
      <w:r>
        <w:instrText xml:space="preserve"> PAGEREF _Toc367888528 \h </w:instrText>
      </w:r>
      <w:r>
        <w:fldChar w:fldCharType="separate"/>
      </w:r>
      <w:r w:rsidR="00C741B2">
        <w:t>4</w:t>
      </w:r>
      <w:r>
        <w:fldChar w:fldCharType="end"/>
      </w:r>
    </w:p>
    <w:p w:rsidR="00A831BD" w:rsidRPr="0090610B" w:rsidRDefault="00A831BD">
      <w:pPr>
        <w:pStyle w:val="TOC2"/>
        <w:rPr>
          <w:rFonts w:ascii="Calibri" w:hAnsi="Calibri"/>
          <w:sz w:val="22"/>
          <w:szCs w:val="22"/>
        </w:rPr>
      </w:pPr>
      <w:r w:rsidRPr="0082676A">
        <w:rPr>
          <w:lang w:val="fr-FR"/>
        </w:rPr>
        <w:t>Rapports sur l’état d’avancement des travaux des groupes de travail techniques, y compris le Groupe de travail sur les techniques biochimiques et moléculaires, notamment les profils d’ADN (BMT) et les sous</w:t>
      </w:r>
      <w:r w:rsidRPr="0082676A">
        <w:rPr>
          <w:lang w:val="fr-FR"/>
        </w:rPr>
        <w:noBreakHyphen/>
        <w:t xml:space="preserve">groupes </w:t>
      </w:r>
      <w:r w:rsidRPr="0082676A">
        <w:rPr>
          <w:i/>
          <w:lang w:val="fr-FR"/>
        </w:rPr>
        <w:t>ad hoc</w:t>
      </w:r>
      <w:r w:rsidRPr="0082676A">
        <w:rPr>
          <w:lang w:val="fr-FR"/>
        </w:rPr>
        <w:t xml:space="preserve"> sur l’application des techniques moléculaires aux plantes cultivées</w:t>
      </w:r>
      <w:r>
        <w:tab/>
      </w:r>
      <w:r>
        <w:fldChar w:fldCharType="begin"/>
      </w:r>
      <w:r>
        <w:instrText xml:space="preserve"> PAGEREF _Toc367888529 \h </w:instrText>
      </w:r>
      <w:r>
        <w:fldChar w:fldCharType="separate"/>
      </w:r>
      <w:r w:rsidR="00C741B2">
        <w:t>4</w:t>
      </w:r>
      <w:r>
        <w:fldChar w:fldCharType="end"/>
      </w:r>
    </w:p>
    <w:p w:rsidR="00A831BD" w:rsidRPr="0090610B" w:rsidRDefault="00A831BD">
      <w:pPr>
        <w:pStyle w:val="TOC2"/>
        <w:rPr>
          <w:rFonts w:ascii="Calibri" w:hAnsi="Calibri"/>
          <w:sz w:val="22"/>
          <w:szCs w:val="22"/>
        </w:rPr>
      </w:pPr>
      <w:r w:rsidRPr="0082676A">
        <w:rPr>
          <w:lang w:val="fr-FR"/>
        </w:rPr>
        <w:t>Questions découlant des travaux des groupes de travail techniques</w:t>
      </w:r>
      <w:r>
        <w:tab/>
      </w:r>
      <w:r>
        <w:fldChar w:fldCharType="begin"/>
      </w:r>
      <w:r>
        <w:instrText xml:space="preserve"> PAGEREF _Toc367888530 \h </w:instrText>
      </w:r>
      <w:r>
        <w:fldChar w:fldCharType="separate"/>
      </w:r>
      <w:r w:rsidR="00C741B2">
        <w:t>4</w:t>
      </w:r>
      <w:r>
        <w:fldChar w:fldCharType="end"/>
      </w:r>
    </w:p>
    <w:p w:rsidR="00A831BD" w:rsidRPr="0090610B" w:rsidRDefault="00A831BD">
      <w:pPr>
        <w:pStyle w:val="TOC3"/>
        <w:rPr>
          <w:rFonts w:ascii="Calibri" w:hAnsi="Calibri"/>
          <w:i w:val="0"/>
          <w:sz w:val="22"/>
          <w:szCs w:val="22"/>
          <w:lang w:val="en-US"/>
        </w:rPr>
      </w:pPr>
      <w:r w:rsidRPr="0082676A">
        <w:t>Guide à l’intention des rédacteurs des principes directeurs d’examen</w:t>
      </w:r>
      <w:r>
        <w:tab/>
      </w:r>
      <w:r>
        <w:fldChar w:fldCharType="begin"/>
      </w:r>
      <w:r>
        <w:instrText xml:space="preserve"> PAGEREF _Toc367888531 \h </w:instrText>
      </w:r>
      <w:r>
        <w:fldChar w:fldCharType="separate"/>
      </w:r>
      <w:r w:rsidR="00C741B2">
        <w:t>4</w:t>
      </w:r>
      <w:r>
        <w:fldChar w:fldCharType="end"/>
      </w:r>
    </w:p>
    <w:p w:rsidR="00A831BD" w:rsidRPr="0090610B" w:rsidRDefault="00A831BD">
      <w:pPr>
        <w:pStyle w:val="TOC3"/>
        <w:rPr>
          <w:rFonts w:ascii="Calibri" w:hAnsi="Calibri"/>
          <w:i w:val="0"/>
          <w:sz w:val="22"/>
          <w:szCs w:val="22"/>
          <w:lang w:val="en-US"/>
        </w:rPr>
      </w:pPr>
      <w:r w:rsidRPr="0082676A">
        <w:t>Modèle TG fondé sur le Web</w:t>
      </w:r>
      <w:r>
        <w:tab/>
      </w:r>
      <w:r>
        <w:fldChar w:fldCharType="begin"/>
      </w:r>
      <w:r>
        <w:instrText xml:space="preserve"> PAGEREF _Toc367888532 \h </w:instrText>
      </w:r>
      <w:r>
        <w:fldChar w:fldCharType="separate"/>
      </w:r>
      <w:r w:rsidR="00C741B2">
        <w:t>5</w:t>
      </w:r>
      <w:r>
        <w:fldChar w:fldCharType="end"/>
      </w:r>
    </w:p>
    <w:p w:rsidR="00A831BD" w:rsidRPr="0090610B" w:rsidRDefault="00A831BD">
      <w:pPr>
        <w:pStyle w:val="TOC3"/>
        <w:rPr>
          <w:rFonts w:ascii="Calibri" w:hAnsi="Calibri"/>
          <w:i w:val="0"/>
          <w:sz w:val="22"/>
          <w:szCs w:val="22"/>
          <w:lang w:val="en-US"/>
        </w:rPr>
      </w:pPr>
      <w:r w:rsidRPr="0082676A">
        <w:t>Expériences de nouveaux types et espèces</w:t>
      </w:r>
      <w:r>
        <w:tab/>
      </w:r>
      <w:r>
        <w:fldChar w:fldCharType="begin"/>
      </w:r>
      <w:r>
        <w:instrText xml:space="preserve"> PAGEREF _Toc367888533 \h </w:instrText>
      </w:r>
      <w:r>
        <w:fldChar w:fldCharType="separate"/>
      </w:r>
      <w:r w:rsidR="00C741B2">
        <w:t>5</w:t>
      </w:r>
      <w:r>
        <w:fldChar w:fldCharType="end"/>
      </w:r>
    </w:p>
    <w:p w:rsidR="00A831BD" w:rsidRPr="0090610B" w:rsidRDefault="00A831BD">
      <w:pPr>
        <w:pStyle w:val="TOC3"/>
        <w:rPr>
          <w:rFonts w:ascii="Calibri" w:hAnsi="Calibri"/>
          <w:i w:val="0"/>
          <w:sz w:val="22"/>
          <w:szCs w:val="22"/>
          <w:lang w:val="en-US"/>
        </w:rPr>
      </w:pPr>
      <w:r w:rsidRPr="0082676A">
        <w:t>Niveaux d’homogénéité selon le niveau d’expression des caractères obligatoires de résistance à la maladie et variétés non cultivées pour avoir une telle résistance</w:t>
      </w:r>
      <w:r>
        <w:tab/>
      </w:r>
      <w:r>
        <w:fldChar w:fldCharType="begin"/>
      </w:r>
      <w:r>
        <w:instrText xml:space="preserve"> PAGEREF _Toc367888534 \h </w:instrText>
      </w:r>
      <w:r>
        <w:fldChar w:fldCharType="separate"/>
      </w:r>
      <w:r w:rsidR="00C741B2">
        <w:t>5</w:t>
      </w:r>
      <w:r>
        <w:fldChar w:fldCharType="end"/>
      </w:r>
    </w:p>
    <w:p w:rsidR="00A831BD" w:rsidRPr="0090610B" w:rsidRDefault="00A831BD">
      <w:pPr>
        <w:pStyle w:val="TOC3"/>
        <w:rPr>
          <w:rFonts w:ascii="Calibri" w:hAnsi="Calibri"/>
          <w:i w:val="0"/>
          <w:sz w:val="22"/>
          <w:szCs w:val="22"/>
          <w:lang w:val="en-US"/>
        </w:rPr>
      </w:pPr>
      <w:r w:rsidRPr="0082676A">
        <w:t>Enregistreurs de données</w:t>
      </w:r>
      <w:r>
        <w:tab/>
      </w:r>
      <w:r>
        <w:fldChar w:fldCharType="begin"/>
      </w:r>
      <w:r>
        <w:instrText xml:space="preserve"> PAGEREF _Toc367888535 \h </w:instrText>
      </w:r>
      <w:r>
        <w:fldChar w:fldCharType="separate"/>
      </w:r>
      <w:r w:rsidR="00C741B2">
        <w:t>5</w:t>
      </w:r>
      <w:r>
        <w:fldChar w:fldCharType="end"/>
      </w:r>
    </w:p>
    <w:p w:rsidR="00A831BD" w:rsidRPr="0090610B" w:rsidRDefault="00A831BD">
      <w:pPr>
        <w:pStyle w:val="TOC3"/>
        <w:rPr>
          <w:rFonts w:ascii="Calibri" w:hAnsi="Calibri"/>
          <w:i w:val="0"/>
          <w:sz w:val="22"/>
          <w:szCs w:val="22"/>
          <w:lang w:val="en-US"/>
        </w:rPr>
      </w:pPr>
      <w:r w:rsidRPr="0082676A">
        <w:t>Enquête sur l’efficacité des groupes de travail techniques</w:t>
      </w:r>
      <w:r>
        <w:tab/>
      </w:r>
      <w:r>
        <w:fldChar w:fldCharType="begin"/>
      </w:r>
      <w:r>
        <w:instrText xml:space="preserve"> PAGEREF _Toc367888536 \h </w:instrText>
      </w:r>
      <w:r>
        <w:fldChar w:fldCharType="separate"/>
      </w:r>
      <w:r w:rsidR="00C741B2">
        <w:t>5</w:t>
      </w:r>
      <w:r>
        <w:fldChar w:fldCharType="end"/>
      </w:r>
    </w:p>
    <w:p w:rsidR="00A831BD" w:rsidRPr="0090610B" w:rsidRDefault="00A831BD">
      <w:pPr>
        <w:pStyle w:val="TOC2"/>
        <w:rPr>
          <w:rFonts w:ascii="Calibri" w:hAnsi="Calibri"/>
          <w:sz w:val="22"/>
          <w:szCs w:val="22"/>
        </w:rPr>
      </w:pPr>
      <w:r w:rsidRPr="0082676A">
        <w:rPr>
          <w:lang w:val="fr-FR"/>
        </w:rPr>
        <w:t>Documents TGP</w:t>
      </w:r>
      <w:r>
        <w:tab/>
      </w:r>
      <w:r>
        <w:fldChar w:fldCharType="begin"/>
      </w:r>
      <w:r>
        <w:instrText xml:space="preserve"> PAGEREF _Toc367888537 \h </w:instrText>
      </w:r>
      <w:r>
        <w:fldChar w:fldCharType="separate"/>
      </w:r>
      <w:r w:rsidR="00C741B2">
        <w:t>6</w:t>
      </w:r>
      <w:r>
        <w:fldChar w:fldCharType="end"/>
      </w:r>
    </w:p>
    <w:p w:rsidR="00A831BD" w:rsidRPr="0090610B" w:rsidRDefault="00A831BD">
      <w:pPr>
        <w:pStyle w:val="TOC3"/>
        <w:tabs>
          <w:tab w:val="left" w:pos="709"/>
        </w:tabs>
        <w:rPr>
          <w:rFonts w:ascii="Calibri" w:hAnsi="Calibri"/>
          <w:i w:val="0"/>
          <w:sz w:val="22"/>
          <w:szCs w:val="22"/>
          <w:lang w:val="en-US"/>
        </w:rPr>
      </w:pPr>
      <w:r w:rsidRPr="0082676A">
        <w:t>a)</w:t>
      </w:r>
      <w:r w:rsidRPr="0090610B">
        <w:rPr>
          <w:rFonts w:ascii="Calibri" w:hAnsi="Calibri"/>
          <w:i w:val="0"/>
          <w:sz w:val="22"/>
          <w:szCs w:val="22"/>
          <w:lang w:val="en-US"/>
        </w:rPr>
        <w:tab/>
      </w:r>
      <w:r w:rsidRPr="0082676A">
        <w:t>Nouveau document TGP</w:t>
      </w:r>
      <w:r>
        <w:tab/>
      </w:r>
      <w:r>
        <w:fldChar w:fldCharType="begin"/>
      </w:r>
      <w:r>
        <w:instrText xml:space="preserve"> PAGEREF _Toc367888538 \h </w:instrText>
      </w:r>
      <w:r>
        <w:fldChar w:fldCharType="separate"/>
      </w:r>
      <w:r w:rsidR="00C741B2">
        <w:t>6</w:t>
      </w:r>
      <w:r>
        <w:fldChar w:fldCharType="end"/>
      </w:r>
    </w:p>
    <w:p w:rsidR="00A831BD" w:rsidRPr="0090610B" w:rsidRDefault="00A831BD">
      <w:pPr>
        <w:pStyle w:val="TOC3"/>
        <w:tabs>
          <w:tab w:val="left" w:pos="851"/>
        </w:tabs>
        <w:rPr>
          <w:rFonts w:ascii="Calibri" w:hAnsi="Calibri"/>
          <w:i w:val="0"/>
          <w:sz w:val="22"/>
          <w:szCs w:val="22"/>
          <w:lang w:val="en-US"/>
        </w:rPr>
      </w:pPr>
      <w:r w:rsidRPr="0082676A">
        <w:t>b)</w:t>
      </w:r>
      <w:r w:rsidRPr="0082676A">
        <w:rPr>
          <w:i w:val="0"/>
        </w:rPr>
        <w:t xml:space="preserve"> </w:t>
      </w:r>
      <w:r w:rsidRPr="0090610B">
        <w:rPr>
          <w:rFonts w:ascii="Calibri" w:hAnsi="Calibri"/>
          <w:i w:val="0"/>
          <w:sz w:val="22"/>
          <w:szCs w:val="22"/>
          <w:lang w:val="en-US"/>
        </w:rPr>
        <w:tab/>
      </w:r>
      <w:r w:rsidRPr="0082676A">
        <w:t>Révision des documents TGP</w:t>
      </w:r>
      <w:r>
        <w:tab/>
      </w:r>
      <w:r>
        <w:fldChar w:fldCharType="begin"/>
      </w:r>
      <w:r>
        <w:instrText xml:space="preserve"> PAGEREF _Toc367888539 \h </w:instrText>
      </w:r>
      <w:r>
        <w:fldChar w:fldCharType="separate"/>
      </w:r>
      <w:r w:rsidR="00C741B2">
        <w:t>7</w:t>
      </w:r>
      <w:r>
        <w:fldChar w:fldCharType="end"/>
      </w:r>
    </w:p>
    <w:p w:rsidR="00A831BD" w:rsidRPr="0090610B" w:rsidRDefault="00A831BD">
      <w:pPr>
        <w:pStyle w:val="TOC3"/>
        <w:tabs>
          <w:tab w:val="left" w:pos="851"/>
        </w:tabs>
        <w:rPr>
          <w:rFonts w:ascii="Calibri" w:hAnsi="Calibri"/>
          <w:i w:val="0"/>
          <w:sz w:val="22"/>
          <w:szCs w:val="22"/>
          <w:lang w:val="en-US"/>
        </w:rPr>
      </w:pPr>
      <w:r w:rsidRPr="0082676A">
        <w:t xml:space="preserve">c) </w:t>
      </w:r>
      <w:r w:rsidRPr="0090610B">
        <w:rPr>
          <w:rFonts w:ascii="Calibri" w:hAnsi="Calibri"/>
          <w:i w:val="0"/>
          <w:sz w:val="22"/>
          <w:szCs w:val="22"/>
          <w:lang w:val="en-US"/>
        </w:rPr>
        <w:tab/>
      </w:r>
      <w:r w:rsidRPr="0082676A">
        <w:t>Nouvelles propositions pour une future révision des documents TGP</w:t>
      </w:r>
      <w:r>
        <w:tab/>
      </w:r>
      <w:r>
        <w:fldChar w:fldCharType="begin"/>
      </w:r>
      <w:r>
        <w:instrText xml:space="preserve"> PAGEREF _Toc367888540 \h </w:instrText>
      </w:r>
      <w:r>
        <w:fldChar w:fldCharType="separate"/>
      </w:r>
      <w:r w:rsidR="00C741B2">
        <w:t>14</w:t>
      </w:r>
      <w:r>
        <w:fldChar w:fldCharType="end"/>
      </w:r>
    </w:p>
    <w:p w:rsidR="00A831BD" w:rsidRPr="0090610B" w:rsidRDefault="00A831BD">
      <w:pPr>
        <w:pStyle w:val="TOC3"/>
        <w:rPr>
          <w:rFonts w:ascii="Calibri" w:hAnsi="Calibri"/>
          <w:i w:val="0"/>
          <w:sz w:val="22"/>
          <w:szCs w:val="22"/>
          <w:lang w:val="en-US"/>
        </w:rPr>
      </w:pPr>
      <w:r w:rsidRPr="0082676A">
        <w:t>Programme d’élaboration des documents TGP</w:t>
      </w:r>
      <w:r>
        <w:tab/>
      </w:r>
      <w:r>
        <w:fldChar w:fldCharType="begin"/>
      </w:r>
      <w:r>
        <w:instrText xml:space="preserve"> PAGEREF _Toc367888541 \h </w:instrText>
      </w:r>
      <w:r>
        <w:fldChar w:fldCharType="separate"/>
      </w:r>
      <w:r w:rsidR="00C741B2">
        <w:t>15</w:t>
      </w:r>
      <w:r>
        <w:fldChar w:fldCharType="end"/>
      </w:r>
    </w:p>
    <w:p w:rsidR="00A831BD" w:rsidRPr="0090610B" w:rsidRDefault="00A831BD">
      <w:pPr>
        <w:pStyle w:val="TOC2"/>
        <w:rPr>
          <w:rFonts w:ascii="Calibri" w:hAnsi="Calibri"/>
          <w:sz w:val="22"/>
          <w:szCs w:val="22"/>
        </w:rPr>
      </w:pPr>
      <w:r w:rsidRPr="0082676A">
        <w:rPr>
          <w:lang w:val="fr-FR"/>
        </w:rPr>
        <w:t>Dénominations variétales</w:t>
      </w:r>
      <w:r>
        <w:tab/>
      </w:r>
      <w:r>
        <w:fldChar w:fldCharType="begin"/>
      </w:r>
      <w:r>
        <w:instrText xml:space="preserve"> PAGEREF _Toc367888542 \h </w:instrText>
      </w:r>
      <w:r>
        <w:fldChar w:fldCharType="separate"/>
      </w:r>
      <w:r w:rsidR="00C741B2">
        <w:t>15</w:t>
      </w:r>
      <w:r>
        <w:fldChar w:fldCharType="end"/>
      </w:r>
    </w:p>
    <w:p w:rsidR="00A831BD" w:rsidRPr="0090610B" w:rsidRDefault="00A831BD">
      <w:pPr>
        <w:pStyle w:val="TOC2"/>
        <w:rPr>
          <w:rFonts w:ascii="Calibri" w:hAnsi="Calibri"/>
          <w:sz w:val="22"/>
          <w:szCs w:val="22"/>
        </w:rPr>
      </w:pPr>
      <w:r w:rsidRPr="0082676A">
        <w:rPr>
          <w:lang w:val="fr-FR"/>
        </w:rPr>
        <w:t>Informations et bases de données</w:t>
      </w:r>
      <w:r>
        <w:tab/>
      </w:r>
      <w:r>
        <w:fldChar w:fldCharType="begin"/>
      </w:r>
      <w:r>
        <w:instrText xml:space="preserve"> PAGEREF _Toc367888543 \h </w:instrText>
      </w:r>
      <w:r>
        <w:fldChar w:fldCharType="separate"/>
      </w:r>
      <w:r w:rsidR="00C741B2">
        <w:t>15</w:t>
      </w:r>
      <w:r>
        <w:fldChar w:fldCharType="end"/>
      </w:r>
    </w:p>
    <w:p w:rsidR="00A831BD" w:rsidRPr="0090610B" w:rsidRDefault="00A831BD">
      <w:pPr>
        <w:pStyle w:val="TOC3"/>
        <w:tabs>
          <w:tab w:val="left" w:pos="851"/>
        </w:tabs>
        <w:rPr>
          <w:rFonts w:ascii="Calibri" w:hAnsi="Calibri"/>
          <w:i w:val="0"/>
          <w:sz w:val="22"/>
          <w:szCs w:val="22"/>
          <w:lang w:val="en-US"/>
        </w:rPr>
      </w:pPr>
      <w:r w:rsidRPr="0082676A">
        <w:t>a)</w:t>
      </w:r>
      <w:r w:rsidRPr="0082676A">
        <w:rPr>
          <w:i w:val="0"/>
        </w:rPr>
        <w:t xml:space="preserve"> </w:t>
      </w:r>
      <w:r w:rsidRPr="0090610B">
        <w:rPr>
          <w:rFonts w:ascii="Calibri" w:hAnsi="Calibri"/>
          <w:i w:val="0"/>
          <w:sz w:val="22"/>
          <w:szCs w:val="22"/>
          <w:lang w:val="en-US"/>
        </w:rPr>
        <w:tab/>
      </w:r>
      <w:r w:rsidRPr="0082676A">
        <w:t>Bases de données d’information de l’UPOV</w:t>
      </w:r>
      <w:r>
        <w:tab/>
      </w:r>
      <w:r>
        <w:fldChar w:fldCharType="begin"/>
      </w:r>
      <w:r>
        <w:instrText xml:space="preserve"> PAGEREF _Toc367888544 \h </w:instrText>
      </w:r>
      <w:r>
        <w:fldChar w:fldCharType="separate"/>
      </w:r>
      <w:r w:rsidR="00C741B2">
        <w:t>15</w:t>
      </w:r>
      <w:r>
        <w:fldChar w:fldCharType="end"/>
      </w:r>
    </w:p>
    <w:p w:rsidR="00A831BD" w:rsidRPr="0090610B" w:rsidRDefault="00A831BD">
      <w:pPr>
        <w:pStyle w:val="TOC3"/>
        <w:tabs>
          <w:tab w:val="left" w:pos="851"/>
        </w:tabs>
        <w:rPr>
          <w:rFonts w:ascii="Calibri" w:hAnsi="Calibri"/>
          <w:i w:val="0"/>
          <w:sz w:val="22"/>
          <w:szCs w:val="22"/>
          <w:lang w:val="en-US"/>
        </w:rPr>
      </w:pPr>
      <w:r w:rsidRPr="0082676A">
        <w:t>b)</w:t>
      </w:r>
      <w:r w:rsidRPr="0082676A">
        <w:rPr>
          <w:i w:val="0"/>
        </w:rPr>
        <w:t xml:space="preserve"> </w:t>
      </w:r>
      <w:r w:rsidRPr="0090610B">
        <w:rPr>
          <w:rFonts w:ascii="Calibri" w:hAnsi="Calibri"/>
          <w:i w:val="0"/>
          <w:sz w:val="22"/>
          <w:szCs w:val="22"/>
          <w:lang w:val="en-US"/>
        </w:rPr>
        <w:tab/>
      </w:r>
      <w:r w:rsidRPr="0082676A">
        <w:t>Bases de données sur les descriptions variétales</w:t>
      </w:r>
      <w:r>
        <w:tab/>
      </w:r>
      <w:r>
        <w:fldChar w:fldCharType="begin"/>
      </w:r>
      <w:r>
        <w:instrText xml:space="preserve"> PAGEREF _Toc367888545 \h </w:instrText>
      </w:r>
      <w:r>
        <w:fldChar w:fldCharType="separate"/>
      </w:r>
      <w:r w:rsidR="00C741B2">
        <w:t>16</w:t>
      </w:r>
      <w:r>
        <w:fldChar w:fldCharType="end"/>
      </w:r>
    </w:p>
    <w:p w:rsidR="00A831BD" w:rsidRPr="0090610B" w:rsidRDefault="00A831BD">
      <w:pPr>
        <w:pStyle w:val="TOC3"/>
        <w:tabs>
          <w:tab w:val="left" w:pos="851"/>
        </w:tabs>
        <w:rPr>
          <w:rFonts w:ascii="Calibri" w:hAnsi="Calibri"/>
          <w:i w:val="0"/>
          <w:sz w:val="22"/>
          <w:szCs w:val="22"/>
          <w:lang w:val="en-US"/>
        </w:rPr>
      </w:pPr>
      <w:r w:rsidRPr="0082676A">
        <w:t>c)</w:t>
      </w:r>
      <w:r w:rsidRPr="0082676A">
        <w:rPr>
          <w:i w:val="0"/>
        </w:rPr>
        <w:t xml:space="preserve"> </w:t>
      </w:r>
      <w:r w:rsidRPr="0090610B">
        <w:rPr>
          <w:rFonts w:ascii="Calibri" w:hAnsi="Calibri"/>
          <w:i w:val="0"/>
          <w:sz w:val="22"/>
          <w:szCs w:val="22"/>
          <w:lang w:val="en-US"/>
        </w:rPr>
        <w:tab/>
      </w:r>
      <w:r w:rsidRPr="0082676A">
        <w:t>Logiciels échangeables</w:t>
      </w:r>
      <w:r>
        <w:tab/>
      </w:r>
      <w:r>
        <w:fldChar w:fldCharType="begin"/>
      </w:r>
      <w:r>
        <w:instrText xml:space="preserve"> PAGEREF _Toc367888546 \h </w:instrText>
      </w:r>
      <w:r>
        <w:fldChar w:fldCharType="separate"/>
      </w:r>
      <w:r w:rsidR="00C741B2">
        <w:t>17</w:t>
      </w:r>
      <w:r>
        <w:fldChar w:fldCharType="end"/>
      </w:r>
    </w:p>
    <w:p w:rsidR="00A831BD" w:rsidRPr="0090610B" w:rsidRDefault="00A831BD">
      <w:pPr>
        <w:pStyle w:val="TOC3"/>
        <w:tabs>
          <w:tab w:val="left" w:pos="851"/>
        </w:tabs>
        <w:rPr>
          <w:rFonts w:ascii="Calibri" w:hAnsi="Calibri"/>
          <w:i w:val="0"/>
          <w:sz w:val="22"/>
          <w:szCs w:val="22"/>
          <w:lang w:val="en-US"/>
        </w:rPr>
      </w:pPr>
      <w:r w:rsidRPr="0082676A">
        <w:t>d)</w:t>
      </w:r>
      <w:r w:rsidRPr="0082676A">
        <w:rPr>
          <w:i w:val="0"/>
        </w:rPr>
        <w:t xml:space="preserve"> </w:t>
      </w:r>
      <w:r w:rsidRPr="0090610B">
        <w:rPr>
          <w:rFonts w:ascii="Calibri" w:hAnsi="Calibri"/>
          <w:i w:val="0"/>
          <w:sz w:val="22"/>
          <w:szCs w:val="22"/>
          <w:lang w:val="en-US"/>
        </w:rPr>
        <w:tab/>
      </w:r>
      <w:r w:rsidRPr="0082676A">
        <w:t>Systèmes de dépôt électronique des demandes</w:t>
      </w:r>
      <w:r>
        <w:tab/>
      </w:r>
      <w:r>
        <w:fldChar w:fldCharType="begin"/>
      </w:r>
      <w:r>
        <w:instrText xml:space="preserve"> PAGEREF _Toc367888547 \h </w:instrText>
      </w:r>
      <w:r>
        <w:fldChar w:fldCharType="separate"/>
      </w:r>
      <w:r w:rsidR="00C741B2">
        <w:t>17</w:t>
      </w:r>
      <w:r>
        <w:fldChar w:fldCharType="end"/>
      </w:r>
    </w:p>
    <w:p w:rsidR="00A831BD" w:rsidRPr="0090610B" w:rsidRDefault="00A831BD">
      <w:pPr>
        <w:pStyle w:val="TOC2"/>
        <w:rPr>
          <w:rFonts w:ascii="Calibri" w:hAnsi="Calibri"/>
          <w:sz w:val="22"/>
          <w:szCs w:val="22"/>
        </w:rPr>
      </w:pPr>
      <w:r w:rsidRPr="0082676A">
        <w:rPr>
          <w:lang w:val="fr-FR"/>
        </w:rPr>
        <w:t>Méthode de calcul de la COYU</w:t>
      </w:r>
      <w:r>
        <w:tab/>
      </w:r>
      <w:r>
        <w:fldChar w:fldCharType="begin"/>
      </w:r>
      <w:r>
        <w:instrText xml:space="preserve"> PAGEREF _Toc367888548 \h </w:instrText>
      </w:r>
      <w:r>
        <w:fldChar w:fldCharType="separate"/>
      </w:r>
      <w:r w:rsidR="00C741B2">
        <w:t>17</w:t>
      </w:r>
      <w:r>
        <w:fldChar w:fldCharType="end"/>
      </w:r>
    </w:p>
    <w:p w:rsidR="00A831BD" w:rsidRPr="0090610B" w:rsidRDefault="00A831BD">
      <w:pPr>
        <w:pStyle w:val="TOC2"/>
        <w:rPr>
          <w:rFonts w:ascii="Calibri" w:hAnsi="Calibri"/>
          <w:sz w:val="22"/>
          <w:szCs w:val="22"/>
        </w:rPr>
      </w:pPr>
      <w:r w:rsidRPr="0082676A">
        <w:rPr>
          <w:lang w:val="fr-FR"/>
        </w:rPr>
        <w:t>Évaluation de l’homogénéité au moyen des plantes hors</w:t>
      </w:r>
      <w:r w:rsidRPr="0082676A">
        <w:rPr>
          <w:lang w:val="fr-FR"/>
        </w:rPr>
        <w:noBreakHyphen/>
        <w:t>type sur la base de plusieurs échantillons ou sous</w:t>
      </w:r>
      <w:r w:rsidRPr="0082676A">
        <w:rPr>
          <w:lang w:val="fr-FR"/>
        </w:rPr>
        <w:noBreakHyphen/>
        <w:t>échantillons</w:t>
      </w:r>
      <w:r>
        <w:tab/>
      </w:r>
      <w:r>
        <w:fldChar w:fldCharType="begin"/>
      </w:r>
      <w:r>
        <w:instrText xml:space="preserve"> PAGEREF _Toc367888549 \h </w:instrText>
      </w:r>
      <w:r>
        <w:fldChar w:fldCharType="separate"/>
      </w:r>
      <w:r w:rsidR="00C741B2">
        <w:t>18</w:t>
      </w:r>
      <w:r>
        <w:fldChar w:fldCharType="end"/>
      </w:r>
    </w:p>
    <w:p w:rsidR="00A831BD" w:rsidRPr="0090610B" w:rsidRDefault="00A831BD">
      <w:pPr>
        <w:pStyle w:val="TOC2"/>
        <w:rPr>
          <w:rFonts w:ascii="Calibri" w:hAnsi="Calibri"/>
          <w:sz w:val="22"/>
          <w:szCs w:val="22"/>
        </w:rPr>
      </w:pPr>
      <w:r w:rsidRPr="0082676A">
        <w:rPr>
          <w:lang w:val="fr-FR"/>
        </w:rPr>
        <w:t>Utilisation de moyens de communication électroniques pour les réunions</w:t>
      </w:r>
      <w:r>
        <w:tab/>
      </w:r>
      <w:r>
        <w:fldChar w:fldCharType="begin"/>
      </w:r>
      <w:r>
        <w:instrText xml:space="preserve"> PAGEREF _Toc367888550 \h </w:instrText>
      </w:r>
      <w:r>
        <w:fldChar w:fldCharType="separate"/>
      </w:r>
      <w:r w:rsidR="00C741B2">
        <w:t>18</w:t>
      </w:r>
      <w:r>
        <w:fldChar w:fldCharType="end"/>
      </w:r>
    </w:p>
    <w:p w:rsidR="00A831BD" w:rsidRPr="0090610B" w:rsidRDefault="00A831BD">
      <w:pPr>
        <w:pStyle w:val="TOC2"/>
        <w:rPr>
          <w:rFonts w:ascii="Calibri" w:hAnsi="Calibri"/>
          <w:sz w:val="22"/>
          <w:szCs w:val="22"/>
        </w:rPr>
      </w:pPr>
      <w:r w:rsidRPr="0082676A">
        <w:rPr>
          <w:lang w:val="fr-FR"/>
        </w:rPr>
        <w:t>Ateliers préparatoires</w:t>
      </w:r>
      <w:r>
        <w:tab/>
      </w:r>
      <w:r>
        <w:fldChar w:fldCharType="begin"/>
      </w:r>
      <w:r>
        <w:instrText xml:space="preserve"> PAGEREF _Toc367888551 \h </w:instrText>
      </w:r>
      <w:r>
        <w:fldChar w:fldCharType="separate"/>
      </w:r>
      <w:r w:rsidR="00C741B2">
        <w:t>19</w:t>
      </w:r>
      <w:r>
        <w:fldChar w:fldCharType="end"/>
      </w:r>
    </w:p>
    <w:p w:rsidR="00A831BD" w:rsidRPr="0090610B" w:rsidRDefault="00A831BD">
      <w:pPr>
        <w:pStyle w:val="TOC2"/>
        <w:rPr>
          <w:rFonts w:ascii="Calibri" w:hAnsi="Calibri"/>
          <w:sz w:val="22"/>
          <w:szCs w:val="22"/>
        </w:rPr>
      </w:pPr>
      <w:r w:rsidRPr="0082676A">
        <w:rPr>
          <w:lang w:val="fr-FR"/>
        </w:rPr>
        <w:t>Techniques moléculaires</w:t>
      </w:r>
      <w:r>
        <w:tab/>
      </w:r>
      <w:r>
        <w:fldChar w:fldCharType="begin"/>
      </w:r>
      <w:r>
        <w:instrText xml:space="preserve"> PAGEREF _Toc367888552 \h </w:instrText>
      </w:r>
      <w:r>
        <w:fldChar w:fldCharType="separate"/>
      </w:r>
      <w:r w:rsidR="00C741B2">
        <w:t>19</w:t>
      </w:r>
      <w:r>
        <w:fldChar w:fldCharType="end"/>
      </w:r>
    </w:p>
    <w:p w:rsidR="00A831BD" w:rsidRPr="0090610B" w:rsidRDefault="00A831BD">
      <w:pPr>
        <w:pStyle w:val="TOC3"/>
        <w:rPr>
          <w:rFonts w:ascii="Calibri" w:hAnsi="Calibri"/>
          <w:i w:val="0"/>
          <w:sz w:val="22"/>
          <w:szCs w:val="22"/>
          <w:lang w:val="en-US"/>
        </w:rPr>
      </w:pPr>
      <w:r w:rsidRPr="0082676A">
        <w:t>Groupe de travail sur les techniques biochimiques et moléculaires, notamment les profils d’ADN (BMT)</w:t>
      </w:r>
      <w:r>
        <w:tab/>
      </w:r>
      <w:r>
        <w:fldChar w:fldCharType="begin"/>
      </w:r>
      <w:r>
        <w:instrText xml:space="preserve"> PAGEREF _Toc367888553 \h </w:instrText>
      </w:r>
      <w:r>
        <w:fldChar w:fldCharType="separate"/>
      </w:r>
      <w:r w:rsidR="00C741B2">
        <w:t>19</w:t>
      </w:r>
      <w:r>
        <w:fldChar w:fldCharType="end"/>
      </w:r>
    </w:p>
    <w:p w:rsidR="00A831BD" w:rsidRPr="0090610B" w:rsidRDefault="00A831BD">
      <w:pPr>
        <w:pStyle w:val="TOC2"/>
        <w:rPr>
          <w:rFonts w:ascii="Calibri" w:hAnsi="Calibri"/>
          <w:sz w:val="22"/>
          <w:szCs w:val="22"/>
        </w:rPr>
      </w:pPr>
      <w:r w:rsidRPr="0082676A">
        <w:rPr>
          <w:lang w:val="fr-FR"/>
        </w:rPr>
        <w:t>Débat sur les techniques moléculaires</w:t>
      </w:r>
      <w:r>
        <w:tab/>
      </w:r>
      <w:r>
        <w:fldChar w:fldCharType="begin"/>
      </w:r>
      <w:r>
        <w:instrText xml:space="preserve"> PAGEREF _Toc367888554 \h </w:instrText>
      </w:r>
      <w:r>
        <w:fldChar w:fldCharType="separate"/>
      </w:r>
      <w:r w:rsidR="00C741B2">
        <w:t>19</w:t>
      </w:r>
      <w:r>
        <w:fldChar w:fldCharType="end"/>
      </w:r>
    </w:p>
    <w:p w:rsidR="00A831BD" w:rsidRPr="0090610B" w:rsidRDefault="00A831BD">
      <w:pPr>
        <w:pStyle w:val="TOC3"/>
        <w:rPr>
          <w:rFonts w:ascii="Calibri" w:hAnsi="Calibri"/>
          <w:i w:val="0"/>
          <w:sz w:val="22"/>
          <w:szCs w:val="22"/>
          <w:lang w:val="en-US"/>
        </w:rPr>
      </w:pPr>
      <w:r w:rsidRPr="0082676A">
        <w:t>Application de modèles par des membres de l’Union</w:t>
      </w:r>
      <w:r>
        <w:tab/>
      </w:r>
      <w:r>
        <w:fldChar w:fldCharType="begin"/>
      </w:r>
      <w:r>
        <w:instrText xml:space="preserve"> PAGEREF _Toc367888555 \h </w:instrText>
      </w:r>
      <w:r>
        <w:fldChar w:fldCharType="separate"/>
      </w:r>
      <w:r w:rsidR="00C741B2">
        <w:t>19</w:t>
      </w:r>
      <w:r>
        <w:fldChar w:fldCharType="end"/>
      </w:r>
    </w:p>
    <w:p w:rsidR="00A831BD" w:rsidRPr="0090610B" w:rsidRDefault="00A831BD">
      <w:pPr>
        <w:pStyle w:val="TOC3"/>
        <w:rPr>
          <w:rFonts w:ascii="Calibri" w:hAnsi="Calibri"/>
          <w:i w:val="0"/>
          <w:sz w:val="22"/>
          <w:szCs w:val="22"/>
          <w:lang w:val="en-US"/>
        </w:rPr>
      </w:pPr>
      <w:r w:rsidRPr="0082676A">
        <w:t>Présentation de la situation concernant l’utilisation de techniques moléculaires dans d’autres organisations internationales</w:t>
      </w:r>
      <w:r>
        <w:tab/>
      </w:r>
      <w:r>
        <w:fldChar w:fldCharType="begin"/>
      </w:r>
      <w:r>
        <w:instrText xml:space="preserve"> PAGEREF _Toc367888556 \h </w:instrText>
      </w:r>
      <w:r>
        <w:fldChar w:fldCharType="separate"/>
      </w:r>
      <w:r w:rsidR="00C741B2">
        <w:t>20</w:t>
      </w:r>
      <w:r>
        <w:fldChar w:fldCharType="end"/>
      </w:r>
    </w:p>
    <w:p w:rsidR="00A831BD" w:rsidRPr="0090610B" w:rsidRDefault="00A831BD">
      <w:pPr>
        <w:pStyle w:val="TOC3"/>
        <w:rPr>
          <w:rFonts w:ascii="Calibri" w:hAnsi="Calibri"/>
          <w:i w:val="0"/>
          <w:sz w:val="22"/>
          <w:szCs w:val="22"/>
          <w:lang w:val="en-US"/>
        </w:rPr>
      </w:pPr>
      <w:r w:rsidRPr="0082676A">
        <w:t>Débat</w:t>
      </w:r>
      <w:r>
        <w:tab/>
      </w:r>
      <w:r>
        <w:fldChar w:fldCharType="begin"/>
      </w:r>
      <w:r>
        <w:instrText xml:space="preserve"> PAGEREF _Toc367888557 \h </w:instrText>
      </w:r>
      <w:r>
        <w:fldChar w:fldCharType="separate"/>
      </w:r>
      <w:r w:rsidR="00C741B2">
        <w:t>20</w:t>
      </w:r>
      <w:r>
        <w:fldChar w:fldCharType="end"/>
      </w:r>
    </w:p>
    <w:p w:rsidR="00A831BD" w:rsidRPr="0090610B" w:rsidRDefault="00A831BD">
      <w:pPr>
        <w:pStyle w:val="TOC2"/>
        <w:rPr>
          <w:rFonts w:ascii="Calibri" w:hAnsi="Calibri"/>
          <w:sz w:val="22"/>
          <w:szCs w:val="22"/>
        </w:rPr>
      </w:pPr>
      <w:r w:rsidRPr="0082676A">
        <w:rPr>
          <w:lang w:val="fr-FR"/>
        </w:rPr>
        <w:t>Utilisation des rapports d’examen DHS par des membres de l’Union</w:t>
      </w:r>
      <w:r>
        <w:tab/>
      </w:r>
      <w:r>
        <w:fldChar w:fldCharType="begin"/>
      </w:r>
      <w:r>
        <w:instrText xml:space="preserve"> PAGEREF _Toc367888558 \h </w:instrText>
      </w:r>
      <w:r>
        <w:fldChar w:fldCharType="separate"/>
      </w:r>
      <w:r w:rsidR="00C741B2">
        <w:t>21</w:t>
      </w:r>
      <w:r>
        <w:fldChar w:fldCharType="end"/>
      </w:r>
    </w:p>
    <w:p w:rsidR="00A831BD" w:rsidRPr="0090610B" w:rsidRDefault="00A831BD">
      <w:pPr>
        <w:pStyle w:val="TOC3"/>
        <w:rPr>
          <w:rFonts w:ascii="Calibri" w:hAnsi="Calibri"/>
          <w:i w:val="0"/>
          <w:sz w:val="22"/>
          <w:szCs w:val="22"/>
          <w:lang w:val="en-US"/>
        </w:rPr>
      </w:pPr>
      <w:r w:rsidRPr="0082676A">
        <w:t>Introduction</w:t>
      </w:r>
      <w:r>
        <w:tab/>
      </w:r>
      <w:r>
        <w:fldChar w:fldCharType="begin"/>
      </w:r>
      <w:r>
        <w:instrText xml:space="preserve"> PAGEREF _Toc367888559 \h </w:instrText>
      </w:r>
      <w:r>
        <w:fldChar w:fldCharType="separate"/>
      </w:r>
      <w:r w:rsidR="00C741B2">
        <w:t>21</w:t>
      </w:r>
      <w:r>
        <w:fldChar w:fldCharType="end"/>
      </w:r>
    </w:p>
    <w:p w:rsidR="00A831BD" w:rsidRPr="0090610B" w:rsidRDefault="00A831BD">
      <w:pPr>
        <w:pStyle w:val="TOC3"/>
        <w:rPr>
          <w:rFonts w:ascii="Calibri" w:hAnsi="Calibri"/>
          <w:i w:val="0"/>
          <w:sz w:val="22"/>
          <w:szCs w:val="22"/>
          <w:lang w:val="en-US"/>
        </w:rPr>
      </w:pPr>
      <w:r w:rsidRPr="0082676A">
        <w:t>Utilisation des rapports d’examen DHS en Australie</w:t>
      </w:r>
      <w:r>
        <w:tab/>
      </w:r>
      <w:r>
        <w:fldChar w:fldCharType="begin"/>
      </w:r>
      <w:r>
        <w:instrText xml:space="preserve"> PAGEREF _Toc367888560 \h </w:instrText>
      </w:r>
      <w:r>
        <w:fldChar w:fldCharType="separate"/>
      </w:r>
      <w:r w:rsidR="00C741B2">
        <w:t>21</w:t>
      </w:r>
      <w:r>
        <w:fldChar w:fldCharType="end"/>
      </w:r>
    </w:p>
    <w:p w:rsidR="00A831BD" w:rsidRPr="0090610B" w:rsidRDefault="00A831BD">
      <w:pPr>
        <w:pStyle w:val="TOC3"/>
        <w:rPr>
          <w:rFonts w:ascii="Calibri" w:hAnsi="Calibri"/>
          <w:i w:val="0"/>
          <w:sz w:val="22"/>
          <w:szCs w:val="22"/>
          <w:lang w:val="en-US"/>
        </w:rPr>
      </w:pPr>
      <w:r w:rsidRPr="0082676A">
        <w:t>Utilisation des rapports d’examen DHS au Brésil</w:t>
      </w:r>
      <w:r>
        <w:tab/>
      </w:r>
      <w:r>
        <w:fldChar w:fldCharType="begin"/>
      </w:r>
      <w:r>
        <w:instrText xml:space="preserve"> PAGEREF _Toc367888561 \h </w:instrText>
      </w:r>
      <w:r>
        <w:fldChar w:fldCharType="separate"/>
      </w:r>
      <w:r w:rsidR="00C741B2">
        <w:t>21</w:t>
      </w:r>
      <w:r>
        <w:fldChar w:fldCharType="end"/>
      </w:r>
    </w:p>
    <w:p w:rsidR="00A831BD" w:rsidRPr="0090610B" w:rsidRDefault="00A831BD">
      <w:pPr>
        <w:pStyle w:val="TOC3"/>
        <w:rPr>
          <w:rFonts w:ascii="Calibri" w:hAnsi="Calibri"/>
          <w:i w:val="0"/>
          <w:sz w:val="22"/>
          <w:szCs w:val="22"/>
          <w:lang w:val="en-US"/>
        </w:rPr>
      </w:pPr>
      <w:r w:rsidRPr="0082676A">
        <w:t>Utilisation des rapports d’examen DHS dans l’Union européenne</w:t>
      </w:r>
      <w:r>
        <w:tab/>
      </w:r>
      <w:r>
        <w:fldChar w:fldCharType="begin"/>
      </w:r>
      <w:r>
        <w:instrText xml:space="preserve"> PAGEREF _Toc367888562 \h </w:instrText>
      </w:r>
      <w:r>
        <w:fldChar w:fldCharType="separate"/>
      </w:r>
      <w:r w:rsidR="00C741B2">
        <w:t>21</w:t>
      </w:r>
      <w:r>
        <w:fldChar w:fldCharType="end"/>
      </w:r>
    </w:p>
    <w:p w:rsidR="00A831BD" w:rsidRPr="0090610B" w:rsidRDefault="00A831BD">
      <w:pPr>
        <w:pStyle w:val="TOC3"/>
        <w:rPr>
          <w:rFonts w:ascii="Calibri" w:hAnsi="Calibri"/>
          <w:i w:val="0"/>
          <w:sz w:val="22"/>
          <w:szCs w:val="22"/>
          <w:lang w:val="en-US"/>
        </w:rPr>
      </w:pPr>
      <w:r w:rsidRPr="0082676A">
        <w:t>Utilisation des rapports d’examen DHS en France</w:t>
      </w:r>
      <w:r>
        <w:tab/>
      </w:r>
      <w:r>
        <w:fldChar w:fldCharType="begin"/>
      </w:r>
      <w:r>
        <w:instrText xml:space="preserve"> PAGEREF _Toc367888563 \h </w:instrText>
      </w:r>
      <w:r>
        <w:fldChar w:fldCharType="separate"/>
      </w:r>
      <w:r w:rsidR="00C741B2">
        <w:t>21</w:t>
      </w:r>
      <w:r>
        <w:fldChar w:fldCharType="end"/>
      </w:r>
    </w:p>
    <w:p w:rsidR="00A831BD" w:rsidRPr="0090610B" w:rsidRDefault="00A831BD">
      <w:pPr>
        <w:pStyle w:val="TOC3"/>
        <w:rPr>
          <w:rFonts w:ascii="Calibri" w:hAnsi="Calibri"/>
          <w:i w:val="0"/>
          <w:sz w:val="22"/>
          <w:szCs w:val="22"/>
          <w:lang w:val="en-US"/>
        </w:rPr>
      </w:pPr>
      <w:r w:rsidRPr="0082676A">
        <w:t>Utilisation des rapports d’examen DHS en Allemagne</w:t>
      </w:r>
      <w:r>
        <w:tab/>
      </w:r>
      <w:r>
        <w:fldChar w:fldCharType="begin"/>
      </w:r>
      <w:r>
        <w:instrText xml:space="preserve"> PAGEREF _Toc367888564 \h </w:instrText>
      </w:r>
      <w:r>
        <w:fldChar w:fldCharType="separate"/>
      </w:r>
      <w:r w:rsidR="00C741B2">
        <w:t>21</w:t>
      </w:r>
      <w:r>
        <w:fldChar w:fldCharType="end"/>
      </w:r>
    </w:p>
    <w:p w:rsidR="00A831BD" w:rsidRPr="0090610B" w:rsidRDefault="00A831BD">
      <w:pPr>
        <w:pStyle w:val="TOC3"/>
        <w:rPr>
          <w:rFonts w:ascii="Calibri" w:hAnsi="Calibri"/>
          <w:i w:val="0"/>
          <w:sz w:val="22"/>
          <w:szCs w:val="22"/>
          <w:lang w:val="en-US"/>
        </w:rPr>
      </w:pPr>
      <w:r w:rsidRPr="0082676A">
        <w:t>Utilisation des rapports d’examen DHS au Japon</w:t>
      </w:r>
      <w:r>
        <w:tab/>
      </w:r>
      <w:r>
        <w:fldChar w:fldCharType="begin"/>
      </w:r>
      <w:r>
        <w:instrText xml:space="preserve"> PAGEREF _Toc367888565 \h </w:instrText>
      </w:r>
      <w:r>
        <w:fldChar w:fldCharType="separate"/>
      </w:r>
      <w:r w:rsidR="00C741B2">
        <w:t>21</w:t>
      </w:r>
      <w:r>
        <w:fldChar w:fldCharType="end"/>
      </w:r>
    </w:p>
    <w:p w:rsidR="00A831BD" w:rsidRPr="0090610B" w:rsidRDefault="00A831BD">
      <w:pPr>
        <w:pStyle w:val="TOC3"/>
        <w:rPr>
          <w:rFonts w:ascii="Calibri" w:hAnsi="Calibri"/>
          <w:i w:val="0"/>
          <w:sz w:val="22"/>
          <w:szCs w:val="22"/>
          <w:lang w:val="en-US"/>
        </w:rPr>
      </w:pPr>
      <w:r w:rsidRPr="0082676A">
        <w:t>Utilisation des rapports d’examen DHS au Mexique</w:t>
      </w:r>
      <w:r>
        <w:tab/>
      </w:r>
      <w:r>
        <w:fldChar w:fldCharType="begin"/>
      </w:r>
      <w:r>
        <w:instrText xml:space="preserve"> PAGEREF _Toc367888566 \h </w:instrText>
      </w:r>
      <w:r>
        <w:fldChar w:fldCharType="separate"/>
      </w:r>
      <w:r w:rsidR="00C741B2">
        <w:t>21</w:t>
      </w:r>
      <w:r>
        <w:fldChar w:fldCharType="end"/>
      </w:r>
    </w:p>
    <w:p w:rsidR="00A831BD" w:rsidRPr="0090610B" w:rsidRDefault="00A831BD">
      <w:pPr>
        <w:pStyle w:val="TOC3"/>
        <w:rPr>
          <w:rFonts w:ascii="Calibri" w:hAnsi="Calibri"/>
          <w:i w:val="0"/>
          <w:sz w:val="22"/>
          <w:szCs w:val="22"/>
          <w:lang w:val="en-US"/>
        </w:rPr>
      </w:pPr>
      <w:r w:rsidRPr="0082676A">
        <w:t>Utilisation des rapports d’examen DHS aux Pays</w:t>
      </w:r>
      <w:r w:rsidRPr="0082676A">
        <w:noBreakHyphen/>
        <w:t>Bas</w:t>
      </w:r>
      <w:r>
        <w:tab/>
      </w:r>
      <w:r>
        <w:fldChar w:fldCharType="begin"/>
      </w:r>
      <w:r>
        <w:instrText xml:space="preserve"> PAGEREF _Toc367888567 \h </w:instrText>
      </w:r>
      <w:r>
        <w:fldChar w:fldCharType="separate"/>
      </w:r>
      <w:r w:rsidR="00C741B2">
        <w:t>22</w:t>
      </w:r>
      <w:r>
        <w:fldChar w:fldCharType="end"/>
      </w:r>
    </w:p>
    <w:p w:rsidR="00A831BD" w:rsidRPr="0090610B" w:rsidRDefault="00A831BD">
      <w:pPr>
        <w:pStyle w:val="TOC3"/>
        <w:rPr>
          <w:rFonts w:ascii="Calibri" w:hAnsi="Calibri"/>
          <w:i w:val="0"/>
          <w:sz w:val="22"/>
          <w:szCs w:val="22"/>
          <w:lang w:val="en-US"/>
        </w:rPr>
      </w:pPr>
      <w:r w:rsidRPr="0082676A">
        <w:t>Débat</w:t>
      </w:r>
      <w:r>
        <w:tab/>
      </w:r>
      <w:r>
        <w:fldChar w:fldCharType="begin"/>
      </w:r>
      <w:r>
        <w:instrText xml:space="preserve"> PAGEREF _Toc367888568 \h </w:instrText>
      </w:r>
      <w:r>
        <w:fldChar w:fldCharType="separate"/>
      </w:r>
      <w:r w:rsidR="00C741B2">
        <w:t>22</w:t>
      </w:r>
      <w:r>
        <w:fldChar w:fldCharType="end"/>
      </w:r>
    </w:p>
    <w:p w:rsidR="00A831BD" w:rsidRPr="0090610B" w:rsidRDefault="00A831BD">
      <w:pPr>
        <w:pStyle w:val="TOC2"/>
        <w:rPr>
          <w:rFonts w:ascii="Calibri" w:hAnsi="Calibri"/>
          <w:sz w:val="22"/>
          <w:szCs w:val="22"/>
        </w:rPr>
      </w:pPr>
      <w:r w:rsidRPr="0082676A">
        <w:rPr>
          <w:lang w:val="fr-FR"/>
        </w:rPr>
        <w:t>Principes directeurs d’examen</w:t>
      </w:r>
      <w:r>
        <w:tab/>
      </w:r>
      <w:r>
        <w:fldChar w:fldCharType="begin"/>
      </w:r>
      <w:r>
        <w:instrText xml:space="preserve"> PAGEREF _Toc367888569 \h </w:instrText>
      </w:r>
      <w:r>
        <w:fldChar w:fldCharType="separate"/>
      </w:r>
      <w:r w:rsidR="00C741B2">
        <w:t>22</w:t>
      </w:r>
      <w:r>
        <w:fldChar w:fldCharType="end"/>
      </w:r>
    </w:p>
    <w:p w:rsidR="00A831BD" w:rsidRPr="0090610B" w:rsidRDefault="00A831BD">
      <w:pPr>
        <w:pStyle w:val="TOC3"/>
        <w:rPr>
          <w:rFonts w:ascii="Calibri" w:hAnsi="Calibri"/>
          <w:i w:val="0"/>
          <w:sz w:val="22"/>
          <w:szCs w:val="22"/>
          <w:lang w:val="en-US"/>
        </w:rPr>
      </w:pPr>
      <w:r w:rsidRPr="0082676A">
        <w:t>Caractères supplémentaires</w:t>
      </w:r>
      <w:r>
        <w:tab/>
      </w:r>
      <w:r>
        <w:fldChar w:fldCharType="begin"/>
      </w:r>
      <w:r>
        <w:instrText xml:space="preserve"> PAGEREF _Toc367888570 \h </w:instrText>
      </w:r>
      <w:r>
        <w:fldChar w:fldCharType="separate"/>
      </w:r>
      <w:r w:rsidR="00C741B2">
        <w:t>24</w:t>
      </w:r>
      <w:r>
        <w:fldChar w:fldCharType="end"/>
      </w:r>
    </w:p>
    <w:p w:rsidR="00A831BD" w:rsidRPr="0090610B" w:rsidRDefault="00A831BD">
      <w:pPr>
        <w:pStyle w:val="TOC3"/>
        <w:rPr>
          <w:rFonts w:ascii="Calibri" w:hAnsi="Calibri"/>
          <w:i w:val="0"/>
          <w:sz w:val="22"/>
          <w:szCs w:val="22"/>
          <w:lang w:val="en-US"/>
        </w:rPr>
      </w:pPr>
      <w:r w:rsidRPr="0082676A">
        <w:lastRenderedPageBreak/>
        <w:t>Corrections de principes directeurs d’examen</w:t>
      </w:r>
      <w:r>
        <w:tab/>
      </w:r>
      <w:r>
        <w:fldChar w:fldCharType="begin"/>
      </w:r>
      <w:r>
        <w:instrText xml:space="preserve"> PAGEREF _Toc367888571 \h </w:instrText>
      </w:r>
      <w:r>
        <w:fldChar w:fldCharType="separate"/>
      </w:r>
      <w:r w:rsidR="00C741B2">
        <w:t>24</w:t>
      </w:r>
      <w:r>
        <w:fldChar w:fldCharType="end"/>
      </w:r>
    </w:p>
    <w:p w:rsidR="00A831BD" w:rsidRPr="0090610B" w:rsidRDefault="00A831BD">
      <w:pPr>
        <w:pStyle w:val="TOC3"/>
        <w:rPr>
          <w:rFonts w:ascii="Calibri" w:hAnsi="Calibri"/>
          <w:i w:val="0"/>
          <w:sz w:val="22"/>
          <w:szCs w:val="22"/>
          <w:lang w:val="en-US"/>
        </w:rPr>
      </w:pPr>
      <w:r w:rsidRPr="0082676A">
        <w:t>Projets de principes directeurs d’examen examinés par les groupes de travail techniques en 2012</w:t>
      </w:r>
      <w:r>
        <w:tab/>
      </w:r>
      <w:r>
        <w:fldChar w:fldCharType="begin"/>
      </w:r>
      <w:r>
        <w:instrText xml:space="preserve"> PAGEREF _Toc367888572 \h </w:instrText>
      </w:r>
      <w:r>
        <w:fldChar w:fldCharType="separate"/>
      </w:r>
      <w:r w:rsidR="00C741B2">
        <w:t>24</w:t>
      </w:r>
      <w:r>
        <w:fldChar w:fldCharType="end"/>
      </w:r>
    </w:p>
    <w:p w:rsidR="00A831BD" w:rsidRPr="0090610B" w:rsidRDefault="00A831BD">
      <w:pPr>
        <w:pStyle w:val="TOC3"/>
        <w:rPr>
          <w:rFonts w:ascii="Calibri" w:hAnsi="Calibri"/>
          <w:i w:val="0"/>
          <w:sz w:val="22"/>
          <w:szCs w:val="22"/>
          <w:lang w:val="en-US"/>
        </w:rPr>
      </w:pPr>
      <w:r w:rsidRPr="0082676A">
        <w:t>Projets de principes directeurs d’examen devant être examinés par les groupes de travail techniques en 2013</w:t>
      </w:r>
      <w:r>
        <w:tab/>
      </w:r>
      <w:r>
        <w:fldChar w:fldCharType="begin"/>
      </w:r>
      <w:r>
        <w:instrText xml:space="preserve"> PAGEREF _Toc367888573 \h </w:instrText>
      </w:r>
      <w:r>
        <w:fldChar w:fldCharType="separate"/>
      </w:r>
      <w:r w:rsidR="00C741B2">
        <w:t>24</w:t>
      </w:r>
      <w:r>
        <w:fldChar w:fldCharType="end"/>
      </w:r>
    </w:p>
    <w:p w:rsidR="00A831BD" w:rsidRPr="0090610B" w:rsidRDefault="00A831BD">
      <w:pPr>
        <w:pStyle w:val="TOC3"/>
        <w:rPr>
          <w:rFonts w:ascii="Calibri" w:hAnsi="Calibri"/>
          <w:i w:val="0"/>
          <w:sz w:val="22"/>
          <w:szCs w:val="22"/>
          <w:lang w:val="en-US"/>
        </w:rPr>
      </w:pPr>
      <w:r w:rsidRPr="0082676A">
        <w:t>Principes directeurs d’examen sur le site Web de l’UPOV</w:t>
      </w:r>
      <w:r>
        <w:tab/>
      </w:r>
      <w:r>
        <w:fldChar w:fldCharType="begin"/>
      </w:r>
      <w:r>
        <w:instrText xml:space="preserve"> PAGEREF _Toc367888574 \h </w:instrText>
      </w:r>
      <w:r>
        <w:fldChar w:fldCharType="separate"/>
      </w:r>
      <w:r w:rsidR="00C741B2">
        <w:t>24</w:t>
      </w:r>
      <w:r>
        <w:fldChar w:fldCharType="end"/>
      </w:r>
    </w:p>
    <w:p w:rsidR="00A831BD" w:rsidRPr="0090610B" w:rsidRDefault="00A831BD">
      <w:pPr>
        <w:pStyle w:val="TOC2"/>
        <w:rPr>
          <w:rFonts w:ascii="Calibri" w:hAnsi="Calibri"/>
          <w:sz w:val="22"/>
          <w:szCs w:val="22"/>
        </w:rPr>
      </w:pPr>
      <w:r w:rsidRPr="0082676A">
        <w:rPr>
          <w:snapToGrid w:val="0"/>
          <w:lang w:val="fr-FR"/>
        </w:rPr>
        <w:t>Liste des genres et espèces pour lesquels les services ont une expérience pratique en matière d’examen de la distinction, de l’homogénéité et de la stabilité</w:t>
      </w:r>
      <w:r>
        <w:tab/>
      </w:r>
      <w:r>
        <w:fldChar w:fldCharType="begin"/>
      </w:r>
      <w:r>
        <w:instrText xml:space="preserve"> PAGEREF _Toc367888575 \h </w:instrText>
      </w:r>
      <w:r>
        <w:fldChar w:fldCharType="separate"/>
      </w:r>
      <w:r w:rsidR="00C741B2">
        <w:t>25</w:t>
      </w:r>
      <w:r>
        <w:fldChar w:fldCharType="end"/>
      </w:r>
    </w:p>
    <w:p w:rsidR="00A831BD" w:rsidRPr="0090610B" w:rsidRDefault="00A831BD">
      <w:pPr>
        <w:pStyle w:val="TOC2"/>
        <w:rPr>
          <w:rFonts w:ascii="Calibri" w:hAnsi="Calibri"/>
          <w:sz w:val="22"/>
          <w:szCs w:val="22"/>
        </w:rPr>
      </w:pPr>
      <w:r w:rsidRPr="0082676A">
        <w:rPr>
          <w:snapToGrid w:val="0"/>
          <w:lang w:val="fr-FR"/>
        </w:rPr>
        <w:t>Programme de la cinquantième session</w:t>
      </w:r>
      <w:r>
        <w:tab/>
      </w:r>
      <w:r>
        <w:fldChar w:fldCharType="begin"/>
      </w:r>
      <w:r>
        <w:instrText xml:space="preserve"> PAGEREF _Toc367888576 \h </w:instrText>
      </w:r>
      <w:r>
        <w:fldChar w:fldCharType="separate"/>
      </w:r>
      <w:r w:rsidR="00C741B2">
        <w:t>25</w:t>
      </w:r>
      <w:r>
        <w:fldChar w:fldCharType="end"/>
      </w:r>
    </w:p>
    <w:p w:rsidR="00A831BD" w:rsidRPr="0090610B" w:rsidRDefault="00A831BD">
      <w:pPr>
        <w:pStyle w:val="TOC2"/>
        <w:rPr>
          <w:rFonts w:ascii="Calibri" w:hAnsi="Calibri"/>
          <w:sz w:val="22"/>
          <w:szCs w:val="22"/>
        </w:rPr>
      </w:pPr>
      <w:r w:rsidRPr="0082676A">
        <w:rPr>
          <w:lang w:val="fr-FR"/>
        </w:rPr>
        <w:t>Président et vice</w:t>
      </w:r>
      <w:r w:rsidRPr="0082676A">
        <w:rPr>
          <w:lang w:val="fr-FR"/>
        </w:rPr>
        <w:noBreakHyphen/>
        <w:t>président</w:t>
      </w:r>
      <w:r>
        <w:tab/>
      </w:r>
      <w:r>
        <w:fldChar w:fldCharType="begin"/>
      </w:r>
      <w:r>
        <w:instrText xml:space="preserve"> PAGEREF _Toc367888577 \h </w:instrText>
      </w:r>
      <w:r>
        <w:fldChar w:fldCharType="separate"/>
      </w:r>
      <w:r w:rsidR="00C741B2">
        <w:t>26</w:t>
      </w:r>
      <w:r>
        <w:fldChar w:fldCharType="end"/>
      </w:r>
    </w:p>
    <w:p w:rsidR="00A831BD" w:rsidRPr="0090610B" w:rsidRDefault="00A831BD">
      <w:pPr>
        <w:pStyle w:val="TOC1"/>
        <w:rPr>
          <w:rFonts w:ascii="Calibri" w:hAnsi="Calibri"/>
          <w:caps w:val="0"/>
          <w:sz w:val="22"/>
          <w:szCs w:val="22"/>
        </w:rPr>
      </w:pPr>
      <w:r w:rsidRPr="0082676A">
        <w:rPr>
          <w:lang w:val="fr-FR"/>
        </w:rPr>
        <w:t>II.</w:t>
      </w:r>
      <w:r w:rsidRPr="0090610B">
        <w:rPr>
          <w:rFonts w:ascii="Calibri" w:hAnsi="Calibri"/>
          <w:caps w:val="0"/>
          <w:sz w:val="22"/>
          <w:szCs w:val="22"/>
        </w:rPr>
        <w:tab/>
      </w:r>
      <w:r w:rsidRPr="0082676A">
        <w:rPr>
          <w:lang w:val="fr-FR"/>
        </w:rPr>
        <w:t>RAPPORT SUR L’ÉTAT D’AVANCEMENT DES TRAVAUX DES GROUPES DE TRAVAIL TECHNIQUES ET DU GROUPE DE TRAVAIL SUR LES TECHNIQUES BIOCHIMIQUES ET MOLÉCULAIRES, NOTAMMENT LES PROFILS D’ADN EN 2012</w:t>
      </w:r>
      <w:r>
        <w:tab/>
      </w:r>
      <w:r>
        <w:fldChar w:fldCharType="begin"/>
      </w:r>
      <w:r>
        <w:instrText xml:space="preserve"> PAGEREF _Toc367888578 \h </w:instrText>
      </w:r>
      <w:r>
        <w:fldChar w:fldCharType="separate"/>
      </w:r>
      <w:r w:rsidR="00C741B2">
        <w:t>26</w:t>
      </w:r>
      <w:r>
        <w:fldChar w:fldCharType="end"/>
      </w:r>
    </w:p>
    <w:p w:rsidR="00A831BD" w:rsidRPr="0090610B" w:rsidRDefault="00A831BD">
      <w:pPr>
        <w:pStyle w:val="TOC2"/>
        <w:rPr>
          <w:rFonts w:ascii="Calibri" w:hAnsi="Calibri"/>
          <w:sz w:val="22"/>
          <w:szCs w:val="22"/>
        </w:rPr>
      </w:pPr>
      <w:r w:rsidRPr="0082676A">
        <w:rPr>
          <w:lang w:val="fr-FR"/>
        </w:rPr>
        <w:t>Groupe de travail technique sur les plantes agricoles (TWA)</w:t>
      </w:r>
      <w:r>
        <w:tab/>
      </w:r>
      <w:r>
        <w:fldChar w:fldCharType="begin"/>
      </w:r>
      <w:r>
        <w:instrText xml:space="preserve"> PAGEREF _Toc367888579 \h </w:instrText>
      </w:r>
      <w:r>
        <w:fldChar w:fldCharType="separate"/>
      </w:r>
      <w:r w:rsidR="00C741B2">
        <w:t>26</w:t>
      </w:r>
      <w:r>
        <w:fldChar w:fldCharType="end"/>
      </w:r>
    </w:p>
    <w:p w:rsidR="00A831BD" w:rsidRPr="0090610B" w:rsidRDefault="00A831BD">
      <w:pPr>
        <w:pStyle w:val="TOC2"/>
        <w:rPr>
          <w:rFonts w:ascii="Calibri" w:hAnsi="Calibri"/>
          <w:sz w:val="22"/>
          <w:szCs w:val="22"/>
        </w:rPr>
      </w:pPr>
      <w:r w:rsidRPr="0082676A">
        <w:rPr>
          <w:lang w:val="fr-FR"/>
        </w:rPr>
        <w:t>Groupe de travail technique sur les systèmes d’automatisation et les programmes d’ordinateur (TWC)</w:t>
      </w:r>
      <w:r>
        <w:tab/>
      </w:r>
      <w:r>
        <w:fldChar w:fldCharType="begin"/>
      </w:r>
      <w:r>
        <w:instrText xml:space="preserve"> PAGEREF _Toc367888580 \h </w:instrText>
      </w:r>
      <w:r>
        <w:fldChar w:fldCharType="separate"/>
      </w:r>
      <w:r w:rsidR="00C741B2">
        <w:t>28</w:t>
      </w:r>
      <w:r>
        <w:fldChar w:fldCharType="end"/>
      </w:r>
    </w:p>
    <w:p w:rsidR="00A831BD" w:rsidRPr="0090610B" w:rsidRDefault="00A831BD">
      <w:pPr>
        <w:pStyle w:val="TOC2"/>
        <w:rPr>
          <w:rFonts w:ascii="Calibri" w:hAnsi="Calibri"/>
          <w:sz w:val="22"/>
          <w:szCs w:val="22"/>
        </w:rPr>
      </w:pPr>
      <w:r w:rsidRPr="0082676A">
        <w:rPr>
          <w:lang w:val="fr-FR"/>
        </w:rPr>
        <w:t>Groupe de travail technique sur les plantes fruitières (TWF)</w:t>
      </w:r>
      <w:r>
        <w:tab/>
      </w:r>
      <w:r>
        <w:fldChar w:fldCharType="begin"/>
      </w:r>
      <w:r>
        <w:instrText xml:space="preserve"> PAGEREF _Toc367888581 \h </w:instrText>
      </w:r>
      <w:r>
        <w:fldChar w:fldCharType="separate"/>
      </w:r>
      <w:r w:rsidR="00C741B2">
        <w:t>31</w:t>
      </w:r>
      <w:r>
        <w:fldChar w:fldCharType="end"/>
      </w:r>
    </w:p>
    <w:p w:rsidR="00A831BD" w:rsidRPr="0090610B" w:rsidRDefault="00A831BD">
      <w:pPr>
        <w:pStyle w:val="TOC2"/>
        <w:rPr>
          <w:rFonts w:ascii="Calibri" w:hAnsi="Calibri"/>
          <w:sz w:val="22"/>
          <w:szCs w:val="22"/>
        </w:rPr>
      </w:pPr>
      <w:r w:rsidRPr="0082676A">
        <w:rPr>
          <w:lang w:val="fr-FR"/>
        </w:rPr>
        <w:t>Groupe de travail technique sur les plantes ornementales et les arbres forestiers (TWO)</w:t>
      </w:r>
      <w:r>
        <w:tab/>
      </w:r>
      <w:r>
        <w:fldChar w:fldCharType="begin"/>
      </w:r>
      <w:r>
        <w:instrText xml:space="preserve"> PAGEREF _Toc367888582 \h </w:instrText>
      </w:r>
      <w:r>
        <w:fldChar w:fldCharType="separate"/>
      </w:r>
      <w:r w:rsidR="00C741B2">
        <w:t>33</w:t>
      </w:r>
      <w:r>
        <w:fldChar w:fldCharType="end"/>
      </w:r>
    </w:p>
    <w:p w:rsidR="00A831BD" w:rsidRPr="0090610B" w:rsidRDefault="00A831BD">
      <w:pPr>
        <w:pStyle w:val="TOC2"/>
        <w:rPr>
          <w:rFonts w:ascii="Calibri" w:hAnsi="Calibri"/>
          <w:sz w:val="22"/>
          <w:szCs w:val="22"/>
        </w:rPr>
      </w:pPr>
      <w:r w:rsidRPr="0082676A">
        <w:rPr>
          <w:lang w:val="fr-FR"/>
        </w:rPr>
        <w:t>Groupe de travail technique sur les plantes potagères (TWV)</w:t>
      </w:r>
      <w:r>
        <w:tab/>
      </w:r>
      <w:r>
        <w:fldChar w:fldCharType="begin"/>
      </w:r>
      <w:r>
        <w:instrText xml:space="preserve"> PAGEREF _Toc367888583 \h </w:instrText>
      </w:r>
      <w:r>
        <w:fldChar w:fldCharType="separate"/>
      </w:r>
      <w:r w:rsidR="00C741B2">
        <w:t>36</w:t>
      </w:r>
      <w:r>
        <w:fldChar w:fldCharType="end"/>
      </w:r>
    </w:p>
    <w:p w:rsidR="00A831BD" w:rsidRPr="0090610B" w:rsidRDefault="00A831BD">
      <w:pPr>
        <w:pStyle w:val="TOC2"/>
        <w:rPr>
          <w:rFonts w:ascii="Calibri" w:hAnsi="Calibri"/>
          <w:sz w:val="22"/>
          <w:szCs w:val="22"/>
        </w:rPr>
      </w:pPr>
      <w:r w:rsidRPr="0082676A">
        <w:rPr>
          <w:lang w:val="fr-FR"/>
        </w:rPr>
        <w:t>Groupe de travail sur les techniques biochimiques et moléculaires, notamment les profils d’ADN (BMT)</w:t>
      </w:r>
      <w:r>
        <w:tab/>
      </w:r>
      <w:r>
        <w:fldChar w:fldCharType="begin"/>
      </w:r>
      <w:r>
        <w:instrText xml:space="preserve"> PAGEREF _Toc367888584 \h </w:instrText>
      </w:r>
      <w:r>
        <w:fldChar w:fldCharType="separate"/>
      </w:r>
      <w:r w:rsidR="00C741B2">
        <w:t>38</w:t>
      </w:r>
      <w:r>
        <w:fldChar w:fldCharType="end"/>
      </w:r>
    </w:p>
    <w:p w:rsidR="00204800" w:rsidRPr="0048528B" w:rsidRDefault="00C97F0D" w:rsidP="000A68B4">
      <w:pPr>
        <w:rPr>
          <w:b/>
          <w:bCs/>
          <w:lang w:val="fr-FR"/>
        </w:rPr>
      </w:pPr>
      <w:r w:rsidRPr="0048528B">
        <w:rPr>
          <w:caps/>
          <w:noProof/>
          <w:lang w:val="fr-FR"/>
        </w:rPr>
        <w:fldChar w:fldCharType="end"/>
      </w:r>
    </w:p>
    <w:p w:rsidR="00204800" w:rsidRPr="0048528B" w:rsidRDefault="00651D2A" w:rsidP="000A68B4">
      <w:pPr>
        <w:rPr>
          <w:lang w:val="fr-FR"/>
        </w:rPr>
      </w:pPr>
      <w:r w:rsidRPr="0048528B">
        <w:rPr>
          <w:lang w:val="fr-FR"/>
        </w:rPr>
        <w:t>ANNEX</w:t>
      </w:r>
      <w:r w:rsidR="001E5EC4" w:rsidRPr="0048528B">
        <w:rPr>
          <w:lang w:val="fr-FR"/>
        </w:rPr>
        <w:t>E </w:t>
      </w:r>
      <w:r w:rsidRPr="0048528B">
        <w:rPr>
          <w:lang w:val="fr-FR"/>
        </w:rPr>
        <w:t>:</w:t>
      </w:r>
      <w:r w:rsidR="00E3136C" w:rsidRPr="0048528B">
        <w:rPr>
          <w:lang w:val="fr-FR"/>
        </w:rPr>
        <w:t xml:space="preserve"> </w:t>
      </w:r>
      <w:r w:rsidRPr="0048528B">
        <w:rPr>
          <w:lang w:val="fr-FR"/>
        </w:rPr>
        <w:tab/>
      </w:r>
      <w:r w:rsidRPr="0048528B">
        <w:rPr>
          <w:lang w:val="fr-FR"/>
        </w:rPr>
        <w:tab/>
        <w:t>PROGRAM</w:t>
      </w:r>
      <w:r w:rsidR="00E32E80" w:rsidRPr="0048528B">
        <w:rPr>
          <w:lang w:val="fr-FR"/>
        </w:rPr>
        <w:t xml:space="preserve">ME D’ÉLABORATION DES </w:t>
      </w:r>
      <w:r w:rsidRPr="0048528B">
        <w:rPr>
          <w:lang w:val="fr-FR"/>
        </w:rPr>
        <w:t>DOCUMENTS</w:t>
      </w:r>
      <w:r w:rsidR="00E32E80" w:rsidRPr="0048528B">
        <w:rPr>
          <w:lang w:val="fr-FR"/>
        </w:rPr>
        <w:t xml:space="preserve"> TGP</w:t>
      </w:r>
    </w:p>
    <w:p w:rsidR="00204800" w:rsidRPr="0048528B" w:rsidRDefault="00651D2A" w:rsidP="000A68B4">
      <w:pPr>
        <w:rPr>
          <w:lang w:val="fr-FR"/>
        </w:rPr>
      </w:pPr>
      <w:r w:rsidRPr="0048528B">
        <w:rPr>
          <w:lang w:val="fr-FR"/>
        </w:rPr>
        <w:t>APPENDI</w:t>
      </w:r>
      <w:r w:rsidR="001E5EC4" w:rsidRPr="0048528B">
        <w:rPr>
          <w:lang w:val="fr-FR"/>
        </w:rPr>
        <w:t>CE I</w:t>
      </w:r>
      <w:r w:rsidR="001E5EC4" w:rsidRPr="0048528B">
        <w:rPr>
          <w:lang w:val="fr-FR"/>
        </w:rPr>
        <w:tab/>
      </w:r>
      <w:r w:rsidRPr="0048528B">
        <w:rPr>
          <w:lang w:val="fr-FR"/>
        </w:rPr>
        <w:t>PROGRAM</w:t>
      </w:r>
      <w:r w:rsidR="00E32E80" w:rsidRPr="0048528B">
        <w:rPr>
          <w:lang w:val="fr-FR"/>
        </w:rPr>
        <w:t>ME DE</w:t>
      </w:r>
      <w:r w:rsidRPr="0048528B">
        <w:rPr>
          <w:lang w:val="fr-FR"/>
        </w:rPr>
        <w:t xml:space="preserve"> R</w:t>
      </w:r>
      <w:r w:rsidR="00E32E80" w:rsidRPr="0048528B">
        <w:rPr>
          <w:lang w:val="fr-FR"/>
        </w:rPr>
        <w:t>É</w:t>
      </w:r>
      <w:r w:rsidRPr="0048528B">
        <w:rPr>
          <w:lang w:val="fr-FR"/>
        </w:rPr>
        <w:t xml:space="preserve">VISION </w:t>
      </w:r>
      <w:r w:rsidR="00E32E80" w:rsidRPr="0048528B">
        <w:rPr>
          <w:lang w:val="fr-FR"/>
        </w:rPr>
        <w:t>DU</w:t>
      </w:r>
      <w:r w:rsidRPr="0048528B">
        <w:rPr>
          <w:lang w:val="fr-FR"/>
        </w:rPr>
        <w:t xml:space="preserve"> DOCUMENT TGP/7</w:t>
      </w:r>
    </w:p>
    <w:p w:rsidR="00204800" w:rsidRPr="0048528B" w:rsidRDefault="00651D2A" w:rsidP="000A68B4">
      <w:pPr>
        <w:rPr>
          <w:lang w:val="fr-FR"/>
        </w:rPr>
      </w:pPr>
      <w:r w:rsidRPr="0048528B">
        <w:rPr>
          <w:lang w:val="fr-FR"/>
        </w:rPr>
        <w:t>APPENDI</w:t>
      </w:r>
      <w:r w:rsidR="001E5EC4" w:rsidRPr="0048528B">
        <w:rPr>
          <w:lang w:val="fr-FR"/>
        </w:rPr>
        <w:t>CE</w:t>
      </w:r>
      <w:r w:rsidRPr="0048528B">
        <w:rPr>
          <w:lang w:val="fr-FR"/>
        </w:rPr>
        <w:t xml:space="preserve"> II</w:t>
      </w:r>
      <w:r w:rsidRPr="0048528B">
        <w:rPr>
          <w:lang w:val="fr-FR"/>
        </w:rPr>
        <w:tab/>
        <w:t>PROGRAM</w:t>
      </w:r>
      <w:r w:rsidR="00E32E80" w:rsidRPr="0048528B">
        <w:rPr>
          <w:lang w:val="fr-FR"/>
        </w:rPr>
        <w:t>ME DE</w:t>
      </w:r>
      <w:r w:rsidRPr="0048528B">
        <w:rPr>
          <w:lang w:val="fr-FR"/>
        </w:rPr>
        <w:t xml:space="preserve"> R</w:t>
      </w:r>
      <w:r w:rsidR="00E32E80" w:rsidRPr="0048528B">
        <w:rPr>
          <w:lang w:val="fr-FR"/>
        </w:rPr>
        <w:t>É</w:t>
      </w:r>
      <w:r w:rsidRPr="0048528B">
        <w:rPr>
          <w:lang w:val="fr-FR"/>
        </w:rPr>
        <w:t xml:space="preserve">VISION </w:t>
      </w:r>
      <w:r w:rsidR="00E32E80" w:rsidRPr="0048528B">
        <w:rPr>
          <w:lang w:val="fr-FR"/>
        </w:rPr>
        <w:t>DU</w:t>
      </w:r>
      <w:r w:rsidRPr="0048528B">
        <w:rPr>
          <w:lang w:val="fr-FR"/>
        </w:rPr>
        <w:t xml:space="preserve"> DOCUMENT TGP/8</w:t>
      </w:r>
    </w:p>
    <w:p w:rsidR="00CE0C30" w:rsidRPr="0048528B" w:rsidRDefault="002B6DFD" w:rsidP="00A64711">
      <w:pPr>
        <w:pStyle w:val="Heading1"/>
        <w:rPr>
          <w:lang w:val="fr-FR"/>
        </w:rPr>
      </w:pPr>
      <w:r w:rsidRPr="0048528B">
        <w:rPr>
          <w:lang w:val="fr-FR"/>
        </w:rPr>
        <w:br w:type="page"/>
      </w:r>
      <w:bookmarkStart w:id="6" w:name="_Toc367888527"/>
      <w:r w:rsidR="00A37DBC" w:rsidRPr="0048528B">
        <w:rPr>
          <w:lang w:val="fr-FR"/>
        </w:rPr>
        <w:lastRenderedPageBreak/>
        <w:t>I.</w:t>
      </w:r>
      <w:r w:rsidR="00E40A4B" w:rsidRPr="0048528B">
        <w:rPr>
          <w:lang w:val="fr-FR"/>
        </w:rPr>
        <w:tab/>
      </w:r>
      <w:r w:rsidR="005D0EBA" w:rsidRPr="0048528B">
        <w:rPr>
          <w:lang w:val="fr-FR"/>
        </w:rPr>
        <w:t>R</w:t>
      </w:r>
      <w:r w:rsidR="00A37DBC" w:rsidRPr="0048528B">
        <w:rPr>
          <w:lang w:val="fr-FR"/>
        </w:rPr>
        <w:t>apport sur l</w:t>
      </w:r>
      <w:r w:rsidR="00F3296C" w:rsidRPr="0048528B">
        <w:rPr>
          <w:lang w:val="fr-FR"/>
        </w:rPr>
        <w:t>’</w:t>
      </w:r>
      <w:r w:rsidR="005D0EBA" w:rsidRPr="0048528B">
        <w:rPr>
          <w:lang w:val="fr-FR"/>
        </w:rPr>
        <w:t>é</w:t>
      </w:r>
      <w:r w:rsidR="00A37DBC" w:rsidRPr="0048528B">
        <w:rPr>
          <w:lang w:val="fr-FR"/>
        </w:rPr>
        <w:t>tat d</w:t>
      </w:r>
      <w:r w:rsidR="00F3296C" w:rsidRPr="0048528B">
        <w:rPr>
          <w:lang w:val="fr-FR"/>
        </w:rPr>
        <w:t>’</w:t>
      </w:r>
      <w:r w:rsidR="00A37DBC" w:rsidRPr="0048528B">
        <w:rPr>
          <w:lang w:val="fr-FR"/>
        </w:rPr>
        <w:t>avancement des travaux du comit</w:t>
      </w:r>
      <w:r w:rsidR="005D0EBA" w:rsidRPr="0048528B">
        <w:rPr>
          <w:lang w:val="fr-FR"/>
        </w:rPr>
        <w:t>é</w:t>
      </w:r>
      <w:r w:rsidR="00A37DBC" w:rsidRPr="0048528B">
        <w:rPr>
          <w:lang w:val="fr-FR"/>
        </w:rPr>
        <w:t xml:space="preserve"> technique</w:t>
      </w:r>
      <w:bookmarkEnd w:id="6"/>
    </w:p>
    <w:p w:rsidR="00204800" w:rsidRPr="0048528B" w:rsidRDefault="00204800" w:rsidP="002B6DFD">
      <w:pPr>
        <w:tabs>
          <w:tab w:val="left" w:pos="426"/>
          <w:tab w:val="left" w:pos="2694"/>
        </w:tabs>
        <w:ind w:left="2694" w:right="-1" w:hanging="2694"/>
        <w:jc w:val="left"/>
        <w:rPr>
          <w:lang w:val="fr-FR"/>
        </w:rPr>
      </w:pPr>
    </w:p>
    <w:p w:rsidR="00204800" w:rsidRPr="0048528B" w:rsidRDefault="002B6DFD" w:rsidP="00AA4C8C">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A37DBC" w:rsidRPr="0048528B">
        <w:rPr>
          <w:lang w:val="fr-FR"/>
        </w:rPr>
        <w:t>Le Comité technique (TC) a tenu sa quarante</w:t>
      </w:r>
      <w:r w:rsidR="003F00B6" w:rsidRPr="0048528B">
        <w:rPr>
          <w:lang w:val="fr-FR"/>
        </w:rPr>
        <w:noBreakHyphen/>
      </w:r>
      <w:r w:rsidR="00A37DBC" w:rsidRPr="0048528B">
        <w:rPr>
          <w:lang w:val="fr-FR"/>
        </w:rPr>
        <w:t>neuvième session à Genève du 18 au 20 mars 2013, sous la présidence de M. Joël Guiard (France), président du</w:t>
      </w:r>
      <w:r w:rsidR="00F3296C" w:rsidRPr="0048528B">
        <w:rPr>
          <w:lang w:val="fr-FR"/>
        </w:rPr>
        <w:t> TC</w:t>
      </w:r>
      <w:r w:rsidR="00A37DBC" w:rsidRPr="0048528B">
        <w:rPr>
          <w:lang w:val="fr-FR"/>
        </w:rPr>
        <w:t>.</w:t>
      </w:r>
      <w:r w:rsidRPr="0048528B">
        <w:rPr>
          <w:lang w:val="fr-FR"/>
        </w:rPr>
        <w:t xml:space="preserve">  </w:t>
      </w:r>
      <w:r w:rsidR="00AA4C8C" w:rsidRPr="0048528B">
        <w:rPr>
          <w:lang w:val="fr-FR"/>
        </w:rPr>
        <w:t>Le compte rendu des conclusions de cette</w:t>
      </w:r>
      <w:r w:rsidR="001E5EC4" w:rsidRPr="0048528B">
        <w:rPr>
          <w:lang w:val="fr-FR"/>
        </w:rPr>
        <w:t> </w:t>
      </w:r>
      <w:r w:rsidR="00AA4C8C" w:rsidRPr="0048528B">
        <w:rPr>
          <w:lang w:val="fr-FR"/>
        </w:rPr>
        <w:t xml:space="preserve">session figure dans le </w:t>
      </w:r>
      <w:r w:rsidR="00F3296C" w:rsidRPr="0048528B">
        <w:rPr>
          <w:lang w:val="fr-FR"/>
        </w:rPr>
        <w:t>document TC</w:t>
      </w:r>
      <w:r w:rsidR="00AA4C8C" w:rsidRPr="0048528B">
        <w:rPr>
          <w:lang w:val="fr-FR"/>
        </w:rPr>
        <w:t>/49/41 “Compte rendu des conclusions”.  Le compte rendu détaillé fera l</w:t>
      </w:r>
      <w:r w:rsidR="00F3296C" w:rsidRPr="0048528B">
        <w:rPr>
          <w:lang w:val="fr-FR"/>
        </w:rPr>
        <w:t>’</w:t>
      </w:r>
      <w:r w:rsidR="00AA4C8C" w:rsidRPr="0048528B">
        <w:rPr>
          <w:lang w:val="fr-FR"/>
        </w:rPr>
        <w:t xml:space="preserve">objet du </w:t>
      </w:r>
      <w:r w:rsidR="00F3296C" w:rsidRPr="0048528B">
        <w:rPr>
          <w:lang w:val="fr-FR"/>
        </w:rPr>
        <w:t>document TC</w:t>
      </w:r>
      <w:r w:rsidR="00AA4C8C" w:rsidRPr="0048528B">
        <w:rPr>
          <w:lang w:val="fr-FR"/>
        </w:rPr>
        <w:t>/49/42 “</w:t>
      </w:r>
      <w:r w:rsidR="003E43EE" w:rsidRPr="0048528B">
        <w:rPr>
          <w:lang w:val="fr-FR"/>
        </w:rPr>
        <w:t>Compte rendu</w:t>
      </w:r>
      <w:r w:rsidR="00AA4C8C" w:rsidRPr="0048528B">
        <w:rPr>
          <w:lang w:val="fr-FR"/>
        </w:rPr>
        <w:t>”.</w:t>
      </w:r>
    </w:p>
    <w:p w:rsidR="00204800" w:rsidRPr="0048528B" w:rsidRDefault="00204800" w:rsidP="002B6DFD">
      <w:pPr>
        <w:rPr>
          <w:lang w:val="fr-FR"/>
        </w:rPr>
      </w:pPr>
    </w:p>
    <w:p w:rsidR="00204800" w:rsidRPr="0048528B" w:rsidRDefault="002B6DFD" w:rsidP="00AA4C8C">
      <w:pPr>
        <w:rPr>
          <w:snapToGrid w:val="0"/>
          <w:lang w:val="fr-FR"/>
        </w:rPr>
      </w:pPr>
      <w:r w:rsidRPr="0048528B">
        <w:rPr>
          <w:snapToGrid w:val="0"/>
          <w:lang w:val="fr-FR"/>
        </w:rPr>
        <w:fldChar w:fldCharType="begin"/>
      </w:r>
      <w:r w:rsidRPr="0048528B">
        <w:rPr>
          <w:snapToGrid w:val="0"/>
          <w:lang w:val="fr-FR"/>
        </w:rPr>
        <w:instrText xml:space="preserve"> AUTONUM  </w:instrText>
      </w:r>
      <w:r w:rsidRPr="0048528B">
        <w:rPr>
          <w:snapToGrid w:val="0"/>
          <w:lang w:val="fr-FR"/>
        </w:rPr>
        <w:fldChar w:fldCharType="end"/>
      </w:r>
      <w:r w:rsidRPr="0048528B">
        <w:rPr>
          <w:snapToGrid w:val="0"/>
          <w:lang w:val="fr-FR"/>
        </w:rPr>
        <w:tab/>
      </w:r>
      <w:r w:rsidR="00AA4C8C" w:rsidRPr="0048528B">
        <w:rPr>
          <w:snapToGrid w:val="0"/>
          <w:lang w:val="fr-FR"/>
        </w:rPr>
        <w:t>Soixante</w:t>
      </w:r>
      <w:r w:rsidR="003F00B6" w:rsidRPr="0048528B">
        <w:rPr>
          <w:snapToGrid w:val="0"/>
          <w:lang w:val="fr-FR"/>
        </w:rPr>
        <w:noBreakHyphen/>
      </w:r>
      <w:r w:rsidR="00AA4C8C" w:rsidRPr="0048528B">
        <w:rPr>
          <w:snapToGrid w:val="0"/>
          <w:lang w:val="fr-FR"/>
        </w:rPr>
        <w:t>dix</w:t>
      </w:r>
      <w:r w:rsidR="003F00B6" w:rsidRPr="0048528B">
        <w:rPr>
          <w:snapToGrid w:val="0"/>
          <w:lang w:val="fr-FR"/>
        </w:rPr>
        <w:noBreakHyphen/>
      </w:r>
      <w:r w:rsidR="00AA4C8C" w:rsidRPr="0048528B">
        <w:rPr>
          <w:snapToGrid w:val="0"/>
          <w:lang w:val="fr-FR"/>
        </w:rPr>
        <w:t>sept participants, représentant 36 membres de l</w:t>
      </w:r>
      <w:r w:rsidR="00F3296C" w:rsidRPr="0048528B">
        <w:rPr>
          <w:snapToGrid w:val="0"/>
          <w:lang w:val="fr-FR"/>
        </w:rPr>
        <w:t>’</w:t>
      </w:r>
      <w:r w:rsidR="00AA4C8C" w:rsidRPr="0048528B">
        <w:rPr>
          <w:snapToGrid w:val="0"/>
          <w:lang w:val="fr-FR"/>
        </w:rPr>
        <w:t>Union, sept</w:t>
      </w:r>
      <w:r w:rsidR="00E3136C" w:rsidRPr="0048528B">
        <w:rPr>
          <w:snapToGrid w:val="0"/>
          <w:lang w:val="fr-FR"/>
        </w:rPr>
        <w:t> </w:t>
      </w:r>
      <w:r w:rsidR="00AA4C8C" w:rsidRPr="0048528B">
        <w:rPr>
          <w:snapToGrid w:val="0"/>
          <w:lang w:val="fr-FR"/>
        </w:rPr>
        <w:t>États ayant le statut d</w:t>
      </w:r>
      <w:r w:rsidR="00F3296C" w:rsidRPr="0048528B">
        <w:rPr>
          <w:snapToGrid w:val="0"/>
          <w:lang w:val="fr-FR"/>
        </w:rPr>
        <w:t>’</w:t>
      </w:r>
      <w:r w:rsidR="00AA4C8C" w:rsidRPr="0048528B">
        <w:rPr>
          <w:snapToGrid w:val="0"/>
          <w:lang w:val="fr-FR"/>
        </w:rPr>
        <w:t>observateur et quatre</w:t>
      </w:r>
      <w:r w:rsidR="00E3136C" w:rsidRPr="0048528B">
        <w:rPr>
          <w:snapToGrid w:val="0"/>
          <w:lang w:val="fr-FR"/>
        </w:rPr>
        <w:t> </w:t>
      </w:r>
      <w:r w:rsidR="00AA4C8C" w:rsidRPr="0048528B">
        <w:rPr>
          <w:snapToGrid w:val="0"/>
          <w:lang w:val="fr-FR"/>
        </w:rPr>
        <w:t>organisations ayant le statut d</w:t>
      </w:r>
      <w:r w:rsidR="00F3296C" w:rsidRPr="0048528B">
        <w:rPr>
          <w:snapToGrid w:val="0"/>
          <w:lang w:val="fr-FR"/>
        </w:rPr>
        <w:t>’</w:t>
      </w:r>
      <w:r w:rsidR="00AA4C8C" w:rsidRPr="0048528B">
        <w:rPr>
          <w:snapToGrid w:val="0"/>
          <w:lang w:val="fr-FR"/>
        </w:rPr>
        <w:t>observateur, ont participé à la réunion.</w:t>
      </w:r>
    </w:p>
    <w:p w:rsidR="00204800" w:rsidRPr="0048528B" w:rsidRDefault="00204800" w:rsidP="002B6DFD">
      <w:pPr>
        <w:rPr>
          <w:snapToGrid w:val="0"/>
          <w:lang w:val="fr-FR"/>
        </w:rPr>
      </w:pPr>
    </w:p>
    <w:p w:rsidR="00A64711" w:rsidRPr="0048528B" w:rsidRDefault="00A64711" w:rsidP="002B6DFD">
      <w:pPr>
        <w:rPr>
          <w:snapToGrid w:val="0"/>
          <w:lang w:val="fr-FR"/>
        </w:rPr>
      </w:pPr>
    </w:p>
    <w:p w:rsidR="00204800" w:rsidRPr="0048528B" w:rsidRDefault="00AA4C8C" w:rsidP="00AA4C8C">
      <w:pPr>
        <w:pStyle w:val="Heading2"/>
        <w:rPr>
          <w:lang w:val="fr-FR"/>
        </w:rPr>
      </w:pPr>
      <w:bookmarkStart w:id="7" w:name="_Toc367888528"/>
      <w:r w:rsidRPr="0048528B">
        <w:rPr>
          <w:lang w:val="fr-FR"/>
        </w:rPr>
        <w:t>Rapport sur les faits nouveaux survenus au sein de l</w:t>
      </w:r>
      <w:r w:rsidR="00F3296C" w:rsidRPr="0048528B">
        <w:rPr>
          <w:lang w:val="fr-FR"/>
        </w:rPr>
        <w:t>’</w:t>
      </w:r>
      <w:r w:rsidRPr="0048528B">
        <w:rPr>
          <w:lang w:val="fr-FR"/>
        </w:rPr>
        <w:t>UPOV, y compris certaines questions examinées lors des dernières sessions du Comité administratif et juridique, du Comité consultatif et du Conseil (rapport verbal du secrétaire général adjoint)</w:t>
      </w:r>
      <w:bookmarkEnd w:id="7"/>
    </w:p>
    <w:p w:rsidR="00204800" w:rsidRPr="0048528B" w:rsidRDefault="00204800" w:rsidP="00B27AE7">
      <w:pPr>
        <w:rPr>
          <w:snapToGrid w:val="0"/>
          <w:lang w:val="fr-FR"/>
        </w:rPr>
      </w:pPr>
    </w:p>
    <w:p w:rsidR="00204800" w:rsidRPr="0048528B" w:rsidRDefault="00B27AE7" w:rsidP="00AA4C8C">
      <w:pPr>
        <w:rPr>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00AA4C8C" w:rsidRPr="0048528B">
        <w:rPr>
          <w:lang w:val="fr-FR"/>
        </w:rPr>
        <w:t>Le secrétaire général adjoint a présenté un rapport verbal, sous la forme d</w:t>
      </w:r>
      <w:r w:rsidR="00F3296C" w:rsidRPr="0048528B">
        <w:rPr>
          <w:lang w:val="fr-FR"/>
        </w:rPr>
        <w:t>’</w:t>
      </w:r>
      <w:r w:rsidR="00AA4C8C" w:rsidRPr="0048528B">
        <w:rPr>
          <w:lang w:val="fr-FR"/>
        </w:rPr>
        <w:t>un exposé en format PowerPoint, sur les soixante</w:t>
      </w:r>
      <w:r w:rsidR="003F00B6" w:rsidRPr="0048528B">
        <w:rPr>
          <w:lang w:val="fr-FR"/>
        </w:rPr>
        <w:noBreakHyphen/>
      </w:r>
      <w:r w:rsidR="00AA4C8C" w:rsidRPr="0048528B">
        <w:rPr>
          <w:lang w:val="fr-FR"/>
        </w:rPr>
        <w:t>cinquième et soixante</w:t>
      </w:r>
      <w:r w:rsidR="003F00B6" w:rsidRPr="0048528B">
        <w:rPr>
          <w:lang w:val="fr-FR"/>
        </w:rPr>
        <w:noBreakHyphen/>
      </w:r>
      <w:r w:rsidR="00AA4C8C" w:rsidRPr="0048528B">
        <w:rPr>
          <w:lang w:val="fr-FR"/>
        </w:rPr>
        <w:t>sixième sessions du Comité administratif et juridique (CAJ), sur les quatre</w:t>
      </w:r>
      <w:r w:rsidR="003F00B6" w:rsidRPr="0048528B">
        <w:rPr>
          <w:lang w:val="fr-FR"/>
        </w:rPr>
        <w:noBreakHyphen/>
      </w:r>
      <w:r w:rsidR="00AA4C8C" w:rsidRPr="0048528B">
        <w:rPr>
          <w:lang w:val="fr-FR"/>
        </w:rPr>
        <w:t>vingt</w:t>
      </w:r>
      <w:r w:rsidR="003F00B6" w:rsidRPr="0048528B">
        <w:rPr>
          <w:lang w:val="fr-FR"/>
        </w:rPr>
        <w:noBreakHyphen/>
      </w:r>
      <w:r w:rsidR="00AA4C8C" w:rsidRPr="0048528B">
        <w:rPr>
          <w:lang w:val="fr-FR"/>
        </w:rPr>
        <w:t>troisième et quatre</w:t>
      </w:r>
      <w:r w:rsidR="003F00B6" w:rsidRPr="0048528B">
        <w:rPr>
          <w:lang w:val="fr-FR"/>
        </w:rPr>
        <w:noBreakHyphen/>
      </w:r>
      <w:r w:rsidR="00AA4C8C" w:rsidRPr="0048528B">
        <w:rPr>
          <w:lang w:val="fr-FR"/>
        </w:rPr>
        <w:t>vingt</w:t>
      </w:r>
      <w:r w:rsidR="003F00B6" w:rsidRPr="0048528B">
        <w:rPr>
          <w:lang w:val="fr-FR"/>
        </w:rPr>
        <w:noBreakHyphen/>
      </w:r>
      <w:r w:rsidR="00AA4C8C" w:rsidRPr="0048528B">
        <w:rPr>
          <w:lang w:val="fr-FR"/>
        </w:rPr>
        <w:t>quatrième sessions du Comité consultatif ainsi que sur la vingt</w:t>
      </w:r>
      <w:r w:rsidR="003F00B6" w:rsidRPr="0048528B">
        <w:rPr>
          <w:lang w:val="fr-FR"/>
        </w:rPr>
        <w:noBreakHyphen/>
      </w:r>
      <w:r w:rsidR="00AA4C8C" w:rsidRPr="0048528B">
        <w:rPr>
          <w:lang w:val="fr-FR"/>
        </w:rPr>
        <w:t>neuvième session extraordinaire et la quarante</w:t>
      </w:r>
      <w:r w:rsidR="003F00B6" w:rsidRPr="0048528B">
        <w:rPr>
          <w:lang w:val="fr-FR"/>
        </w:rPr>
        <w:noBreakHyphen/>
      </w:r>
      <w:r w:rsidR="00AA4C8C" w:rsidRPr="0048528B">
        <w:rPr>
          <w:lang w:val="fr-FR"/>
        </w:rPr>
        <w:t>sixième session ordinaire du Conseil.</w:t>
      </w:r>
      <w:r w:rsidRPr="0048528B">
        <w:rPr>
          <w:lang w:val="fr-FR"/>
        </w:rPr>
        <w:t xml:space="preserve">  </w:t>
      </w:r>
      <w:r w:rsidR="00AA4C8C" w:rsidRPr="0048528B">
        <w:rPr>
          <w:lang w:val="fr-FR"/>
        </w:rPr>
        <w:t>Le</w:t>
      </w:r>
      <w:r w:rsidR="00F3296C" w:rsidRPr="0048528B">
        <w:rPr>
          <w:lang w:val="fr-FR"/>
        </w:rPr>
        <w:t> TC</w:t>
      </w:r>
      <w:r w:rsidR="00AA4C8C" w:rsidRPr="0048528B">
        <w:rPr>
          <w:lang w:val="fr-FR"/>
        </w:rPr>
        <w:t xml:space="preserve"> a noté qu</w:t>
      </w:r>
      <w:r w:rsidR="00F3296C" w:rsidRPr="0048528B">
        <w:rPr>
          <w:lang w:val="fr-FR"/>
        </w:rPr>
        <w:t>’</w:t>
      </w:r>
      <w:r w:rsidR="00AA4C8C" w:rsidRPr="0048528B">
        <w:rPr>
          <w:lang w:val="fr-FR"/>
        </w:rPr>
        <w:t xml:space="preserve">une copie de ce rapport figurerait en annexe du compte rendu détaillé (voir le paragraphe 7 du </w:t>
      </w:r>
      <w:r w:rsidR="00F3296C" w:rsidRPr="0048528B">
        <w:rPr>
          <w:lang w:val="fr-FR"/>
        </w:rPr>
        <w:t>document TC</w:t>
      </w:r>
      <w:r w:rsidR="00AA4C8C" w:rsidRPr="0048528B">
        <w:rPr>
          <w:lang w:val="fr-FR"/>
        </w:rPr>
        <w:t>/49/41 “Compte rendu des conclusions”).</w:t>
      </w:r>
    </w:p>
    <w:p w:rsidR="00204800" w:rsidRPr="0048528B" w:rsidRDefault="00204800" w:rsidP="002B6DFD">
      <w:pPr>
        <w:rPr>
          <w:snapToGrid w:val="0"/>
          <w:lang w:val="fr-FR"/>
        </w:rPr>
      </w:pPr>
    </w:p>
    <w:p w:rsidR="00A64711" w:rsidRPr="0048528B" w:rsidRDefault="00A64711" w:rsidP="002B6DFD">
      <w:pPr>
        <w:rPr>
          <w:snapToGrid w:val="0"/>
          <w:lang w:val="fr-FR"/>
        </w:rPr>
      </w:pPr>
    </w:p>
    <w:p w:rsidR="00204800" w:rsidRPr="0048528B" w:rsidRDefault="00AA4C8C" w:rsidP="00AA4C8C">
      <w:pPr>
        <w:pStyle w:val="Heading2"/>
        <w:rPr>
          <w:lang w:val="fr-FR"/>
        </w:rPr>
      </w:pPr>
      <w:bookmarkStart w:id="8" w:name="_Toc367888529"/>
      <w:r w:rsidRPr="0048528B">
        <w:rPr>
          <w:lang w:val="fr-FR"/>
        </w:rPr>
        <w:t>Rapports sur l</w:t>
      </w:r>
      <w:r w:rsidR="00F3296C" w:rsidRPr="0048528B">
        <w:rPr>
          <w:lang w:val="fr-FR"/>
        </w:rPr>
        <w:t>’</w:t>
      </w:r>
      <w:r w:rsidRPr="0048528B">
        <w:rPr>
          <w:lang w:val="fr-FR"/>
        </w:rPr>
        <w:t>état d</w:t>
      </w:r>
      <w:r w:rsidR="00F3296C" w:rsidRPr="0048528B">
        <w:rPr>
          <w:lang w:val="fr-FR"/>
        </w:rPr>
        <w:t>’</w:t>
      </w:r>
      <w:r w:rsidRPr="0048528B">
        <w:rPr>
          <w:lang w:val="fr-FR"/>
        </w:rPr>
        <w:t>avancement des travaux des groupes de travail techniques, y compris le Groupe de travail sur les techniques biochimiques et moléculaires, notamment les profils d</w:t>
      </w:r>
      <w:r w:rsidR="00F3296C" w:rsidRPr="0048528B">
        <w:rPr>
          <w:lang w:val="fr-FR"/>
        </w:rPr>
        <w:t>’</w:t>
      </w:r>
      <w:r w:rsidR="006A03CA" w:rsidRPr="0048528B">
        <w:rPr>
          <w:lang w:val="fr-FR"/>
        </w:rPr>
        <w:t xml:space="preserve">ADN (BMT) et les </w:t>
      </w:r>
      <w:r w:rsidRPr="0048528B">
        <w:rPr>
          <w:lang w:val="fr-FR"/>
        </w:rPr>
        <w:t>sous</w:t>
      </w:r>
      <w:r w:rsidR="003F00B6" w:rsidRPr="0048528B">
        <w:rPr>
          <w:lang w:val="fr-FR"/>
        </w:rPr>
        <w:noBreakHyphen/>
      </w:r>
      <w:r w:rsidRPr="0048528B">
        <w:rPr>
          <w:lang w:val="fr-FR"/>
        </w:rPr>
        <w:t xml:space="preserve">groupes </w:t>
      </w:r>
      <w:r w:rsidRPr="0048528B">
        <w:rPr>
          <w:i/>
          <w:lang w:val="fr-FR"/>
        </w:rPr>
        <w:t>ad hoc</w:t>
      </w:r>
      <w:r w:rsidRPr="0048528B">
        <w:rPr>
          <w:lang w:val="fr-FR"/>
        </w:rPr>
        <w:t xml:space="preserve"> sur l</w:t>
      </w:r>
      <w:r w:rsidR="00F3296C" w:rsidRPr="0048528B">
        <w:rPr>
          <w:lang w:val="fr-FR"/>
        </w:rPr>
        <w:t>’</w:t>
      </w:r>
      <w:r w:rsidRPr="0048528B">
        <w:rPr>
          <w:lang w:val="fr-FR"/>
        </w:rPr>
        <w:t>application des techniques moléculaires aux plantes cultivées</w:t>
      </w:r>
      <w:bookmarkEnd w:id="8"/>
    </w:p>
    <w:p w:rsidR="00204800" w:rsidRPr="0048528B" w:rsidRDefault="00204800" w:rsidP="00196886">
      <w:pPr>
        <w:keepNext/>
        <w:rPr>
          <w:u w:val="single"/>
          <w:lang w:val="fr-FR"/>
        </w:rPr>
      </w:pPr>
    </w:p>
    <w:p w:rsidR="00204800" w:rsidRPr="0048528B" w:rsidRDefault="00196886" w:rsidP="00DA187A">
      <w:pPr>
        <w:rPr>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00DA187A" w:rsidRPr="0048528B">
        <w:rPr>
          <w:lang w:val="fr-FR"/>
        </w:rPr>
        <w:t>Le</w:t>
      </w:r>
      <w:r w:rsidR="00F3296C" w:rsidRPr="0048528B">
        <w:rPr>
          <w:lang w:val="fr-FR"/>
        </w:rPr>
        <w:t> TC</w:t>
      </w:r>
      <w:r w:rsidR="00DA187A" w:rsidRPr="0048528B">
        <w:rPr>
          <w:lang w:val="fr-FR"/>
        </w:rPr>
        <w:t xml:space="preserve"> est saisi, sous la forme d</w:t>
      </w:r>
      <w:r w:rsidR="00F3296C" w:rsidRPr="0048528B">
        <w:rPr>
          <w:lang w:val="fr-FR"/>
        </w:rPr>
        <w:t>’</w:t>
      </w:r>
      <w:r w:rsidR="00DA187A" w:rsidRPr="0048528B">
        <w:rPr>
          <w:lang w:val="fr-FR"/>
        </w:rPr>
        <w:t>exposés en format PowerPoint, des rapports verbaux sur les travaux du Groupe de travail technique sur les plantes agricoles (TWA), du Groupe de travail technique sur les</w:t>
      </w:r>
      <w:r w:rsidR="006A03CA" w:rsidRPr="0048528B">
        <w:rPr>
          <w:lang w:val="fr-FR"/>
        </w:rPr>
        <w:t xml:space="preserve"> </w:t>
      </w:r>
      <w:r w:rsidR="00DA187A" w:rsidRPr="0048528B">
        <w:rPr>
          <w:lang w:val="fr-FR"/>
        </w:rPr>
        <w:t>systèmes d</w:t>
      </w:r>
      <w:r w:rsidR="00F3296C" w:rsidRPr="0048528B">
        <w:rPr>
          <w:lang w:val="fr-FR"/>
        </w:rPr>
        <w:t>’</w:t>
      </w:r>
      <w:r w:rsidR="00DA187A" w:rsidRPr="0048528B">
        <w:rPr>
          <w:lang w:val="fr-FR"/>
        </w:rPr>
        <w:t>automatisation et les programmes d</w:t>
      </w:r>
      <w:r w:rsidR="00F3296C" w:rsidRPr="0048528B">
        <w:rPr>
          <w:lang w:val="fr-FR"/>
        </w:rPr>
        <w:t>’</w:t>
      </w:r>
      <w:r w:rsidR="00DA187A" w:rsidRPr="0048528B">
        <w:rPr>
          <w:lang w:val="fr-FR"/>
        </w:rPr>
        <w:t>ordinateur (TWC), du Groupe de travail technique sur les</w:t>
      </w:r>
      <w:r w:rsidR="006A03CA" w:rsidRPr="0048528B">
        <w:rPr>
          <w:lang w:val="fr-FR"/>
        </w:rPr>
        <w:t xml:space="preserve"> </w:t>
      </w:r>
      <w:r w:rsidR="00DA187A" w:rsidRPr="0048528B">
        <w:rPr>
          <w:lang w:val="fr-FR"/>
        </w:rPr>
        <w:t>plantes fruitières (TWF), du Groupe de travail technique sur les plantes ornementales et les arbres forestiers (TWO) et du Groupe de travail technique sur les plantes potagères (TWV).  Le</w:t>
      </w:r>
      <w:r w:rsidR="00F3296C" w:rsidRPr="0048528B">
        <w:rPr>
          <w:lang w:val="fr-FR"/>
        </w:rPr>
        <w:t> TC</w:t>
      </w:r>
      <w:r w:rsidR="00DA187A" w:rsidRPr="0048528B">
        <w:rPr>
          <w:lang w:val="fr-FR"/>
        </w:rPr>
        <w:t xml:space="preserve"> a noté qu</w:t>
      </w:r>
      <w:r w:rsidR="00F3296C" w:rsidRPr="0048528B">
        <w:rPr>
          <w:lang w:val="fr-FR"/>
        </w:rPr>
        <w:t>’</w:t>
      </w:r>
      <w:r w:rsidR="00DA187A" w:rsidRPr="0048528B">
        <w:rPr>
          <w:lang w:val="fr-FR"/>
        </w:rPr>
        <w:t>aucune session du Groupe de travail sur les techniques biochimiques et moléculaires, notamment les profils d</w:t>
      </w:r>
      <w:r w:rsidR="00F3296C" w:rsidRPr="0048528B">
        <w:rPr>
          <w:lang w:val="fr-FR"/>
        </w:rPr>
        <w:t>’</w:t>
      </w:r>
      <w:r w:rsidR="00DA187A" w:rsidRPr="0048528B">
        <w:rPr>
          <w:lang w:val="fr-FR"/>
        </w:rPr>
        <w:t>ADN (BMT), n</w:t>
      </w:r>
      <w:r w:rsidR="00F3296C" w:rsidRPr="0048528B">
        <w:rPr>
          <w:lang w:val="fr-FR"/>
        </w:rPr>
        <w:t>’</w:t>
      </w:r>
      <w:r w:rsidR="00DA187A" w:rsidRPr="0048528B">
        <w:rPr>
          <w:lang w:val="fr-FR"/>
        </w:rPr>
        <w:t>a eu lieu depuis la quarante</w:t>
      </w:r>
      <w:r w:rsidR="003F00B6" w:rsidRPr="0048528B">
        <w:rPr>
          <w:lang w:val="fr-FR"/>
        </w:rPr>
        <w:noBreakHyphen/>
      </w:r>
      <w:r w:rsidR="00DA187A" w:rsidRPr="0048528B">
        <w:rPr>
          <w:lang w:val="fr-FR"/>
        </w:rPr>
        <w:t>huitième session du</w:t>
      </w:r>
      <w:r w:rsidR="00F3296C" w:rsidRPr="0048528B">
        <w:rPr>
          <w:lang w:val="fr-FR"/>
        </w:rPr>
        <w:t> TC</w:t>
      </w:r>
      <w:r w:rsidR="00DA187A" w:rsidRPr="0048528B">
        <w:rPr>
          <w:lang w:val="fr-FR"/>
        </w:rPr>
        <w:t>.</w:t>
      </w:r>
      <w:r w:rsidR="00300CE9" w:rsidRPr="0048528B">
        <w:rPr>
          <w:lang w:val="fr-FR"/>
        </w:rPr>
        <w:t xml:space="preserve">  </w:t>
      </w:r>
      <w:r w:rsidR="00DA187A" w:rsidRPr="0048528B">
        <w:rPr>
          <w:lang w:val="fr-FR"/>
        </w:rPr>
        <w:t>Il a également noté que des copies de ces rapports figureront dans une annexe au compte rendu détaillé (voir le paragraphe</w:t>
      </w:r>
      <w:r w:rsidR="00E3136C" w:rsidRPr="0048528B">
        <w:rPr>
          <w:lang w:val="fr-FR"/>
        </w:rPr>
        <w:t> </w:t>
      </w:r>
      <w:r w:rsidR="00DA187A" w:rsidRPr="0048528B">
        <w:rPr>
          <w:lang w:val="fr-FR"/>
        </w:rPr>
        <w:t xml:space="preserve">8 du </w:t>
      </w:r>
      <w:r w:rsidR="00F3296C" w:rsidRPr="0048528B">
        <w:rPr>
          <w:lang w:val="fr-FR"/>
        </w:rPr>
        <w:t>document TC</w:t>
      </w:r>
      <w:r w:rsidR="00DA187A" w:rsidRPr="0048528B">
        <w:rPr>
          <w:lang w:val="fr-FR"/>
        </w:rPr>
        <w:t>/49/41 “Compte rendu des conclusions”).</w:t>
      </w:r>
      <w:r w:rsidR="00193D55" w:rsidRPr="0048528B">
        <w:rPr>
          <w:lang w:val="fr-FR"/>
        </w:rPr>
        <w:t>)</w:t>
      </w:r>
      <w:r w:rsidRPr="0048528B">
        <w:rPr>
          <w:lang w:val="fr-FR"/>
        </w:rPr>
        <w:t>.</w:t>
      </w:r>
    </w:p>
    <w:p w:rsidR="00204800" w:rsidRPr="0048528B" w:rsidRDefault="00204800" w:rsidP="00196886">
      <w:pPr>
        <w:rPr>
          <w:u w:val="single"/>
          <w:lang w:val="fr-FR"/>
        </w:rPr>
      </w:pPr>
    </w:p>
    <w:p w:rsidR="00A64711" w:rsidRPr="0048528B" w:rsidRDefault="00A64711" w:rsidP="00196886">
      <w:pPr>
        <w:rPr>
          <w:u w:val="single"/>
          <w:lang w:val="fr-FR"/>
        </w:rPr>
      </w:pPr>
    </w:p>
    <w:p w:rsidR="00204800" w:rsidRPr="0048528B" w:rsidRDefault="00DA187A" w:rsidP="00DA187A">
      <w:pPr>
        <w:pStyle w:val="Heading2"/>
        <w:rPr>
          <w:lang w:val="fr-FR"/>
        </w:rPr>
      </w:pPr>
      <w:bookmarkStart w:id="9" w:name="_Toc367888530"/>
      <w:r w:rsidRPr="0048528B">
        <w:rPr>
          <w:lang w:val="fr-FR"/>
        </w:rPr>
        <w:t>Questions découlant des travaux des groupes de travail techniques</w:t>
      </w:r>
      <w:bookmarkEnd w:id="9"/>
    </w:p>
    <w:p w:rsidR="00204800" w:rsidRPr="0048528B" w:rsidRDefault="00204800" w:rsidP="00196886">
      <w:pPr>
        <w:keepNext/>
        <w:rPr>
          <w:u w:val="single"/>
          <w:lang w:val="fr-FR"/>
        </w:rPr>
      </w:pPr>
    </w:p>
    <w:p w:rsidR="00204800" w:rsidRPr="0048528B" w:rsidRDefault="00196886" w:rsidP="00DA187A">
      <w:pPr>
        <w:keepNext/>
        <w:rPr>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00DA187A" w:rsidRPr="0048528B">
        <w:rPr>
          <w:lang w:val="fr-FR"/>
        </w:rPr>
        <w:t>Le</w:t>
      </w:r>
      <w:r w:rsidR="00F3296C" w:rsidRPr="0048528B">
        <w:rPr>
          <w:lang w:val="fr-FR"/>
        </w:rPr>
        <w:t> TC</w:t>
      </w:r>
      <w:r w:rsidR="00DA187A" w:rsidRPr="0048528B">
        <w:rPr>
          <w:lang w:val="fr-FR"/>
        </w:rPr>
        <w:t xml:space="preserve"> a examiné le </w:t>
      </w:r>
      <w:r w:rsidR="00F3296C" w:rsidRPr="0048528B">
        <w:rPr>
          <w:lang w:val="fr-FR"/>
        </w:rPr>
        <w:t>document TC</w:t>
      </w:r>
      <w:r w:rsidR="00DA187A" w:rsidRPr="0048528B">
        <w:rPr>
          <w:lang w:val="fr-FR"/>
        </w:rPr>
        <w:t>/49/3.</w:t>
      </w:r>
    </w:p>
    <w:p w:rsidR="00204800" w:rsidRPr="0048528B" w:rsidRDefault="00204800" w:rsidP="00196886">
      <w:pPr>
        <w:keepNext/>
        <w:rPr>
          <w:lang w:val="fr-FR"/>
        </w:rPr>
      </w:pPr>
    </w:p>
    <w:p w:rsidR="00204800" w:rsidRPr="0048528B" w:rsidRDefault="00DA187A" w:rsidP="00DA187A">
      <w:pPr>
        <w:pStyle w:val="Heading3"/>
        <w:rPr>
          <w:lang w:val="fr-FR"/>
        </w:rPr>
      </w:pPr>
      <w:bookmarkStart w:id="10" w:name="_Toc367888531"/>
      <w:r w:rsidRPr="0048528B">
        <w:rPr>
          <w:lang w:val="fr-FR"/>
        </w:rPr>
        <w:t>Guide à l</w:t>
      </w:r>
      <w:r w:rsidR="00F3296C" w:rsidRPr="0048528B">
        <w:rPr>
          <w:lang w:val="fr-FR"/>
        </w:rPr>
        <w:t>’</w:t>
      </w:r>
      <w:r w:rsidRPr="0048528B">
        <w:rPr>
          <w:lang w:val="fr-FR"/>
        </w:rPr>
        <w:t>intention des rédacteurs des principes directeurs d</w:t>
      </w:r>
      <w:r w:rsidR="00F3296C" w:rsidRPr="0048528B">
        <w:rPr>
          <w:lang w:val="fr-FR"/>
        </w:rPr>
        <w:t>’</w:t>
      </w:r>
      <w:r w:rsidRPr="0048528B">
        <w:rPr>
          <w:lang w:val="fr-FR"/>
        </w:rPr>
        <w:t>examen</w:t>
      </w:r>
      <w:bookmarkEnd w:id="10"/>
    </w:p>
    <w:p w:rsidR="00204800" w:rsidRPr="0048528B" w:rsidRDefault="00204800" w:rsidP="00196886">
      <w:pPr>
        <w:keepNext/>
        <w:rPr>
          <w:lang w:val="fr-FR"/>
        </w:rPr>
      </w:pPr>
    </w:p>
    <w:p w:rsidR="00204800" w:rsidRPr="0048528B" w:rsidRDefault="00196886" w:rsidP="00E13052">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E13052" w:rsidRPr="0048528B">
        <w:rPr>
          <w:lang w:val="fr-FR"/>
        </w:rPr>
        <w:t>Le</w:t>
      </w:r>
      <w:r w:rsidR="00F3296C" w:rsidRPr="0048528B">
        <w:rPr>
          <w:lang w:val="fr-FR"/>
        </w:rPr>
        <w:t> TC</w:t>
      </w:r>
      <w:r w:rsidR="00E13052" w:rsidRPr="0048528B">
        <w:rPr>
          <w:lang w:val="fr-FR"/>
        </w:rPr>
        <w:t xml:space="preserve"> a noté les observations formulées par les TWP à leurs sessions en 2012, sur la révision des “Principes directeurs d</w:t>
      </w:r>
      <w:r w:rsidR="00F3296C" w:rsidRPr="0048528B">
        <w:rPr>
          <w:lang w:val="fr-FR"/>
        </w:rPr>
        <w:t>’</w:t>
      </w:r>
      <w:r w:rsidR="00E13052" w:rsidRPr="0048528B">
        <w:rPr>
          <w:lang w:val="fr-FR"/>
        </w:rPr>
        <w:t>examen à soumettre au groupe de travail technique” du “Guide pratique à l</w:t>
      </w:r>
      <w:r w:rsidR="00F3296C" w:rsidRPr="0048528B">
        <w:rPr>
          <w:lang w:val="fr-FR"/>
        </w:rPr>
        <w:t>’</w:t>
      </w:r>
      <w:r w:rsidR="00E13052" w:rsidRPr="0048528B">
        <w:rPr>
          <w:lang w:val="fr-FR"/>
        </w:rPr>
        <w:t>intention des rédacteurs (experts principaux) des principes directeurs d</w:t>
      </w:r>
      <w:r w:rsidR="00F3296C" w:rsidRPr="0048528B">
        <w:rPr>
          <w:lang w:val="fr-FR"/>
        </w:rPr>
        <w:t>’</w:t>
      </w:r>
      <w:r w:rsidR="00E13052" w:rsidRPr="0048528B">
        <w:rPr>
          <w:lang w:val="fr-FR"/>
        </w:rPr>
        <w:t>examen de l</w:t>
      </w:r>
      <w:r w:rsidR="00F3296C" w:rsidRPr="0048528B">
        <w:rPr>
          <w:lang w:val="fr-FR"/>
        </w:rPr>
        <w:t>’</w:t>
      </w:r>
      <w:r w:rsidR="00E13052" w:rsidRPr="0048528B">
        <w:rPr>
          <w:lang w:val="fr-FR"/>
        </w:rPr>
        <w:t>UPOV”, qui figure à l</w:t>
      </w:r>
      <w:r w:rsidR="00F3296C" w:rsidRPr="0048528B">
        <w:rPr>
          <w:lang w:val="fr-FR"/>
        </w:rPr>
        <w:t>’</w:t>
      </w:r>
      <w:r w:rsidR="00E13052" w:rsidRPr="0048528B">
        <w:rPr>
          <w:lang w:val="fr-FR"/>
        </w:rPr>
        <w:t>annexe</w:t>
      </w:r>
      <w:r w:rsidR="001E5EC4" w:rsidRPr="0048528B">
        <w:rPr>
          <w:lang w:val="fr-FR"/>
        </w:rPr>
        <w:t> </w:t>
      </w:r>
      <w:r w:rsidR="00E13052" w:rsidRPr="0048528B">
        <w:rPr>
          <w:lang w:val="fr-FR"/>
        </w:rPr>
        <w:t>I du</w:t>
      </w:r>
      <w:r w:rsidR="006A03CA" w:rsidRPr="0048528B">
        <w:rPr>
          <w:lang w:val="fr-FR"/>
        </w:rPr>
        <w:t xml:space="preserve"> </w:t>
      </w:r>
      <w:r w:rsidR="00F3296C" w:rsidRPr="0048528B">
        <w:rPr>
          <w:lang w:val="fr-FR"/>
        </w:rPr>
        <w:t>document TC</w:t>
      </w:r>
      <w:r w:rsidR="00E13052" w:rsidRPr="0048528B">
        <w:rPr>
          <w:lang w:val="fr-FR"/>
        </w:rPr>
        <w:t>/49/3.</w:t>
      </w:r>
    </w:p>
    <w:p w:rsidR="00204800" w:rsidRPr="0048528B" w:rsidRDefault="00204800" w:rsidP="00196886">
      <w:pPr>
        <w:rPr>
          <w:rFonts w:cs="Arial"/>
          <w:lang w:val="fr-FR"/>
        </w:rPr>
      </w:pPr>
    </w:p>
    <w:p w:rsidR="00204800" w:rsidRPr="0048528B" w:rsidRDefault="00196886" w:rsidP="00C908F6">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C908F6" w:rsidRPr="0048528B">
        <w:rPr>
          <w:lang w:val="fr-FR"/>
        </w:rPr>
        <w:t>Le</w:t>
      </w:r>
      <w:r w:rsidR="00F3296C" w:rsidRPr="0048528B">
        <w:rPr>
          <w:lang w:val="fr-FR"/>
        </w:rPr>
        <w:t> TC</w:t>
      </w:r>
      <w:r w:rsidR="00C908F6" w:rsidRPr="0048528B">
        <w:rPr>
          <w:lang w:val="fr-FR"/>
        </w:rPr>
        <w:t xml:space="preserve"> est convenu que, en général, les principes directeurs d</w:t>
      </w:r>
      <w:r w:rsidR="00F3296C" w:rsidRPr="0048528B">
        <w:rPr>
          <w:lang w:val="fr-FR"/>
        </w:rPr>
        <w:t>’</w:t>
      </w:r>
      <w:r w:rsidR="00C908F6" w:rsidRPr="0048528B">
        <w:rPr>
          <w:lang w:val="fr-FR"/>
        </w:rPr>
        <w:t>examen devraient être retirés des</w:t>
      </w:r>
      <w:r w:rsidR="006A03CA" w:rsidRPr="0048528B">
        <w:rPr>
          <w:lang w:val="fr-FR"/>
        </w:rPr>
        <w:t xml:space="preserve"> </w:t>
      </w:r>
      <w:r w:rsidR="00C908F6" w:rsidRPr="0048528B">
        <w:rPr>
          <w:lang w:val="fr-FR"/>
        </w:rPr>
        <w:t>discussions au sein des groupes de travail techniques si l</w:t>
      </w:r>
      <w:r w:rsidR="00F3296C" w:rsidRPr="0048528B">
        <w:rPr>
          <w:lang w:val="fr-FR"/>
        </w:rPr>
        <w:t>’</w:t>
      </w:r>
      <w:r w:rsidR="00C908F6" w:rsidRPr="0048528B">
        <w:rPr>
          <w:lang w:val="fr-FR"/>
        </w:rPr>
        <w:t>expert principal n</w:t>
      </w:r>
      <w:r w:rsidR="00F3296C" w:rsidRPr="0048528B">
        <w:rPr>
          <w:lang w:val="fr-FR"/>
        </w:rPr>
        <w:t>’</w:t>
      </w:r>
      <w:r w:rsidR="00C908F6" w:rsidRPr="0048528B">
        <w:rPr>
          <w:lang w:val="fr-FR"/>
        </w:rPr>
        <w:t>est pas présent à la session, à moins qu</w:t>
      </w:r>
      <w:r w:rsidR="00F3296C" w:rsidRPr="0048528B">
        <w:rPr>
          <w:lang w:val="fr-FR"/>
        </w:rPr>
        <w:t>’</w:t>
      </w:r>
      <w:r w:rsidR="00C908F6" w:rsidRPr="0048528B">
        <w:rPr>
          <w:lang w:val="fr-FR"/>
        </w:rPr>
        <w:t>un autre expert compétent puisse être trouvé pour servir d</w:t>
      </w:r>
      <w:r w:rsidR="00F3296C" w:rsidRPr="0048528B">
        <w:rPr>
          <w:lang w:val="fr-FR"/>
        </w:rPr>
        <w:t>’</w:t>
      </w:r>
      <w:r w:rsidR="00C908F6" w:rsidRPr="0048528B">
        <w:rPr>
          <w:lang w:val="fr-FR"/>
        </w:rPr>
        <w:t>expert principal suffisamment avant la</w:t>
      </w:r>
      <w:r w:rsidR="006A03CA" w:rsidRPr="0048528B">
        <w:rPr>
          <w:lang w:val="fr-FR"/>
        </w:rPr>
        <w:t xml:space="preserve"> </w:t>
      </w:r>
      <w:r w:rsidR="00C908F6" w:rsidRPr="0048528B">
        <w:rPr>
          <w:lang w:val="fr-FR"/>
        </w:rPr>
        <w:t>session ou à moins que l</w:t>
      </w:r>
      <w:r w:rsidR="00F3296C" w:rsidRPr="0048528B">
        <w:rPr>
          <w:lang w:val="fr-FR"/>
        </w:rPr>
        <w:t>’</w:t>
      </w:r>
      <w:r w:rsidR="00C908F6" w:rsidRPr="0048528B">
        <w:rPr>
          <w:lang w:val="fr-FR"/>
        </w:rPr>
        <w:t>expert principal puisse participer à la session par voie électronique.  Le</w:t>
      </w:r>
      <w:r w:rsidR="00F3296C" w:rsidRPr="0048528B">
        <w:rPr>
          <w:lang w:val="fr-FR"/>
        </w:rPr>
        <w:t> TC</w:t>
      </w:r>
      <w:r w:rsidR="00C908F6" w:rsidRPr="0048528B">
        <w:rPr>
          <w:lang w:val="fr-FR"/>
        </w:rPr>
        <w:t xml:space="preserve"> est convenu que des conseils à cet égard devraient être inclus dans une future version révisée du document TGP/7, Section 2.2.5.3 “Conditions à observer pour les projets de principes directeurs d</w:t>
      </w:r>
      <w:r w:rsidR="00F3296C" w:rsidRPr="0048528B">
        <w:rPr>
          <w:lang w:val="fr-FR"/>
        </w:rPr>
        <w:t>’</w:t>
      </w:r>
      <w:r w:rsidR="00C908F6" w:rsidRPr="0048528B">
        <w:rPr>
          <w:lang w:val="fr-FR"/>
        </w:rPr>
        <w:t>examen soumis aux</w:t>
      </w:r>
      <w:r w:rsidR="00A26EF1" w:rsidRPr="0048528B">
        <w:rPr>
          <w:lang w:val="fr-FR"/>
        </w:rPr>
        <w:t xml:space="preserve"> </w:t>
      </w:r>
      <w:r w:rsidR="00C908F6" w:rsidRPr="0048528B">
        <w:rPr>
          <w:lang w:val="fr-FR"/>
        </w:rPr>
        <w:t>groupes de travail techniques”.</w:t>
      </w:r>
    </w:p>
    <w:p w:rsidR="00204800" w:rsidRPr="0048528B" w:rsidRDefault="00204800" w:rsidP="00196886">
      <w:pPr>
        <w:rPr>
          <w:lang w:val="fr-FR"/>
        </w:rPr>
      </w:pPr>
    </w:p>
    <w:p w:rsidR="00F3296C" w:rsidRPr="0048528B" w:rsidRDefault="00196886" w:rsidP="00666601">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666601" w:rsidRPr="0048528B">
        <w:rPr>
          <w:lang w:val="fr-FR"/>
        </w:rPr>
        <w:t>Le</w:t>
      </w:r>
      <w:r w:rsidR="00F3296C" w:rsidRPr="0048528B">
        <w:rPr>
          <w:lang w:val="fr-FR"/>
        </w:rPr>
        <w:t> TC</w:t>
      </w:r>
      <w:r w:rsidR="00666601" w:rsidRPr="0048528B">
        <w:rPr>
          <w:lang w:val="fr-FR"/>
        </w:rPr>
        <w:t xml:space="preserve"> est convenu qu</w:t>
      </w:r>
      <w:r w:rsidR="00F3296C" w:rsidRPr="0048528B">
        <w:rPr>
          <w:lang w:val="fr-FR"/>
        </w:rPr>
        <w:t>’</w:t>
      </w:r>
      <w:r w:rsidR="00666601" w:rsidRPr="0048528B">
        <w:rPr>
          <w:lang w:val="fr-FR"/>
        </w:rPr>
        <w:t>il ne serait pas approprié de mentionner le nom de l</w:t>
      </w:r>
      <w:r w:rsidR="00F3296C" w:rsidRPr="0048528B">
        <w:rPr>
          <w:lang w:val="fr-FR"/>
        </w:rPr>
        <w:t>’</w:t>
      </w:r>
      <w:r w:rsidR="00666601" w:rsidRPr="0048528B">
        <w:rPr>
          <w:lang w:val="fr-FR"/>
        </w:rPr>
        <w:t>expert principal dans le projet des principes directeurs d</w:t>
      </w:r>
      <w:r w:rsidR="00F3296C" w:rsidRPr="0048528B">
        <w:rPr>
          <w:lang w:val="fr-FR"/>
        </w:rPr>
        <w:t>’</w:t>
      </w:r>
      <w:r w:rsidR="00666601" w:rsidRPr="0048528B">
        <w:rPr>
          <w:lang w:val="fr-FR"/>
        </w:rPr>
        <w:t>examen ou dans les principes directeurs d</w:t>
      </w:r>
      <w:r w:rsidR="00F3296C" w:rsidRPr="0048528B">
        <w:rPr>
          <w:lang w:val="fr-FR"/>
        </w:rPr>
        <w:t>’</w:t>
      </w:r>
      <w:r w:rsidR="00666601" w:rsidRPr="0048528B">
        <w:rPr>
          <w:lang w:val="fr-FR"/>
        </w:rPr>
        <w:t>examen adoptés car cet expert agissait pour le compte d</w:t>
      </w:r>
      <w:r w:rsidR="00F3296C" w:rsidRPr="0048528B">
        <w:rPr>
          <w:lang w:val="fr-FR"/>
        </w:rPr>
        <w:t>’</w:t>
      </w:r>
      <w:r w:rsidR="00666601" w:rsidRPr="0048528B">
        <w:rPr>
          <w:lang w:val="fr-FR"/>
        </w:rPr>
        <w:t>un membre de l</w:t>
      </w:r>
      <w:r w:rsidR="00F3296C" w:rsidRPr="0048528B">
        <w:rPr>
          <w:lang w:val="fr-FR"/>
        </w:rPr>
        <w:t>’</w:t>
      </w:r>
      <w:r w:rsidR="00666601" w:rsidRPr="0048528B">
        <w:rPr>
          <w:lang w:val="fr-FR"/>
        </w:rPr>
        <w:t>Union plutôt qu</w:t>
      </w:r>
      <w:r w:rsidR="00F3296C" w:rsidRPr="0048528B">
        <w:rPr>
          <w:lang w:val="fr-FR"/>
        </w:rPr>
        <w:t>’</w:t>
      </w:r>
      <w:r w:rsidR="00666601" w:rsidRPr="0048528B">
        <w:rPr>
          <w:lang w:val="fr-FR"/>
        </w:rPr>
        <w:t>à titre individuel.  Le</w:t>
      </w:r>
      <w:r w:rsidR="00F3296C" w:rsidRPr="0048528B">
        <w:rPr>
          <w:lang w:val="fr-FR"/>
        </w:rPr>
        <w:t> TC</w:t>
      </w:r>
      <w:r w:rsidR="00666601" w:rsidRPr="0048528B">
        <w:rPr>
          <w:lang w:val="fr-FR"/>
        </w:rPr>
        <w:t xml:space="preserve"> prend note par ailleurs qu</w:t>
      </w:r>
      <w:r w:rsidR="00F3296C" w:rsidRPr="0048528B">
        <w:rPr>
          <w:lang w:val="fr-FR"/>
        </w:rPr>
        <w:t>’</w:t>
      </w:r>
      <w:r w:rsidR="00666601" w:rsidRPr="0048528B">
        <w:rPr>
          <w:lang w:val="fr-FR"/>
        </w:rPr>
        <w:t>il arrive souvent que plus d</w:t>
      </w:r>
      <w:r w:rsidR="00F3296C" w:rsidRPr="0048528B">
        <w:rPr>
          <w:lang w:val="fr-FR"/>
        </w:rPr>
        <w:t>’</w:t>
      </w:r>
      <w:r w:rsidR="00666601" w:rsidRPr="0048528B">
        <w:rPr>
          <w:lang w:val="fr-FR"/>
        </w:rPr>
        <w:t>un expert participe à l</w:t>
      </w:r>
      <w:r w:rsidR="00F3296C" w:rsidRPr="0048528B">
        <w:rPr>
          <w:lang w:val="fr-FR"/>
        </w:rPr>
        <w:t>’</w:t>
      </w:r>
      <w:r w:rsidR="00666601" w:rsidRPr="0048528B">
        <w:rPr>
          <w:lang w:val="fr-FR"/>
        </w:rPr>
        <w:t>élaboration de principes directeurs d</w:t>
      </w:r>
      <w:r w:rsidR="00F3296C" w:rsidRPr="0048528B">
        <w:rPr>
          <w:lang w:val="fr-FR"/>
        </w:rPr>
        <w:t>’</w:t>
      </w:r>
      <w:r w:rsidR="00666601" w:rsidRPr="0048528B">
        <w:rPr>
          <w:lang w:val="fr-FR"/>
        </w:rPr>
        <w:t>examen.</w:t>
      </w:r>
      <w:r w:rsidRPr="0048528B">
        <w:rPr>
          <w:lang w:val="fr-FR"/>
        </w:rPr>
        <w:t xml:space="preserve">  </w:t>
      </w:r>
      <w:r w:rsidR="00666601" w:rsidRPr="0048528B">
        <w:rPr>
          <w:lang w:val="fr-FR"/>
        </w:rPr>
        <w:t>Le</w:t>
      </w:r>
      <w:r w:rsidR="00F3296C" w:rsidRPr="0048528B">
        <w:rPr>
          <w:lang w:val="fr-FR"/>
        </w:rPr>
        <w:t> TC</w:t>
      </w:r>
      <w:r w:rsidR="00666601" w:rsidRPr="0048528B">
        <w:rPr>
          <w:lang w:val="fr-FR"/>
        </w:rPr>
        <w:t xml:space="preserve"> a rappelé que, pour faciliter la communication, le nom et l</w:t>
      </w:r>
      <w:r w:rsidR="00F3296C" w:rsidRPr="0048528B">
        <w:rPr>
          <w:lang w:val="fr-FR"/>
        </w:rPr>
        <w:t>’</w:t>
      </w:r>
      <w:r w:rsidR="00666601" w:rsidRPr="0048528B">
        <w:rPr>
          <w:lang w:val="fr-FR"/>
        </w:rPr>
        <w:t>adresse électronique de l</w:t>
      </w:r>
      <w:r w:rsidR="00F3296C" w:rsidRPr="0048528B">
        <w:rPr>
          <w:lang w:val="fr-FR"/>
        </w:rPr>
        <w:t>’</w:t>
      </w:r>
      <w:r w:rsidR="00666601" w:rsidRPr="0048528B">
        <w:rPr>
          <w:lang w:val="fr-FR"/>
        </w:rPr>
        <w:t xml:space="preserve">expert principal étaient </w:t>
      </w:r>
      <w:r w:rsidR="00666601" w:rsidRPr="0048528B">
        <w:rPr>
          <w:lang w:val="fr-FR"/>
        </w:rPr>
        <w:lastRenderedPageBreak/>
        <w:t>indiqués dans le compte rendu des TWP ainsi que sur la page Web des rédacteurs de TG (voir les paragraphes</w:t>
      </w:r>
      <w:r w:rsidR="001E5EC4" w:rsidRPr="0048528B">
        <w:rPr>
          <w:lang w:val="fr-FR"/>
        </w:rPr>
        <w:t> </w:t>
      </w:r>
      <w:r w:rsidR="00666601" w:rsidRPr="0048528B">
        <w:rPr>
          <w:lang w:val="fr-FR"/>
        </w:rPr>
        <w:t xml:space="preserve">10 à 12 du </w:t>
      </w:r>
      <w:r w:rsidR="00F3296C" w:rsidRPr="0048528B">
        <w:rPr>
          <w:lang w:val="fr-FR"/>
        </w:rPr>
        <w:t>document TC</w:t>
      </w:r>
      <w:r w:rsidR="00666601" w:rsidRPr="0048528B">
        <w:rPr>
          <w:lang w:val="fr-FR"/>
        </w:rPr>
        <w:t>/49/41 “Compte rendu des conclusions”).</w:t>
      </w:r>
    </w:p>
    <w:p w:rsidR="00204800" w:rsidRPr="0048528B" w:rsidRDefault="00204800" w:rsidP="00196886">
      <w:pPr>
        <w:spacing w:line="360" w:lineRule="auto"/>
        <w:rPr>
          <w:lang w:val="fr-FR"/>
        </w:rPr>
      </w:pPr>
    </w:p>
    <w:p w:rsidR="00204800" w:rsidRPr="0048528B" w:rsidRDefault="00666601" w:rsidP="00666601">
      <w:pPr>
        <w:pStyle w:val="Heading3"/>
        <w:rPr>
          <w:lang w:val="fr-FR"/>
        </w:rPr>
      </w:pPr>
      <w:bookmarkStart w:id="11" w:name="_Toc367888532"/>
      <w:r w:rsidRPr="0048528B">
        <w:rPr>
          <w:lang w:val="fr-FR"/>
        </w:rPr>
        <w:t>Modèle TG fondé sur le Web</w:t>
      </w:r>
      <w:bookmarkEnd w:id="11"/>
    </w:p>
    <w:p w:rsidR="00204800" w:rsidRPr="0048528B" w:rsidRDefault="00204800" w:rsidP="00196886">
      <w:pPr>
        <w:keepNext/>
        <w:rPr>
          <w:lang w:val="fr-FR"/>
        </w:rPr>
      </w:pPr>
    </w:p>
    <w:p w:rsidR="00204800" w:rsidRPr="0048528B" w:rsidRDefault="00196886" w:rsidP="00E66CBB">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E66CBB" w:rsidRPr="0048528B">
        <w:rPr>
          <w:lang w:val="fr-FR"/>
        </w:rPr>
        <w:t>Le</w:t>
      </w:r>
      <w:r w:rsidR="00F3296C" w:rsidRPr="0048528B">
        <w:rPr>
          <w:lang w:val="fr-FR"/>
        </w:rPr>
        <w:t> TC</w:t>
      </w:r>
      <w:r w:rsidR="00E66CBB" w:rsidRPr="0048528B">
        <w:rPr>
          <w:lang w:val="fr-FR"/>
        </w:rPr>
        <w:t xml:space="preserve"> a suivi un exposé du Bureau de l</w:t>
      </w:r>
      <w:r w:rsidR="00F3296C" w:rsidRPr="0048528B">
        <w:rPr>
          <w:lang w:val="fr-FR"/>
        </w:rPr>
        <w:t>’</w:t>
      </w:r>
      <w:r w:rsidR="00E66CBB" w:rsidRPr="0048528B">
        <w:rPr>
          <w:lang w:val="fr-FR"/>
        </w:rPr>
        <w:t>Union et d</w:t>
      </w:r>
      <w:r w:rsidR="00F3296C" w:rsidRPr="0048528B">
        <w:rPr>
          <w:lang w:val="fr-FR"/>
        </w:rPr>
        <w:t>’</w:t>
      </w:r>
      <w:r w:rsidR="00E66CBB" w:rsidRPr="0048528B">
        <w:rPr>
          <w:lang w:val="fr-FR"/>
        </w:rPr>
        <w:t>un expert de l</w:t>
      </w:r>
      <w:r w:rsidR="00F3296C" w:rsidRPr="0048528B">
        <w:rPr>
          <w:lang w:val="fr-FR"/>
        </w:rPr>
        <w:t>’</w:t>
      </w:r>
      <w:r w:rsidR="00E66CBB" w:rsidRPr="0048528B">
        <w:rPr>
          <w:lang w:val="fr-FR"/>
        </w:rPr>
        <w:t>Australie sur le projet d</w:t>
      </w:r>
      <w:r w:rsidR="00F3296C" w:rsidRPr="0048528B">
        <w:rPr>
          <w:lang w:val="fr-FR"/>
        </w:rPr>
        <w:t>’</w:t>
      </w:r>
      <w:r w:rsidR="00E66CBB" w:rsidRPr="0048528B">
        <w:rPr>
          <w:lang w:val="fr-FR"/>
        </w:rPr>
        <w:t>élaboration d</w:t>
      </w:r>
      <w:r w:rsidR="00F3296C" w:rsidRPr="0048528B">
        <w:rPr>
          <w:lang w:val="fr-FR"/>
        </w:rPr>
        <w:t>’</w:t>
      </w:r>
      <w:r w:rsidR="00E66CBB" w:rsidRPr="0048528B">
        <w:rPr>
          <w:lang w:val="fr-FR"/>
        </w:rPr>
        <w:t>un modèle TG fondé sur le Web et a noté qu</w:t>
      </w:r>
      <w:r w:rsidR="00F3296C" w:rsidRPr="0048528B">
        <w:rPr>
          <w:lang w:val="fr-FR"/>
        </w:rPr>
        <w:t>’</w:t>
      </w:r>
      <w:r w:rsidR="00E66CBB" w:rsidRPr="0048528B">
        <w:rPr>
          <w:lang w:val="fr-FR"/>
        </w:rPr>
        <w:t xml:space="preserve">une copie de cet exposé serait fournie dans un additif au </w:t>
      </w:r>
      <w:r w:rsidR="00F3296C" w:rsidRPr="0048528B">
        <w:rPr>
          <w:lang w:val="fr-FR"/>
        </w:rPr>
        <w:t>document TC</w:t>
      </w:r>
      <w:r w:rsidR="00E66CBB" w:rsidRPr="0048528B">
        <w:rPr>
          <w:lang w:val="fr-FR"/>
        </w:rPr>
        <w:t>/49/3.  Le secrétaire général adjoint a annoncé qu</w:t>
      </w:r>
      <w:r w:rsidR="00F3296C" w:rsidRPr="0048528B">
        <w:rPr>
          <w:lang w:val="fr-FR"/>
        </w:rPr>
        <w:t>’</w:t>
      </w:r>
      <w:r w:rsidR="00E66CBB" w:rsidRPr="0048528B">
        <w:rPr>
          <w:lang w:val="fr-FR"/>
        </w:rPr>
        <w:t>il était projeté de créer d</w:t>
      </w:r>
      <w:r w:rsidR="00F3296C" w:rsidRPr="0048528B">
        <w:rPr>
          <w:lang w:val="fr-FR"/>
        </w:rPr>
        <w:t>’</w:t>
      </w:r>
      <w:r w:rsidR="00E66CBB" w:rsidRPr="0048528B">
        <w:rPr>
          <w:lang w:val="fr-FR"/>
        </w:rPr>
        <w:t>ici à la fin de 2013 un prototype d</w:t>
      </w:r>
      <w:r w:rsidR="00F3296C" w:rsidRPr="0048528B">
        <w:rPr>
          <w:lang w:val="fr-FR"/>
        </w:rPr>
        <w:t>’</w:t>
      </w:r>
      <w:r w:rsidR="00E66CBB" w:rsidRPr="0048528B">
        <w:rPr>
          <w:lang w:val="fr-FR"/>
        </w:rPr>
        <w:t>essai pour les experts intéressés.</w:t>
      </w:r>
    </w:p>
    <w:p w:rsidR="00204800" w:rsidRPr="0048528B" w:rsidRDefault="00204800" w:rsidP="00196886">
      <w:pPr>
        <w:rPr>
          <w:lang w:val="fr-FR"/>
        </w:rPr>
      </w:pPr>
    </w:p>
    <w:p w:rsidR="00204800" w:rsidRPr="0048528B" w:rsidRDefault="00196886" w:rsidP="006A03CA">
      <w:pPr>
        <w:spacing w:after="360"/>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E66CBB" w:rsidRPr="0048528B">
        <w:rPr>
          <w:lang w:val="fr-FR"/>
        </w:rPr>
        <w:t>Le</w:t>
      </w:r>
      <w:r w:rsidR="00F3296C" w:rsidRPr="0048528B">
        <w:rPr>
          <w:lang w:val="fr-FR"/>
        </w:rPr>
        <w:t> TC</w:t>
      </w:r>
      <w:r w:rsidR="00E66CBB" w:rsidRPr="0048528B">
        <w:rPr>
          <w:lang w:val="fr-FR"/>
        </w:rPr>
        <w:t xml:space="preserve"> a fait part de son soutien pour le projet, notant que le modèle offrira aux rédacteurs de principes directeurs d</w:t>
      </w:r>
      <w:r w:rsidR="00F3296C" w:rsidRPr="0048528B">
        <w:rPr>
          <w:lang w:val="fr-FR"/>
        </w:rPr>
        <w:t>’</w:t>
      </w:r>
      <w:r w:rsidR="00E66CBB" w:rsidRPr="0048528B">
        <w:rPr>
          <w:lang w:val="fr-FR"/>
        </w:rPr>
        <w:t>examen une souplesse suffisante pour qu</w:t>
      </w:r>
      <w:r w:rsidR="00F3296C" w:rsidRPr="0048528B">
        <w:rPr>
          <w:lang w:val="fr-FR"/>
        </w:rPr>
        <w:t>’</w:t>
      </w:r>
      <w:r w:rsidR="00E66CBB" w:rsidRPr="0048528B">
        <w:rPr>
          <w:lang w:val="fr-FR"/>
        </w:rPr>
        <w:t>ils puissent faire des propositions qui ne sont pas couvertes par le libellé type existant.</w:t>
      </w:r>
      <w:r w:rsidRPr="0048528B">
        <w:rPr>
          <w:lang w:val="fr-FR"/>
        </w:rPr>
        <w:t xml:space="preserve">  </w:t>
      </w:r>
      <w:r w:rsidR="00E66CBB" w:rsidRPr="0048528B">
        <w:rPr>
          <w:lang w:val="fr-FR"/>
        </w:rPr>
        <w:t xml:space="preserve">Il a pris note des observations formulées </w:t>
      </w:r>
      <w:r w:rsidR="001E5EC4" w:rsidRPr="0048528B">
        <w:rPr>
          <w:lang w:val="fr-FR"/>
        </w:rPr>
        <w:t>par les TWP à leurs sessions de </w:t>
      </w:r>
      <w:r w:rsidR="00E66CBB" w:rsidRPr="0048528B">
        <w:rPr>
          <w:lang w:val="fr-FR"/>
        </w:rPr>
        <w:t>2012 sur ce projet ainsi que de la nécessité de préserver la souplesse nécessaire dans la structure d</w:t>
      </w:r>
      <w:r w:rsidR="00F3296C" w:rsidRPr="0048528B">
        <w:rPr>
          <w:lang w:val="fr-FR"/>
        </w:rPr>
        <w:t>’</w:t>
      </w:r>
      <w:r w:rsidR="00E66CBB" w:rsidRPr="0048528B">
        <w:rPr>
          <w:lang w:val="fr-FR"/>
        </w:rPr>
        <w:t>élaboration de principes directeurs d</w:t>
      </w:r>
      <w:r w:rsidR="00F3296C" w:rsidRPr="0048528B">
        <w:rPr>
          <w:lang w:val="fr-FR"/>
        </w:rPr>
        <w:t>’</w:t>
      </w:r>
      <w:r w:rsidR="00E66CBB" w:rsidRPr="0048528B">
        <w:rPr>
          <w:lang w:val="fr-FR"/>
        </w:rPr>
        <w:t>examen par les membres de l</w:t>
      </w:r>
      <w:r w:rsidR="00F3296C" w:rsidRPr="0048528B">
        <w:rPr>
          <w:lang w:val="fr-FR"/>
        </w:rPr>
        <w:t>’</w:t>
      </w:r>
      <w:r w:rsidR="00E66CBB" w:rsidRPr="0048528B">
        <w:rPr>
          <w:lang w:val="fr-FR"/>
        </w:rPr>
        <w:t xml:space="preserve">UPOV (voir le </w:t>
      </w:r>
      <w:r w:rsidR="00F3296C" w:rsidRPr="0048528B">
        <w:rPr>
          <w:lang w:val="fr-FR"/>
        </w:rPr>
        <w:t>document TC</w:t>
      </w:r>
      <w:r w:rsidR="00E66CBB" w:rsidRPr="0048528B">
        <w:rPr>
          <w:lang w:val="fr-FR"/>
        </w:rPr>
        <w:t>/49/41 “Compte rendu des conclusions”).</w:t>
      </w:r>
    </w:p>
    <w:p w:rsidR="00204800" w:rsidRPr="0048528B" w:rsidRDefault="00E66CBB" w:rsidP="00E66CBB">
      <w:pPr>
        <w:pStyle w:val="Heading3"/>
        <w:rPr>
          <w:lang w:val="fr-FR"/>
        </w:rPr>
      </w:pPr>
      <w:bookmarkStart w:id="12" w:name="_Toc367888533"/>
      <w:r w:rsidRPr="0048528B">
        <w:rPr>
          <w:lang w:val="fr-FR"/>
        </w:rPr>
        <w:t>Expériences de nouveaux types et espèces</w:t>
      </w:r>
      <w:bookmarkEnd w:id="12"/>
    </w:p>
    <w:p w:rsidR="00204800" w:rsidRPr="0048528B" w:rsidRDefault="00204800" w:rsidP="00196886">
      <w:pPr>
        <w:keepNext/>
        <w:rPr>
          <w:lang w:val="fr-FR"/>
        </w:rPr>
      </w:pPr>
    </w:p>
    <w:p w:rsidR="00204800" w:rsidRPr="0048528B" w:rsidRDefault="00196886" w:rsidP="00E66CBB">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E66CBB" w:rsidRPr="0048528B">
        <w:rPr>
          <w:lang w:val="fr-FR"/>
        </w:rPr>
        <w:t>Le</w:t>
      </w:r>
      <w:r w:rsidR="00F3296C" w:rsidRPr="0048528B">
        <w:rPr>
          <w:lang w:val="fr-FR"/>
        </w:rPr>
        <w:t> TC</w:t>
      </w:r>
      <w:r w:rsidR="00E66CBB" w:rsidRPr="0048528B">
        <w:rPr>
          <w:lang w:val="fr-FR"/>
        </w:rPr>
        <w:t xml:space="preserve"> a pris note des informations concernant de nouveaux types et espèces telles qu</w:t>
      </w:r>
      <w:r w:rsidR="00F3296C" w:rsidRPr="0048528B">
        <w:rPr>
          <w:lang w:val="fr-FR"/>
        </w:rPr>
        <w:t>’</w:t>
      </w:r>
      <w:r w:rsidR="00E66CBB" w:rsidRPr="0048528B">
        <w:rPr>
          <w:lang w:val="fr-FR"/>
        </w:rPr>
        <w:t xml:space="preserve">elles figurent dans le </w:t>
      </w:r>
      <w:r w:rsidR="00F3296C" w:rsidRPr="0048528B">
        <w:rPr>
          <w:lang w:val="fr-FR"/>
        </w:rPr>
        <w:t>document TC</w:t>
      </w:r>
      <w:r w:rsidR="001E5EC4" w:rsidRPr="0048528B">
        <w:rPr>
          <w:lang w:val="fr-FR"/>
        </w:rPr>
        <w:t xml:space="preserve">/49/3 (voir le </w:t>
      </w:r>
      <w:r w:rsidR="00F3296C" w:rsidRPr="0048528B">
        <w:rPr>
          <w:lang w:val="fr-FR"/>
        </w:rPr>
        <w:t>document TC</w:t>
      </w:r>
      <w:r w:rsidR="00E66CBB" w:rsidRPr="0048528B">
        <w:rPr>
          <w:lang w:val="fr-FR"/>
        </w:rPr>
        <w:t>/49/41 “Compte rendu des conclusions”).</w:t>
      </w:r>
    </w:p>
    <w:p w:rsidR="00204800" w:rsidRPr="0048528B" w:rsidRDefault="00204800" w:rsidP="00196886">
      <w:pPr>
        <w:spacing w:line="360" w:lineRule="auto"/>
        <w:rPr>
          <w:lang w:val="fr-FR"/>
        </w:rPr>
      </w:pPr>
    </w:p>
    <w:p w:rsidR="00204800" w:rsidRPr="0048528B" w:rsidRDefault="00E66CBB" w:rsidP="00E66CBB">
      <w:pPr>
        <w:pStyle w:val="Heading3"/>
        <w:rPr>
          <w:lang w:val="fr-FR"/>
        </w:rPr>
      </w:pPr>
      <w:bookmarkStart w:id="13" w:name="_Toc367888534"/>
      <w:r w:rsidRPr="0048528B">
        <w:rPr>
          <w:lang w:val="fr-FR"/>
        </w:rPr>
        <w:t>Niveaux d</w:t>
      </w:r>
      <w:r w:rsidR="00F3296C" w:rsidRPr="0048528B">
        <w:rPr>
          <w:lang w:val="fr-FR"/>
        </w:rPr>
        <w:t>’</w:t>
      </w:r>
      <w:r w:rsidRPr="0048528B">
        <w:rPr>
          <w:lang w:val="fr-FR"/>
        </w:rPr>
        <w:t>homogénéité selon le niveau d</w:t>
      </w:r>
      <w:r w:rsidR="00F3296C" w:rsidRPr="0048528B">
        <w:rPr>
          <w:lang w:val="fr-FR"/>
        </w:rPr>
        <w:t>’</w:t>
      </w:r>
      <w:r w:rsidRPr="0048528B">
        <w:rPr>
          <w:lang w:val="fr-FR"/>
        </w:rPr>
        <w:t>expression des caractères obligatoires de résistance à la maladie et variétés non cultivées pour avoir une telle résistance</w:t>
      </w:r>
      <w:bookmarkEnd w:id="13"/>
    </w:p>
    <w:p w:rsidR="00204800" w:rsidRPr="0048528B" w:rsidRDefault="00204800" w:rsidP="00196886">
      <w:pPr>
        <w:keepNext/>
        <w:rPr>
          <w:lang w:val="fr-FR"/>
        </w:rPr>
      </w:pPr>
    </w:p>
    <w:p w:rsidR="00204800" w:rsidRPr="0048528B" w:rsidRDefault="00196886" w:rsidP="00E66CBB">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E66CBB" w:rsidRPr="0048528B">
        <w:rPr>
          <w:lang w:val="fr-FR"/>
        </w:rPr>
        <w:t>La délégation de l</w:t>
      </w:r>
      <w:r w:rsidR="00F3296C" w:rsidRPr="0048528B">
        <w:rPr>
          <w:lang w:val="fr-FR"/>
        </w:rPr>
        <w:t>’</w:t>
      </w:r>
      <w:r w:rsidR="00E66CBB" w:rsidRPr="0048528B">
        <w:rPr>
          <w:lang w:val="fr-FR"/>
        </w:rPr>
        <w:t>Union européenne a informé le</w:t>
      </w:r>
      <w:r w:rsidR="00F3296C" w:rsidRPr="0048528B">
        <w:rPr>
          <w:lang w:val="fr-FR"/>
        </w:rPr>
        <w:t> TC</w:t>
      </w:r>
      <w:r w:rsidR="00E66CBB" w:rsidRPr="0048528B">
        <w:rPr>
          <w:lang w:val="fr-FR"/>
        </w:rPr>
        <w:t xml:space="preserve"> que, en raison de faits nouveaux récents, les données sur les “Niveaux d</w:t>
      </w:r>
      <w:r w:rsidR="00F3296C" w:rsidRPr="0048528B">
        <w:rPr>
          <w:lang w:val="fr-FR"/>
        </w:rPr>
        <w:t>’</w:t>
      </w:r>
      <w:r w:rsidR="00E66CBB" w:rsidRPr="0048528B">
        <w:rPr>
          <w:lang w:val="fr-FR"/>
        </w:rPr>
        <w:t>homogénéité selon le niveau d</w:t>
      </w:r>
      <w:r w:rsidR="00F3296C" w:rsidRPr="0048528B">
        <w:rPr>
          <w:lang w:val="fr-FR"/>
        </w:rPr>
        <w:t>’</w:t>
      </w:r>
      <w:r w:rsidR="00E66CBB" w:rsidRPr="0048528B">
        <w:rPr>
          <w:lang w:val="fr-FR"/>
        </w:rPr>
        <w:t>expression des caractères obligatoires de résistance à la maladie et variétés non cultivées pour avoir une telle résistance” de membres de l</w:t>
      </w:r>
      <w:r w:rsidR="00F3296C" w:rsidRPr="0048528B">
        <w:rPr>
          <w:lang w:val="fr-FR"/>
        </w:rPr>
        <w:t>’</w:t>
      </w:r>
      <w:r w:rsidR="00E66CBB" w:rsidRPr="0048528B">
        <w:rPr>
          <w:lang w:val="fr-FR"/>
        </w:rPr>
        <w:t>Union européenne, ne seraient pas présentées à la quarante</w:t>
      </w:r>
      <w:r w:rsidR="003F00B6" w:rsidRPr="0048528B">
        <w:rPr>
          <w:lang w:val="fr-FR"/>
        </w:rPr>
        <w:noBreakHyphen/>
      </w:r>
      <w:r w:rsidR="00E66CBB" w:rsidRPr="0048528B">
        <w:rPr>
          <w:lang w:val="fr-FR"/>
        </w:rPr>
        <w:t>septième session du TWV et qu</w:t>
      </w:r>
      <w:r w:rsidR="00F3296C" w:rsidRPr="0048528B">
        <w:rPr>
          <w:lang w:val="fr-FR"/>
        </w:rPr>
        <w:t>’</w:t>
      </w:r>
      <w:r w:rsidR="00E66CBB" w:rsidRPr="0048528B">
        <w:rPr>
          <w:lang w:val="fr-FR"/>
        </w:rPr>
        <w:t xml:space="preserve">elles le seraient à une session ultérieure (voir le paragraphe 16 du </w:t>
      </w:r>
      <w:r w:rsidR="00F3296C" w:rsidRPr="0048528B">
        <w:rPr>
          <w:lang w:val="fr-FR"/>
        </w:rPr>
        <w:t>document TC</w:t>
      </w:r>
      <w:r w:rsidR="00E66CBB" w:rsidRPr="0048528B">
        <w:rPr>
          <w:lang w:val="fr-FR"/>
        </w:rPr>
        <w:t>/49/41 “Compte rendu des conclusions”).</w:t>
      </w:r>
    </w:p>
    <w:p w:rsidR="00204800" w:rsidRPr="0048528B" w:rsidRDefault="00204800" w:rsidP="00196886">
      <w:pPr>
        <w:spacing w:line="360" w:lineRule="auto"/>
        <w:rPr>
          <w:lang w:val="fr-FR"/>
        </w:rPr>
      </w:pPr>
    </w:p>
    <w:p w:rsidR="00204800" w:rsidRPr="0048528B" w:rsidRDefault="00E66CBB" w:rsidP="00E66CBB">
      <w:pPr>
        <w:pStyle w:val="Heading3"/>
        <w:rPr>
          <w:lang w:val="fr-FR"/>
        </w:rPr>
      </w:pPr>
      <w:bookmarkStart w:id="14" w:name="_Toc367888535"/>
      <w:r w:rsidRPr="0048528B">
        <w:rPr>
          <w:lang w:val="fr-FR"/>
        </w:rPr>
        <w:t>Enregistreurs de données</w:t>
      </w:r>
      <w:bookmarkEnd w:id="14"/>
    </w:p>
    <w:p w:rsidR="00204800" w:rsidRPr="0048528B" w:rsidRDefault="00204800" w:rsidP="00196886">
      <w:pPr>
        <w:keepNext/>
        <w:rPr>
          <w:lang w:val="fr-FR"/>
        </w:rPr>
      </w:pPr>
    </w:p>
    <w:p w:rsidR="00204800" w:rsidRPr="0048528B" w:rsidRDefault="00196886" w:rsidP="00E66CBB">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E66CBB" w:rsidRPr="0048528B">
        <w:rPr>
          <w:lang w:val="fr-FR"/>
        </w:rPr>
        <w:t>Le</w:t>
      </w:r>
      <w:r w:rsidR="00F3296C" w:rsidRPr="0048528B">
        <w:rPr>
          <w:lang w:val="fr-FR"/>
        </w:rPr>
        <w:t> TC</w:t>
      </w:r>
      <w:r w:rsidR="00E66CBB" w:rsidRPr="0048528B">
        <w:rPr>
          <w:lang w:val="fr-FR"/>
        </w:rPr>
        <w:t xml:space="preserve"> est convenu de demander au Bureau de l</w:t>
      </w:r>
      <w:r w:rsidR="00F3296C" w:rsidRPr="0048528B">
        <w:rPr>
          <w:lang w:val="fr-FR"/>
        </w:rPr>
        <w:t>’</w:t>
      </w:r>
      <w:r w:rsidR="00E66CBB" w:rsidRPr="0048528B">
        <w:rPr>
          <w:lang w:val="fr-FR"/>
        </w:rPr>
        <w:t>Union qu</w:t>
      </w:r>
      <w:r w:rsidR="00F3296C" w:rsidRPr="0048528B">
        <w:rPr>
          <w:lang w:val="fr-FR"/>
        </w:rPr>
        <w:t>’</w:t>
      </w:r>
      <w:r w:rsidR="00E66CBB" w:rsidRPr="0048528B">
        <w:rPr>
          <w:lang w:val="fr-FR"/>
        </w:rPr>
        <w:t>il émette une nouvelle circulaire concernant les dispositifs portatifs de saisie de données et invitant de nouvelles contributions en prévision de la trente et unième session du TWC (voir le paragraphe</w:t>
      </w:r>
      <w:r w:rsidR="00E3136C" w:rsidRPr="0048528B">
        <w:rPr>
          <w:lang w:val="fr-FR"/>
        </w:rPr>
        <w:t> </w:t>
      </w:r>
      <w:r w:rsidR="00E66CBB" w:rsidRPr="0048528B">
        <w:rPr>
          <w:lang w:val="fr-FR"/>
        </w:rPr>
        <w:t xml:space="preserve">17 du </w:t>
      </w:r>
      <w:r w:rsidR="00F3296C" w:rsidRPr="0048528B">
        <w:rPr>
          <w:lang w:val="fr-FR"/>
        </w:rPr>
        <w:t>document TC</w:t>
      </w:r>
      <w:r w:rsidR="00E66CBB" w:rsidRPr="0048528B">
        <w:rPr>
          <w:lang w:val="fr-FR"/>
        </w:rPr>
        <w:t>/49/41 “Compte rendu des</w:t>
      </w:r>
      <w:r w:rsidR="001E5EC4" w:rsidRPr="0048528B">
        <w:rPr>
          <w:lang w:val="fr-FR"/>
        </w:rPr>
        <w:t> </w:t>
      </w:r>
      <w:r w:rsidR="00E66CBB" w:rsidRPr="0048528B">
        <w:rPr>
          <w:lang w:val="fr-FR"/>
        </w:rPr>
        <w:t>conclusions”).</w:t>
      </w:r>
    </w:p>
    <w:p w:rsidR="00204800" w:rsidRPr="0048528B" w:rsidRDefault="00204800" w:rsidP="00196886">
      <w:pPr>
        <w:spacing w:line="360" w:lineRule="auto"/>
        <w:rPr>
          <w:lang w:val="fr-FR"/>
        </w:rPr>
      </w:pPr>
    </w:p>
    <w:p w:rsidR="00204800" w:rsidRPr="0048528B" w:rsidRDefault="00E66CBB" w:rsidP="00E66CBB">
      <w:pPr>
        <w:pStyle w:val="Heading3"/>
        <w:rPr>
          <w:lang w:val="fr-FR"/>
        </w:rPr>
      </w:pPr>
      <w:bookmarkStart w:id="15" w:name="_Toc367888536"/>
      <w:r w:rsidRPr="0048528B">
        <w:rPr>
          <w:lang w:val="fr-FR"/>
        </w:rPr>
        <w:t>Enquête sur l</w:t>
      </w:r>
      <w:r w:rsidR="00F3296C" w:rsidRPr="0048528B">
        <w:rPr>
          <w:lang w:val="fr-FR"/>
        </w:rPr>
        <w:t>’</w:t>
      </w:r>
      <w:r w:rsidRPr="0048528B">
        <w:rPr>
          <w:lang w:val="fr-FR"/>
        </w:rPr>
        <w:t>efficacité des groupes de travail techniques</w:t>
      </w:r>
      <w:bookmarkEnd w:id="15"/>
    </w:p>
    <w:p w:rsidR="00204800" w:rsidRPr="0048528B" w:rsidRDefault="00204800" w:rsidP="00196886">
      <w:pPr>
        <w:keepNext/>
        <w:rPr>
          <w:lang w:val="fr-FR"/>
        </w:rPr>
      </w:pPr>
    </w:p>
    <w:p w:rsidR="00204800" w:rsidRPr="0048528B" w:rsidRDefault="00196886" w:rsidP="00E66CBB">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E66CBB" w:rsidRPr="0048528B">
        <w:rPr>
          <w:lang w:val="fr-FR"/>
        </w:rPr>
        <w:t>Le</w:t>
      </w:r>
      <w:r w:rsidR="00F3296C" w:rsidRPr="0048528B">
        <w:rPr>
          <w:lang w:val="fr-FR"/>
        </w:rPr>
        <w:t> TC</w:t>
      </w:r>
      <w:r w:rsidR="00E66CBB" w:rsidRPr="0048528B">
        <w:rPr>
          <w:lang w:val="fr-FR"/>
        </w:rPr>
        <w:t xml:space="preserve"> a suivi des exposés du Bureau de l</w:t>
      </w:r>
      <w:r w:rsidR="00F3296C" w:rsidRPr="0048528B">
        <w:rPr>
          <w:lang w:val="fr-FR"/>
        </w:rPr>
        <w:t>’</w:t>
      </w:r>
      <w:r w:rsidR="00E66CBB" w:rsidRPr="0048528B">
        <w:rPr>
          <w:lang w:val="fr-FR"/>
        </w:rPr>
        <w:t>Union sur une enquête auprès des participants au TWO, à sa quarante</w:t>
      </w:r>
      <w:r w:rsidR="003F00B6" w:rsidRPr="0048528B">
        <w:rPr>
          <w:lang w:val="fr-FR"/>
        </w:rPr>
        <w:noBreakHyphen/>
      </w:r>
      <w:r w:rsidR="00E66CBB" w:rsidRPr="0048528B">
        <w:rPr>
          <w:lang w:val="fr-FR"/>
        </w:rPr>
        <w:t>cinquième session tenue à Jeju (République de Corée) du 6 au 10 août 2012, et au TWF, à sa quarante</w:t>
      </w:r>
      <w:r w:rsidR="003F00B6" w:rsidRPr="0048528B">
        <w:rPr>
          <w:lang w:val="fr-FR"/>
        </w:rPr>
        <w:noBreakHyphen/>
      </w:r>
      <w:r w:rsidR="00E66CBB" w:rsidRPr="0048528B">
        <w:rPr>
          <w:lang w:val="fr-FR"/>
        </w:rPr>
        <w:t>troisième session, tenue à Pékin (Chine), du 30 juillet au 3 août 2012, ainsi que sur une analyse de la participation au</w:t>
      </w:r>
      <w:r w:rsidR="00F3296C" w:rsidRPr="0048528B">
        <w:rPr>
          <w:lang w:val="fr-FR"/>
        </w:rPr>
        <w:t> TC</w:t>
      </w:r>
      <w:r w:rsidR="00E66CBB" w:rsidRPr="0048528B">
        <w:rPr>
          <w:lang w:val="fr-FR"/>
        </w:rPr>
        <w:t xml:space="preserve"> et au TWP, dont des copies seraient fournies dans un additif au </w:t>
      </w:r>
      <w:r w:rsidR="00F3296C" w:rsidRPr="0048528B">
        <w:rPr>
          <w:lang w:val="fr-FR"/>
        </w:rPr>
        <w:t>document TC</w:t>
      </w:r>
      <w:r w:rsidR="00E66CBB" w:rsidRPr="0048528B">
        <w:rPr>
          <w:lang w:val="fr-FR"/>
        </w:rPr>
        <w:t>/49/3.</w:t>
      </w:r>
    </w:p>
    <w:p w:rsidR="00204800" w:rsidRPr="0048528B" w:rsidRDefault="00204800" w:rsidP="00196886">
      <w:pPr>
        <w:rPr>
          <w:lang w:val="fr-FR"/>
        </w:rPr>
      </w:pPr>
    </w:p>
    <w:p w:rsidR="00204800" w:rsidRPr="0048528B" w:rsidRDefault="00196886" w:rsidP="00E66CBB">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E66CBB" w:rsidRPr="0048528B">
        <w:rPr>
          <w:lang w:val="fr-FR"/>
        </w:rPr>
        <w:t>Le</w:t>
      </w:r>
      <w:r w:rsidR="00F3296C" w:rsidRPr="0048528B">
        <w:rPr>
          <w:lang w:val="fr-FR"/>
        </w:rPr>
        <w:t> TC</w:t>
      </w:r>
      <w:r w:rsidR="00E66CBB" w:rsidRPr="0048528B">
        <w:rPr>
          <w:lang w:val="fr-FR"/>
        </w:rPr>
        <w:t xml:space="preserve"> a pris note des propositions suivantes relatives aux moyens possibles d</w:t>
      </w:r>
      <w:r w:rsidR="00F3296C" w:rsidRPr="0048528B">
        <w:rPr>
          <w:lang w:val="fr-FR"/>
        </w:rPr>
        <w:t>’</w:t>
      </w:r>
      <w:r w:rsidR="00E66CBB" w:rsidRPr="0048528B">
        <w:rPr>
          <w:lang w:val="fr-FR"/>
        </w:rPr>
        <w:t>améliorer l</w:t>
      </w:r>
      <w:r w:rsidR="00F3296C" w:rsidRPr="0048528B">
        <w:rPr>
          <w:lang w:val="fr-FR"/>
        </w:rPr>
        <w:t>’</w:t>
      </w:r>
      <w:r w:rsidR="00E66CBB" w:rsidRPr="0048528B">
        <w:rPr>
          <w:lang w:val="fr-FR"/>
        </w:rPr>
        <w:t>efficacité des</w:t>
      </w:r>
      <w:r w:rsidR="006A03CA" w:rsidRPr="0048528B">
        <w:rPr>
          <w:lang w:val="fr-FR"/>
        </w:rPr>
        <w:t xml:space="preserve"> </w:t>
      </w:r>
      <w:r w:rsidR="00E66CBB" w:rsidRPr="0048528B">
        <w:rPr>
          <w:lang w:val="fr-FR"/>
        </w:rPr>
        <w:t>TWP en vue de leur examen :</w:t>
      </w:r>
    </w:p>
    <w:p w:rsidR="00204800" w:rsidRPr="0048528B" w:rsidRDefault="00204800" w:rsidP="00196886">
      <w:pPr>
        <w:rPr>
          <w:lang w:val="fr-FR"/>
        </w:rPr>
      </w:pPr>
    </w:p>
    <w:p w:rsidR="00204800" w:rsidRPr="0048528B" w:rsidRDefault="00E66CBB" w:rsidP="001E5EC4">
      <w:pPr>
        <w:pStyle w:val="ListParagraph"/>
        <w:numPr>
          <w:ilvl w:val="0"/>
          <w:numId w:val="41"/>
        </w:numPr>
        <w:ind w:left="0" w:firstLine="567"/>
        <w:rPr>
          <w:rFonts w:eastAsia="MS Mincho" w:cs="Arial"/>
          <w:lang w:val="fr-FR" w:eastAsia="ja-JP"/>
        </w:rPr>
      </w:pPr>
      <w:r w:rsidRPr="0048528B">
        <w:rPr>
          <w:rFonts w:eastAsia="MS Mincho" w:cs="Arial"/>
          <w:lang w:val="fr-FR" w:eastAsia="ja-JP"/>
        </w:rPr>
        <w:t>établir les avantages possibles d</w:t>
      </w:r>
      <w:r w:rsidR="00F3296C" w:rsidRPr="0048528B">
        <w:rPr>
          <w:rFonts w:eastAsia="MS Mincho" w:cs="Arial"/>
          <w:lang w:val="fr-FR" w:eastAsia="ja-JP"/>
        </w:rPr>
        <w:t>’</w:t>
      </w:r>
      <w:r w:rsidRPr="0048528B">
        <w:rPr>
          <w:rFonts w:eastAsia="MS Mincho" w:cs="Arial"/>
          <w:lang w:val="fr-FR" w:eastAsia="ja-JP"/>
        </w:rPr>
        <w:t>une répartition régionale des lieux de réunion des TWP pendant l</w:t>
      </w:r>
      <w:r w:rsidR="00F3296C" w:rsidRPr="0048528B">
        <w:rPr>
          <w:rFonts w:eastAsia="MS Mincho" w:cs="Arial"/>
          <w:lang w:val="fr-FR" w:eastAsia="ja-JP"/>
        </w:rPr>
        <w:t>’</w:t>
      </w:r>
      <w:r w:rsidRPr="0048528B">
        <w:rPr>
          <w:rFonts w:eastAsia="MS Mincho" w:cs="Arial"/>
          <w:lang w:val="fr-FR" w:eastAsia="ja-JP"/>
        </w:rPr>
        <w:t>année afin de tirer au maximum parti des possibilités de participation;</w:t>
      </w:r>
    </w:p>
    <w:p w:rsidR="00204800" w:rsidRPr="0048528B" w:rsidRDefault="00204800" w:rsidP="00196886">
      <w:pPr>
        <w:rPr>
          <w:rFonts w:eastAsia="MS Mincho" w:cs="Arial"/>
          <w:lang w:val="fr-FR" w:eastAsia="ja-JP"/>
        </w:rPr>
      </w:pPr>
    </w:p>
    <w:p w:rsidR="00204800" w:rsidRPr="0048528B" w:rsidRDefault="00196886" w:rsidP="00E66CBB">
      <w:pPr>
        <w:rPr>
          <w:rFonts w:cs="Arial"/>
          <w:lang w:val="fr-FR"/>
        </w:rPr>
      </w:pPr>
      <w:r w:rsidRPr="0048528B">
        <w:rPr>
          <w:rFonts w:cs="Arial"/>
          <w:lang w:val="fr-FR"/>
        </w:rPr>
        <w:tab/>
      </w:r>
      <w:r w:rsidR="00E66CBB" w:rsidRPr="0048528B">
        <w:rPr>
          <w:rFonts w:cs="Arial"/>
          <w:lang w:val="fr-FR"/>
        </w:rPr>
        <w:t xml:space="preserve">b) </w:t>
      </w:r>
      <w:r w:rsidR="001E5EC4" w:rsidRPr="0048528B">
        <w:rPr>
          <w:rFonts w:cs="Arial"/>
          <w:lang w:val="fr-FR"/>
        </w:rPr>
        <w:tab/>
      </w:r>
      <w:r w:rsidR="00E66CBB" w:rsidRPr="0048528B">
        <w:rPr>
          <w:rFonts w:cs="Arial"/>
          <w:lang w:val="fr-FR"/>
        </w:rPr>
        <w:t>inviter les TWP à modifier le cas échéant la durée (écourter ou allonger) des sessions des TWP en fonction de l</w:t>
      </w:r>
      <w:r w:rsidR="00F3296C" w:rsidRPr="0048528B">
        <w:rPr>
          <w:rFonts w:cs="Arial"/>
          <w:lang w:val="fr-FR"/>
        </w:rPr>
        <w:t>’</w:t>
      </w:r>
      <w:r w:rsidR="00E66CBB" w:rsidRPr="0048528B">
        <w:rPr>
          <w:rFonts w:cs="Arial"/>
          <w:lang w:val="fr-FR"/>
        </w:rPr>
        <w:t>ordre du jour et du nombre des principes directeurs d</w:t>
      </w:r>
      <w:r w:rsidR="00F3296C" w:rsidRPr="0048528B">
        <w:rPr>
          <w:rFonts w:cs="Arial"/>
          <w:lang w:val="fr-FR"/>
        </w:rPr>
        <w:t>’</w:t>
      </w:r>
      <w:r w:rsidR="00E66CBB" w:rsidRPr="0048528B">
        <w:rPr>
          <w:rFonts w:cs="Arial"/>
          <w:lang w:val="fr-FR"/>
        </w:rPr>
        <w:t>examen à examiner;</w:t>
      </w:r>
    </w:p>
    <w:p w:rsidR="00204800" w:rsidRPr="0048528B" w:rsidRDefault="00204800" w:rsidP="00196886">
      <w:pPr>
        <w:rPr>
          <w:rFonts w:eastAsia="MS Mincho" w:cs="Arial"/>
          <w:lang w:val="fr-FR" w:eastAsia="ja-JP"/>
        </w:rPr>
      </w:pPr>
    </w:p>
    <w:p w:rsidR="00204800" w:rsidRPr="0048528B" w:rsidRDefault="00196886" w:rsidP="00E66CBB">
      <w:pPr>
        <w:rPr>
          <w:rFonts w:eastAsia="MS Mincho" w:cs="Arial"/>
          <w:lang w:val="fr-FR" w:eastAsia="ja-JP"/>
        </w:rPr>
      </w:pPr>
      <w:r w:rsidRPr="0048528B">
        <w:rPr>
          <w:rFonts w:eastAsia="MS Mincho" w:cs="Arial"/>
          <w:lang w:val="fr-FR" w:eastAsia="ja-JP"/>
        </w:rPr>
        <w:tab/>
      </w:r>
      <w:r w:rsidR="00E66CBB" w:rsidRPr="0048528B">
        <w:rPr>
          <w:rFonts w:eastAsia="MS Mincho" w:cs="Arial"/>
          <w:lang w:val="fr-FR" w:eastAsia="ja-JP"/>
        </w:rPr>
        <w:t xml:space="preserve">c) </w:t>
      </w:r>
      <w:r w:rsidR="001E5EC4" w:rsidRPr="0048528B">
        <w:rPr>
          <w:rFonts w:eastAsia="MS Mincho" w:cs="Arial"/>
          <w:lang w:val="fr-FR" w:eastAsia="ja-JP"/>
        </w:rPr>
        <w:tab/>
      </w:r>
      <w:r w:rsidR="00E66CBB" w:rsidRPr="0048528B">
        <w:rPr>
          <w:rFonts w:eastAsia="MS Mincho" w:cs="Arial"/>
          <w:lang w:val="fr-FR" w:eastAsia="ja-JP"/>
        </w:rPr>
        <w:t>fournir un résumé des principales modifications apportées aux documents TGP (TGP/7, TGP/8 et TGP/14) ainsi que des principaux éléments de ces documents, au titre du point 3.b) de l</w:t>
      </w:r>
      <w:r w:rsidR="00F3296C" w:rsidRPr="0048528B">
        <w:rPr>
          <w:rFonts w:eastAsia="MS Mincho" w:cs="Arial"/>
          <w:lang w:val="fr-FR" w:eastAsia="ja-JP"/>
        </w:rPr>
        <w:t>’</w:t>
      </w:r>
      <w:r w:rsidR="00E66CBB" w:rsidRPr="0048528B">
        <w:rPr>
          <w:rFonts w:eastAsia="MS Mincho" w:cs="Arial"/>
          <w:lang w:val="fr-FR" w:eastAsia="ja-JP"/>
        </w:rPr>
        <w:t>ordre du jour “Rapports sur les faits nouveaux survenus à l</w:t>
      </w:r>
      <w:r w:rsidR="00F3296C" w:rsidRPr="0048528B">
        <w:rPr>
          <w:rFonts w:eastAsia="MS Mincho" w:cs="Arial"/>
          <w:lang w:val="fr-FR" w:eastAsia="ja-JP"/>
        </w:rPr>
        <w:t>’</w:t>
      </w:r>
      <w:r w:rsidR="00E66CBB" w:rsidRPr="0048528B">
        <w:rPr>
          <w:rFonts w:eastAsia="MS Mincho" w:cs="Arial"/>
          <w:lang w:val="fr-FR" w:eastAsia="ja-JP"/>
        </w:rPr>
        <w:t>UPOV”;</w:t>
      </w:r>
    </w:p>
    <w:p w:rsidR="00204800" w:rsidRPr="0048528B" w:rsidRDefault="00204800" w:rsidP="00196886">
      <w:pPr>
        <w:rPr>
          <w:rFonts w:cs="Arial"/>
          <w:lang w:val="fr-FR"/>
        </w:rPr>
      </w:pPr>
    </w:p>
    <w:p w:rsidR="00CE0C30" w:rsidRPr="0048528B" w:rsidRDefault="00196886" w:rsidP="00E66CBB">
      <w:pPr>
        <w:rPr>
          <w:rFonts w:cs="Arial"/>
          <w:lang w:val="fr-FR"/>
        </w:rPr>
      </w:pPr>
      <w:r w:rsidRPr="0048528B">
        <w:rPr>
          <w:rFonts w:cs="Arial"/>
          <w:lang w:val="fr-FR"/>
        </w:rPr>
        <w:tab/>
      </w:r>
      <w:r w:rsidR="00E66CBB" w:rsidRPr="0048528B">
        <w:rPr>
          <w:rFonts w:cs="Arial"/>
          <w:lang w:val="fr-FR"/>
        </w:rPr>
        <w:t xml:space="preserve">d) </w:t>
      </w:r>
      <w:r w:rsidR="001E5EC4" w:rsidRPr="0048528B">
        <w:rPr>
          <w:rFonts w:cs="Arial"/>
          <w:lang w:val="fr-FR"/>
        </w:rPr>
        <w:tab/>
      </w:r>
      <w:r w:rsidR="00E66CBB" w:rsidRPr="0048528B">
        <w:rPr>
          <w:rFonts w:cs="Arial"/>
          <w:lang w:val="fr-FR"/>
        </w:rPr>
        <w:t>élaborer un guide de “référence rapide” à l</w:t>
      </w:r>
      <w:r w:rsidR="00F3296C" w:rsidRPr="0048528B">
        <w:rPr>
          <w:rFonts w:cs="Arial"/>
          <w:lang w:val="fr-FR"/>
        </w:rPr>
        <w:t>’</w:t>
      </w:r>
      <w:r w:rsidR="00E66CBB" w:rsidRPr="0048528B">
        <w:rPr>
          <w:rFonts w:cs="Arial"/>
          <w:lang w:val="fr-FR"/>
        </w:rPr>
        <w:t xml:space="preserve">intention des participants aux TWP qui contiendrait des extraits, par exemple, des documents TGP/7 et TGP/14, couvrant des questions découlant fréquemment </w:t>
      </w:r>
      <w:r w:rsidR="00E66CBB" w:rsidRPr="0048528B">
        <w:rPr>
          <w:rFonts w:cs="Arial"/>
          <w:lang w:val="fr-FR"/>
        </w:rPr>
        <w:lastRenderedPageBreak/>
        <w:t>des principes directeurs d</w:t>
      </w:r>
      <w:r w:rsidR="00F3296C" w:rsidRPr="0048528B">
        <w:rPr>
          <w:rFonts w:cs="Arial"/>
          <w:lang w:val="fr-FR"/>
        </w:rPr>
        <w:t>’</w:t>
      </w:r>
      <w:r w:rsidR="00E66CBB" w:rsidRPr="0048528B">
        <w:rPr>
          <w:rFonts w:cs="Arial"/>
          <w:lang w:val="fr-FR"/>
        </w:rPr>
        <w:t>examen (p. ex. rapport/forme, couleur, notes, niveaux d</w:t>
      </w:r>
      <w:r w:rsidR="00F3296C" w:rsidRPr="0048528B">
        <w:rPr>
          <w:rFonts w:cs="Arial"/>
          <w:lang w:val="fr-FR"/>
        </w:rPr>
        <w:t>’</w:t>
      </w:r>
      <w:r w:rsidR="00E66CBB" w:rsidRPr="0048528B">
        <w:rPr>
          <w:rFonts w:cs="Arial"/>
          <w:lang w:val="fr-FR"/>
        </w:rPr>
        <w:t>expression, méthode d</w:t>
      </w:r>
      <w:r w:rsidR="00F3296C" w:rsidRPr="0048528B">
        <w:rPr>
          <w:rFonts w:cs="Arial"/>
          <w:lang w:val="fr-FR"/>
        </w:rPr>
        <w:t>’</w:t>
      </w:r>
      <w:r w:rsidR="00E66CBB" w:rsidRPr="0048528B">
        <w:rPr>
          <w:rFonts w:cs="Arial"/>
          <w:lang w:val="fr-FR"/>
        </w:rPr>
        <w:t>observation);</w:t>
      </w:r>
    </w:p>
    <w:p w:rsidR="00CE0C30" w:rsidRPr="0048528B" w:rsidRDefault="00CE0C30" w:rsidP="00196886">
      <w:pPr>
        <w:rPr>
          <w:rFonts w:cs="Arial"/>
          <w:lang w:val="fr-FR"/>
        </w:rPr>
      </w:pPr>
    </w:p>
    <w:p w:rsidR="00204800" w:rsidRPr="0048528B" w:rsidRDefault="00196886" w:rsidP="00E66CBB">
      <w:pPr>
        <w:rPr>
          <w:rFonts w:cs="Arial"/>
          <w:lang w:val="fr-FR"/>
        </w:rPr>
      </w:pPr>
      <w:r w:rsidRPr="0048528B">
        <w:rPr>
          <w:rFonts w:cs="Arial"/>
          <w:lang w:val="fr-FR"/>
        </w:rPr>
        <w:tab/>
      </w:r>
      <w:r w:rsidR="00E66CBB" w:rsidRPr="0048528B">
        <w:rPr>
          <w:rFonts w:cs="Arial"/>
          <w:lang w:val="fr-FR"/>
        </w:rPr>
        <w:t xml:space="preserve">e) </w:t>
      </w:r>
      <w:r w:rsidR="001E5EC4" w:rsidRPr="0048528B">
        <w:rPr>
          <w:rFonts w:cs="Arial"/>
          <w:lang w:val="fr-FR"/>
        </w:rPr>
        <w:tab/>
      </w:r>
      <w:r w:rsidR="00E66CBB" w:rsidRPr="0048528B">
        <w:rPr>
          <w:rFonts w:cs="Arial"/>
          <w:lang w:val="fr-FR"/>
        </w:rPr>
        <w:t>ajouter un paragraphe de décision dans les documents des TWP afin de les aider à se mettre d</w:t>
      </w:r>
      <w:r w:rsidR="00F3296C" w:rsidRPr="0048528B">
        <w:rPr>
          <w:rFonts w:cs="Arial"/>
          <w:lang w:val="fr-FR"/>
        </w:rPr>
        <w:t>’</w:t>
      </w:r>
      <w:r w:rsidR="00E66CBB" w:rsidRPr="0048528B">
        <w:rPr>
          <w:rFonts w:cs="Arial"/>
          <w:lang w:val="fr-FR"/>
        </w:rPr>
        <w:t>accord sur les points importants;  et</w:t>
      </w:r>
    </w:p>
    <w:p w:rsidR="00204800" w:rsidRPr="0048528B" w:rsidRDefault="00204800" w:rsidP="00196886">
      <w:pPr>
        <w:rPr>
          <w:rFonts w:eastAsia="MS Mincho" w:cs="Arial"/>
          <w:lang w:val="fr-FR" w:eastAsia="ja-JP"/>
        </w:rPr>
      </w:pPr>
    </w:p>
    <w:p w:rsidR="00204800" w:rsidRPr="0048528B" w:rsidRDefault="00196886" w:rsidP="00E66CBB">
      <w:pPr>
        <w:rPr>
          <w:rFonts w:cs="Arial"/>
          <w:lang w:val="fr-FR"/>
        </w:rPr>
      </w:pPr>
      <w:r w:rsidRPr="0048528B">
        <w:rPr>
          <w:rFonts w:eastAsia="MS Mincho" w:cs="Arial"/>
          <w:lang w:val="fr-FR" w:eastAsia="ja-JP"/>
        </w:rPr>
        <w:tab/>
      </w:r>
      <w:r w:rsidR="00E66CBB" w:rsidRPr="0048528B">
        <w:rPr>
          <w:rFonts w:eastAsia="MS Mincho" w:cs="Arial"/>
          <w:lang w:val="fr-FR" w:eastAsia="ja-JP"/>
        </w:rPr>
        <w:t xml:space="preserve">f) </w:t>
      </w:r>
      <w:r w:rsidR="001E5EC4" w:rsidRPr="0048528B">
        <w:rPr>
          <w:rFonts w:eastAsia="MS Mincho" w:cs="Arial"/>
          <w:lang w:val="fr-FR" w:eastAsia="ja-JP"/>
        </w:rPr>
        <w:tab/>
      </w:r>
      <w:r w:rsidR="00E66CBB" w:rsidRPr="0048528B">
        <w:rPr>
          <w:rFonts w:eastAsia="MS Mincho" w:cs="Arial"/>
          <w:lang w:val="fr-FR" w:eastAsia="ja-JP"/>
        </w:rPr>
        <w:t>inviter les TWP à examiner les résultats de l</w:t>
      </w:r>
      <w:r w:rsidR="00F3296C" w:rsidRPr="0048528B">
        <w:rPr>
          <w:rFonts w:eastAsia="MS Mincho" w:cs="Arial"/>
          <w:lang w:val="fr-FR" w:eastAsia="ja-JP"/>
        </w:rPr>
        <w:t>’</w:t>
      </w:r>
      <w:r w:rsidR="00E66CBB" w:rsidRPr="0048528B">
        <w:rPr>
          <w:rFonts w:eastAsia="MS Mincho" w:cs="Arial"/>
          <w:lang w:val="fr-FR" w:eastAsia="ja-JP"/>
        </w:rPr>
        <w:t>enquête menée auprès des participants aux TWO et TWF, à leurs sessions en 2013.</w:t>
      </w:r>
    </w:p>
    <w:p w:rsidR="00204800" w:rsidRPr="0048528B" w:rsidRDefault="00204800" w:rsidP="00196886">
      <w:pPr>
        <w:rPr>
          <w:lang w:val="fr-FR"/>
        </w:rPr>
      </w:pPr>
    </w:p>
    <w:p w:rsidR="00204800" w:rsidRPr="0048528B" w:rsidRDefault="00196886" w:rsidP="00E66CBB">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E66CBB" w:rsidRPr="0048528B">
        <w:rPr>
          <w:lang w:val="fr-FR"/>
        </w:rPr>
        <w:t>En outre, le</w:t>
      </w:r>
      <w:r w:rsidR="00F3296C" w:rsidRPr="0048528B">
        <w:rPr>
          <w:lang w:val="fr-FR"/>
        </w:rPr>
        <w:t> TC</w:t>
      </w:r>
      <w:r w:rsidR="00E66CBB" w:rsidRPr="0048528B">
        <w:rPr>
          <w:lang w:val="fr-FR"/>
        </w:rPr>
        <w:t xml:space="preserve"> est convenu qu</w:t>
      </w:r>
      <w:r w:rsidR="00F3296C" w:rsidRPr="0048528B">
        <w:rPr>
          <w:lang w:val="fr-FR"/>
        </w:rPr>
        <w:t>’</w:t>
      </w:r>
      <w:r w:rsidR="00E66CBB" w:rsidRPr="0048528B">
        <w:rPr>
          <w:lang w:val="fr-FR"/>
        </w:rPr>
        <w:t>il faudrait envisager l</w:t>
      </w:r>
      <w:r w:rsidR="00F3296C" w:rsidRPr="0048528B">
        <w:rPr>
          <w:lang w:val="fr-FR"/>
        </w:rPr>
        <w:t>’</w:t>
      </w:r>
      <w:r w:rsidR="00E66CBB" w:rsidRPr="0048528B">
        <w:rPr>
          <w:lang w:val="fr-FR"/>
        </w:rPr>
        <w:t>organisation de sous</w:t>
      </w:r>
      <w:r w:rsidR="003F00B6" w:rsidRPr="0048528B">
        <w:rPr>
          <w:lang w:val="fr-FR"/>
        </w:rPr>
        <w:noBreakHyphen/>
      </w:r>
      <w:r w:rsidR="00E66CBB" w:rsidRPr="0048528B">
        <w:rPr>
          <w:lang w:val="fr-FR"/>
        </w:rPr>
        <w:t>groupes pour des questions spécifiques comme par exemple des sous</w:t>
      </w:r>
      <w:r w:rsidR="003F00B6" w:rsidRPr="0048528B">
        <w:rPr>
          <w:lang w:val="fr-FR"/>
        </w:rPr>
        <w:noBreakHyphen/>
      </w:r>
      <w:r w:rsidR="00E66CBB" w:rsidRPr="0048528B">
        <w:rPr>
          <w:lang w:val="fr-FR"/>
        </w:rPr>
        <w:t>groupes sur les documents TGP et la tenue de groupes de travail techniques au cours de semaines consécutives comme cela avait été le cas pour le TWO et le TWF</w:t>
      </w:r>
      <w:r w:rsidRPr="0048528B">
        <w:rPr>
          <w:lang w:val="fr-FR"/>
        </w:rPr>
        <w:t>.</w:t>
      </w:r>
    </w:p>
    <w:p w:rsidR="00204800" w:rsidRPr="0048528B" w:rsidRDefault="00204800" w:rsidP="00196886">
      <w:pPr>
        <w:rPr>
          <w:lang w:val="fr-FR"/>
        </w:rPr>
      </w:pPr>
    </w:p>
    <w:p w:rsidR="00204800" w:rsidRPr="0048528B" w:rsidRDefault="00196886" w:rsidP="00E66CBB">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E66CBB" w:rsidRPr="0048528B">
        <w:rPr>
          <w:lang w:val="fr-FR"/>
        </w:rPr>
        <w:t>Le</w:t>
      </w:r>
      <w:r w:rsidR="00F3296C" w:rsidRPr="0048528B">
        <w:rPr>
          <w:lang w:val="fr-FR"/>
        </w:rPr>
        <w:t> TC</w:t>
      </w:r>
      <w:r w:rsidR="00E66CBB" w:rsidRPr="0048528B">
        <w:rPr>
          <w:lang w:val="fr-FR"/>
        </w:rPr>
        <w:t xml:space="preserve"> est convenu de la proposition selon laquelle le Bureau de l</w:t>
      </w:r>
      <w:r w:rsidR="00F3296C" w:rsidRPr="0048528B">
        <w:rPr>
          <w:lang w:val="fr-FR"/>
        </w:rPr>
        <w:t>’</w:t>
      </w:r>
      <w:r w:rsidR="00E66CBB" w:rsidRPr="0048528B">
        <w:rPr>
          <w:lang w:val="fr-FR"/>
        </w:rPr>
        <w:t>Union devrait organiser une</w:t>
      </w:r>
      <w:r w:rsidR="001E5EC4" w:rsidRPr="0048528B">
        <w:rPr>
          <w:lang w:val="fr-FR"/>
        </w:rPr>
        <w:t> </w:t>
      </w:r>
      <w:r w:rsidR="00E66CBB" w:rsidRPr="0048528B">
        <w:rPr>
          <w:lang w:val="fr-FR"/>
        </w:rPr>
        <w:t>enquête :</w:t>
      </w:r>
    </w:p>
    <w:p w:rsidR="00204800" w:rsidRPr="0048528B" w:rsidRDefault="00204800" w:rsidP="00196886">
      <w:pPr>
        <w:rPr>
          <w:lang w:val="fr-FR"/>
        </w:rPr>
      </w:pPr>
    </w:p>
    <w:p w:rsidR="00204800" w:rsidRPr="0048528B" w:rsidRDefault="00196886" w:rsidP="00E66CBB">
      <w:pPr>
        <w:rPr>
          <w:rFonts w:eastAsia="MS Mincho" w:cs="Arial"/>
          <w:lang w:val="fr-FR" w:eastAsia="ja-JP"/>
        </w:rPr>
      </w:pPr>
      <w:r w:rsidRPr="0048528B">
        <w:rPr>
          <w:rFonts w:eastAsia="MS Mincho" w:cs="Arial"/>
          <w:lang w:val="fr-FR" w:eastAsia="ja-JP"/>
        </w:rPr>
        <w:tab/>
      </w:r>
      <w:r w:rsidR="00E66CBB" w:rsidRPr="0048528B">
        <w:rPr>
          <w:rFonts w:eastAsia="MS Mincho" w:cs="Arial"/>
          <w:lang w:val="fr-FR" w:eastAsia="ja-JP"/>
        </w:rPr>
        <w:t xml:space="preserve">a) </w:t>
      </w:r>
      <w:r w:rsidR="001E5EC4" w:rsidRPr="0048528B">
        <w:rPr>
          <w:rFonts w:eastAsia="MS Mincho" w:cs="Arial"/>
          <w:lang w:val="fr-FR" w:eastAsia="ja-JP"/>
        </w:rPr>
        <w:tab/>
      </w:r>
      <w:r w:rsidR="00E66CBB" w:rsidRPr="0048528B">
        <w:rPr>
          <w:rFonts w:eastAsia="MS Mincho" w:cs="Arial"/>
          <w:lang w:val="fr-FR" w:eastAsia="ja-JP"/>
        </w:rPr>
        <w:t>à l</w:t>
      </w:r>
      <w:r w:rsidR="00F3296C" w:rsidRPr="0048528B">
        <w:rPr>
          <w:rFonts w:eastAsia="MS Mincho" w:cs="Arial"/>
          <w:lang w:val="fr-FR" w:eastAsia="ja-JP"/>
        </w:rPr>
        <w:t>’</w:t>
      </w:r>
      <w:r w:rsidR="00E66CBB" w:rsidRPr="0048528B">
        <w:rPr>
          <w:rFonts w:eastAsia="MS Mincho" w:cs="Arial"/>
          <w:lang w:val="fr-FR" w:eastAsia="ja-JP"/>
        </w:rPr>
        <w:t>intention des participants aux sessions des TWP en 2013, comme proposé dans l</w:t>
      </w:r>
      <w:r w:rsidR="00F3296C" w:rsidRPr="0048528B">
        <w:rPr>
          <w:rFonts w:eastAsia="MS Mincho" w:cs="Arial"/>
          <w:lang w:val="fr-FR" w:eastAsia="ja-JP"/>
        </w:rPr>
        <w:t>’</w:t>
      </w:r>
      <w:r w:rsidR="00E66CBB" w:rsidRPr="0048528B">
        <w:rPr>
          <w:rFonts w:eastAsia="MS Mincho" w:cs="Arial"/>
          <w:lang w:val="fr-FR" w:eastAsia="ja-JP"/>
        </w:rPr>
        <w:t xml:space="preserve">annexe III du </w:t>
      </w:r>
      <w:r w:rsidR="00F3296C" w:rsidRPr="0048528B">
        <w:rPr>
          <w:rFonts w:eastAsia="MS Mincho" w:cs="Arial"/>
          <w:lang w:val="fr-FR" w:eastAsia="ja-JP"/>
        </w:rPr>
        <w:t>document TC</w:t>
      </w:r>
      <w:r w:rsidR="00E66CBB" w:rsidRPr="0048528B">
        <w:rPr>
          <w:rFonts w:eastAsia="MS Mincho" w:cs="Arial"/>
          <w:lang w:val="fr-FR" w:eastAsia="ja-JP"/>
        </w:rPr>
        <w:t>/49/3;</w:t>
      </w:r>
    </w:p>
    <w:p w:rsidR="00204800" w:rsidRPr="0048528B" w:rsidRDefault="00204800" w:rsidP="00196886">
      <w:pPr>
        <w:rPr>
          <w:rFonts w:eastAsia="MS Mincho" w:cs="Arial"/>
          <w:lang w:val="fr-FR" w:eastAsia="ja-JP"/>
        </w:rPr>
      </w:pPr>
    </w:p>
    <w:p w:rsidR="00204800" w:rsidRPr="0048528B" w:rsidRDefault="00BB1321" w:rsidP="00E66CBB">
      <w:pPr>
        <w:rPr>
          <w:rFonts w:eastAsia="MS Mincho" w:cs="Arial"/>
          <w:lang w:val="fr-FR" w:eastAsia="ja-JP"/>
        </w:rPr>
      </w:pPr>
      <w:r w:rsidRPr="0048528B">
        <w:rPr>
          <w:rFonts w:eastAsia="MS Mincho" w:cs="Arial"/>
          <w:lang w:val="fr-FR" w:eastAsia="ja-JP"/>
        </w:rPr>
        <w:tab/>
      </w:r>
      <w:r w:rsidR="00E66CBB" w:rsidRPr="0048528B">
        <w:rPr>
          <w:rFonts w:eastAsia="MS Mincho" w:cs="Arial"/>
          <w:lang w:val="fr-FR" w:eastAsia="ja-JP"/>
        </w:rPr>
        <w:t xml:space="preserve">b) </w:t>
      </w:r>
      <w:r w:rsidR="001E5EC4" w:rsidRPr="0048528B">
        <w:rPr>
          <w:rFonts w:eastAsia="MS Mincho" w:cs="Arial"/>
          <w:lang w:val="fr-FR" w:eastAsia="ja-JP"/>
        </w:rPr>
        <w:tab/>
      </w:r>
      <w:r w:rsidR="00E66CBB" w:rsidRPr="0048528B">
        <w:rPr>
          <w:rFonts w:eastAsia="MS Mincho" w:cs="Arial"/>
          <w:lang w:val="fr-FR" w:eastAsia="ja-JP"/>
        </w:rPr>
        <w:t>à l</w:t>
      </w:r>
      <w:r w:rsidR="00F3296C" w:rsidRPr="0048528B">
        <w:rPr>
          <w:rFonts w:eastAsia="MS Mincho" w:cs="Arial"/>
          <w:lang w:val="fr-FR" w:eastAsia="ja-JP"/>
        </w:rPr>
        <w:t>’</w:t>
      </w:r>
      <w:r w:rsidR="00E66CBB" w:rsidRPr="0048528B">
        <w:rPr>
          <w:rFonts w:eastAsia="MS Mincho" w:cs="Arial"/>
          <w:lang w:val="fr-FR" w:eastAsia="ja-JP"/>
        </w:rPr>
        <w:t xml:space="preserve">intention des participants aux ateliers préparatoires en 2013, comme expliqué dans le </w:t>
      </w:r>
      <w:r w:rsidR="00F3296C" w:rsidRPr="0048528B">
        <w:rPr>
          <w:rFonts w:eastAsia="MS Mincho" w:cs="Arial"/>
          <w:lang w:val="fr-FR" w:eastAsia="ja-JP"/>
        </w:rPr>
        <w:t>document TC</w:t>
      </w:r>
      <w:r w:rsidR="00E66CBB" w:rsidRPr="0048528B">
        <w:rPr>
          <w:rFonts w:eastAsia="MS Mincho" w:cs="Arial"/>
          <w:lang w:val="fr-FR" w:eastAsia="ja-JP"/>
        </w:rPr>
        <w:t>/49/10;</w:t>
      </w:r>
    </w:p>
    <w:p w:rsidR="00204800" w:rsidRPr="0048528B" w:rsidRDefault="00204800" w:rsidP="00196886">
      <w:pPr>
        <w:rPr>
          <w:rFonts w:eastAsia="MS Mincho" w:cs="Arial"/>
          <w:lang w:val="fr-FR" w:eastAsia="ja-JP"/>
        </w:rPr>
      </w:pPr>
    </w:p>
    <w:p w:rsidR="00204800" w:rsidRPr="0048528B" w:rsidRDefault="00196886" w:rsidP="00E66CBB">
      <w:pPr>
        <w:keepNext/>
        <w:spacing w:after="240"/>
        <w:rPr>
          <w:rFonts w:eastAsia="MS Mincho" w:cs="Arial"/>
          <w:spacing w:val="-2"/>
          <w:lang w:val="fr-FR" w:eastAsia="ja-JP"/>
        </w:rPr>
      </w:pPr>
      <w:r w:rsidRPr="0048528B">
        <w:rPr>
          <w:rFonts w:eastAsia="MS Mincho" w:cs="Arial"/>
          <w:spacing w:val="-2"/>
          <w:lang w:val="fr-FR" w:eastAsia="ja-JP"/>
        </w:rPr>
        <w:tab/>
      </w:r>
      <w:r w:rsidR="00E66CBB" w:rsidRPr="0048528B">
        <w:rPr>
          <w:rFonts w:eastAsia="MS Mincho" w:cs="Arial"/>
          <w:spacing w:val="-2"/>
          <w:lang w:val="fr-FR" w:eastAsia="ja-JP"/>
        </w:rPr>
        <w:t xml:space="preserve">c) </w:t>
      </w:r>
      <w:r w:rsidR="001E5EC4" w:rsidRPr="0048528B">
        <w:rPr>
          <w:rFonts w:eastAsia="MS Mincho" w:cs="Arial"/>
          <w:spacing w:val="-2"/>
          <w:lang w:val="fr-FR" w:eastAsia="ja-JP"/>
        </w:rPr>
        <w:tab/>
      </w:r>
      <w:r w:rsidR="00E66CBB" w:rsidRPr="0048528B">
        <w:rPr>
          <w:rFonts w:eastAsia="MS Mincho" w:cs="Arial"/>
          <w:spacing w:val="-2"/>
          <w:lang w:val="fr-FR" w:eastAsia="ja-JP"/>
        </w:rPr>
        <w:t>à l</w:t>
      </w:r>
      <w:r w:rsidR="00F3296C" w:rsidRPr="0048528B">
        <w:rPr>
          <w:rFonts w:eastAsia="MS Mincho" w:cs="Arial"/>
          <w:spacing w:val="-2"/>
          <w:lang w:val="fr-FR" w:eastAsia="ja-JP"/>
        </w:rPr>
        <w:t>’</w:t>
      </w:r>
      <w:r w:rsidR="00E66CBB" w:rsidRPr="0048528B">
        <w:rPr>
          <w:rFonts w:eastAsia="MS Mincho" w:cs="Arial"/>
          <w:spacing w:val="-2"/>
          <w:lang w:val="fr-FR" w:eastAsia="ja-JP"/>
        </w:rPr>
        <w:t>intention des participants à la quarante</w:t>
      </w:r>
      <w:r w:rsidR="003F00B6" w:rsidRPr="0048528B">
        <w:rPr>
          <w:rFonts w:eastAsia="MS Mincho" w:cs="Arial"/>
          <w:spacing w:val="-2"/>
          <w:lang w:val="fr-FR" w:eastAsia="ja-JP"/>
        </w:rPr>
        <w:noBreakHyphen/>
      </w:r>
      <w:r w:rsidR="00E66CBB" w:rsidRPr="0048528B">
        <w:rPr>
          <w:rFonts w:eastAsia="MS Mincho" w:cs="Arial"/>
          <w:spacing w:val="-2"/>
          <w:lang w:val="fr-FR" w:eastAsia="ja-JP"/>
        </w:rPr>
        <w:t>neuvième session du Comité technique comme proposé dans l</w:t>
      </w:r>
      <w:r w:rsidR="00F3296C" w:rsidRPr="0048528B">
        <w:rPr>
          <w:rFonts w:eastAsia="MS Mincho" w:cs="Arial"/>
          <w:spacing w:val="-2"/>
          <w:lang w:val="fr-FR" w:eastAsia="ja-JP"/>
        </w:rPr>
        <w:t>’</w:t>
      </w:r>
      <w:r w:rsidR="00E66CBB" w:rsidRPr="0048528B">
        <w:rPr>
          <w:rFonts w:eastAsia="MS Mincho" w:cs="Arial"/>
          <w:spacing w:val="-2"/>
          <w:lang w:val="fr-FR" w:eastAsia="ja-JP"/>
        </w:rPr>
        <w:t xml:space="preserve">annexe IV du </w:t>
      </w:r>
      <w:r w:rsidR="00F3296C" w:rsidRPr="0048528B">
        <w:rPr>
          <w:rFonts w:eastAsia="MS Mincho" w:cs="Arial"/>
          <w:spacing w:val="-2"/>
          <w:lang w:val="fr-FR" w:eastAsia="ja-JP"/>
        </w:rPr>
        <w:t>document TC</w:t>
      </w:r>
      <w:r w:rsidR="00E66CBB" w:rsidRPr="0048528B">
        <w:rPr>
          <w:rFonts w:eastAsia="MS Mincho" w:cs="Arial"/>
          <w:spacing w:val="-2"/>
          <w:lang w:val="fr-FR" w:eastAsia="ja-JP"/>
        </w:rPr>
        <w:t>/49/3;  et</w:t>
      </w:r>
    </w:p>
    <w:p w:rsidR="00CE0C30" w:rsidRPr="0048528B" w:rsidRDefault="00196886" w:rsidP="00E66CBB">
      <w:pPr>
        <w:rPr>
          <w:rFonts w:eastAsia="MS Mincho" w:cs="Arial"/>
          <w:lang w:val="fr-FR" w:eastAsia="ja-JP"/>
        </w:rPr>
      </w:pPr>
      <w:r w:rsidRPr="0048528B">
        <w:rPr>
          <w:rFonts w:eastAsia="MS Mincho" w:cs="Arial"/>
          <w:lang w:val="fr-FR" w:eastAsia="ja-JP"/>
        </w:rPr>
        <w:tab/>
      </w:r>
      <w:r w:rsidR="00E66CBB" w:rsidRPr="0048528B">
        <w:rPr>
          <w:rFonts w:eastAsia="MS Mincho" w:cs="Arial"/>
          <w:lang w:val="fr-FR" w:eastAsia="ja-JP"/>
        </w:rPr>
        <w:t xml:space="preserve">d) </w:t>
      </w:r>
      <w:r w:rsidR="001E5EC4" w:rsidRPr="0048528B">
        <w:rPr>
          <w:rFonts w:eastAsia="MS Mincho" w:cs="Arial"/>
          <w:lang w:val="fr-FR" w:eastAsia="ja-JP"/>
        </w:rPr>
        <w:tab/>
      </w:r>
      <w:r w:rsidR="00E66CBB" w:rsidRPr="0048528B">
        <w:rPr>
          <w:rFonts w:eastAsia="MS Mincho" w:cs="Arial"/>
          <w:lang w:val="fr-FR" w:eastAsia="ja-JP"/>
        </w:rPr>
        <w:t>à l</w:t>
      </w:r>
      <w:r w:rsidR="00F3296C" w:rsidRPr="0048528B">
        <w:rPr>
          <w:rFonts w:eastAsia="MS Mincho" w:cs="Arial"/>
          <w:lang w:val="fr-FR" w:eastAsia="ja-JP"/>
        </w:rPr>
        <w:t>’</w:t>
      </w:r>
      <w:r w:rsidR="00E66CBB" w:rsidRPr="0048528B">
        <w:rPr>
          <w:rFonts w:eastAsia="MS Mincho" w:cs="Arial"/>
          <w:lang w:val="fr-FR" w:eastAsia="ja-JP"/>
        </w:rPr>
        <w:t>intention des membres de l</w:t>
      </w:r>
      <w:r w:rsidR="00F3296C" w:rsidRPr="0048528B">
        <w:rPr>
          <w:rFonts w:eastAsia="MS Mincho" w:cs="Arial"/>
          <w:lang w:val="fr-FR" w:eastAsia="ja-JP"/>
        </w:rPr>
        <w:t>’</w:t>
      </w:r>
      <w:r w:rsidR="00E66CBB" w:rsidRPr="0048528B">
        <w:rPr>
          <w:rFonts w:eastAsia="MS Mincho" w:cs="Arial"/>
          <w:lang w:val="fr-FR" w:eastAsia="ja-JP"/>
        </w:rPr>
        <w:t>Union qui ne participent pas aux sessions du</w:t>
      </w:r>
      <w:r w:rsidR="00F3296C" w:rsidRPr="0048528B">
        <w:rPr>
          <w:rFonts w:eastAsia="MS Mincho" w:cs="Arial"/>
          <w:lang w:val="fr-FR" w:eastAsia="ja-JP"/>
        </w:rPr>
        <w:t> TC</w:t>
      </w:r>
      <w:r w:rsidR="00E66CBB" w:rsidRPr="0048528B">
        <w:rPr>
          <w:rFonts w:eastAsia="MS Mincho" w:cs="Arial"/>
          <w:lang w:val="fr-FR" w:eastAsia="ja-JP"/>
        </w:rPr>
        <w:t xml:space="preserve"> et des TWP.</w:t>
      </w:r>
    </w:p>
    <w:p w:rsidR="00204800" w:rsidRPr="0048528B" w:rsidRDefault="00204800" w:rsidP="00196886">
      <w:pPr>
        <w:rPr>
          <w:rFonts w:eastAsia="MS Mincho" w:cs="Arial"/>
          <w:lang w:val="fr-FR" w:eastAsia="ja-JP"/>
        </w:rPr>
      </w:pPr>
    </w:p>
    <w:p w:rsidR="00F3296C" w:rsidRPr="0048528B" w:rsidRDefault="00196886" w:rsidP="00E66CBB">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E66CBB" w:rsidRPr="0048528B">
        <w:rPr>
          <w:lang w:val="fr-FR"/>
        </w:rPr>
        <w:t>Le</w:t>
      </w:r>
      <w:r w:rsidR="00F3296C" w:rsidRPr="0048528B">
        <w:rPr>
          <w:lang w:val="fr-FR"/>
        </w:rPr>
        <w:t> TC</w:t>
      </w:r>
      <w:r w:rsidR="00E66CBB" w:rsidRPr="0048528B">
        <w:rPr>
          <w:lang w:val="fr-FR"/>
        </w:rPr>
        <w:t xml:space="preserve"> est convenu que l</w:t>
      </w:r>
      <w:r w:rsidR="00F3296C" w:rsidRPr="0048528B">
        <w:rPr>
          <w:lang w:val="fr-FR"/>
        </w:rPr>
        <w:t>’</w:t>
      </w:r>
      <w:r w:rsidR="00E66CBB" w:rsidRPr="0048528B">
        <w:rPr>
          <w:lang w:val="fr-FR"/>
        </w:rPr>
        <w:t>examen des moyens possibles d</w:t>
      </w:r>
      <w:r w:rsidR="00F3296C" w:rsidRPr="0048528B">
        <w:rPr>
          <w:lang w:val="fr-FR"/>
        </w:rPr>
        <w:t>’</w:t>
      </w:r>
      <w:r w:rsidR="00E66CBB" w:rsidRPr="0048528B">
        <w:rPr>
          <w:lang w:val="fr-FR"/>
        </w:rPr>
        <w:t>améliorer l</w:t>
      </w:r>
      <w:r w:rsidR="00F3296C" w:rsidRPr="0048528B">
        <w:rPr>
          <w:lang w:val="fr-FR"/>
        </w:rPr>
        <w:t>’</w:t>
      </w:r>
      <w:r w:rsidR="00E66CBB" w:rsidRPr="0048528B">
        <w:rPr>
          <w:lang w:val="fr-FR"/>
        </w:rPr>
        <w:t>efficacité des TWP devrait être reporté à sa cinquantième session afin qu</w:t>
      </w:r>
      <w:r w:rsidR="00F3296C" w:rsidRPr="0048528B">
        <w:rPr>
          <w:lang w:val="fr-FR"/>
        </w:rPr>
        <w:t>’</w:t>
      </w:r>
      <w:r w:rsidR="00E66CBB" w:rsidRPr="0048528B">
        <w:rPr>
          <w:lang w:val="fr-FR"/>
        </w:rPr>
        <w:t>il puisse évaluer les résultats des enquêtes susmentionnées.</w:t>
      </w:r>
    </w:p>
    <w:p w:rsidR="00204800" w:rsidRPr="0048528B" w:rsidRDefault="00204800" w:rsidP="00196886">
      <w:pPr>
        <w:rPr>
          <w:lang w:val="fr-FR"/>
        </w:rPr>
      </w:pPr>
    </w:p>
    <w:p w:rsidR="00204800" w:rsidRPr="0048528B" w:rsidRDefault="00196886" w:rsidP="00E66CBB">
      <w:pPr>
        <w:spacing w:after="480"/>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E66CBB" w:rsidRPr="0048528B">
        <w:rPr>
          <w:lang w:val="fr-FR"/>
        </w:rPr>
        <w:t>Le</w:t>
      </w:r>
      <w:r w:rsidR="00F3296C" w:rsidRPr="0048528B">
        <w:rPr>
          <w:lang w:val="fr-FR"/>
        </w:rPr>
        <w:t> TC</w:t>
      </w:r>
      <w:r w:rsidR="00E66CBB" w:rsidRPr="0048528B">
        <w:rPr>
          <w:lang w:val="fr-FR"/>
        </w:rPr>
        <w:t xml:space="preserve"> est convenu qu</w:t>
      </w:r>
      <w:r w:rsidR="00F3296C" w:rsidRPr="0048528B">
        <w:rPr>
          <w:lang w:val="fr-FR"/>
        </w:rPr>
        <w:t>’</w:t>
      </w:r>
      <w:r w:rsidR="00E66CBB" w:rsidRPr="0048528B">
        <w:rPr>
          <w:lang w:val="fr-FR"/>
        </w:rPr>
        <w:t>il sera important de réaliser une enquête auprès des membres de l</w:t>
      </w:r>
      <w:r w:rsidR="00F3296C" w:rsidRPr="0048528B">
        <w:rPr>
          <w:lang w:val="fr-FR"/>
        </w:rPr>
        <w:t>’</w:t>
      </w:r>
      <w:r w:rsidR="00E66CBB" w:rsidRPr="0048528B">
        <w:rPr>
          <w:lang w:val="fr-FR"/>
        </w:rPr>
        <w:t>Union qui n</w:t>
      </w:r>
      <w:r w:rsidR="00F3296C" w:rsidRPr="0048528B">
        <w:rPr>
          <w:lang w:val="fr-FR"/>
        </w:rPr>
        <w:t>’</w:t>
      </w:r>
      <w:r w:rsidR="00E66CBB" w:rsidRPr="0048528B">
        <w:rPr>
          <w:lang w:val="fr-FR"/>
        </w:rPr>
        <w:t>ont pas participé aux sessions du</w:t>
      </w:r>
      <w:r w:rsidR="00F3296C" w:rsidRPr="0048528B">
        <w:rPr>
          <w:lang w:val="fr-FR"/>
        </w:rPr>
        <w:t> TC</w:t>
      </w:r>
      <w:r w:rsidR="00E66CBB" w:rsidRPr="0048528B">
        <w:rPr>
          <w:lang w:val="fr-FR"/>
        </w:rPr>
        <w:t xml:space="preserve"> et des TWP et ce, afin de comprendre les raisons pour lesquelles ils</w:t>
      </w:r>
      <w:r w:rsidR="00AB781C" w:rsidRPr="0048528B">
        <w:rPr>
          <w:lang w:val="fr-FR"/>
        </w:rPr>
        <w:t xml:space="preserve"> </w:t>
      </w:r>
      <w:r w:rsidR="00E66CBB" w:rsidRPr="0048528B">
        <w:rPr>
          <w:lang w:val="fr-FR"/>
        </w:rPr>
        <w:t>ont décidé de ne pas y prendre part (voir les paragraphes</w:t>
      </w:r>
      <w:r w:rsidR="00E3136C" w:rsidRPr="0048528B">
        <w:rPr>
          <w:lang w:val="fr-FR"/>
        </w:rPr>
        <w:t> </w:t>
      </w:r>
      <w:r w:rsidR="00E66CBB" w:rsidRPr="0048528B">
        <w:rPr>
          <w:lang w:val="fr-FR"/>
        </w:rPr>
        <w:t xml:space="preserve">18 à 23 du </w:t>
      </w:r>
      <w:r w:rsidR="00F3296C" w:rsidRPr="0048528B">
        <w:rPr>
          <w:lang w:val="fr-FR"/>
        </w:rPr>
        <w:t>document TC</w:t>
      </w:r>
      <w:r w:rsidR="00E66CBB" w:rsidRPr="0048528B">
        <w:rPr>
          <w:lang w:val="fr-FR"/>
        </w:rPr>
        <w:t>/49/41 “Compte rendu des conclusions”).</w:t>
      </w:r>
    </w:p>
    <w:p w:rsidR="00204800" w:rsidRPr="0048528B" w:rsidRDefault="00E66CBB" w:rsidP="00E66CBB">
      <w:pPr>
        <w:pStyle w:val="Heading2"/>
        <w:rPr>
          <w:lang w:val="fr-FR"/>
        </w:rPr>
      </w:pPr>
      <w:bookmarkStart w:id="16" w:name="_Toc367888537"/>
      <w:r w:rsidRPr="0048528B">
        <w:rPr>
          <w:lang w:val="fr-FR"/>
        </w:rPr>
        <w:t>Documents TGP</w:t>
      </w:r>
      <w:bookmarkEnd w:id="16"/>
    </w:p>
    <w:p w:rsidR="00204800" w:rsidRPr="0048528B" w:rsidRDefault="00204800" w:rsidP="00196886">
      <w:pPr>
        <w:keepNext/>
        <w:rPr>
          <w:u w:val="single"/>
          <w:lang w:val="fr-FR"/>
        </w:rPr>
      </w:pPr>
    </w:p>
    <w:p w:rsidR="00204800" w:rsidRPr="0048528B" w:rsidRDefault="00196886" w:rsidP="00DF1812">
      <w:pPr>
        <w:keepNext/>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DF1812" w:rsidRPr="0048528B">
        <w:rPr>
          <w:lang w:val="fr-FR"/>
        </w:rPr>
        <w:t>Le</w:t>
      </w:r>
      <w:r w:rsidR="00F3296C" w:rsidRPr="0048528B">
        <w:rPr>
          <w:lang w:val="fr-FR"/>
        </w:rPr>
        <w:t> TC</w:t>
      </w:r>
      <w:r w:rsidR="00DF1812" w:rsidRPr="0048528B">
        <w:rPr>
          <w:lang w:val="fr-FR"/>
        </w:rPr>
        <w:t xml:space="preserve"> a examiné les documents ci</w:t>
      </w:r>
      <w:r w:rsidR="003F00B6" w:rsidRPr="0048528B">
        <w:rPr>
          <w:lang w:val="fr-FR"/>
        </w:rPr>
        <w:noBreakHyphen/>
      </w:r>
      <w:r w:rsidR="00DF1812" w:rsidRPr="0048528B">
        <w:rPr>
          <w:lang w:val="fr-FR"/>
        </w:rPr>
        <w:t xml:space="preserve">après de concert avec le </w:t>
      </w:r>
      <w:r w:rsidR="00F3296C" w:rsidRPr="0048528B">
        <w:rPr>
          <w:lang w:val="fr-FR"/>
        </w:rPr>
        <w:t>document TC</w:t>
      </w:r>
      <w:r w:rsidR="00DF1812" w:rsidRPr="0048528B">
        <w:rPr>
          <w:lang w:val="fr-FR"/>
        </w:rPr>
        <w:t>/49/5.</w:t>
      </w:r>
    </w:p>
    <w:p w:rsidR="00204800" w:rsidRPr="0048528B" w:rsidRDefault="00204800" w:rsidP="00196886">
      <w:pPr>
        <w:keepNext/>
        <w:rPr>
          <w:snapToGrid w:val="0"/>
          <w:lang w:val="fr-FR"/>
        </w:rPr>
      </w:pPr>
    </w:p>
    <w:p w:rsidR="00204800" w:rsidRPr="0048528B" w:rsidRDefault="00204800" w:rsidP="00196886">
      <w:pPr>
        <w:keepNext/>
        <w:rPr>
          <w:snapToGrid w:val="0"/>
          <w:lang w:val="fr-FR"/>
        </w:rPr>
      </w:pPr>
    </w:p>
    <w:p w:rsidR="00204800" w:rsidRPr="0048528B" w:rsidRDefault="00DF1812" w:rsidP="001E5EC4">
      <w:pPr>
        <w:pStyle w:val="Heading3"/>
        <w:numPr>
          <w:ilvl w:val="0"/>
          <w:numId w:val="42"/>
        </w:numPr>
        <w:ind w:left="0" w:firstLine="0"/>
        <w:rPr>
          <w:u w:val="single"/>
          <w:lang w:val="fr-FR"/>
        </w:rPr>
      </w:pPr>
      <w:bookmarkStart w:id="17" w:name="_Toc367888538"/>
      <w:r w:rsidRPr="0048528B">
        <w:rPr>
          <w:lang w:val="fr-FR"/>
        </w:rPr>
        <w:t>Nouveau document TGP</w:t>
      </w:r>
      <w:bookmarkEnd w:id="17"/>
    </w:p>
    <w:p w:rsidR="00204800" w:rsidRPr="0048528B" w:rsidRDefault="00204800" w:rsidP="00196886">
      <w:pPr>
        <w:keepNext/>
        <w:rPr>
          <w:lang w:val="fr-FR"/>
        </w:rPr>
      </w:pPr>
    </w:p>
    <w:p w:rsidR="00204800" w:rsidRPr="0048528B" w:rsidRDefault="00DF1812" w:rsidP="00473A08">
      <w:pPr>
        <w:pStyle w:val="Heading4"/>
        <w:rPr>
          <w:snapToGrid w:val="0"/>
          <w:lang w:val="fr-FR"/>
        </w:rPr>
      </w:pPr>
      <w:r w:rsidRPr="0048528B">
        <w:rPr>
          <w:snapToGrid w:val="0"/>
          <w:lang w:val="fr-FR"/>
        </w:rPr>
        <w:t xml:space="preserve">TGP/15 </w:t>
      </w:r>
      <w:r w:rsidRPr="0048528B">
        <w:rPr>
          <w:strike/>
          <w:snapToGrid w:val="0"/>
          <w:lang w:val="fr-FR"/>
        </w:rPr>
        <w:t>[Nouveaux types de caractères]</w:t>
      </w:r>
      <w:r w:rsidRPr="0048528B">
        <w:rPr>
          <w:snapToGrid w:val="0"/>
          <w:lang w:val="fr-FR"/>
        </w:rPr>
        <w:t xml:space="preserve"> [Conseils en ce qui concerne l</w:t>
      </w:r>
      <w:r w:rsidR="00F3296C" w:rsidRPr="0048528B">
        <w:rPr>
          <w:snapToGrid w:val="0"/>
          <w:lang w:val="fr-FR"/>
        </w:rPr>
        <w:t>’</w:t>
      </w:r>
      <w:r w:rsidRPr="0048528B">
        <w:rPr>
          <w:snapToGrid w:val="0"/>
          <w:lang w:val="fr-FR"/>
        </w:rPr>
        <w:t>utilisation des marqueurs biochimiques et moléculaires dans l</w:t>
      </w:r>
      <w:r w:rsidR="00F3296C" w:rsidRPr="0048528B">
        <w:rPr>
          <w:snapToGrid w:val="0"/>
          <w:lang w:val="fr-FR"/>
        </w:rPr>
        <w:t>’</w:t>
      </w:r>
      <w:r w:rsidRPr="0048528B">
        <w:rPr>
          <w:snapToGrid w:val="0"/>
          <w:lang w:val="fr-FR"/>
        </w:rPr>
        <w:t>examen de la</w:t>
      </w:r>
      <w:r w:rsidR="001E5EC4" w:rsidRPr="0048528B">
        <w:rPr>
          <w:snapToGrid w:val="0"/>
          <w:lang w:val="fr-FR"/>
        </w:rPr>
        <w:t> </w:t>
      </w:r>
      <w:r w:rsidRPr="0048528B">
        <w:rPr>
          <w:snapToGrid w:val="0"/>
          <w:lang w:val="fr-FR"/>
        </w:rPr>
        <w:t>distinction, de l</w:t>
      </w:r>
      <w:r w:rsidR="00F3296C" w:rsidRPr="0048528B">
        <w:rPr>
          <w:snapToGrid w:val="0"/>
          <w:lang w:val="fr-FR"/>
        </w:rPr>
        <w:t>’</w:t>
      </w:r>
      <w:r w:rsidRPr="0048528B">
        <w:rPr>
          <w:snapToGrid w:val="0"/>
          <w:lang w:val="fr-FR"/>
        </w:rPr>
        <w:t>homogénéité et de la stabilité (DHS)]</w:t>
      </w:r>
    </w:p>
    <w:p w:rsidR="00204800" w:rsidRPr="0048528B" w:rsidRDefault="00204800" w:rsidP="00196886">
      <w:pPr>
        <w:rPr>
          <w:rFonts w:cs="Arial"/>
          <w:snapToGrid w:val="0"/>
          <w:lang w:val="fr-FR"/>
        </w:rPr>
      </w:pPr>
    </w:p>
    <w:p w:rsidR="00CE0C30" w:rsidRPr="0048528B" w:rsidRDefault="00196886" w:rsidP="00DF1812">
      <w:pPr>
        <w:rPr>
          <w:lang w:val="fr-FR"/>
        </w:rPr>
      </w:pPr>
      <w:r w:rsidRPr="0048528B">
        <w:rPr>
          <w:rFonts w:cs="Arial"/>
          <w:snapToGrid w:val="0"/>
          <w:lang w:val="fr-FR"/>
        </w:rPr>
        <w:fldChar w:fldCharType="begin"/>
      </w:r>
      <w:r w:rsidRPr="0048528B">
        <w:rPr>
          <w:rFonts w:cs="Arial"/>
          <w:snapToGrid w:val="0"/>
          <w:lang w:val="fr-FR"/>
        </w:rPr>
        <w:instrText xml:space="preserve"> AUTONUM  </w:instrText>
      </w:r>
      <w:r w:rsidRPr="0048528B">
        <w:rPr>
          <w:rFonts w:cs="Arial"/>
          <w:snapToGrid w:val="0"/>
          <w:lang w:val="fr-FR"/>
        </w:rPr>
        <w:fldChar w:fldCharType="end"/>
      </w:r>
      <w:r w:rsidRPr="0048528B">
        <w:rPr>
          <w:rFonts w:cs="Arial"/>
          <w:snapToGrid w:val="0"/>
          <w:lang w:val="fr-FR"/>
        </w:rPr>
        <w:tab/>
      </w:r>
      <w:r w:rsidR="00DF1812" w:rsidRPr="0048528B">
        <w:rPr>
          <w:lang w:val="fr-FR"/>
        </w:rPr>
        <w:t>Le</w:t>
      </w:r>
      <w:r w:rsidR="00F3296C" w:rsidRPr="0048528B">
        <w:rPr>
          <w:lang w:val="fr-FR"/>
        </w:rPr>
        <w:t> TC</w:t>
      </w:r>
      <w:r w:rsidR="00DF1812" w:rsidRPr="0048528B">
        <w:rPr>
          <w:lang w:val="fr-FR"/>
        </w:rPr>
        <w:t xml:space="preserve"> a examiné le document TGP/15/1 Draft 4.</w:t>
      </w:r>
    </w:p>
    <w:p w:rsidR="00204800" w:rsidRPr="0048528B" w:rsidRDefault="00204800" w:rsidP="00196886">
      <w:pPr>
        <w:rPr>
          <w:lang w:val="fr-FR"/>
        </w:rPr>
      </w:pPr>
    </w:p>
    <w:p w:rsidR="00204800" w:rsidRPr="0048528B" w:rsidRDefault="00196886" w:rsidP="00DF1812">
      <w:pPr>
        <w:rPr>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F1812" w:rsidRPr="0048528B">
        <w:rPr>
          <w:lang w:val="fr-FR"/>
        </w:rPr>
        <w:t>Le</w:t>
      </w:r>
      <w:r w:rsidR="00F3296C" w:rsidRPr="0048528B">
        <w:rPr>
          <w:lang w:val="fr-FR"/>
        </w:rPr>
        <w:t> TC</w:t>
      </w:r>
      <w:r w:rsidR="00DF1812" w:rsidRPr="0048528B">
        <w:rPr>
          <w:lang w:val="fr-FR"/>
        </w:rPr>
        <w:t xml:space="preserve"> est convenu, sous réserve de l</w:t>
      </w:r>
      <w:r w:rsidR="00F3296C" w:rsidRPr="0048528B">
        <w:rPr>
          <w:lang w:val="fr-FR"/>
        </w:rPr>
        <w:t>’</w:t>
      </w:r>
      <w:r w:rsidR="00DF1812" w:rsidRPr="0048528B">
        <w:rPr>
          <w:lang w:val="fr-FR"/>
        </w:rPr>
        <w:t>accord du CAJ à sa soixante</w:t>
      </w:r>
      <w:r w:rsidR="003F00B6" w:rsidRPr="0048528B">
        <w:rPr>
          <w:lang w:val="fr-FR"/>
        </w:rPr>
        <w:noBreakHyphen/>
      </w:r>
      <w:r w:rsidR="00DF1812" w:rsidRPr="0048528B">
        <w:rPr>
          <w:lang w:val="fr-FR"/>
        </w:rPr>
        <w:t>se</w:t>
      </w:r>
      <w:r w:rsidR="00AB781C" w:rsidRPr="0048528B">
        <w:rPr>
          <w:lang w:val="fr-FR"/>
        </w:rPr>
        <w:t xml:space="preserve">ptième session qui se tiendra à </w:t>
      </w:r>
      <w:r w:rsidR="00DF1812" w:rsidRPr="0048528B">
        <w:rPr>
          <w:lang w:val="fr-FR"/>
        </w:rPr>
        <w:t>Genève le 21 mars 2013, de soumettre le document TGP/15/1 Draft 5 “Indications en ce qui concerne l</w:t>
      </w:r>
      <w:r w:rsidR="00F3296C" w:rsidRPr="0048528B">
        <w:rPr>
          <w:lang w:val="fr-FR"/>
        </w:rPr>
        <w:t>’</w:t>
      </w:r>
      <w:r w:rsidR="00DF1812" w:rsidRPr="0048528B">
        <w:rPr>
          <w:lang w:val="fr-FR"/>
        </w:rPr>
        <w:t>utilisation des marqueurs biochimiques et moléculaires dans l</w:t>
      </w:r>
      <w:r w:rsidR="00F3296C" w:rsidRPr="0048528B">
        <w:rPr>
          <w:lang w:val="fr-FR"/>
        </w:rPr>
        <w:t>’</w:t>
      </w:r>
      <w:r w:rsidR="00DF1812" w:rsidRPr="0048528B">
        <w:rPr>
          <w:lang w:val="fr-FR"/>
        </w:rPr>
        <w:t>examen de la distinction, de l</w:t>
      </w:r>
      <w:r w:rsidR="00F3296C" w:rsidRPr="0048528B">
        <w:rPr>
          <w:lang w:val="fr-FR"/>
        </w:rPr>
        <w:t>’</w:t>
      </w:r>
      <w:r w:rsidR="00DF1812" w:rsidRPr="0048528B">
        <w:rPr>
          <w:lang w:val="fr-FR"/>
        </w:rPr>
        <w:t>homogénéité et de la stabilité (DHS)” comme base d</w:t>
      </w:r>
      <w:r w:rsidR="00F3296C" w:rsidRPr="0048528B">
        <w:rPr>
          <w:lang w:val="fr-FR"/>
        </w:rPr>
        <w:t>’</w:t>
      </w:r>
      <w:r w:rsidR="00DF1812" w:rsidRPr="0048528B">
        <w:rPr>
          <w:lang w:val="fr-FR"/>
        </w:rPr>
        <w:t>adoption du document TGP/15 par le Conseil à sa quarante</w:t>
      </w:r>
      <w:r w:rsidR="003F00B6" w:rsidRPr="0048528B">
        <w:rPr>
          <w:lang w:val="fr-FR"/>
        </w:rPr>
        <w:noBreakHyphen/>
      </w:r>
      <w:r w:rsidR="00DF1812" w:rsidRPr="0048528B">
        <w:rPr>
          <w:lang w:val="fr-FR"/>
        </w:rPr>
        <w:t>septième session, qui se tiendra le 24 octobre 2013.  Le</w:t>
      </w:r>
      <w:r w:rsidR="00F3296C" w:rsidRPr="0048528B">
        <w:rPr>
          <w:lang w:val="fr-FR"/>
        </w:rPr>
        <w:t> TC</w:t>
      </w:r>
      <w:r w:rsidR="00DF1812" w:rsidRPr="0048528B">
        <w:rPr>
          <w:lang w:val="fr-FR"/>
        </w:rPr>
        <w:t xml:space="preserve"> prend note que la rédaction du texte original anglais et les traductions en français, allemand et espagnol anglais seront examinées par les</w:t>
      </w:r>
      <w:r w:rsidR="00AB781C" w:rsidRPr="0048528B">
        <w:rPr>
          <w:lang w:val="fr-FR"/>
        </w:rPr>
        <w:t xml:space="preserve"> </w:t>
      </w:r>
      <w:r w:rsidR="00DF1812" w:rsidRPr="0048528B">
        <w:rPr>
          <w:lang w:val="fr-FR"/>
        </w:rPr>
        <w:t>membres concernés du Comité de rédaction élargi (TC</w:t>
      </w:r>
      <w:r w:rsidR="003F00B6" w:rsidRPr="0048528B">
        <w:rPr>
          <w:lang w:val="fr-FR"/>
        </w:rPr>
        <w:noBreakHyphen/>
      </w:r>
      <w:r w:rsidR="00DF1812" w:rsidRPr="0048528B">
        <w:rPr>
          <w:lang w:val="fr-FR"/>
        </w:rPr>
        <w:t>EDC) avant que le projet du document TGP/15/1 soit soumis au Conseil.</w:t>
      </w:r>
    </w:p>
    <w:p w:rsidR="00204800" w:rsidRPr="0048528B" w:rsidRDefault="00204800" w:rsidP="00196886">
      <w:pPr>
        <w:rPr>
          <w:lang w:val="fr-FR"/>
        </w:rPr>
      </w:pPr>
    </w:p>
    <w:p w:rsidR="00204800" w:rsidRPr="0048528B" w:rsidRDefault="00196886" w:rsidP="00DF1812">
      <w:pPr>
        <w:rPr>
          <w:rFonts w:cs="Arial"/>
          <w:snapToGrid w:val="0"/>
          <w:lang w:val="fr-FR"/>
        </w:rPr>
      </w:pPr>
      <w:r w:rsidRPr="0048528B">
        <w:rPr>
          <w:rFonts w:cs="Arial"/>
          <w:snapToGrid w:val="0"/>
          <w:lang w:val="fr-FR"/>
        </w:rPr>
        <w:fldChar w:fldCharType="begin"/>
      </w:r>
      <w:r w:rsidRPr="0048528B">
        <w:rPr>
          <w:rFonts w:cs="Arial"/>
          <w:snapToGrid w:val="0"/>
          <w:lang w:val="fr-FR"/>
        </w:rPr>
        <w:instrText xml:space="preserve"> AUTONUM  </w:instrText>
      </w:r>
      <w:r w:rsidRPr="0048528B">
        <w:rPr>
          <w:rFonts w:cs="Arial"/>
          <w:snapToGrid w:val="0"/>
          <w:lang w:val="fr-FR"/>
        </w:rPr>
        <w:fldChar w:fldCharType="end"/>
      </w:r>
      <w:r w:rsidRPr="0048528B">
        <w:rPr>
          <w:rFonts w:cs="Arial"/>
          <w:snapToGrid w:val="0"/>
          <w:lang w:val="fr-FR"/>
        </w:rPr>
        <w:tab/>
      </w:r>
      <w:r w:rsidR="00DF1812" w:rsidRPr="0048528B">
        <w:rPr>
          <w:rFonts w:cs="Arial"/>
          <w:snapToGrid w:val="0"/>
          <w:lang w:val="fr-FR"/>
        </w:rPr>
        <w:t>Le</w:t>
      </w:r>
      <w:r w:rsidR="00F3296C" w:rsidRPr="0048528B">
        <w:rPr>
          <w:rFonts w:cs="Arial"/>
          <w:snapToGrid w:val="0"/>
          <w:lang w:val="fr-FR"/>
        </w:rPr>
        <w:t> TC</w:t>
      </w:r>
      <w:r w:rsidR="00DF1812" w:rsidRPr="0048528B">
        <w:rPr>
          <w:rFonts w:cs="Arial"/>
          <w:snapToGrid w:val="0"/>
          <w:lang w:val="fr-FR"/>
        </w:rPr>
        <w:t xml:space="preserve"> a noté que le document TGP/15/1 pourrait être révisé à l</w:t>
      </w:r>
      <w:r w:rsidR="00F3296C" w:rsidRPr="0048528B">
        <w:rPr>
          <w:rFonts w:cs="Arial"/>
          <w:snapToGrid w:val="0"/>
          <w:lang w:val="fr-FR"/>
        </w:rPr>
        <w:t>’</w:t>
      </w:r>
      <w:r w:rsidR="00DF1812" w:rsidRPr="0048528B">
        <w:rPr>
          <w:rFonts w:cs="Arial"/>
          <w:snapToGrid w:val="0"/>
          <w:lang w:val="fr-FR"/>
        </w:rPr>
        <w:t>avenir, notamment en vue d</w:t>
      </w:r>
      <w:r w:rsidR="00F3296C" w:rsidRPr="0048528B">
        <w:rPr>
          <w:rFonts w:cs="Arial"/>
          <w:snapToGrid w:val="0"/>
          <w:lang w:val="fr-FR"/>
        </w:rPr>
        <w:t>’</w:t>
      </w:r>
      <w:r w:rsidR="00DF1812" w:rsidRPr="0048528B">
        <w:rPr>
          <w:rFonts w:cs="Arial"/>
          <w:snapToGrid w:val="0"/>
          <w:lang w:val="fr-FR"/>
        </w:rPr>
        <w:t>y incorporer des exemples additionnels pour les modèles (voir les paragraphes</w:t>
      </w:r>
      <w:r w:rsidR="00E3136C" w:rsidRPr="0048528B">
        <w:rPr>
          <w:rFonts w:cs="Arial"/>
          <w:snapToGrid w:val="0"/>
          <w:lang w:val="fr-FR"/>
        </w:rPr>
        <w:t> </w:t>
      </w:r>
      <w:r w:rsidR="00DF1812" w:rsidRPr="0048528B">
        <w:rPr>
          <w:rFonts w:cs="Arial"/>
          <w:snapToGrid w:val="0"/>
          <w:lang w:val="fr-FR"/>
        </w:rPr>
        <w:t xml:space="preserve">26 à 28 du </w:t>
      </w:r>
      <w:r w:rsidR="00F3296C" w:rsidRPr="0048528B">
        <w:rPr>
          <w:rFonts w:cs="Arial"/>
          <w:snapToGrid w:val="0"/>
          <w:lang w:val="fr-FR"/>
        </w:rPr>
        <w:t>document TC</w:t>
      </w:r>
      <w:r w:rsidR="00DF1812" w:rsidRPr="0048528B">
        <w:rPr>
          <w:rFonts w:cs="Arial"/>
          <w:snapToGrid w:val="0"/>
          <w:lang w:val="fr-FR"/>
        </w:rPr>
        <w:t>/49/41 “Compte rendu des conclusions”).</w:t>
      </w:r>
    </w:p>
    <w:p w:rsidR="00204800" w:rsidRPr="0048528B" w:rsidRDefault="00204800" w:rsidP="00196886">
      <w:pPr>
        <w:rPr>
          <w:rFonts w:cs="Arial"/>
          <w:snapToGrid w:val="0"/>
          <w:lang w:val="fr-FR"/>
        </w:rPr>
      </w:pPr>
    </w:p>
    <w:p w:rsidR="00204800" w:rsidRPr="0048528B" w:rsidRDefault="00DF1812" w:rsidP="00DF1812">
      <w:pPr>
        <w:pStyle w:val="Heading3"/>
        <w:rPr>
          <w:rFonts w:cs="Arial"/>
          <w:lang w:val="fr-FR"/>
        </w:rPr>
      </w:pPr>
      <w:bookmarkStart w:id="18" w:name="_Toc367888539"/>
      <w:r w:rsidRPr="0048528B">
        <w:rPr>
          <w:lang w:val="fr-FR"/>
        </w:rPr>
        <w:lastRenderedPageBreak/>
        <w:t>b)</w:t>
      </w:r>
      <w:r w:rsidRPr="0048528B">
        <w:rPr>
          <w:i w:val="0"/>
          <w:lang w:val="fr-FR"/>
        </w:rPr>
        <w:t xml:space="preserve"> </w:t>
      </w:r>
      <w:r w:rsidR="001E5EC4" w:rsidRPr="0048528B">
        <w:rPr>
          <w:i w:val="0"/>
          <w:lang w:val="fr-FR"/>
        </w:rPr>
        <w:tab/>
      </w:r>
      <w:r w:rsidRPr="0048528B">
        <w:rPr>
          <w:lang w:val="fr-FR"/>
        </w:rPr>
        <w:t>Révision des documents TGP</w:t>
      </w:r>
      <w:bookmarkEnd w:id="18"/>
    </w:p>
    <w:p w:rsidR="00204800" w:rsidRPr="0048528B" w:rsidRDefault="00204800" w:rsidP="00196886">
      <w:pPr>
        <w:keepNext/>
        <w:ind w:left="567"/>
        <w:rPr>
          <w:rFonts w:cs="Arial"/>
          <w:i/>
          <w:snapToGrid w:val="0"/>
          <w:lang w:val="fr-FR"/>
        </w:rPr>
      </w:pPr>
    </w:p>
    <w:p w:rsidR="00204800" w:rsidRPr="0048528B" w:rsidRDefault="00DF1812" w:rsidP="00473A08">
      <w:pPr>
        <w:pStyle w:val="Heading4"/>
        <w:rPr>
          <w:snapToGrid w:val="0"/>
          <w:lang w:val="fr-FR"/>
        </w:rPr>
      </w:pPr>
      <w:r w:rsidRPr="0048528B">
        <w:rPr>
          <w:snapToGrid w:val="0"/>
          <w:lang w:val="fr-FR"/>
        </w:rPr>
        <w:t>TGP/14 : Glossaire des termes utilisés dans les documents UPOV</w:t>
      </w:r>
    </w:p>
    <w:p w:rsidR="00204800" w:rsidRPr="0048528B" w:rsidRDefault="00204800" w:rsidP="00196886">
      <w:pPr>
        <w:keepNext/>
        <w:rPr>
          <w:lang w:val="fr-FR"/>
        </w:rPr>
      </w:pPr>
    </w:p>
    <w:p w:rsidR="00CE0C30" w:rsidRPr="0048528B" w:rsidRDefault="00DF1812" w:rsidP="006A03CA">
      <w:pPr>
        <w:pStyle w:val="Heading5"/>
        <w:rPr>
          <w:lang w:val="fr-FR"/>
        </w:rPr>
      </w:pPr>
      <w:r w:rsidRPr="0048528B">
        <w:rPr>
          <w:lang w:val="fr-FR"/>
        </w:rPr>
        <w:t xml:space="preserve">Révision des sections </w:t>
      </w:r>
      <w:r w:rsidR="00440940" w:rsidRPr="0048528B">
        <w:rPr>
          <w:lang w:val="fr-FR"/>
        </w:rPr>
        <w:t xml:space="preserve">existantes </w:t>
      </w:r>
      <w:r w:rsidRPr="0048528B">
        <w:rPr>
          <w:lang w:val="fr-FR"/>
        </w:rPr>
        <w:t>du document TGP/14 : section 2 : Termes botaniques, sous</w:t>
      </w:r>
      <w:r w:rsidR="003F00B6" w:rsidRPr="0048528B">
        <w:rPr>
          <w:lang w:val="fr-FR"/>
        </w:rPr>
        <w:noBreakHyphen/>
      </w:r>
      <w:r w:rsidRPr="0048528B">
        <w:rPr>
          <w:lang w:val="fr-FR"/>
        </w:rPr>
        <w:t>section 2 : Formes et structures</w:t>
      </w:r>
    </w:p>
    <w:p w:rsidR="00204800" w:rsidRPr="0048528B" w:rsidRDefault="00204800" w:rsidP="00196886">
      <w:pPr>
        <w:keepNext/>
        <w:rPr>
          <w:lang w:val="fr-FR"/>
        </w:rPr>
      </w:pPr>
    </w:p>
    <w:p w:rsidR="00204800" w:rsidRPr="0048528B" w:rsidRDefault="00DF1812" w:rsidP="006A03CA">
      <w:pPr>
        <w:pStyle w:val="Heading5"/>
        <w:rPr>
          <w:lang w:val="fr-FR"/>
        </w:rPr>
      </w:pPr>
      <w:r w:rsidRPr="0048528B">
        <w:rPr>
          <w:lang w:val="fr-FR"/>
        </w:rPr>
        <w:t>Révision du document TGP/14 : section 2 : Termes botaniques, sous</w:t>
      </w:r>
      <w:r w:rsidR="003F00B6" w:rsidRPr="0048528B">
        <w:rPr>
          <w:lang w:val="fr-FR"/>
        </w:rPr>
        <w:noBreakHyphen/>
      </w:r>
      <w:r w:rsidRPr="0048528B">
        <w:rPr>
          <w:lang w:val="fr-FR"/>
        </w:rPr>
        <w:t>section 3 : Couleur</w:t>
      </w:r>
    </w:p>
    <w:p w:rsidR="00204800" w:rsidRPr="0048528B" w:rsidRDefault="00204800" w:rsidP="00196886">
      <w:pPr>
        <w:keepNext/>
        <w:ind w:left="567"/>
        <w:rPr>
          <w:rFonts w:cs="Arial"/>
          <w:lang w:val="fr-FR"/>
        </w:rPr>
      </w:pPr>
    </w:p>
    <w:p w:rsidR="00204800" w:rsidRPr="0048528B" w:rsidRDefault="00196886" w:rsidP="00DF1812">
      <w:pPr>
        <w:keepNext/>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DF1812" w:rsidRPr="0048528B">
        <w:rPr>
          <w:rFonts w:cs="Arial"/>
          <w:lang w:val="fr-FR"/>
        </w:rPr>
        <w:t>Le</w:t>
      </w:r>
      <w:r w:rsidR="00F3296C" w:rsidRPr="0048528B">
        <w:rPr>
          <w:rFonts w:cs="Arial"/>
          <w:lang w:val="fr-FR"/>
        </w:rPr>
        <w:t> TC</w:t>
      </w:r>
      <w:r w:rsidR="00DF1812" w:rsidRPr="0048528B">
        <w:rPr>
          <w:rFonts w:cs="Arial"/>
          <w:lang w:val="fr-FR"/>
        </w:rPr>
        <w:t xml:space="preserve"> a examiné les </w:t>
      </w:r>
      <w:r w:rsidR="00F3296C" w:rsidRPr="0048528B">
        <w:rPr>
          <w:rFonts w:cs="Arial"/>
          <w:lang w:val="fr-FR"/>
        </w:rPr>
        <w:t>documents TC</w:t>
      </w:r>
      <w:r w:rsidR="00DF1812" w:rsidRPr="0048528B">
        <w:rPr>
          <w:rFonts w:cs="Arial"/>
          <w:lang w:val="fr-FR"/>
        </w:rPr>
        <w:t>/49/35 et</w:t>
      </w:r>
      <w:r w:rsidR="00F3296C" w:rsidRPr="0048528B">
        <w:rPr>
          <w:rFonts w:cs="Arial"/>
          <w:lang w:val="fr-FR"/>
        </w:rPr>
        <w:t> TC</w:t>
      </w:r>
      <w:r w:rsidR="00DF1812" w:rsidRPr="0048528B">
        <w:rPr>
          <w:rFonts w:cs="Arial"/>
          <w:lang w:val="fr-FR"/>
        </w:rPr>
        <w:t>/49/36.</w:t>
      </w:r>
    </w:p>
    <w:p w:rsidR="00204800" w:rsidRPr="0048528B" w:rsidRDefault="00204800" w:rsidP="00196886">
      <w:pPr>
        <w:rPr>
          <w:rFonts w:cs="Arial"/>
          <w:lang w:val="fr-FR"/>
        </w:rPr>
      </w:pPr>
    </w:p>
    <w:p w:rsidR="00204800" w:rsidRPr="0048528B" w:rsidRDefault="00196886" w:rsidP="00DF1812">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DF1812" w:rsidRPr="0048528B">
        <w:rPr>
          <w:lang w:val="fr-FR"/>
        </w:rPr>
        <w:t>Le</w:t>
      </w:r>
      <w:r w:rsidR="00F3296C" w:rsidRPr="0048528B">
        <w:rPr>
          <w:lang w:val="fr-FR"/>
        </w:rPr>
        <w:t> TC</w:t>
      </w:r>
      <w:r w:rsidR="00DF1812" w:rsidRPr="0048528B">
        <w:rPr>
          <w:lang w:val="fr-FR"/>
        </w:rPr>
        <w:t xml:space="preserve"> est convenu, sous réserve de l</w:t>
      </w:r>
      <w:r w:rsidR="00F3296C" w:rsidRPr="0048528B">
        <w:rPr>
          <w:lang w:val="fr-FR"/>
        </w:rPr>
        <w:t>’</w:t>
      </w:r>
      <w:r w:rsidR="00DF1812" w:rsidRPr="0048528B">
        <w:rPr>
          <w:lang w:val="fr-FR"/>
        </w:rPr>
        <w:t>accord du CAJ à sa soixante</w:t>
      </w:r>
      <w:r w:rsidR="003F00B6" w:rsidRPr="0048528B">
        <w:rPr>
          <w:lang w:val="fr-FR"/>
        </w:rPr>
        <w:noBreakHyphen/>
      </w:r>
      <w:r w:rsidR="00DF1812" w:rsidRPr="0048528B">
        <w:rPr>
          <w:lang w:val="fr-FR"/>
        </w:rPr>
        <w:t>septième session, qui se tiendra à Genève le 21 mars 2013, d</w:t>
      </w:r>
      <w:r w:rsidR="00F3296C" w:rsidRPr="0048528B">
        <w:rPr>
          <w:lang w:val="fr-FR"/>
        </w:rPr>
        <w:t>’</w:t>
      </w:r>
      <w:r w:rsidR="00DF1812" w:rsidRPr="0048528B">
        <w:rPr>
          <w:lang w:val="fr-FR"/>
        </w:rPr>
        <w:t>inviter le Conseil à adopter le document TGP/14/2 “Glossaire des termes utilisés dans les documents UPOV”, à sa quarante</w:t>
      </w:r>
      <w:r w:rsidR="003F00B6" w:rsidRPr="0048528B">
        <w:rPr>
          <w:lang w:val="fr-FR"/>
        </w:rPr>
        <w:noBreakHyphen/>
      </w:r>
      <w:r w:rsidR="00DF1812" w:rsidRPr="0048528B">
        <w:rPr>
          <w:lang w:val="fr-FR"/>
        </w:rPr>
        <w:t xml:space="preserve">septième session, qui se tiendra le 24 octobre 2013, sur la base des </w:t>
      </w:r>
      <w:r w:rsidR="00F3296C" w:rsidRPr="0048528B">
        <w:rPr>
          <w:lang w:val="fr-FR"/>
        </w:rPr>
        <w:t>documents TC</w:t>
      </w:r>
      <w:r w:rsidR="00DF1812" w:rsidRPr="0048528B">
        <w:rPr>
          <w:lang w:val="fr-FR"/>
        </w:rPr>
        <w:t>/49/35 et</w:t>
      </w:r>
      <w:r w:rsidR="00F3296C" w:rsidRPr="0048528B">
        <w:rPr>
          <w:lang w:val="fr-FR"/>
        </w:rPr>
        <w:t> TC</w:t>
      </w:r>
      <w:r w:rsidR="00DF1812" w:rsidRPr="0048528B">
        <w:rPr>
          <w:lang w:val="fr-FR"/>
        </w:rPr>
        <w:t>/49/36, sous réserve des modifications suivantes :</w:t>
      </w:r>
    </w:p>
    <w:p w:rsidR="00196886" w:rsidRPr="0048528B" w:rsidRDefault="00196886" w:rsidP="00196886">
      <w:pPr>
        <w:rPr>
          <w:lang w:val="fr-FR"/>
        </w:rPr>
      </w:pPr>
    </w:p>
    <w:tbl>
      <w:tblPr>
        <w:tblW w:w="0" w:type="auto"/>
        <w:tblInd w:w="675" w:type="dxa"/>
        <w:tblLook w:val="01E0" w:firstRow="1" w:lastRow="1" w:firstColumn="1" w:lastColumn="1" w:noHBand="0" w:noVBand="0"/>
      </w:tblPr>
      <w:tblGrid>
        <w:gridCol w:w="4253"/>
        <w:gridCol w:w="4927"/>
      </w:tblGrid>
      <w:tr w:rsidR="00E40A4B" w:rsidRPr="0048528B" w:rsidTr="00196886">
        <w:tc>
          <w:tcPr>
            <w:tcW w:w="4253" w:type="dxa"/>
            <w:shd w:val="clear" w:color="auto" w:fill="auto"/>
          </w:tcPr>
          <w:p w:rsidR="00196886" w:rsidRPr="0048528B" w:rsidRDefault="00F3296C" w:rsidP="00DF1812">
            <w:pPr>
              <w:rPr>
                <w:lang w:val="fr-FR"/>
              </w:rPr>
            </w:pPr>
            <w:r w:rsidRPr="0048528B">
              <w:rPr>
                <w:lang w:val="fr-FR"/>
              </w:rPr>
              <w:t>document TC</w:t>
            </w:r>
            <w:r w:rsidR="00DF1812" w:rsidRPr="0048528B">
              <w:rPr>
                <w:lang w:val="fr-FR"/>
              </w:rPr>
              <w:t>/49/35, annexe I, section 1.5</w:t>
            </w:r>
          </w:p>
        </w:tc>
        <w:tc>
          <w:tcPr>
            <w:tcW w:w="4927" w:type="dxa"/>
            <w:shd w:val="clear" w:color="auto" w:fill="auto"/>
          </w:tcPr>
          <w:p w:rsidR="00196886" w:rsidRPr="0048528B" w:rsidRDefault="00DF1812" w:rsidP="00DF1812">
            <w:pPr>
              <w:rPr>
                <w:lang w:val="fr-FR"/>
              </w:rPr>
            </w:pPr>
            <w:r w:rsidRPr="0048528B">
              <w:rPr>
                <w:lang w:val="fr-FR"/>
              </w:rPr>
              <w:t>remplacer “étroit” et “large” par “long” et “court”</w:t>
            </w:r>
            <w:r w:rsidR="00196886" w:rsidRPr="0048528B">
              <w:rPr>
                <w:lang w:val="fr-FR"/>
              </w:rPr>
              <w:t xml:space="preserve"> </w:t>
            </w:r>
          </w:p>
        </w:tc>
      </w:tr>
      <w:tr w:rsidR="00E40A4B" w:rsidRPr="0048528B" w:rsidTr="00196886">
        <w:tc>
          <w:tcPr>
            <w:tcW w:w="4253" w:type="dxa"/>
            <w:shd w:val="clear" w:color="auto" w:fill="auto"/>
          </w:tcPr>
          <w:p w:rsidR="00204800" w:rsidRPr="0048528B" w:rsidRDefault="00F3296C" w:rsidP="00DF1812">
            <w:pPr>
              <w:rPr>
                <w:lang w:val="fr-FR"/>
              </w:rPr>
            </w:pPr>
            <w:r w:rsidRPr="0048528B">
              <w:rPr>
                <w:lang w:val="fr-FR"/>
              </w:rPr>
              <w:t>document TC</w:t>
            </w:r>
            <w:r w:rsidR="00DF1812" w:rsidRPr="0048528B">
              <w:rPr>
                <w:lang w:val="fr-FR"/>
              </w:rPr>
              <w:t>/49/36, quatrième partie, 4.1</w:t>
            </w:r>
          </w:p>
          <w:p w:rsidR="00196886" w:rsidRPr="0048528B" w:rsidRDefault="00DF1812" w:rsidP="00DF1812">
            <w:pPr>
              <w:rPr>
                <w:lang w:val="fr-FR"/>
              </w:rPr>
            </w:pPr>
            <w:r w:rsidRPr="0048528B">
              <w:rPr>
                <w:lang w:val="fr-FR"/>
              </w:rPr>
              <w:t>“Schéma” et 4.2.1.2</w:t>
            </w:r>
            <w:r w:rsidR="00196886" w:rsidRPr="0048528B">
              <w:rPr>
                <w:lang w:val="fr-FR"/>
              </w:rPr>
              <w:t xml:space="preserve"> </w:t>
            </w:r>
          </w:p>
        </w:tc>
        <w:tc>
          <w:tcPr>
            <w:tcW w:w="4927" w:type="dxa"/>
            <w:shd w:val="clear" w:color="auto" w:fill="auto"/>
          </w:tcPr>
          <w:p w:rsidR="00196886" w:rsidRPr="0048528B" w:rsidRDefault="00DF1812" w:rsidP="00DF1812">
            <w:pPr>
              <w:rPr>
                <w:lang w:val="fr-FR"/>
              </w:rPr>
            </w:pPr>
            <w:r w:rsidRPr="0048528B">
              <w:rPr>
                <w:lang w:val="fr-FR"/>
              </w:rPr>
              <w:t>remplacer “finement” par “fine</w:t>
            </w:r>
            <w:r w:rsidR="00440940" w:rsidRPr="0048528B">
              <w:rPr>
                <w:lang w:val="fr-FR"/>
              </w:rPr>
              <w:t>s</w:t>
            </w:r>
            <w:r w:rsidRPr="0048528B">
              <w:rPr>
                <w:lang w:val="fr-FR"/>
              </w:rPr>
              <w:t>”</w:t>
            </w:r>
            <w:r w:rsidR="00196886" w:rsidRPr="0048528B">
              <w:rPr>
                <w:lang w:val="fr-FR"/>
              </w:rPr>
              <w:t xml:space="preserve"> </w:t>
            </w:r>
          </w:p>
        </w:tc>
      </w:tr>
    </w:tbl>
    <w:p w:rsidR="00204800" w:rsidRPr="0048528B" w:rsidRDefault="00204800" w:rsidP="00196886">
      <w:pPr>
        <w:rPr>
          <w:lang w:val="fr-FR"/>
        </w:rPr>
      </w:pPr>
    </w:p>
    <w:p w:rsidR="00CE0C30" w:rsidRPr="0048528B" w:rsidRDefault="00196886" w:rsidP="00440940">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40940" w:rsidRPr="0048528B">
        <w:rPr>
          <w:lang w:val="fr-FR"/>
        </w:rPr>
        <w:t>Le</w:t>
      </w:r>
      <w:r w:rsidR="00F3296C" w:rsidRPr="0048528B">
        <w:rPr>
          <w:lang w:val="fr-FR"/>
        </w:rPr>
        <w:t> TC</w:t>
      </w:r>
      <w:r w:rsidR="00440940" w:rsidRPr="0048528B">
        <w:rPr>
          <w:lang w:val="fr-FR"/>
        </w:rPr>
        <w:t xml:space="preserve"> a noté que l</w:t>
      </w:r>
      <w:r w:rsidR="00F3296C" w:rsidRPr="0048528B">
        <w:rPr>
          <w:lang w:val="fr-FR"/>
        </w:rPr>
        <w:t>’</w:t>
      </w:r>
      <w:r w:rsidR="00440940" w:rsidRPr="0048528B">
        <w:rPr>
          <w:lang w:val="fr-FR"/>
        </w:rPr>
        <w:t>actualisation des définitions des termes et indices ainsi que la vérification des</w:t>
      </w:r>
      <w:r w:rsidR="006A03CA" w:rsidRPr="0048528B">
        <w:rPr>
          <w:lang w:val="fr-FR"/>
        </w:rPr>
        <w:t xml:space="preserve"> </w:t>
      </w:r>
      <w:r w:rsidR="00440940" w:rsidRPr="0048528B">
        <w:rPr>
          <w:lang w:val="fr-FR"/>
        </w:rPr>
        <w:t>traductions en français, allemand et espagnol du texte original anglais par les membres concernés du</w:t>
      </w:r>
      <w:r w:rsidR="00F3296C" w:rsidRPr="0048528B">
        <w:rPr>
          <w:lang w:val="fr-FR"/>
        </w:rPr>
        <w:t> TC</w:t>
      </w:r>
      <w:r w:rsidR="003F00B6" w:rsidRPr="0048528B">
        <w:rPr>
          <w:lang w:val="fr-FR"/>
        </w:rPr>
        <w:noBreakHyphen/>
      </w:r>
      <w:r w:rsidR="00F3296C" w:rsidRPr="0048528B">
        <w:rPr>
          <w:lang w:val="fr-FR"/>
        </w:rPr>
        <w:t>EDC</w:t>
      </w:r>
      <w:r w:rsidR="00440940" w:rsidRPr="0048528B">
        <w:rPr>
          <w:lang w:val="fr-FR"/>
        </w:rPr>
        <w:t>, seraient faites avant que le document TGP/14/2 ne soit soumis au Conseil (voir les paragraphes</w:t>
      </w:r>
      <w:r w:rsidR="00E3136C" w:rsidRPr="0048528B">
        <w:rPr>
          <w:lang w:val="fr-FR"/>
        </w:rPr>
        <w:t> </w:t>
      </w:r>
      <w:r w:rsidR="00440940" w:rsidRPr="0048528B">
        <w:rPr>
          <w:lang w:val="fr-FR"/>
        </w:rPr>
        <w:t xml:space="preserve">29 à 31 du </w:t>
      </w:r>
      <w:r w:rsidR="00F3296C" w:rsidRPr="0048528B">
        <w:rPr>
          <w:lang w:val="fr-FR"/>
        </w:rPr>
        <w:t>document TC</w:t>
      </w:r>
      <w:r w:rsidR="00440940" w:rsidRPr="0048528B">
        <w:rPr>
          <w:lang w:val="fr-FR"/>
        </w:rPr>
        <w:t>/49/41 “Compte rendu des conclusions</w:t>
      </w:r>
      <w:r w:rsidR="00E3136C" w:rsidRPr="0048528B">
        <w:rPr>
          <w:lang w:val="fr-FR"/>
        </w:rPr>
        <w:t>”</w:t>
      </w:r>
      <w:r w:rsidR="00440940" w:rsidRPr="0048528B">
        <w:rPr>
          <w:lang w:val="fr-FR"/>
        </w:rPr>
        <w:t>).</w:t>
      </w:r>
    </w:p>
    <w:p w:rsidR="00204800" w:rsidRPr="0048528B" w:rsidRDefault="00204800" w:rsidP="00196886">
      <w:pPr>
        <w:spacing w:line="360" w:lineRule="auto"/>
        <w:rPr>
          <w:lang w:val="fr-FR"/>
        </w:rPr>
      </w:pPr>
    </w:p>
    <w:p w:rsidR="00204800" w:rsidRPr="0048528B" w:rsidRDefault="00440940" w:rsidP="00473A08">
      <w:pPr>
        <w:pStyle w:val="Heading4"/>
        <w:rPr>
          <w:lang w:val="fr-FR"/>
        </w:rPr>
      </w:pPr>
      <w:r w:rsidRPr="0048528B">
        <w:rPr>
          <w:lang w:val="fr-FR"/>
        </w:rPr>
        <w:t>TGP/0 : Liste des documents TGP et date de la version la plus récente de ces</w:t>
      </w:r>
      <w:r w:rsidR="006A03CA" w:rsidRPr="0048528B">
        <w:rPr>
          <w:lang w:val="fr-FR"/>
        </w:rPr>
        <w:t xml:space="preserve"> </w:t>
      </w:r>
      <w:r w:rsidRPr="0048528B">
        <w:rPr>
          <w:lang w:val="fr-FR"/>
        </w:rPr>
        <w:t>document</w:t>
      </w:r>
      <w:r w:rsidR="001E5EC4" w:rsidRPr="0048528B">
        <w:rPr>
          <w:lang w:val="fr-FR"/>
        </w:rPr>
        <w:t>S</w:t>
      </w:r>
    </w:p>
    <w:p w:rsidR="00204800" w:rsidRPr="0048528B" w:rsidRDefault="00204800" w:rsidP="00196886">
      <w:pPr>
        <w:rPr>
          <w:lang w:val="fr-FR"/>
        </w:rPr>
      </w:pPr>
    </w:p>
    <w:p w:rsidR="00204800" w:rsidRPr="0048528B" w:rsidRDefault="00196886" w:rsidP="000237A2">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0237A2" w:rsidRPr="0048528B">
        <w:rPr>
          <w:lang w:val="fr-FR"/>
        </w:rPr>
        <w:t>Le</w:t>
      </w:r>
      <w:r w:rsidR="00F3296C" w:rsidRPr="0048528B">
        <w:rPr>
          <w:lang w:val="fr-FR"/>
        </w:rPr>
        <w:t> TC</w:t>
      </w:r>
      <w:r w:rsidR="000237A2" w:rsidRPr="0048528B">
        <w:rPr>
          <w:lang w:val="fr-FR"/>
        </w:rPr>
        <w:t xml:space="preserve"> a noté que le Conseil serait invité à adopter le document TGP/0/6, afin de tenir compte de l</w:t>
      </w:r>
      <w:r w:rsidR="00F3296C" w:rsidRPr="0048528B">
        <w:rPr>
          <w:lang w:val="fr-FR"/>
        </w:rPr>
        <w:t>’</w:t>
      </w:r>
      <w:r w:rsidR="000237A2" w:rsidRPr="0048528B">
        <w:rPr>
          <w:lang w:val="fr-FR"/>
        </w:rPr>
        <w:t>adoption des documents TGP/15/1 et TGP/14/2 (voir le paragraphe</w:t>
      </w:r>
      <w:r w:rsidR="00E3136C" w:rsidRPr="0048528B">
        <w:rPr>
          <w:lang w:val="fr-FR"/>
        </w:rPr>
        <w:t> </w:t>
      </w:r>
      <w:r w:rsidR="000237A2" w:rsidRPr="0048528B">
        <w:rPr>
          <w:lang w:val="fr-FR"/>
        </w:rPr>
        <w:t xml:space="preserve">32 du </w:t>
      </w:r>
      <w:r w:rsidR="00F3296C" w:rsidRPr="0048528B">
        <w:rPr>
          <w:lang w:val="fr-FR"/>
        </w:rPr>
        <w:t>document TC</w:t>
      </w:r>
      <w:r w:rsidR="000237A2" w:rsidRPr="0048528B">
        <w:rPr>
          <w:lang w:val="fr-FR"/>
        </w:rPr>
        <w:t>/49/41 “Compte rendu des conclusions”).</w:t>
      </w:r>
    </w:p>
    <w:p w:rsidR="00204800" w:rsidRPr="0048528B" w:rsidRDefault="00204800" w:rsidP="00196886">
      <w:pPr>
        <w:spacing w:line="360" w:lineRule="auto"/>
        <w:rPr>
          <w:lang w:val="fr-FR"/>
        </w:rPr>
      </w:pPr>
    </w:p>
    <w:p w:rsidR="00204800" w:rsidRPr="0048528B" w:rsidRDefault="000237A2" w:rsidP="00473A08">
      <w:pPr>
        <w:pStyle w:val="Heading4"/>
        <w:rPr>
          <w:snapToGrid w:val="0"/>
          <w:lang w:val="fr-FR"/>
        </w:rPr>
      </w:pPr>
      <w:r w:rsidRPr="0048528B">
        <w:rPr>
          <w:snapToGrid w:val="0"/>
          <w:lang w:val="fr-FR"/>
        </w:rPr>
        <w:t>TGP/7 : Élaboration des principes directeurs d</w:t>
      </w:r>
      <w:r w:rsidR="00F3296C" w:rsidRPr="0048528B">
        <w:rPr>
          <w:snapToGrid w:val="0"/>
          <w:lang w:val="fr-FR"/>
        </w:rPr>
        <w:t>’</w:t>
      </w:r>
      <w:r w:rsidRPr="0048528B">
        <w:rPr>
          <w:snapToGrid w:val="0"/>
          <w:lang w:val="fr-FR"/>
        </w:rPr>
        <w:t>examen</w:t>
      </w:r>
    </w:p>
    <w:p w:rsidR="00204800" w:rsidRPr="0048528B" w:rsidRDefault="00204800" w:rsidP="00196886">
      <w:pPr>
        <w:keepNext/>
        <w:ind w:left="567"/>
        <w:rPr>
          <w:rFonts w:cs="Arial"/>
          <w:i/>
          <w:snapToGrid w:val="0"/>
          <w:lang w:val="fr-FR"/>
        </w:rPr>
      </w:pPr>
    </w:p>
    <w:p w:rsidR="00204800" w:rsidRPr="0048528B" w:rsidRDefault="00196886" w:rsidP="000237A2">
      <w:pPr>
        <w:keepNext/>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0237A2" w:rsidRPr="0048528B">
        <w:rPr>
          <w:lang w:val="fr-FR"/>
        </w:rPr>
        <w:t>Le</w:t>
      </w:r>
      <w:r w:rsidR="00F3296C" w:rsidRPr="0048528B">
        <w:rPr>
          <w:lang w:val="fr-FR"/>
        </w:rPr>
        <w:t> TC</w:t>
      </w:r>
      <w:r w:rsidR="000237A2" w:rsidRPr="0048528B">
        <w:rPr>
          <w:lang w:val="fr-FR"/>
        </w:rPr>
        <w:t xml:space="preserve"> a examiné le </w:t>
      </w:r>
      <w:r w:rsidR="00F3296C" w:rsidRPr="0048528B">
        <w:rPr>
          <w:lang w:val="fr-FR"/>
        </w:rPr>
        <w:t>document TC</w:t>
      </w:r>
      <w:r w:rsidR="000237A2" w:rsidRPr="0048528B">
        <w:rPr>
          <w:lang w:val="fr-FR"/>
        </w:rPr>
        <w:t>/49/16.</w:t>
      </w:r>
    </w:p>
    <w:p w:rsidR="00204800" w:rsidRPr="0048528B" w:rsidRDefault="00204800" w:rsidP="00196886">
      <w:pPr>
        <w:rPr>
          <w:lang w:val="fr-FR"/>
        </w:rPr>
      </w:pPr>
    </w:p>
    <w:p w:rsidR="00204800" w:rsidRPr="0048528B" w:rsidRDefault="00196886" w:rsidP="000237A2">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0237A2" w:rsidRPr="0048528B">
        <w:rPr>
          <w:lang w:val="fr-FR"/>
        </w:rPr>
        <w:t>Le</w:t>
      </w:r>
      <w:r w:rsidR="00F3296C" w:rsidRPr="0048528B">
        <w:rPr>
          <w:lang w:val="fr-FR"/>
        </w:rPr>
        <w:t> TC</w:t>
      </w:r>
      <w:r w:rsidR="000237A2" w:rsidRPr="0048528B">
        <w:rPr>
          <w:lang w:val="fr-FR"/>
        </w:rPr>
        <w:t xml:space="preserve"> a pris note des questions ci</w:t>
      </w:r>
      <w:r w:rsidR="003F00B6" w:rsidRPr="0048528B">
        <w:rPr>
          <w:lang w:val="fr-FR"/>
        </w:rPr>
        <w:noBreakHyphen/>
      </w:r>
      <w:r w:rsidR="000237A2" w:rsidRPr="0048528B">
        <w:rPr>
          <w:lang w:val="fr-FR"/>
        </w:rPr>
        <w:t>après pour lesquelles une conclusion avait été atteinte en ce qui concerne une future révision du document TGP/7 “Élaboration des principes directeurs d</w:t>
      </w:r>
      <w:r w:rsidR="00F3296C" w:rsidRPr="0048528B">
        <w:rPr>
          <w:lang w:val="fr-FR"/>
        </w:rPr>
        <w:t>’</w:t>
      </w:r>
      <w:r w:rsidR="000237A2" w:rsidRPr="0048528B">
        <w:rPr>
          <w:lang w:val="fr-FR"/>
        </w:rPr>
        <w:t>examen” (voir les paragraphes</w:t>
      </w:r>
      <w:r w:rsidR="00E3136C" w:rsidRPr="0048528B">
        <w:rPr>
          <w:lang w:val="fr-FR"/>
        </w:rPr>
        <w:t> </w:t>
      </w:r>
      <w:r w:rsidR="000237A2" w:rsidRPr="0048528B">
        <w:rPr>
          <w:lang w:val="fr-FR"/>
        </w:rPr>
        <w:t xml:space="preserve">33 et 34 du </w:t>
      </w:r>
      <w:r w:rsidR="00F3296C" w:rsidRPr="0048528B">
        <w:rPr>
          <w:lang w:val="fr-FR"/>
        </w:rPr>
        <w:t>document TC</w:t>
      </w:r>
      <w:r w:rsidR="000237A2" w:rsidRPr="0048528B">
        <w:rPr>
          <w:lang w:val="fr-FR"/>
        </w:rPr>
        <w:t>/49/41 “Compte rendu des conclusions</w:t>
      </w:r>
      <w:r w:rsidR="00E3136C" w:rsidRPr="0048528B">
        <w:rPr>
          <w:lang w:val="fr-FR"/>
        </w:rPr>
        <w:t>”</w:t>
      </w:r>
      <w:r w:rsidR="000237A2" w:rsidRPr="0048528B">
        <w:rPr>
          <w:lang w:val="fr-FR"/>
        </w:rPr>
        <w:t>)</w:t>
      </w:r>
      <w:r w:rsidR="00E3136C" w:rsidRPr="0048528B">
        <w:rPr>
          <w:lang w:val="fr-FR"/>
        </w:rPr>
        <w:t> </w:t>
      </w:r>
      <w:r w:rsidR="000237A2" w:rsidRPr="0048528B">
        <w:rPr>
          <w:lang w:val="fr-FR"/>
        </w:rPr>
        <w:t>:</w:t>
      </w:r>
    </w:p>
    <w:p w:rsidR="00204800" w:rsidRPr="0048528B" w:rsidRDefault="00204800" w:rsidP="00196886">
      <w:pPr>
        <w:rPr>
          <w:rFonts w:cs="Arial"/>
          <w:lang w:val="fr-FR"/>
        </w:rPr>
      </w:pPr>
    </w:p>
    <w:p w:rsidR="00204800" w:rsidRPr="0048528B" w:rsidRDefault="000237A2" w:rsidP="000237A2">
      <w:pPr>
        <w:ind w:left="567"/>
        <w:rPr>
          <w:iCs/>
          <w:snapToGrid w:val="0"/>
          <w:spacing w:val="-2"/>
          <w:sz w:val="18"/>
          <w:u w:val="single"/>
          <w:lang w:val="fr-FR"/>
        </w:rPr>
      </w:pPr>
      <w:r w:rsidRPr="0048528B">
        <w:rPr>
          <w:sz w:val="18"/>
          <w:u w:val="single"/>
          <w:lang w:val="fr-FR"/>
        </w:rPr>
        <w:t>Couverture des types de variétés dans les principes directeurs d</w:t>
      </w:r>
      <w:r w:rsidR="00F3296C" w:rsidRPr="0048528B">
        <w:rPr>
          <w:sz w:val="18"/>
          <w:u w:val="single"/>
          <w:lang w:val="fr-FR"/>
        </w:rPr>
        <w:t>’</w:t>
      </w:r>
      <w:r w:rsidRPr="0048528B">
        <w:rPr>
          <w:sz w:val="18"/>
          <w:u w:val="single"/>
          <w:lang w:val="fr-FR"/>
        </w:rPr>
        <w:t>examen</w:t>
      </w:r>
    </w:p>
    <w:p w:rsidR="00204800" w:rsidRPr="0048528B" w:rsidRDefault="00204800" w:rsidP="004E3609">
      <w:pPr>
        <w:ind w:left="567"/>
        <w:rPr>
          <w:rFonts w:cs="Arial"/>
          <w:iCs/>
          <w:snapToGrid w:val="0"/>
          <w:spacing w:val="-2"/>
          <w:sz w:val="18"/>
          <w:lang w:val="fr-FR"/>
        </w:rPr>
      </w:pPr>
    </w:p>
    <w:p w:rsidR="00204800" w:rsidRPr="0048528B" w:rsidRDefault="000237A2" w:rsidP="000237A2">
      <w:pPr>
        <w:ind w:left="567"/>
        <w:rPr>
          <w:rFonts w:cs="Arial"/>
          <w:sz w:val="18"/>
          <w:lang w:val="fr-FR"/>
        </w:rPr>
      </w:pPr>
      <w:r w:rsidRPr="0048528B">
        <w:rPr>
          <w:rFonts w:cs="Arial"/>
          <w:sz w:val="18"/>
          <w:lang w:val="fr-FR"/>
        </w:rPr>
        <w:t xml:space="preserve">(Voir le paragraphe 54 du </w:t>
      </w:r>
      <w:r w:rsidR="00F3296C" w:rsidRPr="0048528B">
        <w:rPr>
          <w:rFonts w:cs="Arial"/>
          <w:sz w:val="18"/>
          <w:lang w:val="fr-FR"/>
        </w:rPr>
        <w:t>document TC</w:t>
      </w:r>
      <w:r w:rsidRPr="0048528B">
        <w:rPr>
          <w:rFonts w:cs="Arial"/>
          <w:sz w:val="18"/>
          <w:lang w:val="fr-FR"/>
        </w:rPr>
        <w:t>/47/26 “Compte rendu des conclusions”)</w:t>
      </w:r>
    </w:p>
    <w:p w:rsidR="00204800" w:rsidRPr="0048528B" w:rsidRDefault="00204800" w:rsidP="004E3609">
      <w:pPr>
        <w:ind w:left="567"/>
        <w:rPr>
          <w:rFonts w:cs="Arial"/>
          <w:sz w:val="18"/>
          <w:lang w:val="fr-FR"/>
        </w:rPr>
      </w:pPr>
    </w:p>
    <w:p w:rsidR="00204800" w:rsidRPr="0048528B" w:rsidRDefault="000237A2" w:rsidP="000237A2">
      <w:pPr>
        <w:ind w:left="567"/>
        <w:rPr>
          <w:sz w:val="18"/>
          <w:u w:val="single"/>
          <w:lang w:val="fr-FR"/>
        </w:rPr>
      </w:pPr>
      <w:r w:rsidRPr="0048528B">
        <w:rPr>
          <w:sz w:val="18"/>
          <w:u w:val="single"/>
          <w:lang w:val="fr-FR"/>
        </w:rPr>
        <w:t>Sélection des caractères avec astérisque</w:t>
      </w:r>
    </w:p>
    <w:p w:rsidR="00204800" w:rsidRPr="0048528B" w:rsidRDefault="00204800" w:rsidP="004E3609">
      <w:pPr>
        <w:ind w:left="567"/>
        <w:rPr>
          <w:sz w:val="18"/>
          <w:lang w:val="fr-FR"/>
        </w:rPr>
      </w:pPr>
    </w:p>
    <w:p w:rsidR="00204800" w:rsidRPr="0048528B" w:rsidRDefault="000237A2" w:rsidP="000237A2">
      <w:pPr>
        <w:ind w:left="567"/>
        <w:rPr>
          <w:rFonts w:cs="Arial"/>
          <w:sz w:val="18"/>
          <w:lang w:val="fr-FR"/>
        </w:rPr>
      </w:pPr>
      <w:r w:rsidRPr="0048528B">
        <w:rPr>
          <w:rFonts w:cs="Arial"/>
          <w:sz w:val="18"/>
          <w:lang w:val="fr-FR"/>
        </w:rPr>
        <w:t xml:space="preserve">(Voir le paragraphe 59 du </w:t>
      </w:r>
      <w:r w:rsidR="00F3296C" w:rsidRPr="0048528B">
        <w:rPr>
          <w:rFonts w:cs="Arial"/>
          <w:sz w:val="18"/>
          <w:lang w:val="fr-FR"/>
        </w:rPr>
        <w:t>document TC</w:t>
      </w:r>
      <w:r w:rsidRPr="0048528B">
        <w:rPr>
          <w:rFonts w:cs="Arial"/>
          <w:sz w:val="18"/>
          <w:lang w:val="fr-FR"/>
        </w:rPr>
        <w:t>/47/26 “Compte rendu des conclusions”)</w:t>
      </w:r>
    </w:p>
    <w:p w:rsidR="00204800" w:rsidRPr="0048528B" w:rsidRDefault="00204800" w:rsidP="004E3609">
      <w:pPr>
        <w:ind w:left="567"/>
        <w:rPr>
          <w:rFonts w:cs="Arial"/>
          <w:sz w:val="18"/>
          <w:lang w:val="fr-FR"/>
        </w:rPr>
      </w:pPr>
    </w:p>
    <w:p w:rsidR="00204800" w:rsidRPr="0048528B" w:rsidRDefault="000237A2" w:rsidP="000237A2">
      <w:pPr>
        <w:ind w:left="567"/>
        <w:rPr>
          <w:sz w:val="18"/>
          <w:u w:val="single"/>
          <w:lang w:val="fr-FR"/>
        </w:rPr>
      </w:pPr>
      <w:r w:rsidRPr="0048528B">
        <w:rPr>
          <w:sz w:val="18"/>
          <w:u w:val="single"/>
          <w:lang w:val="fr-FR"/>
        </w:rPr>
        <w:t>Renvois normalisés dans le questionnaire technique</w:t>
      </w:r>
    </w:p>
    <w:p w:rsidR="00204800" w:rsidRPr="0048528B" w:rsidRDefault="00204800" w:rsidP="004E3609">
      <w:pPr>
        <w:ind w:left="567"/>
        <w:rPr>
          <w:rFonts w:cs="Arial"/>
          <w:sz w:val="18"/>
          <w:u w:val="single"/>
          <w:lang w:val="fr-FR"/>
        </w:rPr>
      </w:pPr>
    </w:p>
    <w:p w:rsidR="00204800" w:rsidRPr="0048528B" w:rsidRDefault="000237A2" w:rsidP="000237A2">
      <w:pPr>
        <w:ind w:left="567"/>
        <w:rPr>
          <w:sz w:val="18"/>
          <w:lang w:val="fr-FR"/>
        </w:rPr>
      </w:pPr>
      <w:r w:rsidRPr="0048528B">
        <w:rPr>
          <w:sz w:val="18"/>
          <w:lang w:val="fr-FR"/>
        </w:rPr>
        <w:t xml:space="preserve">(Voir le paragraphe 68 du </w:t>
      </w:r>
      <w:r w:rsidR="00F3296C" w:rsidRPr="0048528B">
        <w:rPr>
          <w:sz w:val="18"/>
          <w:lang w:val="fr-FR"/>
        </w:rPr>
        <w:t>document TC</w:t>
      </w:r>
      <w:r w:rsidRPr="0048528B">
        <w:rPr>
          <w:sz w:val="18"/>
          <w:lang w:val="fr-FR"/>
        </w:rPr>
        <w:t>/47/26 “Compte rendu des conclusions”)</w:t>
      </w:r>
    </w:p>
    <w:p w:rsidR="00204800" w:rsidRPr="0048528B" w:rsidRDefault="00204800" w:rsidP="004E3609">
      <w:pPr>
        <w:ind w:left="567"/>
        <w:rPr>
          <w:sz w:val="18"/>
          <w:lang w:val="fr-FR"/>
        </w:rPr>
      </w:pPr>
    </w:p>
    <w:p w:rsidR="00204800" w:rsidRPr="0048528B" w:rsidRDefault="000237A2" w:rsidP="000237A2">
      <w:pPr>
        <w:ind w:left="567"/>
        <w:rPr>
          <w:sz w:val="18"/>
          <w:u w:val="single"/>
          <w:lang w:val="fr-FR"/>
        </w:rPr>
      </w:pPr>
      <w:r w:rsidRPr="0048528B">
        <w:rPr>
          <w:sz w:val="18"/>
          <w:u w:val="single"/>
          <w:lang w:val="fr-FR"/>
        </w:rPr>
        <w:t>Demandes de protection pour les variétés à germination lente</w:t>
      </w:r>
    </w:p>
    <w:p w:rsidR="00204800" w:rsidRPr="0048528B" w:rsidRDefault="00204800" w:rsidP="004E3609">
      <w:pPr>
        <w:ind w:left="567"/>
        <w:rPr>
          <w:sz w:val="18"/>
          <w:lang w:val="fr-FR"/>
        </w:rPr>
      </w:pPr>
    </w:p>
    <w:p w:rsidR="00204800" w:rsidRPr="0048528B" w:rsidRDefault="000237A2" w:rsidP="000237A2">
      <w:pPr>
        <w:ind w:left="567"/>
        <w:rPr>
          <w:sz w:val="18"/>
          <w:lang w:val="fr-FR"/>
        </w:rPr>
      </w:pPr>
      <w:r w:rsidRPr="0048528B">
        <w:rPr>
          <w:sz w:val="18"/>
          <w:lang w:val="fr-FR"/>
        </w:rPr>
        <w:t xml:space="preserve">(Voir le paragraphe 60 du </w:t>
      </w:r>
      <w:r w:rsidR="00F3296C" w:rsidRPr="0048528B">
        <w:rPr>
          <w:sz w:val="18"/>
          <w:lang w:val="fr-FR"/>
        </w:rPr>
        <w:t>document TC</w:t>
      </w:r>
      <w:r w:rsidRPr="0048528B">
        <w:rPr>
          <w:sz w:val="18"/>
          <w:lang w:val="fr-FR"/>
        </w:rPr>
        <w:t xml:space="preserve">/47/26 “Compte rendu des conclusions” et les paragraphes 38 et 39 du </w:t>
      </w:r>
      <w:r w:rsidR="00F3296C" w:rsidRPr="0048528B">
        <w:rPr>
          <w:sz w:val="18"/>
          <w:lang w:val="fr-FR"/>
        </w:rPr>
        <w:t>document TC</w:t>
      </w:r>
      <w:r w:rsidRPr="0048528B">
        <w:rPr>
          <w:sz w:val="18"/>
          <w:lang w:val="fr-FR"/>
        </w:rPr>
        <w:t>/48/22 “Compte rendu des conclusions”)</w:t>
      </w:r>
    </w:p>
    <w:p w:rsidR="00204800" w:rsidRPr="0048528B" w:rsidRDefault="00204800" w:rsidP="004E3609">
      <w:pPr>
        <w:ind w:left="567"/>
        <w:rPr>
          <w:sz w:val="18"/>
          <w:lang w:val="fr-FR"/>
        </w:rPr>
      </w:pPr>
    </w:p>
    <w:p w:rsidR="00CE0C30" w:rsidRPr="0048528B" w:rsidRDefault="000237A2" w:rsidP="000237A2">
      <w:pPr>
        <w:ind w:left="567"/>
        <w:rPr>
          <w:snapToGrid w:val="0"/>
          <w:sz w:val="18"/>
          <w:u w:val="single"/>
          <w:lang w:val="fr-FR"/>
        </w:rPr>
      </w:pPr>
      <w:r w:rsidRPr="0048528B">
        <w:rPr>
          <w:sz w:val="18"/>
          <w:u w:val="single"/>
          <w:lang w:val="fr-FR"/>
        </w:rPr>
        <w:t>Procédure d</w:t>
      </w:r>
      <w:r w:rsidR="00F3296C" w:rsidRPr="0048528B">
        <w:rPr>
          <w:sz w:val="18"/>
          <w:u w:val="single"/>
          <w:lang w:val="fr-FR"/>
        </w:rPr>
        <w:t>’</w:t>
      </w:r>
      <w:r w:rsidRPr="0048528B">
        <w:rPr>
          <w:sz w:val="18"/>
          <w:u w:val="single"/>
          <w:lang w:val="fr-FR"/>
        </w:rPr>
        <w:t>élaboration des principes directeurs d</w:t>
      </w:r>
      <w:r w:rsidR="00F3296C" w:rsidRPr="0048528B">
        <w:rPr>
          <w:sz w:val="18"/>
          <w:u w:val="single"/>
          <w:lang w:val="fr-FR"/>
        </w:rPr>
        <w:t>’</w:t>
      </w:r>
      <w:r w:rsidRPr="0048528B">
        <w:rPr>
          <w:sz w:val="18"/>
          <w:u w:val="single"/>
          <w:lang w:val="fr-FR"/>
        </w:rPr>
        <w:t>examen</w:t>
      </w:r>
    </w:p>
    <w:p w:rsidR="00204800" w:rsidRPr="0048528B" w:rsidRDefault="00204800" w:rsidP="00196886">
      <w:pPr>
        <w:ind w:left="567" w:right="567"/>
        <w:rPr>
          <w:sz w:val="18"/>
          <w:lang w:val="fr-FR"/>
        </w:rPr>
      </w:pPr>
    </w:p>
    <w:p w:rsidR="00204800" w:rsidRPr="0048528B" w:rsidRDefault="000237A2" w:rsidP="000237A2">
      <w:pPr>
        <w:autoSpaceDE w:val="0"/>
        <w:autoSpaceDN w:val="0"/>
        <w:adjustRightInd w:val="0"/>
        <w:ind w:left="567" w:right="567"/>
        <w:rPr>
          <w:rFonts w:ascii="ArialMT" w:hAnsi="ArialMT" w:cs="ArialMT"/>
          <w:sz w:val="18"/>
          <w:lang w:val="fr-FR"/>
        </w:rPr>
      </w:pPr>
      <w:r w:rsidRPr="0048528B">
        <w:rPr>
          <w:rFonts w:cs="Arial"/>
          <w:sz w:val="18"/>
          <w:lang w:val="fr-FR" w:eastAsia="ja-JP"/>
        </w:rPr>
        <w:t xml:space="preserve">(Voir le paragraphe 48 du </w:t>
      </w:r>
      <w:r w:rsidR="00F3296C" w:rsidRPr="0048528B">
        <w:rPr>
          <w:rFonts w:cs="Arial"/>
          <w:sz w:val="18"/>
          <w:lang w:val="fr-FR" w:eastAsia="ja-JP"/>
        </w:rPr>
        <w:t>document TC</w:t>
      </w:r>
      <w:r w:rsidRPr="0048528B">
        <w:rPr>
          <w:rFonts w:cs="Arial"/>
          <w:sz w:val="18"/>
          <w:lang w:val="fr-FR" w:eastAsia="ja-JP"/>
        </w:rPr>
        <w:t>/48/22 “Compte rendu des conclusions”)</w:t>
      </w:r>
    </w:p>
    <w:p w:rsidR="00204800" w:rsidRPr="0048528B" w:rsidRDefault="00204800" w:rsidP="00196886">
      <w:pPr>
        <w:rPr>
          <w:rFonts w:cs="Arial"/>
          <w:lang w:val="fr-FR"/>
        </w:rPr>
      </w:pPr>
    </w:p>
    <w:p w:rsidR="00204800" w:rsidRPr="0048528B" w:rsidRDefault="001E5EC4" w:rsidP="00AB781C">
      <w:pPr>
        <w:keepNext/>
        <w:jc w:val="left"/>
        <w:rPr>
          <w:lang w:val="fr-FR"/>
        </w:rPr>
      </w:pPr>
      <w:r w:rsidRPr="0048528B">
        <w:rPr>
          <w:lang w:val="fr-FR"/>
        </w:rPr>
        <w:lastRenderedPageBreak/>
        <w:fldChar w:fldCharType="begin"/>
      </w:r>
      <w:r w:rsidRPr="0048528B">
        <w:rPr>
          <w:lang w:val="fr-FR"/>
        </w:rPr>
        <w:instrText xml:space="preserve"> AUTONUM  </w:instrText>
      </w:r>
      <w:r w:rsidRPr="0048528B">
        <w:rPr>
          <w:lang w:val="fr-FR"/>
        </w:rPr>
        <w:fldChar w:fldCharType="end"/>
      </w:r>
      <w:r w:rsidRPr="0048528B">
        <w:rPr>
          <w:lang w:val="fr-FR"/>
        </w:rPr>
        <w:tab/>
      </w:r>
      <w:r w:rsidR="000237A2" w:rsidRPr="0048528B">
        <w:rPr>
          <w:lang w:val="fr-FR"/>
        </w:rPr>
        <w:t>Le</w:t>
      </w:r>
      <w:r w:rsidR="00F3296C" w:rsidRPr="0048528B">
        <w:rPr>
          <w:lang w:val="fr-FR"/>
        </w:rPr>
        <w:t> TC</w:t>
      </w:r>
      <w:r w:rsidR="000237A2" w:rsidRPr="0048528B">
        <w:rPr>
          <w:lang w:val="fr-FR"/>
        </w:rPr>
        <w:t xml:space="preserve"> est convenu du texte suivant pour le GN 7 (chapitre 2.3 du modèle TG) “Quantité de matériel végétal requis” (voir le paragraphe</w:t>
      </w:r>
      <w:r w:rsidR="00E3136C" w:rsidRPr="0048528B">
        <w:rPr>
          <w:lang w:val="fr-FR"/>
        </w:rPr>
        <w:t> </w:t>
      </w:r>
      <w:r w:rsidR="000237A2" w:rsidRPr="0048528B">
        <w:rPr>
          <w:lang w:val="fr-FR"/>
        </w:rPr>
        <w:t xml:space="preserve">35 du </w:t>
      </w:r>
      <w:r w:rsidR="00F3296C" w:rsidRPr="0048528B">
        <w:rPr>
          <w:lang w:val="fr-FR"/>
        </w:rPr>
        <w:t>document TC</w:t>
      </w:r>
      <w:r w:rsidR="000237A2" w:rsidRPr="0048528B">
        <w:rPr>
          <w:lang w:val="fr-FR"/>
        </w:rPr>
        <w:t>/49/41 “Compte rendu des conclusions</w:t>
      </w:r>
      <w:r w:rsidR="00E3136C" w:rsidRPr="0048528B">
        <w:rPr>
          <w:lang w:val="fr-FR"/>
        </w:rPr>
        <w:t>”</w:t>
      </w:r>
      <w:r w:rsidR="000237A2" w:rsidRPr="0048528B">
        <w:rPr>
          <w:lang w:val="fr-FR"/>
        </w:rPr>
        <w:t>)</w:t>
      </w:r>
      <w:r w:rsidR="00E3136C" w:rsidRPr="0048528B">
        <w:rPr>
          <w:lang w:val="fr-FR"/>
        </w:rPr>
        <w:t> </w:t>
      </w:r>
      <w:r w:rsidR="000237A2" w:rsidRPr="0048528B">
        <w:rPr>
          <w:lang w:val="fr-FR"/>
        </w:rPr>
        <w:t>:</w:t>
      </w:r>
    </w:p>
    <w:p w:rsidR="00204800" w:rsidRPr="0048528B" w:rsidRDefault="00204800" w:rsidP="00AB781C">
      <w:pPr>
        <w:keepNext/>
        <w:rPr>
          <w:lang w:val="fr-FR"/>
        </w:rPr>
      </w:pPr>
    </w:p>
    <w:p w:rsidR="00204800" w:rsidRPr="0048528B" w:rsidRDefault="000237A2" w:rsidP="000237A2">
      <w:pPr>
        <w:ind w:left="567" w:right="567"/>
        <w:rPr>
          <w:rFonts w:cs="Arial"/>
          <w:sz w:val="18"/>
          <w:szCs w:val="18"/>
          <w:lang w:val="fr-FR"/>
        </w:rPr>
      </w:pPr>
      <w:r w:rsidRPr="0048528B">
        <w:rPr>
          <w:rFonts w:cs="Arial"/>
          <w:sz w:val="18"/>
          <w:szCs w:val="18"/>
          <w:lang w:val="fr-FR"/>
        </w:rPr>
        <w:t>“Le rédacteur des principes directeurs d</w:t>
      </w:r>
      <w:r w:rsidR="00F3296C" w:rsidRPr="0048528B">
        <w:rPr>
          <w:rFonts w:cs="Arial"/>
          <w:sz w:val="18"/>
          <w:szCs w:val="18"/>
          <w:lang w:val="fr-FR"/>
        </w:rPr>
        <w:t>’</w:t>
      </w:r>
      <w:r w:rsidRPr="0048528B">
        <w:rPr>
          <w:rFonts w:cs="Arial"/>
          <w:sz w:val="18"/>
          <w:szCs w:val="18"/>
          <w:lang w:val="fr-FR"/>
        </w:rPr>
        <w:t>examen doit prendre en considération les facteurs suivants pour déterminer la quantité de matériel requis :</w:t>
      </w:r>
    </w:p>
    <w:p w:rsidR="00204800" w:rsidRPr="0048528B" w:rsidRDefault="00204800" w:rsidP="00196886">
      <w:pPr>
        <w:ind w:left="567" w:right="567"/>
        <w:rPr>
          <w:rFonts w:cs="Arial"/>
          <w:sz w:val="18"/>
          <w:szCs w:val="18"/>
          <w:lang w:val="fr-FR"/>
        </w:rPr>
      </w:pPr>
    </w:p>
    <w:p w:rsidR="00204800" w:rsidRPr="0048528B" w:rsidRDefault="001E5EC4" w:rsidP="000237A2">
      <w:pPr>
        <w:tabs>
          <w:tab w:val="right" w:pos="567"/>
        </w:tabs>
        <w:ind w:left="1701" w:hanging="567"/>
        <w:rPr>
          <w:sz w:val="18"/>
          <w:szCs w:val="18"/>
          <w:lang w:val="fr-FR"/>
        </w:rPr>
      </w:pPr>
      <w:r w:rsidRPr="0048528B">
        <w:rPr>
          <w:rFonts w:cs="Arial"/>
          <w:sz w:val="18"/>
          <w:szCs w:val="18"/>
          <w:lang w:val="fr-FR"/>
        </w:rPr>
        <w:t>“i)</w:t>
      </w:r>
      <w:r w:rsidRPr="0048528B">
        <w:rPr>
          <w:rFonts w:cs="Arial"/>
          <w:sz w:val="18"/>
          <w:szCs w:val="18"/>
          <w:lang w:val="fr-FR"/>
        </w:rPr>
        <w:tab/>
      </w:r>
      <w:r w:rsidR="000237A2" w:rsidRPr="0048528B">
        <w:rPr>
          <w:rFonts w:cs="Arial"/>
          <w:sz w:val="18"/>
          <w:szCs w:val="18"/>
          <w:lang w:val="fr-FR"/>
        </w:rPr>
        <w:t>nombre de plantes ou de parties de plantes à examiner</w:t>
      </w:r>
    </w:p>
    <w:p w:rsidR="00204800" w:rsidRPr="0048528B" w:rsidRDefault="001E5EC4" w:rsidP="000237A2">
      <w:pPr>
        <w:tabs>
          <w:tab w:val="right" w:pos="426"/>
        </w:tabs>
        <w:ind w:left="1701" w:hanging="567"/>
        <w:rPr>
          <w:sz w:val="18"/>
          <w:szCs w:val="18"/>
          <w:lang w:val="fr-FR"/>
        </w:rPr>
      </w:pPr>
      <w:r w:rsidRPr="0048528B">
        <w:rPr>
          <w:rFonts w:cs="Arial"/>
          <w:sz w:val="18"/>
          <w:szCs w:val="18"/>
          <w:lang w:val="fr-FR"/>
        </w:rPr>
        <w:t>ii)</w:t>
      </w:r>
      <w:r w:rsidRPr="0048528B">
        <w:rPr>
          <w:rFonts w:cs="Arial"/>
          <w:sz w:val="18"/>
          <w:szCs w:val="18"/>
          <w:lang w:val="fr-FR"/>
        </w:rPr>
        <w:tab/>
      </w:r>
      <w:r w:rsidR="000237A2" w:rsidRPr="0048528B">
        <w:rPr>
          <w:rFonts w:cs="Arial"/>
          <w:sz w:val="18"/>
          <w:szCs w:val="18"/>
          <w:lang w:val="fr-FR"/>
        </w:rPr>
        <w:t>nombre de cycles de végétation</w:t>
      </w:r>
    </w:p>
    <w:p w:rsidR="00204800" w:rsidRPr="0048528B" w:rsidRDefault="001E5EC4" w:rsidP="000237A2">
      <w:pPr>
        <w:tabs>
          <w:tab w:val="right" w:pos="567"/>
        </w:tabs>
        <w:ind w:left="1701" w:hanging="567"/>
        <w:rPr>
          <w:sz w:val="18"/>
          <w:szCs w:val="18"/>
          <w:lang w:val="fr-FR"/>
        </w:rPr>
      </w:pPr>
      <w:r w:rsidRPr="0048528B">
        <w:rPr>
          <w:rFonts w:cs="Arial"/>
          <w:sz w:val="18"/>
          <w:szCs w:val="18"/>
          <w:lang w:val="fr-FR"/>
        </w:rPr>
        <w:t>iii)</w:t>
      </w:r>
      <w:r w:rsidRPr="0048528B">
        <w:rPr>
          <w:rFonts w:cs="Arial"/>
          <w:sz w:val="18"/>
          <w:szCs w:val="18"/>
          <w:lang w:val="fr-FR"/>
        </w:rPr>
        <w:tab/>
      </w:r>
      <w:r w:rsidR="000237A2" w:rsidRPr="0048528B">
        <w:rPr>
          <w:rFonts w:cs="Arial"/>
          <w:sz w:val="18"/>
          <w:szCs w:val="18"/>
          <w:lang w:val="fr-FR"/>
        </w:rPr>
        <w:t>variabilité intravariétale</w:t>
      </w:r>
    </w:p>
    <w:p w:rsidR="00CE0C30" w:rsidRPr="0048528B" w:rsidRDefault="001E5EC4" w:rsidP="000237A2">
      <w:pPr>
        <w:ind w:left="1701" w:hanging="567"/>
        <w:rPr>
          <w:sz w:val="18"/>
          <w:szCs w:val="18"/>
          <w:lang w:val="fr-FR"/>
        </w:rPr>
      </w:pPr>
      <w:r w:rsidRPr="0048528B">
        <w:rPr>
          <w:rFonts w:cs="Arial"/>
          <w:sz w:val="18"/>
          <w:szCs w:val="18"/>
          <w:lang w:val="fr-FR"/>
        </w:rPr>
        <w:t>iv)</w:t>
      </w:r>
      <w:r w:rsidRPr="0048528B">
        <w:rPr>
          <w:rFonts w:cs="Arial"/>
          <w:sz w:val="18"/>
          <w:szCs w:val="18"/>
          <w:lang w:val="fr-FR"/>
        </w:rPr>
        <w:tab/>
      </w:r>
      <w:r w:rsidR="000237A2" w:rsidRPr="0048528B">
        <w:rPr>
          <w:rFonts w:cs="Arial"/>
          <w:sz w:val="18"/>
          <w:szCs w:val="18"/>
          <w:lang w:val="fr-FR"/>
        </w:rPr>
        <w:t>essais supplémentaires (p. ex., tests de résistance, essais de montaison)</w:t>
      </w:r>
    </w:p>
    <w:p w:rsidR="00204800" w:rsidRPr="0048528B" w:rsidRDefault="001E5EC4" w:rsidP="000237A2">
      <w:pPr>
        <w:ind w:left="1701" w:hanging="567"/>
        <w:rPr>
          <w:sz w:val="18"/>
          <w:szCs w:val="18"/>
          <w:lang w:val="fr-FR"/>
        </w:rPr>
      </w:pPr>
      <w:r w:rsidRPr="0048528B">
        <w:rPr>
          <w:rFonts w:cs="Arial"/>
          <w:sz w:val="18"/>
          <w:szCs w:val="18"/>
          <w:lang w:val="fr-FR"/>
        </w:rPr>
        <w:t>v)</w:t>
      </w:r>
      <w:r w:rsidRPr="0048528B">
        <w:rPr>
          <w:rFonts w:cs="Arial"/>
          <w:sz w:val="18"/>
          <w:szCs w:val="18"/>
          <w:lang w:val="fr-FR"/>
        </w:rPr>
        <w:tab/>
      </w:r>
      <w:r w:rsidR="000237A2" w:rsidRPr="0048528B">
        <w:rPr>
          <w:rFonts w:cs="Arial"/>
          <w:sz w:val="18"/>
          <w:szCs w:val="18"/>
          <w:lang w:val="fr-FR"/>
        </w:rPr>
        <w:t>particularités de la reproduction sexuée ou de la multiplication végétative</w:t>
      </w:r>
      <w:r w:rsidR="00196886" w:rsidRPr="0048528B">
        <w:rPr>
          <w:sz w:val="18"/>
          <w:szCs w:val="18"/>
          <w:lang w:val="fr-FR"/>
        </w:rPr>
        <w:t xml:space="preserve"> </w:t>
      </w:r>
      <w:r w:rsidR="000237A2" w:rsidRPr="0048528B">
        <w:rPr>
          <w:sz w:val="18"/>
          <w:szCs w:val="18"/>
          <w:lang w:val="fr-FR"/>
        </w:rPr>
        <w:t>(p.</w:t>
      </w:r>
      <w:r w:rsidR="00E3136C" w:rsidRPr="0048528B">
        <w:rPr>
          <w:sz w:val="18"/>
          <w:szCs w:val="18"/>
          <w:lang w:val="fr-FR"/>
        </w:rPr>
        <w:t> </w:t>
      </w:r>
      <w:r w:rsidR="000237A2" w:rsidRPr="0048528B">
        <w:rPr>
          <w:sz w:val="18"/>
          <w:szCs w:val="18"/>
          <w:lang w:val="fr-FR"/>
        </w:rPr>
        <w:t>ex., pollinisation croisée, autopollinisation, multiplication végétative)</w:t>
      </w:r>
    </w:p>
    <w:p w:rsidR="00CE0C30" w:rsidRPr="0048528B" w:rsidRDefault="001E5EC4" w:rsidP="000237A2">
      <w:pPr>
        <w:ind w:left="1701" w:hanging="567"/>
        <w:rPr>
          <w:sz w:val="18"/>
          <w:szCs w:val="18"/>
          <w:lang w:val="fr-FR"/>
        </w:rPr>
      </w:pPr>
      <w:r w:rsidRPr="0048528B">
        <w:rPr>
          <w:rFonts w:cs="Arial"/>
          <w:sz w:val="18"/>
          <w:szCs w:val="18"/>
          <w:lang w:val="fr-FR"/>
        </w:rPr>
        <w:t>vi)</w:t>
      </w:r>
      <w:r w:rsidRPr="0048528B">
        <w:rPr>
          <w:rFonts w:cs="Arial"/>
          <w:sz w:val="18"/>
          <w:szCs w:val="18"/>
          <w:lang w:val="fr-FR"/>
        </w:rPr>
        <w:tab/>
      </w:r>
      <w:r w:rsidR="000237A2" w:rsidRPr="0048528B">
        <w:rPr>
          <w:rFonts w:cs="Arial"/>
          <w:sz w:val="18"/>
          <w:szCs w:val="18"/>
          <w:lang w:val="fr-FR"/>
        </w:rPr>
        <w:t>type de plante (p. ex., plante</w:t>
      </w:r>
      <w:r w:rsidR="003F00B6" w:rsidRPr="0048528B">
        <w:rPr>
          <w:rFonts w:cs="Arial"/>
          <w:sz w:val="18"/>
          <w:szCs w:val="18"/>
          <w:lang w:val="fr-FR"/>
        </w:rPr>
        <w:noBreakHyphen/>
      </w:r>
      <w:r w:rsidR="000237A2" w:rsidRPr="0048528B">
        <w:rPr>
          <w:rFonts w:cs="Arial"/>
          <w:sz w:val="18"/>
          <w:szCs w:val="18"/>
          <w:lang w:val="fr-FR"/>
        </w:rPr>
        <w:t>racine, légume</w:t>
      </w:r>
      <w:r w:rsidR="003F00B6" w:rsidRPr="0048528B">
        <w:rPr>
          <w:rFonts w:cs="Arial"/>
          <w:sz w:val="18"/>
          <w:szCs w:val="18"/>
          <w:lang w:val="fr-FR"/>
        </w:rPr>
        <w:noBreakHyphen/>
      </w:r>
      <w:r w:rsidR="000237A2" w:rsidRPr="0048528B">
        <w:rPr>
          <w:rFonts w:cs="Arial"/>
          <w:sz w:val="18"/>
          <w:szCs w:val="18"/>
          <w:lang w:val="fr-FR"/>
        </w:rPr>
        <w:t>feuille, plante fruitière, fleur coupée, céréale, etc.)</w:t>
      </w:r>
    </w:p>
    <w:p w:rsidR="00204800" w:rsidRPr="0048528B" w:rsidRDefault="001E5EC4" w:rsidP="000237A2">
      <w:pPr>
        <w:tabs>
          <w:tab w:val="right" w:pos="1418"/>
        </w:tabs>
        <w:ind w:left="1701" w:hanging="567"/>
        <w:rPr>
          <w:sz w:val="18"/>
          <w:szCs w:val="18"/>
          <w:lang w:val="fr-FR"/>
        </w:rPr>
      </w:pPr>
      <w:r w:rsidRPr="0048528B">
        <w:rPr>
          <w:rFonts w:cs="Arial"/>
          <w:sz w:val="18"/>
          <w:szCs w:val="18"/>
          <w:lang w:val="fr-FR"/>
        </w:rPr>
        <w:t>vii)</w:t>
      </w:r>
      <w:r w:rsidRPr="0048528B">
        <w:rPr>
          <w:rFonts w:cs="Arial"/>
          <w:sz w:val="18"/>
          <w:szCs w:val="18"/>
          <w:lang w:val="fr-FR"/>
        </w:rPr>
        <w:tab/>
      </w:r>
      <w:r w:rsidRPr="0048528B">
        <w:rPr>
          <w:rFonts w:cs="Arial"/>
          <w:sz w:val="18"/>
          <w:szCs w:val="18"/>
          <w:lang w:val="fr-FR"/>
        </w:rPr>
        <w:tab/>
      </w:r>
      <w:r w:rsidR="000237A2" w:rsidRPr="0048528B">
        <w:rPr>
          <w:rFonts w:cs="Arial"/>
          <w:sz w:val="18"/>
          <w:szCs w:val="18"/>
          <w:lang w:val="fr-FR"/>
        </w:rPr>
        <w:t>conservation dans une collection de variétés</w:t>
      </w:r>
    </w:p>
    <w:p w:rsidR="00204800" w:rsidRPr="0048528B" w:rsidRDefault="00196886" w:rsidP="000237A2">
      <w:pPr>
        <w:tabs>
          <w:tab w:val="right" w:pos="1418"/>
        </w:tabs>
        <w:ind w:left="1701" w:hanging="567"/>
        <w:rPr>
          <w:sz w:val="18"/>
          <w:szCs w:val="18"/>
          <w:lang w:val="fr-FR"/>
        </w:rPr>
      </w:pPr>
      <w:r w:rsidRPr="0048528B">
        <w:rPr>
          <w:rFonts w:cs="Arial"/>
          <w:sz w:val="18"/>
          <w:szCs w:val="18"/>
          <w:lang w:val="fr-FR"/>
        </w:rPr>
        <w:tab/>
      </w:r>
      <w:r w:rsidR="001E5EC4" w:rsidRPr="0048528B">
        <w:rPr>
          <w:rFonts w:cs="Arial"/>
          <w:sz w:val="18"/>
          <w:szCs w:val="18"/>
          <w:lang w:val="fr-FR"/>
        </w:rPr>
        <w:t>viii)</w:t>
      </w:r>
      <w:r w:rsidR="001E5EC4" w:rsidRPr="0048528B">
        <w:rPr>
          <w:rFonts w:cs="Arial"/>
          <w:sz w:val="18"/>
          <w:szCs w:val="18"/>
          <w:lang w:val="fr-FR"/>
        </w:rPr>
        <w:tab/>
      </w:r>
      <w:r w:rsidR="000237A2" w:rsidRPr="0048528B">
        <w:rPr>
          <w:rFonts w:cs="Arial"/>
          <w:sz w:val="18"/>
          <w:szCs w:val="18"/>
          <w:lang w:val="fr-FR"/>
        </w:rPr>
        <w:t>échange entre services d</w:t>
      </w:r>
      <w:r w:rsidR="00F3296C" w:rsidRPr="0048528B">
        <w:rPr>
          <w:rFonts w:cs="Arial"/>
          <w:sz w:val="18"/>
          <w:szCs w:val="18"/>
          <w:lang w:val="fr-FR"/>
        </w:rPr>
        <w:t>’</w:t>
      </w:r>
      <w:r w:rsidR="000237A2" w:rsidRPr="0048528B">
        <w:rPr>
          <w:rFonts w:cs="Arial"/>
          <w:sz w:val="18"/>
          <w:szCs w:val="18"/>
          <w:lang w:val="fr-FR"/>
        </w:rPr>
        <w:t>examen</w:t>
      </w:r>
    </w:p>
    <w:p w:rsidR="00204800" w:rsidRPr="0048528B" w:rsidRDefault="001E5EC4" w:rsidP="000237A2">
      <w:pPr>
        <w:ind w:left="1701" w:hanging="567"/>
        <w:rPr>
          <w:sz w:val="18"/>
          <w:szCs w:val="18"/>
          <w:lang w:val="fr-FR"/>
        </w:rPr>
      </w:pPr>
      <w:r w:rsidRPr="0048528B">
        <w:rPr>
          <w:rFonts w:cs="Arial"/>
          <w:sz w:val="18"/>
          <w:szCs w:val="18"/>
          <w:lang w:val="fr-FR"/>
        </w:rPr>
        <w:t>ix)</w:t>
      </w:r>
      <w:r w:rsidRPr="0048528B">
        <w:rPr>
          <w:rFonts w:cs="Arial"/>
          <w:sz w:val="18"/>
          <w:szCs w:val="18"/>
          <w:lang w:val="fr-FR"/>
        </w:rPr>
        <w:tab/>
      </w:r>
      <w:r w:rsidR="000237A2" w:rsidRPr="0048528B">
        <w:rPr>
          <w:rFonts w:cs="Arial"/>
          <w:sz w:val="18"/>
          <w:szCs w:val="18"/>
          <w:lang w:val="fr-FR"/>
        </w:rPr>
        <w:t>conditions relatives à la qualité des semences (germination)</w:t>
      </w:r>
    </w:p>
    <w:p w:rsidR="00CE0C30" w:rsidRPr="0048528B" w:rsidRDefault="001E5EC4" w:rsidP="000237A2">
      <w:pPr>
        <w:ind w:left="1701" w:hanging="567"/>
        <w:rPr>
          <w:sz w:val="18"/>
          <w:szCs w:val="18"/>
          <w:lang w:val="fr-FR"/>
        </w:rPr>
      </w:pPr>
      <w:r w:rsidRPr="0048528B">
        <w:rPr>
          <w:rFonts w:cs="Arial"/>
          <w:sz w:val="18"/>
          <w:szCs w:val="18"/>
          <w:lang w:val="fr-FR"/>
        </w:rPr>
        <w:t>x)</w:t>
      </w:r>
      <w:r w:rsidRPr="0048528B">
        <w:rPr>
          <w:rFonts w:cs="Arial"/>
          <w:sz w:val="18"/>
          <w:szCs w:val="18"/>
          <w:lang w:val="fr-FR"/>
        </w:rPr>
        <w:tab/>
      </w:r>
      <w:r w:rsidR="000237A2" w:rsidRPr="0048528B">
        <w:rPr>
          <w:rFonts w:cs="Arial"/>
          <w:sz w:val="18"/>
          <w:szCs w:val="18"/>
          <w:lang w:val="fr-FR"/>
        </w:rPr>
        <w:t>système de culture (extérieur/sous serre)</w:t>
      </w:r>
    </w:p>
    <w:p w:rsidR="00204800" w:rsidRPr="0048528B" w:rsidRDefault="001E5EC4" w:rsidP="000237A2">
      <w:pPr>
        <w:ind w:left="1701" w:hanging="567"/>
        <w:rPr>
          <w:sz w:val="18"/>
          <w:szCs w:val="18"/>
          <w:lang w:val="fr-FR"/>
        </w:rPr>
      </w:pPr>
      <w:r w:rsidRPr="0048528B">
        <w:rPr>
          <w:rFonts w:cs="Arial"/>
          <w:sz w:val="18"/>
          <w:szCs w:val="18"/>
          <w:lang w:val="fr-FR"/>
        </w:rPr>
        <w:t>xi)</w:t>
      </w:r>
      <w:r w:rsidRPr="0048528B">
        <w:rPr>
          <w:rFonts w:cs="Arial"/>
          <w:sz w:val="18"/>
          <w:szCs w:val="18"/>
          <w:lang w:val="fr-FR"/>
        </w:rPr>
        <w:tab/>
      </w:r>
      <w:r w:rsidR="000237A2" w:rsidRPr="0048528B">
        <w:rPr>
          <w:rFonts w:cs="Arial"/>
          <w:sz w:val="18"/>
          <w:szCs w:val="18"/>
          <w:lang w:val="fr-FR"/>
        </w:rPr>
        <w:t>système d</w:t>
      </w:r>
      <w:r w:rsidR="00F3296C" w:rsidRPr="0048528B">
        <w:rPr>
          <w:rFonts w:cs="Arial"/>
          <w:sz w:val="18"/>
          <w:szCs w:val="18"/>
          <w:lang w:val="fr-FR"/>
        </w:rPr>
        <w:t>’</w:t>
      </w:r>
      <w:r w:rsidR="000237A2" w:rsidRPr="0048528B">
        <w:rPr>
          <w:rFonts w:cs="Arial"/>
          <w:sz w:val="18"/>
          <w:szCs w:val="18"/>
          <w:lang w:val="fr-FR"/>
        </w:rPr>
        <w:t>ensemencement</w:t>
      </w:r>
    </w:p>
    <w:p w:rsidR="00CE0C30" w:rsidRPr="0048528B" w:rsidRDefault="000237A2" w:rsidP="000237A2">
      <w:pPr>
        <w:tabs>
          <w:tab w:val="right" w:pos="1418"/>
        </w:tabs>
        <w:ind w:left="1701" w:hanging="567"/>
        <w:rPr>
          <w:sz w:val="18"/>
          <w:szCs w:val="18"/>
          <w:lang w:val="fr-FR"/>
        </w:rPr>
      </w:pPr>
      <w:r w:rsidRPr="0048528B">
        <w:rPr>
          <w:rFonts w:cs="Arial"/>
          <w:sz w:val="18"/>
          <w:szCs w:val="18"/>
          <w:lang w:val="fr-FR"/>
        </w:rPr>
        <w:t>xii)</w:t>
      </w:r>
      <w:r w:rsidR="001E5EC4" w:rsidRPr="0048528B">
        <w:rPr>
          <w:rFonts w:cs="Arial"/>
          <w:sz w:val="18"/>
          <w:szCs w:val="18"/>
          <w:lang w:val="fr-FR"/>
        </w:rPr>
        <w:tab/>
      </w:r>
      <w:r w:rsidR="001E5EC4" w:rsidRPr="0048528B">
        <w:rPr>
          <w:rFonts w:cs="Arial"/>
          <w:sz w:val="18"/>
          <w:szCs w:val="18"/>
          <w:lang w:val="fr-FR"/>
        </w:rPr>
        <w:tab/>
      </w:r>
      <w:r w:rsidRPr="0048528B">
        <w:rPr>
          <w:rFonts w:cs="Arial"/>
          <w:sz w:val="18"/>
          <w:szCs w:val="18"/>
          <w:lang w:val="fr-FR"/>
        </w:rPr>
        <w:t>principale méthode d</w:t>
      </w:r>
      <w:r w:rsidR="00F3296C" w:rsidRPr="0048528B">
        <w:rPr>
          <w:rFonts w:cs="Arial"/>
          <w:sz w:val="18"/>
          <w:szCs w:val="18"/>
          <w:lang w:val="fr-FR"/>
        </w:rPr>
        <w:t>’</w:t>
      </w:r>
      <w:r w:rsidRPr="0048528B">
        <w:rPr>
          <w:rFonts w:cs="Arial"/>
          <w:sz w:val="18"/>
          <w:szCs w:val="18"/>
          <w:lang w:val="fr-FR"/>
        </w:rPr>
        <w:t>observation (p. ex., MS, VG).</w:t>
      </w:r>
    </w:p>
    <w:p w:rsidR="00204800" w:rsidRPr="0048528B" w:rsidRDefault="00204800" w:rsidP="00196886">
      <w:pPr>
        <w:ind w:left="1134"/>
        <w:rPr>
          <w:rFonts w:cs="Arial"/>
          <w:sz w:val="18"/>
          <w:szCs w:val="18"/>
          <w:lang w:val="fr-FR"/>
        </w:rPr>
      </w:pPr>
    </w:p>
    <w:p w:rsidR="00CE0C30" w:rsidRPr="0048528B" w:rsidRDefault="000237A2" w:rsidP="000237A2">
      <w:pPr>
        <w:ind w:left="567" w:right="567"/>
        <w:rPr>
          <w:rFonts w:cs="Arial"/>
          <w:sz w:val="18"/>
          <w:szCs w:val="18"/>
          <w:lang w:val="fr-FR"/>
        </w:rPr>
      </w:pPr>
      <w:r w:rsidRPr="0048528B">
        <w:rPr>
          <w:rFonts w:cs="Arial"/>
          <w:sz w:val="18"/>
          <w:szCs w:val="18"/>
          <w:lang w:val="fr-FR"/>
        </w:rPr>
        <w:t>“D</w:t>
      </w:r>
      <w:r w:rsidR="00F3296C" w:rsidRPr="0048528B">
        <w:rPr>
          <w:rFonts w:cs="Arial"/>
          <w:sz w:val="18"/>
          <w:szCs w:val="18"/>
          <w:lang w:val="fr-FR"/>
        </w:rPr>
        <w:t>’</w:t>
      </w:r>
      <w:r w:rsidRPr="0048528B">
        <w:rPr>
          <w:rFonts w:cs="Arial"/>
          <w:sz w:val="18"/>
          <w:szCs w:val="18"/>
          <w:lang w:val="fr-FR"/>
        </w:rPr>
        <w:t xml:space="preserve">une manière générale, dans le cas de </w:t>
      </w:r>
      <w:r w:rsidRPr="0048528B">
        <w:rPr>
          <w:rFonts w:cs="Arial"/>
          <w:i/>
          <w:sz w:val="18"/>
          <w:szCs w:val="18"/>
          <w:lang w:val="fr-FR"/>
        </w:rPr>
        <w:t>plantes</w:t>
      </w:r>
      <w:r w:rsidRPr="0048528B">
        <w:rPr>
          <w:rFonts w:cs="Arial"/>
          <w:sz w:val="18"/>
          <w:szCs w:val="18"/>
          <w:lang w:val="fr-FR"/>
        </w:rPr>
        <w:t xml:space="preserve"> à remettre uniquement pour un seul essai en culture (p. ex., des plantes ne sont pas requises pour des essais spéciaux ou des collections de la variété), le nombre de plantes requis au chapitre 2.3 correspond souvent au nombre de plantes indiqué aux chapitres 3.4 “Protocole d</w:t>
      </w:r>
      <w:r w:rsidR="00F3296C" w:rsidRPr="0048528B">
        <w:rPr>
          <w:rFonts w:cs="Arial"/>
          <w:sz w:val="18"/>
          <w:szCs w:val="18"/>
          <w:lang w:val="fr-FR"/>
        </w:rPr>
        <w:t>’</w:t>
      </w:r>
      <w:r w:rsidRPr="0048528B">
        <w:rPr>
          <w:rFonts w:cs="Arial"/>
          <w:sz w:val="18"/>
          <w:szCs w:val="18"/>
          <w:lang w:val="fr-FR"/>
        </w:rPr>
        <w:t>essai” et 4.2 “Homogénéité”.  À cet égard, il est rappelé que la quantité de matériel végétal indiquée au chapitre 2.3 des principes directeurs d</w:t>
      </w:r>
      <w:r w:rsidR="00F3296C" w:rsidRPr="0048528B">
        <w:rPr>
          <w:rFonts w:cs="Arial"/>
          <w:sz w:val="18"/>
          <w:szCs w:val="18"/>
          <w:lang w:val="fr-FR"/>
        </w:rPr>
        <w:t>’</w:t>
      </w:r>
      <w:r w:rsidRPr="0048528B">
        <w:rPr>
          <w:rFonts w:cs="Arial"/>
          <w:sz w:val="18"/>
          <w:szCs w:val="18"/>
          <w:lang w:val="fr-FR"/>
        </w:rPr>
        <w:t>examen est la quantité minimale qu</w:t>
      </w:r>
      <w:r w:rsidR="00F3296C" w:rsidRPr="0048528B">
        <w:rPr>
          <w:rFonts w:cs="Arial"/>
          <w:sz w:val="18"/>
          <w:szCs w:val="18"/>
          <w:lang w:val="fr-FR"/>
        </w:rPr>
        <w:t>’</w:t>
      </w:r>
      <w:r w:rsidRPr="0048528B">
        <w:rPr>
          <w:rFonts w:cs="Arial"/>
          <w:sz w:val="18"/>
          <w:szCs w:val="18"/>
          <w:lang w:val="fr-FR"/>
        </w:rPr>
        <w:t>un service peut exiger du demandeur.  En conséquence, chaque service peut décider d</w:t>
      </w:r>
      <w:r w:rsidR="00F3296C" w:rsidRPr="0048528B">
        <w:rPr>
          <w:rFonts w:cs="Arial"/>
          <w:sz w:val="18"/>
          <w:szCs w:val="18"/>
          <w:lang w:val="fr-FR"/>
        </w:rPr>
        <w:t>’</w:t>
      </w:r>
      <w:r w:rsidRPr="0048528B">
        <w:rPr>
          <w:rFonts w:cs="Arial"/>
          <w:sz w:val="18"/>
          <w:szCs w:val="18"/>
          <w:lang w:val="fr-FR"/>
        </w:rPr>
        <w:t>exiger une plus grande quantité de matériel végétal, par exemple pour tenir compte des</w:t>
      </w:r>
      <w:r w:rsidR="00ED532A" w:rsidRPr="0048528B">
        <w:rPr>
          <w:rFonts w:cs="Arial"/>
          <w:sz w:val="18"/>
          <w:szCs w:val="18"/>
          <w:lang w:val="fr-FR"/>
        </w:rPr>
        <w:t xml:space="preserve"> pertes potentielles (voir GN 7 </w:t>
      </w:r>
      <w:r w:rsidRPr="0048528B">
        <w:rPr>
          <w:rFonts w:cs="Arial"/>
          <w:sz w:val="18"/>
          <w:szCs w:val="18"/>
          <w:lang w:val="fr-FR"/>
        </w:rPr>
        <w:t>a)).  En ce qui concerne le nombre de plantes requis au chapitre 2.3, le nombre de plantes/parties de plantes à examiner (chapitre 4.1.4) doit au moins permettre d</w:t>
      </w:r>
      <w:r w:rsidR="00F3296C" w:rsidRPr="0048528B">
        <w:rPr>
          <w:rFonts w:cs="Arial"/>
          <w:sz w:val="18"/>
          <w:szCs w:val="18"/>
          <w:lang w:val="fr-FR"/>
        </w:rPr>
        <w:t>’</w:t>
      </w:r>
      <w:r w:rsidRPr="0048528B">
        <w:rPr>
          <w:rFonts w:cs="Arial"/>
          <w:sz w:val="18"/>
          <w:szCs w:val="18"/>
          <w:lang w:val="fr-FR"/>
        </w:rPr>
        <w:t>exclure des observations le nombre toléré de plantes hors</w:t>
      </w:r>
      <w:r w:rsidR="003F00B6" w:rsidRPr="0048528B">
        <w:rPr>
          <w:rFonts w:cs="Arial"/>
          <w:sz w:val="18"/>
          <w:szCs w:val="18"/>
          <w:lang w:val="fr-FR"/>
        </w:rPr>
        <w:noBreakHyphen/>
      </w:r>
      <w:r w:rsidRPr="0048528B">
        <w:rPr>
          <w:rFonts w:cs="Arial"/>
          <w:sz w:val="18"/>
          <w:szCs w:val="18"/>
          <w:lang w:val="fr-FR"/>
        </w:rPr>
        <w:t>type.”</w:t>
      </w:r>
    </w:p>
    <w:p w:rsidR="00204800" w:rsidRPr="0048528B" w:rsidRDefault="00204800" w:rsidP="00196886">
      <w:pPr>
        <w:rPr>
          <w:lang w:val="fr-FR"/>
        </w:rPr>
      </w:pPr>
    </w:p>
    <w:p w:rsidR="00204800" w:rsidRPr="0048528B" w:rsidRDefault="00196886" w:rsidP="00204800">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4800" w:rsidRPr="0048528B">
        <w:rPr>
          <w:lang w:val="fr-FR"/>
        </w:rPr>
        <w:t>Le</w:t>
      </w:r>
      <w:r w:rsidR="00F3296C" w:rsidRPr="0048528B">
        <w:rPr>
          <w:lang w:val="fr-FR"/>
        </w:rPr>
        <w:t> TC</w:t>
      </w:r>
      <w:r w:rsidR="00204800" w:rsidRPr="0048528B">
        <w:rPr>
          <w:lang w:val="fr-FR"/>
        </w:rPr>
        <w:t xml:space="preserve"> est convenu qu</w:t>
      </w:r>
      <w:r w:rsidR="00F3296C" w:rsidRPr="0048528B">
        <w:rPr>
          <w:lang w:val="fr-FR"/>
        </w:rPr>
        <w:t>’</w:t>
      </w:r>
      <w:r w:rsidR="00204800" w:rsidRPr="0048528B">
        <w:rPr>
          <w:lang w:val="fr-FR"/>
        </w:rPr>
        <w:t>il ne serait pas approprié de chercher à élaborer un texte standard supplémentaire (ASW) pour le chapitre 2.3 “Quantité minimale de matériel végétal” (voir le paragraphe</w:t>
      </w:r>
      <w:r w:rsidR="00E3136C" w:rsidRPr="0048528B">
        <w:rPr>
          <w:lang w:val="fr-FR"/>
        </w:rPr>
        <w:t> </w:t>
      </w:r>
      <w:r w:rsidR="00204800" w:rsidRPr="0048528B">
        <w:rPr>
          <w:lang w:val="fr-FR"/>
        </w:rPr>
        <w:t xml:space="preserve">36 du </w:t>
      </w:r>
      <w:r w:rsidR="00F3296C" w:rsidRPr="0048528B">
        <w:rPr>
          <w:lang w:val="fr-FR"/>
        </w:rPr>
        <w:t>document TC</w:t>
      </w:r>
      <w:r w:rsidR="00204800" w:rsidRPr="0048528B">
        <w:rPr>
          <w:lang w:val="fr-FR"/>
        </w:rPr>
        <w:t>/49/41 “Compte rendu des conclusions</w:t>
      </w:r>
      <w:r w:rsidR="00E3136C" w:rsidRPr="0048528B">
        <w:rPr>
          <w:lang w:val="fr-FR"/>
        </w:rPr>
        <w:t>”</w:t>
      </w:r>
      <w:r w:rsidR="00204800" w:rsidRPr="0048528B">
        <w:rPr>
          <w:lang w:val="fr-FR"/>
        </w:rPr>
        <w:t>).</w:t>
      </w:r>
    </w:p>
    <w:p w:rsidR="00204800" w:rsidRPr="0048528B" w:rsidRDefault="00204800" w:rsidP="00196886">
      <w:pPr>
        <w:rPr>
          <w:rFonts w:cs="Arial"/>
          <w:lang w:val="fr-FR"/>
        </w:rPr>
      </w:pPr>
    </w:p>
    <w:p w:rsidR="00204800" w:rsidRPr="0048528B" w:rsidRDefault="00196886" w:rsidP="00204800">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4800" w:rsidRPr="0048528B">
        <w:rPr>
          <w:lang w:val="fr-FR"/>
        </w:rPr>
        <w:t>Le</w:t>
      </w:r>
      <w:r w:rsidR="00F3296C" w:rsidRPr="0048528B">
        <w:rPr>
          <w:lang w:val="fr-FR"/>
        </w:rPr>
        <w:t> TC</w:t>
      </w:r>
      <w:r w:rsidR="00204800" w:rsidRPr="0048528B">
        <w:rPr>
          <w:lang w:val="fr-FR"/>
        </w:rPr>
        <w:t xml:space="preserve"> a noté qu</w:t>
      </w:r>
      <w:r w:rsidR="00F3296C" w:rsidRPr="0048528B">
        <w:rPr>
          <w:lang w:val="fr-FR"/>
        </w:rPr>
        <w:t>’</w:t>
      </w:r>
      <w:r w:rsidR="00204800" w:rsidRPr="0048528B">
        <w:rPr>
          <w:lang w:val="fr-FR"/>
        </w:rPr>
        <w:t>un résumé des informations sur les principes directeurs d</w:t>
      </w:r>
      <w:r w:rsidR="00F3296C" w:rsidRPr="0048528B">
        <w:rPr>
          <w:lang w:val="fr-FR"/>
        </w:rPr>
        <w:t>’</w:t>
      </w:r>
      <w:r w:rsidR="00204800" w:rsidRPr="0048528B">
        <w:rPr>
          <w:lang w:val="fr-FR"/>
        </w:rPr>
        <w:t>examen adoptés serait établi par le Bureau de l</w:t>
      </w:r>
      <w:r w:rsidR="00F3296C" w:rsidRPr="0048528B">
        <w:rPr>
          <w:lang w:val="fr-FR"/>
        </w:rPr>
        <w:t>’</w:t>
      </w:r>
      <w:r w:rsidR="00204800" w:rsidRPr="0048528B">
        <w:rPr>
          <w:lang w:val="fr-FR"/>
        </w:rPr>
        <w:t>Union pour être soumis aux sous</w:t>
      </w:r>
      <w:r w:rsidR="003F00B6" w:rsidRPr="0048528B">
        <w:rPr>
          <w:lang w:val="fr-FR"/>
        </w:rPr>
        <w:noBreakHyphen/>
      </w:r>
      <w:r w:rsidR="00204800" w:rsidRPr="0048528B">
        <w:rPr>
          <w:lang w:val="fr-FR"/>
        </w:rPr>
        <w:t>groupes des experts intéressés (voir le paragraphe</w:t>
      </w:r>
      <w:r w:rsidR="00E3136C" w:rsidRPr="0048528B">
        <w:rPr>
          <w:lang w:val="fr-FR"/>
        </w:rPr>
        <w:t> </w:t>
      </w:r>
      <w:r w:rsidR="00204800" w:rsidRPr="0048528B">
        <w:rPr>
          <w:lang w:val="fr-FR"/>
        </w:rPr>
        <w:t xml:space="preserve">37 du </w:t>
      </w:r>
      <w:r w:rsidR="00F3296C" w:rsidRPr="0048528B">
        <w:rPr>
          <w:lang w:val="fr-FR"/>
        </w:rPr>
        <w:t>document TC</w:t>
      </w:r>
      <w:r w:rsidR="00204800" w:rsidRPr="0048528B">
        <w:rPr>
          <w:lang w:val="fr-FR"/>
        </w:rPr>
        <w:t>/49/41 “Compte rendu des conclusions</w:t>
      </w:r>
      <w:r w:rsidR="00E3136C" w:rsidRPr="0048528B">
        <w:rPr>
          <w:lang w:val="fr-FR"/>
        </w:rPr>
        <w:t>”</w:t>
      </w:r>
      <w:r w:rsidR="00204800" w:rsidRPr="0048528B">
        <w:rPr>
          <w:lang w:val="fr-FR"/>
        </w:rPr>
        <w:t>).</w:t>
      </w:r>
    </w:p>
    <w:p w:rsidR="00204800" w:rsidRPr="0048528B" w:rsidRDefault="00204800" w:rsidP="00196886">
      <w:pPr>
        <w:rPr>
          <w:lang w:val="fr-FR"/>
        </w:rPr>
      </w:pPr>
    </w:p>
    <w:p w:rsidR="00204800" w:rsidRPr="0048528B" w:rsidRDefault="00196886" w:rsidP="00204800">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4800" w:rsidRPr="0048528B">
        <w:rPr>
          <w:lang w:val="fr-FR"/>
        </w:rPr>
        <w:t>Le</w:t>
      </w:r>
      <w:r w:rsidR="00F3296C" w:rsidRPr="0048528B">
        <w:rPr>
          <w:lang w:val="fr-FR"/>
        </w:rPr>
        <w:t> TC</w:t>
      </w:r>
      <w:r w:rsidR="00204800" w:rsidRPr="0048528B">
        <w:rPr>
          <w:lang w:val="fr-FR"/>
        </w:rPr>
        <w:t xml:space="preserve"> a </w:t>
      </w:r>
      <w:r w:rsidR="00B01B5C" w:rsidRPr="0048528B">
        <w:rPr>
          <w:lang w:val="fr-FR"/>
        </w:rPr>
        <w:t>rappelé</w:t>
      </w:r>
      <w:r w:rsidR="00204800" w:rsidRPr="0048528B">
        <w:rPr>
          <w:lang w:val="fr-FR"/>
        </w:rPr>
        <w:t xml:space="preserve"> qu</w:t>
      </w:r>
      <w:r w:rsidR="00F3296C" w:rsidRPr="0048528B">
        <w:rPr>
          <w:lang w:val="fr-FR"/>
        </w:rPr>
        <w:t>’</w:t>
      </w:r>
      <w:r w:rsidR="00204800" w:rsidRPr="0048528B">
        <w:rPr>
          <w:lang w:val="fr-FR"/>
        </w:rPr>
        <w:t>il était convenu précédemment que les indications figurant dans la note indicative GN 7 du document TGP/7 devraient être complétées en vue d</w:t>
      </w:r>
      <w:r w:rsidR="00F3296C" w:rsidRPr="0048528B">
        <w:rPr>
          <w:lang w:val="fr-FR"/>
        </w:rPr>
        <w:t>’</w:t>
      </w:r>
      <w:r w:rsidR="00204800" w:rsidRPr="0048528B">
        <w:rPr>
          <w:lang w:val="fr-FR"/>
        </w:rPr>
        <w:t>encourager les experts principaux à examiner la quantité de matériel végétal requis pour des plantes voisines afin d</w:t>
      </w:r>
      <w:r w:rsidR="00F3296C" w:rsidRPr="0048528B">
        <w:rPr>
          <w:lang w:val="fr-FR"/>
        </w:rPr>
        <w:t>’</w:t>
      </w:r>
      <w:r w:rsidR="00204800" w:rsidRPr="0048528B">
        <w:rPr>
          <w:lang w:val="fr-FR"/>
        </w:rPr>
        <w:t>assurer si nécessaire une certaine cohérence.</w:t>
      </w:r>
      <w:r w:rsidRPr="0048528B">
        <w:rPr>
          <w:lang w:val="fr-FR"/>
        </w:rPr>
        <w:t xml:space="preserve">  </w:t>
      </w:r>
      <w:r w:rsidR="00204800" w:rsidRPr="0048528B">
        <w:rPr>
          <w:lang w:val="fr-FR"/>
        </w:rPr>
        <w:t>À cet égard, il était convenu que le Bureau de l</w:t>
      </w:r>
      <w:r w:rsidR="00F3296C" w:rsidRPr="0048528B">
        <w:rPr>
          <w:lang w:val="fr-FR"/>
        </w:rPr>
        <w:t>’</w:t>
      </w:r>
      <w:r w:rsidR="00204800" w:rsidRPr="0048528B">
        <w:rPr>
          <w:lang w:val="fr-FR"/>
        </w:rPr>
        <w:t>Union devrait établir un résumé des informations ci</w:t>
      </w:r>
      <w:r w:rsidR="003F00B6" w:rsidRPr="0048528B">
        <w:rPr>
          <w:lang w:val="fr-FR"/>
        </w:rPr>
        <w:noBreakHyphen/>
      </w:r>
      <w:r w:rsidR="00204800" w:rsidRPr="0048528B">
        <w:rPr>
          <w:lang w:val="fr-FR"/>
        </w:rPr>
        <w:t>après pour tous les principes directeurs d</w:t>
      </w:r>
      <w:r w:rsidR="00F3296C" w:rsidRPr="0048528B">
        <w:rPr>
          <w:lang w:val="fr-FR"/>
        </w:rPr>
        <w:t>’</w:t>
      </w:r>
      <w:r w:rsidR="00204800" w:rsidRPr="0048528B">
        <w:rPr>
          <w:lang w:val="fr-FR"/>
        </w:rPr>
        <w:t>examen adoptés et le mettre à la disposition des experts principaux sur la page Web destinée aux rédacteurs de principes directeurs d</w:t>
      </w:r>
      <w:r w:rsidR="00F3296C" w:rsidRPr="0048528B">
        <w:rPr>
          <w:lang w:val="fr-FR"/>
        </w:rPr>
        <w:t>’</w:t>
      </w:r>
      <w:r w:rsidR="00204800" w:rsidRPr="0048528B">
        <w:rPr>
          <w:lang w:val="fr-FR"/>
        </w:rPr>
        <w:t>examen de sorte que ces informations sur les principes directeurs d</w:t>
      </w:r>
      <w:r w:rsidR="00F3296C" w:rsidRPr="0048528B">
        <w:rPr>
          <w:lang w:val="fr-FR"/>
        </w:rPr>
        <w:t>’</w:t>
      </w:r>
      <w:r w:rsidR="00204800" w:rsidRPr="0048528B">
        <w:rPr>
          <w:lang w:val="fr-FR"/>
        </w:rPr>
        <w:t>examen pour des plantes voisines soient présentées au sous</w:t>
      </w:r>
      <w:r w:rsidR="003F00B6" w:rsidRPr="0048528B">
        <w:rPr>
          <w:lang w:val="fr-FR"/>
        </w:rPr>
        <w:noBreakHyphen/>
      </w:r>
      <w:r w:rsidR="00204800" w:rsidRPr="0048528B">
        <w:rPr>
          <w:lang w:val="fr-FR"/>
        </w:rPr>
        <w:t>groupe des experts intéressés par l</w:t>
      </w:r>
      <w:r w:rsidR="00F3296C" w:rsidRPr="0048528B">
        <w:rPr>
          <w:lang w:val="fr-FR"/>
        </w:rPr>
        <w:t>’</w:t>
      </w:r>
      <w:r w:rsidR="00204800" w:rsidRPr="0048528B">
        <w:rPr>
          <w:lang w:val="fr-FR"/>
        </w:rPr>
        <w:t xml:space="preserve">expert principal (voir le paragraphe 38 du </w:t>
      </w:r>
      <w:r w:rsidR="00F3296C" w:rsidRPr="0048528B">
        <w:rPr>
          <w:lang w:val="fr-FR"/>
        </w:rPr>
        <w:t>document TC</w:t>
      </w:r>
      <w:r w:rsidR="00204800" w:rsidRPr="0048528B">
        <w:rPr>
          <w:lang w:val="fr-FR"/>
        </w:rPr>
        <w:t>/49/41 “Compte rendu des conclusions”) :</w:t>
      </w:r>
    </w:p>
    <w:p w:rsidR="00204800" w:rsidRPr="0048528B" w:rsidRDefault="00204800" w:rsidP="00196886">
      <w:pPr>
        <w:rPr>
          <w:lang w:val="fr-FR"/>
        </w:rPr>
      </w:pPr>
    </w:p>
    <w:p w:rsidR="00204800" w:rsidRPr="0048528B" w:rsidRDefault="00204800" w:rsidP="00196886">
      <w:pPr>
        <w:tabs>
          <w:tab w:val="left" w:pos="1134"/>
          <w:tab w:val="left" w:pos="2478"/>
        </w:tabs>
        <w:ind w:left="567"/>
        <w:rPr>
          <w:lang w:val="fr-FR"/>
        </w:rPr>
      </w:pPr>
      <w:r w:rsidRPr="0048528B">
        <w:rPr>
          <w:lang w:val="fr-FR"/>
        </w:rPr>
        <w:t xml:space="preserve">a) </w:t>
      </w:r>
      <w:r w:rsidR="00ED532A" w:rsidRPr="0048528B">
        <w:rPr>
          <w:lang w:val="fr-FR"/>
        </w:rPr>
        <w:tab/>
        <w:t>C</w:t>
      </w:r>
      <w:r w:rsidRPr="0048528B">
        <w:rPr>
          <w:lang w:val="fr-FR"/>
        </w:rPr>
        <w:t>hapitre</w:t>
      </w:r>
      <w:r w:rsidR="00E3136C" w:rsidRPr="0048528B">
        <w:rPr>
          <w:lang w:val="fr-FR"/>
        </w:rPr>
        <w:t> </w:t>
      </w:r>
      <w:r w:rsidRPr="0048528B">
        <w:rPr>
          <w:lang w:val="fr-FR"/>
        </w:rPr>
        <w:t>2.3</w:t>
      </w:r>
      <w:r w:rsidR="00196886" w:rsidRPr="0048528B">
        <w:rPr>
          <w:lang w:val="fr-FR"/>
        </w:rPr>
        <w:tab/>
      </w:r>
      <w:r w:rsidRPr="0048528B">
        <w:rPr>
          <w:lang w:val="fr-FR"/>
        </w:rPr>
        <w:t>Quantité minimale de matériel végétal à fournir par le demandeur</w:t>
      </w:r>
    </w:p>
    <w:p w:rsidR="00CE0C30" w:rsidRPr="0048528B" w:rsidRDefault="00204800" w:rsidP="00196886">
      <w:pPr>
        <w:tabs>
          <w:tab w:val="left" w:pos="1134"/>
          <w:tab w:val="left" w:pos="2478"/>
        </w:tabs>
        <w:ind w:left="567"/>
        <w:rPr>
          <w:lang w:val="fr-FR"/>
        </w:rPr>
      </w:pPr>
      <w:r w:rsidRPr="0048528B">
        <w:rPr>
          <w:lang w:val="fr-FR"/>
        </w:rPr>
        <w:t xml:space="preserve">b) </w:t>
      </w:r>
      <w:r w:rsidR="00ED532A" w:rsidRPr="0048528B">
        <w:rPr>
          <w:lang w:val="fr-FR"/>
        </w:rPr>
        <w:tab/>
        <w:t>C</w:t>
      </w:r>
      <w:r w:rsidRPr="0048528B">
        <w:rPr>
          <w:lang w:val="fr-FR"/>
        </w:rPr>
        <w:t>hapitre</w:t>
      </w:r>
      <w:r w:rsidR="00E3136C" w:rsidRPr="0048528B">
        <w:rPr>
          <w:lang w:val="fr-FR"/>
        </w:rPr>
        <w:t> </w:t>
      </w:r>
      <w:r w:rsidRPr="0048528B">
        <w:rPr>
          <w:lang w:val="fr-FR"/>
        </w:rPr>
        <w:t xml:space="preserve">3.1 </w:t>
      </w:r>
      <w:r w:rsidR="00ED532A" w:rsidRPr="0048528B">
        <w:rPr>
          <w:lang w:val="fr-FR"/>
        </w:rPr>
        <w:tab/>
      </w:r>
      <w:r w:rsidRPr="0048528B">
        <w:rPr>
          <w:lang w:val="fr-FR"/>
        </w:rPr>
        <w:t>Nombre de cycles de végétation</w:t>
      </w:r>
    </w:p>
    <w:p w:rsidR="00CE0C30" w:rsidRPr="0048528B" w:rsidRDefault="00204800" w:rsidP="00ED532A">
      <w:pPr>
        <w:tabs>
          <w:tab w:val="left" w:pos="1134"/>
          <w:tab w:val="left" w:pos="2478"/>
        </w:tabs>
        <w:ind w:left="1137" w:hanging="570"/>
        <w:rPr>
          <w:lang w:val="fr-FR"/>
        </w:rPr>
      </w:pPr>
      <w:r w:rsidRPr="0048528B">
        <w:rPr>
          <w:lang w:val="fr-FR"/>
        </w:rPr>
        <w:t xml:space="preserve">c) </w:t>
      </w:r>
      <w:r w:rsidR="00ED532A" w:rsidRPr="0048528B">
        <w:rPr>
          <w:lang w:val="fr-FR"/>
        </w:rPr>
        <w:tab/>
        <w:t>C</w:t>
      </w:r>
      <w:r w:rsidRPr="0048528B">
        <w:rPr>
          <w:lang w:val="fr-FR"/>
        </w:rPr>
        <w:t>hapitre</w:t>
      </w:r>
      <w:r w:rsidR="00E3136C" w:rsidRPr="0048528B">
        <w:rPr>
          <w:lang w:val="fr-FR"/>
        </w:rPr>
        <w:t> </w:t>
      </w:r>
      <w:r w:rsidRPr="0048528B">
        <w:rPr>
          <w:lang w:val="fr-FR"/>
        </w:rPr>
        <w:t xml:space="preserve">3.4.1 </w:t>
      </w:r>
      <w:r w:rsidR="00ED532A" w:rsidRPr="0048528B">
        <w:rPr>
          <w:lang w:val="fr-FR"/>
        </w:rPr>
        <w:tab/>
      </w:r>
      <w:r w:rsidRPr="0048528B">
        <w:rPr>
          <w:lang w:val="fr-FR"/>
        </w:rPr>
        <w:t>Chaque essai doit être conçu de manière à porter au total sur X plantes</w:t>
      </w:r>
      <w:r w:rsidR="00ED532A" w:rsidRPr="0048528B">
        <w:rPr>
          <w:lang w:val="fr-FR"/>
        </w:rPr>
        <w:br/>
      </w:r>
      <w:r w:rsidR="00ED532A" w:rsidRPr="0048528B">
        <w:rPr>
          <w:lang w:val="fr-FR"/>
        </w:rPr>
        <w:tab/>
      </w:r>
      <w:r w:rsidRPr="0048528B">
        <w:rPr>
          <w:lang w:val="fr-FR"/>
        </w:rPr>
        <w:t>au moins</w:t>
      </w:r>
    </w:p>
    <w:p w:rsidR="00CE0C30" w:rsidRPr="0048528B" w:rsidRDefault="00204800" w:rsidP="00196886">
      <w:pPr>
        <w:tabs>
          <w:tab w:val="left" w:pos="1134"/>
          <w:tab w:val="left" w:pos="2478"/>
        </w:tabs>
        <w:ind w:left="567"/>
        <w:rPr>
          <w:lang w:val="fr-FR"/>
        </w:rPr>
      </w:pPr>
      <w:r w:rsidRPr="0048528B">
        <w:rPr>
          <w:lang w:val="fr-FR"/>
        </w:rPr>
        <w:t xml:space="preserve">d) </w:t>
      </w:r>
      <w:r w:rsidR="00ED532A" w:rsidRPr="0048528B">
        <w:rPr>
          <w:lang w:val="fr-FR"/>
        </w:rPr>
        <w:tab/>
        <w:t>C</w:t>
      </w:r>
      <w:r w:rsidRPr="0048528B">
        <w:rPr>
          <w:lang w:val="fr-FR"/>
        </w:rPr>
        <w:t>hapitre</w:t>
      </w:r>
      <w:r w:rsidR="00E3136C" w:rsidRPr="0048528B">
        <w:rPr>
          <w:lang w:val="fr-FR"/>
        </w:rPr>
        <w:t> </w:t>
      </w:r>
      <w:r w:rsidRPr="0048528B">
        <w:rPr>
          <w:lang w:val="fr-FR"/>
        </w:rPr>
        <w:t xml:space="preserve">4.1.4 </w:t>
      </w:r>
      <w:r w:rsidR="00ED532A" w:rsidRPr="0048528B">
        <w:rPr>
          <w:lang w:val="fr-FR"/>
        </w:rPr>
        <w:tab/>
      </w:r>
      <w:r w:rsidRPr="0048528B">
        <w:rPr>
          <w:lang w:val="fr-FR"/>
        </w:rPr>
        <w:t>Nombre de plantes/parties de plantes à examiner aux fins de la distinction</w:t>
      </w:r>
    </w:p>
    <w:p w:rsidR="00CE0C30" w:rsidRPr="0048528B" w:rsidRDefault="00204800" w:rsidP="00196886">
      <w:pPr>
        <w:tabs>
          <w:tab w:val="left" w:pos="1134"/>
          <w:tab w:val="left" w:pos="2478"/>
        </w:tabs>
        <w:ind w:left="567"/>
        <w:rPr>
          <w:lang w:val="fr-FR"/>
        </w:rPr>
      </w:pPr>
      <w:r w:rsidRPr="0048528B">
        <w:rPr>
          <w:lang w:val="fr-FR"/>
        </w:rPr>
        <w:t xml:space="preserve">e) </w:t>
      </w:r>
      <w:r w:rsidR="00ED532A" w:rsidRPr="0048528B">
        <w:rPr>
          <w:lang w:val="fr-FR"/>
        </w:rPr>
        <w:tab/>
        <w:t>C</w:t>
      </w:r>
      <w:r w:rsidRPr="0048528B">
        <w:rPr>
          <w:lang w:val="fr-FR"/>
        </w:rPr>
        <w:t>hapitre</w:t>
      </w:r>
      <w:r w:rsidR="00E3136C" w:rsidRPr="0048528B">
        <w:rPr>
          <w:lang w:val="fr-FR"/>
        </w:rPr>
        <w:t> </w:t>
      </w:r>
      <w:r w:rsidRPr="0048528B">
        <w:rPr>
          <w:lang w:val="fr-FR"/>
        </w:rPr>
        <w:t xml:space="preserve">4.2 </w:t>
      </w:r>
      <w:r w:rsidR="00ED532A" w:rsidRPr="0048528B">
        <w:rPr>
          <w:lang w:val="fr-FR"/>
        </w:rPr>
        <w:tab/>
      </w:r>
      <w:r w:rsidRPr="0048528B">
        <w:rPr>
          <w:lang w:val="fr-FR"/>
        </w:rPr>
        <w:t>Nombre de plantes à examiner aux fins de l</w:t>
      </w:r>
      <w:r w:rsidR="00F3296C" w:rsidRPr="0048528B">
        <w:rPr>
          <w:lang w:val="fr-FR"/>
        </w:rPr>
        <w:t>’</w:t>
      </w:r>
      <w:r w:rsidRPr="0048528B">
        <w:rPr>
          <w:lang w:val="fr-FR"/>
        </w:rPr>
        <w:t>homogénéité</w:t>
      </w:r>
    </w:p>
    <w:p w:rsidR="00204800" w:rsidRPr="0048528B" w:rsidRDefault="00196886" w:rsidP="00204800">
      <w:pPr>
        <w:tabs>
          <w:tab w:val="left" w:pos="1134"/>
          <w:tab w:val="left" w:pos="2478"/>
        </w:tabs>
        <w:ind w:left="567"/>
        <w:rPr>
          <w:lang w:val="fr-FR"/>
        </w:rPr>
      </w:pPr>
      <w:r w:rsidRPr="0048528B">
        <w:rPr>
          <w:lang w:val="fr-FR"/>
        </w:rPr>
        <w:t>f)</w:t>
      </w:r>
      <w:r w:rsidR="00204800" w:rsidRPr="0048528B">
        <w:rPr>
          <w:lang w:val="fr-FR"/>
        </w:rPr>
        <w:t xml:space="preserve"> </w:t>
      </w:r>
      <w:r w:rsidR="00ED532A" w:rsidRPr="0048528B">
        <w:rPr>
          <w:lang w:val="fr-FR"/>
        </w:rPr>
        <w:tab/>
      </w:r>
      <w:r w:rsidR="00204800" w:rsidRPr="0048528B">
        <w:rPr>
          <w:lang w:val="fr-FR"/>
        </w:rPr>
        <w:t>Nombre de plantes requises pour des essais particuliers (p.</w:t>
      </w:r>
      <w:r w:rsidR="00E3136C" w:rsidRPr="0048528B">
        <w:rPr>
          <w:lang w:val="fr-FR"/>
        </w:rPr>
        <w:t> </w:t>
      </w:r>
      <w:r w:rsidR="00204800" w:rsidRPr="0048528B">
        <w:rPr>
          <w:lang w:val="fr-FR"/>
        </w:rPr>
        <w:t>ex. résistance à la maladie)</w:t>
      </w:r>
    </w:p>
    <w:p w:rsidR="00204800" w:rsidRPr="0048528B" w:rsidRDefault="00204800" w:rsidP="00204800">
      <w:pPr>
        <w:tabs>
          <w:tab w:val="left" w:pos="1134"/>
          <w:tab w:val="left" w:pos="2478"/>
        </w:tabs>
        <w:ind w:left="567"/>
        <w:rPr>
          <w:lang w:val="fr-FR"/>
        </w:rPr>
      </w:pPr>
    </w:p>
    <w:p w:rsidR="00204800" w:rsidRPr="0048528B" w:rsidRDefault="00196886" w:rsidP="00196886">
      <w:pPr>
        <w:ind w:left="567"/>
        <w:rPr>
          <w:lang w:val="fr-FR"/>
        </w:rPr>
      </w:pPr>
      <w:r w:rsidRPr="0048528B">
        <w:rPr>
          <w:lang w:val="fr-FR"/>
        </w:rPr>
        <w:t>(</w:t>
      </w:r>
      <w:r w:rsidR="00204800" w:rsidRPr="0048528B">
        <w:rPr>
          <w:lang w:val="fr-FR"/>
        </w:rPr>
        <w:t>voir le paragraphe</w:t>
      </w:r>
      <w:r w:rsidR="00E3136C" w:rsidRPr="0048528B">
        <w:rPr>
          <w:lang w:val="fr-FR"/>
        </w:rPr>
        <w:t> </w:t>
      </w:r>
      <w:r w:rsidR="00204800" w:rsidRPr="0048528B">
        <w:rPr>
          <w:lang w:val="fr-FR"/>
        </w:rPr>
        <w:t xml:space="preserve">57 du </w:t>
      </w:r>
      <w:r w:rsidR="00F3296C" w:rsidRPr="0048528B">
        <w:rPr>
          <w:lang w:val="fr-FR"/>
        </w:rPr>
        <w:t>document TC</w:t>
      </w:r>
      <w:r w:rsidRPr="0048528B">
        <w:rPr>
          <w:lang w:val="fr-FR"/>
        </w:rPr>
        <w:t>/</w:t>
      </w:r>
      <w:r w:rsidR="00BB1321" w:rsidRPr="0048528B">
        <w:rPr>
          <w:lang w:val="fr-FR"/>
        </w:rPr>
        <w:t>47</w:t>
      </w:r>
      <w:r w:rsidRPr="0048528B">
        <w:rPr>
          <w:lang w:val="fr-FR"/>
        </w:rPr>
        <w:t>/</w:t>
      </w:r>
      <w:r w:rsidR="00BB1321" w:rsidRPr="0048528B">
        <w:rPr>
          <w:lang w:val="fr-FR"/>
        </w:rPr>
        <w:t>26</w:t>
      </w:r>
      <w:r w:rsidR="00204800" w:rsidRPr="0048528B">
        <w:rPr>
          <w:lang w:val="fr-FR"/>
        </w:rPr>
        <w:t xml:space="preserve"> “Compte rendu des conclusions”</w:t>
      </w:r>
      <w:r w:rsidRPr="0048528B">
        <w:rPr>
          <w:lang w:val="fr-FR"/>
        </w:rPr>
        <w:t>).</w:t>
      </w:r>
    </w:p>
    <w:p w:rsidR="00204800" w:rsidRPr="0048528B" w:rsidRDefault="00204800" w:rsidP="00A26EF1">
      <w:pPr>
        <w:spacing w:line="360" w:lineRule="auto"/>
        <w:rPr>
          <w:lang w:val="fr-FR"/>
        </w:rPr>
      </w:pPr>
    </w:p>
    <w:p w:rsidR="00204800" w:rsidRPr="0048528B" w:rsidRDefault="00204800" w:rsidP="006A03CA">
      <w:pPr>
        <w:pStyle w:val="Heading5"/>
        <w:rPr>
          <w:lang w:val="fr-FR"/>
        </w:rPr>
      </w:pPr>
      <w:r w:rsidRPr="0048528B">
        <w:rPr>
          <w:lang w:val="fr-FR"/>
        </w:rPr>
        <w:t>Conseils relatifs au nombre de plantes à examiner (aux fins de la distinction)</w:t>
      </w:r>
    </w:p>
    <w:p w:rsidR="00204800" w:rsidRPr="0048528B" w:rsidRDefault="00204800" w:rsidP="00196886">
      <w:pPr>
        <w:keepNext/>
        <w:rPr>
          <w:lang w:val="fr-FR"/>
        </w:rPr>
      </w:pPr>
    </w:p>
    <w:p w:rsidR="00204800" w:rsidRPr="0048528B" w:rsidRDefault="00196886" w:rsidP="00204800">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4800" w:rsidRPr="0048528B">
        <w:rPr>
          <w:lang w:val="fr-FR"/>
        </w:rPr>
        <w:t>Le</w:t>
      </w:r>
      <w:r w:rsidR="00F3296C" w:rsidRPr="0048528B">
        <w:rPr>
          <w:lang w:val="fr-FR"/>
        </w:rPr>
        <w:t> TC</w:t>
      </w:r>
      <w:r w:rsidR="00204800" w:rsidRPr="0048528B">
        <w:rPr>
          <w:lang w:val="fr-FR"/>
        </w:rPr>
        <w:t xml:space="preserve"> a examiné le </w:t>
      </w:r>
      <w:r w:rsidR="00F3296C" w:rsidRPr="0048528B">
        <w:rPr>
          <w:lang w:val="fr-FR"/>
        </w:rPr>
        <w:t>document TC</w:t>
      </w:r>
      <w:r w:rsidR="00204800" w:rsidRPr="0048528B">
        <w:rPr>
          <w:lang w:val="fr-FR"/>
        </w:rPr>
        <w:t>/49/17.</w:t>
      </w:r>
    </w:p>
    <w:p w:rsidR="00204800" w:rsidRPr="0048528B" w:rsidRDefault="00204800" w:rsidP="00196886">
      <w:pPr>
        <w:rPr>
          <w:lang w:val="fr-FR"/>
        </w:rPr>
      </w:pPr>
    </w:p>
    <w:p w:rsidR="00204800" w:rsidRPr="0048528B" w:rsidRDefault="00196886" w:rsidP="00204800">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4800" w:rsidRPr="0048528B">
        <w:rPr>
          <w:rFonts w:cs="Arial"/>
          <w:snapToGrid w:val="0"/>
          <w:lang w:val="fr-FR"/>
        </w:rPr>
        <w:t>Le</w:t>
      </w:r>
      <w:r w:rsidR="00F3296C" w:rsidRPr="0048528B">
        <w:rPr>
          <w:rFonts w:cs="Arial"/>
          <w:snapToGrid w:val="0"/>
          <w:lang w:val="fr-FR"/>
        </w:rPr>
        <w:t> TC</w:t>
      </w:r>
      <w:r w:rsidR="00204800" w:rsidRPr="0048528B">
        <w:rPr>
          <w:rFonts w:cs="Arial"/>
          <w:snapToGrid w:val="0"/>
          <w:lang w:val="fr-FR"/>
        </w:rPr>
        <w:t xml:space="preserve"> est convenu du texte ci</w:t>
      </w:r>
      <w:r w:rsidR="003F00B6" w:rsidRPr="0048528B">
        <w:rPr>
          <w:rFonts w:cs="Arial"/>
          <w:snapToGrid w:val="0"/>
          <w:lang w:val="fr-FR"/>
        </w:rPr>
        <w:noBreakHyphen/>
      </w:r>
      <w:r w:rsidR="00204800" w:rsidRPr="0048528B">
        <w:rPr>
          <w:rFonts w:cs="Arial"/>
          <w:snapToGrid w:val="0"/>
          <w:lang w:val="fr-FR"/>
        </w:rPr>
        <w:t>après en vue de l</w:t>
      </w:r>
      <w:r w:rsidR="00F3296C" w:rsidRPr="0048528B">
        <w:rPr>
          <w:rFonts w:cs="Arial"/>
          <w:snapToGrid w:val="0"/>
          <w:lang w:val="fr-FR"/>
        </w:rPr>
        <w:t>’</w:t>
      </w:r>
      <w:r w:rsidR="00204800" w:rsidRPr="0048528B">
        <w:rPr>
          <w:rFonts w:cs="Arial"/>
          <w:snapToGrid w:val="0"/>
          <w:lang w:val="fr-FR"/>
        </w:rPr>
        <w:t>introduction d</w:t>
      </w:r>
      <w:r w:rsidR="00F3296C" w:rsidRPr="0048528B">
        <w:rPr>
          <w:rFonts w:cs="Arial"/>
          <w:snapToGrid w:val="0"/>
          <w:lang w:val="fr-FR"/>
        </w:rPr>
        <w:t>’</w:t>
      </w:r>
      <w:r w:rsidR="00204800" w:rsidRPr="0048528B">
        <w:rPr>
          <w:rFonts w:cs="Arial"/>
          <w:snapToGrid w:val="0"/>
          <w:lang w:val="fr-FR"/>
        </w:rPr>
        <w:t xml:space="preserve">une note indicative dans une future version révisée de la section 4.1.4 du document TGP/7 et dans une future version révisée du document </w:t>
      </w:r>
      <w:r w:rsidR="00204800" w:rsidRPr="0048528B">
        <w:rPr>
          <w:rFonts w:cs="Arial"/>
          <w:snapToGrid w:val="0"/>
          <w:lang w:val="fr-FR"/>
        </w:rPr>
        <w:lastRenderedPageBreak/>
        <w:t>TGP/9 “Examen de la distinction” (voir le paragraphe</w:t>
      </w:r>
      <w:r w:rsidR="00E3136C" w:rsidRPr="0048528B">
        <w:rPr>
          <w:rFonts w:cs="Arial"/>
          <w:snapToGrid w:val="0"/>
          <w:lang w:val="fr-FR"/>
        </w:rPr>
        <w:t> </w:t>
      </w:r>
      <w:r w:rsidR="00204800" w:rsidRPr="0048528B">
        <w:rPr>
          <w:rFonts w:cs="Arial"/>
          <w:snapToGrid w:val="0"/>
          <w:lang w:val="fr-FR"/>
        </w:rPr>
        <w:t xml:space="preserve">40 du </w:t>
      </w:r>
      <w:r w:rsidR="00F3296C" w:rsidRPr="0048528B">
        <w:rPr>
          <w:rFonts w:cs="Arial"/>
          <w:snapToGrid w:val="0"/>
          <w:lang w:val="fr-FR"/>
        </w:rPr>
        <w:t>document TC</w:t>
      </w:r>
      <w:r w:rsidR="00204800" w:rsidRPr="0048528B">
        <w:rPr>
          <w:rFonts w:cs="Arial"/>
          <w:snapToGrid w:val="0"/>
          <w:lang w:val="fr-FR"/>
        </w:rPr>
        <w:t>/49/41 “Compte rendu des</w:t>
      </w:r>
      <w:r w:rsidR="000E5325" w:rsidRPr="0048528B">
        <w:rPr>
          <w:rFonts w:cs="Arial"/>
          <w:snapToGrid w:val="0"/>
          <w:lang w:val="fr-FR"/>
        </w:rPr>
        <w:t> </w:t>
      </w:r>
      <w:r w:rsidR="00204800" w:rsidRPr="0048528B">
        <w:rPr>
          <w:rFonts w:cs="Arial"/>
          <w:snapToGrid w:val="0"/>
          <w:lang w:val="fr-FR"/>
        </w:rPr>
        <w:t>conclusions</w:t>
      </w:r>
      <w:r w:rsidR="00E3136C" w:rsidRPr="0048528B">
        <w:rPr>
          <w:rFonts w:cs="Arial"/>
          <w:snapToGrid w:val="0"/>
          <w:lang w:val="fr-FR"/>
        </w:rPr>
        <w:t>”</w:t>
      </w:r>
      <w:r w:rsidR="00204800" w:rsidRPr="0048528B">
        <w:rPr>
          <w:rFonts w:cs="Arial"/>
          <w:snapToGrid w:val="0"/>
          <w:lang w:val="fr-FR"/>
        </w:rPr>
        <w:t>)</w:t>
      </w:r>
      <w:r w:rsidR="00E3136C" w:rsidRPr="0048528B">
        <w:rPr>
          <w:rFonts w:cs="Arial"/>
          <w:snapToGrid w:val="0"/>
          <w:lang w:val="fr-FR"/>
        </w:rPr>
        <w:t> </w:t>
      </w:r>
      <w:r w:rsidR="00204800" w:rsidRPr="0048528B">
        <w:rPr>
          <w:rFonts w:cs="Arial"/>
          <w:snapToGrid w:val="0"/>
          <w:lang w:val="fr-FR"/>
        </w:rPr>
        <w:t>:</w:t>
      </w:r>
    </w:p>
    <w:p w:rsidR="00204800" w:rsidRPr="0048528B" w:rsidRDefault="00204800" w:rsidP="00196886">
      <w:pPr>
        <w:rPr>
          <w:rFonts w:cs="Arial"/>
          <w:lang w:val="fr-FR"/>
        </w:rPr>
      </w:pPr>
    </w:p>
    <w:p w:rsidR="00204800" w:rsidRPr="0048528B" w:rsidRDefault="00196886" w:rsidP="00196886">
      <w:pPr>
        <w:ind w:left="567" w:right="567"/>
        <w:rPr>
          <w:sz w:val="18"/>
          <w:lang w:val="fr-FR"/>
        </w:rPr>
      </w:pPr>
      <w:r w:rsidRPr="0048528B">
        <w:rPr>
          <w:sz w:val="18"/>
          <w:lang w:val="fr-FR"/>
        </w:rPr>
        <w:t>“1.</w:t>
      </w:r>
      <w:r w:rsidRPr="0048528B">
        <w:rPr>
          <w:sz w:val="18"/>
          <w:lang w:val="fr-FR"/>
        </w:rPr>
        <w:tab/>
      </w:r>
      <w:r w:rsidR="00204800" w:rsidRPr="0048528B">
        <w:rPr>
          <w:sz w:val="18"/>
          <w:szCs w:val="18"/>
          <w:lang w:val="fr-FR"/>
        </w:rPr>
        <w:t>L</w:t>
      </w:r>
      <w:r w:rsidR="00F3296C" w:rsidRPr="0048528B">
        <w:rPr>
          <w:sz w:val="18"/>
          <w:szCs w:val="18"/>
          <w:lang w:val="fr-FR"/>
        </w:rPr>
        <w:t>’</w:t>
      </w:r>
      <w:r w:rsidR="00204800" w:rsidRPr="0048528B">
        <w:rPr>
          <w:sz w:val="18"/>
          <w:szCs w:val="18"/>
          <w:lang w:val="fr-FR"/>
        </w:rPr>
        <w:t>observation de l</w:t>
      </w:r>
      <w:r w:rsidR="00F3296C" w:rsidRPr="0048528B">
        <w:rPr>
          <w:sz w:val="18"/>
          <w:szCs w:val="18"/>
          <w:lang w:val="fr-FR"/>
        </w:rPr>
        <w:t>’</w:t>
      </w:r>
      <w:r w:rsidR="00204800" w:rsidRPr="0048528B">
        <w:rPr>
          <w:sz w:val="18"/>
          <w:szCs w:val="18"/>
          <w:lang w:val="fr-FR"/>
        </w:rPr>
        <w:t>expression “</w:t>
      </w:r>
      <w:r w:rsidR="00204800" w:rsidRPr="0048528B">
        <w:rPr>
          <w:i/>
          <w:iCs/>
          <w:sz w:val="18"/>
          <w:szCs w:val="18"/>
          <w:lang w:val="fr-FR"/>
        </w:rPr>
        <w:t>caractéristique</w:t>
      </w:r>
      <w:r w:rsidR="00204800" w:rsidRPr="0048528B">
        <w:rPr>
          <w:sz w:val="18"/>
          <w:szCs w:val="18"/>
          <w:lang w:val="fr-FR"/>
        </w:rPr>
        <w:t>” des caractères d</w:t>
      </w:r>
      <w:r w:rsidR="00F3296C" w:rsidRPr="0048528B">
        <w:rPr>
          <w:sz w:val="18"/>
          <w:szCs w:val="18"/>
          <w:lang w:val="fr-FR"/>
        </w:rPr>
        <w:t>’</w:t>
      </w:r>
      <w:r w:rsidR="00204800" w:rsidRPr="0048528B">
        <w:rPr>
          <w:sz w:val="18"/>
          <w:szCs w:val="18"/>
          <w:lang w:val="fr-FR"/>
        </w:rPr>
        <w:t xml:space="preserve">une variété dans un environnement donné est essentielle pour déterminer la distinction. </w:t>
      </w:r>
      <w:r w:rsidR="00E3136C" w:rsidRPr="0048528B">
        <w:rPr>
          <w:sz w:val="18"/>
          <w:szCs w:val="18"/>
          <w:lang w:val="fr-FR"/>
        </w:rPr>
        <w:t xml:space="preserve"> </w:t>
      </w:r>
      <w:r w:rsidR="00204800" w:rsidRPr="0048528B">
        <w:rPr>
          <w:sz w:val="18"/>
          <w:szCs w:val="18"/>
          <w:lang w:val="fr-FR"/>
        </w:rPr>
        <w:t>La précision de l</w:t>
      </w:r>
      <w:r w:rsidR="00F3296C" w:rsidRPr="0048528B">
        <w:rPr>
          <w:sz w:val="18"/>
          <w:szCs w:val="18"/>
          <w:lang w:val="fr-FR"/>
        </w:rPr>
        <w:t>’</w:t>
      </w:r>
      <w:r w:rsidR="00204800" w:rsidRPr="0048528B">
        <w:rPr>
          <w:sz w:val="18"/>
          <w:szCs w:val="18"/>
          <w:lang w:val="fr-FR"/>
        </w:rPr>
        <w:t>expression (moyenne) observée dans la variété à comparer est un élément essentiel pour déterminer si une différence est nette</w:t>
      </w:r>
      <w:r w:rsidRPr="0048528B">
        <w:rPr>
          <w:sz w:val="18"/>
          <w:lang w:val="fr-FR"/>
        </w:rPr>
        <w:t>.</w:t>
      </w:r>
    </w:p>
    <w:p w:rsidR="00204800" w:rsidRPr="0048528B" w:rsidRDefault="00204800" w:rsidP="00196886">
      <w:pPr>
        <w:ind w:left="567" w:right="567"/>
        <w:rPr>
          <w:sz w:val="18"/>
          <w:lang w:val="fr-FR"/>
        </w:rPr>
      </w:pPr>
    </w:p>
    <w:p w:rsidR="00204800" w:rsidRPr="0048528B" w:rsidRDefault="00196886" w:rsidP="00196886">
      <w:pPr>
        <w:ind w:left="567" w:right="567"/>
        <w:rPr>
          <w:sz w:val="18"/>
          <w:lang w:val="fr-FR"/>
        </w:rPr>
      </w:pPr>
      <w:r w:rsidRPr="0048528B">
        <w:rPr>
          <w:sz w:val="18"/>
          <w:lang w:val="fr-FR"/>
        </w:rPr>
        <w:t>“2.</w:t>
      </w:r>
      <w:r w:rsidRPr="0048528B">
        <w:rPr>
          <w:sz w:val="18"/>
          <w:lang w:val="fr-FR"/>
        </w:rPr>
        <w:tab/>
      </w:r>
      <w:r w:rsidR="00204800" w:rsidRPr="0048528B">
        <w:rPr>
          <w:sz w:val="18"/>
          <w:szCs w:val="18"/>
          <w:lang w:val="fr-FR"/>
        </w:rPr>
        <w:t>Dans le cas de caractères qualitatifs, un faible nombre de plantes est suffisant pour identifier l</w:t>
      </w:r>
      <w:r w:rsidR="00F3296C" w:rsidRPr="0048528B">
        <w:rPr>
          <w:sz w:val="18"/>
          <w:szCs w:val="18"/>
          <w:lang w:val="fr-FR"/>
        </w:rPr>
        <w:t>’</w:t>
      </w:r>
      <w:r w:rsidR="00204800" w:rsidRPr="0048528B">
        <w:rPr>
          <w:sz w:val="18"/>
          <w:szCs w:val="18"/>
          <w:lang w:val="fr-FR"/>
        </w:rPr>
        <w:t>expression d</w:t>
      </w:r>
      <w:r w:rsidR="00F3296C" w:rsidRPr="0048528B">
        <w:rPr>
          <w:sz w:val="18"/>
          <w:szCs w:val="18"/>
          <w:lang w:val="fr-FR"/>
        </w:rPr>
        <w:t>’</w:t>
      </w:r>
      <w:r w:rsidR="00204800" w:rsidRPr="0048528B">
        <w:rPr>
          <w:sz w:val="18"/>
          <w:szCs w:val="18"/>
          <w:lang w:val="fr-FR"/>
        </w:rPr>
        <w:t xml:space="preserve">une variété. </w:t>
      </w:r>
      <w:r w:rsidR="00E3136C" w:rsidRPr="0048528B">
        <w:rPr>
          <w:sz w:val="18"/>
          <w:szCs w:val="18"/>
          <w:lang w:val="fr-FR"/>
        </w:rPr>
        <w:t xml:space="preserve"> </w:t>
      </w:r>
      <w:r w:rsidR="00204800" w:rsidRPr="0048528B">
        <w:rPr>
          <w:sz w:val="18"/>
          <w:szCs w:val="18"/>
          <w:lang w:val="fr-FR"/>
        </w:rPr>
        <w:t>En général, le nombre de plantes nécessaire pour déterminer la distinction n</w:t>
      </w:r>
      <w:r w:rsidR="00F3296C" w:rsidRPr="0048528B">
        <w:rPr>
          <w:sz w:val="18"/>
          <w:szCs w:val="18"/>
          <w:lang w:val="fr-FR"/>
        </w:rPr>
        <w:t>’</w:t>
      </w:r>
      <w:r w:rsidR="00204800" w:rsidRPr="0048528B">
        <w:rPr>
          <w:sz w:val="18"/>
          <w:szCs w:val="18"/>
          <w:lang w:val="fr-FR"/>
        </w:rPr>
        <w:t>est pas un facteur limitatif pour le nombre de plantes à inclure dans l</w:t>
      </w:r>
      <w:r w:rsidR="00F3296C" w:rsidRPr="0048528B">
        <w:rPr>
          <w:sz w:val="18"/>
          <w:szCs w:val="18"/>
          <w:lang w:val="fr-FR"/>
        </w:rPr>
        <w:t>’</w:t>
      </w:r>
      <w:r w:rsidR="00204800" w:rsidRPr="0048528B">
        <w:rPr>
          <w:sz w:val="18"/>
          <w:szCs w:val="18"/>
          <w:lang w:val="fr-FR"/>
        </w:rPr>
        <w:t>essai.  Par conséquent, le nombre de plantes pour l</w:t>
      </w:r>
      <w:r w:rsidR="00F3296C" w:rsidRPr="0048528B">
        <w:rPr>
          <w:sz w:val="18"/>
          <w:szCs w:val="18"/>
          <w:lang w:val="fr-FR"/>
        </w:rPr>
        <w:t>’</w:t>
      </w:r>
      <w:r w:rsidR="00204800" w:rsidRPr="0048528B">
        <w:rPr>
          <w:sz w:val="18"/>
          <w:szCs w:val="18"/>
          <w:lang w:val="fr-FR"/>
        </w:rPr>
        <w:t>évaluation des caractères qualitatifs n</w:t>
      </w:r>
      <w:r w:rsidR="00F3296C" w:rsidRPr="0048528B">
        <w:rPr>
          <w:sz w:val="18"/>
          <w:szCs w:val="18"/>
          <w:lang w:val="fr-FR"/>
        </w:rPr>
        <w:t>’</w:t>
      </w:r>
      <w:r w:rsidR="00204800" w:rsidRPr="0048528B">
        <w:rPr>
          <w:sz w:val="18"/>
          <w:szCs w:val="18"/>
          <w:lang w:val="fr-FR"/>
        </w:rPr>
        <w:t>est pas essentiel pour l</w:t>
      </w:r>
      <w:r w:rsidR="00F3296C" w:rsidRPr="0048528B">
        <w:rPr>
          <w:sz w:val="18"/>
          <w:szCs w:val="18"/>
          <w:lang w:val="fr-FR"/>
        </w:rPr>
        <w:t>’</w:t>
      </w:r>
      <w:r w:rsidR="00204800" w:rsidRPr="0048528B">
        <w:rPr>
          <w:sz w:val="18"/>
          <w:szCs w:val="18"/>
          <w:lang w:val="fr-FR"/>
        </w:rPr>
        <w:t>harmonisation</w:t>
      </w:r>
      <w:r w:rsidRPr="0048528B">
        <w:rPr>
          <w:sz w:val="18"/>
          <w:lang w:val="fr-FR"/>
        </w:rPr>
        <w:t>.</w:t>
      </w:r>
    </w:p>
    <w:p w:rsidR="00204800" w:rsidRPr="0048528B" w:rsidRDefault="00204800" w:rsidP="00196886">
      <w:pPr>
        <w:ind w:left="567" w:right="567"/>
        <w:rPr>
          <w:sz w:val="18"/>
          <w:lang w:val="fr-FR"/>
        </w:rPr>
      </w:pPr>
    </w:p>
    <w:p w:rsidR="00204800" w:rsidRPr="0048528B" w:rsidRDefault="00196886" w:rsidP="00196886">
      <w:pPr>
        <w:ind w:left="567" w:right="567"/>
        <w:rPr>
          <w:sz w:val="18"/>
          <w:lang w:val="fr-FR"/>
        </w:rPr>
      </w:pPr>
      <w:r w:rsidRPr="0048528B">
        <w:rPr>
          <w:sz w:val="18"/>
          <w:lang w:val="fr-FR"/>
        </w:rPr>
        <w:t>“3.</w:t>
      </w:r>
      <w:r w:rsidRPr="0048528B">
        <w:rPr>
          <w:sz w:val="18"/>
          <w:lang w:val="fr-FR"/>
        </w:rPr>
        <w:tab/>
      </w:r>
      <w:r w:rsidR="00204800" w:rsidRPr="0048528B">
        <w:rPr>
          <w:sz w:val="18"/>
          <w:szCs w:val="18"/>
          <w:lang w:val="fr-FR"/>
        </w:rPr>
        <w:t>Dans le cas de caractères quantitatifs (et de caractères pseudo</w:t>
      </w:r>
      <w:r w:rsidR="003F00B6" w:rsidRPr="0048528B">
        <w:rPr>
          <w:sz w:val="18"/>
          <w:szCs w:val="18"/>
          <w:lang w:val="fr-FR"/>
        </w:rPr>
        <w:noBreakHyphen/>
      </w:r>
      <w:r w:rsidR="00204800" w:rsidRPr="0048528B">
        <w:rPr>
          <w:sz w:val="18"/>
          <w:szCs w:val="18"/>
          <w:lang w:val="fr-FR"/>
        </w:rPr>
        <w:t>qualitatifs), la variation au sein de la variété doit être prise en considération pour l</w:t>
      </w:r>
      <w:r w:rsidR="00F3296C" w:rsidRPr="0048528B">
        <w:rPr>
          <w:sz w:val="18"/>
          <w:szCs w:val="18"/>
          <w:lang w:val="fr-FR"/>
        </w:rPr>
        <w:t>’</w:t>
      </w:r>
      <w:r w:rsidR="00204800" w:rsidRPr="0048528B">
        <w:rPr>
          <w:sz w:val="18"/>
          <w:szCs w:val="18"/>
          <w:lang w:val="fr-FR"/>
        </w:rPr>
        <w:t>identification d</w:t>
      </w:r>
      <w:r w:rsidR="00F3296C" w:rsidRPr="0048528B">
        <w:rPr>
          <w:sz w:val="18"/>
          <w:szCs w:val="18"/>
          <w:lang w:val="fr-FR"/>
        </w:rPr>
        <w:t>’</w:t>
      </w:r>
      <w:r w:rsidR="00204800" w:rsidRPr="0048528B">
        <w:rPr>
          <w:sz w:val="18"/>
          <w:szCs w:val="18"/>
          <w:lang w:val="fr-FR"/>
        </w:rPr>
        <w:t>une différence nette (sur la base d</w:t>
      </w:r>
      <w:r w:rsidR="00F3296C" w:rsidRPr="0048528B">
        <w:rPr>
          <w:sz w:val="18"/>
          <w:szCs w:val="18"/>
          <w:lang w:val="fr-FR"/>
        </w:rPr>
        <w:t>’</w:t>
      </w:r>
      <w:r w:rsidR="00204800" w:rsidRPr="0048528B">
        <w:rPr>
          <w:sz w:val="18"/>
          <w:szCs w:val="18"/>
          <w:lang w:val="fr-FR"/>
        </w:rPr>
        <w:t>un jugement d</w:t>
      </w:r>
      <w:r w:rsidR="00F3296C" w:rsidRPr="0048528B">
        <w:rPr>
          <w:sz w:val="18"/>
          <w:szCs w:val="18"/>
          <w:lang w:val="fr-FR"/>
        </w:rPr>
        <w:t>’</w:t>
      </w:r>
      <w:r w:rsidR="00204800" w:rsidRPr="0048528B">
        <w:rPr>
          <w:sz w:val="18"/>
          <w:szCs w:val="18"/>
          <w:lang w:val="fr-FR"/>
        </w:rPr>
        <w:t xml:space="preserve">experts ou de statistiques exactes). </w:t>
      </w:r>
      <w:r w:rsidR="00E3136C" w:rsidRPr="0048528B">
        <w:rPr>
          <w:sz w:val="18"/>
          <w:szCs w:val="18"/>
          <w:lang w:val="fr-FR"/>
        </w:rPr>
        <w:t xml:space="preserve"> </w:t>
      </w:r>
      <w:r w:rsidR="00204800" w:rsidRPr="0048528B">
        <w:rPr>
          <w:sz w:val="18"/>
          <w:szCs w:val="18"/>
          <w:lang w:val="fr-FR"/>
        </w:rPr>
        <w:t>En raison de la relation entre la variation au sein des variétés et la différence nécessaire à considérer comme une différence nette pour la détermination de la distinction, la précision des dossiers est importante.  La précision des dossiers (valeurs moyennes) est influencée par la taille de l</w:t>
      </w:r>
      <w:r w:rsidR="00F3296C" w:rsidRPr="0048528B">
        <w:rPr>
          <w:sz w:val="18"/>
          <w:szCs w:val="18"/>
          <w:lang w:val="fr-FR"/>
        </w:rPr>
        <w:t>’</w:t>
      </w:r>
      <w:r w:rsidR="00204800" w:rsidRPr="0048528B">
        <w:rPr>
          <w:sz w:val="18"/>
          <w:szCs w:val="18"/>
          <w:lang w:val="fr-FR"/>
        </w:rPr>
        <w:t>échantillon.  Par conséquent, la taille d</w:t>
      </w:r>
      <w:r w:rsidR="00F3296C" w:rsidRPr="0048528B">
        <w:rPr>
          <w:sz w:val="18"/>
          <w:szCs w:val="18"/>
          <w:lang w:val="fr-FR"/>
        </w:rPr>
        <w:t>’</w:t>
      </w:r>
      <w:r w:rsidR="00204800" w:rsidRPr="0048528B">
        <w:rPr>
          <w:sz w:val="18"/>
          <w:szCs w:val="18"/>
          <w:lang w:val="fr-FR"/>
        </w:rPr>
        <w:t>échantillon appropriée devrait être indiquée dans les principes directeurs d</w:t>
      </w:r>
      <w:r w:rsidR="00F3296C" w:rsidRPr="0048528B">
        <w:rPr>
          <w:sz w:val="18"/>
          <w:szCs w:val="18"/>
          <w:lang w:val="fr-FR"/>
        </w:rPr>
        <w:t>’</w:t>
      </w:r>
      <w:r w:rsidR="00204800" w:rsidRPr="0048528B">
        <w:rPr>
          <w:sz w:val="18"/>
          <w:szCs w:val="18"/>
          <w:lang w:val="fr-FR"/>
        </w:rPr>
        <w:t>examen aux fins de l</w:t>
      </w:r>
      <w:r w:rsidR="00F3296C" w:rsidRPr="0048528B">
        <w:rPr>
          <w:sz w:val="18"/>
          <w:szCs w:val="18"/>
          <w:lang w:val="fr-FR"/>
        </w:rPr>
        <w:t>’</w:t>
      </w:r>
      <w:r w:rsidR="00204800" w:rsidRPr="0048528B">
        <w:rPr>
          <w:sz w:val="18"/>
          <w:szCs w:val="18"/>
          <w:lang w:val="fr-FR"/>
        </w:rPr>
        <w:t>harmonisation</w:t>
      </w:r>
      <w:r w:rsidRPr="0048528B">
        <w:rPr>
          <w:sz w:val="18"/>
          <w:lang w:val="fr-FR"/>
        </w:rPr>
        <w:t>.</w:t>
      </w:r>
    </w:p>
    <w:p w:rsidR="00204800" w:rsidRPr="0048528B" w:rsidRDefault="00204800" w:rsidP="00196886">
      <w:pPr>
        <w:ind w:left="567" w:right="567"/>
        <w:rPr>
          <w:sz w:val="18"/>
          <w:lang w:val="fr-FR"/>
        </w:rPr>
      </w:pPr>
    </w:p>
    <w:p w:rsidR="00204800" w:rsidRPr="0048528B" w:rsidRDefault="00196886" w:rsidP="00196886">
      <w:pPr>
        <w:ind w:left="567" w:right="567"/>
        <w:rPr>
          <w:bCs/>
          <w:sz w:val="18"/>
          <w:lang w:val="fr-FR"/>
        </w:rPr>
      </w:pPr>
      <w:r w:rsidRPr="0048528B">
        <w:rPr>
          <w:sz w:val="18"/>
          <w:lang w:val="fr-FR"/>
        </w:rPr>
        <w:t>“4.</w:t>
      </w:r>
      <w:r w:rsidRPr="0048528B">
        <w:rPr>
          <w:sz w:val="18"/>
          <w:lang w:val="fr-FR"/>
        </w:rPr>
        <w:tab/>
      </w:r>
      <w:r w:rsidR="00204800" w:rsidRPr="0048528B">
        <w:rPr>
          <w:sz w:val="18"/>
          <w:szCs w:val="18"/>
          <w:lang w:val="fr-FR"/>
        </w:rPr>
        <w:t>Les grands principes généraux ci</w:t>
      </w:r>
      <w:r w:rsidR="003F00B6" w:rsidRPr="0048528B">
        <w:rPr>
          <w:sz w:val="18"/>
          <w:szCs w:val="18"/>
          <w:lang w:val="fr-FR"/>
        </w:rPr>
        <w:noBreakHyphen/>
      </w:r>
      <w:r w:rsidR="00204800" w:rsidRPr="0048528B">
        <w:rPr>
          <w:sz w:val="18"/>
          <w:szCs w:val="18"/>
          <w:lang w:val="fr-FR"/>
        </w:rPr>
        <w:t>après devraient être pris en considération</w:t>
      </w:r>
      <w:r w:rsidR="00E3136C" w:rsidRPr="0048528B">
        <w:rPr>
          <w:sz w:val="18"/>
          <w:szCs w:val="18"/>
          <w:lang w:val="fr-FR"/>
        </w:rPr>
        <w:t> </w:t>
      </w:r>
      <w:r w:rsidRPr="0048528B">
        <w:rPr>
          <w:bCs/>
          <w:sz w:val="18"/>
          <w:lang w:val="fr-FR"/>
        </w:rPr>
        <w:t>:</w:t>
      </w:r>
    </w:p>
    <w:p w:rsidR="00204800" w:rsidRPr="0048528B" w:rsidRDefault="00204800" w:rsidP="00196886">
      <w:pPr>
        <w:ind w:left="567" w:right="567"/>
        <w:rPr>
          <w:bCs/>
          <w:sz w:val="18"/>
          <w:lang w:val="fr-FR"/>
        </w:rPr>
      </w:pPr>
    </w:p>
    <w:p w:rsidR="00CE0C30" w:rsidRPr="0048528B" w:rsidRDefault="00196886" w:rsidP="00204800">
      <w:pPr>
        <w:pStyle w:val="Default"/>
        <w:ind w:left="567"/>
        <w:rPr>
          <w:rFonts w:eastAsia="Times New Roman"/>
          <w:color w:val="auto"/>
          <w:sz w:val="18"/>
          <w:szCs w:val="18"/>
          <w:lang w:val="fr-FR"/>
        </w:rPr>
      </w:pPr>
      <w:r w:rsidRPr="0048528B">
        <w:rPr>
          <w:color w:val="auto"/>
          <w:sz w:val="18"/>
          <w:lang w:val="fr-FR"/>
        </w:rPr>
        <w:t>“</w:t>
      </w:r>
      <w:r w:rsidR="00204800" w:rsidRPr="0048528B">
        <w:rPr>
          <w:rFonts w:eastAsia="Times New Roman"/>
          <w:i/>
          <w:iCs/>
          <w:color w:val="auto"/>
          <w:sz w:val="18"/>
          <w:szCs w:val="18"/>
          <w:lang w:val="fr-FR"/>
        </w:rPr>
        <w:t xml:space="preserve">Considérations pour le nombre de plantes à observer à des fins de distinction dans le cas de caractères QN </w:t>
      </w:r>
      <w:r w:rsidR="00204800" w:rsidRPr="0048528B">
        <w:rPr>
          <w:rFonts w:eastAsia="Times New Roman"/>
          <w:color w:val="auto"/>
          <w:sz w:val="18"/>
          <w:szCs w:val="18"/>
          <w:lang w:val="fr-FR"/>
        </w:rPr>
        <w:t>(dans certains cas PQ)</w:t>
      </w:r>
    </w:p>
    <w:p w:rsidR="00CE0C30" w:rsidRPr="0048528B" w:rsidRDefault="00204800" w:rsidP="000E5325">
      <w:pPr>
        <w:pStyle w:val="ListParagraph"/>
        <w:numPr>
          <w:ilvl w:val="0"/>
          <w:numId w:val="43"/>
        </w:numPr>
        <w:autoSpaceDE w:val="0"/>
        <w:autoSpaceDN w:val="0"/>
        <w:adjustRightInd w:val="0"/>
        <w:jc w:val="left"/>
        <w:rPr>
          <w:rFonts w:cs="Arial"/>
          <w:sz w:val="18"/>
          <w:szCs w:val="18"/>
          <w:lang w:val="fr-FR"/>
        </w:rPr>
      </w:pPr>
      <w:r w:rsidRPr="0048528B">
        <w:rPr>
          <w:rFonts w:cs="Arial"/>
          <w:sz w:val="18"/>
          <w:szCs w:val="18"/>
          <w:lang w:val="fr-FR"/>
        </w:rPr>
        <w:t>Observations sur la parcelle dans son ensemble (VG/MG)</w:t>
      </w:r>
    </w:p>
    <w:p w:rsidR="00CE0C30" w:rsidRPr="0048528B" w:rsidRDefault="00204800" w:rsidP="000E5325">
      <w:pPr>
        <w:autoSpaceDE w:val="0"/>
        <w:autoSpaceDN w:val="0"/>
        <w:adjustRightInd w:val="0"/>
        <w:ind w:firstLine="1531"/>
        <w:jc w:val="left"/>
        <w:rPr>
          <w:rFonts w:cs="Arial"/>
          <w:sz w:val="18"/>
          <w:szCs w:val="18"/>
          <w:lang w:val="fr-FR"/>
        </w:rPr>
      </w:pPr>
      <w:r w:rsidRPr="0048528B">
        <w:rPr>
          <w:rFonts w:cs="Arial"/>
          <w:sz w:val="18"/>
          <w:szCs w:val="18"/>
          <w:lang w:val="fr-FR"/>
        </w:rPr>
        <w:t>– nombre indiqué à considérer comme un nombre minimum</w:t>
      </w:r>
    </w:p>
    <w:p w:rsidR="000E5325" w:rsidRPr="0048528B" w:rsidRDefault="000E5325" w:rsidP="00204800">
      <w:pPr>
        <w:autoSpaceDE w:val="0"/>
        <w:autoSpaceDN w:val="0"/>
        <w:adjustRightInd w:val="0"/>
        <w:ind w:firstLine="567"/>
        <w:jc w:val="left"/>
        <w:rPr>
          <w:rFonts w:cs="Arial"/>
          <w:sz w:val="18"/>
          <w:szCs w:val="18"/>
          <w:lang w:val="fr-FR"/>
        </w:rPr>
      </w:pPr>
    </w:p>
    <w:p w:rsidR="00CE0C30" w:rsidRPr="0048528B" w:rsidRDefault="00204800" w:rsidP="000E5325">
      <w:pPr>
        <w:pStyle w:val="ListParagraph"/>
        <w:numPr>
          <w:ilvl w:val="0"/>
          <w:numId w:val="43"/>
        </w:numPr>
        <w:autoSpaceDE w:val="0"/>
        <w:autoSpaceDN w:val="0"/>
        <w:adjustRightInd w:val="0"/>
        <w:jc w:val="left"/>
        <w:rPr>
          <w:rFonts w:cs="Arial"/>
          <w:sz w:val="18"/>
          <w:szCs w:val="18"/>
          <w:lang w:val="fr-FR"/>
        </w:rPr>
      </w:pPr>
      <w:r w:rsidRPr="0048528B">
        <w:rPr>
          <w:rFonts w:cs="Arial"/>
          <w:sz w:val="18"/>
          <w:szCs w:val="18"/>
          <w:lang w:val="fr-FR"/>
        </w:rPr>
        <w:t>Observations sur un sous</w:t>
      </w:r>
      <w:r w:rsidR="003F00B6" w:rsidRPr="0048528B">
        <w:rPr>
          <w:rFonts w:cs="Arial"/>
          <w:sz w:val="18"/>
          <w:szCs w:val="18"/>
          <w:lang w:val="fr-FR"/>
        </w:rPr>
        <w:noBreakHyphen/>
      </w:r>
      <w:r w:rsidRPr="0048528B">
        <w:rPr>
          <w:rFonts w:cs="Arial"/>
          <w:sz w:val="18"/>
          <w:szCs w:val="18"/>
          <w:lang w:val="fr-FR"/>
        </w:rPr>
        <w:t>échantillon de la parcelle (VG/MG)</w:t>
      </w:r>
    </w:p>
    <w:p w:rsidR="00CE0C30" w:rsidRPr="0048528B" w:rsidRDefault="00204800" w:rsidP="000E5325">
      <w:pPr>
        <w:autoSpaceDE w:val="0"/>
        <w:autoSpaceDN w:val="0"/>
        <w:adjustRightInd w:val="0"/>
        <w:ind w:firstLine="1531"/>
        <w:jc w:val="left"/>
        <w:rPr>
          <w:rFonts w:cs="Arial"/>
          <w:sz w:val="18"/>
          <w:szCs w:val="18"/>
          <w:lang w:val="fr-FR"/>
        </w:rPr>
      </w:pPr>
      <w:r w:rsidRPr="0048528B">
        <w:rPr>
          <w:rFonts w:cs="Arial"/>
          <w:sz w:val="18"/>
          <w:szCs w:val="18"/>
          <w:lang w:val="fr-FR"/>
        </w:rPr>
        <w:t>– nombre indiqué à considérer comme un nombre minimum</w:t>
      </w:r>
    </w:p>
    <w:p w:rsidR="000E5325" w:rsidRPr="0048528B" w:rsidRDefault="000E5325" w:rsidP="00204800">
      <w:pPr>
        <w:autoSpaceDE w:val="0"/>
        <w:autoSpaceDN w:val="0"/>
        <w:adjustRightInd w:val="0"/>
        <w:ind w:firstLine="567"/>
        <w:jc w:val="left"/>
        <w:rPr>
          <w:rFonts w:cs="Arial"/>
          <w:sz w:val="18"/>
          <w:szCs w:val="18"/>
          <w:lang w:val="fr-FR"/>
        </w:rPr>
      </w:pPr>
    </w:p>
    <w:p w:rsidR="00204800" w:rsidRPr="0048528B" w:rsidRDefault="00204800" w:rsidP="00204800">
      <w:pPr>
        <w:pStyle w:val="ListParagraph"/>
        <w:numPr>
          <w:ilvl w:val="0"/>
          <w:numId w:val="43"/>
        </w:numPr>
        <w:autoSpaceDE w:val="0"/>
        <w:autoSpaceDN w:val="0"/>
        <w:adjustRightInd w:val="0"/>
        <w:jc w:val="left"/>
        <w:rPr>
          <w:rFonts w:cs="Arial"/>
          <w:sz w:val="18"/>
          <w:szCs w:val="18"/>
          <w:lang w:val="fr-FR"/>
        </w:rPr>
      </w:pPr>
      <w:r w:rsidRPr="0048528B">
        <w:rPr>
          <w:rFonts w:cs="Arial"/>
          <w:sz w:val="18"/>
          <w:szCs w:val="18"/>
          <w:lang w:val="fr-FR"/>
        </w:rPr>
        <w:t>Observations de plantes isolées (VS/MS)</w:t>
      </w:r>
    </w:p>
    <w:p w:rsidR="00CE0C30" w:rsidRPr="0048528B" w:rsidRDefault="00204800" w:rsidP="000E5325">
      <w:pPr>
        <w:autoSpaceDE w:val="0"/>
        <w:autoSpaceDN w:val="0"/>
        <w:adjustRightInd w:val="0"/>
        <w:ind w:firstLine="1531"/>
        <w:jc w:val="left"/>
        <w:rPr>
          <w:rFonts w:cs="Arial"/>
          <w:sz w:val="18"/>
          <w:szCs w:val="18"/>
          <w:lang w:val="fr-FR"/>
        </w:rPr>
      </w:pPr>
      <w:r w:rsidRPr="0048528B">
        <w:rPr>
          <w:rFonts w:cs="Arial"/>
          <w:sz w:val="18"/>
          <w:szCs w:val="18"/>
          <w:lang w:val="fr-FR"/>
        </w:rPr>
        <w:t>– nombre de plantes important pour la précision du dossier</w:t>
      </w:r>
    </w:p>
    <w:p w:rsidR="00204800" w:rsidRPr="0048528B" w:rsidRDefault="00204800" w:rsidP="000E5325">
      <w:pPr>
        <w:ind w:right="567" w:firstLine="1531"/>
        <w:jc w:val="left"/>
        <w:rPr>
          <w:sz w:val="18"/>
          <w:lang w:val="fr-FR"/>
        </w:rPr>
      </w:pPr>
      <w:r w:rsidRPr="0048528B">
        <w:rPr>
          <w:rFonts w:cs="Arial"/>
          <w:sz w:val="18"/>
          <w:szCs w:val="18"/>
          <w:lang w:val="fr-FR"/>
        </w:rPr>
        <w:t>– nombre spécifique à indiquer</w:t>
      </w:r>
    </w:p>
    <w:p w:rsidR="00204800" w:rsidRPr="0048528B" w:rsidRDefault="00204800" w:rsidP="00196886">
      <w:pPr>
        <w:ind w:left="567" w:right="567"/>
        <w:rPr>
          <w:bCs/>
          <w:sz w:val="18"/>
          <w:lang w:val="fr-FR"/>
        </w:rPr>
      </w:pPr>
    </w:p>
    <w:p w:rsidR="00CE0C30" w:rsidRPr="0048528B" w:rsidRDefault="00204800" w:rsidP="00204800">
      <w:pPr>
        <w:autoSpaceDE w:val="0"/>
        <w:autoSpaceDN w:val="0"/>
        <w:adjustRightInd w:val="0"/>
        <w:ind w:firstLine="567"/>
        <w:jc w:val="left"/>
        <w:rPr>
          <w:rFonts w:cs="Arial"/>
          <w:i/>
          <w:iCs/>
          <w:sz w:val="18"/>
          <w:szCs w:val="18"/>
          <w:lang w:val="fr-FR"/>
        </w:rPr>
      </w:pPr>
      <w:r w:rsidRPr="0048528B">
        <w:rPr>
          <w:rFonts w:cs="Arial"/>
          <w:sz w:val="18"/>
          <w:szCs w:val="18"/>
          <w:lang w:val="fr-FR"/>
        </w:rPr>
        <w:t>“</w:t>
      </w:r>
      <w:r w:rsidRPr="0048528B">
        <w:rPr>
          <w:rFonts w:cs="Arial"/>
          <w:i/>
          <w:iCs/>
          <w:sz w:val="18"/>
          <w:szCs w:val="18"/>
          <w:lang w:val="fr-FR"/>
        </w:rPr>
        <w:t>Considérations pour le nombre de plantes de variétés candidates et de variétés avec lesquelles les comparer</w:t>
      </w:r>
    </w:p>
    <w:p w:rsidR="000E5325" w:rsidRPr="0048528B" w:rsidRDefault="000E5325" w:rsidP="00204800">
      <w:pPr>
        <w:autoSpaceDE w:val="0"/>
        <w:autoSpaceDN w:val="0"/>
        <w:adjustRightInd w:val="0"/>
        <w:ind w:firstLine="567"/>
        <w:jc w:val="left"/>
        <w:rPr>
          <w:rFonts w:cs="Arial"/>
          <w:i/>
          <w:iCs/>
          <w:sz w:val="18"/>
          <w:szCs w:val="18"/>
          <w:lang w:val="fr-FR"/>
        </w:rPr>
      </w:pPr>
    </w:p>
    <w:p w:rsidR="00204800" w:rsidRPr="0048528B" w:rsidRDefault="003F00B6" w:rsidP="00204800">
      <w:pPr>
        <w:ind w:left="567" w:right="567"/>
        <w:rPr>
          <w:sz w:val="18"/>
          <w:lang w:val="fr-FR"/>
        </w:rPr>
      </w:pPr>
      <w:r w:rsidRPr="0048528B">
        <w:rPr>
          <w:rFonts w:cs="Arial"/>
          <w:sz w:val="18"/>
          <w:szCs w:val="18"/>
          <w:lang w:val="fr-FR"/>
        </w:rPr>
        <w:t>“5.</w:t>
      </w:r>
      <w:r w:rsidRPr="0048528B">
        <w:rPr>
          <w:rFonts w:cs="Arial"/>
          <w:sz w:val="18"/>
          <w:szCs w:val="18"/>
          <w:lang w:val="fr-FR"/>
        </w:rPr>
        <w:tab/>
      </w:r>
      <w:r w:rsidR="00204800" w:rsidRPr="0048528B">
        <w:rPr>
          <w:rFonts w:cs="Arial"/>
          <w:sz w:val="18"/>
          <w:szCs w:val="18"/>
          <w:lang w:val="fr-FR"/>
        </w:rPr>
        <w:t>La précision requise dans les dossiers dépend de l</w:t>
      </w:r>
      <w:r w:rsidR="00F3296C" w:rsidRPr="0048528B">
        <w:rPr>
          <w:rFonts w:cs="Arial"/>
          <w:sz w:val="18"/>
          <w:szCs w:val="18"/>
          <w:lang w:val="fr-FR"/>
        </w:rPr>
        <w:t>’</w:t>
      </w:r>
      <w:r w:rsidR="00204800" w:rsidRPr="0048528B">
        <w:rPr>
          <w:rFonts w:cs="Arial"/>
          <w:sz w:val="18"/>
          <w:szCs w:val="18"/>
          <w:lang w:val="fr-FR"/>
        </w:rPr>
        <w:t xml:space="preserve">ampleur de la différence entre la variété candidate et les variétés voisines notoirement connues. </w:t>
      </w:r>
      <w:r w:rsidR="00E3136C" w:rsidRPr="0048528B">
        <w:rPr>
          <w:rFonts w:cs="Arial"/>
          <w:sz w:val="18"/>
          <w:szCs w:val="18"/>
          <w:lang w:val="fr-FR"/>
        </w:rPr>
        <w:t xml:space="preserve"> </w:t>
      </w:r>
      <w:r w:rsidR="00204800" w:rsidRPr="0048528B">
        <w:rPr>
          <w:rFonts w:cs="Arial"/>
          <w:sz w:val="18"/>
          <w:szCs w:val="18"/>
          <w:lang w:val="fr-FR"/>
        </w:rPr>
        <w:t>Si deux</w:t>
      </w:r>
      <w:r w:rsidR="00E3136C" w:rsidRPr="0048528B">
        <w:rPr>
          <w:rFonts w:cs="Arial"/>
          <w:sz w:val="18"/>
          <w:szCs w:val="18"/>
          <w:lang w:val="fr-FR"/>
        </w:rPr>
        <w:t> </w:t>
      </w:r>
      <w:r w:rsidR="00204800" w:rsidRPr="0048528B">
        <w:rPr>
          <w:rFonts w:cs="Arial"/>
          <w:sz w:val="18"/>
          <w:szCs w:val="18"/>
          <w:lang w:val="fr-FR"/>
        </w:rPr>
        <w:t>variétés sont très proches, il est important de garantir la même précision dans les dossiers pour les deux</w:t>
      </w:r>
      <w:r w:rsidR="00E3136C" w:rsidRPr="0048528B">
        <w:rPr>
          <w:rFonts w:cs="Arial"/>
          <w:sz w:val="18"/>
          <w:szCs w:val="18"/>
          <w:lang w:val="fr-FR"/>
        </w:rPr>
        <w:t> </w:t>
      </w:r>
      <w:r w:rsidR="00204800" w:rsidRPr="0048528B">
        <w:rPr>
          <w:rFonts w:cs="Arial"/>
          <w:sz w:val="18"/>
          <w:szCs w:val="18"/>
          <w:lang w:val="fr-FR"/>
        </w:rPr>
        <w:t>variétés.</w:t>
      </w:r>
      <w:r w:rsidR="00E3136C" w:rsidRPr="0048528B">
        <w:rPr>
          <w:rFonts w:cs="Arial"/>
          <w:sz w:val="18"/>
          <w:szCs w:val="18"/>
          <w:lang w:val="fr-FR"/>
        </w:rPr>
        <w:t xml:space="preserve"> </w:t>
      </w:r>
      <w:r w:rsidR="00204800" w:rsidRPr="0048528B">
        <w:rPr>
          <w:rFonts w:cs="Arial"/>
          <w:sz w:val="18"/>
          <w:szCs w:val="18"/>
          <w:lang w:val="fr-FR"/>
        </w:rPr>
        <w:t xml:space="preserve"> Le nombre de plantes indiqué dans les principes directeurs d</w:t>
      </w:r>
      <w:r w:rsidR="00F3296C" w:rsidRPr="0048528B">
        <w:rPr>
          <w:rFonts w:cs="Arial"/>
          <w:sz w:val="18"/>
          <w:szCs w:val="18"/>
          <w:lang w:val="fr-FR"/>
        </w:rPr>
        <w:t>’</w:t>
      </w:r>
      <w:r w:rsidR="00204800" w:rsidRPr="0048528B">
        <w:rPr>
          <w:rFonts w:cs="Arial"/>
          <w:sz w:val="18"/>
          <w:szCs w:val="18"/>
          <w:lang w:val="fr-FR"/>
        </w:rPr>
        <w:t>examen s</w:t>
      </w:r>
      <w:r w:rsidR="00F3296C" w:rsidRPr="0048528B">
        <w:rPr>
          <w:rFonts w:cs="Arial"/>
          <w:sz w:val="18"/>
          <w:szCs w:val="18"/>
          <w:lang w:val="fr-FR"/>
        </w:rPr>
        <w:t>’</w:t>
      </w:r>
      <w:r w:rsidR="00204800" w:rsidRPr="0048528B">
        <w:rPr>
          <w:rFonts w:cs="Arial"/>
          <w:sz w:val="18"/>
          <w:szCs w:val="18"/>
          <w:lang w:val="fr-FR"/>
        </w:rPr>
        <w:t xml:space="preserve">applique à la fois à la variété candidate et à la variété voisine notoirement connue. </w:t>
      </w:r>
      <w:r w:rsidR="00E3136C" w:rsidRPr="0048528B">
        <w:rPr>
          <w:rFonts w:cs="Arial"/>
          <w:sz w:val="18"/>
          <w:szCs w:val="18"/>
          <w:lang w:val="fr-FR"/>
        </w:rPr>
        <w:t xml:space="preserve"> </w:t>
      </w:r>
      <w:r w:rsidR="00204800" w:rsidRPr="0048528B">
        <w:rPr>
          <w:rFonts w:cs="Arial"/>
          <w:sz w:val="18"/>
          <w:szCs w:val="18"/>
          <w:lang w:val="fr-FR"/>
        </w:rPr>
        <w:t>Dans d</w:t>
      </w:r>
      <w:r w:rsidR="00F3296C" w:rsidRPr="0048528B">
        <w:rPr>
          <w:rFonts w:cs="Arial"/>
          <w:sz w:val="18"/>
          <w:szCs w:val="18"/>
          <w:lang w:val="fr-FR"/>
        </w:rPr>
        <w:t>’</w:t>
      </w:r>
      <w:r w:rsidR="00204800" w:rsidRPr="0048528B">
        <w:rPr>
          <w:rFonts w:cs="Arial"/>
          <w:sz w:val="18"/>
          <w:szCs w:val="18"/>
          <w:lang w:val="fr-FR"/>
        </w:rPr>
        <w:t>autres cas, il serait peut</w:t>
      </w:r>
      <w:r w:rsidRPr="0048528B">
        <w:rPr>
          <w:rFonts w:cs="Arial"/>
          <w:sz w:val="18"/>
          <w:szCs w:val="18"/>
          <w:lang w:val="fr-FR"/>
        </w:rPr>
        <w:noBreakHyphen/>
      </w:r>
      <w:r w:rsidR="00204800" w:rsidRPr="0048528B">
        <w:rPr>
          <w:rFonts w:cs="Arial"/>
          <w:sz w:val="18"/>
          <w:szCs w:val="18"/>
          <w:lang w:val="fr-FR"/>
        </w:rPr>
        <w:t>être possible d</w:t>
      </w:r>
      <w:r w:rsidR="00F3296C" w:rsidRPr="0048528B">
        <w:rPr>
          <w:rFonts w:cs="Arial"/>
          <w:sz w:val="18"/>
          <w:szCs w:val="18"/>
          <w:lang w:val="fr-FR"/>
        </w:rPr>
        <w:t>’</w:t>
      </w:r>
      <w:r w:rsidR="00204800" w:rsidRPr="0048528B">
        <w:rPr>
          <w:rFonts w:cs="Arial"/>
          <w:sz w:val="18"/>
          <w:szCs w:val="18"/>
          <w:lang w:val="fr-FR"/>
        </w:rPr>
        <w:t>inclure dans l</w:t>
      </w:r>
      <w:r w:rsidR="00F3296C" w:rsidRPr="0048528B">
        <w:rPr>
          <w:rFonts w:cs="Arial"/>
          <w:sz w:val="18"/>
          <w:szCs w:val="18"/>
          <w:lang w:val="fr-FR"/>
        </w:rPr>
        <w:t>’</w:t>
      </w:r>
      <w:r w:rsidR="00204800" w:rsidRPr="0048528B">
        <w:rPr>
          <w:rFonts w:cs="Arial"/>
          <w:sz w:val="18"/>
          <w:szCs w:val="18"/>
          <w:lang w:val="fr-FR"/>
        </w:rPr>
        <w:t>essai un nombre inférieur de plantes de la variété notoirement connue, à condition que l</w:t>
      </w:r>
      <w:r w:rsidR="00F3296C" w:rsidRPr="0048528B">
        <w:rPr>
          <w:rFonts w:cs="Arial"/>
          <w:sz w:val="18"/>
          <w:szCs w:val="18"/>
          <w:lang w:val="fr-FR"/>
        </w:rPr>
        <w:t>’</w:t>
      </w:r>
      <w:r w:rsidR="00204800" w:rsidRPr="0048528B">
        <w:rPr>
          <w:rFonts w:cs="Arial"/>
          <w:sz w:val="18"/>
          <w:szCs w:val="18"/>
          <w:lang w:val="fr-FR"/>
        </w:rPr>
        <w:t>homogénéité ne doive pas être évaluée pour cette variété, c</w:t>
      </w:r>
      <w:r w:rsidR="00F3296C" w:rsidRPr="0048528B">
        <w:rPr>
          <w:rFonts w:cs="Arial"/>
          <w:sz w:val="18"/>
          <w:szCs w:val="18"/>
          <w:lang w:val="fr-FR"/>
        </w:rPr>
        <w:t>’</w:t>
      </w:r>
      <w:r w:rsidR="00204800" w:rsidRPr="0048528B">
        <w:rPr>
          <w:rFonts w:cs="Arial"/>
          <w:sz w:val="18"/>
          <w:szCs w:val="18"/>
          <w:lang w:val="fr-FR"/>
        </w:rPr>
        <w:t>est</w:t>
      </w:r>
      <w:r w:rsidRPr="0048528B">
        <w:rPr>
          <w:rFonts w:cs="Arial"/>
          <w:sz w:val="18"/>
          <w:szCs w:val="18"/>
          <w:lang w:val="fr-FR"/>
        </w:rPr>
        <w:noBreakHyphen/>
      </w:r>
      <w:r w:rsidR="00204800" w:rsidRPr="0048528B">
        <w:rPr>
          <w:rFonts w:cs="Arial"/>
          <w:sz w:val="18"/>
          <w:szCs w:val="18"/>
          <w:lang w:val="fr-FR"/>
        </w:rPr>
        <w:t>à</w:t>
      </w:r>
      <w:r w:rsidRPr="0048528B">
        <w:rPr>
          <w:rFonts w:cs="Arial"/>
          <w:sz w:val="18"/>
          <w:szCs w:val="18"/>
          <w:lang w:val="fr-FR"/>
        </w:rPr>
        <w:noBreakHyphen/>
      </w:r>
      <w:r w:rsidR="00204800" w:rsidRPr="0048528B">
        <w:rPr>
          <w:rFonts w:cs="Arial"/>
          <w:sz w:val="18"/>
          <w:szCs w:val="18"/>
          <w:lang w:val="fr-FR"/>
        </w:rPr>
        <w:t>dire les variétés conservées dans la collection de variétés.”</w:t>
      </w:r>
    </w:p>
    <w:p w:rsidR="00204800" w:rsidRPr="0048528B" w:rsidRDefault="00204800" w:rsidP="00196886">
      <w:pPr>
        <w:spacing w:line="360" w:lineRule="auto"/>
        <w:rPr>
          <w:rFonts w:cs="Arial"/>
          <w:lang w:val="fr-FR"/>
        </w:rPr>
      </w:pPr>
    </w:p>
    <w:p w:rsidR="00204800" w:rsidRPr="0048528B" w:rsidRDefault="00204800" w:rsidP="006A03CA">
      <w:pPr>
        <w:pStyle w:val="Heading5"/>
        <w:rPr>
          <w:lang w:val="fr-FR"/>
        </w:rPr>
      </w:pPr>
      <w:r w:rsidRPr="0048528B">
        <w:rPr>
          <w:lang w:val="fr-FR"/>
        </w:rPr>
        <w:t>Conseils relatifs à la méthode d</w:t>
      </w:r>
      <w:r w:rsidR="00F3296C" w:rsidRPr="0048528B">
        <w:rPr>
          <w:lang w:val="fr-FR"/>
        </w:rPr>
        <w:t>’</w:t>
      </w:r>
      <w:r w:rsidRPr="0048528B">
        <w:rPr>
          <w:lang w:val="fr-FR"/>
        </w:rPr>
        <w:t>observation</w:t>
      </w:r>
    </w:p>
    <w:p w:rsidR="00204800" w:rsidRPr="0048528B" w:rsidRDefault="00204800" w:rsidP="00196886">
      <w:pPr>
        <w:keepNext/>
        <w:rPr>
          <w:rFonts w:cs="Arial"/>
          <w:lang w:val="fr-FR"/>
        </w:rPr>
      </w:pPr>
    </w:p>
    <w:p w:rsidR="00204800" w:rsidRPr="0048528B" w:rsidRDefault="00196886" w:rsidP="00204800">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4800" w:rsidRPr="0048528B">
        <w:rPr>
          <w:lang w:val="fr-FR"/>
        </w:rPr>
        <w:t>Le</w:t>
      </w:r>
      <w:r w:rsidR="00F3296C" w:rsidRPr="0048528B">
        <w:rPr>
          <w:lang w:val="fr-FR"/>
        </w:rPr>
        <w:t> TC</w:t>
      </w:r>
      <w:r w:rsidR="00204800" w:rsidRPr="0048528B">
        <w:rPr>
          <w:lang w:val="fr-FR"/>
        </w:rPr>
        <w:t xml:space="preserve"> a examiné le </w:t>
      </w:r>
      <w:r w:rsidR="00F3296C" w:rsidRPr="0048528B">
        <w:rPr>
          <w:lang w:val="fr-FR"/>
        </w:rPr>
        <w:t>document TC</w:t>
      </w:r>
      <w:r w:rsidR="00204800" w:rsidRPr="0048528B">
        <w:rPr>
          <w:lang w:val="fr-FR"/>
        </w:rPr>
        <w:t>/49/18.</w:t>
      </w:r>
    </w:p>
    <w:p w:rsidR="00204800" w:rsidRPr="0048528B" w:rsidRDefault="00204800" w:rsidP="00196886">
      <w:pPr>
        <w:rPr>
          <w:lang w:val="fr-FR"/>
        </w:rPr>
      </w:pPr>
    </w:p>
    <w:p w:rsidR="00204800" w:rsidRPr="0048528B" w:rsidRDefault="00196886" w:rsidP="00204800">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4800" w:rsidRPr="0048528B">
        <w:rPr>
          <w:lang w:val="fr-FR"/>
        </w:rPr>
        <w:t>Le</w:t>
      </w:r>
      <w:r w:rsidR="00F3296C" w:rsidRPr="0048528B">
        <w:rPr>
          <w:lang w:val="fr-FR"/>
        </w:rPr>
        <w:t> TC</w:t>
      </w:r>
      <w:r w:rsidR="00204800" w:rsidRPr="0048528B">
        <w:rPr>
          <w:lang w:val="fr-FR"/>
        </w:rPr>
        <w:t xml:space="preserve"> est convenu de la révision proposée du document TGP/7, GN 25 (chapitre 7 du modèle : colonne 2, en</w:t>
      </w:r>
      <w:r w:rsidR="003F00B6" w:rsidRPr="0048528B">
        <w:rPr>
          <w:lang w:val="fr-FR"/>
        </w:rPr>
        <w:noBreakHyphen/>
      </w:r>
      <w:r w:rsidR="00204800" w:rsidRPr="0048528B">
        <w:rPr>
          <w:lang w:val="fr-FR"/>
        </w:rPr>
        <w:t>tête, rang 1 ou 2) – Recommandations relatives à la conduite de l</w:t>
      </w:r>
      <w:r w:rsidR="00F3296C" w:rsidRPr="0048528B">
        <w:rPr>
          <w:lang w:val="fr-FR"/>
        </w:rPr>
        <w:t>’</w:t>
      </w:r>
      <w:r w:rsidR="00204800" w:rsidRPr="0048528B">
        <w:rPr>
          <w:lang w:val="fr-FR"/>
        </w:rPr>
        <w:t>examen”, sur la base du texte suivant, en vue de son incorporation dans une future version révisée du document TGP/7 (voir le paragraphe</w:t>
      </w:r>
      <w:r w:rsidR="00E3136C" w:rsidRPr="0048528B">
        <w:rPr>
          <w:lang w:val="fr-FR"/>
        </w:rPr>
        <w:t> </w:t>
      </w:r>
      <w:r w:rsidR="00204800" w:rsidRPr="0048528B">
        <w:rPr>
          <w:lang w:val="fr-FR"/>
        </w:rPr>
        <w:t xml:space="preserve">42 du </w:t>
      </w:r>
      <w:r w:rsidR="00F3296C" w:rsidRPr="0048528B">
        <w:rPr>
          <w:lang w:val="fr-FR"/>
        </w:rPr>
        <w:t>document TC</w:t>
      </w:r>
      <w:r w:rsidR="00204800" w:rsidRPr="0048528B">
        <w:rPr>
          <w:lang w:val="fr-FR"/>
        </w:rPr>
        <w:t>/49/41 “Compte rendu des conclusions</w:t>
      </w:r>
      <w:r w:rsidR="00E3136C" w:rsidRPr="0048528B">
        <w:rPr>
          <w:lang w:val="fr-FR"/>
        </w:rPr>
        <w:t>”</w:t>
      </w:r>
      <w:r w:rsidR="00204800" w:rsidRPr="0048528B">
        <w:rPr>
          <w:lang w:val="fr-FR"/>
        </w:rPr>
        <w:t>)</w:t>
      </w:r>
      <w:r w:rsidR="00E3136C" w:rsidRPr="0048528B">
        <w:rPr>
          <w:lang w:val="fr-FR"/>
        </w:rPr>
        <w:t> </w:t>
      </w:r>
      <w:r w:rsidR="00204800" w:rsidRPr="0048528B">
        <w:rPr>
          <w:lang w:val="fr-FR"/>
        </w:rPr>
        <w:t>:</w:t>
      </w:r>
    </w:p>
    <w:p w:rsidR="00204800" w:rsidRPr="0048528B" w:rsidRDefault="00204800" w:rsidP="00196886">
      <w:pPr>
        <w:rPr>
          <w:lang w:val="fr-FR"/>
        </w:rPr>
      </w:pPr>
    </w:p>
    <w:p w:rsidR="00204800" w:rsidRPr="0048528B" w:rsidRDefault="000E5325" w:rsidP="00204800">
      <w:pPr>
        <w:ind w:left="567" w:right="567"/>
        <w:rPr>
          <w:sz w:val="18"/>
          <w:lang w:val="fr-FR"/>
        </w:rPr>
      </w:pPr>
      <w:r w:rsidRPr="0048528B">
        <w:rPr>
          <w:sz w:val="18"/>
          <w:szCs w:val="22"/>
          <w:lang w:val="fr-FR"/>
        </w:rPr>
        <w:t>“</w:t>
      </w:r>
      <w:r w:rsidR="00204800" w:rsidRPr="0048528B">
        <w:rPr>
          <w:sz w:val="18"/>
          <w:lang w:val="fr-FR"/>
        </w:rPr>
        <w:t>Il peut s</w:t>
      </w:r>
      <w:r w:rsidR="00F3296C" w:rsidRPr="0048528B">
        <w:rPr>
          <w:sz w:val="18"/>
          <w:lang w:val="fr-FR"/>
        </w:rPr>
        <w:t>’</w:t>
      </w:r>
      <w:r w:rsidR="00204800" w:rsidRPr="0048528B">
        <w:rPr>
          <w:sz w:val="18"/>
          <w:lang w:val="fr-FR"/>
        </w:rPr>
        <w:t>agir de recommandations relatives à la méthode d</w:t>
      </w:r>
      <w:r w:rsidR="00F3296C" w:rsidRPr="0048528B">
        <w:rPr>
          <w:sz w:val="18"/>
          <w:lang w:val="fr-FR"/>
        </w:rPr>
        <w:t>’</w:t>
      </w:r>
      <w:r w:rsidR="00204800" w:rsidRPr="0048528B">
        <w:rPr>
          <w:sz w:val="18"/>
          <w:lang w:val="fr-FR"/>
        </w:rPr>
        <w:t xml:space="preserve">observation (p. ex. : évaluation visuelle ou mesure, observation de plantes isolées ou de groupes de plantes) </w:t>
      </w:r>
      <w:r w:rsidRPr="0048528B">
        <w:rPr>
          <w:sz w:val="18"/>
          <w:lang w:val="fr-FR"/>
        </w:rPr>
        <w:t>ou au type de parcelle (p. ex.</w:t>
      </w:r>
      <w:r w:rsidR="00E3136C" w:rsidRPr="0048528B">
        <w:rPr>
          <w:sz w:val="18"/>
          <w:lang w:val="fr-FR"/>
        </w:rPr>
        <w:t xml:space="preserve"> </w:t>
      </w:r>
      <w:r w:rsidRPr="0048528B">
        <w:rPr>
          <w:sz w:val="18"/>
          <w:lang w:val="fr-FR"/>
        </w:rPr>
        <w:t>l</w:t>
      </w:r>
      <w:r w:rsidR="00204800" w:rsidRPr="0048528B">
        <w:rPr>
          <w:sz w:val="18"/>
          <w:lang w:val="fr-FR"/>
        </w:rPr>
        <w:t>a</w:t>
      </w:r>
      <w:r w:rsidRPr="0048528B">
        <w:rPr>
          <w:sz w:val="18"/>
          <w:lang w:val="fr-FR"/>
        </w:rPr>
        <w:t> </w:t>
      </w:r>
      <w:r w:rsidR="00204800" w:rsidRPr="0048528B">
        <w:rPr>
          <w:sz w:val="18"/>
          <w:lang w:val="fr-FR"/>
        </w:rPr>
        <w:t>section ASW 4 b) contient un texte standard supplémentaire qui peut éventuellement être utilisé.</w:t>
      </w:r>
    </w:p>
    <w:p w:rsidR="00204800" w:rsidRPr="0048528B" w:rsidRDefault="00204800" w:rsidP="00196886">
      <w:pPr>
        <w:ind w:left="567" w:right="567"/>
        <w:rPr>
          <w:rFonts w:cs="Arial"/>
          <w:sz w:val="18"/>
          <w:lang w:val="fr-FR"/>
        </w:rPr>
      </w:pPr>
    </w:p>
    <w:p w:rsidR="00204800" w:rsidRPr="0048528B" w:rsidRDefault="00204800" w:rsidP="006035B5">
      <w:pPr>
        <w:ind w:left="567"/>
        <w:jc w:val="left"/>
        <w:rPr>
          <w:rFonts w:cs="Arial"/>
          <w:sz w:val="18"/>
          <w:lang w:val="fr-FR"/>
        </w:rPr>
      </w:pPr>
      <w:r w:rsidRPr="0048528B">
        <w:rPr>
          <w:sz w:val="18"/>
          <w:lang w:val="fr-FR"/>
        </w:rPr>
        <w:t>“Méthode d</w:t>
      </w:r>
      <w:r w:rsidR="00F3296C" w:rsidRPr="0048528B">
        <w:rPr>
          <w:sz w:val="18"/>
          <w:lang w:val="fr-FR"/>
        </w:rPr>
        <w:t>’</w:t>
      </w:r>
      <w:r w:rsidRPr="0048528B">
        <w:rPr>
          <w:sz w:val="18"/>
          <w:lang w:val="fr-FR"/>
        </w:rPr>
        <w:t>observation (observation visuelle ou mesure)</w:t>
      </w:r>
    </w:p>
    <w:p w:rsidR="00204800" w:rsidRPr="0048528B" w:rsidRDefault="00204800" w:rsidP="00196886">
      <w:pPr>
        <w:ind w:left="567" w:right="567"/>
        <w:rPr>
          <w:rFonts w:cs="Arial"/>
          <w:sz w:val="18"/>
          <w:lang w:val="fr-FR"/>
        </w:rPr>
      </w:pPr>
    </w:p>
    <w:p w:rsidR="00204800" w:rsidRPr="0048528B" w:rsidRDefault="000E5325" w:rsidP="00204800">
      <w:pPr>
        <w:ind w:left="567" w:right="567"/>
        <w:rPr>
          <w:rFonts w:cs="Arial"/>
          <w:sz w:val="18"/>
          <w:lang w:val="fr-FR"/>
        </w:rPr>
      </w:pPr>
      <w:r w:rsidRPr="0048528B">
        <w:rPr>
          <w:rFonts w:cs="Arial"/>
          <w:sz w:val="18"/>
          <w:lang w:val="fr-FR"/>
        </w:rPr>
        <w:t>“1.</w:t>
      </w:r>
      <w:r w:rsidRPr="0048528B">
        <w:rPr>
          <w:rFonts w:cs="Arial"/>
          <w:sz w:val="18"/>
          <w:lang w:val="fr-FR"/>
        </w:rPr>
        <w:tab/>
      </w:r>
      <w:r w:rsidR="00204800" w:rsidRPr="0048528B">
        <w:rPr>
          <w:rFonts w:cs="Arial"/>
          <w:sz w:val="18"/>
          <w:lang w:val="fr-FR"/>
        </w:rPr>
        <w:t>Le document TGP/9 “Examen de la distinction” indique ce qui suit concernant la méthode d</w:t>
      </w:r>
      <w:r w:rsidR="00F3296C" w:rsidRPr="0048528B">
        <w:rPr>
          <w:rFonts w:cs="Arial"/>
          <w:sz w:val="18"/>
          <w:lang w:val="fr-FR"/>
        </w:rPr>
        <w:t>’</w:t>
      </w:r>
      <w:r w:rsidR="00204800" w:rsidRPr="0048528B">
        <w:rPr>
          <w:rFonts w:cs="Arial"/>
          <w:sz w:val="18"/>
          <w:lang w:val="fr-FR"/>
        </w:rPr>
        <w:t>observation :</w:t>
      </w:r>
    </w:p>
    <w:p w:rsidR="00204800" w:rsidRPr="0048528B" w:rsidRDefault="00204800" w:rsidP="00196886">
      <w:pPr>
        <w:ind w:left="567" w:right="567"/>
        <w:rPr>
          <w:rFonts w:cs="Arial"/>
          <w:sz w:val="18"/>
          <w:lang w:val="fr-FR"/>
        </w:rPr>
      </w:pPr>
    </w:p>
    <w:p w:rsidR="00204800" w:rsidRPr="0048528B" w:rsidRDefault="00F3296C" w:rsidP="00204800">
      <w:pPr>
        <w:ind w:left="1134" w:right="567"/>
        <w:rPr>
          <w:sz w:val="16"/>
          <w:szCs w:val="18"/>
          <w:lang w:val="fr-FR"/>
        </w:rPr>
      </w:pPr>
      <w:r w:rsidRPr="0048528B">
        <w:rPr>
          <w:rFonts w:cs="Arial"/>
          <w:sz w:val="18"/>
          <w:lang w:val="fr-FR"/>
        </w:rPr>
        <w:t>‘</w:t>
      </w:r>
      <w:r w:rsidR="00204800" w:rsidRPr="0048528B">
        <w:rPr>
          <w:sz w:val="16"/>
          <w:szCs w:val="18"/>
          <w:lang w:val="fr-FR"/>
        </w:rPr>
        <w:t xml:space="preserve">4.2 </w:t>
      </w:r>
      <w:r w:rsidR="000E5325" w:rsidRPr="0048528B">
        <w:rPr>
          <w:sz w:val="16"/>
          <w:szCs w:val="18"/>
          <w:lang w:val="fr-FR"/>
        </w:rPr>
        <w:tab/>
      </w:r>
      <w:r w:rsidR="00204800" w:rsidRPr="0048528B">
        <w:rPr>
          <w:sz w:val="16"/>
          <w:szCs w:val="18"/>
          <w:lang w:val="fr-FR"/>
        </w:rPr>
        <w:t>Méthode d</w:t>
      </w:r>
      <w:r w:rsidRPr="0048528B">
        <w:rPr>
          <w:sz w:val="16"/>
          <w:szCs w:val="18"/>
          <w:lang w:val="fr-FR"/>
        </w:rPr>
        <w:t>’</w:t>
      </w:r>
      <w:r w:rsidR="00204800" w:rsidRPr="0048528B">
        <w:rPr>
          <w:sz w:val="16"/>
          <w:szCs w:val="18"/>
          <w:lang w:val="fr-FR"/>
        </w:rPr>
        <w:t>observation (observation visuelle ou mesure)</w:t>
      </w:r>
    </w:p>
    <w:p w:rsidR="00204800" w:rsidRPr="0048528B" w:rsidRDefault="00204800" w:rsidP="00196886">
      <w:pPr>
        <w:ind w:left="1134" w:right="567"/>
        <w:rPr>
          <w:sz w:val="16"/>
          <w:szCs w:val="18"/>
          <w:lang w:val="fr-FR"/>
        </w:rPr>
      </w:pPr>
    </w:p>
    <w:p w:rsidR="00204800" w:rsidRPr="0048528B" w:rsidRDefault="00F3296C" w:rsidP="00204800">
      <w:pPr>
        <w:ind w:left="1134" w:right="567"/>
        <w:rPr>
          <w:rFonts w:cs="Arial"/>
          <w:sz w:val="16"/>
          <w:szCs w:val="18"/>
          <w:lang w:val="fr-FR"/>
        </w:rPr>
      </w:pPr>
      <w:r w:rsidRPr="0048528B">
        <w:rPr>
          <w:sz w:val="16"/>
          <w:szCs w:val="22"/>
          <w:lang w:val="fr-FR"/>
        </w:rPr>
        <w:t>‘</w:t>
      </w:r>
      <w:r w:rsidR="00204800" w:rsidRPr="0048528B">
        <w:rPr>
          <w:sz w:val="16"/>
          <w:szCs w:val="18"/>
          <w:lang w:val="fr-FR"/>
        </w:rPr>
        <w:t>L</w:t>
      </w:r>
      <w:r w:rsidRPr="0048528B">
        <w:rPr>
          <w:sz w:val="16"/>
          <w:szCs w:val="18"/>
          <w:lang w:val="fr-FR"/>
        </w:rPr>
        <w:t>’</w:t>
      </w:r>
      <w:r w:rsidR="00204800" w:rsidRPr="0048528B">
        <w:rPr>
          <w:sz w:val="16"/>
          <w:szCs w:val="18"/>
          <w:lang w:val="fr-FR"/>
        </w:rPr>
        <w:t>expression des caractères peut être observée visuellement (V) ou mesurée (M).</w:t>
      </w:r>
    </w:p>
    <w:p w:rsidR="00204800" w:rsidRPr="0048528B" w:rsidRDefault="00204800" w:rsidP="00196886">
      <w:pPr>
        <w:ind w:left="1134" w:right="567"/>
        <w:rPr>
          <w:rFonts w:cs="Arial"/>
          <w:sz w:val="16"/>
          <w:szCs w:val="18"/>
          <w:lang w:val="fr-FR"/>
        </w:rPr>
      </w:pPr>
    </w:p>
    <w:p w:rsidR="00204800" w:rsidRPr="0048528B" w:rsidRDefault="00F3296C" w:rsidP="00A26EF1">
      <w:pPr>
        <w:keepNext/>
        <w:ind w:left="1134" w:right="567"/>
        <w:rPr>
          <w:sz w:val="16"/>
          <w:szCs w:val="18"/>
          <w:lang w:val="fr-FR"/>
        </w:rPr>
      </w:pPr>
      <w:r w:rsidRPr="0048528B">
        <w:rPr>
          <w:sz w:val="16"/>
          <w:szCs w:val="18"/>
          <w:lang w:val="fr-FR"/>
        </w:rPr>
        <w:lastRenderedPageBreak/>
        <w:t>‘</w:t>
      </w:r>
      <w:r w:rsidR="00204800" w:rsidRPr="0048528B">
        <w:rPr>
          <w:sz w:val="16"/>
          <w:szCs w:val="18"/>
          <w:lang w:val="fr-FR"/>
        </w:rPr>
        <w:t>4.2.1</w:t>
      </w:r>
      <w:r w:rsidR="000E5325" w:rsidRPr="0048528B">
        <w:rPr>
          <w:sz w:val="16"/>
          <w:szCs w:val="18"/>
          <w:lang w:val="fr-FR"/>
        </w:rPr>
        <w:tab/>
      </w:r>
      <w:r w:rsidR="00204800" w:rsidRPr="0048528B">
        <w:rPr>
          <w:sz w:val="16"/>
          <w:szCs w:val="18"/>
          <w:lang w:val="fr-FR"/>
        </w:rPr>
        <w:t xml:space="preserve"> </w:t>
      </w:r>
      <w:r w:rsidR="00204800" w:rsidRPr="0048528B">
        <w:rPr>
          <w:sz w:val="16"/>
          <w:szCs w:val="18"/>
          <w:u w:val="single"/>
          <w:lang w:val="fr-FR"/>
        </w:rPr>
        <w:t>Observation visuelle (V)</w:t>
      </w:r>
    </w:p>
    <w:p w:rsidR="00204800" w:rsidRPr="0048528B" w:rsidRDefault="00204800" w:rsidP="00A26EF1">
      <w:pPr>
        <w:keepNext/>
        <w:ind w:left="1134" w:right="567"/>
        <w:rPr>
          <w:sz w:val="16"/>
          <w:szCs w:val="18"/>
          <w:lang w:val="fr-FR"/>
        </w:rPr>
      </w:pPr>
    </w:p>
    <w:p w:rsidR="00204800" w:rsidRPr="0048528B" w:rsidRDefault="00F3296C" w:rsidP="00204800">
      <w:pPr>
        <w:tabs>
          <w:tab w:val="left" w:pos="992"/>
        </w:tabs>
        <w:ind w:left="1134" w:right="567"/>
        <w:rPr>
          <w:rFonts w:cs="Arial"/>
          <w:sz w:val="16"/>
          <w:szCs w:val="18"/>
          <w:lang w:val="fr-FR"/>
        </w:rPr>
      </w:pPr>
      <w:r w:rsidRPr="0048528B">
        <w:rPr>
          <w:sz w:val="16"/>
          <w:szCs w:val="22"/>
          <w:lang w:val="fr-FR"/>
        </w:rPr>
        <w:t>‘</w:t>
      </w:r>
      <w:r w:rsidR="00204800" w:rsidRPr="0048528B">
        <w:rPr>
          <w:sz w:val="16"/>
          <w:szCs w:val="18"/>
          <w:lang w:val="fr-FR"/>
        </w:rPr>
        <w:t>4.2.1.1 L</w:t>
      </w:r>
      <w:r w:rsidRPr="0048528B">
        <w:rPr>
          <w:sz w:val="16"/>
          <w:szCs w:val="18"/>
          <w:lang w:val="fr-FR"/>
        </w:rPr>
        <w:t>’</w:t>
      </w:r>
      <w:r w:rsidR="00204800" w:rsidRPr="0048528B">
        <w:rPr>
          <w:sz w:val="16"/>
          <w:szCs w:val="18"/>
          <w:lang w:val="fr-FR"/>
        </w:rPr>
        <w:t xml:space="preserve">observation </w:t>
      </w:r>
      <w:r w:rsidRPr="0048528B">
        <w:rPr>
          <w:sz w:val="16"/>
          <w:szCs w:val="18"/>
          <w:lang w:val="fr-FR"/>
        </w:rPr>
        <w:t>‘</w:t>
      </w:r>
      <w:r w:rsidR="00204800" w:rsidRPr="0048528B">
        <w:rPr>
          <w:sz w:val="16"/>
          <w:szCs w:val="18"/>
          <w:lang w:val="fr-FR"/>
        </w:rPr>
        <w:t>visuelle</w:t>
      </w:r>
      <w:r w:rsidRPr="0048528B">
        <w:rPr>
          <w:sz w:val="16"/>
          <w:szCs w:val="18"/>
          <w:lang w:val="fr-FR"/>
        </w:rPr>
        <w:t>’</w:t>
      </w:r>
      <w:r w:rsidR="00204800" w:rsidRPr="0048528B">
        <w:rPr>
          <w:sz w:val="16"/>
          <w:szCs w:val="18"/>
          <w:lang w:val="fr-FR"/>
        </w:rPr>
        <w:t xml:space="preserve"> (V) est une observation fondée sur le jugement de l</w:t>
      </w:r>
      <w:r w:rsidRPr="0048528B">
        <w:rPr>
          <w:sz w:val="16"/>
          <w:szCs w:val="18"/>
          <w:lang w:val="fr-FR"/>
        </w:rPr>
        <w:t>’</w:t>
      </w:r>
      <w:r w:rsidR="00204800" w:rsidRPr="0048528B">
        <w:rPr>
          <w:sz w:val="16"/>
          <w:szCs w:val="18"/>
          <w:lang w:val="fr-FR"/>
        </w:rPr>
        <w:t xml:space="preserve">expert.  Aux fins du présent document, on entend par observation </w:t>
      </w:r>
      <w:r w:rsidRPr="0048528B">
        <w:rPr>
          <w:sz w:val="16"/>
          <w:szCs w:val="18"/>
          <w:lang w:val="fr-FR"/>
        </w:rPr>
        <w:t>‘</w:t>
      </w:r>
      <w:r w:rsidR="00204800" w:rsidRPr="0048528B">
        <w:rPr>
          <w:sz w:val="16"/>
          <w:szCs w:val="18"/>
          <w:lang w:val="fr-FR"/>
        </w:rPr>
        <w:t>visuelle</w:t>
      </w:r>
      <w:r w:rsidRPr="0048528B">
        <w:rPr>
          <w:sz w:val="16"/>
          <w:szCs w:val="18"/>
          <w:lang w:val="fr-FR"/>
        </w:rPr>
        <w:t>’</w:t>
      </w:r>
      <w:r w:rsidR="00204800" w:rsidRPr="0048528B">
        <w:rPr>
          <w:sz w:val="16"/>
          <w:szCs w:val="18"/>
          <w:lang w:val="fr-FR"/>
        </w:rPr>
        <w:t xml:space="preserve"> les observations sensorielles des experts et cela inclut donc aussi l</w:t>
      </w:r>
      <w:r w:rsidRPr="0048528B">
        <w:rPr>
          <w:sz w:val="16"/>
          <w:szCs w:val="18"/>
          <w:lang w:val="fr-FR"/>
        </w:rPr>
        <w:t>’</w:t>
      </w:r>
      <w:r w:rsidR="00204800" w:rsidRPr="0048528B">
        <w:rPr>
          <w:sz w:val="16"/>
          <w:szCs w:val="18"/>
          <w:lang w:val="fr-FR"/>
        </w:rPr>
        <w:t>odorat, le goût et le toucher.  Entrent également dans cette catégorie les observations pour lesquelles l</w:t>
      </w:r>
      <w:r w:rsidRPr="0048528B">
        <w:rPr>
          <w:sz w:val="16"/>
          <w:szCs w:val="18"/>
          <w:lang w:val="fr-FR"/>
        </w:rPr>
        <w:t>’</w:t>
      </w:r>
      <w:r w:rsidR="00204800" w:rsidRPr="0048528B">
        <w:rPr>
          <w:sz w:val="16"/>
          <w:szCs w:val="18"/>
          <w:lang w:val="fr-FR"/>
        </w:rPr>
        <w:t xml:space="preserve">expert utilise des références (diagrammes, variétés indiquées </w:t>
      </w:r>
      <w:r w:rsidR="000312D5" w:rsidRPr="0048528B">
        <w:rPr>
          <w:sz w:val="16"/>
          <w:szCs w:val="18"/>
          <w:lang w:val="fr-FR"/>
        </w:rPr>
        <w:t>à titre d’exemple</w:t>
      </w:r>
      <w:r w:rsidR="00204800" w:rsidRPr="0048528B">
        <w:rPr>
          <w:sz w:val="16"/>
          <w:szCs w:val="18"/>
          <w:lang w:val="fr-FR"/>
        </w:rPr>
        <w:t>, comparaison deux à deux) ou des chartes (chartes de couleur par exemple).</w:t>
      </w:r>
    </w:p>
    <w:p w:rsidR="00204800" w:rsidRPr="0048528B" w:rsidRDefault="00204800" w:rsidP="00196886">
      <w:pPr>
        <w:tabs>
          <w:tab w:val="left" w:pos="992"/>
        </w:tabs>
        <w:ind w:left="1134" w:right="567"/>
        <w:rPr>
          <w:rFonts w:cs="Arial"/>
          <w:sz w:val="16"/>
          <w:szCs w:val="18"/>
          <w:lang w:val="fr-FR"/>
        </w:rPr>
      </w:pPr>
    </w:p>
    <w:p w:rsidR="00204800" w:rsidRPr="0048528B" w:rsidRDefault="00196886" w:rsidP="00196886">
      <w:pPr>
        <w:tabs>
          <w:tab w:val="left" w:pos="992"/>
        </w:tabs>
        <w:ind w:left="1134" w:right="567"/>
        <w:rPr>
          <w:rFonts w:cs="Arial"/>
          <w:sz w:val="16"/>
          <w:szCs w:val="18"/>
          <w:lang w:val="fr-FR"/>
        </w:rPr>
      </w:pPr>
      <w:r w:rsidRPr="0048528B">
        <w:rPr>
          <w:rFonts w:cs="Arial"/>
          <w:sz w:val="16"/>
          <w:szCs w:val="18"/>
          <w:lang w:val="fr-FR"/>
        </w:rPr>
        <w:t>[…]</w:t>
      </w:r>
    </w:p>
    <w:p w:rsidR="00204800" w:rsidRPr="0048528B" w:rsidRDefault="00204800" w:rsidP="00196886">
      <w:pPr>
        <w:tabs>
          <w:tab w:val="left" w:pos="992"/>
        </w:tabs>
        <w:ind w:left="1134" w:right="567"/>
        <w:rPr>
          <w:rFonts w:cs="Arial"/>
          <w:sz w:val="16"/>
          <w:szCs w:val="18"/>
          <w:lang w:val="fr-FR"/>
        </w:rPr>
      </w:pPr>
    </w:p>
    <w:p w:rsidR="00204800" w:rsidRPr="0048528B" w:rsidRDefault="00F3296C" w:rsidP="00204800">
      <w:pPr>
        <w:ind w:left="1134" w:right="567"/>
        <w:rPr>
          <w:sz w:val="16"/>
          <w:szCs w:val="18"/>
          <w:lang w:val="fr-FR"/>
        </w:rPr>
      </w:pPr>
      <w:r w:rsidRPr="0048528B">
        <w:rPr>
          <w:sz w:val="16"/>
          <w:szCs w:val="18"/>
          <w:lang w:val="fr-FR"/>
        </w:rPr>
        <w:t>‘</w:t>
      </w:r>
      <w:r w:rsidR="00204800" w:rsidRPr="0048528B">
        <w:rPr>
          <w:sz w:val="16"/>
          <w:szCs w:val="18"/>
          <w:lang w:val="fr-FR"/>
        </w:rPr>
        <w:t xml:space="preserve">4.2.2 </w:t>
      </w:r>
      <w:r w:rsidR="00204800" w:rsidRPr="0048528B">
        <w:rPr>
          <w:sz w:val="16"/>
          <w:szCs w:val="18"/>
          <w:u w:val="single"/>
          <w:lang w:val="fr-FR"/>
        </w:rPr>
        <w:t>Mesure (M)</w:t>
      </w:r>
    </w:p>
    <w:p w:rsidR="00204800" w:rsidRPr="0048528B" w:rsidRDefault="00204800" w:rsidP="00196886">
      <w:pPr>
        <w:ind w:left="1134" w:right="567"/>
        <w:rPr>
          <w:sz w:val="16"/>
          <w:szCs w:val="18"/>
          <w:lang w:val="fr-FR"/>
        </w:rPr>
      </w:pPr>
    </w:p>
    <w:p w:rsidR="00204800" w:rsidRPr="0048528B" w:rsidRDefault="00F3296C" w:rsidP="00204800">
      <w:pPr>
        <w:tabs>
          <w:tab w:val="left" w:pos="992"/>
        </w:tabs>
        <w:ind w:left="1134" w:right="567"/>
        <w:rPr>
          <w:rFonts w:cs="Arial"/>
          <w:sz w:val="16"/>
          <w:szCs w:val="18"/>
          <w:lang w:val="fr-FR"/>
        </w:rPr>
      </w:pPr>
      <w:r w:rsidRPr="0048528B">
        <w:rPr>
          <w:sz w:val="16"/>
          <w:szCs w:val="22"/>
          <w:lang w:val="fr-FR"/>
        </w:rPr>
        <w:t>‘</w:t>
      </w:r>
      <w:r w:rsidR="00204800" w:rsidRPr="0048528B">
        <w:rPr>
          <w:sz w:val="16"/>
          <w:szCs w:val="18"/>
          <w:lang w:val="fr-FR"/>
        </w:rPr>
        <w:t>La mesure (M) est une observation objective en fonction d</w:t>
      </w:r>
      <w:r w:rsidRPr="0048528B">
        <w:rPr>
          <w:sz w:val="16"/>
          <w:szCs w:val="18"/>
          <w:lang w:val="fr-FR"/>
        </w:rPr>
        <w:t>’</w:t>
      </w:r>
      <w:r w:rsidR="00204800" w:rsidRPr="0048528B">
        <w:rPr>
          <w:sz w:val="16"/>
          <w:szCs w:val="18"/>
          <w:lang w:val="fr-FR"/>
        </w:rPr>
        <w:t>une échelle graphique linéaire, effectuée à l</w:t>
      </w:r>
      <w:r w:rsidRPr="0048528B">
        <w:rPr>
          <w:sz w:val="16"/>
          <w:szCs w:val="18"/>
          <w:lang w:val="fr-FR"/>
        </w:rPr>
        <w:t>’</w:t>
      </w:r>
      <w:r w:rsidR="00204800" w:rsidRPr="0048528B">
        <w:rPr>
          <w:sz w:val="16"/>
          <w:szCs w:val="18"/>
          <w:lang w:val="fr-FR"/>
        </w:rPr>
        <w:t>aide d</w:t>
      </w:r>
      <w:r w:rsidRPr="0048528B">
        <w:rPr>
          <w:sz w:val="16"/>
          <w:szCs w:val="18"/>
          <w:lang w:val="fr-FR"/>
        </w:rPr>
        <w:t>’</w:t>
      </w:r>
      <w:r w:rsidR="00204800" w:rsidRPr="0048528B">
        <w:rPr>
          <w:sz w:val="16"/>
          <w:szCs w:val="18"/>
          <w:lang w:val="fr-FR"/>
        </w:rPr>
        <w:t>une règle, d</w:t>
      </w:r>
      <w:r w:rsidRPr="0048528B">
        <w:rPr>
          <w:sz w:val="16"/>
          <w:szCs w:val="18"/>
          <w:lang w:val="fr-FR"/>
        </w:rPr>
        <w:t>’</w:t>
      </w:r>
      <w:r w:rsidR="00204800" w:rsidRPr="0048528B">
        <w:rPr>
          <w:sz w:val="16"/>
          <w:szCs w:val="18"/>
          <w:lang w:val="fr-FR"/>
        </w:rPr>
        <w:t>une balance, d</w:t>
      </w:r>
      <w:r w:rsidRPr="0048528B">
        <w:rPr>
          <w:sz w:val="16"/>
          <w:szCs w:val="18"/>
          <w:lang w:val="fr-FR"/>
        </w:rPr>
        <w:t>’</w:t>
      </w:r>
      <w:r w:rsidR="00204800" w:rsidRPr="0048528B">
        <w:rPr>
          <w:sz w:val="16"/>
          <w:szCs w:val="18"/>
          <w:lang w:val="fr-FR"/>
        </w:rPr>
        <w:t>un colorimètre, de dates, d</w:t>
      </w:r>
      <w:r w:rsidRPr="0048528B">
        <w:rPr>
          <w:sz w:val="16"/>
          <w:szCs w:val="18"/>
          <w:lang w:val="fr-FR"/>
        </w:rPr>
        <w:t>’</w:t>
      </w:r>
      <w:r w:rsidR="00204800" w:rsidRPr="0048528B">
        <w:rPr>
          <w:sz w:val="16"/>
          <w:szCs w:val="18"/>
          <w:lang w:val="fr-FR"/>
        </w:rPr>
        <w:t>un dénombrement, etc.</w:t>
      </w:r>
      <w:r w:rsidRPr="0048528B">
        <w:rPr>
          <w:sz w:val="16"/>
          <w:szCs w:val="18"/>
          <w:lang w:val="fr-FR"/>
        </w:rPr>
        <w:t>’</w:t>
      </w:r>
    </w:p>
    <w:p w:rsidR="00204800" w:rsidRPr="0048528B" w:rsidRDefault="00204800" w:rsidP="00196886">
      <w:pPr>
        <w:keepNext/>
        <w:ind w:left="567" w:right="567"/>
        <w:rPr>
          <w:rFonts w:cs="Arial"/>
          <w:sz w:val="16"/>
          <w:szCs w:val="18"/>
          <w:lang w:val="fr-FR"/>
        </w:rPr>
      </w:pPr>
    </w:p>
    <w:p w:rsidR="00CE0C30" w:rsidRPr="0048528B" w:rsidRDefault="00204800" w:rsidP="00204800">
      <w:pPr>
        <w:keepNext/>
        <w:ind w:left="567" w:right="567"/>
        <w:rPr>
          <w:rFonts w:cs="Arial"/>
          <w:sz w:val="18"/>
          <w:lang w:val="fr-FR"/>
        </w:rPr>
      </w:pPr>
      <w:r w:rsidRPr="0048528B">
        <w:rPr>
          <w:rFonts w:cs="Arial"/>
          <w:sz w:val="18"/>
          <w:lang w:val="fr-FR"/>
        </w:rPr>
        <w:t>“2.</w:t>
      </w:r>
      <w:r w:rsidR="003F00B6" w:rsidRPr="0048528B">
        <w:rPr>
          <w:rFonts w:cs="Arial"/>
          <w:sz w:val="18"/>
          <w:lang w:val="fr-FR"/>
        </w:rPr>
        <w:tab/>
      </w:r>
      <w:r w:rsidRPr="0048528B">
        <w:rPr>
          <w:rFonts w:cs="Arial"/>
          <w:sz w:val="18"/>
          <w:lang w:val="fr-FR"/>
        </w:rPr>
        <w:t>Les exemples ci</w:t>
      </w:r>
      <w:r w:rsidR="003F00B6" w:rsidRPr="0048528B">
        <w:rPr>
          <w:rFonts w:cs="Arial"/>
          <w:sz w:val="18"/>
          <w:lang w:val="fr-FR"/>
        </w:rPr>
        <w:noBreakHyphen/>
      </w:r>
      <w:r w:rsidRPr="0048528B">
        <w:rPr>
          <w:rFonts w:cs="Arial"/>
          <w:sz w:val="18"/>
          <w:lang w:val="fr-FR"/>
        </w:rPr>
        <w:t>après sont destinés à illustrer les moyens d</w:t>
      </w:r>
      <w:r w:rsidR="00F3296C" w:rsidRPr="0048528B">
        <w:rPr>
          <w:rFonts w:cs="Arial"/>
          <w:sz w:val="18"/>
          <w:lang w:val="fr-FR"/>
        </w:rPr>
        <w:t>’</w:t>
      </w:r>
      <w:r w:rsidRPr="0048528B">
        <w:rPr>
          <w:rFonts w:cs="Arial"/>
          <w:sz w:val="18"/>
          <w:lang w:val="fr-FR"/>
        </w:rPr>
        <w:t>examiner la méthode d</w:t>
      </w:r>
      <w:r w:rsidR="00F3296C" w:rsidRPr="0048528B">
        <w:rPr>
          <w:rFonts w:cs="Arial"/>
          <w:sz w:val="18"/>
          <w:lang w:val="fr-FR"/>
        </w:rPr>
        <w:t>’</w:t>
      </w:r>
      <w:r w:rsidRPr="0048528B">
        <w:rPr>
          <w:rFonts w:cs="Arial"/>
          <w:sz w:val="18"/>
          <w:lang w:val="fr-FR"/>
        </w:rPr>
        <w:t>observation de caractères tels que l</w:t>
      </w:r>
      <w:r w:rsidR="00F3296C" w:rsidRPr="0048528B">
        <w:rPr>
          <w:rFonts w:cs="Arial"/>
          <w:sz w:val="18"/>
          <w:lang w:val="fr-FR"/>
        </w:rPr>
        <w:t>’</w:t>
      </w:r>
      <w:r w:rsidRPr="0048528B">
        <w:rPr>
          <w:rFonts w:cs="Arial"/>
          <w:sz w:val="18"/>
          <w:lang w:val="fr-FR"/>
        </w:rPr>
        <w:t>époque de floraison et le dénombrement.</w:t>
      </w:r>
    </w:p>
    <w:p w:rsidR="00204800" w:rsidRPr="0048528B" w:rsidRDefault="00204800" w:rsidP="00196886">
      <w:pPr>
        <w:keepNext/>
        <w:ind w:left="567" w:right="567"/>
        <w:rPr>
          <w:rFonts w:cs="Arial"/>
          <w:sz w:val="18"/>
          <w:lang w:val="fr-FR"/>
        </w:rPr>
      </w:pPr>
    </w:p>
    <w:p w:rsidR="00204800" w:rsidRPr="0048528B" w:rsidRDefault="00204800" w:rsidP="00204800">
      <w:pPr>
        <w:keepNext/>
        <w:ind w:left="567" w:right="567"/>
        <w:rPr>
          <w:rFonts w:cs="Arial"/>
          <w:sz w:val="18"/>
          <w:lang w:val="fr-FR"/>
        </w:rPr>
      </w:pPr>
      <w:r w:rsidRPr="0048528B">
        <w:rPr>
          <w:rFonts w:cs="Arial"/>
          <w:sz w:val="18"/>
          <w:lang w:val="fr-FR"/>
        </w:rPr>
        <w:t xml:space="preserve">“a) </w:t>
      </w:r>
      <w:r w:rsidR="000E5325" w:rsidRPr="0048528B">
        <w:rPr>
          <w:rFonts w:cs="Arial"/>
          <w:sz w:val="18"/>
          <w:lang w:val="fr-FR"/>
        </w:rPr>
        <w:tab/>
      </w:r>
      <w:r w:rsidRPr="0048528B">
        <w:rPr>
          <w:rFonts w:cs="Arial"/>
          <w:sz w:val="18"/>
          <w:lang w:val="fr-FR"/>
        </w:rPr>
        <w:t>Époque de floraison</w:t>
      </w:r>
    </w:p>
    <w:p w:rsidR="00196886" w:rsidRPr="0048528B" w:rsidRDefault="00196886" w:rsidP="00196886">
      <w:pPr>
        <w:keepNext/>
        <w:ind w:left="567" w:right="567"/>
        <w:rPr>
          <w:rFonts w:cs="Arial"/>
          <w:sz w:val="18"/>
          <w:lang w:val="fr-FR"/>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E40A4B" w:rsidRPr="0048528B" w:rsidTr="00196886">
        <w:trPr>
          <w:cantSplit/>
          <w:jc w:val="center"/>
        </w:trPr>
        <w:tc>
          <w:tcPr>
            <w:tcW w:w="578" w:type="dxa"/>
          </w:tcPr>
          <w:p w:rsidR="00196886" w:rsidRPr="0048528B" w:rsidRDefault="00196886" w:rsidP="00196886">
            <w:pPr>
              <w:pStyle w:val="Normaltb"/>
              <w:ind w:right="567"/>
              <w:rPr>
                <w:rFonts w:ascii="Arial" w:hAnsi="Arial" w:cs="Arial"/>
                <w:b w:val="0"/>
                <w:noProof w:val="0"/>
                <w:sz w:val="16"/>
                <w:szCs w:val="18"/>
                <w:lang w:val="fr-FR"/>
              </w:rPr>
            </w:pPr>
          </w:p>
        </w:tc>
        <w:tc>
          <w:tcPr>
            <w:tcW w:w="412" w:type="dxa"/>
          </w:tcPr>
          <w:p w:rsidR="00196886" w:rsidRPr="0048528B" w:rsidRDefault="00196886" w:rsidP="00196886">
            <w:pPr>
              <w:pStyle w:val="Normaltb"/>
              <w:ind w:right="567"/>
              <w:jc w:val="center"/>
              <w:rPr>
                <w:rFonts w:ascii="Arial" w:hAnsi="Arial" w:cs="Arial"/>
                <w:b w:val="0"/>
                <w:noProof w:val="0"/>
                <w:sz w:val="16"/>
                <w:szCs w:val="18"/>
                <w:lang w:val="fr-FR"/>
              </w:rPr>
            </w:pPr>
          </w:p>
        </w:tc>
        <w:tc>
          <w:tcPr>
            <w:tcW w:w="2180" w:type="dxa"/>
          </w:tcPr>
          <w:p w:rsidR="00196886" w:rsidRPr="0048528B" w:rsidRDefault="00204800" w:rsidP="00204800">
            <w:pPr>
              <w:pStyle w:val="Normaltb"/>
              <w:ind w:right="567"/>
              <w:rPr>
                <w:rFonts w:ascii="Arial" w:hAnsi="Arial" w:cs="Arial"/>
                <w:noProof w:val="0"/>
                <w:sz w:val="16"/>
                <w:szCs w:val="18"/>
                <w:lang w:val="fr-FR"/>
              </w:rPr>
            </w:pPr>
            <w:r w:rsidRPr="0048528B">
              <w:rPr>
                <w:rFonts w:ascii="Arial" w:hAnsi="Arial" w:cs="Arial"/>
                <w:noProof w:val="0"/>
                <w:sz w:val="16"/>
                <w:szCs w:val="18"/>
                <w:lang w:val="fr-FR"/>
              </w:rPr>
              <w:t>Époque de floraison</w:t>
            </w:r>
          </w:p>
        </w:tc>
        <w:tc>
          <w:tcPr>
            <w:tcW w:w="567" w:type="dxa"/>
          </w:tcPr>
          <w:p w:rsidR="00196886" w:rsidRPr="0048528B" w:rsidRDefault="00196886" w:rsidP="00196886">
            <w:pPr>
              <w:pStyle w:val="Normaltb"/>
              <w:ind w:right="567"/>
              <w:jc w:val="center"/>
              <w:rPr>
                <w:rFonts w:ascii="Arial" w:hAnsi="Arial" w:cs="Arial"/>
                <w:noProof w:val="0"/>
                <w:sz w:val="16"/>
                <w:szCs w:val="18"/>
                <w:lang w:val="fr-FR"/>
              </w:rPr>
            </w:pPr>
          </w:p>
        </w:tc>
      </w:tr>
      <w:tr w:rsidR="00E40A4B" w:rsidRPr="0048528B" w:rsidTr="00196886">
        <w:trPr>
          <w:cantSplit/>
          <w:jc w:val="center"/>
        </w:trPr>
        <w:tc>
          <w:tcPr>
            <w:tcW w:w="578" w:type="dxa"/>
          </w:tcPr>
          <w:p w:rsidR="00196886" w:rsidRPr="0048528B" w:rsidRDefault="00204800" w:rsidP="00204800">
            <w:pPr>
              <w:pStyle w:val="Normalt"/>
              <w:keepNext/>
              <w:jc w:val="center"/>
              <w:rPr>
                <w:rFonts w:ascii="Arial" w:hAnsi="Arial" w:cs="Arial"/>
                <w:b/>
                <w:noProof w:val="0"/>
                <w:sz w:val="16"/>
                <w:szCs w:val="18"/>
                <w:lang w:val="fr-FR"/>
              </w:rPr>
            </w:pPr>
            <w:r w:rsidRPr="0048528B">
              <w:rPr>
                <w:rFonts w:ascii="Arial" w:hAnsi="Arial" w:cs="Arial"/>
                <w:b/>
                <w:noProof w:val="0"/>
                <w:sz w:val="16"/>
                <w:szCs w:val="18"/>
                <w:lang w:val="fr-FR"/>
              </w:rPr>
              <w:t>QN</w:t>
            </w:r>
          </w:p>
        </w:tc>
        <w:tc>
          <w:tcPr>
            <w:tcW w:w="412" w:type="dxa"/>
          </w:tcPr>
          <w:p w:rsidR="00196886" w:rsidRPr="0048528B" w:rsidRDefault="00196886" w:rsidP="00196886">
            <w:pPr>
              <w:pStyle w:val="Normalt"/>
              <w:keepNext/>
              <w:ind w:right="567"/>
              <w:jc w:val="center"/>
              <w:rPr>
                <w:rFonts w:ascii="Arial" w:hAnsi="Arial" w:cs="Arial"/>
                <w:noProof w:val="0"/>
                <w:sz w:val="16"/>
                <w:szCs w:val="18"/>
                <w:lang w:val="fr-FR"/>
              </w:rPr>
            </w:pPr>
          </w:p>
        </w:tc>
        <w:tc>
          <w:tcPr>
            <w:tcW w:w="2180" w:type="dxa"/>
          </w:tcPr>
          <w:p w:rsidR="00196886" w:rsidRPr="0048528B" w:rsidRDefault="00204800" w:rsidP="00204800">
            <w:pPr>
              <w:pStyle w:val="Normalt"/>
              <w:keepNext/>
              <w:ind w:right="567"/>
              <w:rPr>
                <w:rFonts w:ascii="Arial" w:hAnsi="Arial" w:cs="Arial"/>
                <w:noProof w:val="0"/>
                <w:snapToGrid w:val="0"/>
                <w:sz w:val="16"/>
                <w:szCs w:val="18"/>
                <w:lang w:val="fr-FR"/>
              </w:rPr>
            </w:pPr>
            <w:r w:rsidRPr="0048528B">
              <w:rPr>
                <w:rFonts w:ascii="Arial" w:hAnsi="Arial" w:cs="Arial"/>
                <w:noProof w:val="0"/>
                <w:snapToGrid w:val="0"/>
                <w:sz w:val="16"/>
                <w:szCs w:val="18"/>
                <w:lang w:val="fr-FR"/>
              </w:rPr>
              <w:t>précoce</w:t>
            </w:r>
          </w:p>
        </w:tc>
        <w:tc>
          <w:tcPr>
            <w:tcW w:w="567" w:type="dxa"/>
          </w:tcPr>
          <w:p w:rsidR="00196886" w:rsidRPr="0048528B" w:rsidRDefault="00196886" w:rsidP="00196886">
            <w:pPr>
              <w:pStyle w:val="Normalt"/>
              <w:keepNext/>
              <w:ind w:right="567"/>
              <w:jc w:val="center"/>
              <w:rPr>
                <w:rFonts w:ascii="Arial" w:hAnsi="Arial" w:cs="Arial"/>
                <w:noProof w:val="0"/>
                <w:sz w:val="16"/>
                <w:szCs w:val="18"/>
                <w:lang w:val="fr-FR"/>
              </w:rPr>
            </w:pPr>
            <w:r w:rsidRPr="0048528B">
              <w:rPr>
                <w:rFonts w:ascii="Arial" w:hAnsi="Arial" w:cs="Arial"/>
                <w:noProof w:val="0"/>
                <w:sz w:val="16"/>
                <w:szCs w:val="18"/>
                <w:lang w:val="fr-FR"/>
              </w:rPr>
              <w:t>3</w:t>
            </w:r>
          </w:p>
        </w:tc>
      </w:tr>
      <w:tr w:rsidR="00E40A4B" w:rsidRPr="0048528B" w:rsidTr="00196886">
        <w:trPr>
          <w:cantSplit/>
          <w:jc w:val="center"/>
        </w:trPr>
        <w:tc>
          <w:tcPr>
            <w:tcW w:w="578" w:type="dxa"/>
          </w:tcPr>
          <w:p w:rsidR="00196886" w:rsidRPr="0048528B" w:rsidRDefault="00196886" w:rsidP="00196886">
            <w:pPr>
              <w:pStyle w:val="Normalt"/>
              <w:keepNext/>
              <w:ind w:right="567"/>
              <w:jc w:val="center"/>
              <w:rPr>
                <w:rFonts w:ascii="Arial" w:hAnsi="Arial" w:cs="Arial"/>
                <w:b/>
                <w:noProof w:val="0"/>
                <w:sz w:val="16"/>
                <w:szCs w:val="18"/>
                <w:lang w:val="fr-FR"/>
              </w:rPr>
            </w:pPr>
          </w:p>
        </w:tc>
        <w:tc>
          <w:tcPr>
            <w:tcW w:w="412" w:type="dxa"/>
          </w:tcPr>
          <w:p w:rsidR="00196886" w:rsidRPr="0048528B" w:rsidRDefault="00196886" w:rsidP="00196886">
            <w:pPr>
              <w:pStyle w:val="Normalt"/>
              <w:keepNext/>
              <w:ind w:right="567"/>
              <w:jc w:val="center"/>
              <w:rPr>
                <w:rFonts w:ascii="Arial" w:hAnsi="Arial" w:cs="Arial"/>
                <w:noProof w:val="0"/>
                <w:sz w:val="16"/>
                <w:szCs w:val="18"/>
                <w:lang w:val="fr-FR"/>
              </w:rPr>
            </w:pPr>
          </w:p>
        </w:tc>
        <w:tc>
          <w:tcPr>
            <w:tcW w:w="2180" w:type="dxa"/>
          </w:tcPr>
          <w:p w:rsidR="00196886" w:rsidRPr="0048528B" w:rsidRDefault="00204800" w:rsidP="00204800">
            <w:pPr>
              <w:pStyle w:val="Normalt"/>
              <w:keepNext/>
              <w:ind w:right="567"/>
              <w:rPr>
                <w:rFonts w:ascii="Arial" w:hAnsi="Arial" w:cs="Arial"/>
                <w:noProof w:val="0"/>
                <w:snapToGrid w:val="0"/>
                <w:sz w:val="16"/>
                <w:szCs w:val="18"/>
                <w:lang w:val="fr-FR"/>
              </w:rPr>
            </w:pPr>
            <w:r w:rsidRPr="0048528B">
              <w:rPr>
                <w:rFonts w:ascii="Arial" w:hAnsi="Arial" w:cs="Arial"/>
                <w:noProof w:val="0"/>
                <w:snapToGrid w:val="0"/>
                <w:sz w:val="16"/>
                <w:szCs w:val="18"/>
                <w:lang w:val="fr-FR"/>
              </w:rPr>
              <w:t>moyenne</w:t>
            </w:r>
          </w:p>
        </w:tc>
        <w:tc>
          <w:tcPr>
            <w:tcW w:w="567" w:type="dxa"/>
          </w:tcPr>
          <w:p w:rsidR="00196886" w:rsidRPr="0048528B" w:rsidRDefault="00196886" w:rsidP="00196886">
            <w:pPr>
              <w:pStyle w:val="Normalt"/>
              <w:keepNext/>
              <w:ind w:right="567"/>
              <w:jc w:val="center"/>
              <w:rPr>
                <w:rFonts w:ascii="Arial" w:hAnsi="Arial" w:cs="Arial"/>
                <w:noProof w:val="0"/>
                <w:sz w:val="16"/>
                <w:szCs w:val="18"/>
                <w:lang w:val="fr-FR"/>
              </w:rPr>
            </w:pPr>
            <w:r w:rsidRPr="0048528B">
              <w:rPr>
                <w:rFonts w:ascii="Arial" w:hAnsi="Arial" w:cs="Arial"/>
                <w:noProof w:val="0"/>
                <w:sz w:val="16"/>
                <w:szCs w:val="18"/>
                <w:lang w:val="fr-FR"/>
              </w:rPr>
              <w:t>5</w:t>
            </w:r>
          </w:p>
        </w:tc>
      </w:tr>
      <w:tr w:rsidR="00E40A4B" w:rsidRPr="0048528B" w:rsidTr="00196886">
        <w:trPr>
          <w:cantSplit/>
          <w:jc w:val="center"/>
        </w:trPr>
        <w:tc>
          <w:tcPr>
            <w:tcW w:w="578" w:type="dxa"/>
          </w:tcPr>
          <w:p w:rsidR="00196886" w:rsidRPr="0048528B" w:rsidRDefault="00196886" w:rsidP="00196886">
            <w:pPr>
              <w:pStyle w:val="Normalt"/>
              <w:keepNext/>
              <w:ind w:right="567"/>
              <w:jc w:val="center"/>
              <w:rPr>
                <w:rFonts w:ascii="Arial" w:hAnsi="Arial" w:cs="Arial"/>
                <w:b/>
                <w:noProof w:val="0"/>
                <w:sz w:val="16"/>
                <w:szCs w:val="18"/>
                <w:lang w:val="fr-FR"/>
              </w:rPr>
            </w:pPr>
          </w:p>
        </w:tc>
        <w:tc>
          <w:tcPr>
            <w:tcW w:w="412" w:type="dxa"/>
          </w:tcPr>
          <w:p w:rsidR="00196886" w:rsidRPr="0048528B" w:rsidRDefault="00196886" w:rsidP="00196886">
            <w:pPr>
              <w:pStyle w:val="Normalt"/>
              <w:keepNext/>
              <w:ind w:right="567"/>
              <w:jc w:val="center"/>
              <w:rPr>
                <w:rFonts w:ascii="Arial" w:hAnsi="Arial" w:cs="Arial"/>
                <w:noProof w:val="0"/>
                <w:sz w:val="16"/>
                <w:szCs w:val="18"/>
                <w:lang w:val="fr-FR"/>
              </w:rPr>
            </w:pPr>
          </w:p>
        </w:tc>
        <w:tc>
          <w:tcPr>
            <w:tcW w:w="2180" w:type="dxa"/>
          </w:tcPr>
          <w:p w:rsidR="00196886" w:rsidRPr="0048528B" w:rsidRDefault="00204800" w:rsidP="00204800">
            <w:pPr>
              <w:pStyle w:val="Normalt"/>
              <w:keepNext/>
              <w:ind w:right="567"/>
              <w:rPr>
                <w:rFonts w:ascii="Arial" w:hAnsi="Arial" w:cs="Arial"/>
                <w:noProof w:val="0"/>
                <w:snapToGrid w:val="0"/>
                <w:sz w:val="16"/>
                <w:szCs w:val="18"/>
                <w:lang w:val="fr-FR"/>
              </w:rPr>
            </w:pPr>
            <w:r w:rsidRPr="0048528B">
              <w:rPr>
                <w:rFonts w:ascii="Arial" w:hAnsi="Arial" w:cs="Arial"/>
                <w:noProof w:val="0"/>
                <w:snapToGrid w:val="0"/>
                <w:sz w:val="16"/>
                <w:szCs w:val="18"/>
                <w:lang w:val="fr-FR"/>
              </w:rPr>
              <w:t>tardive</w:t>
            </w:r>
          </w:p>
        </w:tc>
        <w:tc>
          <w:tcPr>
            <w:tcW w:w="567" w:type="dxa"/>
          </w:tcPr>
          <w:p w:rsidR="00196886" w:rsidRPr="0048528B" w:rsidRDefault="00196886" w:rsidP="00196886">
            <w:pPr>
              <w:pStyle w:val="Normalt"/>
              <w:keepNext/>
              <w:ind w:right="567"/>
              <w:jc w:val="center"/>
              <w:rPr>
                <w:rFonts w:ascii="Arial" w:hAnsi="Arial" w:cs="Arial"/>
                <w:noProof w:val="0"/>
                <w:sz w:val="16"/>
                <w:szCs w:val="18"/>
                <w:lang w:val="fr-FR"/>
              </w:rPr>
            </w:pPr>
            <w:r w:rsidRPr="0048528B">
              <w:rPr>
                <w:rFonts w:ascii="Arial" w:hAnsi="Arial" w:cs="Arial"/>
                <w:noProof w:val="0"/>
                <w:sz w:val="16"/>
                <w:szCs w:val="18"/>
                <w:lang w:val="fr-FR"/>
              </w:rPr>
              <w:t>7</w:t>
            </w:r>
          </w:p>
        </w:tc>
      </w:tr>
    </w:tbl>
    <w:p w:rsidR="00204800" w:rsidRPr="0048528B" w:rsidRDefault="00204800" w:rsidP="00196886">
      <w:pPr>
        <w:ind w:left="567" w:right="567"/>
        <w:rPr>
          <w:rFonts w:cs="Arial"/>
          <w:i/>
          <w:sz w:val="18"/>
          <w:lang w:val="fr-FR"/>
        </w:rPr>
      </w:pPr>
    </w:p>
    <w:p w:rsidR="00204800" w:rsidRPr="0048528B" w:rsidRDefault="00204800" w:rsidP="00204800">
      <w:pPr>
        <w:ind w:left="567" w:right="567"/>
        <w:rPr>
          <w:rFonts w:cs="Arial"/>
          <w:i/>
          <w:sz w:val="18"/>
          <w:lang w:val="fr-FR"/>
        </w:rPr>
      </w:pPr>
      <w:r w:rsidRPr="0048528B">
        <w:rPr>
          <w:rFonts w:cs="Arial"/>
          <w:sz w:val="18"/>
          <w:lang w:val="fr-FR"/>
        </w:rPr>
        <w:t>“</w:t>
      </w:r>
      <w:r w:rsidRPr="0048528B">
        <w:rPr>
          <w:rFonts w:cs="Arial"/>
          <w:i/>
          <w:sz w:val="18"/>
          <w:lang w:val="fr-FR"/>
        </w:rPr>
        <w:t>Scénario A (Explication : l</w:t>
      </w:r>
      <w:r w:rsidR="00F3296C" w:rsidRPr="0048528B">
        <w:rPr>
          <w:rFonts w:cs="Arial"/>
          <w:i/>
          <w:sz w:val="18"/>
          <w:lang w:val="fr-FR"/>
        </w:rPr>
        <w:t>’</w:t>
      </w:r>
      <w:r w:rsidRPr="0048528B">
        <w:rPr>
          <w:rFonts w:cs="Arial"/>
          <w:i/>
          <w:sz w:val="18"/>
          <w:lang w:val="fr-FR"/>
        </w:rPr>
        <w:t>époque de floraison est déterminée par la date)</w:t>
      </w:r>
    </w:p>
    <w:p w:rsidR="00204800" w:rsidRPr="0048528B" w:rsidRDefault="00204800" w:rsidP="00196886">
      <w:pPr>
        <w:ind w:left="567" w:right="567"/>
        <w:rPr>
          <w:rFonts w:cs="Arial"/>
          <w:i/>
          <w:sz w:val="18"/>
          <w:lang w:val="fr-FR"/>
        </w:rPr>
      </w:pPr>
    </w:p>
    <w:p w:rsidR="00204800" w:rsidRPr="0048528B" w:rsidRDefault="000E5325" w:rsidP="00204800">
      <w:pPr>
        <w:ind w:left="567" w:right="567"/>
        <w:rPr>
          <w:rFonts w:cs="Arial"/>
          <w:sz w:val="18"/>
          <w:lang w:val="fr-FR"/>
        </w:rPr>
      </w:pPr>
      <w:r w:rsidRPr="0048528B">
        <w:rPr>
          <w:rFonts w:cs="Arial"/>
          <w:sz w:val="18"/>
          <w:lang w:val="fr-FR"/>
        </w:rPr>
        <w:t>“3.</w:t>
      </w:r>
      <w:r w:rsidRPr="0048528B">
        <w:rPr>
          <w:rFonts w:cs="Arial"/>
          <w:sz w:val="18"/>
          <w:lang w:val="fr-FR"/>
        </w:rPr>
        <w:tab/>
      </w:r>
      <w:r w:rsidR="00204800" w:rsidRPr="0048528B">
        <w:rPr>
          <w:rFonts w:cs="Arial"/>
          <w:sz w:val="18"/>
          <w:lang w:val="fr-FR"/>
        </w:rPr>
        <w:t>L</w:t>
      </w:r>
      <w:r w:rsidR="00F3296C" w:rsidRPr="0048528B">
        <w:rPr>
          <w:rFonts w:cs="Arial"/>
          <w:sz w:val="18"/>
          <w:lang w:val="fr-FR"/>
        </w:rPr>
        <w:t>’</w:t>
      </w:r>
      <w:r w:rsidR="00204800" w:rsidRPr="0048528B">
        <w:rPr>
          <w:rFonts w:cs="Arial"/>
          <w:sz w:val="18"/>
          <w:lang w:val="fr-FR"/>
        </w:rPr>
        <w:t>essai DHS est visité à différentes dates pour déterminer si chaque variété est en fleurs.  Afin de déterminer si 50% des plantes ont émis le stigmate dans la panicule principale, le nombre de plantes qui ont émis leurs stigmates est compté ou une détermination globale du pourcentage est effectuée.</w:t>
      </w:r>
    </w:p>
    <w:p w:rsidR="00204800" w:rsidRPr="0048528B" w:rsidRDefault="00204800" w:rsidP="00196886">
      <w:pPr>
        <w:ind w:left="567" w:right="567"/>
        <w:rPr>
          <w:rFonts w:cs="Arial"/>
          <w:sz w:val="18"/>
          <w:lang w:val="fr-FR"/>
        </w:rPr>
      </w:pPr>
    </w:p>
    <w:p w:rsidR="00204800" w:rsidRPr="0048528B" w:rsidRDefault="000E5325" w:rsidP="00204800">
      <w:pPr>
        <w:ind w:left="567" w:right="567"/>
        <w:rPr>
          <w:rFonts w:cs="Arial"/>
          <w:sz w:val="18"/>
          <w:lang w:val="fr-FR"/>
        </w:rPr>
      </w:pPr>
      <w:r w:rsidRPr="0048528B">
        <w:rPr>
          <w:rFonts w:cs="Arial"/>
          <w:sz w:val="18"/>
          <w:lang w:val="fr-FR"/>
        </w:rPr>
        <w:t>“4.</w:t>
      </w:r>
      <w:r w:rsidRPr="0048528B">
        <w:rPr>
          <w:rFonts w:cs="Arial"/>
          <w:sz w:val="18"/>
          <w:lang w:val="fr-FR"/>
        </w:rPr>
        <w:tab/>
      </w:r>
      <w:r w:rsidR="00204800" w:rsidRPr="0048528B">
        <w:rPr>
          <w:rFonts w:cs="Arial"/>
          <w:sz w:val="18"/>
          <w:lang w:val="fr-FR"/>
        </w:rPr>
        <w:t>Dans ce cas, la méthode d</w:t>
      </w:r>
      <w:r w:rsidR="00F3296C" w:rsidRPr="0048528B">
        <w:rPr>
          <w:rFonts w:cs="Arial"/>
          <w:sz w:val="18"/>
          <w:lang w:val="fr-FR"/>
        </w:rPr>
        <w:t>’</w:t>
      </w:r>
      <w:r w:rsidR="00204800" w:rsidRPr="0048528B">
        <w:rPr>
          <w:rFonts w:cs="Arial"/>
          <w:sz w:val="18"/>
          <w:lang w:val="fr-FR"/>
        </w:rPr>
        <w:t>observation serait la mesure (M) parce que la détermination du niveau d</w:t>
      </w:r>
      <w:r w:rsidR="00F3296C" w:rsidRPr="0048528B">
        <w:rPr>
          <w:rFonts w:cs="Arial"/>
          <w:sz w:val="18"/>
          <w:lang w:val="fr-FR"/>
        </w:rPr>
        <w:t>’</w:t>
      </w:r>
      <w:r w:rsidR="00204800" w:rsidRPr="0048528B">
        <w:rPr>
          <w:rFonts w:cs="Arial"/>
          <w:sz w:val="18"/>
          <w:lang w:val="fr-FR"/>
        </w:rPr>
        <w:t>expression se fera en fonction de la date (= mesure sur une échelle de temps) à laquelle une variété est en fleurs.</w:t>
      </w:r>
      <w:r w:rsidRPr="0048528B">
        <w:rPr>
          <w:rFonts w:cs="Arial"/>
          <w:sz w:val="18"/>
          <w:lang w:val="fr-FR"/>
        </w:rPr>
        <w:t xml:space="preserve"> </w:t>
      </w:r>
      <w:r w:rsidR="00204800" w:rsidRPr="0048528B">
        <w:rPr>
          <w:rFonts w:cs="Arial"/>
          <w:sz w:val="18"/>
          <w:lang w:val="fr-FR"/>
        </w:rPr>
        <w:t xml:space="preserve"> Une date est consignée pour chaque variété, qui est transformée en notes après l</w:t>
      </w:r>
      <w:r w:rsidR="00F3296C" w:rsidRPr="0048528B">
        <w:rPr>
          <w:rFonts w:cs="Arial"/>
          <w:sz w:val="18"/>
          <w:lang w:val="fr-FR"/>
        </w:rPr>
        <w:t>’</w:t>
      </w:r>
      <w:r w:rsidR="00204800" w:rsidRPr="0048528B">
        <w:rPr>
          <w:rFonts w:cs="Arial"/>
          <w:sz w:val="18"/>
          <w:lang w:val="fr-FR"/>
        </w:rPr>
        <w:t>examen de toutes les variétés.</w:t>
      </w:r>
    </w:p>
    <w:p w:rsidR="00204800" w:rsidRPr="0048528B" w:rsidRDefault="00204800" w:rsidP="00196886">
      <w:pPr>
        <w:spacing w:line="360" w:lineRule="auto"/>
        <w:ind w:left="567" w:right="567"/>
        <w:rPr>
          <w:rFonts w:cs="Arial"/>
          <w:i/>
          <w:sz w:val="18"/>
          <w:lang w:val="fr-FR"/>
        </w:rPr>
      </w:pPr>
    </w:p>
    <w:p w:rsidR="00204800" w:rsidRPr="0048528B" w:rsidRDefault="00204800" w:rsidP="00204800">
      <w:pPr>
        <w:keepNext/>
        <w:ind w:left="567" w:right="567"/>
        <w:rPr>
          <w:rFonts w:cs="Arial"/>
          <w:i/>
          <w:sz w:val="18"/>
          <w:lang w:val="fr-FR"/>
        </w:rPr>
      </w:pPr>
      <w:r w:rsidRPr="0048528B">
        <w:rPr>
          <w:rFonts w:cs="Arial"/>
          <w:sz w:val="18"/>
          <w:lang w:val="fr-FR"/>
        </w:rPr>
        <w:t>“</w:t>
      </w:r>
      <w:r w:rsidRPr="0048528B">
        <w:rPr>
          <w:rFonts w:cs="Arial"/>
          <w:i/>
          <w:sz w:val="18"/>
          <w:lang w:val="fr-FR"/>
        </w:rPr>
        <w:t>Scénario B (Explication : l</w:t>
      </w:r>
      <w:r w:rsidR="00F3296C" w:rsidRPr="0048528B">
        <w:rPr>
          <w:rFonts w:cs="Arial"/>
          <w:i/>
          <w:sz w:val="18"/>
          <w:lang w:val="fr-FR"/>
        </w:rPr>
        <w:t>’</w:t>
      </w:r>
      <w:r w:rsidRPr="0048528B">
        <w:rPr>
          <w:rFonts w:cs="Arial"/>
          <w:i/>
          <w:sz w:val="18"/>
          <w:lang w:val="fr-FR"/>
        </w:rPr>
        <w:t>époque de floraison est déterminée en comparaison avec d</w:t>
      </w:r>
      <w:r w:rsidR="00F3296C" w:rsidRPr="0048528B">
        <w:rPr>
          <w:rFonts w:cs="Arial"/>
          <w:i/>
          <w:sz w:val="18"/>
          <w:lang w:val="fr-FR"/>
        </w:rPr>
        <w:t>’</w:t>
      </w:r>
      <w:r w:rsidRPr="0048528B">
        <w:rPr>
          <w:rFonts w:cs="Arial"/>
          <w:i/>
          <w:sz w:val="18"/>
          <w:lang w:val="fr-FR"/>
        </w:rPr>
        <w:t>autres variétés)</w:t>
      </w:r>
    </w:p>
    <w:p w:rsidR="00204800" w:rsidRPr="0048528B" w:rsidRDefault="00204800" w:rsidP="00196886">
      <w:pPr>
        <w:keepNext/>
        <w:ind w:left="567" w:right="567"/>
        <w:rPr>
          <w:rFonts w:cs="Arial"/>
          <w:i/>
          <w:sz w:val="18"/>
          <w:lang w:val="fr-FR"/>
        </w:rPr>
      </w:pPr>
    </w:p>
    <w:p w:rsidR="00CE0C30" w:rsidRPr="0048528B" w:rsidRDefault="000E5325" w:rsidP="00204800">
      <w:pPr>
        <w:ind w:left="567" w:right="567"/>
        <w:rPr>
          <w:rFonts w:cs="Arial"/>
          <w:sz w:val="18"/>
          <w:lang w:val="fr-FR"/>
        </w:rPr>
      </w:pPr>
      <w:r w:rsidRPr="0048528B">
        <w:rPr>
          <w:rFonts w:cs="Arial"/>
          <w:sz w:val="18"/>
          <w:lang w:val="fr-FR"/>
        </w:rPr>
        <w:t>“5.</w:t>
      </w:r>
      <w:r w:rsidRPr="0048528B">
        <w:rPr>
          <w:rFonts w:cs="Arial"/>
          <w:sz w:val="18"/>
          <w:lang w:val="fr-FR"/>
        </w:rPr>
        <w:tab/>
      </w:r>
      <w:r w:rsidR="00204800" w:rsidRPr="0048528B">
        <w:rPr>
          <w:rFonts w:cs="Arial"/>
          <w:sz w:val="18"/>
          <w:lang w:val="fr-FR"/>
        </w:rPr>
        <w:t>L</w:t>
      </w:r>
      <w:r w:rsidR="00F3296C" w:rsidRPr="0048528B">
        <w:rPr>
          <w:rFonts w:cs="Arial"/>
          <w:sz w:val="18"/>
          <w:lang w:val="fr-FR"/>
        </w:rPr>
        <w:t>’</w:t>
      </w:r>
      <w:r w:rsidR="00204800" w:rsidRPr="0048528B">
        <w:rPr>
          <w:rFonts w:cs="Arial"/>
          <w:sz w:val="18"/>
          <w:lang w:val="fr-FR"/>
        </w:rPr>
        <w:t>essai DHS est visité une ou plusieurs fois afin de déterminer l</w:t>
      </w:r>
      <w:r w:rsidR="00F3296C" w:rsidRPr="0048528B">
        <w:rPr>
          <w:rFonts w:cs="Arial"/>
          <w:sz w:val="18"/>
          <w:lang w:val="fr-FR"/>
        </w:rPr>
        <w:t>’</w:t>
      </w:r>
      <w:r w:rsidR="00204800" w:rsidRPr="0048528B">
        <w:rPr>
          <w:rFonts w:cs="Arial"/>
          <w:sz w:val="18"/>
          <w:lang w:val="fr-FR"/>
        </w:rPr>
        <w:t xml:space="preserve">époque de floraison en se référant à des variétés indiquées </w:t>
      </w:r>
      <w:r w:rsidR="000312D5" w:rsidRPr="0048528B">
        <w:rPr>
          <w:rFonts w:cs="Arial"/>
          <w:sz w:val="18"/>
          <w:lang w:val="fr-FR"/>
        </w:rPr>
        <w:t>à titre d’exemple</w:t>
      </w:r>
      <w:r w:rsidR="00204800" w:rsidRPr="0048528B">
        <w:rPr>
          <w:rFonts w:cs="Arial"/>
          <w:sz w:val="18"/>
          <w:lang w:val="fr-FR"/>
        </w:rPr>
        <w:t>.</w:t>
      </w:r>
    </w:p>
    <w:p w:rsidR="00204800" w:rsidRPr="0048528B" w:rsidRDefault="00204800" w:rsidP="00196886">
      <w:pPr>
        <w:ind w:left="567" w:right="567"/>
        <w:rPr>
          <w:rFonts w:cs="Arial"/>
          <w:sz w:val="18"/>
          <w:lang w:val="fr-FR"/>
        </w:rPr>
      </w:pPr>
    </w:p>
    <w:p w:rsidR="00204800" w:rsidRPr="0048528B" w:rsidRDefault="000E5325" w:rsidP="00204800">
      <w:pPr>
        <w:keepNext/>
        <w:keepLines/>
        <w:ind w:left="567" w:right="567"/>
        <w:rPr>
          <w:rFonts w:cs="Arial"/>
          <w:sz w:val="18"/>
          <w:lang w:val="fr-FR"/>
        </w:rPr>
      </w:pPr>
      <w:r w:rsidRPr="0048528B">
        <w:rPr>
          <w:rFonts w:cs="Arial"/>
          <w:sz w:val="18"/>
          <w:lang w:val="fr-FR"/>
        </w:rPr>
        <w:t>“6.</w:t>
      </w:r>
      <w:r w:rsidRPr="0048528B">
        <w:rPr>
          <w:rFonts w:cs="Arial"/>
          <w:sz w:val="18"/>
          <w:lang w:val="fr-FR"/>
        </w:rPr>
        <w:tab/>
      </w:r>
      <w:r w:rsidR="00204800" w:rsidRPr="0048528B">
        <w:rPr>
          <w:rFonts w:cs="Arial"/>
          <w:sz w:val="18"/>
          <w:lang w:val="fr-FR"/>
        </w:rPr>
        <w:t>Dans ce scénario, l</w:t>
      </w:r>
      <w:r w:rsidR="00F3296C" w:rsidRPr="0048528B">
        <w:rPr>
          <w:rFonts w:cs="Arial"/>
          <w:sz w:val="18"/>
          <w:lang w:val="fr-FR"/>
        </w:rPr>
        <w:t>’</w:t>
      </w:r>
      <w:r w:rsidR="00204800" w:rsidRPr="0048528B">
        <w:rPr>
          <w:rFonts w:cs="Arial"/>
          <w:sz w:val="18"/>
          <w:lang w:val="fr-FR"/>
        </w:rPr>
        <w:t>époque de floraison est déterminée par observation visuelle (V) parce qu</w:t>
      </w:r>
      <w:r w:rsidR="00F3296C" w:rsidRPr="0048528B">
        <w:rPr>
          <w:rFonts w:cs="Arial"/>
          <w:sz w:val="18"/>
          <w:lang w:val="fr-FR"/>
        </w:rPr>
        <w:t>’</w:t>
      </w:r>
      <w:r w:rsidR="00204800" w:rsidRPr="0048528B">
        <w:rPr>
          <w:rFonts w:cs="Arial"/>
          <w:sz w:val="18"/>
          <w:lang w:val="fr-FR"/>
        </w:rPr>
        <w:t>une observation visuelle globale de l</w:t>
      </w:r>
      <w:r w:rsidR="00F3296C" w:rsidRPr="0048528B">
        <w:rPr>
          <w:rFonts w:cs="Arial"/>
          <w:sz w:val="18"/>
          <w:lang w:val="fr-FR"/>
        </w:rPr>
        <w:t>’</w:t>
      </w:r>
      <w:r w:rsidR="00204800" w:rsidRPr="0048528B">
        <w:rPr>
          <w:rFonts w:cs="Arial"/>
          <w:sz w:val="18"/>
          <w:lang w:val="fr-FR"/>
        </w:rPr>
        <w:t>époque de floraison est réalisée pour une variété particulière en se référant à l</w:t>
      </w:r>
      <w:r w:rsidR="00F3296C" w:rsidRPr="0048528B">
        <w:rPr>
          <w:rFonts w:cs="Arial"/>
          <w:sz w:val="18"/>
          <w:lang w:val="fr-FR"/>
        </w:rPr>
        <w:t>’</w:t>
      </w:r>
      <w:r w:rsidR="00204800" w:rsidRPr="0048528B">
        <w:rPr>
          <w:rFonts w:cs="Arial"/>
          <w:sz w:val="18"/>
          <w:lang w:val="fr-FR"/>
        </w:rPr>
        <w:t xml:space="preserve">état de floraison des variétés indiquées </w:t>
      </w:r>
      <w:r w:rsidR="000312D5" w:rsidRPr="0048528B">
        <w:rPr>
          <w:rFonts w:cs="Arial"/>
          <w:sz w:val="18"/>
          <w:lang w:val="fr-FR"/>
        </w:rPr>
        <w:t>à titre d’exemple</w:t>
      </w:r>
      <w:r w:rsidR="00204800" w:rsidRPr="0048528B">
        <w:rPr>
          <w:rFonts w:cs="Arial"/>
          <w:sz w:val="18"/>
          <w:lang w:val="fr-FR"/>
        </w:rPr>
        <w:t xml:space="preserve"> mais sans référence à une date de visite. </w:t>
      </w:r>
      <w:r w:rsidR="00E3136C" w:rsidRPr="0048528B">
        <w:rPr>
          <w:rFonts w:cs="Arial"/>
          <w:sz w:val="18"/>
          <w:lang w:val="fr-FR"/>
        </w:rPr>
        <w:t xml:space="preserve"> </w:t>
      </w:r>
      <w:r w:rsidR="00204800" w:rsidRPr="0048528B">
        <w:rPr>
          <w:rFonts w:cs="Arial"/>
          <w:sz w:val="18"/>
          <w:lang w:val="fr-FR"/>
        </w:rPr>
        <w:t>Une note est consignée pour chaque variété en rapport avec la variation entre les variétés (p. ex., précoce, moyenne, tardive).</w:t>
      </w:r>
    </w:p>
    <w:p w:rsidR="00204800" w:rsidRPr="0048528B" w:rsidRDefault="00204800" w:rsidP="00196886">
      <w:pPr>
        <w:ind w:left="567" w:right="567"/>
        <w:rPr>
          <w:rFonts w:cs="Arial"/>
          <w:sz w:val="18"/>
          <w:lang w:val="fr-FR"/>
        </w:rPr>
      </w:pPr>
    </w:p>
    <w:p w:rsidR="00204800" w:rsidRPr="0048528B" w:rsidRDefault="00D25855" w:rsidP="00D25855">
      <w:pPr>
        <w:keepNext/>
        <w:ind w:left="567" w:right="567"/>
        <w:rPr>
          <w:rFonts w:cs="Arial"/>
          <w:sz w:val="18"/>
          <w:lang w:val="fr-FR"/>
        </w:rPr>
      </w:pPr>
      <w:r w:rsidRPr="0048528B">
        <w:rPr>
          <w:rFonts w:cs="Arial"/>
          <w:sz w:val="18"/>
          <w:lang w:val="fr-FR"/>
        </w:rPr>
        <w:t xml:space="preserve">“b) </w:t>
      </w:r>
      <w:r w:rsidR="000E5325" w:rsidRPr="0048528B">
        <w:rPr>
          <w:rFonts w:cs="Arial"/>
          <w:sz w:val="18"/>
          <w:lang w:val="fr-FR"/>
        </w:rPr>
        <w:tab/>
      </w:r>
      <w:r w:rsidRPr="0048528B">
        <w:rPr>
          <w:rFonts w:cs="Arial"/>
          <w:sz w:val="18"/>
          <w:lang w:val="fr-FR"/>
        </w:rPr>
        <w:t>Nombre</w:t>
      </w:r>
    </w:p>
    <w:p w:rsidR="00204800" w:rsidRPr="0048528B" w:rsidRDefault="00204800" w:rsidP="00196886">
      <w:pPr>
        <w:keepNext/>
        <w:ind w:left="567" w:right="567"/>
        <w:rPr>
          <w:rFonts w:cs="Arial"/>
          <w:sz w:val="18"/>
          <w:lang w:val="fr-FR"/>
        </w:rPr>
      </w:pPr>
    </w:p>
    <w:p w:rsidR="00204800" w:rsidRPr="0048528B" w:rsidRDefault="003F00B6" w:rsidP="00D25855">
      <w:pPr>
        <w:ind w:left="567" w:right="567"/>
        <w:rPr>
          <w:rFonts w:cs="Arial"/>
          <w:strike/>
          <w:snapToGrid w:val="0"/>
          <w:sz w:val="18"/>
          <w:lang w:val="fr-FR"/>
        </w:rPr>
      </w:pPr>
      <w:r w:rsidRPr="0048528B">
        <w:rPr>
          <w:rFonts w:cs="Arial"/>
          <w:sz w:val="18"/>
          <w:lang w:val="fr-FR"/>
        </w:rPr>
        <w:t>“7.</w:t>
      </w:r>
      <w:r w:rsidRPr="0048528B">
        <w:rPr>
          <w:rFonts w:cs="Arial"/>
          <w:sz w:val="18"/>
          <w:lang w:val="fr-FR"/>
        </w:rPr>
        <w:tab/>
      </w:r>
      <w:r w:rsidR="00D25855" w:rsidRPr="0048528B">
        <w:rPr>
          <w:rFonts w:cs="Arial"/>
          <w:sz w:val="18"/>
          <w:lang w:val="fr-FR"/>
        </w:rPr>
        <w:t>Si un caractère est observé au moyen d</w:t>
      </w:r>
      <w:r w:rsidR="00F3296C" w:rsidRPr="0048528B">
        <w:rPr>
          <w:rFonts w:cs="Arial"/>
          <w:sz w:val="18"/>
          <w:lang w:val="fr-FR"/>
        </w:rPr>
        <w:t>’</w:t>
      </w:r>
      <w:r w:rsidR="00D25855" w:rsidRPr="0048528B">
        <w:rPr>
          <w:rFonts w:cs="Arial"/>
          <w:sz w:val="18"/>
          <w:lang w:val="fr-FR"/>
        </w:rPr>
        <w:t xml:space="preserve">un dénombrement (par exemple, </w:t>
      </w:r>
      <w:r w:rsidR="00F3296C" w:rsidRPr="0048528B">
        <w:rPr>
          <w:rFonts w:cs="Arial"/>
          <w:sz w:val="18"/>
          <w:lang w:val="fr-FR"/>
        </w:rPr>
        <w:t>‘</w:t>
      </w:r>
      <w:r w:rsidR="00D25855" w:rsidRPr="0048528B">
        <w:rPr>
          <w:rFonts w:cs="Arial"/>
          <w:sz w:val="18"/>
          <w:lang w:val="fr-FR"/>
        </w:rPr>
        <w:t>nombre de lobes</w:t>
      </w:r>
      <w:r w:rsidR="00F3296C" w:rsidRPr="0048528B">
        <w:rPr>
          <w:rFonts w:cs="Arial"/>
          <w:sz w:val="18"/>
          <w:lang w:val="fr-FR"/>
        </w:rPr>
        <w:t>’</w:t>
      </w:r>
      <w:r w:rsidR="00D25855" w:rsidRPr="0048528B">
        <w:rPr>
          <w:rFonts w:cs="Arial"/>
          <w:sz w:val="18"/>
          <w:lang w:val="fr-FR"/>
        </w:rPr>
        <w:t xml:space="preserve"> observés au moyen d</w:t>
      </w:r>
      <w:r w:rsidR="00F3296C" w:rsidRPr="0048528B">
        <w:rPr>
          <w:rFonts w:cs="Arial"/>
          <w:sz w:val="18"/>
          <w:lang w:val="fr-FR"/>
        </w:rPr>
        <w:t>’</w:t>
      </w:r>
      <w:r w:rsidR="00D25855" w:rsidRPr="0048528B">
        <w:rPr>
          <w:rFonts w:cs="Arial"/>
          <w:sz w:val="18"/>
          <w:lang w:val="fr-FR"/>
        </w:rPr>
        <w:t>un dénombrement), l</w:t>
      </w:r>
      <w:r w:rsidR="00F3296C" w:rsidRPr="0048528B">
        <w:rPr>
          <w:rFonts w:cs="Arial"/>
          <w:sz w:val="18"/>
          <w:lang w:val="fr-FR"/>
        </w:rPr>
        <w:t>’</w:t>
      </w:r>
      <w:r w:rsidR="00D25855" w:rsidRPr="0048528B">
        <w:rPr>
          <w:rFonts w:cs="Arial"/>
          <w:sz w:val="18"/>
          <w:lang w:val="fr-FR"/>
        </w:rPr>
        <w:t>évaluation est une mesure (M). Si un caractère est observé au moyen d</w:t>
      </w:r>
      <w:r w:rsidR="00F3296C" w:rsidRPr="0048528B">
        <w:rPr>
          <w:rFonts w:cs="Arial"/>
          <w:sz w:val="18"/>
          <w:lang w:val="fr-FR"/>
        </w:rPr>
        <w:t>’</w:t>
      </w:r>
      <w:r w:rsidR="00D25855" w:rsidRPr="0048528B">
        <w:rPr>
          <w:rFonts w:cs="Arial"/>
          <w:sz w:val="18"/>
          <w:lang w:val="fr-FR"/>
        </w:rPr>
        <w:t xml:space="preserve">une estimation (par exemple, </w:t>
      </w:r>
      <w:r w:rsidR="00F3296C" w:rsidRPr="0048528B">
        <w:rPr>
          <w:rFonts w:cs="Arial"/>
          <w:sz w:val="18"/>
          <w:lang w:val="fr-FR"/>
        </w:rPr>
        <w:t>‘</w:t>
      </w:r>
      <w:r w:rsidR="00D25855" w:rsidRPr="0048528B">
        <w:rPr>
          <w:rFonts w:cs="Arial"/>
          <w:sz w:val="18"/>
          <w:lang w:val="fr-FR"/>
        </w:rPr>
        <w:t>nombre de lobes</w:t>
      </w:r>
      <w:r w:rsidR="00F3296C" w:rsidRPr="0048528B">
        <w:rPr>
          <w:rFonts w:cs="Arial"/>
          <w:sz w:val="18"/>
          <w:lang w:val="fr-FR"/>
        </w:rPr>
        <w:t>’</w:t>
      </w:r>
      <w:r w:rsidR="00D25855" w:rsidRPr="0048528B">
        <w:rPr>
          <w:rFonts w:cs="Arial"/>
          <w:sz w:val="18"/>
          <w:lang w:val="fr-FR"/>
        </w:rPr>
        <w:t xml:space="preserve"> observés au moyen d</w:t>
      </w:r>
      <w:r w:rsidR="00F3296C" w:rsidRPr="0048528B">
        <w:rPr>
          <w:rFonts w:cs="Arial"/>
          <w:sz w:val="18"/>
          <w:lang w:val="fr-FR"/>
        </w:rPr>
        <w:t>’</w:t>
      </w:r>
      <w:r w:rsidR="00D25855" w:rsidRPr="0048528B">
        <w:rPr>
          <w:rFonts w:cs="Arial"/>
          <w:sz w:val="18"/>
          <w:lang w:val="fr-FR"/>
        </w:rPr>
        <w:t>une estimation), l</w:t>
      </w:r>
      <w:r w:rsidR="00F3296C" w:rsidRPr="0048528B">
        <w:rPr>
          <w:rFonts w:cs="Arial"/>
          <w:sz w:val="18"/>
          <w:lang w:val="fr-FR"/>
        </w:rPr>
        <w:t>’</w:t>
      </w:r>
      <w:r w:rsidR="00D25855" w:rsidRPr="0048528B">
        <w:rPr>
          <w:rFonts w:cs="Arial"/>
          <w:sz w:val="18"/>
          <w:lang w:val="fr-FR"/>
        </w:rPr>
        <w:t>évaluation est une observation visuelle (V).”</w:t>
      </w:r>
    </w:p>
    <w:p w:rsidR="00204800" w:rsidRPr="0048528B" w:rsidRDefault="00204800" w:rsidP="00196886">
      <w:pPr>
        <w:spacing w:line="360" w:lineRule="auto"/>
        <w:rPr>
          <w:lang w:val="fr-FR"/>
        </w:rPr>
      </w:pPr>
    </w:p>
    <w:p w:rsidR="00204800" w:rsidRPr="0048528B" w:rsidRDefault="00D25855" w:rsidP="006A03CA">
      <w:pPr>
        <w:pStyle w:val="Heading5"/>
        <w:rPr>
          <w:lang w:val="fr-FR"/>
        </w:rPr>
      </w:pPr>
      <w:r w:rsidRPr="0048528B">
        <w:rPr>
          <w:lang w:val="fr-FR"/>
        </w:rPr>
        <w:t>Exemples</w:t>
      </w:r>
    </w:p>
    <w:p w:rsidR="00204800" w:rsidRPr="0048528B" w:rsidRDefault="00204800" w:rsidP="00196886">
      <w:pPr>
        <w:keepNext/>
        <w:rPr>
          <w:lang w:val="fr-FR"/>
        </w:rPr>
      </w:pPr>
    </w:p>
    <w:p w:rsidR="00204800" w:rsidRPr="0048528B" w:rsidRDefault="00196886" w:rsidP="00D2585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D25855" w:rsidRPr="0048528B">
        <w:rPr>
          <w:lang w:val="fr-FR"/>
        </w:rPr>
        <w:t>Le</w:t>
      </w:r>
      <w:r w:rsidR="00F3296C" w:rsidRPr="0048528B">
        <w:rPr>
          <w:lang w:val="fr-FR"/>
        </w:rPr>
        <w:t> TC</w:t>
      </w:r>
      <w:r w:rsidR="00D25855" w:rsidRPr="0048528B">
        <w:rPr>
          <w:lang w:val="fr-FR"/>
        </w:rPr>
        <w:t xml:space="preserve"> a examiné le </w:t>
      </w:r>
      <w:r w:rsidR="00F3296C" w:rsidRPr="0048528B">
        <w:rPr>
          <w:lang w:val="fr-FR"/>
        </w:rPr>
        <w:t>document TC</w:t>
      </w:r>
      <w:r w:rsidR="00D25855" w:rsidRPr="0048528B">
        <w:rPr>
          <w:lang w:val="fr-FR"/>
        </w:rPr>
        <w:t>/49/19.</w:t>
      </w:r>
    </w:p>
    <w:p w:rsidR="00204800" w:rsidRPr="0048528B" w:rsidRDefault="00204800" w:rsidP="00196886">
      <w:pPr>
        <w:rPr>
          <w:lang w:val="fr-FR"/>
        </w:rPr>
      </w:pPr>
    </w:p>
    <w:p w:rsidR="00204800" w:rsidRPr="0048528B" w:rsidRDefault="00196886" w:rsidP="00D2585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D25855" w:rsidRPr="0048528B">
        <w:rPr>
          <w:lang w:val="fr-FR"/>
        </w:rPr>
        <w:t>Le</w:t>
      </w:r>
      <w:r w:rsidR="00F3296C" w:rsidRPr="0048528B">
        <w:rPr>
          <w:lang w:val="fr-FR"/>
        </w:rPr>
        <w:t> TC</w:t>
      </w:r>
      <w:r w:rsidR="00D25855" w:rsidRPr="0048528B">
        <w:rPr>
          <w:lang w:val="fr-FR"/>
        </w:rPr>
        <w:t xml:space="preserve"> est convenu de la révision de la note indicative GN 28 (chapitre 6.4 du modèle de principes directeurs d</w:t>
      </w:r>
      <w:r w:rsidR="00F3296C" w:rsidRPr="0048528B">
        <w:rPr>
          <w:lang w:val="fr-FR"/>
        </w:rPr>
        <w:t>’</w:t>
      </w:r>
      <w:r w:rsidR="00D25855" w:rsidRPr="0048528B">
        <w:rPr>
          <w:lang w:val="fr-FR"/>
        </w:rPr>
        <w:t xml:space="preserve">examen) “Variétés indiquées </w:t>
      </w:r>
      <w:r w:rsidR="000312D5" w:rsidRPr="0048528B">
        <w:rPr>
          <w:lang w:val="fr-FR"/>
        </w:rPr>
        <w:t>à titre d’exemple</w:t>
      </w:r>
      <w:r w:rsidR="00D25855" w:rsidRPr="0048528B">
        <w:rPr>
          <w:lang w:val="fr-FR"/>
        </w:rPr>
        <w:t>” figurant dans l</w:t>
      </w:r>
      <w:r w:rsidR="00F3296C" w:rsidRPr="0048528B">
        <w:rPr>
          <w:lang w:val="fr-FR"/>
        </w:rPr>
        <w:t>’</w:t>
      </w:r>
      <w:r w:rsidR="00D25855" w:rsidRPr="0048528B">
        <w:rPr>
          <w:lang w:val="fr-FR"/>
        </w:rPr>
        <w:t>annexe 3 “Notes indicatives (GN) concernant le modèle de principes directeurs d</w:t>
      </w:r>
      <w:r w:rsidR="00F3296C" w:rsidRPr="0048528B">
        <w:rPr>
          <w:lang w:val="fr-FR"/>
        </w:rPr>
        <w:t>’</w:t>
      </w:r>
      <w:r w:rsidR="00D25855" w:rsidRPr="0048528B">
        <w:rPr>
          <w:lang w:val="fr-FR"/>
        </w:rPr>
        <w:t>examen” du document TGP/7, sur la base de l</w:t>
      </w:r>
      <w:r w:rsidR="00F3296C" w:rsidRPr="0048528B">
        <w:rPr>
          <w:lang w:val="fr-FR"/>
        </w:rPr>
        <w:t>’</w:t>
      </w:r>
      <w:r w:rsidR="00D25855" w:rsidRPr="0048528B">
        <w:rPr>
          <w:lang w:val="fr-FR"/>
        </w:rPr>
        <w:t xml:space="preserve">annexe du </w:t>
      </w:r>
      <w:r w:rsidR="00F3296C" w:rsidRPr="0048528B">
        <w:rPr>
          <w:lang w:val="fr-FR"/>
        </w:rPr>
        <w:t>document TC</w:t>
      </w:r>
      <w:r w:rsidR="00D25855" w:rsidRPr="0048528B">
        <w:rPr>
          <w:lang w:val="fr-FR"/>
        </w:rPr>
        <w:t>/49/19, vue de son introduction dans une future version révisée du document TGP/7 (voir le paragraphe</w:t>
      </w:r>
      <w:r w:rsidR="00E3136C" w:rsidRPr="0048528B">
        <w:rPr>
          <w:lang w:val="fr-FR"/>
        </w:rPr>
        <w:t> </w:t>
      </w:r>
      <w:r w:rsidR="00D25855" w:rsidRPr="0048528B">
        <w:rPr>
          <w:lang w:val="fr-FR"/>
        </w:rPr>
        <w:t xml:space="preserve">44 du </w:t>
      </w:r>
      <w:r w:rsidR="00F3296C" w:rsidRPr="0048528B">
        <w:rPr>
          <w:lang w:val="fr-FR"/>
        </w:rPr>
        <w:t>document TC</w:t>
      </w:r>
      <w:r w:rsidR="00D25855" w:rsidRPr="0048528B">
        <w:rPr>
          <w:lang w:val="fr-FR"/>
        </w:rPr>
        <w:t>/49/41 “Compte rendu des conclusions</w:t>
      </w:r>
      <w:r w:rsidR="00E3136C" w:rsidRPr="0048528B">
        <w:rPr>
          <w:lang w:val="fr-FR"/>
        </w:rPr>
        <w:t>”</w:t>
      </w:r>
      <w:r w:rsidR="00D25855" w:rsidRPr="0048528B">
        <w:rPr>
          <w:lang w:val="fr-FR"/>
        </w:rPr>
        <w:t>).</w:t>
      </w:r>
    </w:p>
    <w:p w:rsidR="00204800" w:rsidRPr="0048528B" w:rsidRDefault="00204800" w:rsidP="006A03CA">
      <w:pPr>
        <w:spacing w:line="360" w:lineRule="auto"/>
        <w:rPr>
          <w:lang w:val="fr-FR"/>
        </w:rPr>
      </w:pPr>
    </w:p>
    <w:p w:rsidR="00204800" w:rsidRPr="0048528B" w:rsidRDefault="00D25855" w:rsidP="006A03CA">
      <w:pPr>
        <w:pStyle w:val="Heading5"/>
        <w:rPr>
          <w:lang w:val="fr-FR"/>
        </w:rPr>
      </w:pPr>
      <w:r w:rsidRPr="0048528B">
        <w:rPr>
          <w:lang w:val="fr-FR"/>
        </w:rPr>
        <w:lastRenderedPageBreak/>
        <w:t>Remise de photographies avec le questionnaire technique</w:t>
      </w:r>
    </w:p>
    <w:p w:rsidR="00204800" w:rsidRPr="0048528B" w:rsidRDefault="00204800" w:rsidP="00196886">
      <w:pPr>
        <w:keepNext/>
        <w:rPr>
          <w:lang w:val="fr-FR"/>
        </w:rPr>
      </w:pPr>
    </w:p>
    <w:p w:rsidR="00204800" w:rsidRPr="0048528B" w:rsidRDefault="00196886" w:rsidP="00D2585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D25855" w:rsidRPr="0048528B">
        <w:rPr>
          <w:lang w:val="fr-FR"/>
        </w:rPr>
        <w:t>Le</w:t>
      </w:r>
      <w:r w:rsidR="00F3296C" w:rsidRPr="0048528B">
        <w:rPr>
          <w:lang w:val="fr-FR"/>
        </w:rPr>
        <w:t> TC</w:t>
      </w:r>
      <w:r w:rsidR="00D25855" w:rsidRPr="0048528B">
        <w:rPr>
          <w:lang w:val="fr-FR"/>
        </w:rPr>
        <w:t xml:space="preserve"> a examiné le </w:t>
      </w:r>
      <w:r w:rsidR="00F3296C" w:rsidRPr="0048528B">
        <w:rPr>
          <w:lang w:val="fr-FR"/>
        </w:rPr>
        <w:t>document TC</w:t>
      </w:r>
      <w:r w:rsidR="00D25855" w:rsidRPr="0048528B">
        <w:rPr>
          <w:lang w:val="fr-FR"/>
        </w:rPr>
        <w:t>/49/20.</w:t>
      </w:r>
    </w:p>
    <w:p w:rsidR="00204800" w:rsidRPr="0048528B" w:rsidRDefault="00204800" w:rsidP="00196886">
      <w:pPr>
        <w:rPr>
          <w:lang w:val="fr-FR"/>
        </w:rPr>
      </w:pPr>
    </w:p>
    <w:p w:rsidR="00204800" w:rsidRPr="0048528B" w:rsidRDefault="00196886" w:rsidP="00D2585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D25855" w:rsidRPr="0048528B">
        <w:rPr>
          <w:lang w:val="fr-FR"/>
        </w:rPr>
        <w:t>Le</w:t>
      </w:r>
      <w:r w:rsidR="00F3296C" w:rsidRPr="0048528B">
        <w:rPr>
          <w:lang w:val="fr-FR"/>
        </w:rPr>
        <w:t> TC</w:t>
      </w:r>
      <w:r w:rsidR="00D25855" w:rsidRPr="0048528B">
        <w:rPr>
          <w:lang w:val="fr-FR"/>
        </w:rPr>
        <w:t xml:space="preserve"> est convenu du nouveau texte standard supplémentaire et d</w:t>
      </w:r>
      <w:r w:rsidR="00F3296C" w:rsidRPr="0048528B">
        <w:rPr>
          <w:lang w:val="fr-FR"/>
        </w:rPr>
        <w:t>’</w:t>
      </w:r>
      <w:r w:rsidR="00D25855" w:rsidRPr="0048528B">
        <w:rPr>
          <w:lang w:val="fr-FR"/>
        </w:rPr>
        <w:t>une nouvelle note indicative pour la “remise de photographies avec le questionnaire technique”, sur la base de l</w:t>
      </w:r>
      <w:r w:rsidR="00F3296C" w:rsidRPr="0048528B">
        <w:rPr>
          <w:lang w:val="fr-FR"/>
        </w:rPr>
        <w:t>’</w:t>
      </w:r>
      <w:r w:rsidR="00D25855" w:rsidRPr="0048528B">
        <w:rPr>
          <w:lang w:val="fr-FR"/>
        </w:rPr>
        <w:t xml:space="preserve">annexe du </w:t>
      </w:r>
      <w:r w:rsidR="00F3296C" w:rsidRPr="0048528B">
        <w:rPr>
          <w:lang w:val="fr-FR"/>
        </w:rPr>
        <w:t>document TC</w:t>
      </w:r>
      <w:r w:rsidR="00D25855" w:rsidRPr="0048528B">
        <w:rPr>
          <w:lang w:val="fr-FR"/>
        </w:rPr>
        <w:t>/49/20 aux fins de leur inclusion dans une future version révisée du document TGP/7.</w:t>
      </w:r>
    </w:p>
    <w:p w:rsidR="00204800" w:rsidRPr="0048528B" w:rsidRDefault="00204800" w:rsidP="00196886">
      <w:pPr>
        <w:rPr>
          <w:lang w:val="fr-FR"/>
        </w:rPr>
      </w:pPr>
    </w:p>
    <w:p w:rsidR="00204800" w:rsidRPr="0048528B" w:rsidRDefault="00196886" w:rsidP="00D2585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D25855" w:rsidRPr="0048528B">
        <w:rPr>
          <w:lang w:val="fr-FR"/>
        </w:rPr>
        <w:t>Le</w:t>
      </w:r>
      <w:r w:rsidR="00F3296C" w:rsidRPr="0048528B">
        <w:rPr>
          <w:lang w:val="fr-FR"/>
        </w:rPr>
        <w:t> TC</w:t>
      </w:r>
      <w:r w:rsidR="00D25855" w:rsidRPr="0048528B">
        <w:rPr>
          <w:lang w:val="fr-FR"/>
        </w:rPr>
        <w:t xml:space="preserve"> est convenu que les “Conseils pour la remise de photographies avec le questionnaire technique” devraient être donnés aux membres de l</w:t>
      </w:r>
      <w:r w:rsidR="00F3296C" w:rsidRPr="0048528B">
        <w:rPr>
          <w:lang w:val="fr-FR"/>
        </w:rPr>
        <w:t>’</w:t>
      </w:r>
      <w:r w:rsidR="00D25855" w:rsidRPr="0048528B">
        <w:rPr>
          <w:lang w:val="fr-FR"/>
        </w:rPr>
        <w:t>Union au moyen d</w:t>
      </w:r>
      <w:r w:rsidR="00F3296C" w:rsidRPr="0048528B">
        <w:rPr>
          <w:lang w:val="fr-FR"/>
        </w:rPr>
        <w:t>’</w:t>
      </w:r>
      <w:r w:rsidR="00D25855" w:rsidRPr="0048528B">
        <w:rPr>
          <w:lang w:val="fr-FR"/>
        </w:rPr>
        <w:t>un lien avec la partie concernée du site Web de l</w:t>
      </w:r>
      <w:r w:rsidR="00F3296C" w:rsidRPr="0048528B">
        <w:rPr>
          <w:lang w:val="fr-FR"/>
        </w:rPr>
        <w:t>’</w:t>
      </w:r>
      <w:r w:rsidR="00D25855" w:rsidRPr="0048528B">
        <w:rPr>
          <w:lang w:val="fr-FR"/>
        </w:rPr>
        <w:t>UPOV.  Ce lien serait fourni de concert avec l</w:t>
      </w:r>
      <w:r w:rsidR="00F3296C" w:rsidRPr="0048528B">
        <w:rPr>
          <w:lang w:val="fr-FR"/>
        </w:rPr>
        <w:t>’</w:t>
      </w:r>
      <w:r w:rsidR="00D25855" w:rsidRPr="0048528B">
        <w:rPr>
          <w:lang w:val="fr-FR"/>
        </w:rPr>
        <w:t>ASW 16 dans la section 7 du questionnaire technique.  Le</w:t>
      </w:r>
      <w:r w:rsidR="00F3296C" w:rsidRPr="0048528B">
        <w:rPr>
          <w:lang w:val="fr-FR"/>
        </w:rPr>
        <w:t> TC</w:t>
      </w:r>
      <w:r w:rsidR="00D25855" w:rsidRPr="0048528B">
        <w:rPr>
          <w:lang w:val="fr-FR"/>
        </w:rPr>
        <w:t xml:space="preserve"> a noté que le lien pourrait être supprimé par les membres de l</w:t>
      </w:r>
      <w:r w:rsidR="00F3296C" w:rsidRPr="0048528B">
        <w:rPr>
          <w:lang w:val="fr-FR"/>
        </w:rPr>
        <w:t>’</w:t>
      </w:r>
      <w:r w:rsidR="00D25855" w:rsidRPr="0048528B">
        <w:rPr>
          <w:lang w:val="fr-FR"/>
        </w:rPr>
        <w:t>Union lorsqu</w:t>
      </w:r>
      <w:r w:rsidR="00F3296C" w:rsidRPr="0048528B">
        <w:rPr>
          <w:lang w:val="fr-FR"/>
        </w:rPr>
        <w:t>’</w:t>
      </w:r>
      <w:r w:rsidR="00D25855" w:rsidRPr="0048528B">
        <w:rPr>
          <w:lang w:val="fr-FR"/>
        </w:rPr>
        <w:t>ils élaborent les propres principes directeurs d</w:t>
      </w:r>
      <w:r w:rsidR="00F3296C" w:rsidRPr="0048528B">
        <w:rPr>
          <w:lang w:val="fr-FR"/>
        </w:rPr>
        <w:t>’</w:t>
      </w:r>
      <w:r w:rsidR="00D25855" w:rsidRPr="0048528B">
        <w:rPr>
          <w:lang w:val="fr-FR"/>
        </w:rPr>
        <w:t>examen de leurs services.</w:t>
      </w:r>
      <w:r w:rsidRPr="0048528B">
        <w:rPr>
          <w:lang w:val="fr-FR"/>
        </w:rPr>
        <w:t xml:space="preserve">  </w:t>
      </w:r>
      <w:r w:rsidR="00D25855" w:rsidRPr="0048528B">
        <w:rPr>
          <w:lang w:val="fr-FR"/>
        </w:rPr>
        <w:t>Le</w:t>
      </w:r>
      <w:r w:rsidR="00F3296C" w:rsidRPr="0048528B">
        <w:rPr>
          <w:lang w:val="fr-FR"/>
        </w:rPr>
        <w:t> TC</w:t>
      </w:r>
      <w:r w:rsidR="00D25855" w:rsidRPr="0048528B">
        <w:rPr>
          <w:lang w:val="fr-FR"/>
        </w:rPr>
        <w:t xml:space="preserve"> est également convenu d</w:t>
      </w:r>
      <w:r w:rsidR="00F3296C" w:rsidRPr="0048528B">
        <w:rPr>
          <w:lang w:val="fr-FR"/>
        </w:rPr>
        <w:t>’</w:t>
      </w:r>
      <w:r w:rsidR="00D25855" w:rsidRPr="0048528B">
        <w:rPr>
          <w:lang w:val="fr-FR"/>
        </w:rPr>
        <w:t>ajouter les</w:t>
      </w:r>
      <w:r w:rsidR="00A26EF1" w:rsidRPr="0048528B">
        <w:rPr>
          <w:lang w:val="fr-FR"/>
        </w:rPr>
        <w:t xml:space="preserve"> </w:t>
      </w:r>
      <w:r w:rsidR="00D25855" w:rsidRPr="0048528B">
        <w:rPr>
          <w:lang w:val="fr-FR"/>
        </w:rPr>
        <w:t>conseils dans la section 2.6 “Photographies” du document TGP/9 lors d</w:t>
      </w:r>
      <w:r w:rsidR="00F3296C" w:rsidRPr="0048528B">
        <w:rPr>
          <w:lang w:val="fr-FR"/>
        </w:rPr>
        <w:t>’</w:t>
      </w:r>
      <w:r w:rsidR="00D25855" w:rsidRPr="0048528B">
        <w:rPr>
          <w:lang w:val="fr-FR"/>
        </w:rPr>
        <w:t>une future version révisée de ce document (voir les paragraphes</w:t>
      </w:r>
      <w:r w:rsidR="00E3136C" w:rsidRPr="0048528B">
        <w:rPr>
          <w:lang w:val="fr-FR"/>
        </w:rPr>
        <w:t> </w:t>
      </w:r>
      <w:r w:rsidR="00D25855" w:rsidRPr="0048528B">
        <w:rPr>
          <w:lang w:val="fr-FR"/>
        </w:rPr>
        <w:t xml:space="preserve">46 et 47 du </w:t>
      </w:r>
      <w:r w:rsidR="00F3296C" w:rsidRPr="0048528B">
        <w:rPr>
          <w:lang w:val="fr-FR"/>
        </w:rPr>
        <w:t>document TC</w:t>
      </w:r>
      <w:r w:rsidR="00D25855" w:rsidRPr="0048528B">
        <w:rPr>
          <w:lang w:val="fr-FR"/>
        </w:rPr>
        <w:t>/49/41 “Compte rendu des conclusions</w:t>
      </w:r>
      <w:r w:rsidR="00E3136C" w:rsidRPr="0048528B">
        <w:rPr>
          <w:lang w:val="fr-FR"/>
        </w:rPr>
        <w:t>”</w:t>
      </w:r>
      <w:r w:rsidR="00D25855" w:rsidRPr="0048528B">
        <w:rPr>
          <w:lang w:val="fr-FR"/>
        </w:rPr>
        <w:t>).</w:t>
      </w:r>
    </w:p>
    <w:p w:rsidR="00204800" w:rsidRPr="0048528B" w:rsidRDefault="00204800" w:rsidP="00196886">
      <w:pPr>
        <w:spacing w:line="360" w:lineRule="auto"/>
        <w:rPr>
          <w:lang w:val="fr-FR"/>
        </w:rPr>
      </w:pPr>
    </w:p>
    <w:p w:rsidR="00204800" w:rsidRPr="0048528B" w:rsidRDefault="00D25855" w:rsidP="00473A08">
      <w:pPr>
        <w:pStyle w:val="Heading4"/>
        <w:rPr>
          <w:lang w:val="fr-FR"/>
        </w:rPr>
      </w:pPr>
      <w:r w:rsidRPr="0048528B">
        <w:rPr>
          <w:lang w:val="fr-FR"/>
        </w:rPr>
        <w:t>TGP/8 : Protocole d</w:t>
      </w:r>
      <w:r w:rsidR="00F3296C" w:rsidRPr="0048528B">
        <w:rPr>
          <w:lang w:val="fr-FR"/>
        </w:rPr>
        <w:t>’</w:t>
      </w:r>
      <w:r w:rsidRPr="0048528B">
        <w:rPr>
          <w:lang w:val="fr-FR"/>
        </w:rPr>
        <w:t>essai et techniques utilisés dans l</w:t>
      </w:r>
      <w:r w:rsidR="00F3296C" w:rsidRPr="0048528B">
        <w:rPr>
          <w:lang w:val="fr-FR"/>
        </w:rPr>
        <w:t>’</w:t>
      </w:r>
      <w:r w:rsidRPr="0048528B">
        <w:rPr>
          <w:lang w:val="fr-FR"/>
        </w:rPr>
        <w:t>examen de la</w:t>
      </w:r>
      <w:r w:rsidR="000E5325" w:rsidRPr="0048528B">
        <w:rPr>
          <w:lang w:val="fr-FR"/>
        </w:rPr>
        <w:t> </w:t>
      </w:r>
      <w:r w:rsidRPr="0048528B">
        <w:rPr>
          <w:lang w:val="fr-FR"/>
        </w:rPr>
        <w:t>distinction, de l</w:t>
      </w:r>
      <w:r w:rsidR="00F3296C" w:rsidRPr="0048528B">
        <w:rPr>
          <w:lang w:val="fr-FR"/>
        </w:rPr>
        <w:t>’</w:t>
      </w:r>
      <w:r w:rsidRPr="0048528B">
        <w:rPr>
          <w:lang w:val="fr-FR"/>
        </w:rPr>
        <w:t>homogénéité et de la stabilité</w:t>
      </w:r>
    </w:p>
    <w:p w:rsidR="00204800" w:rsidRPr="0048528B" w:rsidRDefault="00204800" w:rsidP="00196886">
      <w:pPr>
        <w:keepNext/>
        <w:rPr>
          <w:lang w:val="fr-FR"/>
        </w:rPr>
      </w:pPr>
    </w:p>
    <w:p w:rsidR="00CE0C30" w:rsidRPr="0048528B" w:rsidRDefault="00D25855" w:rsidP="006A03CA">
      <w:pPr>
        <w:pStyle w:val="Heading5"/>
        <w:rPr>
          <w:lang w:val="fr-FR"/>
        </w:rPr>
      </w:pPr>
      <w:r w:rsidRPr="0048528B">
        <w:rPr>
          <w:lang w:val="fr-FR"/>
        </w:rPr>
        <w:t>Révision du document TGP/8</w:t>
      </w:r>
      <w:r w:rsidR="00E3136C" w:rsidRPr="0048528B">
        <w:rPr>
          <w:lang w:val="fr-FR"/>
        </w:rPr>
        <w:t> </w:t>
      </w:r>
      <w:r w:rsidRPr="0048528B">
        <w:rPr>
          <w:lang w:val="fr-FR"/>
        </w:rPr>
        <w:t>: Premiè</w:t>
      </w:r>
      <w:r w:rsidR="001E5B04" w:rsidRPr="0048528B">
        <w:rPr>
          <w:lang w:val="fr-FR"/>
        </w:rPr>
        <w:t>re partie</w:t>
      </w:r>
      <w:r w:rsidR="00E3136C" w:rsidRPr="0048528B">
        <w:rPr>
          <w:lang w:val="fr-FR"/>
        </w:rPr>
        <w:t> </w:t>
      </w:r>
      <w:r w:rsidR="001E5B04" w:rsidRPr="0048528B">
        <w:rPr>
          <w:lang w:val="fr-FR"/>
        </w:rPr>
        <w:t>: P</w:t>
      </w:r>
      <w:r w:rsidRPr="0048528B">
        <w:rPr>
          <w:lang w:val="fr-FR"/>
        </w:rPr>
        <w:t>rotocole d</w:t>
      </w:r>
      <w:r w:rsidR="00F3296C" w:rsidRPr="0048528B">
        <w:rPr>
          <w:lang w:val="fr-FR"/>
        </w:rPr>
        <w:t>’</w:t>
      </w:r>
      <w:r w:rsidRPr="0048528B">
        <w:rPr>
          <w:lang w:val="fr-FR"/>
        </w:rPr>
        <w:t>essai DHS et analyse des donné</w:t>
      </w:r>
      <w:r w:rsidR="000E5325" w:rsidRPr="0048528B">
        <w:rPr>
          <w:lang w:val="fr-FR"/>
        </w:rPr>
        <w:t>es, n</w:t>
      </w:r>
      <w:r w:rsidRPr="0048528B">
        <w:rPr>
          <w:lang w:val="fr-FR"/>
        </w:rPr>
        <w:t xml:space="preserve">ouvelle </w:t>
      </w:r>
      <w:r w:rsidR="001E5B04" w:rsidRPr="0048528B">
        <w:rPr>
          <w:lang w:val="fr-FR"/>
        </w:rPr>
        <w:t>s</w:t>
      </w:r>
      <w:r w:rsidRPr="0048528B">
        <w:rPr>
          <w:lang w:val="fr-FR"/>
        </w:rPr>
        <w:t>ection</w:t>
      </w:r>
      <w:r w:rsidR="00E3136C" w:rsidRPr="0048528B">
        <w:rPr>
          <w:lang w:val="fr-FR"/>
        </w:rPr>
        <w:t> </w:t>
      </w:r>
      <w:r w:rsidRPr="0048528B">
        <w:rPr>
          <w:lang w:val="fr-FR"/>
        </w:rPr>
        <w:t xml:space="preserve">2 </w:t>
      </w:r>
      <w:r w:rsidR="000E5325" w:rsidRPr="0048528B">
        <w:rPr>
          <w:lang w:val="fr-FR"/>
        </w:rPr>
        <w:t>–</w:t>
      </w:r>
      <w:r w:rsidRPr="0048528B">
        <w:rPr>
          <w:lang w:val="fr-FR"/>
        </w:rPr>
        <w:t xml:space="preserve"> Données à enregistrer</w:t>
      </w:r>
    </w:p>
    <w:p w:rsidR="00204800" w:rsidRPr="0048528B" w:rsidRDefault="00204800" w:rsidP="00196886">
      <w:pPr>
        <w:keepNext/>
        <w:rPr>
          <w:rFonts w:cs="Arial"/>
          <w:lang w:val="fr-FR"/>
        </w:rPr>
      </w:pPr>
    </w:p>
    <w:p w:rsidR="00204800" w:rsidRPr="0048528B" w:rsidRDefault="00196886" w:rsidP="00D25855">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rFonts w:cs="Arial"/>
          <w:lang w:val="fr-FR"/>
        </w:rPr>
        <w:t>Le</w:t>
      </w:r>
      <w:r w:rsidR="00F3296C" w:rsidRPr="0048528B">
        <w:rPr>
          <w:rFonts w:cs="Arial"/>
          <w:lang w:val="fr-FR"/>
        </w:rPr>
        <w:t> TC</w:t>
      </w:r>
      <w:r w:rsidR="00D25855" w:rsidRPr="0048528B">
        <w:rPr>
          <w:rFonts w:cs="Arial"/>
          <w:lang w:val="fr-FR"/>
        </w:rPr>
        <w:t xml:space="preserve"> a examiné le </w:t>
      </w:r>
      <w:r w:rsidR="00F3296C" w:rsidRPr="0048528B">
        <w:rPr>
          <w:rFonts w:cs="Arial"/>
          <w:lang w:val="fr-FR"/>
        </w:rPr>
        <w:t>document TC</w:t>
      </w:r>
      <w:r w:rsidR="00D25855" w:rsidRPr="0048528B">
        <w:rPr>
          <w:rFonts w:cs="Arial"/>
          <w:lang w:val="fr-FR"/>
        </w:rPr>
        <w:t>/49/21.</w:t>
      </w:r>
    </w:p>
    <w:p w:rsidR="00204800" w:rsidRPr="0048528B" w:rsidRDefault="00204800" w:rsidP="00196886">
      <w:pPr>
        <w:rPr>
          <w:rFonts w:cs="Arial"/>
          <w:lang w:val="fr-FR"/>
        </w:rPr>
      </w:pPr>
    </w:p>
    <w:p w:rsidR="00204800" w:rsidRPr="0048528B" w:rsidRDefault="00196886" w:rsidP="00D25855">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lang w:val="fr-FR"/>
        </w:rPr>
        <w:t>Le</w:t>
      </w:r>
      <w:r w:rsidR="00F3296C" w:rsidRPr="0048528B">
        <w:rPr>
          <w:lang w:val="fr-FR"/>
        </w:rPr>
        <w:t> TC</w:t>
      </w:r>
      <w:r w:rsidR="00D25855" w:rsidRPr="0048528B">
        <w:rPr>
          <w:lang w:val="fr-FR"/>
        </w:rPr>
        <w:t xml:space="preserve"> est convenu de l</w:t>
      </w:r>
      <w:r w:rsidR="00F3296C" w:rsidRPr="0048528B">
        <w:rPr>
          <w:lang w:val="fr-FR"/>
        </w:rPr>
        <w:t>’</w:t>
      </w:r>
      <w:r w:rsidR="00D25855" w:rsidRPr="0048528B">
        <w:rPr>
          <w:lang w:val="fr-FR"/>
        </w:rPr>
        <w:t>incorporation du texte proposé pour la nouvelle section 2 : “Données à enregistrer” dans une future version révisée du document TGP/8 : Première partie : Protocole d</w:t>
      </w:r>
      <w:r w:rsidR="00F3296C" w:rsidRPr="0048528B">
        <w:rPr>
          <w:lang w:val="fr-FR"/>
        </w:rPr>
        <w:t>’</w:t>
      </w:r>
      <w:r w:rsidR="00D25855" w:rsidRPr="0048528B">
        <w:rPr>
          <w:lang w:val="fr-FR"/>
        </w:rPr>
        <w:t>essai DHS et analyse des données comme indiqué dans l</w:t>
      </w:r>
      <w:r w:rsidR="00F3296C" w:rsidRPr="0048528B">
        <w:rPr>
          <w:lang w:val="fr-FR"/>
        </w:rPr>
        <w:t>’</w:t>
      </w:r>
      <w:r w:rsidR="00D25855" w:rsidRPr="0048528B">
        <w:rPr>
          <w:lang w:val="fr-FR"/>
        </w:rPr>
        <w:t xml:space="preserve">annexe du </w:t>
      </w:r>
      <w:r w:rsidR="00F3296C" w:rsidRPr="0048528B">
        <w:rPr>
          <w:lang w:val="fr-FR"/>
        </w:rPr>
        <w:t>document TC</w:t>
      </w:r>
      <w:r w:rsidR="00D25855" w:rsidRPr="0048528B">
        <w:rPr>
          <w:lang w:val="fr-FR"/>
        </w:rPr>
        <w:t>/49/21, sous réserve de l</w:t>
      </w:r>
      <w:r w:rsidR="00B01B5C" w:rsidRPr="0048528B">
        <w:rPr>
          <w:lang w:val="fr-FR"/>
        </w:rPr>
        <w:t>a révision du document TGP/8 : d</w:t>
      </w:r>
      <w:r w:rsidR="00D25855" w:rsidRPr="0048528B">
        <w:rPr>
          <w:lang w:val="fr-FR"/>
        </w:rPr>
        <w:t xml:space="preserve">euxième partie, section 3, section 4 et section 10, comme indiqué dans les annexes des </w:t>
      </w:r>
      <w:r w:rsidR="00F3296C" w:rsidRPr="0048528B">
        <w:rPr>
          <w:lang w:val="fr-FR"/>
        </w:rPr>
        <w:t>documents TC</w:t>
      </w:r>
      <w:r w:rsidR="00D25855" w:rsidRPr="0048528B">
        <w:rPr>
          <w:lang w:val="fr-FR"/>
        </w:rPr>
        <w:t>/49/24</w:t>
      </w:r>
      <w:r w:rsidR="00F3296C" w:rsidRPr="0048528B">
        <w:rPr>
          <w:lang w:val="fr-FR"/>
        </w:rPr>
        <w:t>, TC</w:t>
      </w:r>
      <w:r w:rsidR="00D25855" w:rsidRPr="0048528B">
        <w:rPr>
          <w:lang w:val="fr-FR"/>
        </w:rPr>
        <w:t>/49/26 et</w:t>
      </w:r>
      <w:r w:rsidR="00F3296C" w:rsidRPr="0048528B">
        <w:rPr>
          <w:lang w:val="fr-FR"/>
        </w:rPr>
        <w:t> TC</w:t>
      </w:r>
      <w:r w:rsidR="00D25855" w:rsidRPr="0048528B">
        <w:rPr>
          <w:lang w:val="fr-FR"/>
        </w:rPr>
        <w:t>/49/27 (voir le paragraphe</w:t>
      </w:r>
      <w:r w:rsidR="00E3136C" w:rsidRPr="0048528B">
        <w:rPr>
          <w:lang w:val="fr-FR"/>
        </w:rPr>
        <w:t> </w:t>
      </w:r>
      <w:r w:rsidR="00D25855" w:rsidRPr="0048528B">
        <w:rPr>
          <w:lang w:val="fr-FR"/>
        </w:rPr>
        <w:t xml:space="preserve">49 du </w:t>
      </w:r>
      <w:r w:rsidR="00F3296C" w:rsidRPr="0048528B">
        <w:rPr>
          <w:lang w:val="fr-FR"/>
        </w:rPr>
        <w:t>document TC</w:t>
      </w:r>
      <w:r w:rsidR="00D25855" w:rsidRPr="0048528B">
        <w:rPr>
          <w:lang w:val="fr-FR"/>
        </w:rPr>
        <w:t>/49/41 “Compte rendu des conclusions</w:t>
      </w:r>
      <w:r w:rsidR="00E3136C" w:rsidRPr="0048528B">
        <w:rPr>
          <w:lang w:val="fr-FR"/>
        </w:rPr>
        <w:t>”</w:t>
      </w:r>
      <w:r w:rsidR="00D25855" w:rsidRPr="0048528B">
        <w:rPr>
          <w:lang w:val="fr-FR"/>
        </w:rPr>
        <w:t>).</w:t>
      </w:r>
    </w:p>
    <w:p w:rsidR="00204800" w:rsidRPr="0048528B" w:rsidRDefault="00204800" w:rsidP="006A03CA">
      <w:pPr>
        <w:spacing w:line="360" w:lineRule="auto"/>
        <w:rPr>
          <w:rFonts w:cs="Arial"/>
          <w:lang w:val="fr-FR"/>
        </w:rPr>
      </w:pPr>
    </w:p>
    <w:p w:rsidR="00CE0C30" w:rsidRPr="0048528B" w:rsidRDefault="00D25855" w:rsidP="006A03CA">
      <w:pPr>
        <w:pStyle w:val="Heading5"/>
        <w:rPr>
          <w:lang w:val="fr-FR"/>
        </w:rPr>
      </w:pPr>
      <w:r w:rsidRPr="0048528B">
        <w:rPr>
          <w:lang w:val="fr-FR"/>
        </w:rPr>
        <w:t>Révision du document TGP/8 :</w:t>
      </w:r>
      <w:r w:rsidRPr="0048528B">
        <w:rPr>
          <w:i/>
          <w:lang w:val="fr-FR"/>
        </w:rPr>
        <w:t xml:space="preserve"> </w:t>
      </w:r>
      <w:r w:rsidRPr="0048528B">
        <w:rPr>
          <w:lang w:val="fr-FR"/>
        </w:rPr>
        <w:t>première partie : Protocole d</w:t>
      </w:r>
      <w:r w:rsidR="00F3296C" w:rsidRPr="0048528B">
        <w:rPr>
          <w:lang w:val="fr-FR"/>
        </w:rPr>
        <w:t>’</w:t>
      </w:r>
      <w:r w:rsidRPr="0048528B">
        <w:rPr>
          <w:lang w:val="fr-FR"/>
        </w:rPr>
        <w:t xml:space="preserve">essai DHS et analyse des données, </w:t>
      </w:r>
      <w:r w:rsidR="000E5325" w:rsidRPr="0048528B">
        <w:rPr>
          <w:lang w:val="fr-FR"/>
        </w:rPr>
        <w:t>n</w:t>
      </w:r>
      <w:r w:rsidRPr="0048528B">
        <w:rPr>
          <w:lang w:val="fr-FR"/>
        </w:rPr>
        <w:t>ouvelle section : Réduction optimale de la variation</w:t>
      </w:r>
      <w:r w:rsidR="001E5B04" w:rsidRPr="0048528B">
        <w:rPr>
          <w:lang w:val="fr-FR"/>
        </w:rPr>
        <w:t xml:space="preserve"> </w:t>
      </w:r>
      <w:r w:rsidRPr="0048528B">
        <w:rPr>
          <w:lang w:val="fr-FR"/>
        </w:rPr>
        <w:t>due à différents observateurs</w:t>
      </w:r>
    </w:p>
    <w:p w:rsidR="00204800" w:rsidRPr="0048528B" w:rsidRDefault="00204800" w:rsidP="00196886">
      <w:pPr>
        <w:keepNext/>
        <w:ind w:left="284"/>
        <w:rPr>
          <w:rFonts w:cs="Arial"/>
          <w:lang w:val="fr-FR"/>
        </w:rPr>
      </w:pPr>
    </w:p>
    <w:p w:rsidR="00204800" w:rsidRPr="0048528B" w:rsidRDefault="00196886" w:rsidP="00D25855">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rFonts w:cs="Arial"/>
          <w:lang w:val="fr-FR"/>
        </w:rPr>
        <w:t>Le</w:t>
      </w:r>
      <w:r w:rsidR="00F3296C" w:rsidRPr="0048528B">
        <w:rPr>
          <w:rFonts w:cs="Arial"/>
          <w:lang w:val="fr-FR"/>
        </w:rPr>
        <w:t> TC</w:t>
      </w:r>
      <w:r w:rsidR="00D25855" w:rsidRPr="0048528B">
        <w:rPr>
          <w:rFonts w:cs="Arial"/>
          <w:lang w:val="fr-FR"/>
        </w:rPr>
        <w:t xml:space="preserve"> a examiné le </w:t>
      </w:r>
      <w:r w:rsidR="00F3296C" w:rsidRPr="0048528B">
        <w:rPr>
          <w:rFonts w:cs="Arial"/>
          <w:lang w:val="fr-FR"/>
        </w:rPr>
        <w:t>document TC</w:t>
      </w:r>
      <w:r w:rsidR="00D25855" w:rsidRPr="0048528B">
        <w:rPr>
          <w:rFonts w:cs="Arial"/>
          <w:lang w:val="fr-FR"/>
        </w:rPr>
        <w:t>/49/22.</w:t>
      </w:r>
    </w:p>
    <w:p w:rsidR="00204800" w:rsidRPr="0048528B" w:rsidRDefault="00204800" w:rsidP="00196886">
      <w:pPr>
        <w:rPr>
          <w:rFonts w:cs="Arial"/>
          <w:lang w:val="fr-FR"/>
        </w:rPr>
      </w:pPr>
    </w:p>
    <w:p w:rsidR="00204800" w:rsidRPr="0048528B" w:rsidRDefault="00196886" w:rsidP="00D25855">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iCs/>
          <w:snapToGrid w:val="0"/>
          <w:spacing w:val="-4"/>
          <w:lang w:val="fr-FR"/>
        </w:rPr>
        <w:t>Le</w:t>
      </w:r>
      <w:r w:rsidR="00F3296C" w:rsidRPr="0048528B">
        <w:rPr>
          <w:iCs/>
          <w:snapToGrid w:val="0"/>
          <w:spacing w:val="-4"/>
          <w:lang w:val="fr-FR"/>
        </w:rPr>
        <w:t> TC</w:t>
      </w:r>
      <w:r w:rsidR="00D25855" w:rsidRPr="0048528B">
        <w:rPr>
          <w:iCs/>
          <w:snapToGrid w:val="0"/>
          <w:spacing w:val="-4"/>
          <w:lang w:val="fr-FR"/>
        </w:rPr>
        <w:t xml:space="preserve"> est convenu de demander à l</w:t>
      </w:r>
      <w:r w:rsidR="00F3296C" w:rsidRPr="0048528B">
        <w:rPr>
          <w:iCs/>
          <w:snapToGrid w:val="0"/>
          <w:spacing w:val="-4"/>
          <w:lang w:val="fr-FR"/>
        </w:rPr>
        <w:t>’</w:t>
      </w:r>
      <w:r w:rsidR="00D25855" w:rsidRPr="0048528B">
        <w:rPr>
          <w:iCs/>
          <w:snapToGrid w:val="0"/>
          <w:spacing w:val="-4"/>
          <w:lang w:val="fr-FR"/>
        </w:rPr>
        <w:t>expert des Pays</w:t>
      </w:r>
      <w:r w:rsidR="003F00B6" w:rsidRPr="0048528B">
        <w:rPr>
          <w:iCs/>
          <w:snapToGrid w:val="0"/>
          <w:spacing w:val="-4"/>
          <w:lang w:val="fr-FR"/>
        </w:rPr>
        <w:noBreakHyphen/>
      </w:r>
      <w:r w:rsidR="00D25855" w:rsidRPr="0048528B">
        <w:rPr>
          <w:iCs/>
          <w:snapToGrid w:val="0"/>
          <w:spacing w:val="-4"/>
          <w:lang w:val="fr-FR"/>
        </w:rPr>
        <w:t>Bas d</w:t>
      </w:r>
      <w:r w:rsidR="00F3296C" w:rsidRPr="0048528B">
        <w:rPr>
          <w:iCs/>
          <w:snapToGrid w:val="0"/>
          <w:spacing w:val="-4"/>
          <w:lang w:val="fr-FR"/>
        </w:rPr>
        <w:t>’</w:t>
      </w:r>
      <w:r w:rsidR="00D25855" w:rsidRPr="0048528B">
        <w:rPr>
          <w:iCs/>
          <w:snapToGrid w:val="0"/>
          <w:spacing w:val="-4"/>
          <w:lang w:val="fr-FR"/>
        </w:rPr>
        <w:t>élaborer un nouveau projet de section sur la “Réduction optimale de la variation due à différents observateurs” pour examen par les TWP à leurs sessions en 2013, sur la base des observations formulées par les TWP à leurs sessions en 2012 et par le</w:t>
      </w:r>
      <w:r w:rsidR="00F3296C" w:rsidRPr="0048528B">
        <w:rPr>
          <w:iCs/>
          <w:snapToGrid w:val="0"/>
          <w:spacing w:val="-4"/>
          <w:lang w:val="fr-FR"/>
        </w:rPr>
        <w:t> TC</w:t>
      </w:r>
      <w:r w:rsidR="003F00B6" w:rsidRPr="0048528B">
        <w:rPr>
          <w:iCs/>
          <w:snapToGrid w:val="0"/>
          <w:spacing w:val="-4"/>
          <w:lang w:val="fr-FR"/>
        </w:rPr>
        <w:noBreakHyphen/>
      </w:r>
      <w:r w:rsidR="00F3296C" w:rsidRPr="0048528B">
        <w:rPr>
          <w:iCs/>
          <w:snapToGrid w:val="0"/>
          <w:spacing w:val="-4"/>
          <w:lang w:val="fr-FR"/>
        </w:rPr>
        <w:t>EDC</w:t>
      </w:r>
      <w:r w:rsidR="00D25855" w:rsidRPr="0048528B">
        <w:rPr>
          <w:iCs/>
          <w:snapToGrid w:val="0"/>
          <w:spacing w:val="-4"/>
          <w:lang w:val="fr-FR"/>
        </w:rPr>
        <w:t xml:space="preserve"> à sa réunion en janvier 2013, et, en particulier, pour inclure des conseils sur les caractères PQ et QN/MG (voir le paragraphe</w:t>
      </w:r>
      <w:r w:rsidR="00E3136C" w:rsidRPr="0048528B">
        <w:rPr>
          <w:iCs/>
          <w:snapToGrid w:val="0"/>
          <w:spacing w:val="-4"/>
          <w:lang w:val="fr-FR"/>
        </w:rPr>
        <w:t> </w:t>
      </w:r>
      <w:r w:rsidR="00D25855" w:rsidRPr="0048528B">
        <w:rPr>
          <w:iCs/>
          <w:snapToGrid w:val="0"/>
          <w:spacing w:val="-4"/>
          <w:lang w:val="fr-FR"/>
        </w:rPr>
        <w:t xml:space="preserve">51 du </w:t>
      </w:r>
      <w:r w:rsidR="00F3296C" w:rsidRPr="0048528B">
        <w:rPr>
          <w:iCs/>
          <w:snapToGrid w:val="0"/>
          <w:spacing w:val="-4"/>
          <w:lang w:val="fr-FR"/>
        </w:rPr>
        <w:t>document TC</w:t>
      </w:r>
      <w:r w:rsidR="00D25855" w:rsidRPr="0048528B">
        <w:rPr>
          <w:iCs/>
          <w:snapToGrid w:val="0"/>
          <w:spacing w:val="-4"/>
          <w:lang w:val="fr-FR"/>
        </w:rPr>
        <w:t>/49/41 “Compte rendu des conclusions</w:t>
      </w:r>
      <w:r w:rsidR="00E3136C" w:rsidRPr="0048528B">
        <w:rPr>
          <w:iCs/>
          <w:snapToGrid w:val="0"/>
          <w:spacing w:val="-4"/>
          <w:lang w:val="fr-FR"/>
        </w:rPr>
        <w:t>”</w:t>
      </w:r>
      <w:r w:rsidR="00D25855" w:rsidRPr="0048528B">
        <w:rPr>
          <w:iCs/>
          <w:snapToGrid w:val="0"/>
          <w:spacing w:val="-4"/>
          <w:lang w:val="fr-FR"/>
        </w:rPr>
        <w:t>).</w:t>
      </w:r>
    </w:p>
    <w:p w:rsidR="00204800" w:rsidRPr="0048528B" w:rsidRDefault="00204800" w:rsidP="006A03CA">
      <w:pPr>
        <w:spacing w:line="360" w:lineRule="auto"/>
        <w:rPr>
          <w:lang w:val="fr-FR"/>
        </w:rPr>
      </w:pPr>
    </w:p>
    <w:p w:rsidR="00CE0C30" w:rsidRPr="0048528B" w:rsidRDefault="00D25855" w:rsidP="006A03CA">
      <w:pPr>
        <w:pStyle w:val="Heading5"/>
        <w:rPr>
          <w:lang w:val="fr-FR"/>
        </w:rPr>
      </w:pPr>
      <w:r w:rsidRPr="0048528B">
        <w:rPr>
          <w:lang w:val="fr-FR"/>
        </w:rPr>
        <w:t xml:space="preserve">Révision du document TGP/8 : Première partie : </w:t>
      </w:r>
      <w:r w:rsidR="00992901" w:rsidRPr="0048528B">
        <w:rPr>
          <w:lang w:val="fr-FR"/>
        </w:rPr>
        <w:t>P</w:t>
      </w:r>
      <w:r w:rsidRPr="0048528B">
        <w:rPr>
          <w:lang w:val="fr-FR"/>
        </w:rPr>
        <w:t>rotocole d</w:t>
      </w:r>
      <w:r w:rsidR="00F3296C" w:rsidRPr="0048528B">
        <w:rPr>
          <w:lang w:val="fr-FR"/>
        </w:rPr>
        <w:t>’</w:t>
      </w:r>
      <w:r w:rsidRPr="0048528B">
        <w:rPr>
          <w:lang w:val="fr-FR"/>
        </w:rPr>
        <w:t>essai DHS et analyse des donné</w:t>
      </w:r>
      <w:r w:rsidR="00992901" w:rsidRPr="0048528B">
        <w:rPr>
          <w:lang w:val="fr-FR"/>
        </w:rPr>
        <w:t xml:space="preserve">es, </w:t>
      </w:r>
      <w:r w:rsidR="000E5325" w:rsidRPr="0048528B">
        <w:rPr>
          <w:lang w:val="fr-FR"/>
        </w:rPr>
        <w:t>n</w:t>
      </w:r>
      <w:r w:rsidRPr="0048528B">
        <w:rPr>
          <w:lang w:val="fr-FR"/>
        </w:rPr>
        <w:t>ouvelle section : Réduction de la taille des essais</w:t>
      </w:r>
    </w:p>
    <w:p w:rsidR="00204800" w:rsidRPr="0048528B" w:rsidRDefault="00204800" w:rsidP="00196886">
      <w:pPr>
        <w:keepNext/>
        <w:rPr>
          <w:rFonts w:cs="Arial"/>
          <w:lang w:val="fr-FR"/>
        </w:rPr>
      </w:pPr>
    </w:p>
    <w:p w:rsidR="00CE0C30" w:rsidRPr="0048528B" w:rsidRDefault="00196886" w:rsidP="00D25855">
      <w:pPr>
        <w:keepNext/>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rFonts w:cs="Arial"/>
          <w:lang w:val="fr-FR"/>
        </w:rPr>
        <w:t>Le</w:t>
      </w:r>
      <w:r w:rsidR="00F3296C" w:rsidRPr="0048528B">
        <w:rPr>
          <w:rFonts w:cs="Arial"/>
          <w:lang w:val="fr-FR"/>
        </w:rPr>
        <w:t> TC</w:t>
      </w:r>
      <w:r w:rsidR="00D25855" w:rsidRPr="0048528B">
        <w:rPr>
          <w:rFonts w:cs="Arial"/>
          <w:lang w:val="fr-FR"/>
        </w:rPr>
        <w:t xml:space="preserve"> a examiné le </w:t>
      </w:r>
      <w:r w:rsidR="00F3296C" w:rsidRPr="0048528B">
        <w:rPr>
          <w:rFonts w:cs="Arial"/>
          <w:lang w:val="fr-FR"/>
        </w:rPr>
        <w:t>document TC</w:t>
      </w:r>
      <w:r w:rsidR="00D25855" w:rsidRPr="0048528B">
        <w:rPr>
          <w:rFonts w:cs="Arial"/>
          <w:lang w:val="fr-FR"/>
        </w:rPr>
        <w:t>/49/23.</w:t>
      </w:r>
    </w:p>
    <w:p w:rsidR="005177E5" w:rsidRPr="0048528B" w:rsidRDefault="005177E5" w:rsidP="00D25855">
      <w:pPr>
        <w:keepNext/>
        <w:rPr>
          <w:rFonts w:cs="Arial"/>
          <w:lang w:val="fr-FR"/>
        </w:rPr>
      </w:pPr>
    </w:p>
    <w:p w:rsidR="000E5325" w:rsidRPr="0048528B" w:rsidRDefault="00196886" w:rsidP="006A03CA">
      <w:pPr>
        <w:rPr>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lang w:val="fr-FR"/>
        </w:rPr>
        <w:t>Le</w:t>
      </w:r>
      <w:r w:rsidR="00F3296C" w:rsidRPr="0048528B">
        <w:rPr>
          <w:lang w:val="fr-FR"/>
        </w:rPr>
        <w:t> TC</w:t>
      </w:r>
      <w:r w:rsidR="00D25855" w:rsidRPr="0048528B">
        <w:rPr>
          <w:lang w:val="fr-FR"/>
        </w:rPr>
        <w:t xml:space="preserve"> est convenu de l</w:t>
      </w:r>
      <w:r w:rsidR="00F3296C" w:rsidRPr="0048528B">
        <w:rPr>
          <w:lang w:val="fr-FR"/>
        </w:rPr>
        <w:t>’</w:t>
      </w:r>
      <w:r w:rsidR="00D25855" w:rsidRPr="0048528B">
        <w:rPr>
          <w:lang w:val="fr-FR"/>
        </w:rPr>
        <w:t>incorporation du texte proposé pour une nouvelle section intitulée “Réduction de la taille des essais”, sur la base de l</w:t>
      </w:r>
      <w:r w:rsidR="00F3296C" w:rsidRPr="0048528B">
        <w:rPr>
          <w:lang w:val="fr-FR"/>
        </w:rPr>
        <w:t>’</w:t>
      </w:r>
      <w:r w:rsidR="00D25855" w:rsidRPr="0048528B">
        <w:rPr>
          <w:lang w:val="fr-FR"/>
        </w:rPr>
        <w:t xml:space="preserve">annexe du </w:t>
      </w:r>
      <w:r w:rsidR="00F3296C" w:rsidRPr="0048528B">
        <w:rPr>
          <w:lang w:val="fr-FR"/>
        </w:rPr>
        <w:t>document TC</w:t>
      </w:r>
      <w:r w:rsidR="00D25855" w:rsidRPr="0048528B">
        <w:rPr>
          <w:lang w:val="fr-FR"/>
        </w:rPr>
        <w:t>/49/23, dans une future version révisée du document TGP/8, après la suppression de la première phrase du paragraphe 1.6, qui se lit comme suit : “Cette section est importante pour le lecteur qui s</w:t>
      </w:r>
      <w:r w:rsidR="00F3296C" w:rsidRPr="0048528B">
        <w:rPr>
          <w:lang w:val="fr-FR"/>
        </w:rPr>
        <w:t>’</w:t>
      </w:r>
      <w:r w:rsidR="00D25855" w:rsidRPr="0048528B">
        <w:rPr>
          <w:lang w:val="fr-FR"/>
        </w:rPr>
        <w:t>intéresse aux détails techniques” (voir le paragraphe</w:t>
      </w:r>
      <w:r w:rsidR="00E3136C" w:rsidRPr="0048528B">
        <w:rPr>
          <w:lang w:val="fr-FR"/>
        </w:rPr>
        <w:t> </w:t>
      </w:r>
      <w:r w:rsidR="00D25855" w:rsidRPr="0048528B">
        <w:rPr>
          <w:lang w:val="fr-FR"/>
        </w:rPr>
        <w:t xml:space="preserve">53 du </w:t>
      </w:r>
      <w:r w:rsidR="00F3296C" w:rsidRPr="0048528B">
        <w:rPr>
          <w:lang w:val="fr-FR"/>
        </w:rPr>
        <w:t>document TC</w:t>
      </w:r>
      <w:r w:rsidR="00D25855" w:rsidRPr="0048528B">
        <w:rPr>
          <w:lang w:val="fr-FR"/>
        </w:rPr>
        <w:t>/49/41 “Compte rendu des conclusions</w:t>
      </w:r>
      <w:r w:rsidR="00E3136C" w:rsidRPr="0048528B">
        <w:rPr>
          <w:lang w:val="fr-FR"/>
        </w:rPr>
        <w:t>”</w:t>
      </w:r>
      <w:r w:rsidR="00D25855" w:rsidRPr="0048528B">
        <w:rPr>
          <w:lang w:val="fr-FR"/>
        </w:rPr>
        <w:t>).</w:t>
      </w:r>
    </w:p>
    <w:p w:rsidR="00A816B9" w:rsidRPr="0048528B" w:rsidRDefault="00A816B9" w:rsidP="006A03CA">
      <w:pPr>
        <w:spacing w:line="360" w:lineRule="auto"/>
        <w:rPr>
          <w:lang w:val="fr-FR"/>
        </w:rPr>
      </w:pPr>
    </w:p>
    <w:p w:rsidR="00CE0C30" w:rsidRPr="0048528B" w:rsidRDefault="00D25855" w:rsidP="006A03CA">
      <w:pPr>
        <w:pStyle w:val="Heading5"/>
        <w:rPr>
          <w:lang w:val="fr-FR"/>
        </w:rPr>
      </w:pPr>
      <w:r w:rsidRPr="0048528B">
        <w:rPr>
          <w:lang w:val="fr-FR"/>
        </w:rPr>
        <w:t xml:space="preserve">Révision du document TGP/8 : </w:t>
      </w:r>
      <w:r w:rsidR="00B01B5C" w:rsidRPr="0048528B">
        <w:rPr>
          <w:lang w:val="fr-FR"/>
        </w:rPr>
        <w:t>d</w:t>
      </w:r>
      <w:r w:rsidRPr="0048528B">
        <w:rPr>
          <w:lang w:val="fr-FR"/>
        </w:rPr>
        <w:t xml:space="preserve">euxième partie : </w:t>
      </w:r>
      <w:r w:rsidR="00992901" w:rsidRPr="0048528B">
        <w:rPr>
          <w:lang w:val="fr-FR"/>
        </w:rPr>
        <w:t>Q</w:t>
      </w:r>
      <w:r w:rsidRPr="0048528B">
        <w:rPr>
          <w:lang w:val="fr-FR"/>
        </w:rPr>
        <w:t>uelques techniques utilisées dans l</w:t>
      </w:r>
      <w:r w:rsidR="00F3296C" w:rsidRPr="0048528B">
        <w:rPr>
          <w:lang w:val="fr-FR"/>
        </w:rPr>
        <w:t>’</w:t>
      </w:r>
      <w:r w:rsidRPr="0048528B">
        <w:rPr>
          <w:lang w:val="fr-FR"/>
        </w:rPr>
        <w:t xml:space="preserve">examen DHS, </w:t>
      </w:r>
      <w:r w:rsidR="00992901" w:rsidRPr="0048528B">
        <w:rPr>
          <w:lang w:val="fr-FR"/>
        </w:rPr>
        <w:t>s</w:t>
      </w:r>
      <w:r w:rsidRPr="0048528B">
        <w:rPr>
          <w:lang w:val="fr-FR"/>
        </w:rPr>
        <w:t>ection</w:t>
      </w:r>
      <w:r w:rsidR="00E3136C" w:rsidRPr="0048528B">
        <w:rPr>
          <w:lang w:val="fr-FR"/>
        </w:rPr>
        <w:t> </w:t>
      </w:r>
      <w:r w:rsidRPr="0048528B">
        <w:rPr>
          <w:lang w:val="fr-FR"/>
        </w:rPr>
        <w:t>3 : le critère global de la distinction sur plusieurs années (COYD)</w:t>
      </w:r>
    </w:p>
    <w:p w:rsidR="00204800" w:rsidRPr="0048528B" w:rsidRDefault="00204800" w:rsidP="00196886">
      <w:pPr>
        <w:keepNext/>
        <w:rPr>
          <w:rFonts w:cs="Arial"/>
          <w:lang w:val="fr-FR"/>
        </w:rPr>
      </w:pPr>
    </w:p>
    <w:p w:rsidR="00204800" w:rsidRPr="0048528B" w:rsidRDefault="00196886" w:rsidP="00D25855">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rFonts w:cs="Arial"/>
          <w:lang w:val="fr-FR"/>
        </w:rPr>
        <w:t>Le</w:t>
      </w:r>
      <w:r w:rsidR="00F3296C" w:rsidRPr="0048528B">
        <w:rPr>
          <w:rFonts w:cs="Arial"/>
          <w:lang w:val="fr-FR"/>
        </w:rPr>
        <w:t> TC</w:t>
      </w:r>
      <w:r w:rsidR="00D25855" w:rsidRPr="0048528B">
        <w:rPr>
          <w:rFonts w:cs="Arial"/>
          <w:lang w:val="fr-FR"/>
        </w:rPr>
        <w:t xml:space="preserve"> a examiné le </w:t>
      </w:r>
      <w:r w:rsidR="00F3296C" w:rsidRPr="0048528B">
        <w:rPr>
          <w:rFonts w:cs="Arial"/>
          <w:lang w:val="fr-FR"/>
        </w:rPr>
        <w:t>document TC</w:t>
      </w:r>
      <w:r w:rsidR="00D25855" w:rsidRPr="0048528B">
        <w:rPr>
          <w:rFonts w:cs="Arial"/>
          <w:lang w:val="fr-FR"/>
        </w:rPr>
        <w:t>/49/24.</w:t>
      </w:r>
    </w:p>
    <w:p w:rsidR="00204800" w:rsidRPr="0048528B" w:rsidRDefault="00204800" w:rsidP="00196886">
      <w:pPr>
        <w:rPr>
          <w:rFonts w:cs="Arial"/>
          <w:lang w:val="fr-FR"/>
        </w:rPr>
      </w:pPr>
    </w:p>
    <w:p w:rsidR="00204800" w:rsidRPr="0048528B" w:rsidRDefault="00196886" w:rsidP="00D25855">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lang w:val="fr-FR"/>
        </w:rPr>
        <w:t>Le</w:t>
      </w:r>
      <w:r w:rsidR="00F3296C" w:rsidRPr="0048528B">
        <w:rPr>
          <w:lang w:val="fr-FR"/>
        </w:rPr>
        <w:t> TC</w:t>
      </w:r>
      <w:r w:rsidR="00D25855" w:rsidRPr="0048528B">
        <w:rPr>
          <w:lang w:val="fr-FR"/>
        </w:rPr>
        <w:t xml:space="preserve"> est convenu de l</w:t>
      </w:r>
      <w:r w:rsidR="00F3296C" w:rsidRPr="0048528B">
        <w:rPr>
          <w:lang w:val="fr-FR"/>
        </w:rPr>
        <w:t>’</w:t>
      </w:r>
      <w:r w:rsidR="00D25855" w:rsidRPr="0048528B">
        <w:rPr>
          <w:lang w:val="fr-FR"/>
        </w:rPr>
        <w:t>incorporation du texte révisé proposé tel qu</w:t>
      </w:r>
      <w:r w:rsidR="00F3296C" w:rsidRPr="0048528B">
        <w:rPr>
          <w:lang w:val="fr-FR"/>
        </w:rPr>
        <w:t>’</w:t>
      </w:r>
      <w:r w:rsidR="00D25855" w:rsidRPr="0048528B">
        <w:rPr>
          <w:lang w:val="fr-FR"/>
        </w:rPr>
        <w:t>il figure dans l</w:t>
      </w:r>
      <w:r w:rsidR="00F3296C" w:rsidRPr="0048528B">
        <w:rPr>
          <w:lang w:val="fr-FR"/>
        </w:rPr>
        <w:t>’</w:t>
      </w:r>
      <w:r w:rsidR="00D25855" w:rsidRPr="0048528B">
        <w:rPr>
          <w:lang w:val="fr-FR"/>
        </w:rPr>
        <w:t xml:space="preserve">annexe du </w:t>
      </w:r>
      <w:r w:rsidR="00F3296C" w:rsidRPr="0048528B">
        <w:rPr>
          <w:lang w:val="fr-FR"/>
        </w:rPr>
        <w:t>document TC</w:t>
      </w:r>
      <w:r w:rsidR="00D25855" w:rsidRPr="0048528B">
        <w:rPr>
          <w:lang w:val="fr-FR"/>
        </w:rPr>
        <w:t>/49/24 dans une future versi</w:t>
      </w:r>
      <w:r w:rsidR="00B01B5C" w:rsidRPr="0048528B">
        <w:rPr>
          <w:lang w:val="fr-FR"/>
        </w:rPr>
        <w:t>on révisée du document TGP/8 : d</w:t>
      </w:r>
      <w:r w:rsidR="00D25855" w:rsidRPr="0048528B">
        <w:rPr>
          <w:lang w:val="fr-FR"/>
        </w:rPr>
        <w:t xml:space="preserve">euxième partie : quelques </w:t>
      </w:r>
      <w:r w:rsidR="00D25855" w:rsidRPr="0048528B">
        <w:rPr>
          <w:lang w:val="fr-FR"/>
        </w:rPr>
        <w:lastRenderedPageBreak/>
        <w:t>techniques utilisées dans l</w:t>
      </w:r>
      <w:r w:rsidR="00F3296C" w:rsidRPr="0048528B">
        <w:rPr>
          <w:lang w:val="fr-FR"/>
        </w:rPr>
        <w:t>’</w:t>
      </w:r>
      <w:r w:rsidR="00D25855" w:rsidRPr="0048528B">
        <w:rPr>
          <w:lang w:val="fr-FR"/>
        </w:rPr>
        <w:t>examen DHS, section 3 : “Le critère global de la distinction sur plusieurs années (COYD)” (voir le paragraphe</w:t>
      </w:r>
      <w:r w:rsidR="00E3136C" w:rsidRPr="0048528B">
        <w:rPr>
          <w:lang w:val="fr-FR"/>
        </w:rPr>
        <w:t> </w:t>
      </w:r>
      <w:r w:rsidR="00D25855" w:rsidRPr="0048528B">
        <w:rPr>
          <w:lang w:val="fr-FR"/>
        </w:rPr>
        <w:t xml:space="preserve">55 du </w:t>
      </w:r>
      <w:r w:rsidR="00F3296C" w:rsidRPr="0048528B">
        <w:rPr>
          <w:lang w:val="fr-FR"/>
        </w:rPr>
        <w:t>document TC</w:t>
      </w:r>
      <w:r w:rsidR="00D25855" w:rsidRPr="0048528B">
        <w:rPr>
          <w:lang w:val="fr-FR"/>
        </w:rPr>
        <w:t>/49/41 “Compte rendu des conclusions</w:t>
      </w:r>
      <w:r w:rsidR="00E3136C" w:rsidRPr="0048528B">
        <w:rPr>
          <w:lang w:val="fr-FR"/>
        </w:rPr>
        <w:t>”</w:t>
      </w:r>
      <w:r w:rsidR="00D25855" w:rsidRPr="0048528B">
        <w:rPr>
          <w:lang w:val="fr-FR"/>
        </w:rPr>
        <w:t>).</w:t>
      </w:r>
    </w:p>
    <w:p w:rsidR="00204800" w:rsidRPr="0048528B" w:rsidRDefault="00204800" w:rsidP="006A03CA">
      <w:pPr>
        <w:spacing w:line="360" w:lineRule="auto"/>
        <w:rPr>
          <w:rFonts w:cs="Arial"/>
          <w:lang w:val="fr-FR"/>
        </w:rPr>
      </w:pPr>
    </w:p>
    <w:p w:rsidR="00CE0C30" w:rsidRPr="0048528B" w:rsidRDefault="00D25855" w:rsidP="006A03CA">
      <w:pPr>
        <w:pStyle w:val="Heading5"/>
        <w:rPr>
          <w:lang w:val="fr-FR"/>
        </w:rPr>
      </w:pPr>
      <w:r w:rsidRPr="0048528B">
        <w:rPr>
          <w:lang w:val="fr-FR"/>
        </w:rPr>
        <w:t xml:space="preserve">Révision du </w:t>
      </w:r>
      <w:r w:rsidR="00CE0C30" w:rsidRPr="0048528B">
        <w:rPr>
          <w:lang w:val="fr-FR"/>
        </w:rPr>
        <w:t>document TG</w:t>
      </w:r>
      <w:r w:rsidRPr="0048528B">
        <w:rPr>
          <w:lang w:val="fr-FR"/>
        </w:rPr>
        <w:t xml:space="preserve">P/8 : </w:t>
      </w:r>
      <w:r w:rsidR="00B01B5C" w:rsidRPr="0048528B">
        <w:rPr>
          <w:lang w:val="fr-FR"/>
        </w:rPr>
        <w:t>d</w:t>
      </w:r>
      <w:r w:rsidRPr="0048528B">
        <w:rPr>
          <w:lang w:val="fr-FR"/>
        </w:rPr>
        <w:t xml:space="preserve">euxième partie : Techniques </w:t>
      </w:r>
      <w:r w:rsidR="00992901" w:rsidRPr="0048528B">
        <w:rPr>
          <w:lang w:val="fr-FR"/>
        </w:rPr>
        <w:t>u</w:t>
      </w:r>
      <w:r w:rsidRPr="0048528B">
        <w:rPr>
          <w:lang w:val="fr-FR"/>
        </w:rPr>
        <w:t>tilisées dans l</w:t>
      </w:r>
      <w:r w:rsidR="00F3296C" w:rsidRPr="0048528B">
        <w:rPr>
          <w:lang w:val="fr-FR"/>
        </w:rPr>
        <w:t>’</w:t>
      </w:r>
      <w:r w:rsidRPr="0048528B">
        <w:rPr>
          <w:lang w:val="fr-FR"/>
        </w:rPr>
        <w:t xml:space="preserve">examen DHS, </w:t>
      </w:r>
      <w:r w:rsidR="00992901" w:rsidRPr="0048528B">
        <w:rPr>
          <w:lang w:val="fr-FR"/>
        </w:rPr>
        <w:t>s</w:t>
      </w:r>
      <w:r w:rsidRPr="0048528B">
        <w:rPr>
          <w:lang w:val="fr-FR"/>
        </w:rPr>
        <w:t xml:space="preserve">ection 3, </w:t>
      </w:r>
      <w:r w:rsidR="00992901" w:rsidRPr="0048528B">
        <w:rPr>
          <w:lang w:val="fr-FR"/>
        </w:rPr>
        <w:t>s</w:t>
      </w:r>
      <w:r w:rsidRPr="0048528B">
        <w:rPr>
          <w:lang w:val="fr-FR"/>
        </w:rPr>
        <w:t>ous</w:t>
      </w:r>
      <w:r w:rsidR="003F00B6" w:rsidRPr="0048528B">
        <w:rPr>
          <w:lang w:val="fr-FR"/>
        </w:rPr>
        <w:noBreakHyphen/>
      </w:r>
      <w:r w:rsidRPr="0048528B">
        <w:rPr>
          <w:lang w:val="fr-FR"/>
        </w:rPr>
        <w:t>section 3.6 : Adapter l</w:t>
      </w:r>
      <w:r w:rsidR="00F3296C" w:rsidRPr="0048528B">
        <w:rPr>
          <w:lang w:val="fr-FR"/>
        </w:rPr>
        <w:t>’</w:t>
      </w:r>
      <w:r w:rsidRPr="0048528B">
        <w:rPr>
          <w:lang w:val="fr-FR"/>
        </w:rPr>
        <w:t>analyse COYD à des circonstances particulières</w:t>
      </w:r>
    </w:p>
    <w:p w:rsidR="00204800" w:rsidRPr="0048528B" w:rsidRDefault="00204800" w:rsidP="00196886">
      <w:pPr>
        <w:keepNext/>
        <w:rPr>
          <w:rFonts w:cs="Arial"/>
          <w:lang w:val="fr-FR"/>
        </w:rPr>
      </w:pPr>
    </w:p>
    <w:p w:rsidR="00204800" w:rsidRPr="0048528B" w:rsidRDefault="00196886" w:rsidP="00D25855">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rFonts w:cs="Arial"/>
          <w:lang w:val="fr-FR"/>
        </w:rPr>
        <w:t>Le</w:t>
      </w:r>
      <w:r w:rsidR="00F3296C" w:rsidRPr="0048528B">
        <w:rPr>
          <w:rFonts w:cs="Arial"/>
          <w:lang w:val="fr-FR"/>
        </w:rPr>
        <w:t> TC</w:t>
      </w:r>
      <w:r w:rsidR="00D25855" w:rsidRPr="0048528B">
        <w:rPr>
          <w:rFonts w:cs="Arial"/>
          <w:lang w:val="fr-FR"/>
        </w:rPr>
        <w:t xml:space="preserve"> a examiné le </w:t>
      </w:r>
      <w:r w:rsidR="00F3296C" w:rsidRPr="0048528B">
        <w:rPr>
          <w:rFonts w:cs="Arial"/>
          <w:lang w:val="fr-FR"/>
        </w:rPr>
        <w:t>document TC</w:t>
      </w:r>
      <w:r w:rsidR="00D25855" w:rsidRPr="0048528B">
        <w:rPr>
          <w:rFonts w:cs="Arial"/>
          <w:lang w:val="fr-FR"/>
        </w:rPr>
        <w:t>/49/25.</w:t>
      </w:r>
    </w:p>
    <w:p w:rsidR="00204800" w:rsidRPr="0048528B" w:rsidRDefault="00204800" w:rsidP="00196886">
      <w:pPr>
        <w:rPr>
          <w:rFonts w:cs="Arial"/>
          <w:lang w:val="fr-FR"/>
        </w:rPr>
      </w:pPr>
    </w:p>
    <w:p w:rsidR="00204800" w:rsidRPr="0048528B" w:rsidRDefault="00196886" w:rsidP="00D25855">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rFonts w:cs="Arial"/>
          <w:lang w:val="fr-FR"/>
        </w:rPr>
        <w:t>Le</w:t>
      </w:r>
      <w:r w:rsidR="00F3296C" w:rsidRPr="0048528B">
        <w:rPr>
          <w:rFonts w:cs="Arial"/>
          <w:lang w:val="fr-FR"/>
        </w:rPr>
        <w:t> TC</w:t>
      </w:r>
      <w:r w:rsidR="00D25855" w:rsidRPr="0048528B">
        <w:rPr>
          <w:rFonts w:cs="Arial"/>
          <w:lang w:val="fr-FR"/>
        </w:rPr>
        <w:t xml:space="preserve"> est convenu de l</w:t>
      </w:r>
      <w:r w:rsidR="00F3296C" w:rsidRPr="0048528B">
        <w:rPr>
          <w:rFonts w:cs="Arial"/>
          <w:lang w:val="fr-FR"/>
        </w:rPr>
        <w:t>’</w:t>
      </w:r>
      <w:r w:rsidR="00D25855" w:rsidRPr="0048528B">
        <w:rPr>
          <w:rFonts w:cs="Arial"/>
          <w:lang w:val="fr-FR"/>
        </w:rPr>
        <w:t>incorporation comme sous</w:t>
      </w:r>
      <w:r w:rsidR="003F00B6" w:rsidRPr="0048528B">
        <w:rPr>
          <w:rFonts w:cs="Arial"/>
          <w:lang w:val="fr-FR"/>
        </w:rPr>
        <w:noBreakHyphen/>
      </w:r>
      <w:r w:rsidR="00D25855" w:rsidRPr="0048528B">
        <w:rPr>
          <w:rFonts w:cs="Arial"/>
          <w:lang w:val="fr-FR"/>
        </w:rPr>
        <w:t>section 3.6 du texte proposé tel qu</w:t>
      </w:r>
      <w:r w:rsidR="00F3296C" w:rsidRPr="0048528B">
        <w:rPr>
          <w:rFonts w:cs="Arial"/>
          <w:lang w:val="fr-FR"/>
        </w:rPr>
        <w:t>’</w:t>
      </w:r>
      <w:r w:rsidR="00D25855" w:rsidRPr="0048528B">
        <w:rPr>
          <w:rFonts w:cs="Arial"/>
          <w:lang w:val="fr-FR"/>
        </w:rPr>
        <w:t>il figure dans l</w:t>
      </w:r>
      <w:r w:rsidR="00F3296C" w:rsidRPr="0048528B">
        <w:rPr>
          <w:rFonts w:cs="Arial"/>
          <w:lang w:val="fr-FR"/>
        </w:rPr>
        <w:t>’</w:t>
      </w:r>
      <w:r w:rsidR="00D25855" w:rsidRPr="0048528B">
        <w:rPr>
          <w:rFonts w:cs="Arial"/>
          <w:lang w:val="fr-FR"/>
        </w:rPr>
        <w:t xml:space="preserve">annexe du </w:t>
      </w:r>
      <w:r w:rsidR="00F3296C" w:rsidRPr="0048528B">
        <w:rPr>
          <w:rFonts w:cs="Arial"/>
          <w:lang w:val="fr-FR"/>
        </w:rPr>
        <w:t>document TC</w:t>
      </w:r>
      <w:r w:rsidR="00D25855" w:rsidRPr="0048528B">
        <w:rPr>
          <w:rFonts w:cs="Arial"/>
          <w:lang w:val="fr-FR"/>
        </w:rPr>
        <w:t>/49/25 dans une future version révisée du document TGP/8 : Deuxième Partie : Techniques utilisées dans l</w:t>
      </w:r>
      <w:r w:rsidR="00F3296C" w:rsidRPr="0048528B">
        <w:rPr>
          <w:rFonts w:cs="Arial"/>
          <w:lang w:val="fr-FR"/>
        </w:rPr>
        <w:t>’</w:t>
      </w:r>
      <w:r w:rsidR="00D25855" w:rsidRPr="0048528B">
        <w:rPr>
          <w:rFonts w:cs="Arial"/>
          <w:lang w:val="fr-FR"/>
        </w:rPr>
        <w:t>examen DHS, section 3 (voir le paragraphe</w:t>
      </w:r>
      <w:r w:rsidR="00E3136C" w:rsidRPr="0048528B">
        <w:rPr>
          <w:rFonts w:cs="Arial"/>
          <w:lang w:val="fr-FR"/>
        </w:rPr>
        <w:t> </w:t>
      </w:r>
      <w:r w:rsidR="00D25855" w:rsidRPr="0048528B">
        <w:rPr>
          <w:rFonts w:cs="Arial"/>
          <w:lang w:val="fr-FR"/>
        </w:rPr>
        <w:t xml:space="preserve">57 du </w:t>
      </w:r>
      <w:r w:rsidR="00F3296C" w:rsidRPr="0048528B">
        <w:rPr>
          <w:rFonts w:cs="Arial"/>
          <w:lang w:val="fr-FR"/>
        </w:rPr>
        <w:t>document TC</w:t>
      </w:r>
      <w:r w:rsidR="00D25855" w:rsidRPr="0048528B">
        <w:rPr>
          <w:rFonts w:cs="Arial"/>
          <w:lang w:val="fr-FR"/>
        </w:rPr>
        <w:t>/49/41 “Compte rendu des conclusions</w:t>
      </w:r>
      <w:r w:rsidR="00E3136C" w:rsidRPr="0048528B">
        <w:rPr>
          <w:rFonts w:cs="Arial"/>
          <w:lang w:val="fr-FR"/>
        </w:rPr>
        <w:t>”</w:t>
      </w:r>
      <w:r w:rsidR="00D25855" w:rsidRPr="0048528B">
        <w:rPr>
          <w:rFonts w:cs="Arial"/>
          <w:lang w:val="fr-FR"/>
        </w:rPr>
        <w:t>).</w:t>
      </w:r>
    </w:p>
    <w:p w:rsidR="00204800" w:rsidRPr="0048528B" w:rsidRDefault="00204800" w:rsidP="006A03CA">
      <w:pPr>
        <w:spacing w:line="360" w:lineRule="auto"/>
        <w:rPr>
          <w:rFonts w:cs="Arial"/>
          <w:lang w:val="fr-FR"/>
        </w:rPr>
      </w:pPr>
    </w:p>
    <w:p w:rsidR="00CE0C30" w:rsidRPr="0048528B" w:rsidRDefault="00D25855" w:rsidP="006A03CA">
      <w:pPr>
        <w:pStyle w:val="Heading5"/>
        <w:rPr>
          <w:lang w:val="fr-FR"/>
        </w:rPr>
      </w:pPr>
      <w:r w:rsidRPr="0048528B">
        <w:rPr>
          <w:lang w:val="fr-FR"/>
        </w:rPr>
        <w:t>Révision du docu</w:t>
      </w:r>
      <w:r w:rsidR="00992901" w:rsidRPr="0048528B">
        <w:rPr>
          <w:lang w:val="fr-FR"/>
        </w:rPr>
        <w:t xml:space="preserve">ment TGP/8 : deuxième partie : </w:t>
      </w:r>
      <w:r w:rsidRPr="0048528B">
        <w:rPr>
          <w:lang w:val="fr-FR"/>
        </w:rPr>
        <w:t>Techniques utilisées dans l</w:t>
      </w:r>
      <w:r w:rsidR="00F3296C" w:rsidRPr="0048528B">
        <w:rPr>
          <w:lang w:val="fr-FR"/>
        </w:rPr>
        <w:t>’</w:t>
      </w:r>
      <w:r w:rsidRPr="0048528B">
        <w:rPr>
          <w:lang w:val="fr-FR"/>
        </w:rPr>
        <w:t xml:space="preserve">examen DHS, </w:t>
      </w:r>
      <w:r w:rsidR="00992901" w:rsidRPr="0048528B">
        <w:rPr>
          <w:lang w:val="fr-FR"/>
        </w:rPr>
        <w:t>s</w:t>
      </w:r>
      <w:r w:rsidRPr="0048528B">
        <w:rPr>
          <w:lang w:val="fr-FR"/>
        </w:rPr>
        <w:t>ection</w:t>
      </w:r>
      <w:r w:rsidR="00E3136C" w:rsidRPr="0048528B">
        <w:rPr>
          <w:lang w:val="fr-FR"/>
        </w:rPr>
        <w:t> </w:t>
      </w:r>
      <w:r w:rsidRPr="0048528B">
        <w:rPr>
          <w:lang w:val="fr-FR"/>
        </w:rPr>
        <w:t xml:space="preserve">4 : Méthode des 2x1% </w:t>
      </w:r>
      <w:r w:rsidR="001462E7" w:rsidRPr="0048528B">
        <w:rPr>
          <w:lang w:val="fr-FR"/>
        </w:rPr>
        <w:t>–</w:t>
      </w:r>
      <w:r w:rsidRPr="0048528B">
        <w:rPr>
          <w:lang w:val="fr-FR"/>
        </w:rPr>
        <w:t xml:space="preserve"> Nombre minimal de degrés de liberté pour la méthode des 2x1%</w:t>
      </w:r>
    </w:p>
    <w:p w:rsidR="00204800" w:rsidRPr="0048528B" w:rsidRDefault="00204800" w:rsidP="00196886">
      <w:pPr>
        <w:keepNext/>
        <w:rPr>
          <w:rFonts w:cs="Arial"/>
          <w:lang w:val="fr-FR"/>
        </w:rPr>
      </w:pPr>
    </w:p>
    <w:p w:rsidR="00204800" w:rsidRPr="0048528B" w:rsidRDefault="00196886" w:rsidP="00D25855">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rFonts w:cs="Arial"/>
          <w:lang w:val="fr-FR"/>
        </w:rPr>
        <w:t>Le</w:t>
      </w:r>
      <w:r w:rsidR="00F3296C" w:rsidRPr="0048528B">
        <w:rPr>
          <w:rFonts w:cs="Arial"/>
          <w:lang w:val="fr-FR"/>
        </w:rPr>
        <w:t> TC</w:t>
      </w:r>
      <w:r w:rsidR="00D25855" w:rsidRPr="0048528B">
        <w:rPr>
          <w:rFonts w:cs="Arial"/>
          <w:lang w:val="fr-FR"/>
        </w:rPr>
        <w:t xml:space="preserve"> a examiné le </w:t>
      </w:r>
      <w:r w:rsidR="00F3296C" w:rsidRPr="0048528B">
        <w:rPr>
          <w:rFonts w:cs="Arial"/>
          <w:lang w:val="fr-FR"/>
        </w:rPr>
        <w:t>document TC</w:t>
      </w:r>
      <w:r w:rsidR="00D25855" w:rsidRPr="0048528B">
        <w:rPr>
          <w:rFonts w:cs="Arial"/>
          <w:lang w:val="fr-FR"/>
        </w:rPr>
        <w:t>/49/26.</w:t>
      </w:r>
    </w:p>
    <w:p w:rsidR="00204800" w:rsidRPr="0048528B" w:rsidRDefault="00204800" w:rsidP="00196886">
      <w:pPr>
        <w:rPr>
          <w:rFonts w:cs="Arial"/>
          <w:lang w:val="fr-FR"/>
        </w:rPr>
      </w:pPr>
    </w:p>
    <w:p w:rsidR="00204800" w:rsidRPr="0048528B" w:rsidRDefault="00196886" w:rsidP="00D25855">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lang w:val="fr-FR"/>
        </w:rPr>
        <w:t>Le</w:t>
      </w:r>
      <w:r w:rsidR="00F3296C" w:rsidRPr="0048528B">
        <w:rPr>
          <w:lang w:val="fr-FR"/>
        </w:rPr>
        <w:t> TC</w:t>
      </w:r>
      <w:r w:rsidR="00D25855" w:rsidRPr="0048528B">
        <w:rPr>
          <w:lang w:val="fr-FR"/>
        </w:rPr>
        <w:t xml:space="preserve"> est convenu de l</w:t>
      </w:r>
      <w:r w:rsidR="00F3296C" w:rsidRPr="0048528B">
        <w:rPr>
          <w:lang w:val="fr-FR"/>
        </w:rPr>
        <w:t>’</w:t>
      </w:r>
      <w:r w:rsidR="00D25855" w:rsidRPr="0048528B">
        <w:rPr>
          <w:lang w:val="fr-FR"/>
        </w:rPr>
        <w:t>incorporation du texte révisé proposé tel qu</w:t>
      </w:r>
      <w:r w:rsidR="00F3296C" w:rsidRPr="0048528B">
        <w:rPr>
          <w:lang w:val="fr-FR"/>
        </w:rPr>
        <w:t>’</w:t>
      </w:r>
      <w:r w:rsidR="00D25855" w:rsidRPr="0048528B">
        <w:rPr>
          <w:lang w:val="fr-FR"/>
        </w:rPr>
        <w:t>il figure dans l</w:t>
      </w:r>
      <w:r w:rsidR="00F3296C" w:rsidRPr="0048528B">
        <w:rPr>
          <w:lang w:val="fr-FR"/>
        </w:rPr>
        <w:t>’</w:t>
      </w:r>
      <w:r w:rsidR="00D25855" w:rsidRPr="0048528B">
        <w:rPr>
          <w:lang w:val="fr-FR"/>
        </w:rPr>
        <w:t xml:space="preserve">annexe du </w:t>
      </w:r>
      <w:r w:rsidR="00F3296C" w:rsidRPr="0048528B">
        <w:rPr>
          <w:lang w:val="fr-FR"/>
        </w:rPr>
        <w:t>document TC</w:t>
      </w:r>
      <w:r w:rsidR="00D25855" w:rsidRPr="0048528B">
        <w:rPr>
          <w:lang w:val="fr-FR"/>
        </w:rPr>
        <w:t>/49/26 dans une future versi</w:t>
      </w:r>
      <w:r w:rsidR="00B01B5C" w:rsidRPr="0048528B">
        <w:rPr>
          <w:lang w:val="fr-FR"/>
        </w:rPr>
        <w:t>on révisée du document TGP/8 : d</w:t>
      </w:r>
      <w:r w:rsidR="00D25855" w:rsidRPr="0048528B">
        <w:rPr>
          <w:lang w:val="fr-FR"/>
        </w:rPr>
        <w:t>euxième partie : Techniques utilisées dans l</w:t>
      </w:r>
      <w:r w:rsidR="00F3296C" w:rsidRPr="0048528B">
        <w:rPr>
          <w:lang w:val="fr-FR"/>
        </w:rPr>
        <w:t>’</w:t>
      </w:r>
      <w:r w:rsidR="00D25855" w:rsidRPr="0048528B">
        <w:rPr>
          <w:lang w:val="fr-FR"/>
        </w:rPr>
        <w:t>examen DHS, section 4 (voir le paragraphe</w:t>
      </w:r>
      <w:r w:rsidR="00E3136C" w:rsidRPr="0048528B">
        <w:rPr>
          <w:lang w:val="fr-FR"/>
        </w:rPr>
        <w:t> </w:t>
      </w:r>
      <w:r w:rsidR="00D25855" w:rsidRPr="0048528B">
        <w:rPr>
          <w:lang w:val="fr-FR"/>
        </w:rPr>
        <w:t xml:space="preserve">59 du </w:t>
      </w:r>
      <w:r w:rsidR="00F3296C" w:rsidRPr="0048528B">
        <w:rPr>
          <w:lang w:val="fr-FR"/>
        </w:rPr>
        <w:t>document TC</w:t>
      </w:r>
      <w:r w:rsidR="00D25855" w:rsidRPr="0048528B">
        <w:rPr>
          <w:lang w:val="fr-FR"/>
        </w:rPr>
        <w:t>/49/41 “Compte rendu des conclusions</w:t>
      </w:r>
      <w:r w:rsidR="00E3136C" w:rsidRPr="0048528B">
        <w:rPr>
          <w:lang w:val="fr-FR"/>
        </w:rPr>
        <w:t>”</w:t>
      </w:r>
      <w:r w:rsidR="00D25855" w:rsidRPr="0048528B">
        <w:rPr>
          <w:lang w:val="fr-FR"/>
        </w:rPr>
        <w:t>).</w:t>
      </w:r>
    </w:p>
    <w:p w:rsidR="00204800" w:rsidRPr="0048528B" w:rsidRDefault="00204800" w:rsidP="006A03CA">
      <w:pPr>
        <w:spacing w:line="360" w:lineRule="auto"/>
        <w:rPr>
          <w:lang w:val="fr-FR"/>
        </w:rPr>
      </w:pPr>
    </w:p>
    <w:p w:rsidR="00CE0C30" w:rsidRPr="0048528B" w:rsidRDefault="00D25855" w:rsidP="006A03CA">
      <w:pPr>
        <w:pStyle w:val="Heading5"/>
        <w:rPr>
          <w:lang w:val="fr-FR"/>
        </w:rPr>
      </w:pPr>
      <w:r w:rsidRPr="0048528B">
        <w:rPr>
          <w:lang w:val="fr-FR"/>
        </w:rPr>
        <w:t xml:space="preserve">Révision du document TGP/8 : </w:t>
      </w:r>
      <w:r w:rsidR="00B01B5C" w:rsidRPr="0048528B">
        <w:rPr>
          <w:lang w:val="fr-FR"/>
        </w:rPr>
        <w:t>d</w:t>
      </w:r>
      <w:r w:rsidRPr="0048528B">
        <w:rPr>
          <w:lang w:val="fr-FR"/>
        </w:rPr>
        <w:t>euxième partie : Techniques utilisées dans l</w:t>
      </w:r>
      <w:r w:rsidR="00F3296C" w:rsidRPr="0048528B">
        <w:rPr>
          <w:lang w:val="fr-FR"/>
        </w:rPr>
        <w:t>’</w:t>
      </w:r>
      <w:r w:rsidRPr="0048528B">
        <w:rPr>
          <w:lang w:val="fr-FR"/>
        </w:rPr>
        <w:t xml:space="preserve">examen DHS, </w:t>
      </w:r>
      <w:r w:rsidR="001462E7" w:rsidRPr="0048528B">
        <w:rPr>
          <w:lang w:val="fr-FR"/>
        </w:rPr>
        <w:t>n</w:t>
      </w:r>
      <w:r w:rsidRPr="0048528B">
        <w:rPr>
          <w:lang w:val="fr-FR"/>
        </w:rPr>
        <w:t xml:space="preserve">ouvelle </w:t>
      </w:r>
      <w:r w:rsidR="00992901" w:rsidRPr="0048528B">
        <w:rPr>
          <w:lang w:val="fr-FR"/>
        </w:rPr>
        <w:t>s</w:t>
      </w:r>
      <w:r w:rsidRPr="0048528B">
        <w:rPr>
          <w:lang w:val="fr-FR"/>
        </w:rPr>
        <w:t>ection 10 : Nombre minimal de variétés comparables pour la méthode de variance relative</w:t>
      </w:r>
    </w:p>
    <w:p w:rsidR="00204800" w:rsidRPr="0048528B" w:rsidRDefault="00204800" w:rsidP="00196886">
      <w:pPr>
        <w:keepNext/>
        <w:rPr>
          <w:rFonts w:cs="Arial"/>
          <w:lang w:val="fr-FR"/>
        </w:rPr>
      </w:pPr>
    </w:p>
    <w:p w:rsidR="00204800" w:rsidRPr="0048528B" w:rsidRDefault="00196886" w:rsidP="00D25855">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rFonts w:cs="Arial"/>
          <w:lang w:val="fr-FR"/>
        </w:rPr>
        <w:t>Le</w:t>
      </w:r>
      <w:r w:rsidR="00F3296C" w:rsidRPr="0048528B">
        <w:rPr>
          <w:rFonts w:cs="Arial"/>
          <w:lang w:val="fr-FR"/>
        </w:rPr>
        <w:t> TC</w:t>
      </w:r>
      <w:r w:rsidR="00D25855" w:rsidRPr="0048528B">
        <w:rPr>
          <w:rFonts w:cs="Arial"/>
          <w:lang w:val="fr-FR"/>
        </w:rPr>
        <w:t xml:space="preserve"> a examiné le </w:t>
      </w:r>
      <w:r w:rsidR="00F3296C" w:rsidRPr="0048528B">
        <w:rPr>
          <w:rFonts w:cs="Arial"/>
          <w:lang w:val="fr-FR"/>
        </w:rPr>
        <w:t>document TC</w:t>
      </w:r>
      <w:r w:rsidR="00D25855" w:rsidRPr="0048528B">
        <w:rPr>
          <w:rFonts w:cs="Arial"/>
          <w:lang w:val="fr-FR"/>
        </w:rPr>
        <w:t>/49/27.</w:t>
      </w:r>
    </w:p>
    <w:p w:rsidR="00204800" w:rsidRPr="0048528B" w:rsidRDefault="00204800" w:rsidP="00196886">
      <w:pPr>
        <w:rPr>
          <w:rFonts w:cs="Arial"/>
          <w:lang w:val="fr-FR"/>
        </w:rPr>
      </w:pPr>
    </w:p>
    <w:p w:rsidR="00204800" w:rsidRPr="0048528B" w:rsidRDefault="00196886" w:rsidP="00D25855">
      <w:pPr>
        <w:rPr>
          <w:iCs/>
          <w:spacing w:val="-4"/>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D25855" w:rsidRPr="0048528B">
        <w:rPr>
          <w:iCs/>
          <w:spacing w:val="-4"/>
          <w:lang w:val="fr-FR"/>
        </w:rPr>
        <w:t>Le</w:t>
      </w:r>
      <w:r w:rsidR="00F3296C" w:rsidRPr="0048528B">
        <w:rPr>
          <w:iCs/>
          <w:spacing w:val="-4"/>
          <w:lang w:val="fr-FR"/>
        </w:rPr>
        <w:t> TC</w:t>
      </w:r>
      <w:r w:rsidR="00D25855" w:rsidRPr="0048528B">
        <w:rPr>
          <w:iCs/>
          <w:spacing w:val="-4"/>
          <w:lang w:val="fr-FR"/>
        </w:rPr>
        <w:t xml:space="preserve"> a pris note des modifications proposées de révision de la section 10 du document TGP/8, telles qu</w:t>
      </w:r>
      <w:r w:rsidR="00F3296C" w:rsidRPr="0048528B">
        <w:rPr>
          <w:iCs/>
          <w:spacing w:val="-4"/>
          <w:lang w:val="fr-FR"/>
        </w:rPr>
        <w:t>’</w:t>
      </w:r>
      <w:r w:rsidR="00D25855" w:rsidRPr="0048528B">
        <w:rPr>
          <w:iCs/>
          <w:spacing w:val="-4"/>
          <w:lang w:val="fr-FR"/>
        </w:rPr>
        <w:t>elles figurent dans l</w:t>
      </w:r>
      <w:r w:rsidR="00F3296C" w:rsidRPr="0048528B">
        <w:rPr>
          <w:iCs/>
          <w:spacing w:val="-4"/>
          <w:lang w:val="fr-FR"/>
        </w:rPr>
        <w:t>’</w:t>
      </w:r>
      <w:r w:rsidR="00D25855" w:rsidRPr="0048528B">
        <w:rPr>
          <w:iCs/>
          <w:spacing w:val="-4"/>
          <w:lang w:val="fr-FR"/>
        </w:rPr>
        <w:t xml:space="preserve">annexe II du </w:t>
      </w:r>
      <w:r w:rsidR="00F3296C" w:rsidRPr="0048528B">
        <w:rPr>
          <w:iCs/>
          <w:spacing w:val="-4"/>
          <w:lang w:val="fr-FR"/>
        </w:rPr>
        <w:t>document TC</w:t>
      </w:r>
      <w:r w:rsidR="00D25855" w:rsidRPr="0048528B">
        <w:rPr>
          <w:iCs/>
          <w:spacing w:val="-4"/>
          <w:lang w:val="fr-FR"/>
        </w:rPr>
        <w:t>/49/27.</w:t>
      </w:r>
    </w:p>
    <w:p w:rsidR="00204800" w:rsidRPr="0048528B" w:rsidRDefault="00204800" w:rsidP="00196886">
      <w:pPr>
        <w:rPr>
          <w:iCs/>
          <w:spacing w:val="-4"/>
          <w:lang w:val="fr-FR"/>
        </w:rPr>
      </w:pPr>
    </w:p>
    <w:p w:rsidR="00204800" w:rsidRPr="0048528B" w:rsidRDefault="00196886" w:rsidP="0068048D">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68048D" w:rsidRPr="0048528B">
        <w:rPr>
          <w:rFonts w:cs="Arial"/>
          <w:lang w:val="fr-FR"/>
        </w:rPr>
        <w:t>Le</w:t>
      </w:r>
      <w:r w:rsidR="00F3296C" w:rsidRPr="0048528B">
        <w:rPr>
          <w:rFonts w:cs="Arial"/>
          <w:lang w:val="fr-FR"/>
        </w:rPr>
        <w:t> TC</w:t>
      </w:r>
      <w:r w:rsidR="0068048D" w:rsidRPr="0048528B">
        <w:rPr>
          <w:rFonts w:cs="Arial"/>
          <w:lang w:val="fr-FR"/>
        </w:rPr>
        <w:t xml:space="preserve"> est convenu d</w:t>
      </w:r>
      <w:r w:rsidR="00F3296C" w:rsidRPr="0048528B">
        <w:rPr>
          <w:rFonts w:cs="Arial"/>
          <w:lang w:val="fr-FR"/>
        </w:rPr>
        <w:t>’</w:t>
      </w:r>
      <w:r w:rsidR="0068048D" w:rsidRPr="0048528B">
        <w:rPr>
          <w:rFonts w:cs="Arial"/>
          <w:lang w:val="fr-FR"/>
        </w:rPr>
        <w:t>inviter un expert de l</w:t>
      </w:r>
      <w:r w:rsidR="00F3296C" w:rsidRPr="0048528B">
        <w:rPr>
          <w:rFonts w:cs="Arial"/>
          <w:lang w:val="fr-FR"/>
        </w:rPr>
        <w:t>’</w:t>
      </w:r>
      <w:r w:rsidR="0068048D" w:rsidRPr="0048528B">
        <w:rPr>
          <w:rFonts w:cs="Arial"/>
          <w:lang w:val="fr-FR"/>
        </w:rPr>
        <w:t>Australie à élaborer un nouveau projet de section 10 du document TGP/8 avec une recommandation sur le nombre minimal de variétés comparables, pour examen par les TWP à leurs sessions en 2013.  La délégation de l</w:t>
      </w:r>
      <w:r w:rsidR="00F3296C" w:rsidRPr="0048528B">
        <w:rPr>
          <w:rFonts w:cs="Arial"/>
          <w:lang w:val="fr-FR"/>
        </w:rPr>
        <w:t>’</w:t>
      </w:r>
      <w:r w:rsidR="0068048D" w:rsidRPr="0048528B">
        <w:rPr>
          <w:rFonts w:cs="Arial"/>
          <w:lang w:val="fr-FR"/>
        </w:rPr>
        <w:t>Australie a expliqué que le nombre minimal est une</w:t>
      </w:r>
      <w:r w:rsidR="00CB7708" w:rsidRPr="0048528B">
        <w:rPr>
          <w:rFonts w:cs="Arial"/>
          <w:iCs/>
          <w:spacing w:val="-4"/>
          <w:lang w:val="fr-FR"/>
        </w:rPr>
        <w:t xml:space="preserve"> </w:t>
      </w:r>
      <w:r w:rsidR="0068048D" w:rsidRPr="0048528B">
        <w:rPr>
          <w:lang w:val="fr-FR"/>
        </w:rPr>
        <w:t>(voir les paragraphes</w:t>
      </w:r>
      <w:r w:rsidR="00E3136C" w:rsidRPr="0048528B">
        <w:rPr>
          <w:lang w:val="fr-FR"/>
        </w:rPr>
        <w:t> </w:t>
      </w:r>
      <w:r w:rsidR="0068048D" w:rsidRPr="0048528B">
        <w:rPr>
          <w:lang w:val="fr-FR"/>
        </w:rPr>
        <w:t xml:space="preserve">61 et 62 du </w:t>
      </w:r>
      <w:r w:rsidR="00F3296C" w:rsidRPr="0048528B">
        <w:rPr>
          <w:lang w:val="fr-FR"/>
        </w:rPr>
        <w:t>document TC</w:t>
      </w:r>
      <w:r w:rsidR="0068048D" w:rsidRPr="0048528B">
        <w:rPr>
          <w:lang w:val="fr-FR"/>
        </w:rPr>
        <w:t>/49/41 “Compte rendu des conclusions</w:t>
      </w:r>
      <w:r w:rsidR="00E3136C" w:rsidRPr="0048528B">
        <w:rPr>
          <w:lang w:val="fr-FR"/>
        </w:rPr>
        <w:t>”</w:t>
      </w:r>
      <w:r w:rsidR="0068048D" w:rsidRPr="0048528B">
        <w:rPr>
          <w:lang w:val="fr-FR"/>
        </w:rPr>
        <w:t>).</w:t>
      </w:r>
    </w:p>
    <w:p w:rsidR="00204800" w:rsidRPr="0048528B" w:rsidRDefault="00204800" w:rsidP="006A03CA">
      <w:pPr>
        <w:spacing w:line="360" w:lineRule="auto"/>
        <w:rPr>
          <w:rFonts w:cs="Arial"/>
          <w:lang w:val="fr-FR"/>
        </w:rPr>
      </w:pPr>
    </w:p>
    <w:p w:rsidR="00CE0C30" w:rsidRPr="0048528B" w:rsidRDefault="0068048D" w:rsidP="006A03CA">
      <w:pPr>
        <w:pStyle w:val="Heading5"/>
        <w:rPr>
          <w:lang w:val="fr-FR"/>
        </w:rPr>
      </w:pPr>
      <w:r w:rsidRPr="0048528B">
        <w:rPr>
          <w:lang w:val="fr-FR"/>
        </w:rPr>
        <w:t>Révision du document TGP/8</w:t>
      </w:r>
      <w:r w:rsidR="00E3136C" w:rsidRPr="0048528B">
        <w:rPr>
          <w:lang w:val="fr-FR"/>
        </w:rPr>
        <w:t> </w:t>
      </w:r>
      <w:r w:rsidRPr="0048528B">
        <w:rPr>
          <w:lang w:val="fr-FR"/>
        </w:rPr>
        <w:t xml:space="preserve">: </w:t>
      </w:r>
      <w:r w:rsidR="00992901" w:rsidRPr="0048528B">
        <w:rPr>
          <w:lang w:val="fr-FR"/>
        </w:rPr>
        <w:t>D</w:t>
      </w:r>
      <w:r w:rsidRPr="0048528B">
        <w:rPr>
          <w:lang w:val="fr-FR"/>
        </w:rPr>
        <w:t>euxième Partie</w:t>
      </w:r>
      <w:r w:rsidR="00E3136C" w:rsidRPr="0048528B">
        <w:rPr>
          <w:lang w:val="fr-FR"/>
        </w:rPr>
        <w:t> </w:t>
      </w:r>
      <w:r w:rsidRPr="0048528B">
        <w:rPr>
          <w:lang w:val="fr-FR"/>
        </w:rPr>
        <w:t>: Techniques utilisées dans l</w:t>
      </w:r>
      <w:r w:rsidR="00F3296C" w:rsidRPr="0048528B">
        <w:rPr>
          <w:lang w:val="fr-FR"/>
        </w:rPr>
        <w:t>’</w:t>
      </w:r>
      <w:r w:rsidRPr="0048528B">
        <w:rPr>
          <w:lang w:val="fr-FR"/>
        </w:rPr>
        <w:t xml:space="preserve">examen DHS, </w:t>
      </w:r>
      <w:r w:rsidR="001462E7" w:rsidRPr="0048528B">
        <w:rPr>
          <w:lang w:val="fr-FR"/>
        </w:rPr>
        <w:t>n</w:t>
      </w:r>
      <w:r w:rsidRPr="0048528B">
        <w:rPr>
          <w:lang w:val="fr-FR"/>
        </w:rPr>
        <w:t>ouvelle section 11 : Examen DHS sur des échantillons globaux</w:t>
      </w:r>
    </w:p>
    <w:p w:rsidR="00204800" w:rsidRPr="0048528B" w:rsidRDefault="00204800" w:rsidP="00196886">
      <w:pPr>
        <w:keepNext/>
        <w:rPr>
          <w:rFonts w:cs="Arial"/>
          <w:lang w:val="fr-FR"/>
        </w:rPr>
      </w:pPr>
    </w:p>
    <w:p w:rsidR="00204800" w:rsidRPr="0048528B" w:rsidRDefault="00196886" w:rsidP="0068048D">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68048D" w:rsidRPr="0048528B">
        <w:rPr>
          <w:rFonts w:cs="Arial"/>
          <w:lang w:val="fr-FR"/>
        </w:rPr>
        <w:t>Le</w:t>
      </w:r>
      <w:r w:rsidR="00F3296C" w:rsidRPr="0048528B">
        <w:rPr>
          <w:rFonts w:cs="Arial"/>
          <w:lang w:val="fr-FR"/>
        </w:rPr>
        <w:t> TC</w:t>
      </w:r>
      <w:r w:rsidR="0068048D" w:rsidRPr="0048528B">
        <w:rPr>
          <w:rFonts w:cs="Arial"/>
          <w:lang w:val="fr-FR"/>
        </w:rPr>
        <w:t xml:space="preserve"> a examiné le </w:t>
      </w:r>
      <w:r w:rsidR="00F3296C" w:rsidRPr="0048528B">
        <w:rPr>
          <w:rFonts w:cs="Arial"/>
          <w:lang w:val="fr-FR"/>
        </w:rPr>
        <w:t>document TC</w:t>
      </w:r>
      <w:r w:rsidR="0068048D" w:rsidRPr="0048528B">
        <w:rPr>
          <w:rFonts w:cs="Arial"/>
          <w:lang w:val="fr-FR"/>
        </w:rPr>
        <w:t>/49/28.</w:t>
      </w:r>
    </w:p>
    <w:p w:rsidR="00204800" w:rsidRPr="0048528B" w:rsidRDefault="00204800" w:rsidP="00196886">
      <w:pPr>
        <w:rPr>
          <w:rFonts w:cs="Arial"/>
          <w:lang w:val="fr-FR"/>
        </w:rPr>
      </w:pPr>
    </w:p>
    <w:p w:rsidR="00204800" w:rsidRPr="0048528B" w:rsidRDefault="00196886" w:rsidP="00A26EF1">
      <w:pPr>
        <w:rPr>
          <w:iCs/>
          <w:spacing w:val="-4"/>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68048D" w:rsidRPr="0048528B">
        <w:rPr>
          <w:iCs/>
          <w:spacing w:val="-4"/>
          <w:lang w:val="fr-FR"/>
        </w:rPr>
        <w:t>Le</w:t>
      </w:r>
      <w:r w:rsidR="00F3296C" w:rsidRPr="0048528B">
        <w:rPr>
          <w:iCs/>
          <w:spacing w:val="-4"/>
          <w:lang w:val="fr-FR"/>
        </w:rPr>
        <w:t> TC</w:t>
      </w:r>
      <w:r w:rsidR="0068048D" w:rsidRPr="0048528B">
        <w:rPr>
          <w:iCs/>
          <w:spacing w:val="-4"/>
          <w:lang w:val="fr-FR"/>
        </w:rPr>
        <w:t xml:space="preserve"> est convenu de remplacer le texte proposé pour la nouvelle section 11 “Examen DHS sur des échantillons globaux” dans l</w:t>
      </w:r>
      <w:r w:rsidR="00F3296C" w:rsidRPr="0048528B">
        <w:rPr>
          <w:iCs/>
          <w:spacing w:val="-4"/>
          <w:lang w:val="fr-FR"/>
        </w:rPr>
        <w:t>’</w:t>
      </w:r>
      <w:r w:rsidR="0068048D" w:rsidRPr="0048528B">
        <w:rPr>
          <w:iCs/>
          <w:spacing w:val="-4"/>
          <w:lang w:val="fr-FR"/>
        </w:rPr>
        <w:t xml:space="preserve">annexe du </w:t>
      </w:r>
      <w:r w:rsidR="00F3296C" w:rsidRPr="0048528B">
        <w:rPr>
          <w:iCs/>
          <w:spacing w:val="-4"/>
          <w:lang w:val="fr-FR"/>
        </w:rPr>
        <w:t>document TC</w:t>
      </w:r>
      <w:r w:rsidR="0068048D" w:rsidRPr="0048528B">
        <w:rPr>
          <w:iCs/>
          <w:spacing w:val="-4"/>
          <w:lang w:val="fr-FR"/>
        </w:rPr>
        <w:t>/49/28 par des conseils sur l</w:t>
      </w:r>
      <w:r w:rsidR="00F3296C" w:rsidRPr="0048528B">
        <w:rPr>
          <w:iCs/>
          <w:spacing w:val="-4"/>
          <w:lang w:val="fr-FR"/>
        </w:rPr>
        <w:t>’</w:t>
      </w:r>
      <w:r w:rsidR="0068048D" w:rsidRPr="0048528B">
        <w:rPr>
          <w:iCs/>
          <w:spacing w:val="-4"/>
          <w:lang w:val="fr-FR"/>
        </w:rPr>
        <w:t>utilisation de caractères examinés sur la base d</w:t>
      </w:r>
      <w:r w:rsidR="00F3296C" w:rsidRPr="0048528B">
        <w:rPr>
          <w:iCs/>
          <w:spacing w:val="-4"/>
          <w:lang w:val="fr-FR"/>
        </w:rPr>
        <w:t>’</w:t>
      </w:r>
      <w:r w:rsidR="0068048D" w:rsidRPr="0048528B">
        <w:rPr>
          <w:iCs/>
          <w:spacing w:val="-4"/>
          <w:lang w:val="fr-FR"/>
        </w:rPr>
        <w:t>échantillons globaux afin de s</w:t>
      </w:r>
      <w:r w:rsidR="00F3296C" w:rsidRPr="0048528B">
        <w:rPr>
          <w:iCs/>
          <w:spacing w:val="-4"/>
          <w:lang w:val="fr-FR"/>
        </w:rPr>
        <w:t>’</w:t>
      </w:r>
      <w:r w:rsidR="0068048D" w:rsidRPr="0048528B">
        <w:rPr>
          <w:iCs/>
          <w:spacing w:val="-4"/>
          <w:lang w:val="fr-FR"/>
        </w:rPr>
        <w:t>assurer que les caractères répondent aux critères de base d</w:t>
      </w:r>
      <w:r w:rsidR="00F3296C" w:rsidRPr="0048528B">
        <w:rPr>
          <w:iCs/>
          <w:spacing w:val="-4"/>
          <w:lang w:val="fr-FR"/>
        </w:rPr>
        <w:t>’</w:t>
      </w:r>
      <w:r w:rsidR="0068048D" w:rsidRPr="0048528B">
        <w:rPr>
          <w:iCs/>
          <w:spacing w:val="-4"/>
          <w:lang w:val="fr-FR"/>
        </w:rPr>
        <w:t>un caractère.  Il convient en particulier que des experts principaux de principes directeurs d</w:t>
      </w:r>
      <w:r w:rsidR="00F3296C" w:rsidRPr="0048528B">
        <w:rPr>
          <w:iCs/>
          <w:spacing w:val="-4"/>
          <w:lang w:val="fr-FR"/>
        </w:rPr>
        <w:t>’</w:t>
      </w:r>
      <w:r w:rsidR="0068048D" w:rsidRPr="0048528B">
        <w:rPr>
          <w:iCs/>
          <w:spacing w:val="-4"/>
          <w:lang w:val="fr-FR"/>
        </w:rPr>
        <w:t>examen pourraient être invités à fournir des données de différentes années pour démontrer que l</w:t>
      </w:r>
      <w:r w:rsidR="00F3296C" w:rsidRPr="0048528B">
        <w:rPr>
          <w:iCs/>
          <w:spacing w:val="-4"/>
          <w:lang w:val="fr-FR"/>
        </w:rPr>
        <w:t>’</w:t>
      </w:r>
      <w:r w:rsidR="0068048D" w:rsidRPr="0048528B">
        <w:rPr>
          <w:iCs/>
          <w:spacing w:val="-4"/>
          <w:lang w:val="fr-FR"/>
        </w:rPr>
        <w:t>expression du caractère est “suffisamment cohérente et susceptible d</w:t>
      </w:r>
      <w:r w:rsidR="00F3296C" w:rsidRPr="0048528B">
        <w:rPr>
          <w:iCs/>
          <w:spacing w:val="-4"/>
          <w:lang w:val="fr-FR"/>
        </w:rPr>
        <w:t>’</w:t>
      </w:r>
      <w:r w:rsidR="0068048D" w:rsidRPr="0048528B">
        <w:rPr>
          <w:iCs/>
          <w:spacing w:val="-4"/>
          <w:lang w:val="fr-FR"/>
        </w:rPr>
        <w:t>être répétée dans un environnement particulier”.</w:t>
      </w:r>
      <w:r w:rsidRPr="0048528B">
        <w:rPr>
          <w:iCs/>
          <w:spacing w:val="-4"/>
          <w:lang w:val="fr-FR"/>
        </w:rPr>
        <w:t xml:space="preserve">  </w:t>
      </w:r>
      <w:r w:rsidR="0068048D" w:rsidRPr="0048528B">
        <w:rPr>
          <w:iCs/>
          <w:spacing w:val="-4"/>
          <w:lang w:val="fr-FR"/>
        </w:rPr>
        <w:t>Il est par ailleurs convenu que, sur la base des informations communiquées aux TWP, l</w:t>
      </w:r>
      <w:r w:rsidR="00F3296C" w:rsidRPr="0048528B">
        <w:rPr>
          <w:iCs/>
          <w:spacing w:val="-4"/>
          <w:lang w:val="fr-FR"/>
        </w:rPr>
        <w:t>’</w:t>
      </w:r>
      <w:r w:rsidR="0068048D" w:rsidRPr="0048528B">
        <w:rPr>
          <w:iCs/>
          <w:spacing w:val="-4"/>
          <w:lang w:val="fr-FR"/>
        </w:rPr>
        <w:t>analyse statistique de ces caractères pourrait être envisagée (voir le paragraphe</w:t>
      </w:r>
      <w:r w:rsidR="00E3136C" w:rsidRPr="0048528B">
        <w:rPr>
          <w:iCs/>
          <w:spacing w:val="-4"/>
          <w:lang w:val="fr-FR"/>
        </w:rPr>
        <w:t> </w:t>
      </w:r>
      <w:r w:rsidR="0068048D" w:rsidRPr="0048528B">
        <w:rPr>
          <w:iCs/>
          <w:spacing w:val="-4"/>
          <w:lang w:val="fr-FR"/>
        </w:rPr>
        <w:t xml:space="preserve">64 du </w:t>
      </w:r>
      <w:r w:rsidR="00F3296C" w:rsidRPr="0048528B">
        <w:rPr>
          <w:iCs/>
          <w:spacing w:val="-4"/>
          <w:lang w:val="fr-FR"/>
        </w:rPr>
        <w:t>document TC</w:t>
      </w:r>
      <w:r w:rsidR="0068048D" w:rsidRPr="0048528B">
        <w:rPr>
          <w:iCs/>
          <w:spacing w:val="-4"/>
          <w:lang w:val="fr-FR"/>
        </w:rPr>
        <w:t>/49/41 “Compte rendu des conclusions</w:t>
      </w:r>
      <w:r w:rsidR="00E3136C" w:rsidRPr="0048528B">
        <w:rPr>
          <w:iCs/>
          <w:spacing w:val="-4"/>
          <w:lang w:val="fr-FR"/>
        </w:rPr>
        <w:t>”</w:t>
      </w:r>
      <w:r w:rsidR="0068048D" w:rsidRPr="0048528B">
        <w:rPr>
          <w:iCs/>
          <w:spacing w:val="-4"/>
          <w:lang w:val="fr-FR"/>
        </w:rPr>
        <w:t>).</w:t>
      </w:r>
    </w:p>
    <w:p w:rsidR="006A03CA" w:rsidRPr="0048528B" w:rsidRDefault="006A03CA" w:rsidP="006A03CA">
      <w:pPr>
        <w:spacing w:line="360" w:lineRule="auto"/>
        <w:rPr>
          <w:iCs/>
          <w:spacing w:val="-4"/>
          <w:lang w:val="fr-FR"/>
        </w:rPr>
      </w:pPr>
    </w:p>
    <w:p w:rsidR="00CE0C30" w:rsidRPr="0048528B" w:rsidRDefault="0068048D" w:rsidP="006A03CA">
      <w:pPr>
        <w:pStyle w:val="Heading5"/>
        <w:rPr>
          <w:lang w:val="fr-FR"/>
        </w:rPr>
      </w:pPr>
      <w:r w:rsidRPr="0048528B">
        <w:rPr>
          <w:lang w:val="fr-FR"/>
        </w:rPr>
        <w:t>Révision du document TGP/8 : deuxième partie : Techniques utilisées dans l</w:t>
      </w:r>
      <w:r w:rsidR="00F3296C" w:rsidRPr="0048528B">
        <w:rPr>
          <w:lang w:val="fr-FR"/>
        </w:rPr>
        <w:t>’</w:t>
      </w:r>
      <w:r w:rsidRPr="0048528B">
        <w:rPr>
          <w:lang w:val="fr-FR"/>
        </w:rPr>
        <w:t xml:space="preserve">examen DHS, </w:t>
      </w:r>
      <w:r w:rsidR="001462E7" w:rsidRPr="0048528B">
        <w:rPr>
          <w:lang w:val="fr-FR"/>
        </w:rPr>
        <w:t>n</w:t>
      </w:r>
      <w:r w:rsidRPr="0048528B">
        <w:rPr>
          <w:lang w:val="fr-FR"/>
        </w:rPr>
        <w:t>ouvelle section : Méthodes de traitement des données pour l</w:t>
      </w:r>
      <w:r w:rsidR="00F3296C" w:rsidRPr="0048528B">
        <w:rPr>
          <w:lang w:val="fr-FR"/>
        </w:rPr>
        <w:t>’</w:t>
      </w:r>
      <w:r w:rsidRPr="0048528B">
        <w:rPr>
          <w:lang w:val="fr-FR"/>
        </w:rPr>
        <w:t>évaluation</w:t>
      </w:r>
      <w:r w:rsidR="00992901" w:rsidRPr="0048528B">
        <w:rPr>
          <w:lang w:val="fr-FR"/>
        </w:rPr>
        <w:t xml:space="preserve"> </w:t>
      </w:r>
      <w:r w:rsidRPr="0048528B">
        <w:rPr>
          <w:lang w:val="fr-FR"/>
        </w:rPr>
        <w:t>de la distinction et l</w:t>
      </w:r>
      <w:r w:rsidR="00F3296C" w:rsidRPr="0048528B">
        <w:rPr>
          <w:lang w:val="fr-FR"/>
        </w:rPr>
        <w:t>’</w:t>
      </w:r>
      <w:r w:rsidRPr="0048528B">
        <w:rPr>
          <w:lang w:val="fr-FR"/>
        </w:rPr>
        <w:t>établissement de descriptions variétales</w:t>
      </w:r>
    </w:p>
    <w:p w:rsidR="00204800" w:rsidRPr="0048528B" w:rsidRDefault="00204800" w:rsidP="006A03CA">
      <w:pPr>
        <w:pStyle w:val="Heading5"/>
        <w:rPr>
          <w:lang w:val="fr-FR"/>
        </w:rPr>
      </w:pPr>
    </w:p>
    <w:p w:rsidR="00204800" w:rsidRPr="0048528B" w:rsidRDefault="00196886" w:rsidP="0068048D">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68048D" w:rsidRPr="0048528B">
        <w:rPr>
          <w:rFonts w:cs="Arial"/>
          <w:lang w:val="fr-FR"/>
        </w:rPr>
        <w:t>Le</w:t>
      </w:r>
      <w:r w:rsidR="00F3296C" w:rsidRPr="0048528B">
        <w:rPr>
          <w:rFonts w:cs="Arial"/>
          <w:lang w:val="fr-FR"/>
        </w:rPr>
        <w:t> TC</w:t>
      </w:r>
      <w:r w:rsidR="0068048D" w:rsidRPr="0048528B">
        <w:rPr>
          <w:rFonts w:cs="Arial"/>
          <w:lang w:val="fr-FR"/>
        </w:rPr>
        <w:t xml:space="preserve"> a examiné le </w:t>
      </w:r>
      <w:r w:rsidR="00F3296C" w:rsidRPr="0048528B">
        <w:rPr>
          <w:rFonts w:cs="Arial"/>
          <w:lang w:val="fr-FR"/>
        </w:rPr>
        <w:t>document TC</w:t>
      </w:r>
      <w:r w:rsidR="0068048D" w:rsidRPr="0048528B">
        <w:rPr>
          <w:rFonts w:cs="Arial"/>
          <w:lang w:val="fr-FR"/>
        </w:rPr>
        <w:t>/49/29.</w:t>
      </w:r>
    </w:p>
    <w:p w:rsidR="00204800" w:rsidRPr="0048528B" w:rsidRDefault="00204800" w:rsidP="00196886">
      <w:pPr>
        <w:rPr>
          <w:rFonts w:cs="Arial"/>
          <w:lang w:val="fr-FR"/>
        </w:rPr>
      </w:pPr>
    </w:p>
    <w:p w:rsidR="00204800" w:rsidRPr="0048528B" w:rsidRDefault="00196886" w:rsidP="00A26EF1">
      <w:pPr>
        <w:spacing w:after="360"/>
        <w:rPr>
          <w:iCs/>
          <w:spacing w:val="-4"/>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68048D" w:rsidRPr="0048528B">
        <w:rPr>
          <w:rFonts w:cs="Arial"/>
          <w:lang w:val="fr-FR"/>
        </w:rPr>
        <w:t>Le</w:t>
      </w:r>
      <w:r w:rsidR="00F3296C" w:rsidRPr="0048528B">
        <w:rPr>
          <w:rFonts w:cs="Arial"/>
          <w:lang w:val="fr-FR"/>
        </w:rPr>
        <w:t> TC</w:t>
      </w:r>
      <w:r w:rsidR="0068048D" w:rsidRPr="0048528B">
        <w:rPr>
          <w:rFonts w:cs="Arial"/>
          <w:lang w:val="fr-FR"/>
        </w:rPr>
        <w:t xml:space="preserve"> a invité le Bureau de l</w:t>
      </w:r>
      <w:r w:rsidR="00F3296C" w:rsidRPr="0048528B">
        <w:rPr>
          <w:rFonts w:cs="Arial"/>
          <w:lang w:val="fr-FR"/>
        </w:rPr>
        <w:t>’</w:t>
      </w:r>
      <w:r w:rsidR="0068048D" w:rsidRPr="0048528B">
        <w:rPr>
          <w:rFonts w:cs="Arial"/>
          <w:lang w:val="fr-FR"/>
        </w:rPr>
        <w:t>Union à demander aux experts du Royaume</w:t>
      </w:r>
      <w:r w:rsidR="003F00B6" w:rsidRPr="0048528B">
        <w:rPr>
          <w:rFonts w:cs="Arial"/>
          <w:lang w:val="fr-FR"/>
        </w:rPr>
        <w:noBreakHyphen/>
      </w:r>
      <w:r w:rsidR="0068048D" w:rsidRPr="0048528B">
        <w:rPr>
          <w:rFonts w:cs="Arial"/>
          <w:lang w:val="fr-FR"/>
        </w:rPr>
        <w:t>Uni, de la France et de l</w:t>
      </w:r>
      <w:r w:rsidR="00F3296C" w:rsidRPr="0048528B">
        <w:rPr>
          <w:rFonts w:cs="Arial"/>
          <w:lang w:val="fr-FR"/>
        </w:rPr>
        <w:t>’</w:t>
      </w:r>
      <w:r w:rsidR="0068048D" w:rsidRPr="0048528B">
        <w:rPr>
          <w:rFonts w:cs="Arial"/>
          <w:lang w:val="fr-FR"/>
        </w:rPr>
        <w:t>Allemagne ou d</w:t>
      </w:r>
      <w:r w:rsidR="00F3296C" w:rsidRPr="0048528B">
        <w:rPr>
          <w:rFonts w:cs="Arial"/>
          <w:lang w:val="fr-FR"/>
        </w:rPr>
        <w:t>’</w:t>
      </w:r>
      <w:r w:rsidR="0068048D" w:rsidRPr="0048528B">
        <w:rPr>
          <w:rFonts w:cs="Arial"/>
          <w:lang w:val="fr-FR"/>
        </w:rPr>
        <w:t>autres membres de l</w:t>
      </w:r>
      <w:r w:rsidR="00F3296C" w:rsidRPr="0048528B">
        <w:rPr>
          <w:rFonts w:cs="Arial"/>
          <w:lang w:val="fr-FR"/>
        </w:rPr>
        <w:t>’</w:t>
      </w:r>
      <w:r w:rsidR="0068048D" w:rsidRPr="0048528B">
        <w:rPr>
          <w:rFonts w:cs="Arial"/>
          <w:lang w:val="fr-FR"/>
        </w:rPr>
        <w:t>Union de fournir une série de données communes sur des variétés à reproduction asexuée et/ou végétative aux fins d</w:t>
      </w:r>
      <w:r w:rsidR="00F3296C" w:rsidRPr="0048528B">
        <w:rPr>
          <w:rFonts w:cs="Arial"/>
          <w:lang w:val="fr-FR"/>
        </w:rPr>
        <w:t>’</w:t>
      </w:r>
      <w:r w:rsidR="0068048D" w:rsidRPr="0048528B">
        <w:rPr>
          <w:rFonts w:cs="Arial"/>
          <w:lang w:val="fr-FR"/>
        </w:rPr>
        <w:t>un exercice pratique (voir le paragraphe</w:t>
      </w:r>
      <w:r w:rsidR="00E3136C" w:rsidRPr="0048528B">
        <w:rPr>
          <w:rFonts w:cs="Arial"/>
          <w:lang w:val="fr-FR"/>
        </w:rPr>
        <w:t> </w:t>
      </w:r>
      <w:r w:rsidR="0068048D" w:rsidRPr="0048528B">
        <w:rPr>
          <w:rFonts w:cs="Arial"/>
          <w:lang w:val="fr-FR"/>
        </w:rPr>
        <w:t xml:space="preserve">66 du </w:t>
      </w:r>
      <w:r w:rsidR="00F3296C" w:rsidRPr="0048528B">
        <w:rPr>
          <w:rFonts w:cs="Arial"/>
          <w:lang w:val="fr-FR"/>
        </w:rPr>
        <w:t>document TC</w:t>
      </w:r>
      <w:r w:rsidR="0068048D" w:rsidRPr="0048528B">
        <w:rPr>
          <w:rFonts w:cs="Arial"/>
          <w:lang w:val="fr-FR"/>
        </w:rPr>
        <w:t>/49/41 “Compte rendu des conclusions</w:t>
      </w:r>
      <w:r w:rsidR="00E3136C" w:rsidRPr="0048528B">
        <w:rPr>
          <w:rFonts w:cs="Arial"/>
          <w:lang w:val="fr-FR"/>
        </w:rPr>
        <w:t>”</w:t>
      </w:r>
      <w:r w:rsidR="0068048D" w:rsidRPr="0048528B">
        <w:rPr>
          <w:rFonts w:cs="Arial"/>
          <w:lang w:val="fr-FR"/>
        </w:rPr>
        <w:t>).</w:t>
      </w:r>
    </w:p>
    <w:p w:rsidR="00CE0C30" w:rsidRPr="0048528B" w:rsidRDefault="0040146A" w:rsidP="006A03CA">
      <w:pPr>
        <w:pStyle w:val="Heading5"/>
        <w:rPr>
          <w:lang w:val="fr-FR"/>
        </w:rPr>
      </w:pPr>
      <w:r w:rsidRPr="0048528B">
        <w:rPr>
          <w:lang w:val="fr-FR"/>
        </w:rPr>
        <w:lastRenderedPageBreak/>
        <w:t xml:space="preserve">Révision du document TGP/8 : </w:t>
      </w:r>
      <w:r w:rsidR="001462E7" w:rsidRPr="0048528B">
        <w:rPr>
          <w:lang w:val="fr-FR"/>
        </w:rPr>
        <w:t>d</w:t>
      </w:r>
      <w:r w:rsidRPr="0048528B">
        <w:rPr>
          <w:lang w:val="fr-FR"/>
        </w:rPr>
        <w:t>euxième partie : Techniques utilisées</w:t>
      </w:r>
      <w:r w:rsidR="00992901" w:rsidRPr="0048528B">
        <w:rPr>
          <w:lang w:val="fr-FR"/>
        </w:rPr>
        <w:t xml:space="preserve"> </w:t>
      </w:r>
      <w:r w:rsidRPr="0048528B">
        <w:rPr>
          <w:lang w:val="fr-FR"/>
        </w:rPr>
        <w:t>dans l</w:t>
      </w:r>
      <w:r w:rsidR="00F3296C" w:rsidRPr="0048528B">
        <w:rPr>
          <w:lang w:val="fr-FR"/>
        </w:rPr>
        <w:t>’</w:t>
      </w:r>
      <w:r w:rsidR="001462E7" w:rsidRPr="0048528B">
        <w:rPr>
          <w:lang w:val="fr-FR"/>
        </w:rPr>
        <w:t>examen DHS, n</w:t>
      </w:r>
      <w:r w:rsidRPr="0048528B">
        <w:rPr>
          <w:lang w:val="fr-FR"/>
        </w:rPr>
        <w:t>ouvelle section : Indications en matière d</w:t>
      </w:r>
      <w:r w:rsidR="00F3296C" w:rsidRPr="0048528B">
        <w:rPr>
          <w:lang w:val="fr-FR"/>
        </w:rPr>
        <w:t>’</w:t>
      </w:r>
      <w:r w:rsidRPr="0048528B">
        <w:rPr>
          <w:lang w:val="fr-FR"/>
        </w:rPr>
        <w:t>analyse</w:t>
      </w:r>
      <w:r w:rsidR="00992901" w:rsidRPr="0048528B">
        <w:rPr>
          <w:lang w:val="fr-FR"/>
        </w:rPr>
        <w:t xml:space="preserve"> </w:t>
      </w:r>
      <w:r w:rsidRPr="0048528B">
        <w:rPr>
          <w:lang w:val="fr-FR"/>
        </w:rPr>
        <w:t>des données aux fins des essais aveugles aléatoires</w:t>
      </w:r>
    </w:p>
    <w:p w:rsidR="00204800" w:rsidRPr="0048528B" w:rsidRDefault="00204800" w:rsidP="00196886">
      <w:pPr>
        <w:keepNext/>
        <w:rPr>
          <w:rFonts w:cs="Arial"/>
          <w:lang w:val="fr-FR"/>
        </w:rPr>
      </w:pPr>
    </w:p>
    <w:p w:rsidR="00204800" w:rsidRPr="0048528B" w:rsidRDefault="00196886" w:rsidP="0040146A">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a examiné le </w:t>
      </w:r>
      <w:r w:rsidR="00F3296C" w:rsidRPr="0048528B">
        <w:rPr>
          <w:rFonts w:cs="Arial"/>
          <w:lang w:val="fr-FR"/>
        </w:rPr>
        <w:t>document TC</w:t>
      </w:r>
      <w:r w:rsidR="0040146A" w:rsidRPr="0048528B">
        <w:rPr>
          <w:rFonts w:cs="Arial"/>
          <w:lang w:val="fr-FR"/>
        </w:rPr>
        <w:t>/49/30.</w:t>
      </w:r>
    </w:p>
    <w:p w:rsidR="00204800" w:rsidRPr="0048528B" w:rsidRDefault="00204800" w:rsidP="00196886">
      <w:pPr>
        <w:rPr>
          <w:rFonts w:cs="Arial"/>
          <w:lang w:val="fr-FR"/>
        </w:rPr>
      </w:pPr>
    </w:p>
    <w:p w:rsidR="00204800" w:rsidRPr="0048528B" w:rsidRDefault="00196886" w:rsidP="0040146A">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40146A" w:rsidRPr="0048528B">
        <w:rPr>
          <w:iCs/>
          <w:spacing w:val="-4"/>
          <w:lang w:val="fr-FR"/>
        </w:rPr>
        <w:t>Le</w:t>
      </w:r>
      <w:r w:rsidR="00F3296C" w:rsidRPr="0048528B">
        <w:rPr>
          <w:iCs/>
          <w:spacing w:val="-4"/>
          <w:lang w:val="fr-FR"/>
        </w:rPr>
        <w:t> TC</w:t>
      </w:r>
      <w:r w:rsidR="0040146A" w:rsidRPr="0048528B">
        <w:rPr>
          <w:iCs/>
          <w:spacing w:val="-4"/>
          <w:lang w:val="fr-FR"/>
        </w:rPr>
        <w:t xml:space="preserve"> est convenu de l</w:t>
      </w:r>
      <w:r w:rsidR="00F3296C" w:rsidRPr="0048528B">
        <w:rPr>
          <w:iCs/>
          <w:spacing w:val="-4"/>
          <w:lang w:val="fr-FR"/>
        </w:rPr>
        <w:t>’</w:t>
      </w:r>
      <w:r w:rsidR="0040146A" w:rsidRPr="0048528B">
        <w:rPr>
          <w:iCs/>
          <w:spacing w:val="-4"/>
          <w:lang w:val="fr-FR"/>
        </w:rPr>
        <w:t>élaboration par un expert de la France d</w:t>
      </w:r>
      <w:r w:rsidR="00F3296C" w:rsidRPr="0048528B">
        <w:rPr>
          <w:iCs/>
          <w:spacing w:val="-4"/>
          <w:lang w:val="fr-FR"/>
        </w:rPr>
        <w:t>’</w:t>
      </w:r>
      <w:r w:rsidR="0040146A" w:rsidRPr="0048528B">
        <w:rPr>
          <w:iCs/>
          <w:spacing w:val="-4"/>
          <w:lang w:val="fr-FR"/>
        </w:rPr>
        <w:t>un nouveau projet d</w:t>
      </w:r>
      <w:r w:rsidR="00F3296C" w:rsidRPr="0048528B">
        <w:rPr>
          <w:iCs/>
          <w:spacing w:val="-4"/>
          <w:lang w:val="fr-FR"/>
        </w:rPr>
        <w:t>’</w:t>
      </w:r>
      <w:r w:rsidR="0040146A" w:rsidRPr="0048528B">
        <w:rPr>
          <w:iCs/>
          <w:spacing w:val="-4"/>
          <w:lang w:val="fr-FR"/>
        </w:rPr>
        <w:t>une nouvelle section intitulée “Indications en matière d</w:t>
      </w:r>
      <w:r w:rsidR="00F3296C" w:rsidRPr="0048528B">
        <w:rPr>
          <w:iCs/>
          <w:spacing w:val="-4"/>
          <w:lang w:val="fr-FR"/>
        </w:rPr>
        <w:t>’</w:t>
      </w:r>
      <w:r w:rsidR="0040146A" w:rsidRPr="0048528B">
        <w:rPr>
          <w:iCs/>
          <w:spacing w:val="-4"/>
          <w:lang w:val="fr-FR"/>
        </w:rPr>
        <w:t>analyse des données aux fins des essais aveugles aléatoires”, sur la base de l</w:t>
      </w:r>
      <w:r w:rsidR="00F3296C" w:rsidRPr="0048528B">
        <w:rPr>
          <w:iCs/>
          <w:spacing w:val="-4"/>
          <w:lang w:val="fr-FR"/>
        </w:rPr>
        <w:t>’</w:t>
      </w:r>
      <w:r w:rsidR="0040146A" w:rsidRPr="0048528B">
        <w:rPr>
          <w:iCs/>
          <w:spacing w:val="-4"/>
          <w:lang w:val="fr-FR"/>
        </w:rPr>
        <w:t xml:space="preserve">annexe du </w:t>
      </w:r>
      <w:r w:rsidR="00F3296C" w:rsidRPr="0048528B">
        <w:rPr>
          <w:iCs/>
          <w:spacing w:val="-4"/>
          <w:lang w:val="fr-FR"/>
        </w:rPr>
        <w:t>document TC</w:t>
      </w:r>
      <w:r w:rsidR="0040146A" w:rsidRPr="0048528B">
        <w:rPr>
          <w:iCs/>
          <w:spacing w:val="-4"/>
          <w:lang w:val="fr-FR"/>
        </w:rPr>
        <w:t>/49/30 ainsi que des observations des TWP à leurs sessions en 2012 et du</w:t>
      </w:r>
      <w:r w:rsidR="00F3296C" w:rsidRPr="0048528B">
        <w:rPr>
          <w:iCs/>
          <w:spacing w:val="-4"/>
          <w:lang w:val="fr-FR"/>
        </w:rPr>
        <w:t> TC</w:t>
      </w:r>
      <w:r w:rsidR="003F00B6" w:rsidRPr="0048528B">
        <w:rPr>
          <w:iCs/>
          <w:spacing w:val="-4"/>
          <w:lang w:val="fr-FR"/>
        </w:rPr>
        <w:noBreakHyphen/>
      </w:r>
      <w:r w:rsidR="00F3296C" w:rsidRPr="0048528B">
        <w:rPr>
          <w:iCs/>
          <w:spacing w:val="-4"/>
          <w:lang w:val="fr-FR"/>
        </w:rPr>
        <w:t>EDC</w:t>
      </w:r>
      <w:r w:rsidR="0040146A" w:rsidRPr="0048528B">
        <w:rPr>
          <w:iCs/>
          <w:spacing w:val="-4"/>
          <w:lang w:val="fr-FR"/>
        </w:rPr>
        <w:t xml:space="preserve"> à sa réunion en 2013, pour examen par les TWP à leurs sessions en 2013 envisagée (voir le paragraphe</w:t>
      </w:r>
      <w:r w:rsidR="00E3136C" w:rsidRPr="0048528B">
        <w:rPr>
          <w:iCs/>
          <w:spacing w:val="-4"/>
          <w:lang w:val="fr-FR"/>
        </w:rPr>
        <w:t> </w:t>
      </w:r>
      <w:r w:rsidR="0040146A" w:rsidRPr="0048528B">
        <w:rPr>
          <w:iCs/>
          <w:spacing w:val="-4"/>
          <w:lang w:val="fr-FR"/>
        </w:rPr>
        <w:t xml:space="preserve">68 du </w:t>
      </w:r>
      <w:r w:rsidR="00F3296C" w:rsidRPr="0048528B">
        <w:rPr>
          <w:iCs/>
          <w:spacing w:val="-4"/>
          <w:lang w:val="fr-FR"/>
        </w:rPr>
        <w:t>document TC</w:t>
      </w:r>
      <w:r w:rsidR="0040146A" w:rsidRPr="0048528B">
        <w:rPr>
          <w:iCs/>
          <w:spacing w:val="-4"/>
          <w:lang w:val="fr-FR"/>
        </w:rPr>
        <w:t>/49/41 “Compte rendu des conclusions</w:t>
      </w:r>
      <w:r w:rsidR="00E3136C" w:rsidRPr="0048528B">
        <w:rPr>
          <w:iCs/>
          <w:spacing w:val="-4"/>
          <w:lang w:val="fr-FR"/>
        </w:rPr>
        <w:t>”</w:t>
      </w:r>
      <w:r w:rsidR="0040146A" w:rsidRPr="0048528B">
        <w:rPr>
          <w:iCs/>
          <w:spacing w:val="-4"/>
          <w:lang w:val="fr-FR"/>
        </w:rPr>
        <w:t>).</w:t>
      </w:r>
    </w:p>
    <w:p w:rsidR="00204800" w:rsidRPr="0048528B" w:rsidRDefault="00204800" w:rsidP="00A26EF1">
      <w:pPr>
        <w:spacing w:line="360" w:lineRule="auto"/>
        <w:rPr>
          <w:rFonts w:cs="Arial"/>
          <w:lang w:val="fr-FR"/>
        </w:rPr>
      </w:pPr>
    </w:p>
    <w:p w:rsidR="00CE0C30" w:rsidRPr="0048528B" w:rsidRDefault="0040146A" w:rsidP="006A03CA">
      <w:pPr>
        <w:pStyle w:val="Heading5"/>
        <w:rPr>
          <w:lang w:val="fr-FR"/>
        </w:rPr>
      </w:pPr>
      <w:r w:rsidRPr="0048528B">
        <w:rPr>
          <w:lang w:val="fr-FR"/>
        </w:rPr>
        <w:t xml:space="preserve">Révision du document TGP/8 : </w:t>
      </w:r>
      <w:r w:rsidR="001462E7" w:rsidRPr="0048528B">
        <w:rPr>
          <w:lang w:val="fr-FR"/>
        </w:rPr>
        <w:t>d</w:t>
      </w:r>
      <w:r w:rsidRPr="0048528B">
        <w:rPr>
          <w:lang w:val="fr-FR"/>
        </w:rPr>
        <w:t>euxième partie : Techniques utilisées dans l</w:t>
      </w:r>
      <w:r w:rsidR="00F3296C" w:rsidRPr="0048528B">
        <w:rPr>
          <w:lang w:val="fr-FR"/>
        </w:rPr>
        <w:t>’</w:t>
      </w:r>
      <w:r w:rsidR="001462E7" w:rsidRPr="0048528B">
        <w:rPr>
          <w:lang w:val="fr-FR"/>
        </w:rPr>
        <w:t>examen DHS, n</w:t>
      </w:r>
      <w:r w:rsidRPr="0048528B">
        <w:rPr>
          <w:lang w:val="fr-FR"/>
        </w:rPr>
        <w:t>ouvelle section : Indications relatives à l</w:t>
      </w:r>
      <w:r w:rsidR="00F3296C" w:rsidRPr="0048528B">
        <w:rPr>
          <w:lang w:val="fr-FR"/>
        </w:rPr>
        <w:t>’</w:t>
      </w:r>
      <w:r w:rsidRPr="0048528B">
        <w:rPr>
          <w:lang w:val="fr-FR"/>
        </w:rPr>
        <w:t>élaboration des descriptions variétales</w:t>
      </w:r>
    </w:p>
    <w:p w:rsidR="00204800" w:rsidRPr="0048528B" w:rsidRDefault="00204800" w:rsidP="00196886">
      <w:pPr>
        <w:keepNext/>
        <w:rPr>
          <w:rFonts w:cs="Arial"/>
          <w:lang w:val="fr-FR"/>
        </w:rPr>
      </w:pPr>
    </w:p>
    <w:p w:rsidR="00204800" w:rsidRPr="0048528B" w:rsidRDefault="00196886" w:rsidP="0040146A">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a examiné le </w:t>
      </w:r>
      <w:r w:rsidR="00F3296C" w:rsidRPr="0048528B">
        <w:rPr>
          <w:rFonts w:cs="Arial"/>
          <w:lang w:val="fr-FR"/>
        </w:rPr>
        <w:t>document TC</w:t>
      </w:r>
      <w:r w:rsidR="0040146A" w:rsidRPr="0048528B">
        <w:rPr>
          <w:rFonts w:cs="Arial"/>
          <w:lang w:val="fr-FR"/>
        </w:rPr>
        <w:t>/49/31.</w:t>
      </w:r>
    </w:p>
    <w:p w:rsidR="00204800" w:rsidRPr="0048528B" w:rsidRDefault="00204800" w:rsidP="00196886">
      <w:pPr>
        <w:rPr>
          <w:rFonts w:cs="Arial"/>
          <w:lang w:val="fr-FR"/>
        </w:rPr>
      </w:pPr>
    </w:p>
    <w:p w:rsidR="00204800" w:rsidRPr="0048528B" w:rsidRDefault="00196886" w:rsidP="0040146A">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40146A" w:rsidRPr="0048528B">
        <w:rPr>
          <w:iCs/>
          <w:snapToGrid w:val="0"/>
          <w:lang w:val="fr-FR"/>
        </w:rPr>
        <w:t>Le</w:t>
      </w:r>
      <w:r w:rsidR="00F3296C" w:rsidRPr="0048528B">
        <w:rPr>
          <w:iCs/>
          <w:snapToGrid w:val="0"/>
          <w:lang w:val="fr-FR"/>
        </w:rPr>
        <w:t> TC</w:t>
      </w:r>
      <w:r w:rsidR="0040146A" w:rsidRPr="0048528B">
        <w:rPr>
          <w:iCs/>
          <w:snapToGrid w:val="0"/>
          <w:lang w:val="fr-FR"/>
        </w:rPr>
        <w:t xml:space="preserve"> est convenu que les informations fournies dans l</w:t>
      </w:r>
      <w:r w:rsidR="00F3296C" w:rsidRPr="0048528B">
        <w:rPr>
          <w:iCs/>
          <w:snapToGrid w:val="0"/>
          <w:lang w:val="fr-FR"/>
        </w:rPr>
        <w:t>’</w:t>
      </w:r>
      <w:r w:rsidR="0040146A" w:rsidRPr="0048528B">
        <w:rPr>
          <w:iCs/>
          <w:snapToGrid w:val="0"/>
          <w:lang w:val="fr-FR"/>
        </w:rPr>
        <w:t xml:space="preserve">annexe I du </w:t>
      </w:r>
      <w:r w:rsidR="00F3296C" w:rsidRPr="0048528B">
        <w:rPr>
          <w:iCs/>
          <w:snapToGrid w:val="0"/>
          <w:lang w:val="fr-FR"/>
        </w:rPr>
        <w:t>document TC</w:t>
      </w:r>
      <w:r w:rsidR="0040146A" w:rsidRPr="0048528B">
        <w:rPr>
          <w:iCs/>
          <w:snapToGrid w:val="0"/>
          <w:lang w:val="fr-FR"/>
        </w:rPr>
        <w:t xml:space="preserve">/49/31 devraient être combinées avec les informations figurant dans le </w:t>
      </w:r>
      <w:r w:rsidR="00F3296C" w:rsidRPr="0048528B">
        <w:rPr>
          <w:iCs/>
          <w:snapToGrid w:val="0"/>
          <w:lang w:val="fr-FR"/>
        </w:rPr>
        <w:t>document TC</w:t>
      </w:r>
      <w:r w:rsidR="0040146A" w:rsidRPr="0048528B">
        <w:rPr>
          <w:iCs/>
          <w:snapToGrid w:val="0"/>
          <w:lang w:val="fr-FR"/>
        </w:rPr>
        <w:t>/49/29 et que l</w:t>
      </w:r>
      <w:r w:rsidR="00F3296C" w:rsidRPr="0048528B">
        <w:rPr>
          <w:iCs/>
          <w:snapToGrid w:val="0"/>
          <w:lang w:val="fr-FR"/>
        </w:rPr>
        <w:t>’</w:t>
      </w:r>
      <w:r w:rsidR="0040146A" w:rsidRPr="0048528B">
        <w:rPr>
          <w:iCs/>
          <w:snapToGrid w:val="0"/>
          <w:lang w:val="fr-FR"/>
        </w:rPr>
        <w:t>élaboration d</w:t>
      </w:r>
      <w:r w:rsidR="00F3296C" w:rsidRPr="0048528B">
        <w:rPr>
          <w:iCs/>
          <w:snapToGrid w:val="0"/>
          <w:lang w:val="fr-FR"/>
        </w:rPr>
        <w:t>’</w:t>
      </w:r>
      <w:r w:rsidR="0040146A" w:rsidRPr="0048528B">
        <w:rPr>
          <w:iCs/>
          <w:snapToGrid w:val="0"/>
          <w:lang w:val="fr-FR"/>
        </w:rPr>
        <w:t>une section distincte devrait être abandonnée envisagée (voir le paragraphe</w:t>
      </w:r>
      <w:r w:rsidR="00E3136C" w:rsidRPr="0048528B">
        <w:rPr>
          <w:iCs/>
          <w:snapToGrid w:val="0"/>
          <w:lang w:val="fr-FR"/>
        </w:rPr>
        <w:t> </w:t>
      </w:r>
      <w:r w:rsidR="0040146A" w:rsidRPr="0048528B">
        <w:rPr>
          <w:iCs/>
          <w:snapToGrid w:val="0"/>
          <w:lang w:val="fr-FR"/>
        </w:rPr>
        <w:t xml:space="preserve">70 du </w:t>
      </w:r>
      <w:r w:rsidR="00F3296C" w:rsidRPr="0048528B">
        <w:rPr>
          <w:iCs/>
          <w:snapToGrid w:val="0"/>
          <w:lang w:val="fr-FR"/>
        </w:rPr>
        <w:t>document TC</w:t>
      </w:r>
      <w:r w:rsidR="0040146A" w:rsidRPr="0048528B">
        <w:rPr>
          <w:iCs/>
          <w:snapToGrid w:val="0"/>
          <w:lang w:val="fr-FR"/>
        </w:rPr>
        <w:t>/49/41 “Compte rendu des conclusions</w:t>
      </w:r>
      <w:r w:rsidR="00E3136C" w:rsidRPr="0048528B">
        <w:rPr>
          <w:iCs/>
          <w:snapToGrid w:val="0"/>
          <w:lang w:val="fr-FR"/>
        </w:rPr>
        <w:t>”</w:t>
      </w:r>
      <w:r w:rsidR="0040146A" w:rsidRPr="0048528B">
        <w:rPr>
          <w:iCs/>
          <w:snapToGrid w:val="0"/>
          <w:lang w:val="fr-FR"/>
        </w:rPr>
        <w:t>).</w:t>
      </w:r>
    </w:p>
    <w:p w:rsidR="00204800" w:rsidRPr="0048528B" w:rsidRDefault="00204800" w:rsidP="00A26EF1">
      <w:pPr>
        <w:spacing w:line="360" w:lineRule="auto"/>
        <w:rPr>
          <w:rFonts w:cs="Arial"/>
          <w:lang w:val="fr-FR"/>
        </w:rPr>
      </w:pPr>
    </w:p>
    <w:p w:rsidR="00CE0C30" w:rsidRPr="0048528B" w:rsidRDefault="0040146A" w:rsidP="006A03CA">
      <w:pPr>
        <w:pStyle w:val="Heading5"/>
        <w:rPr>
          <w:lang w:val="fr-FR"/>
        </w:rPr>
      </w:pPr>
      <w:r w:rsidRPr="0048528B">
        <w:rPr>
          <w:lang w:val="fr-FR"/>
        </w:rPr>
        <w:t xml:space="preserve">Révision du document TGP/8 : deuxième partie : Techniques </w:t>
      </w:r>
      <w:r w:rsidR="00992901" w:rsidRPr="0048528B">
        <w:rPr>
          <w:lang w:val="fr-FR"/>
        </w:rPr>
        <w:t>u</w:t>
      </w:r>
      <w:r w:rsidRPr="0048528B">
        <w:rPr>
          <w:lang w:val="fr-FR"/>
        </w:rPr>
        <w:t>tilisées dans l</w:t>
      </w:r>
      <w:r w:rsidR="00F3296C" w:rsidRPr="0048528B">
        <w:rPr>
          <w:lang w:val="fr-FR"/>
        </w:rPr>
        <w:t>’</w:t>
      </w:r>
      <w:r w:rsidR="001462E7" w:rsidRPr="0048528B">
        <w:rPr>
          <w:lang w:val="fr-FR"/>
        </w:rPr>
        <w:t>examen DHS, n</w:t>
      </w:r>
      <w:r w:rsidRPr="0048528B">
        <w:rPr>
          <w:lang w:val="fr-FR"/>
        </w:rPr>
        <w:t>ouvelle section : Méthodes statistiques applicables aux caractères observés visuellement</w:t>
      </w:r>
    </w:p>
    <w:p w:rsidR="00204800" w:rsidRPr="0048528B" w:rsidRDefault="00204800" w:rsidP="00196886">
      <w:pPr>
        <w:keepNext/>
        <w:rPr>
          <w:rFonts w:cs="Arial"/>
          <w:lang w:val="fr-FR"/>
        </w:rPr>
      </w:pPr>
    </w:p>
    <w:p w:rsidR="00204800" w:rsidRPr="0048528B" w:rsidRDefault="00196886" w:rsidP="0040146A">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a examiné le </w:t>
      </w:r>
      <w:r w:rsidR="00F3296C" w:rsidRPr="0048528B">
        <w:rPr>
          <w:rFonts w:cs="Arial"/>
          <w:lang w:val="fr-FR"/>
        </w:rPr>
        <w:t>document TC</w:t>
      </w:r>
      <w:r w:rsidR="0040146A" w:rsidRPr="0048528B">
        <w:rPr>
          <w:rFonts w:cs="Arial"/>
          <w:lang w:val="fr-FR"/>
        </w:rPr>
        <w:t>/49/32.</w:t>
      </w:r>
    </w:p>
    <w:p w:rsidR="00204800" w:rsidRPr="0048528B" w:rsidRDefault="00204800" w:rsidP="00196886">
      <w:pPr>
        <w:rPr>
          <w:rFonts w:cs="Arial"/>
          <w:lang w:val="fr-FR"/>
        </w:rPr>
      </w:pPr>
    </w:p>
    <w:p w:rsidR="00CE0C30" w:rsidRPr="0048528B" w:rsidRDefault="00196886" w:rsidP="0040146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0146A" w:rsidRPr="0048528B">
        <w:rPr>
          <w:lang w:val="fr-FR"/>
        </w:rPr>
        <w:t>Le</w:t>
      </w:r>
      <w:r w:rsidR="00F3296C" w:rsidRPr="0048528B">
        <w:rPr>
          <w:lang w:val="fr-FR"/>
        </w:rPr>
        <w:t> TC</w:t>
      </w:r>
      <w:r w:rsidR="0040146A" w:rsidRPr="0048528B">
        <w:rPr>
          <w:lang w:val="fr-FR"/>
        </w:rPr>
        <w:t xml:space="preserve"> est convenu qu</w:t>
      </w:r>
      <w:r w:rsidR="00F3296C" w:rsidRPr="0048528B">
        <w:rPr>
          <w:lang w:val="fr-FR"/>
        </w:rPr>
        <w:t>’</w:t>
      </w:r>
      <w:r w:rsidR="0040146A" w:rsidRPr="0048528B">
        <w:rPr>
          <w:lang w:val="fr-FR"/>
        </w:rPr>
        <w:t>il ne serait pas approprié de poursuivre l</w:t>
      </w:r>
      <w:r w:rsidR="00F3296C" w:rsidRPr="0048528B">
        <w:rPr>
          <w:lang w:val="fr-FR"/>
        </w:rPr>
        <w:t>’</w:t>
      </w:r>
      <w:r w:rsidR="0040146A" w:rsidRPr="0048528B">
        <w:rPr>
          <w:lang w:val="fr-FR"/>
        </w:rPr>
        <w:t>élaboration d</w:t>
      </w:r>
      <w:r w:rsidR="00F3296C" w:rsidRPr="0048528B">
        <w:rPr>
          <w:lang w:val="fr-FR"/>
        </w:rPr>
        <w:t>’</w:t>
      </w:r>
      <w:r w:rsidR="0040146A" w:rsidRPr="0048528B">
        <w:rPr>
          <w:lang w:val="fr-FR"/>
        </w:rPr>
        <w:t>une section intitulée “Méthodes statistiques applicables aux caractères observés visuellement”, à moins que de nouveaux conseils ne soient donnés outre les méthodes déjà fournies dans le document TGP/8.  À cet égard, il a demandé au TWC de préciser s</w:t>
      </w:r>
      <w:r w:rsidR="00F3296C" w:rsidRPr="0048528B">
        <w:rPr>
          <w:lang w:val="fr-FR"/>
        </w:rPr>
        <w:t>’</w:t>
      </w:r>
      <w:r w:rsidR="0040146A" w:rsidRPr="0048528B">
        <w:rPr>
          <w:lang w:val="fr-FR"/>
        </w:rPr>
        <w:t>il proposait de modifier une méthode existante ou de fournir une nouvelle méthode additionnelle (voir le paragraphe</w:t>
      </w:r>
      <w:r w:rsidR="00E3136C" w:rsidRPr="0048528B">
        <w:rPr>
          <w:lang w:val="fr-FR"/>
        </w:rPr>
        <w:t> </w:t>
      </w:r>
      <w:r w:rsidR="0040146A" w:rsidRPr="0048528B">
        <w:rPr>
          <w:lang w:val="fr-FR"/>
        </w:rPr>
        <w:t xml:space="preserve">72 du </w:t>
      </w:r>
      <w:r w:rsidR="00F3296C" w:rsidRPr="0048528B">
        <w:rPr>
          <w:lang w:val="fr-FR"/>
        </w:rPr>
        <w:t>document TC</w:t>
      </w:r>
      <w:r w:rsidR="0040146A" w:rsidRPr="0048528B">
        <w:rPr>
          <w:lang w:val="fr-FR"/>
        </w:rPr>
        <w:t>/49/41 “Compte rendu des conclusions</w:t>
      </w:r>
      <w:r w:rsidR="00E3136C" w:rsidRPr="0048528B">
        <w:rPr>
          <w:lang w:val="fr-FR"/>
        </w:rPr>
        <w:t>”</w:t>
      </w:r>
      <w:r w:rsidR="0040146A" w:rsidRPr="0048528B">
        <w:rPr>
          <w:lang w:val="fr-FR"/>
        </w:rPr>
        <w:t>).</w:t>
      </w:r>
    </w:p>
    <w:p w:rsidR="00204800" w:rsidRPr="0048528B" w:rsidRDefault="00204800" w:rsidP="00A26EF1">
      <w:pPr>
        <w:spacing w:line="360" w:lineRule="auto"/>
        <w:rPr>
          <w:rFonts w:cs="Arial"/>
          <w:i/>
          <w:lang w:val="fr-FR"/>
        </w:rPr>
      </w:pPr>
    </w:p>
    <w:p w:rsidR="00204800" w:rsidRPr="0048528B" w:rsidRDefault="0040146A" w:rsidP="006A03CA">
      <w:pPr>
        <w:pStyle w:val="Heading5"/>
        <w:rPr>
          <w:lang w:val="fr-FR"/>
        </w:rPr>
      </w:pPr>
      <w:r w:rsidRPr="0048528B">
        <w:rPr>
          <w:lang w:val="fr-FR"/>
        </w:rPr>
        <w:t xml:space="preserve">Révision du document TGP/8 : </w:t>
      </w:r>
      <w:r w:rsidR="001462E7" w:rsidRPr="0048528B">
        <w:rPr>
          <w:lang w:val="fr-FR"/>
        </w:rPr>
        <w:t>d</w:t>
      </w:r>
      <w:r w:rsidRPr="0048528B">
        <w:rPr>
          <w:lang w:val="fr-FR"/>
        </w:rPr>
        <w:t xml:space="preserve">euxième </w:t>
      </w:r>
      <w:r w:rsidR="00992901" w:rsidRPr="0048528B">
        <w:rPr>
          <w:lang w:val="fr-FR"/>
        </w:rPr>
        <w:t>p</w:t>
      </w:r>
      <w:r w:rsidRPr="0048528B">
        <w:rPr>
          <w:lang w:val="fr-FR"/>
        </w:rPr>
        <w:t xml:space="preserve">artie : Techniques </w:t>
      </w:r>
      <w:r w:rsidR="00992901" w:rsidRPr="0048528B">
        <w:rPr>
          <w:lang w:val="fr-FR"/>
        </w:rPr>
        <w:t>u</w:t>
      </w:r>
      <w:r w:rsidRPr="0048528B">
        <w:rPr>
          <w:lang w:val="fr-FR"/>
        </w:rPr>
        <w:t>tilisées dans l</w:t>
      </w:r>
      <w:r w:rsidR="00F3296C" w:rsidRPr="0048528B">
        <w:rPr>
          <w:lang w:val="fr-FR"/>
        </w:rPr>
        <w:t>’</w:t>
      </w:r>
      <w:r w:rsidR="001462E7" w:rsidRPr="0048528B">
        <w:rPr>
          <w:lang w:val="fr-FR"/>
        </w:rPr>
        <w:t>examen DHS, n</w:t>
      </w:r>
      <w:r w:rsidRPr="0048528B">
        <w:rPr>
          <w:lang w:val="fr-FR"/>
        </w:rPr>
        <w:t>ouvelle section : Examen de caractères au moyen de l</w:t>
      </w:r>
      <w:r w:rsidR="00F3296C" w:rsidRPr="0048528B">
        <w:rPr>
          <w:lang w:val="fr-FR"/>
        </w:rPr>
        <w:t>’</w:t>
      </w:r>
      <w:r w:rsidRPr="0048528B">
        <w:rPr>
          <w:lang w:val="fr-FR"/>
        </w:rPr>
        <w:t>analyse d</w:t>
      </w:r>
      <w:r w:rsidR="00F3296C" w:rsidRPr="0048528B">
        <w:rPr>
          <w:lang w:val="fr-FR"/>
        </w:rPr>
        <w:t>’</w:t>
      </w:r>
      <w:r w:rsidRPr="0048528B">
        <w:rPr>
          <w:lang w:val="fr-FR"/>
        </w:rPr>
        <w:t>images</w:t>
      </w:r>
    </w:p>
    <w:p w:rsidR="00204800" w:rsidRPr="0048528B" w:rsidRDefault="00204800" w:rsidP="00196886">
      <w:pPr>
        <w:keepNext/>
        <w:rPr>
          <w:rFonts w:cs="Arial"/>
          <w:lang w:val="fr-FR"/>
        </w:rPr>
      </w:pPr>
    </w:p>
    <w:p w:rsidR="00204800" w:rsidRPr="0048528B" w:rsidRDefault="00196886" w:rsidP="0040146A">
      <w:pPr>
        <w:rPr>
          <w:rFonts w:cs="Arial"/>
          <w:snapToGrid w:val="0"/>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a examiné le </w:t>
      </w:r>
      <w:r w:rsidR="00F3296C" w:rsidRPr="0048528B">
        <w:rPr>
          <w:rFonts w:cs="Arial"/>
          <w:lang w:val="fr-FR"/>
        </w:rPr>
        <w:t>document TC</w:t>
      </w:r>
      <w:r w:rsidR="0040146A" w:rsidRPr="0048528B">
        <w:rPr>
          <w:rFonts w:cs="Arial"/>
          <w:lang w:val="fr-FR"/>
        </w:rPr>
        <w:t>/49/33.</w:t>
      </w:r>
    </w:p>
    <w:p w:rsidR="00204800" w:rsidRPr="0048528B" w:rsidRDefault="00204800" w:rsidP="00196886">
      <w:pPr>
        <w:rPr>
          <w:rFonts w:cs="Arial"/>
          <w:snapToGrid w:val="0"/>
          <w:lang w:val="fr-FR"/>
        </w:rPr>
      </w:pPr>
    </w:p>
    <w:p w:rsidR="00204800" w:rsidRPr="0048528B" w:rsidRDefault="00196886" w:rsidP="0040146A">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a pris note des informations sur les logiciels et le matériel utilisés pour l</w:t>
      </w:r>
      <w:r w:rsidR="00F3296C" w:rsidRPr="0048528B">
        <w:rPr>
          <w:rFonts w:cs="Arial"/>
          <w:lang w:val="fr-FR"/>
        </w:rPr>
        <w:t>’</w:t>
      </w:r>
      <w:r w:rsidR="0040146A" w:rsidRPr="0048528B">
        <w:rPr>
          <w:rFonts w:cs="Arial"/>
          <w:lang w:val="fr-FR"/>
        </w:rPr>
        <w:t>analyse d</w:t>
      </w:r>
      <w:r w:rsidR="00F3296C" w:rsidRPr="0048528B">
        <w:rPr>
          <w:rFonts w:cs="Arial"/>
          <w:lang w:val="fr-FR"/>
        </w:rPr>
        <w:t>’</w:t>
      </w:r>
      <w:r w:rsidR="0040146A" w:rsidRPr="0048528B">
        <w:rPr>
          <w:rFonts w:cs="Arial"/>
          <w:lang w:val="fr-FR"/>
        </w:rPr>
        <w:t>images, telles qu</w:t>
      </w:r>
      <w:r w:rsidR="00F3296C" w:rsidRPr="0048528B">
        <w:rPr>
          <w:rFonts w:cs="Arial"/>
          <w:lang w:val="fr-FR"/>
        </w:rPr>
        <w:t>’</w:t>
      </w:r>
      <w:r w:rsidR="0040146A" w:rsidRPr="0048528B">
        <w:rPr>
          <w:rFonts w:cs="Arial"/>
          <w:lang w:val="fr-FR"/>
        </w:rPr>
        <w:t>elles figurent dans l</w:t>
      </w:r>
      <w:r w:rsidR="00F3296C" w:rsidRPr="0048528B">
        <w:rPr>
          <w:rFonts w:cs="Arial"/>
          <w:lang w:val="fr-FR"/>
        </w:rPr>
        <w:t>’</w:t>
      </w:r>
      <w:r w:rsidR="0040146A" w:rsidRPr="0048528B">
        <w:rPr>
          <w:rFonts w:cs="Arial"/>
          <w:lang w:val="fr-FR"/>
        </w:rPr>
        <w:t xml:space="preserve">annexe I du </w:t>
      </w:r>
      <w:r w:rsidR="00F3296C" w:rsidRPr="0048528B">
        <w:rPr>
          <w:rFonts w:cs="Arial"/>
          <w:lang w:val="fr-FR"/>
        </w:rPr>
        <w:t>document TC</w:t>
      </w:r>
      <w:r w:rsidR="0040146A" w:rsidRPr="0048528B">
        <w:rPr>
          <w:rFonts w:cs="Arial"/>
          <w:lang w:val="fr-FR"/>
        </w:rPr>
        <w:t>/49/33.</w:t>
      </w:r>
    </w:p>
    <w:p w:rsidR="00204800" w:rsidRPr="0048528B" w:rsidRDefault="00204800" w:rsidP="00196886">
      <w:pPr>
        <w:rPr>
          <w:rFonts w:cs="Arial"/>
          <w:lang w:val="fr-FR"/>
        </w:rPr>
      </w:pPr>
    </w:p>
    <w:p w:rsidR="00CE0C30" w:rsidRPr="0048528B" w:rsidRDefault="00196886" w:rsidP="0040146A">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a noté que la recommandation du TWC concernant l</w:t>
      </w:r>
      <w:r w:rsidR="00F3296C" w:rsidRPr="0048528B">
        <w:rPr>
          <w:rFonts w:cs="Arial"/>
          <w:lang w:val="fr-FR"/>
        </w:rPr>
        <w:t>’</w:t>
      </w:r>
      <w:r w:rsidR="0040146A" w:rsidRPr="0048528B">
        <w:rPr>
          <w:rFonts w:cs="Arial"/>
          <w:lang w:val="fr-FR"/>
        </w:rPr>
        <w:t>inclusion du logiciel AIM de la France dans le document UPOV/INF/16 “Logiciels échangeables” et la demande au Bureau de l</w:t>
      </w:r>
      <w:r w:rsidR="00F3296C" w:rsidRPr="0048528B">
        <w:rPr>
          <w:rFonts w:cs="Arial"/>
          <w:lang w:val="fr-FR"/>
        </w:rPr>
        <w:t>’</w:t>
      </w:r>
      <w:r w:rsidR="0040146A" w:rsidRPr="0048528B">
        <w:rPr>
          <w:rFonts w:cs="Arial"/>
          <w:lang w:val="fr-FR"/>
        </w:rPr>
        <w:t xml:space="preserve">Union de traduire le logiciel AIM en anglais seraient examinées dans le </w:t>
      </w:r>
      <w:r w:rsidR="00F3296C" w:rsidRPr="0048528B">
        <w:rPr>
          <w:rFonts w:cs="Arial"/>
          <w:lang w:val="fr-FR"/>
        </w:rPr>
        <w:t>document TC</w:t>
      </w:r>
      <w:r w:rsidR="0040146A" w:rsidRPr="0048528B">
        <w:rPr>
          <w:rFonts w:cs="Arial"/>
          <w:lang w:val="fr-FR"/>
        </w:rPr>
        <w:t>/49/12 (voir les paragraphes</w:t>
      </w:r>
      <w:r w:rsidR="00E3136C" w:rsidRPr="0048528B">
        <w:rPr>
          <w:rFonts w:cs="Arial"/>
          <w:lang w:val="fr-FR"/>
        </w:rPr>
        <w:t> </w:t>
      </w:r>
      <w:r w:rsidR="0040146A" w:rsidRPr="0048528B">
        <w:rPr>
          <w:rFonts w:cs="Arial"/>
          <w:lang w:val="fr-FR"/>
        </w:rPr>
        <w:t xml:space="preserve">74 et 75 du </w:t>
      </w:r>
      <w:r w:rsidR="00F3296C" w:rsidRPr="0048528B">
        <w:rPr>
          <w:rFonts w:cs="Arial"/>
          <w:lang w:val="fr-FR"/>
        </w:rPr>
        <w:t>document TC</w:t>
      </w:r>
      <w:r w:rsidR="0040146A" w:rsidRPr="0048528B">
        <w:rPr>
          <w:rFonts w:cs="Arial"/>
          <w:lang w:val="fr-FR"/>
        </w:rPr>
        <w:t>/49/41 “Compte rendu des conclusions</w:t>
      </w:r>
      <w:r w:rsidR="00E3136C" w:rsidRPr="0048528B">
        <w:rPr>
          <w:rFonts w:cs="Arial"/>
          <w:lang w:val="fr-FR"/>
        </w:rPr>
        <w:t>”</w:t>
      </w:r>
      <w:r w:rsidR="0040146A" w:rsidRPr="0048528B">
        <w:rPr>
          <w:rFonts w:cs="Arial"/>
          <w:lang w:val="fr-FR"/>
        </w:rPr>
        <w:t>).</w:t>
      </w:r>
    </w:p>
    <w:p w:rsidR="00204800" w:rsidRPr="0048528B" w:rsidRDefault="00204800" w:rsidP="00A26EF1">
      <w:pPr>
        <w:spacing w:line="360" w:lineRule="auto"/>
        <w:rPr>
          <w:rFonts w:cs="Arial"/>
          <w:lang w:val="fr-FR"/>
        </w:rPr>
      </w:pPr>
    </w:p>
    <w:p w:rsidR="00CE0C30" w:rsidRPr="0048528B" w:rsidRDefault="0040146A" w:rsidP="006A03CA">
      <w:pPr>
        <w:pStyle w:val="Heading5"/>
        <w:rPr>
          <w:lang w:val="fr-FR"/>
        </w:rPr>
      </w:pPr>
      <w:r w:rsidRPr="0048528B">
        <w:rPr>
          <w:lang w:val="fr-FR"/>
        </w:rPr>
        <w:t xml:space="preserve">Révision du document TGP/8 : </w:t>
      </w:r>
      <w:r w:rsidR="001462E7" w:rsidRPr="0048528B">
        <w:rPr>
          <w:lang w:val="fr-FR"/>
        </w:rPr>
        <w:t>d</w:t>
      </w:r>
      <w:r w:rsidRPr="0048528B">
        <w:rPr>
          <w:lang w:val="fr-FR"/>
        </w:rPr>
        <w:t xml:space="preserve">euxième partie : </w:t>
      </w:r>
      <w:r w:rsidR="00992901" w:rsidRPr="0048528B">
        <w:rPr>
          <w:lang w:val="fr-FR"/>
        </w:rPr>
        <w:t>Q</w:t>
      </w:r>
      <w:r w:rsidRPr="0048528B">
        <w:rPr>
          <w:lang w:val="fr-FR"/>
        </w:rPr>
        <w:t>uelques techniques utilisées dans l</w:t>
      </w:r>
      <w:r w:rsidR="00F3296C" w:rsidRPr="0048528B">
        <w:rPr>
          <w:lang w:val="fr-FR"/>
        </w:rPr>
        <w:t>’</w:t>
      </w:r>
      <w:r w:rsidRPr="0048528B">
        <w:rPr>
          <w:lang w:val="fr-FR"/>
        </w:rPr>
        <w:t xml:space="preserve">examen DHS, </w:t>
      </w:r>
      <w:r w:rsidR="001462E7" w:rsidRPr="0048528B">
        <w:rPr>
          <w:lang w:val="fr-FR"/>
        </w:rPr>
        <w:t>n</w:t>
      </w:r>
      <w:r w:rsidRPr="0048528B">
        <w:rPr>
          <w:lang w:val="fr-FR"/>
        </w:rPr>
        <w:t>ouvelle section : méthodes statistiques pour de très petits échantillons</w:t>
      </w:r>
    </w:p>
    <w:p w:rsidR="00204800" w:rsidRPr="0048528B" w:rsidRDefault="00204800" w:rsidP="00196886">
      <w:pPr>
        <w:keepNext/>
        <w:rPr>
          <w:rFonts w:cs="Arial"/>
          <w:lang w:val="fr-FR"/>
        </w:rPr>
      </w:pPr>
    </w:p>
    <w:p w:rsidR="00204800" w:rsidRPr="0048528B" w:rsidRDefault="00196886" w:rsidP="0040146A">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a pris note des informations fournies dans le </w:t>
      </w:r>
      <w:r w:rsidR="00F3296C" w:rsidRPr="0048528B">
        <w:rPr>
          <w:rFonts w:cs="Arial"/>
          <w:lang w:val="fr-FR"/>
        </w:rPr>
        <w:t>document TC</w:t>
      </w:r>
      <w:r w:rsidR="0040146A" w:rsidRPr="0048528B">
        <w:rPr>
          <w:rFonts w:cs="Arial"/>
          <w:lang w:val="fr-FR"/>
        </w:rPr>
        <w:t>/49/34.</w:t>
      </w:r>
    </w:p>
    <w:p w:rsidR="00204800" w:rsidRPr="0048528B" w:rsidRDefault="00204800" w:rsidP="00196886">
      <w:pPr>
        <w:rPr>
          <w:rFonts w:cs="Arial"/>
          <w:lang w:val="fr-FR"/>
        </w:rPr>
      </w:pPr>
    </w:p>
    <w:p w:rsidR="00CE0C30" w:rsidRPr="0048528B" w:rsidRDefault="00196886" w:rsidP="0040146A">
      <w:pPr>
        <w:rPr>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40146A" w:rsidRPr="0048528B">
        <w:rPr>
          <w:lang w:val="fr-FR"/>
        </w:rPr>
        <w:t>Le</w:t>
      </w:r>
      <w:r w:rsidR="00F3296C" w:rsidRPr="0048528B">
        <w:rPr>
          <w:lang w:val="fr-FR"/>
        </w:rPr>
        <w:t> TC</w:t>
      </w:r>
      <w:r w:rsidR="0040146A" w:rsidRPr="0048528B">
        <w:rPr>
          <w:lang w:val="fr-FR"/>
        </w:rPr>
        <w:t xml:space="preserve"> est convenu de ne pas poursuivre l</w:t>
      </w:r>
      <w:r w:rsidR="00F3296C" w:rsidRPr="0048528B">
        <w:rPr>
          <w:lang w:val="fr-FR"/>
        </w:rPr>
        <w:t>’</w:t>
      </w:r>
      <w:r w:rsidR="0040146A" w:rsidRPr="0048528B">
        <w:rPr>
          <w:lang w:val="fr-FR"/>
        </w:rPr>
        <w:t>élaboration dans le document TGP/8 d</w:t>
      </w:r>
      <w:r w:rsidR="00F3296C" w:rsidRPr="0048528B">
        <w:rPr>
          <w:lang w:val="fr-FR"/>
        </w:rPr>
        <w:t>’</w:t>
      </w:r>
      <w:r w:rsidR="0040146A" w:rsidRPr="0048528B">
        <w:rPr>
          <w:lang w:val="fr-FR"/>
        </w:rPr>
        <w:t>une nouvelle section sur les méthodes statistiques pour de très petits échantillons (voir le paragraphe</w:t>
      </w:r>
      <w:r w:rsidR="00E3136C" w:rsidRPr="0048528B">
        <w:rPr>
          <w:lang w:val="fr-FR"/>
        </w:rPr>
        <w:t> </w:t>
      </w:r>
      <w:r w:rsidR="0040146A" w:rsidRPr="0048528B">
        <w:rPr>
          <w:lang w:val="fr-FR"/>
        </w:rPr>
        <w:t xml:space="preserve">77 du </w:t>
      </w:r>
      <w:r w:rsidR="00F3296C" w:rsidRPr="0048528B">
        <w:rPr>
          <w:lang w:val="fr-FR"/>
        </w:rPr>
        <w:t>document TC</w:t>
      </w:r>
      <w:r w:rsidR="0040146A" w:rsidRPr="0048528B">
        <w:rPr>
          <w:lang w:val="fr-FR"/>
        </w:rPr>
        <w:t>/49/41 “Compte rendu des conclusions</w:t>
      </w:r>
      <w:r w:rsidR="00E3136C" w:rsidRPr="0048528B">
        <w:rPr>
          <w:lang w:val="fr-FR"/>
        </w:rPr>
        <w:t>”</w:t>
      </w:r>
      <w:r w:rsidR="0040146A" w:rsidRPr="0048528B">
        <w:rPr>
          <w:lang w:val="fr-FR"/>
        </w:rPr>
        <w:t>).</w:t>
      </w:r>
    </w:p>
    <w:p w:rsidR="00204800" w:rsidRPr="0048528B" w:rsidRDefault="00204800" w:rsidP="00196886">
      <w:pPr>
        <w:rPr>
          <w:lang w:val="fr-FR"/>
        </w:rPr>
      </w:pPr>
    </w:p>
    <w:p w:rsidR="00204800" w:rsidRPr="0048528B" w:rsidRDefault="00204800" w:rsidP="00196886">
      <w:pPr>
        <w:rPr>
          <w:lang w:val="fr-FR"/>
        </w:rPr>
      </w:pPr>
    </w:p>
    <w:p w:rsidR="00204800" w:rsidRPr="0048528B" w:rsidRDefault="0040146A" w:rsidP="0040146A">
      <w:pPr>
        <w:pStyle w:val="Heading3"/>
        <w:rPr>
          <w:lang w:val="fr-FR"/>
        </w:rPr>
      </w:pPr>
      <w:bookmarkStart w:id="19" w:name="_Toc367888540"/>
      <w:r w:rsidRPr="0048528B">
        <w:rPr>
          <w:lang w:val="fr-FR"/>
        </w:rPr>
        <w:lastRenderedPageBreak/>
        <w:t xml:space="preserve">c) </w:t>
      </w:r>
      <w:r w:rsidR="001462E7" w:rsidRPr="0048528B">
        <w:rPr>
          <w:lang w:val="fr-FR"/>
        </w:rPr>
        <w:tab/>
      </w:r>
      <w:r w:rsidRPr="0048528B">
        <w:rPr>
          <w:lang w:val="fr-FR"/>
        </w:rPr>
        <w:t>Nouvelles propositions pour une future révision des documents TGP</w:t>
      </w:r>
      <w:bookmarkEnd w:id="19"/>
    </w:p>
    <w:p w:rsidR="00204800" w:rsidRPr="0048528B" w:rsidRDefault="00204800" w:rsidP="00196886">
      <w:pPr>
        <w:keepNext/>
        <w:rPr>
          <w:lang w:val="fr-FR"/>
        </w:rPr>
      </w:pPr>
    </w:p>
    <w:p w:rsidR="00204800" w:rsidRPr="0048528B" w:rsidRDefault="0040146A" w:rsidP="00473A08">
      <w:pPr>
        <w:pStyle w:val="Heading4"/>
        <w:rPr>
          <w:lang w:val="fr-FR"/>
        </w:rPr>
      </w:pPr>
      <w:r w:rsidRPr="0048528B">
        <w:rPr>
          <w:lang w:val="fr-FR"/>
        </w:rPr>
        <w:t>TGP/7 : Élaboration des principes directeurs d</w:t>
      </w:r>
      <w:r w:rsidR="00F3296C" w:rsidRPr="0048528B">
        <w:rPr>
          <w:lang w:val="fr-FR"/>
        </w:rPr>
        <w:t>’</w:t>
      </w:r>
      <w:r w:rsidRPr="0048528B">
        <w:rPr>
          <w:lang w:val="fr-FR"/>
        </w:rPr>
        <w:t>examen</w:t>
      </w:r>
    </w:p>
    <w:p w:rsidR="00204800" w:rsidRPr="0048528B" w:rsidRDefault="00204800" w:rsidP="00196886">
      <w:pPr>
        <w:keepNext/>
        <w:rPr>
          <w:rFonts w:cs="Arial"/>
          <w:lang w:val="fr-FR"/>
        </w:rPr>
      </w:pPr>
    </w:p>
    <w:p w:rsidR="00204800" w:rsidRPr="0048528B" w:rsidRDefault="0040146A" w:rsidP="006A03CA">
      <w:pPr>
        <w:pStyle w:val="Heading5"/>
        <w:rPr>
          <w:lang w:val="fr-FR"/>
        </w:rPr>
      </w:pPr>
      <w:r w:rsidRPr="0048528B">
        <w:rPr>
          <w:lang w:val="fr-FR"/>
        </w:rPr>
        <w:t>Durée des essais</w:t>
      </w:r>
    </w:p>
    <w:p w:rsidR="00204800" w:rsidRPr="0048528B" w:rsidRDefault="00204800" w:rsidP="00196886">
      <w:pPr>
        <w:keepNext/>
        <w:rPr>
          <w:lang w:val="fr-FR"/>
        </w:rPr>
      </w:pPr>
    </w:p>
    <w:p w:rsidR="00204800" w:rsidRPr="0048528B" w:rsidRDefault="00196886" w:rsidP="0040146A">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est convenu qu</w:t>
      </w:r>
      <w:r w:rsidR="00F3296C" w:rsidRPr="0048528B">
        <w:rPr>
          <w:rFonts w:cs="Arial"/>
          <w:lang w:val="fr-FR"/>
        </w:rPr>
        <w:t>’</w:t>
      </w:r>
      <w:r w:rsidR="0040146A" w:rsidRPr="0048528B">
        <w:rPr>
          <w:rFonts w:cs="Arial"/>
          <w:lang w:val="fr-FR"/>
        </w:rPr>
        <w:t>aucune information supplémentaire ne doit être fournie concernant la durée des essais telle qu</w:t>
      </w:r>
      <w:r w:rsidR="00F3296C" w:rsidRPr="0048528B">
        <w:rPr>
          <w:rFonts w:cs="Arial"/>
          <w:lang w:val="fr-FR"/>
        </w:rPr>
        <w:t>’</w:t>
      </w:r>
      <w:r w:rsidR="0040146A" w:rsidRPr="0048528B">
        <w:rPr>
          <w:rFonts w:cs="Arial"/>
          <w:lang w:val="fr-FR"/>
        </w:rPr>
        <w:t>elle figure comme suit dans les chapitres 3.1 et 4.1.2. :</w:t>
      </w:r>
    </w:p>
    <w:p w:rsidR="00204800" w:rsidRPr="0048528B" w:rsidRDefault="00204800" w:rsidP="00196886">
      <w:pPr>
        <w:rPr>
          <w:rFonts w:cs="Arial"/>
          <w:lang w:val="fr-FR"/>
        </w:rPr>
      </w:pPr>
    </w:p>
    <w:p w:rsidR="00204800" w:rsidRPr="0048528B" w:rsidRDefault="0040146A" w:rsidP="001462E7">
      <w:pPr>
        <w:ind w:left="1871" w:hanging="1304"/>
        <w:rPr>
          <w:rFonts w:cs="Arial"/>
          <w:lang w:val="fr-FR"/>
        </w:rPr>
      </w:pPr>
      <w:r w:rsidRPr="0048528B">
        <w:rPr>
          <w:rFonts w:cs="Arial"/>
          <w:lang w:val="fr-FR"/>
        </w:rPr>
        <w:t>Chapitre 3.</w:t>
      </w:r>
      <w:r w:rsidR="001462E7" w:rsidRPr="0048528B">
        <w:rPr>
          <w:rFonts w:cs="Arial"/>
          <w:lang w:val="fr-FR"/>
        </w:rPr>
        <w:t xml:space="preserve">1 : </w:t>
      </w:r>
      <w:r w:rsidRPr="0048528B">
        <w:rPr>
          <w:rFonts w:cs="Arial"/>
          <w:lang w:val="fr-FR"/>
        </w:rPr>
        <w:t>“En règle générale, la durée minimale des essais doit être de deux cycles de végétation indépendants”.</w:t>
      </w:r>
    </w:p>
    <w:p w:rsidR="00204800" w:rsidRPr="0048528B" w:rsidRDefault="00204800" w:rsidP="00196886">
      <w:pPr>
        <w:ind w:left="2127" w:hanging="1560"/>
        <w:rPr>
          <w:rFonts w:cs="Arial"/>
          <w:lang w:val="fr-FR"/>
        </w:rPr>
      </w:pPr>
    </w:p>
    <w:p w:rsidR="00204800" w:rsidRPr="0048528B" w:rsidRDefault="001462E7" w:rsidP="001462E7">
      <w:pPr>
        <w:ind w:left="2098" w:hanging="1531"/>
        <w:rPr>
          <w:rFonts w:cs="Arial"/>
          <w:lang w:val="fr-FR"/>
        </w:rPr>
      </w:pPr>
      <w:r w:rsidRPr="0048528B">
        <w:rPr>
          <w:rFonts w:cs="Arial"/>
          <w:lang w:val="fr-FR"/>
        </w:rPr>
        <w:t>Chapitre 4.1.2 :</w:t>
      </w:r>
      <w:r w:rsidR="0040146A" w:rsidRPr="0048528B">
        <w:rPr>
          <w:rFonts w:cs="Arial"/>
          <w:lang w:val="fr-FR"/>
        </w:rPr>
        <w:t xml:space="preserve"> “Les différences observées entre les variétés peuvent être suffisamment nettes pour qu</w:t>
      </w:r>
      <w:r w:rsidR="00F3296C" w:rsidRPr="0048528B">
        <w:rPr>
          <w:rFonts w:cs="Arial"/>
          <w:lang w:val="fr-FR"/>
        </w:rPr>
        <w:t>’</w:t>
      </w:r>
      <w:r w:rsidR="0040146A" w:rsidRPr="0048528B">
        <w:rPr>
          <w:rFonts w:cs="Arial"/>
          <w:lang w:val="fr-FR"/>
        </w:rPr>
        <w:t>un deuxième cycle de végétation ne soit pas nécessaire”.</w:t>
      </w:r>
    </w:p>
    <w:p w:rsidR="00204800" w:rsidRPr="0048528B" w:rsidRDefault="00204800" w:rsidP="00196886">
      <w:pPr>
        <w:rPr>
          <w:rFonts w:cs="Arial"/>
          <w:lang w:val="fr-FR"/>
        </w:rPr>
      </w:pPr>
    </w:p>
    <w:p w:rsidR="00CE0C30" w:rsidRPr="0048528B" w:rsidRDefault="00196886" w:rsidP="0040146A">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40146A" w:rsidRPr="0048528B">
        <w:rPr>
          <w:rFonts w:cs="Arial"/>
          <w:lang w:val="fr-FR"/>
        </w:rPr>
        <w:t>À cet égard, le</w:t>
      </w:r>
      <w:r w:rsidR="00F3296C" w:rsidRPr="0048528B">
        <w:rPr>
          <w:rFonts w:cs="Arial"/>
          <w:lang w:val="fr-FR"/>
        </w:rPr>
        <w:t> TC</w:t>
      </w:r>
      <w:r w:rsidR="0040146A" w:rsidRPr="0048528B">
        <w:rPr>
          <w:rFonts w:cs="Arial"/>
          <w:lang w:val="fr-FR"/>
        </w:rPr>
        <w:t xml:space="preserve"> est convenu que les chapitres 3.1 et 4.1.2 ne sont pas contradictoires car le premier porte sur l</w:t>
      </w:r>
      <w:r w:rsidR="00F3296C" w:rsidRPr="0048528B">
        <w:rPr>
          <w:rFonts w:cs="Arial"/>
          <w:lang w:val="fr-FR"/>
        </w:rPr>
        <w:t>’</w:t>
      </w:r>
      <w:r w:rsidR="0040146A" w:rsidRPr="0048528B">
        <w:rPr>
          <w:rFonts w:cs="Arial"/>
          <w:lang w:val="fr-FR"/>
        </w:rPr>
        <w:t>examen de la distinction, de l</w:t>
      </w:r>
      <w:r w:rsidR="00F3296C" w:rsidRPr="0048528B">
        <w:rPr>
          <w:rFonts w:cs="Arial"/>
          <w:lang w:val="fr-FR"/>
        </w:rPr>
        <w:t>’</w:t>
      </w:r>
      <w:r w:rsidR="0040146A" w:rsidRPr="0048528B">
        <w:rPr>
          <w:rFonts w:cs="Arial"/>
          <w:lang w:val="fr-FR"/>
        </w:rPr>
        <w:t>homogénéité et de la stabilité ainsi que sur l</w:t>
      </w:r>
      <w:r w:rsidR="00F3296C" w:rsidRPr="0048528B">
        <w:rPr>
          <w:rFonts w:cs="Arial"/>
          <w:lang w:val="fr-FR"/>
        </w:rPr>
        <w:t>’</w:t>
      </w:r>
      <w:r w:rsidR="0040146A" w:rsidRPr="0048528B">
        <w:rPr>
          <w:rFonts w:cs="Arial"/>
          <w:lang w:val="fr-FR"/>
        </w:rPr>
        <w:t>élaboration d</w:t>
      </w:r>
      <w:r w:rsidR="00F3296C" w:rsidRPr="0048528B">
        <w:rPr>
          <w:rFonts w:cs="Arial"/>
          <w:lang w:val="fr-FR"/>
        </w:rPr>
        <w:t>’</w:t>
      </w:r>
      <w:r w:rsidR="0040146A" w:rsidRPr="0048528B">
        <w:rPr>
          <w:rFonts w:cs="Arial"/>
          <w:lang w:val="fr-FR"/>
        </w:rPr>
        <w:t>une description variétale alors que le second porte uniquement sur la distinction (voir les paragraphes</w:t>
      </w:r>
      <w:r w:rsidR="00E3136C" w:rsidRPr="0048528B">
        <w:rPr>
          <w:rFonts w:cs="Arial"/>
          <w:lang w:val="fr-FR"/>
        </w:rPr>
        <w:t> </w:t>
      </w:r>
      <w:r w:rsidR="0040146A" w:rsidRPr="0048528B">
        <w:rPr>
          <w:rFonts w:cs="Arial"/>
          <w:lang w:val="fr-FR"/>
        </w:rPr>
        <w:t xml:space="preserve">78 et 79 du </w:t>
      </w:r>
      <w:r w:rsidR="00F3296C" w:rsidRPr="0048528B">
        <w:rPr>
          <w:rFonts w:cs="Arial"/>
          <w:lang w:val="fr-FR"/>
        </w:rPr>
        <w:t>document TC</w:t>
      </w:r>
      <w:r w:rsidR="0040146A" w:rsidRPr="0048528B">
        <w:rPr>
          <w:rFonts w:cs="Arial"/>
          <w:lang w:val="fr-FR"/>
        </w:rPr>
        <w:t>/49/41 “Compte rendu des conclusions</w:t>
      </w:r>
      <w:r w:rsidR="00E3136C" w:rsidRPr="0048528B">
        <w:rPr>
          <w:rFonts w:cs="Arial"/>
          <w:lang w:val="fr-FR"/>
        </w:rPr>
        <w:t>”</w:t>
      </w:r>
      <w:r w:rsidR="0040146A" w:rsidRPr="0048528B">
        <w:rPr>
          <w:rFonts w:cs="Arial"/>
          <w:lang w:val="fr-FR"/>
        </w:rPr>
        <w:t>).</w:t>
      </w:r>
    </w:p>
    <w:p w:rsidR="00204800" w:rsidRPr="0048528B" w:rsidRDefault="00204800" w:rsidP="00A26EF1">
      <w:pPr>
        <w:spacing w:line="360" w:lineRule="auto"/>
        <w:rPr>
          <w:rFonts w:cs="Arial"/>
          <w:lang w:val="fr-FR"/>
        </w:rPr>
      </w:pPr>
    </w:p>
    <w:p w:rsidR="00204800" w:rsidRPr="0048528B" w:rsidRDefault="0040146A" w:rsidP="006A03CA">
      <w:pPr>
        <w:pStyle w:val="Heading5"/>
        <w:rPr>
          <w:lang w:val="fr-FR"/>
        </w:rPr>
      </w:pPr>
      <w:r w:rsidRPr="0048528B">
        <w:rPr>
          <w:lang w:val="fr-FR"/>
        </w:rPr>
        <w:t>Cycle de végétation</w:t>
      </w:r>
    </w:p>
    <w:p w:rsidR="00204800" w:rsidRPr="0048528B" w:rsidRDefault="00204800" w:rsidP="00196886">
      <w:pPr>
        <w:keepNext/>
        <w:rPr>
          <w:lang w:val="fr-FR"/>
        </w:rPr>
      </w:pPr>
    </w:p>
    <w:p w:rsidR="00CE0C30" w:rsidRPr="0048528B" w:rsidRDefault="00196886" w:rsidP="0040146A">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a invité le TWF à se demander s</w:t>
      </w:r>
      <w:r w:rsidR="00F3296C" w:rsidRPr="0048528B">
        <w:rPr>
          <w:rFonts w:cs="Arial"/>
          <w:lang w:val="fr-FR"/>
        </w:rPr>
        <w:t>’</w:t>
      </w:r>
      <w:r w:rsidR="0040146A" w:rsidRPr="0048528B">
        <w:rPr>
          <w:rFonts w:cs="Arial"/>
          <w:lang w:val="fr-FR"/>
        </w:rPr>
        <w:t>il était nécessaire d</w:t>
      </w:r>
      <w:r w:rsidR="00F3296C" w:rsidRPr="0048528B">
        <w:rPr>
          <w:rFonts w:cs="Arial"/>
          <w:lang w:val="fr-FR"/>
        </w:rPr>
        <w:t>’</w:t>
      </w:r>
      <w:r w:rsidR="0040146A" w:rsidRPr="0048528B">
        <w:rPr>
          <w:rFonts w:cs="Arial"/>
          <w:lang w:val="fr-FR"/>
        </w:rPr>
        <w:t>élaborer un nouvel ASW pour un cycle de végétation relatif aux espèces tropicales (voir le paragraphe</w:t>
      </w:r>
      <w:r w:rsidR="00E3136C" w:rsidRPr="0048528B">
        <w:rPr>
          <w:rFonts w:cs="Arial"/>
          <w:lang w:val="fr-FR"/>
        </w:rPr>
        <w:t> </w:t>
      </w:r>
      <w:r w:rsidR="0040146A" w:rsidRPr="0048528B">
        <w:rPr>
          <w:rFonts w:cs="Arial"/>
          <w:lang w:val="fr-FR"/>
        </w:rPr>
        <w:t xml:space="preserve">80 du </w:t>
      </w:r>
      <w:r w:rsidR="00F3296C" w:rsidRPr="0048528B">
        <w:rPr>
          <w:rFonts w:cs="Arial"/>
          <w:lang w:val="fr-FR"/>
        </w:rPr>
        <w:t>document TC</w:t>
      </w:r>
      <w:r w:rsidR="0040146A" w:rsidRPr="0048528B">
        <w:rPr>
          <w:rFonts w:cs="Arial"/>
          <w:lang w:val="fr-FR"/>
        </w:rPr>
        <w:t>/49/41 “Compte rendu des conclusions</w:t>
      </w:r>
      <w:r w:rsidR="00E3136C" w:rsidRPr="0048528B">
        <w:rPr>
          <w:rFonts w:cs="Arial"/>
          <w:lang w:val="fr-FR"/>
        </w:rPr>
        <w:t>”</w:t>
      </w:r>
      <w:r w:rsidR="0040146A" w:rsidRPr="0048528B">
        <w:rPr>
          <w:rFonts w:cs="Arial"/>
          <w:lang w:val="fr-FR"/>
        </w:rPr>
        <w:t>).</w:t>
      </w:r>
    </w:p>
    <w:p w:rsidR="00204800" w:rsidRPr="0048528B" w:rsidRDefault="00204800" w:rsidP="00A26EF1">
      <w:pPr>
        <w:spacing w:line="360" w:lineRule="auto"/>
        <w:rPr>
          <w:lang w:val="fr-FR"/>
        </w:rPr>
      </w:pPr>
    </w:p>
    <w:p w:rsidR="00204800" w:rsidRPr="0048528B" w:rsidRDefault="0040146A" w:rsidP="006A03CA">
      <w:pPr>
        <w:pStyle w:val="Heading5"/>
        <w:rPr>
          <w:lang w:val="fr-FR"/>
        </w:rPr>
      </w:pPr>
      <w:r w:rsidRPr="0048528B">
        <w:rPr>
          <w:lang w:val="fr-FR"/>
        </w:rPr>
        <w:t>Source de matériel de multiplication</w:t>
      </w:r>
    </w:p>
    <w:p w:rsidR="00204800" w:rsidRPr="0048528B" w:rsidRDefault="00204800" w:rsidP="00196886">
      <w:pPr>
        <w:keepNext/>
        <w:rPr>
          <w:lang w:val="fr-FR"/>
        </w:rPr>
      </w:pPr>
    </w:p>
    <w:p w:rsidR="00CE0C30" w:rsidRPr="0048528B" w:rsidRDefault="00196886" w:rsidP="0040146A">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a noté que les informations sur l</w:t>
      </w:r>
      <w:r w:rsidR="00F3296C" w:rsidRPr="0048528B">
        <w:rPr>
          <w:rFonts w:cs="Arial"/>
          <w:lang w:val="fr-FR"/>
        </w:rPr>
        <w:t>’</w:t>
      </w:r>
      <w:r w:rsidR="0040146A" w:rsidRPr="0048528B">
        <w:rPr>
          <w:rFonts w:cs="Arial"/>
          <w:lang w:val="fr-FR"/>
        </w:rPr>
        <w:t>influence de la méthode de multiplication végétative et l</w:t>
      </w:r>
      <w:r w:rsidR="00F3296C" w:rsidRPr="0048528B">
        <w:rPr>
          <w:rFonts w:cs="Arial"/>
          <w:lang w:val="fr-FR"/>
        </w:rPr>
        <w:t>’</w:t>
      </w:r>
      <w:r w:rsidR="0040146A" w:rsidRPr="0048528B">
        <w:rPr>
          <w:rFonts w:cs="Arial"/>
          <w:lang w:val="fr-FR"/>
        </w:rPr>
        <w:t>origine du matériel de multiplication prélevé de l</w:t>
      </w:r>
      <w:r w:rsidR="00F3296C" w:rsidRPr="0048528B">
        <w:rPr>
          <w:rFonts w:cs="Arial"/>
          <w:lang w:val="fr-FR"/>
        </w:rPr>
        <w:t>’</w:t>
      </w:r>
      <w:r w:rsidR="0040146A" w:rsidRPr="0048528B">
        <w:rPr>
          <w:rFonts w:cs="Arial"/>
          <w:lang w:val="fr-FR"/>
        </w:rPr>
        <w:t>intérieur de la plante, sur le développement futur de la plante et l</w:t>
      </w:r>
      <w:r w:rsidR="00F3296C" w:rsidRPr="0048528B">
        <w:rPr>
          <w:rFonts w:cs="Arial"/>
          <w:lang w:val="fr-FR"/>
        </w:rPr>
        <w:t>’</w:t>
      </w:r>
      <w:r w:rsidR="0040146A" w:rsidRPr="0048528B">
        <w:rPr>
          <w:rFonts w:cs="Arial"/>
          <w:lang w:val="fr-FR"/>
        </w:rPr>
        <w:t>expression des caractères ainsi que sur la manière dont ces informations pourraient figurer dans les principes directeurs d</w:t>
      </w:r>
      <w:r w:rsidR="00F3296C" w:rsidRPr="0048528B">
        <w:rPr>
          <w:rFonts w:cs="Arial"/>
          <w:lang w:val="fr-FR"/>
        </w:rPr>
        <w:t>’</w:t>
      </w:r>
      <w:r w:rsidR="0040146A" w:rsidRPr="0048528B">
        <w:rPr>
          <w:rFonts w:cs="Arial"/>
          <w:lang w:val="fr-FR"/>
        </w:rPr>
        <w:t>examen seront présentées aux TWF et TWO à leurs sessions en 2013 par des experts de l</w:t>
      </w:r>
      <w:r w:rsidR="00F3296C" w:rsidRPr="0048528B">
        <w:rPr>
          <w:rFonts w:cs="Arial"/>
          <w:lang w:val="fr-FR"/>
        </w:rPr>
        <w:t>’</w:t>
      </w:r>
      <w:r w:rsidR="0040146A" w:rsidRPr="0048528B">
        <w:rPr>
          <w:rFonts w:cs="Arial"/>
          <w:lang w:val="fr-FR"/>
        </w:rPr>
        <w:t>Union européenne (voir le paragraphe</w:t>
      </w:r>
      <w:r w:rsidR="00E3136C" w:rsidRPr="0048528B">
        <w:rPr>
          <w:rFonts w:cs="Arial"/>
          <w:lang w:val="fr-FR"/>
        </w:rPr>
        <w:t> </w:t>
      </w:r>
      <w:r w:rsidR="0040146A" w:rsidRPr="0048528B">
        <w:rPr>
          <w:rFonts w:cs="Arial"/>
          <w:lang w:val="fr-FR"/>
        </w:rPr>
        <w:t xml:space="preserve">81 du </w:t>
      </w:r>
      <w:r w:rsidR="00F3296C" w:rsidRPr="0048528B">
        <w:rPr>
          <w:rFonts w:cs="Arial"/>
          <w:lang w:val="fr-FR"/>
        </w:rPr>
        <w:t>document TC</w:t>
      </w:r>
      <w:r w:rsidR="0040146A" w:rsidRPr="0048528B">
        <w:rPr>
          <w:rFonts w:cs="Arial"/>
          <w:lang w:val="fr-FR"/>
        </w:rPr>
        <w:t>/49/41 “Compte rendu des conclusions</w:t>
      </w:r>
      <w:r w:rsidR="00E3136C" w:rsidRPr="0048528B">
        <w:rPr>
          <w:rFonts w:cs="Arial"/>
          <w:lang w:val="fr-FR"/>
        </w:rPr>
        <w:t>”</w:t>
      </w:r>
      <w:r w:rsidR="0040146A" w:rsidRPr="0048528B">
        <w:rPr>
          <w:rFonts w:cs="Arial"/>
          <w:lang w:val="fr-FR"/>
        </w:rPr>
        <w:t>).</w:t>
      </w:r>
    </w:p>
    <w:p w:rsidR="00204800" w:rsidRPr="0048528B" w:rsidRDefault="00204800" w:rsidP="00A26EF1">
      <w:pPr>
        <w:spacing w:line="360" w:lineRule="auto"/>
        <w:rPr>
          <w:lang w:val="fr-FR"/>
        </w:rPr>
      </w:pPr>
    </w:p>
    <w:p w:rsidR="00204800" w:rsidRPr="0048528B" w:rsidRDefault="0040146A" w:rsidP="006A03CA">
      <w:pPr>
        <w:pStyle w:val="Heading5"/>
        <w:rPr>
          <w:lang w:val="fr-FR"/>
        </w:rPr>
      </w:pPr>
      <w:r w:rsidRPr="0048528B">
        <w:rPr>
          <w:lang w:val="fr-FR"/>
        </w:rPr>
        <w:t>Nombre de plantes nécessaires à des fins de description</w:t>
      </w:r>
    </w:p>
    <w:p w:rsidR="00204800" w:rsidRPr="0048528B" w:rsidRDefault="00204800" w:rsidP="00196886">
      <w:pPr>
        <w:keepNext/>
        <w:rPr>
          <w:lang w:val="fr-FR"/>
        </w:rPr>
      </w:pPr>
    </w:p>
    <w:p w:rsidR="00CE0C30" w:rsidRPr="0048528B" w:rsidRDefault="00196886" w:rsidP="0040146A">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est convenu qu</w:t>
      </w:r>
      <w:r w:rsidR="00F3296C" w:rsidRPr="0048528B">
        <w:rPr>
          <w:rFonts w:cs="Arial"/>
          <w:lang w:val="fr-FR"/>
        </w:rPr>
        <w:t>’</w:t>
      </w:r>
      <w:r w:rsidR="0040146A" w:rsidRPr="0048528B">
        <w:rPr>
          <w:rFonts w:cs="Arial"/>
          <w:lang w:val="fr-FR"/>
        </w:rPr>
        <w:t>il n</w:t>
      </w:r>
      <w:r w:rsidR="00F3296C" w:rsidRPr="0048528B">
        <w:rPr>
          <w:rFonts w:cs="Arial"/>
          <w:lang w:val="fr-FR"/>
        </w:rPr>
        <w:t>’</w:t>
      </w:r>
      <w:r w:rsidR="0040146A" w:rsidRPr="0048528B">
        <w:rPr>
          <w:rFonts w:cs="Arial"/>
          <w:lang w:val="fr-FR"/>
        </w:rPr>
        <w:t>est pas nécessaire de donner des conseils supplémentaires sur le nombre de plantes nécessaires à des fins de description dans une future version révisée du document TGP/7 parce que les principes directeurs d</w:t>
      </w:r>
      <w:r w:rsidR="00F3296C" w:rsidRPr="0048528B">
        <w:rPr>
          <w:rFonts w:cs="Arial"/>
          <w:lang w:val="fr-FR"/>
        </w:rPr>
        <w:t>’</w:t>
      </w:r>
      <w:r w:rsidR="0040146A" w:rsidRPr="0048528B">
        <w:rPr>
          <w:rFonts w:cs="Arial"/>
          <w:lang w:val="fr-FR"/>
        </w:rPr>
        <w:t>examen stipulent que “ces principes directeurs (“principes directeurs d</w:t>
      </w:r>
      <w:r w:rsidR="00F3296C" w:rsidRPr="0048528B">
        <w:rPr>
          <w:rFonts w:cs="Arial"/>
          <w:lang w:val="fr-FR"/>
        </w:rPr>
        <w:t>’</w:t>
      </w:r>
      <w:r w:rsidR="0040146A" w:rsidRPr="0048528B">
        <w:rPr>
          <w:rFonts w:cs="Arial"/>
          <w:lang w:val="fr-FR"/>
        </w:rPr>
        <w:t>examen”) visent à approfondir les principes énoncés dans l</w:t>
      </w:r>
      <w:r w:rsidR="00F3296C" w:rsidRPr="0048528B">
        <w:rPr>
          <w:rFonts w:cs="Arial"/>
          <w:lang w:val="fr-FR"/>
        </w:rPr>
        <w:t>’</w:t>
      </w:r>
      <w:r w:rsidR="0040146A" w:rsidRPr="0048528B">
        <w:rPr>
          <w:rFonts w:cs="Arial"/>
          <w:lang w:val="fr-FR"/>
        </w:rPr>
        <w:t>introduction générale (document TG/1/3) et dans les documents TGP qui s</w:t>
      </w:r>
      <w:r w:rsidR="00F3296C" w:rsidRPr="0048528B">
        <w:rPr>
          <w:rFonts w:cs="Arial"/>
          <w:lang w:val="fr-FR"/>
        </w:rPr>
        <w:t>’</w:t>
      </w:r>
      <w:r w:rsidR="0040146A" w:rsidRPr="0048528B">
        <w:rPr>
          <w:rFonts w:cs="Arial"/>
          <w:lang w:val="fr-FR"/>
        </w:rPr>
        <w:t>y rapportent afin de donner des indications concrètes détaillées pour l</w:t>
      </w:r>
      <w:r w:rsidR="00F3296C" w:rsidRPr="0048528B">
        <w:rPr>
          <w:rFonts w:cs="Arial"/>
          <w:lang w:val="fr-FR"/>
        </w:rPr>
        <w:t>’</w:t>
      </w:r>
      <w:r w:rsidR="0040146A" w:rsidRPr="0048528B">
        <w:rPr>
          <w:rFonts w:cs="Arial"/>
          <w:lang w:val="fr-FR"/>
        </w:rPr>
        <w:t>harmonisation de l</w:t>
      </w:r>
      <w:r w:rsidR="00F3296C" w:rsidRPr="0048528B">
        <w:rPr>
          <w:rFonts w:cs="Arial"/>
          <w:lang w:val="fr-FR"/>
        </w:rPr>
        <w:t>’</w:t>
      </w:r>
      <w:r w:rsidR="0040146A" w:rsidRPr="0048528B">
        <w:rPr>
          <w:rFonts w:cs="Arial"/>
          <w:lang w:val="fr-FR"/>
        </w:rPr>
        <w:t>examen de la distinction, de l</w:t>
      </w:r>
      <w:r w:rsidR="00F3296C" w:rsidRPr="0048528B">
        <w:rPr>
          <w:rFonts w:cs="Arial"/>
          <w:lang w:val="fr-FR"/>
        </w:rPr>
        <w:t>’</w:t>
      </w:r>
      <w:r w:rsidR="0040146A" w:rsidRPr="0048528B">
        <w:rPr>
          <w:rFonts w:cs="Arial"/>
          <w:lang w:val="fr-FR"/>
        </w:rPr>
        <w:t>homogénéité et de la stabilité (DHS) et, en particulier, à identifier des caractères convenant à l</w:t>
      </w:r>
      <w:r w:rsidR="00F3296C" w:rsidRPr="0048528B">
        <w:rPr>
          <w:rFonts w:cs="Arial"/>
          <w:lang w:val="fr-FR"/>
        </w:rPr>
        <w:t>’</w:t>
      </w:r>
      <w:r w:rsidR="0040146A" w:rsidRPr="0048528B">
        <w:rPr>
          <w:rFonts w:cs="Arial"/>
          <w:lang w:val="fr-FR"/>
        </w:rPr>
        <w:t>examen DHS et à la production de descriptions variétales harmonisées” (voir le paragraphe</w:t>
      </w:r>
      <w:r w:rsidR="00E3136C" w:rsidRPr="0048528B">
        <w:rPr>
          <w:rFonts w:cs="Arial"/>
          <w:lang w:val="fr-FR"/>
        </w:rPr>
        <w:t> </w:t>
      </w:r>
      <w:r w:rsidR="0040146A" w:rsidRPr="0048528B">
        <w:rPr>
          <w:rFonts w:cs="Arial"/>
          <w:lang w:val="fr-FR"/>
        </w:rPr>
        <w:t xml:space="preserve">82 du </w:t>
      </w:r>
      <w:r w:rsidR="00F3296C" w:rsidRPr="0048528B">
        <w:rPr>
          <w:rFonts w:cs="Arial"/>
          <w:lang w:val="fr-FR"/>
        </w:rPr>
        <w:t>document TC</w:t>
      </w:r>
      <w:r w:rsidR="0040146A" w:rsidRPr="0048528B">
        <w:rPr>
          <w:rFonts w:cs="Arial"/>
          <w:lang w:val="fr-FR"/>
        </w:rPr>
        <w:t>/49/41 “Compte rendu des conclusions</w:t>
      </w:r>
      <w:r w:rsidR="00E3136C" w:rsidRPr="0048528B">
        <w:rPr>
          <w:rFonts w:cs="Arial"/>
          <w:lang w:val="fr-FR"/>
        </w:rPr>
        <w:t>”</w:t>
      </w:r>
      <w:r w:rsidR="0040146A" w:rsidRPr="0048528B">
        <w:rPr>
          <w:rFonts w:cs="Arial"/>
          <w:lang w:val="fr-FR"/>
        </w:rPr>
        <w:t>).</w:t>
      </w:r>
    </w:p>
    <w:p w:rsidR="00204800" w:rsidRPr="0048528B" w:rsidRDefault="00204800" w:rsidP="00A26EF1">
      <w:pPr>
        <w:spacing w:line="360" w:lineRule="auto"/>
        <w:rPr>
          <w:lang w:val="fr-FR"/>
        </w:rPr>
      </w:pPr>
    </w:p>
    <w:p w:rsidR="00204800" w:rsidRPr="0048528B" w:rsidRDefault="0040146A" w:rsidP="006A03CA">
      <w:pPr>
        <w:pStyle w:val="Heading5"/>
        <w:rPr>
          <w:lang w:val="fr-FR"/>
        </w:rPr>
      </w:pPr>
      <w:r w:rsidRPr="0048528B">
        <w:rPr>
          <w:lang w:val="fr-FR"/>
        </w:rPr>
        <w:t>Stades de croissance</w:t>
      </w:r>
    </w:p>
    <w:p w:rsidR="00204800" w:rsidRPr="0048528B" w:rsidRDefault="00204800" w:rsidP="00196886">
      <w:pPr>
        <w:keepNext/>
        <w:rPr>
          <w:lang w:val="fr-FR"/>
        </w:rPr>
      </w:pPr>
    </w:p>
    <w:p w:rsidR="00CE0C30" w:rsidRPr="0048528B" w:rsidRDefault="00196886" w:rsidP="0040146A">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est convenu que des précisions devront être données dans une future version révisée du document TGP/7 sur l</w:t>
      </w:r>
      <w:r w:rsidR="00F3296C" w:rsidRPr="0048528B">
        <w:rPr>
          <w:rFonts w:cs="Arial"/>
          <w:lang w:val="fr-FR"/>
        </w:rPr>
        <w:t>’</w:t>
      </w:r>
      <w:r w:rsidR="0040146A" w:rsidRPr="0048528B">
        <w:rPr>
          <w:rFonts w:cs="Arial"/>
          <w:lang w:val="fr-FR"/>
        </w:rPr>
        <w:t>inclusion des échelles des stades de croissance dans le chapitre 8 des principes directeurs d</w:t>
      </w:r>
      <w:r w:rsidR="00F3296C" w:rsidRPr="0048528B">
        <w:rPr>
          <w:rFonts w:cs="Arial"/>
          <w:lang w:val="fr-FR"/>
        </w:rPr>
        <w:t>’</w:t>
      </w:r>
      <w:r w:rsidR="0040146A" w:rsidRPr="0048528B">
        <w:rPr>
          <w:rFonts w:cs="Arial"/>
          <w:lang w:val="fr-FR"/>
        </w:rPr>
        <w:t>examen et il a demandé au Bureau de l</w:t>
      </w:r>
      <w:r w:rsidR="00F3296C" w:rsidRPr="0048528B">
        <w:rPr>
          <w:rFonts w:cs="Arial"/>
          <w:lang w:val="fr-FR"/>
        </w:rPr>
        <w:t>’</w:t>
      </w:r>
      <w:r w:rsidR="0040146A" w:rsidRPr="0048528B">
        <w:rPr>
          <w:rFonts w:cs="Arial"/>
          <w:lang w:val="fr-FR"/>
        </w:rPr>
        <w:t>Union d</w:t>
      </w:r>
      <w:r w:rsidR="00F3296C" w:rsidRPr="0048528B">
        <w:rPr>
          <w:rFonts w:cs="Arial"/>
          <w:lang w:val="fr-FR"/>
        </w:rPr>
        <w:t>’</w:t>
      </w:r>
      <w:r w:rsidR="0040146A" w:rsidRPr="0048528B">
        <w:rPr>
          <w:rFonts w:cs="Arial"/>
          <w:lang w:val="fr-FR"/>
        </w:rPr>
        <w:t>élaborer un projet de conseils pour examen par les TWP à leurs sessions en 2013</w:t>
      </w:r>
      <w:r w:rsidR="00E3136C" w:rsidRPr="0048528B">
        <w:rPr>
          <w:rFonts w:cs="Arial"/>
          <w:lang w:val="fr-FR"/>
        </w:rPr>
        <w:t> </w:t>
      </w:r>
      <w:r w:rsidR="0040146A" w:rsidRPr="0048528B">
        <w:rPr>
          <w:rFonts w:cs="Arial"/>
          <w:lang w:val="fr-FR"/>
        </w:rPr>
        <w:t>européenne (voir le paragraphe</w:t>
      </w:r>
      <w:r w:rsidR="00E3136C" w:rsidRPr="0048528B">
        <w:rPr>
          <w:rFonts w:cs="Arial"/>
          <w:lang w:val="fr-FR"/>
        </w:rPr>
        <w:t> </w:t>
      </w:r>
      <w:r w:rsidR="0040146A" w:rsidRPr="0048528B">
        <w:rPr>
          <w:rFonts w:cs="Arial"/>
          <w:lang w:val="fr-FR"/>
        </w:rPr>
        <w:t xml:space="preserve">83 du </w:t>
      </w:r>
      <w:r w:rsidR="00F3296C" w:rsidRPr="0048528B">
        <w:rPr>
          <w:rFonts w:cs="Arial"/>
          <w:lang w:val="fr-FR"/>
        </w:rPr>
        <w:t>document TC</w:t>
      </w:r>
      <w:r w:rsidR="0040146A" w:rsidRPr="0048528B">
        <w:rPr>
          <w:rFonts w:cs="Arial"/>
          <w:lang w:val="fr-FR"/>
        </w:rPr>
        <w:t>/49/41 “Compte rendu des conclusions</w:t>
      </w:r>
      <w:r w:rsidR="00E3136C" w:rsidRPr="0048528B">
        <w:rPr>
          <w:rFonts w:cs="Arial"/>
          <w:lang w:val="fr-FR"/>
        </w:rPr>
        <w:t>”</w:t>
      </w:r>
      <w:r w:rsidR="0040146A" w:rsidRPr="0048528B">
        <w:rPr>
          <w:rFonts w:cs="Arial"/>
          <w:lang w:val="fr-FR"/>
        </w:rPr>
        <w:t>).</w:t>
      </w:r>
    </w:p>
    <w:p w:rsidR="00204800" w:rsidRPr="0048528B" w:rsidRDefault="00204800" w:rsidP="00196886">
      <w:pPr>
        <w:spacing w:line="360" w:lineRule="auto"/>
        <w:rPr>
          <w:lang w:val="fr-FR"/>
        </w:rPr>
      </w:pPr>
    </w:p>
    <w:p w:rsidR="00204800" w:rsidRPr="0048528B" w:rsidRDefault="0040146A" w:rsidP="00473A08">
      <w:pPr>
        <w:pStyle w:val="Heading4"/>
        <w:rPr>
          <w:lang w:val="fr-FR"/>
        </w:rPr>
      </w:pPr>
      <w:r w:rsidRPr="0048528B">
        <w:rPr>
          <w:lang w:val="fr-FR"/>
        </w:rPr>
        <w:t>T</w:t>
      </w:r>
      <w:r w:rsidR="001462E7" w:rsidRPr="0048528B">
        <w:rPr>
          <w:lang w:val="fr-FR"/>
        </w:rPr>
        <w:t>GP/9 : Examen de la distinction</w:t>
      </w:r>
    </w:p>
    <w:p w:rsidR="00204800" w:rsidRPr="0048528B" w:rsidRDefault="00204800" w:rsidP="00196886">
      <w:pPr>
        <w:keepNext/>
        <w:rPr>
          <w:lang w:val="fr-FR"/>
        </w:rPr>
      </w:pPr>
    </w:p>
    <w:p w:rsidR="00CE0C30" w:rsidRPr="0048528B" w:rsidRDefault="00196886" w:rsidP="0040146A">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0146A" w:rsidRPr="0048528B">
        <w:rPr>
          <w:rFonts w:cs="Arial"/>
          <w:lang w:val="fr-FR"/>
        </w:rPr>
        <w:t>Le</w:t>
      </w:r>
      <w:r w:rsidR="00F3296C" w:rsidRPr="0048528B">
        <w:rPr>
          <w:rFonts w:cs="Arial"/>
          <w:lang w:val="fr-FR"/>
        </w:rPr>
        <w:t> TC</w:t>
      </w:r>
      <w:r w:rsidR="0040146A" w:rsidRPr="0048528B">
        <w:rPr>
          <w:rFonts w:cs="Arial"/>
          <w:lang w:val="fr-FR"/>
        </w:rPr>
        <w:t xml:space="preserve"> est convenu que, sur la base des conseils donnés dans l</w:t>
      </w:r>
      <w:r w:rsidR="00F3296C" w:rsidRPr="0048528B">
        <w:rPr>
          <w:rFonts w:cs="Arial"/>
          <w:lang w:val="fr-FR"/>
        </w:rPr>
        <w:t>’</w:t>
      </w:r>
      <w:r w:rsidR="0040146A" w:rsidRPr="0048528B">
        <w:rPr>
          <w:rFonts w:cs="Arial"/>
          <w:lang w:val="fr-FR"/>
        </w:rPr>
        <w:t xml:space="preserve">annexe II du </w:t>
      </w:r>
      <w:r w:rsidR="00F3296C" w:rsidRPr="0048528B">
        <w:rPr>
          <w:rFonts w:cs="Arial"/>
          <w:lang w:val="fr-FR"/>
        </w:rPr>
        <w:t>document TC</w:t>
      </w:r>
      <w:r w:rsidR="0040146A" w:rsidRPr="0048528B">
        <w:rPr>
          <w:rFonts w:cs="Arial"/>
          <w:lang w:val="fr-FR"/>
        </w:rPr>
        <w:t>/49/17, soient donnés des conseils supplémentaires sur le nombre de plantes nécessaires à examiner à des fins de distinction dans une future version révisée du document TGP/7 (voir le paragraphe</w:t>
      </w:r>
      <w:r w:rsidR="00E3136C" w:rsidRPr="0048528B">
        <w:rPr>
          <w:rFonts w:cs="Arial"/>
          <w:lang w:val="fr-FR"/>
        </w:rPr>
        <w:t> </w:t>
      </w:r>
      <w:r w:rsidR="0040146A" w:rsidRPr="0048528B">
        <w:rPr>
          <w:rFonts w:cs="Arial"/>
          <w:lang w:val="fr-FR"/>
        </w:rPr>
        <w:t xml:space="preserve">84 du </w:t>
      </w:r>
      <w:r w:rsidR="00F3296C" w:rsidRPr="0048528B">
        <w:rPr>
          <w:rFonts w:cs="Arial"/>
          <w:lang w:val="fr-FR"/>
        </w:rPr>
        <w:t>document TC</w:t>
      </w:r>
      <w:r w:rsidR="0040146A" w:rsidRPr="0048528B">
        <w:rPr>
          <w:rFonts w:cs="Arial"/>
          <w:lang w:val="fr-FR"/>
        </w:rPr>
        <w:t>/49/41 “Compte rendu des conclusions</w:t>
      </w:r>
      <w:r w:rsidR="00E3136C" w:rsidRPr="0048528B">
        <w:rPr>
          <w:rFonts w:cs="Arial"/>
          <w:lang w:val="fr-FR"/>
        </w:rPr>
        <w:t>”</w:t>
      </w:r>
      <w:r w:rsidR="0040146A" w:rsidRPr="0048528B">
        <w:rPr>
          <w:rFonts w:cs="Arial"/>
          <w:lang w:val="fr-FR"/>
        </w:rPr>
        <w:t>).</w:t>
      </w:r>
    </w:p>
    <w:p w:rsidR="00204800" w:rsidRPr="0048528B" w:rsidRDefault="00204800" w:rsidP="00196886">
      <w:pPr>
        <w:spacing w:line="360" w:lineRule="auto"/>
        <w:rPr>
          <w:lang w:val="fr-FR"/>
        </w:rPr>
      </w:pPr>
    </w:p>
    <w:p w:rsidR="00204800" w:rsidRPr="0048528B" w:rsidRDefault="00505AE3" w:rsidP="00473A08">
      <w:pPr>
        <w:pStyle w:val="Heading4"/>
        <w:rPr>
          <w:lang w:val="fr-FR"/>
        </w:rPr>
      </w:pPr>
      <w:r w:rsidRPr="0048528B">
        <w:rPr>
          <w:lang w:val="fr-FR"/>
        </w:rPr>
        <w:lastRenderedPageBreak/>
        <w:t>TGP/14 : Glossaire des termes utilisés dans les documents UPOV</w:t>
      </w:r>
    </w:p>
    <w:p w:rsidR="00204800" w:rsidRPr="0048528B" w:rsidRDefault="00204800" w:rsidP="00196886">
      <w:pPr>
        <w:keepNext/>
        <w:rPr>
          <w:lang w:val="fr-FR"/>
        </w:rPr>
      </w:pPr>
    </w:p>
    <w:p w:rsidR="00204800" w:rsidRPr="0048528B" w:rsidRDefault="00196886" w:rsidP="00437B7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Le</w:t>
      </w:r>
      <w:r w:rsidR="00F3296C" w:rsidRPr="0048528B">
        <w:rPr>
          <w:lang w:val="fr-FR"/>
        </w:rPr>
        <w:t> TC</w:t>
      </w:r>
      <w:r w:rsidR="00437B75" w:rsidRPr="0048528B">
        <w:rPr>
          <w:lang w:val="fr-FR"/>
        </w:rPr>
        <w:t xml:space="preserve"> est convenu que soit fournie une définition de “point” dans une future version révisée du document TGP/14 section 2 : “Termes botaniques, sous</w:t>
      </w:r>
      <w:r w:rsidR="003F00B6" w:rsidRPr="0048528B">
        <w:rPr>
          <w:lang w:val="fr-FR"/>
        </w:rPr>
        <w:noBreakHyphen/>
      </w:r>
      <w:r w:rsidR="00437B75" w:rsidRPr="0048528B">
        <w:rPr>
          <w:lang w:val="fr-FR"/>
        </w:rPr>
        <w:t>section 3 : Couleur” et il a demandé au Bureau de l</w:t>
      </w:r>
      <w:r w:rsidR="00F3296C" w:rsidRPr="0048528B">
        <w:rPr>
          <w:lang w:val="fr-FR"/>
        </w:rPr>
        <w:t>’</w:t>
      </w:r>
      <w:r w:rsidR="00437B75" w:rsidRPr="0048528B">
        <w:rPr>
          <w:lang w:val="fr-FR"/>
        </w:rPr>
        <w:t>Union d</w:t>
      </w:r>
      <w:r w:rsidR="00F3296C" w:rsidRPr="0048528B">
        <w:rPr>
          <w:lang w:val="fr-FR"/>
        </w:rPr>
        <w:t>’</w:t>
      </w:r>
      <w:r w:rsidR="00437B75" w:rsidRPr="0048528B">
        <w:rPr>
          <w:lang w:val="fr-FR"/>
        </w:rPr>
        <w:t>élaborer un projet pour examen par les TWP à leurs sessions en 2013.</w:t>
      </w:r>
    </w:p>
    <w:p w:rsidR="00204800" w:rsidRPr="0048528B" w:rsidRDefault="00204800" w:rsidP="00196886">
      <w:pPr>
        <w:rPr>
          <w:lang w:val="fr-FR"/>
        </w:rPr>
      </w:pPr>
    </w:p>
    <w:p w:rsidR="00CE0C30" w:rsidRPr="0048528B" w:rsidRDefault="00196886" w:rsidP="00437B75">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Le</w:t>
      </w:r>
      <w:r w:rsidR="00F3296C" w:rsidRPr="0048528B">
        <w:rPr>
          <w:lang w:val="fr-FR"/>
        </w:rPr>
        <w:t> TC</w:t>
      </w:r>
      <w:r w:rsidR="00437B75" w:rsidRPr="0048528B">
        <w:rPr>
          <w:lang w:val="fr-FR"/>
        </w:rPr>
        <w:t xml:space="preserve"> est convenu que des conseils devraient être donnés sur les risques en fournissant des illustrations en couleur dans les principes directeurs d</w:t>
      </w:r>
      <w:r w:rsidR="00F3296C" w:rsidRPr="0048528B">
        <w:rPr>
          <w:lang w:val="fr-FR"/>
        </w:rPr>
        <w:t>’</w:t>
      </w:r>
      <w:r w:rsidR="00437B75" w:rsidRPr="0048528B">
        <w:rPr>
          <w:lang w:val="fr-FR"/>
        </w:rPr>
        <w:t>examen.</w:t>
      </w:r>
      <w:r w:rsidRPr="0048528B">
        <w:rPr>
          <w:rFonts w:cs="Arial"/>
          <w:lang w:val="fr-FR"/>
        </w:rPr>
        <w:t xml:space="preserve">  </w:t>
      </w:r>
      <w:r w:rsidR="00437B75" w:rsidRPr="0048528B">
        <w:rPr>
          <w:rFonts w:cs="Arial"/>
          <w:lang w:val="fr-FR"/>
        </w:rPr>
        <w:t>Il est cependant convenu que ces conseils devraient être donnés dans une future version révisée du document TGP/7 plutôt que dans le document TGP/14.  Le</w:t>
      </w:r>
      <w:r w:rsidR="00F3296C" w:rsidRPr="0048528B">
        <w:rPr>
          <w:rFonts w:cs="Arial"/>
          <w:lang w:val="fr-FR"/>
        </w:rPr>
        <w:t> TC</w:t>
      </w:r>
      <w:r w:rsidR="00437B75" w:rsidRPr="0048528B">
        <w:rPr>
          <w:rFonts w:cs="Arial"/>
          <w:lang w:val="fr-FR"/>
        </w:rPr>
        <w:t xml:space="preserve"> a demandé au Bureau de l</w:t>
      </w:r>
      <w:r w:rsidR="00F3296C" w:rsidRPr="0048528B">
        <w:rPr>
          <w:rFonts w:cs="Arial"/>
          <w:lang w:val="fr-FR"/>
        </w:rPr>
        <w:t>’</w:t>
      </w:r>
      <w:r w:rsidR="00437B75" w:rsidRPr="0048528B">
        <w:rPr>
          <w:rFonts w:cs="Arial"/>
          <w:lang w:val="fr-FR"/>
        </w:rPr>
        <w:t>Union d</w:t>
      </w:r>
      <w:r w:rsidR="00F3296C" w:rsidRPr="0048528B">
        <w:rPr>
          <w:rFonts w:cs="Arial"/>
          <w:lang w:val="fr-FR"/>
        </w:rPr>
        <w:t>’</w:t>
      </w:r>
      <w:r w:rsidR="00437B75" w:rsidRPr="0048528B">
        <w:rPr>
          <w:rFonts w:cs="Arial"/>
          <w:lang w:val="fr-FR"/>
        </w:rPr>
        <w:t>établir un projet pour examen par les TWP à leurs sessions en 2013 (voir les paragraphes</w:t>
      </w:r>
      <w:r w:rsidR="00E3136C" w:rsidRPr="0048528B">
        <w:rPr>
          <w:rFonts w:cs="Arial"/>
          <w:lang w:val="fr-FR"/>
        </w:rPr>
        <w:t> </w:t>
      </w:r>
      <w:r w:rsidR="00437B75" w:rsidRPr="0048528B">
        <w:rPr>
          <w:rFonts w:cs="Arial"/>
          <w:lang w:val="fr-FR"/>
        </w:rPr>
        <w:t xml:space="preserve">85 et 86 du </w:t>
      </w:r>
      <w:r w:rsidR="00F3296C" w:rsidRPr="0048528B">
        <w:rPr>
          <w:rFonts w:cs="Arial"/>
          <w:lang w:val="fr-FR"/>
        </w:rPr>
        <w:t>document TC</w:t>
      </w:r>
      <w:r w:rsidR="00437B75" w:rsidRPr="0048528B">
        <w:rPr>
          <w:rFonts w:cs="Arial"/>
          <w:lang w:val="fr-FR"/>
        </w:rPr>
        <w:t>/49/41 “Compte rendu des conclusions</w:t>
      </w:r>
      <w:r w:rsidR="00E3136C" w:rsidRPr="0048528B">
        <w:rPr>
          <w:rFonts w:cs="Arial"/>
          <w:lang w:val="fr-FR"/>
        </w:rPr>
        <w:t>”</w:t>
      </w:r>
      <w:r w:rsidR="00437B75" w:rsidRPr="0048528B">
        <w:rPr>
          <w:rFonts w:cs="Arial"/>
          <w:lang w:val="fr-FR"/>
        </w:rPr>
        <w:t>).</w:t>
      </w:r>
    </w:p>
    <w:p w:rsidR="00204800" w:rsidRPr="0048528B" w:rsidRDefault="00204800" w:rsidP="00196886">
      <w:pPr>
        <w:spacing w:line="360" w:lineRule="auto"/>
        <w:rPr>
          <w:lang w:val="fr-FR"/>
        </w:rPr>
      </w:pPr>
    </w:p>
    <w:p w:rsidR="00204800" w:rsidRPr="0048528B" w:rsidRDefault="00437B75" w:rsidP="00437B75">
      <w:pPr>
        <w:pStyle w:val="Heading3"/>
        <w:rPr>
          <w:lang w:val="fr-FR"/>
        </w:rPr>
      </w:pPr>
      <w:bookmarkStart w:id="20" w:name="_Toc367888541"/>
      <w:r w:rsidRPr="0048528B">
        <w:rPr>
          <w:lang w:val="fr-FR"/>
        </w:rPr>
        <w:t>Programme d</w:t>
      </w:r>
      <w:r w:rsidR="00F3296C" w:rsidRPr="0048528B">
        <w:rPr>
          <w:lang w:val="fr-FR"/>
        </w:rPr>
        <w:t>’</w:t>
      </w:r>
      <w:r w:rsidRPr="0048528B">
        <w:rPr>
          <w:lang w:val="fr-FR"/>
        </w:rPr>
        <w:t>élaboration des documents TGP</w:t>
      </w:r>
      <w:bookmarkEnd w:id="20"/>
    </w:p>
    <w:p w:rsidR="00204800" w:rsidRPr="0048528B" w:rsidRDefault="00204800" w:rsidP="00196886">
      <w:pPr>
        <w:keepNext/>
        <w:rPr>
          <w:lang w:val="fr-FR"/>
        </w:rPr>
      </w:pPr>
    </w:p>
    <w:p w:rsidR="00204800" w:rsidRPr="0048528B" w:rsidRDefault="00196886" w:rsidP="00437B7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rFonts w:cs="Arial"/>
          <w:lang w:val="fr-FR"/>
        </w:rPr>
        <w:t>Le programme d</w:t>
      </w:r>
      <w:r w:rsidR="00F3296C" w:rsidRPr="0048528B">
        <w:rPr>
          <w:rFonts w:cs="Arial"/>
          <w:lang w:val="fr-FR"/>
        </w:rPr>
        <w:t>’</w:t>
      </w:r>
      <w:r w:rsidR="00437B75" w:rsidRPr="0048528B">
        <w:rPr>
          <w:rFonts w:cs="Arial"/>
          <w:lang w:val="fr-FR"/>
        </w:rPr>
        <w:t>élaboration des documents TGP, tel qu</w:t>
      </w:r>
      <w:r w:rsidR="00F3296C" w:rsidRPr="0048528B">
        <w:rPr>
          <w:rFonts w:cs="Arial"/>
          <w:lang w:val="fr-FR"/>
        </w:rPr>
        <w:t>’</w:t>
      </w:r>
      <w:r w:rsidR="00437B75" w:rsidRPr="0048528B">
        <w:rPr>
          <w:rFonts w:cs="Arial"/>
          <w:lang w:val="fr-FR"/>
        </w:rPr>
        <w:t>approuvé par le</w:t>
      </w:r>
      <w:r w:rsidR="00F3296C" w:rsidRPr="0048528B">
        <w:rPr>
          <w:rFonts w:cs="Arial"/>
          <w:lang w:val="fr-FR"/>
        </w:rPr>
        <w:t> TC</w:t>
      </w:r>
      <w:r w:rsidR="00437B75" w:rsidRPr="0048528B">
        <w:rPr>
          <w:rFonts w:cs="Arial"/>
          <w:lang w:val="fr-FR"/>
        </w:rPr>
        <w:t xml:space="preserve"> à sa quarante</w:t>
      </w:r>
      <w:r w:rsidR="003F00B6" w:rsidRPr="0048528B">
        <w:rPr>
          <w:rFonts w:cs="Arial"/>
          <w:lang w:val="fr-FR"/>
        </w:rPr>
        <w:noBreakHyphen/>
      </w:r>
      <w:r w:rsidR="00437B75" w:rsidRPr="0048528B">
        <w:rPr>
          <w:rFonts w:cs="Arial"/>
          <w:lang w:val="fr-FR"/>
        </w:rPr>
        <w:t>neuvième session, figure dans l</w:t>
      </w:r>
      <w:r w:rsidR="00F3296C" w:rsidRPr="0048528B">
        <w:rPr>
          <w:rFonts w:cs="Arial"/>
          <w:lang w:val="fr-FR"/>
        </w:rPr>
        <w:t>’</w:t>
      </w:r>
      <w:r w:rsidR="00437B75" w:rsidRPr="0048528B">
        <w:rPr>
          <w:rFonts w:cs="Arial"/>
          <w:lang w:val="fr-FR"/>
        </w:rPr>
        <w:t>annexe de ce document.</w:t>
      </w:r>
    </w:p>
    <w:p w:rsidR="00204800" w:rsidRPr="0048528B" w:rsidRDefault="00204800" w:rsidP="00196886">
      <w:pPr>
        <w:rPr>
          <w:lang w:val="fr-FR"/>
        </w:rPr>
      </w:pPr>
    </w:p>
    <w:p w:rsidR="00204800" w:rsidRPr="0048528B" w:rsidRDefault="00204800" w:rsidP="00196886">
      <w:pPr>
        <w:rPr>
          <w:lang w:val="fr-FR"/>
        </w:rPr>
      </w:pPr>
    </w:p>
    <w:p w:rsidR="00204800" w:rsidRPr="0048528B" w:rsidRDefault="00437B75" w:rsidP="00437B75">
      <w:pPr>
        <w:pStyle w:val="Heading2"/>
        <w:rPr>
          <w:lang w:val="fr-FR"/>
        </w:rPr>
      </w:pPr>
      <w:bookmarkStart w:id="21" w:name="_Toc367888542"/>
      <w:r w:rsidRPr="0048528B">
        <w:rPr>
          <w:lang w:val="fr-FR"/>
        </w:rPr>
        <w:t>Dénominations variétales</w:t>
      </w:r>
      <w:bookmarkEnd w:id="21"/>
    </w:p>
    <w:p w:rsidR="00204800" w:rsidRPr="0048528B" w:rsidRDefault="00204800" w:rsidP="00196886">
      <w:pPr>
        <w:keepNext/>
        <w:rPr>
          <w:lang w:val="fr-FR"/>
        </w:rPr>
      </w:pPr>
    </w:p>
    <w:p w:rsidR="00204800" w:rsidRPr="0048528B" w:rsidRDefault="00196886" w:rsidP="00437B75">
      <w:pPr>
        <w:keepNext/>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Le</w:t>
      </w:r>
      <w:r w:rsidR="00F3296C" w:rsidRPr="0048528B">
        <w:rPr>
          <w:lang w:val="fr-FR"/>
        </w:rPr>
        <w:t> TC</w:t>
      </w:r>
      <w:r w:rsidR="00437B75" w:rsidRPr="0048528B">
        <w:rPr>
          <w:lang w:val="fr-FR"/>
        </w:rPr>
        <w:t xml:space="preserve"> a examiné le </w:t>
      </w:r>
      <w:r w:rsidR="00F3296C" w:rsidRPr="0048528B">
        <w:rPr>
          <w:lang w:val="fr-FR"/>
        </w:rPr>
        <w:t>document TC</w:t>
      </w:r>
      <w:r w:rsidR="00437B75" w:rsidRPr="0048528B">
        <w:rPr>
          <w:lang w:val="fr-FR"/>
        </w:rPr>
        <w:t>/49/8.</w:t>
      </w:r>
    </w:p>
    <w:p w:rsidR="00204800" w:rsidRPr="0048528B" w:rsidRDefault="00204800" w:rsidP="00196886">
      <w:pPr>
        <w:keepNext/>
        <w:rPr>
          <w:lang w:val="fr-FR"/>
        </w:rPr>
      </w:pPr>
    </w:p>
    <w:p w:rsidR="00CE0C30" w:rsidRPr="0048528B" w:rsidRDefault="00196886" w:rsidP="00437B75">
      <w:pPr>
        <w:rPr>
          <w:snapToGrid w:val="0"/>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snapToGrid w:val="0"/>
          <w:lang w:val="fr-FR"/>
        </w:rPr>
        <w:t>Le</w:t>
      </w:r>
      <w:r w:rsidR="00F3296C" w:rsidRPr="0048528B">
        <w:rPr>
          <w:snapToGrid w:val="0"/>
          <w:lang w:val="fr-FR"/>
        </w:rPr>
        <w:t> TC</w:t>
      </w:r>
      <w:r w:rsidR="00437B75" w:rsidRPr="0048528B">
        <w:rPr>
          <w:snapToGrid w:val="0"/>
          <w:lang w:val="fr-FR"/>
        </w:rPr>
        <w:t xml:space="preserve"> a pris note des faits nouveaux concernant les domaines potentiels de coopération entre l</w:t>
      </w:r>
      <w:r w:rsidR="00F3296C" w:rsidRPr="0048528B">
        <w:rPr>
          <w:snapToGrid w:val="0"/>
          <w:lang w:val="fr-FR"/>
        </w:rPr>
        <w:t>’</w:t>
      </w:r>
      <w:r w:rsidR="00437B75" w:rsidRPr="0048528B">
        <w:rPr>
          <w:snapToGrid w:val="0"/>
          <w:lang w:val="fr-FR"/>
        </w:rPr>
        <w:t>UPOV et la Commission internationale de nomenclature des plantes cultivées de l</w:t>
      </w:r>
      <w:r w:rsidR="00F3296C" w:rsidRPr="0048528B">
        <w:rPr>
          <w:snapToGrid w:val="0"/>
          <w:lang w:val="fr-FR"/>
        </w:rPr>
        <w:t>’</w:t>
      </w:r>
      <w:r w:rsidR="00437B75" w:rsidRPr="0048528B">
        <w:rPr>
          <w:snapToGrid w:val="0"/>
          <w:lang w:val="fr-FR"/>
        </w:rPr>
        <w:t>Union internationale des sciences biologiques (Commission de l</w:t>
      </w:r>
      <w:r w:rsidR="00F3296C" w:rsidRPr="0048528B">
        <w:rPr>
          <w:snapToGrid w:val="0"/>
          <w:lang w:val="fr-FR"/>
        </w:rPr>
        <w:t>’</w:t>
      </w:r>
      <w:r w:rsidR="00437B75" w:rsidRPr="0048528B">
        <w:rPr>
          <w:snapToGrid w:val="0"/>
          <w:lang w:val="fr-FR"/>
        </w:rPr>
        <w:t>UISB) et la Commission de nomenclature et d</w:t>
      </w:r>
      <w:r w:rsidR="00F3296C" w:rsidRPr="0048528B">
        <w:rPr>
          <w:snapToGrid w:val="0"/>
          <w:lang w:val="fr-FR"/>
        </w:rPr>
        <w:t>’</w:t>
      </w:r>
      <w:r w:rsidR="00437B75" w:rsidRPr="0048528B">
        <w:rPr>
          <w:snapToGrid w:val="0"/>
          <w:lang w:val="fr-FR"/>
        </w:rPr>
        <w:t>enregistrement des cultivars de la Société internationale de la science horticole (Commission de l</w:t>
      </w:r>
      <w:r w:rsidR="00F3296C" w:rsidRPr="0048528B">
        <w:rPr>
          <w:snapToGrid w:val="0"/>
          <w:lang w:val="fr-FR"/>
        </w:rPr>
        <w:t>’</w:t>
      </w:r>
      <w:r w:rsidR="00437B75" w:rsidRPr="0048528B">
        <w:rPr>
          <w:snapToGrid w:val="0"/>
          <w:lang w:val="fr-FR"/>
        </w:rPr>
        <w:t>ISHS), tels qu</w:t>
      </w:r>
      <w:r w:rsidR="00F3296C" w:rsidRPr="0048528B">
        <w:rPr>
          <w:snapToGrid w:val="0"/>
          <w:lang w:val="fr-FR"/>
        </w:rPr>
        <w:t>’</w:t>
      </w:r>
      <w:r w:rsidR="00437B75" w:rsidRPr="0048528B">
        <w:rPr>
          <w:snapToGrid w:val="0"/>
          <w:lang w:val="fr-FR"/>
        </w:rPr>
        <w:t xml:space="preserve">ils figurent dans les paragraphes 24 et 25 du </w:t>
      </w:r>
      <w:r w:rsidR="00F3296C" w:rsidRPr="0048528B">
        <w:rPr>
          <w:snapToGrid w:val="0"/>
          <w:lang w:val="fr-FR"/>
        </w:rPr>
        <w:t>document TC</w:t>
      </w:r>
      <w:r w:rsidR="00437B75" w:rsidRPr="0048528B">
        <w:rPr>
          <w:snapToGrid w:val="0"/>
          <w:lang w:val="fr-FR"/>
        </w:rPr>
        <w:t>/49/8 (voir le paragraphe</w:t>
      </w:r>
      <w:r w:rsidR="00E3136C" w:rsidRPr="0048528B">
        <w:rPr>
          <w:snapToGrid w:val="0"/>
          <w:lang w:val="fr-FR"/>
        </w:rPr>
        <w:t> </w:t>
      </w:r>
      <w:r w:rsidR="00437B75" w:rsidRPr="0048528B">
        <w:rPr>
          <w:snapToGrid w:val="0"/>
          <w:lang w:val="fr-FR"/>
        </w:rPr>
        <w:t xml:space="preserve">89 du </w:t>
      </w:r>
      <w:r w:rsidR="00F3296C" w:rsidRPr="0048528B">
        <w:rPr>
          <w:snapToGrid w:val="0"/>
          <w:lang w:val="fr-FR"/>
        </w:rPr>
        <w:t>document TC</w:t>
      </w:r>
      <w:r w:rsidR="00437B75" w:rsidRPr="0048528B">
        <w:rPr>
          <w:snapToGrid w:val="0"/>
          <w:lang w:val="fr-FR"/>
        </w:rPr>
        <w:t>/49/41 “Compte rendu des conclusions</w:t>
      </w:r>
      <w:r w:rsidR="00E3136C" w:rsidRPr="0048528B">
        <w:rPr>
          <w:snapToGrid w:val="0"/>
          <w:lang w:val="fr-FR"/>
        </w:rPr>
        <w:t>”</w:t>
      </w:r>
      <w:r w:rsidR="00437B75" w:rsidRPr="0048528B">
        <w:rPr>
          <w:snapToGrid w:val="0"/>
          <w:lang w:val="fr-FR"/>
        </w:rPr>
        <w:t>).</w:t>
      </w:r>
    </w:p>
    <w:p w:rsidR="00204800" w:rsidRPr="0048528B" w:rsidRDefault="00204800" w:rsidP="00196886">
      <w:pPr>
        <w:rPr>
          <w:lang w:val="fr-FR"/>
        </w:rPr>
      </w:pPr>
    </w:p>
    <w:p w:rsidR="00204800" w:rsidRPr="0048528B" w:rsidRDefault="00204800" w:rsidP="00196886">
      <w:pPr>
        <w:rPr>
          <w:lang w:val="fr-FR"/>
        </w:rPr>
      </w:pPr>
    </w:p>
    <w:p w:rsidR="00204800" w:rsidRPr="0048528B" w:rsidRDefault="00437B75" w:rsidP="00437B75">
      <w:pPr>
        <w:pStyle w:val="Heading2"/>
        <w:rPr>
          <w:lang w:val="fr-FR"/>
        </w:rPr>
      </w:pPr>
      <w:bookmarkStart w:id="22" w:name="_Toc367888543"/>
      <w:r w:rsidRPr="0048528B">
        <w:rPr>
          <w:lang w:val="fr-FR"/>
        </w:rPr>
        <w:t>Informations et bases de données</w:t>
      </w:r>
      <w:bookmarkEnd w:id="22"/>
    </w:p>
    <w:p w:rsidR="00204800" w:rsidRPr="0048528B" w:rsidRDefault="00204800" w:rsidP="00196886">
      <w:pPr>
        <w:keepNext/>
        <w:rPr>
          <w:lang w:val="fr-FR"/>
        </w:rPr>
      </w:pPr>
    </w:p>
    <w:p w:rsidR="00204800" w:rsidRPr="0048528B" w:rsidRDefault="00437B75" w:rsidP="00437B75">
      <w:pPr>
        <w:pStyle w:val="Heading3"/>
        <w:rPr>
          <w:lang w:val="fr-FR"/>
        </w:rPr>
      </w:pPr>
      <w:bookmarkStart w:id="23" w:name="_Toc367888544"/>
      <w:r w:rsidRPr="0048528B">
        <w:rPr>
          <w:lang w:val="fr-FR"/>
        </w:rPr>
        <w:t>a)</w:t>
      </w:r>
      <w:r w:rsidRPr="0048528B">
        <w:rPr>
          <w:i w:val="0"/>
          <w:lang w:val="fr-FR"/>
        </w:rPr>
        <w:t xml:space="preserve"> </w:t>
      </w:r>
      <w:r w:rsidR="001462E7" w:rsidRPr="0048528B">
        <w:rPr>
          <w:i w:val="0"/>
          <w:lang w:val="fr-FR"/>
        </w:rPr>
        <w:tab/>
      </w:r>
      <w:r w:rsidRPr="0048528B">
        <w:rPr>
          <w:lang w:val="fr-FR"/>
        </w:rPr>
        <w:t>Bases de données d</w:t>
      </w:r>
      <w:r w:rsidR="00F3296C" w:rsidRPr="0048528B">
        <w:rPr>
          <w:lang w:val="fr-FR"/>
        </w:rPr>
        <w:t>’</w:t>
      </w:r>
      <w:r w:rsidRPr="0048528B">
        <w:rPr>
          <w:lang w:val="fr-FR"/>
        </w:rPr>
        <w:t>information de l</w:t>
      </w:r>
      <w:r w:rsidR="00F3296C" w:rsidRPr="0048528B">
        <w:rPr>
          <w:lang w:val="fr-FR"/>
        </w:rPr>
        <w:t>’</w:t>
      </w:r>
      <w:r w:rsidRPr="0048528B">
        <w:rPr>
          <w:lang w:val="fr-FR"/>
        </w:rPr>
        <w:t>UPOV</w:t>
      </w:r>
      <w:bookmarkEnd w:id="23"/>
    </w:p>
    <w:p w:rsidR="00204800" w:rsidRPr="0048528B" w:rsidRDefault="00204800" w:rsidP="00196886">
      <w:pPr>
        <w:keepNext/>
        <w:rPr>
          <w:lang w:val="fr-FR"/>
        </w:rPr>
      </w:pPr>
    </w:p>
    <w:p w:rsidR="00204800" w:rsidRPr="0048528B" w:rsidRDefault="00196886" w:rsidP="00437B7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Le</w:t>
      </w:r>
      <w:r w:rsidR="00F3296C" w:rsidRPr="0048528B">
        <w:rPr>
          <w:lang w:val="fr-FR"/>
        </w:rPr>
        <w:t> TC</w:t>
      </w:r>
      <w:r w:rsidR="00437B75" w:rsidRPr="0048528B">
        <w:rPr>
          <w:lang w:val="fr-FR"/>
        </w:rPr>
        <w:t xml:space="preserve"> a examiné le </w:t>
      </w:r>
      <w:r w:rsidR="00F3296C" w:rsidRPr="0048528B">
        <w:rPr>
          <w:lang w:val="fr-FR"/>
        </w:rPr>
        <w:t>document TC</w:t>
      </w:r>
      <w:r w:rsidR="00437B75" w:rsidRPr="0048528B">
        <w:rPr>
          <w:lang w:val="fr-FR"/>
        </w:rPr>
        <w:t>/49/6 et a assisté à une démonstration de la base de données</w:t>
      </w:r>
      <w:r w:rsidR="001462E7" w:rsidRPr="0048528B">
        <w:rPr>
          <w:lang w:val="fr-FR"/>
        </w:rPr>
        <w:t> </w:t>
      </w:r>
      <w:r w:rsidR="00437B75" w:rsidRPr="0048528B">
        <w:rPr>
          <w:lang w:val="fr-FR"/>
        </w:rPr>
        <w:t>PLUTO sur les variétés végétales par M. Glenn Mac Stravic, Section de la base de données sur les</w:t>
      </w:r>
      <w:r w:rsidR="001462E7" w:rsidRPr="0048528B">
        <w:rPr>
          <w:lang w:val="fr-FR"/>
        </w:rPr>
        <w:t> </w:t>
      </w:r>
      <w:r w:rsidR="00437B75" w:rsidRPr="0048528B">
        <w:rPr>
          <w:lang w:val="fr-FR"/>
        </w:rPr>
        <w:t>désignations commerciales de l</w:t>
      </w:r>
      <w:r w:rsidR="00F3296C" w:rsidRPr="0048528B">
        <w:rPr>
          <w:lang w:val="fr-FR"/>
        </w:rPr>
        <w:t>’</w:t>
      </w:r>
      <w:r w:rsidR="00437B75" w:rsidRPr="0048528B">
        <w:rPr>
          <w:lang w:val="fr-FR"/>
        </w:rPr>
        <w:t>Organisation mondiale de la propriété intellectuelle (OMPI).</w:t>
      </w:r>
    </w:p>
    <w:p w:rsidR="00204800" w:rsidRPr="0048528B" w:rsidRDefault="00204800" w:rsidP="00196886">
      <w:pPr>
        <w:spacing w:line="360" w:lineRule="auto"/>
        <w:rPr>
          <w:lang w:val="fr-FR"/>
        </w:rPr>
      </w:pPr>
    </w:p>
    <w:p w:rsidR="00204800" w:rsidRPr="0048528B" w:rsidRDefault="00437B75" w:rsidP="00473A08">
      <w:pPr>
        <w:pStyle w:val="Heading4"/>
        <w:rPr>
          <w:lang w:val="fr-FR"/>
        </w:rPr>
      </w:pPr>
      <w:r w:rsidRPr="0048528B">
        <w:rPr>
          <w:lang w:val="fr-FR"/>
        </w:rPr>
        <w:t>Système de codes UPOV</w:t>
      </w:r>
    </w:p>
    <w:p w:rsidR="00204800" w:rsidRPr="0048528B" w:rsidRDefault="00204800" w:rsidP="00196886">
      <w:pPr>
        <w:keepNext/>
        <w:rPr>
          <w:lang w:val="fr-FR"/>
        </w:rPr>
      </w:pPr>
    </w:p>
    <w:p w:rsidR="00CE0C30" w:rsidRPr="0048528B" w:rsidRDefault="00196886" w:rsidP="00437B75">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rFonts w:cs="Arial"/>
          <w:lang w:val="fr-FR"/>
        </w:rPr>
        <w:t>Le</w:t>
      </w:r>
      <w:r w:rsidR="00F3296C" w:rsidRPr="0048528B">
        <w:rPr>
          <w:rFonts w:cs="Arial"/>
          <w:lang w:val="fr-FR"/>
        </w:rPr>
        <w:t> TC</w:t>
      </w:r>
      <w:r w:rsidR="00437B75" w:rsidRPr="0048528B">
        <w:rPr>
          <w:rFonts w:cs="Arial"/>
          <w:lang w:val="fr-FR"/>
        </w:rPr>
        <w:t xml:space="preserve"> a pris note des modifications apportées aux codes UPOV et de l</w:t>
      </w:r>
      <w:r w:rsidR="00F3296C" w:rsidRPr="0048528B">
        <w:rPr>
          <w:rFonts w:cs="Arial"/>
          <w:lang w:val="fr-FR"/>
        </w:rPr>
        <w:t>’</w:t>
      </w:r>
      <w:r w:rsidR="00437B75" w:rsidRPr="0048528B">
        <w:rPr>
          <w:rFonts w:cs="Arial"/>
          <w:lang w:val="fr-FR"/>
        </w:rPr>
        <w:t>intention du Bureau de l</w:t>
      </w:r>
      <w:r w:rsidR="00F3296C" w:rsidRPr="0048528B">
        <w:rPr>
          <w:rFonts w:cs="Arial"/>
          <w:lang w:val="fr-FR"/>
        </w:rPr>
        <w:t>’</w:t>
      </w:r>
      <w:r w:rsidR="00437B75" w:rsidRPr="0048528B">
        <w:rPr>
          <w:rFonts w:cs="Arial"/>
          <w:lang w:val="fr-FR"/>
        </w:rPr>
        <w:t>Union d</w:t>
      </w:r>
      <w:r w:rsidR="00F3296C" w:rsidRPr="0048528B">
        <w:rPr>
          <w:rFonts w:cs="Arial"/>
          <w:lang w:val="fr-FR"/>
        </w:rPr>
        <w:t>’</w:t>
      </w:r>
      <w:r w:rsidR="00437B75" w:rsidRPr="0048528B">
        <w:rPr>
          <w:rFonts w:cs="Arial"/>
          <w:lang w:val="fr-FR"/>
        </w:rPr>
        <w:t>établir des tableaux des adjonctions et des modifications de codes UPOV pour vérification par les services compétents pour chaque session des groupes de travail techniques en 2013 (voir le paragraphe</w:t>
      </w:r>
      <w:r w:rsidR="00E3136C" w:rsidRPr="0048528B">
        <w:rPr>
          <w:rFonts w:cs="Arial"/>
          <w:lang w:val="fr-FR"/>
        </w:rPr>
        <w:t> </w:t>
      </w:r>
      <w:r w:rsidR="00437B75" w:rsidRPr="0048528B">
        <w:rPr>
          <w:rFonts w:cs="Arial"/>
          <w:lang w:val="fr-FR"/>
        </w:rPr>
        <w:t xml:space="preserve">91 du </w:t>
      </w:r>
      <w:r w:rsidR="00F3296C" w:rsidRPr="0048528B">
        <w:rPr>
          <w:rFonts w:cs="Arial"/>
          <w:lang w:val="fr-FR"/>
        </w:rPr>
        <w:t>document TC</w:t>
      </w:r>
      <w:r w:rsidR="00437B75" w:rsidRPr="0048528B">
        <w:rPr>
          <w:rFonts w:cs="Arial"/>
          <w:lang w:val="fr-FR"/>
        </w:rPr>
        <w:t>/49/41 “Compte rendu des conclusions</w:t>
      </w:r>
      <w:r w:rsidR="00E3136C" w:rsidRPr="0048528B">
        <w:rPr>
          <w:rFonts w:cs="Arial"/>
          <w:lang w:val="fr-FR"/>
        </w:rPr>
        <w:t>”</w:t>
      </w:r>
      <w:r w:rsidR="00437B75" w:rsidRPr="0048528B">
        <w:rPr>
          <w:rFonts w:cs="Arial"/>
          <w:lang w:val="fr-FR"/>
        </w:rPr>
        <w:t>).</w:t>
      </w:r>
    </w:p>
    <w:p w:rsidR="00204800" w:rsidRPr="0048528B" w:rsidRDefault="00204800" w:rsidP="00196886">
      <w:pPr>
        <w:spacing w:line="360" w:lineRule="auto"/>
        <w:rPr>
          <w:lang w:val="fr-FR"/>
        </w:rPr>
      </w:pPr>
    </w:p>
    <w:p w:rsidR="00204800" w:rsidRPr="0048528B" w:rsidRDefault="00437B75" w:rsidP="00473A08">
      <w:pPr>
        <w:pStyle w:val="Heading4"/>
        <w:rPr>
          <w:lang w:val="fr-FR"/>
        </w:rPr>
      </w:pPr>
      <w:r w:rsidRPr="0048528B">
        <w:rPr>
          <w:lang w:val="fr-FR"/>
        </w:rPr>
        <w:t>Base de données sur les variétés végétales</w:t>
      </w:r>
    </w:p>
    <w:p w:rsidR="00204800" w:rsidRPr="0048528B" w:rsidRDefault="00204800" w:rsidP="00196886">
      <w:pPr>
        <w:keepNext/>
        <w:rPr>
          <w:lang w:val="fr-FR"/>
        </w:rPr>
      </w:pPr>
    </w:p>
    <w:p w:rsidR="00204800" w:rsidRPr="0048528B" w:rsidRDefault="00196886" w:rsidP="00437B75">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rFonts w:cs="Arial"/>
          <w:lang w:val="fr-FR"/>
        </w:rPr>
        <w:t>Le</w:t>
      </w:r>
      <w:r w:rsidR="00F3296C" w:rsidRPr="0048528B">
        <w:rPr>
          <w:rFonts w:cs="Arial"/>
          <w:lang w:val="fr-FR"/>
        </w:rPr>
        <w:t> TC</w:t>
      </w:r>
      <w:r w:rsidR="00437B75" w:rsidRPr="0048528B">
        <w:rPr>
          <w:rFonts w:cs="Arial"/>
          <w:lang w:val="fr-FR"/>
        </w:rPr>
        <w:t xml:space="preserve"> a pris note des faits nouveaux suivants concernant le programme d</w:t>
      </w:r>
      <w:r w:rsidR="00F3296C" w:rsidRPr="0048528B">
        <w:rPr>
          <w:rFonts w:cs="Arial"/>
          <w:lang w:val="fr-FR"/>
        </w:rPr>
        <w:t>’</w:t>
      </w:r>
      <w:r w:rsidR="00437B75" w:rsidRPr="0048528B">
        <w:rPr>
          <w:rFonts w:cs="Arial"/>
          <w:lang w:val="fr-FR"/>
        </w:rPr>
        <w:t>améliorations de la base de données sur les variétés végétales eu égard aux caractéristiques de la base de données PLUTO.</w:t>
      </w:r>
    </w:p>
    <w:p w:rsidR="00204800" w:rsidRPr="0048528B" w:rsidRDefault="00204800" w:rsidP="00A26EF1">
      <w:pPr>
        <w:spacing w:line="360" w:lineRule="auto"/>
        <w:rPr>
          <w:rFonts w:cs="Arial"/>
          <w:lang w:val="fr-FR"/>
        </w:rPr>
      </w:pPr>
    </w:p>
    <w:p w:rsidR="00204800" w:rsidRPr="0048528B" w:rsidRDefault="00437B75" w:rsidP="006A03CA">
      <w:pPr>
        <w:pStyle w:val="Heading5"/>
        <w:rPr>
          <w:lang w:val="fr-FR"/>
        </w:rPr>
      </w:pPr>
      <w:r w:rsidRPr="0048528B">
        <w:rPr>
          <w:lang w:val="fr-FR"/>
        </w:rPr>
        <w:t>Informations sur la dernière date de présentation par les fournisseurs de données</w:t>
      </w:r>
    </w:p>
    <w:p w:rsidR="00204800" w:rsidRPr="0048528B" w:rsidRDefault="00204800" w:rsidP="00196886">
      <w:pPr>
        <w:keepNext/>
        <w:rPr>
          <w:lang w:val="fr-FR"/>
        </w:rPr>
      </w:pPr>
    </w:p>
    <w:p w:rsidR="00CE0C30" w:rsidRPr="0048528B" w:rsidRDefault="00196886" w:rsidP="00437B7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Pour le court terme, des informations sur la dernière date de présentation par les contributeurs ont été fournies pour la base de données PLUTO sous la forme d</w:t>
      </w:r>
      <w:r w:rsidR="00F3296C" w:rsidRPr="0048528B">
        <w:rPr>
          <w:lang w:val="fr-FR"/>
        </w:rPr>
        <w:t>’</w:t>
      </w:r>
      <w:r w:rsidR="00437B75" w:rsidRPr="0048528B">
        <w:rPr>
          <w:lang w:val="fr-FR"/>
        </w:rPr>
        <w:t>un document pdf.</w:t>
      </w:r>
      <w:r w:rsidRPr="0048528B">
        <w:rPr>
          <w:lang w:val="fr-FR"/>
        </w:rPr>
        <w:t xml:space="preserve">  </w:t>
      </w:r>
      <w:r w:rsidR="00437B75" w:rsidRPr="0048528B">
        <w:rPr>
          <w:lang w:val="fr-FR"/>
        </w:rPr>
        <w:t>Toutefois, dans le plus long terme, il est prévu que la date de présentation sera fournie pour les données saisies dans la base de données (voir le paragraphe</w:t>
      </w:r>
      <w:r w:rsidR="00E3136C" w:rsidRPr="0048528B">
        <w:rPr>
          <w:lang w:val="fr-FR"/>
        </w:rPr>
        <w:t> </w:t>
      </w:r>
      <w:r w:rsidR="00437B75" w:rsidRPr="0048528B">
        <w:rPr>
          <w:lang w:val="fr-FR"/>
        </w:rPr>
        <w:t xml:space="preserve">93 du </w:t>
      </w:r>
      <w:r w:rsidR="00F3296C" w:rsidRPr="0048528B">
        <w:rPr>
          <w:lang w:val="fr-FR"/>
        </w:rPr>
        <w:t>document TC</w:t>
      </w:r>
      <w:r w:rsidR="00437B75" w:rsidRPr="0048528B">
        <w:rPr>
          <w:lang w:val="fr-FR"/>
        </w:rPr>
        <w:t>/49/41 “Compte rendu des conclusions</w:t>
      </w:r>
      <w:r w:rsidR="00E3136C" w:rsidRPr="0048528B">
        <w:rPr>
          <w:lang w:val="fr-FR"/>
        </w:rPr>
        <w:t>”</w:t>
      </w:r>
      <w:r w:rsidR="00437B75" w:rsidRPr="0048528B">
        <w:rPr>
          <w:lang w:val="fr-FR"/>
        </w:rPr>
        <w:t>).</w:t>
      </w:r>
    </w:p>
    <w:p w:rsidR="00204800" w:rsidRPr="0048528B" w:rsidRDefault="00204800" w:rsidP="00A26EF1">
      <w:pPr>
        <w:spacing w:line="360" w:lineRule="auto"/>
        <w:rPr>
          <w:lang w:val="fr-FR"/>
        </w:rPr>
      </w:pPr>
    </w:p>
    <w:p w:rsidR="00204800" w:rsidRPr="0048528B" w:rsidRDefault="00437B75" w:rsidP="006A03CA">
      <w:pPr>
        <w:pStyle w:val="Heading5"/>
        <w:rPr>
          <w:lang w:val="fr-FR"/>
        </w:rPr>
      </w:pPr>
      <w:r w:rsidRPr="0048528B">
        <w:rPr>
          <w:lang w:val="fr-FR"/>
        </w:rPr>
        <w:lastRenderedPageBreak/>
        <w:t>Règles de recherche</w:t>
      </w:r>
    </w:p>
    <w:p w:rsidR="00204800" w:rsidRPr="0048528B" w:rsidRDefault="00204800" w:rsidP="00196886">
      <w:pPr>
        <w:keepNext/>
        <w:rPr>
          <w:lang w:val="fr-FR"/>
        </w:rPr>
      </w:pPr>
    </w:p>
    <w:p w:rsidR="00CE0C30" w:rsidRPr="0048528B" w:rsidRDefault="00196886" w:rsidP="00437B7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Le</w:t>
      </w:r>
      <w:r w:rsidR="00F3296C" w:rsidRPr="0048528B">
        <w:rPr>
          <w:lang w:val="fr-FR"/>
        </w:rPr>
        <w:t> TC</w:t>
      </w:r>
      <w:r w:rsidR="00437B75" w:rsidRPr="0048528B">
        <w:rPr>
          <w:lang w:val="fr-FR"/>
        </w:rPr>
        <w:t xml:space="preserve"> a pris note de la démonstration des règles de recherche de la base de données PLUTO, y compris la nouvelle page qui a été créée pour la recherche des dénominations variétales (voir le paragraphe</w:t>
      </w:r>
      <w:r w:rsidR="00E3136C" w:rsidRPr="0048528B">
        <w:rPr>
          <w:lang w:val="fr-FR"/>
        </w:rPr>
        <w:t> </w:t>
      </w:r>
      <w:r w:rsidR="00437B75" w:rsidRPr="0048528B">
        <w:rPr>
          <w:lang w:val="fr-FR"/>
        </w:rPr>
        <w:t xml:space="preserve">94 du </w:t>
      </w:r>
      <w:r w:rsidR="00F3296C" w:rsidRPr="0048528B">
        <w:rPr>
          <w:lang w:val="fr-FR"/>
        </w:rPr>
        <w:t>document TC</w:t>
      </w:r>
      <w:r w:rsidR="00437B75" w:rsidRPr="0048528B">
        <w:rPr>
          <w:lang w:val="fr-FR"/>
        </w:rPr>
        <w:t>/49/41 “Compte rendu des conclusions</w:t>
      </w:r>
      <w:r w:rsidR="00E3136C" w:rsidRPr="0048528B">
        <w:rPr>
          <w:lang w:val="fr-FR"/>
        </w:rPr>
        <w:t>”</w:t>
      </w:r>
      <w:r w:rsidR="00437B75" w:rsidRPr="0048528B">
        <w:rPr>
          <w:lang w:val="fr-FR"/>
        </w:rPr>
        <w:t>).</w:t>
      </w:r>
    </w:p>
    <w:p w:rsidR="00204800" w:rsidRPr="0048528B" w:rsidRDefault="00204800" w:rsidP="00A26EF1">
      <w:pPr>
        <w:spacing w:line="360" w:lineRule="auto"/>
        <w:rPr>
          <w:lang w:val="fr-FR"/>
        </w:rPr>
      </w:pPr>
    </w:p>
    <w:p w:rsidR="00204800" w:rsidRPr="0048528B" w:rsidRDefault="00437B75" w:rsidP="006A03CA">
      <w:pPr>
        <w:pStyle w:val="Heading5"/>
        <w:rPr>
          <w:lang w:val="fr-FR"/>
        </w:rPr>
      </w:pPr>
      <w:bookmarkStart w:id="24" w:name="OLE_LINK1"/>
      <w:bookmarkStart w:id="25" w:name="OLE_LINK2"/>
      <w:r w:rsidRPr="0048528B">
        <w:rPr>
          <w:lang w:val="fr-FR"/>
        </w:rPr>
        <w:t>Fonction de sauvegarde des paramètres de recherche</w:t>
      </w:r>
    </w:p>
    <w:bookmarkEnd w:id="24"/>
    <w:bookmarkEnd w:id="25"/>
    <w:p w:rsidR="00204800" w:rsidRPr="0048528B" w:rsidRDefault="00204800" w:rsidP="00196886">
      <w:pPr>
        <w:keepNext/>
        <w:rPr>
          <w:lang w:val="fr-FR"/>
        </w:rPr>
      </w:pPr>
    </w:p>
    <w:p w:rsidR="00CE0C30" w:rsidRPr="0048528B" w:rsidRDefault="00196886" w:rsidP="00437B7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Le</w:t>
      </w:r>
      <w:r w:rsidR="00F3296C" w:rsidRPr="0048528B">
        <w:rPr>
          <w:lang w:val="fr-FR"/>
        </w:rPr>
        <w:t> TC</w:t>
      </w:r>
      <w:r w:rsidR="00437B75" w:rsidRPr="0048528B">
        <w:rPr>
          <w:lang w:val="fr-FR"/>
        </w:rPr>
        <w:t xml:space="preserve"> a pris note de la démonstration des possibilités de sauvegarder les paramètres de recherche pour la base de données PLUTO (voir le paragraphe</w:t>
      </w:r>
      <w:r w:rsidR="00E3136C" w:rsidRPr="0048528B">
        <w:rPr>
          <w:lang w:val="fr-FR"/>
        </w:rPr>
        <w:t> </w:t>
      </w:r>
      <w:r w:rsidR="00437B75" w:rsidRPr="0048528B">
        <w:rPr>
          <w:lang w:val="fr-FR"/>
        </w:rPr>
        <w:t xml:space="preserve">95 du </w:t>
      </w:r>
      <w:r w:rsidR="00F3296C" w:rsidRPr="0048528B">
        <w:rPr>
          <w:lang w:val="fr-FR"/>
        </w:rPr>
        <w:t>document TC</w:t>
      </w:r>
      <w:r w:rsidR="00437B75" w:rsidRPr="0048528B">
        <w:rPr>
          <w:lang w:val="fr-FR"/>
        </w:rPr>
        <w:t>/49/41 “Compte rendu des</w:t>
      </w:r>
      <w:r w:rsidR="001462E7" w:rsidRPr="0048528B">
        <w:rPr>
          <w:lang w:val="fr-FR"/>
        </w:rPr>
        <w:t> </w:t>
      </w:r>
      <w:r w:rsidR="00437B75" w:rsidRPr="0048528B">
        <w:rPr>
          <w:lang w:val="fr-FR"/>
        </w:rPr>
        <w:t>conclusions</w:t>
      </w:r>
      <w:r w:rsidR="00E3136C" w:rsidRPr="0048528B">
        <w:rPr>
          <w:lang w:val="fr-FR"/>
        </w:rPr>
        <w:t>”</w:t>
      </w:r>
      <w:r w:rsidR="00437B75" w:rsidRPr="0048528B">
        <w:rPr>
          <w:lang w:val="fr-FR"/>
        </w:rPr>
        <w:t>).</w:t>
      </w:r>
    </w:p>
    <w:p w:rsidR="00204800" w:rsidRPr="0048528B" w:rsidRDefault="00204800" w:rsidP="00A26EF1">
      <w:pPr>
        <w:spacing w:line="360" w:lineRule="auto"/>
        <w:rPr>
          <w:lang w:val="fr-FR"/>
        </w:rPr>
      </w:pPr>
    </w:p>
    <w:p w:rsidR="00204800" w:rsidRPr="0048528B" w:rsidRDefault="00437B75" w:rsidP="006A03CA">
      <w:pPr>
        <w:pStyle w:val="Heading5"/>
        <w:rPr>
          <w:lang w:val="fr-FR"/>
        </w:rPr>
      </w:pPr>
      <w:r w:rsidRPr="0048528B">
        <w:rPr>
          <w:lang w:val="fr-FR"/>
        </w:rPr>
        <w:t>Inscription des utilisateurs</w:t>
      </w:r>
    </w:p>
    <w:p w:rsidR="00204800" w:rsidRPr="0048528B" w:rsidRDefault="00204800" w:rsidP="00196886">
      <w:pPr>
        <w:keepNext/>
        <w:rPr>
          <w:lang w:val="fr-FR"/>
        </w:rPr>
      </w:pPr>
    </w:p>
    <w:p w:rsidR="00F3296C" w:rsidRPr="0048528B" w:rsidRDefault="00196886" w:rsidP="00A26EF1">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Le</w:t>
      </w:r>
      <w:r w:rsidR="00F3296C" w:rsidRPr="0048528B">
        <w:rPr>
          <w:lang w:val="fr-FR"/>
        </w:rPr>
        <w:t> TC</w:t>
      </w:r>
      <w:r w:rsidR="00437B75" w:rsidRPr="0048528B">
        <w:rPr>
          <w:lang w:val="fr-FR"/>
        </w:rPr>
        <w:t xml:space="preserve"> a pris note de la démonstration du système d</w:t>
      </w:r>
      <w:r w:rsidR="00F3296C" w:rsidRPr="0048528B">
        <w:rPr>
          <w:lang w:val="fr-FR"/>
        </w:rPr>
        <w:t>’</w:t>
      </w:r>
      <w:r w:rsidR="00437B75" w:rsidRPr="0048528B">
        <w:rPr>
          <w:lang w:val="fr-FR"/>
        </w:rPr>
        <w:t>enregistrement pour les utilisateurs de PLUTO, qui a été mise en place afin que l</w:t>
      </w:r>
      <w:r w:rsidR="00F3296C" w:rsidRPr="0048528B">
        <w:rPr>
          <w:lang w:val="fr-FR"/>
        </w:rPr>
        <w:t>’</w:t>
      </w:r>
      <w:r w:rsidR="00437B75" w:rsidRPr="0048528B">
        <w:rPr>
          <w:lang w:val="fr-FR"/>
        </w:rPr>
        <w:t>utilisation de cette base de données puisse être surveillée, l</w:t>
      </w:r>
      <w:r w:rsidR="00F3296C" w:rsidRPr="0048528B">
        <w:rPr>
          <w:lang w:val="fr-FR"/>
        </w:rPr>
        <w:t>’</w:t>
      </w:r>
      <w:r w:rsidR="00437B75" w:rsidRPr="0048528B">
        <w:rPr>
          <w:lang w:val="fr-FR"/>
        </w:rPr>
        <w:t>objectif étant d</w:t>
      </w:r>
      <w:r w:rsidR="00F3296C" w:rsidRPr="0048528B">
        <w:rPr>
          <w:lang w:val="fr-FR"/>
        </w:rPr>
        <w:t>’</w:t>
      </w:r>
      <w:r w:rsidR="00437B75" w:rsidRPr="0048528B">
        <w:rPr>
          <w:lang w:val="fr-FR"/>
        </w:rPr>
        <w:t>utiliser ce retour d</w:t>
      </w:r>
      <w:r w:rsidR="00F3296C" w:rsidRPr="0048528B">
        <w:rPr>
          <w:lang w:val="fr-FR"/>
        </w:rPr>
        <w:t>’</w:t>
      </w:r>
      <w:r w:rsidR="00437B75" w:rsidRPr="0048528B">
        <w:rPr>
          <w:lang w:val="fr-FR"/>
        </w:rPr>
        <w:t>information pour de futures améliorations.</w:t>
      </w:r>
      <w:r w:rsidRPr="0048528B">
        <w:rPr>
          <w:lang w:val="fr-FR"/>
        </w:rPr>
        <w:t xml:space="preserve">  </w:t>
      </w:r>
      <w:r w:rsidR="00437B75" w:rsidRPr="0048528B">
        <w:rPr>
          <w:lang w:val="fr-FR"/>
        </w:rPr>
        <w:t>Il a été indiqué que la base de données</w:t>
      </w:r>
      <w:r w:rsidR="001462E7" w:rsidRPr="0048528B">
        <w:rPr>
          <w:lang w:val="fr-FR"/>
        </w:rPr>
        <w:t> </w:t>
      </w:r>
      <w:r w:rsidR="00437B75" w:rsidRPr="0048528B">
        <w:rPr>
          <w:lang w:val="fr-FR"/>
        </w:rPr>
        <w:t>PLUTO restera accessible à tous (voir le paragraphe</w:t>
      </w:r>
      <w:r w:rsidR="00E3136C" w:rsidRPr="0048528B">
        <w:rPr>
          <w:lang w:val="fr-FR"/>
        </w:rPr>
        <w:t> </w:t>
      </w:r>
      <w:r w:rsidR="00437B75" w:rsidRPr="0048528B">
        <w:rPr>
          <w:lang w:val="fr-FR"/>
        </w:rPr>
        <w:t xml:space="preserve">96 du </w:t>
      </w:r>
      <w:r w:rsidR="00F3296C" w:rsidRPr="0048528B">
        <w:rPr>
          <w:lang w:val="fr-FR"/>
        </w:rPr>
        <w:t>document TC</w:t>
      </w:r>
      <w:r w:rsidR="00437B75" w:rsidRPr="0048528B">
        <w:rPr>
          <w:lang w:val="fr-FR"/>
        </w:rPr>
        <w:t>/49/41 “Compte rendu des</w:t>
      </w:r>
      <w:r w:rsidR="00A26EF1" w:rsidRPr="0048528B">
        <w:rPr>
          <w:lang w:val="fr-FR"/>
        </w:rPr>
        <w:t xml:space="preserve"> </w:t>
      </w:r>
      <w:r w:rsidR="00437B75" w:rsidRPr="0048528B">
        <w:rPr>
          <w:lang w:val="fr-FR"/>
        </w:rPr>
        <w:t>conclusions</w:t>
      </w:r>
      <w:r w:rsidR="00E3136C" w:rsidRPr="0048528B">
        <w:rPr>
          <w:lang w:val="fr-FR"/>
        </w:rPr>
        <w:t>”</w:t>
      </w:r>
      <w:r w:rsidR="00437B75" w:rsidRPr="0048528B">
        <w:rPr>
          <w:lang w:val="fr-FR"/>
        </w:rPr>
        <w:t>).</w:t>
      </w:r>
    </w:p>
    <w:p w:rsidR="00A26EF1" w:rsidRPr="0048528B" w:rsidRDefault="00A26EF1" w:rsidP="00A26EF1">
      <w:pPr>
        <w:spacing w:line="360" w:lineRule="auto"/>
        <w:rPr>
          <w:lang w:val="fr-FR"/>
        </w:rPr>
      </w:pPr>
    </w:p>
    <w:p w:rsidR="00204800" w:rsidRPr="0048528B" w:rsidRDefault="00437B75" w:rsidP="006A03CA">
      <w:pPr>
        <w:pStyle w:val="Heading5"/>
        <w:rPr>
          <w:lang w:val="fr-FR"/>
        </w:rPr>
      </w:pPr>
      <w:r w:rsidRPr="0048528B">
        <w:rPr>
          <w:lang w:val="fr-FR"/>
        </w:rPr>
        <w:t>Alphabets</w:t>
      </w:r>
    </w:p>
    <w:p w:rsidR="00204800" w:rsidRPr="0048528B" w:rsidRDefault="00204800" w:rsidP="00196886">
      <w:pPr>
        <w:keepNext/>
        <w:rPr>
          <w:lang w:val="fr-FR"/>
        </w:rPr>
      </w:pPr>
    </w:p>
    <w:p w:rsidR="00204800" w:rsidRPr="0048528B" w:rsidRDefault="00196886" w:rsidP="00437B7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Le</w:t>
      </w:r>
      <w:r w:rsidR="00F3296C" w:rsidRPr="0048528B">
        <w:rPr>
          <w:lang w:val="fr-FR"/>
        </w:rPr>
        <w:t> TC</w:t>
      </w:r>
      <w:r w:rsidR="00437B75" w:rsidRPr="0048528B">
        <w:rPr>
          <w:lang w:val="fr-FR"/>
        </w:rPr>
        <w:t xml:space="preserve"> a noté que les dispositions nécessaires pour inclure les données dans leur alphabet d</w:t>
      </w:r>
      <w:r w:rsidR="00F3296C" w:rsidRPr="0048528B">
        <w:rPr>
          <w:lang w:val="fr-FR"/>
        </w:rPr>
        <w:t>’</w:t>
      </w:r>
      <w:r w:rsidR="00437B75" w:rsidRPr="0048528B">
        <w:rPr>
          <w:lang w:val="fr-FR"/>
        </w:rPr>
        <w:t>origine, en plus de celles communiquées en alphabet romain, ont été prises.</w:t>
      </w:r>
    </w:p>
    <w:p w:rsidR="00204800" w:rsidRPr="0048528B" w:rsidRDefault="00204800" w:rsidP="00196886">
      <w:pPr>
        <w:rPr>
          <w:rFonts w:cs="Arial"/>
          <w:lang w:val="fr-FR"/>
        </w:rPr>
      </w:pPr>
    </w:p>
    <w:p w:rsidR="00CE0C30" w:rsidRPr="0048528B" w:rsidRDefault="00196886" w:rsidP="00437B75">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rFonts w:cs="Arial"/>
          <w:lang w:val="fr-FR"/>
        </w:rPr>
        <w:t>Le</w:t>
      </w:r>
      <w:r w:rsidR="00F3296C" w:rsidRPr="0048528B">
        <w:rPr>
          <w:rFonts w:cs="Arial"/>
          <w:lang w:val="fr-FR"/>
        </w:rPr>
        <w:t> TC</w:t>
      </w:r>
      <w:r w:rsidR="00437B75" w:rsidRPr="0048528B">
        <w:rPr>
          <w:rFonts w:cs="Arial"/>
          <w:lang w:val="fr-FR"/>
        </w:rPr>
        <w:t xml:space="preserve"> a pris note des informations sur les données apportées et la prestation d</w:t>
      </w:r>
      <w:r w:rsidR="00F3296C" w:rsidRPr="0048528B">
        <w:rPr>
          <w:rFonts w:cs="Arial"/>
          <w:lang w:val="fr-FR"/>
        </w:rPr>
        <w:t>’</w:t>
      </w:r>
      <w:r w:rsidR="00437B75" w:rsidRPr="0048528B">
        <w:rPr>
          <w:rFonts w:cs="Arial"/>
          <w:lang w:val="fr-FR"/>
        </w:rPr>
        <w:t>une assistance aux contributeurs (a</w:t>
      </w:r>
      <w:r w:rsidR="007F1E4E" w:rsidRPr="0048528B">
        <w:rPr>
          <w:rFonts w:cs="Arial"/>
          <w:lang w:val="fr-FR"/>
        </w:rPr>
        <w:t xml:space="preserve">nnexe IV du </w:t>
      </w:r>
      <w:r w:rsidR="00F3296C" w:rsidRPr="0048528B">
        <w:rPr>
          <w:rFonts w:cs="Arial"/>
          <w:lang w:val="fr-FR"/>
        </w:rPr>
        <w:t>document TC</w:t>
      </w:r>
      <w:r w:rsidR="007F1E4E" w:rsidRPr="0048528B">
        <w:rPr>
          <w:rFonts w:cs="Arial"/>
          <w:lang w:val="fr-FR"/>
        </w:rPr>
        <w:t>/49/6) (</w:t>
      </w:r>
      <w:r w:rsidR="00437B75" w:rsidRPr="0048528B">
        <w:rPr>
          <w:rFonts w:cs="Arial"/>
          <w:lang w:val="fr-FR"/>
        </w:rPr>
        <w:t>voir les paragraphes</w:t>
      </w:r>
      <w:r w:rsidR="00E3136C" w:rsidRPr="0048528B">
        <w:rPr>
          <w:rFonts w:cs="Arial"/>
          <w:lang w:val="fr-FR"/>
        </w:rPr>
        <w:t> </w:t>
      </w:r>
      <w:r w:rsidR="00437B75" w:rsidRPr="0048528B">
        <w:rPr>
          <w:rFonts w:cs="Arial"/>
          <w:lang w:val="fr-FR"/>
        </w:rPr>
        <w:t xml:space="preserve">97 et 98 du </w:t>
      </w:r>
      <w:r w:rsidR="00F3296C" w:rsidRPr="0048528B">
        <w:rPr>
          <w:rFonts w:cs="Arial"/>
          <w:lang w:val="fr-FR"/>
        </w:rPr>
        <w:t>document TC</w:t>
      </w:r>
      <w:r w:rsidR="00437B75" w:rsidRPr="0048528B">
        <w:rPr>
          <w:rFonts w:cs="Arial"/>
          <w:lang w:val="fr-FR"/>
        </w:rPr>
        <w:t>/49/41 “Compte rendu des conclusions</w:t>
      </w:r>
      <w:r w:rsidR="00E3136C" w:rsidRPr="0048528B">
        <w:rPr>
          <w:rFonts w:cs="Arial"/>
          <w:lang w:val="fr-FR"/>
        </w:rPr>
        <w:t>”</w:t>
      </w:r>
      <w:r w:rsidR="00437B75" w:rsidRPr="0048528B">
        <w:rPr>
          <w:rFonts w:cs="Arial"/>
          <w:lang w:val="fr-FR"/>
        </w:rPr>
        <w:t>).</w:t>
      </w:r>
    </w:p>
    <w:p w:rsidR="00204800" w:rsidRPr="0048528B" w:rsidRDefault="00204800" w:rsidP="00196886">
      <w:pPr>
        <w:spacing w:line="360" w:lineRule="auto"/>
        <w:rPr>
          <w:lang w:val="fr-FR"/>
        </w:rPr>
      </w:pPr>
    </w:p>
    <w:p w:rsidR="00204800" w:rsidRPr="0048528B" w:rsidRDefault="00437B75" w:rsidP="00473A08">
      <w:pPr>
        <w:pStyle w:val="Heading4"/>
        <w:rPr>
          <w:lang w:val="fr-FR"/>
        </w:rPr>
      </w:pPr>
      <w:r w:rsidRPr="0048528B">
        <w:rPr>
          <w:lang w:val="fr-FR"/>
        </w:rPr>
        <w:t>enquÊte auprÈs des membres de l</w:t>
      </w:r>
      <w:r w:rsidR="00F3296C" w:rsidRPr="0048528B">
        <w:rPr>
          <w:lang w:val="fr-FR"/>
        </w:rPr>
        <w:t>’</w:t>
      </w:r>
      <w:r w:rsidRPr="0048528B">
        <w:rPr>
          <w:lang w:val="fr-FR"/>
        </w:rPr>
        <w:t>Union sur leur utilisation des bases de donnÉes et Les systÈmes de dÉpÔt Électronique des demandes</w:t>
      </w:r>
    </w:p>
    <w:p w:rsidR="00204800" w:rsidRPr="0048528B" w:rsidRDefault="00204800" w:rsidP="00196886">
      <w:pPr>
        <w:keepNext/>
        <w:rPr>
          <w:lang w:val="fr-FR"/>
        </w:rPr>
      </w:pPr>
    </w:p>
    <w:p w:rsidR="00204800" w:rsidRPr="0048528B" w:rsidRDefault="00196886" w:rsidP="00437B7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Le</w:t>
      </w:r>
      <w:r w:rsidR="00F3296C" w:rsidRPr="0048528B">
        <w:rPr>
          <w:lang w:val="fr-FR"/>
        </w:rPr>
        <w:t> TC</w:t>
      </w:r>
      <w:r w:rsidR="00437B75" w:rsidRPr="0048528B">
        <w:rPr>
          <w:lang w:val="fr-FR"/>
        </w:rPr>
        <w:t xml:space="preserve"> a pris note de l</w:t>
      </w:r>
      <w:r w:rsidR="00F3296C" w:rsidRPr="0048528B">
        <w:rPr>
          <w:lang w:val="fr-FR"/>
        </w:rPr>
        <w:t>’</w:t>
      </w:r>
      <w:r w:rsidR="00437B75" w:rsidRPr="0048528B">
        <w:rPr>
          <w:lang w:val="fr-FR"/>
        </w:rPr>
        <w:t>intention du Bureau de l</w:t>
      </w:r>
      <w:r w:rsidR="00F3296C" w:rsidRPr="0048528B">
        <w:rPr>
          <w:lang w:val="fr-FR"/>
        </w:rPr>
        <w:t>’</w:t>
      </w:r>
      <w:r w:rsidR="00437B75" w:rsidRPr="0048528B">
        <w:rPr>
          <w:lang w:val="fr-FR"/>
        </w:rPr>
        <w:t>Union de réaliser une enquête auprès des membres de l</w:t>
      </w:r>
      <w:r w:rsidR="00F3296C" w:rsidRPr="0048528B">
        <w:rPr>
          <w:lang w:val="fr-FR"/>
        </w:rPr>
        <w:t>’</w:t>
      </w:r>
      <w:r w:rsidR="00437B75" w:rsidRPr="0048528B">
        <w:rPr>
          <w:lang w:val="fr-FR"/>
        </w:rPr>
        <w:t xml:space="preserve">Union quant à leur utilisation de la base de données aux fins de la protection des obtentions végétales, ainsi que leur utilisation des systèmes de dépôt électronique des demandes (voir le paragraphe 99 du </w:t>
      </w:r>
      <w:r w:rsidR="00F3296C" w:rsidRPr="0048528B">
        <w:rPr>
          <w:lang w:val="fr-FR"/>
        </w:rPr>
        <w:t>document TC</w:t>
      </w:r>
      <w:r w:rsidR="00437B75" w:rsidRPr="0048528B">
        <w:rPr>
          <w:lang w:val="fr-FR"/>
        </w:rPr>
        <w:t>/49/41 “Compte rendu des conclusions”).</w:t>
      </w:r>
    </w:p>
    <w:p w:rsidR="00204800" w:rsidRPr="0048528B" w:rsidRDefault="00204800" w:rsidP="00A26EF1">
      <w:pPr>
        <w:spacing w:line="360" w:lineRule="auto"/>
        <w:rPr>
          <w:rFonts w:cs="Arial"/>
          <w:i/>
          <w:snapToGrid w:val="0"/>
          <w:lang w:val="fr-FR"/>
        </w:rPr>
      </w:pPr>
    </w:p>
    <w:p w:rsidR="00204800" w:rsidRPr="0048528B" w:rsidRDefault="00437B75" w:rsidP="00437B75">
      <w:pPr>
        <w:pStyle w:val="Heading3"/>
        <w:rPr>
          <w:lang w:val="fr-FR"/>
        </w:rPr>
      </w:pPr>
      <w:bookmarkStart w:id="26" w:name="_Toc367888545"/>
      <w:r w:rsidRPr="0048528B">
        <w:rPr>
          <w:lang w:val="fr-FR"/>
        </w:rPr>
        <w:t>b)</w:t>
      </w:r>
      <w:r w:rsidRPr="0048528B">
        <w:rPr>
          <w:i w:val="0"/>
          <w:lang w:val="fr-FR"/>
        </w:rPr>
        <w:t xml:space="preserve"> </w:t>
      </w:r>
      <w:r w:rsidR="001462E7" w:rsidRPr="0048528B">
        <w:rPr>
          <w:i w:val="0"/>
          <w:lang w:val="fr-FR"/>
        </w:rPr>
        <w:tab/>
      </w:r>
      <w:r w:rsidRPr="0048528B">
        <w:rPr>
          <w:lang w:val="fr-FR"/>
        </w:rPr>
        <w:t>Bases de données sur les descriptions variétales</w:t>
      </w:r>
      <w:bookmarkEnd w:id="26"/>
    </w:p>
    <w:p w:rsidR="00204800" w:rsidRPr="0048528B" w:rsidRDefault="00204800" w:rsidP="00196886">
      <w:pPr>
        <w:keepNext/>
        <w:rPr>
          <w:lang w:val="fr-FR"/>
        </w:rPr>
      </w:pPr>
    </w:p>
    <w:p w:rsidR="00204800" w:rsidRPr="0048528B" w:rsidRDefault="00196886" w:rsidP="00437B75">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Le</w:t>
      </w:r>
      <w:r w:rsidR="00F3296C" w:rsidRPr="0048528B">
        <w:rPr>
          <w:lang w:val="fr-FR"/>
        </w:rPr>
        <w:t> TC</w:t>
      </w:r>
      <w:r w:rsidR="00437B75" w:rsidRPr="0048528B">
        <w:rPr>
          <w:lang w:val="fr-FR"/>
        </w:rPr>
        <w:t xml:space="preserve"> a examiné le </w:t>
      </w:r>
      <w:r w:rsidR="00F3296C" w:rsidRPr="0048528B">
        <w:rPr>
          <w:lang w:val="fr-FR"/>
        </w:rPr>
        <w:t>document TC</w:t>
      </w:r>
      <w:r w:rsidR="00437B75" w:rsidRPr="0048528B">
        <w:rPr>
          <w:lang w:val="fr-FR"/>
        </w:rPr>
        <w:t>/49/9 et suivi un exposé de M.</w:t>
      </w:r>
      <w:r w:rsidR="00E3136C" w:rsidRPr="0048528B">
        <w:rPr>
          <w:lang w:val="fr-FR"/>
        </w:rPr>
        <w:t> </w:t>
      </w:r>
      <w:r w:rsidR="00437B75" w:rsidRPr="0048528B">
        <w:rPr>
          <w:lang w:val="fr-FR"/>
        </w:rPr>
        <w:t>François Boulineau (France).</w:t>
      </w:r>
    </w:p>
    <w:p w:rsidR="00204800" w:rsidRPr="0048528B" w:rsidRDefault="00204800" w:rsidP="00196886">
      <w:pPr>
        <w:rPr>
          <w:lang w:val="fr-FR"/>
        </w:rPr>
      </w:pPr>
    </w:p>
    <w:p w:rsidR="00204800" w:rsidRPr="0048528B" w:rsidRDefault="00196886" w:rsidP="00437B75">
      <w:pPr>
        <w:rPr>
          <w:iCs/>
          <w:snapToGrid w:val="0"/>
          <w:spacing w:val="-4"/>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Le</w:t>
      </w:r>
      <w:r w:rsidR="00F3296C" w:rsidRPr="0048528B">
        <w:rPr>
          <w:lang w:val="fr-FR"/>
        </w:rPr>
        <w:t> TC</w:t>
      </w:r>
      <w:r w:rsidR="00437B75" w:rsidRPr="0048528B">
        <w:rPr>
          <w:lang w:val="fr-FR"/>
        </w:rPr>
        <w:t xml:space="preserve"> a pris note des faits nouveaux concernant les bases de données sur les descriptions variétales, tels qu</w:t>
      </w:r>
      <w:r w:rsidR="00F3296C" w:rsidRPr="0048528B">
        <w:rPr>
          <w:lang w:val="fr-FR"/>
        </w:rPr>
        <w:t>’</w:t>
      </w:r>
      <w:r w:rsidR="00437B75" w:rsidRPr="0048528B">
        <w:rPr>
          <w:lang w:val="fr-FR"/>
        </w:rPr>
        <w:t xml:space="preserve">ils figurent dans le </w:t>
      </w:r>
      <w:r w:rsidR="00F3296C" w:rsidRPr="0048528B">
        <w:rPr>
          <w:lang w:val="fr-FR"/>
        </w:rPr>
        <w:t>document TC</w:t>
      </w:r>
      <w:r w:rsidR="00437B75" w:rsidRPr="0048528B">
        <w:rPr>
          <w:lang w:val="fr-FR"/>
        </w:rPr>
        <w:t>/49/9.</w:t>
      </w:r>
    </w:p>
    <w:p w:rsidR="00204800" w:rsidRPr="0048528B" w:rsidRDefault="00204800" w:rsidP="00196886">
      <w:pPr>
        <w:rPr>
          <w:iCs/>
          <w:snapToGrid w:val="0"/>
          <w:spacing w:val="-4"/>
          <w:lang w:val="fr-FR"/>
        </w:rPr>
      </w:pPr>
    </w:p>
    <w:p w:rsidR="00204800" w:rsidRPr="0048528B" w:rsidRDefault="00196886" w:rsidP="00437B75">
      <w:pPr>
        <w:rPr>
          <w:snapToGrid w:val="0"/>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37B75" w:rsidRPr="0048528B">
        <w:rPr>
          <w:lang w:val="fr-FR"/>
        </w:rPr>
        <w:t>Le</w:t>
      </w:r>
      <w:r w:rsidR="00F3296C" w:rsidRPr="0048528B">
        <w:rPr>
          <w:lang w:val="fr-FR"/>
        </w:rPr>
        <w:t> TC</w:t>
      </w:r>
      <w:r w:rsidR="00437B75" w:rsidRPr="0048528B">
        <w:rPr>
          <w:lang w:val="fr-FR"/>
        </w:rPr>
        <w:t xml:space="preserve"> a noté que les résultats de l</w:t>
      </w:r>
      <w:r w:rsidR="00F3296C" w:rsidRPr="0048528B">
        <w:rPr>
          <w:lang w:val="fr-FR"/>
        </w:rPr>
        <w:t>’</w:t>
      </w:r>
      <w:r w:rsidR="00437B75" w:rsidRPr="0048528B">
        <w:rPr>
          <w:lang w:val="fr-FR"/>
        </w:rPr>
        <w:t>étude sur le pois seront présentés aux TWA et TWV afin :</w:t>
      </w:r>
    </w:p>
    <w:p w:rsidR="00204800" w:rsidRPr="0048528B" w:rsidRDefault="00204800" w:rsidP="00196886">
      <w:pPr>
        <w:rPr>
          <w:snapToGrid w:val="0"/>
          <w:lang w:val="fr-FR"/>
        </w:rPr>
      </w:pPr>
    </w:p>
    <w:p w:rsidR="00204800" w:rsidRPr="0048528B" w:rsidRDefault="00437B75" w:rsidP="001462E7">
      <w:pPr>
        <w:ind w:left="1134" w:hanging="567"/>
        <w:rPr>
          <w:lang w:val="fr-FR"/>
        </w:rPr>
      </w:pPr>
      <w:r w:rsidRPr="0048528B">
        <w:rPr>
          <w:snapToGrid w:val="0"/>
          <w:lang w:val="fr-FR"/>
        </w:rPr>
        <w:t xml:space="preserve">i) </w:t>
      </w:r>
      <w:r w:rsidR="001462E7" w:rsidRPr="0048528B">
        <w:rPr>
          <w:snapToGrid w:val="0"/>
          <w:lang w:val="fr-FR"/>
        </w:rPr>
        <w:tab/>
      </w:r>
      <w:r w:rsidRPr="0048528B">
        <w:rPr>
          <w:snapToGrid w:val="0"/>
          <w:lang w:val="fr-FR"/>
        </w:rPr>
        <w:t>de sélectionner des caractères à utiliser comme caractères de groupement en fonction de leurs qualités (pouvoir discriminant, distorsion, utilisation);</w:t>
      </w:r>
    </w:p>
    <w:p w:rsidR="00204800" w:rsidRPr="0048528B" w:rsidRDefault="00204800" w:rsidP="00196886">
      <w:pPr>
        <w:rPr>
          <w:lang w:val="fr-FR"/>
        </w:rPr>
      </w:pPr>
    </w:p>
    <w:p w:rsidR="00204800" w:rsidRPr="0048528B" w:rsidRDefault="00437B75" w:rsidP="001462E7">
      <w:pPr>
        <w:ind w:left="1134" w:hanging="567"/>
        <w:rPr>
          <w:lang w:val="fr-FR"/>
        </w:rPr>
      </w:pPr>
      <w:r w:rsidRPr="0048528B">
        <w:rPr>
          <w:lang w:val="fr-FR"/>
        </w:rPr>
        <w:t xml:space="preserve">ii) </w:t>
      </w:r>
      <w:r w:rsidR="001462E7" w:rsidRPr="0048528B">
        <w:rPr>
          <w:lang w:val="fr-FR"/>
        </w:rPr>
        <w:tab/>
      </w:r>
      <w:r w:rsidRPr="0048528B">
        <w:rPr>
          <w:lang w:val="fr-FR"/>
        </w:rPr>
        <w:t>d</w:t>
      </w:r>
      <w:r w:rsidR="00F3296C" w:rsidRPr="0048528B">
        <w:rPr>
          <w:lang w:val="fr-FR"/>
        </w:rPr>
        <w:t>’</w:t>
      </w:r>
      <w:r w:rsidRPr="0048528B">
        <w:rPr>
          <w:lang w:val="fr-FR"/>
        </w:rPr>
        <w:t>élaborer une procédure pour la base de données sur le pois;  et</w:t>
      </w:r>
    </w:p>
    <w:p w:rsidR="00204800" w:rsidRPr="0048528B" w:rsidRDefault="00204800" w:rsidP="00196886">
      <w:pPr>
        <w:rPr>
          <w:lang w:val="fr-FR"/>
        </w:rPr>
      </w:pPr>
    </w:p>
    <w:p w:rsidR="00204800" w:rsidRPr="0048528B" w:rsidRDefault="00437B75" w:rsidP="001462E7">
      <w:pPr>
        <w:ind w:left="1134" w:hanging="567"/>
        <w:rPr>
          <w:lang w:val="fr-FR"/>
        </w:rPr>
      </w:pPr>
      <w:r w:rsidRPr="0048528B">
        <w:rPr>
          <w:lang w:val="fr-FR"/>
        </w:rPr>
        <w:t xml:space="preserve">iii) </w:t>
      </w:r>
      <w:r w:rsidR="001462E7" w:rsidRPr="0048528B">
        <w:rPr>
          <w:lang w:val="fr-FR"/>
        </w:rPr>
        <w:tab/>
      </w:r>
      <w:r w:rsidRPr="0048528B">
        <w:rPr>
          <w:lang w:val="fr-FR"/>
        </w:rPr>
        <w:t>d</w:t>
      </w:r>
      <w:r w:rsidR="00F3296C" w:rsidRPr="0048528B">
        <w:rPr>
          <w:lang w:val="fr-FR"/>
        </w:rPr>
        <w:t>’</w:t>
      </w:r>
      <w:r w:rsidRPr="0048528B">
        <w:rPr>
          <w:lang w:val="fr-FR"/>
        </w:rPr>
        <w:t>envisager de mettre la base de données sur le pois à la disposition de tous les offices d</w:t>
      </w:r>
      <w:r w:rsidR="00F3296C" w:rsidRPr="0048528B">
        <w:rPr>
          <w:lang w:val="fr-FR"/>
        </w:rPr>
        <w:t>’</w:t>
      </w:r>
      <w:r w:rsidRPr="0048528B">
        <w:rPr>
          <w:lang w:val="fr-FR"/>
        </w:rPr>
        <w:t>examen.</w:t>
      </w:r>
    </w:p>
    <w:p w:rsidR="00204800" w:rsidRPr="0048528B" w:rsidRDefault="00204800" w:rsidP="00196886">
      <w:pPr>
        <w:rPr>
          <w:lang w:val="fr-FR"/>
        </w:rPr>
      </w:pPr>
    </w:p>
    <w:p w:rsidR="00CE0C30" w:rsidRPr="0048528B" w:rsidRDefault="00196886" w:rsidP="007F1E4E">
      <w:pPr>
        <w:rPr>
          <w:lang w:val="fr-FR" w:eastAsia="ko-KR"/>
        </w:rPr>
      </w:pPr>
      <w:r w:rsidRPr="0048528B">
        <w:rPr>
          <w:lang w:val="fr-FR" w:eastAsia="ko-KR"/>
        </w:rPr>
        <w:fldChar w:fldCharType="begin"/>
      </w:r>
      <w:r w:rsidRPr="0048528B">
        <w:rPr>
          <w:lang w:val="fr-FR" w:eastAsia="ko-KR"/>
        </w:rPr>
        <w:instrText xml:space="preserve"> AUTONUM  </w:instrText>
      </w:r>
      <w:r w:rsidRPr="0048528B">
        <w:rPr>
          <w:lang w:val="fr-FR" w:eastAsia="ko-KR"/>
        </w:rPr>
        <w:fldChar w:fldCharType="end"/>
      </w:r>
      <w:r w:rsidRPr="0048528B">
        <w:rPr>
          <w:lang w:val="fr-FR" w:eastAsia="ko-KR"/>
        </w:rPr>
        <w:tab/>
      </w:r>
      <w:r w:rsidR="007F1E4E" w:rsidRPr="0048528B">
        <w:rPr>
          <w:lang w:val="fr-FR" w:eastAsia="ko-KR"/>
        </w:rPr>
        <w:t>Le</w:t>
      </w:r>
      <w:r w:rsidR="00F3296C" w:rsidRPr="0048528B">
        <w:rPr>
          <w:lang w:val="fr-FR" w:eastAsia="ko-KR"/>
        </w:rPr>
        <w:t> TC</w:t>
      </w:r>
      <w:r w:rsidR="007F1E4E" w:rsidRPr="0048528B">
        <w:rPr>
          <w:lang w:val="fr-FR" w:eastAsia="ko-KR"/>
        </w:rPr>
        <w:t xml:space="preserve"> est convenu que les résultats de l</w:t>
      </w:r>
      <w:r w:rsidR="00F3296C" w:rsidRPr="0048528B">
        <w:rPr>
          <w:lang w:val="fr-FR" w:eastAsia="ko-KR"/>
        </w:rPr>
        <w:t>’</w:t>
      </w:r>
      <w:r w:rsidR="007F1E4E" w:rsidRPr="0048528B">
        <w:rPr>
          <w:lang w:val="fr-FR" w:eastAsia="ko-KR"/>
        </w:rPr>
        <w:t>étude devront être présentés à d</w:t>
      </w:r>
      <w:r w:rsidR="00F3296C" w:rsidRPr="0048528B">
        <w:rPr>
          <w:lang w:val="fr-FR" w:eastAsia="ko-KR"/>
        </w:rPr>
        <w:t>’</w:t>
      </w:r>
      <w:r w:rsidR="007F1E4E" w:rsidRPr="0048528B">
        <w:rPr>
          <w:lang w:val="fr-FR" w:eastAsia="ko-KR"/>
        </w:rPr>
        <w:t>autres TWP pour qu</w:t>
      </w:r>
      <w:r w:rsidR="00F3296C" w:rsidRPr="0048528B">
        <w:rPr>
          <w:lang w:val="fr-FR" w:eastAsia="ko-KR"/>
        </w:rPr>
        <w:t>’</w:t>
      </w:r>
      <w:r w:rsidR="007F1E4E" w:rsidRPr="0048528B">
        <w:rPr>
          <w:lang w:val="fr-FR" w:eastAsia="ko-KR"/>
        </w:rPr>
        <w:t>ils fassent part de leurs observations sur la méthode de gestion des collections de variétés et a noté que le TWF examinera les résultats de l</w:t>
      </w:r>
      <w:r w:rsidR="00F3296C" w:rsidRPr="0048528B">
        <w:rPr>
          <w:lang w:val="fr-FR" w:eastAsia="ko-KR"/>
        </w:rPr>
        <w:t>’</w:t>
      </w:r>
      <w:r w:rsidR="007F1E4E" w:rsidRPr="0048528B">
        <w:rPr>
          <w:lang w:val="fr-FR" w:eastAsia="ko-KR"/>
        </w:rPr>
        <w:t xml:space="preserve">étude type sur la pomme que contient le </w:t>
      </w:r>
      <w:r w:rsidR="00F3296C" w:rsidRPr="0048528B">
        <w:rPr>
          <w:lang w:val="fr-FR" w:eastAsia="ko-KR"/>
        </w:rPr>
        <w:t>document TC</w:t>
      </w:r>
      <w:r w:rsidR="007F1E4E" w:rsidRPr="0048528B">
        <w:rPr>
          <w:lang w:val="fr-FR" w:eastAsia="ko-KR"/>
        </w:rPr>
        <w:t>/41/9 “Publication des descriptions variétales” (voir les paragraphes</w:t>
      </w:r>
      <w:r w:rsidR="00E3136C" w:rsidRPr="0048528B">
        <w:rPr>
          <w:lang w:val="fr-FR" w:eastAsia="ko-KR"/>
        </w:rPr>
        <w:t> </w:t>
      </w:r>
      <w:r w:rsidR="007F1E4E" w:rsidRPr="0048528B">
        <w:rPr>
          <w:lang w:val="fr-FR" w:eastAsia="ko-KR"/>
        </w:rPr>
        <w:t xml:space="preserve">100 à 103 du </w:t>
      </w:r>
      <w:r w:rsidR="00F3296C" w:rsidRPr="0048528B">
        <w:rPr>
          <w:lang w:val="fr-FR" w:eastAsia="ko-KR"/>
        </w:rPr>
        <w:t>document TC</w:t>
      </w:r>
      <w:r w:rsidR="007F1E4E" w:rsidRPr="0048528B">
        <w:rPr>
          <w:lang w:val="fr-FR" w:eastAsia="ko-KR"/>
        </w:rPr>
        <w:t>/49/41 “Compte rendu des</w:t>
      </w:r>
      <w:r w:rsidR="001462E7" w:rsidRPr="0048528B">
        <w:rPr>
          <w:lang w:val="fr-FR" w:eastAsia="ko-KR"/>
        </w:rPr>
        <w:t> </w:t>
      </w:r>
      <w:r w:rsidR="007F1E4E" w:rsidRPr="0048528B">
        <w:rPr>
          <w:lang w:val="fr-FR" w:eastAsia="ko-KR"/>
        </w:rPr>
        <w:t>conclusions</w:t>
      </w:r>
      <w:r w:rsidR="00E3136C" w:rsidRPr="0048528B">
        <w:rPr>
          <w:lang w:val="fr-FR" w:eastAsia="ko-KR"/>
        </w:rPr>
        <w:t>”</w:t>
      </w:r>
      <w:r w:rsidR="007F1E4E" w:rsidRPr="0048528B">
        <w:rPr>
          <w:lang w:val="fr-FR" w:eastAsia="ko-KR"/>
        </w:rPr>
        <w:t>).</w:t>
      </w:r>
    </w:p>
    <w:p w:rsidR="00204800" w:rsidRPr="0048528B" w:rsidRDefault="00204800" w:rsidP="00A26EF1">
      <w:pPr>
        <w:spacing w:line="360" w:lineRule="auto"/>
        <w:rPr>
          <w:lang w:val="fr-FR"/>
        </w:rPr>
      </w:pPr>
    </w:p>
    <w:p w:rsidR="00204800" w:rsidRPr="0048528B" w:rsidRDefault="007F1E4E" w:rsidP="007F1E4E">
      <w:pPr>
        <w:pStyle w:val="Heading3"/>
        <w:rPr>
          <w:lang w:val="fr-FR"/>
        </w:rPr>
      </w:pPr>
      <w:bookmarkStart w:id="27" w:name="_Toc367888546"/>
      <w:r w:rsidRPr="0048528B">
        <w:rPr>
          <w:lang w:val="fr-FR"/>
        </w:rPr>
        <w:lastRenderedPageBreak/>
        <w:t>c)</w:t>
      </w:r>
      <w:r w:rsidRPr="0048528B">
        <w:rPr>
          <w:i w:val="0"/>
          <w:lang w:val="fr-FR"/>
        </w:rPr>
        <w:t xml:space="preserve"> </w:t>
      </w:r>
      <w:r w:rsidR="001462E7" w:rsidRPr="0048528B">
        <w:rPr>
          <w:i w:val="0"/>
          <w:lang w:val="fr-FR"/>
        </w:rPr>
        <w:tab/>
      </w:r>
      <w:r w:rsidRPr="0048528B">
        <w:rPr>
          <w:lang w:val="fr-FR"/>
        </w:rPr>
        <w:t>Logiciels échangeables</w:t>
      </w:r>
      <w:bookmarkEnd w:id="27"/>
    </w:p>
    <w:p w:rsidR="00204800" w:rsidRPr="0048528B" w:rsidRDefault="00204800" w:rsidP="00196886">
      <w:pPr>
        <w:keepNext/>
        <w:rPr>
          <w:lang w:val="fr-FR"/>
        </w:rPr>
      </w:pPr>
    </w:p>
    <w:p w:rsidR="00204800" w:rsidRPr="0048528B" w:rsidRDefault="00196886" w:rsidP="007F1E4E">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7F1E4E" w:rsidRPr="0048528B">
        <w:rPr>
          <w:lang w:val="fr-FR"/>
        </w:rPr>
        <w:t>Le</w:t>
      </w:r>
      <w:r w:rsidR="00F3296C" w:rsidRPr="0048528B">
        <w:rPr>
          <w:lang w:val="fr-FR"/>
        </w:rPr>
        <w:t> TC</w:t>
      </w:r>
      <w:r w:rsidR="007F1E4E" w:rsidRPr="0048528B">
        <w:rPr>
          <w:lang w:val="fr-FR"/>
        </w:rPr>
        <w:t xml:space="preserve"> a examiné les </w:t>
      </w:r>
      <w:r w:rsidR="00F3296C" w:rsidRPr="0048528B">
        <w:rPr>
          <w:lang w:val="fr-FR"/>
        </w:rPr>
        <w:t>documents TC</w:t>
      </w:r>
      <w:r w:rsidR="007F1E4E" w:rsidRPr="0048528B">
        <w:rPr>
          <w:lang w:val="fr-FR"/>
        </w:rPr>
        <w:t>/49/12 et</w:t>
      </w:r>
      <w:r w:rsidR="00F3296C" w:rsidRPr="0048528B">
        <w:rPr>
          <w:lang w:val="fr-FR"/>
        </w:rPr>
        <w:t> TC</w:t>
      </w:r>
      <w:r w:rsidR="007F1E4E" w:rsidRPr="0048528B">
        <w:rPr>
          <w:lang w:val="fr-FR"/>
        </w:rPr>
        <w:t>/49/12 Add.</w:t>
      </w:r>
    </w:p>
    <w:p w:rsidR="00204800" w:rsidRPr="0048528B" w:rsidRDefault="00204800" w:rsidP="00196886">
      <w:pPr>
        <w:rPr>
          <w:lang w:val="fr-FR"/>
        </w:rPr>
      </w:pPr>
    </w:p>
    <w:p w:rsidR="00204800" w:rsidRPr="0048528B" w:rsidRDefault="007F1E4E" w:rsidP="00473A08">
      <w:pPr>
        <w:pStyle w:val="Heading4"/>
        <w:rPr>
          <w:lang w:val="fr-FR"/>
        </w:rPr>
      </w:pPr>
      <w:r w:rsidRPr="0048528B">
        <w:rPr>
          <w:lang w:val="fr-FR"/>
        </w:rPr>
        <w:t xml:space="preserve">i. </w:t>
      </w:r>
      <w:r w:rsidR="00E3136C" w:rsidRPr="0048528B">
        <w:rPr>
          <w:lang w:val="fr-FR"/>
        </w:rPr>
        <w:t xml:space="preserve"> </w:t>
      </w:r>
      <w:r w:rsidR="001462E7" w:rsidRPr="0048528B">
        <w:rPr>
          <w:lang w:val="fr-FR"/>
        </w:rPr>
        <w:tab/>
      </w:r>
      <w:r w:rsidRPr="0048528B">
        <w:rPr>
          <w:lang w:val="fr-FR"/>
        </w:rPr>
        <w:t>examen des exigences en ce qui concerne les logiciels Échangeables</w:t>
      </w:r>
    </w:p>
    <w:p w:rsidR="00204800" w:rsidRPr="0048528B" w:rsidRDefault="00204800" w:rsidP="00196886">
      <w:pPr>
        <w:keepNext/>
        <w:rPr>
          <w:lang w:val="fr-FR"/>
        </w:rPr>
      </w:pPr>
    </w:p>
    <w:p w:rsidR="00CE0C30" w:rsidRPr="0048528B" w:rsidRDefault="00196886" w:rsidP="002065E4">
      <w:pPr>
        <w:rPr>
          <w:iCs/>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7F1E4E" w:rsidRPr="0048528B">
        <w:rPr>
          <w:lang w:val="fr-FR"/>
        </w:rPr>
        <w:t>Le</w:t>
      </w:r>
      <w:r w:rsidR="00F3296C" w:rsidRPr="0048528B">
        <w:rPr>
          <w:lang w:val="fr-FR"/>
        </w:rPr>
        <w:t> TC</w:t>
      </w:r>
      <w:r w:rsidR="007F1E4E" w:rsidRPr="0048528B">
        <w:rPr>
          <w:lang w:val="fr-FR"/>
        </w:rPr>
        <w:t xml:space="preserve"> a étudié le titre du document UPOV/INF/16 “Logiciels échangeables” et sa section “1.  Examen des exigences en ce qui concerne les logiciels </w:t>
      </w:r>
      <w:r w:rsidR="00B01B5C" w:rsidRPr="0048528B">
        <w:rPr>
          <w:lang w:val="fr-FR"/>
        </w:rPr>
        <w:t>é</w:t>
      </w:r>
      <w:r w:rsidR="007F1E4E" w:rsidRPr="0048528B">
        <w:rPr>
          <w:lang w:val="fr-FR"/>
        </w:rPr>
        <w:t>changeables” et il est convenu que ces textes devront rester inchangés car le document traite de logiciels qui ont été établis ou personnalisés par un membre de l</w:t>
      </w:r>
      <w:r w:rsidR="00F3296C" w:rsidRPr="0048528B">
        <w:rPr>
          <w:lang w:val="fr-FR"/>
        </w:rPr>
        <w:t>’</w:t>
      </w:r>
      <w:r w:rsidR="007F1E4E" w:rsidRPr="0048528B">
        <w:rPr>
          <w:lang w:val="fr-FR"/>
        </w:rPr>
        <w:t>Union à des fins UPOV.</w:t>
      </w:r>
      <w:r w:rsidRPr="0048528B">
        <w:rPr>
          <w:iCs/>
          <w:lang w:val="fr-FR"/>
        </w:rPr>
        <w:t xml:space="preserve">  </w:t>
      </w:r>
      <w:r w:rsidR="002065E4" w:rsidRPr="0048528B">
        <w:rPr>
          <w:iCs/>
          <w:lang w:val="fr-FR"/>
        </w:rPr>
        <w:t>Il est toutefois convenu qu</w:t>
      </w:r>
      <w:r w:rsidR="00F3296C" w:rsidRPr="0048528B">
        <w:rPr>
          <w:iCs/>
          <w:lang w:val="fr-FR"/>
        </w:rPr>
        <w:t>’</w:t>
      </w:r>
      <w:r w:rsidR="002065E4" w:rsidRPr="0048528B">
        <w:rPr>
          <w:iCs/>
          <w:lang w:val="fr-FR"/>
        </w:rPr>
        <w:t>il serait utile d</w:t>
      </w:r>
      <w:r w:rsidR="00F3296C" w:rsidRPr="0048528B">
        <w:rPr>
          <w:iCs/>
          <w:lang w:val="fr-FR"/>
        </w:rPr>
        <w:t>’</w:t>
      </w:r>
      <w:r w:rsidR="002065E4" w:rsidRPr="0048528B">
        <w:rPr>
          <w:iCs/>
          <w:lang w:val="fr-FR"/>
        </w:rPr>
        <w:t>établir un document d</w:t>
      </w:r>
      <w:r w:rsidR="00F3296C" w:rsidRPr="0048528B">
        <w:rPr>
          <w:iCs/>
          <w:lang w:val="fr-FR"/>
        </w:rPr>
        <w:t>’</w:t>
      </w:r>
      <w:r w:rsidR="002065E4" w:rsidRPr="0048528B">
        <w:rPr>
          <w:iCs/>
          <w:lang w:val="fr-FR"/>
        </w:rPr>
        <w:t>information distinct qui permettra aux membres de l</w:t>
      </w:r>
      <w:r w:rsidR="00F3296C" w:rsidRPr="0048528B">
        <w:rPr>
          <w:iCs/>
          <w:lang w:val="fr-FR"/>
        </w:rPr>
        <w:t>’</w:t>
      </w:r>
      <w:r w:rsidR="002065E4" w:rsidRPr="0048528B">
        <w:rPr>
          <w:iCs/>
          <w:lang w:val="fr-FR"/>
        </w:rPr>
        <w:t>Union de fournir des informations sur l</w:t>
      </w:r>
      <w:r w:rsidR="00F3296C" w:rsidRPr="0048528B">
        <w:rPr>
          <w:iCs/>
          <w:lang w:val="fr-FR"/>
        </w:rPr>
        <w:t>’</w:t>
      </w:r>
      <w:r w:rsidR="002065E4" w:rsidRPr="0048528B">
        <w:rPr>
          <w:iCs/>
          <w:lang w:val="fr-FR"/>
        </w:rPr>
        <w:t>utilisation de logiciels et de matériel non personnalisés (p. ex. enregistreurs de données) qu</w:t>
      </w:r>
      <w:r w:rsidR="00F3296C" w:rsidRPr="0048528B">
        <w:rPr>
          <w:iCs/>
          <w:lang w:val="fr-FR"/>
        </w:rPr>
        <w:t>’</w:t>
      </w:r>
      <w:r w:rsidR="002065E4" w:rsidRPr="0048528B">
        <w:rPr>
          <w:iCs/>
          <w:lang w:val="fr-FR"/>
        </w:rPr>
        <w:t>utilisent des membres de l</w:t>
      </w:r>
      <w:r w:rsidR="00F3296C" w:rsidRPr="0048528B">
        <w:rPr>
          <w:iCs/>
          <w:lang w:val="fr-FR"/>
        </w:rPr>
        <w:t>’</w:t>
      </w:r>
      <w:r w:rsidR="002065E4" w:rsidRPr="0048528B">
        <w:rPr>
          <w:iCs/>
          <w:lang w:val="fr-FR"/>
        </w:rPr>
        <w:t>Union (voir le paragraphe</w:t>
      </w:r>
      <w:r w:rsidR="00E3136C" w:rsidRPr="0048528B">
        <w:rPr>
          <w:iCs/>
          <w:lang w:val="fr-FR"/>
        </w:rPr>
        <w:t> </w:t>
      </w:r>
      <w:r w:rsidR="002065E4" w:rsidRPr="0048528B">
        <w:rPr>
          <w:iCs/>
          <w:lang w:val="fr-FR"/>
        </w:rPr>
        <w:t xml:space="preserve">105 du </w:t>
      </w:r>
      <w:r w:rsidR="00F3296C" w:rsidRPr="0048528B">
        <w:rPr>
          <w:iCs/>
          <w:lang w:val="fr-FR"/>
        </w:rPr>
        <w:t>document TC</w:t>
      </w:r>
      <w:r w:rsidR="002065E4" w:rsidRPr="0048528B">
        <w:rPr>
          <w:iCs/>
          <w:lang w:val="fr-FR"/>
        </w:rPr>
        <w:t>/49/41 “Compte rendu des conclusions</w:t>
      </w:r>
      <w:r w:rsidR="00E3136C" w:rsidRPr="0048528B">
        <w:rPr>
          <w:iCs/>
          <w:lang w:val="fr-FR"/>
        </w:rPr>
        <w:t>”</w:t>
      </w:r>
      <w:r w:rsidR="002065E4" w:rsidRPr="0048528B">
        <w:rPr>
          <w:iCs/>
          <w:lang w:val="fr-FR"/>
        </w:rPr>
        <w:t>).</w:t>
      </w:r>
    </w:p>
    <w:p w:rsidR="00204800" w:rsidRPr="0048528B" w:rsidRDefault="00204800" w:rsidP="00196886">
      <w:pPr>
        <w:rPr>
          <w:lang w:val="fr-FR"/>
        </w:rPr>
      </w:pPr>
    </w:p>
    <w:p w:rsidR="00204800" w:rsidRPr="0048528B" w:rsidRDefault="001462E7" w:rsidP="00473A08">
      <w:pPr>
        <w:pStyle w:val="Heading4"/>
        <w:rPr>
          <w:lang w:val="fr-FR"/>
        </w:rPr>
      </w:pPr>
      <w:r w:rsidRPr="0048528B">
        <w:rPr>
          <w:lang w:val="fr-FR"/>
        </w:rPr>
        <w:t>II.</w:t>
      </w:r>
      <w:r w:rsidRPr="0048528B">
        <w:rPr>
          <w:lang w:val="fr-FR"/>
        </w:rPr>
        <w:tab/>
      </w:r>
      <w:r w:rsidR="002065E4" w:rsidRPr="0048528B">
        <w:rPr>
          <w:lang w:val="fr-FR"/>
        </w:rPr>
        <w:t>logiciels proposÉs pour inclusion dans le document upov/inf/16</w:t>
      </w:r>
    </w:p>
    <w:p w:rsidR="00204800" w:rsidRPr="0048528B" w:rsidRDefault="00204800" w:rsidP="00196886">
      <w:pPr>
        <w:keepNext/>
        <w:ind w:firstLine="567"/>
        <w:rPr>
          <w:lang w:val="fr-FR"/>
        </w:rPr>
      </w:pPr>
    </w:p>
    <w:p w:rsidR="00204800" w:rsidRPr="0048528B" w:rsidRDefault="00196886" w:rsidP="002065E4">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a fait sienne la recommandation du TWC concernant l</w:t>
      </w:r>
      <w:r w:rsidR="00F3296C" w:rsidRPr="0048528B">
        <w:rPr>
          <w:lang w:val="fr-FR"/>
        </w:rPr>
        <w:t>’</w:t>
      </w:r>
      <w:r w:rsidR="002065E4" w:rsidRPr="0048528B">
        <w:rPr>
          <w:lang w:val="fr-FR"/>
        </w:rPr>
        <w:t xml:space="preserve">inclusion du document “Information System (IS) used for Test and Protection of Plant Varieties in the Russian Federation” dans le document UPOV/INF/16, comme indiqué dans le paragraphe 18 du </w:t>
      </w:r>
      <w:r w:rsidR="00F3296C" w:rsidRPr="0048528B">
        <w:rPr>
          <w:lang w:val="fr-FR"/>
        </w:rPr>
        <w:t>document TC</w:t>
      </w:r>
      <w:r w:rsidR="002065E4" w:rsidRPr="0048528B">
        <w:rPr>
          <w:lang w:val="fr-FR"/>
        </w:rPr>
        <w:t>/49/12.  Le</w:t>
      </w:r>
      <w:r w:rsidR="00F3296C" w:rsidRPr="0048528B">
        <w:rPr>
          <w:lang w:val="fr-FR"/>
        </w:rPr>
        <w:t> TC</w:t>
      </w:r>
      <w:r w:rsidR="002065E4" w:rsidRPr="0048528B">
        <w:rPr>
          <w:lang w:val="fr-FR"/>
        </w:rPr>
        <w:t xml:space="preserve"> a demandé par ailleurs au Bureau de l</w:t>
      </w:r>
      <w:r w:rsidR="00F3296C" w:rsidRPr="0048528B">
        <w:rPr>
          <w:lang w:val="fr-FR"/>
        </w:rPr>
        <w:t>’</w:t>
      </w:r>
      <w:r w:rsidR="002065E4" w:rsidRPr="0048528B">
        <w:rPr>
          <w:lang w:val="fr-FR"/>
        </w:rPr>
        <w:t>Union d</w:t>
      </w:r>
      <w:r w:rsidR="00F3296C" w:rsidRPr="0048528B">
        <w:rPr>
          <w:lang w:val="fr-FR"/>
        </w:rPr>
        <w:t>’</w:t>
      </w:r>
      <w:r w:rsidR="002065E4" w:rsidRPr="0048528B">
        <w:rPr>
          <w:lang w:val="fr-FR"/>
        </w:rPr>
        <w:t>étudier la possibilité de traduire en anglais les interfaces d</w:t>
      </w:r>
      <w:r w:rsidR="00F3296C" w:rsidRPr="0048528B">
        <w:rPr>
          <w:lang w:val="fr-FR"/>
        </w:rPr>
        <w:t>’</w:t>
      </w:r>
      <w:r w:rsidR="002065E4" w:rsidRPr="0048528B">
        <w:rPr>
          <w:lang w:val="fr-FR"/>
        </w:rPr>
        <w:t>utilisateur et le manuel d</w:t>
      </w:r>
      <w:r w:rsidR="00F3296C" w:rsidRPr="0048528B">
        <w:rPr>
          <w:lang w:val="fr-FR"/>
        </w:rPr>
        <w:t>’</w:t>
      </w:r>
      <w:r w:rsidR="002065E4" w:rsidRPr="0048528B">
        <w:rPr>
          <w:lang w:val="fr-FR"/>
        </w:rPr>
        <w:t>utilisation, entendu que la Fédération de Russie accepterait de vérifier la traduction fournie par le Bureau de l</w:t>
      </w:r>
      <w:r w:rsidR="00F3296C" w:rsidRPr="0048528B">
        <w:rPr>
          <w:lang w:val="fr-FR"/>
        </w:rPr>
        <w:t>’</w:t>
      </w:r>
      <w:r w:rsidR="002065E4" w:rsidRPr="0048528B">
        <w:rPr>
          <w:lang w:val="fr-FR"/>
        </w:rPr>
        <w:t>Union.</w:t>
      </w:r>
    </w:p>
    <w:p w:rsidR="00204800" w:rsidRPr="0048528B" w:rsidRDefault="00204800" w:rsidP="00196886">
      <w:pPr>
        <w:rPr>
          <w:lang w:val="fr-FR"/>
        </w:rPr>
      </w:pPr>
    </w:p>
    <w:p w:rsidR="00CE0C30" w:rsidRPr="0048528B" w:rsidRDefault="00196886" w:rsidP="002065E4">
      <w:pPr>
        <w:spacing w:after="240"/>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a fait sienne la recommandation du TWC concernant l</w:t>
      </w:r>
      <w:r w:rsidR="00F3296C" w:rsidRPr="0048528B">
        <w:rPr>
          <w:lang w:val="fr-FR"/>
        </w:rPr>
        <w:t>’</w:t>
      </w:r>
      <w:r w:rsidR="002065E4" w:rsidRPr="0048528B">
        <w:rPr>
          <w:lang w:val="fr-FR"/>
        </w:rPr>
        <w:t xml:space="preserve">inclusion du logiciel AIM de la France dans le document UPOV/INF/16, comme indiqué dans le paragraphe 19 du </w:t>
      </w:r>
      <w:r w:rsidR="00F3296C" w:rsidRPr="0048528B">
        <w:rPr>
          <w:lang w:val="fr-FR"/>
        </w:rPr>
        <w:t>document TC</w:t>
      </w:r>
      <w:r w:rsidR="002065E4" w:rsidRPr="0048528B">
        <w:rPr>
          <w:lang w:val="fr-FR"/>
        </w:rPr>
        <w:t>/49/12.  Le</w:t>
      </w:r>
      <w:r w:rsidR="00F3296C" w:rsidRPr="0048528B">
        <w:rPr>
          <w:lang w:val="fr-FR"/>
        </w:rPr>
        <w:t> TC</w:t>
      </w:r>
      <w:r w:rsidR="002065E4" w:rsidRPr="0048528B">
        <w:rPr>
          <w:lang w:val="fr-FR"/>
        </w:rPr>
        <w:t xml:space="preserve"> a demandé au Bureau de l</w:t>
      </w:r>
      <w:r w:rsidR="00F3296C" w:rsidRPr="0048528B">
        <w:rPr>
          <w:lang w:val="fr-FR"/>
        </w:rPr>
        <w:t>’</w:t>
      </w:r>
      <w:r w:rsidR="002065E4" w:rsidRPr="0048528B">
        <w:rPr>
          <w:lang w:val="fr-FR"/>
        </w:rPr>
        <w:t>Union de traduire le logiciel en anglais des interfaces d</w:t>
      </w:r>
      <w:r w:rsidR="00F3296C" w:rsidRPr="0048528B">
        <w:rPr>
          <w:lang w:val="fr-FR"/>
        </w:rPr>
        <w:t>’</w:t>
      </w:r>
      <w:r w:rsidR="002065E4" w:rsidRPr="0048528B">
        <w:rPr>
          <w:lang w:val="fr-FR"/>
        </w:rPr>
        <w:t>utilisateur et du manuel d</w:t>
      </w:r>
      <w:r w:rsidR="00F3296C" w:rsidRPr="0048528B">
        <w:rPr>
          <w:lang w:val="fr-FR"/>
        </w:rPr>
        <w:t>’</w:t>
      </w:r>
      <w:r w:rsidR="002065E4" w:rsidRPr="0048528B">
        <w:rPr>
          <w:lang w:val="fr-FR"/>
        </w:rPr>
        <w:t>utilisation, étant entendu que la France accepterait de vérifier la traduction fournie par le Bureau de l</w:t>
      </w:r>
      <w:r w:rsidR="00F3296C" w:rsidRPr="0048528B">
        <w:rPr>
          <w:lang w:val="fr-FR"/>
        </w:rPr>
        <w:t>’</w:t>
      </w:r>
      <w:r w:rsidR="002065E4" w:rsidRPr="0048528B">
        <w:rPr>
          <w:lang w:val="fr-FR"/>
        </w:rPr>
        <w:t>Union (voir les paragraphes</w:t>
      </w:r>
      <w:r w:rsidR="00E3136C" w:rsidRPr="0048528B">
        <w:rPr>
          <w:lang w:val="fr-FR"/>
        </w:rPr>
        <w:t> </w:t>
      </w:r>
      <w:r w:rsidR="002065E4" w:rsidRPr="0048528B">
        <w:rPr>
          <w:lang w:val="fr-FR"/>
        </w:rPr>
        <w:t xml:space="preserve">106 et 107 du </w:t>
      </w:r>
      <w:r w:rsidR="00F3296C" w:rsidRPr="0048528B">
        <w:rPr>
          <w:lang w:val="fr-FR"/>
        </w:rPr>
        <w:t>document TC</w:t>
      </w:r>
      <w:r w:rsidR="002065E4" w:rsidRPr="0048528B">
        <w:rPr>
          <w:lang w:val="fr-FR"/>
        </w:rPr>
        <w:t>/49/41 “Compte rendu des conclusions</w:t>
      </w:r>
      <w:r w:rsidR="00E3136C" w:rsidRPr="0048528B">
        <w:rPr>
          <w:lang w:val="fr-FR"/>
        </w:rPr>
        <w:t>”</w:t>
      </w:r>
      <w:r w:rsidR="002065E4" w:rsidRPr="0048528B">
        <w:rPr>
          <w:lang w:val="fr-FR"/>
        </w:rPr>
        <w:t>).</w:t>
      </w:r>
    </w:p>
    <w:p w:rsidR="00204800" w:rsidRPr="0048528B" w:rsidRDefault="00196886" w:rsidP="00473A08">
      <w:pPr>
        <w:pStyle w:val="Heading4"/>
        <w:rPr>
          <w:lang w:val="fr-FR"/>
        </w:rPr>
      </w:pPr>
      <w:r w:rsidRPr="0048528B">
        <w:rPr>
          <w:lang w:val="fr-FR"/>
        </w:rPr>
        <w:t>III.</w:t>
      </w:r>
      <w:r w:rsidR="00E3136C" w:rsidRPr="0048528B">
        <w:rPr>
          <w:lang w:val="fr-FR"/>
        </w:rPr>
        <w:t xml:space="preserve"> </w:t>
      </w:r>
      <w:r w:rsidRPr="0048528B">
        <w:rPr>
          <w:lang w:val="fr-FR"/>
        </w:rPr>
        <w:t xml:space="preserve"> </w:t>
      </w:r>
      <w:r w:rsidRPr="0048528B">
        <w:rPr>
          <w:lang w:val="fr-FR"/>
        </w:rPr>
        <w:tab/>
      </w:r>
      <w:r w:rsidR="002065E4" w:rsidRPr="0048528B">
        <w:rPr>
          <w:lang w:val="fr-FR"/>
        </w:rPr>
        <w:t>informations sur l</w:t>
      </w:r>
      <w:r w:rsidR="00F3296C" w:rsidRPr="0048528B">
        <w:rPr>
          <w:lang w:val="fr-FR"/>
        </w:rPr>
        <w:t>’</w:t>
      </w:r>
      <w:r w:rsidR="002065E4" w:rsidRPr="0048528B">
        <w:rPr>
          <w:lang w:val="fr-FR"/>
        </w:rPr>
        <w:t>utilisation par les membres</w:t>
      </w:r>
    </w:p>
    <w:p w:rsidR="00204800" w:rsidRPr="0048528B" w:rsidRDefault="00204800" w:rsidP="00196886">
      <w:pPr>
        <w:rPr>
          <w:lang w:val="fr-FR"/>
        </w:rPr>
      </w:pPr>
    </w:p>
    <w:p w:rsidR="00204800" w:rsidRPr="0048528B" w:rsidRDefault="00196886" w:rsidP="002065E4">
      <w:pPr>
        <w:rPr>
          <w:snapToGrid w:val="0"/>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est convenu de l</w:t>
      </w:r>
      <w:r w:rsidR="00F3296C" w:rsidRPr="0048528B">
        <w:rPr>
          <w:lang w:val="fr-FR"/>
        </w:rPr>
        <w:t>’</w:t>
      </w:r>
      <w:r w:rsidR="002065E4" w:rsidRPr="0048528B">
        <w:rPr>
          <w:lang w:val="fr-FR"/>
        </w:rPr>
        <w:t>inclusion des informations figurant dans l</w:t>
      </w:r>
      <w:r w:rsidR="00F3296C" w:rsidRPr="0048528B">
        <w:rPr>
          <w:lang w:val="fr-FR"/>
        </w:rPr>
        <w:t>’</w:t>
      </w:r>
      <w:r w:rsidR="002065E4" w:rsidRPr="0048528B">
        <w:rPr>
          <w:lang w:val="fr-FR"/>
        </w:rPr>
        <w:t xml:space="preserve">annexe I du </w:t>
      </w:r>
      <w:r w:rsidR="00F3296C" w:rsidRPr="0048528B">
        <w:rPr>
          <w:lang w:val="fr-FR"/>
        </w:rPr>
        <w:t>document TC</w:t>
      </w:r>
      <w:r w:rsidR="002065E4" w:rsidRPr="0048528B">
        <w:rPr>
          <w:lang w:val="fr-FR"/>
        </w:rPr>
        <w:t>/49/12 Add. en vue d</w:t>
      </w:r>
      <w:r w:rsidR="00F3296C" w:rsidRPr="0048528B">
        <w:rPr>
          <w:lang w:val="fr-FR"/>
        </w:rPr>
        <w:t>’</w:t>
      </w:r>
      <w:r w:rsidR="002065E4" w:rsidRPr="0048528B">
        <w:rPr>
          <w:lang w:val="fr-FR"/>
        </w:rPr>
        <w:t>une révision du document UPOV/INF/16 par le Conseil à sa quarante</w:t>
      </w:r>
      <w:r w:rsidR="003F00B6" w:rsidRPr="0048528B">
        <w:rPr>
          <w:lang w:val="fr-FR"/>
        </w:rPr>
        <w:noBreakHyphen/>
      </w:r>
      <w:r w:rsidR="002065E4" w:rsidRPr="0048528B">
        <w:rPr>
          <w:lang w:val="fr-FR"/>
        </w:rPr>
        <w:t>septième session, qui se tiendra à Genève le 24 octobre 2013.  Le</w:t>
      </w:r>
      <w:r w:rsidR="00F3296C" w:rsidRPr="0048528B">
        <w:rPr>
          <w:lang w:val="fr-FR"/>
        </w:rPr>
        <w:t> TC</w:t>
      </w:r>
      <w:r w:rsidR="002065E4" w:rsidRPr="0048528B">
        <w:rPr>
          <w:lang w:val="fr-FR"/>
        </w:rPr>
        <w:t xml:space="preserve"> a noté que ses observations seront communiquées au CAJ à sa soixante</w:t>
      </w:r>
      <w:r w:rsidR="003F00B6" w:rsidRPr="0048528B">
        <w:rPr>
          <w:lang w:val="fr-FR"/>
        </w:rPr>
        <w:noBreakHyphen/>
      </w:r>
      <w:r w:rsidR="002065E4" w:rsidRPr="0048528B">
        <w:rPr>
          <w:lang w:val="fr-FR"/>
        </w:rPr>
        <w:t>septième session, qui se tiendra à Genève le 21 mars 2013.</w:t>
      </w:r>
    </w:p>
    <w:p w:rsidR="00204800" w:rsidRPr="0048528B" w:rsidRDefault="00204800" w:rsidP="00196886">
      <w:pPr>
        <w:rPr>
          <w:snapToGrid w:val="0"/>
          <w:lang w:val="fr-FR"/>
        </w:rPr>
      </w:pPr>
    </w:p>
    <w:p w:rsidR="00CE0C30" w:rsidRPr="0048528B" w:rsidRDefault="00196886" w:rsidP="002065E4">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a noté que le Mexique sera invité à présenter son logiciel échangeable proposé tel qu</w:t>
      </w:r>
      <w:r w:rsidR="00F3296C" w:rsidRPr="0048528B">
        <w:rPr>
          <w:lang w:val="fr-FR"/>
        </w:rPr>
        <w:t>’</w:t>
      </w:r>
      <w:r w:rsidR="002065E4" w:rsidRPr="0048528B">
        <w:rPr>
          <w:lang w:val="fr-FR"/>
        </w:rPr>
        <w:t>il figure dans l</w:t>
      </w:r>
      <w:r w:rsidR="00F3296C" w:rsidRPr="0048528B">
        <w:rPr>
          <w:lang w:val="fr-FR"/>
        </w:rPr>
        <w:t>’</w:t>
      </w:r>
      <w:r w:rsidR="002065E4" w:rsidRPr="0048528B">
        <w:rPr>
          <w:lang w:val="fr-FR"/>
        </w:rPr>
        <w:t xml:space="preserve">annexe II du </w:t>
      </w:r>
      <w:r w:rsidR="00F3296C" w:rsidRPr="0048528B">
        <w:rPr>
          <w:lang w:val="fr-FR"/>
        </w:rPr>
        <w:t>document TC</w:t>
      </w:r>
      <w:r w:rsidR="002065E4" w:rsidRPr="0048528B">
        <w:rPr>
          <w:lang w:val="fr-FR"/>
        </w:rPr>
        <w:t>/49/12 Add., à la trente et unième session du TWC en vue de son</w:t>
      </w:r>
      <w:r w:rsidR="001462E7" w:rsidRPr="0048528B">
        <w:rPr>
          <w:lang w:val="fr-FR"/>
        </w:rPr>
        <w:t> </w:t>
      </w:r>
      <w:r w:rsidR="002065E4" w:rsidRPr="0048528B">
        <w:rPr>
          <w:lang w:val="fr-FR"/>
        </w:rPr>
        <w:t>incorporation éventuelle dans une future version révisée du document UPOV/INF/16 (voir les paragraphes</w:t>
      </w:r>
      <w:r w:rsidR="00E3136C" w:rsidRPr="0048528B">
        <w:rPr>
          <w:lang w:val="fr-FR"/>
        </w:rPr>
        <w:t> </w:t>
      </w:r>
      <w:r w:rsidR="002065E4" w:rsidRPr="0048528B">
        <w:rPr>
          <w:lang w:val="fr-FR"/>
        </w:rPr>
        <w:t xml:space="preserve">108 et 109 du </w:t>
      </w:r>
      <w:r w:rsidR="00F3296C" w:rsidRPr="0048528B">
        <w:rPr>
          <w:lang w:val="fr-FR"/>
        </w:rPr>
        <w:t>document TC</w:t>
      </w:r>
      <w:r w:rsidR="002065E4" w:rsidRPr="0048528B">
        <w:rPr>
          <w:lang w:val="fr-FR"/>
        </w:rPr>
        <w:t>/49/41 “Compte rendu des conclusions</w:t>
      </w:r>
      <w:r w:rsidR="00E3136C" w:rsidRPr="0048528B">
        <w:rPr>
          <w:lang w:val="fr-FR"/>
        </w:rPr>
        <w:t>”</w:t>
      </w:r>
      <w:r w:rsidR="002065E4" w:rsidRPr="0048528B">
        <w:rPr>
          <w:lang w:val="fr-FR"/>
        </w:rPr>
        <w:t>).</w:t>
      </w:r>
    </w:p>
    <w:p w:rsidR="001462E7" w:rsidRPr="0048528B" w:rsidRDefault="001462E7" w:rsidP="00A26EF1">
      <w:pPr>
        <w:spacing w:line="360" w:lineRule="auto"/>
        <w:rPr>
          <w:lang w:val="fr-FR"/>
        </w:rPr>
      </w:pPr>
    </w:p>
    <w:p w:rsidR="00204800" w:rsidRPr="0048528B" w:rsidRDefault="002065E4" w:rsidP="002065E4">
      <w:pPr>
        <w:pStyle w:val="Heading3"/>
        <w:rPr>
          <w:lang w:val="fr-FR"/>
        </w:rPr>
      </w:pPr>
      <w:bookmarkStart w:id="28" w:name="_Toc367888547"/>
      <w:r w:rsidRPr="0048528B">
        <w:rPr>
          <w:lang w:val="fr-FR"/>
        </w:rPr>
        <w:t>d)</w:t>
      </w:r>
      <w:r w:rsidRPr="0048528B">
        <w:rPr>
          <w:i w:val="0"/>
          <w:lang w:val="fr-FR"/>
        </w:rPr>
        <w:t xml:space="preserve"> </w:t>
      </w:r>
      <w:r w:rsidR="001462E7" w:rsidRPr="0048528B">
        <w:rPr>
          <w:i w:val="0"/>
          <w:lang w:val="fr-FR"/>
        </w:rPr>
        <w:tab/>
      </w:r>
      <w:r w:rsidRPr="0048528B">
        <w:rPr>
          <w:lang w:val="fr-FR"/>
        </w:rPr>
        <w:t>Systèmes de dépôt électronique des demandes</w:t>
      </w:r>
      <w:bookmarkEnd w:id="28"/>
    </w:p>
    <w:p w:rsidR="00204800" w:rsidRPr="0048528B" w:rsidRDefault="00204800" w:rsidP="00196886">
      <w:pPr>
        <w:keepNext/>
        <w:ind w:firstLine="567"/>
        <w:rPr>
          <w:rFonts w:cs="Arial"/>
          <w:i/>
          <w:snapToGrid w:val="0"/>
          <w:lang w:val="fr-FR"/>
        </w:rPr>
      </w:pPr>
    </w:p>
    <w:p w:rsidR="00204800" w:rsidRPr="0048528B" w:rsidRDefault="00196886" w:rsidP="002065E4">
      <w:pPr>
        <w:ind w:left="567" w:hanging="567"/>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a examiné le </w:t>
      </w:r>
      <w:r w:rsidR="00F3296C" w:rsidRPr="0048528B">
        <w:rPr>
          <w:lang w:val="fr-FR"/>
        </w:rPr>
        <w:t>document TC</w:t>
      </w:r>
      <w:r w:rsidR="002065E4" w:rsidRPr="0048528B">
        <w:rPr>
          <w:lang w:val="fr-FR"/>
        </w:rPr>
        <w:t>/49/13.</w:t>
      </w:r>
    </w:p>
    <w:p w:rsidR="00204800" w:rsidRPr="0048528B" w:rsidRDefault="00204800" w:rsidP="00196886">
      <w:pPr>
        <w:ind w:left="567" w:hanging="567"/>
        <w:rPr>
          <w:lang w:val="fr-FR"/>
        </w:rPr>
      </w:pPr>
    </w:p>
    <w:p w:rsidR="00CE0C30" w:rsidRPr="0048528B" w:rsidRDefault="00196886" w:rsidP="002065E4">
      <w:pPr>
        <w:rPr>
          <w:snapToGrid w:val="0"/>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snapToGrid w:val="0"/>
          <w:lang w:val="fr-FR"/>
        </w:rPr>
        <w:t>Le</w:t>
      </w:r>
      <w:r w:rsidR="00F3296C" w:rsidRPr="0048528B">
        <w:rPr>
          <w:snapToGrid w:val="0"/>
          <w:lang w:val="fr-FR"/>
        </w:rPr>
        <w:t> TC</w:t>
      </w:r>
      <w:r w:rsidR="002065E4" w:rsidRPr="0048528B">
        <w:rPr>
          <w:snapToGrid w:val="0"/>
          <w:lang w:val="fr-FR"/>
        </w:rPr>
        <w:t xml:space="preserve"> a pris note des faits nouveaux concernant l</w:t>
      </w:r>
      <w:r w:rsidR="00F3296C" w:rsidRPr="0048528B">
        <w:rPr>
          <w:snapToGrid w:val="0"/>
          <w:lang w:val="fr-FR"/>
        </w:rPr>
        <w:t>’</w:t>
      </w:r>
      <w:r w:rsidR="002065E4" w:rsidRPr="0048528B">
        <w:rPr>
          <w:snapToGrid w:val="0"/>
          <w:lang w:val="fr-FR"/>
        </w:rPr>
        <w:t>utilisation de renvois normalisés au formulaire de demande type de l</w:t>
      </w:r>
      <w:r w:rsidR="00F3296C" w:rsidRPr="0048528B">
        <w:rPr>
          <w:snapToGrid w:val="0"/>
          <w:lang w:val="fr-FR"/>
        </w:rPr>
        <w:t>’</w:t>
      </w:r>
      <w:r w:rsidR="002065E4" w:rsidRPr="0048528B">
        <w:rPr>
          <w:snapToGrid w:val="0"/>
          <w:lang w:val="fr-FR"/>
        </w:rPr>
        <w:t>UPOV dans les formulaires des membres de l</w:t>
      </w:r>
      <w:r w:rsidR="00F3296C" w:rsidRPr="0048528B">
        <w:rPr>
          <w:snapToGrid w:val="0"/>
          <w:lang w:val="fr-FR"/>
        </w:rPr>
        <w:t>’</w:t>
      </w:r>
      <w:r w:rsidR="002065E4" w:rsidRPr="0048528B">
        <w:rPr>
          <w:snapToGrid w:val="0"/>
          <w:lang w:val="fr-FR"/>
        </w:rPr>
        <w:t>Union ainsi que de l</w:t>
      </w:r>
      <w:r w:rsidR="00F3296C" w:rsidRPr="0048528B">
        <w:rPr>
          <w:snapToGrid w:val="0"/>
          <w:lang w:val="fr-FR"/>
        </w:rPr>
        <w:t>’</w:t>
      </w:r>
      <w:r w:rsidR="002065E4" w:rsidRPr="0048528B">
        <w:rPr>
          <w:snapToGrid w:val="0"/>
          <w:lang w:val="fr-FR"/>
        </w:rPr>
        <w:t>approbation par le CAJ de l</w:t>
      </w:r>
      <w:r w:rsidR="00F3296C" w:rsidRPr="0048528B">
        <w:rPr>
          <w:snapToGrid w:val="0"/>
          <w:lang w:val="fr-FR"/>
        </w:rPr>
        <w:t>’</w:t>
      </w:r>
      <w:r w:rsidR="002065E4" w:rsidRPr="0048528B">
        <w:rPr>
          <w:snapToGrid w:val="0"/>
          <w:lang w:val="fr-FR"/>
        </w:rPr>
        <w:t>élaboration d</w:t>
      </w:r>
      <w:r w:rsidR="00F3296C" w:rsidRPr="0048528B">
        <w:rPr>
          <w:snapToGrid w:val="0"/>
          <w:lang w:val="fr-FR"/>
        </w:rPr>
        <w:t>’</w:t>
      </w:r>
      <w:r w:rsidR="002065E4" w:rsidRPr="0048528B">
        <w:rPr>
          <w:snapToGrid w:val="0"/>
          <w:lang w:val="fr-FR"/>
        </w:rPr>
        <w:t xml:space="preserve">un formulaire électronique prototype, comme indiqué dans le </w:t>
      </w:r>
      <w:r w:rsidR="00F3296C" w:rsidRPr="0048528B">
        <w:rPr>
          <w:snapToGrid w:val="0"/>
          <w:lang w:val="fr-FR"/>
        </w:rPr>
        <w:t>document TC</w:t>
      </w:r>
      <w:r w:rsidR="002065E4" w:rsidRPr="0048528B">
        <w:rPr>
          <w:snapToGrid w:val="0"/>
          <w:lang w:val="fr-FR"/>
        </w:rPr>
        <w:t>/49/13 (voir le paragraphe</w:t>
      </w:r>
      <w:r w:rsidR="00E3136C" w:rsidRPr="0048528B">
        <w:rPr>
          <w:snapToGrid w:val="0"/>
          <w:lang w:val="fr-FR"/>
        </w:rPr>
        <w:t> </w:t>
      </w:r>
      <w:r w:rsidR="002065E4" w:rsidRPr="0048528B">
        <w:rPr>
          <w:snapToGrid w:val="0"/>
          <w:lang w:val="fr-FR"/>
        </w:rPr>
        <w:t xml:space="preserve">111 du </w:t>
      </w:r>
      <w:r w:rsidR="00F3296C" w:rsidRPr="0048528B">
        <w:rPr>
          <w:snapToGrid w:val="0"/>
          <w:lang w:val="fr-FR"/>
        </w:rPr>
        <w:t>document TC</w:t>
      </w:r>
      <w:r w:rsidR="002065E4" w:rsidRPr="0048528B">
        <w:rPr>
          <w:snapToGrid w:val="0"/>
          <w:lang w:val="fr-FR"/>
        </w:rPr>
        <w:t>/49/41 “Compte rendu des conclusions</w:t>
      </w:r>
      <w:r w:rsidR="00E3136C" w:rsidRPr="0048528B">
        <w:rPr>
          <w:snapToGrid w:val="0"/>
          <w:lang w:val="fr-FR"/>
        </w:rPr>
        <w:t>”</w:t>
      </w:r>
      <w:r w:rsidR="002065E4" w:rsidRPr="0048528B">
        <w:rPr>
          <w:snapToGrid w:val="0"/>
          <w:lang w:val="fr-FR"/>
        </w:rPr>
        <w:t>).</w:t>
      </w:r>
    </w:p>
    <w:p w:rsidR="00204800" w:rsidRPr="0048528B" w:rsidRDefault="00204800" w:rsidP="00196886">
      <w:pPr>
        <w:ind w:left="567" w:hanging="567"/>
        <w:rPr>
          <w:snapToGrid w:val="0"/>
          <w:lang w:val="fr-FR"/>
        </w:rPr>
      </w:pPr>
    </w:p>
    <w:p w:rsidR="00204800" w:rsidRPr="0048528B" w:rsidRDefault="00204800" w:rsidP="00196886">
      <w:pPr>
        <w:ind w:left="567" w:hanging="567"/>
        <w:rPr>
          <w:snapToGrid w:val="0"/>
          <w:lang w:val="fr-FR"/>
        </w:rPr>
      </w:pPr>
    </w:p>
    <w:p w:rsidR="00204800" w:rsidRPr="0048528B" w:rsidRDefault="002065E4" w:rsidP="002065E4">
      <w:pPr>
        <w:pStyle w:val="Heading2"/>
        <w:rPr>
          <w:lang w:val="fr-FR"/>
        </w:rPr>
      </w:pPr>
      <w:bookmarkStart w:id="29" w:name="_Toc367888548"/>
      <w:r w:rsidRPr="0048528B">
        <w:rPr>
          <w:lang w:val="fr-FR"/>
        </w:rPr>
        <w:t>Méthode de calcul de la COYU</w:t>
      </w:r>
      <w:bookmarkEnd w:id="29"/>
    </w:p>
    <w:p w:rsidR="00204800" w:rsidRPr="0048528B" w:rsidRDefault="00204800" w:rsidP="00196886">
      <w:pPr>
        <w:keepNext/>
        <w:ind w:left="567" w:hanging="567"/>
        <w:rPr>
          <w:snapToGrid w:val="0"/>
          <w:lang w:val="fr-FR"/>
        </w:rPr>
      </w:pPr>
    </w:p>
    <w:p w:rsidR="00204800" w:rsidRPr="0048528B" w:rsidRDefault="00196886" w:rsidP="002065E4">
      <w:pPr>
        <w:ind w:left="567" w:hanging="567"/>
        <w:rPr>
          <w:snapToGrid w:val="0"/>
          <w:lang w:val="fr-FR"/>
        </w:rPr>
      </w:pPr>
      <w:r w:rsidRPr="0048528B">
        <w:rPr>
          <w:snapToGrid w:val="0"/>
          <w:lang w:val="fr-FR"/>
        </w:rPr>
        <w:fldChar w:fldCharType="begin"/>
      </w:r>
      <w:r w:rsidRPr="0048528B">
        <w:rPr>
          <w:snapToGrid w:val="0"/>
          <w:lang w:val="fr-FR"/>
        </w:rPr>
        <w:instrText xml:space="preserve"> AUTONUM  </w:instrText>
      </w:r>
      <w:r w:rsidRPr="0048528B">
        <w:rPr>
          <w:snapToGrid w:val="0"/>
          <w:lang w:val="fr-FR"/>
        </w:rPr>
        <w:fldChar w:fldCharType="end"/>
      </w:r>
      <w:r w:rsidRPr="0048528B">
        <w:rPr>
          <w:snapToGrid w:val="0"/>
          <w:lang w:val="fr-FR"/>
        </w:rPr>
        <w:tab/>
      </w:r>
      <w:r w:rsidR="002065E4" w:rsidRPr="0048528B">
        <w:rPr>
          <w:lang w:val="fr-FR"/>
        </w:rPr>
        <w:t>Le</w:t>
      </w:r>
      <w:r w:rsidR="00F3296C" w:rsidRPr="0048528B">
        <w:rPr>
          <w:lang w:val="fr-FR"/>
        </w:rPr>
        <w:t> TC</w:t>
      </w:r>
      <w:r w:rsidR="002065E4" w:rsidRPr="0048528B">
        <w:rPr>
          <w:lang w:val="fr-FR"/>
        </w:rPr>
        <w:t xml:space="preserve"> a examiné le </w:t>
      </w:r>
      <w:r w:rsidR="00F3296C" w:rsidRPr="0048528B">
        <w:rPr>
          <w:lang w:val="fr-FR"/>
        </w:rPr>
        <w:t>document TC</w:t>
      </w:r>
      <w:r w:rsidR="002065E4" w:rsidRPr="0048528B">
        <w:rPr>
          <w:lang w:val="fr-FR"/>
        </w:rPr>
        <w:t>/49/11.</w:t>
      </w:r>
    </w:p>
    <w:p w:rsidR="00204800" w:rsidRPr="0048528B" w:rsidRDefault="00204800" w:rsidP="00196886">
      <w:pPr>
        <w:ind w:left="567" w:hanging="567"/>
        <w:rPr>
          <w:snapToGrid w:val="0"/>
          <w:lang w:val="fr-FR"/>
        </w:rPr>
      </w:pPr>
    </w:p>
    <w:p w:rsidR="00CE0C30" w:rsidRPr="0048528B" w:rsidRDefault="00196886" w:rsidP="002065E4">
      <w:pPr>
        <w:rPr>
          <w:iCs/>
          <w:spacing w:val="-4"/>
          <w:lang w:val="fr-FR"/>
        </w:rPr>
      </w:pPr>
      <w:r w:rsidRPr="0048528B">
        <w:rPr>
          <w:snapToGrid w:val="0"/>
          <w:lang w:val="fr-FR"/>
        </w:rPr>
        <w:fldChar w:fldCharType="begin"/>
      </w:r>
      <w:r w:rsidRPr="0048528B">
        <w:rPr>
          <w:snapToGrid w:val="0"/>
          <w:lang w:val="fr-FR"/>
        </w:rPr>
        <w:instrText xml:space="preserve"> AUTONUM  </w:instrText>
      </w:r>
      <w:r w:rsidRPr="0048528B">
        <w:rPr>
          <w:snapToGrid w:val="0"/>
          <w:lang w:val="fr-FR"/>
        </w:rPr>
        <w:fldChar w:fldCharType="end"/>
      </w:r>
      <w:r w:rsidRPr="0048528B">
        <w:rPr>
          <w:snapToGrid w:val="0"/>
          <w:lang w:val="fr-FR"/>
        </w:rPr>
        <w:tab/>
      </w:r>
      <w:r w:rsidR="002065E4" w:rsidRPr="0048528B">
        <w:rPr>
          <w:iCs/>
          <w:spacing w:val="-4"/>
          <w:lang w:val="fr-FR"/>
        </w:rPr>
        <w:t>Le</w:t>
      </w:r>
      <w:r w:rsidR="00F3296C" w:rsidRPr="0048528B">
        <w:rPr>
          <w:iCs/>
          <w:spacing w:val="-4"/>
          <w:lang w:val="fr-FR"/>
        </w:rPr>
        <w:t> TC</w:t>
      </w:r>
      <w:r w:rsidR="002065E4" w:rsidRPr="0048528B">
        <w:rPr>
          <w:iCs/>
          <w:spacing w:val="-4"/>
          <w:lang w:val="fr-FR"/>
        </w:rPr>
        <w:t xml:space="preserve"> est convenu de demander au TWC qu</w:t>
      </w:r>
      <w:r w:rsidR="00F3296C" w:rsidRPr="0048528B">
        <w:rPr>
          <w:iCs/>
          <w:spacing w:val="-4"/>
          <w:lang w:val="fr-FR"/>
        </w:rPr>
        <w:t>’</w:t>
      </w:r>
      <w:r w:rsidR="002065E4" w:rsidRPr="0048528B">
        <w:rPr>
          <w:iCs/>
          <w:spacing w:val="-4"/>
          <w:lang w:val="fr-FR"/>
        </w:rPr>
        <w:t>il poursuive ses travaux en vue d</w:t>
      </w:r>
      <w:r w:rsidR="00F3296C" w:rsidRPr="0048528B">
        <w:rPr>
          <w:iCs/>
          <w:spacing w:val="-4"/>
          <w:lang w:val="fr-FR"/>
        </w:rPr>
        <w:t>’</w:t>
      </w:r>
      <w:r w:rsidR="002065E4" w:rsidRPr="0048528B">
        <w:rPr>
          <w:iCs/>
          <w:spacing w:val="-4"/>
          <w:lang w:val="fr-FR"/>
        </w:rPr>
        <w:t>élaborer des recommandations à son intention concernant les propositions destinées à répondre à l</w:t>
      </w:r>
      <w:r w:rsidR="00F3296C" w:rsidRPr="0048528B">
        <w:rPr>
          <w:iCs/>
          <w:spacing w:val="-4"/>
          <w:lang w:val="fr-FR"/>
        </w:rPr>
        <w:t>’</w:t>
      </w:r>
      <w:r w:rsidR="002065E4" w:rsidRPr="0048528B">
        <w:rPr>
          <w:iCs/>
          <w:spacing w:val="-4"/>
          <w:lang w:val="fr-FR"/>
        </w:rPr>
        <w:t>erreur systématique de l</w:t>
      </w:r>
      <w:r w:rsidR="00F3296C" w:rsidRPr="0048528B">
        <w:rPr>
          <w:iCs/>
          <w:spacing w:val="-4"/>
          <w:lang w:val="fr-FR"/>
        </w:rPr>
        <w:t>’</w:t>
      </w:r>
      <w:r w:rsidR="002065E4" w:rsidRPr="0048528B">
        <w:rPr>
          <w:iCs/>
          <w:spacing w:val="-4"/>
          <w:lang w:val="fr-FR"/>
        </w:rPr>
        <w:t>actuelle méthode de calcul de la COYU et a noté qu</w:t>
      </w:r>
      <w:r w:rsidR="00F3296C" w:rsidRPr="0048528B">
        <w:rPr>
          <w:iCs/>
          <w:spacing w:val="-4"/>
          <w:lang w:val="fr-FR"/>
        </w:rPr>
        <w:t>’</w:t>
      </w:r>
      <w:r w:rsidR="002065E4" w:rsidRPr="0048528B">
        <w:rPr>
          <w:iCs/>
          <w:spacing w:val="-4"/>
          <w:lang w:val="fr-FR"/>
        </w:rPr>
        <w:t>un document sur des propositions éventuelles d</w:t>
      </w:r>
      <w:r w:rsidR="00F3296C" w:rsidRPr="0048528B">
        <w:rPr>
          <w:iCs/>
          <w:spacing w:val="-4"/>
          <w:lang w:val="fr-FR"/>
        </w:rPr>
        <w:t>’</w:t>
      </w:r>
      <w:r w:rsidR="002065E4" w:rsidRPr="0048528B">
        <w:rPr>
          <w:iCs/>
          <w:spacing w:val="-4"/>
          <w:lang w:val="fr-FR"/>
        </w:rPr>
        <w:t>amélioration de la COYU serait établi pour la session du TWC en 2013 (voir le paragraphe</w:t>
      </w:r>
      <w:r w:rsidR="00E3136C" w:rsidRPr="0048528B">
        <w:rPr>
          <w:iCs/>
          <w:spacing w:val="-4"/>
          <w:lang w:val="fr-FR"/>
        </w:rPr>
        <w:t> </w:t>
      </w:r>
      <w:r w:rsidR="002065E4" w:rsidRPr="0048528B">
        <w:rPr>
          <w:iCs/>
          <w:spacing w:val="-4"/>
          <w:lang w:val="fr-FR"/>
        </w:rPr>
        <w:t xml:space="preserve">113 du </w:t>
      </w:r>
      <w:r w:rsidR="00F3296C" w:rsidRPr="0048528B">
        <w:rPr>
          <w:iCs/>
          <w:spacing w:val="-4"/>
          <w:lang w:val="fr-FR"/>
        </w:rPr>
        <w:t>document TC</w:t>
      </w:r>
      <w:r w:rsidR="002065E4" w:rsidRPr="0048528B">
        <w:rPr>
          <w:iCs/>
          <w:spacing w:val="-4"/>
          <w:lang w:val="fr-FR"/>
        </w:rPr>
        <w:t>/49/41 “Compte rendu des conclusions</w:t>
      </w:r>
      <w:r w:rsidR="00E3136C" w:rsidRPr="0048528B">
        <w:rPr>
          <w:iCs/>
          <w:spacing w:val="-4"/>
          <w:lang w:val="fr-FR"/>
        </w:rPr>
        <w:t>”</w:t>
      </w:r>
      <w:r w:rsidR="002065E4" w:rsidRPr="0048528B">
        <w:rPr>
          <w:iCs/>
          <w:spacing w:val="-4"/>
          <w:lang w:val="fr-FR"/>
        </w:rPr>
        <w:t>).</w:t>
      </w:r>
    </w:p>
    <w:p w:rsidR="00204800" w:rsidRPr="0048528B" w:rsidRDefault="00204800" w:rsidP="00196886">
      <w:pPr>
        <w:ind w:left="567" w:hanging="567"/>
        <w:rPr>
          <w:snapToGrid w:val="0"/>
          <w:lang w:val="fr-FR"/>
        </w:rPr>
      </w:pPr>
    </w:p>
    <w:p w:rsidR="00204800" w:rsidRPr="0048528B" w:rsidRDefault="00204800" w:rsidP="00196886">
      <w:pPr>
        <w:ind w:left="567" w:hanging="567"/>
        <w:rPr>
          <w:snapToGrid w:val="0"/>
          <w:lang w:val="fr-FR"/>
        </w:rPr>
      </w:pPr>
    </w:p>
    <w:p w:rsidR="00CE0C30" w:rsidRPr="0048528B" w:rsidRDefault="002065E4" w:rsidP="002065E4">
      <w:pPr>
        <w:pStyle w:val="Heading2"/>
        <w:rPr>
          <w:lang w:val="fr-FR"/>
        </w:rPr>
      </w:pPr>
      <w:bookmarkStart w:id="30" w:name="_Toc367888549"/>
      <w:r w:rsidRPr="0048528B">
        <w:rPr>
          <w:lang w:val="fr-FR"/>
        </w:rPr>
        <w:lastRenderedPageBreak/>
        <w:t>Évaluation de l</w:t>
      </w:r>
      <w:r w:rsidR="00F3296C" w:rsidRPr="0048528B">
        <w:rPr>
          <w:lang w:val="fr-FR"/>
        </w:rPr>
        <w:t>’</w:t>
      </w:r>
      <w:r w:rsidRPr="0048528B">
        <w:rPr>
          <w:lang w:val="fr-FR"/>
        </w:rPr>
        <w:t>homogénéité au moyen des plantes hors</w:t>
      </w:r>
      <w:r w:rsidR="003F00B6" w:rsidRPr="0048528B">
        <w:rPr>
          <w:lang w:val="fr-FR"/>
        </w:rPr>
        <w:noBreakHyphen/>
      </w:r>
      <w:r w:rsidRPr="0048528B">
        <w:rPr>
          <w:lang w:val="fr-FR"/>
        </w:rPr>
        <w:t>type sur la base de plusieurs échantillons ou sous</w:t>
      </w:r>
      <w:r w:rsidR="003F00B6" w:rsidRPr="0048528B">
        <w:rPr>
          <w:lang w:val="fr-FR"/>
        </w:rPr>
        <w:noBreakHyphen/>
      </w:r>
      <w:r w:rsidRPr="0048528B">
        <w:rPr>
          <w:lang w:val="fr-FR"/>
        </w:rPr>
        <w:t>échantillons</w:t>
      </w:r>
      <w:bookmarkEnd w:id="30"/>
    </w:p>
    <w:p w:rsidR="00204800" w:rsidRPr="0048528B" w:rsidRDefault="00204800" w:rsidP="00196886">
      <w:pPr>
        <w:keepNext/>
        <w:ind w:left="567" w:hanging="567"/>
        <w:rPr>
          <w:snapToGrid w:val="0"/>
          <w:lang w:val="fr-FR"/>
        </w:rPr>
      </w:pPr>
    </w:p>
    <w:p w:rsidR="00204800" w:rsidRPr="0048528B" w:rsidRDefault="00196886" w:rsidP="002065E4">
      <w:pPr>
        <w:ind w:left="567" w:hanging="567"/>
        <w:rPr>
          <w:snapToGrid w:val="0"/>
          <w:lang w:val="fr-FR"/>
        </w:rPr>
      </w:pPr>
      <w:r w:rsidRPr="0048528B">
        <w:rPr>
          <w:snapToGrid w:val="0"/>
          <w:lang w:val="fr-FR"/>
        </w:rPr>
        <w:fldChar w:fldCharType="begin"/>
      </w:r>
      <w:r w:rsidRPr="0048528B">
        <w:rPr>
          <w:snapToGrid w:val="0"/>
          <w:lang w:val="fr-FR"/>
        </w:rPr>
        <w:instrText xml:space="preserve"> AUTONUM  </w:instrText>
      </w:r>
      <w:r w:rsidRPr="0048528B">
        <w:rPr>
          <w:snapToGrid w:val="0"/>
          <w:lang w:val="fr-FR"/>
        </w:rPr>
        <w:fldChar w:fldCharType="end"/>
      </w:r>
      <w:r w:rsidRPr="0048528B">
        <w:rPr>
          <w:snapToGrid w:val="0"/>
          <w:lang w:val="fr-FR"/>
        </w:rPr>
        <w:tab/>
      </w:r>
      <w:r w:rsidR="002065E4" w:rsidRPr="0048528B">
        <w:rPr>
          <w:lang w:val="fr-FR"/>
        </w:rPr>
        <w:t>Le</w:t>
      </w:r>
      <w:r w:rsidR="00F3296C" w:rsidRPr="0048528B">
        <w:rPr>
          <w:lang w:val="fr-FR"/>
        </w:rPr>
        <w:t> TC</w:t>
      </w:r>
      <w:r w:rsidR="002065E4" w:rsidRPr="0048528B">
        <w:rPr>
          <w:lang w:val="fr-FR"/>
        </w:rPr>
        <w:t xml:space="preserve"> a examiné le </w:t>
      </w:r>
      <w:r w:rsidR="00F3296C" w:rsidRPr="0048528B">
        <w:rPr>
          <w:lang w:val="fr-FR"/>
        </w:rPr>
        <w:t>document TC</w:t>
      </w:r>
      <w:r w:rsidR="002065E4" w:rsidRPr="0048528B">
        <w:rPr>
          <w:lang w:val="fr-FR"/>
        </w:rPr>
        <w:t>/49/14.</w:t>
      </w:r>
    </w:p>
    <w:p w:rsidR="00204800" w:rsidRPr="0048528B" w:rsidRDefault="00204800" w:rsidP="00196886">
      <w:pPr>
        <w:ind w:left="567" w:hanging="567"/>
        <w:rPr>
          <w:snapToGrid w:val="0"/>
          <w:lang w:val="fr-FR"/>
        </w:rPr>
      </w:pPr>
    </w:p>
    <w:p w:rsidR="00204800" w:rsidRPr="0048528B" w:rsidRDefault="00196886" w:rsidP="002065E4">
      <w:pPr>
        <w:rPr>
          <w:snapToGrid w:val="0"/>
          <w:lang w:val="fr-FR"/>
        </w:rPr>
      </w:pPr>
      <w:r w:rsidRPr="0048528B">
        <w:rPr>
          <w:snapToGrid w:val="0"/>
          <w:lang w:val="fr-FR"/>
        </w:rPr>
        <w:fldChar w:fldCharType="begin"/>
      </w:r>
      <w:r w:rsidRPr="0048528B">
        <w:rPr>
          <w:snapToGrid w:val="0"/>
          <w:lang w:val="fr-FR"/>
        </w:rPr>
        <w:instrText xml:space="preserve"> AUTONUM  </w:instrText>
      </w:r>
      <w:r w:rsidRPr="0048528B">
        <w:rPr>
          <w:snapToGrid w:val="0"/>
          <w:lang w:val="fr-FR"/>
        </w:rPr>
        <w:fldChar w:fldCharType="end"/>
      </w:r>
      <w:r w:rsidRPr="0048528B">
        <w:rPr>
          <w:snapToGrid w:val="0"/>
          <w:lang w:val="fr-FR"/>
        </w:rPr>
        <w:tab/>
      </w:r>
      <w:r w:rsidR="002065E4" w:rsidRPr="0048528B">
        <w:rPr>
          <w:snapToGrid w:val="0"/>
          <w:lang w:val="fr-FR"/>
        </w:rPr>
        <w:t>Le</w:t>
      </w:r>
      <w:r w:rsidR="00F3296C" w:rsidRPr="0048528B">
        <w:rPr>
          <w:snapToGrid w:val="0"/>
          <w:lang w:val="fr-FR"/>
        </w:rPr>
        <w:t> TC</w:t>
      </w:r>
      <w:r w:rsidR="002065E4" w:rsidRPr="0048528B">
        <w:rPr>
          <w:snapToGrid w:val="0"/>
          <w:lang w:val="fr-FR"/>
        </w:rPr>
        <w:t xml:space="preserve"> a noté que le TWC examinerait de plus amples informations sur les situations décrites dans les annexes I à IV du </w:t>
      </w:r>
      <w:r w:rsidR="00F3296C" w:rsidRPr="0048528B">
        <w:rPr>
          <w:snapToGrid w:val="0"/>
          <w:lang w:val="fr-FR"/>
        </w:rPr>
        <w:t>document TC</w:t>
      </w:r>
      <w:r w:rsidR="002065E4" w:rsidRPr="0048528B">
        <w:rPr>
          <w:snapToGrid w:val="0"/>
          <w:lang w:val="fr-FR"/>
        </w:rPr>
        <w:t>/49/14 afin de préciser par exemple si deux cycles de végétation étaient liés à l</w:t>
      </w:r>
      <w:r w:rsidR="00F3296C" w:rsidRPr="0048528B">
        <w:rPr>
          <w:snapToGrid w:val="0"/>
          <w:lang w:val="fr-FR"/>
        </w:rPr>
        <w:t>’</w:t>
      </w:r>
      <w:r w:rsidR="002065E4" w:rsidRPr="0048528B">
        <w:rPr>
          <w:snapToGrid w:val="0"/>
          <w:lang w:val="fr-FR"/>
        </w:rPr>
        <w:t>utilisation du même échantillon et effectués la même année.  Le</w:t>
      </w:r>
      <w:r w:rsidR="00F3296C" w:rsidRPr="0048528B">
        <w:rPr>
          <w:snapToGrid w:val="0"/>
          <w:lang w:val="fr-FR"/>
        </w:rPr>
        <w:t> TC</w:t>
      </w:r>
      <w:r w:rsidR="002065E4" w:rsidRPr="0048528B">
        <w:rPr>
          <w:snapToGrid w:val="0"/>
          <w:lang w:val="fr-FR"/>
        </w:rPr>
        <w:t xml:space="preserve"> a noté que le TWC était convenu que des informations plus détaillées et une analyse plus approfondie étaient nécessaires pour donner des orientations sur les conséquences qu</w:t>
      </w:r>
      <w:r w:rsidR="00F3296C" w:rsidRPr="0048528B">
        <w:rPr>
          <w:snapToGrid w:val="0"/>
          <w:lang w:val="fr-FR"/>
        </w:rPr>
        <w:t>’</w:t>
      </w:r>
      <w:r w:rsidR="002065E4" w:rsidRPr="0048528B">
        <w:rPr>
          <w:snapToGrid w:val="0"/>
          <w:lang w:val="fr-FR"/>
        </w:rPr>
        <w:t>aurait l</w:t>
      </w:r>
      <w:r w:rsidR="00F3296C" w:rsidRPr="0048528B">
        <w:rPr>
          <w:snapToGrid w:val="0"/>
          <w:lang w:val="fr-FR"/>
        </w:rPr>
        <w:t>’</w:t>
      </w:r>
      <w:r w:rsidR="002065E4" w:rsidRPr="0048528B">
        <w:rPr>
          <w:snapToGrid w:val="0"/>
          <w:lang w:val="fr-FR"/>
        </w:rPr>
        <w:t>application des différentes méthodes.  Le TWC était par ailleurs convenu que l</w:t>
      </w:r>
      <w:r w:rsidR="00F3296C" w:rsidRPr="0048528B">
        <w:rPr>
          <w:snapToGrid w:val="0"/>
          <w:lang w:val="fr-FR"/>
        </w:rPr>
        <w:t>’</w:t>
      </w:r>
      <w:r w:rsidR="002065E4" w:rsidRPr="0048528B">
        <w:rPr>
          <w:snapToGrid w:val="0"/>
          <w:lang w:val="fr-FR"/>
        </w:rPr>
        <w:t>Allemagne, la France et les Pays</w:t>
      </w:r>
      <w:r w:rsidR="003F00B6" w:rsidRPr="0048528B">
        <w:rPr>
          <w:snapToGrid w:val="0"/>
          <w:lang w:val="fr-FR"/>
        </w:rPr>
        <w:noBreakHyphen/>
      </w:r>
      <w:r w:rsidR="002065E4" w:rsidRPr="0048528B">
        <w:rPr>
          <w:snapToGrid w:val="0"/>
          <w:lang w:val="fr-FR"/>
        </w:rPr>
        <w:t>Bas présenteraient à sa prochaine session une ou plusieurs situations concrètes dans leurs pays ainsi que la base statistique de leur analyse et que la base statistique du nombre acceptable de plantes hors</w:t>
      </w:r>
      <w:r w:rsidR="003F00B6" w:rsidRPr="0048528B">
        <w:rPr>
          <w:snapToGrid w:val="0"/>
          <w:lang w:val="fr-FR"/>
        </w:rPr>
        <w:noBreakHyphen/>
      </w:r>
      <w:r w:rsidR="002065E4" w:rsidRPr="0048528B">
        <w:rPr>
          <w:snapToGrid w:val="0"/>
          <w:lang w:val="fr-FR"/>
        </w:rPr>
        <w:t>type dans le sous</w:t>
      </w:r>
      <w:r w:rsidR="003F00B6" w:rsidRPr="0048528B">
        <w:rPr>
          <w:snapToGrid w:val="0"/>
          <w:lang w:val="fr-FR"/>
        </w:rPr>
        <w:noBreakHyphen/>
      </w:r>
      <w:r w:rsidR="002065E4" w:rsidRPr="0048528B">
        <w:rPr>
          <w:snapToGrid w:val="0"/>
          <w:lang w:val="fr-FR"/>
        </w:rPr>
        <w:t>échantillon de 20 plantes utilisé dans le contexte d</w:t>
      </w:r>
      <w:r w:rsidR="00F3296C" w:rsidRPr="0048528B">
        <w:rPr>
          <w:snapToGrid w:val="0"/>
          <w:lang w:val="fr-FR"/>
        </w:rPr>
        <w:t>’</w:t>
      </w:r>
      <w:r w:rsidR="002065E4" w:rsidRPr="0048528B">
        <w:rPr>
          <w:snapToGrid w:val="0"/>
          <w:lang w:val="fr-FR"/>
        </w:rPr>
        <w:t>un échantillon de 100 plantes (situation D) serait évaluée par des experts de l</w:t>
      </w:r>
      <w:r w:rsidR="00F3296C" w:rsidRPr="0048528B">
        <w:rPr>
          <w:snapToGrid w:val="0"/>
          <w:lang w:val="fr-FR"/>
        </w:rPr>
        <w:t>’</w:t>
      </w:r>
      <w:r w:rsidR="002065E4" w:rsidRPr="0048528B">
        <w:rPr>
          <w:snapToGrid w:val="0"/>
          <w:lang w:val="fr-FR"/>
        </w:rPr>
        <w:t>Allemagne et de la France.</w:t>
      </w:r>
    </w:p>
    <w:p w:rsidR="00204800" w:rsidRPr="0048528B" w:rsidRDefault="00204800" w:rsidP="00196886">
      <w:pPr>
        <w:ind w:left="567" w:hanging="567"/>
        <w:rPr>
          <w:lang w:val="fr-FR"/>
        </w:rPr>
      </w:pPr>
    </w:p>
    <w:p w:rsidR="00204800" w:rsidRPr="0048528B" w:rsidRDefault="00196886" w:rsidP="002065E4">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est convenu que la méthode combinant les résultats de deux cycles de végétation, comme indiqué dans les annexes I et II, situations A et B, n</w:t>
      </w:r>
      <w:r w:rsidR="00F3296C" w:rsidRPr="0048528B">
        <w:rPr>
          <w:lang w:val="fr-FR"/>
        </w:rPr>
        <w:t>’</w:t>
      </w:r>
      <w:r w:rsidR="002065E4" w:rsidRPr="0048528B">
        <w:rPr>
          <w:lang w:val="fr-FR"/>
        </w:rPr>
        <w:t>est pas incompatible avec le critère des cycles de végétation “indépendants”.  Il est cependant convenu qu</w:t>
      </w:r>
      <w:r w:rsidR="00F3296C" w:rsidRPr="0048528B">
        <w:rPr>
          <w:lang w:val="fr-FR"/>
        </w:rPr>
        <w:t>’</w:t>
      </w:r>
      <w:r w:rsidR="002065E4" w:rsidRPr="0048528B">
        <w:rPr>
          <w:lang w:val="fr-FR"/>
        </w:rPr>
        <w:t>il faut faire preuve de prudence lorsque, par exemple, on examine des résultats très différents dans chacun des cycles de végétation, notamment lorsqu</w:t>
      </w:r>
      <w:r w:rsidR="00F3296C" w:rsidRPr="0048528B">
        <w:rPr>
          <w:lang w:val="fr-FR"/>
        </w:rPr>
        <w:t>’</w:t>
      </w:r>
      <w:r w:rsidR="002065E4" w:rsidRPr="0048528B">
        <w:rPr>
          <w:lang w:val="fr-FR"/>
        </w:rPr>
        <w:t>un type de hors</w:t>
      </w:r>
      <w:r w:rsidR="003F00B6" w:rsidRPr="0048528B">
        <w:rPr>
          <w:lang w:val="fr-FR"/>
        </w:rPr>
        <w:noBreakHyphen/>
      </w:r>
      <w:r w:rsidR="002065E4" w:rsidRPr="0048528B">
        <w:rPr>
          <w:lang w:val="fr-FR"/>
        </w:rPr>
        <w:t>type est observé à un niveau élevé dans un cycle de végétation tout en étant absent dans un autre.</w:t>
      </w:r>
    </w:p>
    <w:p w:rsidR="00204800" w:rsidRPr="0048528B" w:rsidRDefault="00204800" w:rsidP="00196886">
      <w:pPr>
        <w:ind w:left="567" w:hanging="567"/>
        <w:rPr>
          <w:lang w:val="fr-FR"/>
        </w:rPr>
      </w:pPr>
    </w:p>
    <w:p w:rsidR="00CE0C30" w:rsidRPr="0048528B" w:rsidRDefault="00196886" w:rsidP="002065E4">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a noté qu</w:t>
      </w:r>
      <w:r w:rsidR="00F3296C" w:rsidRPr="0048528B">
        <w:rPr>
          <w:lang w:val="fr-FR"/>
        </w:rPr>
        <w:t>’</w:t>
      </w:r>
      <w:r w:rsidR="002065E4" w:rsidRPr="0048528B">
        <w:rPr>
          <w:lang w:val="fr-FR"/>
        </w:rPr>
        <w:t>un expert de la Nouvelle</w:t>
      </w:r>
      <w:r w:rsidR="003F00B6" w:rsidRPr="0048528B">
        <w:rPr>
          <w:lang w:val="fr-FR"/>
        </w:rPr>
        <w:noBreakHyphen/>
      </w:r>
      <w:r w:rsidR="002065E4" w:rsidRPr="0048528B">
        <w:rPr>
          <w:lang w:val="fr-FR"/>
        </w:rPr>
        <w:t>Zélande ferait, à la session du TWF en 2013, un exposé sur l</w:t>
      </w:r>
      <w:r w:rsidR="00F3296C" w:rsidRPr="0048528B">
        <w:rPr>
          <w:lang w:val="fr-FR"/>
        </w:rPr>
        <w:t>’</w:t>
      </w:r>
      <w:r w:rsidR="002065E4" w:rsidRPr="0048528B">
        <w:rPr>
          <w:lang w:val="fr-FR"/>
        </w:rPr>
        <w:t>examen de l</w:t>
      </w:r>
      <w:r w:rsidR="00F3296C" w:rsidRPr="0048528B">
        <w:rPr>
          <w:lang w:val="fr-FR"/>
        </w:rPr>
        <w:t>’</w:t>
      </w:r>
      <w:r w:rsidR="002065E4" w:rsidRPr="0048528B">
        <w:rPr>
          <w:lang w:val="fr-FR"/>
        </w:rPr>
        <w:t>homogénéité de variétés de pomme issues de mutations (voir les paragraphes</w:t>
      </w:r>
      <w:r w:rsidR="00E3136C" w:rsidRPr="0048528B">
        <w:rPr>
          <w:lang w:val="fr-FR"/>
        </w:rPr>
        <w:t> </w:t>
      </w:r>
      <w:r w:rsidR="002065E4" w:rsidRPr="0048528B">
        <w:rPr>
          <w:lang w:val="fr-FR"/>
        </w:rPr>
        <w:t xml:space="preserve">115 à 117 du </w:t>
      </w:r>
      <w:r w:rsidR="00F3296C" w:rsidRPr="0048528B">
        <w:rPr>
          <w:lang w:val="fr-FR"/>
        </w:rPr>
        <w:t>document TC</w:t>
      </w:r>
      <w:r w:rsidR="002065E4" w:rsidRPr="0048528B">
        <w:rPr>
          <w:lang w:val="fr-FR"/>
        </w:rPr>
        <w:t>/49/41 “Compte rendu des conclusions</w:t>
      </w:r>
      <w:r w:rsidR="00E3136C" w:rsidRPr="0048528B">
        <w:rPr>
          <w:lang w:val="fr-FR"/>
        </w:rPr>
        <w:t>”</w:t>
      </w:r>
      <w:r w:rsidR="002065E4" w:rsidRPr="0048528B">
        <w:rPr>
          <w:lang w:val="fr-FR"/>
        </w:rPr>
        <w:t>).</w:t>
      </w:r>
    </w:p>
    <w:p w:rsidR="00204800" w:rsidRPr="0048528B" w:rsidRDefault="00204800" w:rsidP="00196886">
      <w:pPr>
        <w:ind w:left="567" w:hanging="567"/>
        <w:rPr>
          <w:lang w:val="fr-FR"/>
        </w:rPr>
      </w:pPr>
    </w:p>
    <w:p w:rsidR="00204800" w:rsidRPr="0048528B" w:rsidRDefault="00204800" w:rsidP="00196886">
      <w:pPr>
        <w:ind w:left="567" w:hanging="567"/>
        <w:rPr>
          <w:lang w:val="fr-FR"/>
        </w:rPr>
      </w:pPr>
    </w:p>
    <w:p w:rsidR="00204800" w:rsidRPr="0048528B" w:rsidRDefault="002065E4" w:rsidP="002065E4">
      <w:pPr>
        <w:pStyle w:val="Heading2"/>
        <w:rPr>
          <w:lang w:val="fr-FR"/>
        </w:rPr>
      </w:pPr>
      <w:bookmarkStart w:id="31" w:name="_Toc367888550"/>
      <w:r w:rsidRPr="0048528B">
        <w:rPr>
          <w:lang w:val="fr-FR"/>
        </w:rPr>
        <w:t>Utilisation de moyens de communication électroniques pour les réunions</w:t>
      </w:r>
      <w:bookmarkEnd w:id="31"/>
    </w:p>
    <w:p w:rsidR="00204800" w:rsidRPr="0048528B" w:rsidRDefault="00204800" w:rsidP="00196886">
      <w:pPr>
        <w:keepNext/>
        <w:ind w:left="567" w:hanging="567"/>
        <w:rPr>
          <w:lang w:val="fr-FR"/>
        </w:rPr>
      </w:pPr>
    </w:p>
    <w:p w:rsidR="00204800" w:rsidRPr="0048528B" w:rsidRDefault="00196886" w:rsidP="002065E4">
      <w:pPr>
        <w:ind w:left="567" w:hanging="567"/>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a examiné le </w:t>
      </w:r>
      <w:r w:rsidR="00F3296C" w:rsidRPr="0048528B">
        <w:rPr>
          <w:lang w:val="fr-FR"/>
        </w:rPr>
        <w:t>document TC</w:t>
      </w:r>
      <w:r w:rsidR="002065E4" w:rsidRPr="0048528B">
        <w:rPr>
          <w:lang w:val="fr-FR"/>
        </w:rPr>
        <w:t>/49/15.</w:t>
      </w:r>
    </w:p>
    <w:p w:rsidR="00204800" w:rsidRPr="0048528B" w:rsidRDefault="00204800" w:rsidP="00196886">
      <w:pPr>
        <w:ind w:left="567" w:hanging="567"/>
        <w:rPr>
          <w:lang w:val="fr-FR"/>
        </w:rPr>
      </w:pPr>
    </w:p>
    <w:p w:rsidR="00204800" w:rsidRPr="0048528B" w:rsidRDefault="00196886" w:rsidP="002065E4">
      <w:pPr>
        <w:rPr>
          <w:snapToGrid w:val="0"/>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a noté que, à sa quatre</w:t>
      </w:r>
      <w:r w:rsidR="003F00B6" w:rsidRPr="0048528B">
        <w:rPr>
          <w:lang w:val="fr-FR"/>
        </w:rPr>
        <w:noBreakHyphen/>
      </w:r>
      <w:r w:rsidR="002065E4" w:rsidRPr="0048528B">
        <w:rPr>
          <w:lang w:val="fr-FR"/>
        </w:rPr>
        <w:t>vingt</w:t>
      </w:r>
      <w:r w:rsidR="003F00B6" w:rsidRPr="0048528B">
        <w:rPr>
          <w:lang w:val="fr-FR"/>
        </w:rPr>
        <w:noBreakHyphen/>
      </w:r>
      <w:r w:rsidR="002065E4" w:rsidRPr="0048528B">
        <w:rPr>
          <w:lang w:val="fr-FR"/>
        </w:rPr>
        <w:t>quatrième session tenue à Genève le 31 octobre 2012, le Comité consultatif avait approuvé l</w:t>
      </w:r>
      <w:r w:rsidR="00F3296C" w:rsidRPr="0048528B">
        <w:rPr>
          <w:lang w:val="fr-FR"/>
        </w:rPr>
        <w:t>’</w:t>
      </w:r>
      <w:r w:rsidR="002065E4" w:rsidRPr="0048528B">
        <w:rPr>
          <w:lang w:val="fr-FR"/>
        </w:rPr>
        <w:t>utilisation des conférences Web par les organes de l</w:t>
      </w:r>
      <w:r w:rsidR="00F3296C" w:rsidRPr="0048528B">
        <w:rPr>
          <w:lang w:val="fr-FR"/>
        </w:rPr>
        <w:t>’</w:t>
      </w:r>
      <w:r w:rsidR="002065E4" w:rsidRPr="0048528B">
        <w:rPr>
          <w:lang w:val="fr-FR"/>
        </w:rPr>
        <w:t>UPOV, sous réserve que les organes concernés les jugent appropriées, afin de faciliter la participation des membres de l</w:t>
      </w:r>
      <w:r w:rsidR="00F3296C" w:rsidRPr="0048528B">
        <w:rPr>
          <w:lang w:val="fr-FR"/>
        </w:rPr>
        <w:t>’</w:t>
      </w:r>
      <w:r w:rsidR="002065E4" w:rsidRPr="0048528B">
        <w:rPr>
          <w:lang w:val="fr-FR"/>
        </w:rPr>
        <w:t>Union et des observateurs conformément aux procédures en vigueur.  Le Comité consultatif avait rappelé que les procédures d</w:t>
      </w:r>
      <w:r w:rsidR="00F3296C" w:rsidRPr="0048528B">
        <w:rPr>
          <w:lang w:val="fr-FR"/>
        </w:rPr>
        <w:t>’</w:t>
      </w:r>
      <w:r w:rsidR="002065E4" w:rsidRPr="0048528B">
        <w:rPr>
          <w:lang w:val="fr-FR"/>
        </w:rPr>
        <w:t>invitation aux sessions des organes de l</w:t>
      </w:r>
      <w:r w:rsidR="00F3296C" w:rsidRPr="0048528B">
        <w:rPr>
          <w:lang w:val="fr-FR"/>
        </w:rPr>
        <w:t>’</w:t>
      </w:r>
      <w:r w:rsidR="002065E4" w:rsidRPr="0048528B">
        <w:rPr>
          <w:lang w:val="fr-FR"/>
        </w:rPr>
        <w:t xml:space="preserve">UPOV figuraient dans la </w:t>
      </w:r>
      <w:r w:rsidR="00F3296C" w:rsidRPr="0048528B">
        <w:rPr>
          <w:lang w:val="fr-FR"/>
        </w:rPr>
        <w:t>Convention UPOV</w:t>
      </w:r>
      <w:r w:rsidR="002065E4" w:rsidRPr="0048528B">
        <w:rPr>
          <w:lang w:val="fr-FR"/>
        </w:rPr>
        <w:t>, le règlement intérieur, les orientations destinées aux membres de l</w:t>
      </w:r>
      <w:r w:rsidR="00F3296C" w:rsidRPr="0048528B">
        <w:rPr>
          <w:lang w:val="fr-FR"/>
        </w:rPr>
        <w:t>’</w:t>
      </w:r>
      <w:r w:rsidR="002065E4" w:rsidRPr="0048528B">
        <w:rPr>
          <w:lang w:val="fr-FR"/>
        </w:rPr>
        <w:t>UPOV concernant les obligations en cours et les notifications connexes, les règles concernant l</w:t>
      </w:r>
      <w:r w:rsidR="00F3296C" w:rsidRPr="0048528B">
        <w:rPr>
          <w:lang w:val="fr-FR"/>
        </w:rPr>
        <w:t>’</w:t>
      </w:r>
      <w:r w:rsidR="002065E4" w:rsidRPr="0048528B">
        <w:rPr>
          <w:lang w:val="fr-FR"/>
        </w:rPr>
        <w:t>octroi à des États et à des organisations intergouvernementales ou des organisations internationales non gouvernementales du statut d</w:t>
      </w:r>
      <w:r w:rsidR="00F3296C" w:rsidRPr="0048528B">
        <w:rPr>
          <w:lang w:val="fr-FR"/>
        </w:rPr>
        <w:t>’</w:t>
      </w:r>
      <w:r w:rsidR="002065E4" w:rsidRPr="0048528B">
        <w:rPr>
          <w:lang w:val="fr-FR"/>
        </w:rPr>
        <w:t>observateur auprès des organes de l</w:t>
      </w:r>
      <w:r w:rsidR="00F3296C" w:rsidRPr="0048528B">
        <w:rPr>
          <w:lang w:val="fr-FR"/>
        </w:rPr>
        <w:t>’</w:t>
      </w:r>
      <w:r w:rsidR="002065E4" w:rsidRPr="0048528B">
        <w:rPr>
          <w:lang w:val="fr-FR"/>
        </w:rPr>
        <w:t>UPOV et les règles concernant l</w:t>
      </w:r>
      <w:r w:rsidR="00F3296C" w:rsidRPr="0048528B">
        <w:rPr>
          <w:lang w:val="fr-FR"/>
        </w:rPr>
        <w:t>’</w:t>
      </w:r>
      <w:r w:rsidR="002065E4" w:rsidRPr="0048528B">
        <w:rPr>
          <w:lang w:val="fr-FR"/>
        </w:rPr>
        <w:t>accès aux documents de l</w:t>
      </w:r>
      <w:r w:rsidR="00F3296C" w:rsidRPr="0048528B">
        <w:rPr>
          <w:lang w:val="fr-FR"/>
        </w:rPr>
        <w:t>’</w:t>
      </w:r>
      <w:r w:rsidR="002065E4" w:rsidRPr="0048528B">
        <w:rPr>
          <w:lang w:val="fr-FR"/>
        </w:rPr>
        <w:t>UPOV.  Conformément à ces procédures, la participation aux conférences Web se ferait à l</w:t>
      </w:r>
      <w:r w:rsidR="00F3296C" w:rsidRPr="0048528B">
        <w:rPr>
          <w:lang w:val="fr-FR"/>
        </w:rPr>
        <w:t>’</w:t>
      </w:r>
      <w:r w:rsidR="002065E4" w:rsidRPr="0048528B">
        <w:rPr>
          <w:lang w:val="fr-FR"/>
        </w:rPr>
        <w:t>aide d</w:t>
      </w:r>
      <w:r w:rsidR="00F3296C" w:rsidRPr="0048528B">
        <w:rPr>
          <w:lang w:val="fr-FR"/>
        </w:rPr>
        <w:t>’</w:t>
      </w:r>
      <w:r w:rsidR="002065E4" w:rsidRPr="0048528B">
        <w:rPr>
          <w:lang w:val="fr-FR"/>
        </w:rPr>
        <w:t>un mot de passe délivré aux personnes désignées à l</w:t>
      </w:r>
      <w:r w:rsidR="00F3296C" w:rsidRPr="0048528B">
        <w:rPr>
          <w:lang w:val="fr-FR"/>
        </w:rPr>
        <w:t>’</w:t>
      </w:r>
      <w:r w:rsidR="002065E4" w:rsidRPr="0048528B">
        <w:rPr>
          <w:lang w:val="fr-FR"/>
        </w:rPr>
        <w:t>organe concerné de l</w:t>
      </w:r>
      <w:r w:rsidR="00F3296C" w:rsidRPr="0048528B">
        <w:rPr>
          <w:lang w:val="fr-FR"/>
        </w:rPr>
        <w:t>’</w:t>
      </w:r>
      <w:r w:rsidR="002065E4" w:rsidRPr="0048528B">
        <w:rPr>
          <w:lang w:val="fr-FR"/>
        </w:rPr>
        <w:t>UPOV et elle serait supervisée par le Bureau de l</w:t>
      </w:r>
      <w:r w:rsidR="00F3296C" w:rsidRPr="0048528B">
        <w:rPr>
          <w:lang w:val="fr-FR"/>
        </w:rPr>
        <w:t>’</w:t>
      </w:r>
      <w:r w:rsidR="002065E4" w:rsidRPr="0048528B">
        <w:rPr>
          <w:lang w:val="fr-FR"/>
        </w:rPr>
        <w:t>Union.</w:t>
      </w:r>
    </w:p>
    <w:p w:rsidR="00204800" w:rsidRPr="0048528B" w:rsidRDefault="00204800" w:rsidP="00196886">
      <w:pPr>
        <w:rPr>
          <w:snapToGrid w:val="0"/>
          <w:lang w:val="fr-FR"/>
        </w:rPr>
      </w:pPr>
    </w:p>
    <w:p w:rsidR="00CE0C30" w:rsidRPr="0048528B" w:rsidRDefault="00196886" w:rsidP="00094CE7">
      <w:pPr>
        <w:rPr>
          <w:snapToGrid w:val="0"/>
          <w:lang w:val="fr-FR"/>
        </w:rPr>
      </w:pPr>
      <w:r w:rsidRPr="0048528B">
        <w:rPr>
          <w:snapToGrid w:val="0"/>
          <w:lang w:val="fr-FR"/>
        </w:rPr>
        <w:fldChar w:fldCharType="begin"/>
      </w:r>
      <w:r w:rsidRPr="0048528B">
        <w:rPr>
          <w:snapToGrid w:val="0"/>
          <w:lang w:val="fr-FR"/>
        </w:rPr>
        <w:instrText xml:space="preserve"> AUTONUM  </w:instrText>
      </w:r>
      <w:r w:rsidRPr="0048528B">
        <w:rPr>
          <w:snapToGrid w:val="0"/>
          <w:lang w:val="fr-FR"/>
        </w:rPr>
        <w:fldChar w:fldCharType="end"/>
      </w:r>
      <w:r w:rsidRPr="0048528B">
        <w:rPr>
          <w:snapToGrid w:val="0"/>
          <w:lang w:val="fr-FR"/>
        </w:rPr>
        <w:tab/>
      </w:r>
      <w:r w:rsidR="002065E4" w:rsidRPr="0048528B">
        <w:rPr>
          <w:snapToGrid w:val="0"/>
          <w:lang w:val="fr-FR"/>
        </w:rPr>
        <w:t>Le</w:t>
      </w:r>
      <w:r w:rsidR="00F3296C" w:rsidRPr="0048528B">
        <w:rPr>
          <w:snapToGrid w:val="0"/>
          <w:lang w:val="fr-FR"/>
        </w:rPr>
        <w:t> TC</w:t>
      </w:r>
      <w:r w:rsidR="002065E4" w:rsidRPr="0048528B">
        <w:rPr>
          <w:snapToGrid w:val="0"/>
          <w:lang w:val="fr-FR"/>
        </w:rPr>
        <w:t xml:space="preserve"> a noté que, à sa quatre</w:t>
      </w:r>
      <w:r w:rsidR="003F00B6" w:rsidRPr="0048528B">
        <w:rPr>
          <w:snapToGrid w:val="0"/>
          <w:lang w:val="fr-FR"/>
        </w:rPr>
        <w:noBreakHyphen/>
      </w:r>
      <w:r w:rsidR="002065E4" w:rsidRPr="0048528B">
        <w:rPr>
          <w:snapToGrid w:val="0"/>
          <w:lang w:val="fr-FR"/>
        </w:rPr>
        <w:t>vingt</w:t>
      </w:r>
      <w:r w:rsidR="003F00B6" w:rsidRPr="0048528B">
        <w:rPr>
          <w:snapToGrid w:val="0"/>
          <w:lang w:val="fr-FR"/>
        </w:rPr>
        <w:noBreakHyphen/>
      </w:r>
      <w:r w:rsidR="002065E4" w:rsidRPr="0048528B">
        <w:rPr>
          <w:snapToGrid w:val="0"/>
          <w:lang w:val="fr-FR"/>
        </w:rPr>
        <w:t>quatrième session, le Comité consultatif avait également approuvé l</w:t>
      </w:r>
      <w:r w:rsidR="00F3296C" w:rsidRPr="0048528B">
        <w:rPr>
          <w:snapToGrid w:val="0"/>
          <w:lang w:val="fr-FR"/>
        </w:rPr>
        <w:t>’</w:t>
      </w:r>
      <w:r w:rsidR="002065E4" w:rsidRPr="0048528B">
        <w:rPr>
          <w:snapToGrid w:val="0"/>
          <w:lang w:val="fr-FR"/>
        </w:rPr>
        <w:t>utilisation de la diffusion sur le Web des sessions de l</w:t>
      </w:r>
      <w:r w:rsidR="00F3296C" w:rsidRPr="0048528B">
        <w:rPr>
          <w:snapToGrid w:val="0"/>
          <w:lang w:val="fr-FR"/>
        </w:rPr>
        <w:t>’</w:t>
      </w:r>
      <w:r w:rsidR="002065E4" w:rsidRPr="0048528B">
        <w:rPr>
          <w:snapToGrid w:val="0"/>
          <w:lang w:val="fr-FR"/>
        </w:rPr>
        <w:t>UPOV aux fins de leur vision par les membres de l</w:t>
      </w:r>
      <w:r w:rsidR="00F3296C" w:rsidRPr="0048528B">
        <w:rPr>
          <w:snapToGrid w:val="0"/>
          <w:lang w:val="fr-FR"/>
        </w:rPr>
        <w:t>’</w:t>
      </w:r>
      <w:r w:rsidR="002065E4" w:rsidRPr="0048528B">
        <w:rPr>
          <w:snapToGrid w:val="0"/>
          <w:lang w:val="fr-FR"/>
        </w:rPr>
        <w:t>Union et de observateurs conformément aux procédures en vigueur sous réserve que les organes concernés le jugent approprié.  Le Comité consultatif a noté que les procédures d</w:t>
      </w:r>
      <w:r w:rsidR="00F3296C" w:rsidRPr="0048528B">
        <w:rPr>
          <w:snapToGrid w:val="0"/>
          <w:lang w:val="fr-FR"/>
        </w:rPr>
        <w:t>’</w:t>
      </w:r>
      <w:r w:rsidR="002065E4" w:rsidRPr="0048528B">
        <w:rPr>
          <w:snapToGrid w:val="0"/>
          <w:lang w:val="fr-FR"/>
        </w:rPr>
        <w:t>invitation aux sessions des organes de l</w:t>
      </w:r>
      <w:r w:rsidR="00F3296C" w:rsidRPr="0048528B">
        <w:rPr>
          <w:snapToGrid w:val="0"/>
          <w:lang w:val="fr-FR"/>
        </w:rPr>
        <w:t>’</w:t>
      </w:r>
      <w:r w:rsidR="002065E4" w:rsidRPr="0048528B">
        <w:rPr>
          <w:snapToGrid w:val="0"/>
          <w:lang w:val="fr-FR"/>
        </w:rPr>
        <w:t xml:space="preserve">UPOV figuraient dans la </w:t>
      </w:r>
      <w:r w:rsidR="00F3296C" w:rsidRPr="0048528B">
        <w:rPr>
          <w:snapToGrid w:val="0"/>
          <w:lang w:val="fr-FR"/>
        </w:rPr>
        <w:t>Convention UPOV</w:t>
      </w:r>
      <w:r w:rsidR="002065E4" w:rsidRPr="0048528B">
        <w:rPr>
          <w:snapToGrid w:val="0"/>
          <w:lang w:val="fr-FR"/>
        </w:rPr>
        <w:t>, le règlement intérieur, les orientations destinées aux membres de l</w:t>
      </w:r>
      <w:r w:rsidR="00F3296C" w:rsidRPr="0048528B">
        <w:rPr>
          <w:snapToGrid w:val="0"/>
          <w:lang w:val="fr-FR"/>
        </w:rPr>
        <w:t>’</w:t>
      </w:r>
      <w:r w:rsidR="002065E4" w:rsidRPr="0048528B">
        <w:rPr>
          <w:snapToGrid w:val="0"/>
          <w:lang w:val="fr-FR"/>
        </w:rPr>
        <w:t>UPOV concernant les obligations en cours et les notifications connexes, les règles concernant l</w:t>
      </w:r>
      <w:r w:rsidR="00F3296C" w:rsidRPr="0048528B">
        <w:rPr>
          <w:snapToGrid w:val="0"/>
          <w:lang w:val="fr-FR"/>
        </w:rPr>
        <w:t>’</w:t>
      </w:r>
      <w:r w:rsidR="002065E4" w:rsidRPr="0048528B">
        <w:rPr>
          <w:snapToGrid w:val="0"/>
          <w:lang w:val="fr-FR"/>
        </w:rPr>
        <w:t>octroi à des États et à des organisations intergouvernementales ou des organisations internationales non gouvernementales du statut d</w:t>
      </w:r>
      <w:r w:rsidR="00F3296C" w:rsidRPr="0048528B">
        <w:rPr>
          <w:snapToGrid w:val="0"/>
          <w:lang w:val="fr-FR"/>
        </w:rPr>
        <w:t>’</w:t>
      </w:r>
      <w:r w:rsidR="002065E4" w:rsidRPr="0048528B">
        <w:rPr>
          <w:snapToGrid w:val="0"/>
          <w:lang w:val="fr-FR"/>
        </w:rPr>
        <w:t>observateur auprès des organes de l</w:t>
      </w:r>
      <w:r w:rsidR="00F3296C" w:rsidRPr="0048528B">
        <w:rPr>
          <w:snapToGrid w:val="0"/>
          <w:lang w:val="fr-FR"/>
        </w:rPr>
        <w:t>’</w:t>
      </w:r>
      <w:r w:rsidR="002065E4" w:rsidRPr="0048528B">
        <w:rPr>
          <w:snapToGrid w:val="0"/>
          <w:lang w:val="fr-FR"/>
        </w:rPr>
        <w:t>UPOV et les règles concernant l</w:t>
      </w:r>
      <w:r w:rsidR="00F3296C" w:rsidRPr="0048528B">
        <w:rPr>
          <w:snapToGrid w:val="0"/>
          <w:lang w:val="fr-FR"/>
        </w:rPr>
        <w:t>’</w:t>
      </w:r>
      <w:r w:rsidR="002065E4" w:rsidRPr="0048528B">
        <w:rPr>
          <w:snapToGrid w:val="0"/>
          <w:lang w:val="fr-FR"/>
        </w:rPr>
        <w:t>accès aux documents de l</w:t>
      </w:r>
      <w:r w:rsidR="00F3296C" w:rsidRPr="0048528B">
        <w:rPr>
          <w:snapToGrid w:val="0"/>
          <w:lang w:val="fr-FR"/>
        </w:rPr>
        <w:t>’</w:t>
      </w:r>
      <w:r w:rsidR="002065E4" w:rsidRPr="0048528B">
        <w:rPr>
          <w:snapToGrid w:val="0"/>
          <w:lang w:val="fr-FR"/>
        </w:rPr>
        <w:t>UPOV.  Conformément à ces procédures, la vision de la diffusion sur le Web se ferait à l</w:t>
      </w:r>
      <w:r w:rsidR="00F3296C" w:rsidRPr="0048528B">
        <w:rPr>
          <w:snapToGrid w:val="0"/>
          <w:lang w:val="fr-FR"/>
        </w:rPr>
        <w:t>’</w:t>
      </w:r>
      <w:r w:rsidR="002065E4" w:rsidRPr="0048528B">
        <w:rPr>
          <w:snapToGrid w:val="0"/>
          <w:lang w:val="fr-FR"/>
        </w:rPr>
        <w:t>aide d</w:t>
      </w:r>
      <w:r w:rsidR="00F3296C" w:rsidRPr="0048528B">
        <w:rPr>
          <w:snapToGrid w:val="0"/>
          <w:lang w:val="fr-FR"/>
        </w:rPr>
        <w:t>’</w:t>
      </w:r>
      <w:r w:rsidR="002065E4" w:rsidRPr="0048528B">
        <w:rPr>
          <w:snapToGrid w:val="0"/>
          <w:lang w:val="fr-FR"/>
        </w:rPr>
        <w:t>un mot de passe délivré aux personnes désignées à l</w:t>
      </w:r>
      <w:r w:rsidR="00F3296C" w:rsidRPr="0048528B">
        <w:rPr>
          <w:snapToGrid w:val="0"/>
          <w:lang w:val="fr-FR"/>
        </w:rPr>
        <w:t>’</w:t>
      </w:r>
      <w:r w:rsidR="002065E4" w:rsidRPr="0048528B">
        <w:rPr>
          <w:snapToGrid w:val="0"/>
          <w:lang w:val="fr-FR"/>
        </w:rPr>
        <w:t>organe concerné de l</w:t>
      </w:r>
      <w:r w:rsidR="00F3296C" w:rsidRPr="0048528B">
        <w:rPr>
          <w:snapToGrid w:val="0"/>
          <w:lang w:val="fr-FR"/>
        </w:rPr>
        <w:t>’</w:t>
      </w:r>
      <w:r w:rsidR="002065E4" w:rsidRPr="0048528B">
        <w:rPr>
          <w:snapToGrid w:val="0"/>
          <w:lang w:val="fr-FR"/>
        </w:rPr>
        <w:t>UPOV</w:t>
      </w:r>
      <w:r w:rsidR="00CA0D7D" w:rsidRPr="0048528B">
        <w:rPr>
          <w:snapToGrid w:val="0"/>
          <w:lang w:val="fr-FR"/>
        </w:rPr>
        <w:t xml:space="preserve"> </w:t>
      </w:r>
      <w:r w:rsidR="002065E4" w:rsidRPr="0048528B">
        <w:rPr>
          <w:snapToGrid w:val="0"/>
          <w:lang w:val="fr-FR"/>
        </w:rPr>
        <w:t>et elle serait supervisée par le Bureau de l</w:t>
      </w:r>
      <w:r w:rsidR="00F3296C" w:rsidRPr="0048528B">
        <w:rPr>
          <w:snapToGrid w:val="0"/>
          <w:lang w:val="fr-FR"/>
        </w:rPr>
        <w:t>’</w:t>
      </w:r>
      <w:r w:rsidR="002065E4" w:rsidRPr="0048528B">
        <w:rPr>
          <w:snapToGrid w:val="0"/>
          <w:lang w:val="fr-FR"/>
        </w:rPr>
        <w:t>Union.</w:t>
      </w:r>
      <w:r w:rsidRPr="0048528B">
        <w:rPr>
          <w:snapToGrid w:val="0"/>
          <w:lang w:val="fr-FR"/>
        </w:rPr>
        <w:t xml:space="preserve">  </w:t>
      </w:r>
      <w:r w:rsidR="002065E4" w:rsidRPr="0048528B">
        <w:rPr>
          <w:snapToGrid w:val="0"/>
          <w:lang w:val="fr-FR"/>
        </w:rPr>
        <w:t>Le</w:t>
      </w:r>
      <w:r w:rsidR="00F3296C" w:rsidRPr="0048528B">
        <w:rPr>
          <w:snapToGrid w:val="0"/>
          <w:lang w:val="fr-FR"/>
        </w:rPr>
        <w:t> TC</w:t>
      </w:r>
      <w:r w:rsidR="002065E4" w:rsidRPr="0048528B">
        <w:rPr>
          <w:snapToGrid w:val="0"/>
          <w:lang w:val="fr-FR"/>
        </w:rPr>
        <w:t xml:space="preserve"> a également noté que, à sa quatre</w:t>
      </w:r>
      <w:r w:rsidR="003F00B6" w:rsidRPr="0048528B">
        <w:rPr>
          <w:snapToGrid w:val="0"/>
          <w:lang w:val="fr-FR"/>
        </w:rPr>
        <w:noBreakHyphen/>
      </w:r>
      <w:r w:rsidR="002065E4" w:rsidRPr="0048528B">
        <w:rPr>
          <w:snapToGrid w:val="0"/>
          <w:lang w:val="fr-FR"/>
        </w:rPr>
        <w:t>vingt</w:t>
      </w:r>
      <w:r w:rsidR="003F00B6" w:rsidRPr="0048528B">
        <w:rPr>
          <w:snapToGrid w:val="0"/>
          <w:lang w:val="fr-FR"/>
        </w:rPr>
        <w:noBreakHyphen/>
      </w:r>
      <w:r w:rsidR="002065E4" w:rsidRPr="0048528B">
        <w:rPr>
          <w:snapToGrid w:val="0"/>
          <w:lang w:val="fr-FR"/>
        </w:rPr>
        <w:t>quatrième session, le Comité consultatif était convenu que, dans tous les autres cas de diffusion sur le Web, il serait invité à approuver les modalités d</w:t>
      </w:r>
      <w:r w:rsidR="00F3296C" w:rsidRPr="0048528B">
        <w:rPr>
          <w:snapToGrid w:val="0"/>
          <w:lang w:val="fr-FR"/>
        </w:rPr>
        <w:t>’</w:t>
      </w:r>
      <w:r w:rsidR="002065E4" w:rsidRPr="0048528B">
        <w:rPr>
          <w:snapToGrid w:val="0"/>
          <w:lang w:val="fr-FR"/>
        </w:rPr>
        <w:t>une éventuelle retransmission sur l</w:t>
      </w:r>
      <w:r w:rsidR="00F3296C" w:rsidRPr="0048528B">
        <w:rPr>
          <w:snapToGrid w:val="0"/>
          <w:lang w:val="fr-FR"/>
        </w:rPr>
        <w:t>’</w:t>
      </w:r>
      <w:r w:rsidR="002065E4" w:rsidRPr="0048528B">
        <w:rPr>
          <w:snapToGrid w:val="0"/>
          <w:lang w:val="fr-FR"/>
        </w:rPr>
        <w:t>Internet (voir les paragraphes</w:t>
      </w:r>
      <w:r w:rsidR="00E3136C" w:rsidRPr="0048528B">
        <w:rPr>
          <w:snapToGrid w:val="0"/>
          <w:lang w:val="fr-FR"/>
        </w:rPr>
        <w:t> </w:t>
      </w:r>
      <w:r w:rsidR="002065E4" w:rsidRPr="0048528B">
        <w:rPr>
          <w:snapToGrid w:val="0"/>
          <w:lang w:val="fr-FR"/>
        </w:rPr>
        <w:t xml:space="preserve">119 et 120 du </w:t>
      </w:r>
      <w:r w:rsidR="00F3296C" w:rsidRPr="0048528B">
        <w:rPr>
          <w:snapToGrid w:val="0"/>
          <w:lang w:val="fr-FR"/>
        </w:rPr>
        <w:t>document TC</w:t>
      </w:r>
      <w:r w:rsidR="002065E4" w:rsidRPr="0048528B">
        <w:rPr>
          <w:snapToGrid w:val="0"/>
          <w:lang w:val="fr-FR"/>
        </w:rPr>
        <w:t>/49/41 “Compte rendu des conclusions</w:t>
      </w:r>
      <w:r w:rsidR="00E3136C" w:rsidRPr="0048528B">
        <w:rPr>
          <w:snapToGrid w:val="0"/>
          <w:lang w:val="fr-FR"/>
        </w:rPr>
        <w:t>”</w:t>
      </w:r>
      <w:r w:rsidR="002065E4" w:rsidRPr="0048528B">
        <w:rPr>
          <w:snapToGrid w:val="0"/>
          <w:lang w:val="fr-FR"/>
        </w:rPr>
        <w:t>).</w:t>
      </w:r>
    </w:p>
    <w:p w:rsidR="00204800" w:rsidRPr="0048528B" w:rsidRDefault="00204800" w:rsidP="00094CE7">
      <w:pPr>
        <w:rPr>
          <w:lang w:val="fr-FR"/>
        </w:rPr>
      </w:pPr>
    </w:p>
    <w:p w:rsidR="00204800" w:rsidRPr="0048528B" w:rsidRDefault="00204800" w:rsidP="00196886">
      <w:pPr>
        <w:ind w:left="567" w:hanging="567"/>
        <w:rPr>
          <w:lang w:val="fr-FR"/>
        </w:rPr>
      </w:pPr>
    </w:p>
    <w:p w:rsidR="00204800" w:rsidRPr="0048528B" w:rsidRDefault="002065E4" w:rsidP="002065E4">
      <w:pPr>
        <w:pStyle w:val="Heading2"/>
        <w:rPr>
          <w:lang w:val="fr-FR"/>
        </w:rPr>
      </w:pPr>
      <w:bookmarkStart w:id="32" w:name="_Toc367888551"/>
      <w:r w:rsidRPr="0048528B">
        <w:rPr>
          <w:lang w:val="fr-FR"/>
        </w:rPr>
        <w:lastRenderedPageBreak/>
        <w:t>Ateliers préparatoires</w:t>
      </w:r>
      <w:bookmarkEnd w:id="32"/>
    </w:p>
    <w:p w:rsidR="00204800" w:rsidRPr="0048528B" w:rsidRDefault="00204800" w:rsidP="00196886">
      <w:pPr>
        <w:keepNext/>
        <w:ind w:left="567" w:hanging="567"/>
        <w:rPr>
          <w:lang w:val="fr-FR"/>
        </w:rPr>
      </w:pPr>
    </w:p>
    <w:p w:rsidR="00204800" w:rsidRPr="0048528B" w:rsidRDefault="00196886" w:rsidP="008C53DB">
      <w:pPr>
        <w:keepNext/>
        <w:ind w:left="567" w:hanging="567"/>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a examiné le </w:t>
      </w:r>
      <w:r w:rsidR="00F3296C" w:rsidRPr="0048528B">
        <w:rPr>
          <w:lang w:val="fr-FR"/>
        </w:rPr>
        <w:t>document TC</w:t>
      </w:r>
      <w:r w:rsidR="002065E4" w:rsidRPr="0048528B">
        <w:rPr>
          <w:lang w:val="fr-FR"/>
        </w:rPr>
        <w:t>/49/10.</w:t>
      </w:r>
    </w:p>
    <w:p w:rsidR="00204800" w:rsidRPr="0048528B" w:rsidRDefault="00204800" w:rsidP="008C53DB">
      <w:pPr>
        <w:keepNext/>
        <w:ind w:left="567" w:hanging="567"/>
        <w:rPr>
          <w:lang w:val="fr-FR"/>
        </w:rPr>
      </w:pPr>
    </w:p>
    <w:p w:rsidR="00204800" w:rsidRPr="0048528B" w:rsidRDefault="00196886" w:rsidP="002065E4">
      <w:pPr>
        <w:ind w:left="567" w:hanging="567"/>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a pris note du rapport des ateliers préparatoires tenus en 2012.</w:t>
      </w:r>
    </w:p>
    <w:p w:rsidR="00204800" w:rsidRPr="0048528B" w:rsidRDefault="00204800" w:rsidP="00196886">
      <w:pPr>
        <w:ind w:left="567" w:hanging="567"/>
        <w:rPr>
          <w:rFonts w:cs="Arial"/>
          <w:lang w:val="fr-FR"/>
        </w:rPr>
      </w:pPr>
    </w:p>
    <w:p w:rsidR="00204800" w:rsidRPr="0048528B" w:rsidRDefault="00196886" w:rsidP="002065E4">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a approuvé le programme proposé des ateliers préparatoires pour 2013, comme indiqué dans les paragraphes 8 et 9 du </w:t>
      </w:r>
      <w:r w:rsidR="00F3296C" w:rsidRPr="0048528B">
        <w:rPr>
          <w:lang w:val="fr-FR"/>
        </w:rPr>
        <w:t>document TC</w:t>
      </w:r>
      <w:r w:rsidR="002065E4" w:rsidRPr="0048528B">
        <w:rPr>
          <w:lang w:val="fr-FR"/>
        </w:rPr>
        <w:t>/49/10.</w:t>
      </w:r>
    </w:p>
    <w:p w:rsidR="00204800" w:rsidRPr="0048528B" w:rsidRDefault="00204800" w:rsidP="00196886">
      <w:pPr>
        <w:ind w:left="567" w:hanging="567"/>
        <w:rPr>
          <w:lang w:val="fr-FR"/>
        </w:rPr>
      </w:pPr>
    </w:p>
    <w:p w:rsidR="00CE0C30" w:rsidRPr="0048528B" w:rsidRDefault="00196886" w:rsidP="002065E4">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a approuvé la réalisation d</w:t>
      </w:r>
      <w:r w:rsidR="00F3296C" w:rsidRPr="0048528B">
        <w:rPr>
          <w:lang w:val="fr-FR"/>
        </w:rPr>
        <w:t>’</w:t>
      </w:r>
      <w:r w:rsidR="002065E4" w:rsidRPr="0048528B">
        <w:rPr>
          <w:lang w:val="fr-FR"/>
        </w:rPr>
        <w:t>une enquête auprès des participants des ateliers préparatoires des TWP, à leurs sessions en 2013, destinée à renforcer l</w:t>
      </w:r>
      <w:r w:rsidR="00F3296C" w:rsidRPr="0048528B">
        <w:rPr>
          <w:lang w:val="fr-FR"/>
        </w:rPr>
        <w:t>’</w:t>
      </w:r>
      <w:r w:rsidR="002065E4" w:rsidRPr="0048528B">
        <w:rPr>
          <w:lang w:val="fr-FR"/>
        </w:rPr>
        <w:t>efficacité de ces ateliers sur la base du questionnaire tel qu</w:t>
      </w:r>
      <w:r w:rsidR="00F3296C" w:rsidRPr="0048528B">
        <w:rPr>
          <w:lang w:val="fr-FR"/>
        </w:rPr>
        <w:t>’</w:t>
      </w:r>
      <w:r w:rsidR="002065E4" w:rsidRPr="0048528B">
        <w:rPr>
          <w:lang w:val="fr-FR"/>
        </w:rPr>
        <w:t>il figure dans l</w:t>
      </w:r>
      <w:r w:rsidR="00F3296C" w:rsidRPr="0048528B">
        <w:rPr>
          <w:lang w:val="fr-FR"/>
        </w:rPr>
        <w:t>’</w:t>
      </w:r>
      <w:r w:rsidR="002065E4" w:rsidRPr="0048528B">
        <w:rPr>
          <w:lang w:val="fr-FR"/>
        </w:rPr>
        <w:t xml:space="preserve">annexe du </w:t>
      </w:r>
      <w:r w:rsidR="00F3296C" w:rsidRPr="0048528B">
        <w:rPr>
          <w:lang w:val="fr-FR"/>
        </w:rPr>
        <w:t>document TC</w:t>
      </w:r>
      <w:r w:rsidR="002065E4" w:rsidRPr="0048528B">
        <w:rPr>
          <w:lang w:val="fr-FR"/>
        </w:rPr>
        <w:t>/49/10 avec l</w:t>
      </w:r>
      <w:r w:rsidR="00F3296C" w:rsidRPr="0048528B">
        <w:rPr>
          <w:lang w:val="fr-FR"/>
        </w:rPr>
        <w:t>’</w:t>
      </w:r>
      <w:r w:rsidR="002065E4" w:rsidRPr="0048528B">
        <w:rPr>
          <w:lang w:val="fr-FR"/>
        </w:rPr>
        <w:t>adjonction d</w:t>
      </w:r>
      <w:r w:rsidR="00F3296C" w:rsidRPr="0048528B">
        <w:rPr>
          <w:lang w:val="fr-FR"/>
        </w:rPr>
        <w:t>’</w:t>
      </w:r>
      <w:r w:rsidR="002065E4" w:rsidRPr="0048528B">
        <w:rPr>
          <w:lang w:val="fr-FR"/>
        </w:rPr>
        <w:t>une question pour indiquer les nouveaux sujets revêtant un intérêt.  En outre, le</w:t>
      </w:r>
      <w:r w:rsidR="00F3296C" w:rsidRPr="0048528B">
        <w:rPr>
          <w:lang w:val="fr-FR"/>
        </w:rPr>
        <w:t> TC</w:t>
      </w:r>
      <w:r w:rsidR="002065E4" w:rsidRPr="0048528B">
        <w:rPr>
          <w:lang w:val="fr-FR"/>
        </w:rPr>
        <w:t xml:space="preserve"> est convenu qu</w:t>
      </w:r>
      <w:r w:rsidR="00F3296C" w:rsidRPr="0048528B">
        <w:rPr>
          <w:lang w:val="fr-FR"/>
        </w:rPr>
        <w:t>’</w:t>
      </w:r>
      <w:r w:rsidR="002065E4" w:rsidRPr="0048528B">
        <w:rPr>
          <w:lang w:val="fr-FR"/>
        </w:rPr>
        <w:t>une enquête devrait être réalisée auprès de tous les participants aux TWP qui n</w:t>
      </w:r>
      <w:r w:rsidR="00F3296C" w:rsidRPr="0048528B">
        <w:rPr>
          <w:lang w:val="fr-FR"/>
        </w:rPr>
        <w:t>’</w:t>
      </w:r>
      <w:r w:rsidR="002065E4" w:rsidRPr="0048528B">
        <w:rPr>
          <w:lang w:val="fr-FR"/>
        </w:rPr>
        <w:t>ont pas assisté aux ateliers préparatoires afin de déterminer les raisons de leur absence.</w:t>
      </w:r>
      <w:r w:rsidRPr="0048528B">
        <w:rPr>
          <w:rFonts w:cs="Arial"/>
          <w:lang w:val="fr-FR"/>
        </w:rPr>
        <w:t xml:space="preserve">  </w:t>
      </w:r>
      <w:r w:rsidR="002065E4" w:rsidRPr="0048528B">
        <w:rPr>
          <w:rFonts w:cs="Arial"/>
          <w:lang w:val="fr-FR"/>
        </w:rPr>
        <w:t>Le</w:t>
      </w:r>
      <w:r w:rsidR="00F3296C" w:rsidRPr="0048528B">
        <w:rPr>
          <w:rFonts w:cs="Arial"/>
          <w:lang w:val="fr-FR"/>
        </w:rPr>
        <w:t> TC</w:t>
      </w:r>
      <w:r w:rsidR="002065E4" w:rsidRPr="0048528B">
        <w:rPr>
          <w:rFonts w:cs="Arial"/>
          <w:lang w:val="fr-FR"/>
        </w:rPr>
        <w:t xml:space="preserve"> est également convenu que le Bureau de l</w:t>
      </w:r>
      <w:r w:rsidR="00F3296C" w:rsidRPr="0048528B">
        <w:rPr>
          <w:rFonts w:cs="Arial"/>
          <w:lang w:val="fr-FR"/>
        </w:rPr>
        <w:t>’</w:t>
      </w:r>
      <w:r w:rsidR="002065E4" w:rsidRPr="0048528B">
        <w:rPr>
          <w:rFonts w:cs="Arial"/>
          <w:lang w:val="fr-FR"/>
        </w:rPr>
        <w:t>Union devrait envisager de faciliter la participation aux ateliers préparatoires par voie électronique et prend note qu</w:t>
      </w:r>
      <w:r w:rsidR="00F3296C" w:rsidRPr="0048528B">
        <w:rPr>
          <w:rFonts w:cs="Arial"/>
          <w:lang w:val="fr-FR"/>
        </w:rPr>
        <w:t>’</w:t>
      </w:r>
      <w:r w:rsidR="002065E4" w:rsidRPr="0048528B">
        <w:rPr>
          <w:rFonts w:cs="Arial"/>
          <w:lang w:val="fr-FR"/>
        </w:rPr>
        <w:t>une telle méthode pourrait offrir la possibilité d</w:t>
      </w:r>
      <w:r w:rsidR="00F3296C" w:rsidRPr="0048528B">
        <w:rPr>
          <w:rFonts w:cs="Arial"/>
          <w:lang w:val="fr-FR"/>
        </w:rPr>
        <w:t>’</w:t>
      </w:r>
      <w:r w:rsidR="002065E4" w:rsidRPr="0048528B">
        <w:rPr>
          <w:rFonts w:cs="Arial"/>
          <w:lang w:val="fr-FR"/>
        </w:rPr>
        <w:t>organiser ces ateliers indépendamment des TWP et de couvrir un plus large spectre de formation et d</w:t>
      </w:r>
      <w:r w:rsidR="00F3296C" w:rsidRPr="0048528B">
        <w:rPr>
          <w:rFonts w:cs="Arial"/>
          <w:lang w:val="fr-FR"/>
        </w:rPr>
        <w:t>’</w:t>
      </w:r>
      <w:r w:rsidR="002065E4" w:rsidRPr="0048528B">
        <w:rPr>
          <w:rFonts w:cs="Arial"/>
          <w:lang w:val="fr-FR"/>
        </w:rPr>
        <w:t>information (voir les paragraphes</w:t>
      </w:r>
      <w:r w:rsidR="00E3136C" w:rsidRPr="0048528B">
        <w:rPr>
          <w:rFonts w:cs="Arial"/>
          <w:lang w:val="fr-FR"/>
        </w:rPr>
        <w:t> </w:t>
      </w:r>
      <w:r w:rsidR="002065E4" w:rsidRPr="0048528B">
        <w:rPr>
          <w:rFonts w:cs="Arial"/>
          <w:lang w:val="fr-FR"/>
        </w:rPr>
        <w:t xml:space="preserve">122 à 124 du </w:t>
      </w:r>
      <w:r w:rsidR="00F3296C" w:rsidRPr="0048528B">
        <w:rPr>
          <w:rFonts w:cs="Arial"/>
          <w:lang w:val="fr-FR"/>
        </w:rPr>
        <w:t>document TC</w:t>
      </w:r>
      <w:r w:rsidR="002065E4" w:rsidRPr="0048528B">
        <w:rPr>
          <w:rFonts w:cs="Arial"/>
          <w:lang w:val="fr-FR"/>
        </w:rPr>
        <w:t>/49/41 “Compte rendu des conclusions</w:t>
      </w:r>
      <w:r w:rsidR="00E3136C" w:rsidRPr="0048528B">
        <w:rPr>
          <w:rFonts w:cs="Arial"/>
          <w:lang w:val="fr-FR"/>
        </w:rPr>
        <w:t>”</w:t>
      </w:r>
      <w:r w:rsidR="002065E4" w:rsidRPr="0048528B">
        <w:rPr>
          <w:rFonts w:cs="Arial"/>
          <w:lang w:val="fr-FR"/>
        </w:rPr>
        <w:t>).</w:t>
      </w:r>
    </w:p>
    <w:p w:rsidR="00204800" w:rsidRPr="0048528B" w:rsidRDefault="00204800" w:rsidP="00196886">
      <w:pPr>
        <w:rPr>
          <w:rFonts w:cs="Arial"/>
          <w:lang w:val="fr-FR"/>
        </w:rPr>
      </w:pPr>
    </w:p>
    <w:p w:rsidR="00204800" w:rsidRPr="0048528B" w:rsidRDefault="00204800" w:rsidP="00196886">
      <w:pPr>
        <w:rPr>
          <w:rFonts w:cs="Arial"/>
          <w:lang w:val="fr-FR"/>
        </w:rPr>
      </w:pPr>
    </w:p>
    <w:p w:rsidR="00204800" w:rsidRPr="0048528B" w:rsidRDefault="002065E4" w:rsidP="002065E4">
      <w:pPr>
        <w:pStyle w:val="Heading2"/>
        <w:rPr>
          <w:lang w:val="fr-FR"/>
        </w:rPr>
      </w:pPr>
      <w:bookmarkStart w:id="33" w:name="_Toc367888552"/>
      <w:r w:rsidRPr="0048528B">
        <w:rPr>
          <w:lang w:val="fr-FR"/>
        </w:rPr>
        <w:t>Techniques moléculaires</w:t>
      </w:r>
      <w:bookmarkEnd w:id="33"/>
    </w:p>
    <w:p w:rsidR="00204800" w:rsidRPr="0048528B" w:rsidRDefault="00204800" w:rsidP="00196886">
      <w:pPr>
        <w:keepNext/>
        <w:rPr>
          <w:lang w:val="fr-FR"/>
        </w:rPr>
      </w:pPr>
    </w:p>
    <w:p w:rsidR="00204800" w:rsidRPr="0048528B" w:rsidRDefault="00196886" w:rsidP="002065E4">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lang w:val="fr-FR"/>
        </w:rPr>
        <w:t>Le</w:t>
      </w:r>
      <w:r w:rsidR="00F3296C" w:rsidRPr="0048528B">
        <w:rPr>
          <w:lang w:val="fr-FR"/>
        </w:rPr>
        <w:t> TC</w:t>
      </w:r>
      <w:r w:rsidR="002065E4" w:rsidRPr="0048528B">
        <w:rPr>
          <w:lang w:val="fr-FR"/>
        </w:rPr>
        <w:t xml:space="preserve"> a examiné le </w:t>
      </w:r>
      <w:r w:rsidR="00F3296C" w:rsidRPr="0048528B">
        <w:rPr>
          <w:lang w:val="fr-FR"/>
        </w:rPr>
        <w:t>document TC</w:t>
      </w:r>
      <w:r w:rsidR="002065E4" w:rsidRPr="0048528B">
        <w:rPr>
          <w:lang w:val="fr-FR"/>
        </w:rPr>
        <w:t>/49/7 et a noté que le document TGP/15/1 Draft 4 avait été examiné au titre du point 7 de l</w:t>
      </w:r>
      <w:r w:rsidR="00F3296C" w:rsidRPr="0048528B">
        <w:rPr>
          <w:lang w:val="fr-FR"/>
        </w:rPr>
        <w:t>’</w:t>
      </w:r>
      <w:r w:rsidR="002065E4" w:rsidRPr="0048528B">
        <w:rPr>
          <w:lang w:val="fr-FR"/>
        </w:rPr>
        <w:t xml:space="preserve">ordre du jour “Documents TGP” (voir le </w:t>
      </w:r>
      <w:r w:rsidR="00F3296C" w:rsidRPr="0048528B">
        <w:rPr>
          <w:lang w:val="fr-FR"/>
        </w:rPr>
        <w:t>document TC</w:t>
      </w:r>
      <w:r w:rsidR="002065E4" w:rsidRPr="0048528B">
        <w:rPr>
          <w:lang w:val="fr-FR"/>
        </w:rPr>
        <w:t>/49/5).</w:t>
      </w:r>
    </w:p>
    <w:p w:rsidR="00204800" w:rsidRPr="0048528B" w:rsidRDefault="00204800" w:rsidP="00A26EF1">
      <w:pPr>
        <w:spacing w:line="360" w:lineRule="auto"/>
        <w:rPr>
          <w:lang w:val="fr-FR"/>
        </w:rPr>
      </w:pPr>
    </w:p>
    <w:p w:rsidR="00204800" w:rsidRPr="0048528B" w:rsidRDefault="002065E4" w:rsidP="002065E4">
      <w:pPr>
        <w:pStyle w:val="Heading3"/>
        <w:rPr>
          <w:lang w:val="fr-FR"/>
        </w:rPr>
      </w:pPr>
      <w:bookmarkStart w:id="34" w:name="_Toc367888553"/>
      <w:r w:rsidRPr="0048528B">
        <w:rPr>
          <w:lang w:val="fr-FR"/>
        </w:rPr>
        <w:t>Groupe de travail sur les techniques biochimiques et moléculaires, notamment les profils d</w:t>
      </w:r>
      <w:r w:rsidR="00F3296C" w:rsidRPr="0048528B">
        <w:rPr>
          <w:lang w:val="fr-FR"/>
        </w:rPr>
        <w:t>’</w:t>
      </w:r>
      <w:r w:rsidRPr="0048528B">
        <w:rPr>
          <w:lang w:val="fr-FR"/>
        </w:rPr>
        <w:t>ADN (BMT)</w:t>
      </w:r>
      <w:bookmarkEnd w:id="34"/>
    </w:p>
    <w:p w:rsidR="00204800" w:rsidRPr="0048528B" w:rsidRDefault="00204800" w:rsidP="00196886">
      <w:pPr>
        <w:keepNext/>
        <w:rPr>
          <w:lang w:val="fr-FR"/>
        </w:rPr>
      </w:pPr>
    </w:p>
    <w:p w:rsidR="00F3296C" w:rsidRPr="0048528B" w:rsidRDefault="00196886" w:rsidP="002065E4">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2065E4" w:rsidRPr="0048528B">
        <w:rPr>
          <w:rFonts w:cs="Arial"/>
          <w:lang w:val="fr-FR"/>
        </w:rPr>
        <w:t>Le</w:t>
      </w:r>
      <w:r w:rsidR="00F3296C" w:rsidRPr="0048528B">
        <w:rPr>
          <w:rFonts w:cs="Arial"/>
          <w:lang w:val="fr-FR"/>
        </w:rPr>
        <w:t> TC</w:t>
      </w:r>
      <w:r w:rsidR="002065E4" w:rsidRPr="0048528B">
        <w:rPr>
          <w:rFonts w:cs="Arial"/>
          <w:lang w:val="fr-FR"/>
        </w:rPr>
        <w:t xml:space="preserve"> est convenu de proposer de tenir en 2014 une réunion coordonnée de la quatorzième session du BMT avec des réunions d</w:t>
      </w:r>
      <w:r w:rsidR="00F3296C" w:rsidRPr="0048528B">
        <w:rPr>
          <w:rFonts w:cs="Arial"/>
          <w:lang w:val="fr-FR"/>
        </w:rPr>
        <w:t>’</w:t>
      </w:r>
      <w:r w:rsidR="002065E4" w:rsidRPr="0048528B">
        <w:rPr>
          <w:rFonts w:cs="Arial"/>
          <w:lang w:val="fr-FR"/>
        </w:rPr>
        <w:t xml:space="preserve">autres organisations internationales concernées comme indiqué dans le </w:t>
      </w:r>
      <w:r w:rsidR="00F3296C" w:rsidRPr="0048528B">
        <w:rPr>
          <w:rFonts w:cs="Arial"/>
          <w:lang w:val="fr-FR"/>
        </w:rPr>
        <w:t>document TC</w:t>
      </w:r>
      <w:r w:rsidR="002065E4" w:rsidRPr="0048528B">
        <w:rPr>
          <w:rFonts w:cs="Arial"/>
          <w:lang w:val="fr-FR"/>
        </w:rPr>
        <w:t>/49/7.  Il est également convenu que, s</w:t>
      </w:r>
      <w:r w:rsidR="00F3296C" w:rsidRPr="0048528B">
        <w:rPr>
          <w:rFonts w:cs="Arial"/>
          <w:lang w:val="fr-FR"/>
        </w:rPr>
        <w:t>’</w:t>
      </w:r>
      <w:r w:rsidR="002065E4" w:rsidRPr="0048528B">
        <w:rPr>
          <w:rFonts w:cs="Arial"/>
          <w:lang w:val="fr-FR"/>
        </w:rPr>
        <w:t>il ne s</w:t>
      </w:r>
      <w:r w:rsidR="00F3296C" w:rsidRPr="0048528B">
        <w:rPr>
          <w:rFonts w:cs="Arial"/>
          <w:lang w:val="fr-FR"/>
        </w:rPr>
        <w:t>’</w:t>
      </w:r>
      <w:r w:rsidR="002065E4" w:rsidRPr="0048528B">
        <w:rPr>
          <w:rFonts w:cs="Arial"/>
          <w:lang w:val="fr-FR"/>
        </w:rPr>
        <w:t>avère pas possible d</w:t>
      </w:r>
      <w:r w:rsidR="00F3296C" w:rsidRPr="0048528B">
        <w:rPr>
          <w:rFonts w:cs="Arial"/>
          <w:lang w:val="fr-FR"/>
        </w:rPr>
        <w:t>’</w:t>
      </w:r>
      <w:r w:rsidR="002065E4" w:rsidRPr="0048528B">
        <w:rPr>
          <w:rFonts w:cs="Arial"/>
          <w:lang w:val="fr-FR"/>
        </w:rPr>
        <w:t>organiser en 2014 une réunion conjointe avec d</w:t>
      </w:r>
      <w:r w:rsidR="00F3296C" w:rsidRPr="0048528B">
        <w:rPr>
          <w:rFonts w:cs="Arial"/>
          <w:lang w:val="fr-FR"/>
        </w:rPr>
        <w:t>’</w:t>
      </w:r>
      <w:r w:rsidR="002065E4" w:rsidRPr="0048528B">
        <w:rPr>
          <w:rFonts w:cs="Arial"/>
          <w:lang w:val="fr-FR"/>
        </w:rPr>
        <w:t>autres organisations, une réunion du BMT devrait être dans l</w:t>
      </w:r>
      <w:r w:rsidR="00F3296C" w:rsidRPr="0048528B">
        <w:rPr>
          <w:rFonts w:cs="Arial"/>
          <w:lang w:val="fr-FR"/>
        </w:rPr>
        <w:t>’</w:t>
      </w:r>
      <w:r w:rsidR="002065E4" w:rsidRPr="0048528B">
        <w:rPr>
          <w:rFonts w:cs="Arial"/>
          <w:lang w:val="fr-FR"/>
        </w:rPr>
        <w:t>intervalle organisée d</w:t>
      </w:r>
      <w:r w:rsidR="00F3296C" w:rsidRPr="0048528B">
        <w:rPr>
          <w:rFonts w:cs="Arial"/>
          <w:lang w:val="fr-FR"/>
        </w:rPr>
        <w:t>’</w:t>
      </w:r>
      <w:r w:rsidR="002065E4" w:rsidRPr="0048528B">
        <w:rPr>
          <w:rFonts w:cs="Arial"/>
          <w:lang w:val="fr-FR"/>
        </w:rPr>
        <w:t>information (voir le paragraphe</w:t>
      </w:r>
      <w:r w:rsidR="00E3136C" w:rsidRPr="0048528B">
        <w:rPr>
          <w:rFonts w:cs="Arial"/>
          <w:lang w:val="fr-FR"/>
        </w:rPr>
        <w:t> </w:t>
      </w:r>
      <w:r w:rsidR="002065E4" w:rsidRPr="0048528B">
        <w:rPr>
          <w:rFonts w:cs="Arial"/>
          <w:lang w:val="fr-FR"/>
        </w:rPr>
        <w:t xml:space="preserve">126 du </w:t>
      </w:r>
      <w:r w:rsidR="00F3296C" w:rsidRPr="0048528B">
        <w:rPr>
          <w:rFonts w:cs="Arial"/>
          <w:lang w:val="fr-FR"/>
        </w:rPr>
        <w:t>document TC</w:t>
      </w:r>
      <w:r w:rsidR="002065E4" w:rsidRPr="0048528B">
        <w:rPr>
          <w:rFonts w:cs="Arial"/>
          <w:lang w:val="fr-FR"/>
        </w:rPr>
        <w:t>/49/41 “Compte rendu des conclusions</w:t>
      </w:r>
      <w:r w:rsidR="00E3136C" w:rsidRPr="0048528B">
        <w:rPr>
          <w:rFonts w:cs="Arial"/>
          <w:lang w:val="fr-FR"/>
        </w:rPr>
        <w:t>”</w:t>
      </w:r>
      <w:r w:rsidR="002065E4" w:rsidRPr="0048528B">
        <w:rPr>
          <w:rFonts w:cs="Arial"/>
          <w:lang w:val="fr-FR"/>
        </w:rPr>
        <w:t>).</w:t>
      </w:r>
    </w:p>
    <w:p w:rsidR="00204800" w:rsidRPr="0048528B" w:rsidRDefault="00204800" w:rsidP="00196886">
      <w:pPr>
        <w:pStyle w:val="Heading2"/>
        <w:keepNext w:val="0"/>
        <w:rPr>
          <w:lang w:val="fr-FR"/>
        </w:rPr>
      </w:pPr>
    </w:p>
    <w:p w:rsidR="00204800" w:rsidRPr="0048528B" w:rsidRDefault="00204800" w:rsidP="00196886">
      <w:pPr>
        <w:pStyle w:val="Heading2"/>
        <w:keepNext w:val="0"/>
        <w:rPr>
          <w:lang w:val="fr-FR"/>
        </w:rPr>
      </w:pPr>
    </w:p>
    <w:p w:rsidR="00204800" w:rsidRPr="0048528B" w:rsidRDefault="00473A08" w:rsidP="00473A08">
      <w:pPr>
        <w:pStyle w:val="Heading2"/>
        <w:rPr>
          <w:lang w:val="fr-FR"/>
        </w:rPr>
      </w:pPr>
      <w:bookmarkStart w:id="35" w:name="_Toc367888554"/>
      <w:r w:rsidRPr="0048528B">
        <w:rPr>
          <w:lang w:val="fr-FR"/>
        </w:rPr>
        <w:t>Débat sur les techniques moléculaires</w:t>
      </w:r>
      <w:r w:rsidRPr="0048528B">
        <w:rPr>
          <w:rStyle w:val="FootnoteReference"/>
          <w:lang w:val="fr-FR"/>
        </w:rPr>
        <w:footnoteReference w:id="2"/>
      </w:r>
      <w:bookmarkEnd w:id="35"/>
    </w:p>
    <w:p w:rsidR="00204800" w:rsidRPr="0048528B" w:rsidRDefault="00204800" w:rsidP="00196886">
      <w:pPr>
        <w:keepNext/>
        <w:rPr>
          <w:snapToGrid w:val="0"/>
          <w:lang w:val="fr-FR"/>
        </w:rPr>
      </w:pPr>
    </w:p>
    <w:p w:rsidR="00CE0C30" w:rsidRPr="0048528B" w:rsidRDefault="00473A08" w:rsidP="00473A08">
      <w:pPr>
        <w:pStyle w:val="Heading3"/>
        <w:rPr>
          <w:lang w:val="fr-FR"/>
        </w:rPr>
      </w:pPr>
      <w:bookmarkStart w:id="36" w:name="_Toc367888555"/>
      <w:r w:rsidRPr="0048528B">
        <w:rPr>
          <w:lang w:val="fr-FR"/>
        </w:rPr>
        <w:t>Application de modèles par des membres de l</w:t>
      </w:r>
      <w:r w:rsidR="00F3296C" w:rsidRPr="0048528B">
        <w:rPr>
          <w:lang w:val="fr-FR"/>
        </w:rPr>
        <w:t>’</w:t>
      </w:r>
      <w:r w:rsidRPr="0048528B">
        <w:rPr>
          <w:lang w:val="fr-FR"/>
        </w:rPr>
        <w:t>Union</w:t>
      </w:r>
      <w:bookmarkEnd w:id="36"/>
    </w:p>
    <w:p w:rsidR="00204800" w:rsidRPr="0048528B" w:rsidRDefault="00204800" w:rsidP="00196886">
      <w:pPr>
        <w:keepNext/>
        <w:ind w:left="567"/>
        <w:rPr>
          <w:snapToGrid w:val="0"/>
          <w:lang w:val="fr-FR"/>
        </w:rPr>
      </w:pPr>
    </w:p>
    <w:p w:rsidR="00204800" w:rsidRPr="0048528B" w:rsidRDefault="00473A08" w:rsidP="00473A08">
      <w:pPr>
        <w:pStyle w:val="Heading4"/>
        <w:rPr>
          <w:lang w:val="fr-FR"/>
        </w:rPr>
      </w:pPr>
      <w:r w:rsidRPr="0048528B">
        <w:rPr>
          <w:lang w:val="fr-FR"/>
        </w:rPr>
        <w:t>Utilisation de marqueurs moléculaires propres à des caractères pour évaluer le type de développement de l</w:t>
      </w:r>
      <w:r w:rsidR="00F3296C" w:rsidRPr="0048528B">
        <w:rPr>
          <w:lang w:val="fr-FR"/>
        </w:rPr>
        <w:t>’</w:t>
      </w:r>
      <w:r w:rsidRPr="0048528B">
        <w:rPr>
          <w:lang w:val="fr-FR"/>
        </w:rPr>
        <w:t>orge</w:t>
      </w:r>
    </w:p>
    <w:p w:rsidR="00204800" w:rsidRPr="0048528B" w:rsidRDefault="00204800" w:rsidP="00196886">
      <w:pPr>
        <w:keepNext/>
        <w:rPr>
          <w:lang w:val="fr-FR"/>
        </w:rPr>
      </w:pPr>
    </w:p>
    <w:p w:rsidR="00204800" w:rsidRPr="0048528B" w:rsidRDefault="00196886" w:rsidP="00473A08">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73A08" w:rsidRPr="0048528B">
        <w:rPr>
          <w:lang w:val="fr-FR"/>
        </w:rPr>
        <w:t>Le</w:t>
      </w:r>
      <w:r w:rsidR="00F3296C" w:rsidRPr="0048528B">
        <w:rPr>
          <w:lang w:val="fr-FR"/>
        </w:rPr>
        <w:t> TC</w:t>
      </w:r>
      <w:r w:rsidR="00473A08" w:rsidRPr="0048528B">
        <w:rPr>
          <w:lang w:val="fr-FR"/>
        </w:rPr>
        <w:t xml:space="preserve"> a suivi un exposé de M. Andrew Mitchell (Royaume</w:t>
      </w:r>
      <w:r w:rsidR="003F00B6" w:rsidRPr="0048528B">
        <w:rPr>
          <w:lang w:val="fr-FR"/>
        </w:rPr>
        <w:noBreakHyphen/>
      </w:r>
      <w:r w:rsidR="00473A08" w:rsidRPr="0048528B">
        <w:rPr>
          <w:lang w:val="fr-FR"/>
        </w:rPr>
        <w:t>Uni) sur l</w:t>
      </w:r>
      <w:r w:rsidR="00F3296C" w:rsidRPr="0048528B">
        <w:rPr>
          <w:lang w:val="fr-FR"/>
        </w:rPr>
        <w:t>’</w:t>
      </w:r>
      <w:r w:rsidR="00473A08" w:rsidRPr="0048528B">
        <w:rPr>
          <w:lang w:val="fr-FR"/>
        </w:rPr>
        <w:t>utilisation de marqueurs moléculaires propres à des caractères pour évaluer le type de développement de l</w:t>
      </w:r>
      <w:r w:rsidR="00F3296C" w:rsidRPr="0048528B">
        <w:rPr>
          <w:lang w:val="fr-FR"/>
        </w:rPr>
        <w:t>’</w:t>
      </w:r>
      <w:r w:rsidR="00473A08" w:rsidRPr="0048528B">
        <w:rPr>
          <w:lang w:val="fr-FR"/>
        </w:rPr>
        <w:t>orge (voir le paragraphe</w:t>
      </w:r>
      <w:r w:rsidR="00E3136C" w:rsidRPr="0048528B">
        <w:rPr>
          <w:lang w:val="fr-FR"/>
        </w:rPr>
        <w:t> </w:t>
      </w:r>
      <w:r w:rsidR="00473A08" w:rsidRPr="0048528B">
        <w:rPr>
          <w:lang w:val="fr-FR"/>
        </w:rPr>
        <w:t xml:space="preserve">127 du </w:t>
      </w:r>
      <w:r w:rsidR="00F3296C" w:rsidRPr="0048528B">
        <w:rPr>
          <w:lang w:val="fr-FR"/>
        </w:rPr>
        <w:t>document TC</w:t>
      </w:r>
      <w:r w:rsidR="00473A08" w:rsidRPr="0048528B">
        <w:rPr>
          <w:lang w:val="fr-FR"/>
        </w:rPr>
        <w:t>/49/41 “Compte rendu des conclusions</w:t>
      </w:r>
      <w:r w:rsidR="00E3136C" w:rsidRPr="0048528B">
        <w:rPr>
          <w:lang w:val="fr-FR"/>
        </w:rPr>
        <w:t>”</w:t>
      </w:r>
      <w:r w:rsidR="00473A08" w:rsidRPr="0048528B">
        <w:rPr>
          <w:lang w:val="fr-FR"/>
        </w:rPr>
        <w:t>).</w:t>
      </w:r>
    </w:p>
    <w:p w:rsidR="00204800" w:rsidRPr="0048528B" w:rsidRDefault="00204800" w:rsidP="00196886">
      <w:pPr>
        <w:rPr>
          <w:lang w:val="fr-FR"/>
        </w:rPr>
      </w:pPr>
    </w:p>
    <w:p w:rsidR="00204800" w:rsidRPr="0048528B" w:rsidRDefault="00473A08" w:rsidP="00473A08">
      <w:pPr>
        <w:pStyle w:val="Heading4"/>
        <w:rPr>
          <w:lang w:val="fr-FR"/>
        </w:rPr>
      </w:pPr>
      <w:r w:rsidRPr="0048528B">
        <w:rPr>
          <w:lang w:val="fr-FR"/>
        </w:rPr>
        <w:t>Application de données moléculaires dans l</w:t>
      </w:r>
      <w:r w:rsidR="00F3296C" w:rsidRPr="0048528B">
        <w:rPr>
          <w:lang w:val="fr-FR"/>
        </w:rPr>
        <w:t>’</w:t>
      </w:r>
      <w:r w:rsidRPr="0048528B">
        <w:rPr>
          <w:lang w:val="fr-FR"/>
        </w:rPr>
        <w:t>examen DHS</w:t>
      </w:r>
    </w:p>
    <w:p w:rsidR="00204800" w:rsidRPr="0048528B" w:rsidRDefault="00204800" w:rsidP="00196886">
      <w:pPr>
        <w:keepNext/>
        <w:rPr>
          <w:lang w:val="fr-FR"/>
        </w:rPr>
      </w:pPr>
    </w:p>
    <w:p w:rsidR="00204800" w:rsidRPr="0048528B" w:rsidRDefault="00196886" w:rsidP="00473A08">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73A08" w:rsidRPr="0048528B">
        <w:rPr>
          <w:lang w:val="fr-FR"/>
        </w:rPr>
        <w:t>Le</w:t>
      </w:r>
      <w:r w:rsidR="00F3296C" w:rsidRPr="0048528B">
        <w:rPr>
          <w:lang w:val="fr-FR"/>
        </w:rPr>
        <w:t> TC</w:t>
      </w:r>
      <w:r w:rsidR="00473A08" w:rsidRPr="0048528B">
        <w:rPr>
          <w:lang w:val="fr-FR"/>
        </w:rPr>
        <w:t xml:space="preserve"> a suivi un exposé de M. Joël Guiard (France) sur l</w:t>
      </w:r>
      <w:r w:rsidR="00F3296C" w:rsidRPr="0048528B">
        <w:rPr>
          <w:lang w:val="fr-FR"/>
        </w:rPr>
        <w:t>’</w:t>
      </w:r>
      <w:r w:rsidR="00473A08" w:rsidRPr="0048528B">
        <w:rPr>
          <w:lang w:val="fr-FR"/>
        </w:rPr>
        <w:t>application de données moléculaires dans l</w:t>
      </w:r>
      <w:r w:rsidR="00F3296C" w:rsidRPr="0048528B">
        <w:rPr>
          <w:lang w:val="fr-FR"/>
        </w:rPr>
        <w:t>’</w:t>
      </w:r>
      <w:r w:rsidR="00473A08" w:rsidRPr="0048528B">
        <w:rPr>
          <w:lang w:val="fr-FR"/>
        </w:rPr>
        <w:t>examen DHS (voir le paragraphe</w:t>
      </w:r>
      <w:r w:rsidR="00E3136C" w:rsidRPr="0048528B">
        <w:rPr>
          <w:lang w:val="fr-FR"/>
        </w:rPr>
        <w:t> </w:t>
      </w:r>
      <w:r w:rsidR="00473A08" w:rsidRPr="0048528B">
        <w:rPr>
          <w:lang w:val="fr-FR"/>
        </w:rPr>
        <w:t xml:space="preserve">128 du </w:t>
      </w:r>
      <w:r w:rsidR="00F3296C" w:rsidRPr="0048528B">
        <w:rPr>
          <w:lang w:val="fr-FR"/>
        </w:rPr>
        <w:t>document TC</w:t>
      </w:r>
      <w:r w:rsidR="00473A08" w:rsidRPr="0048528B">
        <w:rPr>
          <w:lang w:val="fr-FR"/>
        </w:rPr>
        <w:t>/49/41 “Compte rendu des conclusions</w:t>
      </w:r>
      <w:r w:rsidR="00E3136C" w:rsidRPr="0048528B">
        <w:rPr>
          <w:lang w:val="fr-FR"/>
        </w:rPr>
        <w:t>”</w:t>
      </w:r>
      <w:r w:rsidR="00473A08" w:rsidRPr="0048528B">
        <w:rPr>
          <w:lang w:val="fr-FR"/>
        </w:rPr>
        <w:t>).</w:t>
      </w:r>
    </w:p>
    <w:p w:rsidR="00204800" w:rsidRPr="0048528B" w:rsidRDefault="00204800" w:rsidP="00196886">
      <w:pPr>
        <w:rPr>
          <w:lang w:val="fr-FR"/>
        </w:rPr>
      </w:pPr>
    </w:p>
    <w:p w:rsidR="00CE0C30" w:rsidRPr="0048528B" w:rsidRDefault="00473A08" w:rsidP="00473A08">
      <w:pPr>
        <w:pStyle w:val="Heading4"/>
        <w:rPr>
          <w:lang w:val="fr-FR"/>
        </w:rPr>
      </w:pPr>
      <w:r w:rsidRPr="0048528B">
        <w:rPr>
          <w:lang w:val="fr-FR"/>
        </w:rPr>
        <w:t>Utilisation de techniques moléculaires au Brésil</w:t>
      </w:r>
    </w:p>
    <w:p w:rsidR="00204800" w:rsidRPr="0048528B" w:rsidRDefault="00204800" w:rsidP="00196886">
      <w:pPr>
        <w:keepNext/>
        <w:rPr>
          <w:lang w:val="fr-FR"/>
        </w:rPr>
      </w:pPr>
    </w:p>
    <w:p w:rsidR="00204800" w:rsidRPr="0048528B" w:rsidRDefault="00196886" w:rsidP="00473A08">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73A08" w:rsidRPr="0048528B">
        <w:rPr>
          <w:lang w:val="fr-FR"/>
        </w:rPr>
        <w:t>Le</w:t>
      </w:r>
      <w:r w:rsidR="00F3296C" w:rsidRPr="0048528B">
        <w:rPr>
          <w:lang w:val="fr-FR"/>
        </w:rPr>
        <w:t> TC</w:t>
      </w:r>
      <w:r w:rsidR="00473A08" w:rsidRPr="0048528B">
        <w:rPr>
          <w:lang w:val="fr-FR"/>
        </w:rPr>
        <w:t xml:space="preserve"> a suivi un exposé de M.</w:t>
      </w:r>
      <w:r w:rsidR="00E3136C" w:rsidRPr="0048528B">
        <w:rPr>
          <w:lang w:val="fr-FR"/>
        </w:rPr>
        <w:t> </w:t>
      </w:r>
      <w:r w:rsidR="00473A08" w:rsidRPr="0048528B">
        <w:rPr>
          <w:lang w:val="fr-FR"/>
        </w:rPr>
        <w:t>Fabricio Santana Santos (Brésil) sur l</w:t>
      </w:r>
      <w:r w:rsidR="00F3296C" w:rsidRPr="0048528B">
        <w:rPr>
          <w:lang w:val="fr-FR"/>
        </w:rPr>
        <w:t>’</w:t>
      </w:r>
      <w:r w:rsidR="00473A08" w:rsidRPr="0048528B">
        <w:rPr>
          <w:lang w:val="fr-FR"/>
        </w:rPr>
        <w:t>utilisation de techniques moléculaires au Brésil (voir le paragraphe</w:t>
      </w:r>
      <w:r w:rsidR="00E3136C" w:rsidRPr="0048528B">
        <w:rPr>
          <w:lang w:val="fr-FR"/>
        </w:rPr>
        <w:t> </w:t>
      </w:r>
      <w:r w:rsidR="00473A08" w:rsidRPr="0048528B">
        <w:rPr>
          <w:lang w:val="fr-FR"/>
        </w:rPr>
        <w:t xml:space="preserve">129 du </w:t>
      </w:r>
      <w:r w:rsidR="00F3296C" w:rsidRPr="0048528B">
        <w:rPr>
          <w:lang w:val="fr-FR"/>
        </w:rPr>
        <w:t>document TC</w:t>
      </w:r>
      <w:r w:rsidR="00473A08" w:rsidRPr="0048528B">
        <w:rPr>
          <w:lang w:val="fr-FR"/>
        </w:rPr>
        <w:t>/49/41 “Compte rendu des conclusions</w:t>
      </w:r>
      <w:r w:rsidR="00E3136C" w:rsidRPr="0048528B">
        <w:rPr>
          <w:lang w:val="fr-FR"/>
        </w:rPr>
        <w:t>”</w:t>
      </w:r>
      <w:r w:rsidR="00473A08" w:rsidRPr="0048528B">
        <w:rPr>
          <w:lang w:val="fr-FR"/>
        </w:rPr>
        <w:t>).</w:t>
      </w:r>
    </w:p>
    <w:p w:rsidR="00204800" w:rsidRPr="0048528B" w:rsidRDefault="00204800" w:rsidP="00A26EF1">
      <w:pPr>
        <w:spacing w:line="360" w:lineRule="auto"/>
        <w:rPr>
          <w:lang w:val="fr-FR"/>
        </w:rPr>
      </w:pPr>
    </w:p>
    <w:p w:rsidR="00204800" w:rsidRPr="0048528B" w:rsidRDefault="00473A08" w:rsidP="00A26EF1">
      <w:pPr>
        <w:pStyle w:val="Heading4"/>
        <w:rPr>
          <w:lang w:val="fr-FR"/>
        </w:rPr>
      </w:pPr>
      <w:r w:rsidRPr="0048528B">
        <w:rPr>
          <w:lang w:val="fr-FR"/>
        </w:rPr>
        <w:lastRenderedPageBreak/>
        <w:t>Utilisation de techniques moléculaires dans le renouvellement de matériel de référence</w:t>
      </w:r>
    </w:p>
    <w:p w:rsidR="00204800" w:rsidRPr="0048528B" w:rsidRDefault="00204800" w:rsidP="00196886">
      <w:pPr>
        <w:keepNext/>
        <w:rPr>
          <w:lang w:val="fr-FR"/>
        </w:rPr>
      </w:pPr>
    </w:p>
    <w:p w:rsidR="00204800" w:rsidRPr="0048528B" w:rsidRDefault="00196886" w:rsidP="00473A08">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73A08" w:rsidRPr="0048528B">
        <w:rPr>
          <w:lang w:val="fr-FR"/>
        </w:rPr>
        <w:t>Le</w:t>
      </w:r>
      <w:r w:rsidR="00F3296C" w:rsidRPr="0048528B">
        <w:rPr>
          <w:lang w:val="fr-FR"/>
        </w:rPr>
        <w:t> TC</w:t>
      </w:r>
      <w:r w:rsidR="00473A08" w:rsidRPr="0048528B">
        <w:rPr>
          <w:lang w:val="fr-FR"/>
        </w:rPr>
        <w:t xml:space="preserve"> a suivi un exposé de M. Kees van Ettekoven (Pays</w:t>
      </w:r>
      <w:r w:rsidR="003F00B6" w:rsidRPr="0048528B">
        <w:rPr>
          <w:lang w:val="fr-FR"/>
        </w:rPr>
        <w:noBreakHyphen/>
      </w:r>
      <w:r w:rsidR="00473A08" w:rsidRPr="0048528B">
        <w:rPr>
          <w:lang w:val="fr-FR"/>
        </w:rPr>
        <w:t>Bas) sur l</w:t>
      </w:r>
      <w:r w:rsidR="00F3296C" w:rsidRPr="0048528B">
        <w:rPr>
          <w:lang w:val="fr-FR"/>
        </w:rPr>
        <w:t>’</w:t>
      </w:r>
      <w:r w:rsidR="00473A08" w:rsidRPr="0048528B">
        <w:rPr>
          <w:lang w:val="fr-FR"/>
        </w:rPr>
        <w:t>utilisation de techniques moléculaires dans le renouvellement de matériel de référence (voir le paragraphe</w:t>
      </w:r>
      <w:r w:rsidR="00E3136C" w:rsidRPr="0048528B">
        <w:rPr>
          <w:lang w:val="fr-FR"/>
        </w:rPr>
        <w:t> </w:t>
      </w:r>
      <w:r w:rsidR="00473A08" w:rsidRPr="0048528B">
        <w:rPr>
          <w:lang w:val="fr-FR"/>
        </w:rPr>
        <w:t xml:space="preserve">130 du </w:t>
      </w:r>
      <w:r w:rsidR="00F3296C" w:rsidRPr="0048528B">
        <w:rPr>
          <w:lang w:val="fr-FR"/>
        </w:rPr>
        <w:t>document TC</w:t>
      </w:r>
      <w:r w:rsidR="00473A08" w:rsidRPr="0048528B">
        <w:rPr>
          <w:lang w:val="fr-FR"/>
        </w:rPr>
        <w:t>/49/41 “Compte rendu des conclusions</w:t>
      </w:r>
      <w:r w:rsidR="00E3136C" w:rsidRPr="0048528B">
        <w:rPr>
          <w:lang w:val="fr-FR"/>
        </w:rPr>
        <w:t>”</w:t>
      </w:r>
      <w:r w:rsidR="00473A08" w:rsidRPr="0048528B">
        <w:rPr>
          <w:lang w:val="fr-FR"/>
        </w:rPr>
        <w:t>).</w:t>
      </w:r>
    </w:p>
    <w:p w:rsidR="00204800" w:rsidRPr="0048528B" w:rsidRDefault="00204800" w:rsidP="00196886">
      <w:pPr>
        <w:spacing w:line="360" w:lineRule="auto"/>
        <w:rPr>
          <w:lang w:val="fr-FR"/>
        </w:rPr>
      </w:pPr>
    </w:p>
    <w:p w:rsidR="00204800" w:rsidRPr="0048528B" w:rsidRDefault="00473A08" w:rsidP="00473A08">
      <w:pPr>
        <w:pStyle w:val="Heading3"/>
        <w:rPr>
          <w:lang w:val="fr-FR"/>
        </w:rPr>
      </w:pPr>
      <w:bookmarkStart w:id="37" w:name="_Toc367888556"/>
      <w:r w:rsidRPr="0048528B">
        <w:rPr>
          <w:lang w:val="fr-FR"/>
        </w:rPr>
        <w:t>Présentation de la situation concernant l</w:t>
      </w:r>
      <w:r w:rsidR="00F3296C" w:rsidRPr="0048528B">
        <w:rPr>
          <w:lang w:val="fr-FR"/>
        </w:rPr>
        <w:t>’</w:t>
      </w:r>
      <w:r w:rsidRPr="0048528B">
        <w:rPr>
          <w:lang w:val="fr-FR"/>
        </w:rPr>
        <w:t>utilisation de techniques moléculaires dans d</w:t>
      </w:r>
      <w:r w:rsidR="00F3296C" w:rsidRPr="0048528B">
        <w:rPr>
          <w:lang w:val="fr-FR"/>
        </w:rPr>
        <w:t>’</w:t>
      </w:r>
      <w:r w:rsidRPr="0048528B">
        <w:rPr>
          <w:lang w:val="fr-FR"/>
        </w:rPr>
        <w:t>autres organisations internationales</w:t>
      </w:r>
      <w:bookmarkEnd w:id="37"/>
    </w:p>
    <w:p w:rsidR="00204800" w:rsidRPr="0048528B" w:rsidRDefault="00204800" w:rsidP="00196886">
      <w:pPr>
        <w:keepNext/>
        <w:rPr>
          <w:snapToGrid w:val="0"/>
          <w:lang w:val="fr-FR"/>
        </w:rPr>
      </w:pPr>
    </w:p>
    <w:p w:rsidR="00CE0C30" w:rsidRPr="0048528B" w:rsidRDefault="00196886" w:rsidP="00473A08">
      <w:pPr>
        <w:pStyle w:val="Heading4"/>
        <w:rPr>
          <w:lang w:val="fr-FR"/>
        </w:rPr>
      </w:pPr>
      <w:r w:rsidRPr="0048528B">
        <w:rPr>
          <w:lang w:val="fr-FR"/>
        </w:rPr>
        <w:t>Situation</w:t>
      </w:r>
      <w:r w:rsidR="00473A08" w:rsidRPr="0048528B">
        <w:rPr>
          <w:lang w:val="fr-FR"/>
        </w:rPr>
        <w:t xml:space="preserve"> concernant l</w:t>
      </w:r>
      <w:r w:rsidR="00F3296C" w:rsidRPr="0048528B">
        <w:rPr>
          <w:lang w:val="fr-FR"/>
        </w:rPr>
        <w:t>’</w:t>
      </w:r>
      <w:r w:rsidR="00473A08" w:rsidRPr="0048528B">
        <w:rPr>
          <w:lang w:val="fr-FR"/>
        </w:rPr>
        <w:t>utilisation de techniques moléculaires en relation avec les semences à l</w:t>
      </w:r>
      <w:r w:rsidR="00F3296C" w:rsidRPr="0048528B">
        <w:rPr>
          <w:lang w:val="fr-FR"/>
        </w:rPr>
        <w:t>’</w:t>
      </w:r>
      <w:r w:rsidR="00473A08" w:rsidRPr="0048528B">
        <w:rPr>
          <w:lang w:val="fr-FR"/>
        </w:rPr>
        <w:t>Organisation internationale de normalisation</w:t>
      </w:r>
    </w:p>
    <w:p w:rsidR="00204800" w:rsidRPr="0048528B" w:rsidRDefault="00204800" w:rsidP="00196886">
      <w:pPr>
        <w:keepNext/>
        <w:rPr>
          <w:lang w:val="fr-FR"/>
        </w:rPr>
      </w:pPr>
    </w:p>
    <w:p w:rsidR="00204800" w:rsidRPr="0048528B" w:rsidRDefault="00196886" w:rsidP="00196886">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00473A08" w:rsidRPr="0048528B">
        <w:rPr>
          <w:lang w:val="fr-FR"/>
        </w:rPr>
        <w:t>Le</w:t>
      </w:r>
      <w:r w:rsidR="00F3296C" w:rsidRPr="0048528B">
        <w:rPr>
          <w:lang w:val="fr-FR"/>
        </w:rPr>
        <w:t> TC</w:t>
      </w:r>
      <w:r w:rsidR="00473A08" w:rsidRPr="0048528B">
        <w:rPr>
          <w:lang w:val="fr-FR"/>
        </w:rPr>
        <w:t xml:space="preserve"> a suivi un exposé préparé par M.</w:t>
      </w:r>
      <w:r w:rsidR="00E3136C" w:rsidRPr="0048528B">
        <w:rPr>
          <w:lang w:val="fr-FR"/>
        </w:rPr>
        <w:t> </w:t>
      </w:r>
      <w:r w:rsidR="00473A08" w:rsidRPr="0048528B">
        <w:rPr>
          <w:lang w:val="fr-FR"/>
        </w:rPr>
        <w:t>Michael Sussman (ISO) et présenté par M.</w:t>
      </w:r>
      <w:r w:rsidR="00E3136C" w:rsidRPr="0048528B">
        <w:rPr>
          <w:lang w:val="fr-FR"/>
        </w:rPr>
        <w:t> </w:t>
      </w:r>
      <w:r w:rsidR="00473A08" w:rsidRPr="0048528B">
        <w:rPr>
          <w:lang w:val="fr-FR"/>
        </w:rPr>
        <w:t>Paul Zankowski (États</w:t>
      </w:r>
      <w:r w:rsidR="003F00B6" w:rsidRPr="0048528B">
        <w:rPr>
          <w:lang w:val="fr-FR"/>
        </w:rPr>
        <w:noBreakHyphen/>
      </w:r>
      <w:r w:rsidR="00473A08" w:rsidRPr="0048528B">
        <w:rPr>
          <w:lang w:val="fr-FR"/>
        </w:rPr>
        <w:t>Unis d</w:t>
      </w:r>
      <w:r w:rsidR="00F3296C" w:rsidRPr="0048528B">
        <w:rPr>
          <w:lang w:val="fr-FR"/>
        </w:rPr>
        <w:t>’</w:t>
      </w:r>
      <w:r w:rsidR="00473A08" w:rsidRPr="0048528B">
        <w:rPr>
          <w:lang w:val="fr-FR"/>
        </w:rPr>
        <w:t>Amérique) sur la situation concernant l</w:t>
      </w:r>
      <w:r w:rsidR="00F3296C" w:rsidRPr="0048528B">
        <w:rPr>
          <w:lang w:val="fr-FR"/>
        </w:rPr>
        <w:t>’</w:t>
      </w:r>
      <w:r w:rsidR="00473A08" w:rsidRPr="0048528B">
        <w:rPr>
          <w:lang w:val="fr-FR"/>
        </w:rPr>
        <w:t>utilisation de techniques moléculaires en relation avec les semences à l</w:t>
      </w:r>
      <w:r w:rsidR="00F3296C" w:rsidRPr="0048528B">
        <w:rPr>
          <w:lang w:val="fr-FR"/>
        </w:rPr>
        <w:t>’</w:t>
      </w:r>
      <w:r w:rsidR="00473A08" w:rsidRPr="0048528B">
        <w:rPr>
          <w:lang w:val="fr-FR"/>
        </w:rPr>
        <w:t>Organisation internationale de normalisation (ISO)</w:t>
      </w:r>
      <w:r w:rsidR="00302B5C" w:rsidRPr="0048528B">
        <w:rPr>
          <w:lang w:val="fr-FR"/>
        </w:rPr>
        <w:t xml:space="preserve"> (</w:t>
      </w:r>
      <w:r w:rsidR="00473A08" w:rsidRPr="0048528B">
        <w:rPr>
          <w:lang w:val="fr-FR"/>
        </w:rPr>
        <w:t>voir le paragraphe</w:t>
      </w:r>
      <w:r w:rsidR="00E3136C" w:rsidRPr="0048528B">
        <w:rPr>
          <w:lang w:val="fr-FR"/>
        </w:rPr>
        <w:t> </w:t>
      </w:r>
      <w:r w:rsidR="00473A08" w:rsidRPr="0048528B">
        <w:rPr>
          <w:lang w:val="fr-FR"/>
        </w:rPr>
        <w:t xml:space="preserve">131 du </w:t>
      </w:r>
      <w:r w:rsidR="00F3296C" w:rsidRPr="0048528B">
        <w:rPr>
          <w:lang w:val="fr-FR"/>
        </w:rPr>
        <w:t>document TC</w:t>
      </w:r>
      <w:r w:rsidR="00473A08" w:rsidRPr="0048528B">
        <w:rPr>
          <w:lang w:val="fr-FR"/>
        </w:rPr>
        <w:t>/49/41 “Compte rendu des conclusions</w:t>
      </w:r>
      <w:r w:rsidR="00E3136C" w:rsidRPr="0048528B">
        <w:rPr>
          <w:lang w:val="fr-FR"/>
        </w:rPr>
        <w:t>”</w:t>
      </w:r>
      <w:r w:rsidR="00302B5C" w:rsidRPr="0048528B">
        <w:rPr>
          <w:lang w:val="fr-FR"/>
        </w:rPr>
        <w:t>)</w:t>
      </w:r>
      <w:r w:rsidRPr="0048528B">
        <w:rPr>
          <w:lang w:val="fr-FR"/>
        </w:rPr>
        <w:t>.</w:t>
      </w:r>
    </w:p>
    <w:p w:rsidR="00204800" w:rsidRPr="0048528B" w:rsidRDefault="00204800" w:rsidP="00196886">
      <w:pPr>
        <w:rPr>
          <w:lang w:val="fr-FR"/>
        </w:rPr>
      </w:pPr>
    </w:p>
    <w:p w:rsidR="00C97F0A" w:rsidRPr="0048528B" w:rsidRDefault="00C97F0A" w:rsidP="00C864FA">
      <w:pPr>
        <w:pStyle w:val="Heading4"/>
        <w:rPr>
          <w:iCs/>
          <w:lang w:val="fr-FR"/>
        </w:rPr>
      </w:pPr>
      <w:r w:rsidRPr="0048528B">
        <w:rPr>
          <w:iCs/>
          <w:lang w:val="fr-FR"/>
        </w:rPr>
        <w:t>SITUATION CONCERNANT L</w:t>
      </w:r>
      <w:r w:rsidR="00F3296C" w:rsidRPr="0048528B">
        <w:rPr>
          <w:iCs/>
          <w:lang w:val="fr-FR"/>
        </w:rPr>
        <w:t>’</w:t>
      </w:r>
      <w:r w:rsidRPr="0048528B">
        <w:rPr>
          <w:iCs/>
          <w:lang w:val="fr-FR"/>
        </w:rPr>
        <w:t>UTILISATION DE TECHNIQUES MOLÉCULAIRES À L</w:t>
      </w:r>
      <w:r w:rsidR="00F3296C" w:rsidRPr="0048528B">
        <w:rPr>
          <w:iCs/>
          <w:lang w:val="fr-FR"/>
        </w:rPr>
        <w:t>’</w:t>
      </w:r>
      <w:r w:rsidRPr="0048528B">
        <w:rPr>
          <w:iCs/>
          <w:lang w:val="fr-FR"/>
        </w:rPr>
        <w:t>ASSOCIATION INTERNATIONALE D</w:t>
      </w:r>
      <w:r w:rsidR="00F3296C" w:rsidRPr="0048528B">
        <w:rPr>
          <w:iCs/>
          <w:lang w:val="fr-FR"/>
        </w:rPr>
        <w:t>’</w:t>
      </w:r>
      <w:r w:rsidRPr="0048528B">
        <w:rPr>
          <w:iCs/>
          <w:lang w:val="fr-FR"/>
        </w:rPr>
        <w:t>ESSAIS DE SEMENCES</w:t>
      </w:r>
    </w:p>
    <w:p w:rsidR="00C97F0A" w:rsidRPr="0048528B" w:rsidRDefault="00C97F0A" w:rsidP="00C97F0A">
      <w:pPr>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suivi un exposé de Mme</w:t>
      </w:r>
      <w:r w:rsidR="00E3136C" w:rsidRPr="0048528B">
        <w:rPr>
          <w:lang w:val="fr-FR"/>
        </w:rPr>
        <w:t> </w:t>
      </w:r>
      <w:r w:rsidRPr="0048528B">
        <w:rPr>
          <w:lang w:val="fr-FR"/>
        </w:rPr>
        <w:t>Rita Zecchinelli (ISTA) sur la situation concernant l</w:t>
      </w:r>
      <w:r w:rsidR="00F3296C" w:rsidRPr="0048528B">
        <w:rPr>
          <w:lang w:val="fr-FR"/>
        </w:rPr>
        <w:t>’</w:t>
      </w:r>
      <w:r w:rsidRPr="0048528B">
        <w:rPr>
          <w:lang w:val="fr-FR"/>
        </w:rPr>
        <w:t>utilisation de techniques moléculaires à l</w:t>
      </w:r>
      <w:r w:rsidR="00F3296C" w:rsidRPr="0048528B">
        <w:rPr>
          <w:lang w:val="fr-FR"/>
        </w:rPr>
        <w:t>’</w:t>
      </w:r>
      <w:r w:rsidRPr="0048528B">
        <w:rPr>
          <w:lang w:val="fr-FR"/>
        </w:rPr>
        <w:t>Association internationale d</w:t>
      </w:r>
      <w:r w:rsidR="00F3296C" w:rsidRPr="0048528B">
        <w:rPr>
          <w:lang w:val="fr-FR"/>
        </w:rPr>
        <w:t>’</w:t>
      </w:r>
      <w:r w:rsidRPr="0048528B">
        <w:rPr>
          <w:lang w:val="fr-FR"/>
        </w:rPr>
        <w:t>essais de semences (ISTA)</w:t>
      </w:r>
      <w:r w:rsidR="00A0245E" w:rsidRPr="0048528B">
        <w:rPr>
          <w:lang w:val="fr-FR"/>
        </w:rPr>
        <w:t>,</w:t>
      </w:r>
      <w:r w:rsidRPr="0048528B">
        <w:rPr>
          <w:lang w:val="fr-FR"/>
        </w:rPr>
        <w:t xml:space="preserve"> durant lequel Mme</w:t>
      </w:r>
      <w:r w:rsidR="00E3136C" w:rsidRPr="0048528B">
        <w:rPr>
          <w:lang w:val="fr-FR"/>
        </w:rPr>
        <w:t> </w:t>
      </w:r>
      <w:r w:rsidR="00A0245E" w:rsidRPr="0048528B">
        <w:rPr>
          <w:lang w:val="fr-FR"/>
        </w:rPr>
        <w:t>Rita </w:t>
      </w:r>
      <w:r w:rsidRPr="0048528B">
        <w:rPr>
          <w:lang w:val="fr-FR"/>
        </w:rPr>
        <w:t>Zecchinelli a fait part du soutien de l</w:t>
      </w:r>
      <w:r w:rsidR="00F3296C" w:rsidRPr="0048528B">
        <w:rPr>
          <w:lang w:val="fr-FR"/>
        </w:rPr>
        <w:t>’</w:t>
      </w:r>
      <w:r w:rsidRPr="0048528B">
        <w:rPr>
          <w:lang w:val="fr-FR"/>
        </w:rPr>
        <w:t>ISTA pour une réunion conjointe avec l</w:t>
      </w:r>
      <w:r w:rsidR="00F3296C" w:rsidRPr="0048528B">
        <w:rPr>
          <w:lang w:val="fr-FR"/>
        </w:rPr>
        <w:t>’</w:t>
      </w:r>
      <w:r w:rsidRPr="0048528B">
        <w:rPr>
          <w:lang w:val="fr-FR"/>
        </w:rPr>
        <w:t>UPOV (voir le paragraphe</w:t>
      </w:r>
      <w:r w:rsidR="00E3136C" w:rsidRPr="0048528B">
        <w:rPr>
          <w:lang w:val="fr-FR"/>
        </w:rPr>
        <w:t> </w:t>
      </w:r>
      <w:r w:rsidRPr="0048528B">
        <w:rPr>
          <w:lang w:val="fr-FR"/>
        </w:rPr>
        <w:t xml:space="preserve">132 du </w:t>
      </w:r>
      <w:r w:rsidR="00F3296C" w:rsidRPr="0048528B">
        <w:rPr>
          <w:lang w:val="fr-FR"/>
        </w:rPr>
        <w:t>document TC</w:t>
      </w:r>
      <w:r w:rsidRPr="0048528B">
        <w:rPr>
          <w:lang w:val="fr-FR"/>
        </w:rPr>
        <w:t xml:space="preserve">/49/41 </w:t>
      </w:r>
      <w:r w:rsidR="00E3136C" w:rsidRPr="0048528B">
        <w:rPr>
          <w:lang w:val="fr-FR"/>
        </w:rPr>
        <w:t>“</w:t>
      </w:r>
      <w:r w:rsidRPr="0048528B">
        <w:rPr>
          <w:lang w:val="fr-FR"/>
        </w:rPr>
        <w:t>Compte rendu des conclusions</w:t>
      </w:r>
      <w:r w:rsidR="00E3136C" w:rsidRPr="0048528B">
        <w:rPr>
          <w:lang w:val="fr-FR"/>
        </w:rPr>
        <w:t>”</w:t>
      </w:r>
      <w:r w:rsidRPr="0048528B">
        <w:rPr>
          <w:lang w:val="fr-FR"/>
        </w:rPr>
        <w:t>).</w:t>
      </w:r>
    </w:p>
    <w:p w:rsidR="00C97F0A" w:rsidRPr="0048528B" w:rsidRDefault="00C97F0A" w:rsidP="00C97F0A">
      <w:pPr>
        <w:rPr>
          <w:lang w:val="fr-FR"/>
        </w:rPr>
      </w:pPr>
    </w:p>
    <w:p w:rsidR="00C97F0A" w:rsidRPr="0048528B" w:rsidRDefault="00C97F0A" w:rsidP="00C864FA">
      <w:pPr>
        <w:pStyle w:val="Heading4"/>
        <w:rPr>
          <w:iCs/>
          <w:lang w:val="fr-FR"/>
        </w:rPr>
      </w:pPr>
      <w:r w:rsidRPr="0048528B">
        <w:rPr>
          <w:iCs/>
          <w:lang w:val="fr-FR"/>
        </w:rPr>
        <w:t>SITUATION CONCERNANT L</w:t>
      </w:r>
      <w:r w:rsidR="00F3296C" w:rsidRPr="0048528B">
        <w:rPr>
          <w:iCs/>
          <w:lang w:val="fr-FR"/>
        </w:rPr>
        <w:t>’</w:t>
      </w:r>
      <w:r w:rsidRPr="0048528B">
        <w:rPr>
          <w:iCs/>
          <w:lang w:val="fr-FR"/>
        </w:rPr>
        <w:t>UTILISATI</w:t>
      </w:r>
      <w:r w:rsidR="00A816B9" w:rsidRPr="0048528B">
        <w:rPr>
          <w:iCs/>
          <w:lang w:val="fr-FR"/>
        </w:rPr>
        <w:t>ON DE TECHNIQUES MOLÉCULAIRES À </w:t>
      </w:r>
      <w:r w:rsidRPr="0048528B">
        <w:rPr>
          <w:iCs/>
          <w:lang w:val="fr-FR"/>
        </w:rPr>
        <w:t>L</w:t>
      </w:r>
      <w:r w:rsidR="00F3296C" w:rsidRPr="0048528B">
        <w:rPr>
          <w:iCs/>
          <w:lang w:val="fr-FR"/>
        </w:rPr>
        <w:t>’</w:t>
      </w:r>
      <w:r w:rsidRPr="0048528B">
        <w:rPr>
          <w:iCs/>
          <w:lang w:val="fr-FR"/>
        </w:rPr>
        <w:t>ORGANISATION DE COOPÉRATION ET DE DÉVELOPPEMENT ÉCONOMIQUES</w:t>
      </w:r>
    </w:p>
    <w:p w:rsidR="00C97F0A" w:rsidRPr="0048528B" w:rsidRDefault="00C97F0A" w:rsidP="00C97F0A">
      <w:pPr>
        <w:keepNext/>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suivi un exposé de M.</w:t>
      </w:r>
      <w:r w:rsidR="00E3136C" w:rsidRPr="0048528B">
        <w:rPr>
          <w:lang w:val="fr-FR"/>
        </w:rPr>
        <w:t> </w:t>
      </w:r>
      <w:r w:rsidRPr="0048528B">
        <w:rPr>
          <w:lang w:val="fr-FR"/>
        </w:rPr>
        <w:t>Michael Ryan (OCDE) sur la situation concernant l</w:t>
      </w:r>
      <w:r w:rsidR="00F3296C" w:rsidRPr="0048528B">
        <w:rPr>
          <w:lang w:val="fr-FR"/>
        </w:rPr>
        <w:t>’</w:t>
      </w:r>
      <w:r w:rsidRPr="0048528B">
        <w:rPr>
          <w:lang w:val="fr-FR"/>
        </w:rPr>
        <w:t>utilisation de techniques moléculaires à l</w:t>
      </w:r>
      <w:r w:rsidR="00F3296C" w:rsidRPr="0048528B">
        <w:rPr>
          <w:lang w:val="fr-FR"/>
        </w:rPr>
        <w:t>’</w:t>
      </w:r>
      <w:r w:rsidRPr="0048528B">
        <w:rPr>
          <w:lang w:val="fr-FR"/>
        </w:rPr>
        <w:t>Organisation de coopération et de développement économiques (OCDE)</w:t>
      </w:r>
      <w:r w:rsidR="00A0245E" w:rsidRPr="0048528B">
        <w:rPr>
          <w:lang w:val="fr-FR"/>
        </w:rPr>
        <w:t>,</w:t>
      </w:r>
      <w:r w:rsidRPr="0048528B">
        <w:rPr>
          <w:lang w:val="fr-FR"/>
        </w:rPr>
        <w:t xml:space="preserve"> durant lequel M.</w:t>
      </w:r>
      <w:r w:rsidR="00E3136C" w:rsidRPr="0048528B">
        <w:rPr>
          <w:lang w:val="fr-FR"/>
        </w:rPr>
        <w:t> </w:t>
      </w:r>
      <w:r w:rsidRPr="0048528B">
        <w:rPr>
          <w:lang w:val="fr-FR"/>
        </w:rPr>
        <w:t>Ryan a fait part du soutien de l</w:t>
      </w:r>
      <w:r w:rsidR="00F3296C" w:rsidRPr="0048528B">
        <w:rPr>
          <w:lang w:val="fr-FR"/>
        </w:rPr>
        <w:t>’</w:t>
      </w:r>
      <w:r w:rsidRPr="0048528B">
        <w:rPr>
          <w:lang w:val="fr-FR"/>
        </w:rPr>
        <w:t>OCDE pour une réunion conjointe avec l</w:t>
      </w:r>
      <w:r w:rsidR="00F3296C" w:rsidRPr="0048528B">
        <w:rPr>
          <w:lang w:val="fr-FR"/>
        </w:rPr>
        <w:t>’</w:t>
      </w:r>
      <w:r w:rsidRPr="0048528B">
        <w:rPr>
          <w:lang w:val="fr-FR"/>
        </w:rPr>
        <w:t>UPOV (voir le paragraphe</w:t>
      </w:r>
      <w:r w:rsidR="00E3136C" w:rsidRPr="0048528B">
        <w:rPr>
          <w:lang w:val="fr-FR"/>
        </w:rPr>
        <w:t> </w:t>
      </w:r>
      <w:r w:rsidRPr="0048528B">
        <w:rPr>
          <w:lang w:val="fr-FR"/>
        </w:rPr>
        <w:t xml:space="preserve">133 du </w:t>
      </w:r>
      <w:r w:rsidR="00F3296C" w:rsidRPr="0048528B">
        <w:rPr>
          <w:lang w:val="fr-FR"/>
        </w:rPr>
        <w:t>document TC</w:t>
      </w:r>
      <w:r w:rsidRPr="0048528B">
        <w:rPr>
          <w:lang w:val="fr-FR"/>
        </w:rPr>
        <w:t>/49/41 “Compte rendu des conclusions”).</w:t>
      </w:r>
    </w:p>
    <w:p w:rsidR="00C97F0A" w:rsidRPr="0048528B" w:rsidRDefault="00C97F0A" w:rsidP="00CA0D7D">
      <w:pPr>
        <w:spacing w:line="360" w:lineRule="auto"/>
        <w:rPr>
          <w:lang w:val="fr-FR"/>
        </w:rPr>
      </w:pPr>
    </w:p>
    <w:p w:rsidR="00C97F0A" w:rsidRPr="0048528B" w:rsidRDefault="00C97F0A" w:rsidP="00C97F0A">
      <w:pPr>
        <w:pStyle w:val="Heading3"/>
        <w:rPr>
          <w:lang w:val="fr-FR"/>
        </w:rPr>
      </w:pPr>
      <w:bookmarkStart w:id="38" w:name="_Toc367888557"/>
      <w:r w:rsidRPr="0048528B">
        <w:rPr>
          <w:lang w:val="fr-FR"/>
        </w:rPr>
        <w:t>Débat</w:t>
      </w:r>
      <w:bookmarkEnd w:id="38"/>
    </w:p>
    <w:p w:rsidR="00C97F0A" w:rsidRPr="0048528B" w:rsidRDefault="00C97F0A" w:rsidP="00C97F0A">
      <w:pPr>
        <w:keepNext/>
        <w:rPr>
          <w:lang w:val="fr-FR"/>
        </w:rPr>
      </w:pPr>
    </w:p>
    <w:p w:rsidR="00C97F0A" w:rsidRPr="0048528B" w:rsidRDefault="00C97F0A" w:rsidP="00C97F0A">
      <w:pPr>
        <w:keepNext/>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rappelé que le BMT était un groupe ouvert aux experts de l</w:t>
      </w:r>
      <w:r w:rsidR="00F3296C" w:rsidRPr="0048528B">
        <w:rPr>
          <w:lang w:val="fr-FR"/>
        </w:rPr>
        <w:t>’</w:t>
      </w:r>
      <w:r w:rsidRPr="0048528B">
        <w:rPr>
          <w:lang w:val="fr-FR"/>
        </w:rPr>
        <w:t>examen DHS, aux spécialistes en techniques biochimiques et moléculaires et aux obtenteurs, dont le rôle consistait :</w:t>
      </w:r>
    </w:p>
    <w:p w:rsidR="00C97F0A" w:rsidRPr="0048528B" w:rsidRDefault="00C97F0A" w:rsidP="00C97F0A">
      <w:pPr>
        <w:ind w:left="567"/>
        <w:rPr>
          <w:lang w:val="fr-FR"/>
        </w:rPr>
      </w:pPr>
    </w:p>
    <w:p w:rsidR="00C97F0A" w:rsidRPr="0048528B" w:rsidRDefault="00C97F0A" w:rsidP="00A816B9">
      <w:pPr>
        <w:tabs>
          <w:tab w:val="left" w:pos="1134"/>
        </w:tabs>
        <w:ind w:left="567"/>
        <w:rPr>
          <w:lang w:val="fr-FR"/>
        </w:rPr>
      </w:pPr>
      <w:r w:rsidRPr="0048528B">
        <w:rPr>
          <w:lang w:val="fr-FR"/>
        </w:rPr>
        <w:t xml:space="preserve">i) </w:t>
      </w:r>
      <w:r w:rsidR="00A816B9" w:rsidRPr="0048528B">
        <w:rPr>
          <w:lang w:val="fr-FR"/>
        </w:rPr>
        <w:tab/>
      </w:r>
      <w:r w:rsidRPr="0048528B">
        <w:rPr>
          <w:lang w:val="fr-FR"/>
        </w:rPr>
        <w:t>à suivre l</w:t>
      </w:r>
      <w:r w:rsidR="00F3296C" w:rsidRPr="0048528B">
        <w:rPr>
          <w:lang w:val="fr-FR"/>
        </w:rPr>
        <w:t>’</w:t>
      </w:r>
      <w:r w:rsidRPr="0048528B">
        <w:rPr>
          <w:lang w:val="fr-FR"/>
        </w:rPr>
        <w:t>évolution générale des techniques biochimiques et moléculaires;</w:t>
      </w:r>
    </w:p>
    <w:p w:rsidR="00C97F0A" w:rsidRPr="0048528B" w:rsidRDefault="00C97F0A" w:rsidP="00A816B9">
      <w:pPr>
        <w:tabs>
          <w:tab w:val="left" w:pos="1134"/>
        </w:tabs>
        <w:ind w:left="567"/>
        <w:rPr>
          <w:lang w:val="fr-FR"/>
        </w:rPr>
      </w:pPr>
    </w:p>
    <w:p w:rsidR="00C97F0A" w:rsidRPr="0048528B" w:rsidRDefault="00C97F0A" w:rsidP="00A816B9">
      <w:pPr>
        <w:tabs>
          <w:tab w:val="left" w:pos="1134"/>
        </w:tabs>
        <w:ind w:left="567"/>
        <w:rPr>
          <w:lang w:val="fr-FR"/>
        </w:rPr>
      </w:pPr>
      <w:r w:rsidRPr="0048528B">
        <w:rPr>
          <w:lang w:val="fr-FR"/>
        </w:rPr>
        <w:t xml:space="preserve">ii) </w:t>
      </w:r>
      <w:r w:rsidR="00A816B9" w:rsidRPr="0048528B">
        <w:rPr>
          <w:lang w:val="fr-FR"/>
        </w:rPr>
        <w:tab/>
      </w:r>
      <w:r w:rsidRPr="0048528B">
        <w:rPr>
          <w:lang w:val="fr-FR"/>
        </w:rPr>
        <w:t>à se tenir au courant des applications des techniques biochimiques et moléculaires à l</w:t>
      </w:r>
      <w:r w:rsidR="00F3296C" w:rsidRPr="0048528B">
        <w:rPr>
          <w:lang w:val="fr-FR"/>
        </w:rPr>
        <w:t>’</w:t>
      </w:r>
      <w:r w:rsidRPr="0048528B">
        <w:rPr>
          <w:lang w:val="fr-FR"/>
        </w:rPr>
        <w:t>amélioration des plantes;</w:t>
      </w:r>
    </w:p>
    <w:p w:rsidR="00C97F0A" w:rsidRPr="0048528B" w:rsidRDefault="00C97F0A" w:rsidP="00A816B9">
      <w:pPr>
        <w:tabs>
          <w:tab w:val="left" w:pos="1134"/>
        </w:tabs>
        <w:ind w:left="567"/>
        <w:rPr>
          <w:lang w:val="fr-FR"/>
        </w:rPr>
      </w:pPr>
    </w:p>
    <w:p w:rsidR="00C97F0A" w:rsidRPr="0048528B" w:rsidRDefault="00C97F0A" w:rsidP="00A816B9">
      <w:pPr>
        <w:tabs>
          <w:tab w:val="left" w:pos="1134"/>
        </w:tabs>
        <w:ind w:left="567"/>
        <w:rPr>
          <w:lang w:val="fr-FR"/>
        </w:rPr>
      </w:pPr>
      <w:r w:rsidRPr="0048528B">
        <w:rPr>
          <w:lang w:val="fr-FR"/>
        </w:rPr>
        <w:t xml:space="preserve">iii) </w:t>
      </w:r>
      <w:r w:rsidR="00A816B9" w:rsidRPr="0048528B">
        <w:rPr>
          <w:lang w:val="fr-FR"/>
        </w:rPr>
        <w:tab/>
      </w:r>
      <w:r w:rsidRPr="0048528B">
        <w:rPr>
          <w:lang w:val="fr-FR"/>
        </w:rPr>
        <w:t>à examiner les possibilités d</w:t>
      </w:r>
      <w:r w:rsidR="00F3296C" w:rsidRPr="0048528B">
        <w:rPr>
          <w:lang w:val="fr-FR"/>
        </w:rPr>
        <w:t>’</w:t>
      </w:r>
      <w:r w:rsidRPr="0048528B">
        <w:rPr>
          <w:lang w:val="fr-FR"/>
        </w:rPr>
        <w:t>application des techniques biochimiques et moléculaires à l</w:t>
      </w:r>
      <w:r w:rsidR="00F3296C" w:rsidRPr="0048528B">
        <w:rPr>
          <w:lang w:val="fr-FR"/>
        </w:rPr>
        <w:t>’</w:t>
      </w:r>
      <w:r w:rsidRPr="0048528B">
        <w:rPr>
          <w:lang w:val="fr-FR"/>
        </w:rPr>
        <w:t>examen DHS et à rendre compte de ses réflexions au Comité technique;</w:t>
      </w:r>
    </w:p>
    <w:p w:rsidR="00C97F0A" w:rsidRPr="0048528B" w:rsidRDefault="00C97F0A" w:rsidP="00A816B9">
      <w:pPr>
        <w:tabs>
          <w:tab w:val="left" w:pos="1134"/>
        </w:tabs>
        <w:ind w:left="567"/>
        <w:rPr>
          <w:lang w:val="fr-FR"/>
        </w:rPr>
      </w:pPr>
    </w:p>
    <w:p w:rsidR="00C97F0A" w:rsidRPr="0048528B" w:rsidRDefault="00C97F0A" w:rsidP="00A816B9">
      <w:pPr>
        <w:tabs>
          <w:tab w:val="left" w:pos="1134"/>
        </w:tabs>
        <w:ind w:left="567"/>
        <w:rPr>
          <w:lang w:val="fr-FR"/>
        </w:rPr>
      </w:pPr>
      <w:r w:rsidRPr="0048528B">
        <w:rPr>
          <w:lang w:val="fr-FR"/>
        </w:rPr>
        <w:t xml:space="preserve">iv) </w:t>
      </w:r>
      <w:r w:rsidR="00A816B9" w:rsidRPr="0048528B">
        <w:rPr>
          <w:lang w:val="fr-FR"/>
        </w:rPr>
        <w:tab/>
      </w:r>
      <w:r w:rsidRPr="0048528B">
        <w:rPr>
          <w:lang w:val="fr-FR"/>
        </w:rPr>
        <w:t>le cas échéant, à élaborer des directives relatives aux méthodes biochimiques et moléculaires et à leur harmonisation et, en particulier, à contribuer à l</w:t>
      </w:r>
      <w:r w:rsidR="00F3296C" w:rsidRPr="0048528B">
        <w:rPr>
          <w:lang w:val="fr-FR"/>
        </w:rPr>
        <w:t>’</w:t>
      </w:r>
      <w:r w:rsidRPr="0048528B">
        <w:rPr>
          <w:lang w:val="fr-FR"/>
        </w:rPr>
        <w:t>élaboration du document TGP/15, intitulé “Nouveaux types de caractères”.  Ces directives devaient être élaborées en commun avec les groupes de travail techniques;</w:t>
      </w:r>
    </w:p>
    <w:p w:rsidR="00C97F0A" w:rsidRPr="0048528B" w:rsidRDefault="00C97F0A" w:rsidP="00A816B9">
      <w:pPr>
        <w:tabs>
          <w:tab w:val="left" w:pos="1134"/>
        </w:tabs>
        <w:ind w:left="567"/>
        <w:rPr>
          <w:lang w:val="fr-FR"/>
        </w:rPr>
      </w:pPr>
    </w:p>
    <w:p w:rsidR="00C97F0A" w:rsidRPr="0048528B" w:rsidRDefault="00C97F0A" w:rsidP="00A816B9">
      <w:pPr>
        <w:tabs>
          <w:tab w:val="left" w:pos="1134"/>
        </w:tabs>
        <w:ind w:left="567"/>
        <w:rPr>
          <w:lang w:val="fr-FR"/>
        </w:rPr>
      </w:pPr>
      <w:r w:rsidRPr="0048528B">
        <w:rPr>
          <w:lang w:val="fr-FR"/>
        </w:rPr>
        <w:t xml:space="preserve">v) </w:t>
      </w:r>
      <w:r w:rsidR="00A816B9" w:rsidRPr="0048528B">
        <w:rPr>
          <w:lang w:val="fr-FR"/>
        </w:rPr>
        <w:tab/>
      </w:r>
      <w:r w:rsidRPr="0048528B">
        <w:rPr>
          <w:lang w:val="fr-FR"/>
        </w:rPr>
        <w:t>à examiner les initiatives des groupes de travail techniques en ce qui concerne la création de sous</w:t>
      </w:r>
      <w:r w:rsidR="003F00B6" w:rsidRPr="0048528B">
        <w:rPr>
          <w:lang w:val="fr-FR"/>
        </w:rPr>
        <w:noBreakHyphen/>
      </w:r>
      <w:r w:rsidRPr="0048528B">
        <w:rPr>
          <w:lang w:val="fr-FR"/>
        </w:rPr>
        <w:t>groupes pour les plantes cultivées, en tenant compte des informations existantes et de la nécessité de disposer de méthodes biochimiques et moléculaires;</w:t>
      </w:r>
    </w:p>
    <w:p w:rsidR="00C97F0A" w:rsidRPr="0048528B" w:rsidRDefault="00C97F0A" w:rsidP="00A816B9">
      <w:pPr>
        <w:tabs>
          <w:tab w:val="left" w:pos="1134"/>
        </w:tabs>
        <w:ind w:left="567"/>
        <w:rPr>
          <w:lang w:val="fr-FR"/>
        </w:rPr>
      </w:pPr>
    </w:p>
    <w:p w:rsidR="00094CE7" w:rsidRPr="0048528B" w:rsidRDefault="00C97F0A" w:rsidP="00A816B9">
      <w:pPr>
        <w:tabs>
          <w:tab w:val="left" w:pos="1134"/>
        </w:tabs>
        <w:ind w:left="567"/>
        <w:rPr>
          <w:lang w:val="fr-FR"/>
        </w:rPr>
      </w:pPr>
      <w:r w:rsidRPr="0048528B">
        <w:rPr>
          <w:lang w:val="fr-FR"/>
        </w:rPr>
        <w:t xml:space="preserve">vi) </w:t>
      </w:r>
      <w:r w:rsidR="00A816B9" w:rsidRPr="0048528B">
        <w:rPr>
          <w:lang w:val="fr-FR"/>
        </w:rPr>
        <w:tab/>
      </w:r>
      <w:r w:rsidRPr="0048528B">
        <w:rPr>
          <w:lang w:val="fr-FR"/>
        </w:rPr>
        <w:t>à élaborer, conjointement avec</w:t>
      </w:r>
      <w:r w:rsidR="00F3296C" w:rsidRPr="0048528B">
        <w:rPr>
          <w:lang w:val="fr-FR"/>
        </w:rPr>
        <w:t xml:space="preserve"> le TWC</w:t>
      </w:r>
      <w:r w:rsidRPr="0048528B">
        <w:rPr>
          <w:lang w:val="fr-FR"/>
        </w:rPr>
        <w:t>, des directives relatives à la gestion et à l</w:t>
      </w:r>
      <w:r w:rsidR="00F3296C" w:rsidRPr="0048528B">
        <w:rPr>
          <w:lang w:val="fr-FR"/>
        </w:rPr>
        <w:t>’</w:t>
      </w:r>
      <w:r w:rsidRPr="0048528B">
        <w:rPr>
          <w:lang w:val="fr-FR"/>
        </w:rPr>
        <w:t>harmonisation de bases de données biochimiques et moléculaires;</w:t>
      </w:r>
    </w:p>
    <w:p w:rsidR="00C97F0A" w:rsidRPr="0048528B" w:rsidRDefault="00C97F0A" w:rsidP="00A816B9">
      <w:pPr>
        <w:tabs>
          <w:tab w:val="left" w:pos="1134"/>
        </w:tabs>
        <w:ind w:left="567"/>
        <w:rPr>
          <w:lang w:val="fr-FR"/>
        </w:rPr>
      </w:pPr>
      <w:r w:rsidRPr="0048528B">
        <w:rPr>
          <w:lang w:val="fr-FR"/>
        </w:rPr>
        <w:t xml:space="preserve">vii) </w:t>
      </w:r>
      <w:r w:rsidR="00A816B9" w:rsidRPr="0048528B">
        <w:rPr>
          <w:lang w:val="fr-FR"/>
        </w:rPr>
        <w:tab/>
      </w:r>
      <w:r w:rsidRPr="0048528B">
        <w:rPr>
          <w:lang w:val="fr-FR"/>
        </w:rPr>
        <w:t>à prendre connaissance des rapports des sous</w:t>
      </w:r>
      <w:r w:rsidR="003F00B6" w:rsidRPr="0048528B">
        <w:rPr>
          <w:lang w:val="fr-FR"/>
        </w:rPr>
        <w:noBreakHyphen/>
      </w:r>
      <w:r w:rsidRPr="0048528B">
        <w:rPr>
          <w:lang w:val="fr-FR"/>
        </w:rPr>
        <w:t>groupes pour les plantes cultivées et du Groupe de réflexion sur les travaux</w:t>
      </w:r>
      <w:r w:rsidR="00F3296C" w:rsidRPr="0048528B">
        <w:rPr>
          <w:lang w:val="fr-FR"/>
        </w:rPr>
        <w:t xml:space="preserve"> du BMT</w:t>
      </w:r>
      <w:r w:rsidRPr="0048528B">
        <w:rPr>
          <w:lang w:val="fr-FR"/>
        </w:rPr>
        <w:t>;</w:t>
      </w:r>
    </w:p>
    <w:p w:rsidR="00C97F0A" w:rsidRPr="0048528B" w:rsidRDefault="00C97F0A" w:rsidP="00A816B9">
      <w:pPr>
        <w:tabs>
          <w:tab w:val="left" w:pos="1134"/>
        </w:tabs>
        <w:ind w:left="567"/>
        <w:rPr>
          <w:lang w:val="fr-FR"/>
        </w:rPr>
      </w:pPr>
    </w:p>
    <w:p w:rsidR="00C97F0A" w:rsidRPr="0048528B" w:rsidRDefault="00A816B9" w:rsidP="00A816B9">
      <w:pPr>
        <w:tabs>
          <w:tab w:val="left" w:pos="1134"/>
        </w:tabs>
        <w:ind w:left="567"/>
        <w:rPr>
          <w:lang w:val="fr-FR"/>
        </w:rPr>
      </w:pPr>
      <w:r w:rsidRPr="0048528B">
        <w:rPr>
          <w:lang w:val="fr-FR"/>
        </w:rPr>
        <w:lastRenderedPageBreak/>
        <w:t>viii)</w:t>
      </w:r>
      <w:r w:rsidRPr="0048528B">
        <w:rPr>
          <w:lang w:val="fr-FR"/>
        </w:rPr>
        <w:tab/>
      </w:r>
      <w:r w:rsidR="00C97F0A" w:rsidRPr="0048528B">
        <w:rPr>
          <w:lang w:val="fr-FR"/>
        </w:rPr>
        <w:t>à servir de cadre à des discussions sur l</w:t>
      </w:r>
      <w:r w:rsidR="00F3296C" w:rsidRPr="0048528B">
        <w:rPr>
          <w:lang w:val="fr-FR"/>
        </w:rPr>
        <w:t>’</w:t>
      </w:r>
      <w:r w:rsidR="00C97F0A" w:rsidRPr="0048528B">
        <w:rPr>
          <w:lang w:val="fr-FR"/>
        </w:rPr>
        <w:t>utilisation de techniques biochimiques et moléculaires en ce qui concerne la notion de variété essentiellement dérivée et l</w:t>
      </w:r>
      <w:r w:rsidR="00F3296C" w:rsidRPr="0048528B">
        <w:rPr>
          <w:lang w:val="fr-FR"/>
        </w:rPr>
        <w:t>’</w:t>
      </w:r>
      <w:r w:rsidR="00C97F0A" w:rsidRPr="0048528B">
        <w:rPr>
          <w:lang w:val="fr-FR"/>
        </w:rPr>
        <w:t>identification des variétés.</w:t>
      </w:r>
    </w:p>
    <w:p w:rsidR="00C97F0A" w:rsidRPr="0048528B" w:rsidRDefault="00C97F0A" w:rsidP="00C97F0A">
      <w:pPr>
        <w:rPr>
          <w:lang w:val="fr-FR"/>
        </w:rPr>
      </w:pPr>
    </w:p>
    <w:p w:rsidR="00F3296C"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À cet égard, il a fait sienne l</w:t>
      </w:r>
      <w:r w:rsidR="00F3296C" w:rsidRPr="0048528B">
        <w:rPr>
          <w:lang w:val="fr-FR"/>
        </w:rPr>
        <w:t>’</w:t>
      </w:r>
      <w:r w:rsidRPr="0048528B">
        <w:rPr>
          <w:lang w:val="fr-FR"/>
        </w:rPr>
        <w:t>initiative d</w:t>
      </w:r>
      <w:r w:rsidR="00F3296C" w:rsidRPr="0048528B">
        <w:rPr>
          <w:lang w:val="fr-FR"/>
        </w:rPr>
        <w:t>’</w:t>
      </w:r>
      <w:r w:rsidRPr="0048528B">
        <w:rPr>
          <w:lang w:val="fr-FR"/>
        </w:rPr>
        <w:t>organiser une réunion conjointe avec l</w:t>
      </w:r>
      <w:r w:rsidR="00F3296C" w:rsidRPr="0048528B">
        <w:rPr>
          <w:lang w:val="fr-FR"/>
        </w:rPr>
        <w:t>’</w:t>
      </w:r>
      <w:r w:rsidRPr="0048528B">
        <w:rPr>
          <w:lang w:val="fr-FR"/>
        </w:rPr>
        <w:t>ISO, l</w:t>
      </w:r>
      <w:r w:rsidR="00F3296C" w:rsidRPr="0048528B">
        <w:rPr>
          <w:lang w:val="fr-FR"/>
        </w:rPr>
        <w:t>’</w:t>
      </w:r>
      <w:r w:rsidRPr="0048528B">
        <w:rPr>
          <w:lang w:val="fr-FR"/>
        </w:rPr>
        <w:t>ISTA et l</w:t>
      </w:r>
      <w:r w:rsidR="00F3296C" w:rsidRPr="0048528B">
        <w:rPr>
          <w:lang w:val="fr-FR"/>
        </w:rPr>
        <w:t>’</w:t>
      </w:r>
      <w:r w:rsidRPr="0048528B">
        <w:rPr>
          <w:lang w:val="fr-FR"/>
        </w:rPr>
        <w:t>OCDE à laquelle assisteraient des obtenteurs, en vue d</w:t>
      </w:r>
      <w:r w:rsidR="00F3296C" w:rsidRPr="0048528B">
        <w:rPr>
          <w:lang w:val="fr-FR"/>
        </w:rPr>
        <w:t>’</w:t>
      </w:r>
      <w:r w:rsidRPr="0048528B">
        <w:rPr>
          <w:lang w:val="fr-FR"/>
        </w:rPr>
        <w:t>appuyer le rôle du BMT concernant les alinéas i), ii), iv)</w:t>
      </w:r>
      <w:r w:rsidR="00E3136C" w:rsidRPr="0048528B">
        <w:rPr>
          <w:lang w:val="fr-FR"/>
        </w:rPr>
        <w:t> </w:t>
      </w:r>
      <w:r w:rsidRPr="0048528B">
        <w:rPr>
          <w:lang w:val="fr-FR"/>
        </w:rPr>
        <w:t>et vi) et, en particulier, viii) ci</w:t>
      </w:r>
      <w:r w:rsidR="003F00B6" w:rsidRPr="0048528B">
        <w:rPr>
          <w:lang w:val="fr-FR"/>
        </w:rPr>
        <w:noBreakHyphen/>
      </w:r>
      <w:r w:rsidRPr="0048528B">
        <w:rPr>
          <w:lang w:val="fr-FR"/>
        </w:rPr>
        <w:t>dessus.</w:t>
      </w:r>
    </w:p>
    <w:p w:rsidR="00C97F0A" w:rsidRPr="0048528B" w:rsidRDefault="00C97F0A" w:rsidP="00C97F0A">
      <w:pPr>
        <w:rPr>
          <w:lang w:val="fr-FR"/>
        </w:rPr>
      </w:pPr>
    </w:p>
    <w:p w:rsidR="00F3296C"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est convenu qu</w:t>
      </w:r>
      <w:r w:rsidR="00F3296C" w:rsidRPr="0048528B">
        <w:rPr>
          <w:lang w:val="fr-FR"/>
        </w:rPr>
        <w:t>’</w:t>
      </w:r>
      <w:r w:rsidRPr="0048528B">
        <w:rPr>
          <w:lang w:val="fr-FR"/>
        </w:rPr>
        <w:t>il était nécessaire de fournir des informations appropriées sur la situation à l</w:t>
      </w:r>
      <w:r w:rsidR="00F3296C" w:rsidRPr="0048528B">
        <w:rPr>
          <w:lang w:val="fr-FR"/>
        </w:rPr>
        <w:t>’</w:t>
      </w:r>
      <w:r w:rsidRPr="0048528B">
        <w:rPr>
          <w:lang w:val="fr-FR"/>
        </w:rPr>
        <w:t>UPOV concernant l</w:t>
      </w:r>
      <w:r w:rsidR="00F3296C" w:rsidRPr="0048528B">
        <w:rPr>
          <w:lang w:val="fr-FR"/>
        </w:rPr>
        <w:t>’</w:t>
      </w:r>
      <w:r w:rsidRPr="0048528B">
        <w:rPr>
          <w:lang w:val="fr-FR"/>
        </w:rPr>
        <w:t>utilisation de techniques moléculaires à un plus large public, y compris les obtenteurs et le public en général.  Ces informations devraient expliquer les avantages et les inconvénients potentiels de ces techniques ainsi que le lien entre génotype et phénotype, qui sont l</w:t>
      </w:r>
      <w:r w:rsidR="00F3296C" w:rsidRPr="0048528B">
        <w:rPr>
          <w:lang w:val="fr-FR"/>
        </w:rPr>
        <w:t>’</w:t>
      </w:r>
      <w:r w:rsidRPr="0048528B">
        <w:rPr>
          <w:lang w:val="fr-FR"/>
        </w:rPr>
        <w:t>assise de la situation à l</w:t>
      </w:r>
      <w:r w:rsidR="00F3296C" w:rsidRPr="0048528B">
        <w:rPr>
          <w:lang w:val="fr-FR"/>
        </w:rPr>
        <w:t>’</w:t>
      </w:r>
      <w:r w:rsidRPr="0048528B">
        <w:rPr>
          <w:lang w:val="fr-FR"/>
        </w:rPr>
        <w:t>UPOV (voir les paragraphes</w:t>
      </w:r>
      <w:r w:rsidR="00E3136C" w:rsidRPr="0048528B">
        <w:rPr>
          <w:lang w:val="fr-FR"/>
        </w:rPr>
        <w:t> </w:t>
      </w:r>
      <w:r w:rsidRPr="0048528B">
        <w:rPr>
          <w:lang w:val="fr-FR"/>
        </w:rPr>
        <w:t xml:space="preserve">134 à 136 du </w:t>
      </w:r>
      <w:r w:rsidR="00F3296C" w:rsidRPr="0048528B">
        <w:rPr>
          <w:lang w:val="fr-FR"/>
        </w:rPr>
        <w:t>document TC</w:t>
      </w:r>
      <w:r w:rsidRPr="0048528B">
        <w:rPr>
          <w:lang w:val="fr-FR"/>
        </w:rPr>
        <w:t xml:space="preserve">/49/41 </w:t>
      </w:r>
      <w:r w:rsidR="00E3136C" w:rsidRPr="0048528B">
        <w:rPr>
          <w:lang w:val="fr-FR"/>
        </w:rPr>
        <w:t>“</w:t>
      </w:r>
      <w:r w:rsidRPr="0048528B">
        <w:rPr>
          <w:lang w:val="fr-FR"/>
        </w:rPr>
        <w:t>Compte rendu des conclusions</w:t>
      </w:r>
      <w:r w:rsidR="00E3136C" w:rsidRPr="0048528B">
        <w:rPr>
          <w:lang w:val="fr-FR"/>
        </w:rPr>
        <w:t>”</w:t>
      </w:r>
      <w:r w:rsidRPr="0048528B">
        <w:rPr>
          <w:lang w:val="fr-FR"/>
        </w:rPr>
        <w:t>)</w:t>
      </w:r>
      <w:r w:rsidR="00E3136C" w:rsidRPr="0048528B">
        <w:rPr>
          <w:lang w:val="fr-FR"/>
        </w:rPr>
        <w:t>.</w:t>
      </w:r>
    </w:p>
    <w:p w:rsidR="00C97F0A" w:rsidRPr="0048528B" w:rsidRDefault="00C97F0A" w:rsidP="00C97F0A">
      <w:pPr>
        <w:rPr>
          <w:snapToGrid w:val="0"/>
          <w:lang w:val="fr-FR"/>
        </w:rPr>
      </w:pPr>
    </w:p>
    <w:p w:rsidR="00C97F0A" w:rsidRPr="0048528B" w:rsidRDefault="00C97F0A" w:rsidP="00C97F0A">
      <w:pPr>
        <w:pStyle w:val="Heading2"/>
        <w:keepNext w:val="0"/>
        <w:rPr>
          <w:lang w:val="fr-FR"/>
        </w:rPr>
      </w:pPr>
    </w:p>
    <w:p w:rsidR="00C97F0A" w:rsidRPr="0048528B" w:rsidRDefault="00C97F0A" w:rsidP="00C97F0A">
      <w:pPr>
        <w:pStyle w:val="Heading2"/>
        <w:rPr>
          <w:lang w:val="fr-FR"/>
        </w:rPr>
      </w:pPr>
      <w:bookmarkStart w:id="39" w:name="_Toc367888558"/>
      <w:r w:rsidRPr="0048528B">
        <w:rPr>
          <w:lang w:val="fr-FR"/>
        </w:rPr>
        <w:t>Utilisation des rapports d</w:t>
      </w:r>
      <w:r w:rsidR="00F3296C" w:rsidRPr="0048528B">
        <w:rPr>
          <w:lang w:val="fr-FR"/>
        </w:rPr>
        <w:t>’</w:t>
      </w:r>
      <w:r w:rsidRPr="0048528B">
        <w:rPr>
          <w:lang w:val="fr-FR"/>
        </w:rPr>
        <w:t>examen DHS par des membres de l</w:t>
      </w:r>
      <w:r w:rsidR="00F3296C" w:rsidRPr="0048528B">
        <w:rPr>
          <w:lang w:val="fr-FR"/>
        </w:rPr>
        <w:t>’</w:t>
      </w:r>
      <w:r w:rsidRPr="0048528B">
        <w:rPr>
          <w:lang w:val="fr-FR"/>
        </w:rPr>
        <w:t>Union</w:t>
      </w:r>
      <w:r w:rsidRPr="0048528B">
        <w:rPr>
          <w:vertAlign w:val="superscript"/>
          <w:lang w:val="fr-FR"/>
        </w:rPr>
        <w:footnoteReference w:id="3"/>
      </w:r>
      <w:bookmarkEnd w:id="39"/>
    </w:p>
    <w:p w:rsidR="00C97F0A" w:rsidRPr="0048528B" w:rsidRDefault="00C97F0A" w:rsidP="00C97F0A">
      <w:pPr>
        <w:keepNext/>
        <w:rPr>
          <w:snapToGrid w:val="0"/>
          <w:lang w:val="fr-FR"/>
        </w:rPr>
      </w:pPr>
    </w:p>
    <w:p w:rsidR="00C97F0A" w:rsidRPr="0048528B" w:rsidRDefault="00C97F0A" w:rsidP="00C97F0A">
      <w:pPr>
        <w:pStyle w:val="Heading3"/>
        <w:rPr>
          <w:lang w:val="fr-FR"/>
        </w:rPr>
      </w:pPr>
      <w:bookmarkStart w:id="40" w:name="_Toc367888559"/>
      <w:r w:rsidRPr="0048528B">
        <w:rPr>
          <w:lang w:val="fr-FR"/>
        </w:rPr>
        <w:t>Introduction</w:t>
      </w:r>
      <w:bookmarkEnd w:id="40"/>
    </w:p>
    <w:p w:rsidR="00C97F0A" w:rsidRPr="0048528B" w:rsidRDefault="00C97F0A" w:rsidP="00C97F0A">
      <w:pPr>
        <w:keepNext/>
        <w:rPr>
          <w:lang w:val="fr-FR"/>
        </w:rPr>
      </w:pPr>
    </w:p>
    <w:p w:rsidR="00C97F0A" w:rsidRPr="0048528B" w:rsidRDefault="00C97F0A" w:rsidP="00C97F0A">
      <w:pPr>
        <w:keepNext/>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suivi un exposé du Bureau de l</w:t>
      </w:r>
      <w:r w:rsidR="00F3296C" w:rsidRPr="0048528B">
        <w:rPr>
          <w:lang w:val="fr-FR"/>
        </w:rPr>
        <w:t>’</w:t>
      </w:r>
      <w:r w:rsidRPr="0048528B">
        <w:rPr>
          <w:lang w:val="fr-FR"/>
        </w:rPr>
        <w:t>Union sur la coopération en matière d</w:t>
      </w:r>
      <w:r w:rsidR="00F3296C" w:rsidRPr="0048528B">
        <w:rPr>
          <w:lang w:val="fr-FR"/>
        </w:rPr>
        <w:t>’</w:t>
      </w:r>
      <w:r w:rsidRPr="0048528B">
        <w:rPr>
          <w:lang w:val="fr-FR"/>
        </w:rPr>
        <w:t>examens DHS.</w:t>
      </w:r>
    </w:p>
    <w:p w:rsidR="00C97F0A" w:rsidRPr="0048528B" w:rsidRDefault="00C97F0A" w:rsidP="00C97F0A">
      <w:pPr>
        <w:spacing w:line="360" w:lineRule="auto"/>
        <w:rPr>
          <w:lang w:val="fr-FR"/>
        </w:rPr>
      </w:pPr>
    </w:p>
    <w:p w:rsidR="00C97F0A" w:rsidRPr="0048528B" w:rsidRDefault="00C97F0A" w:rsidP="00C97F0A">
      <w:pPr>
        <w:pStyle w:val="Heading3"/>
        <w:rPr>
          <w:lang w:val="fr-FR"/>
        </w:rPr>
      </w:pPr>
      <w:bookmarkStart w:id="41" w:name="_Toc367888560"/>
      <w:r w:rsidRPr="0048528B">
        <w:rPr>
          <w:lang w:val="fr-FR"/>
        </w:rPr>
        <w:t>Utilisation des rapports d</w:t>
      </w:r>
      <w:r w:rsidR="00F3296C" w:rsidRPr="0048528B">
        <w:rPr>
          <w:lang w:val="fr-FR"/>
        </w:rPr>
        <w:t>’</w:t>
      </w:r>
      <w:r w:rsidRPr="0048528B">
        <w:rPr>
          <w:lang w:val="fr-FR"/>
        </w:rPr>
        <w:t>examen DHS en Australie</w:t>
      </w:r>
      <w:bookmarkEnd w:id="41"/>
    </w:p>
    <w:p w:rsidR="00C97F0A" w:rsidRPr="0048528B" w:rsidRDefault="00C97F0A" w:rsidP="00C97F0A">
      <w:pPr>
        <w:keepNext/>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suivi un exposé de M.</w:t>
      </w:r>
      <w:r w:rsidR="00E3136C" w:rsidRPr="0048528B">
        <w:rPr>
          <w:lang w:val="fr-FR"/>
        </w:rPr>
        <w:t> </w:t>
      </w:r>
      <w:r w:rsidRPr="0048528B">
        <w:rPr>
          <w:lang w:val="fr-FR"/>
        </w:rPr>
        <w:t>Nik Hulse (Australie) sur l</w:t>
      </w:r>
      <w:r w:rsidR="00F3296C" w:rsidRPr="0048528B">
        <w:rPr>
          <w:lang w:val="fr-FR"/>
        </w:rPr>
        <w:t>’</w:t>
      </w:r>
      <w:r w:rsidRPr="0048528B">
        <w:rPr>
          <w:lang w:val="fr-FR"/>
        </w:rPr>
        <w:t>utilisation des rapports d</w:t>
      </w:r>
      <w:r w:rsidR="00F3296C" w:rsidRPr="0048528B">
        <w:rPr>
          <w:lang w:val="fr-FR"/>
        </w:rPr>
        <w:t>’</w:t>
      </w:r>
      <w:r w:rsidRPr="0048528B">
        <w:rPr>
          <w:lang w:val="fr-FR"/>
        </w:rPr>
        <w:t>examen DHS en Australie.</w:t>
      </w:r>
    </w:p>
    <w:p w:rsidR="00C97F0A" w:rsidRPr="0048528B" w:rsidRDefault="00C97F0A" w:rsidP="00C97F0A">
      <w:pPr>
        <w:spacing w:line="360" w:lineRule="auto"/>
        <w:rPr>
          <w:lang w:val="fr-FR"/>
        </w:rPr>
      </w:pPr>
    </w:p>
    <w:p w:rsidR="00C97F0A" w:rsidRPr="0048528B" w:rsidRDefault="00C97F0A" w:rsidP="00C97F0A">
      <w:pPr>
        <w:pStyle w:val="Heading3"/>
        <w:rPr>
          <w:lang w:val="fr-FR"/>
        </w:rPr>
      </w:pPr>
      <w:bookmarkStart w:id="42" w:name="_Toc367888561"/>
      <w:r w:rsidRPr="0048528B">
        <w:rPr>
          <w:lang w:val="fr-FR"/>
        </w:rPr>
        <w:t>Utilisation des rapports d</w:t>
      </w:r>
      <w:r w:rsidR="00F3296C" w:rsidRPr="0048528B">
        <w:rPr>
          <w:lang w:val="fr-FR"/>
        </w:rPr>
        <w:t>’</w:t>
      </w:r>
      <w:r w:rsidRPr="0048528B">
        <w:rPr>
          <w:lang w:val="fr-FR"/>
        </w:rPr>
        <w:t>examen DHS au Brésil</w:t>
      </w:r>
      <w:bookmarkEnd w:id="42"/>
    </w:p>
    <w:p w:rsidR="00C97F0A" w:rsidRPr="0048528B" w:rsidRDefault="00C97F0A" w:rsidP="00C97F0A">
      <w:pPr>
        <w:keepNext/>
        <w:rPr>
          <w:lang w:val="fr-FR"/>
        </w:rPr>
      </w:pPr>
    </w:p>
    <w:p w:rsidR="00C97F0A" w:rsidRPr="0048528B" w:rsidRDefault="00C97F0A" w:rsidP="00C97F0A">
      <w:pPr>
        <w:rPr>
          <w:spacing w:val="-2"/>
          <w:lang w:val="fr-FR"/>
        </w:rPr>
      </w:pPr>
      <w:r w:rsidRPr="0048528B">
        <w:rPr>
          <w:spacing w:val="-2"/>
          <w:lang w:val="fr-FR"/>
        </w:rPr>
        <w:fldChar w:fldCharType="begin"/>
      </w:r>
      <w:r w:rsidRPr="0048528B">
        <w:rPr>
          <w:spacing w:val="-2"/>
          <w:lang w:val="fr-FR"/>
        </w:rPr>
        <w:instrText xml:space="preserve"> AUTONUM  </w:instrText>
      </w:r>
      <w:r w:rsidRPr="0048528B">
        <w:rPr>
          <w:spacing w:val="-2"/>
          <w:lang w:val="fr-FR"/>
        </w:rPr>
        <w:fldChar w:fldCharType="end"/>
      </w:r>
      <w:r w:rsidRPr="0048528B">
        <w:rPr>
          <w:spacing w:val="-2"/>
          <w:lang w:val="fr-FR"/>
        </w:rPr>
        <w:tab/>
        <w:t>Le</w:t>
      </w:r>
      <w:r w:rsidR="00F3296C" w:rsidRPr="0048528B">
        <w:rPr>
          <w:spacing w:val="-2"/>
          <w:lang w:val="fr-FR"/>
        </w:rPr>
        <w:t> TC</w:t>
      </w:r>
      <w:r w:rsidRPr="0048528B">
        <w:rPr>
          <w:spacing w:val="-2"/>
          <w:lang w:val="fr-FR"/>
        </w:rPr>
        <w:t xml:space="preserve"> a suivi un exposé de M.</w:t>
      </w:r>
      <w:r w:rsidR="00E3136C" w:rsidRPr="0048528B">
        <w:rPr>
          <w:spacing w:val="-2"/>
          <w:lang w:val="fr-FR"/>
        </w:rPr>
        <w:t> </w:t>
      </w:r>
      <w:r w:rsidRPr="0048528B">
        <w:rPr>
          <w:spacing w:val="-2"/>
          <w:lang w:val="fr-FR"/>
        </w:rPr>
        <w:t>Fabricio Santana Santos (Brésil) sur l</w:t>
      </w:r>
      <w:r w:rsidR="00F3296C" w:rsidRPr="0048528B">
        <w:rPr>
          <w:spacing w:val="-2"/>
          <w:lang w:val="fr-FR"/>
        </w:rPr>
        <w:t>’</w:t>
      </w:r>
      <w:r w:rsidRPr="0048528B">
        <w:rPr>
          <w:spacing w:val="-2"/>
          <w:lang w:val="fr-FR"/>
        </w:rPr>
        <w:t>utilisation des rapports d</w:t>
      </w:r>
      <w:r w:rsidR="00F3296C" w:rsidRPr="0048528B">
        <w:rPr>
          <w:spacing w:val="-2"/>
          <w:lang w:val="fr-FR"/>
        </w:rPr>
        <w:t>’</w:t>
      </w:r>
      <w:r w:rsidRPr="0048528B">
        <w:rPr>
          <w:spacing w:val="-2"/>
          <w:lang w:val="fr-FR"/>
        </w:rPr>
        <w:t>examen DHS au Brésil.</w:t>
      </w:r>
    </w:p>
    <w:p w:rsidR="00C97F0A" w:rsidRPr="0048528B" w:rsidRDefault="00C97F0A" w:rsidP="00C97F0A">
      <w:pPr>
        <w:spacing w:line="360" w:lineRule="auto"/>
        <w:rPr>
          <w:lang w:val="fr-FR"/>
        </w:rPr>
      </w:pPr>
    </w:p>
    <w:p w:rsidR="00C97F0A" w:rsidRPr="0048528B" w:rsidRDefault="00C97F0A" w:rsidP="00C97F0A">
      <w:pPr>
        <w:pStyle w:val="Heading3"/>
        <w:rPr>
          <w:lang w:val="fr-FR"/>
        </w:rPr>
      </w:pPr>
      <w:bookmarkStart w:id="43" w:name="_Toc367888562"/>
      <w:r w:rsidRPr="0048528B">
        <w:rPr>
          <w:lang w:val="fr-FR"/>
        </w:rPr>
        <w:t>Utilisation des rapports d</w:t>
      </w:r>
      <w:r w:rsidR="00F3296C" w:rsidRPr="0048528B">
        <w:rPr>
          <w:lang w:val="fr-FR"/>
        </w:rPr>
        <w:t>’</w:t>
      </w:r>
      <w:r w:rsidRPr="0048528B">
        <w:rPr>
          <w:lang w:val="fr-FR"/>
        </w:rPr>
        <w:t>examen DHS dans l</w:t>
      </w:r>
      <w:r w:rsidR="00F3296C" w:rsidRPr="0048528B">
        <w:rPr>
          <w:lang w:val="fr-FR"/>
        </w:rPr>
        <w:t>’</w:t>
      </w:r>
      <w:r w:rsidRPr="0048528B">
        <w:rPr>
          <w:lang w:val="fr-FR"/>
        </w:rPr>
        <w:t>Union européenne</w:t>
      </w:r>
      <w:bookmarkEnd w:id="43"/>
    </w:p>
    <w:p w:rsidR="00C97F0A" w:rsidRPr="0048528B" w:rsidRDefault="00C97F0A" w:rsidP="00C97F0A">
      <w:pPr>
        <w:keepNext/>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suivi un exposé de M.</w:t>
      </w:r>
      <w:r w:rsidR="00E3136C" w:rsidRPr="0048528B">
        <w:rPr>
          <w:lang w:val="fr-FR"/>
        </w:rPr>
        <w:t> </w:t>
      </w:r>
      <w:r w:rsidRPr="0048528B">
        <w:rPr>
          <w:lang w:val="fr-FR"/>
        </w:rPr>
        <w:t>Carlos Godinho (Union européenne) sur l</w:t>
      </w:r>
      <w:r w:rsidR="00F3296C" w:rsidRPr="0048528B">
        <w:rPr>
          <w:lang w:val="fr-FR"/>
        </w:rPr>
        <w:t>’</w:t>
      </w:r>
      <w:r w:rsidRPr="0048528B">
        <w:rPr>
          <w:lang w:val="fr-FR"/>
        </w:rPr>
        <w:t>utilisation des rapports d</w:t>
      </w:r>
      <w:r w:rsidR="00F3296C" w:rsidRPr="0048528B">
        <w:rPr>
          <w:lang w:val="fr-FR"/>
        </w:rPr>
        <w:t>’</w:t>
      </w:r>
      <w:r w:rsidRPr="0048528B">
        <w:rPr>
          <w:lang w:val="fr-FR"/>
        </w:rPr>
        <w:t>examen DHS dans l</w:t>
      </w:r>
      <w:r w:rsidR="00F3296C" w:rsidRPr="0048528B">
        <w:rPr>
          <w:lang w:val="fr-FR"/>
        </w:rPr>
        <w:t>’</w:t>
      </w:r>
      <w:r w:rsidRPr="0048528B">
        <w:rPr>
          <w:lang w:val="fr-FR"/>
        </w:rPr>
        <w:t>Union européenne.</w:t>
      </w:r>
    </w:p>
    <w:p w:rsidR="00C97F0A" w:rsidRPr="0048528B" w:rsidRDefault="00C97F0A" w:rsidP="00C97F0A">
      <w:pPr>
        <w:spacing w:line="360" w:lineRule="auto"/>
        <w:rPr>
          <w:lang w:val="fr-FR"/>
        </w:rPr>
      </w:pPr>
    </w:p>
    <w:p w:rsidR="00C97F0A" w:rsidRPr="0048528B" w:rsidRDefault="00C97F0A" w:rsidP="00C97F0A">
      <w:pPr>
        <w:pStyle w:val="Heading3"/>
        <w:rPr>
          <w:lang w:val="fr-FR"/>
        </w:rPr>
      </w:pPr>
      <w:bookmarkStart w:id="44" w:name="_Toc367888563"/>
      <w:r w:rsidRPr="0048528B">
        <w:rPr>
          <w:lang w:val="fr-FR"/>
        </w:rPr>
        <w:t>Utilisation des rapports d</w:t>
      </w:r>
      <w:r w:rsidR="00F3296C" w:rsidRPr="0048528B">
        <w:rPr>
          <w:lang w:val="fr-FR"/>
        </w:rPr>
        <w:t>’</w:t>
      </w:r>
      <w:r w:rsidRPr="0048528B">
        <w:rPr>
          <w:lang w:val="fr-FR"/>
        </w:rPr>
        <w:t>examen DHS en France</w:t>
      </w:r>
      <w:bookmarkEnd w:id="44"/>
    </w:p>
    <w:p w:rsidR="00C97F0A" w:rsidRPr="0048528B" w:rsidRDefault="00C97F0A" w:rsidP="00C97F0A">
      <w:pPr>
        <w:keepNext/>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suivi un exposé de M.</w:t>
      </w:r>
      <w:r w:rsidR="00E3136C" w:rsidRPr="0048528B">
        <w:rPr>
          <w:lang w:val="fr-FR"/>
        </w:rPr>
        <w:t> </w:t>
      </w:r>
      <w:r w:rsidRPr="0048528B">
        <w:rPr>
          <w:lang w:val="fr-FR"/>
        </w:rPr>
        <w:t>Joël Guiard (France) sur l</w:t>
      </w:r>
      <w:r w:rsidR="00F3296C" w:rsidRPr="0048528B">
        <w:rPr>
          <w:lang w:val="fr-FR"/>
        </w:rPr>
        <w:t>’</w:t>
      </w:r>
      <w:r w:rsidRPr="0048528B">
        <w:rPr>
          <w:lang w:val="fr-FR"/>
        </w:rPr>
        <w:t>utilisation des rapports d</w:t>
      </w:r>
      <w:r w:rsidR="00F3296C" w:rsidRPr="0048528B">
        <w:rPr>
          <w:lang w:val="fr-FR"/>
        </w:rPr>
        <w:t>’</w:t>
      </w:r>
      <w:r w:rsidRPr="0048528B">
        <w:rPr>
          <w:lang w:val="fr-FR"/>
        </w:rPr>
        <w:t>examen DHS en France.</w:t>
      </w:r>
    </w:p>
    <w:p w:rsidR="00C97F0A" w:rsidRPr="0048528B" w:rsidRDefault="00C97F0A" w:rsidP="00C97F0A">
      <w:pPr>
        <w:spacing w:line="360" w:lineRule="auto"/>
        <w:rPr>
          <w:lang w:val="fr-FR"/>
        </w:rPr>
      </w:pPr>
    </w:p>
    <w:p w:rsidR="00F3296C" w:rsidRPr="0048528B" w:rsidRDefault="00C97F0A" w:rsidP="00C97F0A">
      <w:pPr>
        <w:pStyle w:val="Heading3"/>
        <w:rPr>
          <w:lang w:val="fr-FR"/>
        </w:rPr>
      </w:pPr>
      <w:bookmarkStart w:id="45" w:name="_Toc367888564"/>
      <w:r w:rsidRPr="0048528B">
        <w:rPr>
          <w:lang w:val="fr-FR"/>
        </w:rPr>
        <w:t>Utilisation des rapports d</w:t>
      </w:r>
      <w:r w:rsidR="00F3296C" w:rsidRPr="0048528B">
        <w:rPr>
          <w:lang w:val="fr-FR"/>
        </w:rPr>
        <w:t>’</w:t>
      </w:r>
      <w:r w:rsidRPr="0048528B">
        <w:rPr>
          <w:lang w:val="fr-FR"/>
        </w:rPr>
        <w:t>examen DHS en Allemagne</w:t>
      </w:r>
      <w:bookmarkEnd w:id="45"/>
    </w:p>
    <w:p w:rsidR="00C97F0A" w:rsidRPr="0048528B" w:rsidRDefault="00C97F0A" w:rsidP="00C97F0A">
      <w:pPr>
        <w:keepNext/>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suivi un exposé de Mme Beate Rücker (Allemagne) sur l</w:t>
      </w:r>
      <w:r w:rsidR="00F3296C" w:rsidRPr="0048528B">
        <w:rPr>
          <w:lang w:val="fr-FR"/>
        </w:rPr>
        <w:t>’</w:t>
      </w:r>
      <w:r w:rsidRPr="0048528B">
        <w:rPr>
          <w:lang w:val="fr-FR"/>
        </w:rPr>
        <w:t>utilisation des rapports d</w:t>
      </w:r>
      <w:r w:rsidR="00F3296C" w:rsidRPr="0048528B">
        <w:rPr>
          <w:lang w:val="fr-FR"/>
        </w:rPr>
        <w:t>’</w:t>
      </w:r>
      <w:r w:rsidRPr="0048528B">
        <w:rPr>
          <w:lang w:val="fr-FR"/>
        </w:rPr>
        <w:t>examen DHS en Allemagne.</w:t>
      </w:r>
    </w:p>
    <w:p w:rsidR="00C97F0A" w:rsidRPr="0048528B" w:rsidRDefault="00C97F0A" w:rsidP="00C97F0A">
      <w:pPr>
        <w:spacing w:line="360" w:lineRule="auto"/>
        <w:rPr>
          <w:lang w:val="fr-FR"/>
        </w:rPr>
      </w:pPr>
    </w:p>
    <w:p w:rsidR="00C97F0A" w:rsidRPr="0048528B" w:rsidRDefault="00C97F0A" w:rsidP="00C97F0A">
      <w:pPr>
        <w:pStyle w:val="Heading3"/>
        <w:rPr>
          <w:lang w:val="fr-FR"/>
        </w:rPr>
      </w:pPr>
      <w:bookmarkStart w:id="46" w:name="_Toc367888565"/>
      <w:r w:rsidRPr="0048528B">
        <w:rPr>
          <w:lang w:val="fr-FR"/>
        </w:rPr>
        <w:t>Utilisation des rapports d</w:t>
      </w:r>
      <w:r w:rsidR="00F3296C" w:rsidRPr="0048528B">
        <w:rPr>
          <w:lang w:val="fr-FR"/>
        </w:rPr>
        <w:t>’</w:t>
      </w:r>
      <w:r w:rsidRPr="0048528B">
        <w:rPr>
          <w:lang w:val="fr-FR"/>
        </w:rPr>
        <w:t>examen DHS au Japon</w:t>
      </w:r>
      <w:bookmarkEnd w:id="46"/>
    </w:p>
    <w:p w:rsidR="00C97F0A" w:rsidRPr="0048528B" w:rsidRDefault="00C97F0A" w:rsidP="00C97F0A">
      <w:pPr>
        <w:keepNext/>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suivi un exposé de M. Kenji Numaguchi (Japon) sur l</w:t>
      </w:r>
      <w:r w:rsidR="00F3296C" w:rsidRPr="0048528B">
        <w:rPr>
          <w:lang w:val="fr-FR"/>
        </w:rPr>
        <w:t>’</w:t>
      </w:r>
      <w:r w:rsidRPr="0048528B">
        <w:rPr>
          <w:lang w:val="fr-FR"/>
        </w:rPr>
        <w:t>utilisation des rapports d</w:t>
      </w:r>
      <w:r w:rsidR="00F3296C" w:rsidRPr="0048528B">
        <w:rPr>
          <w:lang w:val="fr-FR"/>
        </w:rPr>
        <w:t>’</w:t>
      </w:r>
      <w:r w:rsidRPr="0048528B">
        <w:rPr>
          <w:lang w:val="fr-FR"/>
        </w:rPr>
        <w:t>examen DHS au Japon.</w:t>
      </w:r>
    </w:p>
    <w:p w:rsidR="00C97F0A" w:rsidRPr="0048528B" w:rsidRDefault="00C97F0A" w:rsidP="00C97F0A">
      <w:pPr>
        <w:spacing w:line="360" w:lineRule="auto"/>
        <w:rPr>
          <w:lang w:val="fr-FR"/>
        </w:rPr>
      </w:pPr>
    </w:p>
    <w:p w:rsidR="00C97F0A" w:rsidRPr="0048528B" w:rsidRDefault="00C97F0A" w:rsidP="00C97F0A">
      <w:pPr>
        <w:pStyle w:val="Heading3"/>
        <w:rPr>
          <w:lang w:val="fr-FR"/>
        </w:rPr>
      </w:pPr>
      <w:bookmarkStart w:id="47" w:name="_Toc367888566"/>
      <w:r w:rsidRPr="0048528B">
        <w:rPr>
          <w:lang w:val="fr-FR"/>
        </w:rPr>
        <w:t>Utilisation des rapports d</w:t>
      </w:r>
      <w:r w:rsidR="00F3296C" w:rsidRPr="0048528B">
        <w:rPr>
          <w:lang w:val="fr-FR"/>
        </w:rPr>
        <w:t>’</w:t>
      </w:r>
      <w:r w:rsidRPr="0048528B">
        <w:rPr>
          <w:lang w:val="fr-FR"/>
        </w:rPr>
        <w:t>examen DHS au Mexique</w:t>
      </w:r>
      <w:bookmarkEnd w:id="47"/>
    </w:p>
    <w:p w:rsidR="00C97F0A" w:rsidRPr="0048528B" w:rsidRDefault="00C97F0A" w:rsidP="00C97F0A">
      <w:pPr>
        <w:keepNext/>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suivi un exposé sur l</w:t>
      </w:r>
      <w:r w:rsidR="00F3296C" w:rsidRPr="0048528B">
        <w:rPr>
          <w:lang w:val="fr-FR"/>
        </w:rPr>
        <w:t>’</w:t>
      </w:r>
      <w:r w:rsidRPr="0048528B">
        <w:rPr>
          <w:lang w:val="fr-FR"/>
        </w:rPr>
        <w:t>utilisation des rapports d</w:t>
      </w:r>
      <w:r w:rsidR="00F3296C" w:rsidRPr="0048528B">
        <w:rPr>
          <w:lang w:val="fr-FR"/>
        </w:rPr>
        <w:t>’</w:t>
      </w:r>
      <w:r w:rsidRPr="0048528B">
        <w:rPr>
          <w:lang w:val="fr-FR"/>
        </w:rPr>
        <w:t>examen</w:t>
      </w:r>
      <w:r w:rsidR="00C864FA" w:rsidRPr="0048528B">
        <w:rPr>
          <w:lang w:val="fr-FR"/>
        </w:rPr>
        <w:t xml:space="preserve"> DHS au Mexique préparé par Mme </w:t>
      </w:r>
      <w:r w:rsidRPr="0048528B">
        <w:rPr>
          <w:lang w:val="fr-FR"/>
        </w:rPr>
        <w:t>Enriqueta</w:t>
      </w:r>
      <w:r w:rsidR="00C864FA" w:rsidRPr="0048528B">
        <w:rPr>
          <w:lang w:val="fr-FR"/>
        </w:rPr>
        <w:t> </w:t>
      </w:r>
      <w:r w:rsidRPr="0048528B">
        <w:rPr>
          <w:lang w:val="fr-FR"/>
        </w:rPr>
        <w:t>Molina</w:t>
      </w:r>
      <w:r w:rsidR="00C864FA" w:rsidRPr="0048528B">
        <w:rPr>
          <w:lang w:val="fr-FR"/>
        </w:rPr>
        <w:t> </w:t>
      </w:r>
      <w:r w:rsidRPr="0048528B">
        <w:rPr>
          <w:lang w:val="fr-FR"/>
        </w:rPr>
        <w:t>Macías et M.</w:t>
      </w:r>
      <w:r w:rsidR="00C864FA" w:rsidRPr="0048528B">
        <w:rPr>
          <w:lang w:val="fr-FR"/>
        </w:rPr>
        <w:t> </w:t>
      </w:r>
      <w:r w:rsidRPr="0048528B">
        <w:rPr>
          <w:lang w:val="fr-FR"/>
        </w:rPr>
        <w:t>Eduardo</w:t>
      </w:r>
      <w:r w:rsidR="00C864FA" w:rsidRPr="0048528B">
        <w:rPr>
          <w:lang w:val="fr-FR"/>
        </w:rPr>
        <w:t> </w:t>
      </w:r>
      <w:r w:rsidRPr="0048528B">
        <w:rPr>
          <w:lang w:val="fr-FR"/>
        </w:rPr>
        <w:t>Padilla</w:t>
      </w:r>
      <w:r w:rsidR="00C864FA" w:rsidRPr="0048528B">
        <w:rPr>
          <w:lang w:val="fr-FR"/>
        </w:rPr>
        <w:t> Vaca et présenté par M. </w:t>
      </w:r>
      <w:r w:rsidRPr="0048528B">
        <w:rPr>
          <w:lang w:val="fr-FR"/>
        </w:rPr>
        <w:t>Padilla</w:t>
      </w:r>
      <w:r w:rsidR="00C864FA" w:rsidRPr="0048528B">
        <w:rPr>
          <w:lang w:val="fr-FR"/>
        </w:rPr>
        <w:t> </w:t>
      </w:r>
      <w:r w:rsidRPr="0048528B">
        <w:rPr>
          <w:lang w:val="fr-FR"/>
        </w:rPr>
        <w:t>Vaca (Mexique).</w:t>
      </w:r>
    </w:p>
    <w:p w:rsidR="00C97F0A" w:rsidRPr="0048528B" w:rsidRDefault="00C97F0A" w:rsidP="00C97F0A">
      <w:pPr>
        <w:spacing w:line="360" w:lineRule="auto"/>
        <w:rPr>
          <w:lang w:val="fr-FR"/>
        </w:rPr>
      </w:pPr>
    </w:p>
    <w:p w:rsidR="00C97F0A" w:rsidRPr="0048528B" w:rsidRDefault="00C97F0A" w:rsidP="00C97F0A">
      <w:pPr>
        <w:pStyle w:val="Heading3"/>
        <w:rPr>
          <w:lang w:val="fr-FR"/>
        </w:rPr>
      </w:pPr>
      <w:bookmarkStart w:id="48" w:name="_Toc367888567"/>
      <w:r w:rsidRPr="0048528B">
        <w:rPr>
          <w:lang w:val="fr-FR"/>
        </w:rPr>
        <w:lastRenderedPageBreak/>
        <w:t>Utilisation des rapports d</w:t>
      </w:r>
      <w:r w:rsidR="00F3296C" w:rsidRPr="0048528B">
        <w:rPr>
          <w:lang w:val="fr-FR"/>
        </w:rPr>
        <w:t>’</w:t>
      </w:r>
      <w:r w:rsidRPr="0048528B">
        <w:rPr>
          <w:lang w:val="fr-FR"/>
        </w:rPr>
        <w:t>examen DHS aux Pays</w:t>
      </w:r>
      <w:r w:rsidR="003F00B6" w:rsidRPr="0048528B">
        <w:rPr>
          <w:lang w:val="fr-FR"/>
        </w:rPr>
        <w:noBreakHyphen/>
      </w:r>
      <w:r w:rsidRPr="0048528B">
        <w:rPr>
          <w:lang w:val="fr-FR"/>
        </w:rPr>
        <w:t>Bas</w:t>
      </w:r>
      <w:bookmarkEnd w:id="48"/>
    </w:p>
    <w:p w:rsidR="00C97F0A" w:rsidRPr="0048528B" w:rsidRDefault="00C97F0A" w:rsidP="00C97F0A">
      <w:pPr>
        <w:keepNext/>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suivi un exposé de M. Kees van Ettekoven (Pays</w:t>
      </w:r>
      <w:r w:rsidR="003F00B6" w:rsidRPr="0048528B">
        <w:rPr>
          <w:lang w:val="fr-FR"/>
        </w:rPr>
        <w:noBreakHyphen/>
      </w:r>
      <w:r w:rsidRPr="0048528B">
        <w:rPr>
          <w:lang w:val="fr-FR"/>
        </w:rPr>
        <w:t>Bas) sur l</w:t>
      </w:r>
      <w:r w:rsidR="00F3296C" w:rsidRPr="0048528B">
        <w:rPr>
          <w:lang w:val="fr-FR"/>
        </w:rPr>
        <w:t>’</w:t>
      </w:r>
      <w:r w:rsidRPr="0048528B">
        <w:rPr>
          <w:lang w:val="fr-FR"/>
        </w:rPr>
        <w:t>utilisation des rapports d</w:t>
      </w:r>
      <w:r w:rsidR="00F3296C" w:rsidRPr="0048528B">
        <w:rPr>
          <w:lang w:val="fr-FR"/>
        </w:rPr>
        <w:t>’</w:t>
      </w:r>
      <w:r w:rsidRPr="0048528B">
        <w:rPr>
          <w:lang w:val="fr-FR"/>
        </w:rPr>
        <w:t>examen DHS aux Pays</w:t>
      </w:r>
      <w:r w:rsidR="003F00B6" w:rsidRPr="0048528B">
        <w:rPr>
          <w:lang w:val="fr-FR"/>
        </w:rPr>
        <w:noBreakHyphen/>
      </w:r>
      <w:r w:rsidRPr="0048528B">
        <w:rPr>
          <w:lang w:val="fr-FR"/>
        </w:rPr>
        <w:t>Bas.</w:t>
      </w:r>
    </w:p>
    <w:p w:rsidR="00C97F0A" w:rsidRPr="0048528B" w:rsidRDefault="00C97F0A" w:rsidP="00C97F0A">
      <w:pPr>
        <w:spacing w:line="360" w:lineRule="auto"/>
        <w:rPr>
          <w:lang w:val="fr-FR"/>
        </w:rPr>
      </w:pPr>
    </w:p>
    <w:p w:rsidR="00C97F0A" w:rsidRPr="0048528B" w:rsidRDefault="00C97F0A" w:rsidP="00C97F0A">
      <w:pPr>
        <w:pStyle w:val="Heading3"/>
        <w:rPr>
          <w:lang w:val="fr-FR"/>
        </w:rPr>
      </w:pPr>
      <w:bookmarkStart w:id="49" w:name="_Toc367888568"/>
      <w:r w:rsidRPr="0048528B">
        <w:rPr>
          <w:lang w:val="fr-FR"/>
        </w:rPr>
        <w:t>Débat</w:t>
      </w:r>
      <w:bookmarkEnd w:id="49"/>
    </w:p>
    <w:p w:rsidR="00C97F0A" w:rsidRPr="0048528B" w:rsidRDefault="00C97F0A" w:rsidP="00C97F0A">
      <w:pPr>
        <w:keepNext/>
        <w:rPr>
          <w:snapToGrid w:val="0"/>
          <w:lang w:val="fr-FR"/>
        </w:rPr>
      </w:pPr>
    </w:p>
    <w:p w:rsidR="00F3296C" w:rsidRPr="0048528B" w:rsidRDefault="00C97F0A" w:rsidP="00C97F0A">
      <w:pPr>
        <w:rPr>
          <w:snapToGrid w:val="0"/>
          <w:lang w:val="fr-FR"/>
        </w:rPr>
      </w:pPr>
      <w:r w:rsidRPr="0048528B">
        <w:rPr>
          <w:snapToGrid w:val="0"/>
          <w:lang w:val="fr-FR"/>
        </w:rPr>
        <w:fldChar w:fldCharType="begin"/>
      </w:r>
      <w:r w:rsidRPr="0048528B">
        <w:rPr>
          <w:snapToGrid w:val="0"/>
          <w:lang w:val="fr-FR"/>
        </w:rPr>
        <w:instrText xml:space="preserve"> AUTONUM  </w:instrText>
      </w:r>
      <w:r w:rsidRPr="0048528B">
        <w:rPr>
          <w:snapToGrid w:val="0"/>
          <w:lang w:val="fr-FR"/>
        </w:rPr>
        <w:fldChar w:fldCharType="end"/>
      </w:r>
      <w:r w:rsidRPr="0048528B">
        <w:rPr>
          <w:snapToGrid w:val="0"/>
          <w:lang w:val="fr-FR"/>
        </w:rPr>
        <w:tab/>
        <w:t>Le</w:t>
      </w:r>
      <w:r w:rsidR="00F3296C" w:rsidRPr="0048528B">
        <w:rPr>
          <w:snapToGrid w:val="0"/>
          <w:lang w:val="fr-FR"/>
        </w:rPr>
        <w:t> TC</w:t>
      </w:r>
      <w:r w:rsidRPr="0048528B">
        <w:rPr>
          <w:snapToGrid w:val="0"/>
          <w:lang w:val="fr-FR"/>
        </w:rPr>
        <w:t xml:space="preserve"> est convenu d</w:t>
      </w:r>
      <w:r w:rsidR="00F3296C" w:rsidRPr="0048528B">
        <w:rPr>
          <w:snapToGrid w:val="0"/>
          <w:lang w:val="fr-FR"/>
        </w:rPr>
        <w:t>’</w:t>
      </w:r>
      <w:r w:rsidRPr="0048528B">
        <w:rPr>
          <w:snapToGrid w:val="0"/>
          <w:lang w:val="fr-FR"/>
        </w:rPr>
        <w:t>inviter le Conseil à se demander s</w:t>
      </w:r>
      <w:r w:rsidR="00F3296C" w:rsidRPr="0048528B">
        <w:rPr>
          <w:snapToGrid w:val="0"/>
          <w:lang w:val="fr-FR"/>
        </w:rPr>
        <w:t>’</w:t>
      </w:r>
      <w:r w:rsidRPr="0048528B">
        <w:rPr>
          <w:snapToGrid w:val="0"/>
          <w:lang w:val="fr-FR"/>
        </w:rPr>
        <w:t>il faut transmettre une copie de la circulaire concernant la coopération en matière d</w:t>
      </w:r>
      <w:r w:rsidR="00F3296C" w:rsidRPr="0048528B">
        <w:rPr>
          <w:snapToGrid w:val="0"/>
          <w:lang w:val="fr-FR"/>
        </w:rPr>
        <w:t>’</w:t>
      </w:r>
      <w:r w:rsidRPr="0048528B">
        <w:rPr>
          <w:snapToGrid w:val="0"/>
          <w:lang w:val="fr-FR"/>
        </w:rPr>
        <w:t>examen, voir par exemple le document C/xx/5, aux personnes désignées du</w:t>
      </w:r>
      <w:r w:rsidR="00F3296C" w:rsidRPr="0048528B">
        <w:rPr>
          <w:snapToGrid w:val="0"/>
          <w:lang w:val="fr-FR"/>
        </w:rPr>
        <w:t> TC</w:t>
      </w:r>
      <w:r w:rsidRPr="0048528B">
        <w:rPr>
          <w:snapToGrid w:val="0"/>
          <w:lang w:val="fr-FR"/>
        </w:rPr>
        <w:t xml:space="preserve"> afin de s</w:t>
      </w:r>
      <w:r w:rsidR="00F3296C" w:rsidRPr="0048528B">
        <w:rPr>
          <w:snapToGrid w:val="0"/>
          <w:lang w:val="fr-FR"/>
        </w:rPr>
        <w:t>’</w:t>
      </w:r>
      <w:r w:rsidRPr="0048528B">
        <w:rPr>
          <w:snapToGrid w:val="0"/>
          <w:lang w:val="fr-FR"/>
        </w:rPr>
        <w:t>assurer que la quantité maximale d</w:t>
      </w:r>
      <w:r w:rsidR="00F3296C" w:rsidRPr="0048528B">
        <w:rPr>
          <w:snapToGrid w:val="0"/>
          <w:lang w:val="fr-FR"/>
        </w:rPr>
        <w:t>’</w:t>
      </w:r>
      <w:r w:rsidRPr="0048528B">
        <w:rPr>
          <w:snapToGrid w:val="0"/>
          <w:lang w:val="fr-FR"/>
        </w:rPr>
        <w:t>informations puisse être collectée (voir les paragraphes</w:t>
      </w:r>
      <w:r w:rsidR="00E3136C" w:rsidRPr="0048528B">
        <w:rPr>
          <w:snapToGrid w:val="0"/>
          <w:lang w:val="fr-FR"/>
        </w:rPr>
        <w:t> </w:t>
      </w:r>
      <w:r w:rsidRPr="0048528B">
        <w:rPr>
          <w:snapToGrid w:val="0"/>
          <w:lang w:val="fr-FR"/>
        </w:rPr>
        <w:t xml:space="preserve">137 à 146 du </w:t>
      </w:r>
      <w:r w:rsidR="00F3296C" w:rsidRPr="0048528B">
        <w:rPr>
          <w:snapToGrid w:val="0"/>
          <w:lang w:val="fr-FR"/>
        </w:rPr>
        <w:t>document TC</w:t>
      </w:r>
      <w:r w:rsidRPr="0048528B">
        <w:rPr>
          <w:snapToGrid w:val="0"/>
          <w:lang w:val="fr-FR"/>
        </w:rPr>
        <w:t>/49/41 “Compte rendu des conclusions”).</w:t>
      </w:r>
    </w:p>
    <w:p w:rsidR="00C97F0A" w:rsidRPr="0048528B" w:rsidRDefault="00C97F0A" w:rsidP="00C97F0A">
      <w:pPr>
        <w:rPr>
          <w:snapToGrid w:val="0"/>
          <w:lang w:val="fr-FR"/>
        </w:rPr>
      </w:pPr>
    </w:p>
    <w:p w:rsidR="00C97F0A" w:rsidRPr="0048528B" w:rsidRDefault="00C97F0A" w:rsidP="00C97F0A">
      <w:pPr>
        <w:rPr>
          <w:snapToGrid w:val="0"/>
          <w:lang w:val="fr-FR"/>
        </w:rPr>
      </w:pPr>
    </w:p>
    <w:p w:rsidR="00C97F0A" w:rsidRPr="0048528B" w:rsidRDefault="00C97F0A" w:rsidP="00C97F0A">
      <w:pPr>
        <w:pStyle w:val="Heading2"/>
        <w:rPr>
          <w:lang w:val="fr-FR"/>
        </w:rPr>
      </w:pPr>
      <w:bookmarkStart w:id="50" w:name="_Toc367888569"/>
      <w:r w:rsidRPr="0048528B">
        <w:rPr>
          <w:lang w:val="fr-FR"/>
        </w:rPr>
        <w:t>Principes directeurs d</w:t>
      </w:r>
      <w:r w:rsidR="00F3296C" w:rsidRPr="0048528B">
        <w:rPr>
          <w:lang w:val="fr-FR"/>
        </w:rPr>
        <w:t>’</w:t>
      </w:r>
      <w:r w:rsidRPr="0048528B">
        <w:rPr>
          <w:lang w:val="fr-FR"/>
        </w:rPr>
        <w:t>examen</w:t>
      </w:r>
      <w:bookmarkEnd w:id="50"/>
    </w:p>
    <w:p w:rsidR="00C97F0A" w:rsidRPr="0048528B" w:rsidRDefault="00C97F0A" w:rsidP="00C97F0A">
      <w:pPr>
        <w:keepNext/>
        <w:ind w:left="567" w:hanging="567"/>
        <w:rPr>
          <w:lang w:val="fr-FR"/>
        </w:rPr>
      </w:pPr>
    </w:p>
    <w:p w:rsidR="00C97F0A" w:rsidRPr="0048528B" w:rsidRDefault="00C97F0A" w:rsidP="00C97F0A">
      <w:pPr>
        <w:ind w:left="567" w:hanging="567"/>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examiné le </w:t>
      </w:r>
      <w:r w:rsidR="00F3296C" w:rsidRPr="0048528B">
        <w:rPr>
          <w:lang w:val="fr-FR"/>
        </w:rPr>
        <w:t>document TC</w:t>
      </w:r>
      <w:r w:rsidRPr="0048528B">
        <w:rPr>
          <w:lang w:val="fr-FR"/>
        </w:rPr>
        <w:t>/49/2 Rev.2</w:t>
      </w:r>
    </w:p>
    <w:p w:rsidR="00C97F0A" w:rsidRPr="0048528B" w:rsidRDefault="00C97F0A" w:rsidP="00C97F0A">
      <w:pPr>
        <w:ind w:left="567" w:hanging="567"/>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Pr="0048528B">
        <w:rPr>
          <w:rFonts w:cs="Arial"/>
          <w:snapToGrid w:val="0"/>
          <w:lang w:val="fr-FR"/>
        </w:rPr>
        <w:t>Le</w:t>
      </w:r>
      <w:r w:rsidR="00F3296C" w:rsidRPr="0048528B">
        <w:rPr>
          <w:rFonts w:cs="Arial"/>
          <w:snapToGrid w:val="0"/>
          <w:lang w:val="fr-FR"/>
        </w:rPr>
        <w:t> TC</w:t>
      </w:r>
      <w:r w:rsidRPr="0048528B">
        <w:rPr>
          <w:rFonts w:cs="Arial"/>
          <w:snapToGrid w:val="0"/>
          <w:lang w:val="fr-FR"/>
        </w:rPr>
        <w:t xml:space="preserve"> a adopté les principes directeurs d</w:t>
      </w:r>
      <w:r w:rsidR="00F3296C" w:rsidRPr="0048528B">
        <w:rPr>
          <w:rFonts w:cs="Arial"/>
          <w:snapToGrid w:val="0"/>
          <w:lang w:val="fr-FR"/>
        </w:rPr>
        <w:t>’</w:t>
      </w:r>
      <w:r w:rsidRPr="0048528B">
        <w:rPr>
          <w:rFonts w:cs="Arial"/>
          <w:snapToGrid w:val="0"/>
          <w:lang w:val="fr-FR"/>
        </w:rPr>
        <w:t>examen énumérés dans le tableau ci</w:t>
      </w:r>
      <w:r w:rsidR="003F00B6" w:rsidRPr="0048528B">
        <w:rPr>
          <w:rFonts w:cs="Arial"/>
          <w:snapToGrid w:val="0"/>
          <w:lang w:val="fr-FR"/>
        </w:rPr>
        <w:noBreakHyphen/>
      </w:r>
      <w:r w:rsidRPr="0048528B">
        <w:rPr>
          <w:rFonts w:cs="Arial"/>
          <w:snapToGrid w:val="0"/>
          <w:lang w:val="fr-FR"/>
        </w:rPr>
        <w:t>dessous et il est convenu qu</w:t>
      </w:r>
      <w:r w:rsidR="00F3296C" w:rsidRPr="0048528B">
        <w:rPr>
          <w:rFonts w:cs="Arial"/>
          <w:snapToGrid w:val="0"/>
          <w:lang w:val="fr-FR"/>
        </w:rPr>
        <w:t>’</w:t>
      </w:r>
      <w:r w:rsidRPr="0048528B">
        <w:rPr>
          <w:rFonts w:cs="Arial"/>
          <w:snapToGrid w:val="0"/>
          <w:lang w:val="fr-FR"/>
        </w:rPr>
        <w:t>ils dev</w:t>
      </w:r>
      <w:r w:rsidR="00A0245E" w:rsidRPr="0048528B">
        <w:rPr>
          <w:rFonts w:cs="Arial"/>
          <w:snapToGrid w:val="0"/>
          <w:lang w:val="fr-FR"/>
        </w:rPr>
        <w:t>r</w:t>
      </w:r>
      <w:r w:rsidRPr="0048528B">
        <w:rPr>
          <w:rFonts w:cs="Arial"/>
          <w:snapToGrid w:val="0"/>
          <w:lang w:val="fr-FR"/>
        </w:rPr>
        <w:t>aient être publiés sur le site Web de l</w:t>
      </w:r>
      <w:r w:rsidR="00F3296C" w:rsidRPr="0048528B">
        <w:rPr>
          <w:rFonts w:cs="Arial"/>
          <w:snapToGrid w:val="0"/>
          <w:lang w:val="fr-FR"/>
        </w:rPr>
        <w:t>’</w:t>
      </w:r>
      <w:r w:rsidRPr="0048528B">
        <w:rPr>
          <w:rFonts w:cs="Arial"/>
          <w:snapToGrid w:val="0"/>
          <w:lang w:val="fr-FR"/>
        </w:rPr>
        <w:t>UPOV le plus tôt possible :</w:t>
      </w:r>
    </w:p>
    <w:p w:rsidR="00C97F0A" w:rsidRPr="0048528B" w:rsidRDefault="00C97F0A" w:rsidP="00C97F0A">
      <w:pPr>
        <w:ind w:left="567" w:hanging="567"/>
        <w:rPr>
          <w:lang w:val="fr-FR"/>
        </w:rPr>
      </w:pPr>
    </w:p>
    <w:p w:rsidR="00937C59" w:rsidRPr="0048528B" w:rsidRDefault="00937C59" w:rsidP="00C97F0A">
      <w:pPr>
        <w:ind w:left="567" w:hanging="567"/>
        <w:rPr>
          <w:lang w:val="fr-FR"/>
        </w:rPr>
      </w:pPr>
    </w:p>
    <w:tbl>
      <w:tblPr>
        <w:tblW w:w="10674" w:type="dxa"/>
        <w:jc w:val="center"/>
        <w:tblLayout w:type="fixed"/>
        <w:tblCellMar>
          <w:left w:w="28" w:type="dxa"/>
          <w:right w:w="28" w:type="dxa"/>
        </w:tblCellMar>
        <w:tblLook w:val="01E0" w:firstRow="1" w:lastRow="1" w:firstColumn="1" w:lastColumn="1" w:noHBand="0" w:noVBand="0"/>
      </w:tblPr>
      <w:tblGrid>
        <w:gridCol w:w="568"/>
        <w:gridCol w:w="567"/>
        <w:gridCol w:w="1701"/>
        <w:gridCol w:w="1510"/>
        <w:gridCol w:w="1225"/>
        <w:gridCol w:w="1474"/>
        <w:gridCol w:w="1467"/>
        <w:gridCol w:w="2162"/>
      </w:tblGrid>
      <w:tr w:rsidR="00C97F0A" w:rsidRPr="0048528B" w:rsidTr="00773B12">
        <w:trPr>
          <w:tblHeader/>
          <w:jc w:val="center"/>
        </w:trPr>
        <w:tc>
          <w:tcPr>
            <w:tcW w:w="568" w:type="dxa"/>
            <w:tcBorders>
              <w:top w:val="single" w:sz="4" w:space="0" w:color="auto"/>
              <w:bottom w:val="single" w:sz="4" w:space="0" w:color="auto"/>
            </w:tcBorders>
            <w:shd w:val="clear" w:color="auto" w:fill="E6E6E6"/>
            <w:vAlign w:val="center"/>
          </w:tcPr>
          <w:p w:rsidR="00C97F0A" w:rsidRPr="0048528B" w:rsidRDefault="00C97F0A" w:rsidP="00773B12">
            <w:pPr>
              <w:keepNext/>
              <w:spacing w:before="60" w:after="60"/>
              <w:jc w:val="center"/>
              <w:rPr>
                <w:rFonts w:cs="Arial"/>
                <w:b/>
                <w:snapToGrid w:val="0"/>
                <w:color w:val="000000"/>
                <w:sz w:val="16"/>
                <w:szCs w:val="16"/>
                <w:lang w:val="fr-FR"/>
              </w:rPr>
            </w:pPr>
            <w:r w:rsidRPr="0048528B">
              <w:rPr>
                <w:rFonts w:cs="Arial"/>
                <w:b/>
                <w:snapToGrid w:val="0"/>
                <w:sz w:val="16"/>
                <w:szCs w:val="16"/>
                <w:lang w:val="fr-FR"/>
              </w:rPr>
              <w:t>**</w:t>
            </w:r>
          </w:p>
        </w:tc>
        <w:tc>
          <w:tcPr>
            <w:tcW w:w="567" w:type="dxa"/>
            <w:tcBorders>
              <w:top w:val="single" w:sz="4" w:space="0" w:color="auto"/>
              <w:bottom w:val="single" w:sz="4" w:space="0" w:color="auto"/>
            </w:tcBorders>
            <w:shd w:val="clear" w:color="auto" w:fill="E6E6E6"/>
            <w:vAlign w:val="center"/>
          </w:tcPr>
          <w:p w:rsidR="00C97F0A" w:rsidRPr="0048528B" w:rsidRDefault="00C97F0A" w:rsidP="00773B12">
            <w:pPr>
              <w:keepNext/>
              <w:spacing w:before="60" w:after="60"/>
              <w:jc w:val="center"/>
              <w:rPr>
                <w:rFonts w:cs="Arial"/>
                <w:b/>
                <w:snapToGrid w:val="0"/>
                <w:sz w:val="16"/>
                <w:szCs w:val="16"/>
                <w:lang w:val="fr-FR"/>
              </w:rPr>
            </w:pPr>
            <w:r w:rsidRPr="0048528B">
              <w:rPr>
                <w:rFonts w:cs="Arial"/>
                <w:b/>
                <w:snapToGrid w:val="0"/>
                <w:sz w:val="16"/>
                <w:szCs w:val="16"/>
                <w:lang w:val="fr-FR"/>
              </w:rPr>
              <w:t>TWP</w:t>
            </w:r>
          </w:p>
        </w:tc>
        <w:tc>
          <w:tcPr>
            <w:tcW w:w="1701" w:type="dxa"/>
            <w:tcBorders>
              <w:top w:val="single" w:sz="4" w:space="0" w:color="auto"/>
              <w:bottom w:val="single" w:sz="4" w:space="0" w:color="auto"/>
            </w:tcBorders>
            <w:shd w:val="clear" w:color="auto" w:fill="E6E6E6"/>
            <w:vAlign w:val="center"/>
          </w:tcPr>
          <w:p w:rsidR="00C97F0A" w:rsidRPr="0048528B" w:rsidRDefault="00C97F0A" w:rsidP="00773B12">
            <w:pPr>
              <w:keepNext/>
              <w:spacing w:before="60" w:after="60"/>
              <w:jc w:val="left"/>
              <w:rPr>
                <w:rFonts w:cs="Arial"/>
                <w:b/>
                <w:snapToGrid w:val="0"/>
                <w:color w:val="000000"/>
                <w:sz w:val="16"/>
                <w:szCs w:val="16"/>
                <w:lang w:val="fr-FR"/>
              </w:rPr>
            </w:pPr>
            <w:r w:rsidRPr="0048528B">
              <w:rPr>
                <w:rFonts w:cs="Arial"/>
                <w:b/>
                <w:snapToGrid w:val="0"/>
                <w:sz w:val="16"/>
                <w:szCs w:val="16"/>
                <w:lang w:val="fr-FR"/>
              </w:rPr>
              <w:t>Document No.</w:t>
            </w:r>
            <w:r w:rsidRPr="0048528B">
              <w:rPr>
                <w:rFonts w:cs="Arial"/>
                <w:b/>
                <w:snapToGrid w:val="0"/>
                <w:sz w:val="16"/>
                <w:szCs w:val="16"/>
                <w:lang w:val="fr-FR"/>
              </w:rPr>
              <w:br/>
              <w:t>N° du document</w:t>
            </w:r>
            <w:r w:rsidRPr="0048528B">
              <w:rPr>
                <w:rFonts w:cs="Arial"/>
                <w:b/>
                <w:snapToGrid w:val="0"/>
                <w:sz w:val="16"/>
                <w:szCs w:val="16"/>
                <w:lang w:val="fr-FR"/>
              </w:rPr>
              <w:br/>
              <w:t>Dokument</w:t>
            </w:r>
            <w:r w:rsidR="003F00B6" w:rsidRPr="0048528B">
              <w:rPr>
                <w:rFonts w:cs="Arial"/>
                <w:b/>
                <w:snapToGrid w:val="0"/>
                <w:sz w:val="16"/>
                <w:szCs w:val="16"/>
                <w:lang w:val="fr-FR"/>
              </w:rPr>
              <w:noBreakHyphen/>
            </w:r>
            <w:r w:rsidRPr="0048528B">
              <w:rPr>
                <w:rFonts w:cs="Arial"/>
                <w:b/>
                <w:snapToGrid w:val="0"/>
                <w:sz w:val="16"/>
                <w:szCs w:val="16"/>
                <w:lang w:val="fr-FR"/>
              </w:rPr>
              <w:t>Nr.</w:t>
            </w:r>
            <w:r w:rsidRPr="0048528B">
              <w:rPr>
                <w:rFonts w:cs="Arial"/>
                <w:b/>
                <w:snapToGrid w:val="0"/>
                <w:sz w:val="16"/>
                <w:szCs w:val="16"/>
                <w:lang w:val="fr-FR"/>
              </w:rPr>
              <w:br/>
              <w:t>No del documento</w:t>
            </w:r>
          </w:p>
        </w:tc>
        <w:tc>
          <w:tcPr>
            <w:tcW w:w="1510" w:type="dxa"/>
            <w:tcBorders>
              <w:top w:val="single" w:sz="4" w:space="0" w:color="auto"/>
              <w:bottom w:val="single" w:sz="4" w:space="0" w:color="auto"/>
            </w:tcBorders>
            <w:shd w:val="clear" w:color="auto" w:fill="E6E6E6"/>
            <w:vAlign w:val="center"/>
          </w:tcPr>
          <w:p w:rsidR="00C97F0A" w:rsidRPr="0048528B" w:rsidRDefault="00C97F0A" w:rsidP="00773B12">
            <w:pPr>
              <w:keepNext/>
              <w:spacing w:before="60" w:after="60"/>
              <w:jc w:val="left"/>
              <w:rPr>
                <w:rFonts w:cs="Arial"/>
                <w:b/>
                <w:snapToGrid w:val="0"/>
                <w:color w:val="000000"/>
                <w:sz w:val="16"/>
                <w:szCs w:val="16"/>
                <w:lang w:val="fr-FR"/>
              </w:rPr>
            </w:pPr>
            <w:r w:rsidRPr="0048528B">
              <w:rPr>
                <w:rFonts w:cs="Arial"/>
                <w:b/>
                <w:snapToGrid w:val="0"/>
                <w:sz w:val="16"/>
                <w:szCs w:val="16"/>
                <w:lang w:val="fr-FR"/>
              </w:rPr>
              <w:t>English</w:t>
            </w:r>
          </w:p>
        </w:tc>
        <w:tc>
          <w:tcPr>
            <w:tcW w:w="1225" w:type="dxa"/>
            <w:tcBorders>
              <w:top w:val="single" w:sz="4" w:space="0" w:color="auto"/>
              <w:bottom w:val="single" w:sz="4" w:space="0" w:color="auto"/>
            </w:tcBorders>
            <w:shd w:val="clear" w:color="auto" w:fill="E6E6E6"/>
            <w:vAlign w:val="center"/>
          </w:tcPr>
          <w:p w:rsidR="00C97F0A" w:rsidRPr="0048528B" w:rsidRDefault="00C97F0A" w:rsidP="00773B12">
            <w:pPr>
              <w:keepNext/>
              <w:spacing w:before="60" w:after="60"/>
              <w:jc w:val="left"/>
              <w:rPr>
                <w:rFonts w:cs="Arial"/>
                <w:b/>
                <w:snapToGrid w:val="0"/>
                <w:color w:val="000000"/>
                <w:sz w:val="16"/>
                <w:szCs w:val="16"/>
                <w:lang w:val="fr-FR"/>
              </w:rPr>
            </w:pPr>
            <w:r w:rsidRPr="0048528B">
              <w:rPr>
                <w:rFonts w:cs="Arial"/>
                <w:b/>
                <w:snapToGrid w:val="0"/>
                <w:sz w:val="16"/>
                <w:szCs w:val="16"/>
                <w:lang w:val="fr-FR"/>
              </w:rPr>
              <w:t>Français</w:t>
            </w:r>
          </w:p>
        </w:tc>
        <w:tc>
          <w:tcPr>
            <w:tcW w:w="1474" w:type="dxa"/>
            <w:tcBorders>
              <w:top w:val="single" w:sz="4" w:space="0" w:color="auto"/>
              <w:bottom w:val="single" w:sz="4" w:space="0" w:color="auto"/>
            </w:tcBorders>
            <w:shd w:val="clear" w:color="auto" w:fill="E6E6E6"/>
            <w:vAlign w:val="center"/>
          </w:tcPr>
          <w:p w:rsidR="00C97F0A" w:rsidRPr="0048528B" w:rsidRDefault="00C97F0A" w:rsidP="00773B12">
            <w:pPr>
              <w:keepNext/>
              <w:spacing w:before="60" w:after="60"/>
              <w:jc w:val="left"/>
              <w:rPr>
                <w:rFonts w:cs="Arial"/>
                <w:b/>
                <w:snapToGrid w:val="0"/>
                <w:color w:val="000000"/>
                <w:sz w:val="16"/>
                <w:szCs w:val="16"/>
                <w:lang w:val="fr-FR"/>
              </w:rPr>
            </w:pPr>
            <w:r w:rsidRPr="0048528B">
              <w:rPr>
                <w:rFonts w:cs="Arial"/>
                <w:b/>
                <w:snapToGrid w:val="0"/>
                <w:sz w:val="16"/>
                <w:szCs w:val="16"/>
                <w:lang w:val="fr-FR"/>
              </w:rPr>
              <w:t>Deutsch</w:t>
            </w:r>
          </w:p>
        </w:tc>
        <w:tc>
          <w:tcPr>
            <w:tcW w:w="1467" w:type="dxa"/>
            <w:tcBorders>
              <w:top w:val="single" w:sz="4" w:space="0" w:color="auto"/>
              <w:bottom w:val="single" w:sz="4" w:space="0" w:color="auto"/>
            </w:tcBorders>
            <w:shd w:val="clear" w:color="auto" w:fill="E6E6E6"/>
            <w:vAlign w:val="center"/>
          </w:tcPr>
          <w:p w:rsidR="00C97F0A" w:rsidRPr="0048528B" w:rsidRDefault="00C97F0A" w:rsidP="00773B12">
            <w:pPr>
              <w:keepNext/>
              <w:spacing w:before="60" w:after="60"/>
              <w:jc w:val="left"/>
              <w:rPr>
                <w:rFonts w:cs="Arial"/>
                <w:b/>
                <w:snapToGrid w:val="0"/>
                <w:color w:val="000000"/>
                <w:sz w:val="16"/>
                <w:szCs w:val="16"/>
                <w:lang w:val="fr-FR"/>
              </w:rPr>
            </w:pPr>
            <w:r w:rsidRPr="0048528B">
              <w:rPr>
                <w:rFonts w:cs="Arial"/>
                <w:b/>
                <w:snapToGrid w:val="0"/>
                <w:sz w:val="16"/>
                <w:szCs w:val="16"/>
                <w:lang w:val="fr-FR"/>
              </w:rPr>
              <w:t>Español</w:t>
            </w:r>
          </w:p>
        </w:tc>
        <w:tc>
          <w:tcPr>
            <w:tcW w:w="2162" w:type="dxa"/>
            <w:tcBorders>
              <w:top w:val="single" w:sz="4" w:space="0" w:color="auto"/>
              <w:bottom w:val="single" w:sz="4" w:space="0" w:color="auto"/>
            </w:tcBorders>
            <w:shd w:val="clear" w:color="auto" w:fill="E6E6E6"/>
            <w:vAlign w:val="center"/>
          </w:tcPr>
          <w:p w:rsidR="00C97F0A" w:rsidRPr="0048528B" w:rsidRDefault="00C97F0A" w:rsidP="00773B12">
            <w:pPr>
              <w:keepNext/>
              <w:spacing w:before="60" w:after="60"/>
              <w:jc w:val="left"/>
              <w:rPr>
                <w:rFonts w:cs="Arial"/>
                <w:b/>
                <w:snapToGrid w:val="0"/>
                <w:color w:val="000000"/>
                <w:sz w:val="16"/>
                <w:szCs w:val="16"/>
                <w:lang w:val="fr-FR"/>
              </w:rPr>
            </w:pPr>
            <w:r w:rsidRPr="0048528B">
              <w:rPr>
                <w:rFonts w:cs="Arial"/>
                <w:b/>
                <w:snapToGrid w:val="0"/>
                <w:sz w:val="16"/>
                <w:szCs w:val="16"/>
                <w:lang w:val="fr-FR"/>
              </w:rPr>
              <w:t>Botanical name</w:t>
            </w:r>
            <w:r w:rsidRPr="0048528B">
              <w:rPr>
                <w:rFonts w:cs="Arial"/>
                <w:b/>
                <w:snapToGrid w:val="0"/>
                <w:sz w:val="16"/>
                <w:szCs w:val="16"/>
                <w:lang w:val="fr-FR"/>
              </w:rPr>
              <w:br/>
              <w:t>Nom botanique</w:t>
            </w:r>
            <w:r w:rsidRPr="0048528B">
              <w:rPr>
                <w:rFonts w:cs="Arial"/>
                <w:b/>
                <w:snapToGrid w:val="0"/>
                <w:sz w:val="16"/>
                <w:szCs w:val="16"/>
                <w:lang w:val="fr-FR"/>
              </w:rPr>
              <w:br/>
              <w:t>Botanischer Name</w:t>
            </w:r>
            <w:r w:rsidRPr="0048528B">
              <w:rPr>
                <w:rFonts w:cs="Arial"/>
                <w:b/>
                <w:snapToGrid w:val="0"/>
                <w:sz w:val="16"/>
                <w:szCs w:val="16"/>
                <w:lang w:val="fr-FR"/>
              </w:rPr>
              <w:br/>
              <w:t>Nombre botánico</w:t>
            </w:r>
          </w:p>
        </w:tc>
      </w:tr>
      <w:tr w:rsidR="00C97F0A" w:rsidRPr="0048528B" w:rsidTr="00773B12">
        <w:trPr>
          <w:jc w:val="center"/>
        </w:trPr>
        <w:tc>
          <w:tcPr>
            <w:tcW w:w="10674" w:type="dxa"/>
            <w:gridSpan w:val="8"/>
            <w:tcBorders>
              <w:top w:val="single" w:sz="4" w:space="0" w:color="auto"/>
              <w:bottom w:val="single" w:sz="4" w:space="0" w:color="auto"/>
            </w:tcBorders>
          </w:tcPr>
          <w:p w:rsidR="00C97F0A" w:rsidRPr="0048528B" w:rsidRDefault="00C97F0A" w:rsidP="00773B12">
            <w:pPr>
              <w:keepNext/>
              <w:spacing w:before="60" w:after="60"/>
              <w:jc w:val="left"/>
              <w:rPr>
                <w:rFonts w:cs="Arial"/>
                <w:sz w:val="16"/>
                <w:szCs w:val="16"/>
                <w:lang w:val="fr-FR"/>
              </w:rPr>
            </w:pPr>
            <w:r w:rsidRPr="0048528B">
              <w:rPr>
                <w:rFonts w:cs="Arial"/>
                <w:b/>
                <w:bCs/>
                <w:sz w:val="16"/>
                <w:szCs w:val="16"/>
                <w:u w:val="single"/>
                <w:lang w:val="fr-FR"/>
              </w:rPr>
              <w:t>NOUVEAUX PRINCIPES DIRECTEURS D</w:t>
            </w:r>
            <w:r w:rsidR="00F3296C" w:rsidRPr="0048528B">
              <w:rPr>
                <w:rFonts w:cs="Arial"/>
                <w:b/>
                <w:bCs/>
                <w:sz w:val="16"/>
                <w:szCs w:val="16"/>
                <w:u w:val="single"/>
                <w:lang w:val="fr-FR"/>
              </w:rPr>
              <w:t>’</w:t>
            </w:r>
            <w:r w:rsidRPr="0048528B">
              <w:rPr>
                <w:rFonts w:cs="Arial"/>
                <w:b/>
                <w:bCs/>
                <w:sz w:val="16"/>
                <w:szCs w:val="16"/>
                <w:u w:val="single"/>
                <w:lang w:val="fr-FR"/>
              </w:rPr>
              <w:t>EXAMEN</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rFonts w:cs="Arial"/>
                <w:sz w:val="16"/>
                <w:szCs w:val="16"/>
                <w:lang w:val="fr-FR"/>
              </w:rPr>
              <w:t>BR</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sz w:val="16"/>
                <w:szCs w:val="16"/>
                <w:lang w:val="fr-FR"/>
              </w:rPr>
              <w:t>TWV</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sz w:val="16"/>
                <w:szCs w:val="16"/>
                <w:lang w:val="fr-FR"/>
              </w:rPr>
              <w:t>TG/CORIA(proj.5)</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color w:val="000000"/>
                <w:sz w:val="16"/>
                <w:szCs w:val="16"/>
                <w:lang w:val="fr-FR"/>
              </w:rPr>
              <w:t>Coriander, Cilantro,</w:t>
            </w:r>
            <w:r w:rsidRPr="0048528B">
              <w:rPr>
                <w:color w:val="000000"/>
                <w:sz w:val="16"/>
                <w:szCs w:val="16"/>
                <w:lang w:val="fr-FR"/>
              </w:rPr>
              <w:br/>
              <w:t>Collender, Chinese parsley</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sz w:val="16"/>
                <w:szCs w:val="16"/>
                <w:lang w:val="fr-FR"/>
              </w:rPr>
              <w:t>Coriandre</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sz w:val="16"/>
                <w:szCs w:val="16"/>
                <w:lang w:val="fr-FR"/>
              </w:rPr>
              <w:t>Koriander</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sz w:val="16"/>
                <w:szCs w:val="16"/>
                <w:lang w:val="fr-FR"/>
              </w:rPr>
              <w:t>Coriandro</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i/>
                <w:color w:val="000000"/>
                <w:sz w:val="16"/>
                <w:szCs w:val="16"/>
                <w:lang w:val="fr-FR"/>
              </w:rPr>
              <w:t>Coriandrum sativum</w:t>
            </w:r>
            <w:r w:rsidRPr="0048528B">
              <w:rPr>
                <w:b/>
                <w:bCs/>
                <w:i/>
                <w:iCs/>
                <w:color w:val="000000"/>
                <w:sz w:val="16"/>
                <w:szCs w:val="16"/>
                <w:lang w:val="fr-FR"/>
              </w:rPr>
              <w:t xml:space="preserve"> </w:t>
            </w:r>
            <w:r w:rsidRPr="0048528B">
              <w:rPr>
                <w:i/>
                <w:color w:val="000000"/>
                <w:sz w:val="16"/>
                <w:szCs w:val="16"/>
                <w:lang w:val="fr-FR"/>
              </w:rPr>
              <w:t>L.</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rFonts w:cs="Arial"/>
                <w:sz w:val="16"/>
                <w:szCs w:val="16"/>
                <w:lang w:val="fr-FR"/>
              </w:rPr>
              <w:t>AU</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sz w:val="16"/>
                <w:szCs w:val="16"/>
                <w:lang w:val="fr-FR"/>
              </w:rPr>
            </w:pPr>
            <w:r w:rsidRPr="0048528B">
              <w:rPr>
                <w:sz w:val="16"/>
                <w:szCs w:val="16"/>
                <w:lang w:val="fr-FR"/>
              </w:rPr>
              <w:t>TWO</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pStyle w:val="BodyText"/>
              <w:spacing w:before="60" w:after="60"/>
              <w:jc w:val="left"/>
              <w:rPr>
                <w:sz w:val="16"/>
                <w:szCs w:val="16"/>
                <w:lang w:val="fr-FR"/>
              </w:rPr>
            </w:pPr>
            <w:r w:rsidRPr="0048528B">
              <w:rPr>
                <w:sz w:val="16"/>
                <w:szCs w:val="16"/>
                <w:lang w:val="fr-FR"/>
              </w:rPr>
              <w:t>TG/DIANE(proj.5)</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Flax</w:t>
            </w:r>
            <w:r w:rsidR="003F00B6" w:rsidRPr="0048528B">
              <w:rPr>
                <w:sz w:val="16"/>
                <w:szCs w:val="16"/>
                <w:lang w:val="fr-FR"/>
              </w:rPr>
              <w:noBreakHyphen/>
            </w:r>
            <w:r w:rsidRPr="0048528B">
              <w:rPr>
                <w:sz w:val="16"/>
                <w:szCs w:val="16"/>
                <w:lang w:val="fr-FR"/>
              </w:rPr>
              <w:t>lily, Dianella</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Dianella</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Flachslilie, Dianella</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Dianella</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i/>
                <w:sz w:val="16"/>
                <w:szCs w:val="16"/>
                <w:lang w:val="fr-FR"/>
              </w:rPr>
              <w:t>Dianella</w:t>
            </w:r>
            <w:r w:rsidRPr="0048528B">
              <w:rPr>
                <w:sz w:val="16"/>
                <w:szCs w:val="16"/>
                <w:lang w:val="fr-FR"/>
              </w:rPr>
              <w:t xml:space="preserve"> Lam. ex Juss.</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color w:val="000000"/>
                <w:sz w:val="16"/>
                <w:szCs w:val="16"/>
                <w:lang w:val="fr-FR"/>
              </w:rPr>
            </w:pPr>
            <w:r w:rsidRPr="0048528B">
              <w:rPr>
                <w:rFonts w:cs="Arial"/>
                <w:color w:val="000000"/>
                <w:sz w:val="16"/>
                <w:szCs w:val="16"/>
                <w:lang w:val="fr-FR"/>
              </w:rPr>
              <w:t>BR/CN</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pStyle w:val="BodyText"/>
              <w:keepNext/>
              <w:spacing w:before="60" w:after="60"/>
              <w:jc w:val="center"/>
              <w:rPr>
                <w:sz w:val="16"/>
                <w:szCs w:val="16"/>
                <w:lang w:val="fr-FR"/>
              </w:rPr>
            </w:pPr>
            <w:r w:rsidRPr="0048528B">
              <w:rPr>
                <w:sz w:val="16"/>
                <w:szCs w:val="16"/>
                <w:lang w:val="fr-FR"/>
              </w:rPr>
              <w:t>TWO</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pStyle w:val="BodyText"/>
              <w:spacing w:before="60" w:after="60"/>
              <w:jc w:val="left"/>
              <w:rPr>
                <w:color w:val="000000"/>
                <w:sz w:val="16"/>
                <w:szCs w:val="16"/>
                <w:lang w:val="fr-FR"/>
              </w:rPr>
            </w:pPr>
            <w:r w:rsidRPr="0048528B">
              <w:rPr>
                <w:color w:val="000000"/>
                <w:sz w:val="16"/>
                <w:szCs w:val="16"/>
                <w:lang w:val="fr-FR"/>
              </w:rPr>
              <w:t>TG/EUCAL(proj.10)</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rPr>
                <w:snapToGrid w:val="0"/>
                <w:sz w:val="16"/>
                <w:szCs w:val="16"/>
                <w:lang w:val="fr-FR"/>
              </w:rPr>
            </w:pPr>
            <w:r w:rsidRPr="0048528B">
              <w:rPr>
                <w:snapToGrid w:val="0"/>
                <w:sz w:val="16"/>
                <w:szCs w:val="16"/>
                <w:lang w:val="fr-FR"/>
              </w:rPr>
              <w:t>Eucalyptus</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rPr>
                <w:snapToGrid w:val="0"/>
                <w:sz w:val="16"/>
                <w:szCs w:val="16"/>
                <w:lang w:val="fr-FR"/>
              </w:rPr>
            </w:pPr>
            <w:r w:rsidRPr="0048528B">
              <w:rPr>
                <w:snapToGrid w:val="0"/>
                <w:sz w:val="16"/>
                <w:szCs w:val="16"/>
                <w:lang w:val="fr-FR"/>
              </w:rPr>
              <w:t>Eucalyptus</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rPr>
                <w:snapToGrid w:val="0"/>
                <w:sz w:val="16"/>
                <w:szCs w:val="16"/>
                <w:lang w:val="fr-FR"/>
              </w:rPr>
            </w:pPr>
            <w:r w:rsidRPr="0048528B">
              <w:rPr>
                <w:snapToGrid w:val="0"/>
                <w:sz w:val="16"/>
                <w:szCs w:val="16"/>
                <w:lang w:val="fr-FR"/>
              </w:rPr>
              <w:t>Eukalyptus</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rPr>
                <w:snapToGrid w:val="0"/>
                <w:sz w:val="16"/>
                <w:szCs w:val="16"/>
                <w:lang w:val="fr-FR"/>
              </w:rPr>
            </w:pPr>
            <w:r w:rsidRPr="0048528B">
              <w:rPr>
                <w:snapToGrid w:val="0"/>
                <w:sz w:val="16"/>
                <w:szCs w:val="16"/>
                <w:lang w:val="fr-FR"/>
              </w:rPr>
              <w:t>Eucalipto</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i/>
                <w:snapToGrid w:val="0"/>
                <w:sz w:val="16"/>
                <w:szCs w:val="16"/>
                <w:lang w:val="fr-FR"/>
              </w:rPr>
              <w:t xml:space="preserve">Eucalyptus </w:t>
            </w:r>
            <w:r w:rsidRPr="0048528B">
              <w:rPr>
                <w:snapToGrid w:val="0"/>
                <w:sz w:val="16"/>
                <w:szCs w:val="16"/>
                <w:lang w:val="fr-FR"/>
              </w:rPr>
              <w:t>L</w:t>
            </w:r>
            <w:r w:rsidR="00F3296C" w:rsidRPr="0048528B">
              <w:rPr>
                <w:snapToGrid w:val="0"/>
                <w:sz w:val="16"/>
                <w:szCs w:val="16"/>
                <w:lang w:val="fr-FR"/>
              </w:rPr>
              <w:t>’</w:t>
            </w:r>
            <w:r w:rsidRPr="0048528B">
              <w:rPr>
                <w:snapToGrid w:val="0"/>
                <w:sz w:val="16"/>
                <w:szCs w:val="16"/>
                <w:lang w:val="fr-FR"/>
              </w:rPr>
              <w:t>Hér</w:t>
            </w:r>
            <w:r w:rsidRPr="0048528B">
              <w:rPr>
                <w:sz w:val="16"/>
                <w:szCs w:val="16"/>
                <w:lang w:val="fr-FR"/>
              </w:rPr>
              <w:t>.</w:t>
            </w:r>
            <w:r w:rsidRPr="0048528B">
              <w:rPr>
                <w:sz w:val="16"/>
                <w:szCs w:val="16"/>
                <w:lang w:val="fr-FR"/>
              </w:rPr>
              <w:br/>
              <w:t>(Sub</w:t>
            </w:r>
            <w:r w:rsidR="003F00B6" w:rsidRPr="0048528B">
              <w:rPr>
                <w:sz w:val="16"/>
                <w:szCs w:val="16"/>
                <w:lang w:val="fr-FR"/>
              </w:rPr>
              <w:noBreakHyphen/>
            </w:r>
            <w:r w:rsidRPr="0048528B">
              <w:rPr>
                <w:sz w:val="16"/>
                <w:szCs w:val="16"/>
                <w:lang w:val="fr-FR"/>
              </w:rPr>
              <w:t xml:space="preserve">genus </w:t>
            </w:r>
            <w:r w:rsidRPr="0048528B">
              <w:rPr>
                <w:i/>
                <w:sz w:val="16"/>
                <w:szCs w:val="16"/>
                <w:lang w:val="fr-FR"/>
              </w:rPr>
              <w:t>Symphyomyrtus</w:t>
            </w:r>
            <w:r w:rsidRPr="0048528B">
              <w:rPr>
                <w:sz w:val="16"/>
                <w:szCs w:val="16"/>
                <w:lang w:val="fr-FR"/>
              </w:rPr>
              <w:t>)</w:t>
            </w:r>
            <w:r w:rsidRPr="0048528B">
              <w:rPr>
                <w:sz w:val="16"/>
                <w:szCs w:val="16"/>
                <w:lang w:val="fr-FR"/>
              </w:rPr>
              <w:br/>
              <w:t xml:space="preserve">(Sections </w:t>
            </w:r>
            <w:r w:rsidRPr="0048528B">
              <w:rPr>
                <w:i/>
                <w:sz w:val="16"/>
                <w:szCs w:val="16"/>
                <w:lang w:val="fr-FR"/>
              </w:rPr>
              <w:t>Transversaria</w:t>
            </w:r>
            <w:r w:rsidRPr="0048528B">
              <w:rPr>
                <w:sz w:val="16"/>
                <w:szCs w:val="16"/>
                <w:lang w:val="fr-FR"/>
              </w:rPr>
              <w:t xml:space="preserve">, </w:t>
            </w:r>
            <w:r w:rsidRPr="0048528B">
              <w:rPr>
                <w:i/>
                <w:sz w:val="16"/>
                <w:szCs w:val="16"/>
                <w:lang w:val="fr-FR"/>
              </w:rPr>
              <w:t>Maidenaria</w:t>
            </w:r>
            <w:r w:rsidRPr="0048528B">
              <w:rPr>
                <w:sz w:val="16"/>
                <w:szCs w:val="16"/>
                <w:lang w:val="fr-FR"/>
              </w:rPr>
              <w:t xml:space="preserve">, </w:t>
            </w:r>
            <w:r w:rsidRPr="0048528B">
              <w:rPr>
                <w:i/>
                <w:sz w:val="16"/>
                <w:szCs w:val="16"/>
                <w:lang w:val="fr-FR"/>
              </w:rPr>
              <w:t>Exsertaria</w:t>
            </w:r>
            <w:r w:rsidRPr="0048528B">
              <w:rPr>
                <w:sz w:val="16"/>
                <w:szCs w:val="16"/>
                <w:lang w:val="fr-FR"/>
              </w:rPr>
              <w:t>)</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rFonts w:cs="Arial"/>
                <w:sz w:val="16"/>
                <w:szCs w:val="16"/>
                <w:lang w:val="fr-FR"/>
              </w:rPr>
              <w:t>JP</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pStyle w:val="preparedby"/>
              <w:keepNext/>
              <w:spacing w:before="60" w:after="60"/>
              <w:rPr>
                <w:i w:val="0"/>
                <w:sz w:val="16"/>
                <w:szCs w:val="16"/>
                <w:lang w:val="fr-FR"/>
              </w:rPr>
            </w:pPr>
            <w:r w:rsidRPr="0048528B">
              <w:rPr>
                <w:i w:val="0"/>
                <w:sz w:val="16"/>
                <w:szCs w:val="16"/>
                <w:lang w:val="fr-FR"/>
              </w:rPr>
              <w:t>TWF</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pStyle w:val="BodyText"/>
              <w:spacing w:before="60" w:after="60"/>
              <w:jc w:val="left"/>
              <w:rPr>
                <w:snapToGrid w:val="0"/>
                <w:color w:val="000000"/>
                <w:sz w:val="16"/>
                <w:szCs w:val="16"/>
                <w:lang w:val="fr-FR"/>
              </w:rPr>
            </w:pPr>
            <w:r w:rsidRPr="0048528B">
              <w:rPr>
                <w:snapToGrid w:val="0"/>
                <w:color w:val="000000"/>
                <w:sz w:val="16"/>
                <w:szCs w:val="16"/>
                <w:lang w:val="fr-FR"/>
              </w:rPr>
              <w:t>TG/FORTU(proj.4)</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eastAsia="ja-JP"/>
              </w:rPr>
            </w:pPr>
            <w:r w:rsidRPr="0048528B">
              <w:rPr>
                <w:rFonts w:hAnsi="MS Mincho"/>
                <w:kern w:val="2"/>
                <w:sz w:val="16"/>
                <w:szCs w:val="16"/>
                <w:lang w:val="fr-FR" w:eastAsia="ja-JP"/>
              </w:rPr>
              <w:t>Kumquat</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widowControl w:val="0"/>
              <w:spacing w:before="60" w:after="60"/>
              <w:jc w:val="left"/>
              <w:rPr>
                <w:rFonts w:hAnsi="MS Mincho"/>
                <w:kern w:val="2"/>
                <w:sz w:val="16"/>
                <w:szCs w:val="16"/>
                <w:lang w:val="fr-FR" w:eastAsia="ja-JP"/>
              </w:rPr>
            </w:pPr>
            <w:r w:rsidRPr="0048528B">
              <w:rPr>
                <w:rFonts w:hAnsi="MS Mincho"/>
                <w:kern w:val="2"/>
                <w:sz w:val="16"/>
                <w:szCs w:val="16"/>
                <w:lang w:val="fr-FR" w:eastAsia="ja-JP"/>
              </w:rPr>
              <w:t>Kumquat</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rFonts w:hAnsi="MS Mincho"/>
                <w:kern w:val="2"/>
                <w:sz w:val="16"/>
                <w:szCs w:val="16"/>
                <w:lang w:val="fr-FR" w:eastAsia="ja-JP"/>
              </w:rPr>
              <w:t>Kumquat</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widowControl w:val="0"/>
              <w:spacing w:before="60" w:after="60"/>
              <w:jc w:val="left"/>
              <w:rPr>
                <w:rFonts w:hAnsi="MS Mincho"/>
                <w:kern w:val="2"/>
                <w:sz w:val="16"/>
                <w:szCs w:val="16"/>
                <w:lang w:val="fr-FR" w:eastAsia="ja-JP"/>
              </w:rPr>
            </w:pPr>
            <w:r w:rsidRPr="0048528B">
              <w:rPr>
                <w:rFonts w:hAnsi="MS Mincho"/>
                <w:kern w:val="2"/>
                <w:sz w:val="16"/>
                <w:szCs w:val="16"/>
                <w:lang w:val="fr-FR" w:eastAsia="ja-JP"/>
              </w:rPr>
              <w:t>Kumquat</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rFonts w:hAnsi="MS Mincho"/>
                <w:i/>
                <w:sz w:val="16"/>
                <w:szCs w:val="16"/>
                <w:lang w:val="fr-FR"/>
              </w:rPr>
              <w:t>Fortunella</w:t>
            </w:r>
            <w:r w:rsidRPr="0048528B">
              <w:rPr>
                <w:rFonts w:hAnsi="MS Mincho"/>
                <w:sz w:val="16"/>
                <w:szCs w:val="16"/>
                <w:lang w:val="fr-FR"/>
              </w:rPr>
              <w:t xml:space="preserve"> Swingle</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color w:val="000000"/>
                <w:sz w:val="16"/>
                <w:szCs w:val="16"/>
                <w:lang w:val="fr-FR"/>
              </w:rPr>
            </w:pPr>
            <w:r w:rsidRPr="0048528B">
              <w:rPr>
                <w:rFonts w:cs="Arial"/>
                <w:color w:val="000000"/>
                <w:sz w:val="16"/>
                <w:szCs w:val="16"/>
                <w:lang w:val="fr-FR"/>
              </w:rPr>
              <w:t>NZ</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sz w:val="16"/>
                <w:szCs w:val="16"/>
                <w:lang w:val="fr-FR"/>
              </w:rPr>
            </w:pPr>
            <w:r w:rsidRPr="0048528B">
              <w:rPr>
                <w:sz w:val="16"/>
                <w:szCs w:val="16"/>
                <w:lang w:val="fr-FR"/>
              </w:rPr>
              <w:t>TWO</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pStyle w:val="BodyText"/>
              <w:spacing w:before="60" w:after="60"/>
              <w:jc w:val="left"/>
              <w:rPr>
                <w:sz w:val="16"/>
                <w:szCs w:val="16"/>
                <w:lang w:val="fr-FR"/>
              </w:rPr>
            </w:pPr>
            <w:r w:rsidRPr="0048528B">
              <w:rPr>
                <w:sz w:val="16"/>
                <w:szCs w:val="16"/>
                <w:lang w:val="fr-FR"/>
              </w:rPr>
              <w:t>TG/HEBE(proj.5)</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Hebe</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Veronique</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Strauchveronika</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Verónica</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i/>
                <w:sz w:val="16"/>
                <w:szCs w:val="16"/>
                <w:lang w:val="fr-FR"/>
              </w:rPr>
            </w:pPr>
            <w:r w:rsidRPr="0048528B">
              <w:rPr>
                <w:i/>
                <w:sz w:val="16"/>
                <w:szCs w:val="16"/>
                <w:lang w:val="fr-FR"/>
              </w:rPr>
              <w:t>Hebe</w:t>
            </w:r>
            <w:r w:rsidRPr="0048528B">
              <w:rPr>
                <w:sz w:val="16"/>
                <w:szCs w:val="16"/>
                <w:lang w:val="fr-FR"/>
              </w:rPr>
              <w:t xml:space="preserve"> Comm. ex Juss.</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rFonts w:cs="Arial"/>
                <w:sz w:val="16"/>
                <w:szCs w:val="16"/>
                <w:lang w:val="fr-FR"/>
              </w:rPr>
              <w:t>CA</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sz w:val="16"/>
                <w:szCs w:val="16"/>
                <w:lang w:val="fr-FR"/>
              </w:rPr>
            </w:pPr>
            <w:r w:rsidRPr="0048528B">
              <w:rPr>
                <w:sz w:val="16"/>
                <w:szCs w:val="16"/>
                <w:lang w:val="fr-FR"/>
              </w:rPr>
              <w:t>TWO</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pStyle w:val="BodyText"/>
              <w:spacing w:before="60" w:after="60"/>
              <w:jc w:val="left"/>
              <w:rPr>
                <w:sz w:val="16"/>
                <w:szCs w:val="16"/>
                <w:lang w:val="fr-FR"/>
              </w:rPr>
            </w:pPr>
            <w:r w:rsidRPr="0048528B">
              <w:rPr>
                <w:sz w:val="16"/>
                <w:szCs w:val="16"/>
                <w:lang w:val="fr-FR"/>
              </w:rPr>
              <w:t>TG/LOBEL(proj.4)</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Lobelia, True Lobelia of Gardens</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Lobélie, Lobélie des jardins</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Lobelie, Männertreu</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Lobelia</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bCs/>
                <w:i/>
                <w:sz w:val="16"/>
                <w:szCs w:val="16"/>
                <w:lang w:val="fr-FR"/>
              </w:rPr>
              <w:t>Lobelia alsinoides</w:t>
            </w:r>
            <w:r w:rsidRPr="0048528B">
              <w:rPr>
                <w:bCs/>
                <w:sz w:val="16"/>
                <w:szCs w:val="16"/>
                <w:lang w:val="fr-FR"/>
              </w:rPr>
              <w:t xml:space="preserve"> Lam.;  </w:t>
            </w:r>
            <w:r w:rsidRPr="0048528B">
              <w:rPr>
                <w:i/>
                <w:sz w:val="16"/>
                <w:szCs w:val="16"/>
                <w:lang w:val="fr-FR"/>
              </w:rPr>
              <w:t>Lobelia erinus</w:t>
            </w:r>
            <w:r w:rsidRPr="0048528B">
              <w:rPr>
                <w:sz w:val="16"/>
                <w:szCs w:val="16"/>
                <w:lang w:val="fr-FR"/>
              </w:rPr>
              <w:t xml:space="preserve"> L.;  </w:t>
            </w:r>
            <w:r w:rsidRPr="0048528B">
              <w:rPr>
                <w:sz w:val="16"/>
                <w:szCs w:val="16"/>
                <w:lang w:val="fr-FR"/>
              </w:rPr>
              <w:br/>
            </w:r>
            <w:r w:rsidRPr="0048528B">
              <w:rPr>
                <w:i/>
                <w:sz w:val="16"/>
                <w:szCs w:val="16"/>
                <w:lang w:val="fr-FR"/>
              </w:rPr>
              <w:t xml:space="preserve">Lobelia valida </w:t>
            </w:r>
            <w:r w:rsidRPr="0048528B">
              <w:rPr>
                <w:sz w:val="16"/>
                <w:szCs w:val="16"/>
                <w:lang w:val="fr-FR"/>
              </w:rPr>
              <w:t xml:space="preserve">L. Bolus;  </w:t>
            </w:r>
            <w:r w:rsidRPr="0048528B">
              <w:rPr>
                <w:sz w:val="16"/>
                <w:szCs w:val="16"/>
                <w:lang w:val="fr-FR"/>
              </w:rPr>
              <w:br/>
              <w:t>Hybrids between</w:t>
            </w:r>
            <w:r w:rsidRPr="0048528B">
              <w:rPr>
                <w:i/>
                <w:sz w:val="16"/>
                <w:szCs w:val="16"/>
                <w:lang w:val="fr-FR"/>
              </w:rPr>
              <w:t xml:space="preserve"> Lobelia erinus </w:t>
            </w:r>
            <w:r w:rsidRPr="0048528B">
              <w:rPr>
                <w:sz w:val="16"/>
                <w:szCs w:val="16"/>
                <w:lang w:val="fr-FR"/>
              </w:rPr>
              <w:t xml:space="preserve">and </w:t>
            </w:r>
            <w:r w:rsidRPr="0048528B">
              <w:rPr>
                <w:bCs/>
                <w:i/>
                <w:sz w:val="16"/>
                <w:szCs w:val="16"/>
                <w:lang w:val="fr-FR"/>
              </w:rPr>
              <w:t>Lobelia alsinoides</w:t>
            </w:r>
            <w:r w:rsidRPr="0048528B">
              <w:rPr>
                <w:bCs/>
                <w:sz w:val="16"/>
                <w:szCs w:val="16"/>
                <w:lang w:val="fr-FR"/>
              </w:rPr>
              <w:t>;</w:t>
            </w:r>
            <w:r w:rsidRPr="0048528B">
              <w:rPr>
                <w:bCs/>
                <w:i/>
                <w:sz w:val="16"/>
                <w:szCs w:val="16"/>
                <w:lang w:val="fr-FR"/>
              </w:rPr>
              <w:t xml:space="preserve">  </w:t>
            </w:r>
            <w:r w:rsidRPr="0048528B">
              <w:rPr>
                <w:sz w:val="16"/>
                <w:szCs w:val="16"/>
                <w:lang w:val="fr-FR"/>
              </w:rPr>
              <w:t xml:space="preserve">Hybrids between </w:t>
            </w:r>
            <w:r w:rsidRPr="0048528B">
              <w:rPr>
                <w:i/>
                <w:sz w:val="16"/>
                <w:szCs w:val="16"/>
                <w:lang w:val="fr-FR"/>
              </w:rPr>
              <w:t>Lobelia erinus</w:t>
            </w:r>
            <w:r w:rsidRPr="0048528B">
              <w:rPr>
                <w:sz w:val="16"/>
                <w:szCs w:val="16"/>
                <w:lang w:val="fr-FR"/>
              </w:rPr>
              <w:t xml:space="preserve"> and </w:t>
            </w:r>
            <w:r w:rsidRPr="0048528B">
              <w:rPr>
                <w:i/>
                <w:sz w:val="16"/>
                <w:szCs w:val="16"/>
                <w:lang w:val="fr-FR"/>
              </w:rPr>
              <w:t>Lobelia valida</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rFonts w:cs="Arial"/>
                <w:sz w:val="16"/>
                <w:szCs w:val="16"/>
                <w:lang w:val="fr-FR"/>
              </w:rPr>
              <w:t>AU</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sz w:val="16"/>
                <w:szCs w:val="16"/>
                <w:lang w:val="fr-FR"/>
              </w:rPr>
            </w:pPr>
            <w:r w:rsidRPr="0048528B">
              <w:rPr>
                <w:sz w:val="16"/>
                <w:szCs w:val="16"/>
                <w:lang w:val="fr-FR"/>
              </w:rPr>
              <w:t>TWO</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pStyle w:val="preparedby"/>
              <w:spacing w:before="60" w:after="60"/>
              <w:jc w:val="left"/>
              <w:rPr>
                <w:i w:val="0"/>
                <w:sz w:val="16"/>
                <w:szCs w:val="16"/>
                <w:lang w:val="fr-FR"/>
              </w:rPr>
            </w:pPr>
            <w:r w:rsidRPr="0048528B">
              <w:rPr>
                <w:i w:val="0"/>
                <w:sz w:val="16"/>
                <w:szCs w:val="16"/>
                <w:lang w:val="fr-FR"/>
              </w:rPr>
              <w:t>TG/LOMAN(proj.5)</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Lomandra, Mat Rush</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 xml:space="preserve">Lomandra </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 xml:space="preserve">Lomandra </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 xml:space="preserve">Lomandra </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bCs/>
                <w:i/>
                <w:sz w:val="16"/>
                <w:szCs w:val="16"/>
                <w:lang w:val="fr-FR"/>
              </w:rPr>
              <w:t>Lomandra</w:t>
            </w:r>
            <w:r w:rsidRPr="0048528B">
              <w:rPr>
                <w:bCs/>
                <w:sz w:val="16"/>
                <w:szCs w:val="16"/>
                <w:lang w:val="fr-FR"/>
              </w:rPr>
              <w:t xml:space="preserve"> Labill.</w:t>
            </w:r>
          </w:p>
        </w:tc>
      </w:tr>
    </w:tbl>
    <w:p w:rsidR="00937C59" w:rsidRPr="0048528B" w:rsidRDefault="00937C59" w:rsidP="00773B12">
      <w:pPr>
        <w:tabs>
          <w:tab w:val="left" w:pos="568"/>
          <w:tab w:val="left" w:pos="1135"/>
          <w:tab w:val="left" w:pos="2836"/>
          <w:tab w:val="left" w:pos="4346"/>
          <w:tab w:val="left" w:pos="5571"/>
          <w:tab w:val="left" w:pos="7045"/>
          <w:tab w:val="left" w:pos="8512"/>
        </w:tabs>
        <w:spacing w:before="60" w:after="60"/>
        <w:jc w:val="left"/>
        <w:rPr>
          <w:bCs/>
          <w:i/>
          <w:sz w:val="16"/>
          <w:szCs w:val="16"/>
          <w:lang w:val="fr-FR"/>
        </w:rPr>
      </w:pPr>
    </w:p>
    <w:p w:rsidR="00D506D0" w:rsidRPr="0048528B" w:rsidRDefault="00937C59" w:rsidP="00773B12">
      <w:pPr>
        <w:tabs>
          <w:tab w:val="left" w:pos="568"/>
          <w:tab w:val="left" w:pos="1135"/>
          <w:tab w:val="left" w:pos="2836"/>
          <w:tab w:val="left" w:pos="4346"/>
          <w:tab w:val="left" w:pos="5571"/>
          <w:tab w:val="left" w:pos="7045"/>
          <w:tab w:val="left" w:pos="8512"/>
        </w:tabs>
        <w:spacing w:before="60" w:after="60"/>
        <w:jc w:val="left"/>
        <w:rPr>
          <w:bCs/>
          <w:i/>
          <w:sz w:val="16"/>
          <w:szCs w:val="16"/>
          <w:lang w:val="fr-FR"/>
        </w:rPr>
      </w:pPr>
      <w:r w:rsidRPr="0048528B">
        <w:rPr>
          <w:bCs/>
          <w:i/>
          <w:sz w:val="16"/>
          <w:szCs w:val="16"/>
          <w:lang w:val="fr-FR"/>
        </w:rPr>
        <w:br w:type="page"/>
      </w:r>
    </w:p>
    <w:tbl>
      <w:tblPr>
        <w:tblW w:w="10674" w:type="dxa"/>
        <w:jc w:val="center"/>
        <w:tblLayout w:type="fixed"/>
        <w:tblCellMar>
          <w:left w:w="28" w:type="dxa"/>
          <w:right w:w="28" w:type="dxa"/>
        </w:tblCellMar>
        <w:tblLook w:val="01E0" w:firstRow="1" w:lastRow="1" w:firstColumn="1" w:lastColumn="1" w:noHBand="0" w:noVBand="0"/>
      </w:tblPr>
      <w:tblGrid>
        <w:gridCol w:w="568"/>
        <w:gridCol w:w="567"/>
        <w:gridCol w:w="1701"/>
        <w:gridCol w:w="1510"/>
        <w:gridCol w:w="1225"/>
        <w:gridCol w:w="1474"/>
        <w:gridCol w:w="1467"/>
        <w:gridCol w:w="2162"/>
      </w:tblGrid>
      <w:tr w:rsidR="00937C59" w:rsidRPr="0048528B" w:rsidTr="00937C59">
        <w:trPr>
          <w:tblHeader/>
          <w:jc w:val="center"/>
        </w:trPr>
        <w:tc>
          <w:tcPr>
            <w:tcW w:w="568" w:type="dxa"/>
            <w:tcBorders>
              <w:top w:val="single" w:sz="4" w:space="0" w:color="auto"/>
              <w:bottom w:val="single" w:sz="4" w:space="0" w:color="auto"/>
            </w:tcBorders>
            <w:shd w:val="clear" w:color="auto" w:fill="E6E6E6"/>
            <w:vAlign w:val="center"/>
          </w:tcPr>
          <w:p w:rsidR="00937C59" w:rsidRPr="0048528B" w:rsidRDefault="00937C59" w:rsidP="00937C59">
            <w:pPr>
              <w:keepNext/>
              <w:spacing w:before="60" w:after="60"/>
              <w:jc w:val="center"/>
              <w:rPr>
                <w:rFonts w:cs="Arial"/>
                <w:b/>
                <w:snapToGrid w:val="0"/>
                <w:color w:val="000000"/>
                <w:sz w:val="16"/>
                <w:szCs w:val="16"/>
                <w:lang w:val="fr-FR"/>
              </w:rPr>
            </w:pPr>
            <w:r w:rsidRPr="0048528B">
              <w:rPr>
                <w:rFonts w:cs="Arial"/>
                <w:b/>
                <w:snapToGrid w:val="0"/>
                <w:sz w:val="16"/>
                <w:szCs w:val="16"/>
                <w:lang w:val="fr-FR"/>
              </w:rPr>
              <w:t>**</w:t>
            </w:r>
          </w:p>
        </w:tc>
        <w:tc>
          <w:tcPr>
            <w:tcW w:w="567" w:type="dxa"/>
            <w:tcBorders>
              <w:top w:val="single" w:sz="4" w:space="0" w:color="auto"/>
              <w:bottom w:val="single" w:sz="4" w:space="0" w:color="auto"/>
            </w:tcBorders>
            <w:shd w:val="clear" w:color="auto" w:fill="E6E6E6"/>
            <w:vAlign w:val="center"/>
          </w:tcPr>
          <w:p w:rsidR="00937C59" w:rsidRPr="0048528B" w:rsidRDefault="00937C59" w:rsidP="00937C59">
            <w:pPr>
              <w:keepNext/>
              <w:spacing w:before="60" w:after="60"/>
              <w:jc w:val="center"/>
              <w:rPr>
                <w:rFonts w:cs="Arial"/>
                <w:b/>
                <w:snapToGrid w:val="0"/>
                <w:sz w:val="16"/>
                <w:szCs w:val="16"/>
                <w:lang w:val="fr-FR"/>
              </w:rPr>
            </w:pPr>
            <w:r w:rsidRPr="0048528B">
              <w:rPr>
                <w:rFonts w:cs="Arial"/>
                <w:b/>
                <w:snapToGrid w:val="0"/>
                <w:sz w:val="16"/>
                <w:szCs w:val="16"/>
                <w:lang w:val="fr-FR"/>
              </w:rPr>
              <w:t>TWP</w:t>
            </w:r>
          </w:p>
        </w:tc>
        <w:tc>
          <w:tcPr>
            <w:tcW w:w="1701" w:type="dxa"/>
            <w:tcBorders>
              <w:top w:val="single" w:sz="4" w:space="0" w:color="auto"/>
              <w:bottom w:val="single" w:sz="4" w:space="0" w:color="auto"/>
            </w:tcBorders>
            <w:shd w:val="clear" w:color="auto" w:fill="E6E6E6"/>
            <w:vAlign w:val="center"/>
          </w:tcPr>
          <w:p w:rsidR="00937C59" w:rsidRPr="0048528B" w:rsidRDefault="00937C59" w:rsidP="00937C59">
            <w:pPr>
              <w:keepNext/>
              <w:spacing w:before="60" w:after="60"/>
              <w:jc w:val="left"/>
              <w:rPr>
                <w:rFonts w:cs="Arial"/>
                <w:b/>
                <w:snapToGrid w:val="0"/>
                <w:color w:val="000000"/>
                <w:sz w:val="16"/>
                <w:szCs w:val="16"/>
                <w:lang w:val="fr-FR"/>
              </w:rPr>
            </w:pPr>
            <w:r w:rsidRPr="0048528B">
              <w:rPr>
                <w:rFonts w:cs="Arial"/>
                <w:b/>
                <w:snapToGrid w:val="0"/>
                <w:sz w:val="16"/>
                <w:szCs w:val="16"/>
                <w:lang w:val="fr-FR"/>
              </w:rPr>
              <w:t>Document No.</w:t>
            </w:r>
            <w:r w:rsidRPr="0048528B">
              <w:rPr>
                <w:rFonts w:cs="Arial"/>
                <w:b/>
                <w:snapToGrid w:val="0"/>
                <w:sz w:val="16"/>
                <w:szCs w:val="16"/>
                <w:lang w:val="fr-FR"/>
              </w:rPr>
              <w:br/>
              <w:t>N° du document</w:t>
            </w:r>
            <w:r w:rsidRPr="0048528B">
              <w:rPr>
                <w:rFonts w:cs="Arial"/>
                <w:b/>
                <w:snapToGrid w:val="0"/>
                <w:sz w:val="16"/>
                <w:szCs w:val="16"/>
                <w:lang w:val="fr-FR"/>
              </w:rPr>
              <w:br/>
              <w:t>Dokument</w:t>
            </w:r>
            <w:r w:rsidRPr="0048528B">
              <w:rPr>
                <w:rFonts w:cs="Arial"/>
                <w:b/>
                <w:snapToGrid w:val="0"/>
                <w:sz w:val="16"/>
                <w:szCs w:val="16"/>
                <w:lang w:val="fr-FR"/>
              </w:rPr>
              <w:noBreakHyphen/>
              <w:t>Nr.</w:t>
            </w:r>
            <w:r w:rsidRPr="0048528B">
              <w:rPr>
                <w:rFonts w:cs="Arial"/>
                <w:b/>
                <w:snapToGrid w:val="0"/>
                <w:sz w:val="16"/>
                <w:szCs w:val="16"/>
                <w:lang w:val="fr-FR"/>
              </w:rPr>
              <w:br/>
              <w:t>No del documento</w:t>
            </w:r>
          </w:p>
        </w:tc>
        <w:tc>
          <w:tcPr>
            <w:tcW w:w="1510" w:type="dxa"/>
            <w:tcBorders>
              <w:top w:val="single" w:sz="4" w:space="0" w:color="auto"/>
              <w:bottom w:val="single" w:sz="4" w:space="0" w:color="auto"/>
            </w:tcBorders>
            <w:shd w:val="clear" w:color="auto" w:fill="E6E6E6"/>
            <w:vAlign w:val="center"/>
          </w:tcPr>
          <w:p w:rsidR="00937C59" w:rsidRPr="0048528B" w:rsidRDefault="00937C59" w:rsidP="00937C59">
            <w:pPr>
              <w:keepNext/>
              <w:spacing w:before="60" w:after="60"/>
              <w:jc w:val="left"/>
              <w:rPr>
                <w:rFonts w:cs="Arial"/>
                <w:b/>
                <w:snapToGrid w:val="0"/>
                <w:color w:val="000000"/>
                <w:sz w:val="16"/>
                <w:szCs w:val="16"/>
                <w:lang w:val="fr-FR"/>
              </w:rPr>
            </w:pPr>
            <w:r w:rsidRPr="0048528B">
              <w:rPr>
                <w:rFonts w:cs="Arial"/>
                <w:b/>
                <w:snapToGrid w:val="0"/>
                <w:sz w:val="16"/>
                <w:szCs w:val="16"/>
                <w:lang w:val="fr-FR"/>
              </w:rPr>
              <w:t>English</w:t>
            </w:r>
          </w:p>
        </w:tc>
        <w:tc>
          <w:tcPr>
            <w:tcW w:w="1225" w:type="dxa"/>
            <w:tcBorders>
              <w:top w:val="single" w:sz="4" w:space="0" w:color="auto"/>
              <w:bottom w:val="single" w:sz="4" w:space="0" w:color="auto"/>
            </w:tcBorders>
            <w:shd w:val="clear" w:color="auto" w:fill="E6E6E6"/>
            <w:vAlign w:val="center"/>
          </w:tcPr>
          <w:p w:rsidR="00937C59" w:rsidRPr="0048528B" w:rsidRDefault="00937C59" w:rsidP="00937C59">
            <w:pPr>
              <w:keepNext/>
              <w:spacing w:before="60" w:after="60"/>
              <w:jc w:val="left"/>
              <w:rPr>
                <w:rFonts w:cs="Arial"/>
                <w:b/>
                <w:snapToGrid w:val="0"/>
                <w:color w:val="000000"/>
                <w:sz w:val="16"/>
                <w:szCs w:val="16"/>
                <w:lang w:val="fr-FR"/>
              </w:rPr>
            </w:pPr>
            <w:r w:rsidRPr="0048528B">
              <w:rPr>
                <w:rFonts w:cs="Arial"/>
                <w:b/>
                <w:snapToGrid w:val="0"/>
                <w:sz w:val="16"/>
                <w:szCs w:val="16"/>
                <w:lang w:val="fr-FR"/>
              </w:rPr>
              <w:t>Français</w:t>
            </w:r>
          </w:p>
        </w:tc>
        <w:tc>
          <w:tcPr>
            <w:tcW w:w="1474" w:type="dxa"/>
            <w:tcBorders>
              <w:top w:val="single" w:sz="4" w:space="0" w:color="auto"/>
              <w:bottom w:val="single" w:sz="4" w:space="0" w:color="auto"/>
            </w:tcBorders>
            <w:shd w:val="clear" w:color="auto" w:fill="E6E6E6"/>
            <w:vAlign w:val="center"/>
          </w:tcPr>
          <w:p w:rsidR="00937C59" w:rsidRPr="0048528B" w:rsidRDefault="00937C59" w:rsidP="00937C59">
            <w:pPr>
              <w:keepNext/>
              <w:spacing w:before="60" w:after="60"/>
              <w:jc w:val="left"/>
              <w:rPr>
                <w:rFonts w:cs="Arial"/>
                <w:b/>
                <w:snapToGrid w:val="0"/>
                <w:color w:val="000000"/>
                <w:sz w:val="16"/>
                <w:szCs w:val="16"/>
                <w:lang w:val="fr-FR"/>
              </w:rPr>
            </w:pPr>
            <w:r w:rsidRPr="0048528B">
              <w:rPr>
                <w:rFonts w:cs="Arial"/>
                <w:b/>
                <w:snapToGrid w:val="0"/>
                <w:sz w:val="16"/>
                <w:szCs w:val="16"/>
                <w:lang w:val="fr-FR"/>
              </w:rPr>
              <w:t>Deutsch</w:t>
            </w:r>
          </w:p>
        </w:tc>
        <w:tc>
          <w:tcPr>
            <w:tcW w:w="1467" w:type="dxa"/>
            <w:tcBorders>
              <w:top w:val="single" w:sz="4" w:space="0" w:color="auto"/>
              <w:bottom w:val="single" w:sz="4" w:space="0" w:color="auto"/>
            </w:tcBorders>
            <w:shd w:val="clear" w:color="auto" w:fill="E6E6E6"/>
            <w:vAlign w:val="center"/>
          </w:tcPr>
          <w:p w:rsidR="00937C59" w:rsidRPr="0048528B" w:rsidRDefault="00937C59" w:rsidP="00937C59">
            <w:pPr>
              <w:keepNext/>
              <w:spacing w:before="60" w:after="60"/>
              <w:jc w:val="left"/>
              <w:rPr>
                <w:rFonts w:cs="Arial"/>
                <w:b/>
                <w:snapToGrid w:val="0"/>
                <w:color w:val="000000"/>
                <w:sz w:val="16"/>
                <w:szCs w:val="16"/>
                <w:lang w:val="fr-FR"/>
              </w:rPr>
            </w:pPr>
            <w:r w:rsidRPr="0048528B">
              <w:rPr>
                <w:rFonts w:cs="Arial"/>
                <w:b/>
                <w:snapToGrid w:val="0"/>
                <w:sz w:val="16"/>
                <w:szCs w:val="16"/>
                <w:lang w:val="fr-FR"/>
              </w:rPr>
              <w:t>Español</w:t>
            </w:r>
          </w:p>
        </w:tc>
        <w:tc>
          <w:tcPr>
            <w:tcW w:w="2162" w:type="dxa"/>
            <w:tcBorders>
              <w:top w:val="single" w:sz="4" w:space="0" w:color="auto"/>
              <w:bottom w:val="single" w:sz="4" w:space="0" w:color="auto"/>
            </w:tcBorders>
            <w:shd w:val="clear" w:color="auto" w:fill="E6E6E6"/>
            <w:vAlign w:val="center"/>
          </w:tcPr>
          <w:p w:rsidR="00937C59" w:rsidRPr="0048528B" w:rsidRDefault="00937C59" w:rsidP="00937C59">
            <w:pPr>
              <w:keepNext/>
              <w:spacing w:before="60" w:after="60"/>
              <w:jc w:val="left"/>
              <w:rPr>
                <w:rFonts w:cs="Arial"/>
                <w:b/>
                <w:snapToGrid w:val="0"/>
                <w:color w:val="000000"/>
                <w:sz w:val="16"/>
                <w:szCs w:val="16"/>
                <w:lang w:val="fr-FR"/>
              </w:rPr>
            </w:pPr>
            <w:r w:rsidRPr="0048528B">
              <w:rPr>
                <w:rFonts w:cs="Arial"/>
                <w:b/>
                <w:snapToGrid w:val="0"/>
                <w:sz w:val="16"/>
                <w:szCs w:val="16"/>
                <w:lang w:val="fr-FR"/>
              </w:rPr>
              <w:t>Botanical name</w:t>
            </w:r>
            <w:r w:rsidRPr="0048528B">
              <w:rPr>
                <w:rFonts w:cs="Arial"/>
                <w:b/>
                <w:snapToGrid w:val="0"/>
                <w:sz w:val="16"/>
                <w:szCs w:val="16"/>
                <w:lang w:val="fr-FR"/>
              </w:rPr>
              <w:br/>
              <w:t>Nom botanique</w:t>
            </w:r>
            <w:r w:rsidRPr="0048528B">
              <w:rPr>
                <w:rFonts w:cs="Arial"/>
                <w:b/>
                <w:snapToGrid w:val="0"/>
                <w:sz w:val="16"/>
                <w:szCs w:val="16"/>
                <w:lang w:val="fr-FR"/>
              </w:rPr>
              <w:br/>
              <w:t>Botanischer Name</w:t>
            </w:r>
            <w:r w:rsidRPr="0048528B">
              <w:rPr>
                <w:rFonts w:cs="Arial"/>
                <w:b/>
                <w:snapToGrid w:val="0"/>
                <w:sz w:val="16"/>
                <w:szCs w:val="16"/>
                <w:lang w:val="fr-FR"/>
              </w:rPr>
              <w:br/>
              <w:t>Nombre botánico</w:t>
            </w:r>
          </w:p>
        </w:tc>
      </w:tr>
      <w:tr w:rsidR="00C97F0A" w:rsidRPr="0048528B" w:rsidTr="00773B12">
        <w:trPr>
          <w:cantSplit/>
          <w:jc w:val="center"/>
        </w:trPr>
        <w:tc>
          <w:tcPr>
            <w:tcW w:w="568" w:type="dxa"/>
            <w:tcBorders>
              <w:top w:val="single" w:sz="4" w:space="0" w:color="auto"/>
              <w:left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rFonts w:cs="Arial"/>
                <w:sz w:val="16"/>
                <w:szCs w:val="16"/>
                <w:lang w:val="fr-FR"/>
              </w:rPr>
              <w:t>CN</w:t>
            </w:r>
          </w:p>
        </w:tc>
        <w:tc>
          <w:tcPr>
            <w:tcW w:w="567" w:type="dxa"/>
            <w:tcBorders>
              <w:top w:val="single" w:sz="4" w:space="0" w:color="auto"/>
              <w:left w:val="single" w:sz="4" w:space="0" w:color="auto"/>
              <w:right w:val="single" w:sz="4" w:space="0" w:color="auto"/>
            </w:tcBorders>
          </w:tcPr>
          <w:p w:rsidR="00C97F0A" w:rsidRPr="0048528B" w:rsidRDefault="00C97F0A" w:rsidP="00773B12">
            <w:pPr>
              <w:spacing w:before="60" w:after="60"/>
              <w:jc w:val="center"/>
              <w:rPr>
                <w:sz w:val="16"/>
                <w:szCs w:val="16"/>
                <w:lang w:val="fr-FR"/>
              </w:rPr>
            </w:pPr>
            <w:r w:rsidRPr="0048528B">
              <w:rPr>
                <w:sz w:val="16"/>
                <w:szCs w:val="16"/>
                <w:lang w:val="fr-FR"/>
              </w:rPr>
              <w:t>TWO</w:t>
            </w:r>
          </w:p>
        </w:tc>
        <w:tc>
          <w:tcPr>
            <w:tcW w:w="1701" w:type="dxa"/>
            <w:tcBorders>
              <w:top w:val="single" w:sz="4" w:space="0" w:color="auto"/>
              <w:left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r w:rsidRPr="0048528B">
              <w:rPr>
                <w:i w:val="0"/>
                <w:color w:val="000000"/>
                <w:sz w:val="16"/>
                <w:szCs w:val="16"/>
                <w:lang w:val="fr-FR"/>
              </w:rPr>
              <w:t>TG/PAEON(proj.7)</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 xml:space="preserve">Tree peony,  </w:t>
            </w:r>
            <w:r w:rsidRPr="0048528B">
              <w:rPr>
                <w:sz w:val="16"/>
                <w:szCs w:val="16"/>
                <w:lang w:val="fr-FR"/>
              </w:rPr>
              <w:br/>
              <w:t>Yellow Tree Peony</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Pivoine arbustive</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Delavays Strauch</w:t>
            </w:r>
            <w:r w:rsidR="003F00B6" w:rsidRPr="0048528B">
              <w:rPr>
                <w:sz w:val="16"/>
                <w:szCs w:val="16"/>
                <w:lang w:val="fr-FR"/>
              </w:rPr>
              <w:noBreakHyphen/>
            </w:r>
            <w:r w:rsidRPr="0048528B">
              <w:rPr>
                <w:sz w:val="16"/>
                <w:szCs w:val="16"/>
                <w:lang w:val="fr-FR"/>
              </w:rPr>
              <w:t xml:space="preserve">pfingstrose, </w:t>
            </w:r>
            <w:r w:rsidRPr="0048528B">
              <w:rPr>
                <w:sz w:val="16"/>
                <w:szCs w:val="16"/>
                <w:lang w:val="fr-FR"/>
              </w:rPr>
              <w:br/>
              <w:t>Gelbe Pfingstrose</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i/>
                <w:sz w:val="16"/>
                <w:szCs w:val="16"/>
                <w:lang w:val="fr-FR"/>
              </w:rPr>
            </w:pPr>
            <w:r w:rsidRPr="0048528B">
              <w:rPr>
                <w:bCs/>
                <w:i/>
                <w:sz w:val="16"/>
                <w:szCs w:val="16"/>
                <w:lang w:val="fr-FR"/>
              </w:rPr>
              <w:t>Paeonia delavayi</w:t>
            </w:r>
            <w:r w:rsidRPr="0048528B">
              <w:rPr>
                <w:bCs/>
                <w:sz w:val="16"/>
                <w:szCs w:val="16"/>
                <w:lang w:val="fr-FR"/>
              </w:rPr>
              <w:t xml:space="preserve"> Franch.</w:t>
            </w:r>
          </w:p>
        </w:tc>
      </w:tr>
      <w:tr w:rsidR="00C97F0A" w:rsidRPr="0048528B" w:rsidTr="00773B12">
        <w:trPr>
          <w:cantSplit/>
          <w:jc w:val="center"/>
        </w:trPr>
        <w:tc>
          <w:tcPr>
            <w:tcW w:w="568" w:type="dxa"/>
            <w:tcBorders>
              <w:left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p>
        </w:tc>
        <w:tc>
          <w:tcPr>
            <w:tcW w:w="567" w:type="dxa"/>
            <w:tcBorders>
              <w:left w:val="single" w:sz="4" w:space="0" w:color="auto"/>
              <w:right w:val="single" w:sz="4" w:space="0" w:color="auto"/>
            </w:tcBorders>
          </w:tcPr>
          <w:p w:rsidR="00C97F0A" w:rsidRPr="0048528B" w:rsidRDefault="00C97F0A" w:rsidP="00773B12">
            <w:pPr>
              <w:spacing w:before="60" w:after="60"/>
              <w:jc w:val="center"/>
              <w:rPr>
                <w:sz w:val="16"/>
                <w:szCs w:val="16"/>
                <w:lang w:val="fr-FR"/>
              </w:rPr>
            </w:pPr>
          </w:p>
        </w:tc>
        <w:tc>
          <w:tcPr>
            <w:tcW w:w="1701" w:type="dxa"/>
            <w:tcBorders>
              <w:left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i/>
                <w:sz w:val="16"/>
                <w:szCs w:val="16"/>
                <w:lang w:val="fr-FR"/>
              </w:rPr>
            </w:pPr>
            <w:r w:rsidRPr="0048528B">
              <w:rPr>
                <w:bCs/>
                <w:i/>
                <w:sz w:val="16"/>
                <w:szCs w:val="16"/>
                <w:lang w:val="fr-FR"/>
              </w:rPr>
              <w:t xml:space="preserve">Paeonia jishanensis </w:t>
            </w:r>
            <w:r w:rsidRPr="0048528B">
              <w:rPr>
                <w:bCs/>
                <w:sz w:val="16"/>
                <w:szCs w:val="16"/>
                <w:lang w:val="fr-FR"/>
              </w:rPr>
              <w:t>T. Hong &amp; W. Z. Zhao</w:t>
            </w:r>
          </w:p>
        </w:tc>
      </w:tr>
      <w:tr w:rsidR="00C97F0A" w:rsidRPr="0048528B" w:rsidTr="00773B12">
        <w:trPr>
          <w:cantSplit/>
          <w:jc w:val="center"/>
        </w:trPr>
        <w:tc>
          <w:tcPr>
            <w:tcW w:w="568" w:type="dxa"/>
            <w:tcBorders>
              <w:left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p>
        </w:tc>
        <w:tc>
          <w:tcPr>
            <w:tcW w:w="567" w:type="dxa"/>
            <w:tcBorders>
              <w:left w:val="single" w:sz="4" w:space="0" w:color="auto"/>
              <w:right w:val="single" w:sz="4" w:space="0" w:color="auto"/>
            </w:tcBorders>
          </w:tcPr>
          <w:p w:rsidR="00C97F0A" w:rsidRPr="0048528B" w:rsidRDefault="00C97F0A" w:rsidP="00773B12">
            <w:pPr>
              <w:spacing w:before="60" w:after="60"/>
              <w:jc w:val="center"/>
              <w:rPr>
                <w:sz w:val="16"/>
                <w:szCs w:val="16"/>
                <w:lang w:val="fr-FR"/>
              </w:rPr>
            </w:pPr>
          </w:p>
        </w:tc>
        <w:tc>
          <w:tcPr>
            <w:tcW w:w="1701" w:type="dxa"/>
            <w:tcBorders>
              <w:left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bCs/>
                <w:i/>
                <w:sz w:val="16"/>
                <w:szCs w:val="16"/>
                <w:lang w:val="fr-FR"/>
              </w:rPr>
            </w:pPr>
            <w:r w:rsidRPr="0048528B">
              <w:rPr>
                <w:bCs/>
                <w:i/>
                <w:sz w:val="16"/>
                <w:szCs w:val="16"/>
                <w:lang w:val="fr-FR"/>
              </w:rPr>
              <w:t>Paeonia ludlowii</w:t>
            </w:r>
            <w:r w:rsidRPr="0048528B">
              <w:rPr>
                <w:bCs/>
                <w:sz w:val="16"/>
                <w:szCs w:val="16"/>
                <w:lang w:val="fr-FR"/>
              </w:rPr>
              <w:t xml:space="preserve"> (Stern &amp; Taylor) D. Y. Hong</w:t>
            </w:r>
          </w:p>
        </w:tc>
      </w:tr>
      <w:tr w:rsidR="00C97F0A" w:rsidRPr="0048528B" w:rsidTr="00773B12">
        <w:trPr>
          <w:cantSplit/>
          <w:jc w:val="center"/>
        </w:trPr>
        <w:tc>
          <w:tcPr>
            <w:tcW w:w="568" w:type="dxa"/>
            <w:tcBorders>
              <w:left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p>
        </w:tc>
        <w:tc>
          <w:tcPr>
            <w:tcW w:w="567" w:type="dxa"/>
            <w:tcBorders>
              <w:left w:val="single" w:sz="4" w:space="0" w:color="auto"/>
              <w:right w:val="single" w:sz="4" w:space="0" w:color="auto"/>
            </w:tcBorders>
          </w:tcPr>
          <w:p w:rsidR="00C97F0A" w:rsidRPr="0048528B" w:rsidRDefault="00C97F0A" w:rsidP="00773B12">
            <w:pPr>
              <w:spacing w:before="60" w:after="60"/>
              <w:jc w:val="center"/>
              <w:rPr>
                <w:sz w:val="16"/>
                <w:szCs w:val="16"/>
                <w:lang w:val="fr-FR"/>
              </w:rPr>
            </w:pPr>
          </w:p>
        </w:tc>
        <w:tc>
          <w:tcPr>
            <w:tcW w:w="1701" w:type="dxa"/>
            <w:tcBorders>
              <w:left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bCs/>
                <w:i/>
                <w:sz w:val="16"/>
                <w:szCs w:val="16"/>
                <w:lang w:val="fr-FR"/>
              </w:rPr>
              <w:t>Paeonia ostii</w:t>
            </w:r>
            <w:r w:rsidRPr="0048528B">
              <w:rPr>
                <w:bCs/>
                <w:sz w:val="16"/>
                <w:szCs w:val="16"/>
                <w:lang w:val="fr-FR"/>
              </w:rPr>
              <w:t xml:space="preserve"> T. Hong &amp; J. X. Zhang</w:t>
            </w:r>
          </w:p>
        </w:tc>
      </w:tr>
      <w:tr w:rsidR="00C97F0A" w:rsidRPr="0048528B" w:rsidTr="00773B12">
        <w:trPr>
          <w:cantSplit/>
          <w:jc w:val="center"/>
        </w:trPr>
        <w:tc>
          <w:tcPr>
            <w:tcW w:w="568" w:type="dxa"/>
            <w:tcBorders>
              <w:left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p>
        </w:tc>
        <w:tc>
          <w:tcPr>
            <w:tcW w:w="567" w:type="dxa"/>
            <w:tcBorders>
              <w:left w:val="single" w:sz="4" w:space="0" w:color="auto"/>
              <w:right w:val="single" w:sz="4" w:space="0" w:color="auto"/>
            </w:tcBorders>
          </w:tcPr>
          <w:p w:rsidR="00C97F0A" w:rsidRPr="0048528B" w:rsidRDefault="00C97F0A" w:rsidP="00773B12">
            <w:pPr>
              <w:spacing w:before="60" w:after="60"/>
              <w:jc w:val="center"/>
              <w:rPr>
                <w:sz w:val="16"/>
                <w:szCs w:val="16"/>
                <w:lang w:val="fr-FR"/>
              </w:rPr>
            </w:pPr>
          </w:p>
        </w:tc>
        <w:tc>
          <w:tcPr>
            <w:tcW w:w="1701" w:type="dxa"/>
            <w:tcBorders>
              <w:left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bCs/>
                <w:i/>
                <w:sz w:val="16"/>
                <w:szCs w:val="16"/>
                <w:lang w:val="fr-FR"/>
              </w:rPr>
            </w:pPr>
            <w:r w:rsidRPr="0048528B">
              <w:rPr>
                <w:bCs/>
                <w:i/>
                <w:sz w:val="16"/>
                <w:szCs w:val="16"/>
                <w:lang w:val="fr-FR"/>
              </w:rPr>
              <w:t>Paeonia qiui</w:t>
            </w:r>
            <w:r w:rsidRPr="0048528B">
              <w:rPr>
                <w:bCs/>
                <w:sz w:val="16"/>
                <w:szCs w:val="16"/>
                <w:lang w:val="fr-FR"/>
              </w:rPr>
              <w:t xml:space="preserve"> Y. L. Pei &amp; D. Y. Hong</w:t>
            </w:r>
          </w:p>
        </w:tc>
      </w:tr>
      <w:tr w:rsidR="00C97F0A" w:rsidRPr="0048528B" w:rsidTr="00773B12">
        <w:trPr>
          <w:cantSplit/>
          <w:jc w:val="center"/>
        </w:trPr>
        <w:tc>
          <w:tcPr>
            <w:tcW w:w="568" w:type="dxa"/>
            <w:tcBorders>
              <w:left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p>
        </w:tc>
        <w:tc>
          <w:tcPr>
            <w:tcW w:w="567" w:type="dxa"/>
            <w:tcBorders>
              <w:left w:val="single" w:sz="4" w:space="0" w:color="auto"/>
              <w:right w:val="single" w:sz="4" w:space="0" w:color="auto"/>
            </w:tcBorders>
          </w:tcPr>
          <w:p w:rsidR="00C97F0A" w:rsidRPr="0048528B" w:rsidRDefault="00C97F0A" w:rsidP="00773B12">
            <w:pPr>
              <w:spacing w:before="60" w:after="60"/>
              <w:jc w:val="center"/>
              <w:rPr>
                <w:sz w:val="16"/>
                <w:szCs w:val="16"/>
                <w:lang w:val="fr-FR"/>
              </w:rPr>
            </w:pPr>
          </w:p>
        </w:tc>
        <w:tc>
          <w:tcPr>
            <w:tcW w:w="1701" w:type="dxa"/>
            <w:tcBorders>
              <w:left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Gefleckte Strauch</w:t>
            </w:r>
            <w:r w:rsidR="003F00B6" w:rsidRPr="0048528B">
              <w:rPr>
                <w:sz w:val="16"/>
                <w:szCs w:val="16"/>
                <w:lang w:val="fr-FR"/>
              </w:rPr>
              <w:noBreakHyphen/>
            </w:r>
            <w:r w:rsidRPr="0048528B">
              <w:rPr>
                <w:sz w:val="16"/>
                <w:szCs w:val="16"/>
                <w:lang w:val="fr-FR"/>
              </w:rPr>
              <w:t>pfingstrose</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i/>
                <w:sz w:val="16"/>
                <w:szCs w:val="16"/>
                <w:lang w:val="fr-FR"/>
              </w:rPr>
            </w:pPr>
            <w:r w:rsidRPr="0048528B">
              <w:rPr>
                <w:bCs/>
                <w:i/>
                <w:sz w:val="16"/>
                <w:szCs w:val="16"/>
                <w:lang w:val="fr-FR"/>
              </w:rPr>
              <w:t xml:space="preserve">Paeonia rockii </w:t>
            </w:r>
            <w:r w:rsidRPr="0048528B">
              <w:rPr>
                <w:bCs/>
                <w:sz w:val="16"/>
                <w:szCs w:val="16"/>
                <w:lang w:val="fr-FR"/>
              </w:rPr>
              <w:t>(S. G. Haw &amp; Lauener) T. Hong &amp; J. J. Li ex D. Y. Hong</w:t>
            </w:r>
          </w:p>
        </w:tc>
      </w:tr>
      <w:tr w:rsidR="00C97F0A" w:rsidRPr="0048528B" w:rsidTr="00773B12">
        <w:trPr>
          <w:cantSplit/>
          <w:jc w:val="center"/>
        </w:trPr>
        <w:tc>
          <w:tcPr>
            <w:tcW w:w="568" w:type="dxa"/>
            <w:tcBorders>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p>
        </w:tc>
        <w:tc>
          <w:tcPr>
            <w:tcW w:w="567" w:type="dxa"/>
            <w:tcBorders>
              <w:left w:val="single" w:sz="4" w:space="0" w:color="auto"/>
              <w:bottom w:val="single" w:sz="4" w:space="0" w:color="auto"/>
              <w:right w:val="single" w:sz="4" w:space="0" w:color="auto"/>
            </w:tcBorders>
          </w:tcPr>
          <w:p w:rsidR="00C97F0A" w:rsidRPr="0048528B" w:rsidRDefault="00C97F0A" w:rsidP="00773B12">
            <w:pPr>
              <w:spacing w:before="60" w:after="60"/>
              <w:jc w:val="center"/>
              <w:rPr>
                <w:sz w:val="16"/>
                <w:szCs w:val="16"/>
                <w:lang w:val="fr-FR"/>
              </w:rPr>
            </w:pPr>
          </w:p>
        </w:tc>
        <w:tc>
          <w:tcPr>
            <w:tcW w:w="1701" w:type="dxa"/>
            <w:tcBorders>
              <w:left w:val="single" w:sz="4" w:space="0" w:color="auto"/>
              <w:bottom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 xml:space="preserve">Tree Peony, </w:t>
            </w:r>
            <w:r w:rsidRPr="0048528B">
              <w:rPr>
                <w:sz w:val="16"/>
                <w:szCs w:val="16"/>
                <w:lang w:val="fr-FR"/>
              </w:rPr>
              <w:br/>
              <w:t>Moutan Peony</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 xml:space="preserve">Pivoine arbustive </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Strauchpäonie</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Peonia</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i/>
                <w:sz w:val="16"/>
                <w:szCs w:val="16"/>
                <w:lang w:val="fr-FR"/>
              </w:rPr>
            </w:pPr>
            <w:r w:rsidRPr="0048528B">
              <w:rPr>
                <w:bCs/>
                <w:i/>
                <w:sz w:val="16"/>
                <w:szCs w:val="16"/>
                <w:lang w:val="fr-FR"/>
              </w:rPr>
              <w:t>Paeonia suffruticosa</w:t>
            </w:r>
            <w:r w:rsidRPr="0048528B">
              <w:rPr>
                <w:bCs/>
                <w:sz w:val="16"/>
                <w:szCs w:val="16"/>
                <w:lang w:val="fr-FR"/>
              </w:rPr>
              <w:t xml:space="preserve"> Andrews, </w:t>
            </w:r>
            <w:r w:rsidRPr="0048528B">
              <w:rPr>
                <w:i/>
                <w:sz w:val="16"/>
                <w:szCs w:val="16"/>
                <w:lang w:val="fr-FR"/>
              </w:rPr>
              <w:t>Paeonia moutan</w:t>
            </w:r>
            <w:r w:rsidRPr="0048528B">
              <w:rPr>
                <w:sz w:val="16"/>
                <w:szCs w:val="16"/>
                <w:lang w:val="fr-FR"/>
              </w:rPr>
              <w:t xml:space="preserve"> Sims</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rFonts w:cs="Arial"/>
                <w:sz w:val="16"/>
                <w:szCs w:val="16"/>
                <w:lang w:val="fr-FR"/>
              </w:rPr>
              <w:t>ES</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sz w:val="16"/>
                <w:szCs w:val="16"/>
                <w:lang w:val="fr-FR"/>
              </w:rPr>
            </w:pPr>
            <w:r w:rsidRPr="0048528B">
              <w:rPr>
                <w:sz w:val="16"/>
                <w:szCs w:val="16"/>
                <w:lang w:val="fr-FR"/>
              </w:rPr>
              <w:t>TWF</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r w:rsidRPr="0048528B">
              <w:rPr>
                <w:i w:val="0"/>
                <w:color w:val="000000"/>
                <w:sz w:val="16"/>
                <w:szCs w:val="16"/>
                <w:lang w:val="fr-FR"/>
              </w:rPr>
              <w:t>TG/PGRAN(proj.5)</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autoSpaceDE w:val="0"/>
              <w:autoSpaceDN w:val="0"/>
              <w:adjustRightInd w:val="0"/>
              <w:spacing w:before="60" w:after="60"/>
              <w:jc w:val="left"/>
              <w:rPr>
                <w:sz w:val="16"/>
                <w:szCs w:val="16"/>
                <w:lang w:val="fr-FR"/>
              </w:rPr>
            </w:pPr>
            <w:r w:rsidRPr="0048528B">
              <w:rPr>
                <w:sz w:val="16"/>
                <w:szCs w:val="16"/>
                <w:lang w:val="fr-FR"/>
              </w:rPr>
              <w:t>Pomegranate</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autoSpaceDE w:val="0"/>
              <w:autoSpaceDN w:val="0"/>
              <w:adjustRightInd w:val="0"/>
              <w:spacing w:before="60" w:after="60"/>
              <w:jc w:val="left"/>
              <w:rPr>
                <w:sz w:val="16"/>
                <w:szCs w:val="16"/>
                <w:lang w:val="fr-FR"/>
              </w:rPr>
            </w:pPr>
            <w:r w:rsidRPr="0048528B">
              <w:rPr>
                <w:sz w:val="16"/>
                <w:szCs w:val="16"/>
                <w:lang w:val="fr-FR"/>
              </w:rPr>
              <w:t>Grenadier</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autoSpaceDE w:val="0"/>
              <w:autoSpaceDN w:val="0"/>
              <w:adjustRightInd w:val="0"/>
              <w:spacing w:before="60" w:after="60"/>
              <w:jc w:val="left"/>
              <w:rPr>
                <w:sz w:val="16"/>
                <w:szCs w:val="16"/>
                <w:lang w:val="fr-FR"/>
              </w:rPr>
            </w:pPr>
            <w:r w:rsidRPr="0048528B">
              <w:rPr>
                <w:sz w:val="16"/>
                <w:szCs w:val="16"/>
                <w:lang w:val="fr-FR"/>
              </w:rPr>
              <w:t>Granatapfel</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autoSpaceDE w:val="0"/>
              <w:autoSpaceDN w:val="0"/>
              <w:adjustRightInd w:val="0"/>
              <w:spacing w:before="60" w:after="60"/>
              <w:jc w:val="left"/>
              <w:rPr>
                <w:sz w:val="16"/>
                <w:szCs w:val="16"/>
                <w:lang w:val="fr-FR"/>
              </w:rPr>
            </w:pPr>
            <w:r w:rsidRPr="0048528B">
              <w:rPr>
                <w:sz w:val="16"/>
                <w:szCs w:val="16"/>
                <w:lang w:val="fr-FR"/>
              </w:rPr>
              <w:t>Granado</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i/>
                <w:iCs/>
                <w:sz w:val="16"/>
                <w:szCs w:val="16"/>
                <w:lang w:val="fr-FR"/>
              </w:rPr>
              <w:t>Punica granatum</w:t>
            </w:r>
            <w:r w:rsidRPr="0048528B">
              <w:rPr>
                <w:sz w:val="16"/>
                <w:szCs w:val="16"/>
                <w:lang w:val="fr-FR"/>
              </w:rPr>
              <w:t xml:space="preserve"> L.</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rFonts w:cs="Arial"/>
                <w:sz w:val="16"/>
                <w:szCs w:val="16"/>
                <w:lang w:val="fr-FR"/>
              </w:rPr>
              <w:t>FR</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sz w:val="16"/>
                <w:szCs w:val="16"/>
                <w:lang w:val="fr-FR"/>
              </w:rPr>
            </w:pPr>
            <w:r w:rsidRPr="0048528B">
              <w:rPr>
                <w:sz w:val="16"/>
                <w:szCs w:val="16"/>
                <w:lang w:val="fr-FR"/>
              </w:rPr>
              <w:t>TWF</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r w:rsidRPr="0048528B">
              <w:rPr>
                <w:i w:val="0"/>
                <w:color w:val="000000"/>
                <w:sz w:val="16"/>
                <w:szCs w:val="16"/>
                <w:lang w:val="fr-FR"/>
              </w:rPr>
              <w:t>TG/PINEAP(proj.12)</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autoSpaceDE w:val="0"/>
              <w:autoSpaceDN w:val="0"/>
              <w:adjustRightInd w:val="0"/>
              <w:spacing w:before="60" w:after="60"/>
              <w:jc w:val="left"/>
              <w:rPr>
                <w:sz w:val="16"/>
                <w:szCs w:val="16"/>
                <w:lang w:val="fr-FR"/>
              </w:rPr>
            </w:pPr>
            <w:r w:rsidRPr="0048528B">
              <w:rPr>
                <w:sz w:val="16"/>
                <w:szCs w:val="16"/>
                <w:lang w:val="fr-FR"/>
              </w:rPr>
              <w:t xml:space="preserve">Pineapple </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autoSpaceDE w:val="0"/>
              <w:autoSpaceDN w:val="0"/>
              <w:adjustRightInd w:val="0"/>
              <w:spacing w:before="60" w:after="60"/>
              <w:jc w:val="left"/>
              <w:rPr>
                <w:sz w:val="16"/>
                <w:szCs w:val="16"/>
                <w:lang w:val="fr-FR"/>
              </w:rPr>
            </w:pPr>
            <w:r w:rsidRPr="0048528B">
              <w:rPr>
                <w:sz w:val="16"/>
                <w:szCs w:val="16"/>
                <w:lang w:val="fr-FR"/>
              </w:rPr>
              <w:t xml:space="preserve">Ananas </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autoSpaceDE w:val="0"/>
              <w:autoSpaceDN w:val="0"/>
              <w:adjustRightInd w:val="0"/>
              <w:spacing w:before="60" w:after="60"/>
              <w:jc w:val="left"/>
              <w:rPr>
                <w:sz w:val="16"/>
                <w:szCs w:val="16"/>
                <w:lang w:val="fr-FR"/>
              </w:rPr>
            </w:pPr>
            <w:r w:rsidRPr="0048528B">
              <w:rPr>
                <w:sz w:val="16"/>
                <w:szCs w:val="16"/>
                <w:lang w:val="fr-FR"/>
              </w:rPr>
              <w:t>Ananas</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autoSpaceDE w:val="0"/>
              <w:autoSpaceDN w:val="0"/>
              <w:adjustRightInd w:val="0"/>
              <w:spacing w:before="60" w:after="60"/>
              <w:jc w:val="left"/>
              <w:rPr>
                <w:sz w:val="16"/>
                <w:szCs w:val="16"/>
                <w:lang w:val="fr-FR"/>
              </w:rPr>
            </w:pPr>
            <w:r w:rsidRPr="0048528B">
              <w:rPr>
                <w:sz w:val="16"/>
                <w:szCs w:val="16"/>
                <w:lang w:val="fr-FR"/>
              </w:rPr>
              <w:t>Piña</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rFonts w:cs="Arial"/>
                <w:i/>
                <w:sz w:val="16"/>
                <w:szCs w:val="16"/>
                <w:lang w:val="fr-FR"/>
              </w:rPr>
              <w:t>Ananas comosus</w:t>
            </w:r>
            <w:r w:rsidRPr="0048528B">
              <w:rPr>
                <w:rFonts w:cs="Arial"/>
                <w:sz w:val="16"/>
                <w:szCs w:val="16"/>
                <w:lang w:val="fr-FR"/>
              </w:rPr>
              <w:t xml:space="preserve"> (L.) Merr.</w:t>
            </w:r>
          </w:p>
        </w:tc>
      </w:tr>
      <w:tr w:rsidR="00C97F0A" w:rsidRPr="0048528B" w:rsidTr="00773B12">
        <w:trPr>
          <w:cantSplit/>
          <w:jc w:val="center"/>
        </w:trPr>
        <w:tc>
          <w:tcPr>
            <w:tcW w:w="568" w:type="dxa"/>
            <w:tcBorders>
              <w:top w:val="single" w:sz="4" w:space="0" w:color="auto"/>
              <w:left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rFonts w:cs="Arial"/>
                <w:sz w:val="16"/>
                <w:szCs w:val="16"/>
                <w:lang w:val="fr-FR"/>
              </w:rPr>
              <w:t>KR</w:t>
            </w:r>
          </w:p>
        </w:tc>
        <w:tc>
          <w:tcPr>
            <w:tcW w:w="567" w:type="dxa"/>
            <w:tcBorders>
              <w:top w:val="single" w:sz="4" w:space="0" w:color="auto"/>
              <w:left w:val="single" w:sz="4" w:space="0" w:color="auto"/>
              <w:right w:val="single" w:sz="4" w:space="0" w:color="auto"/>
            </w:tcBorders>
          </w:tcPr>
          <w:p w:rsidR="00C97F0A" w:rsidRPr="0048528B" w:rsidRDefault="00C97F0A" w:rsidP="00773B12">
            <w:pPr>
              <w:spacing w:before="60" w:after="60"/>
              <w:jc w:val="center"/>
              <w:rPr>
                <w:sz w:val="16"/>
                <w:szCs w:val="16"/>
                <w:lang w:val="fr-FR"/>
              </w:rPr>
            </w:pPr>
            <w:r w:rsidRPr="0048528B">
              <w:rPr>
                <w:sz w:val="16"/>
                <w:szCs w:val="16"/>
                <w:lang w:val="fr-FR"/>
              </w:rPr>
              <w:t>TWV</w:t>
            </w:r>
          </w:p>
        </w:tc>
        <w:tc>
          <w:tcPr>
            <w:tcW w:w="1701" w:type="dxa"/>
            <w:tcBorders>
              <w:top w:val="single" w:sz="4" w:space="0" w:color="auto"/>
              <w:left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r w:rsidRPr="0048528B">
              <w:rPr>
                <w:i w:val="0"/>
                <w:color w:val="000000"/>
                <w:sz w:val="16"/>
                <w:szCs w:val="16"/>
                <w:lang w:val="fr-FR"/>
              </w:rPr>
              <w:t>TG/PLEUR(proj.5)</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eastAsia="ko-KR"/>
              </w:rPr>
              <w:t>Oyster Mushroom</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eastAsia="ko-KR"/>
              </w:rPr>
            </w:pPr>
            <w:r w:rsidRPr="0048528B">
              <w:rPr>
                <w:sz w:val="16"/>
                <w:szCs w:val="16"/>
                <w:lang w:val="fr-FR" w:eastAsia="ko-KR"/>
              </w:rPr>
              <w:t>Pleurote en coquille</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rPr>
                <w:sz w:val="16"/>
                <w:szCs w:val="16"/>
                <w:lang w:val="fr-FR"/>
              </w:rPr>
            </w:pPr>
            <w:r w:rsidRPr="0048528B">
              <w:rPr>
                <w:sz w:val="16"/>
                <w:szCs w:val="16"/>
                <w:lang w:val="fr-FR"/>
              </w:rPr>
              <w:t>Austernseitling, Drehling</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Champiñon ostra, Girgola, Seta de ostra</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rFonts w:cs="Arial"/>
                <w:bCs/>
                <w:i/>
                <w:iCs/>
                <w:sz w:val="16"/>
                <w:szCs w:val="16"/>
                <w:lang w:val="fr-FR" w:eastAsia="ko-KR"/>
              </w:rPr>
              <w:t xml:space="preserve">Pleurotus ostreatus </w:t>
            </w:r>
            <w:r w:rsidRPr="0048528B">
              <w:rPr>
                <w:rFonts w:cs="Arial"/>
                <w:bCs/>
                <w:sz w:val="16"/>
                <w:szCs w:val="16"/>
                <w:lang w:val="fr-FR" w:eastAsia="ko-KR"/>
              </w:rPr>
              <w:t>(Jacq.) P. Kumm.</w:t>
            </w:r>
          </w:p>
        </w:tc>
      </w:tr>
      <w:tr w:rsidR="00C97F0A" w:rsidRPr="0048528B" w:rsidTr="00773B12">
        <w:trPr>
          <w:cantSplit/>
          <w:jc w:val="center"/>
        </w:trPr>
        <w:tc>
          <w:tcPr>
            <w:tcW w:w="568" w:type="dxa"/>
            <w:tcBorders>
              <w:left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p>
        </w:tc>
        <w:tc>
          <w:tcPr>
            <w:tcW w:w="567" w:type="dxa"/>
            <w:tcBorders>
              <w:left w:val="single" w:sz="4" w:space="0" w:color="auto"/>
              <w:right w:val="single" w:sz="4" w:space="0" w:color="auto"/>
            </w:tcBorders>
          </w:tcPr>
          <w:p w:rsidR="00C97F0A" w:rsidRPr="0048528B" w:rsidRDefault="00C97F0A" w:rsidP="00773B12">
            <w:pPr>
              <w:spacing w:before="60" w:after="60"/>
              <w:jc w:val="center"/>
              <w:rPr>
                <w:sz w:val="16"/>
                <w:szCs w:val="16"/>
                <w:lang w:val="fr-FR"/>
              </w:rPr>
            </w:pPr>
          </w:p>
        </w:tc>
        <w:tc>
          <w:tcPr>
            <w:tcW w:w="1701" w:type="dxa"/>
            <w:tcBorders>
              <w:left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eastAsia="ko-KR"/>
              </w:rPr>
            </w:pPr>
            <w:r w:rsidRPr="0048528B">
              <w:rPr>
                <w:sz w:val="16"/>
                <w:szCs w:val="16"/>
                <w:lang w:val="fr-FR" w:eastAsia="ko-KR"/>
              </w:rPr>
              <w:t>Eringi, King Oyster Mushroom</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rPr>
                <w:sz w:val="16"/>
                <w:szCs w:val="16"/>
                <w:lang w:val="fr-FR" w:eastAsia="ko-KR"/>
              </w:rPr>
            </w:pP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rPr>
                <w:sz w:val="16"/>
                <w:szCs w:val="16"/>
                <w:lang w:val="fr-FR"/>
              </w:rPr>
            </w:pPr>
            <w:r w:rsidRPr="0048528B">
              <w:rPr>
                <w:sz w:val="16"/>
                <w:szCs w:val="16"/>
                <w:lang w:val="fr-FR"/>
              </w:rPr>
              <w:t>Kräuterseitling</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rPr>
                <w:sz w:val="16"/>
                <w:szCs w:val="16"/>
                <w:lang w:val="fr-FR"/>
              </w:rPr>
            </w:pPr>
            <w:r w:rsidRPr="0048528B">
              <w:rPr>
                <w:sz w:val="16"/>
                <w:szCs w:val="16"/>
                <w:lang w:val="fr-FR"/>
              </w:rPr>
              <w:t>Seta de cardo</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i/>
                <w:sz w:val="16"/>
                <w:szCs w:val="16"/>
                <w:lang w:val="fr-FR" w:eastAsia="ko-KR"/>
              </w:rPr>
            </w:pPr>
            <w:r w:rsidRPr="0048528B">
              <w:rPr>
                <w:rFonts w:cs="Arial"/>
                <w:bCs/>
                <w:i/>
                <w:iCs/>
                <w:sz w:val="16"/>
                <w:szCs w:val="16"/>
                <w:lang w:val="fr-FR" w:eastAsia="ko-KR"/>
              </w:rPr>
              <w:t>Pleurotus eryngii</w:t>
            </w:r>
            <w:r w:rsidRPr="0048528B">
              <w:rPr>
                <w:rFonts w:cs="Arial"/>
                <w:bCs/>
                <w:iCs/>
                <w:sz w:val="16"/>
                <w:szCs w:val="16"/>
                <w:lang w:val="fr-FR" w:eastAsia="ko-KR"/>
              </w:rPr>
              <w:t xml:space="preserve"> </w:t>
            </w:r>
            <w:r w:rsidRPr="0048528B">
              <w:rPr>
                <w:rFonts w:cs="Arial"/>
                <w:bCs/>
                <w:sz w:val="16"/>
                <w:szCs w:val="16"/>
                <w:lang w:val="fr-FR" w:eastAsia="ko-KR"/>
              </w:rPr>
              <w:t>(DC.) Quél.</w:t>
            </w:r>
          </w:p>
        </w:tc>
      </w:tr>
      <w:tr w:rsidR="00C97F0A" w:rsidRPr="0048528B" w:rsidTr="00773B12">
        <w:trPr>
          <w:cantSplit/>
          <w:jc w:val="center"/>
        </w:trPr>
        <w:tc>
          <w:tcPr>
            <w:tcW w:w="568" w:type="dxa"/>
            <w:tcBorders>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p>
        </w:tc>
        <w:tc>
          <w:tcPr>
            <w:tcW w:w="567" w:type="dxa"/>
            <w:tcBorders>
              <w:left w:val="single" w:sz="4" w:space="0" w:color="auto"/>
              <w:bottom w:val="single" w:sz="4" w:space="0" w:color="auto"/>
              <w:right w:val="single" w:sz="4" w:space="0" w:color="auto"/>
            </w:tcBorders>
          </w:tcPr>
          <w:p w:rsidR="00C97F0A" w:rsidRPr="0048528B" w:rsidRDefault="00C97F0A" w:rsidP="00773B12">
            <w:pPr>
              <w:spacing w:before="60" w:after="60"/>
              <w:jc w:val="center"/>
              <w:rPr>
                <w:sz w:val="16"/>
                <w:szCs w:val="16"/>
                <w:lang w:val="fr-FR"/>
              </w:rPr>
            </w:pPr>
          </w:p>
        </w:tc>
        <w:tc>
          <w:tcPr>
            <w:tcW w:w="1701" w:type="dxa"/>
            <w:tcBorders>
              <w:left w:val="single" w:sz="4" w:space="0" w:color="auto"/>
              <w:bottom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eastAsia="ko-KR"/>
              </w:rPr>
            </w:pPr>
            <w:r w:rsidRPr="0048528B">
              <w:rPr>
                <w:sz w:val="16"/>
                <w:szCs w:val="16"/>
                <w:lang w:val="fr-FR" w:eastAsia="ko-KR"/>
              </w:rPr>
              <w:t>Lung Oyster Mushroom</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rPr>
                <w:sz w:val="16"/>
                <w:szCs w:val="16"/>
                <w:lang w:val="fr-FR" w:eastAsia="ko-KR"/>
              </w:rPr>
            </w:pP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rPr>
                <w:sz w:val="16"/>
                <w:szCs w:val="16"/>
                <w:lang w:val="fr-FR"/>
              </w:rPr>
            </w:pP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Pleuroto pulmonado,</w:t>
            </w:r>
            <w:r w:rsidRPr="0048528B">
              <w:rPr>
                <w:sz w:val="16"/>
                <w:szCs w:val="16"/>
                <w:lang w:val="fr-FR"/>
              </w:rPr>
              <w:br/>
              <w:t>Pleuroto de verano</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i/>
                <w:sz w:val="16"/>
                <w:szCs w:val="16"/>
                <w:lang w:val="fr-FR" w:eastAsia="ko-KR"/>
              </w:rPr>
            </w:pPr>
            <w:r w:rsidRPr="0048528B">
              <w:rPr>
                <w:rFonts w:cs="Arial"/>
                <w:bCs/>
                <w:i/>
                <w:sz w:val="16"/>
                <w:szCs w:val="16"/>
                <w:lang w:val="fr-FR" w:eastAsia="ko-KR"/>
              </w:rPr>
              <w:t>Pleurotus pulmonarius</w:t>
            </w:r>
            <w:r w:rsidRPr="0048528B">
              <w:rPr>
                <w:rFonts w:cs="Arial"/>
                <w:bCs/>
                <w:sz w:val="16"/>
                <w:szCs w:val="16"/>
                <w:lang w:val="fr-FR" w:eastAsia="ko-KR"/>
              </w:rPr>
              <w:t xml:space="preserve"> </w:t>
            </w:r>
            <w:r w:rsidRPr="0048528B">
              <w:rPr>
                <w:rFonts w:cs="Arial"/>
                <w:bCs/>
                <w:sz w:val="16"/>
                <w:szCs w:val="16"/>
                <w:lang w:val="fr-FR" w:eastAsia="ko-KR"/>
              </w:rPr>
              <w:br/>
              <w:t>(Fr.) Quél.</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rFonts w:cs="Arial"/>
                <w:sz w:val="16"/>
                <w:szCs w:val="16"/>
                <w:lang w:val="fr-FR"/>
              </w:rPr>
              <w:t>IL/KR</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sz w:val="16"/>
                <w:szCs w:val="16"/>
                <w:lang w:val="fr-FR"/>
              </w:rPr>
            </w:pPr>
            <w:r w:rsidRPr="0048528B">
              <w:rPr>
                <w:sz w:val="16"/>
                <w:szCs w:val="16"/>
                <w:lang w:val="fr-FR"/>
              </w:rPr>
              <w:t>TWA</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pStyle w:val="preparedby"/>
              <w:spacing w:before="60" w:after="60"/>
              <w:jc w:val="left"/>
              <w:rPr>
                <w:i w:val="0"/>
                <w:color w:val="000000"/>
                <w:sz w:val="16"/>
                <w:szCs w:val="16"/>
                <w:lang w:val="fr-FR"/>
              </w:rPr>
            </w:pPr>
            <w:r w:rsidRPr="0048528B">
              <w:rPr>
                <w:i w:val="0"/>
                <w:color w:val="000000"/>
                <w:sz w:val="16"/>
                <w:szCs w:val="16"/>
                <w:lang w:val="fr-FR"/>
              </w:rPr>
              <w:t>TG/SESAME(proj.10)</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Sesame</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Sésame</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Sesam</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 xml:space="preserve">Ajonjolí, Sésamo </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cs="Arial"/>
                <w:sz w:val="16"/>
                <w:szCs w:val="16"/>
                <w:lang w:val="fr-FR"/>
              </w:rPr>
            </w:pPr>
            <w:r w:rsidRPr="0048528B">
              <w:rPr>
                <w:i/>
                <w:sz w:val="16"/>
                <w:szCs w:val="16"/>
                <w:lang w:val="fr-FR"/>
              </w:rPr>
              <w:t>Sesamum indicum</w:t>
            </w:r>
            <w:r w:rsidRPr="0048528B">
              <w:rPr>
                <w:sz w:val="16"/>
                <w:szCs w:val="16"/>
                <w:lang w:val="fr-FR"/>
              </w:rPr>
              <w:t xml:space="preserve"> L.</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rFonts w:cs="Arial"/>
                <w:sz w:val="16"/>
                <w:szCs w:val="16"/>
                <w:lang w:val="fr-FR"/>
              </w:rPr>
              <w:t>CN</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cs="Arial"/>
                <w:sz w:val="16"/>
                <w:szCs w:val="16"/>
                <w:lang w:val="fr-FR"/>
              </w:rPr>
            </w:pPr>
            <w:r w:rsidRPr="0048528B">
              <w:rPr>
                <w:rFonts w:cs="Arial"/>
                <w:sz w:val="16"/>
                <w:szCs w:val="16"/>
                <w:lang w:val="fr-FR"/>
              </w:rPr>
              <w:t>TWA</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TG/SETARIA(proj.8)</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Foxtail Millet, </w:t>
            </w:r>
            <w:r w:rsidRPr="0048528B">
              <w:rPr>
                <w:rFonts w:eastAsia="MS Mincho" w:cs="Arial"/>
                <w:sz w:val="16"/>
                <w:szCs w:val="16"/>
                <w:lang w:val="fr-FR" w:eastAsia="ja-JP"/>
              </w:rPr>
              <w:br/>
              <w:t>Italian Millet, Hungary Millet</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Millet d</w:t>
            </w:r>
            <w:r w:rsidR="00F3296C" w:rsidRPr="0048528B">
              <w:rPr>
                <w:rFonts w:eastAsia="MS Mincho" w:cs="Arial"/>
                <w:sz w:val="16"/>
                <w:szCs w:val="16"/>
                <w:lang w:val="fr-FR" w:eastAsia="ja-JP"/>
              </w:rPr>
              <w:t>’</w:t>
            </w:r>
            <w:r w:rsidRPr="0048528B">
              <w:rPr>
                <w:rFonts w:eastAsia="MS Mincho" w:cs="Arial"/>
                <w:sz w:val="16"/>
                <w:szCs w:val="16"/>
                <w:lang w:val="fr-FR" w:eastAsia="ja-JP"/>
              </w:rPr>
              <w:t xml:space="preserve">Italie, Millet des oiseaux, </w:t>
            </w:r>
            <w:r w:rsidRPr="0048528B">
              <w:rPr>
                <w:rFonts w:eastAsia="MS Mincho" w:cs="Arial"/>
                <w:sz w:val="16"/>
                <w:szCs w:val="16"/>
                <w:lang w:val="fr-FR" w:eastAsia="ja-JP"/>
              </w:rPr>
              <w:br/>
              <w:t>Setaire d</w:t>
            </w:r>
            <w:r w:rsidR="00F3296C" w:rsidRPr="0048528B">
              <w:rPr>
                <w:rFonts w:eastAsia="MS Mincho" w:cs="Arial"/>
                <w:sz w:val="16"/>
                <w:szCs w:val="16"/>
                <w:lang w:val="fr-FR" w:eastAsia="ja-JP"/>
              </w:rPr>
              <w:t>’</w:t>
            </w:r>
            <w:r w:rsidRPr="0048528B">
              <w:rPr>
                <w:rFonts w:eastAsia="MS Mincho" w:cs="Arial"/>
                <w:sz w:val="16"/>
                <w:szCs w:val="16"/>
                <w:lang w:val="fr-FR" w:eastAsia="ja-JP"/>
              </w:rPr>
              <w:t>Italie</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Italienhirse, Kolbenhirse</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Dana, Mijo de cola de zorro, Mijo de Hungria</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i/>
                <w:sz w:val="16"/>
                <w:szCs w:val="16"/>
                <w:lang w:val="fr-FR" w:eastAsia="ja-JP"/>
              </w:rPr>
              <w:t>Setaria italica</w:t>
            </w:r>
            <w:r w:rsidRPr="0048528B">
              <w:rPr>
                <w:rFonts w:eastAsia="MS Mincho" w:cs="Arial"/>
                <w:sz w:val="16"/>
                <w:szCs w:val="16"/>
                <w:lang w:val="fr-FR" w:eastAsia="ja-JP"/>
              </w:rPr>
              <w:t xml:space="preserve"> L., </w:t>
            </w:r>
            <w:r w:rsidRPr="0048528B">
              <w:rPr>
                <w:rFonts w:eastAsia="MS Mincho" w:cs="Arial"/>
                <w:sz w:val="16"/>
                <w:szCs w:val="16"/>
                <w:lang w:val="fr-FR" w:eastAsia="ja-JP"/>
              </w:rPr>
              <w:br/>
            </w:r>
            <w:r w:rsidRPr="0048528B">
              <w:rPr>
                <w:rFonts w:eastAsia="MS Mincho" w:cs="Arial"/>
                <w:i/>
                <w:sz w:val="16"/>
                <w:szCs w:val="16"/>
                <w:lang w:val="fr-FR" w:eastAsia="ja-JP"/>
              </w:rPr>
              <w:t>Setaria italica</w:t>
            </w:r>
            <w:r w:rsidRPr="0048528B">
              <w:rPr>
                <w:rFonts w:eastAsia="MS Mincho" w:cs="Arial"/>
                <w:sz w:val="16"/>
                <w:szCs w:val="16"/>
                <w:lang w:val="fr-FR" w:eastAsia="ja-JP"/>
              </w:rPr>
              <w:t xml:space="preserve"> (L.) P. Beauv.</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NL</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TWV</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TG/TOM_ROOT</w:t>
            </w:r>
            <w:r w:rsidRPr="0048528B">
              <w:rPr>
                <w:rFonts w:eastAsia="MS Mincho" w:cs="Arial"/>
                <w:sz w:val="16"/>
                <w:szCs w:val="16"/>
                <w:lang w:val="fr-FR" w:eastAsia="ja-JP"/>
              </w:rPr>
              <w:br/>
              <w:t>(proj.5)</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Tomato Rootstocks </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Porte</w:t>
            </w:r>
            <w:r w:rsidR="003F00B6" w:rsidRPr="0048528B">
              <w:rPr>
                <w:rFonts w:eastAsia="MS Mincho" w:cs="Arial"/>
                <w:sz w:val="16"/>
                <w:szCs w:val="16"/>
                <w:lang w:val="fr-FR" w:eastAsia="ja-JP"/>
              </w:rPr>
              <w:noBreakHyphen/>
            </w:r>
            <w:r w:rsidRPr="0048528B">
              <w:rPr>
                <w:rFonts w:eastAsia="MS Mincho" w:cs="Arial"/>
                <w:sz w:val="16"/>
                <w:szCs w:val="16"/>
                <w:lang w:val="fr-FR" w:eastAsia="ja-JP"/>
              </w:rPr>
              <w:t xml:space="preserve">greffe de tomate </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Tomatenunterlagen </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Portainjertos de tomate </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i/>
                <w:sz w:val="16"/>
                <w:szCs w:val="16"/>
                <w:lang w:val="fr-FR"/>
              </w:rPr>
              <w:t xml:space="preserve">Solanum lycopersicum </w:t>
            </w:r>
            <w:r w:rsidRPr="0048528B">
              <w:rPr>
                <w:sz w:val="16"/>
                <w:szCs w:val="16"/>
                <w:lang w:val="fr-FR"/>
              </w:rPr>
              <w:t xml:space="preserve">L. x </w:t>
            </w:r>
            <w:r w:rsidRPr="0048528B">
              <w:rPr>
                <w:i/>
                <w:sz w:val="16"/>
                <w:szCs w:val="16"/>
                <w:lang w:val="fr-FR"/>
              </w:rPr>
              <w:t>Solanum habrochaites</w:t>
            </w:r>
            <w:r w:rsidRPr="0048528B">
              <w:rPr>
                <w:sz w:val="16"/>
                <w:szCs w:val="16"/>
                <w:lang w:val="fr-FR"/>
              </w:rPr>
              <w:t xml:space="preserve"> S. Knapp &amp; D.M. Spooner;</w:t>
            </w:r>
            <w:r w:rsidRPr="0048528B">
              <w:rPr>
                <w:sz w:val="16"/>
                <w:szCs w:val="16"/>
                <w:lang w:val="fr-FR"/>
              </w:rPr>
              <w:br/>
            </w:r>
            <w:r w:rsidRPr="0048528B">
              <w:rPr>
                <w:i/>
                <w:sz w:val="16"/>
                <w:szCs w:val="16"/>
                <w:lang w:val="fr-FR"/>
              </w:rPr>
              <w:t xml:space="preserve">Solanum lycopersicum </w:t>
            </w:r>
            <w:r w:rsidRPr="0048528B">
              <w:rPr>
                <w:sz w:val="16"/>
                <w:szCs w:val="16"/>
                <w:lang w:val="fr-FR"/>
              </w:rPr>
              <w:t xml:space="preserve">L. x </w:t>
            </w:r>
            <w:r w:rsidRPr="0048528B">
              <w:rPr>
                <w:sz w:val="16"/>
                <w:szCs w:val="16"/>
                <w:lang w:val="fr-FR"/>
              </w:rPr>
              <w:br/>
            </w:r>
            <w:r w:rsidRPr="0048528B">
              <w:rPr>
                <w:i/>
                <w:sz w:val="16"/>
                <w:szCs w:val="16"/>
                <w:lang w:val="fr-FR"/>
              </w:rPr>
              <w:t xml:space="preserve">Solanum peruvianum </w:t>
            </w:r>
            <w:r w:rsidRPr="0048528B">
              <w:rPr>
                <w:sz w:val="16"/>
                <w:szCs w:val="16"/>
                <w:lang w:val="fr-FR"/>
              </w:rPr>
              <w:t>(L.) Mill</w:t>
            </w:r>
            <w:r w:rsidRPr="0048528B">
              <w:rPr>
                <w:i/>
                <w:sz w:val="16"/>
                <w:szCs w:val="16"/>
                <w:lang w:val="fr-FR"/>
              </w:rPr>
              <w:t>.;</w:t>
            </w:r>
            <w:r w:rsidRPr="0048528B">
              <w:rPr>
                <w:i/>
                <w:sz w:val="16"/>
                <w:szCs w:val="16"/>
                <w:lang w:val="fr-FR"/>
              </w:rPr>
              <w:br/>
              <w:t xml:space="preserve">Solanum lycopersicum </w:t>
            </w:r>
            <w:r w:rsidRPr="0048528B">
              <w:rPr>
                <w:sz w:val="16"/>
                <w:szCs w:val="16"/>
                <w:lang w:val="fr-FR"/>
              </w:rPr>
              <w:t xml:space="preserve">L. x </w:t>
            </w:r>
            <w:r w:rsidRPr="0048528B">
              <w:rPr>
                <w:sz w:val="16"/>
                <w:szCs w:val="16"/>
                <w:lang w:val="fr-FR"/>
              </w:rPr>
              <w:br/>
            </w:r>
            <w:r w:rsidRPr="0048528B">
              <w:rPr>
                <w:i/>
                <w:sz w:val="16"/>
                <w:szCs w:val="16"/>
                <w:lang w:val="fr-FR"/>
              </w:rPr>
              <w:t xml:space="preserve">Solanum cheesmaniae </w:t>
            </w:r>
            <w:r w:rsidRPr="0048528B">
              <w:rPr>
                <w:sz w:val="16"/>
                <w:szCs w:val="16"/>
                <w:lang w:val="fr-FR"/>
              </w:rPr>
              <w:t>(L. Ridley) Fosberg</w:t>
            </w:r>
          </w:p>
        </w:tc>
      </w:tr>
      <w:tr w:rsidR="00C97F0A" w:rsidRPr="0048528B" w:rsidTr="00773B12">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C97F0A" w:rsidRPr="0048528B" w:rsidRDefault="00C97F0A" w:rsidP="00A0245E">
            <w:pPr>
              <w:spacing w:before="60" w:after="60"/>
              <w:jc w:val="left"/>
              <w:rPr>
                <w:i/>
                <w:sz w:val="16"/>
                <w:szCs w:val="16"/>
                <w:lang w:val="fr-FR"/>
              </w:rPr>
            </w:pPr>
            <w:r w:rsidRPr="0048528B">
              <w:rPr>
                <w:rFonts w:cs="Arial"/>
                <w:b/>
                <w:bCs/>
                <w:sz w:val="16"/>
                <w:szCs w:val="16"/>
                <w:u w:val="single"/>
                <w:lang w:val="fr-FR"/>
              </w:rPr>
              <w:t>RÉVISION</w:t>
            </w:r>
            <w:r w:rsidR="00A0245E" w:rsidRPr="0048528B">
              <w:rPr>
                <w:rFonts w:cs="Arial"/>
                <w:b/>
                <w:bCs/>
                <w:sz w:val="16"/>
                <w:szCs w:val="16"/>
                <w:u w:val="single"/>
                <w:lang w:val="fr-FR"/>
              </w:rPr>
              <w:t>S</w:t>
            </w:r>
            <w:r w:rsidRPr="0048528B">
              <w:rPr>
                <w:rFonts w:cs="Arial"/>
                <w:b/>
                <w:bCs/>
                <w:sz w:val="16"/>
                <w:szCs w:val="16"/>
                <w:u w:val="single"/>
                <w:lang w:val="fr-FR"/>
              </w:rPr>
              <w:t xml:space="preserve"> DE PRINCIPES DIRECTEURS D</w:t>
            </w:r>
            <w:r w:rsidR="00F3296C" w:rsidRPr="0048528B">
              <w:rPr>
                <w:rFonts w:cs="Arial"/>
                <w:b/>
                <w:bCs/>
                <w:sz w:val="16"/>
                <w:szCs w:val="16"/>
                <w:u w:val="single"/>
                <w:lang w:val="fr-FR"/>
              </w:rPr>
              <w:t>’</w:t>
            </w:r>
            <w:r w:rsidRPr="0048528B">
              <w:rPr>
                <w:rFonts w:cs="Arial"/>
                <w:b/>
                <w:bCs/>
                <w:sz w:val="16"/>
                <w:szCs w:val="16"/>
                <w:u w:val="single"/>
                <w:lang w:val="fr-FR"/>
              </w:rPr>
              <w:t>EXAMEN</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color w:val="000000"/>
                <w:sz w:val="16"/>
                <w:szCs w:val="16"/>
                <w:lang w:val="fr-FR" w:eastAsia="ja-JP"/>
              </w:rPr>
            </w:pPr>
            <w:r w:rsidRPr="0048528B">
              <w:rPr>
                <w:rFonts w:eastAsia="MS Mincho" w:cs="Arial"/>
                <w:color w:val="000000"/>
                <w:sz w:val="16"/>
                <w:szCs w:val="16"/>
                <w:lang w:val="fr-FR" w:eastAsia="ja-JP"/>
              </w:rPr>
              <w:t>ES</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color w:val="000000"/>
                <w:sz w:val="16"/>
                <w:szCs w:val="16"/>
                <w:lang w:val="fr-FR" w:eastAsia="ja-JP"/>
              </w:rPr>
            </w:pPr>
            <w:r w:rsidRPr="0048528B">
              <w:rPr>
                <w:rFonts w:eastAsia="MS Mincho" w:cs="Arial"/>
                <w:color w:val="000000"/>
                <w:sz w:val="16"/>
                <w:szCs w:val="16"/>
                <w:lang w:val="fr-FR" w:eastAsia="ja-JP"/>
              </w:rPr>
              <w:t>TWA</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TG/32/7(proj.5)</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Common Vetch</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Vesce commune</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Saatwicke</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Veza común</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i/>
                <w:sz w:val="16"/>
                <w:szCs w:val="16"/>
                <w:lang w:val="fr-FR" w:eastAsia="ja-JP"/>
              </w:rPr>
              <w:t>Vicia sativa</w:t>
            </w:r>
            <w:r w:rsidRPr="0048528B">
              <w:rPr>
                <w:rFonts w:eastAsia="MS Mincho" w:cs="Arial"/>
                <w:sz w:val="16"/>
                <w:szCs w:val="16"/>
                <w:lang w:val="fr-FR" w:eastAsia="ja-JP"/>
              </w:rPr>
              <w:t xml:space="preserve"> L.</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NL</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TWO</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TG/108/4(proj.8)</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Gladiolus</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Glaïeul</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Gladiole</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Gladiolo</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i/>
                <w:sz w:val="16"/>
                <w:szCs w:val="16"/>
                <w:lang w:val="fr-FR" w:eastAsia="ja-JP"/>
              </w:rPr>
              <w:t>Gladiolus</w:t>
            </w:r>
            <w:r w:rsidRPr="0048528B">
              <w:rPr>
                <w:rFonts w:eastAsia="MS Mincho" w:cs="Arial"/>
                <w:sz w:val="16"/>
                <w:szCs w:val="16"/>
                <w:lang w:val="fr-FR" w:eastAsia="ja-JP"/>
              </w:rPr>
              <w:t xml:space="preserve"> L.</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color w:val="000000"/>
                <w:sz w:val="16"/>
                <w:szCs w:val="16"/>
                <w:lang w:val="fr-FR" w:eastAsia="ja-JP"/>
              </w:rPr>
            </w:pPr>
            <w:r w:rsidRPr="0048528B">
              <w:rPr>
                <w:rFonts w:eastAsia="MS Mincho" w:cs="Arial"/>
                <w:color w:val="000000"/>
                <w:sz w:val="16"/>
                <w:szCs w:val="16"/>
                <w:lang w:val="fr-FR" w:eastAsia="ja-JP"/>
              </w:rPr>
              <w:t>NL</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color w:val="000000"/>
                <w:sz w:val="16"/>
                <w:szCs w:val="16"/>
                <w:lang w:val="fr-FR" w:eastAsia="ja-JP"/>
              </w:rPr>
            </w:pPr>
            <w:r w:rsidRPr="0048528B">
              <w:rPr>
                <w:rFonts w:eastAsia="MS Mincho" w:cs="Arial"/>
                <w:color w:val="000000"/>
                <w:sz w:val="16"/>
                <w:szCs w:val="16"/>
                <w:lang w:val="fr-FR" w:eastAsia="ja-JP"/>
              </w:rPr>
              <w:t>TWV</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TG/118/5(proj.4)</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Endive </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Chicorée frisée,</w:t>
            </w:r>
            <w:r w:rsidRPr="0048528B">
              <w:rPr>
                <w:rFonts w:eastAsia="MS Mincho" w:cs="Arial"/>
                <w:sz w:val="16"/>
                <w:szCs w:val="16"/>
                <w:lang w:val="fr-FR" w:eastAsia="ja-JP"/>
              </w:rPr>
              <w:br/>
              <w:t>Chicorée scarole</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Endivie</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Escarola</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i/>
                <w:sz w:val="16"/>
                <w:szCs w:val="16"/>
                <w:lang w:val="fr-FR" w:eastAsia="ja-JP"/>
              </w:rPr>
              <w:t>Cichorium endivia</w:t>
            </w:r>
            <w:r w:rsidRPr="0048528B">
              <w:rPr>
                <w:rFonts w:eastAsia="MS Mincho" w:cs="Arial"/>
                <w:sz w:val="16"/>
                <w:szCs w:val="16"/>
                <w:lang w:val="fr-FR" w:eastAsia="ja-JP"/>
              </w:rPr>
              <w:t xml:space="preserve"> L.</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NL</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TWV</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TG/142/5(proj.5)</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Watermelon </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Melon d</w:t>
            </w:r>
            <w:r w:rsidR="00F3296C" w:rsidRPr="0048528B">
              <w:rPr>
                <w:rFonts w:eastAsia="MS Mincho" w:cs="Arial"/>
                <w:sz w:val="16"/>
                <w:szCs w:val="16"/>
                <w:lang w:val="fr-FR" w:eastAsia="ja-JP"/>
              </w:rPr>
              <w:t>’</w:t>
            </w:r>
            <w:r w:rsidRPr="0048528B">
              <w:rPr>
                <w:rFonts w:eastAsia="MS Mincho" w:cs="Arial"/>
                <w:sz w:val="16"/>
                <w:szCs w:val="16"/>
                <w:lang w:val="fr-FR" w:eastAsia="ja-JP"/>
              </w:rPr>
              <w:t>eau; Pastèque</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Wassermelone</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Sandía</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Citrullus lanatus (Thunb.) Matsum. et Nakai, Citrullus vulgaris Schrad.</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DE</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TWO</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TG/176/5(proj.4)</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Osteospermum; </w:t>
            </w:r>
            <w:r w:rsidR="003F00B6" w:rsidRPr="0048528B">
              <w:rPr>
                <w:rFonts w:eastAsia="MS Mincho" w:cs="Arial"/>
                <w:sz w:val="16"/>
                <w:szCs w:val="16"/>
                <w:lang w:val="fr-FR" w:eastAsia="ja-JP"/>
              </w:rPr>
              <w:noBreakHyphen/>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Ostéospermum; </w:t>
            </w:r>
            <w:r w:rsidR="003F00B6" w:rsidRPr="0048528B">
              <w:rPr>
                <w:rFonts w:eastAsia="MS Mincho" w:cs="Arial"/>
                <w:sz w:val="16"/>
                <w:szCs w:val="16"/>
                <w:lang w:val="fr-FR" w:eastAsia="ja-JP"/>
              </w:rPr>
              <w:noBreakHyphen/>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Osteospermum; </w:t>
            </w:r>
            <w:r w:rsidRPr="0048528B">
              <w:rPr>
                <w:rFonts w:eastAsia="MS Mincho" w:cs="Arial"/>
                <w:sz w:val="16"/>
                <w:szCs w:val="16"/>
                <w:lang w:val="fr-FR" w:eastAsia="ja-JP"/>
              </w:rPr>
              <w:br/>
              <w:t>Osteospermum, Kapmargerite, Kapkörbchen</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Osteospermum; </w:t>
            </w:r>
            <w:r w:rsidR="003F00B6" w:rsidRPr="0048528B">
              <w:rPr>
                <w:rFonts w:eastAsia="MS Mincho" w:cs="Arial"/>
                <w:sz w:val="16"/>
                <w:szCs w:val="16"/>
                <w:lang w:val="fr-FR" w:eastAsia="ja-JP"/>
              </w:rPr>
              <w:noBreakHyphen/>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i/>
                <w:sz w:val="16"/>
                <w:szCs w:val="16"/>
                <w:lang w:val="fr-FR" w:eastAsia="ja-JP"/>
              </w:rPr>
              <w:t>Osteospermum</w:t>
            </w:r>
            <w:r w:rsidRPr="0048528B">
              <w:rPr>
                <w:rFonts w:eastAsia="MS Mincho" w:cs="Arial"/>
                <w:sz w:val="16"/>
                <w:szCs w:val="16"/>
                <w:lang w:val="fr-FR" w:eastAsia="ja-JP"/>
              </w:rPr>
              <w:t xml:space="preserve"> L.; </w:t>
            </w:r>
            <w:r w:rsidRPr="0048528B">
              <w:rPr>
                <w:rFonts w:eastAsia="MS Mincho" w:cs="Arial"/>
                <w:sz w:val="16"/>
                <w:szCs w:val="16"/>
                <w:lang w:val="fr-FR" w:eastAsia="ja-JP"/>
              </w:rPr>
              <w:br/>
              <w:t xml:space="preserve">hybrids with </w:t>
            </w:r>
            <w:r w:rsidRPr="0048528B">
              <w:rPr>
                <w:rFonts w:eastAsia="MS Mincho" w:cs="Arial"/>
                <w:i/>
                <w:sz w:val="16"/>
                <w:szCs w:val="16"/>
                <w:lang w:val="fr-FR" w:eastAsia="ja-JP"/>
              </w:rPr>
              <w:t xml:space="preserve">Dimorphotheca </w:t>
            </w:r>
            <w:r w:rsidRPr="0048528B">
              <w:rPr>
                <w:rFonts w:eastAsia="MS Mincho" w:cs="Arial"/>
                <w:sz w:val="16"/>
                <w:szCs w:val="16"/>
                <w:lang w:val="fr-FR" w:eastAsia="ja-JP"/>
              </w:rPr>
              <w:t>Vaill. ex Moench</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NL</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TWO</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TG/213/2(proj.7)</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Phalaenopsis</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Phalaenopsis</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Phalaenopsis</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Phalaenopsis</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i/>
                <w:sz w:val="16"/>
                <w:szCs w:val="16"/>
                <w:lang w:val="fr-FR" w:eastAsia="ja-JP"/>
              </w:rPr>
              <w:t>Phalaenopsis</w:t>
            </w:r>
            <w:r w:rsidRPr="0048528B">
              <w:rPr>
                <w:rFonts w:eastAsia="MS Mincho" w:cs="Arial"/>
                <w:sz w:val="16"/>
                <w:szCs w:val="16"/>
                <w:lang w:val="fr-FR" w:eastAsia="ja-JP"/>
              </w:rPr>
              <w:t xml:space="preserve"> Blume</w:t>
            </w:r>
          </w:p>
        </w:tc>
      </w:tr>
      <w:tr w:rsidR="00C97F0A" w:rsidRPr="0048528B" w:rsidTr="00773B12">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C97F0A" w:rsidRPr="0048528B" w:rsidRDefault="00C97F0A" w:rsidP="00A0245E">
            <w:pPr>
              <w:spacing w:before="60" w:after="60"/>
              <w:jc w:val="left"/>
              <w:rPr>
                <w:rFonts w:eastAsia="MS Mincho" w:cs="Arial"/>
                <w:sz w:val="16"/>
                <w:szCs w:val="16"/>
                <w:lang w:val="fr-FR" w:eastAsia="ja-JP"/>
              </w:rPr>
            </w:pPr>
            <w:r w:rsidRPr="0048528B">
              <w:rPr>
                <w:rFonts w:cs="Arial"/>
                <w:b/>
                <w:bCs/>
                <w:sz w:val="16"/>
                <w:szCs w:val="16"/>
                <w:u w:val="single"/>
                <w:lang w:val="fr-FR"/>
              </w:rPr>
              <w:lastRenderedPageBreak/>
              <w:t>RÉVISIONS PARTIELLES DE PRINCIPES DIRECTEURS D</w:t>
            </w:r>
            <w:r w:rsidR="00F3296C" w:rsidRPr="0048528B">
              <w:rPr>
                <w:rFonts w:cs="Arial"/>
                <w:b/>
                <w:bCs/>
                <w:sz w:val="16"/>
                <w:szCs w:val="16"/>
                <w:u w:val="single"/>
                <w:lang w:val="fr-FR"/>
              </w:rPr>
              <w:t>’</w:t>
            </w:r>
            <w:r w:rsidRPr="0048528B">
              <w:rPr>
                <w:rFonts w:cs="Arial"/>
                <w:b/>
                <w:bCs/>
                <w:sz w:val="16"/>
                <w:szCs w:val="16"/>
                <w:u w:val="single"/>
                <w:lang w:val="fr-FR"/>
              </w:rPr>
              <w:t>EXAMEN</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ZA</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TWO</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TG/266/1 Rev.</w:t>
            </w:r>
            <w:r w:rsidRPr="0048528B">
              <w:rPr>
                <w:rFonts w:eastAsia="MS Mincho" w:cs="Arial"/>
                <w:sz w:val="16"/>
                <w:szCs w:val="16"/>
                <w:lang w:val="fr-FR" w:eastAsia="ja-JP"/>
              </w:rPr>
              <w:br/>
              <w:t>(TC/49/2 Rev.2</w:t>
            </w:r>
            <w:r w:rsidR="00F3296C" w:rsidRPr="0048528B">
              <w:rPr>
                <w:rFonts w:eastAsia="MS Mincho" w:cs="Arial"/>
                <w:sz w:val="16"/>
                <w:szCs w:val="16"/>
                <w:lang w:val="fr-FR" w:eastAsia="ja-JP"/>
              </w:rPr>
              <w:t>, TC</w:t>
            </w:r>
            <w:r w:rsidRPr="0048528B">
              <w:rPr>
                <w:rFonts w:eastAsia="MS Mincho" w:cs="Arial"/>
                <w:sz w:val="16"/>
                <w:szCs w:val="16"/>
                <w:lang w:val="fr-FR" w:eastAsia="ja-JP"/>
              </w:rPr>
              <w:t>/49/37)</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 xml:space="preserve">African lily, Agapanthus, </w:t>
            </w:r>
            <w:r w:rsidRPr="0048528B">
              <w:rPr>
                <w:sz w:val="16"/>
                <w:szCs w:val="16"/>
                <w:lang w:val="fr-FR"/>
              </w:rPr>
              <w:br/>
              <w:t xml:space="preserve">Blue lily, </w:t>
            </w:r>
            <w:r w:rsidRPr="0048528B">
              <w:rPr>
                <w:sz w:val="16"/>
                <w:szCs w:val="16"/>
                <w:lang w:val="fr-FR"/>
              </w:rPr>
              <w:br/>
              <w:t>Lily of the Nile</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 xml:space="preserve">Agapanthe, </w:t>
            </w:r>
            <w:r w:rsidRPr="0048528B">
              <w:rPr>
                <w:sz w:val="16"/>
                <w:szCs w:val="16"/>
                <w:lang w:val="fr-FR"/>
              </w:rPr>
              <w:br/>
              <w:t>Fleur d</w:t>
            </w:r>
            <w:r w:rsidR="00F3296C" w:rsidRPr="0048528B">
              <w:rPr>
                <w:sz w:val="16"/>
                <w:szCs w:val="16"/>
                <w:lang w:val="fr-FR"/>
              </w:rPr>
              <w:t>’</w:t>
            </w:r>
            <w:r w:rsidRPr="0048528B">
              <w:rPr>
                <w:sz w:val="16"/>
                <w:szCs w:val="16"/>
                <w:lang w:val="fr-FR"/>
              </w:rPr>
              <w:t>amour</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Agapanthus, Schmucklilie</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sz w:val="16"/>
                <w:szCs w:val="16"/>
                <w:lang w:val="fr-FR"/>
              </w:rPr>
            </w:pPr>
            <w:r w:rsidRPr="0048528B">
              <w:rPr>
                <w:sz w:val="16"/>
                <w:szCs w:val="16"/>
                <w:lang w:val="fr-FR"/>
              </w:rPr>
              <w:t xml:space="preserve">Agapando, Agapanto, </w:t>
            </w:r>
            <w:r w:rsidRPr="0048528B">
              <w:rPr>
                <w:sz w:val="16"/>
                <w:szCs w:val="16"/>
                <w:lang w:val="fr-FR"/>
              </w:rPr>
              <w:br/>
              <w:t>Estrella de mar</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i/>
                <w:sz w:val="16"/>
                <w:szCs w:val="16"/>
                <w:lang w:val="fr-FR" w:eastAsia="ja-JP"/>
              </w:rPr>
              <w:t>Agapanthus</w:t>
            </w:r>
            <w:r w:rsidRPr="0048528B">
              <w:rPr>
                <w:rFonts w:eastAsia="MS Mincho" w:cs="Arial"/>
                <w:sz w:val="16"/>
                <w:szCs w:val="16"/>
                <w:lang w:val="fr-FR" w:eastAsia="ja-JP"/>
              </w:rPr>
              <w:t xml:space="preserve"> L</w:t>
            </w:r>
            <w:r w:rsidR="00F3296C" w:rsidRPr="0048528B">
              <w:rPr>
                <w:rFonts w:eastAsia="MS Mincho" w:cs="Arial"/>
                <w:sz w:val="16"/>
                <w:szCs w:val="16"/>
                <w:lang w:val="fr-FR" w:eastAsia="ja-JP"/>
              </w:rPr>
              <w:t>’</w:t>
            </w:r>
            <w:r w:rsidRPr="0048528B">
              <w:rPr>
                <w:rFonts w:eastAsia="MS Mincho" w:cs="Arial"/>
                <w:sz w:val="16"/>
                <w:szCs w:val="16"/>
                <w:lang w:val="fr-FR" w:eastAsia="ja-JP"/>
              </w:rPr>
              <w:t>Hér</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FR/NL</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TWV</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TG/13/10 Rev. </w:t>
            </w:r>
            <w:r w:rsidRPr="0048528B">
              <w:rPr>
                <w:rFonts w:eastAsia="MS Mincho" w:cs="Arial"/>
                <w:sz w:val="16"/>
                <w:szCs w:val="16"/>
                <w:lang w:val="fr-FR" w:eastAsia="ja-JP"/>
              </w:rPr>
              <w:br/>
              <w:t>(TC/49/2 Rev.2</w:t>
            </w:r>
            <w:r w:rsidR="00F3296C" w:rsidRPr="0048528B">
              <w:rPr>
                <w:rFonts w:eastAsia="MS Mincho" w:cs="Arial"/>
                <w:sz w:val="16"/>
                <w:szCs w:val="16"/>
                <w:lang w:val="fr-FR" w:eastAsia="ja-JP"/>
              </w:rPr>
              <w:t>, TC</w:t>
            </w:r>
            <w:r w:rsidRPr="0048528B">
              <w:rPr>
                <w:rFonts w:eastAsia="MS Mincho" w:cs="Arial"/>
                <w:sz w:val="16"/>
                <w:szCs w:val="16"/>
                <w:lang w:val="fr-FR" w:eastAsia="ja-JP"/>
              </w:rPr>
              <w:t>/49/38)</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Lettuce</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Laitue</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Salat</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Lechuga</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i/>
                <w:sz w:val="16"/>
                <w:szCs w:val="16"/>
                <w:lang w:val="fr-FR" w:eastAsia="ja-JP"/>
              </w:rPr>
              <w:t>Lactuca sativa</w:t>
            </w:r>
            <w:r w:rsidRPr="0048528B">
              <w:rPr>
                <w:rFonts w:eastAsia="MS Mincho" w:cs="Arial"/>
                <w:sz w:val="16"/>
                <w:szCs w:val="16"/>
                <w:lang w:val="fr-FR" w:eastAsia="ja-JP"/>
              </w:rPr>
              <w:t xml:space="preserve"> L.</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NL</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TWV</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TG/55/7 Rev. </w:t>
            </w:r>
            <w:r w:rsidRPr="0048528B">
              <w:rPr>
                <w:rFonts w:eastAsia="MS Mincho" w:cs="Arial"/>
                <w:sz w:val="16"/>
                <w:szCs w:val="16"/>
                <w:lang w:val="fr-FR" w:eastAsia="ja-JP"/>
              </w:rPr>
              <w:br/>
              <w:t>(TC/49/2 Rev.2,</w:t>
            </w:r>
            <w:r w:rsidRPr="0048528B">
              <w:rPr>
                <w:rFonts w:eastAsia="MS Mincho" w:cs="Arial"/>
                <w:sz w:val="16"/>
                <w:szCs w:val="16"/>
                <w:lang w:val="fr-FR" w:eastAsia="ja-JP"/>
              </w:rPr>
              <w:br/>
              <w:t>TC/49/39)</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Spinach</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Épinard</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Spinat</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Espinaca</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i/>
                <w:sz w:val="16"/>
                <w:szCs w:val="16"/>
                <w:lang w:val="fr-FR" w:eastAsia="ja-JP"/>
              </w:rPr>
              <w:t>Spinacia oleracea</w:t>
            </w:r>
            <w:r w:rsidRPr="0048528B">
              <w:rPr>
                <w:rFonts w:eastAsia="MS Mincho" w:cs="Arial"/>
                <w:sz w:val="16"/>
                <w:szCs w:val="16"/>
                <w:lang w:val="fr-FR" w:eastAsia="ja-JP"/>
              </w:rPr>
              <w:t xml:space="preserve"> L.</w:t>
            </w:r>
          </w:p>
        </w:tc>
      </w:tr>
      <w:tr w:rsidR="00C97F0A" w:rsidRPr="0048528B" w:rsidTr="00773B12">
        <w:trPr>
          <w:cantSplit/>
          <w:jc w:val="center"/>
        </w:trPr>
        <w:tc>
          <w:tcPr>
            <w:tcW w:w="568"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QZ</w:t>
            </w:r>
          </w:p>
        </w:tc>
        <w:tc>
          <w:tcPr>
            <w:tcW w:w="5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center"/>
              <w:rPr>
                <w:rFonts w:eastAsia="MS Mincho" w:cs="Arial"/>
                <w:sz w:val="16"/>
                <w:szCs w:val="16"/>
                <w:lang w:val="fr-FR" w:eastAsia="ja-JP"/>
              </w:rPr>
            </w:pPr>
            <w:r w:rsidRPr="0048528B">
              <w:rPr>
                <w:rFonts w:eastAsia="MS Mincho" w:cs="Arial"/>
                <w:sz w:val="16"/>
                <w:szCs w:val="16"/>
                <w:lang w:val="fr-FR" w:eastAsia="ja-JP"/>
              </w:rPr>
              <w:t>TWV</w:t>
            </w:r>
          </w:p>
        </w:tc>
        <w:tc>
          <w:tcPr>
            <w:tcW w:w="1701"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TG/44/11 Rev.</w:t>
            </w:r>
            <w:r w:rsidRPr="0048528B">
              <w:rPr>
                <w:rFonts w:eastAsia="MS Mincho" w:cs="Arial"/>
                <w:sz w:val="16"/>
                <w:szCs w:val="16"/>
                <w:lang w:val="fr-FR" w:eastAsia="ja-JP"/>
              </w:rPr>
              <w:br/>
              <w:t>(TC/49/2 Rev.2</w:t>
            </w:r>
            <w:r w:rsidR="00F3296C" w:rsidRPr="0048528B">
              <w:rPr>
                <w:rFonts w:eastAsia="MS Mincho" w:cs="Arial"/>
                <w:sz w:val="16"/>
                <w:szCs w:val="16"/>
                <w:lang w:val="fr-FR" w:eastAsia="ja-JP"/>
              </w:rPr>
              <w:t>, TC</w:t>
            </w:r>
            <w:r w:rsidRPr="0048528B">
              <w:rPr>
                <w:rFonts w:eastAsia="MS Mincho" w:cs="Arial"/>
                <w:sz w:val="16"/>
                <w:szCs w:val="16"/>
                <w:lang w:val="fr-FR" w:eastAsia="ja-JP"/>
              </w:rPr>
              <w:t>/49/40)</w:t>
            </w:r>
          </w:p>
        </w:tc>
        <w:tc>
          <w:tcPr>
            <w:tcW w:w="1510"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Tomato </w:t>
            </w:r>
          </w:p>
        </w:tc>
        <w:tc>
          <w:tcPr>
            <w:tcW w:w="1225"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Tomate </w:t>
            </w:r>
          </w:p>
        </w:tc>
        <w:tc>
          <w:tcPr>
            <w:tcW w:w="1474"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Tomate </w:t>
            </w:r>
          </w:p>
        </w:tc>
        <w:tc>
          <w:tcPr>
            <w:tcW w:w="1467"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sz w:val="16"/>
                <w:szCs w:val="16"/>
                <w:lang w:val="fr-FR" w:eastAsia="ja-JP"/>
              </w:rPr>
              <w:t xml:space="preserve">Tomate </w:t>
            </w:r>
          </w:p>
        </w:tc>
        <w:tc>
          <w:tcPr>
            <w:tcW w:w="2162" w:type="dxa"/>
            <w:tcBorders>
              <w:top w:val="single" w:sz="4" w:space="0" w:color="auto"/>
              <w:left w:val="single" w:sz="4" w:space="0" w:color="auto"/>
              <w:bottom w:val="single" w:sz="4" w:space="0" w:color="auto"/>
              <w:right w:val="single" w:sz="4" w:space="0" w:color="auto"/>
            </w:tcBorders>
          </w:tcPr>
          <w:p w:rsidR="00C97F0A" w:rsidRPr="0048528B" w:rsidRDefault="00C97F0A" w:rsidP="00773B12">
            <w:pPr>
              <w:spacing w:before="60" w:after="60"/>
              <w:jc w:val="left"/>
              <w:rPr>
                <w:rFonts w:eastAsia="MS Mincho" w:cs="Arial"/>
                <w:sz w:val="16"/>
                <w:szCs w:val="16"/>
                <w:lang w:val="fr-FR" w:eastAsia="ja-JP"/>
              </w:rPr>
            </w:pPr>
            <w:r w:rsidRPr="0048528B">
              <w:rPr>
                <w:rFonts w:eastAsia="MS Mincho" w:cs="Arial"/>
                <w:i/>
                <w:sz w:val="16"/>
                <w:szCs w:val="16"/>
                <w:lang w:val="fr-FR" w:eastAsia="ja-JP"/>
              </w:rPr>
              <w:t>Solanum lycopersicum</w:t>
            </w:r>
            <w:r w:rsidRPr="0048528B">
              <w:rPr>
                <w:rFonts w:eastAsia="MS Mincho" w:cs="Arial"/>
                <w:sz w:val="16"/>
                <w:szCs w:val="16"/>
                <w:lang w:val="fr-FR" w:eastAsia="ja-JP"/>
              </w:rPr>
              <w:t xml:space="preserve"> L.</w:t>
            </w:r>
          </w:p>
        </w:tc>
      </w:tr>
    </w:tbl>
    <w:p w:rsidR="00C97F0A" w:rsidRPr="0048528B" w:rsidRDefault="00C97F0A" w:rsidP="00C97F0A">
      <w:pPr>
        <w:rPr>
          <w:lang w:val="fr-FR"/>
        </w:rPr>
      </w:pPr>
    </w:p>
    <w:p w:rsidR="00C97F0A" w:rsidRPr="0048528B" w:rsidRDefault="00C97F0A" w:rsidP="00C97F0A">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t>En ce qui concerne le projet des principes directeurs d</w:t>
      </w:r>
      <w:r w:rsidR="00F3296C" w:rsidRPr="0048528B">
        <w:rPr>
          <w:rFonts w:cs="Arial"/>
          <w:lang w:val="fr-FR"/>
        </w:rPr>
        <w:t>’</w:t>
      </w:r>
      <w:r w:rsidRPr="0048528B">
        <w:rPr>
          <w:rFonts w:cs="Arial"/>
          <w:lang w:val="fr-FR"/>
        </w:rPr>
        <w:t>examen pour le pavot (document TG/166/4 proj.4), le</w:t>
      </w:r>
      <w:r w:rsidR="00F3296C" w:rsidRPr="0048528B">
        <w:rPr>
          <w:rFonts w:cs="Arial"/>
          <w:lang w:val="fr-FR"/>
        </w:rPr>
        <w:t> TC</w:t>
      </w:r>
      <w:r w:rsidRPr="0048528B">
        <w:rPr>
          <w:rFonts w:cs="Arial"/>
          <w:lang w:val="fr-FR"/>
        </w:rPr>
        <w:t xml:space="preserve"> est convenu, sur la base de la recommandation du</w:t>
      </w:r>
      <w:r w:rsidR="00F3296C" w:rsidRPr="0048528B">
        <w:rPr>
          <w:rFonts w:cs="Arial"/>
          <w:lang w:val="fr-FR"/>
        </w:rPr>
        <w:t> TC</w:t>
      </w:r>
      <w:r w:rsidR="003F00B6" w:rsidRPr="0048528B">
        <w:rPr>
          <w:rFonts w:cs="Arial"/>
          <w:lang w:val="fr-FR"/>
        </w:rPr>
        <w:noBreakHyphen/>
      </w:r>
      <w:r w:rsidR="00F3296C" w:rsidRPr="0048528B">
        <w:rPr>
          <w:rFonts w:cs="Arial"/>
          <w:lang w:val="fr-FR"/>
        </w:rPr>
        <w:t>EDC</w:t>
      </w:r>
      <w:r w:rsidRPr="0048528B">
        <w:rPr>
          <w:rFonts w:cs="Arial"/>
          <w:lang w:val="fr-FR"/>
        </w:rPr>
        <w:t>, que les questions techniques relatives à ce projet, telles qu</w:t>
      </w:r>
      <w:r w:rsidR="00F3296C" w:rsidRPr="0048528B">
        <w:rPr>
          <w:rFonts w:cs="Arial"/>
          <w:lang w:val="fr-FR"/>
        </w:rPr>
        <w:t>’</w:t>
      </w:r>
      <w:r w:rsidRPr="0048528B">
        <w:rPr>
          <w:rFonts w:cs="Arial"/>
          <w:lang w:val="fr-FR"/>
        </w:rPr>
        <w:t>elles figurent dans l</w:t>
      </w:r>
      <w:r w:rsidR="00F3296C" w:rsidRPr="0048528B">
        <w:rPr>
          <w:rFonts w:cs="Arial"/>
          <w:lang w:val="fr-FR"/>
        </w:rPr>
        <w:t>’</w:t>
      </w:r>
      <w:r w:rsidRPr="0048528B">
        <w:rPr>
          <w:rFonts w:cs="Arial"/>
          <w:lang w:val="fr-FR"/>
        </w:rPr>
        <w:t xml:space="preserve">annexe II du </w:t>
      </w:r>
      <w:r w:rsidR="00F3296C" w:rsidRPr="0048528B">
        <w:rPr>
          <w:rFonts w:cs="Arial"/>
          <w:lang w:val="fr-FR"/>
        </w:rPr>
        <w:t>document TC</w:t>
      </w:r>
      <w:r w:rsidRPr="0048528B">
        <w:rPr>
          <w:rFonts w:cs="Arial"/>
          <w:lang w:val="fr-FR"/>
        </w:rPr>
        <w:t>/49/41, devraient être renvoyées au TWV aux fins d</w:t>
      </w:r>
      <w:r w:rsidR="00F3296C" w:rsidRPr="0048528B">
        <w:rPr>
          <w:rFonts w:cs="Arial"/>
          <w:lang w:val="fr-FR"/>
        </w:rPr>
        <w:t>’</w:t>
      </w:r>
      <w:r w:rsidRPr="0048528B">
        <w:rPr>
          <w:rFonts w:cs="Arial"/>
          <w:lang w:val="fr-FR"/>
        </w:rPr>
        <w:t>un examen plus approfondi.</w:t>
      </w:r>
    </w:p>
    <w:p w:rsidR="00C97F0A" w:rsidRPr="0048528B" w:rsidRDefault="00C97F0A" w:rsidP="00CA0D7D">
      <w:pPr>
        <w:spacing w:line="360" w:lineRule="auto"/>
        <w:rPr>
          <w:lang w:val="fr-FR"/>
        </w:rPr>
      </w:pPr>
    </w:p>
    <w:p w:rsidR="00C97F0A" w:rsidRPr="0048528B" w:rsidRDefault="00C97F0A" w:rsidP="00C97F0A">
      <w:pPr>
        <w:pStyle w:val="Heading3"/>
        <w:rPr>
          <w:lang w:val="fr-FR"/>
        </w:rPr>
      </w:pPr>
      <w:bookmarkStart w:id="51" w:name="_Toc367888570"/>
      <w:r w:rsidRPr="0048528B">
        <w:rPr>
          <w:lang w:val="fr-FR"/>
        </w:rPr>
        <w:t>Caractères supplémentaires</w:t>
      </w:r>
      <w:bookmarkEnd w:id="51"/>
    </w:p>
    <w:p w:rsidR="00C97F0A" w:rsidRPr="0048528B" w:rsidRDefault="00C97F0A" w:rsidP="00C97F0A">
      <w:pPr>
        <w:keepNext/>
        <w:rPr>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r>
      <w:r w:rsidRPr="0048528B">
        <w:rPr>
          <w:rFonts w:cs="Arial"/>
          <w:lang w:val="fr-FR"/>
        </w:rPr>
        <w:t>Le</w:t>
      </w:r>
      <w:r w:rsidR="00F3296C" w:rsidRPr="0048528B">
        <w:rPr>
          <w:rFonts w:cs="Arial"/>
          <w:lang w:val="fr-FR"/>
        </w:rPr>
        <w:t> TC</w:t>
      </w:r>
      <w:r w:rsidRPr="0048528B">
        <w:rPr>
          <w:rFonts w:cs="Arial"/>
          <w:lang w:val="fr-FR"/>
        </w:rPr>
        <w:t xml:space="preserve"> est convenu qu</w:t>
      </w:r>
      <w:r w:rsidR="00F3296C" w:rsidRPr="0048528B">
        <w:rPr>
          <w:rFonts w:cs="Arial"/>
          <w:lang w:val="fr-FR"/>
        </w:rPr>
        <w:t>’</w:t>
      </w:r>
      <w:r w:rsidRPr="0048528B">
        <w:rPr>
          <w:rFonts w:cs="Arial"/>
          <w:lang w:val="fr-FR"/>
        </w:rPr>
        <w:t>un projet de révision de la section 10 du document TGP/5 serait présenté aux fins de son examen à sa cinquantième session, sous réserve de la conclusion des discussions au Comité consultatif sur une clause limitative de responsabilité sur les documents de l</w:t>
      </w:r>
      <w:r w:rsidR="00F3296C" w:rsidRPr="0048528B">
        <w:rPr>
          <w:rFonts w:cs="Arial"/>
          <w:lang w:val="fr-FR"/>
        </w:rPr>
        <w:t>’</w:t>
      </w:r>
      <w:r w:rsidRPr="0048528B">
        <w:rPr>
          <w:rFonts w:cs="Arial"/>
          <w:lang w:val="fr-FR"/>
        </w:rPr>
        <w:t>UPOV.</w:t>
      </w:r>
    </w:p>
    <w:p w:rsidR="00C97F0A" w:rsidRPr="0048528B" w:rsidRDefault="00C97F0A" w:rsidP="00CA0D7D">
      <w:pPr>
        <w:spacing w:line="360" w:lineRule="auto"/>
        <w:rPr>
          <w:rFonts w:cs="Arial"/>
          <w:lang w:val="fr-FR"/>
        </w:rPr>
      </w:pPr>
    </w:p>
    <w:p w:rsidR="00C97F0A" w:rsidRPr="0048528B" w:rsidRDefault="00C97F0A" w:rsidP="00C97F0A">
      <w:pPr>
        <w:pStyle w:val="Heading3"/>
        <w:rPr>
          <w:lang w:val="fr-FR"/>
        </w:rPr>
      </w:pPr>
      <w:bookmarkStart w:id="52" w:name="_Toc367888571"/>
      <w:r w:rsidRPr="0048528B">
        <w:rPr>
          <w:lang w:val="fr-FR"/>
        </w:rPr>
        <w:t>Corrections de principes directeurs d</w:t>
      </w:r>
      <w:r w:rsidR="00F3296C" w:rsidRPr="0048528B">
        <w:rPr>
          <w:lang w:val="fr-FR"/>
        </w:rPr>
        <w:t>’</w:t>
      </w:r>
      <w:r w:rsidRPr="0048528B">
        <w:rPr>
          <w:lang w:val="fr-FR"/>
        </w:rPr>
        <w:t>examen</w:t>
      </w:r>
      <w:bookmarkEnd w:id="52"/>
    </w:p>
    <w:p w:rsidR="00C97F0A" w:rsidRPr="0048528B" w:rsidRDefault="00C97F0A" w:rsidP="00C97F0A">
      <w:pPr>
        <w:keepNext/>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pris note de la correction apportée aux principes directeurs d</w:t>
      </w:r>
      <w:r w:rsidR="00F3296C" w:rsidRPr="0048528B">
        <w:rPr>
          <w:lang w:val="fr-FR"/>
        </w:rPr>
        <w:t>’</w:t>
      </w:r>
      <w:r w:rsidRPr="0048528B">
        <w:rPr>
          <w:lang w:val="fr-FR"/>
        </w:rPr>
        <w:t>examen pour le prunier japonais (document TG/84/4 Corr.), telle qu</w:t>
      </w:r>
      <w:r w:rsidR="00F3296C" w:rsidRPr="0048528B">
        <w:rPr>
          <w:lang w:val="fr-FR"/>
        </w:rPr>
        <w:t>’</w:t>
      </w:r>
      <w:r w:rsidRPr="0048528B">
        <w:rPr>
          <w:lang w:val="fr-FR"/>
        </w:rPr>
        <w:t xml:space="preserve">elle figure au paragraphe 15 du </w:t>
      </w:r>
      <w:r w:rsidR="00F3296C" w:rsidRPr="0048528B">
        <w:rPr>
          <w:lang w:val="fr-FR"/>
        </w:rPr>
        <w:t>document TC</w:t>
      </w:r>
      <w:r w:rsidRPr="0048528B">
        <w:rPr>
          <w:lang w:val="fr-FR"/>
        </w:rPr>
        <w:t>/49/2 Rev.2.</w:t>
      </w:r>
    </w:p>
    <w:p w:rsidR="00C97F0A" w:rsidRPr="0048528B" w:rsidRDefault="00C97F0A" w:rsidP="00CA0D7D">
      <w:pPr>
        <w:spacing w:line="360" w:lineRule="auto"/>
        <w:rPr>
          <w:lang w:val="fr-FR"/>
        </w:rPr>
      </w:pPr>
    </w:p>
    <w:p w:rsidR="00C97F0A" w:rsidRPr="0048528B" w:rsidRDefault="00C97F0A" w:rsidP="00C97F0A">
      <w:pPr>
        <w:pStyle w:val="Heading3"/>
        <w:rPr>
          <w:lang w:val="fr-FR"/>
        </w:rPr>
      </w:pPr>
      <w:bookmarkStart w:id="53" w:name="_Toc367888572"/>
      <w:r w:rsidRPr="0048528B">
        <w:rPr>
          <w:lang w:val="fr-FR"/>
        </w:rPr>
        <w:t>Projets de principes directeurs d</w:t>
      </w:r>
      <w:r w:rsidR="00F3296C" w:rsidRPr="0048528B">
        <w:rPr>
          <w:lang w:val="fr-FR"/>
        </w:rPr>
        <w:t>’</w:t>
      </w:r>
      <w:r w:rsidRPr="0048528B">
        <w:rPr>
          <w:lang w:val="fr-FR"/>
        </w:rPr>
        <w:t>examen examinés par les groupes de travail techniques en</w:t>
      </w:r>
      <w:r w:rsidR="00604ABA" w:rsidRPr="0048528B">
        <w:rPr>
          <w:lang w:val="fr-FR"/>
        </w:rPr>
        <w:t> </w:t>
      </w:r>
      <w:r w:rsidRPr="0048528B">
        <w:rPr>
          <w:lang w:val="fr-FR"/>
        </w:rPr>
        <w:t>2012</w:t>
      </w:r>
      <w:bookmarkEnd w:id="53"/>
    </w:p>
    <w:p w:rsidR="00C97F0A" w:rsidRPr="0048528B" w:rsidRDefault="00C97F0A" w:rsidP="00C97F0A">
      <w:pPr>
        <w:keepNext/>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pris note des projets de principes directeurs d</w:t>
      </w:r>
      <w:r w:rsidR="00F3296C" w:rsidRPr="0048528B">
        <w:rPr>
          <w:lang w:val="fr-FR"/>
        </w:rPr>
        <w:t>’</w:t>
      </w:r>
      <w:r w:rsidRPr="0048528B">
        <w:rPr>
          <w:lang w:val="fr-FR"/>
        </w:rPr>
        <w:t>examen examinés par les</w:t>
      </w:r>
      <w:r w:rsidR="00B61623" w:rsidRPr="0048528B">
        <w:rPr>
          <w:lang w:val="fr-FR"/>
        </w:rPr>
        <w:t xml:space="preserve"> groupes de travail techniques</w:t>
      </w:r>
      <w:r w:rsidRPr="0048528B">
        <w:rPr>
          <w:lang w:val="fr-FR"/>
        </w:rPr>
        <w:t xml:space="preserve"> à leurs sessions de 2012, comme indiqué à l</w:t>
      </w:r>
      <w:r w:rsidR="00F3296C" w:rsidRPr="0048528B">
        <w:rPr>
          <w:lang w:val="fr-FR"/>
        </w:rPr>
        <w:t>’</w:t>
      </w:r>
      <w:r w:rsidRPr="0048528B">
        <w:rPr>
          <w:lang w:val="fr-FR"/>
        </w:rPr>
        <w:t xml:space="preserve">annexe II du </w:t>
      </w:r>
      <w:r w:rsidR="00F3296C" w:rsidRPr="0048528B">
        <w:rPr>
          <w:lang w:val="fr-FR"/>
        </w:rPr>
        <w:t>document TC</w:t>
      </w:r>
      <w:r w:rsidRPr="0048528B">
        <w:rPr>
          <w:lang w:val="fr-FR"/>
        </w:rPr>
        <w:t>/49/2 Rev.2.</w:t>
      </w:r>
    </w:p>
    <w:p w:rsidR="00C97F0A" w:rsidRPr="0048528B" w:rsidRDefault="00C97F0A" w:rsidP="00CA0D7D">
      <w:pPr>
        <w:spacing w:line="360" w:lineRule="auto"/>
        <w:rPr>
          <w:lang w:val="fr-FR"/>
        </w:rPr>
      </w:pPr>
    </w:p>
    <w:p w:rsidR="00C97F0A" w:rsidRPr="0048528B" w:rsidRDefault="00C97F0A" w:rsidP="00C97F0A">
      <w:pPr>
        <w:pStyle w:val="Heading3"/>
        <w:rPr>
          <w:lang w:val="fr-FR"/>
        </w:rPr>
      </w:pPr>
      <w:bookmarkStart w:id="54" w:name="_Toc367888573"/>
      <w:r w:rsidRPr="0048528B">
        <w:rPr>
          <w:lang w:val="fr-FR"/>
        </w:rPr>
        <w:t>Projets de principes directeurs d</w:t>
      </w:r>
      <w:r w:rsidR="00F3296C" w:rsidRPr="0048528B">
        <w:rPr>
          <w:lang w:val="fr-FR"/>
        </w:rPr>
        <w:t>’</w:t>
      </w:r>
      <w:r w:rsidRPr="0048528B">
        <w:rPr>
          <w:lang w:val="fr-FR"/>
        </w:rPr>
        <w:t>examen devant être examinés par les groupes de travail techniques en 2013</w:t>
      </w:r>
      <w:bookmarkEnd w:id="54"/>
    </w:p>
    <w:p w:rsidR="00C97F0A" w:rsidRPr="0048528B" w:rsidRDefault="00C97F0A" w:rsidP="00C97F0A">
      <w:pPr>
        <w:keepNext/>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approuvé le programme d</w:t>
      </w:r>
      <w:r w:rsidR="00F3296C" w:rsidRPr="0048528B">
        <w:rPr>
          <w:lang w:val="fr-FR"/>
        </w:rPr>
        <w:t>’</w:t>
      </w:r>
      <w:r w:rsidRPr="0048528B">
        <w:rPr>
          <w:lang w:val="fr-FR"/>
        </w:rPr>
        <w:t>élaboration de nouveaux principes directeurs d</w:t>
      </w:r>
      <w:r w:rsidR="00F3296C" w:rsidRPr="0048528B">
        <w:rPr>
          <w:lang w:val="fr-FR"/>
        </w:rPr>
        <w:t>’</w:t>
      </w:r>
      <w:r w:rsidRPr="0048528B">
        <w:rPr>
          <w:lang w:val="fr-FR"/>
        </w:rPr>
        <w:t>examen et de révision des principes directeurs d</w:t>
      </w:r>
      <w:r w:rsidR="00F3296C" w:rsidRPr="0048528B">
        <w:rPr>
          <w:lang w:val="fr-FR"/>
        </w:rPr>
        <w:t>’</w:t>
      </w:r>
      <w:r w:rsidRPr="0048528B">
        <w:rPr>
          <w:lang w:val="fr-FR"/>
        </w:rPr>
        <w:t>examen, comme indiqué à l</w:t>
      </w:r>
      <w:r w:rsidR="00F3296C" w:rsidRPr="0048528B">
        <w:rPr>
          <w:lang w:val="fr-FR"/>
        </w:rPr>
        <w:t>’</w:t>
      </w:r>
      <w:r w:rsidRPr="0048528B">
        <w:rPr>
          <w:lang w:val="fr-FR"/>
        </w:rPr>
        <w:t xml:space="preserve">annexe III du </w:t>
      </w:r>
      <w:r w:rsidR="00F3296C" w:rsidRPr="0048528B">
        <w:rPr>
          <w:lang w:val="fr-FR"/>
        </w:rPr>
        <w:t>document TC</w:t>
      </w:r>
      <w:r w:rsidRPr="0048528B">
        <w:rPr>
          <w:lang w:val="fr-FR"/>
        </w:rPr>
        <w:t>/49/2 Rev.2.  Le</w:t>
      </w:r>
      <w:r w:rsidR="00F3296C" w:rsidRPr="0048528B">
        <w:rPr>
          <w:lang w:val="fr-FR"/>
        </w:rPr>
        <w:t> TC</w:t>
      </w:r>
      <w:r w:rsidRPr="0048528B">
        <w:rPr>
          <w:lang w:val="fr-FR"/>
        </w:rPr>
        <w:t xml:space="preserve"> a pris note que, outre les principes directeurs d</w:t>
      </w:r>
      <w:r w:rsidR="00F3296C" w:rsidRPr="0048528B">
        <w:rPr>
          <w:lang w:val="fr-FR"/>
        </w:rPr>
        <w:t>’</w:t>
      </w:r>
      <w:r w:rsidRPr="0048528B">
        <w:rPr>
          <w:lang w:val="fr-FR"/>
        </w:rPr>
        <w:t>examen énumérés dans l</w:t>
      </w:r>
      <w:r w:rsidR="00F3296C" w:rsidRPr="0048528B">
        <w:rPr>
          <w:lang w:val="fr-FR"/>
        </w:rPr>
        <w:t>’</w:t>
      </w:r>
      <w:r w:rsidRPr="0048528B">
        <w:rPr>
          <w:lang w:val="fr-FR"/>
        </w:rPr>
        <w:t xml:space="preserve">annexe III du </w:t>
      </w:r>
      <w:r w:rsidR="00F3296C" w:rsidRPr="0048528B">
        <w:rPr>
          <w:lang w:val="fr-FR"/>
        </w:rPr>
        <w:t>document TC</w:t>
      </w:r>
      <w:r w:rsidRPr="0048528B">
        <w:rPr>
          <w:lang w:val="fr-FR"/>
        </w:rPr>
        <w:t>/49/2 Rev.2, le TWV examinerait également le projet de principes directeurs d</w:t>
      </w:r>
      <w:r w:rsidR="00F3296C" w:rsidRPr="0048528B">
        <w:rPr>
          <w:lang w:val="fr-FR"/>
        </w:rPr>
        <w:t>’</w:t>
      </w:r>
      <w:r w:rsidRPr="0048528B">
        <w:rPr>
          <w:lang w:val="fr-FR"/>
        </w:rPr>
        <w:t>examen pour le pavot, comme expliqué dans le paragraphe 146 ci</w:t>
      </w:r>
      <w:r w:rsidR="003F00B6" w:rsidRPr="0048528B">
        <w:rPr>
          <w:lang w:val="fr-FR"/>
        </w:rPr>
        <w:noBreakHyphen/>
      </w:r>
      <w:r w:rsidRPr="0048528B">
        <w:rPr>
          <w:lang w:val="fr-FR"/>
        </w:rPr>
        <w:t>dessus.</w:t>
      </w:r>
    </w:p>
    <w:p w:rsidR="00C97F0A" w:rsidRPr="0048528B" w:rsidRDefault="00C97F0A" w:rsidP="00C97F0A">
      <w:pPr>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pris note du statut des principes directeurs d</w:t>
      </w:r>
      <w:r w:rsidR="00F3296C" w:rsidRPr="0048528B">
        <w:rPr>
          <w:lang w:val="fr-FR"/>
        </w:rPr>
        <w:t>’</w:t>
      </w:r>
      <w:r w:rsidRPr="0048528B">
        <w:rPr>
          <w:lang w:val="fr-FR"/>
        </w:rPr>
        <w:t>examen tels qu</w:t>
      </w:r>
      <w:r w:rsidR="00F3296C" w:rsidRPr="0048528B">
        <w:rPr>
          <w:lang w:val="fr-FR"/>
        </w:rPr>
        <w:t>’</w:t>
      </w:r>
      <w:r w:rsidRPr="0048528B">
        <w:rPr>
          <w:lang w:val="fr-FR"/>
        </w:rPr>
        <w:t>ils figurent dans l</w:t>
      </w:r>
      <w:r w:rsidR="00F3296C" w:rsidRPr="0048528B">
        <w:rPr>
          <w:lang w:val="fr-FR"/>
        </w:rPr>
        <w:t>’</w:t>
      </w:r>
      <w:r w:rsidRPr="0048528B">
        <w:rPr>
          <w:lang w:val="fr-FR"/>
        </w:rPr>
        <w:t>annexe IV du </w:t>
      </w:r>
      <w:r w:rsidR="00F3296C" w:rsidRPr="0048528B">
        <w:rPr>
          <w:lang w:val="fr-FR"/>
        </w:rPr>
        <w:t>document TC</w:t>
      </w:r>
      <w:r w:rsidRPr="0048528B">
        <w:rPr>
          <w:lang w:val="fr-FR"/>
        </w:rPr>
        <w:t>/49/2 Rev.2.</w:t>
      </w:r>
    </w:p>
    <w:p w:rsidR="00C97F0A" w:rsidRPr="0048528B" w:rsidRDefault="00C97F0A" w:rsidP="00CA0D7D">
      <w:pPr>
        <w:spacing w:line="360" w:lineRule="auto"/>
        <w:rPr>
          <w:lang w:val="fr-FR"/>
        </w:rPr>
      </w:pPr>
    </w:p>
    <w:p w:rsidR="00C97F0A" w:rsidRPr="0048528B" w:rsidRDefault="00C97F0A" w:rsidP="00C97F0A">
      <w:pPr>
        <w:pStyle w:val="Heading3"/>
        <w:rPr>
          <w:lang w:val="fr-FR"/>
        </w:rPr>
      </w:pPr>
      <w:bookmarkStart w:id="55" w:name="_Toc367888574"/>
      <w:r w:rsidRPr="0048528B">
        <w:rPr>
          <w:lang w:val="fr-FR"/>
        </w:rPr>
        <w:t>Principes directeurs d</w:t>
      </w:r>
      <w:r w:rsidR="00F3296C" w:rsidRPr="0048528B">
        <w:rPr>
          <w:lang w:val="fr-FR"/>
        </w:rPr>
        <w:t>’</w:t>
      </w:r>
      <w:r w:rsidRPr="0048528B">
        <w:rPr>
          <w:lang w:val="fr-FR"/>
        </w:rPr>
        <w:t>examen sur le site Web de l</w:t>
      </w:r>
      <w:r w:rsidR="00F3296C" w:rsidRPr="0048528B">
        <w:rPr>
          <w:lang w:val="fr-FR"/>
        </w:rPr>
        <w:t>’</w:t>
      </w:r>
      <w:r w:rsidRPr="0048528B">
        <w:rPr>
          <w:lang w:val="fr-FR"/>
        </w:rPr>
        <w:t>UPOV</w:t>
      </w:r>
      <w:bookmarkEnd w:id="55"/>
    </w:p>
    <w:p w:rsidR="00C97F0A" w:rsidRPr="0048528B" w:rsidRDefault="00C97F0A" w:rsidP="00C97F0A">
      <w:pPr>
        <w:keepNext/>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pris note de la liste des principes directeurs d</w:t>
      </w:r>
      <w:r w:rsidR="00F3296C" w:rsidRPr="0048528B">
        <w:rPr>
          <w:lang w:val="fr-FR"/>
        </w:rPr>
        <w:t>’</w:t>
      </w:r>
      <w:r w:rsidRPr="0048528B">
        <w:rPr>
          <w:lang w:val="fr-FR"/>
        </w:rPr>
        <w:t>examen adoptés et remplacés depuis lors, telle qu</w:t>
      </w:r>
      <w:r w:rsidR="00F3296C" w:rsidRPr="0048528B">
        <w:rPr>
          <w:lang w:val="fr-FR"/>
        </w:rPr>
        <w:t>’</w:t>
      </w:r>
      <w:r w:rsidRPr="0048528B">
        <w:rPr>
          <w:lang w:val="fr-FR"/>
        </w:rPr>
        <w:t>elle figure à l</w:t>
      </w:r>
      <w:r w:rsidR="00F3296C" w:rsidRPr="0048528B">
        <w:rPr>
          <w:lang w:val="fr-FR"/>
        </w:rPr>
        <w:t>’</w:t>
      </w:r>
      <w:r w:rsidRPr="0048528B">
        <w:rPr>
          <w:lang w:val="fr-FR"/>
        </w:rPr>
        <w:t xml:space="preserve">annexe V du </w:t>
      </w:r>
      <w:r w:rsidR="00F3296C" w:rsidRPr="0048528B">
        <w:rPr>
          <w:lang w:val="fr-FR"/>
        </w:rPr>
        <w:t>document TC</w:t>
      </w:r>
      <w:r w:rsidRPr="0048528B">
        <w:rPr>
          <w:lang w:val="fr-FR"/>
        </w:rPr>
        <w:t>/49/2 Rev.2.</w:t>
      </w:r>
    </w:p>
    <w:p w:rsidR="00C97F0A" w:rsidRPr="0048528B" w:rsidRDefault="00C97F0A" w:rsidP="00C97F0A">
      <w:pPr>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est convenu qu</w:t>
      </w:r>
      <w:r w:rsidR="00F3296C" w:rsidRPr="0048528B">
        <w:rPr>
          <w:lang w:val="fr-FR"/>
        </w:rPr>
        <w:t>’</w:t>
      </w:r>
      <w:r w:rsidRPr="0048528B">
        <w:rPr>
          <w:lang w:val="fr-FR"/>
        </w:rPr>
        <w:t>un projet de page de couverture pour toutes les versions précédentes de principes directeurs d</w:t>
      </w:r>
      <w:r w:rsidR="00F3296C" w:rsidRPr="0048528B">
        <w:rPr>
          <w:lang w:val="fr-FR"/>
        </w:rPr>
        <w:t>’</w:t>
      </w:r>
      <w:r w:rsidRPr="0048528B">
        <w:rPr>
          <w:lang w:val="fr-FR"/>
        </w:rPr>
        <w:t xml:space="preserve">examen adoptés et un projet de clause limitative de responsabilité pour tous les </w:t>
      </w:r>
      <w:r w:rsidRPr="0048528B">
        <w:rPr>
          <w:lang w:val="fr-FR"/>
        </w:rPr>
        <w:lastRenderedPageBreak/>
        <w:t>documents de réunion de l</w:t>
      </w:r>
      <w:r w:rsidR="00F3296C" w:rsidRPr="0048528B">
        <w:rPr>
          <w:lang w:val="fr-FR"/>
        </w:rPr>
        <w:t>’</w:t>
      </w:r>
      <w:r w:rsidRPr="0048528B">
        <w:rPr>
          <w:lang w:val="fr-FR"/>
        </w:rPr>
        <w:t>UPOV seraient soumis au</w:t>
      </w:r>
      <w:r w:rsidR="00F3296C" w:rsidRPr="0048528B">
        <w:rPr>
          <w:lang w:val="fr-FR"/>
        </w:rPr>
        <w:t> TC</w:t>
      </w:r>
      <w:r w:rsidRPr="0048528B">
        <w:rPr>
          <w:lang w:val="fr-FR"/>
        </w:rPr>
        <w:t xml:space="preserve"> pour examen à sa cinquantième session, </w:t>
      </w:r>
      <w:r w:rsidR="00B61623" w:rsidRPr="0048528B">
        <w:rPr>
          <w:lang w:val="fr-FR"/>
        </w:rPr>
        <w:t xml:space="preserve">sous réserve des </w:t>
      </w:r>
      <w:r w:rsidRPr="0048528B">
        <w:rPr>
          <w:lang w:val="fr-FR"/>
        </w:rPr>
        <w:t xml:space="preserve">conclusions des délibérations </w:t>
      </w:r>
      <w:r w:rsidR="00B61623" w:rsidRPr="0048528B">
        <w:rPr>
          <w:lang w:val="fr-FR"/>
        </w:rPr>
        <w:t xml:space="preserve">du Comité consultatif </w:t>
      </w:r>
      <w:r w:rsidRPr="0048528B">
        <w:rPr>
          <w:lang w:val="fr-FR"/>
        </w:rPr>
        <w:t>sur ces questions.</w:t>
      </w:r>
    </w:p>
    <w:p w:rsidR="00C97F0A" w:rsidRPr="0048528B" w:rsidRDefault="00C97F0A" w:rsidP="00C97F0A">
      <w:pPr>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est convenu d</w:t>
      </w:r>
      <w:r w:rsidR="00F3296C" w:rsidRPr="0048528B">
        <w:rPr>
          <w:lang w:val="fr-FR"/>
        </w:rPr>
        <w:t>’</w:t>
      </w:r>
      <w:r w:rsidRPr="0048528B">
        <w:rPr>
          <w:lang w:val="fr-FR"/>
        </w:rPr>
        <w:t>ajouter à la liste des principes directeurs d</w:t>
      </w:r>
      <w:r w:rsidR="00F3296C" w:rsidRPr="0048528B">
        <w:rPr>
          <w:lang w:val="fr-FR"/>
        </w:rPr>
        <w:t>’</w:t>
      </w:r>
      <w:r w:rsidRPr="0048528B">
        <w:rPr>
          <w:lang w:val="fr-FR"/>
        </w:rPr>
        <w:t>examen sur le site</w:t>
      </w:r>
      <w:r w:rsidR="00E3136C" w:rsidRPr="0048528B">
        <w:rPr>
          <w:lang w:val="fr-FR"/>
        </w:rPr>
        <w:t> </w:t>
      </w:r>
      <w:r w:rsidRPr="0048528B">
        <w:rPr>
          <w:lang w:val="fr-FR"/>
        </w:rPr>
        <w:t>Web de l</w:t>
      </w:r>
      <w:r w:rsidR="00F3296C" w:rsidRPr="0048528B">
        <w:rPr>
          <w:lang w:val="fr-FR"/>
        </w:rPr>
        <w:t>’</w:t>
      </w:r>
      <w:r w:rsidRPr="0048528B">
        <w:rPr>
          <w:lang w:val="fr-FR"/>
        </w:rPr>
        <w:t>UPOV une colonne pour la date d</w:t>
      </w:r>
      <w:r w:rsidR="00F3296C" w:rsidRPr="0048528B">
        <w:rPr>
          <w:lang w:val="fr-FR"/>
        </w:rPr>
        <w:t>’</w:t>
      </w:r>
      <w:r w:rsidRPr="0048528B">
        <w:rPr>
          <w:lang w:val="fr-FR"/>
        </w:rPr>
        <w:t>adoption de ces principes (voir les paragraphes</w:t>
      </w:r>
      <w:r w:rsidR="00E3136C" w:rsidRPr="0048528B">
        <w:rPr>
          <w:lang w:val="fr-FR"/>
        </w:rPr>
        <w:t> </w:t>
      </w:r>
      <w:r w:rsidRPr="0048528B">
        <w:rPr>
          <w:lang w:val="fr-FR"/>
        </w:rPr>
        <w:t xml:space="preserve">148 à 157 du </w:t>
      </w:r>
      <w:r w:rsidR="00F3296C" w:rsidRPr="0048528B">
        <w:rPr>
          <w:lang w:val="fr-FR"/>
        </w:rPr>
        <w:t>document TC</w:t>
      </w:r>
      <w:r w:rsidRPr="0048528B">
        <w:rPr>
          <w:lang w:val="fr-FR"/>
        </w:rPr>
        <w:t xml:space="preserve">/49/41 </w:t>
      </w:r>
      <w:r w:rsidR="00E3136C" w:rsidRPr="0048528B">
        <w:rPr>
          <w:lang w:val="fr-FR"/>
        </w:rPr>
        <w:t>“</w:t>
      </w:r>
      <w:r w:rsidRPr="0048528B">
        <w:rPr>
          <w:lang w:val="fr-FR"/>
        </w:rPr>
        <w:t>Compte rendu des conclusions</w:t>
      </w:r>
      <w:r w:rsidR="00E3136C" w:rsidRPr="0048528B">
        <w:rPr>
          <w:lang w:val="fr-FR"/>
        </w:rPr>
        <w:t>”</w:t>
      </w:r>
      <w:r w:rsidRPr="0048528B">
        <w:rPr>
          <w:lang w:val="fr-FR"/>
        </w:rPr>
        <w:t>).</w:t>
      </w:r>
    </w:p>
    <w:p w:rsidR="00C97F0A" w:rsidRPr="0048528B" w:rsidRDefault="00C97F0A" w:rsidP="00C97F0A">
      <w:pPr>
        <w:rPr>
          <w:lang w:val="fr-FR"/>
        </w:rPr>
      </w:pPr>
    </w:p>
    <w:p w:rsidR="00C97F0A" w:rsidRPr="0048528B" w:rsidRDefault="00C97F0A" w:rsidP="00C97F0A">
      <w:pPr>
        <w:rPr>
          <w:lang w:val="fr-FR"/>
        </w:rPr>
      </w:pPr>
    </w:p>
    <w:p w:rsidR="00F3296C" w:rsidRPr="0048528B" w:rsidRDefault="00C97F0A" w:rsidP="00C97F0A">
      <w:pPr>
        <w:pStyle w:val="Heading2"/>
        <w:rPr>
          <w:snapToGrid w:val="0"/>
          <w:lang w:val="fr-FR"/>
        </w:rPr>
      </w:pPr>
      <w:bookmarkStart w:id="56" w:name="_Toc367888575"/>
      <w:r w:rsidRPr="0048528B">
        <w:rPr>
          <w:snapToGrid w:val="0"/>
          <w:lang w:val="fr-FR"/>
        </w:rPr>
        <w:t>Liste des genres et espèces pour lesquels les services ont une expérience pratique en matière d</w:t>
      </w:r>
      <w:r w:rsidR="00F3296C" w:rsidRPr="0048528B">
        <w:rPr>
          <w:snapToGrid w:val="0"/>
          <w:lang w:val="fr-FR"/>
        </w:rPr>
        <w:t>’</w:t>
      </w:r>
      <w:r w:rsidRPr="0048528B">
        <w:rPr>
          <w:snapToGrid w:val="0"/>
          <w:lang w:val="fr-FR"/>
        </w:rPr>
        <w:t>examen de la distinction, de l</w:t>
      </w:r>
      <w:r w:rsidR="00F3296C" w:rsidRPr="0048528B">
        <w:rPr>
          <w:snapToGrid w:val="0"/>
          <w:lang w:val="fr-FR"/>
        </w:rPr>
        <w:t>’</w:t>
      </w:r>
      <w:r w:rsidRPr="0048528B">
        <w:rPr>
          <w:snapToGrid w:val="0"/>
          <w:lang w:val="fr-FR"/>
        </w:rPr>
        <w:t>homogénéité et de la stabilité</w:t>
      </w:r>
      <w:bookmarkEnd w:id="56"/>
    </w:p>
    <w:p w:rsidR="00C97F0A" w:rsidRPr="0048528B" w:rsidRDefault="00C97F0A" w:rsidP="00C97F0A">
      <w:pPr>
        <w:keepNext/>
        <w:rPr>
          <w:rFonts w:cs="Arial"/>
          <w:snapToGrid w:val="0"/>
          <w:u w:val="single"/>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pris note des informations fournies dans le </w:t>
      </w:r>
      <w:r w:rsidR="00F3296C" w:rsidRPr="0048528B">
        <w:rPr>
          <w:lang w:val="fr-FR"/>
        </w:rPr>
        <w:t>document TC</w:t>
      </w:r>
      <w:r w:rsidRPr="0048528B">
        <w:rPr>
          <w:lang w:val="fr-FR"/>
        </w:rPr>
        <w:t>/49/4 et a relevé que le nombre de genres et espèces pour lesquels les services avaient une expérience pratique était de 2589 en 2013.</w:t>
      </w:r>
      <w:r w:rsidR="00B61623" w:rsidRPr="0048528B">
        <w:rPr>
          <w:rFonts w:cs="Arial"/>
          <w:lang w:val="fr-FR"/>
        </w:rPr>
        <w:t xml:space="preserve">  Ceci </w:t>
      </w:r>
      <w:r w:rsidRPr="0048528B">
        <w:rPr>
          <w:rFonts w:cs="Arial"/>
          <w:lang w:val="fr-FR"/>
        </w:rPr>
        <w:t>étant, le Bureau de l</w:t>
      </w:r>
      <w:r w:rsidR="00F3296C" w:rsidRPr="0048528B">
        <w:rPr>
          <w:rFonts w:cs="Arial"/>
          <w:lang w:val="fr-FR"/>
        </w:rPr>
        <w:t>’</w:t>
      </w:r>
      <w:r w:rsidRPr="0048528B">
        <w:rPr>
          <w:rFonts w:cs="Arial"/>
          <w:lang w:val="fr-FR"/>
        </w:rPr>
        <w:t>Union étudiait la possibilité de collecter des informations additionnelles qui pourraient aboutir à une révision dans un avenir proche.</w:t>
      </w:r>
    </w:p>
    <w:p w:rsidR="00C97F0A" w:rsidRPr="0048528B" w:rsidRDefault="00C97F0A" w:rsidP="00C97F0A">
      <w:pPr>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est convenu d</w:t>
      </w:r>
      <w:r w:rsidR="00F3296C" w:rsidRPr="0048528B">
        <w:rPr>
          <w:lang w:val="fr-FR"/>
        </w:rPr>
        <w:t>’</w:t>
      </w:r>
      <w:r w:rsidRPr="0048528B">
        <w:rPr>
          <w:lang w:val="fr-FR"/>
        </w:rPr>
        <w:t xml:space="preserve">actualiser le </w:t>
      </w:r>
      <w:r w:rsidR="00F3296C" w:rsidRPr="0048528B">
        <w:rPr>
          <w:lang w:val="fr-FR"/>
        </w:rPr>
        <w:t>document TC</w:t>
      </w:r>
      <w:r w:rsidRPr="0048528B">
        <w:rPr>
          <w:lang w:val="fr-FR"/>
        </w:rPr>
        <w:t>/49/4 en vue de sa cinquantième session.  Il est convenu que l</w:t>
      </w:r>
      <w:r w:rsidR="00F3296C" w:rsidRPr="0048528B">
        <w:rPr>
          <w:lang w:val="fr-FR"/>
        </w:rPr>
        <w:t>’</w:t>
      </w:r>
      <w:r w:rsidRPr="0048528B">
        <w:rPr>
          <w:lang w:val="fr-FR"/>
        </w:rPr>
        <w:t>objet et la valeur de ce document devraient être expliqués dans de futures versions (voir les paragraphes</w:t>
      </w:r>
      <w:r w:rsidR="00E3136C" w:rsidRPr="0048528B">
        <w:rPr>
          <w:lang w:val="fr-FR"/>
        </w:rPr>
        <w:t> </w:t>
      </w:r>
      <w:r w:rsidRPr="0048528B">
        <w:rPr>
          <w:lang w:val="fr-FR"/>
        </w:rPr>
        <w:t xml:space="preserve">158 </w:t>
      </w:r>
      <w:r w:rsidR="00B61623" w:rsidRPr="0048528B">
        <w:rPr>
          <w:lang w:val="fr-FR"/>
        </w:rPr>
        <w:t>et </w:t>
      </w:r>
      <w:r w:rsidRPr="0048528B">
        <w:rPr>
          <w:lang w:val="fr-FR"/>
        </w:rPr>
        <w:t xml:space="preserve">159 du </w:t>
      </w:r>
      <w:r w:rsidR="00F3296C" w:rsidRPr="0048528B">
        <w:rPr>
          <w:lang w:val="fr-FR"/>
        </w:rPr>
        <w:t>document TC</w:t>
      </w:r>
      <w:r w:rsidRPr="0048528B">
        <w:rPr>
          <w:lang w:val="fr-FR"/>
        </w:rPr>
        <w:t xml:space="preserve">/49/41 </w:t>
      </w:r>
      <w:r w:rsidR="00E3136C" w:rsidRPr="0048528B">
        <w:rPr>
          <w:lang w:val="fr-FR"/>
        </w:rPr>
        <w:t>“</w:t>
      </w:r>
      <w:r w:rsidRPr="0048528B">
        <w:rPr>
          <w:lang w:val="fr-FR"/>
        </w:rPr>
        <w:t>Compte rendu des conclusions</w:t>
      </w:r>
      <w:r w:rsidR="00E3136C" w:rsidRPr="0048528B">
        <w:rPr>
          <w:lang w:val="fr-FR"/>
        </w:rPr>
        <w:t>”</w:t>
      </w:r>
      <w:r w:rsidRPr="0048528B">
        <w:rPr>
          <w:lang w:val="fr-FR"/>
        </w:rPr>
        <w:t>).</w:t>
      </w:r>
    </w:p>
    <w:p w:rsidR="00C97F0A" w:rsidRPr="0048528B" w:rsidRDefault="00C97F0A" w:rsidP="00C97F0A">
      <w:pPr>
        <w:rPr>
          <w:lang w:val="fr-FR"/>
        </w:rPr>
      </w:pPr>
    </w:p>
    <w:p w:rsidR="00C97F0A" w:rsidRPr="0048528B" w:rsidRDefault="00C97F0A" w:rsidP="00C97F0A">
      <w:pPr>
        <w:rPr>
          <w:snapToGrid w:val="0"/>
          <w:u w:val="single"/>
          <w:lang w:val="fr-FR"/>
        </w:rPr>
      </w:pPr>
    </w:p>
    <w:p w:rsidR="00C97F0A" w:rsidRPr="0048528B" w:rsidRDefault="00C97F0A" w:rsidP="00C97F0A">
      <w:pPr>
        <w:pStyle w:val="Heading2"/>
        <w:rPr>
          <w:snapToGrid w:val="0"/>
          <w:lang w:val="fr-FR"/>
        </w:rPr>
      </w:pPr>
      <w:bookmarkStart w:id="57" w:name="_Toc367888576"/>
      <w:r w:rsidRPr="0048528B">
        <w:rPr>
          <w:snapToGrid w:val="0"/>
          <w:lang w:val="fr-FR"/>
        </w:rPr>
        <w:t>Programme de la cinquantième session</w:t>
      </w:r>
      <w:bookmarkEnd w:id="57"/>
    </w:p>
    <w:p w:rsidR="00C97F0A" w:rsidRPr="0048528B" w:rsidRDefault="00C97F0A" w:rsidP="00C97F0A">
      <w:pPr>
        <w:keepNext/>
        <w:rPr>
          <w:snapToGrid w:val="0"/>
          <w:u w:val="single"/>
          <w:lang w:val="fr-FR"/>
        </w:rPr>
      </w:pPr>
    </w:p>
    <w:p w:rsidR="00C97F0A" w:rsidRPr="0048528B" w:rsidRDefault="00C97F0A" w:rsidP="00C97F0A">
      <w:pPr>
        <w:rPr>
          <w:lang w:val="fr-FR"/>
        </w:rPr>
      </w:pPr>
      <w:r w:rsidRPr="0048528B">
        <w:rPr>
          <w:snapToGrid w:val="0"/>
          <w:lang w:val="fr-FR"/>
        </w:rPr>
        <w:fldChar w:fldCharType="begin"/>
      </w:r>
      <w:r w:rsidRPr="0048528B">
        <w:rPr>
          <w:snapToGrid w:val="0"/>
          <w:lang w:val="fr-FR"/>
        </w:rPr>
        <w:instrText xml:space="preserve"> AUTONUM  </w:instrText>
      </w:r>
      <w:r w:rsidRPr="0048528B">
        <w:rPr>
          <w:snapToGrid w:val="0"/>
          <w:lang w:val="fr-FR"/>
        </w:rPr>
        <w:fldChar w:fldCharType="end"/>
      </w:r>
      <w:r w:rsidRPr="0048528B">
        <w:rPr>
          <w:snapToGrid w:val="0"/>
          <w:lang w:val="fr-FR"/>
        </w:rPr>
        <w:tab/>
      </w:r>
      <w:r w:rsidRPr="0048528B">
        <w:rPr>
          <w:lang w:val="fr-FR"/>
        </w:rPr>
        <w:t>Le projet d</w:t>
      </w:r>
      <w:r w:rsidR="00F3296C" w:rsidRPr="0048528B">
        <w:rPr>
          <w:lang w:val="fr-FR"/>
        </w:rPr>
        <w:t>’</w:t>
      </w:r>
      <w:r w:rsidRPr="0048528B">
        <w:rPr>
          <w:lang w:val="fr-FR"/>
        </w:rPr>
        <w:t>ordre du jour ci</w:t>
      </w:r>
      <w:r w:rsidR="003F00B6" w:rsidRPr="0048528B">
        <w:rPr>
          <w:lang w:val="fr-FR"/>
        </w:rPr>
        <w:noBreakHyphen/>
      </w:r>
      <w:r w:rsidRPr="0048528B">
        <w:rPr>
          <w:lang w:val="fr-FR"/>
        </w:rPr>
        <w:t>après a été approuvé pour la cinquantième session du</w:t>
      </w:r>
      <w:r w:rsidR="00F3296C" w:rsidRPr="0048528B">
        <w:rPr>
          <w:lang w:val="fr-FR"/>
        </w:rPr>
        <w:t> TC</w:t>
      </w:r>
      <w:r w:rsidRPr="0048528B">
        <w:rPr>
          <w:lang w:val="fr-FR"/>
        </w:rPr>
        <w:t>, qui se tiendra à Genève en 2014 :</w:t>
      </w:r>
    </w:p>
    <w:p w:rsidR="00C97F0A" w:rsidRPr="0048528B" w:rsidRDefault="00C97F0A" w:rsidP="00C97F0A">
      <w:pPr>
        <w:rPr>
          <w:snapToGrid w:val="0"/>
          <w:lang w:val="fr-FR"/>
        </w:rPr>
      </w:pPr>
    </w:p>
    <w:p w:rsidR="00C97F0A" w:rsidRPr="0048528B" w:rsidRDefault="00C97F0A" w:rsidP="00A26EF1">
      <w:pPr>
        <w:spacing w:after="120"/>
        <w:ind w:left="1134" w:hanging="567"/>
        <w:rPr>
          <w:rFonts w:cs="Arial"/>
          <w:snapToGrid w:val="0"/>
          <w:lang w:val="fr-FR"/>
        </w:rPr>
      </w:pPr>
      <w:r w:rsidRPr="0048528B">
        <w:rPr>
          <w:rFonts w:cs="Arial"/>
          <w:snapToGrid w:val="0"/>
          <w:lang w:val="fr-FR"/>
        </w:rPr>
        <w:t>1.</w:t>
      </w:r>
      <w:r w:rsidRPr="0048528B">
        <w:rPr>
          <w:rFonts w:cs="Arial"/>
          <w:snapToGrid w:val="0"/>
          <w:lang w:val="fr-FR"/>
        </w:rPr>
        <w:tab/>
        <w:t>Ouverture de la session</w:t>
      </w:r>
    </w:p>
    <w:p w:rsidR="00C97F0A" w:rsidRPr="0048528B" w:rsidRDefault="00C97F0A" w:rsidP="00A26EF1">
      <w:pPr>
        <w:spacing w:before="60" w:after="120"/>
        <w:ind w:left="1134" w:hanging="567"/>
        <w:rPr>
          <w:rFonts w:cs="Arial"/>
          <w:snapToGrid w:val="0"/>
          <w:lang w:val="fr-FR"/>
        </w:rPr>
      </w:pPr>
      <w:r w:rsidRPr="0048528B">
        <w:rPr>
          <w:rFonts w:cs="Arial"/>
          <w:snapToGrid w:val="0"/>
          <w:lang w:val="fr-FR"/>
        </w:rPr>
        <w:t>2.</w:t>
      </w:r>
      <w:r w:rsidRPr="0048528B">
        <w:rPr>
          <w:rFonts w:cs="Arial"/>
          <w:snapToGrid w:val="0"/>
          <w:lang w:val="fr-FR"/>
        </w:rPr>
        <w:tab/>
        <w:t>Adoption de l</w:t>
      </w:r>
      <w:r w:rsidR="00F3296C" w:rsidRPr="0048528B">
        <w:rPr>
          <w:rFonts w:cs="Arial"/>
          <w:snapToGrid w:val="0"/>
          <w:lang w:val="fr-FR"/>
        </w:rPr>
        <w:t>’</w:t>
      </w:r>
      <w:r w:rsidRPr="0048528B">
        <w:rPr>
          <w:rFonts w:cs="Arial"/>
          <w:snapToGrid w:val="0"/>
          <w:lang w:val="fr-FR"/>
        </w:rPr>
        <w:t>ordre du jour</w:t>
      </w:r>
    </w:p>
    <w:p w:rsidR="00C97F0A" w:rsidRPr="0048528B" w:rsidRDefault="00C97F0A" w:rsidP="00C97F0A">
      <w:pPr>
        <w:spacing w:before="60" w:after="60"/>
        <w:ind w:left="1134" w:hanging="567"/>
        <w:rPr>
          <w:rFonts w:cs="Arial"/>
          <w:snapToGrid w:val="0"/>
          <w:lang w:val="fr-FR"/>
        </w:rPr>
      </w:pPr>
      <w:r w:rsidRPr="0048528B">
        <w:rPr>
          <w:rFonts w:cs="Arial"/>
          <w:snapToGrid w:val="0"/>
          <w:lang w:val="fr-FR"/>
        </w:rPr>
        <w:t>3.</w:t>
      </w:r>
      <w:r w:rsidRPr="0048528B">
        <w:rPr>
          <w:rFonts w:cs="Arial"/>
          <w:snapToGrid w:val="0"/>
          <w:lang w:val="fr-FR"/>
        </w:rPr>
        <w:tab/>
        <w:t>Débat sur :</w:t>
      </w:r>
    </w:p>
    <w:p w:rsidR="00C97F0A" w:rsidRPr="0048528B" w:rsidRDefault="00C97F0A" w:rsidP="00C97F0A">
      <w:pPr>
        <w:spacing w:before="60" w:after="60"/>
        <w:ind w:left="1701" w:hanging="567"/>
        <w:rPr>
          <w:lang w:val="fr-FR"/>
        </w:rPr>
      </w:pPr>
      <w:r w:rsidRPr="0048528B">
        <w:rPr>
          <w:lang w:val="fr-FR"/>
        </w:rPr>
        <w:t>a)</w:t>
      </w:r>
      <w:r w:rsidRPr="0048528B">
        <w:rPr>
          <w:lang w:val="fr-FR"/>
        </w:rPr>
        <w:tab/>
        <w:t>l</w:t>
      </w:r>
      <w:r w:rsidR="00F3296C" w:rsidRPr="0048528B">
        <w:rPr>
          <w:lang w:val="fr-FR"/>
        </w:rPr>
        <w:t>’</w:t>
      </w:r>
      <w:r w:rsidRPr="0048528B">
        <w:rPr>
          <w:lang w:val="fr-FR"/>
        </w:rPr>
        <w:t>amélioration de l</w:t>
      </w:r>
      <w:r w:rsidR="00F3296C" w:rsidRPr="0048528B">
        <w:rPr>
          <w:lang w:val="fr-FR"/>
        </w:rPr>
        <w:t>’</w:t>
      </w:r>
      <w:r w:rsidRPr="0048528B">
        <w:rPr>
          <w:lang w:val="fr-FR"/>
        </w:rPr>
        <w:t>efficacité du Comité technique, des groupes de travail techniques et des ateliers préparatoires;</w:t>
      </w:r>
    </w:p>
    <w:p w:rsidR="00C97F0A" w:rsidRPr="0048528B" w:rsidRDefault="00C97F0A" w:rsidP="00C97F0A">
      <w:pPr>
        <w:spacing w:before="60" w:after="60"/>
        <w:ind w:left="1701" w:hanging="567"/>
        <w:rPr>
          <w:lang w:val="fr-FR"/>
        </w:rPr>
      </w:pPr>
      <w:r w:rsidRPr="0048528B">
        <w:rPr>
          <w:lang w:val="fr-FR"/>
        </w:rPr>
        <w:t>b)</w:t>
      </w:r>
      <w:r w:rsidRPr="0048528B">
        <w:rPr>
          <w:lang w:val="fr-FR"/>
        </w:rPr>
        <w:tab/>
        <w:t>les possibilités de formation à l</w:t>
      </w:r>
      <w:r w:rsidR="00F3296C" w:rsidRPr="0048528B">
        <w:rPr>
          <w:lang w:val="fr-FR"/>
        </w:rPr>
        <w:t>’</w:t>
      </w:r>
      <w:r w:rsidRPr="0048528B">
        <w:rPr>
          <w:lang w:val="fr-FR"/>
        </w:rPr>
        <w:t>examen DHS;</w:t>
      </w:r>
    </w:p>
    <w:p w:rsidR="00C97F0A" w:rsidRPr="0048528B" w:rsidRDefault="00C97F0A" w:rsidP="00A26EF1">
      <w:pPr>
        <w:spacing w:before="60" w:after="120"/>
        <w:ind w:left="1701" w:hanging="567"/>
        <w:rPr>
          <w:lang w:val="fr-FR"/>
        </w:rPr>
      </w:pPr>
      <w:r w:rsidRPr="0048528B">
        <w:rPr>
          <w:lang w:val="fr-FR"/>
        </w:rPr>
        <w:t>c)</w:t>
      </w:r>
      <w:r w:rsidRPr="0048528B">
        <w:rPr>
          <w:lang w:val="fr-FR"/>
        </w:rPr>
        <w:tab/>
        <w:t>la coopération avec les obtenteurs en matière d</w:t>
      </w:r>
      <w:r w:rsidR="00F3296C" w:rsidRPr="0048528B">
        <w:rPr>
          <w:lang w:val="fr-FR"/>
        </w:rPr>
        <w:t>’</w:t>
      </w:r>
      <w:r w:rsidRPr="0048528B">
        <w:rPr>
          <w:lang w:val="fr-FR"/>
        </w:rPr>
        <w:t>examen DHS.</w:t>
      </w:r>
    </w:p>
    <w:p w:rsidR="00C97F0A" w:rsidRPr="0048528B" w:rsidRDefault="00C97F0A" w:rsidP="00A26EF1">
      <w:pPr>
        <w:spacing w:before="60" w:after="120"/>
        <w:ind w:left="1134" w:hanging="567"/>
        <w:rPr>
          <w:rFonts w:cs="Arial"/>
          <w:snapToGrid w:val="0"/>
          <w:lang w:val="fr-FR"/>
        </w:rPr>
      </w:pPr>
      <w:r w:rsidRPr="0048528B">
        <w:rPr>
          <w:rFonts w:cs="Arial"/>
          <w:snapToGrid w:val="0"/>
          <w:lang w:val="fr-FR"/>
        </w:rPr>
        <w:t>4.</w:t>
      </w:r>
      <w:r w:rsidRPr="0048528B">
        <w:rPr>
          <w:rFonts w:cs="Arial"/>
          <w:snapToGrid w:val="0"/>
          <w:lang w:val="fr-FR"/>
        </w:rPr>
        <w:tab/>
      </w:r>
      <w:r w:rsidRPr="0048528B">
        <w:rPr>
          <w:lang w:val="fr-FR"/>
        </w:rPr>
        <w:t>Rapport sur les faits nouveaux intervenus au sein de l</w:t>
      </w:r>
      <w:r w:rsidR="00F3296C" w:rsidRPr="0048528B">
        <w:rPr>
          <w:lang w:val="fr-FR"/>
        </w:rPr>
        <w:t>’</w:t>
      </w:r>
      <w:r w:rsidRPr="0048528B">
        <w:rPr>
          <w:lang w:val="fr-FR"/>
        </w:rPr>
        <w:t>UPOV, y</w:t>
      </w:r>
      <w:r w:rsidR="00E3136C" w:rsidRPr="0048528B">
        <w:rPr>
          <w:lang w:val="fr-FR"/>
        </w:rPr>
        <w:t> </w:t>
      </w:r>
      <w:r w:rsidRPr="0048528B">
        <w:rPr>
          <w:lang w:val="fr-FR"/>
        </w:rPr>
        <w:t>compris certaines questions examinées lors des dernières sessions du Comité administratif et juridique, du Comité consultatif et du Conseil (rapport verbal du secrétaire général adjoint)</w:t>
      </w:r>
    </w:p>
    <w:p w:rsidR="00C97F0A" w:rsidRPr="0048528B" w:rsidRDefault="00C97F0A" w:rsidP="00A26EF1">
      <w:pPr>
        <w:pStyle w:val="Default"/>
        <w:spacing w:after="120"/>
        <w:ind w:left="1134" w:hanging="567"/>
        <w:jc w:val="both"/>
        <w:rPr>
          <w:sz w:val="20"/>
          <w:szCs w:val="20"/>
          <w:lang w:val="fr-FR"/>
        </w:rPr>
      </w:pPr>
      <w:r w:rsidRPr="0048528B">
        <w:rPr>
          <w:snapToGrid w:val="0"/>
          <w:sz w:val="20"/>
          <w:szCs w:val="20"/>
          <w:lang w:val="fr-FR"/>
        </w:rPr>
        <w:t>5.</w:t>
      </w:r>
      <w:r w:rsidRPr="0048528B">
        <w:rPr>
          <w:snapToGrid w:val="0"/>
          <w:lang w:val="fr-FR"/>
        </w:rPr>
        <w:tab/>
      </w:r>
      <w:r w:rsidRPr="0048528B">
        <w:rPr>
          <w:rFonts w:eastAsia="Times New Roman"/>
          <w:sz w:val="20"/>
          <w:szCs w:val="20"/>
          <w:lang w:val="fr-FR"/>
        </w:rPr>
        <w:t>Rapports sur l</w:t>
      </w:r>
      <w:r w:rsidR="00F3296C" w:rsidRPr="0048528B">
        <w:rPr>
          <w:rFonts w:eastAsia="Times New Roman"/>
          <w:sz w:val="20"/>
          <w:szCs w:val="20"/>
          <w:lang w:val="fr-FR"/>
        </w:rPr>
        <w:t>’</w:t>
      </w:r>
      <w:r w:rsidRPr="0048528B">
        <w:rPr>
          <w:rFonts w:eastAsia="Times New Roman"/>
          <w:sz w:val="20"/>
          <w:szCs w:val="20"/>
          <w:lang w:val="fr-FR"/>
        </w:rPr>
        <w:t>état d</w:t>
      </w:r>
      <w:r w:rsidR="00F3296C" w:rsidRPr="0048528B">
        <w:rPr>
          <w:rFonts w:eastAsia="Times New Roman"/>
          <w:sz w:val="20"/>
          <w:szCs w:val="20"/>
          <w:lang w:val="fr-FR"/>
        </w:rPr>
        <w:t>’</w:t>
      </w:r>
      <w:r w:rsidRPr="0048528B">
        <w:rPr>
          <w:rFonts w:eastAsia="Times New Roman"/>
          <w:sz w:val="20"/>
          <w:szCs w:val="20"/>
          <w:lang w:val="fr-FR"/>
        </w:rPr>
        <w:t>avancement des travaux des groupes de travail techniques, y</w:t>
      </w:r>
      <w:r w:rsidR="00E3136C" w:rsidRPr="0048528B">
        <w:rPr>
          <w:rFonts w:eastAsia="Times New Roman"/>
          <w:sz w:val="20"/>
          <w:szCs w:val="20"/>
          <w:lang w:val="fr-FR"/>
        </w:rPr>
        <w:t> </w:t>
      </w:r>
      <w:r w:rsidRPr="0048528B">
        <w:rPr>
          <w:rFonts w:eastAsia="Times New Roman"/>
          <w:sz w:val="20"/>
          <w:szCs w:val="20"/>
          <w:lang w:val="fr-FR"/>
        </w:rPr>
        <w:t xml:space="preserve">compris le Groupe de travail sur les techniques biochimiques et moléculaires, notamment les profils </w:t>
      </w:r>
      <w:r w:rsidRPr="0048528B">
        <w:rPr>
          <w:sz w:val="20"/>
          <w:szCs w:val="20"/>
          <w:lang w:val="fr-FR"/>
        </w:rPr>
        <w:t>d</w:t>
      </w:r>
      <w:r w:rsidR="00F3296C" w:rsidRPr="0048528B">
        <w:rPr>
          <w:sz w:val="20"/>
          <w:szCs w:val="20"/>
          <w:lang w:val="fr-FR"/>
        </w:rPr>
        <w:t>’</w:t>
      </w:r>
      <w:r w:rsidRPr="0048528B">
        <w:rPr>
          <w:sz w:val="20"/>
          <w:szCs w:val="20"/>
          <w:lang w:val="fr-FR"/>
        </w:rPr>
        <w:t>ADN (BMT), et les sous</w:t>
      </w:r>
      <w:r w:rsidR="003F00B6" w:rsidRPr="0048528B">
        <w:rPr>
          <w:sz w:val="20"/>
          <w:szCs w:val="20"/>
          <w:lang w:val="fr-FR"/>
        </w:rPr>
        <w:noBreakHyphen/>
      </w:r>
      <w:r w:rsidRPr="0048528B">
        <w:rPr>
          <w:sz w:val="20"/>
          <w:szCs w:val="20"/>
          <w:lang w:val="fr-FR"/>
        </w:rPr>
        <w:t>groupes ad</w:t>
      </w:r>
      <w:r w:rsidR="00E3136C" w:rsidRPr="0048528B">
        <w:rPr>
          <w:sz w:val="20"/>
          <w:szCs w:val="20"/>
          <w:lang w:val="fr-FR"/>
        </w:rPr>
        <w:t> </w:t>
      </w:r>
      <w:r w:rsidRPr="0048528B">
        <w:rPr>
          <w:sz w:val="20"/>
          <w:szCs w:val="20"/>
          <w:lang w:val="fr-FR"/>
        </w:rPr>
        <w:t>hoc sur l</w:t>
      </w:r>
      <w:r w:rsidR="00F3296C" w:rsidRPr="0048528B">
        <w:rPr>
          <w:sz w:val="20"/>
          <w:szCs w:val="20"/>
          <w:lang w:val="fr-FR"/>
        </w:rPr>
        <w:t>’</w:t>
      </w:r>
      <w:r w:rsidRPr="0048528B">
        <w:rPr>
          <w:sz w:val="20"/>
          <w:szCs w:val="20"/>
          <w:lang w:val="fr-FR"/>
        </w:rPr>
        <w:t>application des techniques moléculaires aux espèces cultivées</w:t>
      </w:r>
    </w:p>
    <w:p w:rsidR="00C97F0A" w:rsidRPr="0048528B" w:rsidRDefault="00C97F0A" w:rsidP="00A26EF1">
      <w:pPr>
        <w:spacing w:before="60" w:after="120"/>
        <w:ind w:left="1134" w:hanging="567"/>
        <w:rPr>
          <w:rFonts w:cs="Arial"/>
          <w:snapToGrid w:val="0"/>
          <w:lang w:val="fr-FR"/>
        </w:rPr>
      </w:pPr>
      <w:r w:rsidRPr="0048528B">
        <w:rPr>
          <w:rFonts w:cs="Arial"/>
          <w:snapToGrid w:val="0"/>
          <w:lang w:val="fr-FR"/>
        </w:rPr>
        <w:t>6.</w:t>
      </w:r>
      <w:r w:rsidRPr="0048528B">
        <w:rPr>
          <w:rFonts w:cs="Arial"/>
          <w:snapToGrid w:val="0"/>
          <w:lang w:val="fr-FR"/>
        </w:rPr>
        <w:tab/>
      </w:r>
      <w:r w:rsidRPr="0048528B">
        <w:rPr>
          <w:lang w:val="fr-FR"/>
        </w:rPr>
        <w:t>Questions découlant des travaux des groupes de travail techniques</w:t>
      </w:r>
    </w:p>
    <w:p w:rsidR="00C97F0A" w:rsidRPr="0048528B" w:rsidRDefault="00C97F0A" w:rsidP="00A26EF1">
      <w:pPr>
        <w:spacing w:before="60" w:after="120"/>
        <w:ind w:left="1134" w:hanging="567"/>
        <w:rPr>
          <w:rFonts w:cs="Arial"/>
          <w:snapToGrid w:val="0"/>
          <w:lang w:val="fr-FR"/>
        </w:rPr>
      </w:pPr>
      <w:r w:rsidRPr="0048528B">
        <w:rPr>
          <w:rFonts w:cs="Arial"/>
          <w:snapToGrid w:val="0"/>
          <w:lang w:val="fr-FR"/>
        </w:rPr>
        <w:t>7.</w:t>
      </w:r>
      <w:r w:rsidRPr="0048528B">
        <w:rPr>
          <w:rFonts w:cs="Arial"/>
          <w:snapToGrid w:val="0"/>
          <w:lang w:val="fr-FR"/>
        </w:rPr>
        <w:tab/>
      </w:r>
      <w:r w:rsidRPr="0048528B">
        <w:rPr>
          <w:lang w:val="fr-FR"/>
        </w:rPr>
        <w:t>Documents TGP</w:t>
      </w:r>
    </w:p>
    <w:p w:rsidR="00C97F0A" w:rsidRPr="0048528B" w:rsidRDefault="00C97F0A" w:rsidP="00A26EF1">
      <w:pPr>
        <w:spacing w:before="60" w:after="120"/>
        <w:ind w:left="1134" w:hanging="567"/>
        <w:rPr>
          <w:rFonts w:cs="Arial"/>
          <w:lang w:val="fr-FR"/>
        </w:rPr>
      </w:pPr>
      <w:r w:rsidRPr="0048528B">
        <w:rPr>
          <w:rFonts w:cs="Arial"/>
          <w:snapToGrid w:val="0"/>
          <w:lang w:val="fr-FR"/>
        </w:rPr>
        <w:t>8.</w:t>
      </w:r>
      <w:r w:rsidRPr="0048528B">
        <w:rPr>
          <w:rFonts w:cs="Arial"/>
          <w:snapToGrid w:val="0"/>
          <w:lang w:val="fr-FR"/>
        </w:rPr>
        <w:tab/>
      </w:r>
      <w:r w:rsidRPr="0048528B">
        <w:rPr>
          <w:lang w:val="fr-FR"/>
        </w:rPr>
        <w:t>Techniques moléculaires</w:t>
      </w:r>
    </w:p>
    <w:p w:rsidR="00C97F0A" w:rsidRPr="0048528B" w:rsidRDefault="00C97F0A" w:rsidP="00A26EF1">
      <w:pPr>
        <w:spacing w:before="60" w:after="120"/>
        <w:ind w:left="1134" w:hanging="567"/>
        <w:rPr>
          <w:rFonts w:cs="Arial"/>
          <w:snapToGrid w:val="0"/>
          <w:lang w:val="fr-FR"/>
        </w:rPr>
      </w:pPr>
      <w:r w:rsidRPr="0048528B">
        <w:rPr>
          <w:rFonts w:cs="Arial"/>
          <w:snapToGrid w:val="0"/>
          <w:lang w:val="fr-FR"/>
        </w:rPr>
        <w:t>9.</w:t>
      </w:r>
      <w:r w:rsidRPr="0048528B">
        <w:rPr>
          <w:rFonts w:cs="Arial"/>
          <w:snapToGrid w:val="0"/>
          <w:lang w:val="fr-FR"/>
        </w:rPr>
        <w:tab/>
      </w:r>
      <w:r w:rsidRPr="0048528B">
        <w:rPr>
          <w:lang w:val="fr-FR"/>
        </w:rPr>
        <w:t>Dénominations variétales</w:t>
      </w:r>
    </w:p>
    <w:p w:rsidR="00C97F0A" w:rsidRPr="0048528B" w:rsidRDefault="00C97F0A" w:rsidP="00C97F0A">
      <w:pPr>
        <w:spacing w:before="60" w:after="60"/>
        <w:ind w:left="1134" w:hanging="567"/>
        <w:rPr>
          <w:rFonts w:cs="Arial"/>
          <w:snapToGrid w:val="0"/>
          <w:lang w:val="fr-FR"/>
        </w:rPr>
      </w:pPr>
      <w:r w:rsidRPr="0048528B">
        <w:rPr>
          <w:rFonts w:cs="Arial"/>
          <w:snapToGrid w:val="0"/>
          <w:lang w:val="fr-FR"/>
        </w:rPr>
        <w:t>10.</w:t>
      </w:r>
      <w:r w:rsidRPr="0048528B">
        <w:rPr>
          <w:rFonts w:cs="Arial"/>
          <w:snapToGrid w:val="0"/>
          <w:lang w:val="fr-FR"/>
        </w:rPr>
        <w:tab/>
      </w:r>
      <w:r w:rsidRPr="0048528B">
        <w:rPr>
          <w:lang w:val="fr-FR"/>
        </w:rPr>
        <w:t>Informations et bases de données</w:t>
      </w:r>
    </w:p>
    <w:p w:rsidR="00C97F0A" w:rsidRPr="0048528B" w:rsidRDefault="00C97F0A" w:rsidP="00C97F0A">
      <w:pPr>
        <w:spacing w:before="60" w:after="60"/>
        <w:ind w:left="1701" w:hanging="567"/>
        <w:rPr>
          <w:rFonts w:cs="Arial"/>
          <w:snapToGrid w:val="0"/>
          <w:lang w:val="fr-FR"/>
        </w:rPr>
      </w:pPr>
      <w:r w:rsidRPr="0048528B">
        <w:rPr>
          <w:rFonts w:cs="Arial"/>
          <w:snapToGrid w:val="0"/>
          <w:lang w:val="fr-FR"/>
        </w:rPr>
        <w:t>a)</w:t>
      </w:r>
      <w:r w:rsidRPr="0048528B">
        <w:rPr>
          <w:rFonts w:cs="Arial"/>
          <w:snapToGrid w:val="0"/>
          <w:lang w:val="fr-FR"/>
        </w:rPr>
        <w:tab/>
      </w:r>
      <w:r w:rsidRPr="0048528B">
        <w:rPr>
          <w:lang w:val="fr-FR"/>
        </w:rPr>
        <w:t>Bases de données d</w:t>
      </w:r>
      <w:r w:rsidR="00F3296C" w:rsidRPr="0048528B">
        <w:rPr>
          <w:lang w:val="fr-FR"/>
        </w:rPr>
        <w:t>’</w:t>
      </w:r>
      <w:r w:rsidRPr="0048528B">
        <w:rPr>
          <w:lang w:val="fr-FR"/>
        </w:rPr>
        <w:t>information de l</w:t>
      </w:r>
      <w:r w:rsidR="00F3296C" w:rsidRPr="0048528B">
        <w:rPr>
          <w:lang w:val="fr-FR"/>
        </w:rPr>
        <w:t>’</w:t>
      </w:r>
      <w:r w:rsidRPr="0048528B">
        <w:rPr>
          <w:lang w:val="fr-FR"/>
        </w:rPr>
        <w:t>UPOV</w:t>
      </w:r>
    </w:p>
    <w:p w:rsidR="00C97F0A" w:rsidRPr="0048528B" w:rsidRDefault="00C97F0A" w:rsidP="00C97F0A">
      <w:pPr>
        <w:spacing w:before="60" w:after="60"/>
        <w:ind w:left="1701" w:hanging="567"/>
        <w:rPr>
          <w:rFonts w:cs="Arial"/>
          <w:snapToGrid w:val="0"/>
          <w:lang w:val="fr-FR"/>
        </w:rPr>
      </w:pPr>
      <w:r w:rsidRPr="0048528B">
        <w:rPr>
          <w:rFonts w:cs="Arial"/>
          <w:snapToGrid w:val="0"/>
          <w:lang w:val="fr-FR"/>
        </w:rPr>
        <w:t>b)</w:t>
      </w:r>
      <w:r w:rsidRPr="0048528B">
        <w:rPr>
          <w:rFonts w:cs="Arial"/>
          <w:snapToGrid w:val="0"/>
          <w:lang w:val="fr-FR"/>
        </w:rPr>
        <w:tab/>
      </w:r>
      <w:r w:rsidRPr="0048528B">
        <w:rPr>
          <w:lang w:val="fr-FR"/>
        </w:rPr>
        <w:t>Bases de données sur les descriptions variétales</w:t>
      </w:r>
    </w:p>
    <w:p w:rsidR="00C97F0A" w:rsidRPr="0048528B" w:rsidRDefault="00C97F0A" w:rsidP="00C97F0A">
      <w:pPr>
        <w:spacing w:before="60" w:after="60"/>
        <w:ind w:left="1701" w:hanging="567"/>
        <w:rPr>
          <w:rFonts w:cs="Arial"/>
          <w:snapToGrid w:val="0"/>
          <w:lang w:val="fr-FR"/>
        </w:rPr>
      </w:pPr>
      <w:r w:rsidRPr="0048528B">
        <w:rPr>
          <w:rFonts w:cs="Arial"/>
          <w:snapToGrid w:val="0"/>
          <w:lang w:val="fr-FR"/>
        </w:rPr>
        <w:t>c)</w:t>
      </w:r>
      <w:r w:rsidRPr="0048528B">
        <w:rPr>
          <w:rFonts w:cs="Arial"/>
          <w:snapToGrid w:val="0"/>
          <w:lang w:val="fr-FR"/>
        </w:rPr>
        <w:tab/>
      </w:r>
      <w:r w:rsidRPr="0048528B">
        <w:rPr>
          <w:lang w:val="fr-FR"/>
        </w:rPr>
        <w:t>Logiciels échangeables</w:t>
      </w:r>
    </w:p>
    <w:p w:rsidR="00C97F0A" w:rsidRPr="0048528B" w:rsidRDefault="00C97F0A" w:rsidP="00A26EF1">
      <w:pPr>
        <w:spacing w:before="60" w:after="120"/>
        <w:ind w:left="1701" w:hanging="567"/>
        <w:rPr>
          <w:rFonts w:cs="Arial"/>
          <w:snapToGrid w:val="0"/>
          <w:lang w:val="fr-FR"/>
        </w:rPr>
      </w:pPr>
      <w:r w:rsidRPr="0048528B">
        <w:rPr>
          <w:rFonts w:cs="Arial"/>
          <w:snapToGrid w:val="0"/>
          <w:lang w:val="fr-FR"/>
        </w:rPr>
        <w:t>d)</w:t>
      </w:r>
      <w:r w:rsidRPr="0048528B">
        <w:rPr>
          <w:rFonts w:cs="Arial"/>
          <w:snapToGrid w:val="0"/>
          <w:lang w:val="fr-FR"/>
        </w:rPr>
        <w:tab/>
      </w:r>
      <w:r w:rsidRPr="0048528B">
        <w:rPr>
          <w:lang w:val="fr-FR"/>
        </w:rPr>
        <w:t>Systèmes de dépôt électronique des demandes</w:t>
      </w:r>
    </w:p>
    <w:p w:rsidR="00C97F0A" w:rsidRPr="0048528B" w:rsidRDefault="00C97F0A" w:rsidP="00A26EF1">
      <w:pPr>
        <w:spacing w:before="60" w:after="120"/>
        <w:ind w:left="1134" w:hanging="567"/>
        <w:rPr>
          <w:rFonts w:cs="Arial"/>
          <w:snapToGrid w:val="0"/>
          <w:lang w:val="fr-FR"/>
        </w:rPr>
      </w:pPr>
      <w:r w:rsidRPr="0048528B">
        <w:rPr>
          <w:rFonts w:cs="Arial"/>
          <w:snapToGrid w:val="0"/>
          <w:lang w:val="fr-FR"/>
        </w:rPr>
        <w:t>11.</w:t>
      </w:r>
      <w:r w:rsidRPr="0048528B">
        <w:rPr>
          <w:rFonts w:cs="Arial"/>
          <w:snapToGrid w:val="0"/>
          <w:lang w:val="fr-FR"/>
        </w:rPr>
        <w:tab/>
      </w:r>
      <w:r w:rsidRPr="0048528B">
        <w:rPr>
          <w:lang w:val="fr-FR"/>
        </w:rPr>
        <w:t>Évaluation de l</w:t>
      </w:r>
      <w:r w:rsidR="00F3296C" w:rsidRPr="0048528B">
        <w:rPr>
          <w:lang w:val="fr-FR"/>
        </w:rPr>
        <w:t>’</w:t>
      </w:r>
      <w:r w:rsidRPr="0048528B">
        <w:rPr>
          <w:lang w:val="fr-FR"/>
        </w:rPr>
        <w:t>homogénéité par plante hors</w:t>
      </w:r>
      <w:r w:rsidR="003F00B6" w:rsidRPr="0048528B">
        <w:rPr>
          <w:lang w:val="fr-FR"/>
        </w:rPr>
        <w:noBreakHyphen/>
      </w:r>
      <w:r w:rsidRPr="0048528B">
        <w:rPr>
          <w:lang w:val="fr-FR"/>
        </w:rPr>
        <w:t>type sur la base de plus d</w:t>
      </w:r>
      <w:r w:rsidR="00F3296C" w:rsidRPr="0048528B">
        <w:rPr>
          <w:lang w:val="fr-FR"/>
        </w:rPr>
        <w:t>’</w:t>
      </w:r>
      <w:r w:rsidRPr="0048528B">
        <w:rPr>
          <w:lang w:val="fr-FR"/>
        </w:rPr>
        <w:t>un échantillon ou sous</w:t>
      </w:r>
      <w:r w:rsidR="003F00B6" w:rsidRPr="0048528B">
        <w:rPr>
          <w:lang w:val="fr-FR"/>
        </w:rPr>
        <w:noBreakHyphen/>
      </w:r>
      <w:r w:rsidRPr="0048528B">
        <w:rPr>
          <w:lang w:val="fr-FR"/>
        </w:rPr>
        <w:t>échantillon</w:t>
      </w:r>
    </w:p>
    <w:p w:rsidR="00C97F0A" w:rsidRPr="0048528B" w:rsidRDefault="00C97F0A" w:rsidP="00A26EF1">
      <w:pPr>
        <w:spacing w:before="60" w:after="120"/>
        <w:ind w:left="1134" w:hanging="567"/>
        <w:rPr>
          <w:rFonts w:cs="Arial"/>
          <w:snapToGrid w:val="0"/>
          <w:lang w:val="fr-FR"/>
        </w:rPr>
      </w:pPr>
      <w:r w:rsidRPr="0048528B">
        <w:rPr>
          <w:rFonts w:cs="Arial"/>
          <w:snapToGrid w:val="0"/>
          <w:lang w:val="fr-FR"/>
        </w:rPr>
        <w:t>12.</w:t>
      </w:r>
      <w:r w:rsidRPr="0048528B">
        <w:rPr>
          <w:rFonts w:cs="Arial"/>
          <w:snapToGrid w:val="0"/>
          <w:lang w:val="fr-FR"/>
        </w:rPr>
        <w:tab/>
      </w:r>
      <w:r w:rsidRPr="0048528B">
        <w:rPr>
          <w:lang w:val="fr-FR"/>
        </w:rPr>
        <w:t>Ateliers préparatoires</w:t>
      </w:r>
    </w:p>
    <w:p w:rsidR="00C97F0A" w:rsidRPr="0048528B" w:rsidRDefault="00C97F0A" w:rsidP="00A26EF1">
      <w:pPr>
        <w:spacing w:before="60" w:after="120"/>
        <w:ind w:left="1134" w:hanging="567"/>
        <w:rPr>
          <w:rFonts w:cs="Arial"/>
          <w:snapToGrid w:val="0"/>
          <w:lang w:val="fr-FR"/>
        </w:rPr>
      </w:pPr>
      <w:r w:rsidRPr="0048528B">
        <w:rPr>
          <w:rFonts w:cs="Arial"/>
          <w:snapToGrid w:val="0"/>
          <w:lang w:val="fr-FR"/>
        </w:rPr>
        <w:t>13.</w:t>
      </w:r>
      <w:r w:rsidRPr="0048528B">
        <w:rPr>
          <w:rFonts w:cs="Arial"/>
          <w:snapToGrid w:val="0"/>
          <w:lang w:val="fr-FR"/>
        </w:rPr>
        <w:tab/>
      </w:r>
      <w:r w:rsidRPr="0048528B">
        <w:rPr>
          <w:lang w:val="fr-FR"/>
        </w:rPr>
        <w:t>Principes directeurs d</w:t>
      </w:r>
      <w:r w:rsidR="00F3296C" w:rsidRPr="0048528B">
        <w:rPr>
          <w:lang w:val="fr-FR"/>
        </w:rPr>
        <w:t>’</w:t>
      </w:r>
      <w:r w:rsidRPr="0048528B">
        <w:rPr>
          <w:lang w:val="fr-FR"/>
        </w:rPr>
        <w:t>examen</w:t>
      </w:r>
    </w:p>
    <w:p w:rsidR="00C97F0A" w:rsidRPr="0048528B" w:rsidRDefault="00C97F0A" w:rsidP="00A26EF1">
      <w:pPr>
        <w:spacing w:before="60" w:after="120"/>
        <w:ind w:left="1134" w:hanging="567"/>
        <w:rPr>
          <w:rFonts w:cs="Arial"/>
          <w:snapToGrid w:val="0"/>
          <w:lang w:val="fr-FR"/>
        </w:rPr>
      </w:pPr>
      <w:r w:rsidRPr="0048528B">
        <w:rPr>
          <w:rFonts w:cs="Arial"/>
          <w:snapToGrid w:val="0"/>
          <w:lang w:val="fr-FR"/>
        </w:rPr>
        <w:lastRenderedPageBreak/>
        <w:t>14.</w:t>
      </w:r>
      <w:r w:rsidRPr="0048528B">
        <w:rPr>
          <w:rFonts w:cs="Arial"/>
          <w:snapToGrid w:val="0"/>
          <w:lang w:val="fr-FR"/>
        </w:rPr>
        <w:tab/>
      </w:r>
      <w:r w:rsidRPr="0048528B">
        <w:rPr>
          <w:lang w:val="fr-FR"/>
        </w:rPr>
        <w:t>Liste des genres et espèces pour lesquels les services ont une expérience pratique en matière d</w:t>
      </w:r>
      <w:r w:rsidR="00F3296C" w:rsidRPr="0048528B">
        <w:rPr>
          <w:lang w:val="fr-FR"/>
        </w:rPr>
        <w:t>’</w:t>
      </w:r>
      <w:r w:rsidRPr="0048528B">
        <w:rPr>
          <w:lang w:val="fr-FR"/>
        </w:rPr>
        <w:t>examen de la distinction, de l</w:t>
      </w:r>
      <w:r w:rsidR="00F3296C" w:rsidRPr="0048528B">
        <w:rPr>
          <w:lang w:val="fr-FR"/>
        </w:rPr>
        <w:t>’</w:t>
      </w:r>
      <w:r w:rsidRPr="0048528B">
        <w:rPr>
          <w:lang w:val="fr-FR"/>
        </w:rPr>
        <w:t>homogénéité et de la stabilité</w:t>
      </w:r>
    </w:p>
    <w:p w:rsidR="00C97F0A" w:rsidRPr="0048528B" w:rsidRDefault="00C97F0A" w:rsidP="00A26EF1">
      <w:pPr>
        <w:spacing w:before="60" w:after="120"/>
        <w:ind w:left="1134" w:hanging="567"/>
        <w:rPr>
          <w:rFonts w:cs="Arial"/>
          <w:snapToGrid w:val="0"/>
          <w:lang w:val="fr-FR"/>
        </w:rPr>
      </w:pPr>
      <w:r w:rsidRPr="0048528B">
        <w:rPr>
          <w:rFonts w:cs="Arial"/>
          <w:snapToGrid w:val="0"/>
          <w:lang w:val="fr-FR"/>
        </w:rPr>
        <w:t>15.</w:t>
      </w:r>
      <w:r w:rsidRPr="0048528B">
        <w:rPr>
          <w:rFonts w:cs="Arial"/>
          <w:snapToGrid w:val="0"/>
          <w:lang w:val="fr-FR"/>
        </w:rPr>
        <w:tab/>
      </w:r>
      <w:r w:rsidRPr="0048528B">
        <w:rPr>
          <w:lang w:val="fr-FR"/>
        </w:rPr>
        <w:t>Programme de la cinquante</w:t>
      </w:r>
      <w:r w:rsidR="00604ABA" w:rsidRPr="0048528B">
        <w:rPr>
          <w:lang w:val="fr-FR"/>
        </w:rPr>
        <w:t> </w:t>
      </w:r>
      <w:r w:rsidRPr="0048528B">
        <w:rPr>
          <w:lang w:val="fr-FR"/>
        </w:rPr>
        <w:t>et</w:t>
      </w:r>
      <w:r w:rsidR="00604ABA" w:rsidRPr="0048528B">
        <w:rPr>
          <w:lang w:val="fr-FR"/>
        </w:rPr>
        <w:t> </w:t>
      </w:r>
      <w:r w:rsidRPr="0048528B">
        <w:rPr>
          <w:lang w:val="fr-FR"/>
        </w:rPr>
        <w:t>unième</w:t>
      </w:r>
      <w:r w:rsidR="00E3136C" w:rsidRPr="0048528B">
        <w:rPr>
          <w:lang w:val="fr-FR"/>
        </w:rPr>
        <w:t> </w:t>
      </w:r>
      <w:r w:rsidRPr="0048528B">
        <w:rPr>
          <w:lang w:val="fr-FR"/>
        </w:rPr>
        <w:t>session</w:t>
      </w:r>
    </w:p>
    <w:p w:rsidR="00C97F0A" w:rsidRPr="0048528B" w:rsidRDefault="00C97F0A" w:rsidP="00A26EF1">
      <w:pPr>
        <w:spacing w:before="60" w:after="120"/>
        <w:ind w:left="1134" w:hanging="567"/>
        <w:rPr>
          <w:rFonts w:cs="Arial"/>
          <w:snapToGrid w:val="0"/>
          <w:lang w:val="fr-FR"/>
        </w:rPr>
      </w:pPr>
      <w:r w:rsidRPr="0048528B">
        <w:rPr>
          <w:rFonts w:cs="Arial"/>
          <w:snapToGrid w:val="0"/>
          <w:lang w:val="fr-FR"/>
        </w:rPr>
        <w:t>16.</w:t>
      </w:r>
      <w:r w:rsidRPr="0048528B">
        <w:rPr>
          <w:rFonts w:cs="Arial"/>
          <w:snapToGrid w:val="0"/>
          <w:lang w:val="fr-FR"/>
        </w:rPr>
        <w:tab/>
      </w:r>
      <w:r w:rsidRPr="0048528B">
        <w:rPr>
          <w:lang w:val="fr-FR"/>
        </w:rPr>
        <w:t>Adoption du compte rendu des conclusions (selon le temps disponible)</w:t>
      </w:r>
    </w:p>
    <w:p w:rsidR="00C97F0A" w:rsidRPr="0048528B" w:rsidRDefault="00C97F0A" w:rsidP="00C97F0A">
      <w:pPr>
        <w:spacing w:before="60" w:after="60"/>
        <w:ind w:left="1134" w:hanging="567"/>
        <w:rPr>
          <w:rFonts w:cs="Arial"/>
          <w:snapToGrid w:val="0"/>
          <w:lang w:val="fr-FR"/>
        </w:rPr>
      </w:pPr>
      <w:r w:rsidRPr="0048528B">
        <w:rPr>
          <w:rFonts w:cs="Arial"/>
          <w:snapToGrid w:val="0"/>
          <w:lang w:val="fr-FR"/>
        </w:rPr>
        <w:t>17.</w:t>
      </w:r>
      <w:r w:rsidRPr="0048528B">
        <w:rPr>
          <w:rFonts w:cs="Arial"/>
          <w:snapToGrid w:val="0"/>
          <w:lang w:val="fr-FR"/>
        </w:rPr>
        <w:tab/>
      </w:r>
      <w:r w:rsidRPr="0048528B">
        <w:rPr>
          <w:lang w:val="fr-FR"/>
        </w:rPr>
        <w:t>Clôture de la session</w:t>
      </w:r>
    </w:p>
    <w:p w:rsidR="00C97F0A" w:rsidRPr="0048528B" w:rsidRDefault="00C97F0A" w:rsidP="00C97F0A">
      <w:pPr>
        <w:rPr>
          <w:u w:val="single"/>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est convenu que la cinquantième session devrait se tenir sur trois jours : du lundi matin au mercredi après</w:t>
      </w:r>
      <w:r w:rsidR="003F00B6" w:rsidRPr="0048528B">
        <w:rPr>
          <w:lang w:val="fr-FR"/>
        </w:rPr>
        <w:noBreakHyphen/>
      </w:r>
      <w:r w:rsidRPr="0048528B">
        <w:rPr>
          <w:lang w:val="fr-FR"/>
        </w:rPr>
        <w:t>midi.  Il est convenu également que les délibérations au titre du point 3 de l</w:t>
      </w:r>
      <w:r w:rsidR="00F3296C" w:rsidRPr="0048528B">
        <w:rPr>
          <w:lang w:val="fr-FR"/>
        </w:rPr>
        <w:t>’</w:t>
      </w:r>
      <w:r w:rsidRPr="0048528B">
        <w:rPr>
          <w:lang w:val="fr-FR"/>
        </w:rPr>
        <w:t>ordre du jour devraient se dérouler le mercredi matin.  Il est convenu en outre que les p</w:t>
      </w:r>
      <w:r w:rsidR="00B61623" w:rsidRPr="0048528B">
        <w:rPr>
          <w:lang w:val="fr-FR"/>
        </w:rPr>
        <w:t>résidentes et présidents des groupes de travail techniques</w:t>
      </w:r>
      <w:r w:rsidRPr="0048528B">
        <w:rPr>
          <w:lang w:val="fr-FR"/>
        </w:rPr>
        <w:t xml:space="preserve"> devraient être invités à faire, comme ils l</w:t>
      </w:r>
      <w:r w:rsidR="00F3296C" w:rsidRPr="0048528B">
        <w:rPr>
          <w:lang w:val="fr-FR"/>
        </w:rPr>
        <w:t>’</w:t>
      </w:r>
      <w:r w:rsidRPr="0048528B">
        <w:rPr>
          <w:lang w:val="fr-FR"/>
        </w:rPr>
        <w:t>ont fait à la quarante</w:t>
      </w:r>
      <w:r w:rsidR="003F00B6" w:rsidRPr="0048528B">
        <w:rPr>
          <w:lang w:val="fr-FR"/>
        </w:rPr>
        <w:noBreakHyphen/>
      </w:r>
      <w:r w:rsidRPr="0048528B">
        <w:rPr>
          <w:lang w:val="fr-FR"/>
        </w:rPr>
        <w:t>neuvième session, un exposé visuel au titre du point 5 de l</w:t>
      </w:r>
      <w:r w:rsidR="00F3296C" w:rsidRPr="0048528B">
        <w:rPr>
          <w:lang w:val="fr-FR"/>
        </w:rPr>
        <w:t>’</w:t>
      </w:r>
      <w:r w:rsidRPr="0048528B">
        <w:rPr>
          <w:lang w:val="fr-FR"/>
        </w:rPr>
        <w:t>ordre du jour.  Il est enfin convenu que le</w:t>
      </w:r>
      <w:r w:rsidR="00F3296C" w:rsidRPr="0048528B">
        <w:rPr>
          <w:lang w:val="fr-FR"/>
        </w:rPr>
        <w:t> TC</w:t>
      </w:r>
      <w:r w:rsidR="003F00B6" w:rsidRPr="0048528B">
        <w:rPr>
          <w:lang w:val="fr-FR"/>
        </w:rPr>
        <w:noBreakHyphen/>
      </w:r>
      <w:r w:rsidR="00F3296C" w:rsidRPr="0048528B">
        <w:rPr>
          <w:lang w:val="fr-FR"/>
        </w:rPr>
        <w:t>EDC</w:t>
      </w:r>
      <w:r w:rsidRPr="0048528B">
        <w:rPr>
          <w:lang w:val="fr-FR"/>
        </w:rPr>
        <w:t xml:space="preserve"> devrait se réunir deux jours en janvier 2014 (voir les paragraphes 160 et 161 du </w:t>
      </w:r>
      <w:r w:rsidR="00F3296C" w:rsidRPr="0048528B">
        <w:rPr>
          <w:lang w:val="fr-FR"/>
        </w:rPr>
        <w:t>document TC</w:t>
      </w:r>
      <w:r w:rsidRPr="0048528B">
        <w:rPr>
          <w:lang w:val="fr-FR"/>
        </w:rPr>
        <w:t>/49/41 “Compte rendu des conclusions”).</w:t>
      </w:r>
    </w:p>
    <w:p w:rsidR="00C97F0A" w:rsidRPr="0048528B" w:rsidRDefault="00C97F0A" w:rsidP="00C97F0A">
      <w:pPr>
        <w:rPr>
          <w:lang w:val="fr-FR"/>
        </w:rPr>
      </w:pPr>
    </w:p>
    <w:p w:rsidR="00C97F0A" w:rsidRPr="0048528B" w:rsidRDefault="00C97F0A" w:rsidP="00C97F0A">
      <w:pPr>
        <w:rPr>
          <w:lang w:val="fr-FR"/>
        </w:rPr>
      </w:pPr>
    </w:p>
    <w:p w:rsidR="00C97F0A" w:rsidRPr="0048528B" w:rsidRDefault="00C97F0A" w:rsidP="00C97F0A">
      <w:pPr>
        <w:pStyle w:val="Heading2"/>
        <w:rPr>
          <w:lang w:val="fr-FR"/>
        </w:rPr>
      </w:pPr>
      <w:bookmarkStart w:id="58" w:name="_Toc367888577"/>
      <w:r w:rsidRPr="0048528B">
        <w:rPr>
          <w:lang w:val="fr-FR"/>
        </w:rPr>
        <w:t>Président et vice</w:t>
      </w:r>
      <w:r w:rsidR="003F00B6" w:rsidRPr="0048528B">
        <w:rPr>
          <w:lang w:val="fr-FR"/>
        </w:rPr>
        <w:noBreakHyphen/>
      </w:r>
      <w:r w:rsidRPr="0048528B">
        <w:rPr>
          <w:lang w:val="fr-FR"/>
        </w:rPr>
        <w:t>président</w:t>
      </w:r>
      <w:bookmarkEnd w:id="58"/>
    </w:p>
    <w:p w:rsidR="00C97F0A" w:rsidRPr="0048528B" w:rsidRDefault="00C97F0A" w:rsidP="00C97F0A">
      <w:pPr>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w:t>
      </w:r>
      <w:r w:rsidR="00F3296C" w:rsidRPr="0048528B">
        <w:rPr>
          <w:lang w:val="fr-FR"/>
        </w:rPr>
        <w:t> TC</w:t>
      </w:r>
      <w:r w:rsidRPr="0048528B">
        <w:rPr>
          <w:lang w:val="fr-FR"/>
        </w:rPr>
        <w:t xml:space="preserve"> a noté que le mandat de président de M.</w:t>
      </w:r>
      <w:r w:rsidR="00E3136C" w:rsidRPr="0048528B">
        <w:rPr>
          <w:lang w:val="fr-FR"/>
        </w:rPr>
        <w:t> </w:t>
      </w:r>
      <w:r w:rsidRPr="0048528B">
        <w:rPr>
          <w:lang w:val="fr-FR"/>
        </w:rPr>
        <w:t>Joël Guiard (France) expirait à la clôture de la prochaine session ordinaire du Conseil, en octobre.  Il a proposé au Conseil d</w:t>
      </w:r>
      <w:r w:rsidR="00F3296C" w:rsidRPr="0048528B">
        <w:rPr>
          <w:lang w:val="fr-FR"/>
        </w:rPr>
        <w:t>’</w:t>
      </w:r>
      <w:r w:rsidRPr="0048528B">
        <w:rPr>
          <w:lang w:val="fr-FR"/>
        </w:rPr>
        <w:t>élire M.</w:t>
      </w:r>
      <w:r w:rsidR="00E3136C" w:rsidRPr="0048528B">
        <w:rPr>
          <w:lang w:val="fr-FR"/>
        </w:rPr>
        <w:t> </w:t>
      </w:r>
      <w:r w:rsidRPr="0048528B">
        <w:rPr>
          <w:lang w:val="fr-FR"/>
        </w:rPr>
        <w:t>Alejandro Barrientos</w:t>
      </w:r>
      <w:r w:rsidR="003F00B6" w:rsidRPr="0048528B">
        <w:rPr>
          <w:lang w:val="fr-FR"/>
        </w:rPr>
        <w:noBreakHyphen/>
      </w:r>
      <w:r w:rsidRPr="0048528B">
        <w:rPr>
          <w:lang w:val="fr-FR"/>
        </w:rPr>
        <w:t>Priego (Mexique) nouveau président et M.</w:t>
      </w:r>
      <w:r w:rsidR="00E3136C" w:rsidRPr="0048528B">
        <w:rPr>
          <w:lang w:val="fr-FR"/>
        </w:rPr>
        <w:t> </w:t>
      </w:r>
      <w:r w:rsidRPr="0048528B">
        <w:rPr>
          <w:lang w:val="fr-FR"/>
        </w:rPr>
        <w:t>Kees Van Ettekoven (Pays</w:t>
      </w:r>
      <w:r w:rsidR="003F00B6" w:rsidRPr="0048528B">
        <w:rPr>
          <w:lang w:val="fr-FR"/>
        </w:rPr>
        <w:noBreakHyphen/>
      </w:r>
      <w:r w:rsidRPr="0048528B">
        <w:rPr>
          <w:lang w:val="fr-FR"/>
        </w:rPr>
        <w:t>Bas) nouveau vice</w:t>
      </w:r>
      <w:r w:rsidR="003F00B6" w:rsidRPr="0048528B">
        <w:rPr>
          <w:lang w:val="fr-FR"/>
        </w:rPr>
        <w:noBreakHyphen/>
      </w:r>
      <w:r w:rsidRPr="0048528B">
        <w:rPr>
          <w:lang w:val="fr-FR"/>
        </w:rPr>
        <w:t>président du</w:t>
      </w:r>
      <w:r w:rsidR="00F3296C" w:rsidRPr="0048528B">
        <w:rPr>
          <w:lang w:val="fr-FR"/>
        </w:rPr>
        <w:t> TC</w:t>
      </w:r>
      <w:r w:rsidRPr="0048528B">
        <w:rPr>
          <w:lang w:val="fr-FR"/>
        </w:rPr>
        <w:t xml:space="preserve"> pour le prochain mandat de trois</w:t>
      </w:r>
      <w:r w:rsidR="00E3136C" w:rsidRPr="0048528B">
        <w:rPr>
          <w:lang w:val="fr-FR"/>
        </w:rPr>
        <w:t> </w:t>
      </w:r>
      <w:r w:rsidRPr="0048528B">
        <w:rPr>
          <w:lang w:val="fr-FR"/>
        </w:rPr>
        <w:t>ans (voir le paragraphe</w:t>
      </w:r>
      <w:r w:rsidR="00E3136C" w:rsidRPr="0048528B">
        <w:rPr>
          <w:lang w:val="fr-FR"/>
        </w:rPr>
        <w:t> </w:t>
      </w:r>
      <w:r w:rsidRPr="0048528B">
        <w:rPr>
          <w:lang w:val="fr-FR"/>
        </w:rPr>
        <w:t xml:space="preserve">162 du </w:t>
      </w:r>
      <w:r w:rsidR="00F3296C" w:rsidRPr="0048528B">
        <w:rPr>
          <w:lang w:val="fr-FR"/>
        </w:rPr>
        <w:t>document TC</w:t>
      </w:r>
      <w:r w:rsidRPr="0048528B">
        <w:rPr>
          <w:lang w:val="fr-FR"/>
        </w:rPr>
        <w:t xml:space="preserve">/49/41 </w:t>
      </w:r>
      <w:r w:rsidR="00E3136C" w:rsidRPr="0048528B">
        <w:rPr>
          <w:lang w:val="fr-FR"/>
        </w:rPr>
        <w:t>“</w:t>
      </w:r>
      <w:r w:rsidRPr="0048528B">
        <w:rPr>
          <w:lang w:val="fr-FR"/>
        </w:rPr>
        <w:t>Compte rendu des conclusions</w:t>
      </w:r>
      <w:r w:rsidR="00E3136C" w:rsidRPr="0048528B">
        <w:rPr>
          <w:lang w:val="fr-FR"/>
        </w:rPr>
        <w:t>”</w:t>
      </w:r>
      <w:r w:rsidRPr="0048528B">
        <w:rPr>
          <w:lang w:val="fr-FR"/>
        </w:rPr>
        <w:t>).</w:t>
      </w:r>
    </w:p>
    <w:p w:rsidR="00C97F0A" w:rsidRPr="0048528B" w:rsidRDefault="00C97F0A" w:rsidP="00C97F0A">
      <w:pPr>
        <w:rPr>
          <w:lang w:val="fr-FR"/>
        </w:rPr>
      </w:pPr>
    </w:p>
    <w:p w:rsidR="00C97F0A" w:rsidRPr="0048528B" w:rsidRDefault="00C97F0A" w:rsidP="00A26EF1">
      <w:pPr>
        <w:rPr>
          <w:lang w:val="fr-FR"/>
        </w:rPr>
      </w:pPr>
    </w:p>
    <w:p w:rsidR="00C97F0A" w:rsidRPr="0048528B" w:rsidRDefault="00C97F0A" w:rsidP="00CA0D7D">
      <w:pPr>
        <w:pStyle w:val="Heading1"/>
        <w:ind w:left="567" w:hanging="567"/>
        <w:rPr>
          <w:lang w:val="fr-FR"/>
        </w:rPr>
      </w:pPr>
      <w:bookmarkStart w:id="59" w:name="_Toc367888578"/>
      <w:r w:rsidRPr="0048528B">
        <w:rPr>
          <w:lang w:val="fr-FR"/>
        </w:rPr>
        <w:t>II.</w:t>
      </w:r>
      <w:r w:rsidRPr="0048528B">
        <w:rPr>
          <w:lang w:val="fr-FR"/>
        </w:rPr>
        <w:tab/>
        <w:t>RAPPORT SUR L</w:t>
      </w:r>
      <w:r w:rsidR="00F3296C" w:rsidRPr="0048528B">
        <w:rPr>
          <w:lang w:val="fr-FR"/>
        </w:rPr>
        <w:t>’</w:t>
      </w:r>
      <w:r w:rsidRPr="0048528B">
        <w:rPr>
          <w:lang w:val="fr-FR"/>
        </w:rPr>
        <w:t>ÉTAT D</w:t>
      </w:r>
      <w:r w:rsidR="00F3296C" w:rsidRPr="0048528B">
        <w:rPr>
          <w:lang w:val="fr-FR"/>
        </w:rPr>
        <w:t>’</w:t>
      </w:r>
      <w:r w:rsidRPr="0048528B">
        <w:rPr>
          <w:lang w:val="fr-FR"/>
        </w:rPr>
        <w:t>AVANCEMENT DES TRAVAUX DES GROUPES DE TRAVAIL TECHNIQUES ET DU GROUPE DE TRAVAIL SUR LES TECHNIQUES BIOCHIMIQUES ET MOLÉCULAIRES, NOTAMMENT LES PROFILS D</w:t>
      </w:r>
      <w:r w:rsidR="00F3296C" w:rsidRPr="0048528B">
        <w:rPr>
          <w:lang w:val="fr-FR"/>
        </w:rPr>
        <w:t>’</w:t>
      </w:r>
      <w:r w:rsidRPr="0048528B">
        <w:rPr>
          <w:lang w:val="fr-FR"/>
        </w:rPr>
        <w:t>ADN EN 2012</w:t>
      </w:r>
      <w:bookmarkEnd w:id="59"/>
    </w:p>
    <w:p w:rsidR="00CA0D7D" w:rsidRPr="0048528B" w:rsidRDefault="00CA0D7D" w:rsidP="00CA0D7D">
      <w:pPr>
        <w:rPr>
          <w:lang w:val="fr-FR"/>
        </w:rPr>
      </w:pPr>
    </w:p>
    <w:p w:rsidR="00C97F0A" w:rsidRPr="0048528B" w:rsidRDefault="00C97F0A" w:rsidP="00C97F0A">
      <w:pPr>
        <w:rPr>
          <w:rFonts w:cs="Arial"/>
          <w:lang w:val="fr-FR"/>
        </w:rPr>
      </w:pPr>
      <w:r w:rsidRPr="0048528B">
        <w:rPr>
          <w:rFonts w:cs="Arial"/>
          <w:lang w:val="fr-FR"/>
        </w:rPr>
        <w:fldChar w:fldCharType="begin"/>
      </w:r>
      <w:r w:rsidRPr="0048528B">
        <w:rPr>
          <w:rFonts w:cs="Arial"/>
          <w:lang w:val="fr-FR"/>
        </w:rPr>
        <w:instrText xml:space="preserve"> AUTONUM  </w:instrText>
      </w:r>
      <w:r w:rsidRPr="0048528B">
        <w:rPr>
          <w:rFonts w:cs="Arial"/>
          <w:lang w:val="fr-FR"/>
        </w:rPr>
        <w:fldChar w:fldCharType="end"/>
      </w:r>
      <w:r w:rsidRPr="0048528B">
        <w:rPr>
          <w:rFonts w:cs="Arial"/>
          <w:lang w:val="fr-FR"/>
        </w:rPr>
        <w:tab/>
        <w:t>À sa quarante</w:t>
      </w:r>
      <w:r w:rsidR="003F00B6" w:rsidRPr="0048528B">
        <w:rPr>
          <w:rFonts w:cs="Arial"/>
          <w:lang w:val="fr-FR"/>
        </w:rPr>
        <w:noBreakHyphen/>
      </w:r>
      <w:r w:rsidRPr="0048528B">
        <w:rPr>
          <w:rFonts w:cs="Arial"/>
          <w:lang w:val="fr-FR"/>
        </w:rPr>
        <w:t>neuvième session, le</w:t>
      </w:r>
      <w:r w:rsidR="00F3296C" w:rsidRPr="0048528B">
        <w:rPr>
          <w:rFonts w:cs="Arial"/>
          <w:lang w:val="fr-FR"/>
        </w:rPr>
        <w:t> TC</w:t>
      </w:r>
      <w:r w:rsidRPr="0048528B">
        <w:rPr>
          <w:rFonts w:cs="Arial"/>
          <w:lang w:val="fr-FR"/>
        </w:rPr>
        <w:t xml:space="preserve"> a entendu les rapports présentés verbalement par les présidents des groupes concernés sur les travaux du TWA, du TWC, du TWF, du TWO,</w:t>
      </w:r>
      <w:r w:rsidR="00F3296C" w:rsidRPr="0048528B">
        <w:rPr>
          <w:rFonts w:cs="Arial"/>
          <w:lang w:val="fr-FR"/>
        </w:rPr>
        <w:t xml:space="preserve"> du TWV</w:t>
      </w:r>
      <w:r w:rsidRPr="0048528B">
        <w:rPr>
          <w:rFonts w:cs="Arial"/>
          <w:lang w:val="fr-FR"/>
        </w:rPr>
        <w:t xml:space="preserve"> et</w:t>
      </w:r>
      <w:r w:rsidR="00F3296C" w:rsidRPr="0048528B">
        <w:rPr>
          <w:rFonts w:cs="Arial"/>
          <w:lang w:val="fr-FR"/>
        </w:rPr>
        <w:t xml:space="preserve"> du BMT</w:t>
      </w:r>
      <w:r w:rsidRPr="0048528B">
        <w:rPr>
          <w:rFonts w:cs="Arial"/>
          <w:lang w:val="fr-FR"/>
        </w:rPr>
        <w:t>.</w:t>
      </w:r>
    </w:p>
    <w:p w:rsidR="00C97F0A" w:rsidRPr="0048528B" w:rsidRDefault="00C97F0A" w:rsidP="00C97F0A">
      <w:pPr>
        <w:rPr>
          <w:rFonts w:cs="Arial"/>
          <w:lang w:val="fr-FR"/>
        </w:rPr>
      </w:pPr>
    </w:p>
    <w:p w:rsidR="00CA0D7D" w:rsidRPr="0048528B" w:rsidRDefault="00CA0D7D" w:rsidP="00C97F0A">
      <w:pPr>
        <w:rPr>
          <w:rFonts w:cs="Arial"/>
          <w:lang w:val="fr-FR"/>
        </w:rPr>
      </w:pPr>
    </w:p>
    <w:p w:rsidR="00C97F0A" w:rsidRPr="0048528B" w:rsidRDefault="00C97F0A" w:rsidP="00C97F0A">
      <w:pPr>
        <w:pStyle w:val="Heading2"/>
        <w:rPr>
          <w:lang w:val="fr-FR"/>
        </w:rPr>
      </w:pPr>
      <w:bookmarkStart w:id="60" w:name="_Toc367888579"/>
      <w:r w:rsidRPr="0048528B">
        <w:rPr>
          <w:lang w:val="fr-FR"/>
        </w:rPr>
        <w:t>Groupe de travail technique sur les plantes agricoles (TWA)</w:t>
      </w:r>
      <w:bookmarkEnd w:id="60"/>
    </w:p>
    <w:p w:rsidR="00C97F0A" w:rsidRPr="0048528B" w:rsidRDefault="00C97F0A" w:rsidP="00C97F0A">
      <w:pPr>
        <w:rPr>
          <w:u w:val="single"/>
          <w:lang w:val="fr-FR"/>
        </w:rPr>
      </w:pPr>
    </w:p>
    <w:p w:rsidR="00C97F0A" w:rsidRPr="0048528B" w:rsidRDefault="00C97F0A" w:rsidP="00C97F0A">
      <w:pPr>
        <w:contextualSpacing/>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TWA a tenu sa quarante et unième session à Angers (France) du 21 au 25 mai 2012, sous la présidence de Mme</w:t>
      </w:r>
      <w:r w:rsidR="00E3136C" w:rsidRPr="0048528B">
        <w:rPr>
          <w:rFonts w:cs="Arial"/>
          <w:lang w:val="fr-FR"/>
        </w:rPr>
        <w:t> </w:t>
      </w:r>
      <w:r w:rsidRPr="0048528B">
        <w:rPr>
          <w:rFonts w:cs="Arial"/>
          <w:lang w:val="fr-FR"/>
        </w:rPr>
        <w:t>Robyn Hierse (Afrique du Sud), présidente</w:t>
      </w:r>
      <w:r w:rsidR="00F3296C" w:rsidRPr="0048528B">
        <w:rPr>
          <w:rFonts w:cs="Arial"/>
          <w:lang w:val="fr-FR"/>
        </w:rPr>
        <w:t xml:space="preserve"> du TWA</w:t>
      </w:r>
      <w:r w:rsidRPr="0048528B">
        <w:rPr>
          <w:rFonts w:cs="Arial"/>
          <w:lang w:val="fr-FR"/>
        </w:rPr>
        <w:t>.  Le compte rendu de la session fait l</w:t>
      </w:r>
      <w:r w:rsidR="00F3296C" w:rsidRPr="0048528B">
        <w:rPr>
          <w:rFonts w:cs="Arial"/>
          <w:lang w:val="fr-FR"/>
        </w:rPr>
        <w:t>’</w:t>
      </w:r>
      <w:r w:rsidRPr="0048528B">
        <w:rPr>
          <w:rFonts w:cs="Arial"/>
          <w:lang w:val="fr-FR"/>
        </w:rPr>
        <w:t xml:space="preserve">objet du document TWA/41/34 Rev. </w:t>
      </w:r>
      <w:r w:rsidR="00E3136C" w:rsidRPr="0048528B">
        <w:rPr>
          <w:rFonts w:cs="Arial"/>
          <w:lang w:val="fr-FR"/>
        </w:rPr>
        <w:t>“</w:t>
      </w:r>
      <w:r w:rsidRPr="0048528B">
        <w:rPr>
          <w:rFonts w:cs="Arial"/>
          <w:lang w:val="fr-FR"/>
        </w:rPr>
        <w:t>Report</w:t>
      </w:r>
      <w:r w:rsidR="00E3136C" w:rsidRPr="0048528B">
        <w:rPr>
          <w:rFonts w:cs="Arial"/>
          <w:lang w:val="fr-FR"/>
        </w:rPr>
        <w:t>”</w:t>
      </w:r>
      <w:r w:rsidRPr="0048528B">
        <w:rPr>
          <w:rFonts w:cs="Arial"/>
          <w:lang w:val="fr-FR"/>
        </w:rPr>
        <w:t>.</w:t>
      </w:r>
    </w:p>
    <w:p w:rsidR="00C97F0A" w:rsidRPr="0048528B" w:rsidRDefault="00C97F0A" w:rsidP="00C97F0A">
      <w:pPr>
        <w:contextualSpacing/>
        <w:rPr>
          <w:rFonts w:cs="Arial"/>
          <w:lang w:val="fr-FR"/>
        </w:rPr>
      </w:pPr>
    </w:p>
    <w:p w:rsidR="00C97F0A" w:rsidRPr="0048528B" w:rsidRDefault="00C97F0A" w:rsidP="00C97F0A">
      <w:pPr>
        <w:contextualSpacing/>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00954303" w:rsidRPr="0048528B">
        <w:rPr>
          <w:lang w:val="fr-FR"/>
        </w:rPr>
        <w:t>La session du TWA a réuni</w:t>
      </w:r>
      <w:r w:rsidRPr="0048528B">
        <w:rPr>
          <w:rFonts w:cs="Arial"/>
          <w:lang w:val="fr-FR"/>
        </w:rPr>
        <w:t xml:space="preserve"> 53 participants représentant 28 membres de l</w:t>
      </w:r>
      <w:r w:rsidR="00F3296C" w:rsidRPr="0048528B">
        <w:rPr>
          <w:rFonts w:cs="Arial"/>
          <w:lang w:val="fr-FR"/>
        </w:rPr>
        <w:t>’</w:t>
      </w:r>
      <w:r w:rsidRPr="0048528B">
        <w:rPr>
          <w:rFonts w:cs="Arial"/>
          <w:lang w:val="fr-FR"/>
        </w:rPr>
        <w:t>Union, un État ayant le statut d</w:t>
      </w:r>
      <w:r w:rsidR="00F3296C" w:rsidRPr="0048528B">
        <w:rPr>
          <w:rFonts w:cs="Arial"/>
          <w:lang w:val="fr-FR"/>
        </w:rPr>
        <w:t>’</w:t>
      </w:r>
      <w:r w:rsidRPr="0048528B">
        <w:rPr>
          <w:rFonts w:cs="Arial"/>
          <w:lang w:val="fr-FR"/>
        </w:rPr>
        <w:t>observateur, deux</w:t>
      </w:r>
      <w:r w:rsidR="00E3136C" w:rsidRPr="0048528B">
        <w:rPr>
          <w:rFonts w:cs="Arial"/>
          <w:lang w:val="fr-FR"/>
        </w:rPr>
        <w:t> </w:t>
      </w:r>
      <w:r w:rsidRPr="0048528B">
        <w:rPr>
          <w:rFonts w:cs="Arial"/>
          <w:lang w:val="fr-FR"/>
        </w:rPr>
        <w:t>organisations et trois</w:t>
      </w:r>
      <w:r w:rsidR="00E3136C" w:rsidRPr="0048528B">
        <w:rPr>
          <w:rFonts w:cs="Arial"/>
          <w:lang w:val="fr-FR"/>
        </w:rPr>
        <w:t> </w:t>
      </w:r>
      <w:r w:rsidRPr="0048528B">
        <w:rPr>
          <w:rFonts w:cs="Arial"/>
          <w:lang w:val="fr-FR"/>
        </w:rPr>
        <w:t>participants électroniques, dont deux</w:t>
      </w:r>
      <w:r w:rsidR="00E3136C" w:rsidRPr="0048528B">
        <w:rPr>
          <w:rFonts w:cs="Arial"/>
          <w:lang w:val="fr-FR"/>
        </w:rPr>
        <w:t> </w:t>
      </w:r>
      <w:r w:rsidRPr="0048528B">
        <w:rPr>
          <w:rFonts w:cs="Arial"/>
          <w:lang w:val="fr-FR"/>
        </w:rPr>
        <w:t>participants australiens et un participant de l</w:t>
      </w:r>
      <w:r w:rsidR="00F3296C" w:rsidRPr="0048528B">
        <w:rPr>
          <w:rFonts w:cs="Arial"/>
          <w:lang w:val="fr-FR"/>
        </w:rPr>
        <w:t>’</w:t>
      </w:r>
      <w:r w:rsidRPr="0048528B">
        <w:rPr>
          <w:rFonts w:cs="Arial"/>
          <w:lang w:val="fr-FR"/>
        </w:rPr>
        <w:t>Organisation Mondiale de la Propriété Intellectuelle (OMPI).  L</w:t>
      </w:r>
      <w:r w:rsidR="00F3296C" w:rsidRPr="0048528B">
        <w:rPr>
          <w:rFonts w:cs="Arial"/>
          <w:lang w:val="fr-FR"/>
        </w:rPr>
        <w:t>’</w:t>
      </w:r>
      <w:r w:rsidRPr="0048528B">
        <w:rPr>
          <w:rFonts w:cs="Arial"/>
          <w:lang w:val="fr-FR"/>
        </w:rPr>
        <w:t>atelier préparatoire a eu lieu durant l</w:t>
      </w:r>
      <w:r w:rsidR="00F3296C" w:rsidRPr="0048528B">
        <w:rPr>
          <w:rFonts w:cs="Arial"/>
          <w:lang w:val="fr-FR"/>
        </w:rPr>
        <w:t>’</w:t>
      </w:r>
      <w:r w:rsidRPr="0048528B">
        <w:rPr>
          <w:rFonts w:cs="Arial"/>
          <w:lang w:val="fr-FR"/>
        </w:rPr>
        <w:t>après</w:t>
      </w:r>
      <w:r w:rsidR="003F00B6" w:rsidRPr="0048528B">
        <w:rPr>
          <w:rFonts w:cs="Arial"/>
          <w:lang w:val="fr-FR"/>
        </w:rPr>
        <w:noBreakHyphen/>
      </w:r>
      <w:r w:rsidRPr="0048528B">
        <w:rPr>
          <w:rFonts w:cs="Arial"/>
          <w:lang w:val="fr-FR"/>
        </w:rPr>
        <w:t xml:space="preserve">midi du lundi 20 mai </w:t>
      </w:r>
      <w:r w:rsidR="00954303" w:rsidRPr="0048528B">
        <w:rPr>
          <w:rFonts w:cs="Arial"/>
          <w:lang w:val="fr-FR"/>
        </w:rPr>
        <w:t>et a réuni</w:t>
      </w:r>
      <w:r w:rsidRPr="0048528B">
        <w:rPr>
          <w:rFonts w:cs="Arial"/>
          <w:lang w:val="fr-FR"/>
        </w:rPr>
        <w:t xml:space="preserve"> 25</w:t>
      </w:r>
      <w:r w:rsidR="00954303" w:rsidRPr="0048528B">
        <w:rPr>
          <w:rFonts w:cs="Arial"/>
          <w:lang w:val="fr-FR"/>
        </w:rPr>
        <w:t> </w:t>
      </w:r>
      <w:r w:rsidRPr="0048528B">
        <w:rPr>
          <w:rFonts w:cs="Arial"/>
          <w:lang w:val="fr-FR"/>
        </w:rPr>
        <w:t xml:space="preserve">participants </w:t>
      </w:r>
      <w:r w:rsidR="00954303" w:rsidRPr="0048528B">
        <w:rPr>
          <w:rFonts w:cs="Arial"/>
          <w:lang w:val="fr-FR"/>
        </w:rPr>
        <w:t>représentant</w:t>
      </w:r>
      <w:r w:rsidRPr="0048528B">
        <w:rPr>
          <w:rFonts w:cs="Arial"/>
          <w:lang w:val="fr-FR"/>
        </w:rPr>
        <w:t xml:space="preserve"> 14 membres de l</w:t>
      </w:r>
      <w:r w:rsidR="00F3296C" w:rsidRPr="0048528B">
        <w:rPr>
          <w:rFonts w:cs="Arial"/>
          <w:lang w:val="fr-FR"/>
        </w:rPr>
        <w:t>’</w:t>
      </w:r>
      <w:r w:rsidRPr="0048528B">
        <w:rPr>
          <w:rFonts w:cs="Arial"/>
          <w:lang w:val="fr-FR"/>
        </w:rPr>
        <w:t>Union.</w:t>
      </w:r>
    </w:p>
    <w:p w:rsidR="00C97F0A" w:rsidRPr="0048528B" w:rsidRDefault="00C97F0A" w:rsidP="00C97F0A">
      <w:pPr>
        <w:contextualSpacing/>
        <w:rPr>
          <w:rFonts w:cs="Arial"/>
          <w:lang w:val="fr-FR"/>
        </w:rPr>
      </w:pPr>
    </w:p>
    <w:p w:rsidR="00F3296C" w:rsidRPr="0048528B" w:rsidRDefault="00C97F0A" w:rsidP="00C97F0A">
      <w:pPr>
        <w:contextualSpacing/>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M.</w:t>
      </w:r>
      <w:r w:rsidR="00E3136C" w:rsidRPr="0048528B">
        <w:rPr>
          <w:lang w:val="fr-FR"/>
        </w:rPr>
        <w:t> </w:t>
      </w:r>
      <w:r w:rsidRPr="0048528B">
        <w:rPr>
          <w:rFonts w:cs="Arial"/>
          <w:lang w:val="fr-FR"/>
        </w:rPr>
        <w:t>Robert Tessier, sous</w:t>
      </w:r>
      <w:r w:rsidR="003F00B6" w:rsidRPr="0048528B">
        <w:rPr>
          <w:rFonts w:cs="Arial"/>
          <w:lang w:val="fr-FR"/>
        </w:rPr>
        <w:noBreakHyphen/>
      </w:r>
      <w:r w:rsidRPr="0048528B">
        <w:rPr>
          <w:rFonts w:cs="Arial"/>
          <w:lang w:val="fr-FR"/>
        </w:rPr>
        <w:t>directeur de la Qualité et de la protection des végétaux</w:t>
      </w:r>
      <w:r w:rsidR="00954303" w:rsidRPr="0048528B">
        <w:rPr>
          <w:rFonts w:cs="Arial"/>
          <w:lang w:val="fr-FR"/>
        </w:rPr>
        <w:t xml:space="preserve"> au</w:t>
      </w:r>
      <w:r w:rsidRPr="0048528B">
        <w:rPr>
          <w:rFonts w:cs="Arial"/>
          <w:lang w:val="fr-FR"/>
        </w:rPr>
        <w:t xml:space="preserve"> Ministère de l</w:t>
      </w:r>
      <w:r w:rsidR="00F3296C" w:rsidRPr="0048528B">
        <w:rPr>
          <w:rFonts w:cs="Arial"/>
          <w:lang w:val="fr-FR"/>
        </w:rPr>
        <w:t>’</w:t>
      </w:r>
      <w:r w:rsidRPr="0048528B">
        <w:rPr>
          <w:rFonts w:cs="Arial"/>
          <w:lang w:val="fr-FR"/>
        </w:rPr>
        <w:t>agriculture et de la pêche, a souhaité la bienvenue aux participants de la session.  Les participants</w:t>
      </w:r>
      <w:r w:rsidR="00F3296C" w:rsidRPr="0048528B">
        <w:rPr>
          <w:rFonts w:cs="Arial"/>
          <w:lang w:val="fr-FR"/>
        </w:rPr>
        <w:t xml:space="preserve"> du TWA</w:t>
      </w:r>
      <w:r w:rsidRPr="0048528B">
        <w:rPr>
          <w:rFonts w:cs="Arial"/>
          <w:lang w:val="fr-FR"/>
        </w:rPr>
        <w:t xml:space="preserve"> ont pris connaissance des exposés présentés par Mme</w:t>
      </w:r>
      <w:r w:rsidR="00E3136C" w:rsidRPr="0048528B">
        <w:rPr>
          <w:rFonts w:cs="Arial"/>
          <w:lang w:val="fr-FR"/>
        </w:rPr>
        <w:t> </w:t>
      </w:r>
      <w:r w:rsidRPr="0048528B">
        <w:rPr>
          <w:rFonts w:cs="Arial"/>
          <w:lang w:val="fr-FR"/>
        </w:rPr>
        <w:t>Sylvie Dutartre, directrice générale du Groupe d</w:t>
      </w:r>
      <w:r w:rsidR="00F3296C" w:rsidRPr="0048528B">
        <w:rPr>
          <w:rFonts w:cs="Arial"/>
          <w:lang w:val="fr-FR"/>
        </w:rPr>
        <w:t>’</w:t>
      </w:r>
      <w:r w:rsidRPr="0048528B">
        <w:rPr>
          <w:rFonts w:cs="Arial"/>
          <w:lang w:val="fr-FR"/>
        </w:rPr>
        <w:t>étude et de contrôle des variétés et des semences (GEVES), M.</w:t>
      </w:r>
      <w:r w:rsidR="00E3136C" w:rsidRPr="0048528B">
        <w:rPr>
          <w:rFonts w:cs="Arial"/>
          <w:lang w:val="fr-FR"/>
        </w:rPr>
        <w:t> </w:t>
      </w:r>
      <w:r w:rsidRPr="0048528B">
        <w:rPr>
          <w:rFonts w:cs="Arial"/>
          <w:lang w:val="fr-FR"/>
        </w:rPr>
        <w:t>Georges Sicard, directeur du Secteur étude des variétés chez GEVES, et Mme</w:t>
      </w:r>
      <w:r w:rsidR="00E3136C" w:rsidRPr="0048528B">
        <w:rPr>
          <w:rFonts w:cs="Arial"/>
          <w:lang w:val="fr-FR"/>
        </w:rPr>
        <w:t> </w:t>
      </w:r>
      <w:r w:rsidRPr="0048528B">
        <w:rPr>
          <w:rFonts w:cs="Arial"/>
          <w:lang w:val="fr-FR"/>
        </w:rPr>
        <w:t>Virginie Bertoux, responsable de l</w:t>
      </w:r>
      <w:r w:rsidR="00F3296C" w:rsidRPr="0048528B">
        <w:rPr>
          <w:rFonts w:cs="Arial"/>
          <w:lang w:val="fr-FR"/>
        </w:rPr>
        <w:t>’</w:t>
      </w:r>
      <w:r w:rsidRPr="0048528B">
        <w:rPr>
          <w:rFonts w:cs="Arial"/>
          <w:lang w:val="fr-FR"/>
        </w:rPr>
        <w:t>Instance nationale des obtentions végétales (INOV).</w:t>
      </w:r>
    </w:p>
    <w:p w:rsidR="00C97F0A" w:rsidRPr="0048528B" w:rsidRDefault="00C97F0A" w:rsidP="00C97F0A">
      <w:pPr>
        <w:contextualSpacing/>
        <w:rPr>
          <w:rFonts w:cs="Arial"/>
          <w:lang w:val="fr-FR"/>
        </w:rPr>
      </w:pPr>
    </w:p>
    <w:p w:rsidR="00C97F0A" w:rsidRPr="0048528B" w:rsidRDefault="00C97F0A" w:rsidP="00C97F0A">
      <w:pPr>
        <w:contextualSpacing/>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TWA a pris note des informations sur les faits nouveaux en matière de protection des variétés végétales présentées par des membres ou des observateurs dans le document TWA/41/31 “Reports on Development in Plant Variety Protection from Members and Observers”, puis le Bureau de l</w:t>
      </w:r>
      <w:r w:rsidR="00F3296C" w:rsidRPr="0048528B">
        <w:rPr>
          <w:rFonts w:cs="Arial"/>
          <w:lang w:val="fr-FR"/>
        </w:rPr>
        <w:t>’</w:t>
      </w:r>
      <w:r w:rsidRPr="0048528B">
        <w:rPr>
          <w:rFonts w:cs="Arial"/>
          <w:lang w:val="fr-FR"/>
        </w:rPr>
        <w:t>Union a présenté un exposé sur les faits nouveaux intervenus à l</w:t>
      </w:r>
      <w:r w:rsidR="00F3296C" w:rsidRPr="0048528B">
        <w:rPr>
          <w:rFonts w:cs="Arial"/>
          <w:lang w:val="fr-FR"/>
        </w:rPr>
        <w:t>’</w:t>
      </w:r>
      <w:r w:rsidRPr="0048528B">
        <w:rPr>
          <w:rFonts w:cs="Arial"/>
          <w:lang w:val="fr-FR"/>
        </w:rPr>
        <w:t>UPOV.  Le TWA a ensuite pris note des informations sur les faits nouveaux à l</w:t>
      </w:r>
      <w:r w:rsidR="00F3296C" w:rsidRPr="0048528B">
        <w:rPr>
          <w:rFonts w:cs="Arial"/>
          <w:lang w:val="fr-FR"/>
        </w:rPr>
        <w:t>’</w:t>
      </w:r>
      <w:r w:rsidRPr="0048528B">
        <w:rPr>
          <w:rFonts w:cs="Arial"/>
          <w:lang w:val="fr-FR"/>
        </w:rPr>
        <w:t>UPOV concernant les techniques moléculaires, qui figurent dans le document TWA/41/2 “Molecular Techniques”.</w:t>
      </w:r>
    </w:p>
    <w:p w:rsidR="00C97F0A" w:rsidRPr="0048528B" w:rsidRDefault="00C97F0A" w:rsidP="00C97F0A">
      <w:pPr>
        <w:contextualSpacing/>
        <w:rPr>
          <w:rFonts w:cs="Arial"/>
          <w:lang w:val="fr-FR"/>
        </w:rPr>
      </w:pPr>
    </w:p>
    <w:p w:rsidR="00C97F0A" w:rsidRPr="0048528B" w:rsidRDefault="00C97F0A" w:rsidP="00C97F0A">
      <w:pPr>
        <w:contextualSpacing/>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Plusieurs documents TGP ont été examinés : TGP/7 “Élaboration des principes directeurs d</w:t>
      </w:r>
      <w:r w:rsidR="00F3296C" w:rsidRPr="0048528B">
        <w:rPr>
          <w:rFonts w:cs="Arial"/>
          <w:lang w:val="fr-FR"/>
        </w:rPr>
        <w:t>’</w:t>
      </w:r>
      <w:r w:rsidRPr="0048528B">
        <w:rPr>
          <w:rFonts w:cs="Arial"/>
          <w:lang w:val="fr-FR"/>
        </w:rPr>
        <w:t>examen</w:t>
      </w:r>
      <w:r w:rsidR="002D7602" w:rsidRPr="0048528B">
        <w:rPr>
          <w:rFonts w:cs="Arial"/>
          <w:lang w:val="fr-FR"/>
        </w:rPr>
        <w:t>”</w:t>
      </w:r>
      <w:r w:rsidRPr="0048528B">
        <w:rPr>
          <w:rFonts w:cs="Arial"/>
          <w:lang w:val="fr-FR"/>
        </w:rPr>
        <w:t>, TGP/8 “Protocole d</w:t>
      </w:r>
      <w:r w:rsidR="00F3296C" w:rsidRPr="0048528B">
        <w:rPr>
          <w:rFonts w:cs="Arial"/>
          <w:lang w:val="fr-FR"/>
        </w:rPr>
        <w:t>’</w:t>
      </w:r>
      <w:r w:rsidRPr="0048528B">
        <w:rPr>
          <w:rFonts w:cs="Arial"/>
          <w:lang w:val="fr-FR"/>
        </w:rPr>
        <w:t>essai et techniques utilisés dans l</w:t>
      </w:r>
      <w:r w:rsidR="00F3296C" w:rsidRPr="0048528B">
        <w:rPr>
          <w:rFonts w:cs="Arial"/>
          <w:lang w:val="fr-FR"/>
        </w:rPr>
        <w:t>’</w:t>
      </w:r>
      <w:r w:rsidRPr="0048528B">
        <w:rPr>
          <w:rFonts w:cs="Arial"/>
          <w:lang w:val="fr-FR"/>
        </w:rPr>
        <w:t>examen de la distinction, de l</w:t>
      </w:r>
      <w:r w:rsidR="00F3296C" w:rsidRPr="0048528B">
        <w:rPr>
          <w:rFonts w:cs="Arial"/>
          <w:lang w:val="fr-FR"/>
        </w:rPr>
        <w:t>’</w:t>
      </w:r>
      <w:r w:rsidRPr="0048528B">
        <w:rPr>
          <w:rFonts w:cs="Arial"/>
          <w:lang w:val="fr-FR"/>
        </w:rPr>
        <w:t>homogénéité et de la stabilité” et TGP/14 “Glossaire de termes utilisés dans les documents de l</w:t>
      </w:r>
      <w:r w:rsidR="00F3296C" w:rsidRPr="0048528B">
        <w:rPr>
          <w:rFonts w:cs="Arial"/>
          <w:lang w:val="fr-FR"/>
        </w:rPr>
        <w:t>’</w:t>
      </w:r>
      <w:r w:rsidRPr="0048528B">
        <w:rPr>
          <w:rFonts w:cs="Arial"/>
          <w:lang w:val="fr-FR"/>
        </w:rPr>
        <w:t>UPOV”.</w:t>
      </w:r>
    </w:p>
    <w:p w:rsidR="00C97F0A" w:rsidRPr="0048528B" w:rsidRDefault="00C97F0A" w:rsidP="00C97F0A">
      <w:pPr>
        <w:contextualSpacing/>
        <w:rPr>
          <w:rFonts w:cs="Arial"/>
          <w:lang w:val="fr-FR"/>
        </w:rPr>
      </w:pPr>
    </w:p>
    <w:p w:rsidR="00C97F0A" w:rsidRPr="0048528B" w:rsidRDefault="00C97F0A" w:rsidP="00C97F0A">
      <w:pPr>
        <w:contextualSpacing/>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En ce qui concerne la révision du </w:t>
      </w:r>
      <w:r w:rsidR="00F3296C" w:rsidRPr="0048528B">
        <w:rPr>
          <w:rFonts w:cs="Arial"/>
          <w:lang w:val="fr-FR"/>
        </w:rPr>
        <w:t>document T</w:t>
      </w:r>
      <w:r w:rsidR="00954303" w:rsidRPr="0048528B">
        <w:rPr>
          <w:rFonts w:cs="Arial"/>
          <w:lang w:val="fr-FR"/>
        </w:rPr>
        <w:t>G</w:t>
      </w:r>
      <w:r w:rsidRPr="0048528B">
        <w:rPr>
          <w:rFonts w:cs="Arial"/>
          <w:lang w:val="fr-FR"/>
        </w:rPr>
        <w:t>P/7,</w:t>
      </w:r>
      <w:r w:rsidR="00F3296C" w:rsidRPr="0048528B">
        <w:rPr>
          <w:rFonts w:cs="Arial"/>
          <w:lang w:val="fr-FR"/>
        </w:rPr>
        <w:t xml:space="preserve"> le TWA</w:t>
      </w:r>
      <w:r w:rsidRPr="0048528B">
        <w:rPr>
          <w:rFonts w:cs="Arial"/>
          <w:lang w:val="fr-FR"/>
        </w:rPr>
        <w:t xml:space="preserve"> a examiné le document TWA/41/11 “Summary of Revisions Agreed for Document TGP/7 </w:t>
      </w:r>
      <w:r w:rsidR="00F3296C" w:rsidRPr="0048528B">
        <w:rPr>
          <w:rFonts w:cs="Arial"/>
          <w:lang w:val="fr-FR"/>
        </w:rPr>
        <w:t>‘</w:t>
      </w:r>
      <w:r w:rsidRPr="0048528B">
        <w:rPr>
          <w:rFonts w:cs="Arial"/>
          <w:lang w:val="fr-FR"/>
        </w:rPr>
        <w:t>Development of Test Guidelines</w:t>
      </w:r>
      <w:r w:rsidR="00F3296C" w:rsidRPr="0048528B">
        <w:rPr>
          <w:rFonts w:cs="Arial"/>
          <w:lang w:val="fr-FR"/>
        </w:rPr>
        <w:t>’</w:t>
      </w:r>
      <w:r w:rsidRPr="0048528B">
        <w:rPr>
          <w:rFonts w:cs="Arial"/>
          <w:lang w:val="fr-FR"/>
        </w:rPr>
        <w:t>” et est convenu, comme proposé à l</w:t>
      </w:r>
      <w:r w:rsidR="00F3296C" w:rsidRPr="0048528B">
        <w:rPr>
          <w:rFonts w:cs="Arial"/>
          <w:lang w:val="fr-FR"/>
        </w:rPr>
        <w:t>’</w:t>
      </w:r>
      <w:r w:rsidRPr="0048528B">
        <w:rPr>
          <w:rFonts w:cs="Arial"/>
          <w:lang w:val="fr-FR"/>
        </w:rPr>
        <w:t>annexe du document TWA/41/11, de modifier le document TGP/7</w:t>
      </w:r>
      <w:r w:rsidR="00E3136C" w:rsidRPr="0048528B">
        <w:rPr>
          <w:rFonts w:cs="Arial"/>
          <w:lang w:val="fr-FR"/>
        </w:rPr>
        <w:t> </w:t>
      </w:r>
      <w:r w:rsidRPr="0048528B">
        <w:rPr>
          <w:rFonts w:cs="Arial"/>
          <w:lang w:val="fr-FR"/>
        </w:rPr>
        <w:t>: GN 7.</w:t>
      </w:r>
    </w:p>
    <w:p w:rsidR="00C97F0A" w:rsidRPr="0048528B" w:rsidRDefault="00C97F0A" w:rsidP="00C97F0A">
      <w:pPr>
        <w:contextualSpacing/>
        <w:rPr>
          <w:rFonts w:cs="Arial"/>
          <w:lang w:val="fr-FR"/>
        </w:rPr>
      </w:pPr>
    </w:p>
    <w:p w:rsidR="00C97F0A" w:rsidRPr="0048528B" w:rsidRDefault="00937C59" w:rsidP="00C97F0A">
      <w:pPr>
        <w:contextualSpacing/>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00C97F0A" w:rsidRPr="0048528B">
        <w:rPr>
          <w:lang w:val="fr-FR"/>
        </w:rPr>
        <w:tab/>
      </w:r>
      <w:r w:rsidR="00C97F0A" w:rsidRPr="0048528B">
        <w:rPr>
          <w:rFonts w:cs="Arial"/>
          <w:lang w:val="fr-FR"/>
        </w:rPr>
        <w:t>Le TWA a suivi un exposé présenté par l</w:t>
      </w:r>
      <w:r w:rsidR="00F3296C" w:rsidRPr="0048528B">
        <w:rPr>
          <w:rFonts w:cs="Arial"/>
          <w:lang w:val="fr-FR"/>
        </w:rPr>
        <w:t>’</w:t>
      </w:r>
      <w:r w:rsidR="00C97F0A" w:rsidRPr="0048528B">
        <w:rPr>
          <w:rFonts w:cs="Arial"/>
          <w:lang w:val="fr-FR"/>
        </w:rPr>
        <w:t>expert de l</w:t>
      </w:r>
      <w:r w:rsidR="00F3296C" w:rsidRPr="0048528B">
        <w:rPr>
          <w:rFonts w:cs="Arial"/>
          <w:lang w:val="fr-FR"/>
        </w:rPr>
        <w:t>’</w:t>
      </w:r>
      <w:r w:rsidR="00C97F0A" w:rsidRPr="0048528B">
        <w:rPr>
          <w:rFonts w:cs="Arial"/>
          <w:lang w:val="fr-FR"/>
        </w:rPr>
        <w:t>Allemagne fondé sur le document TWA/41/12 “Guidance on the Number of Plants to be Examined for Distinctness”.  Les documents ci</w:t>
      </w:r>
      <w:r w:rsidR="003F00B6" w:rsidRPr="0048528B">
        <w:rPr>
          <w:rFonts w:cs="Arial"/>
          <w:lang w:val="fr-FR"/>
        </w:rPr>
        <w:noBreakHyphen/>
      </w:r>
      <w:r w:rsidR="00C97F0A" w:rsidRPr="0048528B">
        <w:rPr>
          <w:rFonts w:cs="Arial"/>
          <w:lang w:val="fr-FR"/>
        </w:rPr>
        <w:t>après ont également été examinés</w:t>
      </w:r>
      <w:r w:rsidR="00E3136C" w:rsidRPr="0048528B">
        <w:rPr>
          <w:rFonts w:cs="Arial"/>
          <w:lang w:val="fr-FR"/>
        </w:rPr>
        <w:t> </w:t>
      </w:r>
      <w:r w:rsidR="00C97F0A" w:rsidRPr="0048528B">
        <w:rPr>
          <w:rFonts w:cs="Arial"/>
          <w:lang w:val="fr-FR"/>
        </w:rPr>
        <w:t>: TWA/41/13 “Guidance for Method of Observation”, TWA/41/14 “Example Varieties” et TWA/41/15 “Providing Photographs with the Technical Questionnaire”.  Plusieurs propositions et observations ont été faites et notées.</w:t>
      </w:r>
    </w:p>
    <w:p w:rsidR="00C97F0A" w:rsidRPr="0048528B" w:rsidRDefault="00C97F0A" w:rsidP="00C97F0A">
      <w:pPr>
        <w:contextualSpacing/>
        <w:rPr>
          <w:rFonts w:cs="Arial"/>
          <w:lang w:val="fr-FR"/>
        </w:rPr>
      </w:pPr>
    </w:p>
    <w:p w:rsidR="00C97F0A" w:rsidRPr="0048528B" w:rsidRDefault="00C97F0A" w:rsidP="00C97F0A">
      <w:pPr>
        <w:autoSpaceDE w:val="0"/>
        <w:autoSpaceDN w:val="0"/>
        <w:adjustRightInd w:val="0"/>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En ce qui concerne le document TGP/8 </w:t>
      </w:r>
      <w:r w:rsidR="00D37609" w:rsidRPr="0048528B">
        <w:rPr>
          <w:rFonts w:cs="Arial"/>
          <w:lang w:val="fr-FR"/>
        </w:rPr>
        <w:t>“</w:t>
      </w:r>
      <w:r w:rsidRPr="0048528B">
        <w:rPr>
          <w:rFonts w:cs="Arial"/>
          <w:lang w:val="fr-FR"/>
        </w:rPr>
        <w:t>Protocole d</w:t>
      </w:r>
      <w:r w:rsidR="00F3296C" w:rsidRPr="0048528B">
        <w:rPr>
          <w:rFonts w:cs="Arial"/>
          <w:lang w:val="fr-FR"/>
        </w:rPr>
        <w:t>’</w:t>
      </w:r>
      <w:r w:rsidRPr="0048528B">
        <w:rPr>
          <w:rFonts w:cs="Arial"/>
          <w:lang w:val="fr-FR"/>
        </w:rPr>
        <w:t>essai et techniques utilisées dans l</w:t>
      </w:r>
      <w:r w:rsidR="00F3296C" w:rsidRPr="0048528B">
        <w:rPr>
          <w:rFonts w:cs="Arial"/>
          <w:lang w:val="fr-FR"/>
        </w:rPr>
        <w:t>’</w:t>
      </w:r>
      <w:r w:rsidRPr="0048528B">
        <w:rPr>
          <w:rFonts w:cs="Arial"/>
          <w:lang w:val="fr-FR"/>
        </w:rPr>
        <w:t>examen de la distinction, de l</w:t>
      </w:r>
      <w:r w:rsidR="00F3296C" w:rsidRPr="0048528B">
        <w:rPr>
          <w:rFonts w:cs="Arial"/>
          <w:lang w:val="fr-FR"/>
        </w:rPr>
        <w:t>’</w:t>
      </w:r>
      <w:r w:rsidRPr="0048528B">
        <w:rPr>
          <w:rFonts w:cs="Arial"/>
          <w:lang w:val="fr-FR"/>
        </w:rPr>
        <w:t>homogénéité et de la stabilité</w:t>
      </w:r>
      <w:r w:rsidR="00D37609" w:rsidRPr="0048528B">
        <w:rPr>
          <w:rFonts w:cs="Arial"/>
          <w:lang w:val="fr-FR"/>
        </w:rPr>
        <w:t>”</w:t>
      </w:r>
      <w:r w:rsidRPr="0048528B">
        <w:rPr>
          <w:rFonts w:cs="Arial"/>
          <w:lang w:val="fr-FR"/>
        </w:rPr>
        <w:t xml:space="preserve">, plusieurs documents ont été examinés. </w:t>
      </w:r>
      <w:r w:rsidR="00F3296C" w:rsidRPr="0048528B">
        <w:rPr>
          <w:rFonts w:cs="Arial"/>
          <w:lang w:val="fr-FR"/>
        </w:rPr>
        <w:t xml:space="preserve"> Le TWA</w:t>
      </w:r>
      <w:r w:rsidRPr="0048528B">
        <w:rPr>
          <w:rFonts w:cs="Arial"/>
          <w:lang w:val="fr-FR"/>
        </w:rPr>
        <w:t xml:space="preserve"> a également suivi des exposés sur plusieurs de ces documents.</w:t>
      </w:r>
    </w:p>
    <w:p w:rsidR="00C97F0A" w:rsidRPr="0048528B" w:rsidRDefault="00C97F0A" w:rsidP="00C97F0A">
      <w:pPr>
        <w:autoSpaceDE w:val="0"/>
        <w:autoSpaceDN w:val="0"/>
        <w:adjustRightInd w:val="0"/>
        <w:rPr>
          <w:rFonts w:cs="Arial"/>
          <w:lang w:val="fr-FR"/>
        </w:rPr>
      </w:pPr>
    </w:p>
    <w:p w:rsidR="00F3296C" w:rsidRPr="0048528B" w:rsidRDefault="00C97F0A" w:rsidP="00C97F0A">
      <w:pPr>
        <w:rPr>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t>Un expert de l</w:t>
      </w:r>
      <w:r w:rsidR="00F3296C" w:rsidRPr="0048528B">
        <w:rPr>
          <w:lang w:val="fr-FR"/>
        </w:rPr>
        <w:t>’</w:t>
      </w:r>
      <w:r w:rsidRPr="0048528B">
        <w:rPr>
          <w:lang w:val="fr-FR"/>
        </w:rPr>
        <w:t>Allemagne a présenté un exposé sur le document TWA/41/16 “Revision of Document TGP/8 Part I, DUS Trial Design and Data Analysis, New Section</w:t>
      </w:r>
      <w:r w:rsidR="00E3136C" w:rsidRPr="0048528B">
        <w:rPr>
          <w:lang w:val="fr-FR"/>
        </w:rPr>
        <w:t> </w:t>
      </w:r>
      <w:r w:rsidRPr="0048528B">
        <w:rPr>
          <w:lang w:val="fr-FR"/>
        </w:rPr>
        <w:t>2 – Data to be Recorded”;  un expert de la France a présenté un exposé sur le document TWA/41/17 “Revision of Document TGP/8 Part II: Techniques Used in DUS Examination, New Section: Guidance of Data Analysis for Blind Randomized Trials”; un expert du Royaume</w:t>
      </w:r>
      <w:r w:rsidR="003F00B6" w:rsidRPr="0048528B">
        <w:rPr>
          <w:lang w:val="fr-FR"/>
        </w:rPr>
        <w:noBreakHyphen/>
      </w:r>
      <w:r w:rsidRPr="0048528B">
        <w:rPr>
          <w:lang w:val="fr-FR"/>
        </w:rPr>
        <w:t>Uni a présenté un exposé sur le document TWA/41/21</w:t>
      </w:r>
      <w:r w:rsidR="00E3136C" w:rsidRPr="0048528B">
        <w:rPr>
          <w:lang w:val="fr-FR"/>
        </w:rPr>
        <w:t> </w:t>
      </w:r>
      <w:r w:rsidRPr="0048528B">
        <w:rPr>
          <w:lang w:val="fr-FR"/>
        </w:rPr>
        <w:t>Corr. “Revision of Document TGP/8 Part II: Techniques Used in DUS Examination, New Section: Reduction of size of the trial”, et un expert des Pays</w:t>
      </w:r>
      <w:r w:rsidR="003F00B6" w:rsidRPr="0048528B">
        <w:rPr>
          <w:lang w:val="fr-FR"/>
        </w:rPr>
        <w:noBreakHyphen/>
      </w:r>
      <w:r w:rsidRPr="0048528B">
        <w:rPr>
          <w:lang w:val="fr-FR"/>
        </w:rPr>
        <w:t>Bas a présenté un exposé sur le document TWA/41/24 “Revision of Document TGP/8 Part I, DUS Trial Design and Data Analysis, New Section: Minimizing the Variation due to Different Observers”.</w:t>
      </w:r>
      <w:r w:rsidRPr="0048528B">
        <w:rPr>
          <w:i/>
          <w:iCs/>
          <w:lang w:val="fr-FR"/>
        </w:rPr>
        <w:t xml:space="preserve">  </w:t>
      </w:r>
      <w:r w:rsidRPr="0048528B">
        <w:rPr>
          <w:lang w:val="fr-FR"/>
        </w:rPr>
        <w:t>Les informations fournies dans ces documents ont été examinées et certaines propositions et recommandations ont été faites.</w:t>
      </w:r>
    </w:p>
    <w:p w:rsidR="00C97F0A" w:rsidRPr="0048528B" w:rsidRDefault="00C97F0A" w:rsidP="00C97F0A">
      <w:pPr>
        <w:contextualSpacing/>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Le TWA a également examiné les documents couvrant la révision du document TGP/14 </w:t>
      </w:r>
      <w:r w:rsidR="00E3136C" w:rsidRPr="0048528B">
        <w:rPr>
          <w:rFonts w:cs="Arial"/>
          <w:lang w:val="fr-FR"/>
        </w:rPr>
        <w:t>“</w:t>
      </w:r>
      <w:r w:rsidRPr="0048528B">
        <w:rPr>
          <w:rFonts w:cs="Arial"/>
          <w:lang w:val="fr-FR"/>
        </w:rPr>
        <w:t>Glossaire de termes utilisés dans les documents de l</w:t>
      </w:r>
      <w:r w:rsidR="00F3296C" w:rsidRPr="0048528B">
        <w:rPr>
          <w:rFonts w:cs="Arial"/>
          <w:lang w:val="fr-FR"/>
        </w:rPr>
        <w:t>’</w:t>
      </w:r>
      <w:r w:rsidRPr="0048528B">
        <w:rPr>
          <w:rFonts w:cs="Arial"/>
          <w:lang w:val="fr-FR"/>
        </w:rPr>
        <w:t>UPOV</w:t>
      </w:r>
      <w:r w:rsidR="00E3136C" w:rsidRPr="0048528B">
        <w:rPr>
          <w:rFonts w:cs="Arial"/>
          <w:lang w:val="fr-FR"/>
        </w:rPr>
        <w:t>”</w:t>
      </w:r>
      <w:r w:rsidRPr="0048528B">
        <w:rPr>
          <w:rFonts w:cs="Arial"/>
          <w:lang w:val="fr-FR"/>
        </w:rPr>
        <w:t xml:space="preserve"> et a approuvé le texte proposé à l</w:t>
      </w:r>
      <w:r w:rsidR="00F3296C" w:rsidRPr="0048528B">
        <w:rPr>
          <w:rFonts w:cs="Arial"/>
          <w:lang w:val="fr-FR"/>
        </w:rPr>
        <w:t>’</w:t>
      </w:r>
      <w:r w:rsidRPr="0048528B">
        <w:rPr>
          <w:rFonts w:cs="Arial"/>
          <w:lang w:val="fr-FR"/>
        </w:rPr>
        <w:t>annexe I du document TWA/41/27 “Revision of Document TGP/14: Section 2 : Botanical Terms, Subsection 2: Shapes and Structures”, concernant l</w:t>
      </w:r>
      <w:r w:rsidR="00F3296C" w:rsidRPr="0048528B">
        <w:rPr>
          <w:rFonts w:cs="Arial"/>
          <w:lang w:val="fr-FR"/>
        </w:rPr>
        <w:t>’</w:t>
      </w:r>
      <w:r w:rsidRPr="0048528B">
        <w:rPr>
          <w:rFonts w:cs="Arial"/>
          <w:lang w:val="fr-FR"/>
        </w:rPr>
        <w:t>angle sous lequel observer la forme des plantes.</w:t>
      </w:r>
      <w:r w:rsidR="00F3296C" w:rsidRPr="0048528B">
        <w:rPr>
          <w:rFonts w:cs="Arial"/>
          <w:lang w:val="fr-FR"/>
        </w:rPr>
        <w:t xml:space="preserve"> Le TWA</w:t>
      </w:r>
      <w:r w:rsidRPr="0048528B">
        <w:rPr>
          <w:rFonts w:cs="Arial"/>
          <w:lang w:val="fr-FR"/>
        </w:rPr>
        <w:t xml:space="preserve"> a fait siennes les définitions pour les termes pédoncule, pédicelle, pétiole et pétiolule et il a recommandé que soit vérifiée la traduction de ces termes.  En ce qui concerne la révision des “composantes de la forme : niveaux d</w:t>
      </w:r>
      <w:r w:rsidR="00F3296C" w:rsidRPr="0048528B">
        <w:rPr>
          <w:rFonts w:cs="Arial"/>
          <w:lang w:val="fr-FR"/>
        </w:rPr>
        <w:t>’</w:t>
      </w:r>
      <w:r w:rsidRPr="0048528B">
        <w:rPr>
          <w:rFonts w:cs="Arial"/>
          <w:lang w:val="fr-FR"/>
        </w:rPr>
        <w:t>expression concernant les rapports”, le TWA a recommandé qu</w:t>
      </w:r>
      <w:r w:rsidR="00F3296C" w:rsidRPr="0048528B">
        <w:rPr>
          <w:rFonts w:cs="Arial"/>
          <w:lang w:val="fr-FR"/>
        </w:rPr>
        <w:t>’</w:t>
      </w:r>
      <w:r w:rsidRPr="0048528B">
        <w:rPr>
          <w:rFonts w:cs="Arial"/>
          <w:lang w:val="fr-FR"/>
        </w:rPr>
        <w:t>il serait plus approprié d</w:t>
      </w:r>
      <w:r w:rsidR="00F3296C" w:rsidRPr="0048528B">
        <w:rPr>
          <w:rFonts w:cs="Arial"/>
          <w:lang w:val="fr-FR"/>
        </w:rPr>
        <w:t>’</w:t>
      </w:r>
      <w:r w:rsidRPr="0048528B">
        <w:rPr>
          <w:rFonts w:cs="Arial"/>
          <w:lang w:val="fr-FR"/>
        </w:rPr>
        <w:t>utiliser les niveaux “petit à grand” au lieu de “bas à élevé” dans le cas du rapport longueur</w:t>
      </w:r>
      <w:r w:rsidR="003F00B6" w:rsidRPr="0048528B">
        <w:rPr>
          <w:rFonts w:cs="Arial"/>
          <w:lang w:val="fr-FR"/>
        </w:rPr>
        <w:noBreakHyphen/>
      </w:r>
      <w:r w:rsidRPr="0048528B">
        <w:rPr>
          <w:rFonts w:cs="Arial"/>
          <w:lang w:val="fr-FR"/>
        </w:rPr>
        <w:t xml:space="preserve">largeur. </w:t>
      </w:r>
      <w:r w:rsidR="00F3296C" w:rsidRPr="0048528B">
        <w:rPr>
          <w:rFonts w:cs="Arial"/>
          <w:lang w:val="fr-FR"/>
        </w:rPr>
        <w:t xml:space="preserve"> Le TWA</w:t>
      </w:r>
      <w:r w:rsidRPr="0048528B">
        <w:rPr>
          <w:rFonts w:cs="Arial"/>
          <w:lang w:val="fr-FR"/>
        </w:rPr>
        <w:t xml:space="preserve"> a examiné les conseils relatifs à l</w:t>
      </w:r>
      <w:r w:rsidR="00F3296C" w:rsidRPr="0048528B">
        <w:rPr>
          <w:rFonts w:cs="Arial"/>
          <w:lang w:val="fr-FR"/>
        </w:rPr>
        <w:t>’</w:t>
      </w:r>
      <w:r w:rsidRPr="0048528B">
        <w:rPr>
          <w:rFonts w:cs="Arial"/>
          <w:lang w:val="fr-FR"/>
        </w:rPr>
        <w:t>utilisation des caractères composites pour déterminer la distinction et l</w:t>
      </w:r>
      <w:r w:rsidR="00F3296C" w:rsidRPr="0048528B">
        <w:rPr>
          <w:rFonts w:cs="Arial"/>
          <w:lang w:val="fr-FR"/>
        </w:rPr>
        <w:t>’</w:t>
      </w:r>
      <w:r w:rsidRPr="0048528B">
        <w:rPr>
          <w:rFonts w:cs="Arial"/>
          <w:lang w:val="fr-FR"/>
        </w:rPr>
        <w:t>homogénéité tels qu</w:t>
      </w:r>
      <w:r w:rsidR="00F3296C" w:rsidRPr="0048528B">
        <w:rPr>
          <w:rFonts w:cs="Arial"/>
          <w:lang w:val="fr-FR"/>
        </w:rPr>
        <w:t>’</w:t>
      </w:r>
      <w:r w:rsidRPr="0048528B">
        <w:rPr>
          <w:rFonts w:cs="Arial"/>
          <w:lang w:val="fr-FR"/>
        </w:rPr>
        <w:t>ils figurent à l</w:t>
      </w:r>
      <w:r w:rsidR="00F3296C" w:rsidRPr="0048528B">
        <w:rPr>
          <w:rFonts w:cs="Arial"/>
          <w:lang w:val="fr-FR"/>
        </w:rPr>
        <w:t>’</w:t>
      </w:r>
      <w:r w:rsidRPr="0048528B">
        <w:rPr>
          <w:rFonts w:cs="Arial"/>
          <w:lang w:val="fr-FR"/>
        </w:rPr>
        <w:t>annexe V du document TWA/41/27.  Il est convenu que la méthode présentée était utile et il en a recommandé l</w:t>
      </w:r>
      <w:r w:rsidR="00F3296C" w:rsidRPr="0048528B">
        <w:rPr>
          <w:rFonts w:cs="Arial"/>
          <w:lang w:val="fr-FR"/>
        </w:rPr>
        <w:t>’</w:t>
      </w:r>
      <w:r w:rsidRPr="0048528B">
        <w:rPr>
          <w:rFonts w:cs="Arial"/>
          <w:lang w:val="fr-FR"/>
        </w:rPr>
        <w:t>inclusion dans le document TGP/14.</w:t>
      </w:r>
    </w:p>
    <w:p w:rsidR="00C97F0A" w:rsidRPr="0048528B" w:rsidRDefault="00C97F0A" w:rsidP="00C97F0A">
      <w:pPr>
        <w:contextualSpacing/>
        <w:rPr>
          <w:rFonts w:cs="Arial"/>
          <w:lang w:val="fr-FR"/>
        </w:rPr>
      </w:pPr>
    </w:p>
    <w:p w:rsidR="00F3296C" w:rsidRPr="0048528B" w:rsidRDefault="00C97F0A" w:rsidP="00C97F0A">
      <w:pPr>
        <w:contextualSpacing/>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TWA a pris note des informations figurant dans le document TWA/41/10 “Method for Calculation of COYU” et dans le document TWA/41/9 “Assessment of Uniformity by Off</w:t>
      </w:r>
      <w:r w:rsidR="003F00B6" w:rsidRPr="0048528B">
        <w:rPr>
          <w:rFonts w:cs="Arial"/>
          <w:lang w:val="fr-FR"/>
        </w:rPr>
        <w:noBreakHyphen/>
      </w:r>
      <w:r w:rsidRPr="0048528B">
        <w:rPr>
          <w:rFonts w:cs="Arial"/>
          <w:lang w:val="fr-FR"/>
        </w:rPr>
        <w:t>Types on the Basis of More Than one Sample or Sub</w:t>
      </w:r>
      <w:r w:rsidR="003F00B6" w:rsidRPr="0048528B">
        <w:rPr>
          <w:rFonts w:cs="Arial"/>
          <w:lang w:val="fr-FR"/>
        </w:rPr>
        <w:noBreakHyphen/>
      </w:r>
      <w:r w:rsidRPr="0048528B">
        <w:rPr>
          <w:rFonts w:cs="Arial"/>
          <w:lang w:val="fr-FR"/>
        </w:rPr>
        <w:t xml:space="preserve">Samples”, </w:t>
      </w:r>
      <w:r w:rsidR="000247FD" w:rsidRPr="0048528B">
        <w:rPr>
          <w:rFonts w:cs="Arial"/>
          <w:lang w:val="fr-FR"/>
        </w:rPr>
        <w:t xml:space="preserve">ainsi que </w:t>
      </w:r>
      <w:r w:rsidRPr="0048528B">
        <w:rPr>
          <w:rFonts w:cs="Arial"/>
          <w:lang w:val="fr-FR"/>
        </w:rPr>
        <w:t>des faits nouveaux concernant les dénominations variétales (document TWA/41/4 “Variety Denominations”) et des informations figurant dans les documents TWA/41/6 “Variety Description Databases”, TWA/41/7 “Exchangeable Software” et TWA/41/8 ”Electronic Application Systems”.</w:t>
      </w:r>
    </w:p>
    <w:p w:rsidR="00C97F0A" w:rsidRPr="0048528B" w:rsidRDefault="00C97F0A" w:rsidP="00C97F0A">
      <w:pPr>
        <w:contextualSpacing/>
        <w:rPr>
          <w:rFonts w:cs="Arial"/>
          <w:color w:val="000000"/>
          <w:lang w:val="fr-FR"/>
        </w:rPr>
      </w:pPr>
    </w:p>
    <w:p w:rsidR="00C97F0A" w:rsidRPr="0048528B" w:rsidRDefault="00C97F0A" w:rsidP="00C97F0A">
      <w:pPr>
        <w:contextualSpacing/>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 xml:space="preserve">Le TWA a </w:t>
      </w:r>
      <w:r w:rsidR="000247FD" w:rsidRPr="0048528B">
        <w:rPr>
          <w:rFonts w:cs="Arial"/>
          <w:color w:val="000000"/>
          <w:lang w:val="fr-FR"/>
        </w:rPr>
        <w:t>suivi</w:t>
      </w:r>
      <w:r w:rsidRPr="0048528B">
        <w:rPr>
          <w:rFonts w:cs="Arial"/>
          <w:color w:val="000000"/>
          <w:lang w:val="fr-FR"/>
        </w:rPr>
        <w:t xml:space="preserve"> un exposé sur la base de données PLUTO et a pris note des informations fournies dans le document TWA/41/5 “UPOV Information Databases”.</w:t>
      </w:r>
    </w:p>
    <w:p w:rsidR="00C97F0A" w:rsidRPr="0048528B" w:rsidRDefault="00C97F0A" w:rsidP="00C97F0A">
      <w:pPr>
        <w:contextualSpacing/>
        <w:rPr>
          <w:rFonts w:cs="Arial"/>
          <w:color w:val="000000"/>
          <w:lang w:val="fr-FR"/>
        </w:rPr>
      </w:pPr>
    </w:p>
    <w:p w:rsidR="00C97F0A" w:rsidRPr="0048528B" w:rsidRDefault="00C97F0A" w:rsidP="00C97F0A">
      <w:pPr>
        <w:contextualSpacing/>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S</w:t>
      </w:r>
      <w:r w:rsidR="00F3296C" w:rsidRPr="0048528B">
        <w:rPr>
          <w:rFonts w:cs="Arial"/>
          <w:color w:val="000000"/>
          <w:lang w:val="fr-FR"/>
        </w:rPr>
        <w:t>’</w:t>
      </w:r>
      <w:r w:rsidRPr="0048528B">
        <w:rPr>
          <w:rFonts w:cs="Arial"/>
          <w:color w:val="000000"/>
          <w:lang w:val="fr-FR"/>
        </w:rPr>
        <w:t>agissant du point</w:t>
      </w:r>
      <w:r w:rsidR="00E3136C" w:rsidRPr="0048528B">
        <w:rPr>
          <w:rFonts w:cs="Arial"/>
          <w:color w:val="000000"/>
          <w:lang w:val="fr-FR"/>
        </w:rPr>
        <w:t> </w:t>
      </w:r>
      <w:r w:rsidRPr="0048528B">
        <w:rPr>
          <w:rFonts w:cs="Arial"/>
          <w:color w:val="000000"/>
          <w:lang w:val="fr-FR"/>
        </w:rPr>
        <w:t>13 de l</w:t>
      </w:r>
      <w:r w:rsidR="00F3296C" w:rsidRPr="0048528B">
        <w:rPr>
          <w:rFonts w:cs="Arial"/>
          <w:color w:val="000000"/>
          <w:lang w:val="fr-FR"/>
        </w:rPr>
        <w:t>’</w:t>
      </w:r>
      <w:r w:rsidRPr="0048528B">
        <w:rPr>
          <w:rFonts w:cs="Arial"/>
          <w:color w:val="000000"/>
          <w:lang w:val="fr-FR"/>
        </w:rPr>
        <w:t xml:space="preserve">ordre du jour, </w:t>
      </w:r>
      <w:r w:rsidR="00E3136C" w:rsidRPr="0048528B">
        <w:rPr>
          <w:rFonts w:cs="Arial"/>
          <w:color w:val="000000"/>
          <w:lang w:val="fr-FR"/>
        </w:rPr>
        <w:t>“</w:t>
      </w:r>
      <w:r w:rsidRPr="0048528B">
        <w:rPr>
          <w:rFonts w:cs="Arial"/>
          <w:color w:val="000000"/>
          <w:lang w:val="fr-FR"/>
        </w:rPr>
        <w:t>Guidance for Drafters of Test Guidelines”</w:t>
      </w:r>
      <w:r w:rsidR="000247FD" w:rsidRPr="0048528B">
        <w:rPr>
          <w:rFonts w:cs="Arial"/>
          <w:color w:val="000000"/>
          <w:lang w:val="fr-FR"/>
        </w:rPr>
        <w:t xml:space="preserve"> </w:t>
      </w:r>
      <w:r w:rsidRPr="0048528B">
        <w:rPr>
          <w:rFonts w:cs="Arial"/>
          <w:color w:val="000000"/>
          <w:lang w:val="fr-FR"/>
        </w:rPr>
        <w:t>(Conseils à l</w:t>
      </w:r>
      <w:r w:rsidR="00F3296C" w:rsidRPr="0048528B">
        <w:rPr>
          <w:rFonts w:cs="Arial"/>
          <w:color w:val="000000"/>
          <w:lang w:val="fr-FR"/>
        </w:rPr>
        <w:t>’</w:t>
      </w:r>
      <w:r w:rsidRPr="0048528B">
        <w:rPr>
          <w:rFonts w:cs="Arial"/>
          <w:color w:val="000000"/>
          <w:lang w:val="fr-FR"/>
        </w:rPr>
        <w:t>intention des rédacteurs de principes directeurs d</w:t>
      </w:r>
      <w:r w:rsidR="00F3296C" w:rsidRPr="0048528B">
        <w:rPr>
          <w:rFonts w:cs="Arial"/>
          <w:color w:val="000000"/>
          <w:lang w:val="fr-FR"/>
        </w:rPr>
        <w:t>’</w:t>
      </w:r>
      <w:r w:rsidRPr="0048528B">
        <w:rPr>
          <w:rFonts w:cs="Arial"/>
          <w:color w:val="000000"/>
          <w:lang w:val="fr-FR"/>
        </w:rPr>
        <w:t>examen),</w:t>
      </w:r>
      <w:r w:rsidR="00F3296C" w:rsidRPr="0048528B">
        <w:rPr>
          <w:rFonts w:cs="Arial"/>
          <w:color w:val="000000"/>
          <w:lang w:val="fr-FR"/>
        </w:rPr>
        <w:t xml:space="preserve"> le TWA</w:t>
      </w:r>
      <w:r w:rsidRPr="0048528B">
        <w:rPr>
          <w:rFonts w:cs="Arial"/>
          <w:color w:val="000000"/>
          <w:lang w:val="fr-FR"/>
        </w:rPr>
        <w:t xml:space="preserve"> a </w:t>
      </w:r>
      <w:r w:rsidR="000247FD" w:rsidRPr="0048528B">
        <w:rPr>
          <w:rFonts w:cs="Arial"/>
          <w:color w:val="000000"/>
          <w:lang w:val="fr-FR"/>
        </w:rPr>
        <w:t>suivi</w:t>
      </w:r>
      <w:r w:rsidRPr="0048528B">
        <w:rPr>
          <w:rFonts w:cs="Arial"/>
          <w:color w:val="000000"/>
          <w:lang w:val="fr-FR"/>
        </w:rPr>
        <w:t xml:space="preserve"> un exposé sur le projet de modèle de principes directeurs d</w:t>
      </w:r>
      <w:r w:rsidR="00F3296C" w:rsidRPr="0048528B">
        <w:rPr>
          <w:rFonts w:cs="Arial"/>
          <w:color w:val="000000"/>
          <w:lang w:val="fr-FR"/>
        </w:rPr>
        <w:t>’</w:t>
      </w:r>
      <w:r w:rsidRPr="0048528B">
        <w:rPr>
          <w:rFonts w:cs="Arial"/>
          <w:color w:val="000000"/>
          <w:lang w:val="fr-FR"/>
        </w:rPr>
        <w:t>examen fondé sur le Web (modèle TG) en vue de sa présentation aux rédacteurs de principes directeurs d</w:t>
      </w:r>
      <w:r w:rsidR="00F3296C" w:rsidRPr="0048528B">
        <w:rPr>
          <w:rFonts w:cs="Arial"/>
          <w:color w:val="000000"/>
          <w:lang w:val="fr-FR"/>
        </w:rPr>
        <w:t>’</w:t>
      </w:r>
      <w:r w:rsidRPr="0048528B">
        <w:rPr>
          <w:rFonts w:cs="Arial"/>
          <w:color w:val="000000"/>
          <w:lang w:val="fr-FR"/>
        </w:rPr>
        <w:t xml:space="preserve">examen. </w:t>
      </w:r>
      <w:r w:rsidR="00F3296C" w:rsidRPr="0048528B">
        <w:rPr>
          <w:rFonts w:cs="Arial"/>
          <w:color w:val="000000"/>
          <w:lang w:val="fr-FR"/>
        </w:rPr>
        <w:t xml:space="preserve"> Le TWA</w:t>
      </w:r>
      <w:r w:rsidRPr="0048528B">
        <w:rPr>
          <w:rFonts w:cs="Arial"/>
          <w:color w:val="000000"/>
          <w:lang w:val="fr-FR"/>
        </w:rPr>
        <w:t xml:space="preserve"> a pris note des caractéristiques du modèle proposé et a examiné les possibilités d</w:t>
      </w:r>
      <w:r w:rsidR="00F3296C" w:rsidRPr="0048528B">
        <w:rPr>
          <w:rFonts w:cs="Arial"/>
          <w:color w:val="000000"/>
          <w:lang w:val="fr-FR"/>
        </w:rPr>
        <w:t>’</w:t>
      </w:r>
      <w:r w:rsidRPr="0048528B">
        <w:rPr>
          <w:rFonts w:cs="Arial"/>
          <w:color w:val="000000"/>
          <w:lang w:val="fr-FR"/>
        </w:rPr>
        <w:t xml:space="preserve">utilisation de ce modèle et des bases de données connexes. </w:t>
      </w:r>
      <w:r w:rsidR="00F3296C" w:rsidRPr="0048528B">
        <w:rPr>
          <w:rFonts w:cs="Arial"/>
          <w:color w:val="000000"/>
          <w:lang w:val="fr-FR"/>
        </w:rPr>
        <w:t xml:space="preserve"> Le TWA</w:t>
      </w:r>
      <w:r w:rsidRPr="0048528B">
        <w:rPr>
          <w:rFonts w:cs="Arial"/>
          <w:color w:val="000000"/>
          <w:lang w:val="fr-FR"/>
        </w:rPr>
        <w:t xml:space="preserve"> a fait sienne cette initiative et est convenu de poursuivre les travaux sur le modèle TG.</w:t>
      </w:r>
    </w:p>
    <w:p w:rsidR="00C97F0A" w:rsidRPr="0048528B" w:rsidRDefault="00C97F0A" w:rsidP="00C97F0A">
      <w:pPr>
        <w:contextualSpacing/>
        <w:rPr>
          <w:rFonts w:cs="Arial"/>
          <w:color w:val="000000"/>
          <w:lang w:val="fr-FR"/>
        </w:rPr>
      </w:pPr>
    </w:p>
    <w:p w:rsidR="00F3296C" w:rsidRPr="0048528B" w:rsidRDefault="00C97F0A" w:rsidP="00C97F0A">
      <w:pPr>
        <w:contextualSpacing/>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Le TWA a examiné 14 projets de principes directeurs d</w:t>
      </w:r>
      <w:r w:rsidR="00F3296C" w:rsidRPr="0048528B">
        <w:rPr>
          <w:rFonts w:cs="Arial"/>
          <w:color w:val="000000"/>
          <w:lang w:val="fr-FR"/>
        </w:rPr>
        <w:t>’</w:t>
      </w:r>
      <w:r w:rsidRPr="0048528B">
        <w:rPr>
          <w:rFonts w:cs="Arial"/>
          <w:color w:val="000000"/>
          <w:lang w:val="fr-FR"/>
        </w:rPr>
        <w:t>examen et est convenu de soumettre au</w:t>
      </w:r>
      <w:r w:rsidR="00F3296C" w:rsidRPr="0048528B">
        <w:rPr>
          <w:rFonts w:cs="Arial"/>
          <w:color w:val="000000"/>
          <w:lang w:val="fr-FR"/>
        </w:rPr>
        <w:t> TC</w:t>
      </w:r>
      <w:r w:rsidRPr="0048528B">
        <w:rPr>
          <w:rFonts w:cs="Arial"/>
          <w:color w:val="000000"/>
          <w:lang w:val="fr-FR"/>
        </w:rPr>
        <w:t xml:space="preserve"> le projet de principes directeurs d</w:t>
      </w:r>
      <w:r w:rsidR="00F3296C" w:rsidRPr="0048528B">
        <w:rPr>
          <w:rFonts w:cs="Arial"/>
          <w:color w:val="000000"/>
          <w:lang w:val="fr-FR"/>
        </w:rPr>
        <w:t>’</w:t>
      </w:r>
      <w:r w:rsidRPr="0048528B">
        <w:rPr>
          <w:rFonts w:cs="Arial"/>
          <w:color w:val="000000"/>
          <w:lang w:val="fr-FR"/>
        </w:rPr>
        <w:t>examen pour la vesce commune, le millet d</w:t>
      </w:r>
      <w:r w:rsidR="00F3296C" w:rsidRPr="0048528B">
        <w:rPr>
          <w:rFonts w:cs="Arial"/>
          <w:color w:val="000000"/>
          <w:lang w:val="fr-FR"/>
        </w:rPr>
        <w:t>’</w:t>
      </w:r>
      <w:r w:rsidRPr="0048528B">
        <w:rPr>
          <w:rFonts w:cs="Arial"/>
          <w:color w:val="000000"/>
          <w:lang w:val="fr-FR"/>
        </w:rPr>
        <w:t>Italie et le sésame.</w:t>
      </w:r>
    </w:p>
    <w:p w:rsidR="00C97F0A" w:rsidRPr="0048528B" w:rsidRDefault="00C97F0A" w:rsidP="00C97F0A">
      <w:pPr>
        <w:contextualSpacing/>
        <w:rPr>
          <w:rFonts w:cs="Arial"/>
          <w:color w:val="000000"/>
          <w:lang w:val="fr-FR"/>
        </w:rPr>
      </w:pPr>
    </w:p>
    <w:p w:rsidR="00C97F0A" w:rsidRPr="0048528B" w:rsidRDefault="00C97F0A" w:rsidP="00C97F0A">
      <w:pPr>
        <w:keepNext/>
        <w:keepLines/>
        <w:rPr>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t>Le TWA est convenu d</w:t>
      </w:r>
      <w:r w:rsidR="00F3296C" w:rsidRPr="0048528B">
        <w:rPr>
          <w:lang w:val="fr-FR"/>
        </w:rPr>
        <w:t>’</w:t>
      </w:r>
      <w:r w:rsidRPr="0048528B">
        <w:rPr>
          <w:lang w:val="fr-FR"/>
        </w:rPr>
        <w:t>examiner à sa quarante</w:t>
      </w:r>
      <w:r w:rsidR="003F00B6" w:rsidRPr="0048528B">
        <w:rPr>
          <w:lang w:val="fr-FR"/>
        </w:rPr>
        <w:noBreakHyphen/>
      </w:r>
      <w:r w:rsidRPr="0048528B">
        <w:rPr>
          <w:lang w:val="fr-FR"/>
        </w:rPr>
        <w:t>deuxième</w:t>
      </w:r>
      <w:r w:rsidR="00E3136C" w:rsidRPr="0048528B">
        <w:rPr>
          <w:lang w:val="fr-FR"/>
        </w:rPr>
        <w:t> </w:t>
      </w:r>
      <w:r w:rsidRPr="0048528B">
        <w:rPr>
          <w:lang w:val="fr-FR"/>
        </w:rPr>
        <w:t>session les projets de principes directeurs d</w:t>
      </w:r>
      <w:r w:rsidR="00F3296C" w:rsidRPr="0048528B">
        <w:rPr>
          <w:lang w:val="fr-FR"/>
        </w:rPr>
        <w:t>’</w:t>
      </w:r>
      <w:r w:rsidRPr="0048528B">
        <w:rPr>
          <w:lang w:val="fr-FR"/>
        </w:rPr>
        <w:t>examen suivants :</w:t>
      </w:r>
    </w:p>
    <w:p w:rsidR="00C97F0A" w:rsidRPr="0048528B" w:rsidRDefault="00C97F0A" w:rsidP="00C97F0A">
      <w:pPr>
        <w:contextualSpacing/>
        <w:rPr>
          <w:rFonts w:cs="Arial"/>
          <w:color w:val="000000"/>
          <w:lang w:val="fr-FR"/>
        </w:rPr>
      </w:pPr>
    </w:p>
    <w:p w:rsidR="00C97F0A" w:rsidRPr="0048528B" w:rsidRDefault="00C97F0A" w:rsidP="00A26EF1">
      <w:pPr>
        <w:keepNext/>
        <w:numPr>
          <w:ilvl w:val="0"/>
          <w:numId w:val="39"/>
        </w:numPr>
        <w:contextualSpacing/>
        <w:rPr>
          <w:rFonts w:cs="Arial"/>
          <w:lang w:val="fr-FR"/>
        </w:rPr>
      </w:pPr>
      <w:r w:rsidRPr="0048528B">
        <w:rPr>
          <w:snapToGrid w:val="0"/>
          <w:color w:val="000000"/>
          <w:lang w:val="fr-FR"/>
        </w:rPr>
        <w:lastRenderedPageBreak/>
        <w:t>Adlay (</w:t>
      </w:r>
      <w:r w:rsidRPr="0048528B">
        <w:rPr>
          <w:i/>
          <w:snapToGrid w:val="0"/>
          <w:color w:val="000000"/>
          <w:lang w:val="fr-FR"/>
        </w:rPr>
        <w:t>Coix ma</w:t>
      </w:r>
      <w:r w:rsidR="003F00B6" w:rsidRPr="0048528B">
        <w:rPr>
          <w:snapToGrid w:val="0"/>
          <w:color w:val="000000"/>
          <w:lang w:val="fr-FR"/>
        </w:rPr>
        <w:noBreakHyphen/>
      </w:r>
      <w:r w:rsidRPr="0048528B">
        <w:rPr>
          <w:i/>
          <w:snapToGrid w:val="0"/>
          <w:color w:val="000000"/>
          <w:lang w:val="fr-FR"/>
        </w:rPr>
        <w:t>yuen</w:t>
      </w:r>
      <w:r w:rsidRPr="0048528B">
        <w:rPr>
          <w:snapToGrid w:val="0"/>
          <w:color w:val="000000"/>
          <w:lang w:val="fr-FR"/>
        </w:rPr>
        <w:t xml:space="preserve"> Roman.)</w:t>
      </w:r>
    </w:p>
    <w:p w:rsidR="00C97F0A" w:rsidRPr="0048528B" w:rsidRDefault="00C97F0A" w:rsidP="00C97F0A">
      <w:pPr>
        <w:numPr>
          <w:ilvl w:val="0"/>
          <w:numId w:val="39"/>
        </w:numPr>
        <w:contextualSpacing/>
        <w:rPr>
          <w:color w:val="000000"/>
          <w:lang w:val="fr-FR"/>
        </w:rPr>
      </w:pPr>
      <w:r w:rsidRPr="0048528B">
        <w:rPr>
          <w:color w:val="000000"/>
          <w:lang w:val="fr-FR"/>
        </w:rPr>
        <w:t>Adzuki/haricot rouge (</w:t>
      </w:r>
      <w:r w:rsidRPr="0048528B">
        <w:rPr>
          <w:i/>
          <w:color w:val="000000"/>
          <w:lang w:val="fr-FR"/>
        </w:rPr>
        <w:t>Vigna angularis</w:t>
      </w:r>
      <w:r w:rsidRPr="0048528B">
        <w:rPr>
          <w:color w:val="000000"/>
          <w:lang w:val="fr-FR"/>
        </w:rPr>
        <w:t>)</w:t>
      </w:r>
    </w:p>
    <w:p w:rsidR="00C97F0A" w:rsidRPr="0048528B" w:rsidRDefault="00C97F0A" w:rsidP="00C97F0A">
      <w:pPr>
        <w:numPr>
          <w:ilvl w:val="0"/>
          <w:numId w:val="39"/>
        </w:numPr>
        <w:contextualSpacing/>
        <w:rPr>
          <w:snapToGrid w:val="0"/>
          <w:color w:val="000000"/>
          <w:lang w:val="fr-FR"/>
        </w:rPr>
      </w:pPr>
      <w:r w:rsidRPr="0048528B">
        <w:rPr>
          <w:snapToGrid w:val="0"/>
          <w:color w:val="000000"/>
          <w:lang w:val="fr-FR"/>
        </w:rPr>
        <w:t>Manioc (</w:t>
      </w:r>
      <w:r w:rsidRPr="0048528B">
        <w:rPr>
          <w:i/>
          <w:snapToGrid w:val="0"/>
          <w:color w:val="000000"/>
          <w:lang w:val="fr-FR"/>
        </w:rPr>
        <w:t xml:space="preserve">Manihot esculenta </w:t>
      </w:r>
      <w:r w:rsidRPr="0048528B">
        <w:rPr>
          <w:snapToGrid w:val="0"/>
          <w:color w:val="000000"/>
          <w:lang w:val="fr-FR"/>
        </w:rPr>
        <w:t>Crantz.)</w:t>
      </w:r>
    </w:p>
    <w:p w:rsidR="00C97F0A" w:rsidRPr="0048528B" w:rsidRDefault="00C97F0A" w:rsidP="00C97F0A">
      <w:pPr>
        <w:numPr>
          <w:ilvl w:val="0"/>
          <w:numId w:val="39"/>
        </w:numPr>
        <w:contextualSpacing/>
        <w:rPr>
          <w:lang w:val="fr-FR"/>
        </w:rPr>
      </w:pPr>
      <w:r w:rsidRPr="0048528B">
        <w:rPr>
          <w:color w:val="000000"/>
          <w:lang w:val="fr-FR"/>
        </w:rPr>
        <w:t>Arachide (</w:t>
      </w:r>
      <w:r w:rsidRPr="0048528B">
        <w:rPr>
          <w:i/>
          <w:color w:val="000000"/>
          <w:lang w:val="fr-FR"/>
        </w:rPr>
        <w:t>Arachis</w:t>
      </w:r>
      <w:r w:rsidRPr="0048528B">
        <w:rPr>
          <w:color w:val="000000"/>
          <w:lang w:val="fr-FR"/>
        </w:rPr>
        <w:t xml:space="preserve"> L.) (révision)</w:t>
      </w:r>
    </w:p>
    <w:p w:rsidR="00C97F0A" w:rsidRPr="0048528B" w:rsidRDefault="00C97F0A" w:rsidP="00C97F0A">
      <w:pPr>
        <w:numPr>
          <w:ilvl w:val="0"/>
          <w:numId w:val="39"/>
        </w:numPr>
        <w:contextualSpacing/>
        <w:rPr>
          <w:color w:val="000000"/>
          <w:lang w:val="fr-FR"/>
        </w:rPr>
      </w:pPr>
      <w:r w:rsidRPr="0048528B">
        <w:rPr>
          <w:color w:val="000000"/>
          <w:lang w:val="fr-FR"/>
        </w:rPr>
        <w:t>Pâturin des prés (</w:t>
      </w:r>
      <w:r w:rsidRPr="0048528B">
        <w:rPr>
          <w:i/>
          <w:color w:val="000000"/>
          <w:lang w:val="fr-FR"/>
        </w:rPr>
        <w:t>Poa pratensis</w:t>
      </w:r>
      <w:r w:rsidRPr="0048528B">
        <w:rPr>
          <w:color w:val="000000"/>
          <w:lang w:val="fr-FR"/>
        </w:rPr>
        <w:t xml:space="preserve"> L.) (révision)</w:t>
      </w:r>
    </w:p>
    <w:p w:rsidR="00C97F0A" w:rsidRPr="0048528B" w:rsidRDefault="000247FD" w:rsidP="00C97F0A">
      <w:pPr>
        <w:numPr>
          <w:ilvl w:val="0"/>
          <w:numId w:val="39"/>
        </w:numPr>
        <w:contextualSpacing/>
        <w:rPr>
          <w:lang w:val="fr-FR"/>
        </w:rPr>
      </w:pPr>
      <w:r w:rsidRPr="0048528B">
        <w:rPr>
          <w:lang w:val="fr-FR"/>
        </w:rPr>
        <w:t xml:space="preserve">Herbe de </w:t>
      </w:r>
      <w:r w:rsidR="00C97F0A" w:rsidRPr="0048528B">
        <w:rPr>
          <w:lang w:val="fr-FR"/>
        </w:rPr>
        <w:t>Rhodes (</w:t>
      </w:r>
      <w:r w:rsidR="00C97F0A" w:rsidRPr="0048528B">
        <w:rPr>
          <w:i/>
          <w:lang w:val="fr-FR"/>
        </w:rPr>
        <w:t>Chloris gayana</w:t>
      </w:r>
      <w:r w:rsidR="00C97F0A" w:rsidRPr="0048528B">
        <w:rPr>
          <w:lang w:val="fr-FR"/>
        </w:rPr>
        <w:t xml:space="preserve"> Kunth)</w:t>
      </w:r>
    </w:p>
    <w:p w:rsidR="00C97F0A" w:rsidRPr="0048528B" w:rsidRDefault="00C97F0A" w:rsidP="00C97F0A">
      <w:pPr>
        <w:numPr>
          <w:ilvl w:val="0"/>
          <w:numId w:val="39"/>
        </w:numPr>
        <w:contextualSpacing/>
        <w:rPr>
          <w:snapToGrid w:val="0"/>
          <w:color w:val="000000"/>
          <w:lang w:val="fr-FR"/>
        </w:rPr>
      </w:pPr>
      <w:r w:rsidRPr="0048528B">
        <w:rPr>
          <w:snapToGrid w:val="0"/>
          <w:color w:val="000000"/>
          <w:lang w:val="fr-FR"/>
        </w:rPr>
        <w:t>Phacélie à feuilles de tanaisie (</w:t>
      </w:r>
      <w:r w:rsidRPr="0048528B">
        <w:rPr>
          <w:i/>
          <w:snapToGrid w:val="0"/>
          <w:color w:val="000000"/>
          <w:lang w:val="fr-FR"/>
        </w:rPr>
        <w:t>Phacelia tanacetifolia</w:t>
      </w:r>
      <w:r w:rsidRPr="0048528B">
        <w:rPr>
          <w:snapToGrid w:val="0"/>
          <w:color w:val="000000"/>
          <w:lang w:val="fr-FR"/>
        </w:rPr>
        <w:t xml:space="preserve"> Benth.)</w:t>
      </w:r>
    </w:p>
    <w:p w:rsidR="00C97F0A" w:rsidRPr="0048528B" w:rsidRDefault="00C97F0A" w:rsidP="00C97F0A">
      <w:pPr>
        <w:numPr>
          <w:ilvl w:val="0"/>
          <w:numId w:val="39"/>
        </w:numPr>
        <w:contextualSpacing/>
        <w:rPr>
          <w:rFonts w:cs="Arial"/>
          <w:lang w:val="fr-FR"/>
        </w:rPr>
      </w:pPr>
      <w:r w:rsidRPr="0048528B">
        <w:rPr>
          <w:rFonts w:cs="Arial"/>
          <w:lang w:val="fr-FR"/>
        </w:rPr>
        <w:t xml:space="preserve">Solanum tuberosum subsp. </w:t>
      </w:r>
      <w:r w:rsidR="00E3136C" w:rsidRPr="0048528B">
        <w:rPr>
          <w:rFonts w:cs="Arial"/>
          <w:lang w:val="fr-FR"/>
        </w:rPr>
        <w:t xml:space="preserve"> </w:t>
      </w:r>
      <w:r w:rsidRPr="0048528B">
        <w:rPr>
          <w:rFonts w:cs="Arial"/>
          <w:lang w:val="fr-FR"/>
        </w:rPr>
        <w:t>Andigenum</w:t>
      </w:r>
    </w:p>
    <w:p w:rsidR="00C97F0A" w:rsidRPr="0048528B" w:rsidRDefault="00C97F0A" w:rsidP="00C97F0A">
      <w:pPr>
        <w:numPr>
          <w:ilvl w:val="0"/>
          <w:numId w:val="39"/>
        </w:numPr>
        <w:contextualSpacing/>
        <w:rPr>
          <w:lang w:val="fr-FR"/>
        </w:rPr>
      </w:pPr>
      <w:r w:rsidRPr="0048528B">
        <w:rPr>
          <w:lang w:val="fr-FR"/>
        </w:rPr>
        <w:t>Sorgho (</w:t>
      </w:r>
      <w:r w:rsidRPr="0048528B">
        <w:rPr>
          <w:i/>
          <w:lang w:val="fr-FR"/>
        </w:rPr>
        <w:t>Sorghum bicolor</w:t>
      </w:r>
      <w:r w:rsidRPr="0048528B">
        <w:rPr>
          <w:lang w:val="fr-FR"/>
        </w:rPr>
        <w:t xml:space="preserve"> L.) (révision)</w:t>
      </w:r>
    </w:p>
    <w:p w:rsidR="00C97F0A" w:rsidRPr="0048528B" w:rsidRDefault="00C97F0A" w:rsidP="00C97F0A">
      <w:pPr>
        <w:numPr>
          <w:ilvl w:val="0"/>
          <w:numId w:val="39"/>
        </w:numPr>
        <w:contextualSpacing/>
        <w:rPr>
          <w:snapToGrid w:val="0"/>
          <w:color w:val="000000"/>
          <w:lang w:val="fr-FR"/>
        </w:rPr>
      </w:pPr>
      <w:r w:rsidRPr="0048528B">
        <w:rPr>
          <w:snapToGrid w:val="0"/>
          <w:color w:val="000000"/>
          <w:lang w:val="fr-FR"/>
        </w:rPr>
        <w:t>Chiendent allongé (</w:t>
      </w:r>
      <w:r w:rsidRPr="0048528B">
        <w:rPr>
          <w:i/>
          <w:snapToGrid w:val="0"/>
          <w:color w:val="000000"/>
          <w:lang w:val="fr-FR"/>
        </w:rPr>
        <w:t>Elytrigia elongata</w:t>
      </w:r>
      <w:r w:rsidRPr="0048528B">
        <w:rPr>
          <w:snapToGrid w:val="0"/>
          <w:color w:val="000000"/>
          <w:lang w:val="fr-FR"/>
        </w:rPr>
        <w:t xml:space="preserve"> (Host) Nevski), (</w:t>
      </w:r>
      <w:r w:rsidRPr="0048528B">
        <w:rPr>
          <w:i/>
          <w:snapToGrid w:val="0"/>
          <w:color w:val="000000"/>
          <w:lang w:val="fr-FR"/>
        </w:rPr>
        <w:t>Agropyron elongatum</w:t>
      </w:r>
      <w:r w:rsidRPr="0048528B">
        <w:rPr>
          <w:snapToGrid w:val="0"/>
          <w:color w:val="000000"/>
          <w:lang w:val="fr-FR"/>
        </w:rPr>
        <w:t xml:space="preserve"> (Host) P.</w:t>
      </w:r>
      <w:r w:rsidR="00E3136C" w:rsidRPr="0048528B">
        <w:rPr>
          <w:snapToGrid w:val="0"/>
          <w:color w:val="000000"/>
          <w:lang w:val="fr-FR"/>
        </w:rPr>
        <w:t> </w:t>
      </w:r>
      <w:r w:rsidRPr="0048528B">
        <w:rPr>
          <w:snapToGrid w:val="0"/>
          <w:color w:val="000000"/>
          <w:lang w:val="fr-FR"/>
        </w:rPr>
        <w:t>Beauv.)</w:t>
      </w:r>
    </w:p>
    <w:p w:rsidR="00C97F0A" w:rsidRPr="0048528B" w:rsidRDefault="00C97F0A" w:rsidP="00C97F0A">
      <w:pPr>
        <w:numPr>
          <w:ilvl w:val="0"/>
          <w:numId w:val="39"/>
        </w:numPr>
        <w:contextualSpacing/>
        <w:rPr>
          <w:i/>
          <w:snapToGrid w:val="0"/>
          <w:color w:val="000000"/>
          <w:lang w:val="fr-FR"/>
        </w:rPr>
      </w:pPr>
      <w:r w:rsidRPr="0048528B">
        <w:rPr>
          <w:i/>
          <w:snapToGrid w:val="0"/>
          <w:color w:val="000000"/>
          <w:lang w:val="fr-FR"/>
        </w:rPr>
        <w:t>Urochloa (Brachiaria)</w:t>
      </w:r>
    </w:p>
    <w:p w:rsidR="00C97F0A" w:rsidRPr="0048528B" w:rsidRDefault="00C97F0A" w:rsidP="00C97F0A">
      <w:pPr>
        <w:numPr>
          <w:ilvl w:val="0"/>
          <w:numId w:val="39"/>
        </w:numPr>
        <w:contextualSpacing/>
        <w:rPr>
          <w:rFonts w:cs="Arial"/>
          <w:lang w:val="fr-FR"/>
        </w:rPr>
      </w:pPr>
      <w:r w:rsidRPr="0048528B">
        <w:rPr>
          <w:rFonts w:cs="Arial"/>
          <w:lang w:val="fr-FR"/>
        </w:rPr>
        <w:t>Blé (</w:t>
      </w:r>
      <w:r w:rsidRPr="0048528B">
        <w:rPr>
          <w:rFonts w:cs="Arial"/>
          <w:i/>
          <w:lang w:val="fr-FR"/>
        </w:rPr>
        <w:t>Triticum aestivum</w:t>
      </w:r>
      <w:r w:rsidRPr="0048528B">
        <w:rPr>
          <w:rFonts w:cs="Arial"/>
          <w:lang w:val="fr-FR"/>
        </w:rPr>
        <w:t>) (révision)</w:t>
      </w:r>
    </w:p>
    <w:p w:rsidR="00C97F0A" w:rsidRPr="0048528B" w:rsidRDefault="00C97F0A" w:rsidP="00C97F0A">
      <w:pPr>
        <w:contextualSpacing/>
        <w:rPr>
          <w:color w:val="000000"/>
          <w:lang w:val="fr-FR"/>
        </w:rPr>
      </w:pPr>
    </w:p>
    <w:p w:rsidR="00C97F0A" w:rsidRPr="0048528B" w:rsidRDefault="00C97F0A" w:rsidP="00C97F0A">
      <w:pPr>
        <w:autoSpaceDE w:val="0"/>
        <w:autoSpaceDN w:val="0"/>
        <w:adjustRightInd w:val="0"/>
        <w:rPr>
          <w:rFonts w:eastAsia="MS Mincho"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eastAsia="MS Mincho" w:cs="Arial"/>
          <w:lang w:val="fr-FR"/>
        </w:rPr>
        <w:t>À l</w:t>
      </w:r>
      <w:r w:rsidR="00F3296C" w:rsidRPr="0048528B">
        <w:rPr>
          <w:rFonts w:eastAsia="MS Mincho" w:cs="Arial"/>
          <w:lang w:val="fr-FR"/>
        </w:rPr>
        <w:t>’</w:t>
      </w:r>
      <w:r w:rsidRPr="0048528B">
        <w:rPr>
          <w:rFonts w:eastAsia="MS Mincho" w:cs="Arial"/>
          <w:lang w:val="fr-FR"/>
        </w:rPr>
        <w:t>invitation de l</w:t>
      </w:r>
      <w:r w:rsidR="00F3296C" w:rsidRPr="0048528B">
        <w:rPr>
          <w:rFonts w:eastAsia="MS Mincho" w:cs="Arial"/>
          <w:lang w:val="fr-FR"/>
        </w:rPr>
        <w:t>’</w:t>
      </w:r>
      <w:r w:rsidRPr="0048528B">
        <w:rPr>
          <w:rFonts w:eastAsia="MS Mincho" w:cs="Arial"/>
          <w:lang w:val="fr-FR"/>
        </w:rPr>
        <w:t>Ukraine,</w:t>
      </w:r>
      <w:r w:rsidR="00F3296C" w:rsidRPr="0048528B">
        <w:rPr>
          <w:rFonts w:eastAsia="MS Mincho" w:cs="Arial"/>
          <w:lang w:val="fr-FR"/>
        </w:rPr>
        <w:t xml:space="preserve"> le TWA</w:t>
      </w:r>
      <w:r w:rsidRPr="0048528B">
        <w:rPr>
          <w:rFonts w:eastAsia="MS Mincho" w:cs="Arial"/>
          <w:lang w:val="fr-FR"/>
        </w:rPr>
        <w:t xml:space="preserve"> a décidé de tenir sa quarante</w:t>
      </w:r>
      <w:r w:rsidR="003F00B6" w:rsidRPr="0048528B">
        <w:rPr>
          <w:rFonts w:eastAsia="MS Mincho" w:cs="Arial"/>
          <w:lang w:val="fr-FR"/>
        </w:rPr>
        <w:noBreakHyphen/>
      </w:r>
      <w:r w:rsidRPr="0048528B">
        <w:rPr>
          <w:rFonts w:eastAsia="MS Mincho" w:cs="Arial"/>
          <w:lang w:val="fr-FR"/>
        </w:rPr>
        <w:t>deuxième</w:t>
      </w:r>
      <w:r w:rsidR="00E3136C" w:rsidRPr="0048528B">
        <w:rPr>
          <w:rFonts w:eastAsia="MS Mincho" w:cs="Arial"/>
          <w:lang w:val="fr-FR"/>
        </w:rPr>
        <w:t> </w:t>
      </w:r>
      <w:r w:rsidR="006F10E9" w:rsidRPr="0048528B">
        <w:rPr>
          <w:rFonts w:eastAsia="MS Mincho" w:cs="Arial"/>
          <w:lang w:val="fr-FR"/>
        </w:rPr>
        <w:t>session à K</w:t>
      </w:r>
      <w:r w:rsidRPr="0048528B">
        <w:rPr>
          <w:rFonts w:eastAsia="MS Mincho" w:cs="Arial"/>
          <w:lang w:val="fr-FR"/>
        </w:rPr>
        <w:t>i</w:t>
      </w:r>
      <w:r w:rsidR="006F10E9" w:rsidRPr="0048528B">
        <w:rPr>
          <w:rFonts w:eastAsia="MS Mincho" w:cs="Arial"/>
          <w:lang w:val="fr-FR"/>
        </w:rPr>
        <w:t>e</w:t>
      </w:r>
      <w:r w:rsidRPr="0048528B">
        <w:rPr>
          <w:rFonts w:eastAsia="MS Mincho" w:cs="Arial"/>
          <w:lang w:val="fr-FR"/>
        </w:rPr>
        <w:t>v du 17 au 2</w:t>
      </w:r>
      <w:r w:rsidR="00F3296C" w:rsidRPr="0048528B">
        <w:rPr>
          <w:rFonts w:eastAsia="MS Mincho" w:cs="Arial"/>
          <w:lang w:val="fr-FR"/>
        </w:rPr>
        <w:t>1 juin 20</w:t>
      </w:r>
      <w:r w:rsidRPr="0048528B">
        <w:rPr>
          <w:rFonts w:eastAsia="MS Mincho" w:cs="Arial"/>
          <w:lang w:val="fr-FR"/>
        </w:rPr>
        <w:t>13, un atelier préparatoire étant prévu le 1</w:t>
      </w:r>
      <w:r w:rsidR="00F3296C" w:rsidRPr="0048528B">
        <w:rPr>
          <w:rFonts w:eastAsia="MS Mincho" w:cs="Arial"/>
          <w:lang w:val="fr-FR"/>
        </w:rPr>
        <w:t>6 juin 20</w:t>
      </w:r>
      <w:r w:rsidRPr="0048528B">
        <w:rPr>
          <w:rFonts w:eastAsia="MS Mincho" w:cs="Arial"/>
          <w:lang w:val="fr-FR"/>
        </w:rPr>
        <w:t>13.</w:t>
      </w:r>
    </w:p>
    <w:p w:rsidR="00C97F0A" w:rsidRPr="0048528B" w:rsidRDefault="00C97F0A" w:rsidP="00C97F0A">
      <w:pPr>
        <w:autoSpaceDE w:val="0"/>
        <w:autoSpaceDN w:val="0"/>
        <w:adjustRightInd w:val="0"/>
        <w:rPr>
          <w:rFonts w:cs="Arial"/>
          <w:lang w:val="fr-FR"/>
        </w:rPr>
      </w:pPr>
    </w:p>
    <w:p w:rsidR="00F3296C" w:rsidRPr="0048528B" w:rsidRDefault="00C97F0A" w:rsidP="00C97F0A">
      <w:pPr>
        <w:autoSpaceDE w:val="0"/>
        <w:autoSpaceDN w:val="0"/>
        <w:adjustRightInd w:val="0"/>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Le TWA a proposé </w:t>
      </w:r>
      <w:r w:rsidR="00E246E3" w:rsidRPr="0048528B">
        <w:rPr>
          <w:rFonts w:cs="Arial"/>
          <w:lang w:val="fr-FR"/>
        </w:rPr>
        <w:t xml:space="preserve">d’examiner </w:t>
      </w:r>
      <w:r w:rsidRPr="0048528B">
        <w:rPr>
          <w:rFonts w:cs="Arial"/>
          <w:lang w:val="fr-FR"/>
        </w:rPr>
        <w:t xml:space="preserve">les points </w:t>
      </w:r>
      <w:r w:rsidR="00E246E3" w:rsidRPr="0048528B">
        <w:rPr>
          <w:rFonts w:cs="Arial"/>
          <w:lang w:val="fr-FR"/>
        </w:rPr>
        <w:t xml:space="preserve">suivants </w:t>
      </w:r>
      <w:r w:rsidRPr="0048528B">
        <w:rPr>
          <w:rFonts w:cs="Arial"/>
          <w:lang w:val="fr-FR"/>
        </w:rPr>
        <w:t>à cette session :</w:t>
      </w:r>
    </w:p>
    <w:p w:rsidR="00C97F0A" w:rsidRPr="0048528B" w:rsidRDefault="00C97F0A" w:rsidP="00C97F0A">
      <w:pPr>
        <w:autoSpaceDE w:val="0"/>
        <w:autoSpaceDN w:val="0"/>
        <w:adjustRightInd w:val="0"/>
        <w:rPr>
          <w:rFonts w:cs="Arial"/>
          <w:lang w:val="fr-FR"/>
        </w:rPr>
      </w:pPr>
    </w:p>
    <w:p w:rsidR="00C97F0A"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Ouverture de la session</w:t>
      </w:r>
    </w:p>
    <w:p w:rsidR="00C97F0A"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Adoption de l</w:t>
      </w:r>
      <w:r w:rsidR="00F3296C" w:rsidRPr="0048528B">
        <w:rPr>
          <w:rFonts w:cs="Arial"/>
          <w:lang w:val="fr-FR"/>
        </w:rPr>
        <w:t>’</w:t>
      </w:r>
      <w:r w:rsidRPr="0048528B">
        <w:rPr>
          <w:rFonts w:cs="Arial"/>
          <w:lang w:val="fr-FR"/>
        </w:rPr>
        <w:t>ordre du jour</w:t>
      </w:r>
    </w:p>
    <w:p w:rsidR="00C97F0A"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Rapports succincts sur l</w:t>
      </w:r>
      <w:r w:rsidR="00F3296C" w:rsidRPr="0048528B">
        <w:rPr>
          <w:rFonts w:cs="Arial"/>
          <w:lang w:val="fr-FR"/>
        </w:rPr>
        <w:t>’</w:t>
      </w:r>
      <w:r w:rsidRPr="0048528B">
        <w:rPr>
          <w:rFonts w:cs="Arial"/>
          <w:lang w:val="fr-FR"/>
        </w:rPr>
        <w:t>évolution de la situation en matière de protection des obtentions végétales</w:t>
      </w:r>
    </w:p>
    <w:p w:rsidR="00F3296C" w:rsidRPr="0048528B" w:rsidRDefault="00C97F0A" w:rsidP="00C97F0A">
      <w:pPr>
        <w:numPr>
          <w:ilvl w:val="0"/>
          <w:numId w:val="30"/>
        </w:numPr>
        <w:tabs>
          <w:tab w:val="clear" w:pos="360"/>
          <w:tab w:val="num" w:pos="1134"/>
          <w:tab w:val="num" w:pos="1494"/>
        </w:tabs>
        <w:spacing w:before="20" w:afterLines="20" w:after="48"/>
        <w:ind w:left="1494"/>
        <w:rPr>
          <w:rFonts w:cs="Arial"/>
          <w:lang w:val="fr-FR"/>
        </w:rPr>
      </w:pPr>
      <w:r w:rsidRPr="0048528B">
        <w:rPr>
          <w:rFonts w:cs="Arial"/>
          <w:lang w:val="fr-FR"/>
        </w:rPr>
        <w:t>Rapports des membres et des observateurs</w:t>
      </w:r>
    </w:p>
    <w:p w:rsidR="00F3296C" w:rsidRPr="0048528B" w:rsidRDefault="00C97F0A" w:rsidP="00C97F0A">
      <w:pPr>
        <w:numPr>
          <w:ilvl w:val="0"/>
          <w:numId w:val="30"/>
        </w:numPr>
        <w:tabs>
          <w:tab w:val="clear" w:pos="360"/>
          <w:tab w:val="num" w:pos="1134"/>
          <w:tab w:val="num" w:pos="1494"/>
        </w:tabs>
        <w:spacing w:before="20" w:afterLines="20" w:after="48"/>
        <w:ind w:left="1494"/>
        <w:rPr>
          <w:rFonts w:cs="Arial"/>
          <w:lang w:val="fr-FR"/>
        </w:rPr>
      </w:pPr>
      <w:r w:rsidRPr="0048528B">
        <w:rPr>
          <w:rFonts w:cs="Arial"/>
          <w:lang w:val="fr-FR"/>
        </w:rPr>
        <w:t>Rapports sur les faits nouveaux intervenus à l</w:t>
      </w:r>
      <w:r w:rsidR="00F3296C" w:rsidRPr="0048528B">
        <w:rPr>
          <w:rFonts w:cs="Arial"/>
          <w:lang w:val="fr-FR"/>
        </w:rPr>
        <w:t>’</w:t>
      </w:r>
      <w:r w:rsidRPr="0048528B">
        <w:rPr>
          <w:rFonts w:cs="Arial"/>
          <w:lang w:val="fr-FR"/>
        </w:rPr>
        <w:t>UPOV</w:t>
      </w:r>
    </w:p>
    <w:p w:rsidR="00F3296C"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Techniques moléculaires</w:t>
      </w:r>
    </w:p>
    <w:p w:rsidR="00F3296C"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Documents TGP</w:t>
      </w:r>
    </w:p>
    <w:p w:rsidR="00C97F0A"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Dénominations variétales</w:t>
      </w:r>
    </w:p>
    <w:p w:rsidR="00C97F0A"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Information et bases de données</w:t>
      </w:r>
    </w:p>
    <w:p w:rsidR="00F3296C" w:rsidRPr="0048528B" w:rsidRDefault="00C97F0A" w:rsidP="00C97F0A">
      <w:pPr>
        <w:tabs>
          <w:tab w:val="num" w:pos="1494"/>
        </w:tabs>
        <w:spacing w:before="20" w:afterLines="20" w:after="48"/>
        <w:ind w:left="1134"/>
        <w:rPr>
          <w:lang w:val="fr-FR"/>
        </w:rPr>
      </w:pPr>
      <w:r w:rsidRPr="0048528B">
        <w:rPr>
          <w:lang w:val="fr-FR"/>
        </w:rPr>
        <w:t>a)</w:t>
      </w:r>
      <w:r w:rsidRPr="0048528B">
        <w:rPr>
          <w:lang w:val="fr-FR"/>
        </w:rPr>
        <w:tab/>
        <w:t>Base de données d</w:t>
      </w:r>
      <w:r w:rsidR="00F3296C" w:rsidRPr="0048528B">
        <w:rPr>
          <w:lang w:val="fr-FR"/>
        </w:rPr>
        <w:t>’</w:t>
      </w:r>
      <w:r w:rsidRPr="0048528B">
        <w:rPr>
          <w:lang w:val="fr-FR"/>
        </w:rPr>
        <w:t>information de l</w:t>
      </w:r>
      <w:r w:rsidR="00F3296C" w:rsidRPr="0048528B">
        <w:rPr>
          <w:lang w:val="fr-FR"/>
        </w:rPr>
        <w:t>’</w:t>
      </w:r>
      <w:r w:rsidRPr="0048528B">
        <w:rPr>
          <w:lang w:val="fr-FR"/>
        </w:rPr>
        <w:t>UPOV</w:t>
      </w:r>
    </w:p>
    <w:p w:rsidR="00F3296C" w:rsidRPr="0048528B" w:rsidRDefault="00C97F0A" w:rsidP="00C97F0A">
      <w:pPr>
        <w:tabs>
          <w:tab w:val="num" w:pos="1494"/>
        </w:tabs>
        <w:spacing w:before="20" w:afterLines="20" w:after="48"/>
        <w:ind w:left="1134"/>
        <w:rPr>
          <w:lang w:val="fr-FR"/>
        </w:rPr>
      </w:pPr>
      <w:r w:rsidRPr="0048528B">
        <w:rPr>
          <w:lang w:val="fr-FR"/>
        </w:rPr>
        <w:t>b)</w:t>
      </w:r>
      <w:r w:rsidRPr="0048528B">
        <w:rPr>
          <w:lang w:val="fr-FR"/>
        </w:rPr>
        <w:tab/>
        <w:t>Bases de données sur les descriptions variétales</w:t>
      </w:r>
    </w:p>
    <w:p w:rsidR="00F3296C" w:rsidRPr="0048528B" w:rsidRDefault="00C97F0A" w:rsidP="00C97F0A">
      <w:pPr>
        <w:tabs>
          <w:tab w:val="num" w:pos="1494"/>
        </w:tabs>
        <w:spacing w:before="20" w:afterLines="20" w:after="48"/>
        <w:ind w:left="1134"/>
        <w:rPr>
          <w:rFonts w:cs="Arial"/>
          <w:lang w:val="fr-FR"/>
        </w:rPr>
      </w:pPr>
      <w:r w:rsidRPr="0048528B">
        <w:rPr>
          <w:rFonts w:cs="Arial"/>
          <w:lang w:val="fr-FR"/>
        </w:rPr>
        <w:t>c)</w:t>
      </w:r>
      <w:r w:rsidRPr="0048528B">
        <w:rPr>
          <w:rFonts w:cs="Arial"/>
          <w:lang w:val="fr-FR"/>
        </w:rPr>
        <w:tab/>
        <w:t>Logiciels échangeables</w:t>
      </w:r>
    </w:p>
    <w:p w:rsidR="00F3296C" w:rsidRPr="0048528B" w:rsidRDefault="00C97F0A" w:rsidP="00C97F0A">
      <w:pPr>
        <w:tabs>
          <w:tab w:val="num" w:pos="1494"/>
        </w:tabs>
        <w:spacing w:before="20" w:afterLines="20" w:after="48"/>
        <w:ind w:left="1134"/>
        <w:rPr>
          <w:lang w:val="fr-FR"/>
        </w:rPr>
      </w:pPr>
      <w:r w:rsidRPr="0048528B">
        <w:rPr>
          <w:lang w:val="fr-FR"/>
        </w:rPr>
        <w:t>d)</w:t>
      </w:r>
      <w:r w:rsidRPr="0048528B">
        <w:rPr>
          <w:lang w:val="fr-FR"/>
        </w:rPr>
        <w:tab/>
        <w:t>Systèmes de dépôt électronique des demandes</w:t>
      </w:r>
    </w:p>
    <w:p w:rsidR="00C97F0A" w:rsidRPr="0048528B" w:rsidRDefault="00C97F0A" w:rsidP="00D37609">
      <w:pPr>
        <w:numPr>
          <w:ilvl w:val="0"/>
          <w:numId w:val="29"/>
        </w:numPr>
        <w:tabs>
          <w:tab w:val="clear" w:pos="1070"/>
        </w:tabs>
        <w:spacing w:before="20" w:afterLines="20" w:after="48"/>
        <w:ind w:left="1134" w:hanging="567"/>
        <w:rPr>
          <w:rFonts w:cs="Arial"/>
          <w:lang w:val="fr-FR"/>
        </w:rPr>
      </w:pPr>
      <w:r w:rsidRPr="0048528B">
        <w:rPr>
          <w:lang w:val="fr-FR"/>
        </w:rPr>
        <w:t>Évaluation de l</w:t>
      </w:r>
      <w:r w:rsidR="00F3296C" w:rsidRPr="0048528B">
        <w:rPr>
          <w:lang w:val="fr-FR"/>
        </w:rPr>
        <w:t>’</w:t>
      </w:r>
      <w:r w:rsidRPr="0048528B">
        <w:rPr>
          <w:lang w:val="fr-FR"/>
        </w:rPr>
        <w:t>homogénéité</w:t>
      </w:r>
    </w:p>
    <w:p w:rsidR="00F3296C"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Questions en suspens concernant les principes directeurs d</w:t>
      </w:r>
      <w:r w:rsidR="00F3296C" w:rsidRPr="0048528B">
        <w:rPr>
          <w:rFonts w:cs="Arial"/>
          <w:lang w:val="fr-FR"/>
        </w:rPr>
        <w:t>’</w:t>
      </w:r>
      <w:r w:rsidRPr="0048528B">
        <w:rPr>
          <w:rFonts w:cs="Arial"/>
          <w:lang w:val="fr-FR"/>
        </w:rPr>
        <w:t>examen adoptés par le Comité technique (</w:t>
      </w:r>
      <w:r w:rsidR="00E246E3" w:rsidRPr="0048528B">
        <w:rPr>
          <w:rFonts w:cs="Arial"/>
          <w:lang w:val="fr-FR"/>
        </w:rPr>
        <w:t>le cas échéant</w:t>
      </w:r>
      <w:r w:rsidRPr="0048528B">
        <w:rPr>
          <w:rFonts w:cs="Arial"/>
          <w:lang w:val="fr-FR"/>
        </w:rPr>
        <w:t>)</w:t>
      </w:r>
    </w:p>
    <w:p w:rsidR="00F3296C"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Examen des projets de principes directeurs d</w:t>
      </w:r>
      <w:r w:rsidR="00F3296C" w:rsidRPr="0048528B">
        <w:rPr>
          <w:rFonts w:cs="Arial"/>
          <w:lang w:val="fr-FR"/>
        </w:rPr>
        <w:t>’</w:t>
      </w:r>
      <w:r w:rsidRPr="0048528B">
        <w:rPr>
          <w:rFonts w:cs="Arial"/>
          <w:lang w:val="fr-FR"/>
        </w:rPr>
        <w:t>examen (sous</w:t>
      </w:r>
      <w:r w:rsidR="003F00B6" w:rsidRPr="0048528B">
        <w:rPr>
          <w:rFonts w:cs="Arial"/>
          <w:lang w:val="fr-FR"/>
        </w:rPr>
        <w:noBreakHyphen/>
      </w:r>
      <w:r w:rsidRPr="0048528B">
        <w:rPr>
          <w:rFonts w:cs="Arial"/>
          <w:lang w:val="fr-FR"/>
        </w:rPr>
        <w:t>groupes)</w:t>
      </w:r>
    </w:p>
    <w:p w:rsidR="00C97F0A"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Recommandations concernant les projets de principes directeurs d</w:t>
      </w:r>
      <w:r w:rsidR="00F3296C" w:rsidRPr="0048528B">
        <w:rPr>
          <w:rFonts w:cs="Arial"/>
          <w:lang w:val="fr-FR"/>
        </w:rPr>
        <w:t>’</w:t>
      </w:r>
      <w:r w:rsidRPr="0048528B">
        <w:rPr>
          <w:rFonts w:cs="Arial"/>
          <w:lang w:val="fr-FR"/>
        </w:rPr>
        <w:t>examen</w:t>
      </w:r>
    </w:p>
    <w:p w:rsidR="00C97F0A"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Orientations pour les rédacteurs de principes directeurs d</w:t>
      </w:r>
      <w:r w:rsidR="00F3296C" w:rsidRPr="0048528B">
        <w:rPr>
          <w:rFonts w:cs="Arial"/>
          <w:lang w:val="fr-FR"/>
        </w:rPr>
        <w:t>’</w:t>
      </w:r>
      <w:r w:rsidRPr="0048528B">
        <w:rPr>
          <w:rFonts w:cs="Arial"/>
          <w:lang w:val="fr-FR"/>
        </w:rPr>
        <w:t>examen</w:t>
      </w:r>
    </w:p>
    <w:p w:rsidR="00C97F0A"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Date et lieu de la prochaine session</w:t>
      </w:r>
    </w:p>
    <w:p w:rsidR="00C97F0A"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Programme futur</w:t>
      </w:r>
    </w:p>
    <w:p w:rsidR="00F3296C"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Compte rendu de la session (</w:t>
      </w:r>
      <w:r w:rsidR="00E246E3" w:rsidRPr="0048528B">
        <w:rPr>
          <w:rFonts w:cs="Arial"/>
          <w:lang w:val="fr-FR"/>
        </w:rPr>
        <w:t>selon le temps disponible</w:t>
      </w:r>
      <w:r w:rsidRPr="0048528B">
        <w:rPr>
          <w:rFonts w:cs="Arial"/>
          <w:lang w:val="fr-FR"/>
        </w:rPr>
        <w:t>)</w:t>
      </w:r>
    </w:p>
    <w:p w:rsidR="00C97F0A" w:rsidRPr="0048528B" w:rsidRDefault="00C97F0A" w:rsidP="00D37609">
      <w:pPr>
        <w:numPr>
          <w:ilvl w:val="0"/>
          <w:numId w:val="29"/>
        </w:numPr>
        <w:tabs>
          <w:tab w:val="clear" w:pos="1070"/>
        </w:tabs>
        <w:spacing w:before="20" w:afterLines="20" w:after="48"/>
        <w:ind w:left="1134" w:hanging="567"/>
        <w:rPr>
          <w:rFonts w:cs="Arial"/>
          <w:lang w:val="fr-FR"/>
        </w:rPr>
      </w:pPr>
      <w:r w:rsidRPr="0048528B">
        <w:rPr>
          <w:rFonts w:cs="Arial"/>
          <w:lang w:val="fr-FR"/>
        </w:rPr>
        <w:t>Clôture de la session</w:t>
      </w:r>
    </w:p>
    <w:p w:rsidR="00C97F0A" w:rsidRPr="0048528B" w:rsidRDefault="00C97F0A" w:rsidP="00C97F0A">
      <w:pPr>
        <w:tabs>
          <w:tab w:val="num" w:pos="1494"/>
        </w:tabs>
        <w:spacing w:before="20" w:afterLines="20" w:after="48"/>
        <w:rPr>
          <w:rFonts w:cs="Arial"/>
          <w:lang w:val="fr-FR"/>
        </w:rPr>
      </w:pPr>
    </w:p>
    <w:p w:rsidR="00C97F0A" w:rsidRPr="0048528B" w:rsidRDefault="00C97F0A" w:rsidP="00C97F0A">
      <w:pPr>
        <w:autoSpaceDE w:val="0"/>
        <w:autoSpaceDN w:val="0"/>
        <w:adjustRightInd w:val="0"/>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w:t>
      </w:r>
      <w:r w:rsidR="00F3296C" w:rsidRPr="0048528B">
        <w:rPr>
          <w:rFonts w:cs="Arial"/>
          <w:lang w:val="fr-FR"/>
        </w:rPr>
        <w:t>’</w:t>
      </w:r>
      <w:r w:rsidRPr="0048528B">
        <w:rPr>
          <w:rFonts w:cs="Arial"/>
          <w:lang w:val="fr-FR"/>
        </w:rPr>
        <w:t>après</w:t>
      </w:r>
      <w:r w:rsidR="003F00B6" w:rsidRPr="0048528B">
        <w:rPr>
          <w:rFonts w:cs="Arial"/>
          <w:lang w:val="fr-FR"/>
        </w:rPr>
        <w:noBreakHyphen/>
      </w:r>
      <w:r w:rsidRPr="0048528B">
        <w:rPr>
          <w:rFonts w:cs="Arial"/>
          <w:lang w:val="fr-FR"/>
        </w:rPr>
        <w:t>midi du 2</w:t>
      </w:r>
      <w:r w:rsidR="00F3296C" w:rsidRPr="0048528B">
        <w:rPr>
          <w:rFonts w:cs="Arial"/>
          <w:lang w:val="fr-FR"/>
        </w:rPr>
        <w:t>3 mai 20</w:t>
      </w:r>
      <w:r w:rsidRPr="0048528B">
        <w:rPr>
          <w:rFonts w:cs="Arial"/>
          <w:lang w:val="fr-FR"/>
        </w:rPr>
        <w:t>12,</w:t>
      </w:r>
      <w:r w:rsidR="00F3296C" w:rsidRPr="0048528B">
        <w:rPr>
          <w:rFonts w:cs="Arial"/>
          <w:lang w:val="fr-FR"/>
        </w:rPr>
        <w:t xml:space="preserve"> le TWA</w:t>
      </w:r>
      <w:r w:rsidRPr="0048528B">
        <w:rPr>
          <w:rFonts w:cs="Arial"/>
          <w:lang w:val="fr-FR"/>
        </w:rPr>
        <w:t xml:space="preserve"> a visité l</w:t>
      </w:r>
      <w:r w:rsidR="00F3296C" w:rsidRPr="0048528B">
        <w:rPr>
          <w:rFonts w:cs="Arial"/>
          <w:lang w:val="fr-FR"/>
        </w:rPr>
        <w:t>’</w:t>
      </w:r>
      <w:r w:rsidRPr="0048528B">
        <w:rPr>
          <w:rFonts w:cs="Arial"/>
          <w:lang w:val="fr-FR"/>
        </w:rPr>
        <w:t>unité expérimentale</w:t>
      </w:r>
      <w:r w:rsidR="00F3296C" w:rsidRPr="0048528B">
        <w:rPr>
          <w:rFonts w:cs="Arial"/>
          <w:lang w:val="fr-FR"/>
        </w:rPr>
        <w:t xml:space="preserve"> du GEV</w:t>
      </w:r>
      <w:r w:rsidRPr="0048528B">
        <w:rPr>
          <w:rFonts w:cs="Arial"/>
          <w:lang w:val="fr-FR"/>
        </w:rPr>
        <w:t>ES située à l</w:t>
      </w:r>
      <w:r w:rsidR="00F3296C" w:rsidRPr="0048528B">
        <w:rPr>
          <w:rFonts w:cs="Arial"/>
          <w:lang w:val="fr-FR"/>
        </w:rPr>
        <w:t>’</w:t>
      </w:r>
      <w:r w:rsidRPr="0048528B">
        <w:rPr>
          <w:rFonts w:cs="Arial"/>
          <w:lang w:val="fr-FR"/>
        </w:rPr>
        <w:t xml:space="preserve">Anjouère. </w:t>
      </w:r>
      <w:r w:rsidR="00F3296C" w:rsidRPr="0048528B">
        <w:rPr>
          <w:rFonts w:cs="Arial"/>
          <w:lang w:val="fr-FR"/>
        </w:rPr>
        <w:t xml:space="preserve"> Le TWA</w:t>
      </w:r>
      <w:r w:rsidRPr="0048528B">
        <w:rPr>
          <w:rFonts w:cs="Arial"/>
          <w:lang w:val="fr-FR"/>
        </w:rPr>
        <w:t xml:space="preserve"> a visité les cultures sous serre et en plein champ de colza et de céréales, où des explications ont été données sur la conduite des essais et la gestion des collections.</w:t>
      </w:r>
    </w:p>
    <w:p w:rsidR="00C97F0A" w:rsidRPr="0048528B" w:rsidRDefault="00C97F0A" w:rsidP="00C97F0A">
      <w:pPr>
        <w:autoSpaceDE w:val="0"/>
        <w:autoSpaceDN w:val="0"/>
        <w:adjustRightInd w:val="0"/>
        <w:rPr>
          <w:rFonts w:cs="Arial"/>
          <w:lang w:val="fr-FR"/>
        </w:rPr>
      </w:pPr>
    </w:p>
    <w:p w:rsidR="00C97F0A" w:rsidRPr="0048528B" w:rsidRDefault="00C97F0A" w:rsidP="00C97F0A">
      <w:pPr>
        <w:rPr>
          <w:u w:val="single"/>
          <w:lang w:val="fr-FR"/>
        </w:rPr>
      </w:pPr>
    </w:p>
    <w:p w:rsidR="00F3296C" w:rsidRPr="0048528B" w:rsidRDefault="00C97F0A" w:rsidP="00C97F0A">
      <w:pPr>
        <w:pStyle w:val="Heading2"/>
        <w:rPr>
          <w:lang w:val="fr-FR"/>
        </w:rPr>
      </w:pPr>
      <w:bookmarkStart w:id="61" w:name="_Toc367888580"/>
      <w:r w:rsidRPr="0048528B">
        <w:rPr>
          <w:lang w:val="fr-FR"/>
        </w:rPr>
        <w:t>Groupe de travail technique sur les systèmes d</w:t>
      </w:r>
      <w:r w:rsidR="00F3296C" w:rsidRPr="0048528B">
        <w:rPr>
          <w:lang w:val="fr-FR"/>
        </w:rPr>
        <w:t>’</w:t>
      </w:r>
      <w:r w:rsidRPr="0048528B">
        <w:rPr>
          <w:lang w:val="fr-FR"/>
        </w:rPr>
        <w:t>automatisation et les programmes d</w:t>
      </w:r>
      <w:r w:rsidR="00F3296C" w:rsidRPr="0048528B">
        <w:rPr>
          <w:lang w:val="fr-FR"/>
        </w:rPr>
        <w:t>’</w:t>
      </w:r>
      <w:r w:rsidRPr="0048528B">
        <w:rPr>
          <w:lang w:val="fr-FR"/>
        </w:rPr>
        <w:t>ordinateur (TWC)</w:t>
      </w:r>
      <w:bookmarkEnd w:id="61"/>
    </w:p>
    <w:p w:rsidR="00C97F0A" w:rsidRPr="0048528B" w:rsidRDefault="00C97F0A" w:rsidP="00C97F0A">
      <w:pPr>
        <w:rPr>
          <w:u w:val="single"/>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TWC a tenu sa trentième session à Chisinau (République de Moldova) du 26 au 29 juin 2012, sous la présidence de M.</w:t>
      </w:r>
      <w:r w:rsidR="00E3136C" w:rsidRPr="0048528B">
        <w:rPr>
          <w:rFonts w:cs="Arial"/>
          <w:lang w:val="fr-FR"/>
        </w:rPr>
        <w:t> </w:t>
      </w:r>
      <w:r w:rsidRPr="0048528B">
        <w:rPr>
          <w:rFonts w:cs="Arial"/>
          <w:lang w:val="fr-FR"/>
        </w:rPr>
        <w:t>Sami Markkanen (Finlande), président</w:t>
      </w:r>
      <w:r w:rsidR="00F3296C" w:rsidRPr="0048528B">
        <w:rPr>
          <w:rFonts w:cs="Arial"/>
          <w:lang w:val="fr-FR"/>
        </w:rPr>
        <w:t xml:space="preserve"> du TWC</w:t>
      </w:r>
      <w:r w:rsidRPr="0048528B">
        <w:rPr>
          <w:rFonts w:cs="Arial"/>
          <w:lang w:val="fr-FR"/>
        </w:rPr>
        <w:t>.</w:t>
      </w:r>
    </w:p>
    <w:p w:rsidR="00C97F0A" w:rsidRPr="0048528B" w:rsidRDefault="00C97F0A" w:rsidP="00C97F0A">
      <w:pPr>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La session du TWC a réuni 51 participants représentant 20 membres de l</w:t>
      </w:r>
      <w:r w:rsidR="00F3296C" w:rsidRPr="0048528B">
        <w:rPr>
          <w:rFonts w:cs="Arial"/>
          <w:lang w:val="fr-FR"/>
        </w:rPr>
        <w:t>’</w:t>
      </w:r>
      <w:r w:rsidRPr="0048528B">
        <w:rPr>
          <w:rFonts w:cs="Arial"/>
          <w:lang w:val="fr-FR"/>
        </w:rPr>
        <w:t xml:space="preserve">Union. </w:t>
      </w:r>
      <w:r w:rsidR="00E3136C" w:rsidRPr="0048528B">
        <w:rPr>
          <w:rFonts w:cs="Arial"/>
          <w:lang w:val="fr-FR"/>
        </w:rPr>
        <w:t xml:space="preserve"> </w:t>
      </w:r>
      <w:r w:rsidRPr="0048528B">
        <w:rPr>
          <w:rFonts w:cs="Arial"/>
          <w:lang w:val="fr-FR"/>
        </w:rPr>
        <w:t>L</w:t>
      </w:r>
      <w:r w:rsidR="00F3296C" w:rsidRPr="0048528B">
        <w:rPr>
          <w:rFonts w:cs="Arial"/>
          <w:lang w:val="fr-FR"/>
        </w:rPr>
        <w:t>’</w:t>
      </w:r>
      <w:r w:rsidRPr="0048528B">
        <w:rPr>
          <w:rFonts w:cs="Arial"/>
          <w:lang w:val="fr-FR"/>
        </w:rPr>
        <w:t>atelier préparatoire s</w:t>
      </w:r>
      <w:r w:rsidR="00F3296C" w:rsidRPr="0048528B">
        <w:rPr>
          <w:rFonts w:cs="Arial"/>
          <w:lang w:val="fr-FR"/>
        </w:rPr>
        <w:t>’</w:t>
      </w:r>
      <w:r w:rsidRPr="0048528B">
        <w:rPr>
          <w:rFonts w:cs="Arial"/>
          <w:lang w:val="fr-FR"/>
        </w:rPr>
        <w:t>est tenu dans l</w:t>
      </w:r>
      <w:r w:rsidR="00F3296C" w:rsidRPr="0048528B">
        <w:rPr>
          <w:rFonts w:cs="Arial"/>
          <w:lang w:val="fr-FR"/>
        </w:rPr>
        <w:t>’</w:t>
      </w:r>
      <w:r w:rsidRPr="0048528B">
        <w:rPr>
          <w:rFonts w:cs="Arial"/>
          <w:lang w:val="fr-FR"/>
        </w:rPr>
        <w:t>après</w:t>
      </w:r>
      <w:r w:rsidR="003F00B6" w:rsidRPr="0048528B">
        <w:rPr>
          <w:rFonts w:cs="Arial"/>
          <w:lang w:val="fr-FR"/>
        </w:rPr>
        <w:noBreakHyphen/>
      </w:r>
      <w:r w:rsidRPr="0048528B">
        <w:rPr>
          <w:rFonts w:cs="Arial"/>
          <w:lang w:val="fr-FR"/>
        </w:rPr>
        <w:t>midi du lundi 2</w:t>
      </w:r>
      <w:r w:rsidR="00F3296C" w:rsidRPr="0048528B">
        <w:rPr>
          <w:rFonts w:cs="Arial"/>
          <w:lang w:val="fr-FR"/>
        </w:rPr>
        <w:t>5 juin</w:t>
      </w:r>
      <w:r w:rsidRPr="0048528B">
        <w:rPr>
          <w:rFonts w:cs="Arial"/>
          <w:lang w:val="fr-FR"/>
        </w:rPr>
        <w:t xml:space="preserve"> et a réuni 26 participants représentant sept</w:t>
      </w:r>
      <w:r w:rsidR="00E3136C" w:rsidRPr="0048528B">
        <w:rPr>
          <w:rFonts w:cs="Arial"/>
          <w:lang w:val="fr-FR"/>
        </w:rPr>
        <w:t> </w:t>
      </w:r>
      <w:r w:rsidRPr="0048528B">
        <w:rPr>
          <w:rFonts w:cs="Arial"/>
          <w:lang w:val="fr-FR"/>
        </w:rPr>
        <w:t>membres de l</w:t>
      </w:r>
      <w:r w:rsidR="00F3296C" w:rsidRPr="0048528B">
        <w:rPr>
          <w:rFonts w:cs="Arial"/>
          <w:lang w:val="fr-FR"/>
        </w:rPr>
        <w:t>’</w:t>
      </w:r>
      <w:r w:rsidRPr="0048528B">
        <w:rPr>
          <w:rFonts w:cs="Arial"/>
          <w:lang w:val="fr-FR"/>
        </w:rPr>
        <w:t>Union.</w:t>
      </w:r>
      <w:r w:rsidR="00E3136C" w:rsidRPr="0048528B">
        <w:rPr>
          <w:rFonts w:cs="Arial"/>
          <w:lang w:val="fr-FR"/>
        </w:rPr>
        <w:t xml:space="preserve"> </w:t>
      </w:r>
      <w:r w:rsidRPr="0048528B">
        <w:rPr>
          <w:rFonts w:cs="Arial"/>
          <w:lang w:val="fr-FR"/>
        </w:rPr>
        <w:t xml:space="preserve"> Durant cette session, 46 documents ont été examinés.</w:t>
      </w:r>
    </w:p>
    <w:p w:rsidR="00C97F0A" w:rsidRPr="0048528B" w:rsidRDefault="00C97F0A" w:rsidP="00C97F0A">
      <w:pPr>
        <w:rPr>
          <w:rFonts w:cs="Arial"/>
          <w:lang w:val="fr-FR"/>
        </w:rPr>
      </w:pPr>
    </w:p>
    <w:p w:rsidR="00C97F0A" w:rsidRPr="0048528B" w:rsidRDefault="00C97F0A" w:rsidP="00C97F0A">
      <w:pPr>
        <w:tabs>
          <w:tab w:val="left" w:pos="709"/>
          <w:tab w:val="left" w:pos="851"/>
        </w:tabs>
        <w:rPr>
          <w:rFonts w:cs="Arial"/>
          <w:lang w:val="fr-FR"/>
        </w:rPr>
      </w:pPr>
      <w:r w:rsidRPr="0048528B">
        <w:rPr>
          <w:lang w:val="fr-FR"/>
        </w:rPr>
        <w:lastRenderedPageBreak/>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M. Viorel Gutu, vice</w:t>
      </w:r>
      <w:r w:rsidR="003F00B6" w:rsidRPr="0048528B">
        <w:rPr>
          <w:rFonts w:cs="Arial"/>
          <w:lang w:val="fr-FR"/>
        </w:rPr>
        <w:noBreakHyphen/>
      </w:r>
      <w:r w:rsidRPr="0048528B">
        <w:rPr>
          <w:rFonts w:cs="Arial"/>
          <w:lang w:val="fr-FR"/>
        </w:rPr>
        <w:t>ministre de l</w:t>
      </w:r>
      <w:r w:rsidR="00F3296C" w:rsidRPr="0048528B">
        <w:rPr>
          <w:rFonts w:cs="Arial"/>
          <w:lang w:val="fr-FR"/>
        </w:rPr>
        <w:t>’</w:t>
      </w:r>
      <w:r w:rsidRPr="0048528B">
        <w:rPr>
          <w:rFonts w:cs="Arial"/>
          <w:lang w:val="fr-FR"/>
        </w:rPr>
        <w:t>agriculture et des industries alimentaires de la République de Moldova</w:t>
      </w:r>
      <w:r w:rsidR="00EB3559" w:rsidRPr="0048528B">
        <w:rPr>
          <w:rFonts w:cs="Arial"/>
          <w:lang w:val="fr-FR"/>
        </w:rPr>
        <w:t xml:space="preserve"> a souhaité la bienvenue aux participants</w:t>
      </w:r>
      <w:r w:rsidRPr="0048528B">
        <w:rPr>
          <w:rFonts w:cs="Arial"/>
          <w:lang w:val="fr-FR"/>
        </w:rPr>
        <w:t>.  Mme</w:t>
      </w:r>
      <w:r w:rsidR="00E3136C" w:rsidRPr="0048528B">
        <w:rPr>
          <w:rFonts w:cs="Arial"/>
          <w:lang w:val="fr-FR"/>
        </w:rPr>
        <w:t> </w:t>
      </w:r>
      <w:r w:rsidRPr="0048528B">
        <w:rPr>
          <w:rFonts w:cs="Arial"/>
          <w:lang w:val="fr-FR"/>
        </w:rPr>
        <w:t>Svetlana Munteanu, vice</w:t>
      </w:r>
      <w:r w:rsidR="003F00B6" w:rsidRPr="0048528B">
        <w:rPr>
          <w:rFonts w:cs="Arial"/>
          <w:lang w:val="fr-FR"/>
        </w:rPr>
        <w:noBreakHyphen/>
      </w:r>
      <w:r w:rsidRPr="0048528B">
        <w:rPr>
          <w:rFonts w:cs="Arial"/>
          <w:lang w:val="fr-FR"/>
        </w:rPr>
        <w:t>directrice générale de l</w:t>
      </w:r>
      <w:r w:rsidR="00F3296C" w:rsidRPr="0048528B">
        <w:rPr>
          <w:rFonts w:cs="Arial"/>
          <w:lang w:val="fr-FR"/>
        </w:rPr>
        <w:t>’</w:t>
      </w:r>
      <w:r w:rsidRPr="0048528B">
        <w:rPr>
          <w:rFonts w:cs="Arial"/>
          <w:lang w:val="fr-FR"/>
        </w:rPr>
        <w:t>Agence nationale de la propriété intellectuelle, a également souhaité la bienvenue aux participants.  M.</w:t>
      </w:r>
      <w:r w:rsidR="00E3136C" w:rsidRPr="0048528B">
        <w:rPr>
          <w:rFonts w:cs="Arial"/>
          <w:lang w:val="fr-FR"/>
        </w:rPr>
        <w:t> </w:t>
      </w:r>
      <w:r w:rsidRPr="0048528B">
        <w:rPr>
          <w:rFonts w:cs="Arial"/>
          <w:lang w:val="fr-FR"/>
        </w:rPr>
        <w:t>Mihail Machidon, président de la Commission d</w:t>
      </w:r>
      <w:r w:rsidR="00F3296C" w:rsidRPr="0048528B">
        <w:rPr>
          <w:rFonts w:cs="Arial"/>
          <w:lang w:val="fr-FR"/>
        </w:rPr>
        <w:t>’</w:t>
      </w:r>
      <w:r w:rsidRPr="0048528B">
        <w:rPr>
          <w:rFonts w:cs="Arial"/>
          <w:lang w:val="fr-FR"/>
        </w:rPr>
        <w:t>État chargée de l</w:t>
      </w:r>
      <w:r w:rsidR="00F3296C" w:rsidRPr="0048528B">
        <w:rPr>
          <w:rFonts w:cs="Arial"/>
          <w:lang w:val="fr-FR"/>
        </w:rPr>
        <w:t>’</w:t>
      </w:r>
      <w:r w:rsidRPr="0048528B">
        <w:rPr>
          <w:rFonts w:cs="Arial"/>
          <w:lang w:val="fr-FR"/>
        </w:rPr>
        <w:t>examen des variétés végétales, a présenté un exposé sur le système de protection des obtentions végétales de la République de Moldova.</w:t>
      </w:r>
    </w:p>
    <w:p w:rsidR="00C97F0A" w:rsidRPr="0048528B" w:rsidRDefault="00C97F0A" w:rsidP="00C97F0A">
      <w:pPr>
        <w:tabs>
          <w:tab w:val="left" w:pos="142"/>
        </w:tabs>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Le TWC a examiné 14 documents relatifs à la révision du document TGP/8 </w:t>
      </w:r>
      <w:r w:rsidR="00E3136C" w:rsidRPr="0048528B">
        <w:rPr>
          <w:rFonts w:cs="Arial"/>
          <w:lang w:val="fr-FR"/>
        </w:rPr>
        <w:t>“</w:t>
      </w:r>
      <w:r w:rsidRPr="0048528B">
        <w:rPr>
          <w:rFonts w:cs="Arial"/>
          <w:lang w:val="fr-FR"/>
        </w:rPr>
        <w:t>Protocole d</w:t>
      </w:r>
      <w:r w:rsidR="00F3296C" w:rsidRPr="0048528B">
        <w:rPr>
          <w:rFonts w:cs="Arial"/>
          <w:lang w:val="fr-FR"/>
        </w:rPr>
        <w:t>’</w:t>
      </w:r>
      <w:r w:rsidRPr="0048528B">
        <w:rPr>
          <w:rFonts w:cs="Arial"/>
          <w:lang w:val="fr-FR"/>
        </w:rPr>
        <w:t>essai et techniques utilisés dans l</w:t>
      </w:r>
      <w:r w:rsidR="00F3296C" w:rsidRPr="0048528B">
        <w:rPr>
          <w:rFonts w:cs="Arial"/>
          <w:lang w:val="fr-FR"/>
        </w:rPr>
        <w:t>’</w:t>
      </w:r>
      <w:r w:rsidRPr="0048528B">
        <w:rPr>
          <w:rFonts w:cs="Arial"/>
          <w:lang w:val="fr-FR"/>
        </w:rPr>
        <w:t>examen de la distinction, de l</w:t>
      </w:r>
      <w:r w:rsidR="00F3296C" w:rsidRPr="0048528B">
        <w:rPr>
          <w:rFonts w:cs="Arial"/>
          <w:lang w:val="fr-FR"/>
        </w:rPr>
        <w:t>’</w:t>
      </w:r>
      <w:r w:rsidRPr="0048528B">
        <w:rPr>
          <w:rFonts w:cs="Arial"/>
          <w:lang w:val="fr-FR"/>
        </w:rPr>
        <w:t>homogénéité et de la stabilité”.</w:t>
      </w:r>
    </w:p>
    <w:p w:rsidR="00C97F0A" w:rsidRPr="0048528B" w:rsidRDefault="00C97F0A" w:rsidP="006A03CA">
      <w:pPr>
        <w:spacing w:line="360" w:lineRule="auto"/>
        <w:rPr>
          <w:rFonts w:cs="Arial"/>
          <w:lang w:val="fr-FR"/>
        </w:rPr>
      </w:pPr>
    </w:p>
    <w:p w:rsidR="00C97F0A" w:rsidRPr="0048528B" w:rsidRDefault="00C97F0A" w:rsidP="00C97F0A">
      <w:pPr>
        <w:rPr>
          <w:rFonts w:cs="Arial"/>
          <w:i/>
          <w:lang w:val="fr-FR"/>
        </w:rPr>
      </w:pPr>
      <w:r w:rsidRPr="0048528B">
        <w:rPr>
          <w:rFonts w:cs="Arial"/>
          <w:i/>
          <w:lang w:val="fr-FR"/>
        </w:rPr>
        <w:t>Documents concernant le document TGP/8, première partie</w:t>
      </w:r>
      <w:r w:rsidR="00E3136C" w:rsidRPr="0048528B">
        <w:rPr>
          <w:rFonts w:cs="Arial"/>
          <w:i/>
          <w:lang w:val="fr-FR"/>
        </w:rPr>
        <w:t> </w:t>
      </w:r>
      <w:r w:rsidRPr="0048528B">
        <w:rPr>
          <w:rFonts w:cs="Arial"/>
          <w:i/>
          <w:lang w:val="fr-FR"/>
        </w:rPr>
        <w:t>: protocole d</w:t>
      </w:r>
      <w:r w:rsidR="00F3296C" w:rsidRPr="0048528B">
        <w:rPr>
          <w:rFonts w:cs="Arial"/>
          <w:i/>
          <w:lang w:val="fr-FR"/>
        </w:rPr>
        <w:t>’</w:t>
      </w:r>
      <w:r w:rsidRPr="0048528B">
        <w:rPr>
          <w:rFonts w:cs="Arial"/>
          <w:i/>
          <w:lang w:val="fr-FR"/>
        </w:rPr>
        <w:t>essai DHS et analyse des données</w:t>
      </w:r>
    </w:p>
    <w:p w:rsidR="00C97F0A" w:rsidRPr="0048528B" w:rsidRDefault="00C97F0A" w:rsidP="00C97F0A">
      <w:pPr>
        <w:ind w:firstLine="1304"/>
        <w:rPr>
          <w:rFonts w:cs="Arial"/>
          <w:i/>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TWC a examiné le document TWC/30/16</w:t>
      </w:r>
      <w:r w:rsidR="00E3136C" w:rsidRPr="0048528B">
        <w:rPr>
          <w:rFonts w:cs="Arial"/>
          <w:lang w:val="fr-FR"/>
        </w:rPr>
        <w:t> </w:t>
      </w:r>
      <w:r w:rsidRPr="0048528B">
        <w:rPr>
          <w:rFonts w:cs="Arial"/>
          <w:lang w:val="fr-FR"/>
        </w:rPr>
        <w:t xml:space="preserve">Rev. </w:t>
      </w:r>
      <w:r w:rsidR="00E3136C" w:rsidRPr="0048528B">
        <w:rPr>
          <w:rFonts w:cs="Arial"/>
          <w:lang w:val="fr-FR"/>
        </w:rPr>
        <w:t>“</w:t>
      </w:r>
      <w:r w:rsidRPr="0048528B">
        <w:rPr>
          <w:rFonts w:cs="Arial"/>
          <w:lang w:val="fr-FR"/>
        </w:rPr>
        <w:t>Data to be recorded</w:t>
      </w:r>
      <w:r w:rsidR="00E3136C" w:rsidRPr="0048528B">
        <w:rPr>
          <w:rFonts w:cs="Arial"/>
          <w:lang w:val="fr-FR"/>
        </w:rPr>
        <w:t>”</w:t>
      </w:r>
      <w:r w:rsidRPr="0048528B">
        <w:rPr>
          <w:rFonts w:cs="Arial"/>
          <w:lang w:val="fr-FR"/>
        </w:rPr>
        <w:t xml:space="preserve"> et est convenu qu</w:t>
      </w:r>
      <w:r w:rsidR="00F3296C" w:rsidRPr="0048528B">
        <w:rPr>
          <w:rFonts w:cs="Arial"/>
          <w:lang w:val="fr-FR"/>
        </w:rPr>
        <w:t>’</w:t>
      </w:r>
      <w:r w:rsidRPr="0048528B">
        <w:rPr>
          <w:rFonts w:cs="Arial"/>
          <w:lang w:val="fr-FR"/>
        </w:rPr>
        <w:t>il soit soumis au</w:t>
      </w:r>
      <w:r w:rsidR="00F3296C" w:rsidRPr="0048528B">
        <w:rPr>
          <w:rFonts w:cs="Arial"/>
          <w:lang w:val="fr-FR"/>
        </w:rPr>
        <w:t> TC</w:t>
      </w:r>
      <w:r w:rsidRPr="0048528B">
        <w:rPr>
          <w:rFonts w:cs="Arial"/>
          <w:lang w:val="fr-FR"/>
        </w:rPr>
        <w:t xml:space="preserve"> pour approbation après que les degrés de liberté recommandés auront été mis à jour dans les tableaux figurant à l</w:t>
      </w:r>
      <w:r w:rsidR="00F3296C" w:rsidRPr="0048528B">
        <w:rPr>
          <w:rFonts w:cs="Arial"/>
          <w:lang w:val="fr-FR"/>
        </w:rPr>
        <w:t>’</w:t>
      </w:r>
      <w:r w:rsidRPr="0048528B">
        <w:rPr>
          <w:rFonts w:cs="Arial"/>
          <w:lang w:val="fr-FR"/>
        </w:rPr>
        <w:t>annexe.  Quelques modifications concernant le texte ont également été suggérées.</w:t>
      </w:r>
    </w:p>
    <w:p w:rsidR="00C97F0A" w:rsidRPr="0048528B" w:rsidRDefault="00C97F0A" w:rsidP="00C97F0A">
      <w:pPr>
        <w:ind w:left="1304"/>
        <w:rPr>
          <w:rFonts w:cs="Arial"/>
          <w:lang w:val="fr-FR"/>
        </w:rPr>
      </w:pPr>
    </w:p>
    <w:p w:rsidR="00F3296C"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Le TWC a recommandé que la nouvelle section </w:t>
      </w:r>
      <w:r w:rsidR="00E3136C" w:rsidRPr="0048528B">
        <w:rPr>
          <w:rFonts w:cs="Arial"/>
          <w:lang w:val="fr-FR"/>
        </w:rPr>
        <w:t>“</w:t>
      </w:r>
      <w:r w:rsidRPr="0048528B">
        <w:rPr>
          <w:rFonts w:cs="Arial"/>
          <w:lang w:val="fr-FR"/>
        </w:rPr>
        <w:t>Réduction optimale de la variation due à différents observateurs</w:t>
      </w:r>
      <w:r w:rsidR="00E3136C" w:rsidRPr="0048528B">
        <w:rPr>
          <w:rFonts w:cs="Arial"/>
          <w:lang w:val="fr-FR"/>
        </w:rPr>
        <w:t>”</w:t>
      </w:r>
      <w:r w:rsidRPr="0048528B">
        <w:rPr>
          <w:rFonts w:cs="Arial"/>
          <w:lang w:val="fr-FR"/>
        </w:rPr>
        <w:t xml:space="preserve"> présentée dans le document TWC/30/24 soit également soumise au</w:t>
      </w:r>
      <w:r w:rsidR="00F3296C" w:rsidRPr="0048528B">
        <w:rPr>
          <w:rFonts w:cs="Arial"/>
          <w:lang w:val="fr-FR"/>
        </w:rPr>
        <w:t> TC</w:t>
      </w:r>
      <w:r w:rsidRPr="0048528B">
        <w:rPr>
          <w:rFonts w:cs="Arial"/>
          <w:lang w:val="fr-FR"/>
        </w:rPr>
        <w:t xml:space="preserve"> pour examen.</w:t>
      </w:r>
    </w:p>
    <w:p w:rsidR="00C97F0A" w:rsidRPr="0048528B" w:rsidRDefault="00C97F0A" w:rsidP="00C97F0A">
      <w:pPr>
        <w:tabs>
          <w:tab w:val="left" w:pos="1560"/>
        </w:tabs>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Le TWC est convenu que le </w:t>
      </w:r>
      <w:r w:rsidR="00DE4C36" w:rsidRPr="0048528B">
        <w:rPr>
          <w:rFonts w:cs="Arial"/>
          <w:lang w:val="fr-FR"/>
        </w:rPr>
        <w:t xml:space="preserve">dernier </w:t>
      </w:r>
      <w:r w:rsidRPr="0048528B">
        <w:rPr>
          <w:rFonts w:cs="Arial"/>
          <w:lang w:val="fr-FR"/>
        </w:rPr>
        <w:t xml:space="preserve">titre figurant dans le document TWC/30/21 </w:t>
      </w:r>
      <w:r w:rsidR="00E3136C" w:rsidRPr="0048528B">
        <w:rPr>
          <w:rFonts w:cs="Arial"/>
          <w:lang w:val="fr-FR"/>
        </w:rPr>
        <w:t>“</w:t>
      </w:r>
      <w:r w:rsidRPr="0048528B">
        <w:rPr>
          <w:rFonts w:cs="Arial"/>
          <w:lang w:val="fr-FR"/>
        </w:rPr>
        <w:t>Réduction de la taille des essais</w:t>
      </w:r>
      <w:r w:rsidR="00E3136C" w:rsidRPr="0048528B">
        <w:rPr>
          <w:rFonts w:cs="Arial"/>
          <w:lang w:val="fr-FR"/>
        </w:rPr>
        <w:t>”</w:t>
      </w:r>
      <w:r w:rsidRPr="0048528B">
        <w:rPr>
          <w:rFonts w:cs="Arial"/>
          <w:lang w:val="fr-FR"/>
        </w:rPr>
        <w:t xml:space="preserve"> devrait être modifié de manière à renvoyer aux détails techniques et un exemple donné. </w:t>
      </w:r>
      <w:r w:rsidR="00F3296C" w:rsidRPr="0048528B">
        <w:rPr>
          <w:rFonts w:cs="Arial"/>
          <w:lang w:val="fr-FR"/>
        </w:rPr>
        <w:t xml:space="preserve"> Le TWC</w:t>
      </w:r>
      <w:r w:rsidRPr="0048528B">
        <w:rPr>
          <w:rFonts w:cs="Arial"/>
          <w:lang w:val="fr-FR"/>
        </w:rPr>
        <w:t xml:space="preserve"> a également demandé que le rédacteur ajoute une phrase au début du chapitre pour préciser que ce </w:t>
      </w:r>
      <w:r w:rsidR="00E3136C" w:rsidRPr="0048528B">
        <w:rPr>
          <w:rFonts w:cs="Arial"/>
          <w:lang w:val="fr-FR"/>
        </w:rPr>
        <w:t>“</w:t>
      </w:r>
      <w:r w:rsidRPr="0048528B">
        <w:rPr>
          <w:rFonts w:cs="Arial"/>
          <w:lang w:val="fr-FR"/>
        </w:rPr>
        <w:t>chapitre est important pour le lecteur qui s</w:t>
      </w:r>
      <w:r w:rsidR="00F3296C" w:rsidRPr="0048528B">
        <w:rPr>
          <w:rFonts w:cs="Arial"/>
          <w:lang w:val="fr-FR"/>
        </w:rPr>
        <w:t>’</w:t>
      </w:r>
      <w:r w:rsidRPr="0048528B">
        <w:rPr>
          <w:rFonts w:cs="Arial"/>
          <w:lang w:val="fr-FR"/>
        </w:rPr>
        <w:t>intéresse aux détails techniques</w:t>
      </w:r>
      <w:r w:rsidR="00E3136C" w:rsidRPr="0048528B">
        <w:rPr>
          <w:rFonts w:cs="Arial"/>
          <w:lang w:val="fr-FR"/>
        </w:rPr>
        <w:t>”</w:t>
      </w:r>
      <w:r w:rsidRPr="0048528B">
        <w:rPr>
          <w:rFonts w:cs="Arial"/>
          <w:lang w:val="fr-FR"/>
        </w:rPr>
        <w:t>.</w:t>
      </w:r>
    </w:p>
    <w:p w:rsidR="00C97F0A" w:rsidRPr="0048528B" w:rsidRDefault="00C97F0A" w:rsidP="006A03CA">
      <w:pPr>
        <w:spacing w:line="360" w:lineRule="auto"/>
        <w:rPr>
          <w:rFonts w:cs="Arial"/>
          <w:lang w:val="fr-FR"/>
        </w:rPr>
      </w:pPr>
    </w:p>
    <w:p w:rsidR="00C97F0A" w:rsidRPr="0048528B" w:rsidRDefault="00C97F0A" w:rsidP="00C97F0A">
      <w:pPr>
        <w:rPr>
          <w:rFonts w:cs="Arial"/>
          <w:i/>
          <w:lang w:val="fr-FR"/>
        </w:rPr>
      </w:pPr>
      <w:r w:rsidRPr="0048528B">
        <w:rPr>
          <w:rFonts w:cs="Arial"/>
          <w:i/>
          <w:lang w:val="fr-FR"/>
        </w:rPr>
        <w:t>Documents concernant le document TGP/8, deuxième partie : techniques utilisées dans l</w:t>
      </w:r>
      <w:r w:rsidR="00F3296C" w:rsidRPr="0048528B">
        <w:rPr>
          <w:rFonts w:cs="Arial"/>
          <w:i/>
          <w:lang w:val="fr-FR"/>
        </w:rPr>
        <w:t>’</w:t>
      </w:r>
      <w:r w:rsidRPr="0048528B">
        <w:rPr>
          <w:rFonts w:cs="Arial"/>
          <w:i/>
          <w:lang w:val="fr-FR"/>
        </w:rPr>
        <w:t>examen dhs</w:t>
      </w:r>
    </w:p>
    <w:p w:rsidR="00C97F0A" w:rsidRPr="0048528B" w:rsidRDefault="00C97F0A" w:rsidP="00C97F0A">
      <w:pPr>
        <w:tabs>
          <w:tab w:val="left" w:pos="1560"/>
        </w:tabs>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t>Le TWC a examiné les questions posées par les autres groupes de travail techniques en ce qui concerne le document TWC/30/23 “The Combined</w:t>
      </w:r>
      <w:r w:rsidR="003F00B6" w:rsidRPr="0048528B">
        <w:rPr>
          <w:lang w:val="fr-FR"/>
        </w:rPr>
        <w:noBreakHyphen/>
      </w:r>
      <w:r w:rsidRPr="0048528B">
        <w:rPr>
          <w:lang w:val="fr-FR"/>
        </w:rPr>
        <w:t>Over</w:t>
      </w:r>
      <w:r w:rsidR="003F00B6" w:rsidRPr="0048528B">
        <w:rPr>
          <w:lang w:val="fr-FR"/>
        </w:rPr>
        <w:noBreakHyphen/>
      </w:r>
      <w:r w:rsidRPr="0048528B">
        <w:rPr>
          <w:lang w:val="fr-FR"/>
        </w:rPr>
        <w:t xml:space="preserve">Years Criteria (COYD)”. </w:t>
      </w:r>
      <w:r w:rsidR="00F3296C" w:rsidRPr="0048528B">
        <w:rPr>
          <w:lang w:val="fr-FR"/>
        </w:rPr>
        <w:t xml:space="preserve"> Le TWC</w:t>
      </w:r>
      <w:r w:rsidRPr="0048528B">
        <w:rPr>
          <w:lang w:val="fr-FR"/>
        </w:rPr>
        <w:t xml:space="preserve"> a précisé que la proposition tendant à réduire le nombre minimum de degrés de liberté offrait des méthodes statistiques convenables pour de plus petits essais, même si 20 degrés de liberté étaient préférables. </w:t>
      </w:r>
      <w:r w:rsidR="00F3296C" w:rsidRPr="0048528B">
        <w:rPr>
          <w:lang w:val="fr-FR"/>
        </w:rPr>
        <w:t xml:space="preserve"> Le TWC</w:t>
      </w:r>
      <w:r w:rsidRPr="0048528B">
        <w:rPr>
          <w:lang w:val="fr-FR"/>
        </w:rPr>
        <w:t xml:space="preserve"> a également considéré que le schéma figurant à la page</w:t>
      </w:r>
      <w:r w:rsidR="00E3136C" w:rsidRPr="0048528B">
        <w:rPr>
          <w:lang w:val="fr-FR"/>
        </w:rPr>
        <w:t> </w:t>
      </w:r>
      <w:r w:rsidRPr="0048528B">
        <w:rPr>
          <w:lang w:val="fr-FR"/>
        </w:rPr>
        <w:t>42 du document TGP/8/1 concernant les conditions à remplir pour les méthodes statistiques d</w:t>
      </w:r>
      <w:r w:rsidR="00F3296C" w:rsidRPr="0048528B">
        <w:rPr>
          <w:lang w:val="fr-FR"/>
        </w:rPr>
        <w:t>’</w:t>
      </w:r>
      <w:r w:rsidRPr="0048528B">
        <w:rPr>
          <w:lang w:val="fr-FR"/>
        </w:rPr>
        <w:t>examen de la distinction ne nécessitait aucune modification.  Ce schéma était cohérent avec les modifications proposées concernant les degrés de liberté.</w:t>
      </w:r>
    </w:p>
    <w:p w:rsidR="00C97F0A" w:rsidRPr="0048528B" w:rsidRDefault="00C97F0A" w:rsidP="00C97F0A">
      <w:pPr>
        <w:tabs>
          <w:tab w:val="left" w:pos="1560"/>
        </w:tabs>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TWC est également convenu que le document TWC/30/20 “Adapting COYD to Special Circumstances” devrait être inclus dans le document TGP/8.  En ce qui concerne le document TWC/30/22 “2x1% Method – Minimum Number of Degrees of Freedom for the 2x1% Method”,</w:t>
      </w:r>
      <w:r w:rsidR="00F3296C" w:rsidRPr="0048528B">
        <w:rPr>
          <w:rFonts w:cs="Arial"/>
          <w:lang w:val="fr-FR"/>
        </w:rPr>
        <w:t xml:space="preserve"> le TWC</w:t>
      </w:r>
      <w:r w:rsidRPr="0048528B">
        <w:rPr>
          <w:rFonts w:cs="Arial"/>
          <w:lang w:val="fr-FR"/>
        </w:rPr>
        <w:t xml:space="preserve"> a précisé que </w:t>
      </w:r>
      <w:r w:rsidR="00DE4C36" w:rsidRPr="0048528B">
        <w:rPr>
          <w:rFonts w:cs="Arial"/>
          <w:lang w:val="fr-FR"/>
        </w:rPr>
        <w:t>la méthode</w:t>
      </w:r>
      <w:r w:rsidRPr="0048528B">
        <w:rPr>
          <w:rFonts w:cs="Arial"/>
          <w:lang w:val="fr-FR"/>
        </w:rPr>
        <w:t xml:space="preserve"> COYD était préférable à la méthode des 2x1% pour s</w:t>
      </w:r>
      <w:r w:rsidR="00F3296C" w:rsidRPr="0048528B">
        <w:rPr>
          <w:rFonts w:cs="Arial"/>
          <w:lang w:val="fr-FR"/>
        </w:rPr>
        <w:t>’</w:t>
      </w:r>
      <w:r w:rsidRPr="0048528B">
        <w:rPr>
          <w:rFonts w:cs="Arial"/>
          <w:lang w:val="fr-FR"/>
        </w:rPr>
        <w:t xml:space="preserve">assurer que les résultats </w:t>
      </w:r>
      <w:r w:rsidR="00DE4C36" w:rsidRPr="0048528B">
        <w:rPr>
          <w:rFonts w:cs="Arial"/>
          <w:lang w:val="fr-FR"/>
        </w:rPr>
        <w:t>soi</w:t>
      </w:r>
      <w:r w:rsidRPr="0048528B">
        <w:rPr>
          <w:rFonts w:cs="Arial"/>
          <w:lang w:val="fr-FR"/>
        </w:rPr>
        <w:t>ent cohérents et reproductibles.</w:t>
      </w:r>
    </w:p>
    <w:p w:rsidR="00C97F0A" w:rsidRPr="0048528B" w:rsidRDefault="00C97F0A" w:rsidP="00C97F0A">
      <w:pPr>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Le TWC a examiné le document TWC/30/26 “Minimum Number of Comparable Varieties for the Relative Variance Method”. </w:t>
      </w:r>
      <w:r w:rsidR="00F3296C" w:rsidRPr="0048528B">
        <w:rPr>
          <w:rFonts w:cs="Arial"/>
          <w:lang w:val="fr-FR"/>
        </w:rPr>
        <w:t xml:space="preserve"> Le TWC</w:t>
      </w:r>
      <w:r w:rsidRPr="0048528B">
        <w:rPr>
          <w:rFonts w:cs="Arial"/>
          <w:lang w:val="fr-FR"/>
        </w:rPr>
        <w:t xml:space="preserve"> a prié le rédacteur de vérifier si les sections restantes étaient déjà couvertes par le document TGP/8/1.  S</w:t>
      </w:r>
      <w:r w:rsidR="00F3296C" w:rsidRPr="0048528B">
        <w:rPr>
          <w:rFonts w:cs="Arial"/>
          <w:lang w:val="fr-FR"/>
        </w:rPr>
        <w:t>’</w:t>
      </w:r>
      <w:r w:rsidRPr="0048528B">
        <w:rPr>
          <w:rFonts w:cs="Arial"/>
          <w:lang w:val="fr-FR"/>
        </w:rPr>
        <w:t>agissant du document TWC/30/28 “New Section</w:t>
      </w:r>
      <w:r w:rsidR="00E3136C" w:rsidRPr="0048528B">
        <w:rPr>
          <w:rFonts w:cs="Arial"/>
          <w:lang w:val="fr-FR"/>
        </w:rPr>
        <w:t> </w:t>
      </w:r>
      <w:r w:rsidRPr="0048528B">
        <w:rPr>
          <w:rFonts w:cs="Arial"/>
          <w:lang w:val="fr-FR"/>
        </w:rPr>
        <w:t>11 – Examining DUS in Bulk Samples”,</w:t>
      </w:r>
      <w:r w:rsidR="00F3296C" w:rsidRPr="0048528B">
        <w:rPr>
          <w:rFonts w:cs="Arial"/>
          <w:lang w:val="fr-FR"/>
        </w:rPr>
        <w:t xml:space="preserve"> le TWC</w:t>
      </w:r>
      <w:r w:rsidRPr="0048528B">
        <w:rPr>
          <w:rFonts w:cs="Arial"/>
          <w:lang w:val="fr-FR"/>
        </w:rPr>
        <w:t xml:space="preserve"> a déclaré que ces conseils seraient utiles pour la détermination du contenu des substances et l</w:t>
      </w:r>
      <w:r w:rsidR="00F3296C" w:rsidRPr="0048528B">
        <w:rPr>
          <w:rFonts w:cs="Arial"/>
          <w:lang w:val="fr-FR"/>
        </w:rPr>
        <w:t>’</w:t>
      </w:r>
      <w:r w:rsidRPr="0048528B">
        <w:rPr>
          <w:rFonts w:cs="Arial"/>
          <w:lang w:val="fr-FR"/>
        </w:rPr>
        <w:t>électrophorèse.</w:t>
      </w:r>
    </w:p>
    <w:p w:rsidR="00C97F0A" w:rsidRPr="0048528B" w:rsidRDefault="00C97F0A" w:rsidP="00C97F0A">
      <w:pPr>
        <w:rPr>
          <w:rFonts w:cs="Arial"/>
          <w:lang w:val="fr-FR"/>
        </w:rPr>
      </w:pPr>
    </w:p>
    <w:p w:rsidR="00F3296C"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Un exposé sur les différentes méthodes utilisées pour la conversion des mesures en notes concernant les descriptions variétales a été présenté par le Bureau de l</w:t>
      </w:r>
      <w:r w:rsidR="00F3296C" w:rsidRPr="0048528B">
        <w:rPr>
          <w:rFonts w:cs="Arial"/>
          <w:lang w:val="fr-FR"/>
        </w:rPr>
        <w:t>’</w:t>
      </w:r>
      <w:r w:rsidRPr="0048528B">
        <w:rPr>
          <w:rFonts w:cs="Arial"/>
          <w:lang w:val="fr-FR"/>
        </w:rPr>
        <w:t xml:space="preserve">Union.  </w:t>
      </w:r>
      <w:r w:rsidR="00F3296C" w:rsidRPr="0048528B">
        <w:rPr>
          <w:rFonts w:cs="Arial"/>
          <w:lang w:val="fr-FR"/>
        </w:rPr>
        <w:t>Le TWC</w:t>
      </w:r>
      <w:r w:rsidRPr="0048528B">
        <w:rPr>
          <w:rFonts w:cs="Arial"/>
          <w:lang w:val="fr-FR"/>
        </w:rPr>
        <w:t xml:space="preserve"> est convenu que les experts de la Finlande, de l</w:t>
      </w:r>
      <w:r w:rsidR="00F3296C" w:rsidRPr="0048528B">
        <w:rPr>
          <w:rFonts w:cs="Arial"/>
          <w:lang w:val="fr-FR"/>
        </w:rPr>
        <w:t>’</w:t>
      </w:r>
      <w:r w:rsidRPr="0048528B">
        <w:rPr>
          <w:rFonts w:cs="Arial"/>
          <w:lang w:val="fr-FR"/>
        </w:rPr>
        <w:t>Italie et du Royaume</w:t>
      </w:r>
      <w:r w:rsidR="003F00B6" w:rsidRPr="0048528B">
        <w:rPr>
          <w:rFonts w:cs="Arial"/>
          <w:lang w:val="fr-FR"/>
        </w:rPr>
        <w:noBreakHyphen/>
      </w:r>
      <w:r w:rsidRPr="0048528B">
        <w:rPr>
          <w:rFonts w:cs="Arial"/>
          <w:lang w:val="fr-FR"/>
        </w:rPr>
        <w:t>Uni devraient aider le Bureau à résumer les différentes approches utilisées pour mettre au point des principes directeurs communs sur le traitement des données aux fins de l</w:t>
      </w:r>
      <w:r w:rsidR="00F3296C" w:rsidRPr="0048528B">
        <w:rPr>
          <w:rFonts w:cs="Arial"/>
          <w:lang w:val="fr-FR"/>
        </w:rPr>
        <w:t>’</w:t>
      </w:r>
      <w:r w:rsidRPr="0048528B">
        <w:rPr>
          <w:rFonts w:cs="Arial"/>
          <w:lang w:val="fr-FR"/>
        </w:rPr>
        <w:t>évaluation de la distinction et de l</w:t>
      </w:r>
      <w:r w:rsidR="00F3296C" w:rsidRPr="0048528B">
        <w:rPr>
          <w:rFonts w:cs="Arial"/>
          <w:lang w:val="fr-FR"/>
        </w:rPr>
        <w:t>’</w:t>
      </w:r>
      <w:r w:rsidRPr="0048528B">
        <w:rPr>
          <w:rFonts w:cs="Arial"/>
          <w:lang w:val="fr-FR"/>
        </w:rPr>
        <w:t xml:space="preserve">établissement de descriptions variétales. </w:t>
      </w:r>
      <w:r w:rsidR="00F3296C" w:rsidRPr="0048528B">
        <w:rPr>
          <w:rFonts w:cs="Arial"/>
          <w:lang w:val="fr-FR"/>
        </w:rPr>
        <w:t xml:space="preserve"> Le TWC</w:t>
      </w:r>
      <w:r w:rsidRPr="0048528B">
        <w:rPr>
          <w:rFonts w:cs="Arial"/>
          <w:lang w:val="fr-FR"/>
        </w:rPr>
        <w:t xml:space="preserve"> est également convenu que des experts de l</w:t>
      </w:r>
      <w:r w:rsidR="00F3296C" w:rsidRPr="0048528B">
        <w:rPr>
          <w:rFonts w:cs="Arial"/>
          <w:lang w:val="fr-FR"/>
        </w:rPr>
        <w:t>’</w:t>
      </w:r>
      <w:r w:rsidRPr="0048528B">
        <w:rPr>
          <w:rFonts w:cs="Arial"/>
          <w:lang w:val="fr-FR"/>
        </w:rPr>
        <w:t>Allemagne, de la France et du Royaume</w:t>
      </w:r>
      <w:r w:rsidR="003F00B6" w:rsidRPr="0048528B">
        <w:rPr>
          <w:rFonts w:cs="Arial"/>
          <w:lang w:val="fr-FR"/>
        </w:rPr>
        <w:noBreakHyphen/>
      </w:r>
      <w:r w:rsidRPr="0048528B">
        <w:rPr>
          <w:rFonts w:cs="Arial"/>
          <w:lang w:val="fr-FR"/>
        </w:rPr>
        <w:t>Uni devraient établir une enquête sur le traitement d</w:t>
      </w:r>
      <w:r w:rsidR="00F3296C" w:rsidRPr="0048528B">
        <w:rPr>
          <w:rFonts w:cs="Arial"/>
          <w:lang w:val="fr-FR"/>
        </w:rPr>
        <w:t>’</w:t>
      </w:r>
      <w:r w:rsidRPr="0048528B">
        <w:rPr>
          <w:rFonts w:cs="Arial"/>
          <w:lang w:val="fr-FR"/>
        </w:rPr>
        <w:t>une série de données communes pour établir des descriptions variétales.  Cette enquête viserait à déterminer les points communs et les points de divergence entre les méthodes.</w:t>
      </w:r>
    </w:p>
    <w:p w:rsidR="00C97F0A" w:rsidRPr="0048528B" w:rsidRDefault="00C97F0A" w:rsidP="00C97F0A">
      <w:pPr>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Après examen du document TWC/30/17 “Guidance of Data Analysis for Blind Randomized Trials”,</w:t>
      </w:r>
      <w:r w:rsidR="00F3296C" w:rsidRPr="0048528B">
        <w:rPr>
          <w:rFonts w:cs="Arial"/>
          <w:lang w:val="fr-FR"/>
        </w:rPr>
        <w:t xml:space="preserve"> le TWC</w:t>
      </w:r>
      <w:r w:rsidRPr="0048528B">
        <w:rPr>
          <w:rFonts w:cs="Arial"/>
          <w:lang w:val="fr-FR"/>
        </w:rPr>
        <w:t xml:space="preserve"> a recommandé qu</w:t>
      </w:r>
      <w:r w:rsidR="00F3296C" w:rsidRPr="0048528B">
        <w:rPr>
          <w:rFonts w:cs="Arial"/>
          <w:lang w:val="fr-FR"/>
        </w:rPr>
        <w:t>’</w:t>
      </w:r>
      <w:r w:rsidRPr="0048528B">
        <w:rPr>
          <w:rFonts w:cs="Arial"/>
          <w:lang w:val="fr-FR"/>
        </w:rPr>
        <w:t>il soit rendu plus général de telle sorte qu</w:t>
      </w:r>
      <w:r w:rsidR="00F3296C" w:rsidRPr="0048528B">
        <w:rPr>
          <w:rFonts w:cs="Arial"/>
          <w:lang w:val="fr-FR"/>
        </w:rPr>
        <w:t>’</w:t>
      </w:r>
      <w:r w:rsidRPr="0048528B">
        <w:rPr>
          <w:rFonts w:cs="Arial"/>
          <w:lang w:val="fr-FR"/>
        </w:rPr>
        <w:t>il puisse s</w:t>
      </w:r>
      <w:r w:rsidR="00F3296C" w:rsidRPr="0048528B">
        <w:rPr>
          <w:rFonts w:cs="Arial"/>
          <w:lang w:val="fr-FR"/>
        </w:rPr>
        <w:t>’</w:t>
      </w:r>
      <w:r w:rsidRPr="0048528B">
        <w:rPr>
          <w:rFonts w:cs="Arial"/>
          <w:lang w:val="fr-FR"/>
        </w:rPr>
        <w:t>appliquer à tous les utilisateurs possibles.  Les indications supplémentaires fournies par le document devraient inclure des informations sur le nombre de répétitions pour s</w:t>
      </w:r>
      <w:r w:rsidR="00F3296C" w:rsidRPr="0048528B">
        <w:rPr>
          <w:rFonts w:cs="Arial"/>
          <w:lang w:val="fr-FR"/>
        </w:rPr>
        <w:t>’</w:t>
      </w:r>
      <w:r w:rsidRPr="0048528B">
        <w:rPr>
          <w:rFonts w:cs="Arial"/>
          <w:lang w:val="fr-FR"/>
        </w:rPr>
        <w:t>assurer que la désignation correcte de la variété par hasard ne serait pas probable.</w:t>
      </w:r>
    </w:p>
    <w:p w:rsidR="00C97F0A" w:rsidRPr="0048528B" w:rsidRDefault="00C97F0A" w:rsidP="00C97F0A">
      <w:pPr>
        <w:rPr>
          <w:rFonts w:cs="Arial"/>
          <w:lang w:val="fr-FR"/>
        </w:rPr>
      </w:pPr>
    </w:p>
    <w:p w:rsidR="00F3296C"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TWC est convenu que le document TWC/30/18 “Guidance for Development of Variety Descriptions” devrait être développé davantage.</w:t>
      </w:r>
      <w:r w:rsidR="00F3296C" w:rsidRPr="0048528B">
        <w:rPr>
          <w:rFonts w:cs="Arial"/>
          <w:lang w:val="fr-FR"/>
        </w:rPr>
        <w:t xml:space="preserve"> </w:t>
      </w:r>
      <w:r w:rsidR="00E3136C" w:rsidRPr="0048528B">
        <w:rPr>
          <w:rFonts w:cs="Arial"/>
          <w:lang w:val="fr-FR"/>
        </w:rPr>
        <w:t xml:space="preserve"> </w:t>
      </w:r>
      <w:r w:rsidR="00F3296C" w:rsidRPr="0048528B">
        <w:rPr>
          <w:rFonts w:cs="Arial"/>
          <w:lang w:val="fr-FR"/>
        </w:rPr>
        <w:t>Le TWC</w:t>
      </w:r>
      <w:r w:rsidRPr="0048528B">
        <w:rPr>
          <w:rFonts w:cs="Arial"/>
          <w:lang w:val="fr-FR"/>
        </w:rPr>
        <w:t xml:space="preserve"> a examiné les questions soulevées par les notes </w:t>
      </w:r>
      <w:r w:rsidRPr="0048528B">
        <w:rPr>
          <w:rFonts w:cs="Arial"/>
          <w:lang w:val="fr-FR"/>
        </w:rPr>
        <w:lastRenderedPageBreak/>
        <w:t>qui divergent et a suggéré que le document soit révisé afin de couvrir toutes les méthodes utilisées par les membres de l</w:t>
      </w:r>
      <w:r w:rsidR="00F3296C" w:rsidRPr="0048528B">
        <w:rPr>
          <w:rFonts w:cs="Arial"/>
          <w:lang w:val="fr-FR"/>
        </w:rPr>
        <w:t>’</w:t>
      </w:r>
      <w:r w:rsidRPr="0048528B">
        <w:rPr>
          <w:rFonts w:cs="Arial"/>
          <w:lang w:val="fr-FR"/>
        </w:rPr>
        <w:t>Union.</w:t>
      </w:r>
    </w:p>
    <w:p w:rsidR="00C97F0A" w:rsidRPr="0048528B" w:rsidRDefault="00C97F0A" w:rsidP="00C97F0A">
      <w:pPr>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Après examen du document TWC/30/29 “Statistical Methods for Visually Observed Characteristics”,</w:t>
      </w:r>
      <w:r w:rsidR="00F3296C" w:rsidRPr="0048528B">
        <w:rPr>
          <w:rFonts w:cs="Arial"/>
          <w:lang w:val="fr-FR"/>
        </w:rPr>
        <w:t xml:space="preserve"> le TWC</w:t>
      </w:r>
      <w:r w:rsidRPr="0048528B">
        <w:rPr>
          <w:rFonts w:cs="Arial"/>
          <w:lang w:val="fr-FR"/>
        </w:rPr>
        <w:t xml:space="preserve"> a demandé que de nouveaux exemples soient fournis en vue de l</w:t>
      </w:r>
      <w:r w:rsidR="00F3296C" w:rsidRPr="0048528B">
        <w:rPr>
          <w:rFonts w:cs="Arial"/>
          <w:lang w:val="fr-FR"/>
        </w:rPr>
        <w:t>’</w:t>
      </w:r>
      <w:r w:rsidRPr="0048528B">
        <w:rPr>
          <w:rFonts w:cs="Arial"/>
          <w:lang w:val="fr-FR"/>
        </w:rPr>
        <w:t>élaboration d</w:t>
      </w:r>
      <w:r w:rsidR="00F3296C" w:rsidRPr="0048528B">
        <w:rPr>
          <w:rFonts w:cs="Arial"/>
          <w:lang w:val="fr-FR"/>
        </w:rPr>
        <w:t>’</w:t>
      </w:r>
      <w:r w:rsidRPr="0048528B">
        <w:rPr>
          <w:rFonts w:cs="Arial"/>
          <w:lang w:val="fr-FR"/>
        </w:rPr>
        <w:t>un nouveau projet pour le document.</w:t>
      </w:r>
    </w:p>
    <w:p w:rsidR="00C97F0A" w:rsidRPr="0048528B" w:rsidRDefault="00C97F0A" w:rsidP="00C97F0A">
      <w:pPr>
        <w:rPr>
          <w:rFonts w:cs="Arial"/>
          <w:lang w:val="fr-FR"/>
        </w:rPr>
      </w:pPr>
    </w:p>
    <w:p w:rsidR="00F3296C"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TWC a pris note des informations figurant dans le document TWC/30/10 “Method of Calculation of COYU” et a indiqué qu</w:t>
      </w:r>
      <w:r w:rsidR="00F3296C" w:rsidRPr="0048528B">
        <w:rPr>
          <w:rFonts w:cs="Arial"/>
          <w:lang w:val="fr-FR"/>
        </w:rPr>
        <w:t>’</w:t>
      </w:r>
      <w:r w:rsidRPr="0048528B">
        <w:rPr>
          <w:rFonts w:cs="Arial"/>
          <w:lang w:val="fr-FR"/>
        </w:rPr>
        <w:t>un document sur des propositions éventuelles d</w:t>
      </w:r>
      <w:r w:rsidR="00F3296C" w:rsidRPr="0048528B">
        <w:rPr>
          <w:rFonts w:cs="Arial"/>
          <w:lang w:val="fr-FR"/>
        </w:rPr>
        <w:t>’</w:t>
      </w:r>
      <w:r w:rsidRPr="0048528B">
        <w:rPr>
          <w:rFonts w:cs="Arial"/>
          <w:lang w:val="fr-FR"/>
        </w:rPr>
        <w:t xml:space="preserve">amélioration de </w:t>
      </w:r>
      <w:r w:rsidR="009B04DF" w:rsidRPr="0048528B">
        <w:rPr>
          <w:rFonts w:cs="Arial"/>
          <w:lang w:val="fr-FR"/>
        </w:rPr>
        <w:t>la méthode</w:t>
      </w:r>
      <w:r w:rsidRPr="0048528B">
        <w:rPr>
          <w:rFonts w:cs="Arial"/>
          <w:lang w:val="fr-FR"/>
        </w:rPr>
        <w:t xml:space="preserve"> COYU n</w:t>
      </w:r>
      <w:r w:rsidR="00F3296C" w:rsidRPr="0048528B">
        <w:rPr>
          <w:rFonts w:cs="Arial"/>
          <w:lang w:val="fr-FR"/>
        </w:rPr>
        <w:t>’</w:t>
      </w:r>
      <w:r w:rsidRPr="0048528B">
        <w:rPr>
          <w:rFonts w:cs="Arial"/>
          <w:lang w:val="fr-FR"/>
        </w:rPr>
        <w:t>avait pas pu être établi pour examen par</w:t>
      </w:r>
      <w:r w:rsidR="00F3296C" w:rsidRPr="0048528B">
        <w:rPr>
          <w:rFonts w:cs="Arial"/>
          <w:lang w:val="fr-FR"/>
        </w:rPr>
        <w:t xml:space="preserve"> le TWC</w:t>
      </w:r>
      <w:r w:rsidRPr="0048528B">
        <w:rPr>
          <w:rFonts w:cs="Arial"/>
          <w:lang w:val="fr-FR"/>
        </w:rPr>
        <w:t xml:space="preserve"> en</w:t>
      </w:r>
      <w:r w:rsidR="00E3136C" w:rsidRPr="0048528B">
        <w:rPr>
          <w:rFonts w:cs="Arial"/>
          <w:lang w:val="fr-FR"/>
        </w:rPr>
        <w:t> </w:t>
      </w:r>
      <w:r w:rsidRPr="0048528B">
        <w:rPr>
          <w:rFonts w:cs="Arial"/>
          <w:lang w:val="fr-FR"/>
        </w:rPr>
        <w:t xml:space="preserve">2012. </w:t>
      </w:r>
      <w:r w:rsidR="00F3296C" w:rsidRPr="0048528B">
        <w:rPr>
          <w:rFonts w:cs="Arial"/>
          <w:lang w:val="fr-FR"/>
        </w:rPr>
        <w:t xml:space="preserve"> Le TWC</w:t>
      </w:r>
      <w:r w:rsidRPr="0048528B">
        <w:rPr>
          <w:rFonts w:cs="Arial"/>
          <w:lang w:val="fr-FR"/>
        </w:rPr>
        <w:t xml:space="preserve"> a prié des experts du Danemark et du Royaume</w:t>
      </w:r>
      <w:r w:rsidR="003F00B6" w:rsidRPr="0048528B">
        <w:rPr>
          <w:rFonts w:cs="Arial"/>
          <w:lang w:val="fr-FR"/>
        </w:rPr>
        <w:noBreakHyphen/>
      </w:r>
      <w:r w:rsidRPr="0048528B">
        <w:rPr>
          <w:rFonts w:cs="Arial"/>
          <w:lang w:val="fr-FR"/>
        </w:rPr>
        <w:t>Uni de poursuivre l</w:t>
      </w:r>
      <w:r w:rsidR="00F3296C" w:rsidRPr="0048528B">
        <w:rPr>
          <w:rFonts w:cs="Arial"/>
          <w:lang w:val="fr-FR"/>
        </w:rPr>
        <w:t>’</w:t>
      </w:r>
      <w:r w:rsidRPr="0048528B">
        <w:rPr>
          <w:rFonts w:cs="Arial"/>
          <w:lang w:val="fr-FR"/>
        </w:rPr>
        <w:t>élaboration du document pour examen par</w:t>
      </w:r>
      <w:r w:rsidR="00F3296C" w:rsidRPr="0048528B">
        <w:rPr>
          <w:rFonts w:cs="Arial"/>
          <w:lang w:val="fr-FR"/>
        </w:rPr>
        <w:t xml:space="preserve"> le TWC</w:t>
      </w:r>
      <w:r w:rsidRPr="0048528B">
        <w:rPr>
          <w:rFonts w:cs="Arial"/>
          <w:lang w:val="fr-FR"/>
        </w:rPr>
        <w:t xml:space="preserve"> à sa trente</w:t>
      </w:r>
      <w:r w:rsidR="00604ABA" w:rsidRPr="0048528B">
        <w:rPr>
          <w:rFonts w:cs="Arial"/>
          <w:lang w:val="fr-FR"/>
        </w:rPr>
        <w:t> </w:t>
      </w:r>
      <w:r w:rsidRPr="0048528B">
        <w:rPr>
          <w:rFonts w:cs="Arial"/>
          <w:lang w:val="fr-FR"/>
        </w:rPr>
        <w:t>et</w:t>
      </w:r>
      <w:r w:rsidR="00604ABA" w:rsidRPr="0048528B">
        <w:rPr>
          <w:rFonts w:cs="Arial"/>
          <w:lang w:val="fr-FR"/>
        </w:rPr>
        <w:t> </w:t>
      </w:r>
      <w:r w:rsidRPr="0048528B">
        <w:rPr>
          <w:rFonts w:cs="Arial"/>
          <w:lang w:val="fr-FR"/>
        </w:rPr>
        <w:t>unième</w:t>
      </w:r>
      <w:r w:rsidR="00E3136C" w:rsidRPr="0048528B">
        <w:rPr>
          <w:rFonts w:cs="Arial"/>
          <w:lang w:val="fr-FR"/>
        </w:rPr>
        <w:t> </w:t>
      </w:r>
      <w:r w:rsidRPr="0048528B">
        <w:rPr>
          <w:rFonts w:cs="Arial"/>
          <w:lang w:val="fr-FR"/>
        </w:rPr>
        <w:t>session.</w:t>
      </w:r>
    </w:p>
    <w:p w:rsidR="00C97F0A" w:rsidRPr="0048528B" w:rsidRDefault="00C97F0A" w:rsidP="00C97F0A">
      <w:pPr>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TWC a examiné le document TWC/30/9 “Assessing Uniformity by Off</w:t>
      </w:r>
      <w:r w:rsidR="003F00B6" w:rsidRPr="0048528B">
        <w:rPr>
          <w:rFonts w:cs="Arial"/>
          <w:lang w:val="fr-FR"/>
        </w:rPr>
        <w:noBreakHyphen/>
      </w:r>
      <w:r w:rsidRPr="0048528B">
        <w:rPr>
          <w:rFonts w:cs="Arial"/>
          <w:lang w:val="fr-FR"/>
        </w:rPr>
        <w:t>Types on the Basis of More Than one Sample or Sub Samples” tout en prenant connaissance d</w:t>
      </w:r>
      <w:r w:rsidR="00F3296C" w:rsidRPr="0048528B">
        <w:rPr>
          <w:rFonts w:cs="Arial"/>
          <w:lang w:val="fr-FR"/>
        </w:rPr>
        <w:t>’</w:t>
      </w:r>
      <w:r w:rsidRPr="0048528B">
        <w:rPr>
          <w:rFonts w:cs="Arial"/>
          <w:lang w:val="fr-FR"/>
        </w:rPr>
        <w:t>un exposé verbal présenté par un expert de l</w:t>
      </w:r>
      <w:r w:rsidR="00F3296C" w:rsidRPr="0048528B">
        <w:rPr>
          <w:rFonts w:cs="Arial"/>
          <w:lang w:val="fr-FR"/>
        </w:rPr>
        <w:t>’</w:t>
      </w:r>
      <w:r w:rsidRPr="0048528B">
        <w:rPr>
          <w:rFonts w:cs="Arial"/>
          <w:lang w:val="fr-FR"/>
        </w:rPr>
        <w:t>Allemagne sur l</w:t>
      </w:r>
      <w:r w:rsidR="00F3296C" w:rsidRPr="0048528B">
        <w:rPr>
          <w:rFonts w:cs="Arial"/>
          <w:lang w:val="fr-FR"/>
        </w:rPr>
        <w:t>’</w:t>
      </w:r>
      <w:r w:rsidRPr="0048528B">
        <w:rPr>
          <w:rFonts w:cs="Arial"/>
          <w:lang w:val="fr-FR"/>
        </w:rPr>
        <w:t>étude des différentes méthodes figurant dans le document.  Le TWC a noté la nécessité d</w:t>
      </w:r>
      <w:r w:rsidR="00F3296C" w:rsidRPr="0048528B">
        <w:rPr>
          <w:rFonts w:cs="Arial"/>
          <w:lang w:val="fr-FR"/>
        </w:rPr>
        <w:t>’</w:t>
      </w:r>
      <w:r w:rsidRPr="0048528B">
        <w:rPr>
          <w:rFonts w:cs="Arial"/>
          <w:lang w:val="fr-FR"/>
        </w:rPr>
        <w:t>expliquer plus en détail les situations décrites afin de préciser par exemple si deux cycles de végétation étaient liés à l</w:t>
      </w:r>
      <w:r w:rsidR="00F3296C" w:rsidRPr="0048528B">
        <w:rPr>
          <w:rFonts w:cs="Arial"/>
          <w:lang w:val="fr-FR"/>
        </w:rPr>
        <w:t>’</w:t>
      </w:r>
      <w:r w:rsidRPr="0048528B">
        <w:rPr>
          <w:rFonts w:cs="Arial"/>
          <w:lang w:val="fr-FR"/>
        </w:rPr>
        <w:t>utilisation du même échantillon et effectués la même année.  Le TWC est convenu que des informations plus détaillées et une analyse plus approfondie étaient nécessaires pour donner des orientations sur les conséquences qu</w:t>
      </w:r>
      <w:r w:rsidR="00F3296C" w:rsidRPr="0048528B">
        <w:rPr>
          <w:rFonts w:cs="Arial"/>
          <w:lang w:val="fr-FR"/>
        </w:rPr>
        <w:t>’</w:t>
      </w:r>
      <w:r w:rsidRPr="0048528B">
        <w:rPr>
          <w:rFonts w:cs="Arial"/>
          <w:lang w:val="fr-FR"/>
        </w:rPr>
        <w:t>aurait l</w:t>
      </w:r>
      <w:r w:rsidR="00F3296C" w:rsidRPr="0048528B">
        <w:rPr>
          <w:rFonts w:cs="Arial"/>
          <w:lang w:val="fr-FR"/>
        </w:rPr>
        <w:t>’</w:t>
      </w:r>
      <w:r w:rsidRPr="0048528B">
        <w:rPr>
          <w:rFonts w:cs="Arial"/>
          <w:lang w:val="fr-FR"/>
        </w:rPr>
        <w:t>application des différentes méthodes.</w:t>
      </w:r>
      <w:r w:rsidR="00F3296C" w:rsidRPr="0048528B">
        <w:rPr>
          <w:rFonts w:cs="Arial"/>
          <w:lang w:val="fr-FR"/>
        </w:rPr>
        <w:t xml:space="preserve"> </w:t>
      </w:r>
      <w:r w:rsidR="00E3136C" w:rsidRPr="0048528B">
        <w:rPr>
          <w:rFonts w:cs="Arial"/>
          <w:lang w:val="fr-FR"/>
        </w:rPr>
        <w:t xml:space="preserve"> </w:t>
      </w:r>
      <w:r w:rsidR="00F3296C" w:rsidRPr="0048528B">
        <w:rPr>
          <w:rFonts w:cs="Arial"/>
          <w:lang w:val="fr-FR"/>
        </w:rPr>
        <w:t>Le TWC</w:t>
      </w:r>
      <w:r w:rsidRPr="0048528B">
        <w:rPr>
          <w:rFonts w:cs="Arial"/>
          <w:lang w:val="fr-FR"/>
        </w:rPr>
        <w:t xml:space="preserve"> est convenu que l</w:t>
      </w:r>
      <w:r w:rsidR="00F3296C" w:rsidRPr="0048528B">
        <w:rPr>
          <w:rFonts w:cs="Arial"/>
          <w:lang w:val="fr-FR"/>
        </w:rPr>
        <w:t>’</w:t>
      </w:r>
      <w:r w:rsidRPr="0048528B">
        <w:rPr>
          <w:rFonts w:cs="Arial"/>
          <w:lang w:val="fr-FR"/>
        </w:rPr>
        <w:t>Allemagne, la France et les Pays</w:t>
      </w:r>
      <w:r w:rsidR="003F00B6" w:rsidRPr="0048528B">
        <w:rPr>
          <w:rFonts w:cs="Arial"/>
          <w:lang w:val="fr-FR"/>
        </w:rPr>
        <w:noBreakHyphen/>
      </w:r>
      <w:r w:rsidRPr="0048528B">
        <w:rPr>
          <w:rFonts w:cs="Arial"/>
          <w:lang w:val="fr-FR"/>
        </w:rPr>
        <w:t xml:space="preserve">Bas présenteraient une ou plusieurs situations concrètes dans leurs pays ainsi que la base statistique de leur analyse. </w:t>
      </w:r>
      <w:r w:rsidR="00F3296C" w:rsidRPr="0048528B">
        <w:rPr>
          <w:rFonts w:cs="Arial"/>
          <w:lang w:val="fr-FR"/>
        </w:rPr>
        <w:t xml:space="preserve"> Le TWC</w:t>
      </w:r>
      <w:r w:rsidRPr="0048528B">
        <w:rPr>
          <w:rFonts w:cs="Arial"/>
          <w:lang w:val="fr-FR"/>
        </w:rPr>
        <w:t xml:space="preserve"> est également convenu que la base statistique sur laquelle repose le nombre acceptable de plantes hors</w:t>
      </w:r>
      <w:r w:rsidR="003F00B6" w:rsidRPr="0048528B">
        <w:rPr>
          <w:rFonts w:cs="Arial"/>
          <w:lang w:val="fr-FR"/>
        </w:rPr>
        <w:noBreakHyphen/>
      </w:r>
      <w:r w:rsidRPr="0048528B">
        <w:rPr>
          <w:rFonts w:cs="Arial"/>
          <w:lang w:val="fr-FR"/>
        </w:rPr>
        <w:t>type dans le sous</w:t>
      </w:r>
      <w:r w:rsidR="003F00B6" w:rsidRPr="0048528B">
        <w:rPr>
          <w:rFonts w:cs="Arial"/>
          <w:lang w:val="fr-FR"/>
        </w:rPr>
        <w:noBreakHyphen/>
      </w:r>
      <w:r w:rsidRPr="0048528B">
        <w:rPr>
          <w:rFonts w:cs="Arial"/>
          <w:lang w:val="fr-FR"/>
        </w:rPr>
        <w:t>échantillon de 20 plantes utilisé dans le contexte de la taille d</w:t>
      </w:r>
      <w:r w:rsidR="00F3296C" w:rsidRPr="0048528B">
        <w:rPr>
          <w:rFonts w:cs="Arial"/>
          <w:lang w:val="fr-FR"/>
        </w:rPr>
        <w:t>’</w:t>
      </w:r>
      <w:r w:rsidRPr="0048528B">
        <w:rPr>
          <w:rFonts w:cs="Arial"/>
          <w:lang w:val="fr-FR"/>
        </w:rPr>
        <w:t xml:space="preserve">un échantillon de 100 plantes devrait être </w:t>
      </w:r>
      <w:r w:rsidR="009B04DF" w:rsidRPr="0048528B">
        <w:rPr>
          <w:rFonts w:cs="Arial"/>
          <w:lang w:val="fr-FR"/>
        </w:rPr>
        <w:t>évalu</w:t>
      </w:r>
      <w:r w:rsidRPr="0048528B">
        <w:rPr>
          <w:rFonts w:cs="Arial"/>
          <w:lang w:val="fr-FR"/>
        </w:rPr>
        <w:t>ée par les experts de l</w:t>
      </w:r>
      <w:r w:rsidR="00F3296C" w:rsidRPr="0048528B">
        <w:rPr>
          <w:rFonts w:cs="Arial"/>
          <w:lang w:val="fr-FR"/>
        </w:rPr>
        <w:t>’</w:t>
      </w:r>
      <w:r w:rsidRPr="0048528B">
        <w:rPr>
          <w:rFonts w:cs="Arial"/>
          <w:lang w:val="fr-FR"/>
        </w:rPr>
        <w:t>Allemagne et de la France.</w:t>
      </w:r>
    </w:p>
    <w:p w:rsidR="00C97F0A" w:rsidRPr="0048528B" w:rsidRDefault="00C97F0A" w:rsidP="00C97F0A">
      <w:pPr>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TWC a pris connaissance d</w:t>
      </w:r>
      <w:r w:rsidR="00F3296C" w:rsidRPr="0048528B">
        <w:rPr>
          <w:rFonts w:cs="Arial"/>
          <w:lang w:val="fr-FR"/>
        </w:rPr>
        <w:t>’</w:t>
      </w:r>
      <w:r w:rsidRPr="0048528B">
        <w:rPr>
          <w:rFonts w:cs="Arial"/>
          <w:lang w:val="fr-FR"/>
        </w:rPr>
        <w:t>un exposé présenté par un expert de la France sur le document TWC/30/31 “AIM</w:t>
      </w:r>
      <w:r w:rsidR="00E3136C" w:rsidRPr="0048528B">
        <w:rPr>
          <w:rFonts w:cs="Arial"/>
          <w:lang w:val="fr-FR"/>
        </w:rPr>
        <w:t> </w:t>
      </w:r>
      <w:r w:rsidRPr="0048528B">
        <w:rPr>
          <w:rFonts w:cs="Arial"/>
          <w:lang w:val="fr-FR"/>
        </w:rPr>
        <w:t>: Management of Image Analysis – Experience from France”.  Le logiciel AIM sert à gérer le système centralisé et partagé d</w:t>
      </w:r>
      <w:r w:rsidR="00F3296C" w:rsidRPr="0048528B">
        <w:rPr>
          <w:rFonts w:cs="Arial"/>
          <w:lang w:val="fr-FR"/>
        </w:rPr>
        <w:t>’</w:t>
      </w:r>
      <w:r w:rsidRPr="0048528B">
        <w:rPr>
          <w:rFonts w:cs="Arial"/>
          <w:lang w:val="fr-FR"/>
        </w:rPr>
        <w:t>analyse d</w:t>
      </w:r>
      <w:r w:rsidR="00F3296C" w:rsidRPr="0048528B">
        <w:rPr>
          <w:rFonts w:cs="Arial"/>
          <w:lang w:val="fr-FR"/>
        </w:rPr>
        <w:t>’</w:t>
      </w:r>
      <w:r w:rsidRPr="0048528B">
        <w:rPr>
          <w:rFonts w:cs="Arial"/>
          <w:lang w:val="fr-FR"/>
        </w:rPr>
        <w:t xml:space="preserve">image chez GEVES.  Le logiciel AIM </w:t>
      </w:r>
      <w:r w:rsidR="002D7602" w:rsidRPr="0048528B">
        <w:rPr>
          <w:rFonts w:cs="Arial"/>
          <w:lang w:val="fr-FR"/>
        </w:rPr>
        <w:t>pourrait</w:t>
      </w:r>
      <w:r w:rsidRPr="0048528B">
        <w:rPr>
          <w:rFonts w:cs="Arial"/>
          <w:lang w:val="fr-FR"/>
        </w:rPr>
        <w:t xml:space="preserve"> être distribué gratuitement par son développeur GEVES. </w:t>
      </w:r>
      <w:r w:rsidR="00F3296C" w:rsidRPr="0048528B">
        <w:rPr>
          <w:rFonts w:cs="Arial"/>
          <w:lang w:val="fr-FR"/>
        </w:rPr>
        <w:t xml:space="preserve"> Le TWC</w:t>
      </w:r>
      <w:r w:rsidRPr="0048528B">
        <w:rPr>
          <w:rFonts w:cs="Arial"/>
          <w:lang w:val="fr-FR"/>
        </w:rPr>
        <w:t xml:space="preserve"> a indiqué que la formation à l</w:t>
      </w:r>
      <w:r w:rsidR="00F3296C" w:rsidRPr="0048528B">
        <w:rPr>
          <w:rFonts w:cs="Arial"/>
          <w:lang w:val="fr-FR"/>
        </w:rPr>
        <w:t>’</w:t>
      </w:r>
      <w:r w:rsidRPr="0048528B">
        <w:rPr>
          <w:rFonts w:cs="Arial"/>
          <w:lang w:val="fr-FR"/>
        </w:rPr>
        <w:t xml:space="preserve">utilisation de ce logiciel et sa traduction en anglais seraient essentielles pour en assurer une utilisation à grande échelle.  </w:t>
      </w:r>
      <w:r w:rsidR="00F3296C" w:rsidRPr="0048528B">
        <w:rPr>
          <w:rFonts w:cs="Arial"/>
          <w:lang w:val="fr-FR"/>
        </w:rPr>
        <w:t>Le TWC</w:t>
      </w:r>
      <w:r w:rsidRPr="0048528B">
        <w:rPr>
          <w:rFonts w:cs="Arial"/>
          <w:lang w:val="fr-FR"/>
        </w:rPr>
        <w:t xml:space="preserve"> est également convenu de proposer que le logiciel AIM figure sur la liste des logiciels échangeables.</w:t>
      </w:r>
    </w:p>
    <w:p w:rsidR="00C97F0A" w:rsidRPr="0048528B" w:rsidRDefault="00C97F0A" w:rsidP="00C97F0A">
      <w:pPr>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document TWC/30/39 “A Survey on Software and Hardware used for Image Analysis” a été présenté</w:t>
      </w:r>
      <w:r w:rsidR="00F3296C" w:rsidRPr="0048528B">
        <w:rPr>
          <w:rFonts w:cs="Arial"/>
          <w:lang w:val="fr-FR"/>
        </w:rPr>
        <w:t xml:space="preserve"> au TWC</w:t>
      </w:r>
      <w:r w:rsidRPr="0048528B">
        <w:rPr>
          <w:rFonts w:cs="Arial"/>
          <w:lang w:val="fr-FR"/>
        </w:rPr>
        <w:t>.  Cette enquête a permis de réunir des informations sur des orientations à suivre, le matériel nécessaire, l</w:t>
      </w:r>
      <w:r w:rsidR="00F3296C" w:rsidRPr="0048528B">
        <w:rPr>
          <w:rFonts w:cs="Arial"/>
          <w:lang w:val="fr-FR"/>
        </w:rPr>
        <w:t>’</w:t>
      </w:r>
      <w:r w:rsidRPr="0048528B">
        <w:rPr>
          <w:rFonts w:cs="Arial"/>
          <w:lang w:val="fr-FR"/>
        </w:rPr>
        <w:t>étalonnage et la normalisation, essentielles dans le domaine de l</w:t>
      </w:r>
      <w:r w:rsidR="00F3296C" w:rsidRPr="0048528B">
        <w:rPr>
          <w:rFonts w:cs="Arial"/>
          <w:lang w:val="fr-FR"/>
        </w:rPr>
        <w:t>’</w:t>
      </w:r>
      <w:r w:rsidRPr="0048528B">
        <w:rPr>
          <w:rFonts w:cs="Arial"/>
          <w:lang w:val="fr-FR"/>
        </w:rPr>
        <w:t>analyse d</w:t>
      </w:r>
      <w:r w:rsidR="00F3296C" w:rsidRPr="0048528B">
        <w:rPr>
          <w:rFonts w:cs="Arial"/>
          <w:lang w:val="fr-FR"/>
        </w:rPr>
        <w:t>’</w:t>
      </w:r>
      <w:r w:rsidR="009B04DF" w:rsidRPr="0048528B">
        <w:rPr>
          <w:rFonts w:cs="Arial"/>
          <w:lang w:val="fr-FR"/>
        </w:rPr>
        <w:t>image.  Les</w:t>
      </w:r>
      <w:r w:rsidR="006A03CA" w:rsidRPr="0048528B">
        <w:rPr>
          <w:rFonts w:cs="Arial"/>
          <w:lang w:val="fr-FR"/>
        </w:rPr>
        <w:t xml:space="preserve"> </w:t>
      </w:r>
      <w:r w:rsidRPr="0048528B">
        <w:rPr>
          <w:rFonts w:cs="Arial"/>
          <w:lang w:val="fr-FR"/>
        </w:rPr>
        <w:t xml:space="preserve">informations fournies par la Finlande et la France seraient </w:t>
      </w:r>
      <w:r w:rsidR="002D7602" w:rsidRPr="0048528B">
        <w:rPr>
          <w:rFonts w:cs="Arial"/>
          <w:lang w:val="fr-FR"/>
        </w:rPr>
        <w:t>incluses</w:t>
      </w:r>
      <w:r w:rsidRPr="0048528B">
        <w:rPr>
          <w:rFonts w:cs="Arial"/>
          <w:lang w:val="fr-FR"/>
        </w:rPr>
        <w:t xml:space="preserve"> dans le document. </w:t>
      </w:r>
      <w:r w:rsidR="00F3296C" w:rsidRPr="0048528B">
        <w:rPr>
          <w:rFonts w:cs="Arial"/>
          <w:lang w:val="fr-FR"/>
        </w:rPr>
        <w:t xml:space="preserve"> Le TWC</w:t>
      </w:r>
      <w:r w:rsidRPr="0048528B">
        <w:rPr>
          <w:rFonts w:cs="Arial"/>
          <w:lang w:val="fr-FR"/>
        </w:rPr>
        <w:t xml:space="preserve"> est convenu qu</w:t>
      </w:r>
      <w:r w:rsidR="00F3296C" w:rsidRPr="0048528B">
        <w:rPr>
          <w:rFonts w:cs="Arial"/>
          <w:lang w:val="fr-FR"/>
        </w:rPr>
        <w:t>’</w:t>
      </w:r>
      <w:r w:rsidRPr="0048528B">
        <w:rPr>
          <w:rFonts w:cs="Arial"/>
          <w:lang w:val="fr-FR"/>
        </w:rPr>
        <w:t xml:space="preserve">un projet de nouvelle section intitulée </w:t>
      </w:r>
      <w:r w:rsidR="00E3136C" w:rsidRPr="0048528B">
        <w:rPr>
          <w:rFonts w:cs="Arial"/>
          <w:lang w:val="fr-FR"/>
        </w:rPr>
        <w:t>“</w:t>
      </w:r>
      <w:r w:rsidRPr="0048528B">
        <w:rPr>
          <w:rFonts w:cs="Arial"/>
          <w:lang w:val="fr-FR"/>
        </w:rPr>
        <w:t>Examen de caractères au moyen de l</w:t>
      </w:r>
      <w:r w:rsidR="00F3296C" w:rsidRPr="0048528B">
        <w:rPr>
          <w:rFonts w:cs="Arial"/>
          <w:lang w:val="fr-FR"/>
        </w:rPr>
        <w:t>’</w:t>
      </w:r>
      <w:r w:rsidRPr="0048528B">
        <w:rPr>
          <w:rFonts w:cs="Arial"/>
          <w:lang w:val="fr-FR"/>
        </w:rPr>
        <w:t>analyse d</w:t>
      </w:r>
      <w:r w:rsidR="00F3296C" w:rsidRPr="0048528B">
        <w:rPr>
          <w:rFonts w:cs="Arial"/>
          <w:lang w:val="fr-FR"/>
        </w:rPr>
        <w:t>’</w:t>
      </w:r>
      <w:r w:rsidRPr="0048528B">
        <w:rPr>
          <w:rFonts w:cs="Arial"/>
          <w:lang w:val="fr-FR"/>
        </w:rPr>
        <w:t>image</w:t>
      </w:r>
      <w:r w:rsidR="00E3136C" w:rsidRPr="0048528B">
        <w:rPr>
          <w:rFonts w:cs="Arial"/>
          <w:lang w:val="fr-FR"/>
        </w:rPr>
        <w:t>”</w:t>
      </w:r>
      <w:r w:rsidRPr="0048528B">
        <w:rPr>
          <w:rFonts w:cs="Arial"/>
          <w:lang w:val="fr-FR"/>
        </w:rPr>
        <w:t xml:space="preserve"> pourrait bénéficie</w:t>
      </w:r>
      <w:r w:rsidR="009B04DF" w:rsidRPr="0048528B">
        <w:rPr>
          <w:rFonts w:cs="Arial"/>
          <w:lang w:val="fr-FR"/>
        </w:rPr>
        <w:t>r</w:t>
      </w:r>
      <w:r w:rsidRPr="0048528B">
        <w:rPr>
          <w:rFonts w:cs="Arial"/>
          <w:lang w:val="fr-FR"/>
        </w:rPr>
        <w:t xml:space="preserve"> de ces informations, et que </w:t>
      </w:r>
      <w:r w:rsidR="009B04DF" w:rsidRPr="0048528B">
        <w:rPr>
          <w:rFonts w:cs="Arial"/>
          <w:lang w:val="fr-FR"/>
        </w:rPr>
        <w:t>d</w:t>
      </w:r>
      <w:r w:rsidRPr="0048528B">
        <w:rPr>
          <w:rFonts w:cs="Arial"/>
          <w:lang w:val="fr-FR"/>
        </w:rPr>
        <w:t>es experts des Pays</w:t>
      </w:r>
      <w:r w:rsidR="003F00B6" w:rsidRPr="0048528B">
        <w:rPr>
          <w:rFonts w:cs="Arial"/>
          <w:lang w:val="fr-FR"/>
        </w:rPr>
        <w:noBreakHyphen/>
      </w:r>
      <w:r w:rsidRPr="0048528B">
        <w:rPr>
          <w:rFonts w:cs="Arial"/>
          <w:lang w:val="fr-FR"/>
        </w:rPr>
        <w:t>Bas, en collaboration avec un expert de l</w:t>
      </w:r>
      <w:r w:rsidR="00F3296C" w:rsidRPr="0048528B">
        <w:rPr>
          <w:rFonts w:cs="Arial"/>
          <w:lang w:val="fr-FR"/>
        </w:rPr>
        <w:t>’</w:t>
      </w:r>
      <w:r w:rsidRPr="0048528B">
        <w:rPr>
          <w:rFonts w:cs="Arial"/>
          <w:lang w:val="fr-FR"/>
        </w:rPr>
        <w:t>Union européenne, devraient établir ce document.</w:t>
      </w:r>
    </w:p>
    <w:p w:rsidR="00C97F0A" w:rsidRPr="0048528B" w:rsidRDefault="00C97F0A" w:rsidP="00C97F0A">
      <w:pPr>
        <w:rPr>
          <w:rFonts w:cs="Arial"/>
          <w:lang w:val="fr-FR"/>
        </w:rPr>
      </w:pPr>
    </w:p>
    <w:p w:rsidR="00F3296C"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En ce qui concerne le document TWC/30/34 “Updated Survey on Hand</w:t>
      </w:r>
      <w:r w:rsidR="003F00B6" w:rsidRPr="0048528B">
        <w:rPr>
          <w:rFonts w:cs="Arial"/>
          <w:lang w:val="fr-FR"/>
        </w:rPr>
        <w:noBreakHyphen/>
      </w:r>
      <w:r w:rsidRPr="0048528B">
        <w:rPr>
          <w:rFonts w:cs="Arial"/>
          <w:lang w:val="fr-FR"/>
        </w:rPr>
        <w:t>Held Data Capture Devices”,</w:t>
      </w:r>
      <w:r w:rsidR="00F3296C" w:rsidRPr="0048528B">
        <w:rPr>
          <w:rFonts w:cs="Arial"/>
          <w:lang w:val="fr-FR"/>
        </w:rPr>
        <w:t xml:space="preserve"> le</w:t>
      </w:r>
      <w:r w:rsidR="006A03CA" w:rsidRPr="0048528B">
        <w:rPr>
          <w:rFonts w:cs="Arial"/>
          <w:lang w:val="fr-FR"/>
        </w:rPr>
        <w:t xml:space="preserve"> </w:t>
      </w:r>
      <w:r w:rsidR="00F3296C" w:rsidRPr="0048528B">
        <w:rPr>
          <w:rFonts w:cs="Arial"/>
          <w:lang w:val="fr-FR"/>
        </w:rPr>
        <w:t>TWC</w:t>
      </w:r>
      <w:r w:rsidRPr="0048528B">
        <w:rPr>
          <w:rFonts w:cs="Arial"/>
          <w:lang w:val="fr-FR"/>
        </w:rPr>
        <w:t xml:space="preserve"> a recommandé que le Bureau de l</w:t>
      </w:r>
      <w:r w:rsidR="00F3296C" w:rsidRPr="0048528B">
        <w:rPr>
          <w:rFonts w:cs="Arial"/>
          <w:lang w:val="fr-FR"/>
        </w:rPr>
        <w:t>’</w:t>
      </w:r>
      <w:r w:rsidRPr="0048528B">
        <w:rPr>
          <w:rFonts w:cs="Arial"/>
          <w:lang w:val="fr-FR"/>
        </w:rPr>
        <w:t>Union envoie une nouvelle circulaire aux fins de la révision des informations figurant dans le document.</w:t>
      </w:r>
    </w:p>
    <w:p w:rsidR="00C97F0A" w:rsidRPr="0048528B" w:rsidRDefault="00C97F0A" w:rsidP="00C97F0A">
      <w:pPr>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Le TWC a examiné le document TWC/30/7 “Exchangeable Software”. </w:t>
      </w:r>
      <w:r w:rsidR="00F3296C" w:rsidRPr="0048528B">
        <w:rPr>
          <w:rFonts w:cs="Arial"/>
          <w:lang w:val="fr-FR"/>
        </w:rPr>
        <w:t xml:space="preserve"> Le TWC</w:t>
      </w:r>
      <w:r w:rsidRPr="0048528B">
        <w:rPr>
          <w:rFonts w:cs="Arial"/>
          <w:lang w:val="fr-FR"/>
        </w:rPr>
        <w:t xml:space="preserve"> est convenu que, avant de se prononcer sur l</w:t>
      </w:r>
      <w:r w:rsidR="00F3296C" w:rsidRPr="0048528B">
        <w:rPr>
          <w:rFonts w:cs="Arial"/>
          <w:lang w:val="fr-FR"/>
        </w:rPr>
        <w:t>’</w:t>
      </w:r>
      <w:r w:rsidRPr="0048528B">
        <w:rPr>
          <w:rFonts w:cs="Arial"/>
          <w:lang w:val="fr-FR"/>
        </w:rPr>
        <w:t>inclusion d</w:t>
      </w:r>
      <w:r w:rsidR="00F3296C" w:rsidRPr="0048528B">
        <w:rPr>
          <w:rFonts w:cs="Arial"/>
          <w:lang w:val="fr-FR"/>
        </w:rPr>
        <w:t>’</w:t>
      </w:r>
      <w:r w:rsidR="009B04DF" w:rsidRPr="0048528B">
        <w:rPr>
          <w:rFonts w:cs="Arial"/>
          <w:lang w:val="fr-FR"/>
        </w:rPr>
        <w:t>un log</w:t>
      </w:r>
      <w:r w:rsidRPr="0048528B">
        <w:rPr>
          <w:rFonts w:cs="Arial"/>
          <w:lang w:val="fr-FR"/>
        </w:rPr>
        <w:t xml:space="preserve">iciel dans la liste, des précisions étaient nécessaires en ce qui concerne les modalités de disponibilité, les besoins de traduction, la formation, la maintenance et les coûts pour les utilisateurs potentiels. </w:t>
      </w:r>
      <w:r w:rsidR="00F3296C" w:rsidRPr="0048528B">
        <w:rPr>
          <w:rFonts w:cs="Arial"/>
          <w:lang w:val="fr-FR"/>
        </w:rPr>
        <w:t xml:space="preserve"> Le TWC</w:t>
      </w:r>
      <w:r w:rsidRPr="0048528B">
        <w:rPr>
          <w:rFonts w:cs="Arial"/>
          <w:lang w:val="fr-FR"/>
        </w:rPr>
        <w:t xml:space="preserve"> a pris connaissance d</w:t>
      </w:r>
      <w:r w:rsidR="00F3296C" w:rsidRPr="0048528B">
        <w:rPr>
          <w:rFonts w:cs="Arial"/>
          <w:lang w:val="fr-FR"/>
        </w:rPr>
        <w:t>’</w:t>
      </w:r>
      <w:r w:rsidRPr="0048528B">
        <w:rPr>
          <w:rFonts w:cs="Arial"/>
          <w:lang w:val="fr-FR"/>
        </w:rPr>
        <w:t xml:space="preserve">un exposé sur le document TWC/30/35 </w:t>
      </w:r>
      <w:r w:rsidR="00E3136C" w:rsidRPr="0048528B">
        <w:rPr>
          <w:rFonts w:cs="Arial"/>
          <w:lang w:val="fr-FR"/>
        </w:rPr>
        <w:t>“</w:t>
      </w:r>
      <w:r w:rsidRPr="0048528B">
        <w:rPr>
          <w:rFonts w:cs="Arial"/>
          <w:lang w:val="fr-FR"/>
        </w:rPr>
        <w:t>Information System (IS) Used for Test and Protection of Plant Varieties in the Russian Federation” présenté par un expert du Bélarus, en l</w:t>
      </w:r>
      <w:r w:rsidR="00F3296C" w:rsidRPr="0048528B">
        <w:rPr>
          <w:rFonts w:cs="Arial"/>
          <w:lang w:val="fr-FR"/>
        </w:rPr>
        <w:t>’</w:t>
      </w:r>
      <w:r w:rsidRPr="0048528B">
        <w:rPr>
          <w:rFonts w:cs="Arial"/>
          <w:lang w:val="fr-FR"/>
        </w:rPr>
        <w:t xml:space="preserve">absence des experts de la Fédération de Russie. </w:t>
      </w:r>
      <w:r w:rsidR="00F3296C" w:rsidRPr="0048528B">
        <w:rPr>
          <w:rFonts w:cs="Arial"/>
          <w:lang w:val="fr-FR"/>
        </w:rPr>
        <w:t xml:space="preserve"> Le TWC</w:t>
      </w:r>
      <w:r w:rsidRPr="0048528B">
        <w:rPr>
          <w:rFonts w:cs="Arial"/>
          <w:lang w:val="fr-FR"/>
        </w:rPr>
        <w:t xml:space="preserve"> est convenu que le système d</w:t>
      </w:r>
      <w:r w:rsidR="00F3296C" w:rsidRPr="0048528B">
        <w:rPr>
          <w:rFonts w:cs="Arial"/>
          <w:lang w:val="fr-FR"/>
        </w:rPr>
        <w:t>’</w:t>
      </w:r>
      <w:r w:rsidRPr="0048528B">
        <w:rPr>
          <w:rFonts w:cs="Arial"/>
          <w:lang w:val="fr-FR"/>
        </w:rPr>
        <w:t>information utilisé par la Fédération de Russie pourrait figurer dans la liste des logiciels échangeables, étant entendu qu</w:t>
      </w:r>
      <w:r w:rsidR="00F3296C" w:rsidRPr="0048528B">
        <w:rPr>
          <w:rFonts w:cs="Arial"/>
          <w:lang w:val="fr-FR"/>
        </w:rPr>
        <w:t>’</w:t>
      </w:r>
      <w:r w:rsidRPr="0048528B">
        <w:rPr>
          <w:rFonts w:cs="Arial"/>
          <w:lang w:val="fr-FR"/>
        </w:rPr>
        <w:t>il serait disponible en langue russe.</w:t>
      </w:r>
    </w:p>
    <w:p w:rsidR="00C97F0A" w:rsidRPr="0048528B" w:rsidRDefault="00C97F0A" w:rsidP="00C97F0A">
      <w:pPr>
        <w:rPr>
          <w:rFonts w:cs="Arial"/>
          <w:lang w:val="fr-FR"/>
        </w:rPr>
      </w:pPr>
    </w:p>
    <w:p w:rsidR="00F3296C"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TWC a pris connaissance d</w:t>
      </w:r>
      <w:r w:rsidR="00F3296C" w:rsidRPr="0048528B">
        <w:rPr>
          <w:rFonts w:cs="Arial"/>
          <w:lang w:val="fr-FR"/>
        </w:rPr>
        <w:t>’</w:t>
      </w:r>
      <w:r w:rsidRPr="0048528B">
        <w:rPr>
          <w:rFonts w:cs="Arial"/>
          <w:lang w:val="fr-FR"/>
        </w:rPr>
        <w:t xml:space="preserve">un exposé électronique </w:t>
      </w:r>
      <w:r w:rsidR="002B4D7B" w:rsidRPr="0048528B">
        <w:rPr>
          <w:rFonts w:cs="Arial"/>
          <w:lang w:val="fr-FR"/>
        </w:rPr>
        <w:t xml:space="preserve">présenté par le Bureau de l’Union </w:t>
      </w:r>
      <w:r w:rsidRPr="0048528B">
        <w:rPr>
          <w:rFonts w:cs="Arial"/>
          <w:lang w:val="fr-FR"/>
        </w:rPr>
        <w:t>par l</w:t>
      </w:r>
      <w:r w:rsidR="00F3296C" w:rsidRPr="0048528B">
        <w:rPr>
          <w:rFonts w:cs="Arial"/>
          <w:lang w:val="fr-FR"/>
        </w:rPr>
        <w:t>’</w:t>
      </w:r>
      <w:r w:rsidRPr="0048528B">
        <w:rPr>
          <w:rFonts w:cs="Arial"/>
          <w:lang w:val="fr-FR"/>
        </w:rPr>
        <w:t>intermédiaire de l</w:t>
      </w:r>
      <w:r w:rsidR="00F3296C" w:rsidRPr="0048528B">
        <w:rPr>
          <w:rFonts w:cs="Arial"/>
          <w:lang w:val="fr-FR"/>
        </w:rPr>
        <w:t>’</w:t>
      </w:r>
      <w:r w:rsidRPr="0048528B">
        <w:rPr>
          <w:rFonts w:cs="Arial"/>
          <w:lang w:val="fr-FR"/>
        </w:rPr>
        <w:t>Internet sur un projet de concept de modèle de principes directeurs d</w:t>
      </w:r>
      <w:r w:rsidR="00F3296C" w:rsidRPr="0048528B">
        <w:rPr>
          <w:rFonts w:cs="Arial"/>
          <w:lang w:val="fr-FR"/>
        </w:rPr>
        <w:t>’</w:t>
      </w:r>
      <w:r w:rsidRPr="0048528B">
        <w:rPr>
          <w:rFonts w:cs="Arial"/>
          <w:lang w:val="fr-FR"/>
        </w:rPr>
        <w:t>examen fondé sur le Web (modèle TG) pour les rédacteurs de principes directeurs d</w:t>
      </w:r>
      <w:r w:rsidR="00F3296C" w:rsidRPr="0048528B">
        <w:rPr>
          <w:rFonts w:cs="Arial"/>
          <w:lang w:val="fr-FR"/>
        </w:rPr>
        <w:t>’</w:t>
      </w:r>
      <w:r w:rsidRPr="0048528B">
        <w:rPr>
          <w:rFonts w:cs="Arial"/>
          <w:lang w:val="fr-FR"/>
        </w:rPr>
        <w:t>examen.</w:t>
      </w:r>
      <w:r w:rsidR="00F3296C" w:rsidRPr="0048528B">
        <w:rPr>
          <w:rFonts w:cs="Arial"/>
          <w:lang w:val="fr-FR"/>
        </w:rPr>
        <w:t xml:space="preserve"> </w:t>
      </w:r>
      <w:r w:rsidR="00E3136C" w:rsidRPr="0048528B">
        <w:rPr>
          <w:rFonts w:cs="Arial"/>
          <w:lang w:val="fr-FR"/>
        </w:rPr>
        <w:t xml:space="preserve"> </w:t>
      </w:r>
      <w:r w:rsidR="00F3296C" w:rsidRPr="0048528B">
        <w:rPr>
          <w:rFonts w:cs="Arial"/>
          <w:lang w:val="fr-FR"/>
        </w:rPr>
        <w:t>Le TWC</w:t>
      </w:r>
      <w:r w:rsidRPr="0048528B">
        <w:rPr>
          <w:rFonts w:cs="Arial"/>
          <w:lang w:val="fr-FR"/>
        </w:rPr>
        <w:t xml:space="preserve"> a fait sienne cette initiative et est convenu de la poursuite des travaux sur ce projet.</w:t>
      </w:r>
      <w:r w:rsidR="00E3136C" w:rsidRPr="0048528B">
        <w:rPr>
          <w:rFonts w:cs="Arial"/>
          <w:lang w:val="fr-FR"/>
        </w:rPr>
        <w:t xml:space="preserve"> </w:t>
      </w:r>
      <w:r w:rsidRPr="0048528B">
        <w:rPr>
          <w:rFonts w:cs="Arial"/>
          <w:lang w:val="fr-FR"/>
        </w:rPr>
        <w:t xml:space="preserve"> Un autre exposé électronique a été présenté par l</w:t>
      </w:r>
      <w:r w:rsidR="00F3296C" w:rsidRPr="0048528B">
        <w:rPr>
          <w:rFonts w:cs="Arial"/>
          <w:lang w:val="fr-FR"/>
        </w:rPr>
        <w:t>’</w:t>
      </w:r>
      <w:r w:rsidRPr="0048528B">
        <w:rPr>
          <w:rFonts w:cs="Arial"/>
          <w:lang w:val="fr-FR"/>
        </w:rPr>
        <w:t>OMPI, sur la base de données PLUTO.</w:t>
      </w:r>
    </w:p>
    <w:p w:rsidR="00C97F0A" w:rsidRPr="0048528B" w:rsidRDefault="00C97F0A" w:rsidP="00C97F0A">
      <w:pPr>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w:t>
      </w:r>
      <w:r w:rsidR="00F3296C" w:rsidRPr="0048528B">
        <w:rPr>
          <w:rFonts w:cs="Arial"/>
          <w:lang w:val="fr-FR"/>
        </w:rPr>
        <w:t>’</w:t>
      </w:r>
      <w:r w:rsidRPr="0048528B">
        <w:rPr>
          <w:rFonts w:cs="Arial"/>
          <w:lang w:val="fr-FR"/>
        </w:rPr>
        <w:t>expert de l</w:t>
      </w:r>
      <w:r w:rsidR="00F3296C" w:rsidRPr="0048528B">
        <w:rPr>
          <w:rFonts w:cs="Arial"/>
          <w:lang w:val="fr-FR"/>
        </w:rPr>
        <w:t>’</w:t>
      </w:r>
      <w:r w:rsidRPr="0048528B">
        <w:rPr>
          <w:rFonts w:cs="Arial"/>
          <w:lang w:val="fr-FR"/>
        </w:rPr>
        <w:t>Allemagne a distribué aux participants un CD contenant la version la plus récente de la base de données des documents de travail</w:t>
      </w:r>
      <w:r w:rsidR="00F3296C" w:rsidRPr="0048528B">
        <w:rPr>
          <w:rFonts w:cs="Arial"/>
          <w:lang w:val="fr-FR"/>
        </w:rPr>
        <w:t xml:space="preserve"> du TWC</w:t>
      </w:r>
      <w:r w:rsidRPr="0048528B">
        <w:rPr>
          <w:rFonts w:cs="Arial"/>
          <w:lang w:val="fr-FR"/>
        </w:rPr>
        <w:t>.</w:t>
      </w:r>
    </w:p>
    <w:p w:rsidR="00C97F0A" w:rsidRPr="0048528B" w:rsidRDefault="00C97F0A" w:rsidP="00C97F0A">
      <w:pPr>
        <w:rPr>
          <w:rFonts w:cs="Arial"/>
          <w:lang w:val="fr-FR"/>
        </w:rPr>
      </w:pPr>
    </w:p>
    <w:p w:rsidR="00C97F0A" w:rsidRPr="0048528B" w:rsidRDefault="00C97F0A" w:rsidP="00C97F0A">
      <w:pPr>
        <w:autoSpaceDE w:val="0"/>
        <w:autoSpaceDN w:val="0"/>
        <w:adjustRightInd w:val="0"/>
        <w:rPr>
          <w:rFonts w:cs="Arial"/>
          <w:lang w:val="fr-FR"/>
        </w:rPr>
      </w:pPr>
      <w:r w:rsidRPr="0048528B">
        <w:rPr>
          <w:rFonts w:cs="Arial"/>
          <w:lang w:val="fr-FR"/>
        </w:rPr>
        <w:lastRenderedPageBreak/>
        <w:fldChar w:fldCharType="begin"/>
      </w:r>
      <w:r w:rsidRPr="0048528B">
        <w:rPr>
          <w:rFonts w:cs="Arial"/>
          <w:lang w:val="fr-FR"/>
        </w:rPr>
        <w:instrText xml:space="preserve"> AUTONUM  \* Arabic </w:instrText>
      </w:r>
      <w:r w:rsidRPr="0048528B">
        <w:rPr>
          <w:rFonts w:cs="Arial"/>
          <w:lang w:val="fr-FR"/>
        </w:rPr>
        <w:fldChar w:fldCharType="end"/>
      </w:r>
      <w:r w:rsidRPr="0048528B">
        <w:rPr>
          <w:rFonts w:cs="Arial"/>
          <w:lang w:val="fr-FR"/>
        </w:rPr>
        <w:tab/>
        <w:t>Le TWC est convenu de tenir sa trente</w:t>
      </w:r>
      <w:r w:rsidR="00363F37" w:rsidRPr="0048528B">
        <w:rPr>
          <w:rFonts w:cs="Arial"/>
          <w:lang w:val="fr-FR"/>
        </w:rPr>
        <w:t> </w:t>
      </w:r>
      <w:r w:rsidRPr="0048528B">
        <w:rPr>
          <w:rFonts w:cs="Arial"/>
          <w:lang w:val="fr-FR"/>
        </w:rPr>
        <w:t>et</w:t>
      </w:r>
      <w:r w:rsidR="00363F37" w:rsidRPr="0048528B">
        <w:rPr>
          <w:rFonts w:cs="Arial"/>
          <w:lang w:val="fr-FR"/>
        </w:rPr>
        <w:t> </w:t>
      </w:r>
      <w:r w:rsidRPr="0048528B">
        <w:rPr>
          <w:rFonts w:cs="Arial"/>
          <w:lang w:val="fr-FR"/>
        </w:rPr>
        <w:t>unième</w:t>
      </w:r>
      <w:r w:rsidR="00E3136C" w:rsidRPr="0048528B">
        <w:rPr>
          <w:rFonts w:cs="Arial"/>
          <w:lang w:val="fr-FR"/>
        </w:rPr>
        <w:t> </w:t>
      </w:r>
      <w:r w:rsidRPr="0048528B">
        <w:rPr>
          <w:rFonts w:cs="Arial"/>
          <w:lang w:val="fr-FR"/>
        </w:rPr>
        <w:t xml:space="preserve">session à Séoul (République de Corée) du 4 au </w:t>
      </w:r>
      <w:r w:rsidR="00F3296C" w:rsidRPr="0048528B">
        <w:rPr>
          <w:rFonts w:cs="Arial"/>
          <w:lang w:val="fr-FR"/>
        </w:rPr>
        <w:t>7 juin 20</w:t>
      </w:r>
      <w:r w:rsidRPr="0048528B">
        <w:rPr>
          <w:rFonts w:cs="Arial"/>
          <w:lang w:val="fr-FR"/>
        </w:rPr>
        <w:t xml:space="preserve">13, un atelier préparatoire étant prévu le </w:t>
      </w:r>
      <w:r w:rsidR="00F3296C" w:rsidRPr="0048528B">
        <w:rPr>
          <w:rFonts w:cs="Arial"/>
          <w:lang w:val="fr-FR"/>
        </w:rPr>
        <w:t>3 juin 20</w:t>
      </w:r>
      <w:r w:rsidRPr="0048528B">
        <w:rPr>
          <w:rFonts w:cs="Arial"/>
          <w:lang w:val="fr-FR"/>
        </w:rPr>
        <w:t>13.</w:t>
      </w:r>
    </w:p>
    <w:p w:rsidR="00957386" w:rsidRPr="0048528B" w:rsidRDefault="00957386" w:rsidP="00C97F0A">
      <w:pPr>
        <w:autoSpaceDE w:val="0"/>
        <w:autoSpaceDN w:val="0"/>
        <w:adjustRightInd w:val="0"/>
        <w:rPr>
          <w:rFonts w:cs="Arial"/>
          <w:lang w:val="fr-FR"/>
        </w:rPr>
      </w:pPr>
    </w:p>
    <w:p w:rsidR="00F3296C" w:rsidRPr="0048528B" w:rsidRDefault="00C97F0A" w:rsidP="00C97F0A">
      <w:pPr>
        <w:autoSpaceDE w:val="0"/>
        <w:autoSpaceDN w:val="0"/>
        <w:adjustRightInd w:val="0"/>
        <w:rPr>
          <w:rFonts w:cs="Arial"/>
          <w:lang w:val="fr-FR"/>
        </w:rPr>
      </w:pPr>
      <w:r w:rsidRPr="0048528B">
        <w:rPr>
          <w:rFonts w:cs="Arial"/>
          <w:lang w:val="fr-FR"/>
        </w:rPr>
        <w:fldChar w:fldCharType="begin"/>
      </w:r>
      <w:r w:rsidRPr="0048528B">
        <w:rPr>
          <w:rFonts w:cs="Arial"/>
          <w:lang w:val="fr-FR"/>
        </w:rPr>
        <w:instrText xml:space="preserve"> AUTONUM  \* Arabic </w:instrText>
      </w:r>
      <w:r w:rsidRPr="0048528B">
        <w:rPr>
          <w:rFonts w:cs="Arial"/>
          <w:lang w:val="fr-FR"/>
        </w:rPr>
        <w:fldChar w:fldCharType="end"/>
      </w:r>
      <w:r w:rsidRPr="0048528B">
        <w:rPr>
          <w:rFonts w:cs="Arial"/>
          <w:lang w:val="fr-FR"/>
        </w:rPr>
        <w:tab/>
        <w:t>Le TWC a pr</w:t>
      </w:r>
      <w:r w:rsidR="002B4D7B" w:rsidRPr="0048528B">
        <w:rPr>
          <w:rFonts w:cs="Arial"/>
          <w:lang w:val="fr-FR"/>
        </w:rPr>
        <w:t>opos</w:t>
      </w:r>
      <w:r w:rsidRPr="0048528B">
        <w:rPr>
          <w:rFonts w:cs="Arial"/>
          <w:lang w:val="fr-FR"/>
        </w:rPr>
        <w:t>é d</w:t>
      </w:r>
      <w:r w:rsidR="00F3296C" w:rsidRPr="0048528B">
        <w:rPr>
          <w:rFonts w:cs="Arial"/>
          <w:lang w:val="fr-FR"/>
        </w:rPr>
        <w:t>’</w:t>
      </w:r>
      <w:r w:rsidRPr="0048528B">
        <w:rPr>
          <w:rFonts w:cs="Arial"/>
          <w:lang w:val="fr-FR"/>
        </w:rPr>
        <w:t xml:space="preserve">examiner les points </w:t>
      </w:r>
      <w:r w:rsidR="002B4D7B" w:rsidRPr="0048528B">
        <w:rPr>
          <w:rFonts w:cs="Arial"/>
          <w:lang w:val="fr-FR"/>
        </w:rPr>
        <w:t>suivants</w:t>
      </w:r>
      <w:r w:rsidRPr="0048528B">
        <w:rPr>
          <w:rFonts w:cs="Arial"/>
          <w:lang w:val="fr-FR"/>
        </w:rPr>
        <w:t xml:space="preserve"> à </w:t>
      </w:r>
      <w:r w:rsidR="002B4D7B" w:rsidRPr="0048528B">
        <w:rPr>
          <w:rFonts w:cs="Arial"/>
          <w:lang w:val="fr-FR"/>
        </w:rPr>
        <w:t xml:space="preserve">cette </w:t>
      </w:r>
      <w:r w:rsidRPr="0048528B">
        <w:rPr>
          <w:rFonts w:cs="Arial"/>
          <w:lang w:val="fr-FR"/>
        </w:rPr>
        <w:t>session</w:t>
      </w:r>
      <w:r w:rsidR="00E3136C" w:rsidRPr="0048528B">
        <w:rPr>
          <w:rFonts w:cs="Arial"/>
          <w:lang w:val="fr-FR"/>
        </w:rPr>
        <w:t> </w:t>
      </w:r>
      <w:r w:rsidRPr="0048528B">
        <w:rPr>
          <w:rFonts w:cs="Arial"/>
          <w:lang w:val="fr-FR"/>
        </w:rPr>
        <w:t>:</w:t>
      </w:r>
    </w:p>
    <w:p w:rsidR="00C97F0A" w:rsidRPr="0048528B" w:rsidRDefault="00C97F0A" w:rsidP="00C97F0A">
      <w:pPr>
        <w:tabs>
          <w:tab w:val="num" w:pos="1134"/>
        </w:tabs>
        <w:spacing w:before="20" w:afterLines="20" w:after="48"/>
        <w:ind w:left="567"/>
        <w:rPr>
          <w:rFonts w:cs="Arial"/>
          <w:lang w:val="fr-FR"/>
        </w:rPr>
      </w:pP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w:t>
      </w:r>
      <w:r w:rsidRPr="0048528B">
        <w:rPr>
          <w:rFonts w:cs="Arial"/>
          <w:lang w:val="fr-FR"/>
        </w:rPr>
        <w:tab/>
        <w:t>Ouverture de la session</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2.</w:t>
      </w:r>
      <w:r w:rsidRPr="0048528B">
        <w:rPr>
          <w:rFonts w:cs="Arial"/>
          <w:lang w:val="fr-FR"/>
        </w:rPr>
        <w:tab/>
        <w:t>Adoption de l</w:t>
      </w:r>
      <w:r w:rsidR="00F3296C" w:rsidRPr="0048528B">
        <w:rPr>
          <w:rFonts w:cs="Arial"/>
          <w:lang w:val="fr-FR"/>
        </w:rPr>
        <w:t>’</w:t>
      </w:r>
      <w:r w:rsidRPr="0048528B">
        <w:rPr>
          <w:rFonts w:cs="Arial"/>
          <w:lang w:val="fr-FR"/>
        </w:rPr>
        <w:t>ordre du jour</w:t>
      </w:r>
    </w:p>
    <w:p w:rsidR="00C97F0A" w:rsidRPr="0048528B" w:rsidRDefault="00C97F0A" w:rsidP="00363F37">
      <w:pPr>
        <w:keepNext/>
        <w:tabs>
          <w:tab w:val="num" w:pos="1134"/>
        </w:tabs>
        <w:spacing w:before="20" w:afterLines="20" w:after="48"/>
        <w:ind w:left="1134" w:hanging="567"/>
        <w:rPr>
          <w:rFonts w:cs="Arial"/>
          <w:lang w:val="fr-FR"/>
        </w:rPr>
      </w:pPr>
      <w:r w:rsidRPr="0048528B">
        <w:rPr>
          <w:rFonts w:cs="Arial"/>
          <w:lang w:val="fr-FR"/>
        </w:rPr>
        <w:t>3.</w:t>
      </w:r>
      <w:r w:rsidRPr="0048528B">
        <w:rPr>
          <w:rFonts w:cs="Arial"/>
          <w:lang w:val="fr-FR"/>
        </w:rPr>
        <w:tab/>
        <w:t>Rapports succincts sur l</w:t>
      </w:r>
      <w:r w:rsidR="00F3296C" w:rsidRPr="0048528B">
        <w:rPr>
          <w:rFonts w:cs="Arial"/>
          <w:lang w:val="fr-FR"/>
        </w:rPr>
        <w:t>’</w:t>
      </w:r>
      <w:r w:rsidRPr="0048528B">
        <w:rPr>
          <w:rFonts w:cs="Arial"/>
          <w:lang w:val="fr-FR"/>
        </w:rPr>
        <w:t>évolution de la situation en matière de protection des obtentions végétales</w:t>
      </w:r>
      <w:r w:rsidR="00E3136C" w:rsidRPr="0048528B">
        <w:rPr>
          <w:rFonts w:cs="Arial"/>
          <w:lang w:val="fr-FR"/>
        </w:rPr>
        <w:t> </w:t>
      </w:r>
      <w:r w:rsidRPr="0048528B">
        <w:rPr>
          <w:rFonts w:cs="Arial"/>
          <w:lang w:val="fr-FR"/>
        </w:rPr>
        <w:t>:</w:t>
      </w:r>
    </w:p>
    <w:p w:rsidR="00F3296C" w:rsidRPr="0048528B" w:rsidRDefault="00C97F0A" w:rsidP="008F023C">
      <w:pPr>
        <w:keepNext/>
        <w:tabs>
          <w:tab w:val="left" w:pos="1560"/>
        </w:tabs>
        <w:spacing w:before="20" w:afterLines="20" w:after="48"/>
        <w:ind w:left="1276" w:hanging="142"/>
        <w:rPr>
          <w:rFonts w:cs="Arial"/>
          <w:lang w:val="fr-FR"/>
        </w:rPr>
      </w:pPr>
      <w:r w:rsidRPr="0048528B">
        <w:rPr>
          <w:rFonts w:cs="Arial"/>
          <w:lang w:val="fr-FR"/>
        </w:rPr>
        <w:t>a)</w:t>
      </w:r>
      <w:r w:rsidR="008F023C" w:rsidRPr="0048528B">
        <w:rPr>
          <w:rFonts w:cs="Arial"/>
          <w:lang w:val="fr-FR"/>
        </w:rPr>
        <w:tab/>
      </w:r>
      <w:r w:rsidRPr="0048528B">
        <w:rPr>
          <w:rFonts w:cs="Arial"/>
          <w:lang w:val="fr-FR"/>
        </w:rPr>
        <w:t>Rapports des membres et des observateurs</w:t>
      </w:r>
    </w:p>
    <w:p w:rsidR="00F3296C" w:rsidRPr="0048528B" w:rsidRDefault="00C97F0A" w:rsidP="008F023C">
      <w:pPr>
        <w:keepNext/>
        <w:tabs>
          <w:tab w:val="left" w:pos="1560"/>
        </w:tabs>
        <w:spacing w:before="20" w:afterLines="20" w:after="48"/>
        <w:ind w:left="1276" w:hanging="142"/>
        <w:rPr>
          <w:rFonts w:cs="Arial"/>
          <w:lang w:val="fr-FR"/>
        </w:rPr>
      </w:pPr>
      <w:r w:rsidRPr="0048528B">
        <w:rPr>
          <w:rFonts w:cs="Arial"/>
          <w:lang w:val="fr-FR"/>
        </w:rPr>
        <w:t>b)</w:t>
      </w:r>
      <w:r w:rsidR="008F023C" w:rsidRPr="0048528B">
        <w:rPr>
          <w:rFonts w:cs="Arial"/>
          <w:lang w:val="fr-FR"/>
        </w:rPr>
        <w:tab/>
      </w:r>
      <w:r w:rsidRPr="0048528B">
        <w:rPr>
          <w:rFonts w:cs="Arial"/>
          <w:lang w:val="fr-FR"/>
        </w:rPr>
        <w:t>Rapports sur les faits nouveaux intervenus à l</w:t>
      </w:r>
      <w:r w:rsidR="00F3296C" w:rsidRPr="0048528B">
        <w:rPr>
          <w:rFonts w:cs="Arial"/>
          <w:lang w:val="fr-FR"/>
        </w:rPr>
        <w:t>’</w:t>
      </w:r>
      <w:r w:rsidRPr="0048528B">
        <w:rPr>
          <w:rFonts w:cs="Arial"/>
          <w:lang w:val="fr-FR"/>
        </w:rPr>
        <w:t>UPOV</w:t>
      </w:r>
    </w:p>
    <w:p w:rsidR="00F3296C" w:rsidRPr="0048528B" w:rsidRDefault="00C97F0A" w:rsidP="00C97F0A">
      <w:pPr>
        <w:tabs>
          <w:tab w:val="num" w:pos="1134"/>
        </w:tabs>
        <w:spacing w:before="20" w:afterLines="20" w:after="48"/>
        <w:ind w:left="567"/>
        <w:rPr>
          <w:rFonts w:cs="Arial"/>
          <w:lang w:val="fr-FR"/>
        </w:rPr>
      </w:pPr>
      <w:r w:rsidRPr="0048528B">
        <w:rPr>
          <w:rFonts w:cs="Arial"/>
          <w:lang w:val="fr-FR"/>
        </w:rPr>
        <w:t>4.</w:t>
      </w:r>
      <w:r w:rsidRPr="0048528B">
        <w:rPr>
          <w:rFonts w:cs="Arial"/>
          <w:lang w:val="fr-FR"/>
        </w:rPr>
        <w:tab/>
        <w:t>Techniques moléculaires</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5.</w:t>
      </w:r>
      <w:r w:rsidRPr="0048528B">
        <w:rPr>
          <w:rFonts w:cs="Arial"/>
          <w:lang w:val="fr-FR"/>
        </w:rPr>
        <w:tab/>
        <w:t>Documents TGP</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7.</w:t>
      </w:r>
      <w:r w:rsidRPr="0048528B">
        <w:rPr>
          <w:rFonts w:cs="Arial"/>
          <w:lang w:val="fr-FR"/>
        </w:rPr>
        <w:tab/>
        <w:t>Dénominations variétales</w:t>
      </w:r>
    </w:p>
    <w:p w:rsidR="00C97F0A" w:rsidRPr="0048528B" w:rsidRDefault="00C97F0A" w:rsidP="00C97F0A">
      <w:pPr>
        <w:spacing w:before="20" w:afterLines="20" w:after="48"/>
        <w:ind w:left="567"/>
        <w:rPr>
          <w:rFonts w:cs="Arial"/>
          <w:lang w:val="fr-FR"/>
        </w:rPr>
      </w:pPr>
      <w:r w:rsidRPr="0048528B">
        <w:rPr>
          <w:rFonts w:cs="Arial"/>
          <w:lang w:val="fr-FR"/>
        </w:rPr>
        <w:t>8.</w:t>
      </w:r>
      <w:r w:rsidRPr="0048528B">
        <w:rPr>
          <w:rFonts w:cs="Arial"/>
          <w:lang w:val="fr-FR"/>
        </w:rPr>
        <w:tab/>
        <w:t>Bases de données d</w:t>
      </w:r>
      <w:r w:rsidR="00F3296C" w:rsidRPr="0048528B">
        <w:rPr>
          <w:rFonts w:cs="Arial"/>
          <w:lang w:val="fr-FR"/>
        </w:rPr>
        <w:t>’</w:t>
      </w:r>
      <w:r w:rsidRPr="0048528B">
        <w:rPr>
          <w:rFonts w:cs="Arial"/>
          <w:lang w:val="fr-FR"/>
        </w:rPr>
        <w:t>information</w:t>
      </w:r>
    </w:p>
    <w:p w:rsidR="00F3296C" w:rsidRPr="0048528B" w:rsidRDefault="008F023C" w:rsidP="008F023C">
      <w:pPr>
        <w:tabs>
          <w:tab w:val="left" w:pos="1560"/>
        </w:tabs>
        <w:spacing w:before="20" w:afterLines="20" w:after="48"/>
        <w:ind w:left="1276" w:hanging="142"/>
        <w:rPr>
          <w:rFonts w:cs="Arial"/>
          <w:lang w:val="fr-FR"/>
        </w:rPr>
      </w:pPr>
      <w:r w:rsidRPr="0048528B">
        <w:rPr>
          <w:rFonts w:cs="Arial"/>
          <w:lang w:val="fr-FR"/>
        </w:rPr>
        <w:t>a)</w:t>
      </w:r>
      <w:r w:rsidRPr="0048528B">
        <w:rPr>
          <w:rFonts w:cs="Arial"/>
          <w:lang w:val="fr-FR"/>
        </w:rPr>
        <w:tab/>
      </w:r>
      <w:r w:rsidR="00C97F0A" w:rsidRPr="0048528B">
        <w:rPr>
          <w:rFonts w:cs="Arial"/>
          <w:lang w:val="fr-FR"/>
        </w:rPr>
        <w:t>Base de données d</w:t>
      </w:r>
      <w:r w:rsidR="00F3296C" w:rsidRPr="0048528B">
        <w:rPr>
          <w:rFonts w:cs="Arial"/>
          <w:lang w:val="fr-FR"/>
        </w:rPr>
        <w:t>’</w:t>
      </w:r>
      <w:r w:rsidR="00C97F0A" w:rsidRPr="0048528B">
        <w:rPr>
          <w:rFonts w:cs="Arial"/>
          <w:lang w:val="fr-FR"/>
        </w:rPr>
        <w:t>information de l</w:t>
      </w:r>
      <w:r w:rsidR="00F3296C" w:rsidRPr="0048528B">
        <w:rPr>
          <w:rFonts w:cs="Arial"/>
          <w:lang w:val="fr-FR"/>
        </w:rPr>
        <w:t>’</w:t>
      </w:r>
      <w:r w:rsidR="00C97F0A" w:rsidRPr="0048528B">
        <w:rPr>
          <w:rFonts w:cs="Arial"/>
          <w:lang w:val="fr-FR"/>
        </w:rPr>
        <w:t>UPOV</w:t>
      </w:r>
    </w:p>
    <w:p w:rsidR="00F3296C" w:rsidRPr="0048528B" w:rsidRDefault="008F023C" w:rsidP="008F023C">
      <w:pPr>
        <w:tabs>
          <w:tab w:val="left" w:pos="1560"/>
        </w:tabs>
        <w:spacing w:before="20" w:afterLines="20" w:after="48"/>
        <w:ind w:left="1276" w:hanging="142"/>
        <w:jc w:val="left"/>
        <w:rPr>
          <w:rFonts w:cs="Arial"/>
          <w:lang w:val="fr-FR"/>
        </w:rPr>
      </w:pPr>
      <w:r w:rsidRPr="0048528B">
        <w:rPr>
          <w:rFonts w:cs="Arial"/>
          <w:lang w:val="fr-FR"/>
        </w:rPr>
        <w:t>b)</w:t>
      </w:r>
      <w:r w:rsidRPr="0048528B">
        <w:rPr>
          <w:rFonts w:cs="Arial"/>
          <w:lang w:val="fr-FR"/>
        </w:rPr>
        <w:tab/>
      </w:r>
      <w:r w:rsidR="00C97F0A" w:rsidRPr="0048528B">
        <w:rPr>
          <w:rFonts w:cs="Arial"/>
          <w:lang w:val="fr-FR"/>
        </w:rPr>
        <w:t>Bases de données sur les descriptions variétales</w:t>
      </w:r>
    </w:p>
    <w:p w:rsidR="00F3296C" w:rsidRPr="0048528B" w:rsidRDefault="008F023C" w:rsidP="008F023C">
      <w:pPr>
        <w:tabs>
          <w:tab w:val="left" w:pos="1560"/>
        </w:tabs>
        <w:spacing w:before="20" w:afterLines="20" w:after="48"/>
        <w:ind w:left="1276" w:hanging="142"/>
        <w:rPr>
          <w:rFonts w:cs="Arial"/>
          <w:lang w:val="fr-FR"/>
        </w:rPr>
      </w:pPr>
      <w:r w:rsidRPr="0048528B">
        <w:rPr>
          <w:rFonts w:cs="Arial"/>
          <w:lang w:val="fr-FR"/>
        </w:rPr>
        <w:t>c)</w:t>
      </w:r>
      <w:r w:rsidRPr="0048528B">
        <w:rPr>
          <w:rFonts w:cs="Arial"/>
          <w:lang w:val="fr-FR"/>
        </w:rPr>
        <w:tab/>
      </w:r>
      <w:r w:rsidR="00C97F0A" w:rsidRPr="0048528B">
        <w:rPr>
          <w:rFonts w:cs="Arial"/>
          <w:lang w:val="fr-FR"/>
        </w:rPr>
        <w:t>Logiciels échangeables</w:t>
      </w:r>
    </w:p>
    <w:p w:rsidR="00C97F0A" w:rsidRPr="0048528B" w:rsidRDefault="008F023C" w:rsidP="008F023C">
      <w:pPr>
        <w:tabs>
          <w:tab w:val="left" w:pos="1560"/>
        </w:tabs>
        <w:spacing w:before="20" w:afterLines="20" w:after="48"/>
        <w:ind w:left="1276" w:hanging="142"/>
        <w:rPr>
          <w:rFonts w:cs="Arial"/>
          <w:lang w:val="fr-FR"/>
        </w:rPr>
      </w:pPr>
      <w:r w:rsidRPr="0048528B">
        <w:rPr>
          <w:rFonts w:cs="Arial"/>
          <w:lang w:val="fr-FR"/>
        </w:rPr>
        <w:t>d)</w:t>
      </w:r>
      <w:r w:rsidRPr="0048528B">
        <w:rPr>
          <w:rFonts w:cs="Arial"/>
          <w:lang w:val="fr-FR"/>
        </w:rPr>
        <w:tab/>
      </w:r>
      <w:r w:rsidR="00C97F0A" w:rsidRPr="0048528B">
        <w:rPr>
          <w:rFonts w:cs="Arial"/>
          <w:lang w:val="fr-FR"/>
        </w:rPr>
        <w:t>Systèmes de dépôt électronique des demandes</w:t>
      </w:r>
    </w:p>
    <w:p w:rsidR="00F3296C" w:rsidRPr="0048528B" w:rsidRDefault="00C97F0A" w:rsidP="00C97F0A">
      <w:pPr>
        <w:tabs>
          <w:tab w:val="num" w:pos="1134"/>
        </w:tabs>
        <w:spacing w:before="20" w:afterLines="20" w:after="48"/>
        <w:ind w:left="567"/>
        <w:rPr>
          <w:rFonts w:cs="Arial"/>
          <w:lang w:val="fr-FR"/>
        </w:rPr>
      </w:pPr>
      <w:r w:rsidRPr="0048528B">
        <w:rPr>
          <w:rFonts w:cs="Arial"/>
          <w:lang w:val="fr-FR"/>
        </w:rPr>
        <w:t>9.</w:t>
      </w:r>
      <w:r w:rsidRPr="0048528B">
        <w:rPr>
          <w:rFonts w:cs="Arial"/>
          <w:lang w:val="fr-FR"/>
        </w:rPr>
        <w:tab/>
        <w:t>Enregistreurs de données</w:t>
      </w:r>
    </w:p>
    <w:p w:rsidR="00F3296C" w:rsidRPr="0048528B" w:rsidRDefault="00C97F0A" w:rsidP="00C97F0A">
      <w:pPr>
        <w:tabs>
          <w:tab w:val="num" w:pos="1134"/>
        </w:tabs>
        <w:spacing w:before="20" w:afterLines="20" w:after="48"/>
        <w:ind w:left="567"/>
        <w:rPr>
          <w:rFonts w:cs="Arial"/>
          <w:lang w:val="fr-FR"/>
        </w:rPr>
      </w:pPr>
      <w:r w:rsidRPr="0048528B">
        <w:rPr>
          <w:rFonts w:cs="Arial"/>
          <w:lang w:val="fr-FR"/>
        </w:rPr>
        <w:t>10.</w:t>
      </w:r>
      <w:r w:rsidRPr="0048528B">
        <w:rPr>
          <w:rFonts w:cs="Arial"/>
          <w:lang w:val="fr-FR"/>
        </w:rPr>
        <w:tab/>
        <w:t>Analyse d</w:t>
      </w:r>
      <w:r w:rsidR="00F3296C" w:rsidRPr="0048528B">
        <w:rPr>
          <w:rFonts w:cs="Arial"/>
          <w:lang w:val="fr-FR"/>
        </w:rPr>
        <w:t>’</w:t>
      </w:r>
      <w:r w:rsidRPr="0048528B">
        <w:rPr>
          <w:rFonts w:cs="Arial"/>
          <w:lang w:val="fr-FR"/>
        </w:rPr>
        <w:t>images</w:t>
      </w:r>
    </w:p>
    <w:p w:rsidR="00C97F0A" w:rsidRPr="0048528B" w:rsidRDefault="00C97F0A" w:rsidP="008F023C">
      <w:pPr>
        <w:tabs>
          <w:tab w:val="num" w:pos="1134"/>
        </w:tabs>
        <w:spacing w:before="20" w:afterLines="20" w:after="48"/>
        <w:ind w:left="1134" w:hanging="567"/>
        <w:rPr>
          <w:rFonts w:cs="Arial"/>
          <w:lang w:val="fr-FR"/>
        </w:rPr>
      </w:pPr>
      <w:r w:rsidRPr="0048528B">
        <w:rPr>
          <w:rFonts w:cs="Arial"/>
          <w:lang w:val="fr-FR"/>
        </w:rPr>
        <w:t>11.</w:t>
      </w:r>
      <w:r w:rsidRPr="0048528B">
        <w:rPr>
          <w:rFonts w:cs="Arial"/>
          <w:lang w:val="fr-FR"/>
        </w:rPr>
        <w:tab/>
        <w:t>Évaluation de l</w:t>
      </w:r>
      <w:r w:rsidR="00F3296C" w:rsidRPr="0048528B">
        <w:rPr>
          <w:rFonts w:cs="Arial"/>
          <w:lang w:val="fr-FR"/>
        </w:rPr>
        <w:t>’</w:t>
      </w:r>
      <w:r w:rsidRPr="0048528B">
        <w:rPr>
          <w:rFonts w:cs="Arial"/>
          <w:lang w:val="fr-FR"/>
        </w:rPr>
        <w:t>homogénéité par plante hors type sur la base de plus d</w:t>
      </w:r>
      <w:r w:rsidR="00F3296C" w:rsidRPr="0048528B">
        <w:rPr>
          <w:rFonts w:cs="Arial"/>
          <w:lang w:val="fr-FR"/>
        </w:rPr>
        <w:t>’</w:t>
      </w:r>
      <w:r w:rsidRPr="0048528B">
        <w:rPr>
          <w:rFonts w:cs="Arial"/>
          <w:lang w:val="fr-FR"/>
        </w:rPr>
        <w:t>un exemple ou sous</w:t>
      </w:r>
      <w:r w:rsidR="003F00B6" w:rsidRPr="0048528B">
        <w:rPr>
          <w:rFonts w:cs="Arial"/>
          <w:lang w:val="fr-FR"/>
        </w:rPr>
        <w:noBreakHyphen/>
      </w:r>
      <w:r w:rsidRPr="0048528B">
        <w:rPr>
          <w:rFonts w:cs="Arial"/>
          <w:lang w:val="fr-FR"/>
        </w:rPr>
        <w:t>exemple</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12.</w:t>
      </w:r>
      <w:r w:rsidRPr="0048528B">
        <w:rPr>
          <w:rFonts w:cs="Arial"/>
          <w:lang w:val="fr-FR"/>
        </w:rPr>
        <w:tab/>
        <w:t>Mise au point de la méthode COY</w:t>
      </w:r>
    </w:p>
    <w:p w:rsidR="00F3296C" w:rsidRPr="0048528B" w:rsidRDefault="00C97F0A" w:rsidP="00C97F0A">
      <w:pPr>
        <w:tabs>
          <w:tab w:val="num" w:pos="1134"/>
        </w:tabs>
        <w:spacing w:before="20" w:afterLines="20" w:after="48"/>
        <w:ind w:left="567"/>
        <w:rPr>
          <w:rFonts w:cs="Arial"/>
          <w:lang w:val="fr-FR"/>
        </w:rPr>
      </w:pPr>
      <w:r w:rsidRPr="0048528B">
        <w:rPr>
          <w:rFonts w:cs="Arial"/>
          <w:lang w:val="fr-FR"/>
        </w:rPr>
        <w:tab/>
        <w:t>COYU : propositions éventuelles d</w:t>
      </w:r>
      <w:r w:rsidR="00F3296C" w:rsidRPr="0048528B">
        <w:rPr>
          <w:rFonts w:cs="Arial"/>
          <w:lang w:val="fr-FR"/>
        </w:rPr>
        <w:t>’</w:t>
      </w:r>
      <w:r w:rsidRPr="0048528B">
        <w:rPr>
          <w:rFonts w:cs="Arial"/>
          <w:lang w:val="fr-FR"/>
        </w:rPr>
        <w:t>améliorations de la méthode COYU</w:t>
      </w:r>
    </w:p>
    <w:p w:rsidR="00F3296C" w:rsidRPr="0048528B" w:rsidRDefault="00C97F0A" w:rsidP="00C97F0A">
      <w:pPr>
        <w:tabs>
          <w:tab w:val="num" w:pos="1134"/>
        </w:tabs>
        <w:spacing w:before="20" w:afterLines="20" w:after="48"/>
        <w:ind w:left="567"/>
        <w:rPr>
          <w:rFonts w:cs="Arial"/>
          <w:lang w:val="fr-FR"/>
        </w:rPr>
      </w:pPr>
      <w:r w:rsidRPr="0048528B">
        <w:rPr>
          <w:rFonts w:cs="Arial"/>
          <w:lang w:val="fr-FR"/>
        </w:rPr>
        <w:t>13.</w:t>
      </w:r>
      <w:r w:rsidRPr="0048528B">
        <w:rPr>
          <w:rFonts w:cs="Arial"/>
          <w:lang w:val="fr-FR"/>
        </w:rPr>
        <w:tab/>
        <w:t>Analyse statistique des données catégoriques</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14.</w:t>
      </w:r>
      <w:r w:rsidRPr="0048528B">
        <w:rPr>
          <w:rFonts w:cs="Arial"/>
          <w:lang w:val="fr-FR"/>
        </w:rPr>
        <w:tab/>
        <w:t>Diffusion sur le Web des sessions de l</w:t>
      </w:r>
      <w:r w:rsidR="00F3296C" w:rsidRPr="0048528B">
        <w:rPr>
          <w:rFonts w:cs="Arial"/>
          <w:lang w:val="fr-FR"/>
        </w:rPr>
        <w:t>’</w:t>
      </w:r>
      <w:r w:rsidRPr="0048528B">
        <w:rPr>
          <w:rFonts w:cs="Arial"/>
          <w:lang w:val="fr-FR"/>
        </w:rPr>
        <w:t>UPOV</w:t>
      </w:r>
    </w:p>
    <w:p w:rsidR="00F3296C" w:rsidRPr="0048528B" w:rsidRDefault="00C97F0A" w:rsidP="00C97F0A">
      <w:pPr>
        <w:tabs>
          <w:tab w:val="num" w:pos="1134"/>
        </w:tabs>
        <w:spacing w:before="20" w:afterLines="20" w:after="48"/>
        <w:ind w:left="567"/>
        <w:rPr>
          <w:rFonts w:cs="Arial"/>
          <w:lang w:val="fr-FR"/>
        </w:rPr>
      </w:pPr>
      <w:r w:rsidRPr="0048528B">
        <w:rPr>
          <w:rFonts w:cs="Arial"/>
          <w:lang w:val="fr-FR"/>
        </w:rPr>
        <w:t>15.</w:t>
      </w:r>
      <w:r w:rsidRPr="0048528B">
        <w:rPr>
          <w:rFonts w:cs="Arial"/>
          <w:lang w:val="fr-FR"/>
        </w:rPr>
        <w:tab/>
        <w:t>Base de données de recherche des documents du TWC</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16.</w:t>
      </w:r>
      <w:r w:rsidRPr="0048528B">
        <w:rPr>
          <w:rFonts w:cs="Arial"/>
          <w:lang w:val="fr-FR"/>
        </w:rPr>
        <w:tab/>
        <w:t>Date et lieu de la prochaine session</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17.</w:t>
      </w:r>
      <w:r w:rsidRPr="0048528B">
        <w:rPr>
          <w:rFonts w:cs="Arial"/>
          <w:lang w:val="fr-FR"/>
        </w:rPr>
        <w:tab/>
        <w:t>Programme futur</w:t>
      </w:r>
    </w:p>
    <w:p w:rsidR="00C97F0A" w:rsidRPr="0048528B" w:rsidRDefault="00C97F0A" w:rsidP="00C97F0A">
      <w:pPr>
        <w:tabs>
          <w:tab w:val="num" w:pos="1134"/>
        </w:tabs>
        <w:spacing w:before="20" w:afterLines="20" w:after="48"/>
        <w:ind w:left="567"/>
        <w:rPr>
          <w:rFonts w:cs="Arial"/>
          <w:lang w:val="fr-FR"/>
        </w:rPr>
      </w:pPr>
    </w:p>
    <w:bookmarkStart w:id="62" w:name="_Toc336593166"/>
    <w:p w:rsidR="00C97F0A" w:rsidRPr="0048528B" w:rsidRDefault="00C97F0A" w:rsidP="00C97F0A">
      <w:pPr>
        <w:rPr>
          <w:szCs w:val="24"/>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4"/>
          <w:lang w:val="fr-FR"/>
        </w:rPr>
        <w:t>L</w:t>
      </w:r>
      <w:r w:rsidR="00F3296C" w:rsidRPr="0048528B">
        <w:rPr>
          <w:szCs w:val="24"/>
          <w:lang w:val="fr-FR"/>
        </w:rPr>
        <w:t>’</w:t>
      </w:r>
      <w:r w:rsidRPr="0048528B">
        <w:rPr>
          <w:szCs w:val="24"/>
          <w:lang w:val="fr-FR"/>
        </w:rPr>
        <w:t>après</w:t>
      </w:r>
      <w:r w:rsidR="003F00B6" w:rsidRPr="0048528B">
        <w:rPr>
          <w:szCs w:val="24"/>
          <w:lang w:val="fr-FR"/>
        </w:rPr>
        <w:noBreakHyphen/>
      </w:r>
      <w:r w:rsidRPr="0048528B">
        <w:rPr>
          <w:szCs w:val="24"/>
          <w:lang w:val="fr-FR"/>
        </w:rPr>
        <w:t>midi du 2</w:t>
      </w:r>
      <w:r w:rsidR="00F3296C" w:rsidRPr="0048528B">
        <w:rPr>
          <w:szCs w:val="24"/>
          <w:lang w:val="fr-FR"/>
        </w:rPr>
        <w:t>8 juin 20</w:t>
      </w:r>
      <w:r w:rsidRPr="0048528B">
        <w:rPr>
          <w:szCs w:val="24"/>
          <w:lang w:val="fr-FR"/>
        </w:rPr>
        <w:t>12,</w:t>
      </w:r>
      <w:r w:rsidR="00F3296C" w:rsidRPr="0048528B">
        <w:rPr>
          <w:szCs w:val="24"/>
          <w:lang w:val="fr-FR"/>
        </w:rPr>
        <w:t xml:space="preserve"> le TWC</w:t>
      </w:r>
      <w:r w:rsidRPr="0048528B">
        <w:rPr>
          <w:szCs w:val="24"/>
          <w:lang w:val="fr-FR"/>
        </w:rPr>
        <w:t xml:space="preserve"> a visité l</w:t>
      </w:r>
      <w:r w:rsidR="00F3296C" w:rsidRPr="0048528B">
        <w:rPr>
          <w:szCs w:val="24"/>
          <w:lang w:val="fr-FR"/>
        </w:rPr>
        <w:t>’</w:t>
      </w:r>
      <w:r w:rsidRPr="0048528B">
        <w:rPr>
          <w:szCs w:val="24"/>
          <w:lang w:val="fr-FR"/>
        </w:rPr>
        <w:t>entreprise viticole Chateau Vartely à Orhei (République de Moldova).</w:t>
      </w:r>
    </w:p>
    <w:p w:rsidR="00C97F0A" w:rsidRPr="0048528B" w:rsidRDefault="00C97F0A" w:rsidP="006A03CA">
      <w:pPr>
        <w:rPr>
          <w:lang w:val="fr-FR"/>
        </w:rPr>
      </w:pPr>
    </w:p>
    <w:p w:rsidR="00C97F0A" w:rsidRPr="0048528B" w:rsidRDefault="00C97F0A" w:rsidP="00C97F0A">
      <w:pPr>
        <w:rPr>
          <w:lang w:val="fr-FR"/>
        </w:rPr>
      </w:pPr>
    </w:p>
    <w:p w:rsidR="00C97F0A" w:rsidRPr="0048528B" w:rsidRDefault="00C97F0A" w:rsidP="00C97F0A">
      <w:pPr>
        <w:pStyle w:val="Heading2"/>
        <w:rPr>
          <w:lang w:val="fr-FR"/>
        </w:rPr>
      </w:pPr>
      <w:bookmarkStart w:id="63" w:name="_Toc367888581"/>
      <w:bookmarkEnd w:id="62"/>
      <w:r w:rsidRPr="0048528B">
        <w:rPr>
          <w:lang w:val="fr-FR"/>
        </w:rPr>
        <w:t>Groupe de travail technique sur les plantes fruitières (TWF)</w:t>
      </w:r>
      <w:bookmarkEnd w:id="63"/>
    </w:p>
    <w:p w:rsidR="00C97F0A" w:rsidRPr="0048528B" w:rsidRDefault="00C97F0A" w:rsidP="00C97F0A">
      <w:pPr>
        <w:rPr>
          <w:u w:val="single"/>
          <w:lang w:val="fr-FR"/>
        </w:rPr>
      </w:pPr>
    </w:p>
    <w:p w:rsidR="00C97F0A" w:rsidRPr="0048528B" w:rsidRDefault="00C97F0A" w:rsidP="00C97F0A">
      <w:pPr>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Le TWF a tenu sa quarante</w:t>
      </w:r>
      <w:r w:rsidR="003F00B6" w:rsidRPr="0048528B">
        <w:rPr>
          <w:szCs w:val="22"/>
          <w:lang w:val="fr-FR"/>
        </w:rPr>
        <w:noBreakHyphen/>
      </w:r>
      <w:r w:rsidRPr="0048528B">
        <w:rPr>
          <w:szCs w:val="22"/>
          <w:lang w:val="fr-FR"/>
        </w:rPr>
        <w:t>troisième</w:t>
      </w:r>
      <w:r w:rsidR="00E3136C" w:rsidRPr="0048528B">
        <w:rPr>
          <w:szCs w:val="22"/>
          <w:lang w:val="fr-FR"/>
        </w:rPr>
        <w:t> </w:t>
      </w:r>
      <w:r w:rsidRPr="0048528B">
        <w:rPr>
          <w:szCs w:val="22"/>
          <w:lang w:val="fr-FR"/>
        </w:rPr>
        <w:t>session à Beijing (Chine) du 3</w:t>
      </w:r>
      <w:r w:rsidR="00F3296C" w:rsidRPr="0048528B">
        <w:rPr>
          <w:szCs w:val="22"/>
          <w:lang w:val="fr-FR"/>
        </w:rPr>
        <w:t>0 juillet</w:t>
      </w:r>
      <w:r w:rsidRPr="0048528B">
        <w:rPr>
          <w:szCs w:val="22"/>
          <w:lang w:val="fr-FR"/>
        </w:rPr>
        <w:t xml:space="preserve"> au </w:t>
      </w:r>
      <w:r w:rsidR="00F3296C" w:rsidRPr="0048528B">
        <w:rPr>
          <w:szCs w:val="22"/>
          <w:lang w:val="fr-FR"/>
        </w:rPr>
        <w:t>3 août 20</w:t>
      </w:r>
      <w:r w:rsidR="002B4D7B" w:rsidRPr="0048528B">
        <w:rPr>
          <w:szCs w:val="22"/>
          <w:lang w:val="fr-FR"/>
        </w:rPr>
        <w:t>12.  La </w:t>
      </w:r>
      <w:r w:rsidRPr="0048528B">
        <w:rPr>
          <w:szCs w:val="22"/>
          <w:lang w:val="fr-FR"/>
        </w:rPr>
        <w:t>session a été ouverte et présidée par Mme Carens</w:t>
      </w:r>
      <w:r w:rsidR="0048528B">
        <w:rPr>
          <w:szCs w:val="22"/>
          <w:lang w:val="fr-FR"/>
        </w:rPr>
        <w:t>a</w:t>
      </w:r>
      <w:r w:rsidRPr="0048528B">
        <w:rPr>
          <w:szCs w:val="22"/>
          <w:lang w:val="fr-FR"/>
        </w:rPr>
        <w:t xml:space="preserve"> Petzer (Afrique du Sud), présidente</w:t>
      </w:r>
      <w:r w:rsidR="00F3296C" w:rsidRPr="0048528B">
        <w:rPr>
          <w:szCs w:val="22"/>
          <w:lang w:val="fr-FR"/>
        </w:rPr>
        <w:t xml:space="preserve"> du TWF</w:t>
      </w:r>
      <w:r w:rsidRPr="0048528B">
        <w:rPr>
          <w:szCs w:val="22"/>
          <w:lang w:val="fr-FR"/>
        </w:rPr>
        <w:t>.</w:t>
      </w:r>
    </w:p>
    <w:p w:rsidR="00C97F0A" w:rsidRPr="0048528B" w:rsidRDefault="00C97F0A" w:rsidP="00C97F0A">
      <w:pPr>
        <w:rPr>
          <w:szCs w:val="22"/>
          <w:lang w:val="fr-FR"/>
        </w:rPr>
      </w:pPr>
    </w:p>
    <w:p w:rsidR="00C97F0A" w:rsidRPr="0048528B" w:rsidRDefault="00C97F0A" w:rsidP="00C97F0A">
      <w:pPr>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La session</w:t>
      </w:r>
      <w:r w:rsidR="00F3296C" w:rsidRPr="0048528B">
        <w:rPr>
          <w:szCs w:val="22"/>
          <w:lang w:val="fr-FR"/>
        </w:rPr>
        <w:t xml:space="preserve"> du TWF</w:t>
      </w:r>
      <w:r w:rsidRPr="0048528B">
        <w:rPr>
          <w:szCs w:val="22"/>
          <w:lang w:val="fr-FR"/>
        </w:rPr>
        <w:t xml:space="preserve"> a réuni 52 participants représentant 16 membres de l</w:t>
      </w:r>
      <w:r w:rsidR="00F3296C" w:rsidRPr="0048528B">
        <w:rPr>
          <w:szCs w:val="22"/>
          <w:lang w:val="fr-FR"/>
        </w:rPr>
        <w:t>’</w:t>
      </w:r>
      <w:r w:rsidRPr="0048528B">
        <w:rPr>
          <w:szCs w:val="22"/>
          <w:lang w:val="fr-FR"/>
        </w:rPr>
        <w:t>Union, trois</w:t>
      </w:r>
      <w:r w:rsidR="00E3136C" w:rsidRPr="0048528B">
        <w:rPr>
          <w:szCs w:val="22"/>
          <w:lang w:val="fr-FR"/>
        </w:rPr>
        <w:t> </w:t>
      </w:r>
      <w:r w:rsidRPr="0048528B">
        <w:rPr>
          <w:szCs w:val="22"/>
          <w:lang w:val="fr-FR"/>
        </w:rPr>
        <w:t>États ayant le statut d</w:t>
      </w:r>
      <w:r w:rsidR="00F3296C" w:rsidRPr="0048528B">
        <w:rPr>
          <w:szCs w:val="22"/>
          <w:lang w:val="fr-FR"/>
        </w:rPr>
        <w:t>’</w:t>
      </w:r>
      <w:r w:rsidRPr="0048528B">
        <w:rPr>
          <w:szCs w:val="22"/>
          <w:lang w:val="fr-FR"/>
        </w:rPr>
        <w:t>observateur et une organisation ayant le statut d</w:t>
      </w:r>
      <w:r w:rsidR="00F3296C" w:rsidRPr="0048528B">
        <w:rPr>
          <w:szCs w:val="22"/>
          <w:lang w:val="fr-FR"/>
        </w:rPr>
        <w:t>’</w:t>
      </w:r>
      <w:r w:rsidRPr="0048528B">
        <w:rPr>
          <w:szCs w:val="22"/>
          <w:lang w:val="fr-FR"/>
        </w:rPr>
        <w:t>observateur.</w:t>
      </w:r>
    </w:p>
    <w:p w:rsidR="00C97F0A" w:rsidRPr="0048528B" w:rsidRDefault="00C97F0A" w:rsidP="00C97F0A">
      <w:pPr>
        <w:rPr>
          <w:szCs w:val="22"/>
          <w:lang w:val="fr-FR"/>
        </w:rPr>
      </w:pPr>
    </w:p>
    <w:p w:rsidR="00C97F0A" w:rsidRPr="0048528B" w:rsidRDefault="00C97F0A" w:rsidP="00C97F0A">
      <w:pPr>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L</w:t>
      </w:r>
      <w:r w:rsidR="00F3296C" w:rsidRPr="0048528B">
        <w:rPr>
          <w:szCs w:val="22"/>
          <w:lang w:val="fr-FR"/>
        </w:rPr>
        <w:t>’</w:t>
      </w:r>
      <w:r w:rsidRPr="0048528B">
        <w:rPr>
          <w:szCs w:val="22"/>
          <w:lang w:val="fr-FR"/>
        </w:rPr>
        <w:t xml:space="preserve">atelier préparatoire a réuni 25 participants </w:t>
      </w:r>
      <w:r w:rsidR="002B4D7B" w:rsidRPr="0048528B">
        <w:rPr>
          <w:szCs w:val="22"/>
          <w:lang w:val="fr-FR"/>
        </w:rPr>
        <w:t>représentant</w:t>
      </w:r>
      <w:r w:rsidRPr="0048528B">
        <w:rPr>
          <w:szCs w:val="22"/>
          <w:lang w:val="fr-FR"/>
        </w:rPr>
        <w:t xml:space="preserve"> neuf</w:t>
      </w:r>
      <w:r w:rsidR="00E3136C" w:rsidRPr="0048528B">
        <w:rPr>
          <w:szCs w:val="22"/>
          <w:lang w:val="fr-FR"/>
        </w:rPr>
        <w:t> </w:t>
      </w:r>
      <w:r w:rsidRPr="0048528B">
        <w:rPr>
          <w:szCs w:val="22"/>
          <w:lang w:val="fr-FR"/>
        </w:rPr>
        <w:t>membres de l</w:t>
      </w:r>
      <w:r w:rsidR="00F3296C" w:rsidRPr="0048528B">
        <w:rPr>
          <w:szCs w:val="22"/>
          <w:lang w:val="fr-FR"/>
        </w:rPr>
        <w:t>’</w:t>
      </w:r>
      <w:r w:rsidRPr="0048528B">
        <w:rPr>
          <w:szCs w:val="22"/>
          <w:lang w:val="fr-FR"/>
        </w:rPr>
        <w:t>Union et trois</w:t>
      </w:r>
      <w:r w:rsidR="00E3136C" w:rsidRPr="0048528B">
        <w:rPr>
          <w:szCs w:val="22"/>
          <w:lang w:val="fr-FR"/>
        </w:rPr>
        <w:t> </w:t>
      </w:r>
      <w:r w:rsidRPr="0048528B">
        <w:rPr>
          <w:szCs w:val="22"/>
          <w:lang w:val="fr-FR"/>
        </w:rPr>
        <w:t>États ayant le statut d</w:t>
      </w:r>
      <w:r w:rsidR="00F3296C" w:rsidRPr="0048528B">
        <w:rPr>
          <w:szCs w:val="22"/>
          <w:lang w:val="fr-FR"/>
        </w:rPr>
        <w:t>’</w:t>
      </w:r>
      <w:r w:rsidRPr="0048528B">
        <w:rPr>
          <w:szCs w:val="22"/>
          <w:lang w:val="fr-FR"/>
        </w:rPr>
        <w:t>observateur.</w:t>
      </w:r>
    </w:p>
    <w:p w:rsidR="00C97F0A" w:rsidRPr="0048528B" w:rsidRDefault="00C97F0A" w:rsidP="00C97F0A">
      <w:pPr>
        <w:rPr>
          <w:szCs w:val="22"/>
          <w:lang w:val="fr-FR"/>
        </w:rPr>
      </w:pPr>
    </w:p>
    <w:p w:rsidR="00C97F0A" w:rsidRPr="0048528B" w:rsidRDefault="00C97F0A" w:rsidP="00C97F0A">
      <w:pPr>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M.</w:t>
      </w:r>
      <w:r w:rsidR="00E3136C" w:rsidRPr="0048528B">
        <w:rPr>
          <w:lang w:val="fr-FR"/>
        </w:rPr>
        <w:t> </w:t>
      </w:r>
      <w:r w:rsidRPr="0048528B">
        <w:rPr>
          <w:szCs w:val="22"/>
          <w:lang w:val="fr-FR"/>
        </w:rPr>
        <w:t xml:space="preserve">Zhang Yanqui, directeur général du </w:t>
      </w:r>
      <w:r w:rsidR="002B4D7B" w:rsidRPr="0048528B">
        <w:rPr>
          <w:szCs w:val="22"/>
          <w:lang w:val="fr-FR"/>
        </w:rPr>
        <w:t>B</w:t>
      </w:r>
      <w:r w:rsidRPr="0048528B">
        <w:rPr>
          <w:szCs w:val="22"/>
          <w:lang w:val="fr-FR"/>
        </w:rPr>
        <w:t>ureau de la gestion des semences au Ministère de l</w:t>
      </w:r>
      <w:r w:rsidR="00F3296C" w:rsidRPr="0048528B">
        <w:rPr>
          <w:szCs w:val="22"/>
          <w:lang w:val="fr-FR"/>
        </w:rPr>
        <w:t>’</w:t>
      </w:r>
      <w:r w:rsidRPr="0048528B">
        <w:rPr>
          <w:szCs w:val="22"/>
          <w:lang w:val="fr-FR"/>
        </w:rPr>
        <w:t>agriculture, et M.</w:t>
      </w:r>
      <w:r w:rsidR="00E3136C" w:rsidRPr="0048528B">
        <w:rPr>
          <w:szCs w:val="22"/>
          <w:lang w:val="fr-FR"/>
        </w:rPr>
        <w:t> </w:t>
      </w:r>
      <w:r w:rsidRPr="0048528B">
        <w:rPr>
          <w:szCs w:val="22"/>
          <w:lang w:val="fr-FR"/>
        </w:rPr>
        <w:t>Huang Faqiang, vice</w:t>
      </w:r>
      <w:r w:rsidR="003F00B6" w:rsidRPr="0048528B">
        <w:rPr>
          <w:szCs w:val="22"/>
          <w:lang w:val="fr-FR"/>
        </w:rPr>
        <w:noBreakHyphen/>
      </w:r>
      <w:r w:rsidRPr="0048528B">
        <w:rPr>
          <w:szCs w:val="22"/>
          <w:lang w:val="fr-FR"/>
        </w:rPr>
        <w:t xml:space="preserve">directeur général du </w:t>
      </w:r>
      <w:r w:rsidR="0038335D" w:rsidRPr="0048528B">
        <w:rPr>
          <w:szCs w:val="22"/>
          <w:lang w:val="fr-FR"/>
        </w:rPr>
        <w:t>C</w:t>
      </w:r>
      <w:r w:rsidRPr="0048528B">
        <w:rPr>
          <w:szCs w:val="22"/>
          <w:lang w:val="fr-FR"/>
        </w:rPr>
        <w:t>entre de développement scientifique et technologique de l</w:t>
      </w:r>
      <w:r w:rsidR="00F3296C" w:rsidRPr="0048528B">
        <w:rPr>
          <w:szCs w:val="22"/>
          <w:lang w:val="fr-FR"/>
        </w:rPr>
        <w:t>’</w:t>
      </w:r>
      <w:r w:rsidRPr="0048528B">
        <w:rPr>
          <w:szCs w:val="22"/>
          <w:lang w:val="fr-FR"/>
        </w:rPr>
        <w:t>Administration chinoise des forêts et vice</w:t>
      </w:r>
      <w:r w:rsidR="003F00B6" w:rsidRPr="0048528B">
        <w:rPr>
          <w:szCs w:val="22"/>
          <w:lang w:val="fr-FR"/>
        </w:rPr>
        <w:noBreakHyphen/>
      </w:r>
      <w:r w:rsidRPr="0048528B">
        <w:rPr>
          <w:szCs w:val="22"/>
          <w:lang w:val="fr-FR"/>
        </w:rPr>
        <w:t>directeur du Bureau de la protection des nouvelles variétés végétales de l</w:t>
      </w:r>
      <w:r w:rsidR="00F3296C" w:rsidRPr="0048528B">
        <w:rPr>
          <w:szCs w:val="22"/>
          <w:lang w:val="fr-FR"/>
        </w:rPr>
        <w:t>’</w:t>
      </w:r>
      <w:r w:rsidRPr="0048528B">
        <w:rPr>
          <w:szCs w:val="22"/>
          <w:lang w:val="fr-FR"/>
        </w:rPr>
        <w:t>Administration chinoise des forêts, ont souhaité la bienvenue aux participants.</w:t>
      </w:r>
    </w:p>
    <w:p w:rsidR="00C97F0A" w:rsidRPr="0048528B" w:rsidRDefault="00C97F0A" w:rsidP="00C97F0A">
      <w:pPr>
        <w:rPr>
          <w:szCs w:val="22"/>
          <w:lang w:val="fr-FR"/>
        </w:rPr>
      </w:pPr>
    </w:p>
    <w:p w:rsidR="00C97F0A" w:rsidRPr="0048528B" w:rsidRDefault="00C97F0A" w:rsidP="00A26EF1">
      <w:pPr>
        <w:spacing w:after="240"/>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Le TWF a demandé que les experts</w:t>
      </w:r>
      <w:r w:rsidR="00F3296C" w:rsidRPr="0048528B">
        <w:rPr>
          <w:szCs w:val="22"/>
          <w:lang w:val="fr-FR"/>
        </w:rPr>
        <w:t xml:space="preserve"> du TWF</w:t>
      </w:r>
      <w:r w:rsidRPr="0048528B">
        <w:rPr>
          <w:szCs w:val="22"/>
          <w:lang w:val="fr-FR"/>
        </w:rPr>
        <w:t xml:space="preserve"> présentent à la prochaine session des informations supplémentaires sur l</w:t>
      </w:r>
      <w:r w:rsidR="00F3296C" w:rsidRPr="0048528B">
        <w:rPr>
          <w:szCs w:val="22"/>
          <w:lang w:val="fr-FR"/>
        </w:rPr>
        <w:t>’</w:t>
      </w:r>
      <w:r w:rsidRPr="0048528B">
        <w:rPr>
          <w:szCs w:val="22"/>
          <w:lang w:val="fr-FR"/>
        </w:rPr>
        <w:t>utilisation des techniques biochimiques et moléculaires dans le domaine des plantes fruitières à des fins telles que l</w:t>
      </w:r>
      <w:r w:rsidR="00F3296C" w:rsidRPr="0048528B">
        <w:rPr>
          <w:szCs w:val="22"/>
          <w:lang w:val="fr-FR"/>
        </w:rPr>
        <w:t>’</w:t>
      </w:r>
      <w:r w:rsidRPr="0048528B">
        <w:rPr>
          <w:szCs w:val="22"/>
          <w:lang w:val="fr-FR"/>
        </w:rPr>
        <w:t>identification de la variété, la gestion de collections de variétés ou pour d</w:t>
      </w:r>
      <w:r w:rsidR="00F3296C" w:rsidRPr="0048528B">
        <w:rPr>
          <w:szCs w:val="22"/>
          <w:lang w:val="fr-FR"/>
        </w:rPr>
        <w:t>’</w:t>
      </w:r>
      <w:r w:rsidRPr="0048528B">
        <w:rPr>
          <w:szCs w:val="22"/>
          <w:lang w:val="fr-FR"/>
        </w:rPr>
        <w:t>autres applications.  L</w:t>
      </w:r>
      <w:r w:rsidR="00F3296C" w:rsidRPr="0048528B">
        <w:rPr>
          <w:szCs w:val="22"/>
          <w:lang w:val="fr-FR"/>
        </w:rPr>
        <w:t>’</w:t>
      </w:r>
      <w:r w:rsidRPr="0048528B">
        <w:rPr>
          <w:szCs w:val="22"/>
          <w:lang w:val="fr-FR"/>
        </w:rPr>
        <w:t>expert de la France fournirait des informations supplémentaires à la prochaine session</w:t>
      </w:r>
      <w:r w:rsidR="00F3296C" w:rsidRPr="0048528B">
        <w:rPr>
          <w:szCs w:val="22"/>
          <w:lang w:val="fr-FR"/>
        </w:rPr>
        <w:t xml:space="preserve"> du TWF</w:t>
      </w:r>
      <w:r w:rsidRPr="0048528B">
        <w:rPr>
          <w:szCs w:val="22"/>
          <w:lang w:val="fr-FR"/>
        </w:rPr>
        <w:t>.</w:t>
      </w:r>
    </w:p>
    <w:p w:rsidR="00C97F0A" w:rsidRPr="0048528B" w:rsidRDefault="00C97F0A" w:rsidP="00C97F0A">
      <w:pPr>
        <w:rPr>
          <w:szCs w:val="22"/>
          <w:lang w:val="fr-FR"/>
        </w:rPr>
      </w:pPr>
      <w:r w:rsidRPr="0048528B">
        <w:rPr>
          <w:lang w:val="fr-FR"/>
        </w:rPr>
        <w:lastRenderedPageBreak/>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Le TWF a examiné les questions ci</w:t>
      </w:r>
      <w:r w:rsidR="003F00B6" w:rsidRPr="0048528B">
        <w:rPr>
          <w:szCs w:val="22"/>
          <w:lang w:val="fr-FR"/>
        </w:rPr>
        <w:noBreakHyphen/>
      </w:r>
      <w:r w:rsidRPr="0048528B">
        <w:rPr>
          <w:szCs w:val="22"/>
          <w:lang w:val="fr-FR"/>
        </w:rPr>
        <w:t>après sur la base du document TWF/43/3 “TGP Documents” :</w:t>
      </w:r>
    </w:p>
    <w:p w:rsidR="00C97F0A" w:rsidRPr="0048528B" w:rsidRDefault="00C97F0A" w:rsidP="00C97F0A">
      <w:pPr>
        <w:ind w:firstLine="360"/>
        <w:rPr>
          <w:szCs w:val="22"/>
          <w:lang w:val="fr-FR"/>
        </w:rPr>
      </w:pPr>
    </w:p>
    <w:p w:rsidR="00C97F0A" w:rsidRPr="0048528B" w:rsidRDefault="00C97F0A" w:rsidP="00C97F0A">
      <w:pPr>
        <w:ind w:firstLine="360"/>
        <w:rPr>
          <w:szCs w:val="22"/>
          <w:lang w:val="fr-FR"/>
        </w:rPr>
      </w:pPr>
      <w:r w:rsidRPr="0048528B">
        <w:rPr>
          <w:szCs w:val="22"/>
          <w:lang w:val="fr-FR"/>
        </w:rPr>
        <w:t>TGP/7 : Élaboration des principes directeurs d</w:t>
      </w:r>
      <w:r w:rsidR="00F3296C" w:rsidRPr="0048528B">
        <w:rPr>
          <w:szCs w:val="22"/>
          <w:lang w:val="fr-FR"/>
        </w:rPr>
        <w:t>’</w:t>
      </w:r>
      <w:r w:rsidRPr="0048528B">
        <w:rPr>
          <w:szCs w:val="22"/>
          <w:lang w:val="fr-FR"/>
        </w:rPr>
        <w:t>examen</w:t>
      </w:r>
    </w:p>
    <w:p w:rsidR="00C97F0A" w:rsidRPr="0048528B" w:rsidRDefault="00C97F0A" w:rsidP="00C97F0A">
      <w:pPr>
        <w:numPr>
          <w:ilvl w:val="0"/>
          <w:numId w:val="32"/>
        </w:numPr>
        <w:jc w:val="left"/>
        <w:rPr>
          <w:szCs w:val="22"/>
          <w:lang w:val="fr-FR"/>
        </w:rPr>
      </w:pPr>
      <w:r w:rsidRPr="0048528B">
        <w:rPr>
          <w:szCs w:val="22"/>
          <w:lang w:val="fr-FR"/>
        </w:rPr>
        <w:t>Résumé des révisions adoptées pour le document TGP/7 “Élaboration des principes directeurs d</w:t>
      </w:r>
      <w:r w:rsidR="00F3296C" w:rsidRPr="0048528B">
        <w:rPr>
          <w:szCs w:val="22"/>
          <w:lang w:val="fr-FR"/>
        </w:rPr>
        <w:t>’</w:t>
      </w:r>
      <w:r w:rsidRPr="0048528B">
        <w:rPr>
          <w:szCs w:val="22"/>
          <w:lang w:val="fr-FR"/>
        </w:rPr>
        <w:t>examen”</w:t>
      </w:r>
    </w:p>
    <w:p w:rsidR="00C97F0A" w:rsidRPr="0048528B" w:rsidRDefault="00C97F0A" w:rsidP="00C97F0A">
      <w:pPr>
        <w:numPr>
          <w:ilvl w:val="0"/>
          <w:numId w:val="32"/>
        </w:numPr>
        <w:jc w:val="left"/>
        <w:rPr>
          <w:szCs w:val="22"/>
          <w:lang w:val="fr-FR"/>
        </w:rPr>
      </w:pPr>
      <w:r w:rsidRPr="0048528B">
        <w:rPr>
          <w:szCs w:val="22"/>
          <w:lang w:val="fr-FR"/>
        </w:rPr>
        <w:t>Conseils relatifs au nombre de plantes à examiner (aux fins de la distinction)</w:t>
      </w:r>
    </w:p>
    <w:p w:rsidR="00C97F0A" w:rsidRPr="0048528B" w:rsidRDefault="00C97F0A" w:rsidP="00C97F0A">
      <w:pPr>
        <w:numPr>
          <w:ilvl w:val="0"/>
          <w:numId w:val="32"/>
        </w:numPr>
        <w:jc w:val="left"/>
        <w:rPr>
          <w:szCs w:val="22"/>
          <w:lang w:val="fr-FR"/>
        </w:rPr>
      </w:pPr>
      <w:r w:rsidRPr="0048528B">
        <w:rPr>
          <w:szCs w:val="22"/>
          <w:lang w:val="fr-FR"/>
        </w:rPr>
        <w:t>Conseils relatifs à la méthode d</w:t>
      </w:r>
      <w:r w:rsidR="00F3296C" w:rsidRPr="0048528B">
        <w:rPr>
          <w:szCs w:val="22"/>
          <w:lang w:val="fr-FR"/>
        </w:rPr>
        <w:t>’</w:t>
      </w:r>
      <w:r w:rsidRPr="0048528B">
        <w:rPr>
          <w:szCs w:val="22"/>
          <w:lang w:val="fr-FR"/>
        </w:rPr>
        <w:t>observation</w:t>
      </w:r>
    </w:p>
    <w:p w:rsidR="00C97F0A" w:rsidRPr="0048528B" w:rsidRDefault="00C97F0A" w:rsidP="00C97F0A">
      <w:pPr>
        <w:numPr>
          <w:ilvl w:val="0"/>
          <w:numId w:val="32"/>
        </w:numPr>
        <w:jc w:val="left"/>
        <w:rPr>
          <w:szCs w:val="22"/>
          <w:lang w:val="fr-FR"/>
        </w:rPr>
      </w:pPr>
      <w:r w:rsidRPr="0048528B">
        <w:rPr>
          <w:szCs w:val="22"/>
          <w:lang w:val="fr-FR"/>
        </w:rPr>
        <w:t>Remise de photographies avec le questionnaire technique</w:t>
      </w:r>
    </w:p>
    <w:p w:rsidR="00C97F0A" w:rsidRPr="0048528B" w:rsidRDefault="00C97F0A" w:rsidP="00C97F0A">
      <w:pPr>
        <w:numPr>
          <w:ilvl w:val="0"/>
          <w:numId w:val="32"/>
        </w:numPr>
        <w:rPr>
          <w:szCs w:val="22"/>
          <w:lang w:val="fr-FR"/>
        </w:rPr>
      </w:pPr>
      <w:r w:rsidRPr="0048528B">
        <w:rPr>
          <w:szCs w:val="22"/>
          <w:lang w:val="fr-FR"/>
        </w:rPr>
        <w:t>Variétés indiquées à titre d</w:t>
      </w:r>
      <w:r w:rsidR="00F3296C" w:rsidRPr="0048528B">
        <w:rPr>
          <w:szCs w:val="22"/>
          <w:lang w:val="fr-FR"/>
        </w:rPr>
        <w:t>’</w:t>
      </w:r>
      <w:r w:rsidRPr="0048528B">
        <w:rPr>
          <w:szCs w:val="22"/>
          <w:lang w:val="fr-FR"/>
        </w:rPr>
        <w:t>exemple</w:t>
      </w:r>
    </w:p>
    <w:p w:rsidR="00C97F0A" w:rsidRPr="0048528B" w:rsidRDefault="00C97F0A" w:rsidP="00C97F0A">
      <w:pPr>
        <w:rPr>
          <w:szCs w:val="22"/>
          <w:lang w:val="fr-FR"/>
        </w:rPr>
      </w:pPr>
    </w:p>
    <w:p w:rsidR="00C97F0A" w:rsidRPr="0048528B" w:rsidRDefault="00C97F0A" w:rsidP="00C97F0A">
      <w:pPr>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 xml:space="preserve">Le TWF a </w:t>
      </w:r>
      <w:r w:rsidR="0038335D" w:rsidRPr="0048528B">
        <w:rPr>
          <w:szCs w:val="22"/>
          <w:lang w:val="fr-FR"/>
        </w:rPr>
        <w:t>suivi</w:t>
      </w:r>
      <w:r w:rsidRPr="0048528B">
        <w:rPr>
          <w:szCs w:val="22"/>
          <w:lang w:val="fr-FR"/>
        </w:rPr>
        <w:t xml:space="preserve"> un exposé sur les </w:t>
      </w:r>
      <w:r w:rsidR="002D7602" w:rsidRPr="0048528B">
        <w:rPr>
          <w:szCs w:val="22"/>
          <w:lang w:val="fr-FR"/>
        </w:rPr>
        <w:t>variétés</w:t>
      </w:r>
      <w:r w:rsidRPr="0048528B">
        <w:rPr>
          <w:szCs w:val="22"/>
          <w:lang w:val="fr-FR"/>
        </w:rPr>
        <w:t xml:space="preserve"> indiquées à titre d</w:t>
      </w:r>
      <w:r w:rsidR="00F3296C" w:rsidRPr="0048528B">
        <w:rPr>
          <w:szCs w:val="22"/>
          <w:lang w:val="fr-FR"/>
        </w:rPr>
        <w:t>’</w:t>
      </w:r>
      <w:r w:rsidRPr="0048528B">
        <w:rPr>
          <w:szCs w:val="22"/>
          <w:lang w:val="fr-FR"/>
        </w:rPr>
        <w:t>exemple présenté par un expert de la France et a proposé que l</w:t>
      </w:r>
      <w:r w:rsidR="00F3296C" w:rsidRPr="0048528B">
        <w:rPr>
          <w:szCs w:val="22"/>
          <w:lang w:val="fr-FR"/>
        </w:rPr>
        <w:t>’</w:t>
      </w:r>
      <w:r w:rsidRPr="0048528B">
        <w:rPr>
          <w:szCs w:val="22"/>
          <w:lang w:val="fr-FR"/>
        </w:rPr>
        <w:t>approche en trois</w:t>
      </w:r>
      <w:r w:rsidR="00E3136C" w:rsidRPr="0048528B">
        <w:rPr>
          <w:szCs w:val="22"/>
          <w:lang w:val="fr-FR"/>
        </w:rPr>
        <w:t> </w:t>
      </w:r>
      <w:r w:rsidRPr="0048528B">
        <w:rPr>
          <w:szCs w:val="22"/>
          <w:lang w:val="fr-FR"/>
        </w:rPr>
        <w:t>étapes ci</w:t>
      </w:r>
      <w:r w:rsidR="003F00B6" w:rsidRPr="0048528B">
        <w:rPr>
          <w:szCs w:val="22"/>
          <w:lang w:val="fr-FR"/>
        </w:rPr>
        <w:noBreakHyphen/>
      </w:r>
      <w:r w:rsidRPr="0048528B">
        <w:rPr>
          <w:szCs w:val="22"/>
          <w:lang w:val="fr-FR"/>
        </w:rPr>
        <w:t>après soit prise en considération par l</w:t>
      </w:r>
      <w:r w:rsidR="00F3296C" w:rsidRPr="0048528B">
        <w:rPr>
          <w:szCs w:val="22"/>
          <w:lang w:val="fr-FR"/>
        </w:rPr>
        <w:t>’</w:t>
      </w:r>
      <w:r w:rsidRPr="0048528B">
        <w:rPr>
          <w:szCs w:val="22"/>
          <w:lang w:val="fr-FR"/>
        </w:rPr>
        <w:t>expert principal lors de la réda</w:t>
      </w:r>
      <w:r w:rsidR="002D7602" w:rsidRPr="0048528B">
        <w:rPr>
          <w:szCs w:val="22"/>
          <w:lang w:val="fr-FR"/>
        </w:rPr>
        <w:t>ct</w:t>
      </w:r>
      <w:r w:rsidRPr="0048528B">
        <w:rPr>
          <w:szCs w:val="22"/>
          <w:lang w:val="fr-FR"/>
        </w:rPr>
        <w:t>ion des principes directeurs d</w:t>
      </w:r>
      <w:r w:rsidR="00F3296C" w:rsidRPr="0048528B">
        <w:rPr>
          <w:szCs w:val="22"/>
          <w:lang w:val="fr-FR"/>
        </w:rPr>
        <w:t>’</w:t>
      </w:r>
      <w:r w:rsidRPr="0048528B">
        <w:rPr>
          <w:szCs w:val="22"/>
          <w:lang w:val="fr-FR"/>
        </w:rPr>
        <w:t>examen :</w:t>
      </w:r>
    </w:p>
    <w:p w:rsidR="00C97F0A" w:rsidRPr="0048528B" w:rsidRDefault="00C97F0A" w:rsidP="00C97F0A">
      <w:pPr>
        <w:rPr>
          <w:szCs w:val="22"/>
          <w:lang w:val="fr-FR"/>
        </w:rPr>
      </w:pPr>
    </w:p>
    <w:p w:rsidR="00C97F0A" w:rsidRPr="0048528B" w:rsidRDefault="00C97F0A" w:rsidP="00C97F0A">
      <w:pPr>
        <w:numPr>
          <w:ilvl w:val="0"/>
          <w:numId w:val="33"/>
        </w:numPr>
        <w:tabs>
          <w:tab w:val="left" w:pos="1710"/>
        </w:tabs>
        <w:rPr>
          <w:szCs w:val="22"/>
          <w:lang w:val="fr-FR"/>
        </w:rPr>
      </w:pPr>
      <w:r w:rsidRPr="0048528B">
        <w:rPr>
          <w:szCs w:val="22"/>
          <w:lang w:val="fr-FR"/>
        </w:rPr>
        <w:t xml:space="preserve">Étape 1 : déterminer la nécessité des variétés indiquées </w:t>
      </w:r>
      <w:r w:rsidR="000312D5" w:rsidRPr="0048528B">
        <w:rPr>
          <w:szCs w:val="22"/>
          <w:lang w:val="fr-FR"/>
        </w:rPr>
        <w:t>à titre d’exemple</w:t>
      </w:r>
      <w:r w:rsidRPr="0048528B">
        <w:rPr>
          <w:szCs w:val="22"/>
          <w:lang w:val="fr-FR"/>
        </w:rPr>
        <w:t xml:space="preserve"> pour tel ou tel caractère;</w:t>
      </w:r>
    </w:p>
    <w:p w:rsidR="00C97F0A" w:rsidRPr="0048528B" w:rsidRDefault="00C97F0A" w:rsidP="00C97F0A">
      <w:pPr>
        <w:numPr>
          <w:ilvl w:val="0"/>
          <w:numId w:val="33"/>
        </w:numPr>
        <w:tabs>
          <w:tab w:val="left" w:pos="1710"/>
        </w:tabs>
        <w:rPr>
          <w:szCs w:val="22"/>
          <w:lang w:val="fr-FR"/>
        </w:rPr>
      </w:pPr>
      <w:r w:rsidRPr="0048528B">
        <w:rPr>
          <w:szCs w:val="22"/>
          <w:lang w:val="fr-FR"/>
        </w:rPr>
        <w:t xml:space="preserve">Étape 2 : si elles sont considérées comme nécessaires, les variétés indiquées </w:t>
      </w:r>
      <w:r w:rsidR="000312D5" w:rsidRPr="0048528B">
        <w:rPr>
          <w:szCs w:val="22"/>
          <w:lang w:val="fr-FR"/>
        </w:rPr>
        <w:t>à titre d’exemple</w:t>
      </w:r>
      <w:r w:rsidRPr="0048528B">
        <w:rPr>
          <w:szCs w:val="22"/>
          <w:lang w:val="fr-FR"/>
        </w:rPr>
        <w:t xml:space="preserve"> qui pourraient servir de références communes ou universelles devraient être identifiées;</w:t>
      </w:r>
    </w:p>
    <w:p w:rsidR="00F3296C" w:rsidRPr="0048528B" w:rsidRDefault="00C97F0A" w:rsidP="008F023C">
      <w:pPr>
        <w:numPr>
          <w:ilvl w:val="0"/>
          <w:numId w:val="33"/>
        </w:numPr>
        <w:tabs>
          <w:tab w:val="left" w:pos="1710"/>
        </w:tabs>
        <w:rPr>
          <w:szCs w:val="22"/>
          <w:lang w:val="fr-FR"/>
        </w:rPr>
      </w:pPr>
      <w:r w:rsidRPr="0048528B">
        <w:rPr>
          <w:szCs w:val="22"/>
          <w:lang w:val="fr-FR"/>
        </w:rPr>
        <w:t>Étape 3 : déterminer la nécessité d</w:t>
      </w:r>
      <w:r w:rsidR="00F3296C" w:rsidRPr="0048528B">
        <w:rPr>
          <w:szCs w:val="22"/>
          <w:lang w:val="fr-FR"/>
        </w:rPr>
        <w:t>’</w:t>
      </w:r>
      <w:r w:rsidRPr="0048528B">
        <w:rPr>
          <w:szCs w:val="22"/>
          <w:lang w:val="fr-FR"/>
        </w:rPr>
        <w:t xml:space="preserve">une série régionale de variétés indiquées </w:t>
      </w:r>
      <w:r w:rsidR="000312D5" w:rsidRPr="0048528B">
        <w:rPr>
          <w:szCs w:val="22"/>
          <w:lang w:val="fr-FR"/>
        </w:rPr>
        <w:t>à titre d’exemple</w:t>
      </w:r>
      <w:r w:rsidRPr="0048528B">
        <w:rPr>
          <w:szCs w:val="22"/>
          <w:lang w:val="fr-FR"/>
        </w:rPr>
        <w:t xml:space="preserve"> pour les principes directeurs d</w:t>
      </w:r>
      <w:r w:rsidR="00F3296C" w:rsidRPr="0048528B">
        <w:rPr>
          <w:szCs w:val="22"/>
          <w:lang w:val="fr-FR"/>
        </w:rPr>
        <w:t>’</w:t>
      </w:r>
      <w:r w:rsidRPr="0048528B">
        <w:rPr>
          <w:szCs w:val="22"/>
          <w:lang w:val="fr-FR"/>
        </w:rPr>
        <w:t>examen concernés.</w:t>
      </w:r>
    </w:p>
    <w:p w:rsidR="00C97F0A" w:rsidRPr="0048528B" w:rsidRDefault="00C97F0A" w:rsidP="00C97F0A">
      <w:pPr>
        <w:rPr>
          <w:szCs w:val="22"/>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t>Le TWF a examiné le document TWF/46/16 “Revision of Document TGP/8: Part I: DUS Trial Design and Data Analysis, New Section 2: Data to be Recorded” et est convenu que ce document devrait être soumis au</w:t>
      </w:r>
      <w:r w:rsidR="00F3296C" w:rsidRPr="0048528B">
        <w:rPr>
          <w:lang w:val="fr-FR"/>
        </w:rPr>
        <w:t> TC</w:t>
      </w:r>
      <w:r w:rsidRPr="0048528B">
        <w:rPr>
          <w:lang w:val="fr-FR"/>
        </w:rPr>
        <w:t xml:space="preserve"> pour approbation à sa prochaine session.</w:t>
      </w:r>
    </w:p>
    <w:p w:rsidR="00C97F0A" w:rsidRPr="0048528B" w:rsidRDefault="00C97F0A" w:rsidP="00C97F0A">
      <w:pPr>
        <w:ind w:left="720" w:hanging="720"/>
        <w:rPr>
          <w:szCs w:val="22"/>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t>En ce qui concerne le document TGP/14 “Glossaire des termes utilisés dans les documents de l</w:t>
      </w:r>
      <w:r w:rsidR="00F3296C" w:rsidRPr="0048528B">
        <w:rPr>
          <w:lang w:val="fr-FR"/>
        </w:rPr>
        <w:t>’</w:t>
      </w:r>
      <w:r w:rsidRPr="0048528B">
        <w:rPr>
          <w:lang w:val="fr-FR"/>
        </w:rPr>
        <w:t>UPOV”,</w:t>
      </w:r>
      <w:r w:rsidR="00F3296C" w:rsidRPr="0048528B">
        <w:rPr>
          <w:lang w:val="fr-FR"/>
        </w:rPr>
        <w:t xml:space="preserve"> le TWF</w:t>
      </w:r>
      <w:r w:rsidRPr="0048528B">
        <w:rPr>
          <w:lang w:val="fr-FR"/>
        </w:rPr>
        <w:t xml:space="preserve"> a examiné le document TWF/46/27 “Revision of document TGP/14: Section 2: Botanical Terms; Subsection 2: Shapes and Structures”.  En ce qui concerne la révision de “composantes de la forme : niveaux d</w:t>
      </w:r>
      <w:r w:rsidR="00F3296C" w:rsidRPr="0048528B">
        <w:rPr>
          <w:lang w:val="fr-FR"/>
        </w:rPr>
        <w:t>’</w:t>
      </w:r>
      <w:r w:rsidRPr="0048528B">
        <w:rPr>
          <w:lang w:val="fr-FR"/>
        </w:rPr>
        <w:t>expression concernant les rapports”, le TWF :</w:t>
      </w:r>
    </w:p>
    <w:p w:rsidR="00C97F0A" w:rsidRPr="0048528B" w:rsidRDefault="00C97F0A" w:rsidP="00C97F0A">
      <w:pPr>
        <w:rPr>
          <w:szCs w:val="22"/>
          <w:lang w:val="fr-FR"/>
        </w:rPr>
      </w:pPr>
    </w:p>
    <w:p w:rsidR="00C97F0A" w:rsidRPr="0048528B" w:rsidRDefault="00C97F0A" w:rsidP="00C97F0A">
      <w:pPr>
        <w:numPr>
          <w:ilvl w:val="0"/>
          <w:numId w:val="33"/>
        </w:numPr>
        <w:rPr>
          <w:szCs w:val="22"/>
          <w:lang w:val="fr-FR"/>
        </w:rPr>
      </w:pPr>
      <w:r w:rsidRPr="0048528B">
        <w:rPr>
          <w:szCs w:val="22"/>
          <w:lang w:val="fr-FR"/>
        </w:rPr>
        <w:t>a constaté avec satisfaction que sa proposition initiale d</w:t>
      </w:r>
      <w:r w:rsidR="00F3296C" w:rsidRPr="0048528B">
        <w:rPr>
          <w:szCs w:val="22"/>
          <w:lang w:val="fr-FR"/>
        </w:rPr>
        <w:t>’</w:t>
      </w:r>
      <w:r w:rsidRPr="0048528B">
        <w:rPr>
          <w:szCs w:val="22"/>
          <w:lang w:val="fr-FR"/>
        </w:rPr>
        <w:t>avoir tous les niveaux de “comprimé à allongé” avait été approuvée par d</w:t>
      </w:r>
      <w:r w:rsidR="00F3296C" w:rsidRPr="0048528B">
        <w:rPr>
          <w:szCs w:val="22"/>
          <w:lang w:val="fr-FR"/>
        </w:rPr>
        <w:t>’</w:t>
      </w:r>
      <w:r w:rsidRPr="0048528B">
        <w:rPr>
          <w:szCs w:val="22"/>
          <w:lang w:val="fr-FR"/>
        </w:rPr>
        <w:t>autres </w:t>
      </w:r>
      <w:r w:rsidR="0038335D" w:rsidRPr="0048528B">
        <w:rPr>
          <w:szCs w:val="22"/>
          <w:lang w:val="fr-FR"/>
        </w:rPr>
        <w:t>groupes de travail techniques</w:t>
      </w:r>
      <w:r w:rsidRPr="0048528B">
        <w:rPr>
          <w:szCs w:val="22"/>
          <w:lang w:val="fr-FR"/>
        </w:rPr>
        <w:t>;</w:t>
      </w:r>
    </w:p>
    <w:p w:rsidR="00C97F0A" w:rsidRPr="0048528B" w:rsidRDefault="00C97F0A" w:rsidP="00C97F0A">
      <w:pPr>
        <w:numPr>
          <w:ilvl w:val="0"/>
          <w:numId w:val="33"/>
        </w:numPr>
        <w:rPr>
          <w:szCs w:val="22"/>
          <w:lang w:val="fr-FR"/>
        </w:rPr>
      </w:pPr>
      <w:r w:rsidRPr="0048528B">
        <w:rPr>
          <w:szCs w:val="22"/>
          <w:lang w:val="fr-FR"/>
        </w:rPr>
        <w:t>a demandé que les modifications proposées soient systématiquement actualisées d</w:t>
      </w:r>
      <w:r w:rsidR="00F3296C" w:rsidRPr="0048528B">
        <w:rPr>
          <w:szCs w:val="22"/>
          <w:lang w:val="fr-FR"/>
        </w:rPr>
        <w:t>’</w:t>
      </w:r>
      <w:r w:rsidRPr="0048528B">
        <w:rPr>
          <w:szCs w:val="22"/>
          <w:lang w:val="fr-FR"/>
        </w:rPr>
        <w:t>un bout à l</w:t>
      </w:r>
      <w:r w:rsidR="00F3296C" w:rsidRPr="0048528B">
        <w:rPr>
          <w:szCs w:val="22"/>
          <w:lang w:val="fr-FR"/>
        </w:rPr>
        <w:t>’</w:t>
      </w:r>
      <w:r w:rsidRPr="0048528B">
        <w:rPr>
          <w:szCs w:val="22"/>
          <w:lang w:val="fr-FR"/>
        </w:rPr>
        <w:t>autre du document TGP/14;</w:t>
      </w:r>
    </w:p>
    <w:p w:rsidR="00C97F0A" w:rsidRPr="0048528B" w:rsidRDefault="00C97F0A" w:rsidP="00C97F0A">
      <w:pPr>
        <w:numPr>
          <w:ilvl w:val="0"/>
          <w:numId w:val="33"/>
        </w:numPr>
        <w:rPr>
          <w:szCs w:val="22"/>
          <w:lang w:val="fr-FR"/>
        </w:rPr>
      </w:pPr>
      <w:r w:rsidRPr="0048528B">
        <w:rPr>
          <w:szCs w:val="22"/>
          <w:lang w:val="fr-FR"/>
        </w:rPr>
        <w:t xml:space="preserve">a proposé que le rapport diamètre/hauteur soit modifié </w:t>
      </w:r>
      <w:r w:rsidR="0038335D" w:rsidRPr="0048528B">
        <w:rPr>
          <w:szCs w:val="22"/>
          <w:lang w:val="fr-FR"/>
        </w:rPr>
        <w:t>en</w:t>
      </w:r>
      <w:r w:rsidRPr="0048528B">
        <w:rPr>
          <w:szCs w:val="22"/>
          <w:lang w:val="fr-FR"/>
        </w:rPr>
        <w:t xml:space="preserve"> rapport longueur</w:t>
      </w:r>
      <w:r w:rsidR="003F00B6" w:rsidRPr="0048528B">
        <w:rPr>
          <w:szCs w:val="22"/>
          <w:lang w:val="fr-FR"/>
        </w:rPr>
        <w:noBreakHyphen/>
      </w:r>
      <w:r w:rsidRPr="0048528B">
        <w:rPr>
          <w:szCs w:val="22"/>
          <w:lang w:val="fr-FR"/>
        </w:rPr>
        <w:t>largeur à des fins de cohérence dans tout le document TGP/14.</w:t>
      </w:r>
    </w:p>
    <w:p w:rsidR="00C97F0A" w:rsidRPr="0048528B" w:rsidRDefault="00C97F0A" w:rsidP="00C97F0A">
      <w:pPr>
        <w:rPr>
          <w:szCs w:val="22"/>
          <w:lang w:val="fr-FR"/>
        </w:rPr>
      </w:pPr>
    </w:p>
    <w:p w:rsidR="00C97F0A" w:rsidRPr="0048528B" w:rsidRDefault="00C97F0A" w:rsidP="00C97F0A">
      <w:pPr>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Le TWF a pris note des faits nouveaux indiqués dans le document TWF/43/4 “Variety Denominations”</w:t>
      </w:r>
      <w:r w:rsidR="008F023C" w:rsidRPr="0048528B">
        <w:rPr>
          <w:szCs w:val="22"/>
          <w:lang w:val="fr-FR"/>
        </w:rPr>
        <w:t>.</w:t>
      </w:r>
    </w:p>
    <w:p w:rsidR="00C97F0A" w:rsidRPr="0048528B" w:rsidRDefault="00C97F0A" w:rsidP="00C97F0A">
      <w:pPr>
        <w:rPr>
          <w:szCs w:val="22"/>
          <w:lang w:val="fr-FR"/>
        </w:rPr>
      </w:pPr>
    </w:p>
    <w:p w:rsidR="00C97F0A" w:rsidRPr="0048528B" w:rsidRDefault="00C97F0A" w:rsidP="00C97F0A">
      <w:pPr>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Le TWF a examiné le document TWF/43/19 “Webcasting of UPOV Sessions”, soulignant toutefois les limitations des moyens de communication électronique en cas d</w:t>
      </w:r>
      <w:r w:rsidR="00F3296C" w:rsidRPr="0048528B">
        <w:rPr>
          <w:szCs w:val="22"/>
          <w:lang w:val="fr-FR"/>
        </w:rPr>
        <w:t>’</w:t>
      </w:r>
      <w:r w:rsidRPr="0048528B">
        <w:rPr>
          <w:szCs w:val="22"/>
          <w:lang w:val="fr-FR"/>
        </w:rPr>
        <w:t xml:space="preserve">audience importante et </w:t>
      </w:r>
      <w:r w:rsidR="002D7602" w:rsidRPr="0048528B">
        <w:rPr>
          <w:szCs w:val="22"/>
          <w:lang w:val="fr-FR"/>
        </w:rPr>
        <w:t>lorsqu’</w:t>
      </w:r>
      <w:r w:rsidRPr="0048528B">
        <w:rPr>
          <w:szCs w:val="22"/>
          <w:lang w:val="fr-FR"/>
        </w:rPr>
        <w:t>une contribution active était nécessaire.</w:t>
      </w:r>
    </w:p>
    <w:p w:rsidR="00C97F0A" w:rsidRPr="0048528B" w:rsidRDefault="00C97F0A" w:rsidP="00C97F0A">
      <w:pPr>
        <w:rPr>
          <w:szCs w:val="22"/>
          <w:lang w:val="fr-FR"/>
        </w:rPr>
      </w:pPr>
    </w:p>
    <w:p w:rsidR="00C97F0A" w:rsidRPr="0048528B" w:rsidRDefault="00C97F0A" w:rsidP="00C97F0A">
      <w:pPr>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 xml:space="preserve">Le TWF a examiné le document TWF/43/36 “Proposal for a Partial Revision of the Test Guidelines for Mandarins” et a </w:t>
      </w:r>
      <w:r w:rsidR="0038335D" w:rsidRPr="0048528B">
        <w:rPr>
          <w:szCs w:val="22"/>
          <w:lang w:val="fr-FR"/>
        </w:rPr>
        <w:t>suivi</w:t>
      </w:r>
      <w:r w:rsidRPr="0048528B">
        <w:rPr>
          <w:szCs w:val="22"/>
          <w:lang w:val="fr-FR"/>
        </w:rPr>
        <w:t xml:space="preserve"> un exposé présenté par M.</w:t>
      </w:r>
      <w:r w:rsidR="00E3136C" w:rsidRPr="0048528B">
        <w:rPr>
          <w:szCs w:val="22"/>
          <w:lang w:val="fr-FR"/>
        </w:rPr>
        <w:t> </w:t>
      </w:r>
      <w:r w:rsidRPr="0048528B">
        <w:rPr>
          <w:szCs w:val="22"/>
          <w:lang w:val="fr-FR"/>
        </w:rPr>
        <w:t>Jean Maison (Union européenne), coordonnateur de ce sous</w:t>
      </w:r>
      <w:r w:rsidR="003F00B6" w:rsidRPr="0048528B">
        <w:rPr>
          <w:szCs w:val="22"/>
          <w:lang w:val="fr-FR"/>
        </w:rPr>
        <w:noBreakHyphen/>
      </w:r>
      <w:r w:rsidRPr="0048528B">
        <w:rPr>
          <w:szCs w:val="22"/>
          <w:lang w:val="fr-FR"/>
        </w:rPr>
        <w:t xml:space="preserve">groupe. </w:t>
      </w:r>
      <w:r w:rsidR="00E3136C" w:rsidRPr="0048528B">
        <w:rPr>
          <w:szCs w:val="22"/>
          <w:lang w:val="fr-FR"/>
        </w:rPr>
        <w:t xml:space="preserve"> </w:t>
      </w:r>
      <w:r w:rsidRPr="0048528B">
        <w:rPr>
          <w:szCs w:val="22"/>
          <w:lang w:val="fr-FR"/>
        </w:rPr>
        <w:t>Les experts de l</w:t>
      </w:r>
      <w:r w:rsidR="00F3296C" w:rsidRPr="0048528B">
        <w:rPr>
          <w:szCs w:val="22"/>
          <w:lang w:val="fr-FR"/>
        </w:rPr>
        <w:t>’</w:t>
      </w:r>
      <w:r w:rsidRPr="0048528B">
        <w:rPr>
          <w:szCs w:val="22"/>
          <w:lang w:val="fr-FR"/>
        </w:rPr>
        <w:t>Espagne et du Maroc ont rendu compte des progrès accomplis à ce jour.</w:t>
      </w:r>
      <w:r w:rsidR="00E3136C" w:rsidRPr="0048528B">
        <w:rPr>
          <w:szCs w:val="22"/>
          <w:lang w:val="fr-FR"/>
        </w:rPr>
        <w:t xml:space="preserve"> </w:t>
      </w:r>
      <w:r w:rsidR="00F3296C" w:rsidRPr="0048528B">
        <w:rPr>
          <w:szCs w:val="22"/>
          <w:lang w:val="fr-FR"/>
        </w:rPr>
        <w:t xml:space="preserve"> Le TWF</w:t>
      </w:r>
      <w:r w:rsidRPr="0048528B">
        <w:rPr>
          <w:szCs w:val="22"/>
          <w:lang w:val="fr-FR"/>
        </w:rPr>
        <w:t xml:space="preserve"> a </w:t>
      </w:r>
      <w:r w:rsidR="0038335D" w:rsidRPr="0048528B">
        <w:rPr>
          <w:szCs w:val="22"/>
          <w:lang w:val="fr-FR"/>
        </w:rPr>
        <w:t>not</w:t>
      </w:r>
      <w:r w:rsidRPr="0048528B">
        <w:rPr>
          <w:szCs w:val="22"/>
          <w:lang w:val="fr-FR"/>
        </w:rPr>
        <w:t>é que les résultats obtenus à l</w:t>
      </w:r>
      <w:r w:rsidR="00F3296C" w:rsidRPr="0048528B">
        <w:rPr>
          <w:szCs w:val="22"/>
          <w:lang w:val="fr-FR"/>
        </w:rPr>
        <w:t>’</w:t>
      </w:r>
      <w:r w:rsidRPr="0048528B">
        <w:rPr>
          <w:szCs w:val="22"/>
          <w:lang w:val="fr-FR"/>
        </w:rPr>
        <w:t>issue des essais comparatifs en boucle réalisés sur la base de la méthode convenue seraient présentés</w:t>
      </w:r>
      <w:r w:rsidR="00F3296C" w:rsidRPr="0048528B">
        <w:rPr>
          <w:szCs w:val="22"/>
          <w:lang w:val="fr-FR"/>
        </w:rPr>
        <w:t xml:space="preserve"> au TWF</w:t>
      </w:r>
      <w:r w:rsidRPr="0048528B">
        <w:rPr>
          <w:szCs w:val="22"/>
          <w:lang w:val="fr-FR"/>
        </w:rPr>
        <w:t xml:space="preserve"> à sa session de</w:t>
      </w:r>
      <w:r w:rsidR="00E3136C" w:rsidRPr="0048528B">
        <w:rPr>
          <w:szCs w:val="22"/>
          <w:lang w:val="fr-FR"/>
        </w:rPr>
        <w:t> </w:t>
      </w:r>
      <w:r w:rsidRPr="0048528B">
        <w:rPr>
          <w:szCs w:val="22"/>
          <w:lang w:val="fr-FR"/>
        </w:rPr>
        <w:t>2013.</w:t>
      </w:r>
    </w:p>
    <w:p w:rsidR="00C97F0A" w:rsidRPr="0048528B" w:rsidRDefault="00C97F0A" w:rsidP="00C97F0A">
      <w:pPr>
        <w:rPr>
          <w:szCs w:val="22"/>
          <w:lang w:val="fr-FR"/>
        </w:rPr>
      </w:pPr>
    </w:p>
    <w:p w:rsidR="00C97F0A" w:rsidRPr="0048528B" w:rsidRDefault="00C97F0A" w:rsidP="00C97F0A">
      <w:pPr>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Le TWF s</w:t>
      </w:r>
      <w:r w:rsidR="00F3296C" w:rsidRPr="0048528B">
        <w:rPr>
          <w:szCs w:val="22"/>
          <w:lang w:val="fr-FR"/>
        </w:rPr>
        <w:t>’</w:t>
      </w:r>
      <w:r w:rsidRPr="0048528B">
        <w:rPr>
          <w:szCs w:val="22"/>
          <w:lang w:val="fr-FR"/>
        </w:rPr>
        <w:t>est félicité du travail réalisé par M.</w:t>
      </w:r>
      <w:r w:rsidR="00E3136C" w:rsidRPr="0048528B">
        <w:rPr>
          <w:szCs w:val="22"/>
          <w:lang w:val="fr-FR"/>
        </w:rPr>
        <w:t> </w:t>
      </w:r>
      <w:r w:rsidRPr="0048528B">
        <w:rPr>
          <w:szCs w:val="22"/>
          <w:lang w:val="fr-FR"/>
        </w:rPr>
        <w:t>Jean Maison (Union européenne) en tant que coordonnateur de ce sous</w:t>
      </w:r>
      <w:r w:rsidR="003F00B6" w:rsidRPr="0048528B">
        <w:rPr>
          <w:szCs w:val="22"/>
          <w:lang w:val="fr-FR"/>
        </w:rPr>
        <w:noBreakHyphen/>
      </w:r>
      <w:r w:rsidRPr="0048528B">
        <w:rPr>
          <w:szCs w:val="22"/>
          <w:lang w:val="fr-FR"/>
        </w:rPr>
        <w:t>groupe.</w:t>
      </w:r>
    </w:p>
    <w:p w:rsidR="00C97F0A" w:rsidRPr="0048528B" w:rsidRDefault="00C97F0A" w:rsidP="00C97F0A">
      <w:pPr>
        <w:rPr>
          <w:szCs w:val="22"/>
          <w:lang w:val="fr-FR"/>
        </w:rPr>
      </w:pPr>
    </w:p>
    <w:p w:rsidR="00F3296C" w:rsidRPr="0048528B" w:rsidRDefault="00C97F0A" w:rsidP="00C97F0A">
      <w:pPr>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Le TWF est convenu que les principes directeurs d</w:t>
      </w:r>
      <w:r w:rsidR="00F3296C" w:rsidRPr="0048528B">
        <w:rPr>
          <w:szCs w:val="22"/>
          <w:lang w:val="fr-FR"/>
        </w:rPr>
        <w:t>’</w:t>
      </w:r>
      <w:r w:rsidRPr="0048528B">
        <w:rPr>
          <w:szCs w:val="22"/>
          <w:lang w:val="fr-FR"/>
        </w:rPr>
        <w:t>examen ci</w:t>
      </w:r>
      <w:r w:rsidR="003F00B6" w:rsidRPr="0048528B">
        <w:rPr>
          <w:szCs w:val="22"/>
          <w:lang w:val="fr-FR"/>
        </w:rPr>
        <w:noBreakHyphen/>
      </w:r>
      <w:r w:rsidRPr="0048528B">
        <w:rPr>
          <w:szCs w:val="22"/>
          <w:lang w:val="fr-FR"/>
        </w:rPr>
        <w:t>après devraient être soumis au</w:t>
      </w:r>
      <w:r w:rsidR="00F3296C" w:rsidRPr="0048528B">
        <w:rPr>
          <w:szCs w:val="22"/>
          <w:lang w:val="fr-FR"/>
        </w:rPr>
        <w:t> TC</w:t>
      </w:r>
      <w:r w:rsidRPr="0048528B">
        <w:rPr>
          <w:szCs w:val="22"/>
          <w:lang w:val="fr-FR"/>
        </w:rPr>
        <w:t xml:space="preserve"> pour adoption</w:t>
      </w:r>
      <w:r w:rsidR="00E3136C" w:rsidRPr="0048528B">
        <w:rPr>
          <w:szCs w:val="22"/>
          <w:lang w:val="fr-FR"/>
        </w:rPr>
        <w:t> </w:t>
      </w:r>
      <w:r w:rsidRPr="0048528B">
        <w:rPr>
          <w:szCs w:val="22"/>
          <w:lang w:val="fr-FR"/>
        </w:rPr>
        <w:t>: Fortunella Swingle, le papayer (Carica papaya L.), l</w:t>
      </w:r>
      <w:r w:rsidR="00F3296C" w:rsidRPr="0048528B">
        <w:rPr>
          <w:szCs w:val="22"/>
          <w:lang w:val="fr-FR"/>
        </w:rPr>
        <w:t>’</w:t>
      </w:r>
      <w:r w:rsidRPr="0048528B">
        <w:rPr>
          <w:szCs w:val="22"/>
          <w:lang w:val="fr-FR"/>
        </w:rPr>
        <w:t>ananas (Ananas comosus L.</w:t>
      </w:r>
      <w:r w:rsidR="00E3136C" w:rsidRPr="0048528B">
        <w:rPr>
          <w:szCs w:val="22"/>
          <w:lang w:val="fr-FR"/>
        </w:rPr>
        <w:t> </w:t>
      </w:r>
      <w:r w:rsidRPr="0048528B">
        <w:rPr>
          <w:szCs w:val="22"/>
          <w:lang w:val="fr-FR"/>
        </w:rPr>
        <w:t>Merr.) et le grenadier (Punica granatum L.).</w:t>
      </w:r>
    </w:p>
    <w:p w:rsidR="00C97F0A" w:rsidRPr="0048528B" w:rsidRDefault="00C97F0A" w:rsidP="00C97F0A">
      <w:pPr>
        <w:rPr>
          <w:szCs w:val="22"/>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t>Le TWF est convenu d</w:t>
      </w:r>
      <w:r w:rsidR="00F3296C" w:rsidRPr="0048528B">
        <w:rPr>
          <w:lang w:val="fr-FR"/>
        </w:rPr>
        <w:t>’</w:t>
      </w:r>
      <w:r w:rsidRPr="0048528B">
        <w:rPr>
          <w:lang w:val="fr-FR"/>
        </w:rPr>
        <w:t>examiner à sa quarante</w:t>
      </w:r>
      <w:r w:rsidR="003F00B6" w:rsidRPr="0048528B">
        <w:rPr>
          <w:lang w:val="fr-FR"/>
        </w:rPr>
        <w:noBreakHyphen/>
      </w:r>
      <w:r w:rsidRPr="0048528B">
        <w:rPr>
          <w:lang w:val="fr-FR"/>
        </w:rPr>
        <w:t>quatrième</w:t>
      </w:r>
      <w:r w:rsidR="00E3136C" w:rsidRPr="0048528B">
        <w:rPr>
          <w:lang w:val="fr-FR"/>
        </w:rPr>
        <w:t> </w:t>
      </w:r>
      <w:r w:rsidRPr="0048528B">
        <w:rPr>
          <w:lang w:val="fr-FR"/>
        </w:rPr>
        <w:t>session les projets de principes directeurs d</w:t>
      </w:r>
      <w:r w:rsidR="00F3296C" w:rsidRPr="0048528B">
        <w:rPr>
          <w:lang w:val="fr-FR"/>
        </w:rPr>
        <w:t>’</w:t>
      </w:r>
      <w:r w:rsidRPr="0048528B">
        <w:rPr>
          <w:lang w:val="fr-FR"/>
        </w:rPr>
        <w:t>examen suivants :</w:t>
      </w:r>
    </w:p>
    <w:p w:rsidR="00C97F0A" w:rsidRPr="0048528B" w:rsidRDefault="00C97F0A" w:rsidP="00C97F0A">
      <w:pPr>
        <w:rPr>
          <w:szCs w:val="22"/>
          <w:lang w:val="fr-FR"/>
        </w:rPr>
      </w:pPr>
    </w:p>
    <w:p w:rsidR="00C97F0A" w:rsidRPr="0048528B" w:rsidRDefault="00C97F0A" w:rsidP="00C97F0A">
      <w:pPr>
        <w:numPr>
          <w:ilvl w:val="0"/>
          <w:numId w:val="38"/>
        </w:numPr>
        <w:rPr>
          <w:szCs w:val="22"/>
          <w:lang w:val="fr-FR"/>
        </w:rPr>
      </w:pPr>
      <w:r w:rsidRPr="0048528B">
        <w:rPr>
          <w:rFonts w:cs="Arial"/>
          <w:snapToGrid w:val="0"/>
          <w:color w:val="000000"/>
          <w:lang w:val="fr-FR"/>
        </w:rPr>
        <w:t>Porte</w:t>
      </w:r>
      <w:r w:rsidR="003F00B6" w:rsidRPr="0048528B">
        <w:rPr>
          <w:rFonts w:cs="Arial"/>
          <w:snapToGrid w:val="0"/>
          <w:color w:val="000000"/>
          <w:lang w:val="fr-FR"/>
        </w:rPr>
        <w:noBreakHyphen/>
      </w:r>
      <w:r w:rsidRPr="0048528B">
        <w:rPr>
          <w:rFonts w:cs="Arial"/>
          <w:snapToGrid w:val="0"/>
          <w:color w:val="000000"/>
          <w:lang w:val="fr-FR"/>
        </w:rPr>
        <w:t>greffes d</w:t>
      </w:r>
      <w:r w:rsidR="00F3296C" w:rsidRPr="0048528B">
        <w:rPr>
          <w:rFonts w:cs="Arial"/>
          <w:snapToGrid w:val="0"/>
          <w:color w:val="000000"/>
          <w:lang w:val="fr-FR"/>
        </w:rPr>
        <w:t>’</w:t>
      </w:r>
      <w:r w:rsidRPr="0048528B">
        <w:rPr>
          <w:rFonts w:cs="Arial"/>
          <w:snapToGrid w:val="0"/>
          <w:color w:val="000000"/>
          <w:lang w:val="fr-FR"/>
        </w:rPr>
        <w:t>avocatier (Persea Mill.)</w:t>
      </w:r>
    </w:p>
    <w:p w:rsidR="00C97F0A" w:rsidRPr="0048528B" w:rsidRDefault="00C97F0A" w:rsidP="00C97F0A">
      <w:pPr>
        <w:numPr>
          <w:ilvl w:val="0"/>
          <w:numId w:val="38"/>
        </w:numPr>
        <w:rPr>
          <w:rFonts w:cs="Arial"/>
          <w:snapToGrid w:val="0"/>
          <w:color w:val="000000"/>
          <w:lang w:val="fr-FR"/>
        </w:rPr>
      </w:pPr>
      <w:r w:rsidRPr="0048528B">
        <w:rPr>
          <w:rFonts w:cs="Arial"/>
          <w:snapToGrid w:val="0"/>
          <w:color w:val="000000"/>
          <w:lang w:val="fr-FR"/>
        </w:rPr>
        <w:t>Goyavier du Brésil (Acca sellowiana (Berg) Burret)</w:t>
      </w:r>
    </w:p>
    <w:p w:rsidR="00C97F0A" w:rsidRPr="0048528B" w:rsidRDefault="00C97F0A" w:rsidP="00C97F0A">
      <w:pPr>
        <w:numPr>
          <w:ilvl w:val="0"/>
          <w:numId w:val="38"/>
        </w:numPr>
        <w:rPr>
          <w:rFonts w:cs="Arial"/>
          <w:snapToGrid w:val="0"/>
          <w:color w:val="000000"/>
          <w:lang w:val="fr-FR"/>
        </w:rPr>
      </w:pPr>
      <w:r w:rsidRPr="0048528B">
        <w:rPr>
          <w:rFonts w:cs="Arial"/>
          <w:snapToGrid w:val="0"/>
          <w:color w:val="000000"/>
          <w:lang w:val="fr-FR"/>
        </w:rPr>
        <w:t>Porte</w:t>
      </w:r>
      <w:r w:rsidR="003F00B6" w:rsidRPr="0048528B">
        <w:rPr>
          <w:rFonts w:cs="Arial"/>
          <w:snapToGrid w:val="0"/>
          <w:color w:val="000000"/>
          <w:lang w:val="fr-FR"/>
        </w:rPr>
        <w:noBreakHyphen/>
      </w:r>
      <w:r w:rsidRPr="0048528B">
        <w:rPr>
          <w:rFonts w:cs="Arial"/>
          <w:snapToGrid w:val="0"/>
          <w:color w:val="000000"/>
          <w:lang w:val="fr-FR"/>
        </w:rPr>
        <w:t>greffes de pommier (Malus Mill.) (révision)</w:t>
      </w:r>
    </w:p>
    <w:p w:rsidR="00C97F0A" w:rsidRPr="0048528B" w:rsidRDefault="00C97F0A" w:rsidP="00C97F0A">
      <w:pPr>
        <w:numPr>
          <w:ilvl w:val="0"/>
          <w:numId w:val="38"/>
        </w:numPr>
        <w:rPr>
          <w:rFonts w:cs="Arial"/>
          <w:snapToGrid w:val="0"/>
          <w:color w:val="000000"/>
          <w:lang w:val="fr-FR"/>
        </w:rPr>
      </w:pPr>
      <w:r w:rsidRPr="0048528B">
        <w:rPr>
          <w:rFonts w:cs="Arial"/>
          <w:snapToGrid w:val="0"/>
          <w:color w:val="000000"/>
          <w:lang w:val="fr-FR"/>
        </w:rPr>
        <w:t>Cocotier (Cocos nucifera L.)</w:t>
      </w:r>
    </w:p>
    <w:p w:rsidR="00C97F0A" w:rsidRPr="0048528B" w:rsidRDefault="00C97F0A" w:rsidP="00C97F0A">
      <w:pPr>
        <w:numPr>
          <w:ilvl w:val="0"/>
          <w:numId w:val="38"/>
        </w:numPr>
        <w:rPr>
          <w:rFonts w:cs="Arial"/>
          <w:snapToGrid w:val="0"/>
          <w:color w:val="000000"/>
          <w:lang w:val="fr-FR"/>
        </w:rPr>
      </w:pPr>
      <w:r w:rsidRPr="0048528B">
        <w:rPr>
          <w:rFonts w:cs="Arial"/>
          <w:snapToGrid w:val="0"/>
          <w:color w:val="000000"/>
          <w:lang w:val="fr-FR"/>
        </w:rPr>
        <w:lastRenderedPageBreak/>
        <w:t>Litchi (Litchi chinensis Sonn.)</w:t>
      </w:r>
    </w:p>
    <w:p w:rsidR="00C97F0A" w:rsidRPr="0048528B" w:rsidRDefault="00C97F0A" w:rsidP="00C97F0A">
      <w:pPr>
        <w:numPr>
          <w:ilvl w:val="0"/>
          <w:numId w:val="38"/>
        </w:numPr>
        <w:rPr>
          <w:rFonts w:cs="Arial"/>
          <w:snapToGrid w:val="0"/>
          <w:color w:val="000000"/>
          <w:lang w:val="fr-FR"/>
        </w:rPr>
      </w:pPr>
      <w:r w:rsidRPr="0048528B">
        <w:rPr>
          <w:rFonts w:cs="Arial"/>
          <w:snapToGrid w:val="0"/>
          <w:color w:val="000000"/>
          <w:lang w:val="fr-FR"/>
        </w:rPr>
        <w:t xml:space="preserve">Mandarinier (Citrus L. </w:t>
      </w:r>
      <w:r w:rsidR="00D70632" w:rsidRPr="0048528B">
        <w:rPr>
          <w:rFonts w:cs="Arial"/>
          <w:snapToGrid w:val="0"/>
          <w:color w:val="000000"/>
          <w:lang w:val="fr-FR"/>
        </w:rPr>
        <w:t>–</w:t>
      </w:r>
      <w:r w:rsidRPr="0048528B">
        <w:rPr>
          <w:rFonts w:cs="Arial"/>
          <w:snapToGrid w:val="0"/>
          <w:color w:val="000000"/>
          <w:lang w:val="fr-FR"/>
        </w:rPr>
        <w:t xml:space="preserve"> Groupe</w:t>
      </w:r>
      <w:r w:rsidR="00D70632" w:rsidRPr="0048528B">
        <w:rPr>
          <w:rFonts w:cs="Arial"/>
          <w:snapToGrid w:val="0"/>
          <w:color w:val="000000"/>
          <w:lang w:val="fr-FR"/>
        </w:rPr>
        <w:t> </w:t>
      </w:r>
      <w:r w:rsidRPr="0048528B">
        <w:rPr>
          <w:rFonts w:cs="Arial"/>
          <w:snapToGrid w:val="0"/>
          <w:color w:val="000000"/>
          <w:lang w:val="fr-FR"/>
        </w:rPr>
        <w:t>1) (révision partielle)</w:t>
      </w:r>
    </w:p>
    <w:p w:rsidR="00C97F0A" w:rsidRPr="0048528B" w:rsidRDefault="00C97F0A" w:rsidP="00C97F0A">
      <w:pPr>
        <w:numPr>
          <w:ilvl w:val="0"/>
          <w:numId w:val="38"/>
        </w:numPr>
        <w:rPr>
          <w:rFonts w:cs="Arial"/>
          <w:snapToGrid w:val="0"/>
          <w:color w:val="000000"/>
          <w:lang w:val="fr-FR"/>
        </w:rPr>
      </w:pPr>
      <w:r w:rsidRPr="0048528B">
        <w:rPr>
          <w:rFonts w:cs="Arial"/>
          <w:snapToGrid w:val="0"/>
          <w:color w:val="000000"/>
          <w:lang w:val="fr-FR"/>
        </w:rPr>
        <w:t>Pêcher (Prunus persica (L.) Batsch) (révision partielle)</w:t>
      </w:r>
    </w:p>
    <w:p w:rsidR="00C97F0A" w:rsidRPr="0048528B" w:rsidRDefault="00C97F0A" w:rsidP="00C97F0A">
      <w:pPr>
        <w:numPr>
          <w:ilvl w:val="0"/>
          <w:numId w:val="38"/>
        </w:numPr>
        <w:rPr>
          <w:rFonts w:cs="Arial"/>
          <w:snapToGrid w:val="0"/>
          <w:color w:val="000000"/>
          <w:lang w:val="fr-FR"/>
        </w:rPr>
      </w:pPr>
      <w:r w:rsidRPr="0048528B">
        <w:rPr>
          <w:rFonts w:cs="Arial"/>
          <w:snapToGrid w:val="0"/>
          <w:color w:val="000000"/>
          <w:lang w:val="fr-FR"/>
        </w:rPr>
        <w:t>Pacanier (Carya illinoinensis (Wangenh.) K.</w:t>
      </w:r>
      <w:r w:rsidR="00E3136C" w:rsidRPr="0048528B">
        <w:rPr>
          <w:rFonts w:cs="Arial"/>
          <w:snapToGrid w:val="0"/>
          <w:color w:val="000000"/>
          <w:lang w:val="fr-FR"/>
        </w:rPr>
        <w:t> </w:t>
      </w:r>
      <w:r w:rsidRPr="0048528B">
        <w:rPr>
          <w:rFonts w:cs="Arial"/>
          <w:snapToGrid w:val="0"/>
          <w:color w:val="000000"/>
          <w:lang w:val="fr-FR"/>
        </w:rPr>
        <w:t>Koch)</w:t>
      </w:r>
    </w:p>
    <w:p w:rsidR="00C97F0A" w:rsidRPr="0048528B" w:rsidRDefault="00C97F0A" w:rsidP="00C97F0A">
      <w:pPr>
        <w:numPr>
          <w:ilvl w:val="0"/>
          <w:numId w:val="38"/>
        </w:numPr>
        <w:rPr>
          <w:rFonts w:cs="Arial"/>
          <w:snapToGrid w:val="0"/>
          <w:color w:val="000000"/>
          <w:lang w:val="fr-FR"/>
        </w:rPr>
      </w:pPr>
      <w:r w:rsidRPr="0048528B">
        <w:rPr>
          <w:rFonts w:cs="Arial"/>
          <w:snapToGrid w:val="0"/>
          <w:color w:val="000000"/>
          <w:lang w:val="fr-FR"/>
        </w:rPr>
        <w:t>Porte</w:t>
      </w:r>
      <w:r w:rsidR="003F00B6" w:rsidRPr="0048528B">
        <w:rPr>
          <w:rFonts w:cs="Arial"/>
          <w:snapToGrid w:val="0"/>
          <w:color w:val="000000"/>
          <w:lang w:val="fr-FR"/>
        </w:rPr>
        <w:noBreakHyphen/>
      </w:r>
      <w:r w:rsidRPr="0048528B">
        <w:rPr>
          <w:rFonts w:cs="Arial"/>
          <w:snapToGrid w:val="0"/>
          <w:color w:val="000000"/>
          <w:lang w:val="fr-FR"/>
        </w:rPr>
        <w:t>greffes de Prunus (Prunus L.) (révision)</w:t>
      </w:r>
    </w:p>
    <w:p w:rsidR="00C97F0A" w:rsidRPr="0048528B" w:rsidRDefault="00C97F0A" w:rsidP="00C97F0A">
      <w:pPr>
        <w:numPr>
          <w:ilvl w:val="0"/>
          <w:numId w:val="38"/>
        </w:numPr>
        <w:rPr>
          <w:szCs w:val="22"/>
          <w:lang w:val="fr-FR"/>
        </w:rPr>
      </w:pPr>
      <w:r w:rsidRPr="0048528B">
        <w:rPr>
          <w:rFonts w:cs="Arial"/>
          <w:snapToGrid w:val="0"/>
          <w:color w:val="000000"/>
          <w:lang w:val="fr-FR"/>
        </w:rPr>
        <w:t>Vanillier (Vanilla planifolia Jacks.)</w:t>
      </w:r>
    </w:p>
    <w:p w:rsidR="00C97F0A" w:rsidRPr="0048528B" w:rsidRDefault="00C97F0A" w:rsidP="00C97F0A">
      <w:pPr>
        <w:numPr>
          <w:ilvl w:val="0"/>
          <w:numId w:val="38"/>
        </w:numPr>
        <w:rPr>
          <w:rFonts w:cs="Arial"/>
          <w:snapToGrid w:val="0"/>
          <w:color w:val="000000"/>
          <w:lang w:val="fr-FR"/>
        </w:rPr>
      </w:pPr>
      <w:r w:rsidRPr="0048528B">
        <w:rPr>
          <w:rFonts w:cs="Arial"/>
          <w:snapToGrid w:val="0"/>
          <w:color w:val="000000"/>
          <w:lang w:val="fr-FR"/>
        </w:rPr>
        <w:t>Noyer (Juglans regia L.) (révision)</w:t>
      </w:r>
    </w:p>
    <w:p w:rsidR="00C97F0A" w:rsidRPr="0048528B" w:rsidRDefault="00C97F0A" w:rsidP="00C97F0A">
      <w:pPr>
        <w:rPr>
          <w:szCs w:val="22"/>
          <w:lang w:val="fr-FR"/>
        </w:rPr>
      </w:pPr>
    </w:p>
    <w:p w:rsidR="00C97F0A" w:rsidRPr="0048528B" w:rsidRDefault="00C97F0A" w:rsidP="00C97F0A">
      <w:pPr>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À l</w:t>
      </w:r>
      <w:r w:rsidR="00F3296C" w:rsidRPr="0048528B">
        <w:rPr>
          <w:szCs w:val="22"/>
          <w:lang w:val="fr-FR"/>
        </w:rPr>
        <w:t>’</w:t>
      </w:r>
      <w:r w:rsidRPr="0048528B">
        <w:rPr>
          <w:szCs w:val="22"/>
          <w:lang w:val="fr-FR"/>
        </w:rPr>
        <w:t>invitation de l</w:t>
      </w:r>
      <w:r w:rsidR="00F3296C" w:rsidRPr="0048528B">
        <w:rPr>
          <w:szCs w:val="22"/>
          <w:lang w:val="fr-FR"/>
        </w:rPr>
        <w:t>’</w:t>
      </w:r>
      <w:r w:rsidRPr="0048528B">
        <w:rPr>
          <w:szCs w:val="22"/>
          <w:lang w:val="fr-FR"/>
        </w:rPr>
        <w:t>expert de la Nouvelle</w:t>
      </w:r>
      <w:r w:rsidR="003F00B6" w:rsidRPr="0048528B">
        <w:rPr>
          <w:szCs w:val="22"/>
          <w:lang w:val="fr-FR"/>
        </w:rPr>
        <w:noBreakHyphen/>
      </w:r>
      <w:r w:rsidRPr="0048528B">
        <w:rPr>
          <w:szCs w:val="22"/>
          <w:lang w:val="fr-FR"/>
        </w:rPr>
        <w:t>Zélande,</w:t>
      </w:r>
      <w:r w:rsidR="00F3296C" w:rsidRPr="0048528B">
        <w:rPr>
          <w:szCs w:val="22"/>
          <w:lang w:val="fr-FR"/>
        </w:rPr>
        <w:t xml:space="preserve"> le TWF</w:t>
      </w:r>
      <w:r w:rsidRPr="0048528B">
        <w:rPr>
          <w:szCs w:val="22"/>
          <w:lang w:val="fr-FR"/>
        </w:rPr>
        <w:t xml:space="preserve"> a décidé de tenir sa quarante</w:t>
      </w:r>
      <w:r w:rsidR="003F00B6" w:rsidRPr="0048528B">
        <w:rPr>
          <w:szCs w:val="22"/>
          <w:lang w:val="fr-FR"/>
        </w:rPr>
        <w:noBreakHyphen/>
      </w:r>
      <w:r w:rsidRPr="0048528B">
        <w:rPr>
          <w:szCs w:val="22"/>
          <w:lang w:val="fr-FR"/>
        </w:rPr>
        <w:t>quatrième</w:t>
      </w:r>
      <w:r w:rsidR="00E3136C" w:rsidRPr="0048528B">
        <w:rPr>
          <w:szCs w:val="22"/>
          <w:lang w:val="fr-FR"/>
        </w:rPr>
        <w:t> </w:t>
      </w:r>
      <w:r w:rsidRPr="0048528B">
        <w:rPr>
          <w:szCs w:val="22"/>
          <w:lang w:val="fr-FR"/>
        </w:rPr>
        <w:t>session à Napier (Nouvelle</w:t>
      </w:r>
      <w:r w:rsidR="003F00B6" w:rsidRPr="0048528B">
        <w:rPr>
          <w:szCs w:val="22"/>
          <w:lang w:val="fr-FR"/>
        </w:rPr>
        <w:noBreakHyphen/>
      </w:r>
      <w:r w:rsidRPr="0048528B">
        <w:rPr>
          <w:szCs w:val="22"/>
          <w:lang w:val="fr-FR"/>
        </w:rPr>
        <w:t>Zélande) du 2</w:t>
      </w:r>
      <w:r w:rsidR="00F3296C" w:rsidRPr="0048528B">
        <w:rPr>
          <w:szCs w:val="22"/>
          <w:lang w:val="fr-FR"/>
        </w:rPr>
        <w:t>9 avril</w:t>
      </w:r>
      <w:r w:rsidRPr="0048528B">
        <w:rPr>
          <w:szCs w:val="22"/>
          <w:lang w:val="fr-FR"/>
        </w:rPr>
        <w:t xml:space="preserve"> au </w:t>
      </w:r>
      <w:r w:rsidR="00F3296C" w:rsidRPr="0048528B">
        <w:rPr>
          <w:szCs w:val="22"/>
          <w:lang w:val="fr-FR"/>
        </w:rPr>
        <w:t>3 mai,</w:t>
      </w:r>
      <w:r w:rsidRPr="0048528B">
        <w:rPr>
          <w:szCs w:val="22"/>
          <w:lang w:val="fr-FR"/>
        </w:rPr>
        <w:t xml:space="preserve"> un atelier préparatoire étant prévu le 2</w:t>
      </w:r>
      <w:r w:rsidR="00F3296C" w:rsidRPr="0048528B">
        <w:rPr>
          <w:szCs w:val="22"/>
          <w:lang w:val="fr-FR"/>
        </w:rPr>
        <w:t>8 avril 20</w:t>
      </w:r>
      <w:r w:rsidRPr="0048528B">
        <w:rPr>
          <w:szCs w:val="22"/>
          <w:lang w:val="fr-FR"/>
        </w:rPr>
        <w:t>13.</w:t>
      </w:r>
    </w:p>
    <w:p w:rsidR="00C97F0A" w:rsidRPr="0048528B" w:rsidRDefault="00C97F0A" w:rsidP="00C97F0A">
      <w:pPr>
        <w:rPr>
          <w:szCs w:val="22"/>
          <w:lang w:val="fr-FR"/>
        </w:rPr>
      </w:pPr>
    </w:p>
    <w:p w:rsidR="00C97F0A" w:rsidRPr="0048528B" w:rsidRDefault="00C97F0A" w:rsidP="00C97F0A">
      <w:pPr>
        <w:keepNext/>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Le TWF a proposé d</w:t>
      </w:r>
      <w:r w:rsidR="00F3296C" w:rsidRPr="0048528B">
        <w:rPr>
          <w:szCs w:val="22"/>
          <w:lang w:val="fr-FR"/>
        </w:rPr>
        <w:t>’</w:t>
      </w:r>
      <w:r w:rsidRPr="0048528B">
        <w:rPr>
          <w:szCs w:val="22"/>
          <w:lang w:val="fr-FR"/>
        </w:rPr>
        <w:t xml:space="preserve">examiner les points suivants à </w:t>
      </w:r>
      <w:r w:rsidR="0038335D" w:rsidRPr="0048528B">
        <w:rPr>
          <w:szCs w:val="22"/>
          <w:lang w:val="fr-FR"/>
        </w:rPr>
        <w:t>cette</w:t>
      </w:r>
      <w:r w:rsidRPr="0048528B">
        <w:rPr>
          <w:szCs w:val="22"/>
          <w:lang w:val="fr-FR"/>
        </w:rPr>
        <w:t xml:space="preserve"> session :</w:t>
      </w:r>
    </w:p>
    <w:p w:rsidR="00C97F0A" w:rsidRPr="0048528B" w:rsidRDefault="00C97F0A" w:rsidP="00C97F0A">
      <w:pPr>
        <w:keepNext/>
        <w:rPr>
          <w:szCs w:val="22"/>
          <w:lang w:val="fr-FR"/>
        </w:rPr>
      </w:pPr>
    </w:p>
    <w:p w:rsidR="00C97F0A" w:rsidRPr="0048528B" w:rsidRDefault="00C97F0A" w:rsidP="00C97F0A">
      <w:pPr>
        <w:keepNext/>
        <w:tabs>
          <w:tab w:val="num" w:pos="1134"/>
        </w:tabs>
        <w:spacing w:before="20" w:afterLines="20" w:after="48"/>
        <w:ind w:left="567"/>
        <w:rPr>
          <w:rFonts w:cs="Arial"/>
          <w:lang w:val="fr-FR"/>
        </w:rPr>
      </w:pPr>
      <w:r w:rsidRPr="0048528B">
        <w:rPr>
          <w:rFonts w:cs="Arial"/>
          <w:lang w:val="fr-FR"/>
        </w:rPr>
        <w:t>1.</w:t>
      </w:r>
      <w:r w:rsidRPr="0048528B">
        <w:rPr>
          <w:rFonts w:cs="Arial"/>
          <w:lang w:val="fr-FR"/>
        </w:rPr>
        <w:tab/>
        <w:t>Ouverture de la session</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2.</w:t>
      </w:r>
      <w:r w:rsidRPr="0048528B">
        <w:rPr>
          <w:rFonts w:cs="Arial"/>
          <w:lang w:val="fr-FR"/>
        </w:rPr>
        <w:tab/>
        <w:t>Adoption de l</w:t>
      </w:r>
      <w:r w:rsidR="00F3296C" w:rsidRPr="0048528B">
        <w:rPr>
          <w:rFonts w:cs="Arial"/>
          <w:lang w:val="fr-FR"/>
        </w:rPr>
        <w:t>’</w:t>
      </w:r>
      <w:r w:rsidRPr="0048528B">
        <w:rPr>
          <w:rFonts w:cs="Arial"/>
          <w:lang w:val="fr-FR"/>
        </w:rPr>
        <w:t>ordre du jour</w:t>
      </w:r>
    </w:p>
    <w:p w:rsidR="00C97F0A" w:rsidRPr="0048528B" w:rsidRDefault="00C97F0A" w:rsidP="00DB0C5E">
      <w:pPr>
        <w:tabs>
          <w:tab w:val="num" w:pos="1134"/>
        </w:tabs>
        <w:spacing w:before="20" w:afterLines="20" w:after="48"/>
        <w:ind w:left="1134" w:hanging="567"/>
        <w:rPr>
          <w:rFonts w:cs="Arial"/>
          <w:lang w:val="fr-FR"/>
        </w:rPr>
      </w:pPr>
      <w:r w:rsidRPr="0048528B">
        <w:rPr>
          <w:rFonts w:cs="Arial"/>
          <w:lang w:val="fr-FR"/>
        </w:rPr>
        <w:t>3.</w:t>
      </w:r>
      <w:r w:rsidRPr="0048528B">
        <w:rPr>
          <w:rFonts w:cs="Arial"/>
          <w:lang w:val="fr-FR"/>
        </w:rPr>
        <w:tab/>
        <w:t>Rapports succincts sur l</w:t>
      </w:r>
      <w:r w:rsidR="00F3296C" w:rsidRPr="0048528B">
        <w:rPr>
          <w:rFonts w:cs="Arial"/>
          <w:lang w:val="fr-FR"/>
        </w:rPr>
        <w:t>’</w:t>
      </w:r>
      <w:r w:rsidRPr="0048528B">
        <w:rPr>
          <w:rFonts w:cs="Arial"/>
          <w:lang w:val="fr-FR"/>
        </w:rPr>
        <w:t>évolution de la situation en matière de protection des obtentions végétales</w:t>
      </w:r>
    </w:p>
    <w:p w:rsidR="00F3296C" w:rsidRPr="0048528B" w:rsidRDefault="00C97F0A" w:rsidP="00C97F0A">
      <w:pPr>
        <w:tabs>
          <w:tab w:val="num" w:pos="1494"/>
        </w:tabs>
        <w:spacing w:before="20" w:afterLines="20" w:after="48"/>
        <w:ind w:left="1134"/>
        <w:rPr>
          <w:rFonts w:cs="Arial"/>
          <w:lang w:val="fr-FR"/>
        </w:rPr>
      </w:pPr>
      <w:r w:rsidRPr="0048528B">
        <w:rPr>
          <w:rFonts w:cs="Arial"/>
          <w:lang w:val="fr-FR"/>
        </w:rPr>
        <w:t>a)</w:t>
      </w:r>
      <w:r w:rsidR="00DB0C5E" w:rsidRPr="0048528B">
        <w:rPr>
          <w:rFonts w:cs="Arial"/>
          <w:lang w:val="fr-FR"/>
        </w:rPr>
        <w:tab/>
      </w:r>
      <w:r w:rsidRPr="0048528B">
        <w:rPr>
          <w:rFonts w:cs="Arial"/>
          <w:lang w:val="fr-FR"/>
        </w:rPr>
        <w:t>Rapports des membres et des observateurs</w:t>
      </w:r>
    </w:p>
    <w:p w:rsidR="00F3296C" w:rsidRPr="0048528B" w:rsidRDefault="00C97F0A" w:rsidP="00C97F0A">
      <w:pPr>
        <w:tabs>
          <w:tab w:val="num" w:pos="1494"/>
        </w:tabs>
        <w:spacing w:before="20" w:afterLines="20" w:after="48"/>
        <w:ind w:left="1134"/>
        <w:rPr>
          <w:rFonts w:cs="Arial"/>
          <w:lang w:val="fr-FR"/>
        </w:rPr>
      </w:pPr>
      <w:r w:rsidRPr="0048528B">
        <w:rPr>
          <w:rFonts w:cs="Arial"/>
          <w:lang w:val="fr-FR"/>
        </w:rPr>
        <w:t>b)</w:t>
      </w:r>
      <w:r w:rsidR="00DB0C5E" w:rsidRPr="0048528B">
        <w:rPr>
          <w:rFonts w:cs="Arial"/>
          <w:lang w:val="fr-FR"/>
        </w:rPr>
        <w:tab/>
      </w:r>
      <w:r w:rsidRPr="0048528B">
        <w:rPr>
          <w:rFonts w:cs="Arial"/>
          <w:lang w:val="fr-FR"/>
        </w:rPr>
        <w:t>Rapports sur les faits nouveaux intervenus à l</w:t>
      </w:r>
      <w:r w:rsidR="00F3296C" w:rsidRPr="0048528B">
        <w:rPr>
          <w:rFonts w:cs="Arial"/>
          <w:lang w:val="fr-FR"/>
        </w:rPr>
        <w:t>’</w:t>
      </w:r>
      <w:r w:rsidRPr="0048528B">
        <w:rPr>
          <w:rFonts w:cs="Arial"/>
          <w:lang w:val="fr-FR"/>
        </w:rPr>
        <w:t>UPOV</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4.</w:t>
      </w:r>
      <w:r w:rsidRPr="0048528B">
        <w:rPr>
          <w:rFonts w:cs="Arial"/>
          <w:lang w:val="fr-FR"/>
        </w:rPr>
        <w:tab/>
        <w:t>Techniques moléculaires</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5.</w:t>
      </w:r>
      <w:r w:rsidRPr="0048528B">
        <w:rPr>
          <w:rFonts w:cs="Arial"/>
          <w:lang w:val="fr-FR"/>
        </w:rPr>
        <w:tab/>
        <w:t>Documents TGP</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6.</w:t>
      </w:r>
      <w:r w:rsidRPr="0048528B">
        <w:rPr>
          <w:rFonts w:cs="Arial"/>
          <w:lang w:val="fr-FR"/>
        </w:rPr>
        <w:tab/>
        <w:t>Dénominations variétales</w:t>
      </w:r>
    </w:p>
    <w:p w:rsidR="00C97F0A" w:rsidRPr="0048528B" w:rsidRDefault="00C97F0A" w:rsidP="00C97F0A">
      <w:pPr>
        <w:spacing w:before="20" w:afterLines="20" w:after="48"/>
        <w:ind w:left="567"/>
        <w:rPr>
          <w:rFonts w:cs="Arial"/>
          <w:lang w:val="fr-FR"/>
        </w:rPr>
      </w:pPr>
      <w:r w:rsidRPr="0048528B">
        <w:rPr>
          <w:rFonts w:cs="Arial"/>
          <w:lang w:val="fr-FR"/>
        </w:rPr>
        <w:t>7.</w:t>
      </w:r>
      <w:r w:rsidRPr="0048528B">
        <w:rPr>
          <w:rFonts w:cs="Arial"/>
          <w:lang w:val="fr-FR"/>
        </w:rPr>
        <w:tab/>
        <w:t>Bases de données d</w:t>
      </w:r>
      <w:r w:rsidR="00F3296C" w:rsidRPr="0048528B">
        <w:rPr>
          <w:rFonts w:cs="Arial"/>
          <w:lang w:val="fr-FR"/>
        </w:rPr>
        <w:t>’</w:t>
      </w:r>
      <w:r w:rsidRPr="0048528B">
        <w:rPr>
          <w:rFonts w:cs="Arial"/>
          <w:lang w:val="fr-FR"/>
        </w:rPr>
        <w:t>information</w:t>
      </w:r>
    </w:p>
    <w:p w:rsidR="00F3296C" w:rsidRPr="0048528B" w:rsidRDefault="00C97F0A" w:rsidP="00C97F0A">
      <w:pPr>
        <w:spacing w:before="20" w:afterLines="20" w:after="48"/>
        <w:ind w:left="1584" w:hanging="450"/>
        <w:rPr>
          <w:rFonts w:cs="Arial"/>
          <w:lang w:val="fr-FR"/>
        </w:rPr>
      </w:pPr>
      <w:r w:rsidRPr="0048528B">
        <w:rPr>
          <w:rFonts w:cs="Arial"/>
          <w:lang w:val="fr-FR"/>
        </w:rPr>
        <w:t>a)</w:t>
      </w:r>
      <w:r w:rsidR="00DB0C5E" w:rsidRPr="0048528B">
        <w:rPr>
          <w:rFonts w:cs="Arial"/>
          <w:lang w:val="fr-FR"/>
        </w:rPr>
        <w:tab/>
      </w:r>
      <w:r w:rsidRPr="0048528B">
        <w:rPr>
          <w:rFonts w:cs="Arial"/>
          <w:lang w:val="fr-FR"/>
        </w:rPr>
        <w:t>Base de données d</w:t>
      </w:r>
      <w:r w:rsidR="00F3296C" w:rsidRPr="0048528B">
        <w:rPr>
          <w:rFonts w:cs="Arial"/>
          <w:lang w:val="fr-FR"/>
        </w:rPr>
        <w:t>’</w:t>
      </w:r>
      <w:r w:rsidRPr="0048528B">
        <w:rPr>
          <w:rFonts w:cs="Arial"/>
          <w:lang w:val="fr-FR"/>
        </w:rPr>
        <w:t>information de l</w:t>
      </w:r>
      <w:r w:rsidR="00F3296C" w:rsidRPr="0048528B">
        <w:rPr>
          <w:rFonts w:cs="Arial"/>
          <w:lang w:val="fr-FR"/>
        </w:rPr>
        <w:t>’</w:t>
      </w:r>
      <w:r w:rsidRPr="0048528B">
        <w:rPr>
          <w:rFonts w:cs="Arial"/>
          <w:lang w:val="fr-FR"/>
        </w:rPr>
        <w:t>UPOV</w:t>
      </w:r>
    </w:p>
    <w:p w:rsidR="00F3296C" w:rsidRPr="0048528B" w:rsidRDefault="00C97F0A" w:rsidP="00C97F0A">
      <w:pPr>
        <w:spacing w:before="20" w:afterLines="20" w:after="48"/>
        <w:ind w:left="1584" w:hanging="450"/>
        <w:jc w:val="left"/>
        <w:rPr>
          <w:rFonts w:cs="Arial"/>
          <w:lang w:val="fr-FR"/>
        </w:rPr>
      </w:pPr>
      <w:r w:rsidRPr="0048528B">
        <w:rPr>
          <w:rFonts w:cs="Arial"/>
          <w:lang w:val="fr-FR"/>
        </w:rPr>
        <w:t>b)</w:t>
      </w:r>
      <w:r w:rsidR="00DB0C5E" w:rsidRPr="0048528B">
        <w:rPr>
          <w:rFonts w:cs="Arial"/>
          <w:lang w:val="fr-FR"/>
        </w:rPr>
        <w:tab/>
      </w:r>
      <w:r w:rsidRPr="0048528B">
        <w:rPr>
          <w:rFonts w:cs="Arial"/>
          <w:lang w:val="fr-FR"/>
        </w:rPr>
        <w:t>Bases de données sur les descriptions variétales</w:t>
      </w:r>
    </w:p>
    <w:p w:rsidR="00F3296C" w:rsidRPr="0048528B" w:rsidRDefault="00C97F0A" w:rsidP="00C97F0A">
      <w:pPr>
        <w:spacing w:before="20" w:afterLines="20" w:after="48"/>
        <w:ind w:left="1584" w:hanging="450"/>
        <w:rPr>
          <w:rFonts w:cs="Arial"/>
          <w:lang w:val="fr-FR"/>
        </w:rPr>
      </w:pPr>
      <w:r w:rsidRPr="0048528B">
        <w:rPr>
          <w:rFonts w:cs="Arial"/>
          <w:lang w:val="fr-FR"/>
        </w:rPr>
        <w:t>c)</w:t>
      </w:r>
      <w:r w:rsidR="00DB0C5E" w:rsidRPr="0048528B">
        <w:rPr>
          <w:rFonts w:cs="Arial"/>
          <w:lang w:val="fr-FR"/>
        </w:rPr>
        <w:tab/>
      </w:r>
      <w:r w:rsidRPr="0048528B">
        <w:rPr>
          <w:rFonts w:cs="Arial"/>
          <w:lang w:val="fr-FR"/>
        </w:rPr>
        <w:t>Logiciels échangeables</w:t>
      </w:r>
    </w:p>
    <w:p w:rsidR="00F3296C" w:rsidRPr="0048528B" w:rsidRDefault="00DB0C5E" w:rsidP="00C97F0A">
      <w:pPr>
        <w:spacing w:before="20" w:afterLines="20" w:after="48"/>
        <w:ind w:left="1584" w:hanging="450"/>
        <w:rPr>
          <w:rFonts w:cs="Arial"/>
          <w:lang w:val="fr-FR"/>
        </w:rPr>
      </w:pPr>
      <w:r w:rsidRPr="0048528B">
        <w:rPr>
          <w:rFonts w:cs="Arial"/>
          <w:lang w:val="fr-FR"/>
        </w:rPr>
        <w:t>d)</w:t>
      </w:r>
      <w:r w:rsidRPr="0048528B">
        <w:rPr>
          <w:rFonts w:cs="Arial"/>
          <w:lang w:val="fr-FR"/>
        </w:rPr>
        <w:tab/>
      </w:r>
      <w:r w:rsidR="00C97F0A" w:rsidRPr="0048528B">
        <w:rPr>
          <w:rFonts w:cs="Arial"/>
          <w:lang w:val="fr-FR"/>
        </w:rPr>
        <w:t>Systèmes de dépôt électronique des demandes</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8.</w:t>
      </w:r>
      <w:r w:rsidRPr="0048528B">
        <w:rPr>
          <w:rFonts w:cs="Arial"/>
          <w:lang w:val="fr-FR"/>
        </w:rPr>
        <w:tab/>
        <w:t>Évaluation de l</w:t>
      </w:r>
      <w:r w:rsidR="00F3296C" w:rsidRPr="0048528B">
        <w:rPr>
          <w:rFonts w:cs="Arial"/>
          <w:lang w:val="fr-FR"/>
        </w:rPr>
        <w:t>’</w:t>
      </w:r>
      <w:r w:rsidRPr="0048528B">
        <w:rPr>
          <w:rFonts w:cs="Arial"/>
          <w:lang w:val="fr-FR"/>
        </w:rPr>
        <w:t>homogénéité</w:t>
      </w:r>
    </w:p>
    <w:p w:rsidR="00C97F0A" w:rsidRPr="0048528B" w:rsidRDefault="00C97F0A" w:rsidP="00C97F0A">
      <w:pPr>
        <w:tabs>
          <w:tab w:val="num" w:pos="1134"/>
        </w:tabs>
        <w:spacing w:before="20" w:afterLines="20" w:after="48"/>
        <w:ind w:left="1134" w:hanging="567"/>
        <w:rPr>
          <w:rFonts w:cs="Arial"/>
          <w:lang w:val="fr-FR"/>
        </w:rPr>
      </w:pPr>
      <w:r w:rsidRPr="0048528B">
        <w:rPr>
          <w:rFonts w:cs="Arial"/>
          <w:lang w:val="fr-FR"/>
        </w:rPr>
        <w:t>9.</w:t>
      </w:r>
      <w:r w:rsidRPr="0048528B">
        <w:rPr>
          <w:rFonts w:cs="Arial"/>
          <w:lang w:val="fr-FR"/>
        </w:rPr>
        <w:tab/>
        <w:t>Questions en suspens concernant les principes directeurs d</w:t>
      </w:r>
      <w:r w:rsidR="00F3296C" w:rsidRPr="0048528B">
        <w:rPr>
          <w:rFonts w:cs="Arial"/>
          <w:lang w:val="fr-FR"/>
        </w:rPr>
        <w:t>’</w:t>
      </w:r>
      <w:r w:rsidRPr="0048528B">
        <w:rPr>
          <w:rFonts w:cs="Arial"/>
          <w:lang w:val="fr-FR"/>
        </w:rPr>
        <w:t>examen adoptés par le Comité technique (le cas échéant)</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10.</w:t>
      </w:r>
      <w:r w:rsidRPr="0048528B">
        <w:rPr>
          <w:rFonts w:cs="Arial"/>
          <w:lang w:val="fr-FR"/>
        </w:rPr>
        <w:tab/>
        <w:t>Délibérations concernant les projets de principes directeurs d</w:t>
      </w:r>
      <w:r w:rsidR="00F3296C" w:rsidRPr="0048528B">
        <w:rPr>
          <w:rFonts w:cs="Arial"/>
          <w:lang w:val="fr-FR"/>
        </w:rPr>
        <w:t>’</w:t>
      </w:r>
      <w:r w:rsidRPr="0048528B">
        <w:rPr>
          <w:rFonts w:cs="Arial"/>
          <w:lang w:val="fr-FR"/>
        </w:rPr>
        <w:t>examen</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11.</w:t>
      </w:r>
      <w:r w:rsidRPr="0048528B">
        <w:rPr>
          <w:rFonts w:cs="Arial"/>
          <w:lang w:val="fr-FR"/>
        </w:rPr>
        <w:tab/>
        <w:t>Recommandations concernant les projets de principes directeurs d</w:t>
      </w:r>
      <w:r w:rsidR="00F3296C" w:rsidRPr="0048528B">
        <w:rPr>
          <w:rFonts w:cs="Arial"/>
          <w:lang w:val="fr-FR"/>
        </w:rPr>
        <w:t>’</w:t>
      </w:r>
      <w:r w:rsidRPr="0048528B">
        <w:rPr>
          <w:rFonts w:cs="Arial"/>
          <w:lang w:val="fr-FR"/>
        </w:rPr>
        <w:t>examen</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12.</w:t>
      </w:r>
      <w:r w:rsidRPr="0048528B">
        <w:rPr>
          <w:rFonts w:cs="Arial"/>
          <w:lang w:val="fr-FR"/>
        </w:rPr>
        <w:tab/>
        <w:t>Orientations pour les rédacteurs de principes directeurs d</w:t>
      </w:r>
      <w:r w:rsidR="00F3296C" w:rsidRPr="0048528B">
        <w:rPr>
          <w:rFonts w:cs="Arial"/>
          <w:lang w:val="fr-FR"/>
        </w:rPr>
        <w:t>’</w:t>
      </w:r>
      <w:r w:rsidRPr="0048528B">
        <w:rPr>
          <w:rFonts w:cs="Arial"/>
          <w:lang w:val="fr-FR"/>
        </w:rPr>
        <w:t>examen</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13.</w:t>
      </w:r>
      <w:r w:rsidRPr="0048528B">
        <w:rPr>
          <w:rFonts w:cs="Arial"/>
          <w:lang w:val="fr-FR"/>
        </w:rPr>
        <w:tab/>
        <w:t>Expériences de nouveaux types et espèces</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14.</w:t>
      </w:r>
      <w:r w:rsidRPr="0048528B">
        <w:rPr>
          <w:rFonts w:cs="Arial"/>
          <w:lang w:val="fr-FR"/>
        </w:rPr>
        <w:tab/>
        <w:t>Date et lieu de la prochaine session</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15.</w:t>
      </w:r>
      <w:r w:rsidRPr="0048528B">
        <w:rPr>
          <w:rFonts w:cs="Arial"/>
          <w:lang w:val="fr-FR"/>
        </w:rPr>
        <w:tab/>
        <w:t>Programme futur</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16.</w:t>
      </w:r>
      <w:r w:rsidRPr="0048528B">
        <w:rPr>
          <w:rFonts w:cs="Arial"/>
          <w:lang w:val="fr-FR"/>
        </w:rPr>
        <w:tab/>
        <w:t>Compte rendu de la session (</w:t>
      </w:r>
      <w:r w:rsidR="0038335D" w:rsidRPr="0048528B">
        <w:rPr>
          <w:rFonts w:cs="Arial"/>
          <w:lang w:val="fr-FR"/>
        </w:rPr>
        <w:t>selon le temps disponible</w:t>
      </w:r>
      <w:r w:rsidRPr="0048528B">
        <w:rPr>
          <w:rFonts w:cs="Arial"/>
          <w:lang w:val="fr-FR"/>
        </w:rPr>
        <w:t>)</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17.</w:t>
      </w:r>
      <w:r w:rsidRPr="0048528B">
        <w:rPr>
          <w:rFonts w:cs="Arial"/>
          <w:lang w:val="fr-FR"/>
        </w:rPr>
        <w:tab/>
        <w:t>Clôture de la session</w:t>
      </w:r>
    </w:p>
    <w:p w:rsidR="00C97F0A" w:rsidRPr="0048528B" w:rsidRDefault="00C97F0A" w:rsidP="00C97F0A">
      <w:pPr>
        <w:tabs>
          <w:tab w:val="num" w:pos="1134"/>
        </w:tabs>
        <w:spacing w:before="20" w:afterLines="20" w:after="48"/>
        <w:ind w:left="567"/>
        <w:rPr>
          <w:rFonts w:cs="Arial"/>
          <w:lang w:val="fr-FR"/>
        </w:rPr>
      </w:pPr>
    </w:p>
    <w:p w:rsidR="00C97F0A" w:rsidRPr="0048528B" w:rsidRDefault="00C97F0A" w:rsidP="00C97F0A">
      <w:pPr>
        <w:rPr>
          <w:szCs w:val="22"/>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szCs w:val="22"/>
          <w:lang w:val="fr-FR"/>
        </w:rPr>
        <w:t>L</w:t>
      </w:r>
      <w:r w:rsidR="00F3296C" w:rsidRPr="0048528B">
        <w:rPr>
          <w:szCs w:val="22"/>
          <w:lang w:val="fr-FR"/>
        </w:rPr>
        <w:t>’</w:t>
      </w:r>
      <w:r w:rsidRPr="0048528B">
        <w:rPr>
          <w:szCs w:val="22"/>
          <w:lang w:val="fr-FR"/>
        </w:rPr>
        <w:t>après</w:t>
      </w:r>
      <w:r w:rsidR="003F00B6" w:rsidRPr="0048528B">
        <w:rPr>
          <w:szCs w:val="22"/>
          <w:lang w:val="fr-FR"/>
        </w:rPr>
        <w:noBreakHyphen/>
      </w:r>
      <w:r w:rsidRPr="0048528B">
        <w:rPr>
          <w:szCs w:val="22"/>
          <w:lang w:val="fr-FR"/>
        </w:rPr>
        <w:t xml:space="preserve">midi du </w:t>
      </w:r>
      <w:r w:rsidR="00F3296C" w:rsidRPr="0048528B">
        <w:rPr>
          <w:szCs w:val="22"/>
          <w:lang w:val="fr-FR"/>
        </w:rPr>
        <w:t>1</w:t>
      </w:r>
      <w:r w:rsidR="00F3296C" w:rsidRPr="0048528B">
        <w:rPr>
          <w:szCs w:val="22"/>
          <w:vertAlign w:val="superscript"/>
          <w:lang w:val="fr-FR"/>
        </w:rPr>
        <w:t>er</w:t>
      </w:r>
      <w:r w:rsidR="00F3296C" w:rsidRPr="0048528B">
        <w:rPr>
          <w:szCs w:val="22"/>
          <w:lang w:val="fr-FR"/>
        </w:rPr>
        <w:t> août 20</w:t>
      </w:r>
      <w:r w:rsidRPr="0048528B">
        <w:rPr>
          <w:szCs w:val="22"/>
          <w:lang w:val="fr-FR"/>
        </w:rPr>
        <w:t>12,</w:t>
      </w:r>
      <w:r w:rsidR="00F3296C" w:rsidRPr="0048528B">
        <w:rPr>
          <w:szCs w:val="22"/>
          <w:lang w:val="fr-FR"/>
        </w:rPr>
        <w:t xml:space="preserve"> le TWF</w:t>
      </w:r>
      <w:r w:rsidRPr="0048528B">
        <w:rPr>
          <w:szCs w:val="22"/>
          <w:lang w:val="fr-FR"/>
        </w:rPr>
        <w:t xml:space="preserve"> a visité les locaux de l</w:t>
      </w:r>
      <w:r w:rsidR="00F3296C" w:rsidRPr="0048528B">
        <w:rPr>
          <w:szCs w:val="22"/>
          <w:lang w:val="fr-FR"/>
        </w:rPr>
        <w:t>’</w:t>
      </w:r>
      <w:r w:rsidRPr="0048528B">
        <w:rPr>
          <w:szCs w:val="22"/>
          <w:lang w:val="fr-FR"/>
        </w:rPr>
        <w:t>Institut de recherche en foresterie et en pomologie de l</w:t>
      </w:r>
      <w:r w:rsidR="00F3296C" w:rsidRPr="0048528B">
        <w:rPr>
          <w:szCs w:val="22"/>
          <w:lang w:val="fr-FR"/>
        </w:rPr>
        <w:t>’</w:t>
      </w:r>
      <w:r w:rsidRPr="0048528B">
        <w:rPr>
          <w:szCs w:val="22"/>
          <w:lang w:val="fr-FR"/>
        </w:rPr>
        <w:t>Académie des sciences agronomiques et forestières de Beijing, à Beijing, où il a été accueilli par M.</w:t>
      </w:r>
      <w:r w:rsidR="00E3136C" w:rsidRPr="0048528B">
        <w:rPr>
          <w:szCs w:val="22"/>
          <w:lang w:val="fr-FR"/>
        </w:rPr>
        <w:t> </w:t>
      </w:r>
      <w:r w:rsidRPr="0048528B">
        <w:rPr>
          <w:szCs w:val="22"/>
          <w:lang w:val="fr-FR"/>
        </w:rPr>
        <w:t>Yuzhu Wang, directeur de l</w:t>
      </w:r>
      <w:r w:rsidR="00F3296C" w:rsidRPr="0048528B">
        <w:rPr>
          <w:szCs w:val="22"/>
          <w:lang w:val="fr-FR"/>
        </w:rPr>
        <w:t>’</w:t>
      </w:r>
      <w:r w:rsidRPr="0048528B">
        <w:rPr>
          <w:szCs w:val="22"/>
          <w:lang w:val="fr-FR"/>
        </w:rPr>
        <w:t>institut.</w:t>
      </w:r>
    </w:p>
    <w:p w:rsidR="00C97F0A" w:rsidRPr="0048528B" w:rsidRDefault="00C97F0A" w:rsidP="00C97F0A">
      <w:pPr>
        <w:rPr>
          <w:u w:val="single"/>
          <w:lang w:val="fr-FR"/>
        </w:rPr>
      </w:pPr>
    </w:p>
    <w:p w:rsidR="00C97F0A" w:rsidRPr="0048528B" w:rsidRDefault="00C97F0A" w:rsidP="00C97F0A">
      <w:pPr>
        <w:rPr>
          <w:u w:val="single"/>
          <w:lang w:val="fr-FR"/>
        </w:rPr>
      </w:pPr>
    </w:p>
    <w:p w:rsidR="00C97F0A" w:rsidRPr="0048528B" w:rsidRDefault="00C97F0A" w:rsidP="00C97F0A">
      <w:pPr>
        <w:pStyle w:val="Heading2"/>
        <w:rPr>
          <w:lang w:val="fr-FR"/>
        </w:rPr>
      </w:pPr>
      <w:bookmarkStart w:id="64" w:name="_Toc367888582"/>
      <w:r w:rsidRPr="0048528B">
        <w:rPr>
          <w:lang w:val="fr-FR"/>
        </w:rPr>
        <w:t>Groupe de travail technique sur les plantes ornementales et les arbres forestiers (TWO)</w:t>
      </w:r>
      <w:bookmarkEnd w:id="64"/>
    </w:p>
    <w:p w:rsidR="00C97F0A" w:rsidRPr="0048528B" w:rsidRDefault="00C97F0A" w:rsidP="00C97F0A">
      <w:pPr>
        <w:rPr>
          <w:u w:val="single"/>
          <w:lang w:val="fr-FR"/>
        </w:rPr>
      </w:pPr>
    </w:p>
    <w:p w:rsidR="00F3296C"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Le TWO a tenu sa quarante</w:t>
      </w:r>
      <w:r w:rsidR="003F00B6" w:rsidRPr="0048528B">
        <w:rPr>
          <w:rFonts w:cs="Arial"/>
          <w:color w:val="000000"/>
          <w:lang w:val="fr-FR"/>
        </w:rPr>
        <w:noBreakHyphen/>
      </w:r>
      <w:r w:rsidRPr="0048528B">
        <w:rPr>
          <w:rFonts w:cs="Arial"/>
          <w:color w:val="000000"/>
          <w:lang w:val="fr-FR"/>
        </w:rPr>
        <w:t>cinquième</w:t>
      </w:r>
      <w:r w:rsidR="00E3136C" w:rsidRPr="0048528B">
        <w:rPr>
          <w:rFonts w:cs="Arial"/>
          <w:color w:val="000000"/>
          <w:lang w:val="fr-FR"/>
        </w:rPr>
        <w:t> </w:t>
      </w:r>
      <w:r w:rsidRPr="0048528B">
        <w:rPr>
          <w:rFonts w:cs="Arial"/>
          <w:color w:val="000000"/>
          <w:lang w:val="fr-FR"/>
        </w:rPr>
        <w:t>session à Jeju (République de Corée) du 6 au 1</w:t>
      </w:r>
      <w:r w:rsidR="00F3296C" w:rsidRPr="0048528B">
        <w:rPr>
          <w:rFonts w:cs="Arial"/>
          <w:color w:val="000000"/>
          <w:lang w:val="fr-FR"/>
        </w:rPr>
        <w:t>0 août 20</w:t>
      </w:r>
      <w:r w:rsidRPr="0048528B">
        <w:rPr>
          <w:rFonts w:cs="Arial"/>
          <w:color w:val="000000"/>
          <w:lang w:val="fr-FR"/>
        </w:rPr>
        <w:t>12.  La session a été présidée par M.</w:t>
      </w:r>
      <w:r w:rsidR="00E3136C" w:rsidRPr="0048528B">
        <w:rPr>
          <w:rFonts w:cs="Arial"/>
          <w:color w:val="000000"/>
          <w:lang w:val="fr-FR"/>
        </w:rPr>
        <w:t> </w:t>
      </w:r>
      <w:r w:rsidRPr="0048528B">
        <w:rPr>
          <w:rFonts w:cs="Arial"/>
          <w:color w:val="000000"/>
          <w:lang w:val="fr-FR"/>
        </w:rPr>
        <w:t>Nik Hulse (Australie), président</w:t>
      </w:r>
      <w:r w:rsidR="00F3296C" w:rsidRPr="0048528B">
        <w:rPr>
          <w:rFonts w:cs="Arial"/>
          <w:color w:val="000000"/>
          <w:lang w:val="fr-FR"/>
        </w:rPr>
        <w:t xml:space="preserve"> du TWO</w:t>
      </w:r>
      <w:r w:rsidRPr="0048528B">
        <w:rPr>
          <w:rFonts w:cs="Arial"/>
          <w:color w:val="000000"/>
          <w:lang w:val="fr-FR"/>
        </w:rPr>
        <w:t xml:space="preserve">.  Le compte rendu détaillé </w:t>
      </w:r>
      <w:r w:rsidR="0038335D" w:rsidRPr="0048528B">
        <w:rPr>
          <w:rFonts w:cs="Arial"/>
          <w:color w:val="000000"/>
          <w:lang w:val="fr-FR"/>
        </w:rPr>
        <w:t xml:space="preserve">de la session </w:t>
      </w:r>
      <w:r w:rsidRPr="0048528B">
        <w:rPr>
          <w:rFonts w:cs="Arial"/>
          <w:color w:val="000000"/>
          <w:lang w:val="fr-FR"/>
        </w:rPr>
        <w:t>fait l</w:t>
      </w:r>
      <w:r w:rsidR="00F3296C" w:rsidRPr="0048528B">
        <w:rPr>
          <w:rFonts w:cs="Arial"/>
          <w:color w:val="000000"/>
          <w:lang w:val="fr-FR"/>
        </w:rPr>
        <w:t>’</w:t>
      </w:r>
      <w:r w:rsidRPr="0048528B">
        <w:rPr>
          <w:rFonts w:cs="Arial"/>
          <w:color w:val="000000"/>
          <w:lang w:val="fr-FR"/>
        </w:rPr>
        <w:t>objet du document TWO/45/37.</w:t>
      </w:r>
    </w:p>
    <w:p w:rsidR="00C97F0A" w:rsidRPr="0048528B" w:rsidRDefault="00C97F0A" w:rsidP="00C97F0A">
      <w:pPr>
        <w:autoSpaceDE w:val="0"/>
        <w:autoSpaceDN w:val="0"/>
        <w:adjustRightInd w:val="0"/>
        <w:rPr>
          <w:rFonts w:cs="Arial"/>
          <w:color w:val="000000"/>
          <w:lang w:val="fr-FR"/>
        </w:rPr>
      </w:pPr>
    </w:p>
    <w:p w:rsidR="00F3296C"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0038335D" w:rsidRPr="0048528B">
        <w:rPr>
          <w:rFonts w:cs="Arial"/>
          <w:color w:val="000000"/>
          <w:lang w:val="fr-FR"/>
        </w:rPr>
        <w:t>La session du TWO a réuni</w:t>
      </w:r>
      <w:r w:rsidRPr="0048528B">
        <w:rPr>
          <w:rFonts w:cs="Arial"/>
          <w:color w:val="000000"/>
          <w:lang w:val="fr-FR"/>
        </w:rPr>
        <w:t xml:space="preserve"> 60 participants représentant 15 membres de l</w:t>
      </w:r>
      <w:r w:rsidR="00F3296C" w:rsidRPr="0048528B">
        <w:rPr>
          <w:rFonts w:cs="Arial"/>
          <w:color w:val="000000"/>
          <w:lang w:val="fr-FR"/>
        </w:rPr>
        <w:t>’</w:t>
      </w:r>
      <w:r w:rsidRPr="0048528B">
        <w:rPr>
          <w:rFonts w:cs="Arial"/>
          <w:color w:val="000000"/>
          <w:lang w:val="fr-FR"/>
        </w:rPr>
        <w:t>Union, quatre</w:t>
      </w:r>
      <w:r w:rsidR="00E3136C" w:rsidRPr="0048528B">
        <w:rPr>
          <w:rFonts w:cs="Arial"/>
          <w:color w:val="000000"/>
          <w:lang w:val="fr-FR"/>
        </w:rPr>
        <w:t> </w:t>
      </w:r>
      <w:r w:rsidRPr="0048528B">
        <w:rPr>
          <w:rFonts w:cs="Arial"/>
          <w:color w:val="000000"/>
          <w:lang w:val="fr-FR"/>
        </w:rPr>
        <w:t>États ayant le statut d</w:t>
      </w:r>
      <w:r w:rsidR="00F3296C" w:rsidRPr="0048528B">
        <w:rPr>
          <w:rFonts w:cs="Arial"/>
          <w:color w:val="000000"/>
          <w:lang w:val="fr-FR"/>
        </w:rPr>
        <w:t>’</w:t>
      </w:r>
      <w:r w:rsidRPr="0048528B">
        <w:rPr>
          <w:rFonts w:cs="Arial"/>
          <w:color w:val="000000"/>
          <w:lang w:val="fr-FR"/>
        </w:rPr>
        <w:t>observateur et deux</w:t>
      </w:r>
      <w:r w:rsidR="00E3136C" w:rsidRPr="0048528B">
        <w:rPr>
          <w:rFonts w:cs="Arial"/>
          <w:color w:val="000000"/>
          <w:lang w:val="fr-FR"/>
        </w:rPr>
        <w:t> </w:t>
      </w:r>
      <w:r w:rsidRPr="0048528B">
        <w:rPr>
          <w:rFonts w:cs="Arial"/>
          <w:color w:val="000000"/>
          <w:lang w:val="fr-FR"/>
        </w:rPr>
        <w:t>organisations ayant le statut d</w:t>
      </w:r>
      <w:r w:rsidR="00F3296C" w:rsidRPr="0048528B">
        <w:rPr>
          <w:rFonts w:cs="Arial"/>
          <w:color w:val="000000"/>
          <w:lang w:val="fr-FR"/>
        </w:rPr>
        <w:t>’</w:t>
      </w:r>
      <w:r w:rsidRPr="0048528B">
        <w:rPr>
          <w:rFonts w:cs="Arial"/>
          <w:color w:val="000000"/>
          <w:lang w:val="fr-FR"/>
        </w:rPr>
        <w:t>observateur.  L</w:t>
      </w:r>
      <w:r w:rsidR="00F3296C" w:rsidRPr="0048528B">
        <w:rPr>
          <w:rFonts w:cs="Arial"/>
          <w:color w:val="000000"/>
          <w:lang w:val="fr-FR"/>
        </w:rPr>
        <w:t>’</w:t>
      </w:r>
      <w:r w:rsidRPr="0048528B">
        <w:rPr>
          <w:rFonts w:cs="Arial"/>
          <w:color w:val="000000"/>
          <w:lang w:val="fr-FR"/>
        </w:rPr>
        <w:t>atelier préparatoire s</w:t>
      </w:r>
      <w:r w:rsidR="00F3296C" w:rsidRPr="0048528B">
        <w:rPr>
          <w:rFonts w:cs="Arial"/>
          <w:color w:val="000000"/>
          <w:lang w:val="fr-FR"/>
        </w:rPr>
        <w:t>’</w:t>
      </w:r>
      <w:r w:rsidRPr="0048528B">
        <w:rPr>
          <w:rFonts w:cs="Arial"/>
          <w:color w:val="000000"/>
          <w:lang w:val="fr-FR"/>
        </w:rPr>
        <w:t>est tenu durant l</w:t>
      </w:r>
      <w:r w:rsidR="00F3296C" w:rsidRPr="0048528B">
        <w:rPr>
          <w:rFonts w:cs="Arial"/>
          <w:color w:val="000000"/>
          <w:lang w:val="fr-FR"/>
        </w:rPr>
        <w:t>’</w:t>
      </w:r>
      <w:r w:rsidRPr="0048528B">
        <w:rPr>
          <w:rFonts w:cs="Arial"/>
          <w:color w:val="000000"/>
          <w:lang w:val="fr-FR"/>
        </w:rPr>
        <w:t>après</w:t>
      </w:r>
      <w:r w:rsidR="003F00B6" w:rsidRPr="0048528B">
        <w:rPr>
          <w:rFonts w:cs="Arial"/>
          <w:color w:val="000000"/>
          <w:lang w:val="fr-FR"/>
        </w:rPr>
        <w:noBreakHyphen/>
      </w:r>
      <w:r w:rsidRPr="0048528B">
        <w:rPr>
          <w:rFonts w:cs="Arial"/>
          <w:color w:val="000000"/>
          <w:lang w:val="fr-FR"/>
        </w:rPr>
        <w:t>midi du 5 août et a réuni 34 participants.</w:t>
      </w:r>
    </w:p>
    <w:p w:rsidR="000555B0" w:rsidRPr="0048528B" w:rsidRDefault="000555B0" w:rsidP="00C97F0A">
      <w:pPr>
        <w:autoSpaceDE w:val="0"/>
        <w:autoSpaceDN w:val="0"/>
        <w:adjustRightInd w:val="0"/>
        <w:rPr>
          <w:rFonts w:cs="Arial"/>
          <w:color w:val="000000"/>
          <w:lang w:val="fr-FR"/>
        </w:rPr>
      </w:pPr>
    </w:p>
    <w:p w:rsidR="00C97F0A" w:rsidRPr="0048528B" w:rsidRDefault="000555B0" w:rsidP="00C97F0A">
      <w:pPr>
        <w:autoSpaceDE w:val="0"/>
        <w:autoSpaceDN w:val="0"/>
        <w:adjustRightInd w:val="0"/>
        <w:rPr>
          <w:rFonts w:cs="Arial"/>
          <w:lang w:val="fr-FR"/>
        </w:rPr>
      </w:pPr>
      <w:r w:rsidRPr="0048528B">
        <w:rPr>
          <w:rFonts w:cs="Arial"/>
          <w:color w:val="000000"/>
          <w:lang w:val="fr-FR"/>
        </w:rPr>
        <w:br w:type="page"/>
      </w:r>
      <w:r w:rsidR="00C97F0A" w:rsidRPr="0048528B">
        <w:rPr>
          <w:lang w:val="fr-FR"/>
        </w:rPr>
        <w:lastRenderedPageBreak/>
        <w:fldChar w:fldCharType="begin"/>
      </w:r>
      <w:r w:rsidR="00C97F0A" w:rsidRPr="0048528B">
        <w:rPr>
          <w:lang w:val="fr-FR"/>
        </w:rPr>
        <w:instrText xml:space="preserve"> AUTONUM  \* Arabic </w:instrText>
      </w:r>
      <w:r w:rsidR="00C97F0A" w:rsidRPr="0048528B">
        <w:rPr>
          <w:lang w:val="fr-FR"/>
        </w:rPr>
        <w:fldChar w:fldCharType="end"/>
      </w:r>
      <w:r w:rsidR="00C97F0A" w:rsidRPr="0048528B">
        <w:rPr>
          <w:lang w:val="fr-FR"/>
        </w:rPr>
        <w:tab/>
      </w:r>
      <w:r w:rsidR="00C97F0A" w:rsidRPr="0048528B">
        <w:rPr>
          <w:rFonts w:cs="Arial"/>
          <w:lang w:val="fr-FR"/>
        </w:rPr>
        <w:t>M.</w:t>
      </w:r>
      <w:r w:rsidR="00E3136C" w:rsidRPr="0048528B">
        <w:rPr>
          <w:lang w:val="fr-FR"/>
        </w:rPr>
        <w:t> </w:t>
      </w:r>
      <w:r w:rsidR="00C97F0A" w:rsidRPr="0048528B">
        <w:rPr>
          <w:rFonts w:cs="Arial"/>
          <w:lang w:val="fr-FR"/>
        </w:rPr>
        <w:t>Won</w:t>
      </w:r>
      <w:r w:rsidR="003F00B6" w:rsidRPr="0048528B">
        <w:rPr>
          <w:rFonts w:cs="Arial"/>
          <w:lang w:val="fr-FR"/>
        </w:rPr>
        <w:noBreakHyphen/>
      </w:r>
      <w:r w:rsidR="00C97F0A" w:rsidRPr="0048528B">
        <w:rPr>
          <w:rFonts w:cs="Arial"/>
          <w:lang w:val="fr-FR"/>
        </w:rPr>
        <w:t>Gil Bae, directeu</w:t>
      </w:r>
      <w:r w:rsidR="00363F37" w:rsidRPr="0048528B">
        <w:rPr>
          <w:rFonts w:cs="Arial"/>
          <w:lang w:val="fr-FR"/>
        </w:rPr>
        <w:t>r</w:t>
      </w:r>
      <w:r w:rsidR="00C97F0A" w:rsidRPr="0048528B">
        <w:rPr>
          <w:rFonts w:cs="Arial"/>
          <w:lang w:val="fr-FR"/>
        </w:rPr>
        <w:t xml:space="preserve"> général du Service coréen des semences et des variétés (KSVS), et M.</w:t>
      </w:r>
      <w:r w:rsidR="00E3136C" w:rsidRPr="0048528B">
        <w:rPr>
          <w:rFonts w:cs="Arial"/>
          <w:lang w:val="fr-FR"/>
        </w:rPr>
        <w:t> </w:t>
      </w:r>
      <w:r w:rsidR="00C97F0A" w:rsidRPr="0048528B">
        <w:rPr>
          <w:rFonts w:cs="Arial"/>
          <w:lang w:val="fr-FR"/>
        </w:rPr>
        <w:t>Young</w:t>
      </w:r>
      <w:r w:rsidR="003F00B6" w:rsidRPr="0048528B">
        <w:rPr>
          <w:rFonts w:cs="Arial"/>
          <w:lang w:val="fr-FR"/>
        </w:rPr>
        <w:noBreakHyphen/>
      </w:r>
      <w:r w:rsidR="00C97F0A" w:rsidRPr="0048528B">
        <w:rPr>
          <w:rFonts w:cs="Arial"/>
          <w:lang w:val="fr-FR"/>
        </w:rPr>
        <w:t>Kook Chang, directeur de la Division des variétés végétales, ont souhaité la bienvenue aux participants.  M.</w:t>
      </w:r>
      <w:r w:rsidR="00E3136C" w:rsidRPr="0048528B">
        <w:rPr>
          <w:rFonts w:cs="Arial"/>
          <w:lang w:val="fr-FR"/>
        </w:rPr>
        <w:t> </w:t>
      </w:r>
      <w:r w:rsidR="00C97F0A" w:rsidRPr="0048528B">
        <w:rPr>
          <w:rFonts w:cs="Arial"/>
          <w:lang w:val="fr-FR"/>
        </w:rPr>
        <w:t>Won</w:t>
      </w:r>
      <w:r w:rsidR="003F00B6" w:rsidRPr="0048528B">
        <w:rPr>
          <w:rFonts w:cs="Arial"/>
          <w:lang w:val="fr-FR"/>
        </w:rPr>
        <w:noBreakHyphen/>
      </w:r>
      <w:r w:rsidR="00C97F0A" w:rsidRPr="0048528B">
        <w:rPr>
          <w:rFonts w:cs="Arial"/>
          <w:lang w:val="fr-FR"/>
        </w:rPr>
        <w:t>Gil Bae a présenté un aperçu général du système de protection des variétés végétales en République de Corée.</w:t>
      </w:r>
      <w:r w:rsidR="00C97F0A" w:rsidRPr="0048528B">
        <w:rPr>
          <w:lang w:val="fr-FR"/>
        </w:rPr>
        <w:t xml:space="preserve"> </w:t>
      </w:r>
      <w:r w:rsidR="00C97F0A" w:rsidRPr="0048528B">
        <w:rPr>
          <w:rFonts w:cs="Arial"/>
          <w:lang w:val="fr-FR"/>
        </w:rPr>
        <w:t xml:space="preserve"> M.</w:t>
      </w:r>
      <w:r w:rsidR="00E3136C" w:rsidRPr="0048528B">
        <w:rPr>
          <w:rFonts w:cs="Arial"/>
          <w:lang w:val="fr-FR"/>
        </w:rPr>
        <w:t> </w:t>
      </w:r>
      <w:r w:rsidR="00C97F0A" w:rsidRPr="0048528B">
        <w:rPr>
          <w:rFonts w:cs="Arial"/>
          <w:lang w:val="fr-FR"/>
        </w:rPr>
        <w:t>Young</w:t>
      </w:r>
      <w:r w:rsidR="003F00B6" w:rsidRPr="0048528B">
        <w:rPr>
          <w:rFonts w:cs="Arial"/>
          <w:lang w:val="fr-FR"/>
        </w:rPr>
        <w:noBreakHyphen/>
      </w:r>
      <w:r w:rsidR="00C97F0A" w:rsidRPr="0048528B">
        <w:rPr>
          <w:rFonts w:cs="Arial"/>
          <w:lang w:val="fr-FR"/>
        </w:rPr>
        <w:t xml:space="preserve">Kook Chang a présenté un </w:t>
      </w:r>
      <w:r w:rsidR="002D7602" w:rsidRPr="0048528B">
        <w:rPr>
          <w:rFonts w:cs="Arial"/>
          <w:lang w:val="fr-FR"/>
        </w:rPr>
        <w:t>exposé</w:t>
      </w:r>
      <w:r w:rsidR="00C97F0A" w:rsidRPr="0048528B">
        <w:rPr>
          <w:rFonts w:cs="Arial"/>
          <w:lang w:val="fr-FR"/>
        </w:rPr>
        <w:t xml:space="preserve"> sur les activités menées par</w:t>
      </w:r>
      <w:r w:rsidR="00F3296C" w:rsidRPr="0048528B">
        <w:rPr>
          <w:rFonts w:cs="Arial"/>
          <w:lang w:val="fr-FR"/>
        </w:rPr>
        <w:t xml:space="preserve"> le KSV</w:t>
      </w:r>
      <w:r w:rsidR="00C97F0A" w:rsidRPr="0048528B">
        <w:rPr>
          <w:rFonts w:cs="Arial"/>
          <w:lang w:val="fr-FR"/>
        </w:rPr>
        <w:t>S dans le domaine de la protection des variétés végétales.</w:t>
      </w:r>
    </w:p>
    <w:p w:rsidR="00C97F0A" w:rsidRPr="0048528B" w:rsidRDefault="00C97F0A" w:rsidP="00C97F0A">
      <w:pPr>
        <w:autoSpaceDE w:val="0"/>
        <w:autoSpaceDN w:val="0"/>
        <w:adjustRightInd w:val="0"/>
        <w:rPr>
          <w:rFonts w:cs="Arial"/>
          <w:color w:val="000000"/>
          <w:lang w:val="fr-FR"/>
        </w:rPr>
      </w:pPr>
    </w:p>
    <w:p w:rsidR="00F3296C"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Le TWO a pris note des informations </w:t>
      </w:r>
      <w:r w:rsidR="007A2355" w:rsidRPr="0048528B">
        <w:rPr>
          <w:rFonts w:cs="Arial"/>
          <w:lang w:val="fr-FR"/>
        </w:rPr>
        <w:t>sur l’évolution de la situation en matière de protection des obtentions végétales</w:t>
      </w:r>
      <w:r w:rsidRPr="0048528B">
        <w:rPr>
          <w:rFonts w:cs="Arial"/>
          <w:lang w:val="fr-FR"/>
        </w:rPr>
        <w:t xml:space="preserve"> fournies par les membres et les observateurs et figurant dans le document TWO/45/36</w:t>
      </w:r>
      <w:r w:rsidR="00E3136C" w:rsidRPr="0048528B">
        <w:rPr>
          <w:rFonts w:cs="Arial"/>
          <w:lang w:val="fr-FR"/>
        </w:rPr>
        <w:t> </w:t>
      </w:r>
      <w:r w:rsidRPr="0048528B">
        <w:rPr>
          <w:rFonts w:cs="Arial"/>
          <w:lang w:val="fr-FR"/>
        </w:rPr>
        <w:t xml:space="preserve">Prov. “Reports on Development in Plant Variety Protection from Members and Observers”.  </w:t>
      </w:r>
      <w:r w:rsidRPr="0048528B">
        <w:rPr>
          <w:rFonts w:cs="Arial"/>
          <w:color w:val="000000"/>
          <w:lang w:val="fr-FR"/>
        </w:rPr>
        <w:t>Il a entendu un rapport verbal du Bureau de l</w:t>
      </w:r>
      <w:r w:rsidR="00F3296C" w:rsidRPr="0048528B">
        <w:rPr>
          <w:rFonts w:cs="Arial"/>
          <w:color w:val="000000"/>
          <w:lang w:val="fr-FR"/>
        </w:rPr>
        <w:t>’</w:t>
      </w:r>
      <w:r w:rsidRPr="0048528B">
        <w:rPr>
          <w:rFonts w:cs="Arial"/>
          <w:color w:val="000000"/>
          <w:lang w:val="fr-FR"/>
        </w:rPr>
        <w:t>Union sur les derniers faits nouveaux intervenus au sein de l</w:t>
      </w:r>
      <w:r w:rsidR="00F3296C" w:rsidRPr="0048528B">
        <w:rPr>
          <w:rFonts w:cs="Arial"/>
          <w:color w:val="000000"/>
          <w:lang w:val="fr-FR"/>
        </w:rPr>
        <w:t>’</w:t>
      </w:r>
      <w:r w:rsidRPr="0048528B">
        <w:rPr>
          <w:rFonts w:cs="Arial"/>
          <w:color w:val="000000"/>
          <w:lang w:val="fr-FR"/>
        </w:rPr>
        <w:t>UPOV.</w:t>
      </w:r>
    </w:p>
    <w:p w:rsidR="00C97F0A" w:rsidRPr="0048528B" w:rsidRDefault="00C97F0A" w:rsidP="00C97F0A">
      <w:pPr>
        <w:autoSpaceDE w:val="0"/>
        <w:autoSpaceDN w:val="0"/>
        <w:adjustRightInd w:val="0"/>
        <w:rPr>
          <w:rFonts w:cs="Arial"/>
          <w:color w:val="000000"/>
          <w:lang w:val="fr-FR"/>
        </w:rPr>
      </w:pPr>
    </w:p>
    <w:p w:rsidR="00F3296C"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 xml:space="preserve">Le TWO a examiné le document TWO/45/11 “Summary of Revisions Proposed for document TGP/7 </w:t>
      </w:r>
      <w:r w:rsidR="00F3296C" w:rsidRPr="0048528B">
        <w:rPr>
          <w:rFonts w:cs="Arial"/>
          <w:color w:val="000000"/>
          <w:lang w:val="fr-FR"/>
        </w:rPr>
        <w:t>‘</w:t>
      </w:r>
      <w:r w:rsidRPr="0048528B">
        <w:rPr>
          <w:rFonts w:cs="Arial"/>
          <w:color w:val="000000"/>
          <w:lang w:val="fr-FR"/>
        </w:rPr>
        <w:t>Development of Test Guidelines</w:t>
      </w:r>
      <w:r w:rsidR="00F3296C" w:rsidRPr="0048528B">
        <w:rPr>
          <w:rFonts w:cs="Arial"/>
          <w:color w:val="000000"/>
          <w:lang w:val="fr-FR"/>
        </w:rPr>
        <w:t>’</w:t>
      </w:r>
      <w:r w:rsidRPr="0048528B">
        <w:rPr>
          <w:rFonts w:cs="Arial"/>
          <w:color w:val="000000"/>
          <w:lang w:val="fr-FR"/>
        </w:rPr>
        <w:t>” et est convenu que le chapitre</w:t>
      </w:r>
      <w:r w:rsidR="00E3136C" w:rsidRPr="0048528B">
        <w:rPr>
          <w:rFonts w:cs="Arial"/>
          <w:color w:val="000000"/>
          <w:lang w:val="fr-FR"/>
        </w:rPr>
        <w:t> </w:t>
      </w:r>
      <w:r w:rsidRPr="0048528B">
        <w:rPr>
          <w:rFonts w:cs="Arial"/>
          <w:color w:val="000000"/>
          <w:lang w:val="fr-FR"/>
        </w:rPr>
        <w:t>2.3 devrait être libellé comme suit</w:t>
      </w:r>
      <w:r w:rsidR="00E3136C" w:rsidRPr="0048528B">
        <w:rPr>
          <w:rFonts w:cs="Arial"/>
          <w:color w:val="000000"/>
          <w:lang w:val="fr-FR"/>
        </w:rPr>
        <w:t> : “</w:t>
      </w:r>
      <w:r w:rsidR="007A2355" w:rsidRPr="0048528B">
        <w:rPr>
          <w:lang w:val="fr-FR"/>
        </w:rPr>
        <w:t>La </w:t>
      </w:r>
      <w:r w:rsidRPr="0048528B">
        <w:rPr>
          <w:lang w:val="fr-FR"/>
        </w:rPr>
        <w:t>quantité</w:t>
      </w:r>
      <w:r w:rsidRPr="0048528B">
        <w:rPr>
          <w:rFonts w:cs="Arial"/>
          <w:color w:val="000000"/>
          <w:lang w:val="fr-FR"/>
        </w:rPr>
        <w:t xml:space="preserve"> minimale de matériel végétal à fournir par le demandeur est de</w:t>
      </w:r>
      <w:r w:rsidR="00E3136C" w:rsidRPr="0048528B">
        <w:rPr>
          <w:rFonts w:cs="Arial"/>
          <w:color w:val="000000"/>
          <w:lang w:val="fr-FR"/>
        </w:rPr>
        <w:t> </w:t>
      </w:r>
      <w:r w:rsidRPr="0048528B">
        <w:rPr>
          <w:rFonts w:cs="Arial"/>
          <w:color w:val="000000"/>
          <w:lang w:val="fr-FR"/>
        </w:rPr>
        <w:t>: […].”.</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 xml:space="preserve">Le TWO a examiné le document TWO/45/12 “Guidance of the Number of Plants to be Examined (for Distinctness)”. </w:t>
      </w:r>
      <w:r w:rsidR="00F3296C" w:rsidRPr="0048528B">
        <w:rPr>
          <w:rFonts w:cs="Arial"/>
          <w:color w:val="000000"/>
          <w:lang w:val="fr-FR"/>
        </w:rPr>
        <w:t xml:space="preserve"> Le TWO</w:t>
      </w:r>
      <w:r w:rsidRPr="0048528B">
        <w:rPr>
          <w:rFonts w:cs="Arial"/>
          <w:color w:val="000000"/>
          <w:lang w:val="fr-FR"/>
        </w:rPr>
        <w:t xml:space="preserve"> a proposé que le nombre minimum de plantes corresponde au nombre de plantes nécessaires pour observer le caractère nécessitant le plus grand nombre de plantes.</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TWO a examiné le document TWO/45/13 “Guidance for Method of Observation” et a approuvé avec</w:t>
      </w:r>
      <w:r w:rsidR="00F3296C" w:rsidRPr="0048528B">
        <w:rPr>
          <w:rFonts w:cs="Arial"/>
          <w:lang w:val="fr-FR"/>
        </w:rPr>
        <w:t xml:space="preserve"> le TWA</w:t>
      </w:r>
      <w:r w:rsidRPr="0048528B">
        <w:rPr>
          <w:rFonts w:cs="Arial"/>
          <w:lang w:val="fr-FR"/>
        </w:rPr>
        <w:t>,</w:t>
      </w:r>
      <w:r w:rsidR="00F3296C" w:rsidRPr="0048528B">
        <w:rPr>
          <w:rFonts w:cs="Arial"/>
          <w:lang w:val="fr-FR"/>
        </w:rPr>
        <w:t xml:space="preserve"> le TWC</w:t>
      </w:r>
      <w:r w:rsidRPr="0048528B">
        <w:rPr>
          <w:rFonts w:cs="Arial"/>
          <w:lang w:val="fr-FR"/>
        </w:rPr>
        <w:t>,</w:t>
      </w:r>
      <w:r w:rsidR="00F3296C" w:rsidRPr="0048528B">
        <w:rPr>
          <w:rFonts w:cs="Arial"/>
          <w:lang w:val="fr-FR"/>
        </w:rPr>
        <w:t xml:space="preserve"> le TWV</w:t>
      </w:r>
      <w:r w:rsidRPr="0048528B">
        <w:rPr>
          <w:rFonts w:cs="Arial"/>
          <w:lang w:val="fr-FR"/>
        </w:rPr>
        <w:t xml:space="preserve"> et</w:t>
      </w:r>
      <w:r w:rsidR="00F3296C" w:rsidRPr="0048528B">
        <w:rPr>
          <w:rFonts w:cs="Arial"/>
          <w:lang w:val="fr-FR"/>
        </w:rPr>
        <w:t xml:space="preserve"> le TWV</w:t>
      </w:r>
      <w:r w:rsidRPr="0048528B">
        <w:rPr>
          <w:rFonts w:cs="Arial"/>
          <w:lang w:val="fr-FR"/>
        </w:rPr>
        <w:t xml:space="preserve"> le texte proposé qui figure au paragraphe</w:t>
      </w:r>
      <w:r w:rsidR="00E3136C" w:rsidRPr="0048528B">
        <w:rPr>
          <w:rFonts w:cs="Arial"/>
          <w:lang w:val="fr-FR"/>
        </w:rPr>
        <w:t> </w:t>
      </w:r>
      <w:r w:rsidRPr="0048528B">
        <w:rPr>
          <w:rFonts w:cs="Arial"/>
          <w:lang w:val="fr-FR"/>
        </w:rPr>
        <w:t>14 du document TWO/45/37.</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Le TWO a examiné les documents TWO/45/14 et TWO/45/14</w:t>
      </w:r>
      <w:r w:rsidR="00E3136C" w:rsidRPr="0048528B">
        <w:rPr>
          <w:rFonts w:cs="Arial"/>
          <w:color w:val="000000"/>
          <w:lang w:val="fr-FR"/>
        </w:rPr>
        <w:t> </w:t>
      </w:r>
      <w:r w:rsidRPr="0048528B">
        <w:rPr>
          <w:rFonts w:cs="Arial"/>
          <w:color w:val="000000"/>
          <w:lang w:val="fr-FR"/>
        </w:rPr>
        <w:t>Add. “Example Varieties” et est convenu que l</w:t>
      </w:r>
      <w:r w:rsidR="00F3296C" w:rsidRPr="0048528B">
        <w:rPr>
          <w:rFonts w:cs="Arial"/>
          <w:color w:val="000000"/>
          <w:lang w:val="fr-FR"/>
        </w:rPr>
        <w:t>’</w:t>
      </w:r>
      <w:r w:rsidRPr="0048528B">
        <w:rPr>
          <w:rFonts w:cs="Arial"/>
          <w:color w:val="000000"/>
          <w:lang w:val="fr-FR"/>
        </w:rPr>
        <w:t>utilisation des illustrations devrait être davantage encouragée pour les caractères qualitatifs et pseudo</w:t>
      </w:r>
      <w:r w:rsidR="003F00B6" w:rsidRPr="0048528B">
        <w:rPr>
          <w:rFonts w:cs="Arial"/>
          <w:color w:val="000000"/>
          <w:lang w:val="fr-FR"/>
        </w:rPr>
        <w:noBreakHyphen/>
      </w:r>
      <w:r w:rsidRPr="0048528B">
        <w:rPr>
          <w:rFonts w:cs="Arial"/>
          <w:color w:val="000000"/>
          <w:lang w:val="fr-FR"/>
        </w:rPr>
        <w:t>qualitatifs et a approuvé l</w:t>
      </w:r>
      <w:r w:rsidR="00F3296C" w:rsidRPr="0048528B">
        <w:rPr>
          <w:rFonts w:cs="Arial"/>
          <w:color w:val="000000"/>
          <w:lang w:val="fr-FR"/>
        </w:rPr>
        <w:t>’</w:t>
      </w:r>
      <w:r w:rsidRPr="0048528B">
        <w:rPr>
          <w:rFonts w:cs="Arial"/>
          <w:color w:val="000000"/>
          <w:lang w:val="fr-FR"/>
        </w:rPr>
        <w:t>approche en trois</w:t>
      </w:r>
      <w:r w:rsidR="00E3136C" w:rsidRPr="0048528B">
        <w:rPr>
          <w:rFonts w:cs="Arial"/>
          <w:color w:val="000000"/>
          <w:lang w:val="fr-FR"/>
        </w:rPr>
        <w:t> </w:t>
      </w:r>
      <w:r w:rsidRPr="0048528B">
        <w:rPr>
          <w:rFonts w:cs="Arial"/>
          <w:color w:val="000000"/>
          <w:lang w:val="fr-FR"/>
        </w:rPr>
        <w:t>étapes élaborée par</w:t>
      </w:r>
      <w:r w:rsidR="00F3296C" w:rsidRPr="0048528B">
        <w:rPr>
          <w:rFonts w:cs="Arial"/>
          <w:color w:val="000000"/>
          <w:lang w:val="fr-FR"/>
        </w:rPr>
        <w:t xml:space="preserve"> le TWF</w:t>
      </w:r>
      <w:r w:rsidRPr="0048528B">
        <w:rPr>
          <w:rFonts w:cs="Arial"/>
          <w:color w:val="000000"/>
          <w:lang w:val="fr-FR"/>
        </w:rPr>
        <w:t>, dans laquelle l</w:t>
      </w:r>
      <w:r w:rsidR="00F3296C" w:rsidRPr="0048528B">
        <w:rPr>
          <w:rFonts w:cs="Arial"/>
          <w:color w:val="000000"/>
          <w:lang w:val="fr-FR"/>
        </w:rPr>
        <w:t>’</w:t>
      </w:r>
      <w:r w:rsidRPr="0048528B">
        <w:rPr>
          <w:rFonts w:cs="Arial"/>
          <w:color w:val="000000"/>
          <w:lang w:val="fr-FR"/>
        </w:rPr>
        <w:t>expert principal prend en considération les éléments suivants</w:t>
      </w:r>
      <w:r w:rsidR="00E3136C" w:rsidRPr="0048528B">
        <w:rPr>
          <w:rFonts w:cs="Arial"/>
          <w:color w:val="000000"/>
          <w:lang w:val="fr-FR"/>
        </w:rPr>
        <w:t> </w:t>
      </w:r>
      <w:r w:rsidRPr="0048528B">
        <w:rPr>
          <w:rFonts w:cs="Arial"/>
          <w:color w:val="000000"/>
          <w:lang w:val="fr-FR"/>
        </w:rPr>
        <w:t>:</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numPr>
          <w:ilvl w:val="0"/>
          <w:numId w:val="34"/>
        </w:numPr>
        <w:autoSpaceDE w:val="0"/>
        <w:autoSpaceDN w:val="0"/>
        <w:adjustRightInd w:val="0"/>
        <w:rPr>
          <w:rFonts w:cs="Arial"/>
          <w:color w:val="000000"/>
          <w:lang w:val="fr-FR"/>
        </w:rPr>
      </w:pPr>
      <w:r w:rsidRPr="0048528B">
        <w:rPr>
          <w:rFonts w:cs="Arial"/>
          <w:color w:val="000000"/>
          <w:lang w:val="fr-FR"/>
        </w:rPr>
        <w:t xml:space="preserve">Étape 1 : </w:t>
      </w:r>
      <w:r w:rsidRPr="0048528B">
        <w:rPr>
          <w:rFonts w:cs="Arial"/>
          <w:color w:val="000000"/>
          <w:lang w:val="fr-FR"/>
        </w:rPr>
        <w:tab/>
        <w:t xml:space="preserve">déterminer la nécessité des variétés indiquées </w:t>
      </w:r>
      <w:r w:rsidR="000312D5" w:rsidRPr="0048528B">
        <w:rPr>
          <w:rFonts w:cs="Arial"/>
          <w:color w:val="000000"/>
          <w:lang w:val="fr-FR"/>
        </w:rPr>
        <w:t>à titre d’exemple</w:t>
      </w:r>
      <w:r w:rsidRPr="0048528B">
        <w:rPr>
          <w:rFonts w:cs="Arial"/>
          <w:color w:val="000000"/>
          <w:lang w:val="fr-FR"/>
        </w:rPr>
        <w:t xml:space="preserve"> pour tel ou tel caractère;</w:t>
      </w:r>
    </w:p>
    <w:p w:rsidR="00C97F0A" w:rsidRPr="0048528B" w:rsidRDefault="00C97F0A" w:rsidP="00C97F0A">
      <w:pPr>
        <w:numPr>
          <w:ilvl w:val="0"/>
          <w:numId w:val="34"/>
        </w:numPr>
        <w:autoSpaceDE w:val="0"/>
        <w:autoSpaceDN w:val="0"/>
        <w:adjustRightInd w:val="0"/>
        <w:rPr>
          <w:rFonts w:cs="Arial"/>
          <w:color w:val="000000"/>
          <w:lang w:val="fr-FR"/>
        </w:rPr>
      </w:pPr>
      <w:r w:rsidRPr="0048528B">
        <w:rPr>
          <w:rFonts w:cs="Arial"/>
          <w:color w:val="000000"/>
          <w:lang w:val="fr-FR"/>
        </w:rPr>
        <w:t xml:space="preserve">Étape 2 : </w:t>
      </w:r>
      <w:r w:rsidRPr="0048528B">
        <w:rPr>
          <w:rFonts w:cs="Arial"/>
          <w:color w:val="000000"/>
          <w:lang w:val="fr-FR"/>
        </w:rPr>
        <w:tab/>
        <w:t xml:space="preserve">si elles sont considérées comme nécessaires, les variétés indiquées </w:t>
      </w:r>
      <w:r w:rsidR="000312D5" w:rsidRPr="0048528B">
        <w:rPr>
          <w:rFonts w:cs="Arial"/>
          <w:color w:val="000000"/>
          <w:lang w:val="fr-FR"/>
        </w:rPr>
        <w:t>à titre d’exemple</w:t>
      </w:r>
      <w:r w:rsidRPr="0048528B">
        <w:rPr>
          <w:rFonts w:cs="Arial"/>
          <w:color w:val="000000"/>
          <w:lang w:val="fr-FR"/>
        </w:rPr>
        <w:t xml:space="preserve"> qui pourraient servir de références communes ou universelles devraient être identifiées;</w:t>
      </w:r>
    </w:p>
    <w:p w:rsidR="00C97F0A" w:rsidRPr="0048528B" w:rsidRDefault="00C97F0A" w:rsidP="00C97F0A">
      <w:pPr>
        <w:numPr>
          <w:ilvl w:val="0"/>
          <w:numId w:val="34"/>
        </w:numPr>
        <w:autoSpaceDE w:val="0"/>
        <w:autoSpaceDN w:val="0"/>
        <w:adjustRightInd w:val="0"/>
        <w:rPr>
          <w:rFonts w:cs="Arial"/>
          <w:color w:val="000000"/>
          <w:lang w:val="fr-FR"/>
        </w:rPr>
      </w:pPr>
      <w:r w:rsidRPr="0048528B">
        <w:rPr>
          <w:rFonts w:cs="Arial"/>
          <w:color w:val="000000"/>
          <w:lang w:val="fr-FR"/>
        </w:rPr>
        <w:t xml:space="preserve">Étape 3 : </w:t>
      </w:r>
      <w:r w:rsidRPr="0048528B">
        <w:rPr>
          <w:rFonts w:cs="Arial"/>
          <w:color w:val="000000"/>
          <w:lang w:val="fr-FR"/>
        </w:rPr>
        <w:tab/>
        <w:t>déterminer la nécessité d</w:t>
      </w:r>
      <w:r w:rsidR="00F3296C" w:rsidRPr="0048528B">
        <w:rPr>
          <w:rFonts w:cs="Arial"/>
          <w:color w:val="000000"/>
          <w:lang w:val="fr-FR"/>
        </w:rPr>
        <w:t>’</w:t>
      </w:r>
      <w:r w:rsidRPr="0048528B">
        <w:rPr>
          <w:rFonts w:cs="Arial"/>
          <w:color w:val="000000"/>
          <w:lang w:val="fr-FR"/>
        </w:rPr>
        <w:t xml:space="preserve">une série régionale de variétés indiquées </w:t>
      </w:r>
      <w:r w:rsidR="000312D5" w:rsidRPr="0048528B">
        <w:rPr>
          <w:rFonts w:cs="Arial"/>
          <w:color w:val="000000"/>
          <w:lang w:val="fr-FR"/>
        </w:rPr>
        <w:t>à titre d’exemple</w:t>
      </w:r>
      <w:r w:rsidRPr="0048528B">
        <w:rPr>
          <w:rFonts w:cs="Arial"/>
          <w:color w:val="000000"/>
          <w:lang w:val="fr-FR"/>
        </w:rPr>
        <w:t xml:space="preserve"> pour les principes directeurs d</w:t>
      </w:r>
      <w:r w:rsidR="00F3296C" w:rsidRPr="0048528B">
        <w:rPr>
          <w:rFonts w:cs="Arial"/>
          <w:color w:val="000000"/>
          <w:lang w:val="fr-FR"/>
        </w:rPr>
        <w:t>’</w:t>
      </w:r>
      <w:r w:rsidRPr="0048528B">
        <w:rPr>
          <w:rFonts w:cs="Arial"/>
          <w:color w:val="000000"/>
          <w:lang w:val="fr-FR"/>
        </w:rPr>
        <w:t>examen concernés.</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Le TWO a examiné le document TWO/45/15 “Revision of Document TGP/7: Guidance for Providing Photographs with the Technical Questionnaire” et a suggéré que soit révisé comme suit le libellé de la proposition portant création d</w:t>
      </w:r>
      <w:r w:rsidR="00F3296C" w:rsidRPr="0048528B">
        <w:rPr>
          <w:rFonts w:cs="Arial"/>
          <w:color w:val="000000"/>
          <w:lang w:val="fr-FR"/>
        </w:rPr>
        <w:t>’</w:t>
      </w:r>
      <w:r w:rsidRPr="0048528B">
        <w:rPr>
          <w:rFonts w:cs="Arial"/>
          <w:color w:val="000000"/>
          <w:lang w:val="fr-FR"/>
        </w:rPr>
        <w:t>un nouvel ASW 16 dans l</w:t>
      </w:r>
      <w:r w:rsidR="00F3296C" w:rsidRPr="0048528B">
        <w:rPr>
          <w:rFonts w:cs="Arial"/>
          <w:color w:val="000000"/>
          <w:lang w:val="fr-FR"/>
        </w:rPr>
        <w:t>’</w:t>
      </w:r>
      <w:r w:rsidRPr="0048528B">
        <w:rPr>
          <w:rFonts w:cs="Arial"/>
          <w:color w:val="000000"/>
          <w:lang w:val="fr-FR"/>
        </w:rPr>
        <w:t>annexe du document TWO/45/15</w:t>
      </w:r>
      <w:r w:rsidR="00E3136C" w:rsidRPr="0048528B">
        <w:rPr>
          <w:rFonts w:cs="Arial"/>
          <w:color w:val="000000"/>
          <w:lang w:val="fr-FR"/>
        </w:rPr>
        <w:t> :</w:t>
      </w:r>
      <w:r w:rsidRPr="0048528B">
        <w:rPr>
          <w:rFonts w:cs="Arial"/>
          <w:color w:val="000000"/>
          <w:lang w:val="fr-FR"/>
        </w:rPr>
        <w:t xml:space="preserve"> </w:t>
      </w:r>
      <w:r w:rsidR="00E3136C" w:rsidRPr="0048528B">
        <w:rPr>
          <w:rFonts w:cs="Arial"/>
          <w:color w:val="000000"/>
          <w:lang w:val="fr-FR"/>
        </w:rPr>
        <w:t>“</w:t>
      </w:r>
      <w:r w:rsidRPr="0048528B">
        <w:rPr>
          <w:rFonts w:cs="Arial"/>
          <w:color w:val="000000"/>
          <w:lang w:val="fr-FR"/>
        </w:rPr>
        <w:t>Une photographie (image) en couleur représentative de la variété montrant les principaux caractères distinctifs de cette dernière, doit être jointe au questionnaire technique si le service concerné l</w:t>
      </w:r>
      <w:r w:rsidR="00F3296C" w:rsidRPr="0048528B">
        <w:rPr>
          <w:rFonts w:cs="Arial"/>
          <w:color w:val="000000"/>
          <w:lang w:val="fr-FR"/>
        </w:rPr>
        <w:t>’</w:t>
      </w:r>
      <w:r w:rsidRPr="0048528B">
        <w:rPr>
          <w:rFonts w:cs="Arial"/>
          <w:color w:val="000000"/>
          <w:lang w:val="fr-FR"/>
        </w:rPr>
        <w:t>exige.  La photographie fournira une illustration visuelle de la variété candidate qui complète les informations fournies dans le questionnaire technique</w:t>
      </w:r>
      <w:r w:rsidR="00E3136C" w:rsidRPr="0048528B">
        <w:rPr>
          <w:rFonts w:cs="Arial"/>
          <w:color w:val="000000"/>
          <w:lang w:val="fr-FR"/>
        </w:rPr>
        <w:t>”</w:t>
      </w:r>
      <w:r w:rsidR="00363F37" w:rsidRPr="0048528B">
        <w:rPr>
          <w:rFonts w:cs="Arial"/>
          <w:color w:val="000000"/>
          <w:lang w:val="fr-FR"/>
        </w:rPr>
        <w:t>.</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 xml:space="preserve">Le TWO a examiné les documents TWO/45/30 et TWO/45/30 Add. “Revision of Document TGP/8: Part II: Techniques Used in DUS Examination, New Section: Methods for Data Processing for the Assessment of Distinctness and for Producing Variety Descriptions”. </w:t>
      </w:r>
      <w:r w:rsidR="00E3136C" w:rsidRPr="0048528B">
        <w:rPr>
          <w:rFonts w:cs="Arial"/>
          <w:color w:val="000000"/>
          <w:lang w:val="fr-FR"/>
        </w:rPr>
        <w:t xml:space="preserve"> </w:t>
      </w:r>
      <w:r w:rsidRPr="0048528B">
        <w:rPr>
          <w:rFonts w:cs="Arial"/>
          <w:color w:val="000000"/>
          <w:lang w:val="fr-FR"/>
        </w:rPr>
        <w:t xml:space="preserve">Ces documents contenaient un résumé des différentes approches pour transformer les moyennes </w:t>
      </w:r>
      <w:r w:rsidR="00043994" w:rsidRPr="0048528B">
        <w:rPr>
          <w:rFonts w:cs="Arial"/>
          <w:color w:val="000000"/>
          <w:lang w:val="fr-FR"/>
        </w:rPr>
        <w:t>en</w:t>
      </w:r>
      <w:r w:rsidRPr="0048528B">
        <w:rPr>
          <w:rFonts w:cs="Arial"/>
          <w:color w:val="000000"/>
          <w:lang w:val="fr-FR"/>
        </w:rPr>
        <w:t xml:space="preserve"> notes pour les descriptions variétales.</w:t>
      </w:r>
      <w:r w:rsidR="00F3296C" w:rsidRPr="0048528B">
        <w:rPr>
          <w:rFonts w:cs="Arial"/>
          <w:color w:val="000000"/>
          <w:lang w:val="fr-FR"/>
        </w:rPr>
        <w:t xml:space="preserve"> </w:t>
      </w:r>
      <w:r w:rsidR="00E3136C" w:rsidRPr="0048528B">
        <w:rPr>
          <w:rFonts w:cs="Arial"/>
          <w:color w:val="000000"/>
          <w:lang w:val="fr-FR"/>
        </w:rPr>
        <w:t xml:space="preserve"> </w:t>
      </w:r>
      <w:r w:rsidR="00F3296C" w:rsidRPr="0048528B">
        <w:rPr>
          <w:rFonts w:cs="Arial"/>
          <w:color w:val="000000"/>
          <w:lang w:val="fr-FR"/>
        </w:rPr>
        <w:t>Le TWO</w:t>
      </w:r>
      <w:r w:rsidRPr="0048528B">
        <w:rPr>
          <w:rFonts w:cs="Arial"/>
          <w:color w:val="000000"/>
          <w:lang w:val="fr-FR"/>
        </w:rPr>
        <w:t xml:space="preserve"> a fait sienne la recommandation du TWF, </w:t>
      </w:r>
      <w:r w:rsidR="00F3296C" w:rsidRPr="0048528B">
        <w:rPr>
          <w:rFonts w:cs="Arial"/>
          <w:color w:val="000000"/>
          <w:lang w:val="fr-FR"/>
        </w:rPr>
        <w:t>à savoir</w:t>
      </w:r>
      <w:r w:rsidRPr="0048528B">
        <w:rPr>
          <w:rFonts w:cs="Arial"/>
          <w:color w:val="000000"/>
          <w:lang w:val="fr-FR"/>
        </w:rPr>
        <w:t xml:space="preserve"> que soit prise en compte la construction d</w:t>
      </w:r>
      <w:r w:rsidR="00F3296C" w:rsidRPr="0048528B">
        <w:rPr>
          <w:rFonts w:cs="Arial"/>
          <w:color w:val="000000"/>
          <w:lang w:val="fr-FR"/>
        </w:rPr>
        <w:t>’</w:t>
      </w:r>
      <w:r w:rsidRPr="0048528B">
        <w:rPr>
          <w:rFonts w:cs="Arial"/>
          <w:color w:val="000000"/>
          <w:lang w:val="fr-FR"/>
        </w:rPr>
        <w:t>un éventail significatif d</w:t>
      </w:r>
      <w:r w:rsidR="00F3296C" w:rsidRPr="0048528B">
        <w:rPr>
          <w:rFonts w:cs="Arial"/>
          <w:color w:val="000000"/>
          <w:lang w:val="fr-FR"/>
        </w:rPr>
        <w:t>’</w:t>
      </w:r>
      <w:r w:rsidRPr="0048528B">
        <w:rPr>
          <w:rFonts w:cs="Arial"/>
          <w:color w:val="000000"/>
          <w:lang w:val="fr-FR"/>
        </w:rPr>
        <w:t>expressions lorsque le nombre des variétés disponibles est limité.</w:t>
      </w:r>
    </w:p>
    <w:p w:rsidR="00C97F0A" w:rsidRPr="0048528B" w:rsidRDefault="00C97F0A" w:rsidP="00C97F0A">
      <w:pPr>
        <w:rPr>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Le TWO a examiné le document TWO/45/17 “Revision of Document TGP/8: Part II: Techniques Used in DUS Examination, New Section: Guidance of Data Analysis for Blind Randomized Trials”. </w:t>
      </w:r>
      <w:r w:rsidR="00F3296C" w:rsidRPr="0048528B">
        <w:rPr>
          <w:rFonts w:cs="Arial"/>
          <w:lang w:val="fr-FR"/>
        </w:rPr>
        <w:t xml:space="preserve"> Le TWO</w:t>
      </w:r>
      <w:r w:rsidRPr="0048528B">
        <w:rPr>
          <w:rFonts w:cs="Arial"/>
          <w:lang w:val="fr-FR"/>
        </w:rPr>
        <w:t xml:space="preserve"> a proposé que des exemples de l</w:t>
      </w:r>
      <w:r w:rsidR="00F3296C" w:rsidRPr="0048528B">
        <w:rPr>
          <w:rFonts w:cs="Arial"/>
          <w:lang w:val="fr-FR"/>
        </w:rPr>
        <w:t>’</w:t>
      </w:r>
      <w:r w:rsidRPr="0048528B">
        <w:rPr>
          <w:rFonts w:cs="Arial"/>
          <w:lang w:val="fr-FR"/>
        </w:rPr>
        <w:t>utilisation des essais aveugles aléatoires pour d</w:t>
      </w:r>
      <w:r w:rsidR="00F3296C" w:rsidRPr="0048528B">
        <w:rPr>
          <w:rFonts w:cs="Arial"/>
          <w:lang w:val="fr-FR"/>
        </w:rPr>
        <w:t>’</w:t>
      </w:r>
      <w:r w:rsidRPr="0048528B">
        <w:rPr>
          <w:rFonts w:cs="Arial"/>
          <w:lang w:val="fr-FR"/>
        </w:rPr>
        <w:t>autres types de plantes comme les plantes ornementales soient incorporés dans la mise au point des indications.</w:t>
      </w:r>
    </w:p>
    <w:p w:rsidR="00C97F0A" w:rsidRPr="0048528B" w:rsidRDefault="00C97F0A" w:rsidP="00C97F0A">
      <w:pPr>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Le TWO a examiné le document TWO/45/27 “Revision of Document TGP/14: Section 2: Botanical Terms, Subsection 2: Shapes and Structures”.</w:t>
      </w:r>
    </w:p>
    <w:p w:rsidR="00C97F0A" w:rsidRPr="0048528B" w:rsidRDefault="00C97F0A" w:rsidP="00C97F0A">
      <w:pPr>
        <w:autoSpaceDE w:val="0"/>
        <w:autoSpaceDN w:val="0"/>
        <w:adjustRightInd w:val="0"/>
        <w:rPr>
          <w:rFonts w:cs="Arial"/>
          <w:color w:val="000000"/>
          <w:lang w:val="fr-FR"/>
        </w:rPr>
      </w:pPr>
    </w:p>
    <w:p w:rsidR="000555B0"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En ce qui concerne la section 2 : paragraphe 2.8 “Angle sous lequel observer la forme des plantes”, le TWO a fait sien le texte ci</w:t>
      </w:r>
      <w:r w:rsidR="003F00B6" w:rsidRPr="0048528B">
        <w:rPr>
          <w:rFonts w:cs="Arial"/>
          <w:color w:val="000000"/>
          <w:lang w:val="fr-FR"/>
        </w:rPr>
        <w:noBreakHyphen/>
      </w:r>
      <w:r w:rsidRPr="0048528B">
        <w:rPr>
          <w:rFonts w:cs="Arial"/>
          <w:color w:val="000000"/>
          <w:lang w:val="fr-FR"/>
        </w:rPr>
        <w:t>après tel qu</w:t>
      </w:r>
      <w:r w:rsidR="00F3296C" w:rsidRPr="0048528B">
        <w:rPr>
          <w:rFonts w:cs="Arial"/>
          <w:color w:val="000000"/>
          <w:lang w:val="fr-FR"/>
        </w:rPr>
        <w:t>’</w:t>
      </w:r>
      <w:r w:rsidRPr="0048528B">
        <w:rPr>
          <w:rFonts w:cs="Arial"/>
          <w:color w:val="000000"/>
          <w:lang w:val="fr-FR"/>
        </w:rPr>
        <w:t>il figure dans l</w:t>
      </w:r>
      <w:r w:rsidR="00F3296C" w:rsidRPr="0048528B">
        <w:rPr>
          <w:rFonts w:cs="Arial"/>
          <w:color w:val="000000"/>
          <w:lang w:val="fr-FR"/>
        </w:rPr>
        <w:t>’</w:t>
      </w:r>
      <w:r w:rsidRPr="0048528B">
        <w:rPr>
          <w:rFonts w:cs="Arial"/>
          <w:color w:val="000000"/>
          <w:lang w:val="fr-FR"/>
        </w:rPr>
        <w:t>annexe I du document TWO/45/27, paragraphe 2.8 : “Le cas échéant, une explication de l</w:t>
      </w:r>
      <w:r w:rsidR="00F3296C" w:rsidRPr="0048528B">
        <w:rPr>
          <w:rFonts w:cs="Arial"/>
          <w:color w:val="000000"/>
          <w:lang w:val="fr-FR"/>
        </w:rPr>
        <w:t>’</w:t>
      </w:r>
      <w:r w:rsidRPr="0048528B">
        <w:rPr>
          <w:rFonts w:cs="Arial"/>
          <w:color w:val="000000"/>
          <w:lang w:val="fr-FR"/>
        </w:rPr>
        <w:t>angle sous lequel observer la forme devrait être incorporée dans les principes directeurs d</w:t>
      </w:r>
      <w:r w:rsidR="00F3296C" w:rsidRPr="0048528B">
        <w:rPr>
          <w:rFonts w:cs="Arial"/>
          <w:color w:val="000000"/>
          <w:lang w:val="fr-FR"/>
        </w:rPr>
        <w:t>’</w:t>
      </w:r>
      <w:r w:rsidRPr="0048528B">
        <w:rPr>
          <w:rFonts w:cs="Arial"/>
          <w:color w:val="000000"/>
          <w:lang w:val="fr-FR"/>
        </w:rPr>
        <w:t>examen”.</w:t>
      </w:r>
    </w:p>
    <w:p w:rsidR="00C97F0A" w:rsidRPr="0048528B" w:rsidRDefault="00C97F0A" w:rsidP="00C97F0A">
      <w:pPr>
        <w:autoSpaceDE w:val="0"/>
        <w:autoSpaceDN w:val="0"/>
        <w:adjustRightInd w:val="0"/>
        <w:rPr>
          <w:rFonts w:cs="Arial"/>
          <w:color w:val="000000"/>
          <w:lang w:val="fr-FR"/>
        </w:rPr>
      </w:pPr>
      <w:r w:rsidRPr="0048528B">
        <w:rPr>
          <w:lang w:val="fr-FR"/>
        </w:rPr>
        <w:lastRenderedPageBreak/>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En ce qui concerne la révision des “composantes de la forme : niveaux d</w:t>
      </w:r>
      <w:r w:rsidR="00F3296C" w:rsidRPr="0048528B">
        <w:rPr>
          <w:rFonts w:cs="Arial"/>
          <w:color w:val="000000"/>
          <w:lang w:val="fr-FR"/>
        </w:rPr>
        <w:t>’</w:t>
      </w:r>
      <w:r w:rsidRPr="0048528B">
        <w:rPr>
          <w:rFonts w:cs="Arial"/>
          <w:color w:val="000000"/>
          <w:lang w:val="fr-FR"/>
        </w:rPr>
        <w:t>expression concernant les rapports”, le TWO est convenu</w:t>
      </w:r>
      <w:r w:rsidR="00043994" w:rsidRPr="0048528B">
        <w:rPr>
          <w:rFonts w:cs="Arial"/>
          <w:color w:val="000000"/>
          <w:lang w:val="fr-FR"/>
        </w:rPr>
        <w:t xml:space="preserve"> </w:t>
      </w:r>
      <w:r w:rsidRPr="0048528B">
        <w:rPr>
          <w:rFonts w:cs="Arial"/>
          <w:color w:val="000000"/>
          <w:lang w:val="fr-FR"/>
        </w:rPr>
        <w:t>qu</w:t>
      </w:r>
      <w:r w:rsidR="00F3296C" w:rsidRPr="0048528B">
        <w:rPr>
          <w:rFonts w:cs="Arial"/>
          <w:color w:val="000000"/>
          <w:lang w:val="fr-FR"/>
        </w:rPr>
        <w:t>’</w:t>
      </w:r>
      <w:r w:rsidRPr="0048528B">
        <w:rPr>
          <w:rFonts w:cs="Arial"/>
          <w:color w:val="000000"/>
          <w:lang w:val="fr-FR"/>
        </w:rPr>
        <w:t>il serait plus approprié d</w:t>
      </w:r>
      <w:r w:rsidR="00F3296C" w:rsidRPr="0048528B">
        <w:rPr>
          <w:rFonts w:cs="Arial"/>
          <w:color w:val="000000"/>
          <w:lang w:val="fr-FR"/>
        </w:rPr>
        <w:t>’</w:t>
      </w:r>
      <w:r w:rsidRPr="0048528B">
        <w:rPr>
          <w:rFonts w:cs="Arial"/>
          <w:color w:val="000000"/>
          <w:lang w:val="fr-FR"/>
        </w:rPr>
        <w:t>utiliser les niveaux “très bas à très élevé” au lieu de “très élevé à très bas” dans le cas du rapport longueur</w:t>
      </w:r>
      <w:r w:rsidR="003F00B6" w:rsidRPr="0048528B">
        <w:rPr>
          <w:rFonts w:cs="Arial"/>
          <w:color w:val="000000"/>
          <w:lang w:val="fr-FR"/>
        </w:rPr>
        <w:noBreakHyphen/>
      </w:r>
      <w:r w:rsidRPr="0048528B">
        <w:rPr>
          <w:rFonts w:cs="Arial"/>
          <w:color w:val="000000"/>
          <w:lang w:val="fr-FR"/>
        </w:rPr>
        <w:t>largeur.  Si le rapport du caractère longueur</w:t>
      </w:r>
      <w:r w:rsidR="003F00B6" w:rsidRPr="0048528B">
        <w:rPr>
          <w:rFonts w:cs="Arial"/>
          <w:color w:val="000000"/>
          <w:lang w:val="fr-FR"/>
        </w:rPr>
        <w:noBreakHyphen/>
      </w:r>
      <w:r w:rsidRPr="0048528B">
        <w:rPr>
          <w:rFonts w:cs="Arial"/>
          <w:color w:val="000000"/>
          <w:lang w:val="fr-FR"/>
        </w:rPr>
        <w:t>largeur était présenté comme une forme, les niveaux seraient alors “très comprimé à très allongé” au lieu de “très allongé à très comprimé”, avec l</w:t>
      </w:r>
      <w:r w:rsidR="00F3296C" w:rsidRPr="0048528B">
        <w:rPr>
          <w:rFonts w:cs="Arial"/>
          <w:color w:val="000000"/>
          <w:lang w:val="fr-FR"/>
        </w:rPr>
        <w:t>’</w:t>
      </w:r>
      <w:r w:rsidRPr="0048528B">
        <w:rPr>
          <w:rFonts w:cs="Arial"/>
          <w:color w:val="000000"/>
          <w:lang w:val="fr-FR"/>
        </w:rPr>
        <w:t>explication appropriée.</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Le TWO a examiné le document TWO/45/25 “Revision of document TGP/14: Section 2: Botanical Terms Subsection 3: Color” et a formulé de nouvelles observations sur le projet :</w:t>
      </w:r>
    </w:p>
    <w:p w:rsidR="00F3296C" w:rsidRPr="0048528B" w:rsidRDefault="00F3296C" w:rsidP="00C97F0A">
      <w:pPr>
        <w:autoSpaceDE w:val="0"/>
        <w:autoSpaceDN w:val="0"/>
        <w:adjustRightInd w:val="0"/>
        <w:rPr>
          <w:rFonts w:cs="Arial"/>
          <w:color w:val="000000"/>
          <w:lang w:val="fr-FR"/>
        </w:rPr>
      </w:pPr>
    </w:p>
    <w:p w:rsidR="00C97F0A" w:rsidRPr="0048528B" w:rsidRDefault="007A2355" w:rsidP="00C97F0A">
      <w:pPr>
        <w:numPr>
          <w:ilvl w:val="0"/>
          <w:numId w:val="33"/>
        </w:numPr>
        <w:rPr>
          <w:szCs w:val="22"/>
          <w:lang w:val="fr-FR"/>
        </w:rPr>
      </w:pPr>
      <w:r w:rsidRPr="0048528B">
        <w:rPr>
          <w:szCs w:val="22"/>
          <w:lang w:val="fr-FR"/>
        </w:rPr>
        <w:t>E</w:t>
      </w:r>
      <w:r w:rsidR="00C97F0A" w:rsidRPr="0048528B">
        <w:rPr>
          <w:szCs w:val="22"/>
          <w:lang w:val="fr-FR"/>
        </w:rPr>
        <w:t>xplication dans la sous</w:t>
      </w:r>
      <w:r w:rsidR="003F00B6" w:rsidRPr="0048528B">
        <w:rPr>
          <w:szCs w:val="22"/>
          <w:lang w:val="fr-FR"/>
        </w:rPr>
        <w:noBreakHyphen/>
      </w:r>
      <w:r w:rsidR="00C97F0A" w:rsidRPr="0048528B">
        <w:rPr>
          <w:szCs w:val="22"/>
          <w:lang w:val="fr-FR"/>
        </w:rPr>
        <w:t>section</w:t>
      </w:r>
      <w:r w:rsidR="00E3136C" w:rsidRPr="0048528B">
        <w:rPr>
          <w:szCs w:val="22"/>
          <w:lang w:val="fr-FR"/>
        </w:rPr>
        <w:t> </w:t>
      </w:r>
      <w:r w:rsidR="00C97F0A" w:rsidRPr="0048528B">
        <w:rPr>
          <w:szCs w:val="22"/>
          <w:lang w:val="fr-FR"/>
        </w:rPr>
        <w:t>1</w:t>
      </w:r>
      <w:r w:rsidRPr="0048528B">
        <w:rPr>
          <w:szCs w:val="22"/>
          <w:lang w:val="fr-FR"/>
        </w:rPr>
        <w:t> :</w:t>
      </w:r>
      <w:r w:rsidR="00E3136C" w:rsidRPr="0048528B">
        <w:rPr>
          <w:szCs w:val="22"/>
          <w:lang w:val="fr-FR"/>
        </w:rPr>
        <w:t xml:space="preserve"> </w:t>
      </w:r>
      <w:r w:rsidR="00DE3824" w:rsidRPr="0048528B">
        <w:rPr>
          <w:szCs w:val="22"/>
          <w:lang w:val="fr-FR"/>
        </w:rPr>
        <w:t>i</w:t>
      </w:r>
      <w:r w:rsidR="00C97F0A" w:rsidRPr="0048528B">
        <w:rPr>
          <w:szCs w:val="22"/>
          <w:lang w:val="fr-FR"/>
        </w:rPr>
        <w:t>ntroduction et la section</w:t>
      </w:r>
      <w:r w:rsidR="00E3136C" w:rsidRPr="0048528B">
        <w:rPr>
          <w:szCs w:val="22"/>
          <w:lang w:val="fr-FR"/>
        </w:rPr>
        <w:t> </w:t>
      </w:r>
      <w:r w:rsidR="00C97F0A" w:rsidRPr="0048528B">
        <w:rPr>
          <w:szCs w:val="22"/>
          <w:lang w:val="fr-FR"/>
        </w:rPr>
        <w:t>2.3.1 du document TWO/45/25</w:t>
      </w:r>
      <w:r w:rsidR="00E3136C" w:rsidRPr="0048528B">
        <w:rPr>
          <w:szCs w:val="22"/>
          <w:lang w:val="fr-FR"/>
        </w:rPr>
        <w:t> </w:t>
      </w:r>
      <w:r w:rsidR="00C97F0A" w:rsidRPr="0048528B">
        <w:rPr>
          <w:szCs w:val="22"/>
          <w:lang w:val="fr-FR"/>
        </w:rPr>
        <w:t>: annexe à libeller ainsi</w:t>
      </w:r>
      <w:r w:rsidR="00E3136C" w:rsidRPr="0048528B">
        <w:rPr>
          <w:szCs w:val="22"/>
          <w:lang w:val="fr-FR"/>
        </w:rPr>
        <w:t> :</w:t>
      </w:r>
      <w:r w:rsidR="00C97F0A" w:rsidRPr="0048528B">
        <w:rPr>
          <w:szCs w:val="22"/>
          <w:lang w:val="fr-FR"/>
        </w:rPr>
        <w:t xml:space="preserve"> </w:t>
      </w:r>
      <w:r w:rsidR="00E3136C" w:rsidRPr="0048528B">
        <w:rPr>
          <w:szCs w:val="22"/>
          <w:lang w:val="fr-FR"/>
        </w:rPr>
        <w:t>“</w:t>
      </w:r>
      <w:r w:rsidR="00C97F0A" w:rsidRPr="0048528B">
        <w:rPr>
          <w:szCs w:val="22"/>
          <w:lang w:val="fr-FR"/>
        </w:rPr>
        <w:t>Il est courant, pour décrire les couleurs des plantes dans les principes directeurs d</w:t>
      </w:r>
      <w:r w:rsidR="00F3296C" w:rsidRPr="0048528B">
        <w:rPr>
          <w:szCs w:val="22"/>
          <w:lang w:val="fr-FR"/>
        </w:rPr>
        <w:t>’</w:t>
      </w:r>
      <w:r w:rsidR="00C97F0A" w:rsidRPr="0048528B">
        <w:rPr>
          <w:szCs w:val="22"/>
          <w:lang w:val="fr-FR"/>
        </w:rPr>
        <w:t>examen, d</w:t>
      </w:r>
      <w:r w:rsidR="00F3296C" w:rsidRPr="0048528B">
        <w:rPr>
          <w:szCs w:val="22"/>
          <w:lang w:val="fr-FR"/>
        </w:rPr>
        <w:t>’</w:t>
      </w:r>
      <w:r w:rsidR="00C97F0A" w:rsidRPr="0048528B">
        <w:rPr>
          <w:szCs w:val="22"/>
          <w:lang w:val="fr-FR"/>
        </w:rPr>
        <w:t>observer séparément ou de façon combinée un ou plusieurs des trois éléments de la couleur</w:t>
      </w:r>
      <w:r w:rsidR="00E3136C" w:rsidRPr="0048528B">
        <w:rPr>
          <w:szCs w:val="22"/>
          <w:lang w:val="fr-FR"/>
        </w:rPr>
        <w:t>”</w:t>
      </w:r>
      <w:r w:rsidR="00DB0C5E" w:rsidRPr="0048528B">
        <w:rPr>
          <w:szCs w:val="22"/>
          <w:lang w:val="fr-FR"/>
        </w:rPr>
        <w:t>.</w:t>
      </w:r>
    </w:p>
    <w:p w:rsidR="00C97F0A" w:rsidRPr="0048528B" w:rsidRDefault="00C97F0A" w:rsidP="00C97F0A">
      <w:pPr>
        <w:ind w:left="360"/>
        <w:rPr>
          <w:szCs w:val="22"/>
          <w:lang w:val="fr-FR"/>
        </w:rPr>
      </w:pPr>
    </w:p>
    <w:p w:rsidR="00C97F0A" w:rsidRPr="0048528B" w:rsidRDefault="00C97F0A" w:rsidP="00C97F0A">
      <w:pPr>
        <w:numPr>
          <w:ilvl w:val="0"/>
          <w:numId w:val="33"/>
        </w:numPr>
        <w:rPr>
          <w:szCs w:val="22"/>
          <w:lang w:val="fr-FR"/>
        </w:rPr>
      </w:pPr>
      <w:r w:rsidRPr="0048528B">
        <w:rPr>
          <w:szCs w:val="22"/>
          <w:lang w:val="fr-FR"/>
        </w:rPr>
        <w:t>Troisième partie, libeller comme suit : “La couleur principale est celle qui occupe la plus grande surface.  Lorsque les couleurs principale et secondaire occupent des surfaces trop similaires pour pouvoir déterminer de manière fiable quelle est la couleur qui occupe la plus grande surface, [la couleur la plus foncée] / [la couleur… [endroit]…] est considérée comme la couleur principale”</w:t>
      </w:r>
      <w:r w:rsidR="00DB0C5E" w:rsidRPr="0048528B">
        <w:rPr>
          <w:szCs w:val="22"/>
          <w:lang w:val="fr-FR"/>
        </w:rPr>
        <w:t>.</w:t>
      </w:r>
    </w:p>
    <w:p w:rsidR="00C97F0A" w:rsidRPr="0048528B" w:rsidRDefault="00C97F0A" w:rsidP="00C97F0A">
      <w:pPr>
        <w:ind w:left="360"/>
        <w:rPr>
          <w:szCs w:val="22"/>
          <w:lang w:val="fr-FR"/>
        </w:rPr>
      </w:pPr>
    </w:p>
    <w:p w:rsidR="00C97F0A" w:rsidRPr="0048528B" w:rsidRDefault="00C97F0A" w:rsidP="00C97F0A">
      <w:pPr>
        <w:numPr>
          <w:ilvl w:val="0"/>
          <w:numId w:val="33"/>
        </w:numPr>
        <w:rPr>
          <w:szCs w:val="22"/>
          <w:lang w:val="fr-FR"/>
        </w:rPr>
      </w:pPr>
      <w:r w:rsidRPr="0048528B">
        <w:rPr>
          <w:szCs w:val="22"/>
          <w:lang w:val="fr-FR"/>
        </w:rPr>
        <w:t>Troisième partie, 3.5.1, ajouter</w:t>
      </w:r>
      <w:r w:rsidR="00E3136C" w:rsidRPr="0048528B">
        <w:rPr>
          <w:szCs w:val="22"/>
          <w:lang w:val="fr-FR"/>
        </w:rPr>
        <w:t> :</w:t>
      </w:r>
      <w:r w:rsidRPr="0048528B">
        <w:rPr>
          <w:szCs w:val="22"/>
          <w:lang w:val="fr-FR"/>
        </w:rPr>
        <w:t xml:space="preserve"> </w:t>
      </w:r>
      <w:r w:rsidR="00E3136C" w:rsidRPr="0048528B">
        <w:rPr>
          <w:szCs w:val="22"/>
          <w:lang w:val="fr-FR"/>
        </w:rPr>
        <w:t>“</w:t>
      </w:r>
      <w:r w:rsidRPr="0048528B">
        <w:rPr>
          <w:szCs w:val="22"/>
          <w:lang w:val="fr-FR"/>
        </w:rPr>
        <w:t>La panachure se compose de la couleur, de la distribution et de la répartition des couleurs.  Selon l</w:t>
      </w:r>
      <w:r w:rsidR="00F3296C" w:rsidRPr="0048528B">
        <w:rPr>
          <w:szCs w:val="22"/>
          <w:lang w:val="fr-FR"/>
        </w:rPr>
        <w:t>’</w:t>
      </w:r>
      <w:r w:rsidRPr="0048528B">
        <w:rPr>
          <w:szCs w:val="22"/>
          <w:lang w:val="fr-FR"/>
        </w:rPr>
        <w:t>espèce concernée, il n</w:t>
      </w:r>
      <w:r w:rsidR="00F3296C" w:rsidRPr="0048528B">
        <w:rPr>
          <w:szCs w:val="22"/>
          <w:lang w:val="fr-FR"/>
        </w:rPr>
        <w:t>’</w:t>
      </w:r>
      <w:r w:rsidRPr="0048528B">
        <w:rPr>
          <w:szCs w:val="22"/>
          <w:lang w:val="fr-FR"/>
        </w:rPr>
        <w:t>est pas nécessaire de décrire tous ces éléments</w:t>
      </w:r>
      <w:r w:rsidR="00E3136C" w:rsidRPr="0048528B">
        <w:rPr>
          <w:szCs w:val="22"/>
          <w:lang w:val="fr-FR"/>
        </w:rPr>
        <w:t>.”</w:t>
      </w:r>
      <w:r w:rsidRPr="0048528B">
        <w:rPr>
          <w:szCs w:val="22"/>
          <w:lang w:val="fr-FR"/>
        </w:rPr>
        <w:t xml:space="preserve">  En outre, les exemples de panachure de 4.2.1.8 devraient être déplacés dans cette section.</w:t>
      </w:r>
    </w:p>
    <w:p w:rsidR="00C97F0A" w:rsidRPr="0048528B" w:rsidRDefault="00C97F0A" w:rsidP="00C97F0A">
      <w:pPr>
        <w:ind w:left="360"/>
        <w:rPr>
          <w:szCs w:val="22"/>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Le TWO a pris note des renseignements concernant les bases de données sur les descriptions variétales figura</w:t>
      </w:r>
      <w:r w:rsidR="00043994" w:rsidRPr="0048528B">
        <w:rPr>
          <w:rFonts w:cs="Arial"/>
          <w:color w:val="000000"/>
          <w:lang w:val="fr-FR"/>
        </w:rPr>
        <w:t>nt dans les documents TWO/45/6 et</w:t>
      </w:r>
      <w:r w:rsidRPr="0048528B">
        <w:rPr>
          <w:rFonts w:cs="Arial"/>
          <w:color w:val="000000"/>
          <w:lang w:val="fr-FR"/>
        </w:rPr>
        <w:t xml:space="preserve"> TWO/45/6</w:t>
      </w:r>
      <w:r w:rsidR="00E3136C" w:rsidRPr="0048528B">
        <w:rPr>
          <w:rFonts w:cs="Arial"/>
          <w:color w:val="000000"/>
          <w:lang w:val="fr-FR"/>
        </w:rPr>
        <w:t> </w:t>
      </w:r>
      <w:r w:rsidRPr="0048528B">
        <w:rPr>
          <w:rFonts w:cs="Arial"/>
          <w:color w:val="000000"/>
          <w:lang w:val="fr-FR"/>
        </w:rPr>
        <w:t>Add. “Variety Description Databases”, ainsi que de l</w:t>
      </w:r>
      <w:r w:rsidR="00F3296C" w:rsidRPr="0048528B">
        <w:rPr>
          <w:rFonts w:cs="Arial"/>
          <w:color w:val="000000"/>
          <w:lang w:val="fr-FR"/>
        </w:rPr>
        <w:t>’</w:t>
      </w:r>
      <w:r w:rsidRPr="0048528B">
        <w:rPr>
          <w:rFonts w:cs="Arial"/>
          <w:color w:val="000000"/>
          <w:lang w:val="fr-FR"/>
        </w:rPr>
        <w:t>exposé présenté par un expert de la France, et a souligné l</w:t>
      </w:r>
      <w:r w:rsidR="00F3296C" w:rsidRPr="0048528B">
        <w:rPr>
          <w:rFonts w:cs="Arial"/>
          <w:color w:val="000000"/>
          <w:lang w:val="fr-FR"/>
        </w:rPr>
        <w:t>’</w:t>
      </w:r>
      <w:r w:rsidRPr="0048528B">
        <w:rPr>
          <w:rFonts w:cs="Arial"/>
          <w:color w:val="000000"/>
          <w:lang w:val="fr-FR"/>
        </w:rPr>
        <w:t>importance de l</w:t>
      </w:r>
      <w:r w:rsidR="00F3296C" w:rsidRPr="0048528B">
        <w:rPr>
          <w:rFonts w:cs="Arial"/>
          <w:color w:val="000000"/>
          <w:lang w:val="fr-FR"/>
        </w:rPr>
        <w:t>’</w:t>
      </w:r>
      <w:r w:rsidRPr="0048528B">
        <w:rPr>
          <w:rFonts w:cs="Arial"/>
          <w:color w:val="000000"/>
          <w:lang w:val="fr-FR"/>
        </w:rPr>
        <w:t>étude pour la future harmonisation des descriptions variétales.</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Le TWO a examiné le document TWO/45/19 “Webcasting of UPOV Sessions” et a indiqué que la diffusion sur le Web était, potentiellement, un instrument utile pour les délibérations des sous</w:t>
      </w:r>
      <w:r w:rsidR="003F00B6" w:rsidRPr="0048528B">
        <w:rPr>
          <w:rFonts w:cs="Arial"/>
          <w:color w:val="000000"/>
          <w:lang w:val="fr-FR"/>
        </w:rPr>
        <w:noBreakHyphen/>
      </w:r>
      <w:r w:rsidRPr="0048528B">
        <w:rPr>
          <w:rFonts w:cs="Arial"/>
          <w:color w:val="000000"/>
          <w:lang w:val="fr-FR"/>
        </w:rPr>
        <w:t>groupes.</w:t>
      </w:r>
    </w:p>
    <w:p w:rsidR="00C97F0A" w:rsidRPr="0048528B" w:rsidRDefault="00C97F0A" w:rsidP="00C97F0A">
      <w:pPr>
        <w:autoSpaceDE w:val="0"/>
        <w:autoSpaceDN w:val="0"/>
        <w:adjustRightInd w:val="0"/>
        <w:rPr>
          <w:rFonts w:cs="Arial"/>
          <w:color w:val="000000"/>
          <w:lang w:val="fr-FR"/>
        </w:rPr>
      </w:pPr>
    </w:p>
    <w:p w:rsidR="00F3296C"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Le TWO a pris note de la révision des “Principes directeurs d</w:t>
      </w:r>
      <w:r w:rsidR="00F3296C" w:rsidRPr="0048528B">
        <w:rPr>
          <w:rFonts w:cs="Arial"/>
          <w:color w:val="000000"/>
          <w:lang w:val="fr-FR"/>
        </w:rPr>
        <w:t>’</w:t>
      </w:r>
      <w:r w:rsidRPr="0048528B">
        <w:rPr>
          <w:rFonts w:cs="Arial"/>
          <w:color w:val="000000"/>
          <w:lang w:val="fr-FR"/>
        </w:rPr>
        <w:t>examen à soumettre au groupe de travail technique” du “Guide pratique à l</w:t>
      </w:r>
      <w:r w:rsidR="00F3296C" w:rsidRPr="0048528B">
        <w:rPr>
          <w:rFonts w:cs="Arial"/>
          <w:color w:val="000000"/>
          <w:lang w:val="fr-FR"/>
        </w:rPr>
        <w:t>’</w:t>
      </w:r>
      <w:r w:rsidRPr="0048528B">
        <w:rPr>
          <w:rFonts w:cs="Arial"/>
          <w:color w:val="000000"/>
          <w:lang w:val="fr-FR"/>
        </w:rPr>
        <w:t>intention des rédacteurs (experts principaux) des principes directeurs d</w:t>
      </w:r>
      <w:r w:rsidR="00F3296C" w:rsidRPr="0048528B">
        <w:rPr>
          <w:rFonts w:cs="Arial"/>
          <w:color w:val="000000"/>
          <w:lang w:val="fr-FR"/>
        </w:rPr>
        <w:t>’</w:t>
      </w:r>
      <w:r w:rsidRPr="0048528B">
        <w:rPr>
          <w:rFonts w:cs="Arial"/>
          <w:color w:val="000000"/>
          <w:lang w:val="fr-FR"/>
        </w:rPr>
        <w:t>examen de l</w:t>
      </w:r>
      <w:r w:rsidR="00F3296C" w:rsidRPr="0048528B">
        <w:rPr>
          <w:rFonts w:cs="Arial"/>
          <w:color w:val="000000"/>
          <w:lang w:val="fr-FR"/>
        </w:rPr>
        <w:t>’</w:t>
      </w:r>
      <w:r w:rsidRPr="0048528B">
        <w:rPr>
          <w:rFonts w:cs="Arial"/>
          <w:color w:val="000000"/>
          <w:lang w:val="fr-FR"/>
        </w:rPr>
        <w:t>UPOV</w:t>
      </w:r>
      <w:r w:rsidR="00E3136C" w:rsidRPr="0048528B">
        <w:rPr>
          <w:rFonts w:cs="Arial"/>
          <w:color w:val="000000"/>
          <w:lang w:val="fr-FR"/>
        </w:rPr>
        <w:t>”</w:t>
      </w:r>
      <w:r w:rsidRPr="0048528B">
        <w:rPr>
          <w:rFonts w:cs="Arial"/>
          <w:color w:val="000000"/>
          <w:lang w:val="fr-FR"/>
        </w:rPr>
        <w:t xml:space="preserve">, présentée sur la base du </w:t>
      </w:r>
      <w:r w:rsidR="00F3296C" w:rsidRPr="0048528B">
        <w:rPr>
          <w:rFonts w:cs="Arial"/>
          <w:color w:val="000000"/>
          <w:lang w:val="fr-FR"/>
        </w:rPr>
        <w:t>document TC</w:t>
      </w:r>
      <w:r w:rsidRPr="0048528B">
        <w:rPr>
          <w:rFonts w:cs="Arial"/>
          <w:color w:val="000000"/>
          <w:lang w:val="fr-FR"/>
        </w:rPr>
        <w:t>/48/3, telle qu</w:t>
      </w:r>
      <w:r w:rsidR="00F3296C" w:rsidRPr="0048528B">
        <w:rPr>
          <w:rFonts w:cs="Arial"/>
          <w:color w:val="000000"/>
          <w:lang w:val="fr-FR"/>
        </w:rPr>
        <w:t>’</w:t>
      </w:r>
      <w:r w:rsidRPr="0048528B">
        <w:rPr>
          <w:rFonts w:cs="Arial"/>
          <w:color w:val="000000"/>
          <w:lang w:val="fr-FR"/>
        </w:rPr>
        <w:t>elle est disponible sur la page</w:t>
      </w:r>
      <w:r w:rsidR="00E3136C" w:rsidRPr="0048528B">
        <w:rPr>
          <w:rFonts w:cs="Arial"/>
          <w:color w:val="000000"/>
          <w:lang w:val="fr-FR"/>
        </w:rPr>
        <w:t> </w:t>
      </w:r>
      <w:r w:rsidRPr="0048528B">
        <w:rPr>
          <w:rFonts w:cs="Arial"/>
          <w:color w:val="000000"/>
          <w:lang w:val="fr-FR"/>
        </w:rPr>
        <w:t xml:space="preserve">Web des rédacteurs de TG. </w:t>
      </w:r>
      <w:r w:rsidR="00F3296C" w:rsidRPr="0048528B">
        <w:rPr>
          <w:rFonts w:cs="Arial"/>
          <w:color w:val="000000"/>
          <w:lang w:val="fr-FR"/>
        </w:rPr>
        <w:t xml:space="preserve"> Le TWO</w:t>
      </w:r>
      <w:r w:rsidRPr="0048528B">
        <w:rPr>
          <w:rFonts w:cs="Arial"/>
          <w:color w:val="000000"/>
          <w:lang w:val="fr-FR"/>
        </w:rPr>
        <w:t xml:space="preserve"> a également noté que, si un expert principal de projets de principes directeurs ne pouvait pas assister à une session</w:t>
      </w:r>
      <w:r w:rsidR="00F3296C" w:rsidRPr="0048528B">
        <w:rPr>
          <w:rFonts w:cs="Arial"/>
          <w:color w:val="000000"/>
          <w:lang w:val="fr-FR"/>
        </w:rPr>
        <w:t xml:space="preserve"> du TWP</w:t>
      </w:r>
      <w:r w:rsidRPr="0048528B">
        <w:rPr>
          <w:rFonts w:cs="Arial"/>
          <w:color w:val="000000"/>
          <w:lang w:val="fr-FR"/>
        </w:rPr>
        <w:t>, les principes directeurs d</w:t>
      </w:r>
      <w:r w:rsidR="00F3296C" w:rsidRPr="0048528B">
        <w:rPr>
          <w:rFonts w:cs="Arial"/>
          <w:color w:val="000000"/>
          <w:lang w:val="fr-FR"/>
        </w:rPr>
        <w:t>’</w:t>
      </w:r>
      <w:r w:rsidRPr="0048528B">
        <w:rPr>
          <w:rFonts w:cs="Arial"/>
          <w:color w:val="000000"/>
          <w:lang w:val="fr-FR"/>
        </w:rPr>
        <w:t>examen pou</w:t>
      </w:r>
      <w:r w:rsidR="00DE3824" w:rsidRPr="0048528B">
        <w:rPr>
          <w:rFonts w:cs="Arial"/>
          <w:color w:val="000000"/>
          <w:lang w:val="fr-FR"/>
        </w:rPr>
        <w:t>rr</w:t>
      </w:r>
      <w:r w:rsidRPr="0048528B">
        <w:rPr>
          <w:rFonts w:cs="Arial"/>
          <w:color w:val="000000"/>
          <w:lang w:val="fr-FR"/>
        </w:rPr>
        <w:t>aient être retirés de l</w:t>
      </w:r>
      <w:r w:rsidR="00F3296C" w:rsidRPr="0048528B">
        <w:rPr>
          <w:rFonts w:cs="Arial"/>
          <w:color w:val="000000"/>
          <w:lang w:val="fr-FR"/>
        </w:rPr>
        <w:t>’</w:t>
      </w:r>
      <w:r w:rsidRPr="0048528B">
        <w:rPr>
          <w:rFonts w:cs="Arial"/>
          <w:color w:val="000000"/>
          <w:lang w:val="fr-FR"/>
        </w:rPr>
        <w:t>ordre du jour de cette session.</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eastAsia="Batang" w:cs="Arial"/>
          <w:lang w:val="fr-FR" w:eastAsia="ko-K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Le TWO a </w:t>
      </w:r>
      <w:r w:rsidR="00DE3824" w:rsidRPr="0048528B">
        <w:rPr>
          <w:rFonts w:cs="Arial"/>
          <w:lang w:val="fr-FR"/>
        </w:rPr>
        <w:t>suivi</w:t>
      </w:r>
      <w:r w:rsidRPr="0048528B">
        <w:rPr>
          <w:rFonts w:cs="Arial"/>
          <w:lang w:val="fr-FR"/>
        </w:rPr>
        <w:t xml:space="preserve"> un exposé sur un projet de concept de modèle de principes directeurs d</w:t>
      </w:r>
      <w:r w:rsidR="00F3296C" w:rsidRPr="0048528B">
        <w:rPr>
          <w:rFonts w:cs="Arial"/>
          <w:lang w:val="fr-FR"/>
        </w:rPr>
        <w:t>’</w:t>
      </w:r>
      <w:r w:rsidRPr="0048528B">
        <w:rPr>
          <w:rFonts w:cs="Arial"/>
          <w:lang w:val="fr-FR"/>
        </w:rPr>
        <w:t>examen fondé sur le Web (modèle TG) pour les rédacteurs de principes directeurs d</w:t>
      </w:r>
      <w:r w:rsidR="00F3296C" w:rsidRPr="0048528B">
        <w:rPr>
          <w:rFonts w:cs="Arial"/>
          <w:lang w:val="fr-FR"/>
        </w:rPr>
        <w:t>’</w:t>
      </w:r>
      <w:r w:rsidRPr="0048528B">
        <w:rPr>
          <w:rFonts w:cs="Arial"/>
          <w:lang w:val="fr-FR"/>
        </w:rPr>
        <w:t xml:space="preserve">examen. </w:t>
      </w:r>
      <w:r w:rsidR="00F3296C" w:rsidRPr="0048528B">
        <w:rPr>
          <w:rFonts w:cs="Arial"/>
          <w:lang w:val="fr-FR"/>
        </w:rPr>
        <w:t xml:space="preserve"> </w:t>
      </w:r>
      <w:r w:rsidR="00F3296C" w:rsidRPr="0048528B">
        <w:rPr>
          <w:rFonts w:eastAsia="Batang" w:cs="Arial"/>
          <w:lang w:val="fr-FR" w:eastAsia="ko-KR"/>
        </w:rPr>
        <w:t>Le</w:t>
      </w:r>
      <w:r w:rsidR="00F3296C" w:rsidRPr="0048528B">
        <w:rPr>
          <w:rFonts w:cs="Arial"/>
          <w:lang w:val="fr-FR"/>
        </w:rPr>
        <w:t> </w:t>
      </w:r>
      <w:r w:rsidR="00F3296C" w:rsidRPr="0048528B">
        <w:rPr>
          <w:rFonts w:eastAsia="Batang" w:cs="Arial"/>
          <w:lang w:val="fr-FR" w:eastAsia="ko-KR"/>
        </w:rPr>
        <w:t>TWO</w:t>
      </w:r>
      <w:r w:rsidRPr="0048528B">
        <w:rPr>
          <w:rFonts w:eastAsia="Batang" w:cs="Arial"/>
          <w:lang w:val="fr-FR" w:eastAsia="ko-KR"/>
        </w:rPr>
        <w:t xml:space="preserve"> a pris note des caractéristiques du modèle proposé et </w:t>
      </w:r>
      <w:r w:rsidR="00DE3824" w:rsidRPr="0048528B">
        <w:rPr>
          <w:rFonts w:eastAsia="Batang" w:cs="Arial"/>
          <w:lang w:val="fr-FR" w:eastAsia="ko-KR"/>
        </w:rPr>
        <w:t xml:space="preserve">a </w:t>
      </w:r>
      <w:r w:rsidRPr="0048528B">
        <w:rPr>
          <w:rFonts w:eastAsia="Batang" w:cs="Arial"/>
          <w:lang w:val="fr-FR" w:eastAsia="ko-KR"/>
        </w:rPr>
        <w:t>examiné les possibilités de son utilisation et des bases de données connexes pour l</w:t>
      </w:r>
      <w:r w:rsidR="00F3296C" w:rsidRPr="0048528B">
        <w:rPr>
          <w:rFonts w:eastAsia="Batang" w:cs="Arial"/>
          <w:lang w:val="fr-FR" w:eastAsia="ko-KR"/>
        </w:rPr>
        <w:t>’</w:t>
      </w:r>
      <w:r w:rsidRPr="0048528B">
        <w:rPr>
          <w:rFonts w:eastAsia="Batang" w:cs="Arial"/>
          <w:lang w:val="fr-FR" w:eastAsia="ko-KR"/>
        </w:rPr>
        <w:t>élaboration de principes directeurs nationaux.</w:t>
      </w:r>
      <w:r w:rsidR="00F3296C" w:rsidRPr="0048528B">
        <w:rPr>
          <w:rFonts w:eastAsia="Batang" w:cs="Arial"/>
          <w:lang w:val="fr-FR" w:eastAsia="ko-KR"/>
        </w:rPr>
        <w:t xml:space="preserve"> </w:t>
      </w:r>
      <w:r w:rsidR="00E3136C" w:rsidRPr="0048528B">
        <w:rPr>
          <w:rFonts w:eastAsia="Batang" w:cs="Arial"/>
          <w:lang w:val="fr-FR" w:eastAsia="ko-KR"/>
        </w:rPr>
        <w:t xml:space="preserve"> </w:t>
      </w:r>
      <w:r w:rsidR="00F3296C" w:rsidRPr="0048528B">
        <w:rPr>
          <w:rFonts w:eastAsia="Batang" w:cs="Arial"/>
          <w:lang w:val="fr-FR" w:eastAsia="ko-KR"/>
        </w:rPr>
        <w:t>Le TWO</w:t>
      </w:r>
      <w:r w:rsidRPr="0048528B">
        <w:rPr>
          <w:rFonts w:eastAsia="Batang" w:cs="Arial"/>
          <w:lang w:val="fr-FR" w:eastAsia="ko-KR"/>
        </w:rPr>
        <w:t xml:space="preserve"> a fait sienne cette initiative et est convenu de poursuivre les travaux sur le modèle TG.</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eastAsia="Batang" w:cs="Arial"/>
          <w:lang w:val="fr-FR" w:eastAsia="ko-KR"/>
        </w:rPr>
        <w:t>Le TWO est convenu que la révision partielle des principes directeurs d</w:t>
      </w:r>
      <w:r w:rsidR="00F3296C" w:rsidRPr="0048528B">
        <w:rPr>
          <w:rFonts w:eastAsia="Batang" w:cs="Arial"/>
          <w:lang w:val="fr-FR" w:eastAsia="ko-KR"/>
        </w:rPr>
        <w:t>’</w:t>
      </w:r>
      <w:r w:rsidRPr="0048528B">
        <w:rPr>
          <w:rFonts w:eastAsia="Batang" w:cs="Arial"/>
          <w:lang w:val="fr-FR" w:eastAsia="ko-KR"/>
        </w:rPr>
        <w:t>examen de l</w:t>
      </w:r>
      <w:r w:rsidR="00F3296C" w:rsidRPr="0048528B">
        <w:rPr>
          <w:rFonts w:eastAsia="Batang" w:cs="Arial"/>
          <w:lang w:val="fr-FR" w:eastAsia="ko-KR"/>
        </w:rPr>
        <w:t>’</w:t>
      </w:r>
      <w:r w:rsidRPr="0048528B">
        <w:rPr>
          <w:rFonts w:eastAsia="Batang" w:cs="Arial"/>
          <w:lang w:val="fr-FR" w:eastAsia="ko-KR"/>
        </w:rPr>
        <w:t>agapanthe (document TG/266/1), telle que modifiée par</w:t>
      </w:r>
      <w:r w:rsidR="00F3296C" w:rsidRPr="0048528B">
        <w:rPr>
          <w:rFonts w:eastAsia="Batang" w:cs="Arial"/>
          <w:lang w:val="fr-FR" w:eastAsia="ko-KR"/>
        </w:rPr>
        <w:t xml:space="preserve"> le TWO</w:t>
      </w:r>
      <w:r w:rsidRPr="0048528B">
        <w:rPr>
          <w:rFonts w:eastAsia="Batang" w:cs="Arial"/>
          <w:lang w:val="fr-FR" w:eastAsia="ko-KR"/>
        </w:rPr>
        <w:t>, devrait être soumise au Comité technique pour adoption.</w:t>
      </w:r>
    </w:p>
    <w:p w:rsidR="00C97F0A" w:rsidRPr="0048528B" w:rsidRDefault="00C97F0A" w:rsidP="00C97F0A">
      <w:pPr>
        <w:autoSpaceDE w:val="0"/>
        <w:autoSpaceDN w:val="0"/>
        <w:adjustRightInd w:val="0"/>
        <w:rPr>
          <w:rFonts w:cs="Arial"/>
          <w:color w:val="000000"/>
          <w:lang w:val="fr-FR"/>
        </w:rPr>
      </w:pPr>
    </w:p>
    <w:p w:rsidR="00F3296C"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Le TWO est convenu de soumettre neuf</w:t>
      </w:r>
      <w:r w:rsidR="00E3136C" w:rsidRPr="0048528B">
        <w:rPr>
          <w:rFonts w:cs="Arial"/>
          <w:color w:val="000000"/>
          <w:lang w:val="fr-FR"/>
        </w:rPr>
        <w:t> </w:t>
      </w:r>
      <w:r w:rsidRPr="0048528B">
        <w:rPr>
          <w:rFonts w:cs="Arial"/>
          <w:color w:val="000000"/>
          <w:lang w:val="fr-FR"/>
        </w:rPr>
        <w:t>principes directeurs d</w:t>
      </w:r>
      <w:r w:rsidR="00F3296C" w:rsidRPr="0048528B">
        <w:rPr>
          <w:rFonts w:cs="Arial"/>
          <w:color w:val="000000"/>
          <w:lang w:val="fr-FR"/>
        </w:rPr>
        <w:t>’</w:t>
      </w:r>
      <w:r w:rsidRPr="0048528B">
        <w:rPr>
          <w:rFonts w:cs="Arial"/>
          <w:color w:val="000000"/>
          <w:lang w:val="fr-FR"/>
        </w:rPr>
        <w:t>examen au Comité technique pour adoption</w:t>
      </w:r>
      <w:r w:rsidR="00E3136C" w:rsidRPr="0048528B">
        <w:rPr>
          <w:rFonts w:cs="Arial"/>
          <w:color w:val="000000"/>
          <w:lang w:val="fr-FR"/>
        </w:rPr>
        <w:t> </w:t>
      </w:r>
      <w:r w:rsidRPr="0048528B">
        <w:rPr>
          <w:rFonts w:cs="Arial"/>
          <w:color w:val="000000"/>
          <w:lang w:val="fr-FR"/>
        </w:rPr>
        <w:t>: Dianella, l</w:t>
      </w:r>
      <w:r w:rsidR="00F3296C" w:rsidRPr="0048528B">
        <w:rPr>
          <w:rFonts w:cs="Arial"/>
          <w:color w:val="000000"/>
          <w:lang w:val="fr-FR"/>
        </w:rPr>
        <w:t>’</w:t>
      </w:r>
      <w:r w:rsidRPr="0048528B">
        <w:rPr>
          <w:rFonts w:cs="Arial"/>
          <w:color w:val="000000"/>
          <w:lang w:val="fr-FR"/>
        </w:rPr>
        <w:t>eucalyptus (partie du genre uniquement), le glaïeul (révision), la v</w:t>
      </w:r>
      <w:r w:rsidR="00DE3824" w:rsidRPr="0048528B">
        <w:rPr>
          <w:rFonts w:cs="Arial"/>
          <w:color w:val="000000"/>
          <w:lang w:val="fr-FR"/>
        </w:rPr>
        <w:t>e</w:t>
      </w:r>
      <w:r w:rsidRPr="0048528B">
        <w:rPr>
          <w:rFonts w:cs="Arial"/>
          <w:color w:val="000000"/>
          <w:lang w:val="fr-FR"/>
        </w:rPr>
        <w:t>ronique, la lobélie, le lomandra, l</w:t>
      </w:r>
      <w:r w:rsidR="00F3296C" w:rsidRPr="0048528B">
        <w:rPr>
          <w:rFonts w:cs="Arial"/>
          <w:color w:val="000000"/>
          <w:lang w:val="fr-FR"/>
        </w:rPr>
        <w:t>’</w:t>
      </w:r>
      <w:r w:rsidRPr="0048528B">
        <w:rPr>
          <w:rFonts w:cs="Arial"/>
          <w:color w:val="000000"/>
          <w:lang w:val="fr-FR"/>
        </w:rPr>
        <w:t>ost</w:t>
      </w:r>
      <w:r w:rsidR="00DE3824" w:rsidRPr="0048528B">
        <w:rPr>
          <w:rFonts w:cs="Arial"/>
          <w:color w:val="000000"/>
          <w:lang w:val="fr-FR"/>
        </w:rPr>
        <w:t>é</w:t>
      </w:r>
      <w:r w:rsidRPr="0048528B">
        <w:rPr>
          <w:rFonts w:cs="Arial"/>
          <w:color w:val="000000"/>
          <w:lang w:val="fr-FR"/>
        </w:rPr>
        <w:t xml:space="preserve">ospermum, </w:t>
      </w:r>
      <w:r w:rsidR="006446EC" w:rsidRPr="0048528B">
        <w:rPr>
          <w:rFonts w:cs="Arial"/>
          <w:color w:val="000000"/>
          <w:lang w:val="fr-FR"/>
        </w:rPr>
        <w:t>Phalaenopsis</w:t>
      </w:r>
      <w:r w:rsidRPr="0048528B">
        <w:rPr>
          <w:rFonts w:cs="Arial"/>
          <w:color w:val="000000"/>
          <w:lang w:val="fr-FR"/>
        </w:rPr>
        <w:t xml:space="preserve"> et la pivoine arbustive.</w:t>
      </w:r>
      <w:r w:rsidRPr="0048528B">
        <w:rPr>
          <w:rFonts w:eastAsia="Batang"/>
          <w:color w:val="000000"/>
          <w:lang w:val="fr-FR"/>
        </w:rPr>
        <w:t xml:space="preserve">  </w:t>
      </w:r>
      <w:r w:rsidRPr="0048528B">
        <w:rPr>
          <w:rFonts w:cs="Arial"/>
          <w:color w:val="000000"/>
          <w:lang w:val="fr-FR"/>
        </w:rPr>
        <w:t>À sa quarante</w:t>
      </w:r>
      <w:r w:rsidR="003F00B6" w:rsidRPr="0048528B">
        <w:rPr>
          <w:rFonts w:cs="Arial"/>
          <w:color w:val="000000"/>
          <w:lang w:val="fr-FR"/>
        </w:rPr>
        <w:noBreakHyphen/>
      </w:r>
      <w:r w:rsidRPr="0048528B">
        <w:rPr>
          <w:rFonts w:cs="Arial"/>
          <w:color w:val="000000"/>
          <w:lang w:val="fr-FR"/>
        </w:rPr>
        <w:t>sixième</w:t>
      </w:r>
      <w:r w:rsidR="00E3136C" w:rsidRPr="0048528B">
        <w:rPr>
          <w:rFonts w:cs="Arial"/>
          <w:color w:val="000000"/>
          <w:lang w:val="fr-FR"/>
        </w:rPr>
        <w:t> </w:t>
      </w:r>
      <w:r w:rsidRPr="0048528B">
        <w:rPr>
          <w:rFonts w:cs="Arial"/>
          <w:color w:val="000000"/>
          <w:lang w:val="fr-FR"/>
        </w:rPr>
        <w:t>session qui se tiendra en 2013, le TWO a prévu d</w:t>
      </w:r>
      <w:r w:rsidR="00F3296C" w:rsidRPr="0048528B">
        <w:rPr>
          <w:rFonts w:cs="Arial"/>
          <w:color w:val="000000"/>
          <w:lang w:val="fr-FR"/>
        </w:rPr>
        <w:t>’</w:t>
      </w:r>
      <w:r w:rsidRPr="0048528B">
        <w:rPr>
          <w:rFonts w:cs="Arial"/>
          <w:color w:val="000000"/>
          <w:lang w:val="fr-FR"/>
        </w:rPr>
        <w:t>examiner 15</w:t>
      </w:r>
      <w:r w:rsidR="00D70632" w:rsidRPr="0048528B">
        <w:rPr>
          <w:rFonts w:cs="Arial"/>
          <w:color w:val="000000"/>
          <w:lang w:val="fr-FR"/>
        </w:rPr>
        <w:t> </w:t>
      </w:r>
      <w:r w:rsidRPr="0048528B">
        <w:rPr>
          <w:rFonts w:cs="Arial"/>
          <w:color w:val="000000"/>
          <w:lang w:val="fr-FR"/>
        </w:rPr>
        <w:t>principes directeurs d</w:t>
      </w:r>
      <w:r w:rsidR="00F3296C" w:rsidRPr="0048528B">
        <w:rPr>
          <w:rFonts w:cs="Arial"/>
          <w:color w:val="000000"/>
          <w:lang w:val="fr-FR"/>
        </w:rPr>
        <w:t>’</w:t>
      </w:r>
      <w:r w:rsidRPr="0048528B">
        <w:rPr>
          <w:rFonts w:cs="Arial"/>
          <w:color w:val="000000"/>
          <w:lang w:val="fr-FR"/>
        </w:rPr>
        <w:t>examen, soit deux révisions et 13</w:t>
      </w:r>
      <w:r w:rsidR="00D70632" w:rsidRPr="0048528B">
        <w:rPr>
          <w:rFonts w:cs="Arial"/>
          <w:color w:val="000000"/>
          <w:lang w:val="fr-FR"/>
        </w:rPr>
        <w:t> </w:t>
      </w:r>
      <w:r w:rsidRPr="0048528B">
        <w:rPr>
          <w:rFonts w:cs="Arial"/>
          <w:color w:val="000000"/>
          <w:lang w:val="fr-FR"/>
        </w:rPr>
        <w:t>nouveaux principes.</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TWO est convenu d</w:t>
      </w:r>
      <w:r w:rsidR="00F3296C" w:rsidRPr="0048528B">
        <w:rPr>
          <w:rFonts w:cs="Arial"/>
          <w:lang w:val="fr-FR"/>
        </w:rPr>
        <w:t>’</w:t>
      </w:r>
      <w:r w:rsidRPr="0048528B">
        <w:rPr>
          <w:rFonts w:cs="Arial"/>
          <w:lang w:val="fr-FR"/>
        </w:rPr>
        <w:t>examiner à sa quarante</w:t>
      </w:r>
      <w:r w:rsidR="003F00B6" w:rsidRPr="0048528B">
        <w:rPr>
          <w:rFonts w:cs="Arial"/>
          <w:lang w:val="fr-FR"/>
        </w:rPr>
        <w:noBreakHyphen/>
      </w:r>
      <w:r w:rsidRPr="0048528B">
        <w:rPr>
          <w:rFonts w:cs="Arial"/>
          <w:lang w:val="fr-FR"/>
        </w:rPr>
        <w:t>sixième session les projets ci</w:t>
      </w:r>
      <w:r w:rsidR="003F00B6" w:rsidRPr="0048528B">
        <w:rPr>
          <w:rFonts w:cs="Arial"/>
          <w:lang w:val="fr-FR"/>
        </w:rPr>
        <w:noBreakHyphen/>
      </w:r>
      <w:r w:rsidRPr="0048528B">
        <w:rPr>
          <w:rFonts w:cs="Arial"/>
          <w:lang w:val="fr-FR"/>
        </w:rPr>
        <w:t>après de principes directeurs d</w:t>
      </w:r>
      <w:r w:rsidR="00F3296C" w:rsidRPr="0048528B">
        <w:rPr>
          <w:rFonts w:cs="Arial"/>
          <w:lang w:val="fr-FR"/>
        </w:rPr>
        <w:t>’</w:t>
      </w:r>
      <w:r w:rsidRPr="0048528B">
        <w:rPr>
          <w:rFonts w:cs="Arial"/>
          <w:lang w:val="fr-FR"/>
        </w:rPr>
        <w:t>examen :</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color w:val="000000"/>
          <w:lang w:val="fr-FR"/>
        </w:rPr>
        <w:t>Abelia</w:t>
      </w: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i/>
          <w:color w:val="000000"/>
          <w:lang w:val="fr-FR"/>
        </w:rPr>
        <w:t>Aglaonema</w:t>
      </w:r>
      <w:r w:rsidRPr="0048528B">
        <w:rPr>
          <w:rFonts w:cs="Arial"/>
          <w:color w:val="000000"/>
          <w:lang w:val="fr-FR"/>
        </w:rPr>
        <w:t xml:space="preserve"> Schott.</w:t>
      </w: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lang w:val="fr-FR"/>
        </w:rPr>
        <w:t>Aloès</w:t>
      </w: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i/>
          <w:color w:val="000000"/>
          <w:lang w:val="fr-FR"/>
        </w:rPr>
        <w:t>Campanula</w:t>
      </w:r>
      <w:r w:rsidRPr="0048528B">
        <w:rPr>
          <w:rFonts w:cs="Arial"/>
          <w:color w:val="000000"/>
          <w:lang w:val="fr-FR"/>
        </w:rPr>
        <w:t xml:space="preserve"> L.</w:t>
      </w:r>
    </w:p>
    <w:p w:rsidR="00C97F0A" w:rsidRPr="0048528B" w:rsidRDefault="00C97F0A" w:rsidP="00C97F0A">
      <w:pPr>
        <w:numPr>
          <w:ilvl w:val="0"/>
          <w:numId w:val="37"/>
        </w:numPr>
        <w:autoSpaceDE w:val="0"/>
        <w:autoSpaceDN w:val="0"/>
        <w:adjustRightInd w:val="0"/>
        <w:rPr>
          <w:rFonts w:cs="Arial"/>
          <w:i/>
          <w:color w:val="000000"/>
          <w:lang w:val="fr-FR"/>
        </w:rPr>
      </w:pPr>
      <w:r w:rsidRPr="0048528B">
        <w:rPr>
          <w:rFonts w:cs="Arial"/>
          <w:color w:val="000000"/>
          <w:lang w:val="fr-FR"/>
        </w:rPr>
        <w:lastRenderedPageBreak/>
        <w:t>Reine</w:t>
      </w:r>
      <w:r w:rsidR="003F00B6" w:rsidRPr="0048528B">
        <w:rPr>
          <w:rFonts w:cs="Arial"/>
          <w:color w:val="000000"/>
          <w:lang w:val="fr-FR"/>
        </w:rPr>
        <w:noBreakHyphen/>
      </w:r>
      <w:r w:rsidR="006446EC" w:rsidRPr="0048528B">
        <w:rPr>
          <w:rFonts w:cs="Arial"/>
          <w:color w:val="000000"/>
          <w:lang w:val="fr-FR"/>
        </w:rPr>
        <w:t>marg</w:t>
      </w:r>
      <w:r w:rsidRPr="0048528B">
        <w:rPr>
          <w:rFonts w:cs="Arial"/>
          <w:color w:val="000000"/>
          <w:lang w:val="fr-FR"/>
        </w:rPr>
        <w:t>uerite (Callistephus chinensis (L.) Nees)</w:t>
      </w: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color w:val="000000"/>
          <w:lang w:val="fr-FR"/>
        </w:rPr>
        <w:t>Cordyline</w:t>
      </w: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color w:val="000000"/>
          <w:lang w:val="fr-FR"/>
        </w:rPr>
        <w:t>Cosmos (</w:t>
      </w:r>
      <w:r w:rsidRPr="0048528B">
        <w:rPr>
          <w:rFonts w:cs="Arial"/>
          <w:i/>
          <w:color w:val="000000"/>
          <w:lang w:val="fr-FR"/>
        </w:rPr>
        <w:t xml:space="preserve">Cosmos </w:t>
      </w:r>
      <w:r w:rsidRPr="0048528B">
        <w:rPr>
          <w:rFonts w:cs="Arial"/>
          <w:color w:val="000000"/>
          <w:lang w:val="fr-FR"/>
        </w:rPr>
        <w:t>Cav.)</w:t>
      </w:r>
    </w:p>
    <w:p w:rsidR="00C97F0A" w:rsidRPr="0048528B" w:rsidRDefault="00F3296C" w:rsidP="00C97F0A">
      <w:pPr>
        <w:numPr>
          <w:ilvl w:val="0"/>
          <w:numId w:val="37"/>
        </w:numPr>
        <w:autoSpaceDE w:val="0"/>
        <w:autoSpaceDN w:val="0"/>
        <w:adjustRightInd w:val="0"/>
        <w:rPr>
          <w:rFonts w:cs="Arial"/>
          <w:color w:val="000000"/>
          <w:lang w:val="fr-FR"/>
        </w:rPr>
      </w:pPr>
      <w:r w:rsidRPr="0048528B">
        <w:rPr>
          <w:rFonts w:cs="Arial"/>
          <w:color w:val="000000"/>
          <w:lang w:val="fr-FR"/>
        </w:rPr>
        <w:t>Œil</w:t>
      </w:r>
      <w:r w:rsidR="00C97F0A" w:rsidRPr="0048528B">
        <w:rPr>
          <w:rFonts w:cs="Arial"/>
          <w:color w:val="000000"/>
          <w:lang w:val="fr-FR"/>
        </w:rPr>
        <w:t>let (révision) (TG/25/9)</w:t>
      </w: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color w:val="000000"/>
          <w:lang w:val="fr-FR"/>
        </w:rPr>
        <w:t>Grevillea</w:t>
      </w: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color w:val="000000"/>
          <w:lang w:val="fr-FR"/>
        </w:rPr>
        <w:t>H</w:t>
      </w:r>
      <w:r w:rsidR="006446EC" w:rsidRPr="0048528B">
        <w:rPr>
          <w:rFonts w:cs="Arial"/>
          <w:color w:val="000000"/>
          <w:lang w:val="fr-FR"/>
        </w:rPr>
        <w:t>osta</w:t>
      </w: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color w:val="000000"/>
          <w:lang w:val="fr-FR"/>
        </w:rPr>
        <w:t>Lilas (</w:t>
      </w:r>
      <w:r w:rsidRPr="0048528B">
        <w:rPr>
          <w:rFonts w:cs="Arial"/>
          <w:i/>
          <w:color w:val="000000"/>
          <w:lang w:val="fr-FR"/>
        </w:rPr>
        <w:t>Syringa</w:t>
      </w:r>
      <w:r w:rsidRPr="0048528B">
        <w:rPr>
          <w:rFonts w:cs="Arial"/>
          <w:color w:val="000000"/>
          <w:lang w:val="fr-FR"/>
        </w:rPr>
        <w:t xml:space="preserve"> L.)</w:t>
      </w: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color w:val="000000"/>
          <w:lang w:val="fr-FR"/>
        </w:rPr>
        <w:t>Mandevilla</w:t>
      </w: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color w:val="000000"/>
          <w:lang w:val="fr-FR"/>
        </w:rPr>
        <w:t>Pélargonium des fleuristes (révision) (TG/109/3)</w:t>
      </w: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color w:val="000000"/>
          <w:lang w:val="fr-FR"/>
        </w:rPr>
        <w:t>Sauge</w:t>
      </w:r>
    </w:p>
    <w:p w:rsidR="00C97F0A" w:rsidRPr="0048528B" w:rsidRDefault="00C97F0A" w:rsidP="00C97F0A">
      <w:pPr>
        <w:numPr>
          <w:ilvl w:val="0"/>
          <w:numId w:val="37"/>
        </w:numPr>
        <w:autoSpaceDE w:val="0"/>
        <w:autoSpaceDN w:val="0"/>
        <w:adjustRightInd w:val="0"/>
        <w:rPr>
          <w:rFonts w:cs="Arial"/>
          <w:color w:val="000000"/>
          <w:lang w:val="fr-FR"/>
        </w:rPr>
      </w:pPr>
      <w:r w:rsidRPr="0048528B">
        <w:rPr>
          <w:rFonts w:cs="Arial"/>
          <w:i/>
          <w:color w:val="000000"/>
          <w:lang w:val="fr-FR"/>
        </w:rPr>
        <w:t>Zinnia</w:t>
      </w:r>
      <w:r w:rsidRPr="0048528B">
        <w:rPr>
          <w:rFonts w:cs="Arial"/>
          <w:color w:val="000000"/>
          <w:lang w:val="fr-FR"/>
        </w:rPr>
        <w:t xml:space="preserve"> L.</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eastAsia="Batang" w:cs="Arial"/>
          <w:lang w:val="fr-FR" w:eastAsia="ko-KR"/>
        </w:rPr>
        <w:t>À l</w:t>
      </w:r>
      <w:r w:rsidR="00F3296C" w:rsidRPr="0048528B">
        <w:rPr>
          <w:rFonts w:eastAsia="Batang" w:cs="Arial"/>
          <w:lang w:val="fr-FR" w:eastAsia="ko-KR"/>
        </w:rPr>
        <w:t>’</w:t>
      </w:r>
      <w:r w:rsidRPr="0048528B">
        <w:rPr>
          <w:rFonts w:eastAsia="Batang" w:cs="Arial"/>
          <w:lang w:val="fr-FR" w:eastAsia="ko-KR"/>
        </w:rPr>
        <w:t>invitation de l</w:t>
      </w:r>
      <w:r w:rsidR="00F3296C" w:rsidRPr="0048528B">
        <w:rPr>
          <w:rFonts w:eastAsia="Batang" w:cs="Arial"/>
          <w:lang w:val="fr-FR" w:eastAsia="ko-KR"/>
        </w:rPr>
        <w:t>’</w:t>
      </w:r>
      <w:r w:rsidRPr="0048528B">
        <w:rPr>
          <w:rFonts w:eastAsia="Batang" w:cs="Arial"/>
          <w:lang w:val="fr-FR" w:eastAsia="ko-KR"/>
        </w:rPr>
        <w:t>Australie,</w:t>
      </w:r>
      <w:r w:rsidR="00F3296C" w:rsidRPr="0048528B">
        <w:rPr>
          <w:rFonts w:eastAsia="Batang" w:cs="Arial"/>
          <w:lang w:val="fr-FR" w:eastAsia="ko-KR"/>
        </w:rPr>
        <w:t xml:space="preserve"> le TWO</w:t>
      </w:r>
      <w:r w:rsidRPr="0048528B">
        <w:rPr>
          <w:rFonts w:eastAsia="Batang" w:cs="Arial"/>
          <w:lang w:val="fr-FR" w:eastAsia="ko-KR"/>
        </w:rPr>
        <w:t xml:space="preserve"> a décidé de tenir sa quarante</w:t>
      </w:r>
      <w:r w:rsidR="003F00B6" w:rsidRPr="0048528B">
        <w:rPr>
          <w:rFonts w:eastAsia="Batang" w:cs="Arial"/>
          <w:lang w:val="fr-FR" w:eastAsia="ko-KR"/>
        </w:rPr>
        <w:noBreakHyphen/>
      </w:r>
      <w:r w:rsidRPr="0048528B">
        <w:rPr>
          <w:rFonts w:eastAsia="Batang" w:cs="Arial"/>
          <w:lang w:val="fr-FR" w:eastAsia="ko-KR"/>
        </w:rPr>
        <w:t>sixième</w:t>
      </w:r>
      <w:r w:rsidR="00E3136C" w:rsidRPr="0048528B">
        <w:rPr>
          <w:rFonts w:eastAsia="Batang" w:cs="Arial"/>
          <w:lang w:val="fr-FR" w:eastAsia="ko-KR"/>
        </w:rPr>
        <w:t> </w:t>
      </w:r>
      <w:r w:rsidRPr="0048528B">
        <w:rPr>
          <w:rFonts w:eastAsia="Batang" w:cs="Arial"/>
          <w:lang w:val="fr-FR" w:eastAsia="ko-KR"/>
        </w:rPr>
        <w:t>session à Melbourne (Australie) du 22 au 2</w:t>
      </w:r>
      <w:r w:rsidR="00F3296C" w:rsidRPr="0048528B">
        <w:rPr>
          <w:rFonts w:eastAsia="Batang" w:cs="Arial"/>
          <w:lang w:val="fr-FR" w:eastAsia="ko-KR"/>
        </w:rPr>
        <w:t>6 avril</w:t>
      </w:r>
      <w:r w:rsidRPr="0048528B">
        <w:rPr>
          <w:rFonts w:eastAsia="Batang" w:cs="Arial"/>
          <w:lang w:val="fr-FR" w:eastAsia="ko-KR"/>
        </w:rPr>
        <w:t>, un atelier préparatoire étant prévu le 2</w:t>
      </w:r>
      <w:r w:rsidR="00F3296C" w:rsidRPr="0048528B">
        <w:rPr>
          <w:rFonts w:eastAsia="Batang" w:cs="Arial"/>
          <w:lang w:val="fr-FR" w:eastAsia="ko-KR"/>
        </w:rPr>
        <w:t>1 avril 20</w:t>
      </w:r>
      <w:r w:rsidRPr="0048528B">
        <w:rPr>
          <w:rFonts w:eastAsia="Batang" w:cs="Arial"/>
          <w:lang w:val="fr-FR" w:eastAsia="ko-KR"/>
        </w:rPr>
        <w:t>13.</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TWO a proposé d</w:t>
      </w:r>
      <w:r w:rsidR="00F3296C" w:rsidRPr="0048528B">
        <w:rPr>
          <w:rFonts w:cs="Arial"/>
          <w:lang w:val="fr-FR"/>
        </w:rPr>
        <w:t>’</w:t>
      </w:r>
      <w:r w:rsidRPr="0048528B">
        <w:rPr>
          <w:rFonts w:cs="Arial"/>
          <w:lang w:val="fr-FR"/>
        </w:rPr>
        <w:t>examiner les points suivants</w:t>
      </w:r>
      <w:r w:rsidR="006446EC" w:rsidRPr="0048528B">
        <w:rPr>
          <w:rFonts w:cs="Arial"/>
          <w:lang w:val="fr-FR"/>
        </w:rPr>
        <w:t xml:space="preserve"> à cette session</w:t>
      </w:r>
      <w:r w:rsidRPr="0048528B">
        <w:rPr>
          <w:rFonts w:cs="Arial"/>
          <w:lang w:val="fr-FR"/>
        </w:rPr>
        <w:t> :</w:t>
      </w:r>
    </w:p>
    <w:p w:rsidR="00C97F0A" w:rsidRPr="0048528B" w:rsidRDefault="00C97F0A" w:rsidP="00C97F0A">
      <w:pPr>
        <w:rPr>
          <w:rFonts w:cs="Arial"/>
          <w:lang w:val="fr-FR"/>
        </w:rPr>
      </w:pP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w:t>
      </w:r>
      <w:r w:rsidRPr="0048528B">
        <w:rPr>
          <w:rFonts w:cs="Arial"/>
          <w:lang w:val="fr-FR"/>
        </w:rPr>
        <w:tab/>
        <w:t>Ouverture de la session</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2.</w:t>
      </w:r>
      <w:r w:rsidRPr="0048528B">
        <w:rPr>
          <w:rFonts w:cs="Arial"/>
          <w:lang w:val="fr-FR"/>
        </w:rPr>
        <w:tab/>
        <w:t>Adoption de l</w:t>
      </w:r>
      <w:r w:rsidR="00F3296C" w:rsidRPr="0048528B">
        <w:rPr>
          <w:rFonts w:cs="Arial"/>
          <w:lang w:val="fr-FR"/>
        </w:rPr>
        <w:t>’</w:t>
      </w:r>
      <w:r w:rsidRPr="0048528B">
        <w:rPr>
          <w:rFonts w:cs="Arial"/>
          <w:lang w:val="fr-FR"/>
        </w:rPr>
        <w:t>ordre du jour</w:t>
      </w:r>
    </w:p>
    <w:p w:rsidR="00C97F0A" w:rsidRPr="0048528B" w:rsidRDefault="00C97F0A" w:rsidP="00821A5B">
      <w:pPr>
        <w:tabs>
          <w:tab w:val="num" w:pos="1134"/>
        </w:tabs>
        <w:spacing w:before="20" w:afterLines="20" w:after="48"/>
        <w:ind w:left="1134" w:hanging="567"/>
        <w:rPr>
          <w:rFonts w:cs="Arial"/>
          <w:lang w:val="fr-FR"/>
        </w:rPr>
      </w:pPr>
      <w:r w:rsidRPr="0048528B">
        <w:rPr>
          <w:rFonts w:cs="Arial"/>
          <w:lang w:val="fr-FR"/>
        </w:rPr>
        <w:t>3.</w:t>
      </w:r>
      <w:r w:rsidRPr="0048528B">
        <w:rPr>
          <w:rFonts w:cs="Arial"/>
          <w:lang w:val="fr-FR"/>
        </w:rPr>
        <w:tab/>
        <w:t>Rapports succincts sur l</w:t>
      </w:r>
      <w:r w:rsidR="00F3296C" w:rsidRPr="0048528B">
        <w:rPr>
          <w:rFonts w:cs="Arial"/>
          <w:lang w:val="fr-FR"/>
        </w:rPr>
        <w:t>’</w:t>
      </w:r>
      <w:r w:rsidRPr="0048528B">
        <w:rPr>
          <w:rFonts w:cs="Arial"/>
          <w:lang w:val="fr-FR"/>
        </w:rPr>
        <w:t>évolution de la situation en matière de protection des obtentions végétales</w:t>
      </w:r>
    </w:p>
    <w:p w:rsidR="00F3296C" w:rsidRPr="0048528B" w:rsidRDefault="00C97F0A" w:rsidP="00821A5B">
      <w:pPr>
        <w:tabs>
          <w:tab w:val="left" w:pos="1560"/>
        </w:tabs>
        <w:spacing w:before="20" w:afterLines="20" w:after="48"/>
        <w:ind w:left="1418" w:hanging="284"/>
        <w:rPr>
          <w:rFonts w:cs="Arial"/>
          <w:lang w:val="fr-FR"/>
        </w:rPr>
      </w:pPr>
      <w:r w:rsidRPr="0048528B">
        <w:rPr>
          <w:rFonts w:cs="Arial"/>
          <w:lang w:val="fr-FR"/>
        </w:rPr>
        <w:t>a)</w:t>
      </w:r>
      <w:r w:rsidR="00821A5B" w:rsidRPr="0048528B">
        <w:rPr>
          <w:rFonts w:cs="Arial"/>
          <w:lang w:val="fr-FR"/>
        </w:rPr>
        <w:tab/>
      </w:r>
      <w:r w:rsidRPr="0048528B">
        <w:rPr>
          <w:rFonts w:cs="Arial"/>
          <w:lang w:val="fr-FR"/>
        </w:rPr>
        <w:t>Rapports des membres et des observateurs</w:t>
      </w:r>
    </w:p>
    <w:p w:rsidR="00F3296C" w:rsidRPr="0048528B" w:rsidRDefault="00821A5B" w:rsidP="00821A5B">
      <w:pPr>
        <w:tabs>
          <w:tab w:val="left" w:pos="1560"/>
        </w:tabs>
        <w:spacing w:before="20" w:afterLines="20" w:after="48"/>
        <w:ind w:left="1418" w:hanging="284"/>
        <w:rPr>
          <w:rFonts w:cs="Arial"/>
          <w:lang w:val="fr-FR"/>
        </w:rPr>
      </w:pPr>
      <w:r w:rsidRPr="0048528B">
        <w:rPr>
          <w:rFonts w:cs="Arial"/>
          <w:lang w:val="fr-FR"/>
        </w:rPr>
        <w:t>b)</w:t>
      </w:r>
      <w:r w:rsidRPr="0048528B">
        <w:rPr>
          <w:rFonts w:cs="Arial"/>
          <w:lang w:val="fr-FR"/>
        </w:rPr>
        <w:tab/>
      </w:r>
      <w:r w:rsidR="00C97F0A" w:rsidRPr="0048528B">
        <w:rPr>
          <w:rFonts w:cs="Arial"/>
          <w:lang w:val="fr-FR"/>
        </w:rPr>
        <w:t>Rapports sur les faits nouveaux intervenus à l</w:t>
      </w:r>
      <w:r w:rsidR="00F3296C" w:rsidRPr="0048528B">
        <w:rPr>
          <w:rFonts w:cs="Arial"/>
          <w:lang w:val="fr-FR"/>
        </w:rPr>
        <w:t>’</w:t>
      </w:r>
      <w:r w:rsidR="00C97F0A" w:rsidRPr="0048528B">
        <w:rPr>
          <w:rFonts w:cs="Arial"/>
          <w:lang w:val="fr-FR"/>
        </w:rPr>
        <w:t>UPOV</w:t>
      </w:r>
    </w:p>
    <w:p w:rsidR="00F3296C" w:rsidRPr="0048528B" w:rsidRDefault="00C97F0A" w:rsidP="00C97F0A">
      <w:pPr>
        <w:spacing w:before="20" w:afterLines="20" w:after="48"/>
        <w:ind w:left="567"/>
        <w:rPr>
          <w:rFonts w:cs="Arial"/>
          <w:lang w:val="fr-FR"/>
        </w:rPr>
      </w:pPr>
      <w:r w:rsidRPr="0048528B">
        <w:rPr>
          <w:rFonts w:cs="Arial"/>
          <w:lang w:val="fr-FR"/>
        </w:rPr>
        <w:t>4.</w:t>
      </w:r>
      <w:r w:rsidRPr="0048528B">
        <w:rPr>
          <w:rFonts w:cs="Arial"/>
          <w:lang w:val="fr-FR"/>
        </w:rPr>
        <w:tab/>
        <w:t>Techniques moléculaires</w:t>
      </w:r>
    </w:p>
    <w:p w:rsidR="00F3296C" w:rsidRPr="0048528B" w:rsidRDefault="00C97F0A" w:rsidP="00C97F0A">
      <w:pPr>
        <w:spacing w:before="20" w:afterLines="20" w:after="48"/>
        <w:ind w:left="567"/>
        <w:rPr>
          <w:rFonts w:cs="Arial"/>
          <w:lang w:val="fr-FR"/>
        </w:rPr>
      </w:pPr>
      <w:r w:rsidRPr="0048528B">
        <w:rPr>
          <w:rFonts w:cs="Arial"/>
          <w:lang w:val="fr-FR"/>
        </w:rPr>
        <w:t>5.</w:t>
      </w:r>
      <w:r w:rsidRPr="0048528B">
        <w:rPr>
          <w:rFonts w:cs="Arial"/>
          <w:lang w:val="fr-FR"/>
        </w:rPr>
        <w:tab/>
        <w:t>Documents TGP</w:t>
      </w:r>
    </w:p>
    <w:p w:rsidR="00F3296C" w:rsidRPr="0048528B" w:rsidRDefault="00C97F0A" w:rsidP="00C97F0A">
      <w:pPr>
        <w:spacing w:before="20" w:afterLines="20" w:after="48"/>
        <w:ind w:left="567"/>
        <w:rPr>
          <w:rFonts w:cs="Arial"/>
          <w:lang w:val="fr-FR"/>
        </w:rPr>
      </w:pPr>
      <w:r w:rsidRPr="0048528B">
        <w:rPr>
          <w:rFonts w:cs="Arial"/>
          <w:lang w:val="fr-FR"/>
        </w:rPr>
        <w:t>6.</w:t>
      </w:r>
      <w:r w:rsidRPr="0048528B">
        <w:rPr>
          <w:rFonts w:cs="Arial"/>
          <w:lang w:val="fr-FR"/>
        </w:rPr>
        <w:tab/>
        <w:t>Dénominations variétales</w:t>
      </w:r>
    </w:p>
    <w:p w:rsidR="00C97F0A" w:rsidRPr="0048528B" w:rsidRDefault="00C97F0A" w:rsidP="00C97F0A">
      <w:pPr>
        <w:spacing w:before="20" w:afterLines="20" w:after="48"/>
        <w:ind w:left="567"/>
        <w:rPr>
          <w:rFonts w:cs="Arial"/>
          <w:lang w:val="fr-FR"/>
        </w:rPr>
      </w:pPr>
      <w:r w:rsidRPr="0048528B">
        <w:rPr>
          <w:rFonts w:cs="Arial"/>
          <w:lang w:val="fr-FR"/>
        </w:rPr>
        <w:t>7.</w:t>
      </w:r>
      <w:r w:rsidRPr="0048528B">
        <w:rPr>
          <w:rFonts w:cs="Arial"/>
          <w:lang w:val="fr-FR"/>
        </w:rPr>
        <w:tab/>
        <w:t>Bases de données d</w:t>
      </w:r>
      <w:r w:rsidR="00F3296C" w:rsidRPr="0048528B">
        <w:rPr>
          <w:rFonts w:cs="Arial"/>
          <w:lang w:val="fr-FR"/>
        </w:rPr>
        <w:t>’</w:t>
      </w:r>
      <w:r w:rsidRPr="0048528B">
        <w:rPr>
          <w:rFonts w:cs="Arial"/>
          <w:lang w:val="fr-FR"/>
        </w:rPr>
        <w:t>information</w:t>
      </w:r>
    </w:p>
    <w:p w:rsidR="00F3296C" w:rsidRPr="0048528B" w:rsidRDefault="00C97F0A" w:rsidP="00821A5B">
      <w:pPr>
        <w:tabs>
          <w:tab w:val="left" w:pos="1560"/>
        </w:tabs>
        <w:spacing w:before="20" w:afterLines="20" w:after="48"/>
        <w:ind w:left="1418" w:hanging="284"/>
        <w:rPr>
          <w:rFonts w:cs="Arial"/>
          <w:lang w:val="fr-FR"/>
        </w:rPr>
      </w:pPr>
      <w:r w:rsidRPr="0048528B">
        <w:rPr>
          <w:rFonts w:cs="Arial"/>
          <w:lang w:val="fr-FR"/>
        </w:rPr>
        <w:t>a)</w:t>
      </w:r>
      <w:r w:rsidR="00821A5B" w:rsidRPr="0048528B">
        <w:rPr>
          <w:rFonts w:cs="Arial"/>
          <w:lang w:val="fr-FR"/>
        </w:rPr>
        <w:tab/>
      </w:r>
      <w:r w:rsidRPr="0048528B">
        <w:rPr>
          <w:rFonts w:cs="Arial"/>
          <w:lang w:val="fr-FR"/>
        </w:rPr>
        <w:t>Base de données d</w:t>
      </w:r>
      <w:r w:rsidR="00F3296C" w:rsidRPr="0048528B">
        <w:rPr>
          <w:rFonts w:cs="Arial"/>
          <w:lang w:val="fr-FR"/>
        </w:rPr>
        <w:t>’</w:t>
      </w:r>
      <w:r w:rsidRPr="0048528B">
        <w:rPr>
          <w:rFonts w:cs="Arial"/>
          <w:lang w:val="fr-FR"/>
        </w:rPr>
        <w:t>information de l</w:t>
      </w:r>
      <w:r w:rsidR="00F3296C" w:rsidRPr="0048528B">
        <w:rPr>
          <w:rFonts w:cs="Arial"/>
          <w:lang w:val="fr-FR"/>
        </w:rPr>
        <w:t>’</w:t>
      </w:r>
      <w:r w:rsidRPr="0048528B">
        <w:rPr>
          <w:rFonts w:cs="Arial"/>
          <w:lang w:val="fr-FR"/>
        </w:rPr>
        <w:t>UPOV</w:t>
      </w:r>
    </w:p>
    <w:p w:rsidR="00F3296C" w:rsidRPr="0048528B" w:rsidRDefault="00C97F0A" w:rsidP="00821A5B">
      <w:pPr>
        <w:tabs>
          <w:tab w:val="left" w:pos="1560"/>
        </w:tabs>
        <w:spacing w:before="20" w:afterLines="20" w:after="48"/>
        <w:ind w:left="1418" w:hanging="284"/>
        <w:jc w:val="left"/>
        <w:rPr>
          <w:rFonts w:cs="Arial"/>
          <w:lang w:val="fr-FR"/>
        </w:rPr>
      </w:pPr>
      <w:r w:rsidRPr="0048528B">
        <w:rPr>
          <w:rFonts w:cs="Arial"/>
          <w:lang w:val="fr-FR"/>
        </w:rPr>
        <w:t>b)</w:t>
      </w:r>
      <w:r w:rsidR="00821A5B" w:rsidRPr="0048528B">
        <w:rPr>
          <w:rFonts w:cs="Arial"/>
          <w:lang w:val="fr-FR"/>
        </w:rPr>
        <w:tab/>
      </w:r>
      <w:r w:rsidRPr="0048528B">
        <w:rPr>
          <w:rFonts w:cs="Arial"/>
          <w:lang w:val="fr-FR"/>
        </w:rPr>
        <w:t>Bases de données sur les descriptions variétales</w:t>
      </w:r>
    </w:p>
    <w:p w:rsidR="00F3296C" w:rsidRPr="0048528B" w:rsidRDefault="00C97F0A" w:rsidP="00821A5B">
      <w:pPr>
        <w:tabs>
          <w:tab w:val="left" w:pos="1560"/>
        </w:tabs>
        <w:spacing w:before="20" w:afterLines="20" w:after="48"/>
        <w:ind w:left="1418" w:hanging="284"/>
        <w:rPr>
          <w:rFonts w:cs="Arial"/>
          <w:lang w:val="fr-FR"/>
        </w:rPr>
      </w:pPr>
      <w:r w:rsidRPr="0048528B">
        <w:rPr>
          <w:rFonts w:cs="Arial"/>
          <w:lang w:val="fr-FR"/>
        </w:rPr>
        <w:t>c)</w:t>
      </w:r>
      <w:r w:rsidR="00821A5B" w:rsidRPr="0048528B">
        <w:rPr>
          <w:rFonts w:cs="Arial"/>
          <w:lang w:val="fr-FR"/>
        </w:rPr>
        <w:tab/>
      </w:r>
      <w:r w:rsidRPr="0048528B">
        <w:rPr>
          <w:rFonts w:cs="Arial"/>
          <w:lang w:val="fr-FR"/>
        </w:rPr>
        <w:t>Logiciels échangeables</w:t>
      </w:r>
    </w:p>
    <w:p w:rsidR="00F3296C" w:rsidRPr="0048528B" w:rsidRDefault="00C97F0A" w:rsidP="00821A5B">
      <w:pPr>
        <w:tabs>
          <w:tab w:val="left" w:pos="1560"/>
        </w:tabs>
        <w:spacing w:before="20" w:afterLines="20" w:after="48"/>
        <w:ind w:left="1418" w:hanging="284"/>
        <w:rPr>
          <w:rFonts w:cs="Arial"/>
          <w:lang w:val="fr-FR"/>
        </w:rPr>
      </w:pPr>
      <w:r w:rsidRPr="0048528B">
        <w:rPr>
          <w:rFonts w:cs="Arial"/>
          <w:lang w:val="fr-FR"/>
        </w:rPr>
        <w:t>d)</w:t>
      </w:r>
      <w:r w:rsidR="00821A5B" w:rsidRPr="0048528B">
        <w:rPr>
          <w:rFonts w:cs="Arial"/>
          <w:lang w:val="fr-FR"/>
        </w:rPr>
        <w:tab/>
      </w:r>
      <w:r w:rsidRPr="0048528B">
        <w:rPr>
          <w:rFonts w:cs="Arial"/>
          <w:lang w:val="fr-FR"/>
        </w:rPr>
        <w:t>Systèmes de dépôt électronique des demandes</w:t>
      </w:r>
    </w:p>
    <w:p w:rsidR="00C97F0A" w:rsidRPr="0048528B" w:rsidRDefault="00C97F0A" w:rsidP="00C97F0A">
      <w:pPr>
        <w:spacing w:before="20" w:afterLines="20" w:after="48"/>
        <w:ind w:left="567"/>
        <w:rPr>
          <w:rFonts w:cs="Arial"/>
          <w:lang w:val="fr-FR"/>
        </w:rPr>
      </w:pPr>
      <w:r w:rsidRPr="0048528B">
        <w:rPr>
          <w:rFonts w:cs="Arial"/>
          <w:lang w:val="fr-FR"/>
        </w:rPr>
        <w:t>8.</w:t>
      </w:r>
      <w:r w:rsidRPr="0048528B">
        <w:rPr>
          <w:rFonts w:cs="Arial"/>
          <w:lang w:val="fr-FR"/>
        </w:rPr>
        <w:tab/>
        <w:t>Évaluation de l</w:t>
      </w:r>
      <w:r w:rsidR="00F3296C" w:rsidRPr="0048528B">
        <w:rPr>
          <w:rFonts w:cs="Arial"/>
          <w:lang w:val="fr-FR"/>
        </w:rPr>
        <w:t>’</w:t>
      </w:r>
      <w:r w:rsidRPr="0048528B">
        <w:rPr>
          <w:rFonts w:cs="Arial"/>
          <w:lang w:val="fr-FR"/>
        </w:rPr>
        <w:t>homogénéité</w:t>
      </w:r>
    </w:p>
    <w:p w:rsidR="00C97F0A" w:rsidRPr="0048528B" w:rsidRDefault="00C97F0A" w:rsidP="00C97F0A">
      <w:pPr>
        <w:spacing w:before="20" w:afterLines="20" w:after="48"/>
        <w:ind w:left="1134" w:hanging="567"/>
        <w:jc w:val="left"/>
        <w:rPr>
          <w:rFonts w:cs="Arial"/>
          <w:lang w:val="fr-FR"/>
        </w:rPr>
      </w:pPr>
      <w:r w:rsidRPr="0048528B">
        <w:rPr>
          <w:rFonts w:cs="Arial"/>
          <w:lang w:val="fr-FR"/>
        </w:rPr>
        <w:t>9.</w:t>
      </w:r>
      <w:r w:rsidRPr="0048528B">
        <w:rPr>
          <w:rFonts w:cs="Arial"/>
          <w:lang w:val="fr-FR"/>
        </w:rPr>
        <w:tab/>
        <w:t>Questions en suspens concernant les principes directeurs d</w:t>
      </w:r>
      <w:r w:rsidR="00F3296C" w:rsidRPr="0048528B">
        <w:rPr>
          <w:rFonts w:cs="Arial"/>
          <w:lang w:val="fr-FR"/>
        </w:rPr>
        <w:t>’</w:t>
      </w:r>
      <w:r w:rsidRPr="0048528B">
        <w:rPr>
          <w:rFonts w:cs="Arial"/>
          <w:lang w:val="fr-FR"/>
        </w:rPr>
        <w:t>examen adoptés par le Comité technique (le cas échéant)</w:t>
      </w:r>
    </w:p>
    <w:p w:rsidR="00C97F0A" w:rsidRPr="0048528B" w:rsidRDefault="00C97F0A" w:rsidP="00C97F0A">
      <w:pPr>
        <w:spacing w:before="20" w:afterLines="20" w:after="48"/>
        <w:ind w:left="567"/>
        <w:rPr>
          <w:rFonts w:cs="Arial"/>
          <w:lang w:val="fr-FR"/>
        </w:rPr>
      </w:pPr>
      <w:r w:rsidRPr="0048528B">
        <w:rPr>
          <w:rFonts w:cs="Arial"/>
          <w:lang w:val="fr-FR"/>
        </w:rPr>
        <w:t>10.</w:t>
      </w:r>
      <w:r w:rsidRPr="0048528B">
        <w:rPr>
          <w:rFonts w:cs="Arial"/>
          <w:lang w:val="fr-FR"/>
        </w:rPr>
        <w:tab/>
        <w:t>Examen des projets de principes directeurs d</w:t>
      </w:r>
      <w:r w:rsidR="00F3296C" w:rsidRPr="0048528B">
        <w:rPr>
          <w:rFonts w:cs="Arial"/>
          <w:lang w:val="fr-FR"/>
        </w:rPr>
        <w:t>’</w:t>
      </w:r>
      <w:r w:rsidRPr="0048528B">
        <w:rPr>
          <w:rFonts w:cs="Arial"/>
          <w:lang w:val="fr-FR"/>
        </w:rPr>
        <w:t>examen (sous</w:t>
      </w:r>
      <w:r w:rsidR="003F00B6" w:rsidRPr="0048528B">
        <w:rPr>
          <w:rFonts w:cs="Arial"/>
          <w:lang w:val="fr-FR"/>
        </w:rPr>
        <w:noBreakHyphen/>
      </w:r>
      <w:r w:rsidRPr="0048528B">
        <w:rPr>
          <w:rFonts w:cs="Arial"/>
          <w:lang w:val="fr-FR"/>
        </w:rPr>
        <w:t>groupes)</w:t>
      </w:r>
    </w:p>
    <w:p w:rsidR="00C97F0A" w:rsidRPr="0048528B" w:rsidRDefault="00C97F0A" w:rsidP="00C97F0A">
      <w:pPr>
        <w:spacing w:before="20" w:afterLines="20" w:after="48"/>
        <w:ind w:left="567"/>
        <w:rPr>
          <w:rFonts w:cs="Arial"/>
          <w:lang w:val="fr-FR"/>
        </w:rPr>
      </w:pPr>
      <w:r w:rsidRPr="0048528B">
        <w:rPr>
          <w:rFonts w:cs="Arial"/>
          <w:lang w:val="fr-FR"/>
        </w:rPr>
        <w:t>11.</w:t>
      </w:r>
      <w:r w:rsidRPr="0048528B">
        <w:rPr>
          <w:rFonts w:cs="Arial"/>
          <w:lang w:val="fr-FR"/>
        </w:rPr>
        <w:tab/>
        <w:t>Recommandations concernant les projets de principes directeurs d</w:t>
      </w:r>
      <w:r w:rsidR="00F3296C" w:rsidRPr="0048528B">
        <w:rPr>
          <w:rFonts w:cs="Arial"/>
          <w:lang w:val="fr-FR"/>
        </w:rPr>
        <w:t>’</w:t>
      </w:r>
      <w:r w:rsidRPr="0048528B">
        <w:rPr>
          <w:rFonts w:cs="Arial"/>
          <w:lang w:val="fr-FR"/>
        </w:rPr>
        <w:t>examen</w:t>
      </w:r>
    </w:p>
    <w:p w:rsidR="00C97F0A" w:rsidRPr="0048528B" w:rsidRDefault="00C97F0A" w:rsidP="00C97F0A">
      <w:pPr>
        <w:spacing w:before="20" w:afterLines="20" w:after="48"/>
        <w:ind w:left="567"/>
        <w:rPr>
          <w:rFonts w:cs="Arial"/>
          <w:lang w:val="fr-FR"/>
        </w:rPr>
      </w:pPr>
      <w:r w:rsidRPr="0048528B">
        <w:rPr>
          <w:rFonts w:cs="Arial"/>
          <w:lang w:val="fr-FR"/>
        </w:rPr>
        <w:t>12.</w:t>
      </w:r>
      <w:r w:rsidRPr="0048528B">
        <w:rPr>
          <w:rFonts w:cs="Arial"/>
          <w:lang w:val="fr-FR"/>
        </w:rPr>
        <w:tab/>
        <w:t>Orientations pour les rédacteurs de principes directeurs d</w:t>
      </w:r>
      <w:r w:rsidR="00F3296C" w:rsidRPr="0048528B">
        <w:rPr>
          <w:rFonts w:cs="Arial"/>
          <w:lang w:val="fr-FR"/>
        </w:rPr>
        <w:t>’</w:t>
      </w:r>
      <w:r w:rsidRPr="0048528B">
        <w:rPr>
          <w:rFonts w:cs="Arial"/>
          <w:lang w:val="fr-FR"/>
        </w:rPr>
        <w:t>examen</w:t>
      </w:r>
    </w:p>
    <w:p w:rsidR="00C97F0A" w:rsidRPr="0048528B" w:rsidRDefault="00C97F0A" w:rsidP="00C97F0A">
      <w:pPr>
        <w:spacing w:before="20" w:afterLines="20" w:after="48"/>
        <w:ind w:left="567"/>
        <w:rPr>
          <w:rFonts w:cs="Arial"/>
          <w:lang w:val="fr-FR"/>
        </w:rPr>
      </w:pPr>
      <w:r w:rsidRPr="0048528B">
        <w:rPr>
          <w:rFonts w:cs="Arial"/>
          <w:lang w:val="fr-FR"/>
        </w:rPr>
        <w:t>13.</w:t>
      </w:r>
      <w:r w:rsidRPr="0048528B">
        <w:rPr>
          <w:rFonts w:cs="Arial"/>
          <w:lang w:val="fr-FR"/>
        </w:rPr>
        <w:tab/>
        <w:t>Date et lieu de la prochaine session</w:t>
      </w:r>
    </w:p>
    <w:p w:rsidR="00C97F0A" w:rsidRPr="0048528B" w:rsidRDefault="00C97F0A" w:rsidP="00C97F0A">
      <w:pPr>
        <w:spacing w:before="20" w:afterLines="20" w:after="48"/>
        <w:ind w:left="567"/>
        <w:rPr>
          <w:rFonts w:cs="Arial"/>
          <w:lang w:val="fr-FR"/>
        </w:rPr>
      </w:pPr>
      <w:r w:rsidRPr="0048528B">
        <w:rPr>
          <w:rFonts w:cs="Arial"/>
          <w:lang w:val="fr-FR"/>
        </w:rPr>
        <w:t>14.</w:t>
      </w:r>
      <w:r w:rsidRPr="0048528B">
        <w:rPr>
          <w:rFonts w:cs="Arial"/>
          <w:lang w:val="fr-FR"/>
        </w:rPr>
        <w:tab/>
        <w:t>Programme futur</w:t>
      </w:r>
    </w:p>
    <w:p w:rsidR="00C97F0A" w:rsidRPr="0048528B" w:rsidRDefault="00C97F0A" w:rsidP="00C97F0A">
      <w:pPr>
        <w:spacing w:before="20" w:afterLines="20" w:after="48"/>
        <w:ind w:left="567"/>
        <w:rPr>
          <w:rFonts w:cs="Arial"/>
          <w:lang w:val="fr-FR"/>
        </w:rPr>
      </w:pPr>
      <w:r w:rsidRPr="0048528B">
        <w:rPr>
          <w:rFonts w:cs="Arial"/>
          <w:lang w:val="fr-FR"/>
        </w:rPr>
        <w:t>15.</w:t>
      </w:r>
      <w:r w:rsidRPr="0048528B">
        <w:rPr>
          <w:rFonts w:cs="Arial"/>
          <w:lang w:val="fr-FR"/>
        </w:rPr>
        <w:tab/>
        <w:t>Compte rendu de la session (</w:t>
      </w:r>
      <w:r w:rsidR="006446EC" w:rsidRPr="0048528B">
        <w:rPr>
          <w:rFonts w:cs="Arial"/>
          <w:lang w:val="fr-FR"/>
        </w:rPr>
        <w:t>selon le temps disponible</w:t>
      </w:r>
      <w:r w:rsidRPr="0048528B">
        <w:rPr>
          <w:rFonts w:cs="Arial"/>
          <w:lang w:val="fr-FR"/>
        </w:rPr>
        <w:t>)</w:t>
      </w:r>
    </w:p>
    <w:p w:rsidR="00C97F0A" w:rsidRPr="0048528B" w:rsidRDefault="00C97F0A" w:rsidP="00C97F0A">
      <w:pPr>
        <w:spacing w:before="20" w:afterLines="20" w:after="48"/>
        <w:ind w:left="567"/>
        <w:rPr>
          <w:rFonts w:cs="Arial"/>
          <w:lang w:val="fr-FR"/>
        </w:rPr>
      </w:pPr>
      <w:r w:rsidRPr="0048528B">
        <w:rPr>
          <w:rFonts w:cs="Arial"/>
          <w:lang w:val="fr-FR"/>
        </w:rPr>
        <w:t>16.</w:t>
      </w:r>
      <w:r w:rsidRPr="0048528B">
        <w:rPr>
          <w:rFonts w:cs="Arial"/>
          <w:lang w:val="fr-FR"/>
        </w:rPr>
        <w:tab/>
        <w:t>Clôture de la session</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rPr>
          <w:rFonts w:eastAsia="Dotum" w:cs="Arial"/>
          <w:lang w:val="fr-FR" w:eastAsia="ja-JP"/>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w:t>
      </w:r>
      <w:r w:rsidR="00F3296C" w:rsidRPr="0048528B">
        <w:rPr>
          <w:rFonts w:cs="Arial"/>
          <w:lang w:val="fr-FR"/>
        </w:rPr>
        <w:t>’</w:t>
      </w:r>
      <w:r w:rsidRPr="0048528B">
        <w:rPr>
          <w:rFonts w:cs="Arial"/>
          <w:lang w:val="fr-FR"/>
        </w:rPr>
        <w:t>après</w:t>
      </w:r>
      <w:r w:rsidR="003F00B6" w:rsidRPr="0048528B">
        <w:rPr>
          <w:rFonts w:cs="Arial"/>
          <w:lang w:val="fr-FR"/>
        </w:rPr>
        <w:noBreakHyphen/>
      </w:r>
      <w:r w:rsidRPr="0048528B">
        <w:rPr>
          <w:rFonts w:cs="Arial"/>
          <w:lang w:val="fr-FR"/>
        </w:rPr>
        <w:t xml:space="preserve">midi du </w:t>
      </w:r>
      <w:r w:rsidR="00F3296C" w:rsidRPr="0048528B">
        <w:rPr>
          <w:rFonts w:cs="Arial"/>
          <w:lang w:val="fr-FR"/>
        </w:rPr>
        <w:t>8 août 20</w:t>
      </w:r>
      <w:r w:rsidRPr="0048528B">
        <w:rPr>
          <w:rFonts w:cs="Arial"/>
          <w:lang w:val="fr-FR"/>
        </w:rPr>
        <w:t>12,</w:t>
      </w:r>
      <w:r w:rsidR="00F3296C" w:rsidRPr="0048528B">
        <w:rPr>
          <w:rFonts w:cs="Arial"/>
          <w:lang w:val="fr-FR"/>
        </w:rPr>
        <w:t xml:space="preserve"> le TWO</w:t>
      </w:r>
      <w:r w:rsidRPr="0048528B">
        <w:rPr>
          <w:rFonts w:cs="Arial"/>
          <w:lang w:val="fr-FR"/>
        </w:rPr>
        <w:t xml:space="preserve"> a visité les locaux de la Kim Jeong Moon Aloe Co.Ltd. à Seogwipo</w:t>
      </w:r>
      <w:r w:rsidR="003F00B6" w:rsidRPr="0048528B">
        <w:rPr>
          <w:rFonts w:cs="Arial"/>
          <w:lang w:val="fr-FR"/>
        </w:rPr>
        <w:noBreakHyphen/>
      </w:r>
      <w:r w:rsidRPr="0048528B">
        <w:rPr>
          <w:rFonts w:cs="Arial"/>
          <w:lang w:val="fr-FR"/>
        </w:rPr>
        <w:t>si, jardin botanique et institut de recherche consacrés à l</w:t>
      </w:r>
      <w:r w:rsidR="00F3296C" w:rsidRPr="0048528B">
        <w:rPr>
          <w:rFonts w:cs="Arial"/>
          <w:lang w:val="fr-FR"/>
        </w:rPr>
        <w:t>’</w:t>
      </w:r>
      <w:r w:rsidRPr="0048528B">
        <w:rPr>
          <w:rFonts w:cs="Arial"/>
          <w:lang w:val="fr-FR"/>
        </w:rPr>
        <w:t>étude de l</w:t>
      </w:r>
      <w:r w:rsidR="00F3296C" w:rsidRPr="0048528B">
        <w:rPr>
          <w:rFonts w:cs="Arial"/>
          <w:lang w:val="fr-FR"/>
        </w:rPr>
        <w:t>’</w:t>
      </w:r>
      <w:r w:rsidRPr="0048528B">
        <w:rPr>
          <w:rFonts w:cs="Arial"/>
          <w:lang w:val="fr-FR"/>
        </w:rPr>
        <w:t>aloès.</w:t>
      </w:r>
    </w:p>
    <w:p w:rsidR="00C97F0A" w:rsidRPr="0048528B" w:rsidRDefault="00C97F0A" w:rsidP="00C97F0A">
      <w:pPr>
        <w:rPr>
          <w:u w:val="single"/>
          <w:lang w:val="fr-FR"/>
        </w:rPr>
      </w:pPr>
    </w:p>
    <w:p w:rsidR="00C97F0A" w:rsidRPr="0048528B" w:rsidRDefault="00C97F0A" w:rsidP="00C97F0A">
      <w:pPr>
        <w:rPr>
          <w:u w:val="single"/>
          <w:lang w:val="fr-FR"/>
        </w:rPr>
      </w:pPr>
    </w:p>
    <w:p w:rsidR="00C97F0A" w:rsidRPr="0048528B" w:rsidRDefault="00C97F0A" w:rsidP="00C97F0A">
      <w:pPr>
        <w:pStyle w:val="Heading2"/>
        <w:rPr>
          <w:lang w:val="fr-FR"/>
        </w:rPr>
      </w:pPr>
      <w:bookmarkStart w:id="65" w:name="_Toc367888583"/>
      <w:r w:rsidRPr="0048528B">
        <w:rPr>
          <w:lang w:val="fr-FR"/>
        </w:rPr>
        <w:t>Groupe de travail technique sur les plantes potagères (TWV)</w:t>
      </w:r>
      <w:bookmarkEnd w:id="65"/>
    </w:p>
    <w:p w:rsidR="00C97F0A" w:rsidRPr="0048528B" w:rsidRDefault="00C97F0A" w:rsidP="00C97F0A">
      <w:pPr>
        <w:keepNext/>
        <w:rPr>
          <w:u w:val="single"/>
          <w:lang w:val="fr-FR"/>
        </w:rPr>
      </w:pPr>
    </w:p>
    <w:p w:rsidR="00F3296C" w:rsidRPr="0048528B" w:rsidRDefault="00C97F0A" w:rsidP="00C97F0A">
      <w:pPr>
        <w:keepNext/>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Le TWV a tenu sa quarante</w:t>
      </w:r>
      <w:r w:rsidR="003F00B6" w:rsidRPr="0048528B">
        <w:rPr>
          <w:rFonts w:cs="Arial"/>
          <w:color w:val="000000"/>
          <w:lang w:val="fr-FR"/>
        </w:rPr>
        <w:noBreakHyphen/>
      </w:r>
      <w:r w:rsidRPr="0048528B">
        <w:rPr>
          <w:rFonts w:cs="Arial"/>
          <w:color w:val="000000"/>
          <w:lang w:val="fr-FR"/>
        </w:rPr>
        <w:t>sixième</w:t>
      </w:r>
      <w:r w:rsidR="00E3136C" w:rsidRPr="0048528B">
        <w:rPr>
          <w:rFonts w:cs="Arial"/>
          <w:color w:val="000000"/>
          <w:lang w:val="fr-FR"/>
        </w:rPr>
        <w:t> </w:t>
      </w:r>
      <w:r w:rsidRPr="0048528B">
        <w:rPr>
          <w:rFonts w:cs="Arial"/>
          <w:color w:val="000000"/>
          <w:lang w:val="fr-FR"/>
        </w:rPr>
        <w:t>session à Floriade, à proximité de la ville de Venlo (Pays</w:t>
      </w:r>
      <w:r w:rsidR="003F00B6" w:rsidRPr="0048528B">
        <w:rPr>
          <w:rFonts w:cs="Arial"/>
          <w:color w:val="000000"/>
          <w:lang w:val="fr-FR"/>
        </w:rPr>
        <w:noBreakHyphen/>
      </w:r>
      <w:r w:rsidRPr="0048528B">
        <w:rPr>
          <w:rFonts w:cs="Arial"/>
          <w:color w:val="000000"/>
          <w:lang w:val="fr-FR"/>
        </w:rPr>
        <w:t>Bas), du 11 au 1</w:t>
      </w:r>
      <w:r w:rsidR="00F3296C" w:rsidRPr="0048528B">
        <w:rPr>
          <w:rFonts w:cs="Arial"/>
          <w:color w:val="000000"/>
          <w:lang w:val="fr-FR"/>
        </w:rPr>
        <w:t>5 juin 20</w:t>
      </w:r>
      <w:r w:rsidRPr="0048528B">
        <w:rPr>
          <w:rFonts w:cs="Arial"/>
          <w:color w:val="000000"/>
          <w:lang w:val="fr-FR"/>
        </w:rPr>
        <w:t>12.  Cette session s</w:t>
      </w:r>
      <w:r w:rsidR="00F3296C" w:rsidRPr="0048528B">
        <w:rPr>
          <w:rFonts w:cs="Arial"/>
          <w:color w:val="000000"/>
          <w:lang w:val="fr-FR"/>
        </w:rPr>
        <w:t>’</w:t>
      </w:r>
      <w:r w:rsidRPr="0048528B">
        <w:rPr>
          <w:rFonts w:cs="Arial"/>
          <w:color w:val="000000"/>
          <w:lang w:val="fr-FR"/>
        </w:rPr>
        <w:t>est tenue dans le cadre de l</w:t>
      </w:r>
      <w:r w:rsidR="00F3296C" w:rsidRPr="0048528B">
        <w:rPr>
          <w:rFonts w:cs="Arial"/>
          <w:color w:val="000000"/>
          <w:lang w:val="fr-FR"/>
        </w:rPr>
        <w:t>’</w:t>
      </w:r>
      <w:r w:rsidRPr="0048528B">
        <w:rPr>
          <w:rFonts w:cs="Arial"/>
          <w:color w:val="000000"/>
          <w:lang w:val="fr-FR"/>
        </w:rPr>
        <w:t>exposition mondiale d</w:t>
      </w:r>
      <w:r w:rsidR="00F3296C" w:rsidRPr="0048528B">
        <w:rPr>
          <w:rFonts w:cs="Arial"/>
          <w:color w:val="000000"/>
          <w:lang w:val="fr-FR"/>
        </w:rPr>
        <w:t>’</w:t>
      </w:r>
      <w:r w:rsidRPr="0048528B">
        <w:rPr>
          <w:rFonts w:cs="Arial"/>
          <w:color w:val="000000"/>
          <w:lang w:val="fr-FR"/>
        </w:rPr>
        <w:t xml:space="preserve">horticulture </w:t>
      </w:r>
      <w:r w:rsidR="00E3136C" w:rsidRPr="0048528B">
        <w:rPr>
          <w:rFonts w:cs="Arial"/>
          <w:color w:val="000000"/>
          <w:lang w:val="fr-FR"/>
        </w:rPr>
        <w:t>“</w:t>
      </w:r>
      <w:r w:rsidRPr="0048528B">
        <w:rPr>
          <w:rFonts w:cs="Arial"/>
          <w:color w:val="000000"/>
          <w:lang w:val="fr-FR"/>
        </w:rPr>
        <w:t>Floriade</w:t>
      </w:r>
      <w:r w:rsidR="00E3136C" w:rsidRPr="0048528B">
        <w:rPr>
          <w:rFonts w:cs="Arial"/>
          <w:color w:val="000000"/>
          <w:lang w:val="fr-FR"/>
        </w:rPr>
        <w:t>”</w:t>
      </w:r>
      <w:r w:rsidRPr="0048528B">
        <w:rPr>
          <w:rFonts w:cs="Arial"/>
          <w:color w:val="000000"/>
          <w:lang w:val="fr-FR"/>
        </w:rPr>
        <w:t>, un événement majeur du secteur horticole.  La session a été présidée par M.</w:t>
      </w:r>
      <w:r w:rsidR="00E3136C" w:rsidRPr="0048528B">
        <w:rPr>
          <w:rFonts w:cs="Arial"/>
          <w:color w:val="000000"/>
          <w:lang w:val="fr-FR"/>
        </w:rPr>
        <w:t> </w:t>
      </w:r>
      <w:r w:rsidRPr="0048528B">
        <w:rPr>
          <w:rFonts w:cs="Arial"/>
          <w:color w:val="000000"/>
          <w:lang w:val="fr-FR"/>
        </w:rPr>
        <w:t>F</w:t>
      </w:r>
      <w:r w:rsidR="005D0EBA" w:rsidRPr="0048528B">
        <w:rPr>
          <w:rFonts w:cs="Arial"/>
          <w:color w:val="000000"/>
          <w:lang w:val="fr-FR"/>
        </w:rPr>
        <w:t>rançois </w:t>
      </w:r>
      <w:r w:rsidRPr="0048528B">
        <w:rPr>
          <w:rFonts w:cs="Arial"/>
          <w:color w:val="000000"/>
          <w:lang w:val="fr-FR"/>
        </w:rPr>
        <w:t xml:space="preserve">Boulineau (France), président </w:t>
      </w:r>
      <w:r w:rsidR="006446EC" w:rsidRPr="0048528B">
        <w:rPr>
          <w:rFonts w:cs="Arial"/>
          <w:color w:val="000000"/>
          <w:lang w:val="fr-FR"/>
        </w:rPr>
        <w:t>d</w:t>
      </w:r>
      <w:r w:rsidRPr="0048528B">
        <w:rPr>
          <w:rFonts w:cs="Arial"/>
          <w:color w:val="000000"/>
          <w:lang w:val="fr-FR"/>
        </w:rPr>
        <w:t>u TWV.</w:t>
      </w:r>
    </w:p>
    <w:p w:rsidR="00C97F0A" w:rsidRPr="0048528B" w:rsidRDefault="00C97F0A" w:rsidP="00C97F0A">
      <w:pPr>
        <w:autoSpaceDE w:val="0"/>
        <w:autoSpaceDN w:val="0"/>
        <w:adjustRightInd w:val="0"/>
        <w:rPr>
          <w:rFonts w:cs="Arial"/>
          <w:color w:val="000000"/>
          <w:lang w:val="fr-FR"/>
        </w:rPr>
      </w:pPr>
    </w:p>
    <w:p w:rsidR="00F3296C"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00D70632" w:rsidRPr="0048528B">
        <w:rPr>
          <w:rFonts w:cs="Arial"/>
          <w:color w:val="000000"/>
          <w:lang w:val="fr-FR"/>
        </w:rPr>
        <w:t>La session a réuni 43 </w:t>
      </w:r>
      <w:r w:rsidRPr="0048528B">
        <w:rPr>
          <w:rFonts w:cs="Arial"/>
          <w:color w:val="000000"/>
          <w:lang w:val="fr-FR"/>
        </w:rPr>
        <w:t>participants représentant 16</w:t>
      </w:r>
      <w:r w:rsidR="00D70632" w:rsidRPr="0048528B">
        <w:rPr>
          <w:rFonts w:cs="Arial"/>
          <w:color w:val="000000"/>
          <w:lang w:val="fr-FR"/>
        </w:rPr>
        <w:t> </w:t>
      </w:r>
      <w:r w:rsidRPr="0048528B">
        <w:rPr>
          <w:rFonts w:cs="Arial"/>
          <w:color w:val="000000"/>
          <w:lang w:val="fr-FR"/>
        </w:rPr>
        <w:t>membres de l</w:t>
      </w:r>
      <w:r w:rsidR="00F3296C" w:rsidRPr="0048528B">
        <w:rPr>
          <w:rFonts w:cs="Arial"/>
          <w:color w:val="000000"/>
          <w:lang w:val="fr-FR"/>
        </w:rPr>
        <w:t>’</w:t>
      </w:r>
      <w:r w:rsidRPr="0048528B">
        <w:rPr>
          <w:rFonts w:cs="Arial"/>
          <w:color w:val="000000"/>
          <w:lang w:val="fr-FR"/>
        </w:rPr>
        <w:t>Union et deux</w:t>
      </w:r>
      <w:r w:rsidR="00E3136C" w:rsidRPr="0048528B">
        <w:rPr>
          <w:rFonts w:cs="Arial"/>
          <w:color w:val="000000"/>
          <w:lang w:val="fr-FR"/>
        </w:rPr>
        <w:t> </w:t>
      </w:r>
      <w:r w:rsidRPr="0048528B">
        <w:rPr>
          <w:rFonts w:cs="Arial"/>
          <w:color w:val="000000"/>
          <w:lang w:val="fr-FR"/>
        </w:rPr>
        <w:t>organisations ayant le statut d</w:t>
      </w:r>
      <w:r w:rsidR="00F3296C" w:rsidRPr="0048528B">
        <w:rPr>
          <w:rFonts w:cs="Arial"/>
          <w:color w:val="000000"/>
          <w:lang w:val="fr-FR"/>
        </w:rPr>
        <w:t>’</w:t>
      </w:r>
      <w:r w:rsidRPr="0048528B">
        <w:rPr>
          <w:rFonts w:cs="Arial"/>
          <w:color w:val="000000"/>
          <w:lang w:val="fr-FR"/>
        </w:rPr>
        <w:t>observateur.  L</w:t>
      </w:r>
      <w:r w:rsidR="00F3296C" w:rsidRPr="0048528B">
        <w:rPr>
          <w:rFonts w:cs="Arial"/>
          <w:color w:val="000000"/>
          <w:lang w:val="fr-FR"/>
        </w:rPr>
        <w:t>’</w:t>
      </w:r>
      <w:r w:rsidRPr="0048528B">
        <w:rPr>
          <w:rFonts w:cs="Arial"/>
          <w:color w:val="000000"/>
          <w:lang w:val="fr-FR"/>
        </w:rPr>
        <w:t>atelier préparatoire s</w:t>
      </w:r>
      <w:r w:rsidR="00F3296C" w:rsidRPr="0048528B">
        <w:rPr>
          <w:rFonts w:cs="Arial"/>
          <w:color w:val="000000"/>
          <w:lang w:val="fr-FR"/>
        </w:rPr>
        <w:t>’</w:t>
      </w:r>
      <w:r w:rsidRPr="0048528B">
        <w:rPr>
          <w:rFonts w:cs="Arial"/>
          <w:color w:val="000000"/>
          <w:lang w:val="fr-FR"/>
        </w:rPr>
        <w:t>est tenu dans l</w:t>
      </w:r>
      <w:r w:rsidR="00F3296C" w:rsidRPr="0048528B">
        <w:rPr>
          <w:rFonts w:cs="Arial"/>
          <w:color w:val="000000"/>
          <w:lang w:val="fr-FR"/>
        </w:rPr>
        <w:t>’</w:t>
      </w:r>
      <w:r w:rsidRPr="0048528B">
        <w:rPr>
          <w:rFonts w:cs="Arial"/>
          <w:color w:val="000000"/>
          <w:lang w:val="fr-FR"/>
        </w:rPr>
        <w:t>après</w:t>
      </w:r>
      <w:r w:rsidR="003F00B6" w:rsidRPr="0048528B">
        <w:rPr>
          <w:rFonts w:cs="Arial"/>
          <w:color w:val="000000"/>
          <w:lang w:val="fr-FR"/>
        </w:rPr>
        <w:noBreakHyphen/>
      </w:r>
      <w:r w:rsidRPr="0048528B">
        <w:rPr>
          <w:rFonts w:cs="Arial"/>
          <w:color w:val="000000"/>
          <w:lang w:val="fr-FR"/>
        </w:rPr>
        <w:t>midi du 1</w:t>
      </w:r>
      <w:r w:rsidR="00F3296C" w:rsidRPr="0048528B">
        <w:rPr>
          <w:rFonts w:cs="Arial"/>
          <w:color w:val="000000"/>
          <w:lang w:val="fr-FR"/>
        </w:rPr>
        <w:t>0 juin</w:t>
      </w:r>
      <w:r w:rsidRPr="0048528B">
        <w:rPr>
          <w:rFonts w:cs="Arial"/>
          <w:color w:val="000000"/>
          <w:lang w:val="fr-FR"/>
        </w:rPr>
        <w:t>, avec une formation à l</w:t>
      </w:r>
      <w:r w:rsidR="00F3296C" w:rsidRPr="0048528B">
        <w:rPr>
          <w:rFonts w:cs="Arial"/>
          <w:color w:val="000000"/>
          <w:lang w:val="fr-FR"/>
        </w:rPr>
        <w:t>’</w:t>
      </w:r>
      <w:r w:rsidRPr="0048528B">
        <w:rPr>
          <w:rFonts w:cs="Arial"/>
          <w:color w:val="000000"/>
          <w:lang w:val="fr-FR"/>
        </w:rPr>
        <w:t>élaboration de principes directeurs d</w:t>
      </w:r>
      <w:r w:rsidR="00F3296C" w:rsidRPr="0048528B">
        <w:rPr>
          <w:rFonts w:cs="Arial"/>
          <w:color w:val="000000"/>
          <w:lang w:val="fr-FR"/>
        </w:rPr>
        <w:t>’</w:t>
      </w:r>
      <w:r w:rsidRPr="0048528B">
        <w:rPr>
          <w:rFonts w:cs="Arial"/>
          <w:color w:val="000000"/>
          <w:lang w:val="fr-FR"/>
        </w:rPr>
        <w:t>examen, et a réuni 15</w:t>
      </w:r>
      <w:r w:rsidR="00D70632" w:rsidRPr="0048528B">
        <w:rPr>
          <w:rFonts w:cs="Arial"/>
          <w:color w:val="000000"/>
          <w:lang w:val="fr-FR"/>
        </w:rPr>
        <w:t> </w:t>
      </w:r>
      <w:r w:rsidRPr="0048528B">
        <w:rPr>
          <w:rFonts w:cs="Arial"/>
          <w:color w:val="000000"/>
          <w:lang w:val="fr-FR"/>
        </w:rPr>
        <w:t>participants.</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contextualSpacing/>
        <w:rPr>
          <w:rFonts w:cs="Arial"/>
          <w:lang w:val="fr-FR"/>
        </w:rPr>
      </w:pPr>
      <w:r w:rsidRPr="0048528B">
        <w:rPr>
          <w:lang w:val="fr-FR"/>
        </w:rPr>
        <w:lastRenderedPageBreak/>
        <w:fldChar w:fldCharType="begin"/>
      </w:r>
      <w:r w:rsidRPr="0048528B">
        <w:rPr>
          <w:lang w:val="fr-FR"/>
        </w:rPr>
        <w:instrText xml:space="preserve"> AUTONUM  \* Arabic </w:instrText>
      </w:r>
      <w:r w:rsidRPr="0048528B">
        <w:rPr>
          <w:lang w:val="fr-FR"/>
        </w:rPr>
        <w:fldChar w:fldCharType="end"/>
      </w:r>
      <w:r w:rsidRPr="0048528B">
        <w:rPr>
          <w:lang w:val="fr-FR"/>
        </w:rPr>
        <w:tab/>
        <w:t>Conformément à l</w:t>
      </w:r>
      <w:r w:rsidR="00F3296C" w:rsidRPr="0048528B">
        <w:rPr>
          <w:lang w:val="fr-FR"/>
        </w:rPr>
        <w:t>’</w:t>
      </w:r>
      <w:r w:rsidRPr="0048528B">
        <w:rPr>
          <w:lang w:val="fr-FR"/>
        </w:rPr>
        <w:t>ordre du jour, plusieurs documents TGP ont été examinés : TGP/7 “Élaboration des principes directeurs d</w:t>
      </w:r>
      <w:r w:rsidR="00F3296C" w:rsidRPr="0048528B">
        <w:rPr>
          <w:lang w:val="fr-FR"/>
        </w:rPr>
        <w:t>’</w:t>
      </w:r>
      <w:r w:rsidRPr="0048528B">
        <w:rPr>
          <w:lang w:val="fr-FR"/>
        </w:rPr>
        <w:t>examen</w:t>
      </w:r>
      <w:r w:rsidR="00821A5B" w:rsidRPr="0048528B">
        <w:rPr>
          <w:lang w:val="fr-FR"/>
        </w:rPr>
        <w:t>”</w:t>
      </w:r>
      <w:r w:rsidRPr="0048528B">
        <w:rPr>
          <w:lang w:val="fr-FR"/>
        </w:rPr>
        <w:t>, TGP/8 “Protocole d</w:t>
      </w:r>
      <w:r w:rsidR="00F3296C" w:rsidRPr="0048528B">
        <w:rPr>
          <w:lang w:val="fr-FR"/>
        </w:rPr>
        <w:t>’</w:t>
      </w:r>
      <w:r w:rsidRPr="0048528B">
        <w:rPr>
          <w:lang w:val="fr-FR"/>
        </w:rPr>
        <w:t>essai et techniques utilisés dans l</w:t>
      </w:r>
      <w:r w:rsidR="00F3296C" w:rsidRPr="0048528B">
        <w:rPr>
          <w:lang w:val="fr-FR"/>
        </w:rPr>
        <w:t>’</w:t>
      </w:r>
      <w:r w:rsidRPr="0048528B">
        <w:rPr>
          <w:lang w:val="fr-FR"/>
        </w:rPr>
        <w:t>examen de la distinction, de l</w:t>
      </w:r>
      <w:r w:rsidR="00F3296C" w:rsidRPr="0048528B">
        <w:rPr>
          <w:lang w:val="fr-FR"/>
        </w:rPr>
        <w:t>’</w:t>
      </w:r>
      <w:r w:rsidRPr="0048528B">
        <w:rPr>
          <w:lang w:val="fr-FR"/>
        </w:rPr>
        <w:t>homogénéité et de la stabilité” et TGP/14 “Glossaire de termes utilisés dans les documents de l</w:t>
      </w:r>
      <w:r w:rsidR="00F3296C" w:rsidRPr="0048528B">
        <w:rPr>
          <w:lang w:val="fr-FR"/>
        </w:rPr>
        <w:t>’</w:t>
      </w:r>
      <w:r w:rsidRPr="0048528B">
        <w:rPr>
          <w:lang w:val="fr-FR"/>
        </w:rPr>
        <w:t>UPOV”.</w:t>
      </w:r>
    </w:p>
    <w:p w:rsidR="00C97F0A" w:rsidRPr="0048528B" w:rsidRDefault="00C97F0A" w:rsidP="00C97F0A">
      <w:pPr>
        <w:autoSpaceDE w:val="0"/>
        <w:autoSpaceDN w:val="0"/>
        <w:adjustRightInd w:val="0"/>
        <w:rPr>
          <w:rFonts w:cs="Arial"/>
          <w:color w:val="000000"/>
          <w:lang w:val="fr-FR"/>
        </w:rPr>
      </w:pPr>
    </w:p>
    <w:p w:rsidR="00F3296C" w:rsidRPr="0048528B" w:rsidRDefault="00C97F0A" w:rsidP="00C97F0A">
      <w:pPr>
        <w:contextualSpacing/>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t>Des échanges de vues ont eu lieu sur le niveau d</w:t>
      </w:r>
      <w:r w:rsidR="00F3296C" w:rsidRPr="0048528B">
        <w:rPr>
          <w:lang w:val="fr-FR"/>
        </w:rPr>
        <w:t>’</w:t>
      </w:r>
      <w:r w:rsidRPr="0048528B">
        <w:rPr>
          <w:lang w:val="fr-FR"/>
        </w:rPr>
        <w:t>homogénéité en ce qui concerne la résistance à la maladie, sur la base du document TWV/46/34 “Levels of uniformity according to the state of expression of obligatory disease resistance characteristics and varieties not bred for having such disease resistance”, et un exposé a été présenté par un expert de l</w:t>
      </w:r>
      <w:r w:rsidR="00F3296C" w:rsidRPr="0048528B">
        <w:rPr>
          <w:lang w:val="fr-FR"/>
        </w:rPr>
        <w:t>’</w:t>
      </w:r>
      <w:r w:rsidRPr="0048528B">
        <w:rPr>
          <w:lang w:val="fr-FR"/>
        </w:rPr>
        <w:t>Union européenne.</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S</w:t>
      </w:r>
      <w:r w:rsidR="00F3296C" w:rsidRPr="0048528B">
        <w:rPr>
          <w:rFonts w:cs="Arial"/>
          <w:color w:val="000000"/>
          <w:lang w:val="fr-FR"/>
        </w:rPr>
        <w:t>’</w:t>
      </w:r>
      <w:r w:rsidRPr="0048528B">
        <w:rPr>
          <w:rFonts w:cs="Arial"/>
          <w:color w:val="000000"/>
          <w:lang w:val="fr-FR"/>
        </w:rPr>
        <w:t>agissant des indications en matière d</w:t>
      </w:r>
      <w:r w:rsidR="00F3296C" w:rsidRPr="0048528B">
        <w:rPr>
          <w:rFonts w:cs="Arial"/>
          <w:color w:val="000000"/>
          <w:lang w:val="fr-FR"/>
        </w:rPr>
        <w:t>’</w:t>
      </w:r>
      <w:r w:rsidRPr="0048528B">
        <w:rPr>
          <w:rFonts w:cs="Arial"/>
          <w:color w:val="000000"/>
          <w:lang w:val="fr-FR"/>
        </w:rPr>
        <w:t>analyse des données aux fins des essais aveugles aléatoires (voir le document TWV/46/17 “Revision of Document TGP/8: Part II: Techniques Used in DUS Examination, New Section: Guidance of Data Analysis for Blind Randomized Trials”),</w:t>
      </w:r>
      <w:r w:rsidR="00F3296C" w:rsidRPr="0048528B">
        <w:rPr>
          <w:rFonts w:cs="Arial"/>
          <w:color w:val="000000"/>
          <w:lang w:val="fr-FR"/>
        </w:rPr>
        <w:t xml:space="preserve"> le TWV</w:t>
      </w:r>
      <w:r w:rsidRPr="0048528B">
        <w:rPr>
          <w:rFonts w:cs="Arial"/>
          <w:color w:val="000000"/>
          <w:lang w:val="fr-FR"/>
        </w:rPr>
        <w:t xml:space="preserve"> a souligné l</w:t>
      </w:r>
      <w:r w:rsidR="00F3296C" w:rsidRPr="0048528B">
        <w:rPr>
          <w:rFonts w:cs="Arial"/>
          <w:color w:val="000000"/>
          <w:lang w:val="fr-FR"/>
        </w:rPr>
        <w:t>’</w:t>
      </w:r>
      <w:r w:rsidRPr="0048528B">
        <w:rPr>
          <w:rFonts w:cs="Arial"/>
          <w:color w:val="000000"/>
          <w:lang w:val="fr-FR"/>
        </w:rPr>
        <w:t>importance de cette approche pour les obtenteurs et la contribution que cette méthode avait apportée au système.  Il a recommandé que les indications soient élaborées davantage sur la base du document TWV/46/17.</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En ce qui concerne les bases de données sur les descriptions variétales (voir le document TWV/46/6 “Variety Description Databases”),</w:t>
      </w:r>
      <w:r w:rsidR="00F3296C" w:rsidRPr="0048528B">
        <w:rPr>
          <w:rFonts w:cs="Arial"/>
          <w:color w:val="000000"/>
          <w:lang w:val="fr-FR"/>
        </w:rPr>
        <w:t xml:space="preserve"> le TWV</w:t>
      </w:r>
      <w:r w:rsidRPr="0048528B">
        <w:rPr>
          <w:rFonts w:cs="Arial"/>
          <w:color w:val="000000"/>
          <w:lang w:val="fr-FR"/>
        </w:rPr>
        <w:t xml:space="preserve"> est convenu que les travaux sur le projet de la base de données sur le pois devraient se poursuivre et qu</w:t>
      </w:r>
      <w:r w:rsidR="00F3296C" w:rsidRPr="0048528B">
        <w:rPr>
          <w:rFonts w:cs="Arial"/>
          <w:color w:val="000000"/>
          <w:lang w:val="fr-FR"/>
        </w:rPr>
        <w:t>’</w:t>
      </w:r>
      <w:r w:rsidRPr="0048528B">
        <w:rPr>
          <w:rFonts w:cs="Arial"/>
          <w:color w:val="000000"/>
          <w:lang w:val="fr-FR"/>
        </w:rPr>
        <w:t>ils seraient un bon exemple pour l</w:t>
      </w:r>
      <w:r w:rsidR="00F3296C" w:rsidRPr="0048528B">
        <w:rPr>
          <w:rFonts w:cs="Arial"/>
          <w:color w:val="000000"/>
          <w:lang w:val="fr-FR"/>
        </w:rPr>
        <w:t>’</w:t>
      </w:r>
      <w:r w:rsidRPr="0048528B">
        <w:rPr>
          <w:rFonts w:cs="Arial"/>
          <w:color w:val="000000"/>
          <w:lang w:val="fr-FR"/>
        </w:rPr>
        <w:t>élaboration de bases de données similaires pour d</w:t>
      </w:r>
      <w:r w:rsidR="00F3296C" w:rsidRPr="0048528B">
        <w:rPr>
          <w:rFonts w:cs="Arial"/>
          <w:color w:val="000000"/>
          <w:lang w:val="fr-FR"/>
        </w:rPr>
        <w:t>’</w:t>
      </w:r>
      <w:r w:rsidRPr="0048528B">
        <w:rPr>
          <w:rFonts w:cs="Arial"/>
          <w:color w:val="000000"/>
          <w:lang w:val="fr-FR"/>
        </w:rPr>
        <w:t xml:space="preserve">autres plantes. </w:t>
      </w:r>
      <w:r w:rsidR="00E3136C" w:rsidRPr="0048528B">
        <w:rPr>
          <w:rFonts w:cs="Arial"/>
          <w:color w:val="000000"/>
          <w:lang w:val="fr-FR"/>
        </w:rPr>
        <w:t xml:space="preserve"> </w:t>
      </w:r>
      <w:r w:rsidRPr="0048528B">
        <w:rPr>
          <w:rFonts w:cs="Arial"/>
          <w:color w:val="000000"/>
          <w:lang w:val="fr-FR"/>
        </w:rPr>
        <w:t>Il est également convenu que cela constituerait un bon point de départ pour une future révision des principes directeurs d</w:t>
      </w:r>
      <w:r w:rsidR="00F3296C" w:rsidRPr="0048528B">
        <w:rPr>
          <w:rFonts w:cs="Arial"/>
          <w:color w:val="000000"/>
          <w:lang w:val="fr-FR"/>
        </w:rPr>
        <w:t>’</w:t>
      </w:r>
      <w:r w:rsidRPr="0048528B">
        <w:rPr>
          <w:rFonts w:cs="Arial"/>
          <w:color w:val="000000"/>
          <w:lang w:val="fr-FR"/>
        </w:rPr>
        <w:t>examen du pois quant aux caractères de groupement.</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Durant la quarante</w:t>
      </w:r>
      <w:r w:rsidR="003F00B6" w:rsidRPr="0048528B">
        <w:rPr>
          <w:rFonts w:cs="Arial"/>
          <w:color w:val="000000"/>
          <w:lang w:val="fr-FR"/>
        </w:rPr>
        <w:noBreakHyphen/>
      </w:r>
      <w:r w:rsidRPr="0048528B">
        <w:rPr>
          <w:rFonts w:cs="Arial"/>
          <w:color w:val="000000"/>
          <w:lang w:val="fr-FR"/>
        </w:rPr>
        <w:t>sixième</w:t>
      </w:r>
      <w:r w:rsidR="00E3136C" w:rsidRPr="0048528B">
        <w:rPr>
          <w:rFonts w:cs="Arial"/>
          <w:color w:val="000000"/>
          <w:lang w:val="fr-FR"/>
        </w:rPr>
        <w:t> </w:t>
      </w:r>
      <w:r w:rsidRPr="0048528B">
        <w:rPr>
          <w:rFonts w:cs="Arial"/>
          <w:color w:val="000000"/>
          <w:lang w:val="fr-FR"/>
        </w:rPr>
        <w:t>session</w:t>
      </w:r>
      <w:r w:rsidR="00F3296C" w:rsidRPr="0048528B">
        <w:rPr>
          <w:rFonts w:cs="Arial"/>
          <w:color w:val="000000"/>
          <w:lang w:val="fr-FR"/>
        </w:rPr>
        <w:t xml:space="preserve"> du TWV</w:t>
      </w:r>
      <w:r w:rsidRPr="0048528B">
        <w:rPr>
          <w:rFonts w:cs="Arial"/>
          <w:color w:val="000000"/>
          <w:lang w:val="fr-FR"/>
        </w:rPr>
        <w:t>, 13</w:t>
      </w:r>
      <w:r w:rsidR="00D70632" w:rsidRPr="0048528B">
        <w:rPr>
          <w:rFonts w:cs="Arial"/>
          <w:color w:val="000000"/>
          <w:lang w:val="fr-FR"/>
        </w:rPr>
        <w:t> </w:t>
      </w:r>
      <w:r w:rsidR="00043994" w:rsidRPr="0048528B">
        <w:rPr>
          <w:rFonts w:cs="Arial"/>
          <w:color w:val="000000"/>
          <w:lang w:val="fr-FR"/>
        </w:rPr>
        <w:t>principes</w:t>
      </w:r>
      <w:r w:rsidRPr="0048528B">
        <w:rPr>
          <w:rFonts w:cs="Arial"/>
          <w:color w:val="000000"/>
          <w:lang w:val="fr-FR"/>
        </w:rPr>
        <w:t xml:space="preserve"> directeurs d</w:t>
      </w:r>
      <w:r w:rsidR="00F3296C" w:rsidRPr="0048528B">
        <w:rPr>
          <w:rFonts w:cs="Arial"/>
          <w:color w:val="000000"/>
          <w:lang w:val="fr-FR"/>
        </w:rPr>
        <w:t>’</w:t>
      </w:r>
      <w:r w:rsidRPr="0048528B">
        <w:rPr>
          <w:rFonts w:cs="Arial"/>
          <w:color w:val="000000"/>
          <w:lang w:val="fr-FR"/>
        </w:rPr>
        <w:t xml:space="preserve">examen ont été examinés. </w:t>
      </w:r>
      <w:r w:rsidR="00F3296C" w:rsidRPr="0048528B">
        <w:rPr>
          <w:rFonts w:cs="Arial"/>
          <w:color w:val="000000"/>
          <w:lang w:val="fr-FR"/>
        </w:rPr>
        <w:t xml:space="preserve"> Le TWV</w:t>
      </w:r>
      <w:r w:rsidRPr="0048528B">
        <w:rPr>
          <w:rFonts w:cs="Arial"/>
          <w:color w:val="000000"/>
          <w:lang w:val="fr-FR"/>
        </w:rPr>
        <w:t xml:space="preserve"> est convenu de soumettre neuf</w:t>
      </w:r>
      <w:r w:rsidR="00E3136C" w:rsidRPr="0048528B">
        <w:rPr>
          <w:rFonts w:cs="Arial"/>
          <w:color w:val="000000"/>
          <w:lang w:val="fr-FR"/>
        </w:rPr>
        <w:t> </w:t>
      </w:r>
      <w:r w:rsidRPr="0048528B">
        <w:rPr>
          <w:rFonts w:cs="Arial"/>
          <w:color w:val="000000"/>
          <w:lang w:val="fr-FR"/>
        </w:rPr>
        <w:t>principes directeurs d</w:t>
      </w:r>
      <w:r w:rsidR="00F3296C" w:rsidRPr="0048528B">
        <w:rPr>
          <w:rFonts w:cs="Arial"/>
          <w:color w:val="000000"/>
          <w:lang w:val="fr-FR"/>
        </w:rPr>
        <w:t>’</w:t>
      </w:r>
      <w:r w:rsidRPr="0048528B">
        <w:rPr>
          <w:rFonts w:cs="Arial"/>
          <w:color w:val="000000"/>
          <w:lang w:val="fr-FR"/>
        </w:rPr>
        <w:t>examen au Comité technique, dont trois</w:t>
      </w:r>
      <w:r w:rsidR="00E3136C" w:rsidRPr="0048528B">
        <w:rPr>
          <w:rFonts w:cs="Arial"/>
          <w:color w:val="000000"/>
          <w:lang w:val="fr-FR"/>
        </w:rPr>
        <w:t> </w:t>
      </w:r>
      <w:r w:rsidRPr="0048528B">
        <w:rPr>
          <w:rFonts w:cs="Arial"/>
          <w:color w:val="000000"/>
          <w:lang w:val="fr-FR"/>
        </w:rPr>
        <w:t xml:space="preserve">nouveaux, </w:t>
      </w:r>
      <w:r w:rsidR="00F3296C" w:rsidRPr="0048528B">
        <w:rPr>
          <w:rFonts w:cs="Arial"/>
          <w:color w:val="000000"/>
          <w:lang w:val="fr-FR"/>
        </w:rPr>
        <w:t>à savoir</w:t>
      </w:r>
      <w:r w:rsidRPr="0048528B">
        <w:rPr>
          <w:rFonts w:cs="Arial"/>
          <w:color w:val="000000"/>
          <w:lang w:val="fr-FR"/>
        </w:rPr>
        <w:t xml:space="preserve"> la coriandre, la pleurotte en coquille, le porte</w:t>
      </w:r>
      <w:r w:rsidR="003F00B6" w:rsidRPr="0048528B">
        <w:rPr>
          <w:rFonts w:cs="Arial"/>
          <w:color w:val="000000"/>
          <w:lang w:val="fr-FR"/>
        </w:rPr>
        <w:noBreakHyphen/>
      </w:r>
      <w:r w:rsidRPr="0048528B">
        <w:rPr>
          <w:rFonts w:cs="Arial"/>
          <w:color w:val="000000"/>
          <w:lang w:val="fr-FR"/>
        </w:rPr>
        <w:t>greffe de tomate, et six</w:t>
      </w:r>
      <w:r w:rsidR="00E3136C" w:rsidRPr="0048528B">
        <w:rPr>
          <w:rFonts w:cs="Arial"/>
          <w:color w:val="000000"/>
          <w:lang w:val="fr-FR"/>
        </w:rPr>
        <w:t> </w:t>
      </w:r>
      <w:r w:rsidRPr="0048528B">
        <w:rPr>
          <w:rFonts w:cs="Arial"/>
          <w:color w:val="000000"/>
          <w:lang w:val="fr-FR"/>
        </w:rPr>
        <w:t xml:space="preserve">révisions, </w:t>
      </w:r>
      <w:r w:rsidR="00F3296C" w:rsidRPr="0048528B">
        <w:rPr>
          <w:rFonts w:cs="Arial"/>
          <w:color w:val="000000"/>
          <w:lang w:val="fr-FR"/>
        </w:rPr>
        <w:t>à savoir</w:t>
      </w:r>
      <w:r w:rsidRPr="0048528B">
        <w:rPr>
          <w:rFonts w:cs="Arial"/>
          <w:color w:val="000000"/>
          <w:lang w:val="fr-FR"/>
        </w:rPr>
        <w:t xml:space="preserve"> la </w:t>
      </w:r>
      <w:r w:rsidR="00A536ED" w:rsidRPr="0048528B">
        <w:rPr>
          <w:rFonts w:cs="Arial"/>
          <w:color w:val="000000"/>
          <w:lang w:val="fr-FR"/>
        </w:rPr>
        <w:t>chicorée frisée</w:t>
      </w:r>
      <w:r w:rsidRPr="0048528B">
        <w:rPr>
          <w:rFonts w:cs="Arial"/>
          <w:color w:val="000000"/>
          <w:lang w:val="fr-FR"/>
        </w:rPr>
        <w:t xml:space="preserve">, </w:t>
      </w:r>
      <w:r w:rsidR="00C938D0" w:rsidRPr="0048528B">
        <w:rPr>
          <w:rFonts w:cs="Arial"/>
          <w:color w:val="000000"/>
          <w:lang w:val="fr-FR"/>
        </w:rPr>
        <w:t xml:space="preserve">la laitue, </w:t>
      </w:r>
      <w:r w:rsidRPr="0048528B">
        <w:rPr>
          <w:rFonts w:cs="Arial"/>
          <w:color w:val="000000"/>
          <w:lang w:val="fr-FR"/>
        </w:rPr>
        <w:t>le pavot, l</w:t>
      </w:r>
      <w:r w:rsidR="00F3296C" w:rsidRPr="0048528B">
        <w:rPr>
          <w:rFonts w:cs="Arial"/>
          <w:color w:val="000000"/>
          <w:lang w:val="fr-FR"/>
        </w:rPr>
        <w:t>’</w:t>
      </w:r>
      <w:r w:rsidRPr="0048528B">
        <w:rPr>
          <w:rFonts w:cs="Arial"/>
          <w:color w:val="000000"/>
          <w:lang w:val="fr-FR"/>
        </w:rPr>
        <w:t>épinard, la tomate et la pastèque.</w:t>
      </w:r>
    </w:p>
    <w:p w:rsidR="00C97F0A" w:rsidRPr="0048528B" w:rsidRDefault="00C97F0A" w:rsidP="00C97F0A">
      <w:pPr>
        <w:rPr>
          <w:rFonts w:cs="Arial"/>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Le TWV est convenu d</w:t>
      </w:r>
      <w:r w:rsidR="00F3296C" w:rsidRPr="0048528B">
        <w:rPr>
          <w:rFonts w:cs="Arial"/>
          <w:lang w:val="fr-FR"/>
        </w:rPr>
        <w:t>’</w:t>
      </w:r>
      <w:r w:rsidRPr="0048528B">
        <w:rPr>
          <w:rFonts w:cs="Arial"/>
          <w:lang w:val="fr-FR"/>
        </w:rPr>
        <w:t>examiner à sa quarante</w:t>
      </w:r>
      <w:r w:rsidR="003F00B6" w:rsidRPr="0048528B">
        <w:rPr>
          <w:rFonts w:cs="Arial"/>
          <w:lang w:val="fr-FR"/>
        </w:rPr>
        <w:noBreakHyphen/>
      </w:r>
      <w:r w:rsidRPr="0048528B">
        <w:rPr>
          <w:rFonts w:cs="Arial"/>
          <w:lang w:val="fr-FR"/>
        </w:rPr>
        <w:t>septième</w:t>
      </w:r>
      <w:r w:rsidR="00E3136C" w:rsidRPr="0048528B">
        <w:rPr>
          <w:rFonts w:cs="Arial"/>
          <w:lang w:val="fr-FR"/>
        </w:rPr>
        <w:t> </w:t>
      </w:r>
      <w:r w:rsidRPr="0048528B">
        <w:rPr>
          <w:rFonts w:cs="Arial"/>
          <w:lang w:val="fr-FR"/>
        </w:rPr>
        <w:t>session les projets ci</w:t>
      </w:r>
      <w:r w:rsidR="003F00B6" w:rsidRPr="0048528B">
        <w:rPr>
          <w:rFonts w:cs="Arial"/>
          <w:lang w:val="fr-FR"/>
        </w:rPr>
        <w:noBreakHyphen/>
      </w:r>
      <w:r w:rsidRPr="0048528B">
        <w:rPr>
          <w:rFonts w:cs="Arial"/>
          <w:lang w:val="fr-FR"/>
        </w:rPr>
        <w:t>après de principes directeurs d</w:t>
      </w:r>
      <w:r w:rsidR="00F3296C" w:rsidRPr="0048528B">
        <w:rPr>
          <w:rFonts w:cs="Arial"/>
          <w:lang w:val="fr-FR"/>
        </w:rPr>
        <w:t>’</w:t>
      </w:r>
      <w:r w:rsidRPr="0048528B">
        <w:rPr>
          <w:rFonts w:cs="Arial"/>
          <w:lang w:val="fr-FR"/>
        </w:rPr>
        <w:t>examen :</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numPr>
          <w:ilvl w:val="0"/>
          <w:numId w:val="36"/>
        </w:numPr>
        <w:autoSpaceDE w:val="0"/>
        <w:autoSpaceDN w:val="0"/>
        <w:adjustRightInd w:val="0"/>
        <w:rPr>
          <w:rFonts w:cs="Arial"/>
          <w:szCs w:val="24"/>
          <w:lang w:val="fr-FR"/>
        </w:rPr>
      </w:pPr>
      <w:r w:rsidRPr="0048528B">
        <w:rPr>
          <w:rFonts w:cs="Arial"/>
          <w:szCs w:val="24"/>
          <w:lang w:val="fr-FR"/>
        </w:rPr>
        <w:t>la calebasse, gourde (Lagenaria siceraria (Molina) Standl.)</w:t>
      </w:r>
    </w:p>
    <w:p w:rsidR="00C97F0A" w:rsidRPr="0048528B" w:rsidRDefault="00C97F0A" w:rsidP="00C97F0A">
      <w:pPr>
        <w:numPr>
          <w:ilvl w:val="0"/>
          <w:numId w:val="36"/>
        </w:numPr>
        <w:autoSpaceDE w:val="0"/>
        <w:autoSpaceDN w:val="0"/>
        <w:adjustRightInd w:val="0"/>
        <w:rPr>
          <w:rFonts w:cs="Arial"/>
          <w:szCs w:val="24"/>
          <w:lang w:val="fr-FR"/>
        </w:rPr>
      </w:pPr>
      <w:r w:rsidRPr="0048528B">
        <w:rPr>
          <w:rFonts w:cs="Arial"/>
          <w:szCs w:val="24"/>
          <w:lang w:val="fr-FR"/>
        </w:rPr>
        <w:t>la moutarde brune (Brasica juncea (L.) Czern)</w:t>
      </w:r>
    </w:p>
    <w:p w:rsidR="00C97F0A" w:rsidRPr="0048528B" w:rsidRDefault="00C97F0A" w:rsidP="00C97F0A">
      <w:pPr>
        <w:numPr>
          <w:ilvl w:val="0"/>
          <w:numId w:val="36"/>
        </w:numPr>
        <w:autoSpaceDE w:val="0"/>
        <w:autoSpaceDN w:val="0"/>
        <w:adjustRightInd w:val="0"/>
        <w:rPr>
          <w:rFonts w:cs="Arial"/>
          <w:szCs w:val="24"/>
          <w:lang w:val="fr-FR"/>
        </w:rPr>
      </w:pPr>
      <w:r w:rsidRPr="0048528B">
        <w:rPr>
          <w:rFonts w:cs="Arial"/>
          <w:szCs w:val="24"/>
          <w:lang w:val="fr-FR"/>
        </w:rPr>
        <w:t>le manioc (Manihot esculenta Crantz.)</w:t>
      </w:r>
    </w:p>
    <w:p w:rsidR="00C97F0A" w:rsidRPr="0048528B" w:rsidRDefault="00C97F0A" w:rsidP="00C97F0A">
      <w:pPr>
        <w:numPr>
          <w:ilvl w:val="0"/>
          <w:numId w:val="36"/>
        </w:numPr>
        <w:autoSpaceDE w:val="0"/>
        <w:autoSpaceDN w:val="0"/>
        <w:adjustRightInd w:val="0"/>
        <w:rPr>
          <w:rFonts w:cs="Arial"/>
          <w:szCs w:val="24"/>
          <w:lang w:val="fr-FR"/>
        </w:rPr>
      </w:pPr>
      <w:r w:rsidRPr="0048528B">
        <w:rPr>
          <w:rFonts w:cs="Arial"/>
          <w:szCs w:val="24"/>
          <w:lang w:val="fr-FR"/>
        </w:rPr>
        <w:t>la ciboulette (Allium schoenoprasum L.) (révision)</w:t>
      </w:r>
    </w:p>
    <w:p w:rsidR="00C97F0A" w:rsidRPr="0048528B" w:rsidRDefault="00C97F0A" w:rsidP="00C97F0A">
      <w:pPr>
        <w:numPr>
          <w:ilvl w:val="0"/>
          <w:numId w:val="36"/>
        </w:numPr>
        <w:autoSpaceDE w:val="0"/>
        <w:autoSpaceDN w:val="0"/>
        <w:adjustRightInd w:val="0"/>
        <w:rPr>
          <w:rFonts w:cs="Arial"/>
          <w:snapToGrid w:val="0"/>
          <w:color w:val="000000"/>
          <w:lang w:val="fr-FR"/>
        </w:rPr>
      </w:pPr>
      <w:r w:rsidRPr="0048528B">
        <w:rPr>
          <w:rFonts w:cs="Arial"/>
          <w:snapToGrid w:val="0"/>
          <w:color w:val="000000"/>
          <w:lang w:val="fr-FR"/>
        </w:rPr>
        <w:t>le concombre (Cucumis sativus L.) (révision partielle</w:t>
      </w:r>
      <w:r w:rsidR="00E3136C" w:rsidRPr="0048528B">
        <w:rPr>
          <w:rFonts w:cs="Arial"/>
          <w:snapToGrid w:val="0"/>
          <w:color w:val="000000"/>
          <w:lang w:val="fr-FR"/>
        </w:rPr>
        <w:t> </w:t>
      </w:r>
      <w:r w:rsidRPr="0048528B">
        <w:rPr>
          <w:rFonts w:cs="Arial"/>
          <w:snapToGrid w:val="0"/>
          <w:color w:val="000000"/>
          <w:lang w:val="fr-FR"/>
        </w:rPr>
        <w:t>: résistance à la maladie)</w:t>
      </w:r>
    </w:p>
    <w:p w:rsidR="00C97F0A" w:rsidRPr="0048528B" w:rsidRDefault="00C97F0A" w:rsidP="00C97F0A">
      <w:pPr>
        <w:numPr>
          <w:ilvl w:val="0"/>
          <w:numId w:val="36"/>
        </w:numPr>
        <w:autoSpaceDE w:val="0"/>
        <w:autoSpaceDN w:val="0"/>
        <w:adjustRightInd w:val="0"/>
        <w:rPr>
          <w:rFonts w:cs="Arial"/>
          <w:szCs w:val="24"/>
          <w:lang w:val="fr-FR"/>
        </w:rPr>
      </w:pPr>
      <w:r w:rsidRPr="0048528B">
        <w:rPr>
          <w:rFonts w:cs="Arial"/>
          <w:szCs w:val="24"/>
          <w:lang w:val="fr-FR"/>
        </w:rPr>
        <w:t>Cucurbita maxima x Cucurbita moschata (porte</w:t>
      </w:r>
      <w:r w:rsidR="003F00B6" w:rsidRPr="0048528B">
        <w:rPr>
          <w:rFonts w:cs="Arial"/>
          <w:szCs w:val="24"/>
          <w:lang w:val="fr-FR"/>
        </w:rPr>
        <w:noBreakHyphen/>
      </w:r>
      <w:r w:rsidRPr="0048528B">
        <w:rPr>
          <w:rFonts w:cs="Arial"/>
          <w:szCs w:val="24"/>
          <w:lang w:val="fr-FR"/>
        </w:rPr>
        <w:t>greffes)</w:t>
      </w:r>
    </w:p>
    <w:p w:rsidR="00C97F0A" w:rsidRPr="0048528B" w:rsidRDefault="00C97F0A" w:rsidP="00C97F0A">
      <w:pPr>
        <w:numPr>
          <w:ilvl w:val="0"/>
          <w:numId w:val="36"/>
        </w:numPr>
        <w:autoSpaceDE w:val="0"/>
        <w:autoSpaceDN w:val="0"/>
        <w:adjustRightInd w:val="0"/>
        <w:rPr>
          <w:rFonts w:cs="Arial"/>
          <w:szCs w:val="24"/>
          <w:lang w:val="fr-FR"/>
        </w:rPr>
      </w:pPr>
      <w:r w:rsidRPr="0048528B">
        <w:rPr>
          <w:rFonts w:cs="Arial"/>
          <w:szCs w:val="24"/>
          <w:lang w:val="fr-FR"/>
        </w:rPr>
        <w:t>l</w:t>
      </w:r>
      <w:r w:rsidR="00F3296C" w:rsidRPr="0048528B">
        <w:rPr>
          <w:rFonts w:cs="Arial"/>
          <w:szCs w:val="24"/>
          <w:lang w:val="fr-FR"/>
        </w:rPr>
        <w:t>’</w:t>
      </w:r>
      <w:r w:rsidRPr="0048528B">
        <w:rPr>
          <w:rFonts w:cs="Arial"/>
          <w:szCs w:val="24"/>
          <w:lang w:val="fr-FR"/>
        </w:rPr>
        <w:t>endive (Cichorium intybus L.</w:t>
      </w:r>
      <w:r w:rsidR="00E3136C" w:rsidRPr="0048528B">
        <w:rPr>
          <w:rFonts w:cs="Arial"/>
          <w:szCs w:val="24"/>
          <w:lang w:val="fr-FR"/>
        </w:rPr>
        <w:t> </w:t>
      </w:r>
      <w:r w:rsidRPr="0048528B">
        <w:rPr>
          <w:rFonts w:cs="Arial"/>
          <w:szCs w:val="24"/>
          <w:lang w:val="fr-FR"/>
        </w:rPr>
        <w:t>var. foliosum Hegi) (révision)</w:t>
      </w:r>
    </w:p>
    <w:p w:rsidR="00C97F0A" w:rsidRPr="0048528B" w:rsidRDefault="00C97F0A" w:rsidP="00C97F0A">
      <w:pPr>
        <w:numPr>
          <w:ilvl w:val="0"/>
          <w:numId w:val="36"/>
        </w:numPr>
        <w:autoSpaceDE w:val="0"/>
        <w:autoSpaceDN w:val="0"/>
        <w:adjustRightInd w:val="0"/>
        <w:rPr>
          <w:rFonts w:cs="Arial"/>
          <w:szCs w:val="24"/>
          <w:lang w:val="fr-FR"/>
        </w:rPr>
      </w:pPr>
      <w:r w:rsidRPr="0048528B">
        <w:rPr>
          <w:rFonts w:cs="Arial"/>
          <w:szCs w:val="24"/>
          <w:lang w:val="fr-FR"/>
        </w:rPr>
        <w:t>l</w:t>
      </w:r>
      <w:r w:rsidR="00F3296C" w:rsidRPr="0048528B">
        <w:rPr>
          <w:rFonts w:cs="Arial"/>
          <w:szCs w:val="24"/>
          <w:lang w:val="fr-FR"/>
        </w:rPr>
        <w:t>’</w:t>
      </w:r>
      <w:r w:rsidRPr="0048528B">
        <w:rPr>
          <w:rFonts w:cs="Arial"/>
          <w:szCs w:val="24"/>
          <w:lang w:val="fr-FR"/>
        </w:rPr>
        <w:t>endive (Cichorium intybus L.</w:t>
      </w:r>
      <w:r w:rsidR="00E3136C" w:rsidRPr="0048528B">
        <w:rPr>
          <w:rFonts w:cs="Arial"/>
          <w:szCs w:val="24"/>
          <w:lang w:val="fr-FR"/>
        </w:rPr>
        <w:t> </w:t>
      </w:r>
      <w:r w:rsidRPr="0048528B">
        <w:rPr>
          <w:rFonts w:cs="Arial"/>
          <w:szCs w:val="24"/>
          <w:lang w:val="fr-FR"/>
        </w:rPr>
        <w:t>var. foliosum Hegi) (révision)</w:t>
      </w:r>
    </w:p>
    <w:p w:rsidR="00C97F0A" w:rsidRPr="0048528B" w:rsidRDefault="00C97F0A" w:rsidP="00C97F0A">
      <w:pPr>
        <w:numPr>
          <w:ilvl w:val="0"/>
          <w:numId w:val="36"/>
        </w:numPr>
        <w:autoSpaceDE w:val="0"/>
        <w:autoSpaceDN w:val="0"/>
        <w:adjustRightInd w:val="0"/>
        <w:rPr>
          <w:rFonts w:cs="Arial"/>
          <w:szCs w:val="24"/>
          <w:lang w:val="fr-FR"/>
        </w:rPr>
      </w:pPr>
      <w:r w:rsidRPr="0048528B">
        <w:rPr>
          <w:rFonts w:cs="Arial"/>
          <w:szCs w:val="24"/>
          <w:lang w:val="fr-FR"/>
        </w:rPr>
        <w:t>la lentille (Lens culinaris Medik.) (révision)</w:t>
      </w:r>
    </w:p>
    <w:p w:rsidR="00C97F0A" w:rsidRPr="0048528B" w:rsidRDefault="00C97F0A" w:rsidP="00C97F0A">
      <w:pPr>
        <w:numPr>
          <w:ilvl w:val="0"/>
          <w:numId w:val="36"/>
        </w:numPr>
        <w:autoSpaceDE w:val="0"/>
        <w:autoSpaceDN w:val="0"/>
        <w:adjustRightInd w:val="0"/>
        <w:rPr>
          <w:rFonts w:cs="Arial"/>
          <w:szCs w:val="24"/>
          <w:lang w:val="fr-FR"/>
        </w:rPr>
      </w:pPr>
      <w:r w:rsidRPr="0048528B">
        <w:rPr>
          <w:rFonts w:cs="Arial"/>
          <w:szCs w:val="24"/>
          <w:lang w:val="fr-FR"/>
        </w:rPr>
        <w:t>le melon (Cucumis melo L.) (révision partielle</w:t>
      </w:r>
      <w:r w:rsidR="00E3136C" w:rsidRPr="0048528B">
        <w:rPr>
          <w:rFonts w:cs="Arial"/>
          <w:szCs w:val="24"/>
          <w:lang w:val="fr-FR"/>
        </w:rPr>
        <w:t> </w:t>
      </w:r>
      <w:r w:rsidRPr="0048528B">
        <w:rPr>
          <w:rFonts w:cs="Arial"/>
          <w:szCs w:val="24"/>
          <w:lang w:val="fr-FR"/>
        </w:rPr>
        <w:t>: résistance à la maladie)</w:t>
      </w:r>
    </w:p>
    <w:p w:rsidR="00C97F0A" w:rsidRPr="0048528B" w:rsidRDefault="00C97F0A" w:rsidP="00C97F0A">
      <w:pPr>
        <w:numPr>
          <w:ilvl w:val="0"/>
          <w:numId w:val="36"/>
        </w:numPr>
        <w:autoSpaceDE w:val="0"/>
        <w:autoSpaceDN w:val="0"/>
        <w:adjustRightInd w:val="0"/>
        <w:rPr>
          <w:rFonts w:cs="Arial"/>
          <w:szCs w:val="24"/>
          <w:lang w:val="fr-FR"/>
        </w:rPr>
      </w:pPr>
      <w:r w:rsidRPr="0048528B">
        <w:rPr>
          <w:rFonts w:cs="Arial"/>
          <w:szCs w:val="24"/>
          <w:lang w:val="fr-FR"/>
        </w:rPr>
        <w:t>le pois (Pisum sativum L.) (révision partielle</w:t>
      </w:r>
      <w:r w:rsidR="00E3136C" w:rsidRPr="0048528B">
        <w:rPr>
          <w:rFonts w:cs="Arial"/>
          <w:szCs w:val="24"/>
          <w:lang w:val="fr-FR"/>
        </w:rPr>
        <w:t> </w:t>
      </w:r>
      <w:r w:rsidRPr="0048528B">
        <w:rPr>
          <w:rFonts w:cs="Arial"/>
          <w:szCs w:val="24"/>
          <w:lang w:val="fr-FR"/>
        </w:rPr>
        <w:t>: caractères de groupement)</w:t>
      </w:r>
    </w:p>
    <w:p w:rsidR="00C97F0A" w:rsidRPr="0048528B" w:rsidRDefault="00C97F0A" w:rsidP="00C97F0A">
      <w:pPr>
        <w:numPr>
          <w:ilvl w:val="0"/>
          <w:numId w:val="36"/>
        </w:numPr>
        <w:autoSpaceDE w:val="0"/>
        <w:autoSpaceDN w:val="0"/>
        <w:adjustRightInd w:val="0"/>
        <w:rPr>
          <w:rFonts w:cs="Arial"/>
          <w:szCs w:val="24"/>
          <w:lang w:val="fr-FR"/>
        </w:rPr>
      </w:pPr>
      <w:r w:rsidRPr="0048528B">
        <w:rPr>
          <w:rFonts w:cs="Arial"/>
          <w:szCs w:val="24"/>
          <w:lang w:val="fr-FR"/>
        </w:rPr>
        <w:t>le piment, le poivron (Capsicum annuum L.) (révision partielle</w:t>
      </w:r>
      <w:r w:rsidR="00E3136C" w:rsidRPr="0048528B">
        <w:rPr>
          <w:rFonts w:cs="Arial"/>
          <w:szCs w:val="24"/>
          <w:lang w:val="fr-FR"/>
        </w:rPr>
        <w:t> </w:t>
      </w:r>
      <w:r w:rsidRPr="0048528B">
        <w:rPr>
          <w:rFonts w:cs="Arial"/>
          <w:szCs w:val="24"/>
          <w:lang w:val="fr-FR"/>
        </w:rPr>
        <w:t>: résistance à la maladie)</w:t>
      </w:r>
    </w:p>
    <w:p w:rsidR="00C97F0A" w:rsidRPr="0048528B" w:rsidRDefault="00C97F0A" w:rsidP="00C97F0A">
      <w:pPr>
        <w:numPr>
          <w:ilvl w:val="0"/>
          <w:numId w:val="36"/>
        </w:numPr>
        <w:autoSpaceDE w:val="0"/>
        <w:autoSpaceDN w:val="0"/>
        <w:adjustRightInd w:val="0"/>
        <w:rPr>
          <w:rFonts w:cs="Arial"/>
          <w:szCs w:val="24"/>
          <w:lang w:val="fr-FR"/>
        </w:rPr>
      </w:pPr>
      <w:r w:rsidRPr="0048528B">
        <w:rPr>
          <w:rFonts w:cs="Arial"/>
          <w:szCs w:val="24"/>
          <w:lang w:val="fr-FR"/>
        </w:rPr>
        <w:t>la chirorée, endive (Cichorium intybus L.</w:t>
      </w:r>
      <w:r w:rsidR="00E3136C" w:rsidRPr="0048528B">
        <w:rPr>
          <w:rFonts w:cs="Arial"/>
          <w:szCs w:val="24"/>
          <w:lang w:val="fr-FR"/>
        </w:rPr>
        <w:t> </w:t>
      </w:r>
      <w:r w:rsidRPr="0048528B">
        <w:rPr>
          <w:rFonts w:cs="Arial"/>
          <w:szCs w:val="24"/>
          <w:lang w:val="fr-FR"/>
        </w:rPr>
        <w:t>partim) (révision)</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autoSpaceDE w:val="0"/>
        <w:autoSpaceDN w:val="0"/>
        <w:adjustRightInd w:val="0"/>
        <w:rPr>
          <w:rFonts w:cs="Arial"/>
          <w:color w:val="000000"/>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color w:val="000000"/>
          <w:lang w:val="fr-FR"/>
        </w:rPr>
        <w:t>À l</w:t>
      </w:r>
      <w:r w:rsidR="00F3296C" w:rsidRPr="0048528B">
        <w:rPr>
          <w:rFonts w:cs="Arial"/>
          <w:color w:val="000000"/>
          <w:lang w:val="fr-FR"/>
        </w:rPr>
        <w:t>’</w:t>
      </w:r>
      <w:r w:rsidRPr="0048528B">
        <w:rPr>
          <w:rFonts w:cs="Arial"/>
          <w:color w:val="000000"/>
          <w:lang w:val="fr-FR"/>
        </w:rPr>
        <w:t>invitation du Japon,</w:t>
      </w:r>
      <w:r w:rsidR="00F3296C" w:rsidRPr="0048528B">
        <w:rPr>
          <w:rFonts w:cs="Arial"/>
          <w:color w:val="000000"/>
          <w:lang w:val="fr-FR"/>
        </w:rPr>
        <w:t xml:space="preserve"> le TWV</w:t>
      </w:r>
      <w:r w:rsidRPr="0048528B">
        <w:rPr>
          <w:rFonts w:cs="Arial"/>
          <w:color w:val="000000"/>
          <w:lang w:val="fr-FR"/>
        </w:rPr>
        <w:t xml:space="preserve"> a décidé de tenir sa quarante</w:t>
      </w:r>
      <w:r w:rsidR="003F00B6" w:rsidRPr="0048528B">
        <w:rPr>
          <w:rFonts w:cs="Arial"/>
          <w:color w:val="000000"/>
          <w:lang w:val="fr-FR"/>
        </w:rPr>
        <w:noBreakHyphen/>
      </w:r>
      <w:r w:rsidRPr="0048528B">
        <w:rPr>
          <w:rFonts w:cs="Arial"/>
          <w:color w:val="000000"/>
          <w:lang w:val="fr-FR"/>
        </w:rPr>
        <w:t>septième</w:t>
      </w:r>
      <w:r w:rsidR="00E3136C" w:rsidRPr="0048528B">
        <w:rPr>
          <w:rFonts w:cs="Arial"/>
          <w:color w:val="000000"/>
          <w:lang w:val="fr-FR"/>
        </w:rPr>
        <w:t> </w:t>
      </w:r>
      <w:r w:rsidRPr="0048528B">
        <w:rPr>
          <w:rFonts w:cs="Arial"/>
          <w:color w:val="000000"/>
          <w:lang w:val="fr-FR"/>
        </w:rPr>
        <w:t>session à Nagasaki du 20 au 2</w:t>
      </w:r>
      <w:r w:rsidR="00F3296C" w:rsidRPr="0048528B">
        <w:rPr>
          <w:rFonts w:cs="Arial"/>
          <w:color w:val="000000"/>
          <w:lang w:val="fr-FR"/>
        </w:rPr>
        <w:t>4 mai,</w:t>
      </w:r>
      <w:r w:rsidRPr="0048528B">
        <w:rPr>
          <w:rFonts w:cs="Arial"/>
          <w:color w:val="000000"/>
          <w:lang w:val="fr-FR"/>
        </w:rPr>
        <w:t xml:space="preserve"> un atelier préparatoire étant prévu le 1</w:t>
      </w:r>
      <w:r w:rsidR="00F3296C" w:rsidRPr="0048528B">
        <w:rPr>
          <w:rFonts w:cs="Arial"/>
          <w:color w:val="000000"/>
          <w:lang w:val="fr-FR"/>
        </w:rPr>
        <w:t>9 mai 20</w:t>
      </w:r>
      <w:r w:rsidRPr="0048528B">
        <w:rPr>
          <w:rFonts w:cs="Arial"/>
          <w:color w:val="000000"/>
          <w:lang w:val="fr-FR"/>
        </w:rPr>
        <w:t>13.</w:t>
      </w:r>
    </w:p>
    <w:p w:rsidR="00C97F0A" w:rsidRPr="0048528B" w:rsidRDefault="00C97F0A" w:rsidP="00C97F0A">
      <w:pPr>
        <w:rPr>
          <w:u w:val="single"/>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 xml:space="preserve">Le TWV a proposé </w:t>
      </w:r>
      <w:r w:rsidR="00A536ED" w:rsidRPr="0048528B">
        <w:rPr>
          <w:rFonts w:cs="Arial"/>
          <w:lang w:val="fr-FR"/>
        </w:rPr>
        <w:t>d’examiner</w:t>
      </w:r>
      <w:r w:rsidRPr="0048528B">
        <w:rPr>
          <w:rFonts w:cs="Arial"/>
          <w:lang w:val="fr-FR"/>
        </w:rPr>
        <w:t xml:space="preserve"> les points </w:t>
      </w:r>
      <w:r w:rsidR="00A536ED" w:rsidRPr="0048528B">
        <w:rPr>
          <w:rFonts w:cs="Arial"/>
          <w:lang w:val="fr-FR"/>
        </w:rPr>
        <w:t>suivants</w:t>
      </w:r>
      <w:r w:rsidRPr="0048528B">
        <w:rPr>
          <w:rFonts w:cs="Arial"/>
          <w:lang w:val="fr-FR"/>
        </w:rPr>
        <w:t xml:space="preserve"> à cette session</w:t>
      </w:r>
      <w:r w:rsidR="00E3136C" w:rsidRPr="0048528B">
        <w:rPr>
          <w:rFonts w:cs="Arial"/>
          <w:lang w:val="fr-FR"/>
        </w:rPr>
        <w:t> </w:t>
      </w:r>
      <w:r w:rsidRPr="0048528B">
        <w:rPr>
          <w:rFonts w:cs="Arial"/>
          <w:lang w:val="fr-FR"/>
        </w:rPr>
        <w:t>:</w:t>
      </w:r>
    </w:p>
    <w:p w:rsidR="00C97F0A" w:rsidRPr="0048528B" w:rsidRDefault="00C97F0A" w:rsidP="00C97F0A">
      <w:pPr>
        <w:rPr>
          <w:rFonts w:cs="Arial"/>
          <w:lang w:val="fr-FR"/>
        </w:rPr>
      </w:pP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1.</w:t>
      </w:r>
      <w:r w:rsidRPr="0048528B">
        <w:rPr>
          <w:rFonts w:cs="Arial"/>
          <w:lang w:val="fr-FR"/>
        </w:rPr>
        <w:tab/>
        <w:t>Ouverture de la session</w:t>
      </w:r>
    </w:p>
    <w:p w:rsidR="00C97F0A" w:rsidRPr="0048528B" w:rsidRDefault="00C97F0A" w:rsidP="00C97F0A">
      <w:pPr>
        <w:tabs>
          <w:tab w:val="num" w:pos="1134"/>
        </w:tabs>
        <w:spacing w:before="20" w:afterLines="20" w:after="48"/>
        <w:ind w:left="567"/>
        <w:rPr>
          <w:rFonts w:cs="Arial"/>
          <w:lang w:val="fr-FR"/>
        </w:rPr>
      </w:pPr>
      <w:r w:rsidRPr="0048528B">
        <w:rPr>
          <w:rFonts w:cs="Arial"/>
          <w:lang w:val="fr-FR"/>
        </w:rPr>
        <w:t>2.</w:t>
      </w:r>
      <w:r w:rsidRPr="0048528B">
        <w:rPr>
          <w:rFonts w:cs="Arial"/>
          <w:lang w:val="fr-FR"/>
        </w:rPr>
        <w:tab/>
        <w:t>Adoption de l</w:t>
      </w:r>
      <w:r w:rsidR="00F3296C" w:rsidRPr="0048528B">
        <w:rPr>
          <w:rFonts w:cs="Arial"/>
          <w:lang w:val="fr-FR"/>
        </w:rPr>
        <w:t>’</w:t>
      </w:r>
      <w:r w:rsidRPr="0048528B">
        <w:rPr>
          <w:rFonts w:cs="Arial"/>
          <w:lang w:val="fr-FR"/>
        </w:rPr>
        <w:t>ordre du jour</w:t>
      </w:r>
    </w:p>
    <w:p w:rsidR="00C97F0A" w:rsidRPr="0048528B" w:rsidRDefault="00C97F0A" w:rsidP="009D440F">
      <w:pPr>
        <w:tabs>
          <w:tab w:val="num" w:pos="1134"/>
        </w:tabs>
        <w:spacing w:before="20" w:afterLines="20" w:after="48"/>
        <w:ind w:left="1134" w:hanging="567"/>
        <w:rPr>
          <w:rFonts w:cs="Arial"/>
          <w:lang w:val="fr-FR"/>
        </w:rPr>
      </w:pPr>
      <w:r w:rsidRPr="0048528B">
        <w:rPr>
          <w:rFonts w:cs="Arial"/>
          <w:lang w:val="fr-FR"/>
        </w:rPr>
        <w:t>3.</w:t>
      </w:r>
      <w:r w:rsidRPr="0048528B">
        <w:rPr>
          <w:rFonts w:cs="Arial"/>
          <w:lang w:val="fr-FR"/>
        </w:rPr>
        <w:tab/>
        <w:t>Rapports succincts sur l</w:t>
      </w:r>
      <w:r w:rsidR="00F3296C" w:rsidRPr="0048528B">
        <w:rPr>
          <w:rFonts w:cs="Arial"/>
          <w:lang w:val="fr-FR"/>
        </w:rPr>
        <w:t>’</w:t>
      </w:r>
      <w:r w:rsidRPr="0048528B">
        <w:rPr>
          <w:rFonts w:cs="Arial"/>
          <w:lang w:val="fr-FR"/>
        </w:rPr>
        <w:t>évolution de la situation en matière de protection des obtentions végétales</w:t>
      </w:r>
    </w:p>
    <w:p w:rsidR="00F3296C" w:rsidRPr="0048528B" w:rsidRDefault="00C97F0A" w:rsidP="00C97F0A">
      <w:pPr>
        <w:numPr>
          <w:ilvl w:val="0"/>
          <w:numId w:val="35"/>
        </w:numPr>
        <w:tabs>
          <w:tab w:val="num" w:pos="1494"/>
        </w:tabs>
        <w:spacing w:before="20" w:afterLines="20" w:after="48"/>
        <w:ind w:left="1494"/>
        <w:rPr>
          <w:rFonts w:cs="Arial"/>
          <w:lang w:val="fr-FR"/>
        </w:rPr>
      </w:pPr>
      <w:r w:rsidRPr="0048528B">
        <w:rPr>
          <w:rFonts w:cs="Arial"/>
          <w:lang w:val="fr-FR"/>
        </w:rPr>
        <w:t>Rapports des membres et des observateurs</w:t>
      </w:r>
    </w:p>
    <w:p w:rsidR="00F3296C" w:rsidRPr="0048528B" w:rsidRDefault="00C97F0A" w:rsidP="00C97F0A">
      <w:pPr>
        <w:numPr>
          <w:ilvl w:val="0"/>
          <w:numId w:val="35"/>
        </w:numPr>
        <w:tabs>
          <w:tab w:val="num" w:pos="1494"/>
        </w:tabs>
        <w:spacing w:before="20" w:afterLines="20" w:after="48"/>
        <w:ind w:left="1494"/>
        <w:rPr>
          <w:rFonts w:cs="Arial"/>
          <w:lang w:val="fr-FR"/>
        </w:rPr>
      </w:pPr>
      <w:r w:rsidRPr="0048528B">
        <w:rPr>
          <w:rFonts w:cs="Arial"/>
          <w:lang w:val="fr-FR"/>
        </w:rPr>
        <w:t>Rapports sur les faits nouveaux intervenus à l</w:t>
      </w:r>
      <w:r w:rsidR="00F3296C" w:rsidRPr="0048528B">
        <w:rPr>
          <w:rFonts w:cs="Arial"/>
          <w:lang w:val="fr-FR"/>
        </w:rPr>
        <w:t>’</w:t>
      </w:r>
      <w:r w:rsidRPr="0048528B">
        <w:rPr>
          <w:rFonts w:cs="Arial"/>
          <w:lang w:val="fr-FR"/>
        </w:rPr>
        <w:t>UPOV</w:t>
      </w:r>
    </w:p>
    <w:p w:rsidR="00F3296C" w:rsidRPr="0048528B" w:rsidRDefault="00C97F0A" w:rsidP="00C97F0A">
      <w:pPr>
        <w:spacing w:before="20" w:afterLines="20" w:after="48"/>
        <w:ind w:left="567"/>
        <w:rPr>
          <w:rFonts w:cs="Arial"/>
          <w:lang w:val="fr-FR"/>
        </w:rPr>
      </w:pPr>
      <w:r w:rsidRPr="0048528B">
        <w:rPr>
          <w:rFonts w:cs="Arial"/>
          <w:lang w:val="fr-FR"/>
        </w:rPr>
        <w:t>4.</w:t>
      </w:r>
      <w:r w:rsidRPr="0048528B">
        <w:rPr>
          <w:rFonts w:cs="Arial"/>
          <w:lang w:val="fr-FR"/>
        </w:rPr>
        <w:tab/>
        <w:t>Techniques moléculaires</w:t>
      </w:r>
    </w:p>
    <w:p w:rsidR="00F3296C" w:rsidRPr="0048528B" w:rsidRDefault="00C97F0A" w:rsidP="00C97F0A">
      <w:pPr>
        <w:spacing w:before="20" w:afterLines="20" w:after="48"/>
        <w:ind w:left="567"/>
        <w:rPr>
          <w:rFonts w:cs="Arial"/>
          <w:lang w:val="fr-FR"/>
        </w:rPr>
      </w:pPr>
      <w:r w:rsidRPr="0048528B">
        <w:rPr>
          <w:rFonts w:cs="Arial"/>
          <w:lang w:val="fr-FR"/>
        </w:rPr>
        <w:t>5.</w:t>
      </w:r>
      <w:r w:rsidRPr="0048528B">
        <w:rPr>
          <w:rFonts w:cs="Arial"/>
          <w:lang w:val="fr-FR"/>
        </w:rPr>
        <w:tab/>
        <w:t>Documents TGP</w:t>
      </w:r>
    </w:p>
    <w:p w:rsidR="00F3296C" w:rsidRPr="0048528B" w:rsidRDefault="00C97F0A" w:rsidP="00C97F0A">
      <w:pPr>
        <w:spacing w:before="20" w:afterLines="20" w:after="48"/>
        <w:ind w:left="567"/>
        <w:rPr>
          <w:rFonts w:cs="Arial"/>
          <w:lang w:val="fr-FR"/>
        </w:rPr>
      </w:pPr>
      <w:r w:rsidRPr="0048528B">
        <w:rPr>
          <w:rFonts w:cs="Arial"/>
          <w:lang w:val="fr-FR"/>
        </w:rPr>
        <w:t>6.</w:t>
      </w:r>
      <w:r w:rsidRPr="0048528B">
        <w:rPr>
          <w:rFonts w:cs="Arial"/>
          <w:lang w:val="fr-FR"/>
        </w:rPr>
        <w:tab/>
        <w:t>Dénominations variétales</w:t>
      </w:r>
    </w:p>
    <w:p w:rsidR="00C97F0A" w:rsidRPr="0048528B" w:rsidRDefault="00C97F0A" w:rsidP="00A26EF1">
      <w:pPr>
        <w:keepNext/>
        <w:spacing w:before="20" w:afterLines="20" w:after="48"/>
        <w:ind w:left="567"/>
        <w:rPr>
          <w:rFonts w:cs="Arial"/>
          <w:lang w:val="fr-FR"/>
        </w:rPr>
      </w:pPr>
      <w:r w:rsidRPr="0048528B">
        <w:rPr>
          <w:rFonts w:cs="Arial"/>
          <w:lang w:val="fr-FR"/>
        </w:rPr>
        <w:lastRenderedPageBreak/>
        <w:t>7.</w:t>
      </w:r>
      <w:r w:rsidRPr="0048528B">
        <w:rPr>
          <w:rFonts w:cs="Arial"/>
          <w:lang w:val="fr-FR"/>
        </w:rPr>
        <w:tab/>
        <w:t>Bases de données d</w:t>
      </w:r>
      <w:r w:rsidR="00F3296C" w:rsidRPr="0048528B">
        <w:rPr>
          <w:rFonts w:cs="Arial"/>
          <w:lang w:val="fr-FR"/>
        </w:rPr>
        <w:t>’</w:t>
      </w:r>
      <w:r w:rsidRPr="0048528B">
        <w:rPr>
          <w:rFonts w:cs="Arial"/>
          <w:lang w:val="fr-FR"/>
        </w:rPr>
        <w:t>information</w:t>
      </w:r>
    </w:p>
    <w:p w:rsidR="00F3296C" w:rsidRPr="0048528B" w:rsidRDefault="00C97F0A" w:rsidP="00A26EF1">
      <w:pPr>
        <w:keepNext/>
        <w:numPr>
          <w:ilvl w:val="0"/>
          <w:numId w:val="45"/>
        </w:numPr>
        <w:tabs>
          <w:tab w:val="left" w:pos="1560"/>
        </w:tabs>
        <w:spacing w:before="20" w:afterLines="20" w:after="48"/>
        <w:rPr>
          <w:rFonts w:cs="Arial"/>
          <w:lang w:val="fr-FR"/>
        </w:rPr>
      </w:pPr>
      <w:r w:rsidRPr="0048528B">
        <w:rPr>
          <w:rFonts w:cs="Arial"/>
          <w:lang w:val="fr-FR"/>
        </w:rPr>
        <w:t>Base de données d</w:t>
      </w:r>
      <w:r w:rsidR="00F3296C" w:rsidRPr="0048528B">
        <w:rPr>
          <w:rFonts w:cs="Arial"/>
          <w:lang w:val="fr-FR"/>
        </w:rPr>
        <w:t>’</w:t>
      </w:r>
      <w:r w:rsidRPr="0048528B">
        <w:rPr>
          <w:rFonts w:cs="Arial"/>
          <w:lang w:val="fr-FR"/>
        </w:rPr>
        <w:t>information de l</w:t>
      </w:r>
      <w:r w:rsidR="00F3296C" w:rsidRPr="0048528B">
        <w:rPr>
          <w:rFonts w:cs="Arial"/>
          <w:lang w:val="fr-FR"/>
        </w:rPr>
        <w:t>’</w:t>
      </w:r>
      <w:r w:rsidRPr="0048528B">
        <w:rPr>
          <w:rFonts w:cs="Arial"/>
          <w:lang w:val="fr-FR"/>
        </w:rPr>
        <w:t>UPOV</w:t>
      </w:r>
    </w:p>
    <w:p w:rsidR="00F3296C" w:rsidRPr="0048528B" w:rsidRDefault="00C97F0A" w:rsidP="00821A5B">
      <w:pPr>
        <w:numPr>
          <w:ilvl w:val="0"/>
          <w:numId w:val="45"/>
        </w:numPr>
        <w:tabs>
          <w:tab w:val="left" w:pos="1560"/>
        </w:tabs>
        <w:spacing w:before="20" w:afterLines="20" w:after="48"/>
        <w:rPr>
          <w:rFonts w:cs="Arial"/>
          <w:lang w:val="fr-FR"/>
        </w:rPr>
      </w:pPr>
      <w:r w:rsidRPr="0048528B">
        <w:rPr>
          <w:rFonts w:cs="Arial"/>
          <w:lang w:val="fr-FR"/>
        </w:rPr>
        <w:t>Bases de données sur les descriptions variétales</w:t>
      </w:r>
    </w:p>
    <w:p w:rsidR="00F3296C" w:rsidRPr="0048528B" w:rsidRDefault="00C97F0A" w:rsidP="00821A5B">
      <w:pPr>
        <w:numPr>
          <w:ilvl w:val="0"/>
          <w:numId w:val="45"/>
        </w:numPr>
        <w:tabs>
          <w:tab w:val="left" w:pos="1560"/>
        </w:tabs>
        <w:spacing w:before="20" w:afterLines="20" w:after="48"/>
        <w:rPr>
          <w:rFonts w:cs="Arial"/>
          <w:lang w:val="fr-FR"/>
        </w:rPr>
      </w:pPr>
      <w:r w:rsidRPr="0048528B">
        <w:rPr>
          <w:rFonts w:cs="Arial"/>
          <w:lang w:val="fr-FR"/>
        </w:rPr>
        <w:t>Logiciels échangeables</w:t>
      </w:r>
    </w:p>
    <w:p w:rsidR="00F3296C" w:rsidRPr="0048528B" w:rsidRDefault="00C97F0A" w:rsidP="00821A5B">
      <w:pPr>
        <w:numPr>
          <w:ilvl w:val="0"/>
          <w:numId w:val="45"/>
        </w:numPr>
        <w:tabs>
          <w:tab w:val="left" w:pos="1560"/>
        </w:tabs>
        <w:spacing w:before="20" w:afterLines="20" w:after="48"/>
        <w:rPr>
          <w:rFonts w:cs="Arial"/>
          <w:lang w:val="fr-FR"/>
        </w:rPr>
      </w:pPr>
      <w:r w:rsidRPr="0048528B">
        <w:rPr>
          <w:rFonts w:cs="Arial"/>
          <w:lang w:val="fr-FR"/>
        </w:rPr>
        <w:t>Systèmes de dépôt électronique des demandes</w:t>
      </w:r>
    </w:p>
    <w:p w:rsidR="00C97F0A" w:rsidRPr="0048528B" w:rsidRDefault="00C97F0A" w:rsidP="00C97F0A">
      <w:pPr>
        <w:spacing w:before="20" w:afterLines="20" w:after="48"/>
        <w:ind w:left="567"/>
        <w:rPr>
          <w:rFonts w:cs="Arial"/>
          <w:lang w:val="fr-FR"/>
        </w:rPr>
      </w:pPr>
      <w:r w:rsidRPr="0048528B">
        <w:rPr>
          <w:rFonts w:cs="Arial"/>
          <w:lang w:val="fr-FR"/>
        </w:rPr>
        <w:t>8.</w:t>
      </w:r>
      <w:r w:rsidRPr="0048528B">
        <w:rPr>
          <w:rFonts w:cs="Arial"/>
          <w:lang w:val="fr-FR"/>
        </w:rPr>
        <w:tab/>
        <w:t>Évaluation de l</w:t>
      </w:r>
      <w:r w:rsidR="00F3296C" w:rsidRPr="0048528B">
        <w:rPr>
          <w:rFonts w:cs="Arial"/>
          <w:lang w:val="fr-FR"/>
        </w:rPr>
        <w:t>’</w:t>
      </w:r>
      <w:r w:rsidRPr="0048528B">
        <w:rPr>
          <w:rFonts w:cs="Arial"/>
          <w:lang w:val="fr-FR"/>
        </w:rPr>
        <w:t>homogénéité</w:t>
      </w:r>
    </w:p>
    <w:p w:rsidR="00C97F0A" w:rsidRPr="0048528B" w:rsidRDefault="00C97F0A" w:rsidP="00C97F0A">
      <w:pPr>
        <w:spacing w:before="20" w:afterLines="20" w:after="48"/>
        <w:ind w:left="1134" w:hanging="567"/>
        <w:rPr>
          <w:rFonts w:cs="Arial"/>
          <w:lang w:val="fr-FR"/>
        </w:rPr>
      </w:pPr>
      <w:r w:rsidRPr="0048528B">
        <w:rPr>
          <w:rFonts w:cs="Arial"/>
          <w:lang w:val="fr-FR"/>
        </w:rPr>
        <w:t>9.</w:t>
      </w:r>
      <w:r w:rsidRPr="0048528B">
        <w:rPr>
          <w:rFonts w:cs="Arial"/>
          <w:lang w:val="fr-FR"/>
        </w:rPr>
        <w:tab/>
        <w:t>Niveaux d</w:t>
      </w:r>
      <w:r w:rsidR="00F3296C" w:rsidRPr="0048528B">
        <w:rPr>
          <w:rFonts w:cs="Arial"/>
          <w:lang w:val="fr-FR"/>
        </w:rPr>
        <w:t>’</w:t>
      </w:r>
      <w:r w:rsidRPr="0048528B">
        <w:rPr>
          <w:rFonts w:cs="Arial"/>
          <w:lang w:val="fr-FR"/>
        </w:rPr>
        <w:t>homogénéité selon le niveau d</w:t>
      </w:r>
      <w:r w:rsidR="00F3296C" w:rsidRPr="0048528B">
        <w:rPr>
          <w:rFonts w:cs="Arial"/>
          <w:lang w:val="fr-FR"/>
        </w:rPr>
        <w:t>’</w:t>
      </w:r>
      <w:r w:rsidRPr="0048528B">
        <w:rPr>
          <w:rFonts w:cs="Arial"/>
          <w:lang w:val="fr-FR"/>
        </w:rPr>
        <w:t>expression des caractères obligatoires de résistance à la maladie et variétés non cultivées pour avoir une telle résistance (document qu</w:t>
      </w:r>
      <w:r w:rsidR="00F3296C" w:rsidRPr="0048528B">
        <w:rPr>
          <w:rFonts w:cs="Arial"/>
          <w:lang w:val="fr-FR"/>
        </w:rPr>
        <w:t>’</w:t>
      </w:r>
      <w:r w:rsidRPr="0048528B">
        <w:rPr>
          <w:rFonts w:cs="Arial"/>
          <w:lang w:val="fr-FR"/>
        </w:rPr>
        <w:t>établira l</w:t>
      </w:r>
      <w:r w:rsidR="00F3296C" w:rsidRPr="0048528B">
        <w:rPr>
          <w:rFonts w:cs="Arial"/>
          <w:lang w:val="fr-FR"/>
        </w:rPr>
        <w:t>’</w:t>
      </w:r>
      <w:r w:rsidRPr="0048528B">
        <w:rPr>
          <w:rFonts w:cs="Arial"/>
          <w:lang w:val="fr-FR"/>
        </w:rPr>
        <w:t>Union européenne)</w:t>
      </w:r>
    </w:p>
    <w:p w:rsidR="00C97F0A" w:rsidRPr="0048528B" w:rsidRDefault="00C97F0A" w:rsidP="00C97F0A">
      <w:pPr>
        <w:spacing w:before="20" w:afterLines="20" w:after="48"/>
        <w:ind w:left="1134" w:hanging="567"/>
        <w:jc w:val="left"/>
        <w:rPr>
          <w:rFonts w:cs="Arial"/>
          <w:lang w:val="fr-FR"/>
        </w:rPr>
      </w:pPr>
      <w:r w:rsidRPr="0048528B">
        <w:rPr>
          <w:rFonts w:cs="Arial"/>
          <w:lang w:val="fr-FR"/>
        </w:rPr>
        <w:t>10.</w:t>
      </w:r>
      <w:r w:rsidRPr="0048528B">
        <w:rPr>
          <w:rFonts w:cs="Arial"/>
          <w:lang w:val="fr-FR"/>
        </w:rPr>
        <w:tab/>
        <w:t>Questions en suspens concernant les principes directeurs d</w:t>
      </w:r>
      <w:r w:rsidR="00F3296C" w:rsidRPr="0048528B">
        <w:rPr>
          <w:rFonts w:cs="Arial"/>
          <w:lang w:val="fr-FR"/>
        </w:rPr>
        <w:t>’</w:t>
      </w:r>
      <w:r w:rsidRPr="0048528B">
        <w:rPr>
          <w:rFonts w:cs="Arial"/>
          <w:lang w:val="fr-FR"/>
        </w:rPr>
        <w:t>examen adoptés par le Comité technique (le cas échéant)</w:t>
      </w:r>
    </w:p>
    <w:p w:rsidR="00C97F0A" w:rsidRPr="0048528B" w:rsidRDefault="00C97F0A" w:rsidP="00C97F0A">
      <w:pPr>
        <w:spacing w:before="20" w:afterLines="20" w:after="48"/>
        <w:ind w:left="567"/>
        <w:rPr>
          <w:rFonts w:cs="Arial"/>
          <w:lang w:val="fr-FR"/>
        </w:rPr>
      </w:pPr>
      <w:r w:rsidRPr="0048528B">
        <w:rPr>
          <w:rFonts w:cs="Arial"/>
          <w:lang w:val="fr-FR"/>
        </w:rPr>
        <w:t>11.</w:t>
      </w:r>
      <w:r w:rsidRPr="0048528B">
        <w:rPr>
          <w:rFonts w:cs="Arial"/>
          <w:lang w:val="fr-FR"/>
        </w:rPr>
        <w:tab/>
        <w:t>Examen des projets de principes directeurs d</w:t>
      </w:r>
      <w:r w:rsidR="00F3296C" w:rsidRPr="0048528B">
        <w:rPr>
          <w:rFonts w:cs="Arial"/>
          <w:lang w:val="fr-FR"/>
        </w:rPr>
        <w:t>’</w:t>
      </w:r>
      <w:r w:rsidRPr="0048528B">
        <w:rPr>
          <w:rFonts w:cs="Arial"/>
          <w:lang w:val="fr-FR"/>
        </w:rPr>
        <w:t>examen (sous</w:t>
      </w:r>
      <w:r w:rsidR="003F00B6" w:rsidRPr="0048528B">
        <w:rPr>
          <w:rFonts w:cs="Arial"/>
          <w:lang w:val="fr-FR"/>
        </w:rPr>
        <w:noBreakHyphen/>
      </w:r>
      <w:r w:rsidRPr="0048528B">
        <w:rPr>
          <w:rFonts w:cs="Arial"/>
          <w:lang w:val="fr-FR"/>
        </w:rPr>
        <w:t>groupes)</w:t>
      </w:r>
    </w:p>
    <w:p w:rsidR="00C97F0A" w:rsidRPr="0048528B" w:rsidRDefault="00C97F0A" w:rsidP="00C97F0A">
      <w:pPr>
        <w:spacing w:before="20" w:afterLines="20" w:after="48"/>
        <w:ind w:left="567"/>
        <w:rPr>
          <w:rFonts w:cs="Arial"/>
          <w:lang w:val="fr-FR"/>
        </w:rPr>
      </w:pPr>
      <w:r w:rsidRPr="0048528B">
        <w:rPr>
          <w:rFonts w:cs="Arial"/>
          <w:lang w:val="fr-FR"/>
        </w:rPr>
        <w:t>12.</w:t>
      </w:r>
      <w:r w:rsidRPr="0048528B">
        <w:rPr>
          <w:rFonts w:cs="Arial"/>
          <w:lang w:val="fr-FR"/>
        </w:rPr>
        <w:tab/>
        <w:t>Recommandations concernant les projets de principes directeurs d</w:t>
      </w:r>
      <w:r w:rsidR="00F3296C" w:rsidRPr="0048528B">
        <w:rPr>
          <w:rFonts w:cs="Arial"/>
          <w:lang w:val="fr-FR"/>
        </w:rPr>
        <w:t>’</w:t>
      </w:r>
      <w:r w:rsidRPr="0048528B">
        <w:rPr>
          <w:rFonts w:cs="Arial"/>
          <w:lang w:val="fr-FR"/>
        </w:rPr>
        <w:t>examen</w:t>
      </w:r>
    </w:p>
    <w:p w:rsidR="00C97F0A" w:rsidRPr="0048528B" w:rsidRDefault="00C97F0A" w:rsidP="00C97F0A">
      <w:pPr>
        <w:spacing w:before="20" w:afterLines="20" w:after="48"/>
        <w:ind w:left="567"/>
        <w:rPr>
          <w:rFonts w:cs="Arial"/>
          <w:lang w:val="fr-FR"/>
        </w:rPr>
      </w:pPr>
      <w:r w:rsidRPr="0048528B">
        <w:rPr>
          <w:rFonts w:cs="Arial"/>
          <w:lang w:val="fr-FR"/>
        </w:rPr>
        <w:t>13.</w:t>
      </w:r>
      <w:r w:rsidRPr="0048528B">
        <w:rPr>
          <w:rFonts w:cs="Arial"/>
          <w:lang w:val="fr-FR"/>
        </w:rPr>
        <w:tab/>
        <w:t>Orientations pour les rédacteurs de principes directeurs d</w:t>
      </w:r>
      <w:r w:rsidR="00F3296C" w:rsidRPr="0048528B">
        <w:rPr>
          <w:rFonts w:cs="Arial"/>
          <w:lang w:val="fr-FR"/>
        </w:rPr>
        <w:t>’</w:t>
      </w:r>
      <w:r w:rsidRPr="0048528B">
        <w:rPr>
          <w:rFonts w:cs="Arial"/>
          <w:lang w:val="fr-FR"/>
        </w:rPr>
        <w:t>examen</w:t>
      </w:r>
    </w:p>
    <w:p w:rsidR="00C97F0A" w:rsidRPr="0048528B" w:rsidRDefault="00C97F0A" w:rsidP="00C97F0A">
      <w:pPr>
        <w:spacing w:before="20" w:afterLines="20" w:after="48"/>
        <w:ind w:left="567"/>
        <w:rPr>
          <w:rFonts w:cs="Arial"/>
          <w:lang w:val="fr-FR"/>
        </w:rPr>
      </w:pPr>
      <w:r w:rsidRPr="0048528B">
        <w:rPr>
          <w:rFonts w:cs="Arial"/>
          <w:lang w:val="fr-FR"/>
        </w:rPr>
        <w:t>14.</w:t>
      </w:r>
      <w:r w:rsidRPr="0048528B">
        <w:rPr>
          <w:rFonts w:cs="Arial"/>
          <w:lang w:val="fr-FR"/>
        </w:rPr>
        <w:tab/>
        <w:t>Date et lieu de la prochaine session</w:t>
      </w:r>
    </w:p>
    <w:p w:rsidR="00C97F0A" w:rsidRPr="0048528B" w:rsidRDefault="00C97F0A" w:rsidP="00C97F0A">
      <w:pPr>
        <w:spacing w:before="20" w:afterLines="20" w:after="48"/>
        <w:ind w:left="567"/>
        <w:rPr>
          <w:rFonts w:cs="Arial"/>
          <w:lang w:val="fr-FR"/>
        </w:rPr>
      </w:pPr>
      <w:r w:rsidRPr="0048528B">
        <w:rPr>
          <w:rFonts w:cs="Arial"/>
          <w:lang w:val="fr-FR"/>
        </w:rPr>
        <w:t>15.</w:t>
      </w:r>
      <w:r w:rsidRPr="0048528B">
        <w:rPr>
          <w:rFonts w:cs="Arial"/>
          <w:lang w:val="fr-FR"/>
        </w:rPr>
        <w:tab/>
        <w:t>Programme futur</w:t>
      </w:r>
    </w:p>
    <w:p w:rsidR="00C97F0A" w:rsidRPr="0048528B" w:rsidRDefault="00C97F0A" w:rsidP="00C97F0A">
      <w:pPr>
        <w:spacing w:before="20" w:afterLines="20" w:after="48"/>
        <w:ind w:left="567"/>
        <w:rPr>
          <w:rFonts w:cs="Arial"/>
          <w:lang w:val="fr-FR"/>
        </w:rPr>
      </w:pPr>
      <w:r w:rsidRPr="0048528B">
        <w:rPr>
          <w:rFonts w:cs="Arial"/>
          <w:lang w:val="fr-FR"/>
        </w:rPr>
        <w:t>16.</w:t>
      </w:r>
      <w:r w:rsidRPr="0048528B">
        <w:rPr>
          <w:rFonts w:cs="Arial"/>
          <w:lang w:val="fr-FR"/>
        </w:rPr>
        <w:tab/>
        <w:t>Compte rendu de la session (</w:t>
      </w:r>
      <w:r w:rsidR="00A536ED" w:rsidRPr="0048528B">
        <w:rPr>
          <w:rFonts w:cs="Arial"/>
          <w:lang w:val="fr-FR"/>
        </w:rPr>
        <w:t>selon le temps disponible</w:t>
      </w:r>
      <w:r w:rsidRPr="0048528B">
        <w:rPr>
          <w:rFonts w:cs="Arial"/>
          <w:lang w:val="fr-FR"/>
        </w:rPr>
        <w:t>)</w:t>
      </w:r>
    </w:p>
    <w:p w:rsidR="00C97F0A" w:rsidRPr="0048528B" w:rsidRDefault="00C97F0A" w:rsidP="00C97F0A">
      <w:pPr>
        <w:spacing w:before="20" w:afterLines="20" w:after="48"/>
        <w:ind w:left="567"/>
        <w:rPr>
          <w:rFonts w:cs="Arial"/>
          <w:lang w:val="fr-FR"/>
        </w:rPr>
      </w:pPr>
      <w:r w:rsidRPr="0048528B">
        <w:rPr>
          <w:rFonts w:cs="Arial"/>
          <w:lang w:val="fr-FR"/>
        </w:rPr>
        <w:t>17.</w:t>
      </w:r>
      <w:r w:rsidRPr="0048528B">
        <w:rPr>
          <w:rFonts w:cs="Arial"/>
          <w:lang w:val="fr-FR"/>
        </w:rPr>
        <w:tab/>
        <w:t>Clôture de la session</w:t>
      </w:r>
    </w:p>
    <w:p w:rsidR="00C97F0A" w:rsidRPr="0048528B" w:rsidRDefault="00C97F0A" w:rsidP="00C97F0A">
      <w:pPr>
        <w:autoSpaceDE w:val="0"/>
        <w:autoSpaceDN w:val="0"/>
        <w:adjustRightInd w:val="0"/>
        <w:rPr>
          <w:rFonts w:cs="Arial"/>
          <w:color w:val="000000"/>
          <w:lang w:val="fr-FR"/>
        </w:rPr>
      </w:pPr>
    </w:p>
    <w:p w:rsidR="00C97F0A" w:rsidRPr="0048528B" w:rsidRDefault="00C97F0A" w:rsidP="00C97F0A">
      <w:pPr>
        <w:rPr>
          <w:rFonts w:cs="Arial"/>
          <w:lang w:val="fr-FR"/>
        </w:rPr>
      </w:pPr>
      <w:r w:rsidRPr="0048528B">
        <w:rPr>
          <w:lang w:val="fr-FR"/>
        </w:rPr>
        <w:fldChar w:fldCharType="begin"/>
      </w:r>
      <w:r w:rsidRPr="0048528B">
        <w:rPr>
          <w:lang w:val="fr-FR"/>
        </w:rPr>
        <w:instrText xml:space="preserve"> AUTONUM  \* Arabic </w:instrText>
      </w:r>
      <w:r w:rsidRPr="0048528B">
        <w:rPr>
          <w:lang w:val="fr-FR"/>
        </w:rPr>
        <w:fldChar w:fldCharType="end"/>
      </w:r>
      <w:r w:rsidRPr="0048528B">
        <w:rPr>
          <w:lang w:val="fr-FR"/>
        </w:rPr>
        <w:tab/>
      </w:r>
      <w:r w:rsidRPr="0048528B">
        <w:rPr>
          <w:rFonts w:cs="Arial"/>
          <w:lang w:val="fr-FR"/>
        </w:rPr>
        <w:t>L</w:t>
      </w:r>
      <w:r w:rsidR="00F3296C" w:rsidRPr="0048528B">
        <w:rPr>
          <w:rFonts w:cs="Arial"/>
          <w:lang w:val="fr-FR"/>
        </w:rPr>
        <w:t>’</w:t>
      </w:r>
      <w:r w:rsidRPr="0048528B">
        <w:rPr>
          <w:rFonts w:cs="Arial"/>
          <w:lang w:val="fr-FR"/>
        </w:rPr>
        <w:t>après</w:t>
      </w:r>
      <w:r w:rsidR="003F00B6" w:rsidRPr="0048528B">
        <w:rPr>
          <w:rFonts w:cs="Arial"/>
          <w:lang w:val="fr-FR"/>
        </w:rPr>
        <w:noBreakHyphen/>
      </w:r>
      <w:r w:rsidRPr="0048528B">
        <w:rPr>
          <w:rFonts w:cs="Arial"/>
          <w:lang w:val="fr-FR"/>
        </w:rPr>
        <w:t>midi du 1</w:t>
      </w:r>
      <w:r w:rsidR="00F3296C" w:rsidRPr="0048528B">
        <w:rPr>
          <w:rFonts w:cs="Arial"/>
          <w:lang w:val="fr-FR"/>
        </w:rPr>
        <w:t>3 juin 20</w:t>
      </w:r>
      <w:r w:rsidRPr="0048528B">
        <w:rPr>
          <w:rFonts w:cs="Arial"/>
          <w:lang w:val="fr-FR"/>
        </w:rPr>
        <w:t>12,</w:t>
      </w:r>
      <w:r w:rsidR="00F3296C" w:rsidRPr="0048528B">
        <w:rPr>
          <w:rFonts w:cs="Arial"/>
          <w:lang w:val="fr-FR"/>
        </w:rPr>
        <w:t xml:space="preserve"> le TWV</w:t>
      </w:r>
      <w:r w:rsidRPr="0048528B">
        <w:rPr>
          <w:rFonts w:cs="Arial"/>
          <w:lang w:val="fr-FR"/>
        </w:rPr>
        <w:t xml:space="preserve"> a visité les locaux de Nunhems Netherlands B.V., l</w:t>
      </w:r>
      <w:r w:rsidR="00F3296C" w:rsidRPr="0048528B">
        <w:rPr>
          <w:rFonts w:cs="Arial"/>
          <w:lang w:val="fr-FR"/>
        </w:rPr>
        <w:t>’</w:t>
      </w:r>
      <w:r w:rsidRPr="0048528B">
        <w:rPr>
          <w:rFonts w:cs="Arial"/>
          <w:lang w:val="fr-FR"/>
        </w:rPr>
        <w:t>entreprise de semences potagè</w:t>
      </w:r>
      <w:r w:rsidR="00043994" w:rsidRPr="0048528B">
        <w:rPr>
          <w:rFonts w:cs="Arial"/>
          <w:lang w:val="fr-FR"/>
        </w:rPr>
        <w:t>re</w:t>
      </w:r>
      <w:r w:rsidRPr="0048528B">
        <w:rPr>
          <w:rFonts w:cs="Arial"/>
          <w:lang w:val="fr-FR"/>
        </w:rPr>
        <w:t>s de Bayer CropScience, à Nunhem.  Les participants ont été accueillis par M.</w:t>
      </w:r>
      <w:r w:rsidR="00E3136C" w:rsidRPr="0048528B">
        <w:rPr>
          <w:rFonts w:cs="Arial"/>
          <w:lang w:val="fr-FR"/>
        </w:rPr>
        <w:t> </w:t>
      </w:r>
      <w:r w:rsidRPr="0048528B">
        <w:rPr>
          <w:rFonts w:cs="Arial"/>
          <w:lang w:val="fr-FR"/>
        </w:rPr>
        <w:t>Uwe Dijkshoorn, responsable marketing, et ont visité plusieurs postes</w:t>
      </w:r>
      <w:r w:rsidR="00E3136C" w:rsidRPr="0048528B">
        <w:rPr>
          <w:rFonts w:cs="Arial"/>
          <w:lang w:val="fr-FR"/>
        </w:rPr>
        <w:t> </w:t>
      </w:r>
      <w:r w:rsidRPr="0048528B">
        <w:rPr>
          <w:rFonts w:cs="Arial"/>
          <w:lang w:val="fr-FR"/>
        </w:rPr>
        <w:t>: traitement, conditionnement, prégermination, pelliculage et enrobage.  Ils ont également reçu de</w:t>
      </w:r>
      <w:r w:rsidR="00043994" w:rsidRPr="0048528B">
        <w:rPr>
          <w:rFonts w:cs="Arial"/>
          <w:lang w:val="fr-FR"/>
        </w:rPr>
        <w:t xml:space="preserve">s </w:t>
      </w:r>
      <w:r w:rsidRPr="0048528B">
        <w:rPr>
          <w:rFonts w:cs="Arial"/>
          <w:lang w:val="fr-FR"/>
        </w:rPr>
        <w:t>informations sur le travail de sélection concernant l</w:t>
      </w:r>
      <w:r w:rsidR="00F3296C" w:rsidRPr="0048528B">
        <w:rPr>
          <w:rFonts w:cs="Arial"/>
          <w:lang w:val="fr-FR"/>
        </w:rPr>
        <w:t>’</w:t>
      </w:r>
      <w:r w:rsidRPr="0048528B">
        <w:rPr>
          <w:rFonts w:cs="Arial"/>
          <w:lang w:val="fr-FR"/>
        </w:rPr>
        <w:t>asperge.</w:t>
      </w:r>
    </w:p>
    <w:p w:rsidR="00C97F0A" w:rsidRPr="0048528B" w:rsidRDefault="00C97F0A" w:rsidP="00C97F0A">
      <w:pPr>
        <w:rPr>
          <w:u w:val="single"/>
          <w:lang w:val="fr-FR"/>
        </w:rPr>
      </w:pPr>
    </w:p>
    <w:p w:rsidR="00C97F0A" w:rsidRPr="0048528B" w:rsidRDefault="00C97F0A" w:rsidP="00C97F0A">
      <w:pPr>
        <w:rPr>
          <w:u w:val="single"/>
          <w:lang w:val="fr-FR"/>
        </w:rPr>
      </w:pPr>
    </w:p>
    <w:p w:rsidR="00C97F0A" w:rsidRPr="0048528B" w:rsidRDefault="00C97F0A" w:rsidP="00C97F0A">
      <w:pPr>
        <w:pStyle w:val="Heading2"/>
        <w:rPr>
          <w:lang w:val="fr-FR"/>
        </w:rPr>
      </w:pPr>
      <w:bookmarkStart w:id="66" w:name="_Toc367888584"/>
      <w:r w:rsidRPr="0048528B">
        <w:rPr>
          <w:lang w:val="fr-FR"/>
        </w:rPr>
        <w:t>Groupe de travail sur les techniques biochimiques et moléculaires, notamment les profils d</w:t>
      </w:r>
      <w:r w:rsidR="00F3296C" w:rsidRPr="0048528B">
        <w:rPr>
          <w:lang w:val="fr-FR"/>
        </w:rPr>
        <w:t>’</w:t>
      </w:r>
      <w:r w:rsidRPr="0048528B">
        <w:rPr>
          <w:lang w:val="fr-FR"/>
        </w:rPr>
        <w:t>ADN (BMT)</w:t>
      </w:r>
      <w:bookmarkEnd w:id="66"/>
    </w:p>
    <w:p w:rsidR="00C97F0A" w:rsidRPr="0048528B" w:rsidRDefault="00C97F0A" w:rsidP="00C97F0A">
      <w:pPr>
        <w:rPr>
          <w:lang w:val="fr-FR"/>
        </w:rPr>
      </w:pPr>
    </w:p>
    <w:p w:rsidR="00C97F0A" w:rsidRPr="0048528B" w:rsidRDefault="00C97F0A" w:rsidP="00C97F0A">
      <w:pPr>
        <w:rPr>
          <w:lang w:val="fr-FR"/>
        </w:rPr>
      </w:pPr>
      <w:r w:rsidRPr="0048528B">
        <w:rPr>
          <w:lang w:val="fr-FR"/>
        </w:rPr>
        <w:fldChar w:fldCharType="begin"/>
      </w:r>
      <w:r w:rsidRPr="0048528B">
        <w:rPr>
          <w:lang w:val="fr-FR"/>
        </w:rPr>
        <w:instrText xml:space="preserve"> AUTONUM  </w:instrText>
      </w:r>
      <w:r w:rsidRPr="0048528B">
        <w:rPr>
          <w:lang w:val="fr-FR"/>
        </w:rPr>
        <w:fldChar w:fldCharType="end"/>
      </w:r>
      <w:r w:rsidRPr="0048528B">
        <w:rPr>
          <w:lang w:val="fr-FR"/>
        </w:rPr>
        <w:tab/>
        <w:t>Le BMT ne s</w:t>
      </w:r>
      <w:r w:rsidR="00F3296C" w:rsidRPr="0048528B">
        <w:rPr>
          <w:lang w:val="fr-FR"/>
        </w:rPr>
        <w:t>’</w:t>
      </w:r>
      <w:r w:rsidRPr="0048528B">
        <w:rPr>
          <w:lang w:val="fr-FR"/>
        </w:rPr>
        <w:t xml:space="preserve">est pas réuni entre la </w:t>
      </w:r>
      <w:r w:rsidR="00327BF8" w:rsidRPr="0048528B">
        <w:rPr>
          <w:lang w:val="fr-FR"/>
        </w:rPr>
        <w:t>quarante-huitième</w:t>
      </w:r>
      <w:r w:rsidRPr="0048528B">
        <w:rPr>
          <w:lang w:val="fr-FR"/>
        </w:rPr>
        <w:t xml:space="preserve"> et la quarante</w:t>
      </w:r>
      <w:r w:rsidR="003F00B6" w:rsidRPr="0048528B">
        <w:rPr>
          <w:lang w:val="fr-FR"/>
        </w:rPr>
        <w:noBreakHyphen/>
      </w:r>
      <w:r w:rsidRPr="0048528B">
        <w:rPr>
          <w:lang w:val="fr-FR"/>
        </w:rPr>
        <w:t>neuvième</w:t>
      </w:r>
      <w:r w:rsidR="00E3136C" w:rsidRPr="0048528B">
        <w:rPr>
          <w:lang w:val="fr-FR"/>
        </w:rPr>
        <w:t> </w:t>
      </w:r>
      <w:r w:rsidRPr="0048528B">
        <w:rPr>
          <w:lang w:val="fr-FR"/>
        </w:rPr>
        <w:t>session du</w:t>
      </w:r>
      <w:r w:rsidR="00F3296C" w:rsidRPr="0048528B">
        <w:rPr>
          <w:lang w:val="fr-FR"/>
        </w:rPr>
        <w:t> TC</w:t>
      </w:r>
      <w:r w:rsidRPr="0048528B">
        <w:rPr>
          <w:lang w:val="fr-FR"/>
        </w:rPr>
        <w:t>.</w:t>
      </w:r>
    </w:p>
    <w:p w:rsidR="00C97F0A" w:rsidRPr="0048528B" w:rsidRDefault="00C97F0A" w:rsidP="00C97F0A">
      <w:pPr>
        <w:rPr>
          <w:lang w:val="fr-FR"/>
        </w:rPr>
      </w:pPr>
    </w:p>
    <w:p w:rsidR="00C97F0A" w:rsidRPr="0048528B" w:rsidRDefault="00C97F0A" w:rsidP="009D440F">
      <w:pPr>
        <w:tabs>
          <w:tab w:val="left" w:pos="5387"/>
        </w:tabs>
        <w:ind w:left="4820"/>
        <w:rPr>
          <w:rFonts w:cs="Arial"/>
          <w:i/>
          <w:lang w:val="fr-FR"/>
        </w:rPr>
      </w:pPr>
      <w:r w:rsidRPr="0048528B">
        <w:rPr>
          <w:rFonts w:cs="Arial"/>
          <w:i/>
          <w:lang w:val="fr-FR"/>
        </w:rPr>
        <w:fldChar w:fldCharType="begin"/>
      </w:r>
      <w:r w:rsidRPr="0048528B">
        <w:rPr>
          <w:rFonts w:cs="Arial"/>
          <w:i/>
          <w:lang w:val="fr-FR"/>
        </w:rPr>
        <w:instrText xml:space="preserve"> AUTONUM  </w:instrText>
      </w:r>
      <w:r w:rsidRPr="0048528B">
        <w:rPr>
          <w:rFonts w:cs="Arial"/>
          <w:i/>
          <w:lang w:val="fr-FR"/>
        </w:rPr>
        <w:fldChar w:fldCharType="end"/>
      </w:r>
      <w:r w:rsidR="009D440F" w:rsidRPr="0048528B">
        <w:rPr>
          <w:rFonts w:cs="Arial"/>
          <w:i/>
          <w:lang w:val="fr-FR"/>
        </w:rPr>
        <w:tab/>
      </w:r>
      <w:r w:rsidRPr="0048528B">
        <w:rPr>
          <w:rFonts w:cs="Arial"/>
          <w:i/>
          <w:lang w:val="fr-FR"/>
        </w:rPr>
        <w:t>Le Conseil est invité</w:t>
      </w:r>
      <w:r w:rsidR="00E3136C" w:rsidRPr="0048528B">
        <w:rPr>
          <w:rFonts w:cs="Arial"/>
          <w:i/>
          <w:lang w:val="fr-FR"/>
        </w:rPr>
        <w:t> </w:t>
      </w:r>
      <w:r w:rsidRPr="0048528B">
        <w:rPr>
          <w:rFonts w:cs="Arial"/>
          <w:i/>
          <w:lang w:val="fr-FR"/>
        </w:rPr>
        <w:t>:</w:t>
      </w:r>
    </w:p>
    <w:p w:rsidR="00C97F0A" w:rsidRPr="0048528B" w:rsidRDefault="00C97F0A" w:rsidP="00C97F0A">
      <w:pPr>
        <w:ind w:left="4820"/>
        <w:rPr>
          <w:rFonts w:cs="Arial"/>
          <w:i/>
          <w:lang w:val="fr-FR"/>
        </w:rPr>
      </w:pPr>
    </w:p>
    <w:p w:rsidR="00C97F0A" w:rsidRPr="0048528B" w:rsidRDefault="00C97F0A" w:rsidP="00C97F0A">
      <w:pPr>
        <w:pStyle w:val="ListParagraph"/>
        <w:numPr>
          <w:ilvl w:val="0"/>
          <w:numId w:val="40"/>
        </w:numPr>
        <w:tabs>
          <w:tab w:val="left" w:pos="5954"/>
        </w:tabs>
        <w:ind w:left="4820" w:firstLine="567"/>
        <w:rPr>
          <w:rFonts w:cs="Arial"/>
          <w:i/>
          <w:lang w:val="fr-FR"/>
        </w:rPr>
      </w:pPr>
      <w:r w:rsidRPr="0048528B">
        <w:rPr>
          <w:rFonts w:cs="Arial"/>
          <w:i/>
          <w:lang w:val="fr-FR"/>
        </w:rPr>
        <w:t>à prendre note des travaux du</w:t>
      </w:r>
      <w:r w:rsidR="00F3296C" w:rsidRPr="0048528B">
        <w:rPr>
          <w:rFonts w:cs="Arial"/>
          <w:i/>
          <w:lang w:val="fr-FR"/>
        </w:rPr>
        <w:t> TC</w:t>
      </w:r>
      <w:r w:rsidRPr="0048528B">
        <w:rPr>
          <w:rFonts w:cs="Arial"/>
          <w:i/>
          <w:lang w:val="fr-FR"/>
        </w:rPr>
        <w:t>, ainsi que de ceux des</w:t>
      </w:r>
      <w:r w:rsidR="00A536ED" w:rsidRPr="0048528B">
        <w:rPr>
          <w:rFonts w:cs="Arial"/>
          <w:i/>
          <w:lang w:val="fr-FR"/>
        </w:rPr>
        <w:t xml:space="preserve"> groupes de travail techniques</w:t>
      </w:r>
      <w:r w:rsidRPr="0048528B">
        <w:rPr>
          <w:rFonts w:cs="Arial"/>
          <w:i/>
          <w:lang w:val="fr-FR"/>
        </w:rPr>
        <w:t xml:space="preserve"> et</w:t>
      </w:r>
      <w:r w:rsidR="00F3296C" w:rsidRPr="0048528B">
        <w:rPr>
          <w:rFonts w:cs="Arial"/>
          <w:i/>
          <w:lang w:val="fr-FR"/>
        </w:rPr>
        <w:t xml:space="preserve"> du BMT</w:t>
      </w:r>
      <w:r w:rsidRPr="0048528B">
        <w:rPr>
          <w:rFonts w:cs="Arial"/>
          <w:i/>
          <w:lang w:val="fr-FR"/>
        </w:rPr>
        <w:t xml:space="preserve"> dont il a été rendu compte au</w:t>
      </w:r>
      <w:r w:rsidR="00F3296C" w:rsidRPr="0048528B">
        <w:rPr>
          <w:rFonts w:cs="Arial"/>
          <w:i/>
          <w:lang w:val="fr-FR"/>
        </w:rPr>
        <w:t> TC</w:t>
      </w:r>
      <w:r w:rsidRPr="0048528B">
        <w:rPr>
          <w:rFonts w:cs="Arial"/>
          <w:i/>
          <w:lang w:val="fr-FR"/>
        </w:rPr>
        <w:t>, comme indiqué dans le présent document;  et</w:t>
      </w:r>
    </w:p>
    <w:p w:rsidR="00C97F0A" w:rsidRPr="0048528B" w:rsidRDefault="00C97F0A" w:rsidP="00C97F0A">
      <w:pPr>
        <w:pStyle w:val="ListParagraph"/>
        <w:tabs>
          <w:tab w:val="left" w:pos="5954"/>
        </w:tabs>
        <w:ind w:left="5387"/>
        <w:rPr>
          <w:rFonts w:cs="Arial"/>
          <w:i/>
          <w:lang w:val="fr-FR"/>
        </w:rPr>
      </w:pPr>
    </w:p>
    <w:p w:rsidR="00C97F0A" w:rsidRPr="0048528B" w:rsidRDefault="00C97F0A" w:rsidP="00C97F0A">
      <w:pPr>
        <w:pStyle w:val="ListParagraph"/>
        <w:numPr>
          <w:ilvl w:val="0"/>
          <w:numId w:val="40"/>
        </w:numPr>
        <w:tabs>
          <w:tab w:val="left" w:pos="5954"/>
        </w:tabs>
        <w:ind w:left="4820" w:firstLine="567"/>
        <w:rPr>
          <w:rFonts w:cs="Arial"/>
          <w:i/>
          <w:lang w:val="fr-FR"/>
        </w:rPr>
      </w:pPr>
      <w:r w:rsidRPr="0048528B">
        <w:rPr>
          <w:rFonts w:cs="Arial"/>
          <w:i/>
          <w:lang w:val="fr-FR"/>
        </w:rPr>
        <w:t>à approuver les travaux du</w:t>
      </w:r>
      <w:r w:rsidR="00F3296C" w:rsidRPr="0048528B">
        <w:rPr>
          <w:rFonts w:cs="Arial"/>
          <w:i/>
          <w:lang w:val="fr-FR"/>
        </w:rPr>
        <w:t> TC</w:t>
      </w:r>
      <w:r w:rsidRPr="0048528B">
        <w:rPr>
          <w:rFonts w:cs="Arial"/>
          <w:i/>
          <w:lang w:val="fr-FR"/>
        </w:rPr>
        <w:t xml:space="preserve"> et les programmes de travail des</w:t>
      </w:r>
      <w:r w:rsidR="00A536ED" w:rsidRPr="0048528B">
        <w:rPr>
          <w:rFonts w:cs="Arial"/>
          <w:i/>
          <w:lang w:val="fr-FR"/>
        </w:rPr>
        <w:t xml:space="preserve"> groupes de travail techniques </w:t>
      </w:r>
      <w:r w:rsidRPr="0048528B">
        <w:rPr>
          <w:rFonts w:cs="Arial"/>
          <w:i/>
          <w:lang w:val="fr-FR"/>
        </w:rPr>
        <w:t>et</w:t>
      </w:r>
      <w:r w:rsidR="00F3296C" w:rsidRPr="0048528B">
        <w:rPr>
          <w:rFonts w:cs="Arial"/>
          <w:i/>
          <w:lang w:val="fr-FR"/>
        </w:rPr>
        <w:t xml:space="preserve"> du BMT</w:t>
      </w:r>
      <w:r w:rsidRPr="0048528B">
        <w:rPr>
          <w:rFonts w:cs="Arial"/>
          <w:i/>
          <w:lang w:val="fr-FR"/>
        </w:rPr>
        <w:t xml:space="preserve"> qui ont été présentés au</w:t>
      </w:r>
      <w:r w:rsidR="00F3296C" w:rsidRPr="0048528B">
        <w:rPr>
          <w:rFonts w:cs="Arial"/>
          <w:i/>
          <w:lang w:val="fr-FR"/>
        </w:rPr>
        <w:t> TC</w:t>
      </w:r>
      <w:r w:rsidRPr="0048528B">
        <w:rPr>
          <w:rFonts w:cs="Arial"/>
          <w:i/>
          <w:lang w:val="fr-FR"/>
        </w:rPr>
        <w:t>, comme indiqué dans le présent document.</w:t>
      </w:r>
    </w:p>
    <w:p w:rsidR="00C97F0A" w:rsidRPr="0048528B" w:rsidRDefault="00C97F0A" w:rsidP="00C97F0A">
      <w:pPr>
        <w:rPr>
          <w:lang w:val="fr-FR"/>
        </w:rPr>
      </w:pPr>
    </w:p>
    <w:p w:rsidR="00C97F0A" w:rsidRPr="0048528B" w:rsidRDefault="00C97F0A" w:rsidP="00C97F0A">
      <w:pPr>
        <w:rPr>
          <w:lang w:val="fr-FR"/>
        </w:rPr>
      </w:pPr>
    </w:p>
    <w:p w:rsidR="00C97F0A" w:rsidRPr="0048528B" w:rsidRDefault="00C97F0A" w:rsidP="00C97F0A">
      <w:pPr>
        <w:rPr>
          <w:lang w:val="fr-FR"/>
        </w:rPr>
      </w:pPr>
    </w:p>
    <w:p w:rsidR="00C97F0A" w:rsidRPr="0048528B" w:rsidRDefault="00C97F0A" w:rsidP="00C97F0A">
      <w:pPr>
        <w:jc w:val="right"/>
        <w:rPr>
          <w:lang w:val="fr-FR"/>
        </w:rPr>
      </w:pPr>
      <w:r w:rsidRPr="0048528B">
        <w:rPr>
          <w:lang w:val="fr-FR"/>
        </w:rPr>
        <w:t>[L</w:t>
      </w:r>
      <w:r w:rsidR="00F3296C" w:rsidRPr="0048528B">
        <w:rPr>
          <w:lang w:val="fr-FR"/>
        </w:rPr>
        <w:t>’</w:t>
      </w:r>
      <w:r w:rsidRPr="0048528B">
        <w:rPr>
          <w:lang w:val="fr-FR"/>
        </w:rPr>
        <w:t>annexe suit]</w:t>
      </w:r>
    </w:p>
    <w:p w:rsidR="00C97F0A" w:rsidRPr="0048528B" w:rsidRDefault="00C97F0A" w:rsidP="00C97F0A">
      <w:pPr>
        <w:rPr>
          <w:lang w:val="fr-FR"/>
        </w:rPr>
      </w:pPr>
    </w:p>
    <w:p w:rsidR="00C97F0A" w:rsidRPr="0048528B" w:rsidRDefault="00C97F0A" w:rsidP="00C97F0A">
      <w:pPr>
        <w:rPr>
          <w:lang w:val="fr-FR"/>
        </w:rPr>
        <w:sectPr w:rsidR="00C97F0A" w:rsidRPr="0048528B" w:rsidSect="00F3296C">
          <w:headerReference w:type="default" r:id="rId11"/>
          <w:type w:val="continuous"/>
          <w:pgSz w:w="11907" w:h="16840" w:code="9"/>
          <w:pgMar w:top="510" w:right="1134" w:bottom="1134" w:left="1134" w:header="510" w:footer="680" w:gutter="0"/>
          <w:cols w:space="720"/>
          <w:titlePg/>
          <w:docGrid w:linePitch="272"/>
        </w:sectPr>
      </w:pPr>
    </w:p>
    <w:p w:rsidR="00C97F0A" w:rsidRPr="0048528B" w:rsidRDefault="00395D64" w:rsidP="00C97F0A">
      <w:pPr>
        <w:rPr>
          <w:lang w:val="fr-FR"/>
        </w:rPr>
      </w:pPr>
      <w:r>
        <w:rPr>
          <w:noProof/>
        </w:rPr>
        <w:lastRenderedPageBreak/>
        <w:drawing>
          <wp:inline distT="0" distB="0" distL="0" distR="0">
            <wp:extent cx="9641840" cy="538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41840" cy="5382260"/>
                    </a:xfrm>
                    <a:prstGeom prst="rect">
                      <a:avLst/>
                    </a:prstGeom>
                    <a:noFill/>
                    <a:ln>
                      <a:noFill/>
                    </a:ln>
                  </pic:spPr>
                </pic:pic>
              </a:graphicData>
            </a:graphic>
          </wp:inline>
        </w:drawing>
      </w:r>
    </w:p>
    <w:p w:rsidR="00C97F0A" w:rsidRPr="0048528B" w:rsidRDefault="00C97F0A" w:rsidP="00C97F0A">
      <w:pPr>
        <w:rPr>
          <w:lang w:val="fr-FR"/>
        </w:rPr>
      </w:pPr>
    </w:p>
    <w:p w:rsidR="00C97F0A" w:rsidRPr="0048528B" w:rsidRDefault="00C97F0A" w:rsidP="00C97F0A">
      <w:pPr>
        <w:rPr>
          <w:lang w:val="fr-FR"/>
        </w:rPr>
      </w:pPr>
    </w:p>
    <w:p w:rsidR="00C97F0A" w:rsidRPr="0048528B" w:rsidRDefault="00C97F0A" w:rsidP="00C97F0A">
      <w:pPr>
        <w:jc w:val="right"/>
        <w:rPr>
          <w:lang w:val="fr-FR"/>
        </w:rPr>
        <w:sectPr w:rsidR="00C97F0A" w:rsidRPr="0048528B" w:rsidSect="00F3296C">
          <w:headerReference w:type="first" r:id="rId13"/>
          <w:footerReference w:type="first" r:id="rId14"/>
          <w:pgSz w:w="16840" w:h="11907" w:orient="landscape" w:code="9"/>
          <w:pgMar w:top="1134" w:right="510" w:bottom="1134" w:left="1134" w:header="510" w:footer="680" w:gutter="0"/>
          <w:cols w:space="720"/>
          <w:titlePg/>
          <w:docGrid w:linePitch="272"/>
        </w:sectPr>
      </w:pPr>
      <w:r w:rsidRPr="0048528B">
        <w:rPr>
          <w:lang w:val="fr-FR"/>
        </w:rPr>
        <w:t>[Les appendices suivent]</w:t>
      </w:r>
    </w:p>
    <w:p w:rsidR="00C97F0A" w:rsidRPr="0048528B" w:rsidRDefault="00395D64" w:rsidP="00C97F0A">
      <w:pPr>
        <w:rPr>
          <w:lang w:val="fr-FR"/>
        </w:rPr>
      </w:pPr>
      <w:r>
        <w:rPr>
          <w:noProof/>
        </w:rPr>
        <w:drawing>
          <wp:inline distT="0" distB="0" distL="0" distR="0">
            <wp:extent cx="9641840" cy="3322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41840" cy="3322955"/>
                    </a:xfrm>
                    <a:prstGeom prst="rect">
                      <a:avLst/>
                    </a:prstGeom>
                    <a:noFill/>
                    <a:ln>
                      <a:noFill/>
                    </a:ln>
                  </pic:spPr>
                </pic:pic>
              </a:graphicData>
            </a:graphic>
          </wp:inline>
        </w:drawing>
      </w:r>
    </w:p>
    <w:p w:rsidR="00C97F0A" w:rsidRPr="0048528B" w:rsidRDefault="00C97F0A" w:rsidP="00C97F0A">
      <w:pPr>
        <w:rPr>
          <w:lang w:val="fr-FR"/>
        </w:rPr>
      </w:pPr>
    </w:p>
    <w:p w:rsidR="00C97F0A" w:rsidRPr="0048528B" w:rsidRDefault="00C97F0A" w:rsidP="00C97F0A">
      <w:pPr>
        <w:rPr>
          <w:lang w:val="fr-FR"/>
        </w:rPr>
      </w:pPr>
    </w:p>
    <w:p w:rsidR="00C97F0A" w:rsidRPr="0048528B" w:rsidRDefault="00C97F0A" w:rsidP="00C97F0A">
      <w:pPr>
        <w:rPr>
          <w:lang w:val="fr-FR"/>
        </w:rPr>
      </w:pPr>
    </w:p>
    <w:p w:rsidR="00C97F0A" w:rsidRPr="0048528B" w:rsidRDefault="00C97F0A" w:rsidP="00C97F0A">
      <w:pPr>
        <w:jc w:val="right"/>
        <w:rPr>
          <w:lang w:val="fr-FR"/>
        </w:rPr>
      </w:pPr>
      <w:r w:rsidRPr="0048528B">
        <w:rPr>
          <w:lang w:val="fr-FR"/>
        </w:rPr>
        <w:t>[L</w:t>
      </w:r>
      <w:r w:rsidR="00F3296C" w:rsidRPr="0048528B">
        <w:rPr>
          <w:lang w:val="fr-FR"/>
        </w:rPr>
        <w:t>’</w:t>
      </w:r>
      <w:r w:rsidRPr="0048528B">
        <w:rPr>
          <w:lang w:val="fr-FR"/>
        </w:rPr>
        <w:t>appendice II suit]</w:t>
      </w:r>
    </w:p>
    <w:p w:rsidR="00C97F0A" w:rsidRPr="0048528B" w:rsidRDefault="00C97F0A" w:rsidP="00C97F0A">
      <w:pPr>
        <w:rPr>
          <w:lang w:val="fr-FR"/>
        </w:rPr>
      </w:pPr>
    </w:p>
    <w:p w:rsidR="00C97F0A" w:rsidRPr="0048528B" w:rsidRDefault="00C97F0A" w:rsidP="00C97F0A">
      <w:pPr>
        <w:rPr>
          <w:lang w:val="fr-FR"/>
        </w:rPr>
        <w:sectPr w:rsidR="00C97F0A" w:rsidRPr="0048528B" w:rsidSect="00F3296C">
          <w:headerReference w:type="first" r:id="rId16"/>
          <w:pgSz w:w="16840" w:h="11907" w:orient="landscape" w:code="9"/>
          <w:pgMar w:top="1134" w:right="510" w:bottom="1134" w:left="1134" w:header="510" w:footer="680" w:gutter="0"/>
          <w:cols w:space="720"/>
          <w:titlePg/>
          <w:docGrid w:linePitch="272"/>
        </w:sectPr>
      </w:pPr>
    </w:p>
    <w:p w:rsidR="00C97F0A" w:rsidRPr="0048528B" w:rsidRDefault="00395D64" w:rsidP="00C97F0A">
      <w:pPr>
        <w:rPr>
          <w:lang w:val="fr-FR"/>
        </w:rPr>
      </w:pPr>
      <w:r>
        <w:rPr>
          <w:noProof/>
        </w:rPr>
        <w:drawing>
          <wp:inline distT="0" distB="0" distL="0" distR="0">
            <wp:extent cx="9248140" cy="555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48140" cy="5553075"/>
                    </a:xfrm>
                    <a:prstGeom prst="rect">
                      <a:avLst/>
                    </a:prstGeom>
                    <a:noFill/>
                    <a:ln>
                      <a:noFill/>
                    </a:ln>
                  </pic:spPr>
                </pic:pic>
              </a:graphicData>
            </a:graphic>
          </wp:inline>
        </w:drawing>
      </w:r>
    </w:p>
    <w:p w:rsidR="00C97F0A" w:rsidRPr="0048528B" w:rsidRDefault="00C97F0A" w:rsidP="00C97F0A">
      <w:pPr>
        <w:rPr>
          <w:sz w:val="14"/>
          <w:lang w:val="fr-FR"/>
        </w:rPr>
      </w:pPr>
      <w:r w:rsidRPr="0048528B">
        <w:rPr>
          <w:sz w:val="14"/>
          <w:lang w:val="fr-FR"/>
        </w:rPr>
        <w:t>* à examiner durant les sessions de</w:t>
      </w:r>
      <w:r w:rsidR="00E3136C" w:rsidRPr="0048528B">
        <w:rPr>
          <w:sz w:val="14"/>
          <w:lang w:val="fr-FR"/>
        </w:rPr>
        <w:t> </w:t>
      </w:r>
      <w:r w:rsidRPr="0048528B">
        <w:rPr>
          <w:sz w:val="14"/>
          <w:lang w:val="fr-FR"/>
        </w:rPr>
        <w:t>2013</w:t>
      </w:r>
      <w:r w:rsidR="00F3296C" w:rsidRPr="0048528B">
        <w:rPr>
          <w:sz w:val="14"/>
          <w:lang w:val="fr-FR"/>
        </w:rPr>
        <w:t xml:space="preserve"> des TWP</w:t>
      </w:r>
      <w:r w:rsidRPr="0048528B">
        <w:rPr>
          <w:sz w:val="14"/>
          <w:lang w:val="fr-FR"/>
        </w:rPr>
        <w:t>, si des données sur les échantillons globaux sont fournies</w:t>
      </w:r>
    </w:p>
    <w:p w:rsidR="00C97F0A" w:rsidRPr="0048528B" w:rsidRDefault="00C97F0A" w:rsidP="00C97F0A">
      <w:pPr>
        <w:rPr>
          <w:sz w:val="14"/>
          <w:lang w:val="fr-FR"/>
        </w:rPr>
      </w:pPr>
      <w:r w:rsidRPr="0048528B">
        <w:rPr>
          <w:sz w:val="14"/>
          <w:lang w:val="fr-FR"/>
        </w:rPr>
        <w:t>** à combiner avec la nouvelle section</w:t>
      </w:r>
      <w:r w:rsidR="00E3136C" w:rsidRPr="0048528B">
        <w:rPr>
          <w:sz w:val="14"/>
          <w:lang w:val="fr-FR"/>
        </w:rPr>
        <w:t> </w:t>
      </w:r>
      <w:r w:rsidRPr="0048528B">
        <w:rPr>
          <w:sz w:val="14"/>
          <w:lang w:val="fr-FR"/>
        </w:rPr>
        <w:t xml:space="preserve">13 </w:t>
      </w:r>
      <w:r w:rsidR="003F00B6" w:rsidRPr="0048528B">
        <w:rPr>
          <w:sz w:val="14"/>
          <w:lang w:val="fr-FR"/>
        </w:rPr>
        <w:noBreakHyphen/>
      </w:r>
      <w:r w:rsidRPr="0048528B">
        <w:rPr>
          <w:sz w:val="14"/>
          <w:lang w:val="fr-FR"/>
        </w:rPr>
        <w:t xml:space="preserve"> Méthodes de traitement des données pour l</w:t>
      </w:r>
      <w:r w:rsidR="00F3296C" w:rsidRPr="0048528B">
        <w:rPr>
          <w:sz w:val="14"/>
          <w:lang w:val="fr-FR"/>
        </w:rPr>
        <w:t>’</w:t>
      </w:r>
      <w:r w:rsidRPr="0048528B">
        <w:rPr>
          <w:sz w:val="14"/>
          <w:lang w:val="fr-FR"/>
        </w:rPr>
        <w:t>évaluation de la distinction et l</w:t>
      </w:r>
      <w:r w:rsidR="00F3296C" w:rsidRPr="0048528B">
        <w:rPr>
          <w:sz w:val="14"/>
          <w:lang w:val="fr-FR"/>
        </w:rPr>
        <w:t>’</w:t>
      </w:r>
      <w:r w:rsidRPr="0048528B">
        <w:rPr>
          <w:sz w:val="14"/>
          <w:lang w:val="fr-FR"/>
        </w:rPr>
        <w:t>établissement de descriptions variétales</w:t>
      </w:r>
      <w:r w:rsidR="005812E0" w:rsidRPr="0048528B">
        <w:rPr>
          <w:sz w:val="14"/>
          <w:lang w:val="fr-FR"/>
        </w:rPr>
        <w:t xml:space="preserve"> </w:t>
      </w:r>
    </w:p>
    <w:p w:rsidR="00C97F0A" w:rsidRPr="0048528B" w:rsidRDefault="00395D64" w:rsidP="005812E0">
      <w:pPr>
        <w:rPr>
          <w:lang w:val="fr-FR"/>
        </w:rPr>
      </w:pPr>
      <w:r>
        <w:rPr>
          <w:noProof/>
        </w:rPr>
        <mc:AlternateContent>
          <mc:Choice Requires="wps">
            <w:drawing>
              <wp:anchor distT="0" distB="0" distL="114300" distR="114300" simplePos="0" relativeHeight="251657728" behindDoc="0" locked="0" layoutInCell="0" allowOverlap="1">
                <wp:simplePos x="0" y="0"/>
                <wp:positionH relativeFrom="column">
                  <wp:posOffset>6054725</wp:posOffset>
                </wp:positionH>
                <wp:positionV relativeFrom="paragraph">
                  <wp:posOffset>327025</wp:posOffset>
                </wp:positionV>
                <wp:extent cx="3229610" cy="228600"/>
                <wp:effectExtent l="0" t="0" r="889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2E0" w:rsidRPr="009929A5" w:rsidRDefault="005812E0" w:rsidP="005812E0">
                            <w:pPr>
                              <w:ind w:right="53"/>
                              <w:jc w:val="right"/>
                              <w:rPr>
                                <w:rFonts w:cs="Arial"/>
                              </w:rPr>
                            </w:pPr>
                            <w:r w:rsidRPr="009929A5">
                              <w:rPr>
                                <w:rFonts w:cs="Arial"/>
                              </w:rPr>
                              <w:t>[</w:t>
                            </w:r>
                            <w:r w:rsidRPr="00995C55">
                              <w:rPr>
                                <w:lang w:val="fr-FR"/>
                              </w:rPr>
                              <w:t>Fin de l’appendice II et du document</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76.75pt;margin-top:25.75pt;width:254.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s8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YcdJBix7pqNGdGFFoqjP0KgWnhx7c9Ajb0GWbqervRfldIS5WDeFbeiulGBpKKmDnm5vui6sT&#10;jjIgm+GTqCAM2WlhgcZadqZ0UAwE6NClp2NnDJUSNi+DIIl8OCrhLAjiyLOtc0k63+6l0h+o6JAx&#10;Miyh8xad7O+VNmxIOruYYFwUrG1t91t+tgGO0w7EhqvmzLCwzXxOvGQdr+PQCYNo7YRenju3xSp0&#10;osK/WuSX+WqV+79MXD9MG1ZVlJsws7D88M8ad5D4JImjtJRoWWXgDCUlt5tVK9GegLAL+9maw8nJ&#10;zT2nYYsAubxKyQ9C7y5InCKKr5ywCBdOcuXFjucnd0nkhUmYF+cp3TNO/z0lNGQ4WQSLSUwn0q9y&#10;8+z3NjeSdkzD6GhZl+H46ERSI8E1r2xrNWHtZL8ohaF/KgW0e260FazR6KRWPW5GQDEq3ojqCaQr&#10;BSgLRAjzDoxGyJ8YDTA7Mqx+7IikGLUfOcjfDJrZkLOxmQ3CS7iaYY3RZK70NJB2vWTbBpCnB8bF&#10;LTyRmln1nlgcHhbMA5vEYXaZgfPy33qdJuzyNwAAAP//AwBQSwMEFAAGAAgAAAAhAIttTofgAAAA&#10;CgEAAA8AAABkcnMvZG93bnJldi54bWxMj8FOg0AQhu8mvsNmTLzZhSrYIkPTGD2ZGCkePC7sFEjZ&#10;WWS3Lb6925OeJpP58s/355vZDOJEk+stI8SLCARxY3XPLcJn9Xq3AuG8Yq0Gy4TwQw42xfVVrjJt&#10;z1zSaedbEULYZQqh837MpHRNR0a5hR2Jw21vJ6N8WKdW6kmdQ7gZ5DKKUmlUz+FDp0Z67qg57I4G&#10;YfvF5Uv//V5/lPuyr6p1xG/pAfH2Zt4+gfA0+z8YLvpBHYrgVNsjaycGhHVynwQUIYnDvAAP6TIG&#10;USOsHhOQRS7/Vyh+AQAA//8DAFBLAQItABQABgAIAAAAIQC2gziS/gAAAOEBAAATAAAAAAAAAAAA&#10;AAAAAAAAAABbQ29udGVudF9UeXBlc10ueG1sUEsBAi0AFAAGAAgAAAAhADj9If/WAAAAlAEAAAsA&#10;AAAAAAAAAAAAAAAALwEAAF9yZWxzLy5yZWxzUEsBAi0AFAAGAAgAAAAhAPwFazyvAgAAqQUAAA4A&#10;AAAAAAAAAAAAAAAALgIAAGRycy9lMm9Eb2MueG1sUEsBAi0AFAAGAAgAAAAhAIttTofgAAAACgEA&#10;AA8AAAAAAAAAAAAAAAAACQUAAGRycy9kb3ducmV2LnhtbFBLBQYAAAAABAAEAPMAAAAWBgAAAAA=&#10;" o:allowincell="f" filled="f" stroked="f">
                <v:textbox inset="0,0,0,0">
                  <w:txbxContent>
                    <w:p w:rsidR="005812E0" w:rsidRPr="009929A5" w:rsidRDefault="005812E0" w:rsidP="005812E0">
                      <w:pPr>
                        <w:ind w:right="53"/>
                        <w:jc w:val="right"/>
                        <w:rPr>
                          <w:rFonts w:cs="Arial"/>
                        </w:rPr>
                      </w:pPr>
                      <w:r w:rsidRPr="009929A5">
                        <w:rPr>
                          <w:rFonts w:cs="Arial"/>
                        </w:rPr>
                        <w:t>[</w:t>
                      </w:r>
                      <w:r w:rsidRPr="00995C55">
                        <w:rPr>
                          <w:lang w:val="fr-FR"/>
                        </w:rPr>
                        <w:t>Fin de l’appendice II et du document</w:t>
                      </w:r>
                      <w:r w:rsidRPr="009929A5">
                        <w:rPr>
                          <w:rFonts w:cs="Arial"/>
                        </w:rPr>
                        <w:t>]</w:t>
                      </w:r>
                    </w:p>
                  </w:txbxContent>
                </v:textbox>
              </v:shape>
            </w:pict>
          </mc:Fallback>
        </mc:AlternateContent>
      </w:r>
      <w:r w:rsidR="00C97F0A" w:rsidRPr="0048528B">
        <w:rPr>
          <w:sz w:val="14"/>
          <w:lang w:val="fr-FR"/>
        </w:rPr>
        <w:t>*** aucun document n</w:t>
      </w:r>
      <w:r w:rsidR="00F3296C" w:rsidRPr="0048528B">
        <w:rPr>
          <w:sz w:val="14"/>
          <w:lang w:val="fr-FR"/>
        </w:rPr>
        <w:t>’</w:t>
      </w:r>
      <w:r w:rsidR="00C97F0A" w:rsidRPr="0048528B">
        <w:rPr>
          <w:sz w:val="14"/>
          <w:lang w:val="fr-FR"/>
        </w:rPr>
        <w:t>a été examiné durant les sessions de</w:t>
      </w:r>
      <w:r w:rsidR="00E3136C" w:rsidRPr="0048528B">
        <w:rPr>
          <w:sz w:val="14"/>
          <w:lang w:val="fr-FR"/>
        </w:rPr>
        <w:t> </w:t>
      </w:r>
      <w:r w:rsidR="00C97F0A" w:rsidRPr="0048528B">
        <w:rPr>
          <w:sz w:val="14"/>
          <w:lang w:val="fr-FR"/>
        </w:rPr>
        <w:t>2012</w:t>
      </w:r>
      <w:r w:rsidR="00F3296C" w:rsidRPr="0048528B">
        <w:rPr>
          <w:sz w:val="14"/>
          <w:lang w:val="fr-FR"/>
        </w:rPr>
        <w:t xml:space="preserve"> des TWP</w:t>
      </w:r>
      <w:r w:rsidR="00C97F0A" w:rsidRPr="0048528B">
        <w:rPr>
          <w:sz w:val="14"/>
          <w:lang w:val="fr-FR"/>
        </w:rPr>
        <w:t xml:space="preserve"> car aucune donnée n</w:t>
      </w:r>
      <w:r w:rsidR="00F3296C" w:rsidRPr="0048528B">
        <w:rPr>
          <w:sz w:val="14"/>
          <w:lang w:val="fr-FR"/>
        </w:rPr>
        <w:t>’</w:t>
      </w:r>
      <w:r w:rsidR="00C97F0A" w:rsidRPr="0048528B">
        <w:rPr>
          <w:sz w:val="14"/>
          <w:lang w:val="fr-FR"/>
        </w:rPr>
        <w:t>a été fournie concernant les très petits échantillons</w:t>
      </w:r>
      <w:r w:rsidR="005812E0" w:rsidRPr="0048528B">
        <w:rPr>
          <w:sz w:val="14"/>
          <w:lang w:val="fr-FR"/>
        </w:rPr>
        <w:t>end</w:t>
      </w:r>
    </w:p>
    <w:sectPr w:rsidR="00C97F0A" w:rsidRPr="0048528B" w:rsidSect="00F4026A">
      <w:headerReference w:type="first" r:id="rId18"/>
      <w:footerReference w:type="first" r:id="rId19"/>
      <w:type w:val="continuous"/>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034" w:rsidRDefault="00823034" w:rsidP="006655D3">
      <w:r>
        <w:separator/>
      </w:r>
    </w:p>
    <w:p w:rsidR="00823034" w:rsidRDefault="00823034" w:rsidP="006655D3"/>
    <w:p w:rsidR="00823034" w:rsidRDefault="00823034" w:rsidP="006655D3"/>
  </w:endnote>
  <w:endnote w:type="continuationSeparator" w:id="0">
    <w:p w:rsidR="00823034" w:rsidRDefault="00823034" w:rsidP="006655D3">
      <w:r>
        <w:separator/>
      </w:r>
    </w:p>
    <w:p w:rsidR="00823034" w:rsidRPr="00560A6D" w:rsidRDefault="00823034">
      <w:pPr>
        <w:pStyle w:val="Footer"/>
        <w:spacing w:after="60"/>
        <w:rPr>
          <w:sz w:val="18"/>
          <w:lang w:val="fr-FR"/>
        </w:rPr>
      </w:pPr>
      <w:r w:rsidRPr="00560A6D">
        <w:rPr>
          <w:sz w:val="18"/>
          <w:lang w:val="fr-FR"/>
        </w:rPr>
        <w:t>[Suite de la note de la page précédente]</w:t>
      </w:r>
    </w:p>
    <w:p w:rsidR="00823034" w:rsidRPr="00560A6D" w:rsidRDefault="00823034" w:rsidP="006655D3">
      <w:pPr>
        <w:rPr>
          <w:lang w:val="fr-FR"/>
        </w:rPr>
      </w:pPr>
    </w:p>
    <w:p w:rsidR="00823034" w:rsidRPr="00560A6D" w:rsidRDefault="00823034" w:rsidP="006655D3">
      <w:pPr>
        <w:rPr>
          <w:lang w:val="fr-FR"/>
        </w:rPr>
      </w:pPr>
    </w:p>
  </w:endnote>
  <w:endnote w:type="continuationNotice" w:id="1">
    <w:p w:rsidR="00823034" w:rsidRPr="00560A6D" w:rsidRDefault="00823034" w:rsidP="006655D3">
      <w:pPr>
        <w:rPr>
          <w:lang w:val="fr-FR"/>
        </w:rPr>
      </w:pPr>
      <w:r w:rsidRPr="00560A6D">
        <w:rPr>
          <w:lang w:val="fr-FR"/>
        </w:rPr>
        <w:t>[Suite de la note page suivante]</w:t>
      </w:r>
    </w:p>
    <w:p w:rsidR="00823034" w:rsidRPr="00560A6D" w:rsidRDefault="00823034" w:rsidP="006655D3">
      <w:pPr>
        <w:rPr>
          <w:lang w:val="fr-FR"/>
        </w:rPr>
      </w:pPr>
    </w:p>
    <w:p w:rsidR="00823034" w:rsidRPr="00560A6D" w:rsidRDefault="0082303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F1" w:rsidRPr="00A816B9" w:rsidRDefault="00A26EF1" w:rsidP="00A81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F1" w:rsidRPr="00E40A4B" w:rsidRDefault="00A26EF1" w:rsidP="00E40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034" w:rsidRDefault="00823034" w:rsidP="00C95616">
      <w:pPr>
        <w:spacing w:before="120"/>
      </w:pPr>
      <w:r>
        <w:separator/>
      </w:r>
    </w:p>
  </w:footnote>
  <w:footnote w:type="continuationSeparator" w:id="0">
    <w:p w:rsidR="00823034" w:rsidRDefault="00823034" w:rsidP="006655D3">
      <w:r>
        <w:separator/>
      </w:r>
    </w:p>
  </w:footnote>
  <w:footnote w:type="continuationNotice" w:id="1">
    <w:p w:rsidR="00823034" w:rsidRPr="00A56FAA" w:rsidRDefault="00823034" w:rsidP="00A56FAA">
      <w:pPr>
        <w:pStyle w:val="Footer"/>
        <w:rPr>
          <w:szCs w:val="18"/>
        </w:rPr>
      </w:pPr>
    </w:p>
  </w:footnote>
  <w:footnote w:id="2">
    <w:p w:rsidR="00A26EF1" w:rsidRPr="00473A08" w:rsidRDefault="00A26EF1" w:rsidP="00CA0D7D">
      <w:pPr>
        <w:pStyle w:val="FootnoteText"/>
        <w:ind w:left="567" w:hanging="567"/>
        <w:rPr>
          <w:lang w:val="fr-CH"/>
        </w:rPr>
      </w:pPr>
      <w:r>
        <w:rPr>
          <w:rStyle w:val="FootnoteReference"/>
        </w:rPr>
        <w:footnoteRef/>
      </w:r>
      <w:r w:rsidRPr="00473A08">
        <w:rPr>
          <w:lang w:val="fr-CH"/>
        </w:rPr>
        <w:t xml:space="preserve"> </w:t>
      </w:r>
      <w:r w:rsidRPr="00473A08">
        <w:rPr>
          <w:lang w:val="fr-CH"/>
        </w:rPr>
        <w:tab/>
        <w:t xml:space="preserve">Le texte des exposés présentés pourra être consulté sur le site Web de de l’UPOV à l’adresse </w:t>
      </w:r>
      <w:hyperlink r:id="rId1" w:history="1">
        <w:r w:rsidRPr="00CA1801">
          <w:rPr>
            <w:rStyle w:val="Hyperlink"/>
            <w:lang w:val="fr-CH"/>
          </w:rPr>
          <w:t>http://www.upov.int/meetings/fr/details.jsp?meeting_id=28343</w:t>
        </w:r>
      </w:hyperlink>
      <w:r w:rsidRPr="00473A08">
        <w:rPr>
          <w:lang w:val="fr-CH"/>
        </w:rPr>
        <w:t>.</w:t>
      </w:r>
      <w:r>
        <w:rPr>
          <w:lang w:val="fr-CH"/>
        </w:rPr>
        <w:t xml:space="preserve"> </w:t>
      </w:r>
      <w:r w:rsidRPr="00473A08">
        <w:rPr>
          <w:lang w:val="fr-CH"/>
        </w:rPr>
        <w:t xml:space="preserve"> </w:t>
      </w:r>
    </w:p>
  </w:footnote>
  <w:footnote w:id="3">
    <w:p w:rsidR="00A26EF1" w:rsidRPr="004C7CF7" w:rsidRDefault="00A26EF1" w:rsidP="00A26EF1">
      <w:pPr>
        <w:pStyle w:val="FootnoteText"/>
        <w:ind w:left="567" w:hanging="567"/>
        <w:rPr>
          <w:lang w:val="fr-CH"/>
        </w:rPr>
      </w:pPr>
      <w:r>
        <w:rPr>
          <w:rStyle w:val="FootnoteReference"/>
        </w:rPr>
        <w:footnoteRef/>
      </w:r>
      <w:r>
        <w:t xml:space="preserve"> </w:t>
      </w:r>
      <w:r>
        <w:rPr>
          <w:lang w:val="fr-CH"/>
        </w:rPr>
        <w:tab/>
        <w:t xml:space="preserve">Des copies des exposés présentés à cette session sont disponibles sur le site Web de l'UPOV à l'adresse </w:t>
      </w:r>
      <w:hyperlink r:id="rId2" w:history="1">
        <w:r w:rsidRPr="00CA1801">
          <w:rPr>
            <w:rStyle w:val="Hyperlink"/>
            <w:lang w:val="fr-CH"/>
          </w:rPr>
          <w:t>http://www.upov.int/meetings/fr/details.jsp?meeting_id=28343</w:t>
        </w:r>
      </w:hyperlink>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F1" w:rsidRPr="00C5280D" w:rsidRDefault="00A26EF1" w:rsidP="00EB048E">
    <w:pPr>
      <w:pStyle w:val="Header"/>
      <w:rPr>
        <w:rStyle w:val="PageNumber"/>
        <w:lang w:val="en-US"/>
      </w:rPr>
    </w:pPr>
    <w:r>
      <w:rPr>
        <w:rStyle w:val="PageNumber"/>
        <w:lang w:val="en-US"/>
      </w:rPr>
      <w:t>C/47/10</w:t>
    </w:r>
  </w:p>
  <w:p w:rsidR="00A26EF1" w:rsidRPr="00C5280D" w:rsidRDefault="00A26EF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95D64">
      <w:rPr>
        <w:rStyle w:val="PageNumber"/>
        <w:noProof/>
        <w:lang w:val="en-US"/>
      </w:rPr>
      <w:t>38</w:t>
    </w:r>
    <w:r w:rsidRPr="00C5280D">
      <w:rPr>
        <w:rStyle w:val="PageNumber"/>
        <w:lang w:val="en-US"/>
      </w:rPr>
      <w:fldChar w:fldCharType="end"/>
    </w:r>
  </w:p>
  <w:p w:rsidR="00A26EF1" w:rsidRPr="00C5280D" w:rsidRDefault="00A26EF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F1" w:rsidRDefault="00A26EF1">
    <w:pPr>
      <w:pStyle w:val="Header"/>
      <w:rPr>
        <w:lang w:val="en-US"/>
      </w:rPr>
    </w:pPr>
    <w:r>
      <w:rPr>
        <w:lang w:val="en-US"/>
      </w:rPr>
      <w:t>C/47/10</w:t>
    </w:r>
  </w:p>
  <w:p w:rsidR="00A26EF1" w:rsidRDefault="00A26EF1">
    <w:pPr>
      <w:pStyle w:val="Header"/>
      <w:rPr>
        <w:lang w:val="en-US"/>
      </w:rPr>
    </w:pPr>
  </w:p>
  <w:p w:rsidR="00A26EF1" w:rsidRDefault="00A26EF1">
    <w:pPr>
      <w:pStyle w:val="Header"/>
      <w:rPr>
        <w:lang w:val="en-US"/>
      </w:rPr>
    </w:pPr>
    <w:r>
      <w:rPr>
        <w:lang w:val="en-US"/>
      </w:rPr>
      <w:t>ANNEXE</w:t>
    </w:r>
  </w:p>
  <w:p w:rsidR="00A26EF1" w:rsidRPr="00596383" w:rsidRDefault="00A26EF1">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F1" w:rsidRDefault="00A26EF1" w:rsidP="00596383">
    <w:pPr>
      <w:pStyle w:val="Header"/>
      <w:rPr>
        <w:lang w:val="en-US"/>
      </w:rPr>
    </w:pPr>
    <w:r>
      <w:rPr>
        <w:lang w:val="en-US"/>
      </w:rPr>
      <w:t>C/47/10</w:t>
    </w:r>
  </w:p>
  <w:p w:rsidR="00A26EF1" w:rsidRDefault="00A26EF1" w:rsidP="00596383">
    <w:pPr>
      <w:pStyle w:val="Header"/>
      <w:rPr>
        <w:lang w:val="en-US"/>
      </w:rPr>
    </w:pPr>
  </w:p>
  <w:p w:rsidR="00A26EF1" w:rsidRPr="00596383" w:rsidRDefault="00A26EF1" w:rsidP="00596383">
    <w:pPr>
      <w:pStyle w:val="Header"/>
      <w:rPr>
        <w:rStyle w:val="Emphasis"/>
        <w:i w:val="0"/>
        <w:iCs w:val="0"/>
        <w:lang w:val="en-US"/>
      </w:rPr>
    </w:pPr>
    <w:r w:rsidRPr="00090AC3">
      <w:rPr>
        <w:rStyle w:val="Emphasis"/>
        <w:i w:val="0"/>
      </w:rPr>
      <w:t>APPENDI</w:t>
    </w:r>
    <w:r>
      <w:rPr>
        <w:rStyle w:val="Emphasis"/>
        <w:i w:val="0"/>
      </w:rPr>
      <w:t>CE</w:t>
    </w:r>
    <w:r w:rsidRPr="00090AC3">
      <w:rPr>
        <w:rStyle w:val="Emphasis"/>
        <w:i w:val="0"/>
      </w:rPr>
      <w:t xml:space="preserve"> I</w:t>
    </w:r>
  </w:p>
  <w:p w:rsidR="00A26EF1" w:rsidRPr="00614435" w:rsidRDefault="00A26EF1" w:rsidP="00614435">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F1" w:rsidRDefault="00A26EF1" w:rsidP="00596383">
    <w:pPr>
      <w:pStyle w:val="Header"/>
      <w:rPr>
        <w:lang w:val="en-US"/>
      </w:rPr>
    </w:pPr>
    <w:r>
      <w:rPr>
        <w:lang w:val="en-US"/>
      </w:rPr>
      <w:t>C/47/10</w:t>
    </w:r>
  </w:p>
  <w:p w:rsidR="00A26EF1" w:rsidRDefault="00A26EF1" w:rsidP="00596383">
    <w:pPr>
      <w:pStyle w:val="Header"/>
      <w:rPr>
        <w:lang w:val="en-US"/>
      </w:rPr>
    </w:pPr>
  </w:p>
  <w:p w:rsidR="00A26EF1" w:rsidRDefault="00A26EF1" w:rsidP="00596383">
    <w:pPr>
      <w:pStyle w:val="Header"/>
    </w:pPr>
    <w:r>
      <w:t>APPENDICE II</w:t>
    </w:r>
  </w:p>
  <w:p w:rsidR="00A26EF1" w:rsidRPr="00596383" w:rsidRDefault="00A26EF1" w:rsidP="0059638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3A32CA"/>
    <w:lvl w:ilvl="0">
      <w:start w:val="1"/>
      <w:numFmt w:val="decimal"/>
      <w:lvlText w:val="%1."/>
      <w:lvlJc w:val="left"/>
      <w:pPr>
        <w:tabs>
          <w:tab w:val="num" w:pos="1800"/>
        </w:tabs>
        <w:ind w:left="1800" w:hanging="360"/>
      </w:pPr>
    </w:lvl>
  </w:abstractNum>
  <w:abstractNum w:abstractNumId="1">
    <w:nsid w:val="FFFFFF7D"/>
    <w:multiLevelType w:val="singleLevel"/>
    <w:tmpl w:val="C8028A0C"/>
    <w:lvl w:ilvl="0">
      <w:start w:val="1"/>
      <w:numFmt w:val="decimal"/>
      <w:lvlText w:val="%1."/>
      <w:lvlJc w:val="left"/>
      <w:pPr>
        <w:tabs>
          <w:tab w:val="num" w:pos="1440"/>
        </w:tabs>
        <w:ind w:left="1440" w:hanging="360"/>
      </w:pPr>
    </w:lvl>
  </w:abstractNum>
  <w:abstractNum w:abstractNumId="2">
    <w:nsid w:val="FFFFFF7E"/>
    <w:multiLevelType w:val="singleLevel"/>
    <w:tmpl w:val="F39A22BC"/>
    <w:lvl w:ilvl="0">
      <w:start w:val="1"/>
      <w:numFmt w:val="decimal"/>
      <w:lvlText w:val="%1."/>
      <w:lvlJc w:val="left"/>
      <w:pPr>
        <w:tabs>
          <w:tab w:val="num" w:pos="1080"/>
        </w:tabs>
        <w:ind w:left="1080" w:hanging="360"/>
      </w:pPr>
    </w:lvl>
  </w:abstractNum>
  <w:abstractNum w:abstractNumId="3">
    <w:nsid w:val="FFFFFF7F"/>
    <w:multiLevelType w:val="singleLevel"/>
    <w:tmpl w:val="7BBA25A8"/>
    <w:lvl w:ilvl="0">
      <w:start w:val="1"/>
      <w:numFmt w:val="decimal"/>
      <w:lvlText w:val="%1."/>
      <w:lvlJc w:val="left"/>
      <w:pPr>
        <w:tabs>
          <w:tab w:val="num" w:pos="720"/>
        </w:tabs>
        <w:ind w:left="720" w:hanging="360"/>
      </w:pPr>
    </w:lvl>
  </w:abstractNum>
  <w:abstractNum w:abstractNumId="4">
    <w:nsid w:val="FFFFFF80"/>
    <w:multiLevelType w:val="singleLevel"/>
    <w:tmpl w:val="3ED857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EA87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22469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7BE06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D87882"/>
    <w:lvl w:ilvl="0">
      <w:start w:val="1"/>
      <w:numFmt w:val="decimal"/>
      <w:lvlText w:val="%1."/>
      <w:lvlJc w:val="left"/>
      <w:pPr>
        <w:tabs>
          <w:tab w:val="num" w:pos="360"/>
        </w:tabs>
        <w:ind w:left="360" w:hanging="360"/>
      </w:pPr>
    </w:lvl>
  </w:abstractNum>
  <w:abstractNum w:abstractNumId="9">
    <w:nsid w:val="FFFFFF89"/>
    <w:multiLevelType w:val="singleLevel"/>
    <w:tmpl w:val="4A6C7D12"/>
    <w:lvl w:ilvl="0">
      <w:start w:val="1"/>
      <w:numFmt w:val="bullet"/>
      <w:lvlText w:val=""/>
      <w:lvlJc w:val="left"/>
      <w:pPr>
        <w:tabs>
          <w:tab w:val="num" w:pos="360"/>
        </w:tabs>
        <w:ind w:left="360" w:hanging="360"/>
      </w:pPr>
      <w:rPr>
        <w:rFonts w:ascii="Symbol" w:hAnsi="Symbol" w:hint="default"/>
      </w:rPr>
    </w:lvl>
  </w:abstractNum>
  <w:abstractNum w:abstractNumId="10">
    <w:nsid w:val="02680FC2"/>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nsid w:val="027446FE"/>
    <w:multiLevelType w:val="hybridMultilevel"/>
    <w:tmpl w:val="623C0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9D544D"/>
    <w:multiLevelType w:val="hybridMultilevel"/>
    <w:tmpl w:val="78FA83BA"/>
    <w:lvl w:ilvl="0" w:tplc="53DECF4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nsid w:val="06B4570F"/>
    <w:multiLevelType w:val="hybridMultilevel"/>
    <w:tmpl w:val="ADD683EA"/>
    <w:lvl w:ilvl="0" w:tplc="314CAFE0">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14">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E3C45B4"/>
    <w:multiLevelType w:val="hybridMultilevel"/>
    <w:tmpl w:val="299EF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433276"/>
    <w:multiLevelType w:val="hybridMultilevel"/>
    <w:tmpl w:val="E146CA30"/>
    <w:lvl w:ilvl="0" w:tplc="A5342C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545326F"/>
    <w:multiLevelType w:val="hybridMultilevel"/>
    <w:tmpl w:val="38CE8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26152A2F"/>
    <w:multiLevelType w:val="multilevel"/>
    <w:tmpl w:val="E0AEF85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ind w:left="2214" w:hanging="360"/>
      </w:pPr>
      <w:rPr>
        <w:rFonts w:cs="Times New Roman"/>
      </w:rPr>
    </w:lvl>
    <w:lvl w:ilvl="2" w:tentative="1">
      <w:start w:val="1"/>
      <w:numFmt w:val="lowerRoman"/>
      <w:lvlText w:val="%3."/>
      <w:lvlJc w:val="right"/>
      <w:pPr>
        <w:ind w:left="2934" w:hanging="180"/>
      </w:pPr>
      <w:rPr>
        <w:rFonts w:cs="Times New Roman"/>
      </w:rPr>
    </w:lvl>
    <w:lvl w:ilvl="3" w:tentative="1">
      <w:start w:val="1"/>
      <w:numFmt w:val="decimal"/>
      <w:lvlText w:val="%4."/>
      <w:lvlJc w:val="left"/>
      <w:pPr>
        <w:ind w:left="3654" w:hanging="360"/>
      </w:pPr>
      <w:rPr>
        <w:rFonts w:cs="Times New Roman"/>
      </w:rPr>
    </w:lvl>
    <w:lvl w:ilvl="4" w:tentative="1">
      <w:start w:val="1"/>
      <w:numFmt w:val="lowerLetter"/>
      <w:lvlText w:val="%5."/>
      <w:lvlJc w:val="left"/>
      <w:pPr>
        <w:ind w:left="4374" w:hanging="360"/>
      </w:pPr>
      <w:rPr>
        <w:rFonts w:cs="Times New Roman"/>
      </w:rPr>
    </w:lvl>
    <w:lvl w:ilvl="5" w:tentative="1">
      <w:start w:val="1"/>
      <w:numFmt w:val="lowerRoman"/>
      <w:lvlText w:val="%6."/>
      <w:lvlJc w:val="right"/>
      <w:pPr>
        <w:ind w:left="5094" w:hanging="180"/>
      </w:pPr>
      <w:rPr>
        <w:rFonts w:cs="Times New Roman"/>
      </w:rPr>
    </w:lvl>
    <w:lvl w:ilvl="6" w:tentative="1">
      <w:start w:val="1"/>
      <w:numFmt w:val="decimal"/>
      <w:lvlText w:val="%7."/>
      <w:lvlJc w:val="left"/>
      <w:pPr>
        <w:ind w:left="5814" w:hanging="360"/>
      </w:pPr>
      <w:rPr>
        <w:rFonts w:cs="Times New Roman"/>
      </w:rPr>
    </w:lvl>
    <w:lvl w:ilvl="7" w:tentative="1">
      <w:start w:val="1"/>
      <w:numFmt w:val="lowerLetter"/>
      <w:lvlText w:val="%8."/>
      <w:lvlJc w:val="left"/>
      <w:pPr>
        <w:ind w:left="6534" w:hanging="360"/>
      </w:pPr>
      <w:rPr>
        <w:rFonts w:cs="Times New Roman"/>
      </w:rPr>
    </w:lvl>
    <w:lvl w:ilvl="8" w:tentative="1">
      <w:start w:val="1"/>
      <w:numFmt w:val="lowerRoman"/>
      <w:lvlText w:val="%9."/>
      <w:lvlJc w:val="right"/>
      <w:pPr>
        <w:ind w:left="7254" w:hanging="180"/>
      </w:pPr>
      <w:rPr>
        <w:rFonts w:cs="Times New Roman"/>
      </w:rPr>
    </w:lvl>
  </w:abstractNum>
  <w:abstractNum w:abstractNumId="20">
    <w:nsid w:val="265D0A22"/>
    <w:multiLevelType w:val="hybridMultilevel"/>
    <w:tmpl w:val="E9F851C2"/>
    <w:lvl w:ilvl="0" w:tplc="DDEE85B8">
      <w:start w:val="1"/>
      <w:numFmt w:val="lowerLetter"/>
      <w:lvlText w:val="%1)"/>
      <w:lvlJc w:val="left"/>
      <w:pPr>
        <w:ind w:left="930" w:hanging="360"/>
      </w:pPr>
      <w:rPr>
        <w:rFonts w:hint="default"/>
        <w:color w:val="auto"/>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21">
    <w:nsid w:val="2D235324"/>
    <w:multiLevelType w:val="multilevel"/>
    <w:tmpl w:val="83445934"/>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4A4B92"/>
    <w:multiLevelType w:val="singleLevel"/>
    <w:tmpl w:val="0409000F"/>
    <w:lvl w:ilvl="0">
      <w:start w:val="1"/>
      <w:numFmt w:val="decimal"/>
      <w:lvlText w:val="%1."/>
      <w:lvlJc w:val="left"/>
      <w:pPr>
        <w:tabs>
          <w:tab w:val="num" w:pos="1070"/>
        </w:tabs>
        <w:ind w:left="1070" w:hanging="360"/>
      </w:pPr>
      <w:rPr>
        <w:rFonts w:cs="Times New Roman"/>
      </w:rPr>
    </w:lvl>
  </w:abstractNum>
  <w:abstractNum w:abstractNumId="23">
    <w:nsid w:val="33CD0350"/>
    <w:multiLevelType w:val="hybridMultilevel"/>
    <w:tmpl w:val="6D664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39787248"/>
    <w:multiLevelType w:val="hybridMultilevel"/>
    <w:tmpl w:val="1E564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42A50D4"/>
    <w:multiLevelType w:val="hybridMultilevel"/>
    <w:tmpl w:val="6B762456"/>
    <w:lvl w:ilvl="0" w:tplc="356E4174">
      <w:start w:val="1"/>
      <w:numFmt w:val="lowerLetter"/>
      <w:lvlText w:val="%1)"/>
      <w:lvlJc w:val="left"/>
      <w:pPr>
        <w:ind w:left="113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9922FC"/>
    <w:multiLevelType w:val="hybridMultilevel"/>
    <w:tmpl w:val="A620B53C"/>
    <w:lvl w:ilvl="0" w:tplc="352670A8">
      <w:start w:val="1"/>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6763A6"/>
    <w:multiLevelType w:val="hybridMultilevel"/>
    <w:tmpl w:val="45E23C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A23A8A"/>
    <w:multiLevelType w:val="hybridMultilevel"/>
    <w:tmpl w:val="19F8C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EEC6848"/>
    <w:multiLevelType w:val="multilevel"/>
    <w:tmpl w:val="A620B53C"/>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38967E3"/>
    <w:multiLevelType w:val="hybridMultilevel"/>
    <w:tmpl w:val="221CE074"/>
    <w:lvl w:ilvl="0" w:tplc="817ACEEE">
      <w:start w:val="1"/>
      <w:numFmt w:val="lowerLetter"/>
      <w:lvlText w:val="%1)"/>
      <w:lvlJc w:val="left"/>
      <w:pPr>
        <w:ind w:left="720" w:hanging="360"/>
      </w:pPr>
      <w:rPr>
        <w:rFonts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35">
    <w:nsid w:val="56C22812"/>
    <w:multiLevelType w:val="hybridMultilevel"/>
    <w:tmpl w:val="3A007286"/>
    <w:lvl w:ilvl="0" w:tplc="AC1E82D2">
      <w:start w:val="1"/>
      <w:numFmt w:val="lowerLetter"/>
      <w:lvlText w:val="%1)"/>
      <w:lvlJc w:val="left"/>
      <w:pPr>
        <w:tabs>
          <w:tab w:val="num" w:pos="5016"/>
        </w:tabs>
        <w:ind w:left="5016" w:hanging="48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3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5D501E66"/>
    <w:multiLevelType w:val="hybridMultilevel"/>
    <w:tmpl w:val="8F22909C"/>
    <w:lvl w:ilvl="0" w:tplc="E4DEC17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A353343"/>
    <w:multiLevelType w:val="hybridMultilevel"/>
    <w:tmpl w:val="E146CA30"/>
    <w:lvl w:ilvl="0" w:tplc="A5342C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74798D"/>
    <w:multiLevelType w:val="hybridMultilevel"/>
    <w:tmpl w:val="F604B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31944D9"/>
    <w:multiLevelType w:val="hybridMultilevel"/>
    <w:tmpl w:val="594C40E6"/>
    <w:lvl w:ilvl="0" w:tplc="F02C55AE">
      <w:start w:val="1"/>
      <w:numFmt w:val="lowerLetter"/>
      <w:lvlText w:val="%1)"/>
      <w:lvlJc w:val="left"/>
      <w:pPr>
        <w:ind w:left="1497" w:hanging="360"/>
      </w:pPr>
      <w:rPr>
        <w:rFonts w:hint="default"/>
      </w:rPr>
    </w:lvl>
    <w:lvl w:ilvl="1" w:tplc="040C0019" w:tentative="1">
      <w:start w:val="1"/>
      <w:numFmt w:val="lowerLetter"/>
      <w:lvlText w:val="%2."/>
      <w:lvlJc w:val="left"/>
      <w:pPr>
        <w:ind w:left="2217" w:hanging="360"/>
      </w:pPr>
    </w:lvl>
    <w:lvl w:ilvl="2" w:tplc="040C001B" w:tentative="1">
      <w:start w:val="1"/>
      <w:numFmt w:val="lowerRoman"/>
      <w:lvlText w:val="%3."/>
      <w:lvlJc w:val="right"/>
      <w:pPr>
        <w:ind w:left="2937" w:hanging="180"/>
      </w:pPr>
    </w:lvl>
    <w:lvl w:ilvl="3" w:tplc="040C000F" w:tentative="1">
      <w:start w:val="1"/>
      <w:numFmt w:val="decimal"/>
      <w:lvlText w:val="%4."/>
      <w:lvlJc w:val="left"/>
      <w:pPr>
        <w:ind w:left="3657" w:hanging="360"/>
      </w:pPr>
    </w:lvl>
    <w:lvl w:ilvl="4" w:tplc="040C0019" w:tentative="1">
      <w:start w:val="1"/>
      <w:numFmt w:val="lowerLetter"/>
      <w:lvlText w:val="%5."/>
      <w:lvlJc w:val="left"/>
      <w:pPr>
        <w:ind w:left="4377" w:hanging="360"/>
      </w:pPr>
    </w:lvl>
    <w:lvl w:ilvl="5" w:tplc="040C001B" w:tentative="1">
      <w:start w:val="1"/>
      <w:numFmt w:val="lowerRoman"/>
      <w:lvlText w:val="%6."/>
      <w:lvlJc w:val="right"/>
      <w:pPr>
        <w:ind w:left="5097" w:hanging="180"/>
      </w:pPr>
    </w:lvl>
    <w:lvl w:ilvl="6" w:tplc="040C000F" w:tentative="1">
      <w:start w:val="1"/>
      <w:numFmt w:val="decimal"/>
      <w:lvlText w:val="%7."/>
      <w:lvlJc w:val="left"/>
      <w:pPr>
        <w:ind w:left="5817" w:hanging="360"/>
      </w:pPr>
    </w:lvl>
    <w:lvl w:ilvl="7" w:tplc="040C0019" w:tentative="1">
      <w:start w:val="1"/>
      <w:numFmt w:val="lowerLetter"/>
      <w:lvlText w:val="%8."/>
      <w:lvlJc w:val="left"/>
      <w:pPr>
        <w:ind w:left="6537" w:hanging="360"/>
      </w:pPr>
    </w:lvl>
    <w:lvl w:ilvl="8" w:tplc="040C001B" w:tentative="1">
      <w:start w:val="1"/>
      <w:numFmt w:val="lowerRoman"/>
      <w:lvlText w:val="%9."/>
      <w:lvlJc w:val="right"/>
      <w:pPr>
        <w:ind w:left="7257" w:hanging="180"/>
      </w:pPr>
    </w:lvl>
  </w:abstractNum>
  <w:abstractNum w:abstractNumId="42">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7C4A0804"/>
    <w:multiLevelType w:val="hybridMultilevel"/>
    <w:tmpl w:val="83445934"/>
    <w:lvl w:ilvl="0" w:tplc="352670A8">
      <w:start w:val="1"/>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44"/>
  </w:num>
  <w:num w:numId="5">
    <w:abstractNumId w:val="31"/>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3"/>
  </w:num>
  <w:num w:numId="18">
    <w:abstractNumId w:val="32"/>
  </w:num>
  <w:num w:numId="19">
    <w:abstractNumId w:val="36"/>
  </w:num>
  <w:num w:numId="20">
    <w:abstractNumId w:val="26"/>
  </w:num>
  <w:num w:numId="21">
    <w:abstractNumId w:val="24"/>
  </w:num>
  <w:num w:numId="22">
    <w:abstractNumId w:val="40"/>
  </w:num>
  <w:num w:numId="23">
    <w:abstractNumId w:val="14"/>
  </w:num>
  <w:num w:numId="24">
    <w:abstractNumId w:val="34"/>
  </w:num>
  <w:num w:numId="25">
    <w:abstractNumId w:val="18"/>
  </w:num>
  <w:num w:numId="26">
    <w:abstractNumId w:val="42"/>
  </w:num>
  <w:num w:numId="27">
    <w:abstractNumId w:val="37"/>
  </w:num>
  <w:num w:numId="28">
    <w:abstractNumId w:val="39"/>
  </w:num>
  <w:num w:numId="29">
    <w:abstractNumId w:val="22"/>
  </w:num>
  <w:num w:numId="30">
    <w:abstractNumId w:val="19"/>
  </w:num>
  <w:num w:numId="31">
    <w:abstractNumId w:val="13"/>
  </w:num>
  <w:num w:numId="32">
    <w:abstractNumId w:val="23"/>
  </w:num>
  <w:num w:numId="33">
    <w:abstractNumId w:val="17"/>
  </w:num>
  <w:num w:numId="34">
    <w:abstractNumId w:val="29"/>
  </w:num>
  <w:num w:numId="35">
    <w:abstractNumId w:val="38"/>
  </w:num>
  <w:num w:numId="36">
    <w:abstractNumId w:val="15"/>
  </w:num>
  <w:num w:numId="37">
    <w:abstractNumId w:val="11"/>
  </w:num>
  <w:num w:numId="38">
    <w:abstractNumId w:val="30"/>
  </w:num>
  <w:num w:numId="39">
    <w:abstractNumId w:val="25"/>
  </w:num>
  <w:num w:numId="40">
    <w:abstractNumId w:val="12"/>
  </w:num>
  <w:num w:numId="41">
    <w:abstractNumId w:val="20"/>
  </w:num>
  <w:num w:numId="42">
    <w:abstractNumId w:val="33"/>
  </w:num>
  <w:num w:numId="43">
    <w:abstractNumId w:val="41"/>
  </w:num>
  <w:num w:numId="44">
    <w:abstractNumId w:val="1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UPOV\Meetings|UPOV\Other|UPOV\Publications|UPOV\Technical Guidelines"/>
    <w:docVar w:name="TextBaseURL" w:val="empty"/>
    <w:docVar w:name="UILng" w:val="en"/>
  </w:docVars>
  <w:rsids>
    <w:rsidRoot w:val="00B003A3"/>
    <w:rsid w:val="00010CF3"/>
    <w:rsid w:val="00011E27"/>
    <w:rsid w:val="000148BC"/>
    <w:rsid w:val="000237A2"/>
    <w:rsid w:val="000247FD"/>
    <w:rsid w:val="00024AB8"/>
    <w:rsid w:val="00025182"/>
    <w:rsid w:val="00030854"/>
    <w:rsid w:val="000312D5"/>
    <w:rsid w:val="00036028"/>
    <w:rsid w:val="00043994"/>
    <w:rsid w:val="00044642"/>
    <w:rsid w:val="000446B9"/>
    <w:rsid w:val="00047E21"/>
    <w:rsid w:val="000555B0"/>
    <w:rsid w:val="00085505"/>
    <w:rsid w:val="0009000B"/>
    <w:rsid w:val="00090AC3"/>
    <w:rsid w:val="00094CE7"/>
    <w:rsid w:val="000A68B4"/>
    <w:rsid w:val="000B3F9D"/>
    <w:rsid w:val="000C7021"/>
    <w:rsid w:val="000D1E99"/>
    <w:rsid w:val="000D6BBC"/>
    <w:rsid w:val="000D7780"/>
    <w:rsid w:val="000E1F18"/>
    <w:rsid w:val="000E5325"/>
    <w:rsid w:val="000F6C81"/>
    <w:rsid w:val="001002A7"/>
    <w:rsid w:val="00105929"/>
    <w:rsid w:val="0010686B"/>
    <w:rsid w:val="00110A16"/>
    <w:rsid w:val="001131D5"/>
    <w:rsid w:val="00130B70"/>
    <w:rsid w:val="00141DB8"/>
    <w:rsid w:val="001462E7"/>
    <w:rsid w:val="00147FCD"/>
    <w:rsid w:val="0017474A"/>
    <w:rsid w:val="001758C6"/>
    <w:rsid w:val="00182B99"/>
    <w:rsid w:val="00193D55"/>
    <w:rsid w:val="00195957"/>
    <w:rsid w:val="00196886"/>
    <w:rsid w:val="001A0080"/>
    <w:rsid w:val="001A4D50"/>
    <w:rsid w:val="001E0CF9"/>
    <w:rsid w:val="001E467E"/>
    <w:rsid w:val="001E5B04"/>
    <w:rsid w:val="001E5BF4"/>
    <w:rsid w:val="001E5EC4"/>
    <w:rsid w:val="00204800"/>
    <w:rsid w:val="002065E4"/>
    <w:rsid w:val="0021332C"/>
    <w:rsid w:val="00213982"/>
    <w:rsid w:val="00220FA0"/>
    <w:rsid w:val="002274F6"/>
    <w:rsid w:val="00233A41"/>
    <w:rsid w:val="0024416D"/>
    <w:rsid w:val="00251C8C"/>
    <w:rsid w:val="00263051"/>
    <w:rsid w:val="002800A0"/>
    <w:rsid w:val="002801B3"/>
    <w:rsid w:val="0028098F"/>
    <w:rsid w:val="00281060"/>
    <w:rsid w:val="002940E8"/>
    <w:rsid w:val="002A407A"/>
    <w:rsid w:val="002A6E50"/>
    <w:rsid w:val="002B4D7B"/>
    <w:rsid w:val="002B6DFD"/>
    <w:rsid w:val="002C256A"/>
    <w:rsid w:val="002D7602"/>
    <w:rsid w:val="002E6E97"/>
    <w:rsid w:val="00300CE9"/>
    <w:rsid w:val="00302B5C"/>
    <w:rsid w:val="00305A7F"/>
    <w:rsid w:val="00315280"/>
    <w:rsid w:val="003152FE"/>
    <w:rsid w:val="00327436"/>
    <w:rsid w:val="00327BF8"/>
    <w:rsid w:val="003343A4"/>
    <w:rsid w:val="0033507D"/>
    <w:rsid w:val="003372B4"/>
    <w:rsid w:val="00344BD6"/>
    <w:rsid w:val="0035528D"/>
    <w:rsid w:val="00361821"/>
    <w:rsid w:val="00363F37"/>
    <w:rsid w:val="0038335D"/>
    <w:rsid w:val="003919AF"/>
    <w:rsid w:val="003954EF"/>
    <w:rsid w:val="00395D64"/>
    <w:rsid w:val="003A1E09"/>
    <w:rsid w:val="003D227C"/>
    <w:rsid w:val="003D2B4D"/>
    <w:rsid w:val="003E43EE"/>
    <w:rsid w:val="003F00B6"/>
    <w:rsid w:val="003F07E1"/>
    <w:rsid w:val="0040146A"/>
    <w:rsid w:val="00404BF3"/>
    <w:rsid w:val="00435767"/>
    <w:rsid w:val="00437B75"/>
    <w:rsid w:val="00440940"/>
    <w:rsid w:val="00444A88"/>
    <w:rsid w:val="004611CD"/>
    <w:rsid w:val="004651D0"/>
    <w:rsid w:val="00473A08"/>
    <w:rsid w:val="00474DA4"/>
    <w:rsid w:val="00476B4D"/>
    <w:rsid w:val="004805FA"/>
    <w:rsid w:val="0048528B"/>
    <w:rsid w:val="00495921"/>
    <w:rsid w:val="004A1151"/>
    <w:rsid w:val="004C595B"/>
    <w:rsid w:val="004D047D"/>
    <w:rsid w:val="004E3609"/>
    <w:rsid w:val="004F305A"/>
    <w:rsid w:val="004F74BC"/>
    <w:rsid w:val="00505AE3"/>
    <w:rsid w:val="00507ABF"/>
    <w:rsid w:val="00512164"/>
    <w:rsid w:val="005177E5"/>
    <w:rsid w:val="00520297"/>
    <w:rsid w:val="00526CBD"/>
    <w:rsid w:val="005338F9"/>
    <w:rsid w:val="0054281C"/>
    <w:rsid w:val="005449D6"/>
    <w:rsid w:val="00547E81"/>
    <w:rsid w:val="0055268D"/>
    <w:rsid w:val="00560A6D"/>
    <w:rsid w:val="00576BE4"/>
    <w:rsid w:val="005812E0"/>
    <w:rsid w:val="00596383"/>
    <w:rsid w:val="005A400A"/>
    <w:rsid w:val="005B0B2E"/>
    <w:rsid w:val="005D0EBA"/>
    <w:rsid w:val="005F05B6"/>
    <w:rsid w:val="005F1840"/>
    <w:rsid w:val="005F4453"/>
    <w:rsid w:val="006035B5"/>
    <w:rsid w:val="00604ABA"/>
    <w:rsid w:val="00610368"/>
    <w:rsid w:val="00612379"/>
    <w:rsid w:val="00614435"/>
    <w:rsid w:val="0061555F"/>
    <w:rsid w:val="00641200"/>
    <w:rsid w:val="006446EC"/>
    <w:rsid w:val="00651D2A"/>
    <w:rsid w:val="006655D3"/>
    <w:rsid w:val="00666601"/>
    <w:rsid w:val="0068048D"/>
    <w:rsid w:val="00687EB4"/>
    <w:rsid w:val="006916C3"/>
    <w:rsid w:val="006A03CA"/>
    <w:rsid w:val="006B17D2"/>
    <w:rsid w:val="006C224E"/>
    <w:rsid w:val="006D780A"/>
    <w:rsid w:val="006F10E9"/>
    <w:rsid w:val="006F407D"/>
    <w:rsid w:val="007214B4"/>
    <w:rsid w:val="00732DEC"/>
    <w:rsid w:val="00735BD5"/>
    <w:rsid w:val="007556F6"/>
    <w:rsid w:val="0075594A"/>
    <w:rsid w:val="00760EEF"/>
    <w:rsid w:val="00773B12"/>
    <w:rsid w:val="00774628"/>
    <w:rsid w:val="00777EE5"/>
    <w:rsid w:val="00784836"/>
    <w:rsid w:val="0079023E"/>
    <w:rsid w:val="007A2355"/>
    <w:rsid w:val="007A2854"/>
    <w:rsid w:val="007C78D5"/>
    <w:rsid w:val="007D0B9D"/>
    <w:rsid w:val="007D19B0"/>
    <w:rsid w:val="007E645C"/>
    <w:rsid w:val="007F1E4E"/>
    <w:rsid w:val="007F498F"/>
    <w:rsid w:val="00805031"/>
    <w:rsid w:val="0080679D"/>
    <w:rsid w:val="008108B0"/>
    <w:rsid w:val="00811B20"/>
    <w:rsid w:val="00813DC0"/>
    <w:rsid w:val="008205E2"/>
    <w:rsid w:val="00821A5B"/>
    <w:rsid w:val="0082296E"/>
    <w:rsid w:val="00823034"/>
    <w:rsid w:val="00824099"/>
    <w:rsid w:val="0083522A"/>
    <w:rsid w:val="008375F4"/>
    <w:rsid w:val="00867AC1"/>
    <w:rsid w:val="0089187F"/>
    <w:rsid w:val="008928BF"/>
    <w:rsid w:val="008954A8"/>
    <w:rsid w:val="008A3C6D"/>
    <w:rsid w:val="008A743F"/>
    <w:rsid w:val="008C0970"/>
    <w:rsid w:val="008C53DB"/>
    <w:rsid w:val="008C59E2"/>
    <w:rsid w:val="008C7D05"/>
    <w:rsid w:val="008D2CF7"/>
    <w:rsid w:val="008F023C"/>
    <w:rsid w:val="00900C26"/>
    <w:rsid w:val="0090197F"/>
    <w:rsid w:val="00901A3F"/>
    <w:rsid w:val="0090610B"/>
    <w:rsid w:val="00906DDC"/>
    <w:rsid w:val="00926B4B"/>
    <w:rsid w:val="009319B1"/>
    <w:rsid w:val="00934E09"/>
    <w:rsid w:val="00936253"/>
    <w:rsid w:val="00937C59"/>
    <w:rsid w:val="0094555D"/>
    <w:rsid w:val="00952DD4"/>
    <w:rsid w:val="00954303"/>
    <w:rsid w:val="00957386"/>
    <w:rsid w:val="00963CF2"/>
    <w:rsid w:val="00970FED"/>
    <w:rsid w:val="00980AB6"/>
    <w:rsid w:val="00990C19"/>
    <w:rsid w:val="00992901"/>
    <w:rsid w:val="009949C2"/>
    <w:rsid w:val="00995977"/>
    <w:rsid w:val="00995C55"/>
    <w:rsid w:val="00997029"/>
    <w:rsid w:val="009A0570"/>
    <w:rsid w:val="009B04DF"/>
    <w:rsid w:val="009D440F"/>
    <w:rsid w:val="009D690D"/>
    <w:rsid w:val="009E65B6"/>
    <w:rsid w:val="009F7D0F"/>
    <w:rsid w:val="00A0245E"/>
    <w:rsid w:val="00A079B3"/>
    <w:rsid w:val="00A26EF1"/>
    <w:rsid w:val="00A37DBC"/>
    <w:rsid w:val="00A42AC3"/>
    <w:rsid w:val="00A430CF"/>
    <w:rsid w:val="00A536ED"/>
    <w:rsid w:val="00A54309"/>
    <w:rsid w:val="00A56FAA"/>
    <w:rsid w:val="00A64711"/>
    <w:rsid w:val="00A816B9"/>
    <w:rsid w:val="00A831BD"/>
    <w:rsid w:val="00AA4C8C"/>
    <w:rsid w:val="00AA6B78"/>
    <w:rsid w:val="00AB2B93"/>
    <w:rsid w:val="00AB781C"/>
    <w:rsid w:val="00AB7E5B"/>
    <w:rsid w:val="00AE08BB"/>
    <w:rsid w:val="00AE0EF1"/>
    <w:rsid w:val="00AE2937"/>
    <w:rsid w:val="00AF025E"/>
    <w:rsid w:val="00B003A3"/>
    <w:rsid w:val="00B01B5C"/>
    <w:rsid w:val="00B07301"/>
    <w:rsid w:val="00B10E1A"/>
    <w:rsid w:val="00B224DE"/>
    <w:rsid w:val="00B27AE7"/>
    <w:rsid w:val="00B46575"/>
    <w:rsid w:val="00B61623"/>
    <w:rsid w:val="00B84BBD"/>
    <w:rsid w:val="00BA41D3"/>
    <w:rsid w:val="00BA43FB"/>
    <w:rsid w:val="00BB1321"/>
    <w:rsid w:val="00BC127D"/>
    <w:rsid w:val="00BC1FE6"/>
    <w:rsid w:val="00BC3B85"/>
    <w:rsid w:val="00BD5A47"/>
    <w:rsid w:val="00C061B6"/>
    <w:rsid w:val="00C076BE"/>
    <w:rsid w:val="00C169BD"/>
    <w:rsid w:val="00C2446C"/>
    <w:rsid w:val="00C36AE5"/>
    <w:rsid w:val="00C41F17"/>
    <w:rsid w:val="00C51D44"/>
    <w:rsid w:val="00C5280D"/>
    <w:rsid w:val="00C5791C"/>
    <w:rsid w:val="00C651CE"/>
    <w:rsid w:val="00C66290"/>
    <w:rsid w:val="00C72B7A"/>
    <w:rsid w:val="00C741B2"/>
    <w:rsid w:val="00C864FA"/>
    <w:rsid w:val="00C908F6"/>
    <w:rsid w:val="00C938D0"/>
    <w:rsid w:val="00C95616"/>
    <w:rsid w:val="00C973F2"/>
    <w:rsid w:val="00C97F0A"/>
    <w:rsid w:val="00C97F0D"/>
    <w:rsid w:val="00CA0D7D"/>
    <w:rsid w:val="00CA304C"/>
    <w:rsid w:val="00CA774A"/>
    <w:rsid w:val="00CB7708"/>
    <w:rsid w:val="00CC11B0"/>
    <w:rsid w:val="00CC5AA2"/>
    <w:rsid w:val="00CC798F"/>
    <w:rsid w:val="00CE0C30"/>
    <w:rsid w:val="00CF7E36"/>
    <w:rsid w:val="00D0138D"/>
    <w:rsid w:val="00D04C35"/>
    <w:rsid w:val="00D17D5F"/>
    <w:rsid w:val="00D25855"/>
    <w:rsid w:val="00D3708D"/>
    <w:rsid w:val="00D37609"/>
    <w:rsid w:val="00D40426"/>
    <w:rsid w:val="00D506D0"/>
    <w:rsid w:val="00D57C96"/>
    <w:rsid w:val="00D67260"/>
    <w:rsid w:val="00D70489"/>
    <w:rsid w:val="00D70632"/>
    <w:rsid w:val="00D729D8"/>
    <w:rsid w:val="00D77C95"/>
    <w:rsid w:val="00D82821"/>
    <w:rsid w:val="00D91203"/>
    <w:rsid w:val="00D95174"/>
    <w:rsid w:val="00DA187A"/>
    <w:rsid w:val="00DA6F36"/>
    <w:rsid w:val="00DB0C5E"/>
    <w:rsid w:val="00DB596E"/>
    <w:rsid w:val="00DB5B02"/>
    <w:rsid w:val="00DC00EA"/>
    <w:rsid w:val="00DE3824"/>
    <w:rsid w:val="00DE3B81"/>
    <w:rsid w:val="00DE4C36"/>
    <w:rsid w:val="00DE7515"/>
    <w:rsid w:val="00DF1812"/>
    <w:rsid w:val="00E13052"/>
    <w:rsid w:val="00E1379D"/>
    <w:rsid w:val="00E13DBD"/>
    <w:rsid w:val="00E246E3"/>
    <w:rsid w:val="00E3136C"/>
    <w:rsid w:val="00E32E80"/>
    <w:rsid w:val="00E32F7E"/>
    <w:rsid w:val="00E40A4B"/>
    <w:rsid w:val="00E41780"/>
    <w:rsid w:val="00E4187C"/>
    <w:rsid w:val="00E600A3"/>
    <w:rsid w:val="00E66CBB"/>
    <w:rsid w:val="00E72D49"/>
    <w:rsid w:val="00E7593C"/>
    <w:rsid w:val="00E7678A"/>
    <w:rsid w:val="00E803B1"/>
    <w:rsid w:val="00E935F1"/>
    <w:rsid w:val="00E94A81"/>
    <w:rsid w:val="00EA1FFB"/>
    <w:rsid w:val="00EA681A"/>
    <w:rsid w:val="00EB048E"/>
    <w:rsid w:val="00EB3559"/>
    <w:rsid w:val="00ED532A"/>
    <w:rsid w:val="00EE34DF"/>
    <w:rsid w:val="00EF2F89"/>
    <w:rsid w:val="00EF3E3C"/>
    <w:rsid w:val="00F1237A"/>
    <w:rsid w:val="00F127AF"/>
    <w:rsid w:val="00F22CBD"/>
    <w:rsid w:val="00F30565"/>
    <w:rsid w:val="00F3296C"/>
    <w:rsid w:val="00F4026A"/>
    <w:rsid w:val="00F4190D"/>
    <w:rsid w:val="00F41C19"/>
    <w:rsid w:val="00F45372"/>
    <w:rsid w:val="00F560F7"/>
    <w:rsid w:val="00F5612A"/>
    <w:rsid w:val="00F56C99"/>
    <w:rsid w:val="00F6334D"/>
    <w:rsid w:val="00F80602"/>
    <w:rsid w:val="00F9037B"/>
    <w:rsid w:val="00F92861"/>
    <w:rsid w:val="00FA49AB"/>
    <w:rsid w:val="00FB297A"/>
    <w:rsid w:val="00FB5F45"/>
    <w:rsid w:val="00FB6CAD"/>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C59"/>
    <w:pPr>
      <w:jc w:val="both"/>
    </w:pPr>
    <w:rPr>
      <w:rFonts w:ascii="Arial" w:hAnsi="Arial"/>
    </w:rPr>
  </w:style>
  <w:style w:type="paragraph" w:styleId="Heading1">
    <w:name w:val="heading 1"/>
    <w:next w:val="Normal"/>
    <w:link w:val="Heading1Char"/>
    <w:autoRedefine/>
    <w:qFormat/>
    <w:rsid w:val="00A64711"/>
    <w:pPr>
      <w:keepNext/>
      <w:spacing w:before="240"/>
      <w:jc w:val="both"/>
      <w:outlineLvl w:val="0"/>
    </w:pPr>
    <w:rPr>
      <w:rFonts w:ascii="Arial" w:hAnsi="Arial"/>
      <w:caps/>
    </w:rPr>
  </w:style>
  <w:style w:type="paragraph" w:styleId="Heading2">
    <w:name w:val="heading 2"/>
    <w:next w:val="Normal"/>
    <w:link w:val="Heading2Char"/>
    <w:autoRedefine/>
    <w:qFormat/>
    <w:rsid w:val="00220FA0"/>
    <w:pPr>
      <w:keepNext/>
      <w:jc w:val="both"/>
      <w:outlineLvl w:val="1"/>
    </w:pPr>
    <w:rPr>
      <w:rFonts w:ascii="Arial" w:hAnsi="Arial"/>
      <w:u w:val="single"/>
    </w:rPr>
  </w:style>
  <w:style w:type="paragraph" w:styleId="Heading3">
    <w:name w:val="heading 3"/>
    <w:next w:val="Normal"/>
    <w:link w:val="Heading3Char"/>
    <w:autoRedefine/>
    <w:qFormat/>
    <w:rsid w:val="0010686B"/>
    <w:pPr>
      <w:keepNext/>
      <w:jc w:val="both"/>
      <w:outlineLvl w:val="2"/>
    </w:pPr>
    <w:rPr>
      <w:rFonts w:ascii="Arial" w:hAnsi="Arial"/>
      <w:i/>
      <w:snapToGrid w:val="0"/>
    </w:rPr>
  </w:style>
  <w:style w:type="paragraph" w:styleId="Heading4">
    <w:name w:val="heading 4"/>
    <w:next w:val="Normal"/>
    <w:link w:val="Heading4Char"/>
    <w:autoRedefine/>
    <w:qFormat/>
    <w:rsid w:val="00A26EF1"/>
    <w:pPr>
      <w:keepNext/>
      <w:ind w:left="567"/>
      <w:jc w:val="both"/>
      <w:outlineLvl w:val="3"/>
    </w:pPr>
    <w:rPr>
      <w:rFonts w:ascii="Arial" w:hAnsi="Arial"/>
      <w:i/>
      <w:caps/>
      <w:lang w:val="fr-CH"/>
    </w:rPr>
  </w:style>
  <w:style w:type="paragraph" w:styleId="Heading5">
    <w:name w:val="heading 5"/>
    <w:next w:val="Normal"/>
    <w:autoRedefine/>
    <w:qFormat/>
    <w:rsid w:val="006A03CA"/>
    <w:pPr>
      <w:keepNext/>
      <w:ind w:left="567"/>
      <w:jc w:val="both"/>
      <w:outlineLvl w:val="4"/>
    </w:pPr>
    <w:rPr>
      <w:rFonts w:ascii="Arial" w:hAnsi="Arial"/>
      <w:szCs w:val="18"/>
      <w:lang w:val="fr-CH"/>
    </w:rPr>
  </w:style>
  <w:style w:type="paragraph" w:styleId="Heading6">
    <w:name w:val="heading 6"/>
    <w:basedOn w:val="Normal"/>
    <w:next w:val="Normal"/>
    <w:link w:val="Heading6Char"/>
    <w:qFormat/>
    <w:rsid w:val="00196886"/>
    <w:pPr>
      <w:outlineLvl w:val="5"/>
    </w:pPr>
    <w:rPr>
      <w:lang w:val="es-ES_tradnl"/>
    </w:rPr>
  </w:style>
  <w:style w:type="paragraph" w:styleId="Heading7">
    <w:name w:val="heading 7"/>
    <w:basedOn w:val="Normal"/>
    <w:next w:val="Normal"/>
    <w:link w:val="Heading7Char"/>
    <w:qFormat/>
    <w:rsid w:val="00196886"/>
    <w:pPr>
      <w:spacing w:before="240" w:after="60"/>
      <w:outlineLvl w:val="6"/>
    </w:pPr>
    <w:rPr>
      <w:szCs w:val="24"/>
    </w:rPr>
  </w:style>
  <w:style w:type="paragraph" w:styleId="Heading8">
    <w:name w:val="heading 8"/>
    <w:basedOn w:val="Normal"/>
    <w:next w:val="Normal"/>
    <w:link w:val="Heading8Char"/>
    <w:qFormat/>
    <w:rsid w:val="00196886"/>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64711"/>
    <w:rPr>
      <w:rFonts w:ascii="Arial" w:hAnsi="Arial"/>
      <w:caps/>
    </w:rPr>
  </w:style>
  <w:style w:type="character" w:customStyle="1" w:styleId="Heading2Char">
    <w:name w:val="Heading 2 Char"/>
    <w:link w:val="Heading2"/>
    <w:rsid w:val="00220FA0"/>
    <w:rPr>
      <w:rFonts w:ascii="Arial" w:hAnsi="Arial"/>
      <w:u w:val="single"/>
    </w:rPr>
  </w:style>
  <w:style w:type="character" w:customStyle="1" w:styleId="Heading3Char">
    <w:name w:val="Heading 3 Char"/>
    <w:link w:val="Heading3"/>
    <w:locked/>
    <w:rsid w:val="0010686B"/>
    <w:rPr>
      <w:rFonts w:ascii="Arial" w:hAnsi="Arial"/>
      <w:i/>
      <w:snapToGrid w:val="0"/>
    </w:rPr>
  </w:style>
  <w:style w:type="character" w:customStyle="1" w:styleId="Heading4Char">
    <w:name w:val="Heading 4 Char"/>
    <w:link w:val="Heading4"/>
    <w:rsid w:val="00A26EF1"/>
    <w:rPr>
      <w:rFonts w:ascii="Arial" w:hAnsi="Arial"/>
      <w:i/>
      <w:caps/>
      <w:lang w:val="fr-CH"/>
    </w:rPr>
  </w:style>
  <w:style w:type="character" w:customStyle="1" w:styleId="Heading6Char">
    <w:name w:val="Heading 6 Char"/>
    <w:link w:val="Heading6"/>
    <w:rsid w:val="00196886"/>
    <w:rPr>
      <w:rFonts w:ascii="Arial" w:hAnsi="Arial"/>
      <w:lang w:val="es-ES_tradnl"/>
    </w:rPr>
  </w:style>
  <w:style w:type="character" w:customStyle="1" w:styleId="Heading7Char">
    <w:name w:val="Heading 7 Char"/>
    <w:link w:val="Heading7"/>
    <w:rsid w:val="00196886"/>
    <w:rPr>
      <w:rFonts w:ascii="Arial" w:hAnsi="Arial"/>
      <w:szCs w:val="24"/>
    </w:rPr>
  </w:style>
  <w:style w:type="character" w:customStyle="1" w:styleId="Heading8Char">
    <w:name w:val="Heading 8 Char"/>
    <w:link w:val="Heading8"/>
    <w:rsid w:val="00196886"/>
    <w:rPr>
      <w:rFonts w:ascii="Arial" w:hAnsi="Arial"/>
      <w:u w:val="single"/>
    </w:rPr>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customStyle="1" w:styleId="FooterChar">
    <w:name w:val="Footer Char"/>
    <w:aliases w:val="doc_path_name Char"/>
    <w:link w:val="Footer"/>
    <w:rsid w:val="00196886"/>
    <w:rPr>
      <w:rFonts w:ascii="Arial" w:hAnsi="Arial"/>
      <w:sz w:val="14"/>
    </w:rPr>
  </w:style>
  <w:style w:type="character" w:styleId="PageNumber">
    <w:name w:val="page number"/>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link w:val="Docoriginal"/>
    <w:rsid w:val="0033507D"/>
    <w:rPr>
      <w:rFonts w:ascii="Arial" w:hAnsi="Arial"/>
      <w:b/>
      <w:bCs/>
      <w:spacing w:val="10"/>
      <w:lang w:val="en-US" w:eastAsia="en-US" w:bidi="ar-SA"/>
    </w:rPr>
  </w:style>
  <w:style w:type="paragraph" w:customStyle="1" w:styleId="DecisionParagraphs">
    <w:name w:val="DecisionParagraphs"/>
    <w:basedOn w:val="Normal"/>
    <w:link w:val="DecisionParagraphsChar"/>
    <w:rsid w:val="0033507D"/>
    <w:pPr>
      <w:tabs>
        <w:tab w:val="left" w:pos="5387"/>
      </w:tabs>
      <w:ind w:left="4820"/>
    </w:pPr>
    <w:rPr>
      <w:i/>
    </w:rPr>
  </w:style>
  <w:style w:type="character" w:customStyle="1" w:styleId="DecisionParagraphsChar">
    <w:name w:val="DecisionParagraphs Char"/>
    <w:link w:val="DecisionParagraphs"/>
    <w:rsid w:val="00196886"/>
    <w:rPr>
      <w:rFonts w:ascii="Arial" w:hAnsi="Arial"/>
      <w:i/>
    </w:rPr>
  </w:style>
  <w:style w:type="paragraph" w:styleId="FootnoteText">
    <w:name w:val="footnote text"/>
    <w:autoRedefine/>
    <w:rsid w:val="001462E7"/>
    <w:pPr>
      <w:spacing w:before="60"/>
      <w:jc w:val="both"/>
    </w:pPr>
    <w:rPr>
      <w:rFonts w:ascii="Arial" w:hAnsi="Arial"/>
      <w:sz w:val="16"/>
    </w:rPr>
  </w:style>
  <w:style w:type="character" w:styleId="FootnoteReference">
    <w:name w:val="footnote reference"/>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link w:val="BodyText"/>
    <w:locked/>
    <w:rsid w:val="00196886"/>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character" w:customStyle="1" w:styleId="plcountryChar">
    <w:name w:val="plcountry Char"/>
    <w:link w:val="plcountry"/>
    <w:rsid w:val="00196886"/>
    <w:rPr>
      <w:rFonts w:ascii="Arial" w:hAnsi="Arial"/>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character" w:customStyle="1" w:styleId="pldetailsChar">
    <w:name w:val="pldetails Char"/>
    <w:link w:val="pldetails"/>
    <w:rsid w:val="00196886"/>
    <w:rPr>
      <w:rFonts w:ascii="Arial" w:hAnsi="Arial"/>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link w:val="TitleofdocChar"/>
    <w:rsid w:val="0033507D"/>
    <w:pPr>
      <w:spacing w:before="600"/>
      <w:jc w:val="center"/>
    </w:pPr>
    <w:rPr>
      <w:caps/>
    </w:rPr>
  </w:style>
  <w:style w:type="character" w:customStyle="1" w:styleId="TitleofdocChar">
    <w:name w:val="Title_of_doc Char"/>
    <w:link w:val="Titleofdoc0"/>
    <w:rsid w:val="005B0B2E"/>
    <w:rPr>
      <w:rFonts w:ascii="Arial" w:hAnsi="Arial"/>
      <w:caps/>
    </w:rPr>
  </w:style>
  <w:style w:type="paragraph" w:customStyle="1" w:styleId="preparedby1">
    <w:name w:val="prepared_by"/>
    <w:basedOn w:val="Normal"/>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33507D"/>
    <w:rPr>
      <w:rFonts w:ascii="Arial" w:hAnsi="Arial"/>
      <w:b/>
      <w:bCs/>
      <w:spacing w:val="10"/>
      <w:lang w:val="en-US" w:eastAsia="en-US" w:bidi="ar-SA"/>
    </w:rPr>
  </w:style>
  <w:style w:type="character" w:customStyle="1" w:styleId="StyleDoclangBold">
    <w:name w:val="Style Doc_lang + Bold"/>
    <w:rsid w:val="0033507D"/>
    <w:rPr>
      <w:rFonts w:ascii="Arial" w:hAnsi="Arial"/>
      <w:b/>
      <w:bCs/>
      <w:sz w:val="20"/>
      <w:lang w:val="en-US"/>
    </w:rPr>
  </w:style>
  <w:style w:type="paragraph" w:styleId="TOC2">
    <w:name w:val="toc 2"/>
    <w:next w:val="Normal"/>
    <w:autoRedefine/>
    <w:uiPriority w:val="39"/>
    <w:rsid w:val="00AB781C"/>
    <w:pPr>
      <w:tabs>
        <w:tab w:val="right" w:leader="dot" w:pos="9639"/>
      </w:tabs>
      <w:spacing w:before="120"/>
      <w:ind w:left="567" w:right="851" w:hanging="283"/>
      <w:contextualSpacing/>
    </w:pPr>
    <w:rPr>
      <w:rFonts w:ascii="Arial" w:hAnsi="Arial"/>
      <w:noProof/>
    </w:rPr>
  </w:style>
  <w:style w:type="paragraph" w:styleId="TOC3">
    <w:name w:val="toc 3"/>
    <w:next w:val="Normal"/>
    <w:autoRedefine/>
    <w:uiPriority w:val="39"/>
    <w:rsid w:val="006A03CA"/>
    <w:pPr>
      <w:tabs>
        <w:tab w:val="right" w:leader="dot" w:pos="9639"/>
      </w:tabs>
      <w:spacing w:before="120"/>
      <w:ind w:left="709" w:right="851" w:hanging="425"/>
      <w:contextualSpacing/>
    </w:pPr>
    <w:rPr>
      <w:rFonts w:ascii="Arial" w:hAnsi="Arial"/>
      <w:i/>
      <w:noProof/>
      <w:lang w:val="fr-FR"/>
    </w:rPr>
  </w:style>
  <w:style w:type="character" w:styleId="Hyperlink">
    <w:name w:val="Hyperlink"/>
    <w:uiPriority w:val="99"/>
    <w:rsid w:val="0033507D"/>
    <w:rPr>
      <w:rFonts w:ascii="Arial" w:hAnsi="Arial"/>
      <w:color w:val="0000FF"/>
      <w:u w:val="single"/>
    </w:rPr>
  </w:style>
  <w:style w:type="paragraph" w:styleId="TOC4">
    <w:name w:val="toc 4"/>
    <w:next w:val="Normal"/>
    <w:autoRedefine/>
    <w:uiPriority w:val="39"/>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97F0D"/>
    <w:pPr>
      <w:tabs>
        <w:tab w:val="right" w:leader="dot" w:pos="9639"/>
      </w:tabs>
      <w:spacing w:before="240"/>
      <w:ind w:left="284" w:right="284" w:hanging="284"/>
      <w:contextualSpacing/>
    </w:pPr>
    <w:rPr>
      <w:rFonts w:ascii="Arial" w:hAnsi="Arial"/>
      <w:caps/>
      <w:noProof/>
    </w:rPr>
  </w:style>
  <w:style w:type="paragraph" w:styleId="TOC5">
    <w:name w:val="toc 5"/>
    <w:next w:val="Normal"/>
    <w:autoRedefine/>
    <w:uiPriority w:val="39"/>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rPr>
  </w:style>
  <w:style w:type="paragraph" w:customStyle="1" w:styleId="Style1">
    <w:name w:val="Style1"/>
    <w:basedOn w:val="Normal"/>
    <w:rsid w:val="00196886"/>
    <w:pPr>
      <w:tabs>
        <w:tab w:val="decimal" w:pos="907"/>
        <w:tab w:val="left" w:pos="1077"/>
      </w:tabs>
    </w:pPr>
    <w:rPr>
      <w:rFonts w:ascii="Times New Roman" w:eastAsia="MS Mincho" w:hAnsi="Times New Roman"/>
      <w:sz w:val="24"/>
    </w:rPr>
  </w:style>
  <w:style w:type="paragraph" w:customStyle="1" w:styleId="n">
    <w:name w:val="n"/>
    <w:basedOn w:val="Header"/>
    <w:rsid w:val="00196886"/>
    <w:rPr>
      <w:rFonts w:ascii="Times New Roman" w:hAnsi="Times New Roman"/>
      <w:sz w:val="24"/>
    </w:rPr>
  </w:style>
  <w:style w:type="paragraph" w:customStyle="1" w:styleId="Normalt">
    <w:name w:val="Normalt"/>
    <w:basedOn w:val="Normal"/>
    <w:rsid w:val="00196886"/>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96886"/>
    <w:pPr>
      <w:keepNext/>
    </w:pPr>
    <w:rPr>
      <w:b/>
      <w:bCs/>
    </w:rPr>
  </w:style>
  <w:style w:type="paragraph" w:styleId="NormalWeb">
    <w:name w:val="Normal (Web)"/>
    <w:basedOn w:val="Normal"/>
    <w:rsid w:val="00196886"/>
    <w:pPr>
      <w:spacing w:before="100" w:beforeAutospacing="1" w:after="100" w:afterAutospacing="1"/>
      <w:jc w:val="left"/>
    </w:pPr>
    <w:rPr>
      <w:szCs w:val="24"/>
    </w:rPr>
  </w:style>
  <w:style w:type="paragraph" w:customStyle="1" w:styleId="pdflink">
    <w:name w:val="pdflink"/>
    <w:basedOn w:val="Normal"/>
    <w:next w:val="Normal"/>
    <w:rsid w:val="00196886"/>
    <w:rPr>
      <w:color w:val="800000"/>
      <w:u w:val="words"/>
    </w:rPr>
  </w:style>
  <w:style w:type="paragraph" w:customStyle="1" w:styleId="Draft">
    <w:name w:val="Draft"/>
    <w:basedOn w:val="Normal"/>
    <w:next w:val="preparedby"/>
    <w:rsid w:val="00196886"/>
    <w:pPr>
      <w:spacing w:before="720" w:after="480"/>
      <w:jc w:val="center"/>
    </w:pPr>
    <w:rPr>
      <w:caps/>
      <w:sz w:val="28"/>
    </w:rPr>
  </w:style>
  <w:style w:type="paragraph" w:customStyle="1" w:styleId="tqparabox">
    <w:name w:val="tqparabox"/>
    <w:basedOn w:val="Normal"/>
    <w:rsid w:val="00196886"/>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196886"/>
    <w:pPr>
      <w:ind w:left="567"/>
    </w:pPr>
    <w:rPr>
      <w:lang w:val="es-ES_tradnl"/>
    </w:rPr>
  </w:style>
  <w:style w:type="character" w:customStyle="1" w:styleId="BodyTextIndentChar">
    <w:name w:val="Body Text Indent Char"/>
    <w:link w:val="BodyTextIndent"/>
    <w:rsid w:val="00196886"/>
    <w:rPr>
      <w:rFonts w:ascii="Arial" w:hAnsi="Arial"/>
      <w:lang w:val="es-ES_tradnl"/>
    </w:rPr>
  </w:style>
  <w:style w:type="paragraph" w:customStyle="1" w:styleId="twpcheck">
    <w:name w:val="twpcheck"/>
    <w:basedOn w:val="Normal"/>
    <w:rsid w:val="00196886"/>
    <w:pPr>
      <w:spacing w:before="80" w:after="80"/>
      <w:jc w:val="left"/>
    </w:pPr>
    <w:rPr>
      <w:rFonts w:cs="Arial"/>
      <w:snapToGrid w:val="0"/>
      <w:sz w:val="16"/>
      <w:szCs w:val="16"/>
    </w:rPr>
  </w:style>
  <w:style w:type="paragraph" w:customStyle="1" w:styleId="DecisionInvitingPara">
    <w:name w:val="Decision Inviting Para."/>
    <w:basedOn w:val="Normal"/>
    <w:rsid w:val="00196886"/>
    <w:pPr>
      <w:ind w:left="4536"/>
    </w:pPr>
    <w:rPr>
      <w:i/>
      <w:lang w:val="es-ES_tradnl"/>
    </w:rPr>
  </w:style>
  <w:style w:type="paragraph" w:customStyle="1" w:styleId="Enttepair">
    <w:name w:val="Entête_pair"/>
    <w:basedOn w:val="Normal"/>
    <w:next w:val="Normal"/>
    <w:rsid w:val="00196886"/>
    <w:pPr>
      <w:pBdr>
        <w:bottom w:val="single" w:sz="4" w:space="1" w:color="auto"/>
      </w:pBdr>
      <w:jc w:val="left"/>
    </w:pPr>
    <w:rPr>
      <w:szCs w:val="24"/>
    </w:rPr>
  </w:style>
  <w:style w:type="paragraph" w:customStyle="1" w:styleId="Entteimpair">
    <w:name w:val="Entête_impair"/>
    <w:basedOn w:val="Normal"/>
    <w:next w:val="Normal"/>
    <w:rsid w:val="00196886"/>
    <w:pPr>
      <w:pBdr>
        <w:bottom w:val="single" w:sz="4" w:space="1" w:color="auto"/>
      </w:pBdr>
      <w:jc w:val="right"/>
    </w:pPr>
  </w:style>
  <w:style w:type="paragraph" w:styleId="ListBullet">
    <w:name w:val="List Bullet"/>
    <w:basedOn w:val="Normal"/>
    <w:autoRedefine/>
    <w:rsid w:val="00196886"/>
    <w:pPr>
      <w:tabs>
        <w:tab w:val="num" w:pos="360"/>
      </w:tabs>
      <w:ind w:left="360" w:hanging="360"/>
    </w:pPr>
    <w:rPr>
      <w:bCs/>
      <w:szCs w:val="24"/>
      <w:lang w:val="es-ES" w:eastAsia="zh-CN"/>
    </w:rPr>
  </w:style>
  <w:style w:type="character" w:styleId="FollowedHyperlink">
    <w:name w:val="FollowedHyperlink"/>
    <w:rsid w:val="00196886"/>
    <w:rPr>
      <w:color w:val="606420"/>
      <w:u w:val="single"/>
    </w:rPr>
  </w:style>
  <w:style w:type="paragraph" w:styleId="BlockText">
    <w:name w:val="Block Text"/>
    <w:basedOn w:val="Normal"/>
    <w:rsid w:val="00196886"/>
    <w:pPr>
      <w:ind w:left="567" w:right="566"/>
    </w:pPr>
    <w:rPr>
      <w:sz w:val="22"/>
    </w:rPr>
  </w:style>
  <w:style w:type="paragraph" w:styleId="CommentText">
    <w:name w:val="annotation text"/>
    <w:basedOn w:val="Normal"/>
    <w:link w:val="CommentTextChar"/>
    <w:rsid w:val="00196886"/>
    <w:rPr>
      <w:sz w:val="22"/>
      <w:lang w:val="es-ES_tradnl"/>
    </w:rPr>
  </w:style>
  <w:style w:type="character" w:customStyle="1" w:styleId="CommentTextChar">
    <w:name w:val="Comment Text Char"/>
    <w:link w:val="CommentText"/>
    <w:rsid w:val="00196886"/>
    <w:rPr>
      <w:rFonts w:ascii="Arial" w:hAnsi="Arial"/>
      <w:sz w:val="22"/>
      <w:lang w:val="es-ES_tradnl"/>
    </w:rPr>
  </w:style>
  <w:style w:type="paragraph" w:customStyle="1" w:styleId="Committee">
    <w:name w:val="Committee"/>
    <w:basedOn w:val="Title"/>
    <w:rsid w:val="00196886"/>
    <w:rPr>
      <w:caps w:val="0"/>
    </w:rPr>
  </w:style>
  <w:style w:type="paragraph" w:customStyle="1" w:styleId="TitleofSection">
    <w:name w:val="Title of Section"/>
    <w:basedOn w:val="TitleofDoc"/>
    <w:rsid w:val="00196886"/>
    <w:pPr>
      <w:spacing w:before="120" w:after="120"/>
    </w:pPr>
    <w:rPr>
      <w:b/>
      <w:caps w:val="0"/>
      <w:lang w:eastAsia="de-DE"/>
    </w:rPr>
  </w:style>
  <w:style w:type="paragraph" w:customStyle="1" w:styleId="TOCAnnex">
    <w:name w:val="TOC Annex"/>
    <w:basedOn w:val="Normal"/>
    <w:rsid w:val="0019688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196886"/>
    <w:rPr>
      <w:rFonts w:ascii="Courier New" w:hAnsi="Courier New" w:cs="Courier New"/>
      <w:lang w:eastAsia="fr-FR"/>
    </w:rPr>
  </w:style>
  <w:style w:type="character" w:customStyle="1" w:styleId="PlainTextChar">
    <w:name w:val="Plain Text Char"/>
    <w:link w:val="PlainText"/>
    <w:rsid w:val="00196886"/>
    <w:rPr>
      <w:rFonts w:ascii="Courier New" w:hAnsi="Courier New" w:cs="Courier New"/>
      <w:lang w:eastAsia="fr-FR"/>
    </w:rPr>
  </w:style>
  <w:style w:type="paragraph" w:customStyle="1" w:styleId="Default">
    <w:name w:val="Default"/>
    <w:basedOn w:val="Normal"/>
    <w:rsid w:val="00196886"/>
    <w:pPr>
      <w:jc w:val="left"/>
    </w:pPr>
    <w:rPr>
      <w:rFonts w:eastAsia="SimSun" w:cs="Arial"/>
      <w:color w:val="000000"/>
      <w:sz w:val="24"/>
      <w:szCs w:val="24"/>
    </w:rPr>
  </w:style>
  <w:style w:type="paragraph" w:customStyle="1" w:styleId="tgcharnumber">
    <w:name w:val="tg_char_number"/>
    <w:basedOn w:val="Normal"/>
    <w:rsid w:val="00196886"/>
    <w:pPr>
      <w:keepNext/>
      <w:spacing w:before="80" w:after="80"/>
      <w:jc w:val="center"/>
    </w:pPr>
    <w:rPr>
      <w:b/>
      <w:sz w:val="16"/>
    </w:rPr>
  </w:style>
  <w:style w:type="paragraph" w:customStyle="1" w:styleId="tgchartitle">
    <w:name w:val="tg_char_title"/>
    <w:basedOn w:val="Normal"/>
    <w:rsid w:val="00196886"/>
    <w:pPr>
      <w:spacing w:before="80" w:after="80"/>
      <w:jc w:val="left"/>
    </w:pPr>
    <w:rPr>
      <w:b/>
      <w:sz w:val="16"/>
    </w:rPr>
  </w:style>
  <w:style w:type="paragraph" w:customStyle="1" w:styleId="tgchartext">
    <w:name w:val="tg_char_text"/>
    <w:basedOn w:val="Normal"/>
    <w:rsid w:val="00196886"/>
    <w:pPr>
      <w:spacing w:before="80" w:after="80"/>
      <w:jc w:val="left"/>
    </w:pPr>
    <w:rPr>
      <w:sz w:val="16"/>
    </w:rPr>
  </w:style>
  <w:style w:type="paragraph" w:styleId="ListParagraph">
    <w:name w:val="List Paragraph"/>
    <w:basedOn w:val="Normal"/>
    <w:qFormat/>
    <w:rsid w:val="00526CBD"/>
    <w:pPr>
      <w:ind w:left="720"/>
      <w:contextualSpacing/>
    </w:pPr>
  </w:style>
  <w:style w:type="paragraph" w:styleId="TOCHeading">
    <w:name w:val="TOC Heading"/>
    <w:basedOn w:val="Heading1"/>
    <w:next w:val="Normal"/>
    <w:uiPriority w:val="39"/>
    <w:unhideWhenUsed/>
    <w:qFormat/>
    <w:rsid w:val="001002A7"/>
    <w:pPr>
      <w:keepLines/>
      <w:spacing w:before="480" w:line="276" w:lineRule="auto"/>
      <w:jc w:val="left"/>
      <w:outlineLvl w:val="9"/>
    </w:pPr>
    <w:rPr>
      <w:rFonts w:ascii="Cambria" w:hAnsi="Cambria"/>
      <w:b/>
      <w:bCs/>
      <w:i/>
      <w:caps w:val="0"/>
      <w:color w:val="365F91"/>
      <w:sz w:val="28"/>
      <w:szCs w:val="28"/>
      <w:lang w:eastAsia="ja-JP"/>
    </w:rPr>
  </w:style>
  <w:style w:type="character" w:styleId="Emphasis">
    <w:name w:val="Emphasis"/>
    <w:qFormat/>
    <w:rsid w:val="00090A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C59"/>
    <w:pPr>
      <w:jc w:val="both"/>
    </w:pPr>
    <w:rPr>
      <w:rFonts w:ascii="Arial" w:hAnsi="Arial"/>
    </w:rPr>
  </w:style>
  <w:style w:type="paragraph" w:styleId="Heading1">
    <w:name w:val="heading 1"/>
    <w:next w:val="Normal"/>
    <w:link w:val="Heading1Char"/>
    <w:autoRedefine/>
    <w:qFormat/>
    <w:rsid w:val="00A64711"/>
    <w:pPr>
      <w:keepNext/>
      <w:spacing w:before="240"/>
      <w:jc w:val="both"/>
      <w:outlineLvl w:val="0"/>
    </w:pPr>
    <w:rPr>
      <w:rFonts w:ascii="Arial" w:hAnsi="Arial"/>
      <w:caps/>
    </w:rPr>
  </w:style>
  <w:style w:type="paragraph" w:styleId="Heading2">
    <w:name w:val="heading 2"/>
    <w:next w:val="Normal"/>
    <w:link w:val="Heading2Char"/>
    <w:autoRedefine/>
    <w:qFormat/>
    <w:rsid w:val="00220FA0"/>
    <w:pPr>
      <w:keepNext/>
      <w:jc w:val="both"/>
      <w:outlineLvl w:val="1"/>
    </w:pPr>
    <w:rPr>
      <w:rFonts w:ascii="Arial" w:hAnsi="Arial"/>
      <w:u w:val="single"/>
    </w:rPr>
  </w:style>
  <w:style w:type="paragraph" w:styleId="Heading3">
    <w:name w:val="heading 3"/>
    <w:next w:val="Normal"/>
    <w:link w:val="Heading3Char"/>
    <w:autoRedefine/>
    <w:qFormat/>
    <w:rsid w:val="0010686B"/>
    <w:pPr>
      <w:keepNext/>
      <w:jc w:val="both"/>
      <w:outlineLvl w:val="2"/>
    </w:pPr>
    <w:rPr>
      <w:rFonts w:ascii="Arial" w:hAnsi="Arial"/>
      <w:i/>
      <w:snapToGrid w:val="0"/>
    </w:rPr>
  </w:style>
  <w:style w:type="paragraph" w:styleId="Heading4">
    <w:name w:val="heading 4"/>
    <w:next w:val="Normal"/>
    <w:link w:val="Heading4Char"/>
    <w:autoRedefine/>
    <w:qFormat/>
    <w:rsid w:val="00A26EF1"/>
    <w:pPr>
      <w:keepNext/>
      <w:ind w:left="567"/>
      <w:jc w:val="both"/>
      <w:outlineLvl w:val="3"/>
    </w:pPr>
    <w:rPr>
      <w:rFonts w:ascii="Arial" w:hAnsi="Arial"/>
      <w:i/>
      <w:caps/>
      <w:lang w:val="fr-CH"/>
    </w:rPr>
  </w:style>
  <w:style w:type="paragraph" w:styleId="Heading5">
    <w:name w:val="heading 5"/>
    <w:next w:val="Normal"/>
    <w:autoRedefine/>
    <w:qFormat/>
    <w:rsid w:val="006A03CA"/>
    <w:pPr>
      <w:keepNext/>
      <w:ind w:left="567"/>
      <w:jc w:val="both"/>
      <w:outlineLvl w:val="4"/>
    </w:pPr>
    <w:rPr>
      <w:rFonts w:ascii="Arial" w:hAnsi="Arial"/>
      <w:szCs w:val="18"/>
      <w:lang w:val="fr-CH"/>
    </w:rPr>
  </w:style>
  <w:style w:type="paragraph" w:styleId="Heading6">
    <w:name w:val="heading 6"/>
    <w:basedOn w:val="Normal"/>
    <w:next w:val="Normal"/>
    <w:link w:val="Heading6Char"/>
    <w:qFormat/>
    <w:rsid w:val="00196886"/>
    <w:pPr>
      <w:outlineLvl w:val="5"/>
    </w:pPr>
    <w:rPr>
      <w:lang w:val="es-ES_tradnl"/>
    </w:rPr>
  </w:style>
  <w:style w:type="paragraph" w:styleId="Heading7">
    <w:name w:val="heading 7"/>
    <w:basedOn w:val="Normal"/>
    <w:next w:val="Normal"/>
    <w:link w:val="Heading7Char"/>
    <w:qFormat/>
    <w:rsid w:val="00196886"/>
    <w:pPr>
      <w:spacing w:before="240" w:after="60"/>
      <w:outlineLvl w:val="6"/>
    </w:pPr>
    <w:rPr>
      <w:szCs w:val="24"/>
    </w:rPr>
  </w:style>
  <w:style w:type="paragraph" w:styleId="Heading8">
    <w:name w:val="heading 8"/>
    <w:basedOn w:val="Normal"/>
    <w:next w:val="Normal"/>
    <w:link w:val="Heading8Char"/>
    <w:qFormat/>
    <w:rsid w:val="00196886"/>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64711"/>
    <w:rPr>
      <w:rFonts w:ascii="Arial" w:hAnsi="Arial"/>
      <w:caps/>
    </w:rPr>
  </w:style>
  <w:style w:type="character" w:customStyle="1" w:styleId="Heading2Char">
    <w:name w:val="Heading 2 Char"/>
    <w:link w:val="Heading2"/>
    <w:rsid w:val="00220FA0"/>
    <w:rPr>
      <w:rFonts w:ascii="Arial" w:hAnsi="Arial"/>
      <w:u w:val="single"/>
    </w:rPr>
  </w:style>
  <w:style w:type="character" w:customStyle="1" w:styleId="Heading3Char">
    <w:name w:val="Heading 3 Char"/>
    <w:link w:val="Heading3"/>
    <w:locked/>
    <w:rsid w:val="0010686B"/>
    <w:rPr>
      <w:rFonts w:ascii="Arial" w:hAnsi="Arial"/>
      <w:i/>
      <w:snapToGrid w:val="0"/>
    </w:rPr>
  </w:style>
  <w:style w:type="character" w:customStyle="1" w:styleId="Heading4Char">
    <w:name w:val="Heading 4 Char"/>
    <w:link w:val="Heading4"/>
    <w:rsid w:val="00A26EF1"/>
    <w:rPr>
      <w:rFonts w:ascii="Arial" w:hAnsi="Arial"/>
      <w:i/>
      <w:caps/>
      <w:lang w:val="fr-CH"/>
    </w:rPr>
  </w:style>
  <w:style w:type="character" w:customStyle="1" w:styleId="Heading6Char">
    <w:name w:val="Heading 6 Char"/>
    <w:link w:val="Heading6"/>
    <w:rsid w:val="00196886"/>
    <w:rPr>
      <w:rFonts w:ascii="Arial" w:hAnsi="Arial"/>
      <w:lang w:val="es-ES_tradnl"/>
    </w:rPr>
  </w:style>
  <w:style w:type="character" w:customStyle="1" w:styleId="Heading7Char">
    <w:name w:val="Heading 7 Char"/>
    <w:link w:val="Heading7"/>
    <w:rsid w:val="00196886"/>
    <w:rPr>
      <w:rFonts w:ascii="Arial" w:hAnsi="Arial"/>
      <w:szCs w:val="24"/>
    </w:rPr>
  </w:style>
  <w:style w:type="character" w:customStyle="1" w:styleId="Heading8Char">
    <w:name w:val="Heading 8 Char"/>
    <w:link w:val="Heading8"/>
    <w:rsid w:val="00196886"/>
    <w:rPr>
      <w:rFonts w:ascii="Arial" w:hAnsi="Arial"/>
      <w:u w:val="single"/>
    </w:rPr>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customStyle="1" w:styleId="FooterChar">
    <w:name w:val="Footer Char"/>
    <w:aliases w:val="doc_path_name Char"/>
    <w:link w:val="Footer"/>
    <w:rsid w:val="00196886"/>
    <w:rPr>
      <w:rFonts w:ascii="Arial" w:hAnsi="Arial"/>
      <w:sz w:val="14"/>
    </w:rPr>
  </w:style>
  <w:style w:type="character" w:styleId="PageNumber">
    <w:name w:val="page number"/>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link w:val="Docoriginal"/>
    <w:rsid w:val="0033507D"/>
    <w:rPr>
      <w:rFonts w:ascii="Arial" w:hAnsi="Arial"/>
      <w:b/>
      <w:bCs/>
      <w:spacing w:val="10"/>
      <w:lang w:val="en-US" w:eastAsia="en-US" w:bidi="ar-SA"/>
    </w:rPr>
  </w:style>
  <w:style w:type="paragraph" w:customStyle="1" w:styleId="DecisionParagraphs">
    <w:name w:val="DecisionParagraphs"/>
    <w:basedOn w:val="Normal"/>
    <w:link w:val="DecisionParagraphsChar"/>
    <w:rsid w:val="0033507D"/>
    <w:pPr>
      <w:tabs>
        <w:tab w:val="left" w:pos="5387"/>
      </w:tabs>
      <w:ind w:left="4820"/>
    </w:pPr>
    <w:rPr>
      <w:i/>
    </w:rPr>
  </w:style>
  <w:style w:type="character" w:customStyle="1" w:styleId="DecisionParagraphsChar">
    <w:name w:val="DecisionParagraphs Char"/>
    <w:link w:val="DecisionParagraphs"/>
    <w:rsid w:val="00196886"/>
    <w:rPr>
      <w:rFonts w:ascii="Arial" w:hAnsi="Arial"/>
      <w:i/>
    </w:rPr>
  </w:style>
  <w:style w:type="paragraph" w:styleId="FootnoteText">
    <w:name w:val="footnote text"/>
    <w:autoRedefine/>
    <w:rsid w:val="001462E7"/>
    <w:pPr>
      <w:spacing w:before="60"/>
      <w:jc w:val="both"/>
    </w:pPr>
    <w:rPr>
      <w:rFonts w:ascii="Arial" w:hAnsi="Arial"/>
      <w:sz w:val="16"/>
    </w:rPr>
  </w:style>
  <w:style w:type="character" w:styleId="FootnoteReference">
    <w:name w:val="footnote reference"/>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link w:val="BodyText"/>
    <w:locked/>
    <w:rsid w:val="00196886"/>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character" w:customStyle="1" w:styleId="plcountryChar">
    <w:name w:val="plcountry Char"/>
    <w:link w:val="plcountry"/>
    <w:rsid w:val="00196886"/>
    <w:rPr>
      <w:rFonts w:ascii="Arial" w:hAnsi="Arial"/>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character" w:customStyle="1" w:styleId="pldetailsChar">
    <w:name w:val="pldetails Char"/>
    <w:link w:val="pldetails"/>
    <w:rsid w:val="00196886"/>
    <w:rPr>
      <w:rFonts w:ascii="Arial" w:hAnsi="Arial"/>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link w:val="TitleofdocChar"/>
    <w:rsid w:val="0033507D"/>
    <w:pPr>
      <w:spacing w:before="600"/>
      <w:jc w:val="center"/>
    </w:pPr>
    <w:rPr>
      <w:caps/>
    </w:rPr>
  </w:style>
  <w:style w:type="character" w:customStyle="1" w:styleId="TitleofdocChar">
    <w:name w:val="Title_of_doc Char"/>
    <w:link w:val="Titleofdoc0"/>
    <w:rsid w:val="005B0B2E"/>
    <w:rPr>
      <w:rFonts w:ascii="Arial" w:hAnsi="Arial"/>
      <w:caps/>
    </w:rPr>
  </w:style>
  <w:style w:type="paragraph" w:customStyle="1" w:styleId="preparedby1">
    <w:name w:val="prepared_by"/>
    <w:basedOn w:val="Normal"/>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33507D"/>
    <w:rPr>
      <w:rFonts w:ascii="Arial" w:hAnsi="Arial"/>
      <w:b/>
      <w:bCs/>
      <w:spacing w:val="10"/>
      <w:lang w:val="en-US" w:eastAsia="en-US" w:bidi="ar-SA"/>
    </w:rPr>
  </w:style>
  <w:style w:type="character" w:customStyle="1" w:styleId="StyleDoclangBold">
    <w:name w:val="Style Doc_lang + Bold"/>
    <w:rsid w:val="0033507D"/>
    <w:rPr>
      <w:rFonts w:ascii="Arial" w:hAnsi="Arial"/>
      <w:b/>
      <w:bCs/>
      <w:sz w:val="20"/>
      <w:lang w:val="en-US"/>
    </w:rPr>
  </w:style>
  <w:style w:type="paragraph" w:styleId="TOC2">
    <w:name w:val="toc 2"/>
    <w:next w:val="Normal"/>
    <w:autoRedefine/>
    <w:uiPriority w:val="39"/>
    <w:rsid w:val="00AB781C"/>
    <w:pPr>
      <w:tabs>
        <w:tab w:val="right" w:leader="dot" w:pos="9639"/>
      </w:tabs>
      <w:spacing w:before="120"/>
      <w:ind w:left="567" w:right="851" w:hanging="283"/>
      <w:contextualSpacing/>
    </w:pPr>
    <w:rPr>
      <w:rFonts w:ascii="Arial" w:hAnsi="Arial"/>
      <w:noProof/>
    </w:rPr>
  </w:style>
  <w:style w:type="paragraph" w:styleId="TOC3">
    <w:name w:val="toc 3"/>
    <w:next w:val="Normal"/>
    <w:autoRedefine/>
    <w:uiPriority w:val="39"/>
    <w:rsid w:val="006A03CA"/>
    <w:pPr>
      <w:tabs>
        <w:tab w:val="right" w:leader="dot" w:pos="9639"/>
      </w:tabs>
      <w:spacing w:before="120"/>
      <w:ind w:left="709" w:right="851" w:hanging="425"/>
      <w:contextualSpacing/>
    </w:pPr>
    <w:rPr>
      <w:rFonts w:ascii="Arial" w:hAnsi="Arial"/>
      <w:i/>
      <w:noProof/>
      <w:lang w:val="fr-FR"/>
    </w:rPr>
  </w:style>
  <w:style w:type="character" w:styleId="Hyperlink">
    <w:name w:val="Hyperlink"/>
    <w:uiPriority w:val="99"/>
    <w:rsid w:val="0033507D"/>
    <w:rPr>
      <w:rFonts w:ascii="Arial" w:hAnsi="Arial"/>
      <w:color w:val="0000FF"/>
      <w:u w:val="single"/>
    </w:rPr>
  </w:style>
  <w:style w:type="paragraph" w:styleId="TOC4">
    <w:name w:val="toc 4"/>
    <w:next w:val="Normal"/>
    <w:autoRedefine/>
    <w:uiPriority w:val="39"/>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97F0D"/>
    <w:pPr>
      <w:tabs>
        <w:tab w:val="right" w:leader="dot" w:pos="9639"/>
      </w:tabs>
      <w:spacing w:before="240"/>
      <w:ind w:left="284" w:right="284" w:hanging="284"/>
      <w:contextualSpacing/>
    </w:pPr>
    <w:rPr>
      <w:rFonts w:ascii="Arial" w:hAnsi="Arial"/>
      <w:caps/>
      <w:noProof/>
    </w:rPr>
  </w:style>
  <w:style w:type="paragraph" w:styleId="TOC5">
    <w:name w:val="toc 5"/>
    <w:next w:val="Normal"/>
    <w:autoRedefine/>
    <w:uiPriority w:val="39"/>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rPr>
  </w:style>
  <w:style w:type="paragraph" w:customStyle="1" w:styleId="Style1">
    <w:name w:val="Style1"/>
    <w:basedOn w:val="Normal"/>
    <w:rsid w:val="00196886"/>
    <w:pPr>
      <w:tabs>
        <w:tab w:val="decimal" w:pos="907"/>
        <w:tab w:val="left" w:pos="1077"/>
      </w:tabs>
    </w:pPr>
    <w:rPr>
      <w:rFonts w:ascii="Times New Roman" w:eastAsia="MS Mincho" w:hAnsi="Times New Roman"/>
      <w:sz w:val="24"/>
    </w:rPr>
  </w:style>
  <w:style w:type="paragraph" w:customStyle="1" w:styleId="n">
    <w:name w:val="n"/>
    <w:basedOn w:val="Header"/>
    <w:rsid w:val="00196886"/>
    <w:rPr>
      <w:rFonts w:ascii="Times New Roman" w:hAnsi="Times New Roman"/>
      <w:sz w:val="24"/>
    </w:rPr>
  </w:style>
  <w:style w:type="paragraph" w:customStyle="1" w:styleId="Normalt">
    <w:name w:val="Normalt"/>
    <w:basedOn w:val="Normal"/>
    <w:rsid w:val="00196886"/>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96886"/>
    <w:pPr>
      <w:keepNext/>
    </w:pPr>
    <w:rPr>
      <w:b/>
      <w:bCs/>
    </w:rPr>
  </w:style>
  <w:style w:type="paragraph" w:styleId="NormalWeb">
    <w:name w:val="Normal (Web)"/>
    <w:basedOn w:val="Normal"/>
    <w:rsid w:val="00196886"/>
    <w:pPr>
      <w:spacing w:before="100" w:beforeAutospacing="1" w:after="100" w:afterAutospacing="1"/>
      <w:jc w:val="left"/>
    </w:pPr>
    <w:rPr>
      <w:szCs w:val="24"/>
    </w:rPr>
  </w:style>
  <w:style w:type="paragraph" w:customStyle="1" w:styleId="pdflink">
    <w:name w:val="pdflink"/>
    <w:basedOn w:val="Normal"/>
    <w:next w:val="Normal"/>
    <w:rsid w:val="00196886"/>
    <w:rPr>
      <w:color w:val="800000"/>
      <w:u w:val="words"/>
    </w:rPr>
  </w:style>
  <w:style w:type="paragraph" w:customStyle="1" w:styleId="Draft">
    <w:name w:val="Draft"/>
    <w:basedOn w:val="Normal"/>
    <w:next w:val="preparedby"/>
    <w:rsid w:val="00196886"/>
    <w:pPr>
      <w:spacing w:before="720" w:after="480"/>
      <w:jc w:val="center"/>
    </w:pPr>
    <w:rPr>
      <w:caps/>
      <w:sz w:val="28"/>
    </w:rPr>
  </w:style>
  <w:style w:type="paragraph" w:customStyle="1" w:styleId="tqparabox">
    <w:name w:val="tqparabox"/>
    <w:basedOn w:val="Normal"/>
    <w:rsid w:val="00196886"/>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196886"/>
    <w:pPr>
      <w:ind w:left="567"/>
    </w:pPr>
    <w:rPr>
      <w:lang w:val="es-ES_tradnl"/>
    </w:rPr>
  </w:style>
  <w:style w:type="character" w:customStyle="1" w:styleId="BodyTextIndentChar">
    <w:name w:val="Body Text Indent Char"/>
    <w:link w:val="BodyTextIndent"/>
    <w:rsid w:val="00196886"/>
    <w:rPr>
      <w:rFonts w:ascii="Arial" w:hAnsi="Arial"/>
      <w:lang w:val="es-ES_tradnl"/>
    </w:rPr>
  </w:style>
  <w:style w:type="paragraph" w:customStyle="1" w:styleId="twpcheck">
    <w:name w:val="twpcheck"/>
    <w:basedOn w:val="Normal"/>
    <w:rsid w:val="00196886"/>
    <w:pPr>
      <w:spacing w:before="80" w:after="80"/>
      <w:jc w:val="left"/>
    </w:pPr>
    <w:rPr>
      <w:rFonts w:cs="Arial"/>
      <w:snapToGrid w:val="0"/>
      <w:sz w:val="16"/>
      <w:szCs w:val="16"/>
    </w:rPr>
  </w:style>
  <w:style w:type="paragraph" w:customStyle="1" w:styleId="DecisionInvitingPara">
    <w:name w:val="Decision Inviting Para."/>
    <w:basedOn w:val="Normal"/>
    <w:rsid w:val="00196886"/>
    <w:pPr>
      <w:ind w:left="4536"/>
    </w:pPr>
    <w:rPr>
      <w:i/>
      <w:lang w:val="es-ES_tradnl"/>
    </w:rPr>
  </w:style>
  <w:style w:type="paragraph" w:customStyle="1" w:styleId="Enttepair">
    <w:name w:val="Entête_pair"/>
    <w:basedOn w:val="Normal"/>
    <w:next w:val="Normal"/>
    <w:rsid w:val="00196886"/>
    <w:pPr>
      <w:pBdr>
        <w:bottom w:val="single" w:sz="4" w:space="1" w:color="auto"/>
      </w:pBdr>
      <w:jc w:val="left"/>
    </w:pPr>
    <w:rPr>
      <w:szCs w:val="24"/>
    </w:rPr>
  </w:style>
  <w:style w:type="paragraph" w:customStyle="1" w:styleId="Entteimpair">
    <w:name w:val="Entête_impair"/>
    <w:basedOn w:val="Normal"/>
    <w:next w:val="Normal"/>
    <w:rsid w:val="00196886"/>
    <w:pPr>
      <w:pBdr>
        <w:bottom w:val="single" w:sz="4" w:space="1" w:color="auto"/>
      </w:pBdr>
      <w:jc w:val="right"/>
    </w:pPr>
  </w:style>
  <w:style w:type="paragraph" w:styleId="ListBullet">
    <w:name w:val="List Bullet"/>
    <w:basedOn w:val="Normal"/>
    <w:autoRedefine/>
    <w:rsid w:val="00196886"/>
    <w:pPr>
      <w:tabs>
        <w:tab w:val="num" w:pos="360"/>
      </w:tabs>
      <w:ind w:left="360" w:hanging="360"/>
    </w:pPr>
    <w:rPr>
      <w:bCs/>
      <w:szCs w:val="24"/>
      <w:lang w:val="es-ES" w:eastAsia="zh-CN"/>
    </w:rPr>
  </w:style>
  <w:style w:type="character" w:styleId="FollowedHyperlink">
    <w:name w:val="FollowedHyperlink"/>
    <w:rsid w:val="00196886"/>
    <w:rPr>
      <w:color w:val="606420"/>
      <w:u w:val="single"/>
    </w:rPr>
  </w:style>
  <w:style w:type="paragraph" w:styleId="BlockText">
    <w:name w:val="Block Text"/>
    <w:basedOn w:val="Normal"/>
    <w:rsid w:val="00196886"/>
    <w:pPr>
      <w:ind w:left="567" w:right="566"/>
    </w:pPr>
    <w:rPr>
      <w:sz w:val="22"/>
    </w:rPr>
  </w:style>
  <w:style w:type="paragraph" w:styleId="CommentText">
    <w:name w:val="annotation text"/>
    <w:basedOn w:val="Normal"/>
    <w:link w:val="CommentTextChar"/>
    <w:rsid w:val="00196886"/>
    <w:rPr>
      <w:sz w:val="22"/>
      <w:lang w:val="es-ES_tradnl"/>
    </w:rPr>
  </w:style>
  <w:style w:type="character" w:customStyle="1" w:styleId="CommentTextChar">
    <w:name w:val="Comment Text Char"/>
    <w:link w:val="CommentText"/>
    <w:rsid w:val="00196886"/>
    <w:rPr>
      <w:rFonts w:ascii="Arial" w:hAnsi="Arial"/>
      <w:sz w:val="22"/>
      <w:lang w:val="es-ES_tradnl"/>
    </w:rPr>
  </w:style>
  <w:style w:type="paragraph" w:customStyle="1" w:styleId="Committee">
    <w:name w:val="Committee"/>
    <w:basedOn w:val="Title"/>
    <w:rsid w:val="00196886"/>
    <w:rPr>
      <w:caps w:val="0"/>
    </w:rPr>
  </w:style>
  <w:style w:type="paragraph" w:customStyle="1" w:styleId="TitleofSection">
    <w:name w:val="Title of Section"/>
    <w:basedOn w:val="TitleofDoc"/>
    <w:rsid w:val="00196886"/>
    <w:pPr>
      <w:spacing w:before="120" w:after="120"/>
    </w:pPr>
    <w:rPr>
      <w:b/>
      <w:caps w:val="0"/>
      <w:lang w:eastAsia="de-DE"/>
    </w:rPr>
  </w:style>
  <w:style w:type="paragraph" w:customStyle="1" w:styleId="TOCAnnex">
    <w:name w:val="TOC Annex"/>
    <w:basedOn w:val="Normal"/>
    <w:rsid w:val="0019688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196886"/>
    <w:rPr>
      <w:rFonts w:ascii="Courier New" w:hAnsi="Courier New" w:cs="Courier New"/>
      <w:lang w:eastAsia="fr-FR"/>
    </w:rPr>
  </w:style>
  <w:style w:type="character" w:customStyle="1" w:styleId="PlainTextChar">
    <w:name w:val="Plain Text Char"/>
    <w:link w:val="PlainText"/>
    <w:rsid w:val="00196886"/>
    <w:rPr>
      <w:rFonts w:ascii="Courier New" w:hAnsi="Courier New" w:cs="Courier New"/>
      <w:lang w:eastAsia="fr-FR"/>
    </w:rPr>
  </w:style>
  <w:style w:type="paragraph" w:customStyle="1" w:styleId="Default">
    <w:name w:val="Default"/>
    <w:basedOn w:val="Normal"/>
    <w:rsid w:val="00196886"/>
    <w:pPr>
      <w:jc w:val="left"/>
    </w:pPr>
    <w:rPr>
      <w:rFonts w:eastAsia="SimSun" w:cs="Arial"/>
      <w:color w:val="000000"/>
      <w:sz w:val="24"/>
      <w:szCs w:val="24"/>
    </w:rPr>
  </w:style>
  <w:style w:type="paragraph" w:customStyle="1" w:styleId="tgcharnumber">
    <w:name w:val="tg_char_number"/>
    <w:basedOn w:val="Normal"/>
    <w:rsid w:val="00196886"/>
    <w:pPr>
      <w:keepNext/>
      <w:spacing w:before="80" w:after="80"/>
      <w:jc w:val="center"/>
    </w:pPr>
    <w:rPr>
      <w:b/>
      <w:sz w:val="16"/>
    </w:rPr>
  </w:style>
  <w:style w:type="paragraph" w:customStyle="1" w:styleId="tgchartitle">
    <w:name w:val="tg_char_title"/>
    <w:basedOn w:val="Normal"/>
    <w:rsid w:val="00196886"/>
    <w:pPr>
      <w:spacing w:before="80" w:after="80"/>
      <w:jc w:val="left"/>
    </w:pPr>
    <w:rPr>
      <w:b/>
      <w:sz w:val="16"/>
    </w:rPr>
  </w:style>
  <w:style w:type="paragraph" w:customStyle="1" w:styleId="tgchartext">
    <w:name w:val="tg_char_text"/>
    <w:basedOn w:val="Normal"/>
    <w:rsid w:val="00196886"/>
    <w:pPr>
      <w:spacing w:before="80" w:after="80"/>
      <w:jc w:val="left"/>
    </w:pPr>
    <w:rPr>
      <w:sz w:val="16"/>
    </w:rPr>
  </w:style>
  <w:style w:type="paragraph" w:styleId="ListParagraph">
    <w:name w:val="List Paragraph"/>
    <w:basedOn w:val="Normal"/>
    <w:qFormat/>
    <w:rsid w:val="00526CBD"/>
    <w:pPr>
      <w:ind w:left="720"/>
      <w:contextualSpacing/>
    </w:pPr>
  </w:style>
  <w:style w:type="paragraph" w:styleId="TOCHeading">
    <w:name w:val="TOC Heading"/>
    <w:basedOn w:val="Heading1"/>
    <w:next w:val="Normal"/>
    <w:uiPriority w:val="39"/>
    <w:unhideWhenUsed/>
    <w:qFormat/>
    <w:rsid w:val="001002A7"/>
    <w:pPr>
      <w:keepLines/>
      <w:spacing w:before="480" w:line="276" w:lineRule="auto"/>
      <w:jc w:val="left"/>
      <w:outlineLvl w:val="9"/>
    </w:pPr>
    <w:rPr>
      <w:rFonts w:ascii="Cambria" w:hAnsi="Cambria"/>
      <w:b/>
      <w:bCs/>
      <w:i/>
      <w:caps w:val="0"/>
      <w:color w:val="365F91"/>
      <w:sz w:val="28"/>
      <w:szCs w:val="28"/>
      <w:lang w:eastAsia="ja-JP"/>
    </w:rPr>
  </w:style>
  <w:style w:type="character" w:styleId="Emphasis">
    <w:name w:val="Emphasis"/>
    <w:qFormat/>
    <w:rsid w:val="00090A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2613">
      <w:bodyDiv w:val="1"/>
      <w:marLeft w:val="0"/>
      <w:marRight w:val="0"/>
      <w:marTop w:val="0"/>
      <w:marBottom w:val="0"/>
      <w:divBdr>
        <w:top w:val="none" w:sz="0" w:space="0" w:color="auto"/>
        <w:left w:val="none" w:sz="0" w:space="0" w:color="auto"/>
        <w:bottom w:val="none" w:sz="0" w:space="0" w:color="auto"/>
        <w:right w:val="none" w:sz="0" w:space="0" w:color="auto"/>
      </w:divBdr>
    </w:div>
    <w:div w:id="223689363">
      <w:bodyDiv w:val="1"/>
      <w:marLeft w:val="0"/>
      <w:marRight w:val="0"/>
      <w:marTop w:val="0"/>
      <w:marBottom w:val="0"/>
      <w:divBdr>
        <w:top w:val="none" w:sz="0" w:space="0" w:color="auto"/>
        <w:left w:val="none" w:sz="0" w:space="0" w:color="auto"/>
        <w:bottom w:val="none" w:sz="0" w:space="0" w:color="auto"/>
        <w:right w:val="none" w:sz="0" w:space="0" w:color="auto"/>
      </w:divBdr>
    </w:div>
    <w:div w:id="665403858">
      <w:bodyDiv w:val="1"/>
      <w:marLeft w:val="0"/>
      <w:marRight w:val="0"/>
      <w:marTop w:val="0"/>
      <w:marBottom w:val="0"/>
      <w:divBdr>
        <w:top w:val="none" w:sz="0" w:space="0" w:color="auto"/>
        <w:left w:val="none" w:sz="0" w:space="0" w:color="auto"/>
        <w:bottom w:val="none" w:sz="0" w:space="0" w:color="auto"/>
        <w:right w:val="none" w:sz="0" w:space="0" w:color="auto"/>
      </w:divBdr>
    </w:div>
    <w:div w:id="1001857685">
      <w:bodyDiv w:val="1"/>
      <w:marLeft w:val="0"/>
      <w:marRight w:val="0"/>
      <w:marTop w:val="0"/>
      <w:marBottom w:val="0"/>
      <w:divBdr>
        <w:top w:val="none" w:sz="0" w:space="0" w:color="auto"/>
        <w:left w:val="none" w:sz="0" w:space="0" w:color="auto"/>
        <w:bottom w:val="none" w:sz="0" w:space="0" w:color="auto"/>
        <w:right w:val="none" w:sz="0" w:space="0" w:color="auto"/>
      </w:divBdr>
    </w:div>
    <w:div w:id="1690522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pov.int/meetings/fr/details.jsp?meeting_id=28343" TargetMode="External"/><Relationship Id="rId1" Type="http://schemas.openxmlformats.org/officeDocument/2006/relationships/hyperlink" Target="http://www.upov.int/meetings/fr/details.jsp?meeting_id=28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F377-9988-495C-9701-AF952F99A873}">
  <ds:schemaRefs>
    <ds:schemaRef ds:uri="http://schemas.openxmlformats.org/officeDocument/2006/bibliography"/>
  </ds:schemaRefs>
</ds:datastoreItem>
</file>

<file path=customXml/itemProps2.xml><?xml version="1.0" encoding="utf-8"?>
<ds:datastoreItem xmlns:ds="http://schemas.openxmlformats.org/officeDocument/2006/customXml" ds:itemID="{5E052A8A-98ED-4F84-A077-2E3F5A8E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19640</Words>
  <Characters>111949</Characters>
  <Application>Microsoft Office Word</Application>
  <DocSecurity>0</DocSecurity>
  <Lines>932</Lines>
  <Paragraphs>262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template TC/48 ENGLISH</vt:lpstr>
      <vt:lpstr>template TC/48 ENGLISH</vt:lpstr>
    </vt:vector>
  </TitlesOfParts>
  <Company>UPOV</Company>
  <LinksUpToDate>false</LinksUpToDate>
  <CharactersWithSpaces>131327</CharactersWithSpaces>
  <SharedDoc>false</SharedDoc>
  <HLinks>
    <vt:vector size="12" baseType="variant">
      <vt:variant>
        <vt:i4>6750302</vt:i4>
      </vt:variant>
      <vt:variant>
        <vt:i4>3</vt:i4>
      </vt:variant>
      <vt:variant>
        <vt:i4>0</vt:i4>
      </vt:variant>
      <vt:variant>
        <vt:i4>5</vt:i4>
      </vt:variant>
      <vt:variant>
        <vt:lpwstr>http://www.upov.int/meetings/fr/details.jsp?meeting_id=28343</vt:lpwstr>
      </vt:variant>
      <vt:variant>
        <vt:lpwstr/>
      </vt:variant>
      <vt:variant>
        <vt:i4>6750302</vt:i4>
      </vt:variant>
      <vt:variant>
        <vt:i4>0</vt:i4>
      </vt:variant>
      <vt:variant>
        <vt:i4>0</vt:i4>
      </vt:variant>
      <vt:variant>
        <vt:i4>5</vt:i4>
      </vt:variant>
      <vt:variant>
        <vt:lpwstr>http://www.upov.int/meetings/fr/details.jsp?meeting_id=28343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keywords>NT/MP/cp/ko</cp:keywords>
  <cp:lastModifiedBy>BESSE Ariane</cp:lastModifiedBy>
  <cp:revision>2</cp:revision>
  <cp:lastPrinted>2013-09-25T14:09:00Z</cp:lastPrinted>
  <dcterms:created xsi:type="dcterms:W3CDTF">2013-09-25T14:41:00Z</dcterms:created>
  <dcterms:modified xsi:type="dcterms:W3CDTF">2013-09-25T14:41:00Z</dcterms:modified>
</cp:coreProperties>
</file>