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2668AE" w14:paraId="159BD9DB" w14:textId="77777777" w:rsidTr="00EB4E9C">
        <w:tc>
          <w:tcPr>
            <w:tcW w:w="6522" w:type="dxa"/>
          </w:tcPr>
          <w:p w14:paraId="60D37CB5" w14:textId="77777777" w:rsidR="00DC3802" w:rsidRPr="002668AE" w:rsidRDefault="00DC3802" w:rsidP="002318ED">
            <w:pPr>
              <w:rPr>
                <w:dstrike/>
                <w:lang w:val="es-ES_tradnl"/>
              </w:rPr>
            </w:pPr>
            <w:r w:rsidRPr="002668AE">
              <w:rPr>
                <w:noProof/>
                <w:lang w:val="en-US"/>
              </w:rPr>
              <w:drawing>
                <wp:inline distT="0" distB="0" distL="0" distR="0" wp14:anchorId="6D91AEA9" wp14:editId="08E6881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C640EE3" w14:textId="77777777" w:rsidR="00DC3802" w:rsidRPr="002668AE" w:rsidRDefault="00DC3802" w:rsidP="00AC2883">
            <w:pPr>
              <w:pStyle w:val="Lettrine"/>
              <w:rPr>
                <w:lang w:val="es-ES_tradnl"/>
              </w:rPr>
            </w:pPr>
            <w:r w:rsidRPr="002668AE">
              <w:rPr>
                <w:lang w:val="es-ES_tradnl"/>
              </w:rPr>
              <w:t>S</w:t>
            </w:r>
          </w:p>
        </w:tc>
      </w:tr>
      <w:tr w:rsidR="00DC3802" w:rsidRPr="002668AE" w14:paraId="1125598D" w14:textId="77777777" w:rsidTr="00645CA8">
        <w:trPr>
          <w:trHeight w:val="219"/>
        </w:trPr>
        <w:tc>
          <w:tcPr>
            <w:tcW w:w="6522" w:type="dxa"/>
          </w:tcPr>
          <w:p w14:paraId="170173AA" w14:textId="77777777" w:rsidR="00DC3802" w:rsidRPr="002668AE" w:rsidRDefault="00DC3802" w:rsidP="00AC2883">
            <w:pPr>
              <w:pStyle w:val="upove"/>
              <w:rPr>
                <w:dstrike/>
                <w:lang w:val="es-ES_tradnl"/>
              </w:rPr>
            </w:pPr>
            <w:r w:rsidRPr="002668AE">
              <w:rPr>
                <w:lang w:val="es-ES_tradnl"/>
              </w:rPr>
              <w:t>Unión Internacional para la Protección de las Obtenciones Vegetales</w:t>
            </w:r>
          </w:p>
        </w:tc>
        <w:tc>
          <w:tcPr>
            <w:tcW w:w="3117" w:type="dxa"/>
          </w:tcPr>
          <w:p w14:paraId="2DBEF0B7" w14:textId="77777777" w:rsidR="00DC3802" w:rsidRPr="002668AE" w:rsidRDefault="00DC3802" w:rsidP="00DA4973">
            <w:pPr>
              <w:rPr>
                <w:lang w:val="es-ES_tradnl"/>
              </w:rPr>
            </w:pPr>
          </w:p>
        </w:tc>
      </w:tr>
    </w:tbl>
    <w:p w14:paraId="609E5B92" w14:textId="5E8ABCB1" w:rsidR="008C5084" w:rsidRPr="002668AE" w:rsidRDefault="008C5084" w:rsidP="00DC3802">
      <w:pPr>
        <w:rPr>
          <w:lang w:val="es-ES_tradnl"/>
        </w:rPr>
      </w:pPr>
    </w:p>
    <w:p w14:paraId="6C28273D" w14:textId="77777777" w:rsidR="0004297B" w:rsidRPr="002668AE" w:rsidRDefault="0004297B" w:rsidP="0004297B">
      <w:pPr>
        <w:rPr>
          <w:lang w:val="es-ES_tradn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840"/>
        <w:gridCol w:w="2799"/>
      </w:tblGrid>
      <w:tr w:rsidR="0004297B" w:rsidRPr="002668AE" w14:paraId="05FB261D" w14:textId="77777777" w:rsidTr="006561D8">
        <w:tc>
          <w:tcPr>
            <w:tcW w:w="6840" w:type="dxa"/>
          </w:tcPr>
          <w:p w14:paraId="737722DF" w14:textId="77777777" w:rsidR="002668AE" w:rsidRDefault="0004297B" w:rsidP="00EB56DD">
            <w:pPr>
              <w:pStyle w:val="Sessiontc"/>
              <w:spacing w:line="240" w:lineRule="auto"/>
              <w:rPr>
                <w:lang w:val="es-ES_tradnl"/>
              </w:rPr>
            </w:pPr>
            <w:r w:rsidRPr="002668AE">
              <w:rPr>
                <w:lang w:val="es-ES_tradnl"/>
              </w:rPr>
              <w:t>Grupo de trabajo sobre orientaciones relativas a los agricultores a pequeña escala en un marco privado y con fines no comerciales</w:t>
            </w:r>
          </w:p>
          <w:p w14:paraId="7BFC45C8" w14:textId="77777777" w:rsidR="002668AE" w:rsidRDefault="00325F14" w:rsidP="00EB56DD">
            <w:pPr>
              <w:pStyle w:val="Sessiontcplacedate"/>
              <w:rPr>
                <w:lang w:val="es-ES_tradnl"/>
              </w:rPr>
            </w:pPr>
            <w:r w:rsidRPr="002668AE">
              <w:rPr>
                <w:lang w:val="es-ES_tradnl"/>
              </w:rPr>
              <w:t>Tercera</w:t>
            </w:r>
            <w:r w:rsidR="003809E6" w:rsidRPr="002668AE">
              <w:rPr>
                <w:lang w:val="es-ES_tradnl"/>
              </w:rPr>
              <w:t xml:space="preserve"> reunión</w:t>
            </w:r>
          </w:p>
          <w:p w14:paraId="64465AD8" w14:textId="4129CF23" w:rsidR="0004297B" w:rsidRPr="002668AE" w:rsidRDefault="0004297B" w:rsidP="00325F14">
            <w:pPr>
              <w:pStyle w:val="Sessiontcplacedate"/>
              <w:rPr>
                <w:dstrike/>
                <w:sz w:val="22"/>
                <w:lang w:val="es-ES_tradnl"/>
              </w:rPr>
            </w:pPr>
            <w:r w:rsidRPr="002668AE">
              <w:rPr>
                <w:lang w:val="es-ES_tradnl"/>
              </w:rPr>
              <w:t xml:space="preserve">Ginebra, </w:t>
            </w:r>
            <w:r w:rsidR="00325F14" w:rsidRPr="002668AE">
              <w:rPr>
                <w:lang w:val="es-ES_tradnl"/>
              </w:rPr>
              <w:t>24 de marzo de 2023</w:t>
            </w:r>
          </w:p>
        </w:tc>
        <w:tc>
          <w:tcPr>
            <w:tcW w:w="2799" w:type="dxa"/>
          </w:tcPr>
          <w:p w14:paraId="5F113267" w14:textId="77777777" w:rsidR="002668AE" w:rsidRDefault="0004297B" w:rsidP="00EB56DD">
            <w:pPr>
              <w:pStyle w:val="Doccode"/>
              <w:rPr>
                <w:lang w:val="es-ES_tradnl"/>
              </w:rPr>
            </w:pPr>
            <w:r w:rsidRPr="002668AE">
              <w:rPr>
                <w:lang w:val="es-ES_tradnl"/>
              </w:rPr>
              <w:t>WG-SHF/</w:t>
            </w:r>
            <w:r w:rsidR="00325F14" w:rsidRPr="002668AE">
              <w:rPr>
                <w:lang w:val="es-ES_tradnl"/>
              </w:rPr>
              <w:t>3</w:t>
            </w:r>
            <w:r w:rsidRPr="002668AE">
              <w:rPr>
                <w:lang w:val="es-ES_tradnl"/>
              </w:rPr>
              <w:t>/2</w:t>
            </w:r>
          </w:p>
          <w:p w14:paraId="2AFFA4C4" w14:textId="77777777" w:rsidR="002668AE" w:rsidRDefault="002668AE" w:rsidP="00EB56DD">
            <w:pPr>
              <w:pStyle w:val="Doccode"/>
              <w:rPr>
                <w:lang w:val="es-ES_tradnl"/>
              </w:rPr>
            </w:pPr>
          </w:p>
          <w:p w14:paraId="3EFF4C83" w14:textId="1B85E412" w:rsidR="008C5084" w:rsidRPr="002668AE" w:rsidRDefault="0004297B" w:rsidP="00EB56DD">
            <w:pPr>
              <w:pStyle w:val="Docoriginal"/>
              <w:rPr>
                <w:lang w:val="es-ES_tradnl"/>
              </w:rPr>
            </w:pPr>
            <w:r w:rsidRPr="002668AE">
              <w:rPr>
                <w:lang w:val="es-ES_tradnl"/>
              </w:rPr>
              <w:t>Original:</w:t>
            </w:r>
            <w:r w:rsidR="007E3218" w:rsidRPr="002668AE">
              <w:rPr>
                <w:b w:val="0"/>
                <w:lang w:val="es-ES_tradnl"/>
              </w:rPr>
              <w:t xml:space="preserve"> </w:t>
            </w:r>
            <w:r w:rsidRPr="002668AE">
              <w:rPr>
                <w:b w:val="0"/>
                <w:lang w:val="es-ES_tradnl"/>
              </w:rPr>
              <w:t>Inglés</w:t>
            </w:r>
          </w:p>
          <w:p w14:paraId="16FD1429" w14:textId="31770B75" w:rsidR="0004297B" w:rsidRPr="002668AE" w:rsidRDefault="0004297B" w:rsidP="00325F14">
            <w:pPr>
              <w:pStyle w:val="Docoriginal"/>
              <w:rPr>
                <w:lang w:val="es-ES_tradnl"/>
              </w:rPr>
            </w:pPr>
            <w:r w:rsidRPr="002668AE">
              <w:rPr>
                <w:lang w:val="es-ES_tradnl"/>
              </w:rPr>
              <w:t>Fecha:</w:t>
            </w:r>
            <w:r w:rsidR="007E3218" w:rsidRPr="002668AE">
              <w:rPr>
                <w:b w:val="0"/>
                <w:lang w:val="es-ES_tradnl"/>
              </w:rPr>
              <w:t xml:space="preserve"> </w:t>
            </w:r>
            <w:r w:rsidR="00325F14" w:rsidRPr="006561D8">
              <w:rPr>
                <w:b w:val="0"/>
                <w:spacing w:val="4"/>
                <w:lang w:val="es-ES_tradnl"/>
              </w:rPr>
              <w:t>17 de marzo de 2023</w:t>
            </w:r>
          </w:p>
        </w:tc>
      </w:tr>
    </w:tbl>
    <w:p w14:paraId="66E6DC9E" w14:textId="77C2CA52" w:rsidR="002668AE" w:rsidRPr="006561D8" w:rsidRDefault="00AD4550" w:rsidP="006561D8">
      <w:pPr>
        <w:pStyle w:val="Titleofdoc0"/>
        <w:jc w:val="both"/>
        <w:rPr>
          <w:lang w:val="es-419"/>
        </w:rPr>
      </w:pPr>
      <w:bookmarkStart w:id="0" w:name="Prepared"/>
      <w:bookmarkEnd w:id="0"/>
      <w:r w:rsidRPr="006561D8">
        <w:rPr>
          <w:lang w:val="es-419"/>
        </w:rPr>
        <w:t xml:space="preserve">OPCIONES PARA ABORDAR </w:t>
      </w:r>
      <w:r w:rsidR="006E5E80">
        <w:rPr>
          <w:lang w:val="es-419"/>
        </w:rPr>
        <w:t>L</w:t>
      </w:r>
      <w:r w:rsidR="006E5E80" w:rsidRPr="006E5E80">
        <w:rPr>
          <w:lang w:val="es-419"/>
        </w:rPr>
        <w:t>AS CUESTIONES EXAMINADAS</w:t>
      </w:r>
      <w:r w:rsidR="006561D8" w:rsidRPr="006561D8">
        <w:rPr>
          <w:lang w:val="es-419"/>
        </w:rPr>
        <w:t xml:space="preserve"> </w:t>
      </w:r>
      <w:r w:rsidRPr="006561D8">
        <w:rPr>
          <w:lang w:val="es-419"/>
        </w:rPr>
        <w:t xml:space="preserve">EN </w:t>
      </w:r>
      <w:r w:rsidR="006561D8" w:rsidRPr="006561D8">
        <w:rPr>
          <w:lang w:val="es-419"/>
        </w:rPr>
        <w:t>LA</w:t>
      </w:r>
      <w:r w:rsidR="00785437" w:rsidRPr="006561D8">
        <w:rPr>
          <w:lang w:val="es-419"/>
        </w:rPr>
        <w:t xml:space="preserve"> PRIMERA Y SEGUNDA </w:t>
      </w:r>
      <w:r w:rsidR="006561D8" w:rsidRPr="006561D8">
        <w:rPr>
          <w:lang w:val="es-419"/>
        </w:rPr>
        <w:t xml:space="preserve">REUNIONES </w:t>
      </w:r>
      <w:r w:rsidR="00785437" w:rsidRPr="006561D8">
        <w:rPr>
          <w:lang w:val="es-419"/>
        </w:rPr>
        <w:t xml:space="preserve">DEL </w:t>
      </w:r>
      <w:r w:rsidRPr="006561D8">
        <w:rPr>
          <w:lang w:val="es-419"/>
        </w:rPr>
        <w:t>WG</w:t>
      </w:r>
      <w:r w:rsidRPr="006561D8">
        <w:rPr>
          <w:lang w:val="es-419"/>
        </w:rPr>
        <w:noBreakHyphen/>
        <w:t>SHF</w:t>
      </w:r>
    </w:p>
    <w:p w14:paraId="482142A3" w14:textId="7CEBFB69" w:rsidR="002668AE" w:rsidRDefault="00CD7E48" w:rsidP="00CD7E48">
      <w:pPr>
        <w:spacing w:after="240"/>
        <w:jc w:val="left"/>
        <w:rPr>
          <w:i/>
          <w:iCs/>
          <w:lang w:val="es-ES_tradnl"/>
        </w:rPr>
      </w:pPr>
      <w:r w:rsidRPr="002668AE">
        <w:rPr>
          <w:i/>
          <w:lang w:val="es-ES_tradnl"/>
        </w:rPr>
        <w:t>Documento preparado por la Oficina de la</w:t>
      </w:r>
      <w:r w:rsidR="002668AE">
        <w:rPr>
          <w:i/>
          <w:lang w:val="es-ES_tradnl"/>
        </w:rPr>
        <w:t xml:space="preserve"> </w:t>
      </w:r>
      <w:r w:rsidRPr="002668AE">
        <w:rPr>
          <w:i/>
          <w:lang w:val="es-ES_tradnl"/>
        </w:rPr>
        <w:t>Unión</w:t>
      </w:r>
    </w:p>
    <w:p w14:paraId="6BF51F09" w14:textId="77777777" w:rsidR="002668AE" w:rsidRDefault="007E3218" w:rsidP="00CD7E48">
      <w:pPr>
        <w:spacing w:after="600"/>
        <w:jc w:val="left"/>
        <w:rPr>
          <w:i/>
          <w:iCs/>
          <w:color w:val="A6A6A6" w:themeColor="background1" w:themeShade="A6"/>
          <w:lang w:val="es-ES_tradnl"/>
        </w:rPr>
      </w:pPr>
      <w:r w:rsidRPr="002668AE">
        <w:rPr>
          <w:i/>
          <w:color w:val="A6A6A6" w:themeColor="background1" w:themeShade="A6"/>
          <w:lang w:val="es-ES_tradnl"/>
        </w:rPr>
        <w:t xml:space="preserve">Descargo de responsabilidad: </w:t>
      </w:r>
      <w:r w:rsidR="00CD7E48" w:rsidRPr="002668AE">
        <w:rPr>
          <w:i/>
          <w:color w:val="A6A6A6" w:themeColor="background1" w:themeShade="A6"/>
          <w:lang w:val="es-ES_tradnl"/>
        </w:rPr>
        <w:t>el presente documento no constituye un documento de política u orientación de la UPOV</w:t>
      </w:r>
    </w:p>
    <w:p w14:paraId="69010C73" w14:textId="77777777" w:rsidR="002668AE" w:rsidRDefault="00AD4550" w:rsidP="002668AE">
      <w:pPr>
        <w:rPr>
          <w:lang w:val="es-ES_tradnl"/>
        </w:rPr>
      </w:pPr>
      <w:r w:rsidRPr="002668AE">
        <w:rPr>
          <w:lang w:val="es-ES_tradnl"/>
        </w:rPr>
        <w:t>RESUMEN</w:t>
      </w:r>
    </w:p>
    <w:p w14:paraId="68477E94" w14:textId="77777777" w:rsidR="002668AE" w:rsidRDefault="002668AE" w:rsidP="002668AE">
      <w:pPr>
        <w:rPr>
          <w:color w:val="212121"/>
          <w:lang w:val="es-ES_tradnl"/>
        </w:rPr>
      </w:pPr>
    </w:p>
    <w:p w14:paraId="5545F703" w14:textId="77777777" w:rsidR="002668AE" w:rsidRDefault="00325F14" w:rsidP="002668AE">
      <w:pPr>
        <w:rPr>
          <w:rFonts w:cs="Arial"/>
          <w:lang w:val="es-ES_tradnl"/>
        </w:rPr>
      </w:pPr>
      <w:r w:rsidRPr="002668AE">
        <w:rPr>
          <w:color w:val="212121"/>
          <w:lang w:val="es-ES_tradnl"/>
        </w:rPr>
        <w:fldChar w:fldCharType="begin"/>
      </w:r>
      <w:r w:rsidRPr="002668AE">
        <w:rPr>
          <w:color w:val="212121"/>
          <w:lang w:val="es-ES_tradnl"/>
        </w:rPr>
        <w:instrText xml:space="preserve"> AUTONUM  </w:instrText>
      </w:r>
      <w:r w:rsidRPr="002668AE">
        <w:rPr>
          <w:color w:val="212121"/>
          <w:lang w:val="es-ES_tradnl"/>
        </w:rPr>
        <w:fldChar w:fldCharType="end"/>
      </w:r>
      <w:r w:rsidRPr="002668AE">
        <w:rPr>
          <w:color w:val="212121"/>
          <w:lang w:val="es-ES_tradnl"/>
        </w:rPr>
        <w:tab/>
      </w:r>
      <w:r w:rsidR="00AD4550" w:rsidRPr="002668AE">
        <w:rPr>
          <w:color w:val="212121"/>
          <w:lang w:val="es-ES_tradnl"/>
        </w:rPr>
        <w:t>El presente documento tiene por objeto ofrecer</w:t>
      </w:r>
      <w:r w:rsidR="00AD4550" w:rsidRPr="002668AE">
        <w:rPr>
          <w:rFonts w:cs="Arial"/>
          <w:lang w:val="es-ES_tradnl"/>
        </w:rPr>
        <w:t xml:space="preserve"> opciones a fin de ayudar al WG-SHF a </w:t>
      </w:r>
      <w:r w:rsidR="00AD4550" w:rsidRPr="002668AE">
        <w:rPr>
          <w:color w:val="212121"/>
          <w:lang w:val="es-ES_tradnl"/>
        </w:rPr>
        <w:t xml:space="preserve">proporcionar la orientación </w:t>
      </w:r>
      <w:r w:rsidR="00AD4550" w:rsidRPr="002668AE">
        <w:rPr>
          <w:rFonts w:cs="Arial"/>
          <w:lang w:val="es-ES_tradnl"/>
        </w:rPr>
        <w:t xml:space="preserve">solicitada </w:t>
      </w:r>
      <w:r w:rsidR="00AD4550" w:rsidRPr="002668AE">
        <w:rPr>
          <w:color w:val="212121"/>
          <w:lang w:val="es-ES_tradnl"/>
        </w:rPr>
        <w:t>para elaborar un proyecto de revisión del documento UPOV/EXN/EXC, que preparará el Comité Administrativo y Jurídico, y la revisión de las preguntas frecuentes sobre las excepciones al derecho de obtentor</w:t>
      </w:r>
      <w:r w:rsidR="00AD4550" w:rsidRPr="002668AE">
        <w:rPr>
          <w:rFonts w:cs="Arial"/>
          <w:lang w:val="es-ES_tradnl"/>
        </w:rPr>
        <w:t xml:space="preserve">, sobre la base de los debates mantenidos en </w:t>
      </w:r>
      <w:r w:rsidR="00785437" w:rsidRPr="002668AE">
        <w:rPr>
          <w:rFonts w:cs="Arial"/>
          <w:lang w:val="es-ES_tradnl"/>
        </w:rPr>
        <w:t xml:space="preserve">las reuniones primera y segunda del </w:t>
      </w:r>
      <w:r w:rsidR="00AD4550" w:rsidRPr="002668AE">
        <w:rPr>
          <w:rFonts w:cs="Arial"/>
          <w:lang w:val="es-ES_tradnl"/>
        </w:rPr>
        <w:t>WG-SHF.</w:t>
      </w:r>
    </w:p>
    <w:p w14:paraId="782216C3" w14:textId="77777777" w:rsidR="002668AE" w:rsidRDefault="002668AE" w:rsidP="002668AE">
      <w:pPr>
        <w:rPr>
          <w:lang w:val="es-ES_tradnl"/>
        </w:rPr>
      </w:pPr>
    </w:p>
    <w:p w14:paraId="4ED02D87" w14:textId="77777777" w:rsidR="002668AE" w:rsidRDefault="002668AE" w:rsidP="002668AE">
      <w:pPr>
        <w:rPr>
          <w:lang w:val="es-ES_tradnl"/>
        </w:rPr>
      </w:pPr>
    </w:p>
    <w:p w14:paraId="236F6318" w14:textId="77777777" w:rsidR="002668AE" w:rsidRDefault="002668AE" w:rsidP="002668AE">
      <w:pPr>
        <w:rPr>
          <w:lang w:val="es-ES_tradnl"/>
        </w:rPr>
      </w:pPr>
    </w:p>
    <w:p w14:paraId="4A741D10" w14:textId="77777777" w:rsidR="002668AE" w:rsidRDefault="00AD4550" w:rsidP="002668AE">
      <w:pPr>
        <w:rPr>
          <w:lang w:val="es-ES_tradnl"/>
        </w:rPr>
      </w:pPr>
      <w:r w:rsidRPr="002668AE">
        <w:rPr>
          <w:lang w:val="es-ES_tradnl"/>
        </w:rPr>
        <w:t>ANTECEDENTES</w:t>
      </w:r>
    </w:p>
    <w:p w14:paraId="638BD3D1" w14:textId="77777777" w:rsidR="002668AE" w:rsidRDefault="002668AE" w:rsidP="002668AE">
      <w:pPr>
        <w:rPr>
          <w:lang w:val="es-ES_tradnl"/>
        </w:rPr>
      </w:pPr>
    </w:p>
    <w:p w14:paraId="5BBF7D00" w14:textId="77777777" w:rsidR="002668AE" w:rsidRDefault="00AD4550" w:rsidP="002668AE">
      <w:pPr>
        <w:pStyle w:val="Heading2"/>
        <w:keepNext w:val="0"/>
        <w:rPr>
          <w:rFonts w:cs="Arial"/>
          <w:lang w:val="es-ES_tradnl"/>
        </w:rPr>
      </w:pPr>
      <w:r w:rsidRPr="002668AE">
        <w:rPr>
          <w:rFonts w:cs="Arial"/>
          <w:lang w:val="es-ES_tradnl"/>
        </w:rPr>
        <w:t>Primera reunión del WG-SHF (17 de marzo de 2022)</w:t>
      </w:r>
    </w:p>
    <w:p w14:paraId="5C2B4982" w14:textId="77777777" w:rsidR="002668AE" w:rsidRDefault="002668AE" w:rsidP="002668AE">
      <w:pPr>
        <w:rPr>
          <w:rFonts w:cs="Arial"/>
          <w:highlight w:val="yellow"/>
          <w:lang w:val="es-ES_tradnl"/>
        </w:rPr>
      </w:pPr>
    </w:p>
    <w:p w14:paraId="0C0892F4" w14:textId="289B1ED6" w:rsidR="002668AE" w:rsidRDefault="00325F14" w:rsidP="002668AE">
      <w:pPr>
        <w:rPr>
          <w:lang w:val="es-ES_tradnl"/>
        </w:rPr>
      </w:pPr>
      <w:r w:rsidRPr="002668AE">
        <w:rPr>
          <w:rFonts w:cs="Arial"/>
          <w:snapToGrid w:val="0"/>
          <w:lang w:val="es-ES_tradnl"/>
        </w:rPr>
        <w:fldChar w:fldCharType="begin"/>
      </w:r>
      <w:r w:rsidRPr="002668AE">
        <w:rPr>
          <w:rFonts w:cs="Arial"/>
          <w:snapToGrid w:val="0"/>
          <w:lang w:val="es-ES_tradnl"/>
        </w:rPr>
        <w:instrText xml:space="preserve"> AUTONUM  </w:instrText>
      </w:r>
      <w:r w:rsidRPr="002668AE">
        <w:rPr>
          <w:rFonts w:cs="Arial"/>
          <w:snapToGrid w:val="0"/>
          <w:lang w:val="es-ES_tradnl"/>
        </w:rPr>
        <w:fldChar w:fldCharType="end"/>
      </w:r>
      <w:r w:rsidRPr="002668AE">
        <w:rPr>
          <w:rFonts w:cs="Arial"/>
          <w:snapToGrid w:val="0"/>
          <w:lang w:val="es-ES_tradnl"/>
        </w:rPr>
        <w:tab/>
      </w:r>
      <w:r w:rsidR="00AD4550" w:rsidRPr="002668AE">
        <w:rPr>
          <w:lang w:val="es-ES_tradnl"/>
        </w:rPr>
        <w:t>En su primera reunión, celebrada por medios electrónicos el 17 de marzo de 2022, el WG</w:t>
      </w:r>
      <w:r w:rsidR="00100233" w:rsidRPr="002668AE">
        <w:rPr>
          <w:lang w:val="es-ES_tradnl"/>
        </w:rPr>
        <w:t>-</w:t>
      </w:r>
      <w:r w:rsidR="00AD4550" w:rsidRPr="002668AE">
        <w:rPr>
          <w:lang w:val="es-ES_tradnl"/>
        </w:rPr>
        <w:t xml:space="preserve">SHF tomó nota de la información suministrada en el documento WG-SHF/1/2 </w:t>
      </w:r>
      <w:r w:rsidR="00100233" w:rsidRPr="002668AE">
        <w:rPr>
          <w:lang w:val="es-ES_tradnl"/>
        </w:rPr>
        <w:t xml:space="preserve">“Información de referencia” </w:t>
      </w:r>
      <w:r w:rsidR="00AD4550" w:rsidRPr="002668AE">
        <w:rPr>
          <w:lang w:val="es-ES_tradnl"/>
        </w:rPr>
        <w:t xml:space="preserve">y </w:t>
      </w:r>
      <w:r w:rsidR="00F26FE8" w:rsidRPr="002668AE">
        <w:rPr>
          <w:lang w:val="es-ES_tradnl"/>
        </w:rPr>
        <w:t xml:space="preserve">en </w:t>
      </w:r>
      <w:r w:rsidR="00AD4550" w:rsidRPr="002668AE">
        <w:rPr>
          <w:lang w:val="es-ES_tradnl"/>
        </w:rPr>
        <w:t xml:space="preserve">el compendio de la información aportada acerca de las experiencias y opiniones sobre la aplicación de la excepción relativa a los actos que realizan los </w:t>
      </w:r>
      <w:r w:rsidR="00F54751" w:rsidRPr="00091640">
        <w:rPr>
          <w:rFonts w:cs="Arial"/>
          <w:lang w:val="es-ES_tradnl"/>
        </w:rPr>
        <w:t xml:space="preserve">agricultores a pequeña escala </w:t>
      </w:r>
      <w:r w:rsidR="00AD4550" w:rsidRPr="002668AE">
        <w:rPr>
          <w:lang w:val="es-ES_tradnl"/>
        </w:rPr>
        <w:t xml:space="preserve">en un marco privado y con fines no comerciales, recibida en respuesta a la circular </w:t>
      </w:r>
      <w:r w:rsidR="00451EEE" w:rsidRPr="002668AE">
        <w:rPr>
          <w:lang w:val="es-ES_tradnl"/>
        </w:rPr>
        <w:t>E-20/246</w:t>
      </w:r>
      <w:r w:rsidR="00AD4550" w:rsidRPr="002668AE">
        <w:rPr>
          <w:lang w:val="es-ES_tradnl"/>
        </w:rPr>
        <w:t>, del 22 de diciembre de 2020, que figura en el Anexo II del documento WG-SHF/1/2</w:t>
      </w:r>
      <w:r w:rsidR="00451EEE" w:rsidRPr="002668AE">
        <w:rPr>
          <w:lang w:val="es-ES_tradnl"/>
        </w:rPr>
        <w:t>, publicado en la siguiente dirección</w:t>
      </w:r>
      <w:r w:rsidR="00770CAC" w:rsidRPr="002668AE">
        <w:rPr>
          <w:lang w:val="es-ES_tradnl"/>
        </w:rPr>
        <w:t>:</w:t>
      </w:r>
      <w:r w:rsidRPr="002668AE">
        <w:rPr>
          <w:lang w:val="es-ES_tradnl"/>
        </w:rPr>
        <w:t xml:space="preserve"> </w:t>
      </w:r>
      <w:hyperlink r:id="rId10" w:history="1">
        <w:r w:rsidR="00451EEE" w:rsidRPr="002668AE">
          <w:rPr>
            <w:rStyle w:val="Hyperlink"/>
            <w:lang w:val="es-ES_tradnl"/>
          </w:rPr>
          <w:t>https://www.upov.int/edocs/mdocs/upov/es/wg_shf_1/wg_shf_1_2.pdf</w:t>
        </w:r>
      </w:hyperlink>
      <w:r w:rsidRPr="002668AE">
        <w:rPr>
          <w:lang w:val="es-ES_tradnl"/>
        </w:rPr>
        <w:t>.</w:t>
      </w:r>
    </w:p>
    <w:p w14:paraId="3FFA63D9" w14:textId="77777777" w:rsidR="002668AE" w:rsidRDefault="002668AE" w:rsidP="002668AE">
      <w:pPr>
        <w:rPr>
          <w:rFonts w:cs="Arial"/>
          <w:lang w:val="es-ES_tradnl"/>
        </w:rPr>
      </w:pPr>
    </w:p>
    <w:p w14:paraId="272DFCB9" w14:textId="77777777" w:rsidR="002668AE" w:rsidRDefault="00325F14" w:rsidP="002668AE">
      <w:pPr>
        <w:rPr>
          <w:rFonts w:cs="Arial"/>
          <w:lang w:val="es-ES_tradnl"/>
        </w:rPr>
      </w:pPr>
      <w:r w:rsidRPr="002668AE">
        <w:rPr>
          <w:rFonts w:cs="Arial"/>
          <w:spacing w:val="-4"/>
          <w:lang w:val="es-ES_tradnl"/>
        </w:rPr>
        <w:fldChar w:fldCharType="begin"/>
      </w:r>
      <w:r w:rsidRPr="002668AE">
        <w:rPr>
          <w:rFonts w:cs="Arial"/>
          <w:spacing w:val="-4"/>
          <w:lang w:val="es-ES_tradnl"/>
        </w:rPr>
        <w:instrText xml:space="preserve"> AUTONUM  </w:instrText>
      </w:r>
      <w:r w:rsidRPr="002668AE">
        <w:rPr>
          <w:rFonts w:cs="Arial"/>
          <w:spacing w:val="-4"/>
          <w:lang w:val="es-ES_tradnl"/>
        </w:rPr>
        <w:fldChar w:fldCharType="end"/>
      </w:r>
      <w:r w:rsidRPr="002668AE">
        <w:rPr>
          <w:rFonts w:cs="Arial"/>
          <w:spacing w:val="-4"/>
          <w:lang w:val="es-ES_tradnl"/>
        </w:rPr>
        <w:tab/>
      </w:r>
      <w:r w:rsidR="00770CAC" w:rsidRPr="002668AE">
        <w:rPr>
          <w:rFonts w:eastAsiaTheme="minorEastAsia" w:cs="Arial"/>
          <w:spacing w:val="-4"/>
          <w:lang w:val="es-ES_tradnl"/>
        </w:rPr>
        <w:t>El WG-SHF asistió a una ponencia a cargo del equipo del proyecto, en la que se ofreció un resumen general de los aspectos más destacados del documento WG-SHF/1/3 “Análisis e informe con sugerencias preparados por el equipo del proyecto” (véanse los párrafos 5 a 7 del documento WG-SHF/1/4 “Informe”).</w:t>
      </w:r>
    </w:p>
    <w:p w14:paraId="2A450CFD" w14:textId="77777777" w:rsidR="002668AE" w:rsidRDefault="002668AE" w:rsidP="002668AE">
      <w:pPr>
        <w:rPr>
          <w:rFonts w:eastAsiaTheme="minorEastAsia" w:cs="Arial"/>
          <w:highlight w:val="yellow"/>
          <w:lang w:val="es-ES_tradnl"/>
        </w:rPr>
      </w:pPr>
    </w:p>
    <w:p w14:paraId="23B019A6" w14:textId="77777777" w:rsidR="002668AE" w:rsidRDefault="00325F14" w:rsidP="002668AE">
      <w:pPr>
        <w:rPr>
          <w:rFonts w:eastAsiaTheme="minorEastAsia" w:cs="Arial"/>
          <w:lang w:val="es-ES_tradnl"/>
        </w:rPr>
      </w:pPr>
      <w:r w:rsidRPr="002668AE">
        <w:rPr>
          <w:rFonts w:eastAsiaTheme="minorEastAsia" w:cs="Arial"/>
          <w:lang w:val="es-ES_tradnl"/>
        </w:rPr>
        <w:fldChar w:fldCharType="begin"/>
      </w:r>
      <w:r w:rsidRPr="002668AE">
        <w:rPr>
          <w:rFonts w:eastAsiaTheme="minorEastAsia" w:cs="Arial"/>
          <w:lang w:val="es-ES_tradnl"/>
        </w:rPr>
        <w:instrText xml:space="preserve"> AUTONUM  </w:instrText>
      </w:r>
      <w:r w:rsidRPr="002668AE">
        <w:rPr>
          <w:rFonts w:eastAsiaTheme="minorEastAsia" w:cs="Arial"/>
          <w:lang w:val="es-ES_tradnl"/>
        </w:rPr>
        <w:fldChar w:fldCharType="end"/>
      </w:r>
      <w:r w:rsidRPr="002668AE">
        <w:rPr>
          <w:rFonts w:eastAsiaTheme="minorEastAsia" w:cs="Arial"/>
          <w:lang w:val="es-ES_tradnl"/>
        </w:rPr>
        <w:tab/>
      </w:r>
      <w:r w:rsidR="00770CAC" w:rsidRPr="002668AE">
        <w:rPr>
          <w:rFonts w:eastAsiaTheme="minorEastAsia" w:cs="Arial"/>
          <w:lang w:val="es-ES_tradnl"/>
        </w:rPr>
        <w:t>En su primera reunión, el WG-SHF examinó las recomendaciones 1 y 2 del documento WG-SHF/1/3.</w:t>
      </w:r>
    </w:p>
    <w:p w14:paraId="35D4B5F8" w14:textId="77777777" w:rsidR="002668AE" w:rsidRDefault="002668AE" w:rsidP="002668AE">
      <w:pPr>
        <w:rPr>
          <w:rFonts w:eastAsiaTheme="minorEastAsia" w:cs="Arial"/>
          <w:highlight w:val="yellow"/>
          <w:lang w:val="es-ES_tradnl"/>
        </w:rPr>
      </w:pPr>
    </w:p>
    <w:p w14:paraId="6E6EA2EB" w14:textId="070F7789" w:rsidR="002668AE" w:rsidRDefault="00325F14" w:rsidP="002668AE">
      <w:pPr>
        <w:rPr>
          <w:rFonts w:cs="Arial"/>
          <w:lang w:val="es-ES_tradnl"/>
        </w:rPr>
      </w:pPr>
      <w:r w:rsidRPr="002668AE">
        <w:rPr>
          <w:rFonts w:cs="Arial"/>
          <w:lang w:val="es-ES_tradnl"/>
        </w:rPr>
        <w:fldChar w:fldCharType="begin"/>
      </w:r>
      <w:r w:rsidRPr="002668AE">
        <w:rPr>
          <w:rFonts w:cs="Arial"/>
          <w:lang w:val="es-ES_tradnl"/>
        </w:rPr>
        <w:instrText xml:space="preserve"> AUTONUM  </w:instrText>
      </w:r>
      <w:r w:rsidRPr="002668AE">
        <w:rPr>
          <w:rFonts w:cs="Arial"/>
          <w:lang w:val="es-ES_tradnl"/>
        </w:rPr>
        <w:fldChar w:fldCharType="end"/>
      </w:r>
      <w:r w:rsidRPr="002668AE">
        <w:rPr>
          <w:rFonts w:cs="Arial"/>
          <w:lang w:val="es-ES_tradnl"/>
        </w:rPr>
        <w:tab/>
      </w:r>
      <w:r w:rsidR="00770CAC" w:rsidRPr="002668AE">
        <w:rPr>
          <w:rFonts w:cs="Arial"/>
          <w:lang w:val="es-ES_tradnl"/>
        </w:rPr>
        <w:t>Los documentos y el informe de la primera reunión del WG-SHF pueden consultarse en la siguiente dirección:</w:t>
      </w:r>
      <w:r w:rsidR="006E5E80">
        <w:rPr>
          <w:rFonts w:cs="Arial"/>
          <w:lang w:val="es-ES_tradnl"/>
        </w:rPr>
        <w:t xml:space="preserve"> </w:t>
      </w:r>
      <w:hyperlink r:id="rId11" w:history="1">
        <w:r w:rsidR="00770CAC" w:rsidRPr="002668AE">
          <w:rPr>
            <w:rStyle w:val="Hyperlink"/>
            <w:rFonts w:cs="Arial"/>
            <w:lang w:val="es-ES_tradnl"/>
          </w:rPr>
          <w:t>https://www.upov.int/meetings/es/details.jsp?meeting_id=67775</w:t>
        </w:r>
      </w:hyperlink>
    </w:p>
    <w:p w14:paraId="256D15B2" w14:textId="77777777" w:rsidR="002668AE" w:rsidRDefault="002668AE" w:rsidP="002668AE">
      <w:pPr>
        <w:rPr>
          <w:rFonts w:cs="Arial"/>
          <w:lang w:val="es-ES_tradnl"/>
        </w:rPr>
      </w:pPr>
    </w:p>
    <w:p w14:paraId="64E61F1C" w14:textId="77777777" w:rsidR="002668AE" w:rsidRDefault="002668AE" w:rsidP="002668AE">
      <w:pPr>
        <w:jc w:val="left"/>
        <w:rPr>
          <w:rFonts w:cs="Arial"/>
          <w:lang w:val="es-ES_tradnl"/>
        </w:rPr>
      </w:pPr>
    </w:p>
    <w:p w14:paraId="39247A68" w14:textId="77777777" w:rsidR="002668AE" w:rsidRDefault="00770CAC" w:rsidP="002668AE">
      <w:pPr>
        <w:pStyle w:val="Heading2"/>
        <w:keepNext w:val="0"/>
        <w:rPr>
          <w:rFonts w:cs="Arial"/>
          <w:lang w:val="es-ES_tradnl"/>
        </w:rPr>
      </w:pPr>
      <w:r w:rsidRPr="002668AE">
        <w:rPr>
          <w:rFonts w:cs="Arial"/>
          <w:lang w:val="es-ES_tradnl"/>
        </w:rPr>
        <w:t>Segunda reunión del WG-SHF (7 de septiembre de 2022)</w:t>
      </w:r>
    </w:p>
    <w:p w14:paraId="4778B27C" w14:textId="77777777" w:rsidR="002668AE" w:rsidRDefault="002668AE" w:rsidP="002668AE">
      <w:pPr>
        <w:jc w:val="left"/>
        <w:rPr>
          <w:rFonts w:cs="Arial"/>
          <w:lang w:val="es-ES_tradnl"/>
        </w:rPr>
      </w:pPr>
    </w:p>
    <w:p w14:paraId="27A867CD" w14:textId="77777777" w:rsidR="002668AE" w:rsidRDefault="00325F14" w:rsidP="002668AE">
      <w:pPr>
        <w:jc w:val="left"/>
        <w:rPr>
          <w:rFonts w:cs="Arial"/>
          <w:lang w:val="es-ES_tradnl"/>
        </w:rPr>
      </w:pPr>
      <w:r w:rsidRPr="002668AE">
        <w:rPr>
          <w:rFonts w:cs="Arial"/>
          <w:lang w:val="es-ES_tradnl"/>
        </w:rPr>
        <w:fldChar w:fldCharType="begin"/>
      </w:r>
      <w:r w:rsidRPr="002668AE">
        <w:rPr>
          <w:rFonts w:cs="Arial"/>
          <w:lang w:val="es-ES_tradnl"/>
        </w:rPr>
        <w:instrText xml:space="preserve"> AUTONUM  </w:instrText>
      </w:r>
      <w:r w:rsidRPr="002668AE">
        <w:rPr>
          <w:rFonts w:cs="Arial"/>
          <w:lang w:val="es-ES_tradnl"/>
        </w:rPr>
        <w:fldChar w:fldCharType="end"/>
      </w:r>
      <w:r w:rsidRPr="002668AE">
        <w:rPr>
          <w:rFonts w:cs="Arial"/>
          <w:lang w:val="es-ES_tradnl"/>
        </w:rPr>
        <w:tab/>
      </w:r>
      <w:r w:rsidR="00770CAC" w:rsidRPr="002668AE">
        <w:rPr>
          <w:rFonts w:cs="Arial"/>
          <w:lang w:val="es-ES_tradnl"/>
        </w:rPr>
        <w:t xml:space="preserve">En su segunda reunión, celebrada por medios electrónicos el 7 de septiembre de 2022, </w:t>
      </w:r>
      <w:r w:rsidR="004D3422" w:rsidRPr="002668AE">
        <w:rPr>
          <w:rFonts w:cs="Arial"/>
          <w:lang w:val="es-ES_tradnl"/>
        </w:rPr>
        <w:t xml:space="preserve">el WG-SHF </w:t>
      </w:r>
      <w:r w:rsidR="00770CAC" w:rsidRPr="002668AE">
        <w:rPr>
          <w:rFonts w:cs="Arial"/>
          <w:lang w:val="es-ES_tradnl"/>
        </w:rPr>
        <w:t>examinó las recomendaciones 3 a 6 del documento WG-SHF/1/3.</w:t>
      </w:r>
    </w:p>
    <w:p w14:paraId="02A2F2D3" w14:textId="77777777" w:rsidR="002668AE" w:rsidRDefault="002668AE" w:rsidP="002668AE">
      <w:pPr>
        <w:jc w:val="left"/>
        <w:rPr>
          <w:rFonts w:cs="Arial"/>
          <w:lang w:val="es-ES_tradnl"/>
        </w:rPr>
      </w:pPr>
    </w:p>
    <w:p w14:paraId="10CCFDBA" w14:textId="4BE60780" w:rsidR="002668AE" w:rsidRDefault="00325F14" w:rsidP="002668AE">
      <w:pPr>
        <w:rPr>
          <w:rStyle w:val="Hyperlink"/>
          <w:rFonts w:cs="Arial"/>
          <w:lang w:val="es-ES_tradnl"/>
        </w:rPr>
      </w:pPr>
      <w:r w:rsidRPr="002668AE">
        <w:rPr>
          <w:rFonts w:cs="Arial"/>
          <w:lang w:val="es-ES_tradnl"/>
        </w:rPr>
        <w:fldChar w:fldCharType="begin"/>
      </w:r>
      <w:r w:rsidRPr="002668AE">
        <w:rPr>
          <w:rFonts w:cs="Arial"/>
          <w:lang w:val="es-ES_tradnl"/>
        </w:rPr>
        <w:instrText xml:space="preserve"> AUTONUM  </w:instrText>
      </w:r>
      <w:r w:rsidRPr="002668AE">
        <w:rPr>
          <w:rFonts w:cs="Arial"/>
          <w:lang w:val="es-ES_tradnl"/>
        </w:rPr>
        <w:fldChar w:fldCharType="end"/>
      </w:r>
      <w:r w:rsidRPr="002668AE">
        <w:rPr>
          <w:rFonts w:cs="Arial"/>
          <w:lang w:val="es-ES_tradnl"/>
        </w:rPr>
        <w:tab/>
      </w:r>
      <w:r w:rsidR="003E3582" w:rsidRPr="002668AE">
        <w:rPr>
          <w:rFonts w:cs="Arial"/>
          <w:lang w:val="es-ES_tradnl"/>
        </w:rPr>
        <w:t xml:space="preserve">Los documentos </w:t>
      </w:r>
      <w:r w:rsidR="004D3422" w:rsidRPr="002668AE">
        <w:rPr>
          <w:rFonts w:cs="Arial"/>
          <w:lang w:val="es-ES_tradnl"/>
        </w:rPr>
        <w:t xml:space="preserve">y el informe </w:t>
      </w:r>
      <w:r w:rsidR="003E3582" w:rsidRPr="002668AE">
        <w:rPr>
          <w:rFonts w:cs="Arial"/>
          <w:lang w:val="es-ES_tradnl"/>
        </w:rPr>
        <w:t>de la segunda reunión del WG-SHF pueden consultarse en la siguiente dirección:</w:t>
      </w:r>
      <w:r w:rsidR="006E5E80">
        <w:rPr>
          <w:rFonts w:cs="Arial"/>
          <w:lang w:val="es-ES_tradnl"/>
        </w:rPr>
        <w:t xml:space="preserve"> </w:t>
      </w:r>
      <w:hyperlink r:id="rId12" w:history="1">
        <w:r w:rsidR="003E3582" w:rsidRPr="002668AE">
          <w:rPr>
            <w:rStyle w:val="Hyperlink"/>
            <w:rFonts w:cs="Arial"/>
            <w:lang w:val="es-ES_tradnl"/>
          </w:rPr>
          <w:t>https://www.upov.int/meetings/es/details.jsp?meeting_id=70189</w:t>
        </w:r>
      </w:hyperlink>
      <w:r w:rsidRPr="002668AE">
        <w:rPr>
          <w:rStyle w:val="Hyperlink"/>
          <w:rFonts w:cs="Arial"/>
          <w:lang w:val="es-ES_tradnl"/>
        </w:rPr>
        <w:t>.</w:t>
      </w:r>
    </w:p>
    <w:p w14:paraId="232E7D8C" w14:textId="77777777" w:rsidR="002668AE" w:rsidRDefault="002668AE" w:rsidP="002668AE">
      <w:pPr>
        <w:rPr>
          <w:rFonts w:cs="Arial"/>
          <w:lang w:val="es-ES_tradnl"/>
        </w:rPr>
      </w:pPr>
    </w:p>
    <w:p w14:paraId="2D5D141C" w14:textId="6EA5D651" w:rsidR="002668AE" w:rsidRDefault="00325F14" w:rsidP="002668AE">
      <w:pPr>
        <w:rPr>
          <w:rFonts w:cs="Arial"/>
          <w:spacing w:val="-4"/>
          <w:lang w:val="es-ES_tradnl"/>
        </w:rPr>
      </w:pPr>
      <w:r w:rsidRPr="002668AE">
        <w:rPr>
          <w:rFonts w:cs="Arial"/>
          <w:spacing w:val="-4"/>
          <w:lang w:val="es-ES_tradnl"/>
        </w:rPr>
        <w:lastRenderedPageBreak/>
        <w:fldChar w:fldCharType="begin"/>
      </w:r>
      <w:r w:rsidRPr="002668AE">
        <w:rPr>
          <w:rFonts w:cs="Arial"/>
          <w:spacing w:val="-4"/>
          <w:lang w:val="es-ES_tradnl"/>
        </w:rPr>
        <w:instrText xml:space="preserve"> AUTONUM  </w:instrText>
      </w:r>
      <w:r w:rsidRPr="002668AE">
        <w:rPr>
          <w:rFonts w:cs="Arial"/>
          <w:spacing w:val="-4"/>
          <w:lang w:val="es-ES_tradnl"/>
        </w:rPr>
        <w:fldChar w:fldCharType="end"/>
      </w:r>
      <w:r w:rsidRPr="002668AE">
        <w:rPr>
          <w:rFonts w:cs="Arial"/>
          <w:spacing w:val="-4"/>
          <w:lang w:val="es-ES_tradnl"/>
        </w:rPr>
        <w:tab/>
      </w:r>
      <w:r w:rsidR="003E3582" w:rsidRPr="002668AE">
        <w:rPr>
          <w:rFonts w:cs="Arial"/>
          <w:spacing w:val="-4"/>
          <w:lang w:val="es-ES_tradnl"/>
        </w:rPr>
        <w:t>E</w:t>
      </w:r>
      <w:r w:rsidR="00F30440" w:rsidRPr="002668AE">
        <w:rPr>
          <w:rFonts w:cs="Arial"/>
          <w:spacing w:val="-4"/>
          <w:lang w:val="es-ES_tradnl"/>
        </w:rPr>
        <w:t>n la segunda reunión, e</w:t>
      </w:r>
      <w:r w:rsidR="003E3582" w:rsidRPr="002668AE">
        <w:rPr>
          <w:rFonts w:cs="Arial"/>
          <w:spacing w:val="-4"/>
          <w:lang w:val="es-ES_tradnl"/>
        </w:rPr>
        <w:t xml:space="preserve">l presidente </w:t>
      </w:r>
      <w:r w:rsidR="002D50AC" w:rsidRPr="002668AE">
        <w:rPr>
          <w:rFonts w:cs="Arial"/>
          <w:spacing w:val="-4"/>
          <w:lang w:val="es-ES_tradnl"/>
        </w:rPr>
        <w:t xml:space="preserve">del WG-SHF </w:t>
      </w:r>
      <w:r w:rsidR="006E5E80" w:rsidRPr="006E5E80">
        <w:rPr>
          <w:rFonts w:cs="Arial"/>
          <w:spacing w:val="-4"/>
          <w:lang w:val="es-ES_tradnl"/>
        </w:rPr>
        <w:t xml:space="preserve">concluyó </w:t>
      </w:r>
      <w:r w:rsidR="003E3582" w:rsidRPr="002668AE">
        <w:rPr>
          <w:rFonts w:cs="Arial"/>
          <w:spacing w:val="-4"/>
          <w:lang w:val="es-ES_tradnl"/>
        </w:rPr>
        <w:t xml:space="preserve">que, </w:t>
      </w:r>
      <w:r w:rsidR="006E5E80" w:rsidRPr="00091640">
        <w:rPr>
          <w:rFonts w:cs="Arial"/>
          <w:lang w:val="es-ES_tradnl"/>
        </w:rPr>
        <w:t xml:space="preserve">cuando hace algunos años se planteó la elaboración de orientaciones relativas a los agricultores a pequeña escala en un marco privado y con fines no comerciales, no esperaba que fuese un proceso fácil, pues se trata de un asunto delicado. Observó que las intervenciones habían puesto de manifiesto que, mientras que algunos se preguntan si hay algún problema, otros consideran que la falta de claridad podría estar impidiendo que los agricultores a pequeña escala utilicen semillas de calidad. Concluyó que en el WG-SHF existe acuerdo respecto de que todos los agricultores necesitan acceder a semillas de buena calidad y que es importante esforzarse por mejorar sus medios de subsistencia en todo el mundo. </w:t>
      </w:r>
      <w:r w:rsidR="006E5E80" w:rsidRPr="00E50A3C">
        <w:rPr>
          <w:rFonts w:cs="Arial"/>
          <w:lang w:val="es-ES_tradnl"/>
        </w:rPr>
        <w:t>El presidente expresó</w:t>
      </w:r>
      <w:r w:rsidR="006E5E80">
        <w:rPr>
          <w:rFonts w:cs="Arial"/>
          <w:lang w:val="es-ES_tradnl"/>
        </w:rPr>
        <w:t>,</w:t>
      </w:r>
      <w:r w:rsidR="006E5E80" w:rsidRPr="00E50A3C">
        <w:rPr>
          <w:rFonts w:cs="Arial"/>
          <w:lang w:val="es-ES_tradnl"/>
        </w:rPr>
        <w:t xml:space="preserve"> </w:t>
      </w:r>
      <w:r w:rsidR="006E5E80">
        <w:rPr>
          <w:rFonts w:cs="Arial"/>
          <w:lang w:val="es-ES_tradnl"/>
        </w:rPr>
        <w:t>e</w:t>
      </w:r>
      <w:r w:rsidR="006E5E80" w:rsidRPr="00091640">
        <w:rPr>
          <w:rFonts w:cs="Arial"/>
          <w:lang w:val="es-ES_tradnl"/>
        </w:rPr>
        <w:t xml:space="preserve">n nombre del WG-SHF, su gratitud al equipo del proyecto por el informe y las recomendaciones. Señaló que el WG-SHF había debatido todas las recomendaciones. </w:t>
      </w:r>
      <w:r w:rsidR="006E5E80" w:rsidRPr="00FF64B3">
        <w:rPr>
          <w:rFonts w:cs="Arial"/>
          <w:lang w:val="es-ES_tradnl"/>
        </w:rPr>
        <w:t xml:space="preserve">El presidente reconoció </w:t>
      </w:r>
      <w:r w:rsidR="006E5E80" w:rsidRPr="00091640">
        <w:rPr>
          <w:rFonts w:cs="Arial"/>
          <w:lang w:val="es-ES_tradnl"/>
        </w:rPr>
        <w:t xml:space="preserve">que, si bien el WG-SHF había efectuado avances en cuanto a la comprensión del tema, aún no se dan las condiciones para extraer conclusiones y comenzar a redactar una nota explicativa. Recordó que, en su primera reunión, el WG-SHF convino en que se requieren más aclaraciones sobre el tema antes de proceder a la redacción. Señaló que, según se había reconocido, no siempre son los derechos de obtentor la causa de la restricción percibida o real de determinados actos con variedades protegidas, ya que esos actos pueden verse limitados por otra legislación sobre semillas. </w:t>
      </w:r>
      <w:r w:rsidR="006E5E80">
        <w:rPr>
          <w:rFonts w:cs="Arial"/>
          <w:lang w:val="es-ES_tradnl"/>
        </w:rPr>
        <w:t>El </w:t>
      </w:r>
      <w:r w:rsidR="006E5E80" w:rsidRPr="00FF64B3">
        <w:rPr>
          <w:rFonts w:cs="Arial"/>
          <w:lang w:val="es-ES_tradnl"/>
        </w:rPr>
        <w:t>presidente recordó que, según la encuesta realizada a los miembros y observadores de la UPOV, no se ha informado de acciones legales en materia de derechos de obtentor contra los agricultores a pequeña escala</w:t>
      </w:r>
      <w:r w:rsidR="00E641A7" w:rsidRPr="002668AE">
        <w:rPr>
          <w:rFonts w:cs="Arial"/>
          <w:spacing w:val="-4"/>
          <w:lang w:val="es-ES_tradnl"/>
        </w:rPr>
        <w:t>.</w:t>
      </w:r>
    </w:p>
    <w:p w14:paraId="66D94BE3" w14:textId="77777777" w:rsidR="002668AE" w:rsidRDefault="002668AE" w:rsidP="002668AE">
      <w:pPr>
        <w:rPr>
          <w:rFonts w:cs="Arial"/>
          <w:sz w:val="18"/>
          <w:lang w:val="es-ES_tradnl"/>
        </w:rPr>
      </w:pPr>
    </w:p>
    <w:p w14:paraId="16A2D63F" w14:textId="74B10A14" w:rsidR="002668AE" w:rsidRDefault="00325F14" w:rsidP="002668AE">
      <w:pPr>
        <w:rPr>
          <w:rFonts w:cs="Arial"/>
          <w:lang w:val="es-ES_tradnl"/>
        </w:rPr>
      </w:pPr>
      <w:r w:rsidRPr="002668AE">
        <w:rPr>
          <w:rFonts w:cs="Arial"/>
          <w:lang w:val="es-ES_tradnl"/>
        </w:rPr>
        <w:fldChar w:fldCharType="begin"/>
      </w:r>
      <w:r w:rsidRPr="002668AE">
        <w:rPr>
          <w:rFonts w:cs="Arial"/>
          <w:lang w:val="es-ES_tradnl"/>
        </w:rPr>
        <w:instrText xml:space="preserve"> AUTONUM  </w:instrText>
      </w:r>
      <w:r w:rsidRPr="002668AE">
        <w:rPr>
          <w:rFonts w:cs="Arial"/>
          <w:lang w:val="es-ES_tradnl"/>
        </w:rPr>
        <w:fldChar w:fldCharType="end"/>
      </w:r>
      <w:r w:rsidRPr="002668AE">
        <w:rPr>
          <w:rFonts w:cs="Arial"/>
          <w:lang w:val="es-ES_tradnl"/>
        </w:rPr>
        <w:tab/>
      </w:r>
      <w:r w:rsidR="00E641A7" w:rsidRPr="002668AE">
        <w:rPr>
          <w:rFonts w:cs="Arial"/>
          <w:lang w:val="es-ES_tradnl"/>
        </w:rPr>
        <w:t>En cuanto a los próximos pasos, el presidente consideró, a tenor de los debates mantenidos en la segunda reunión del WG-SHF, que el Grupo de trabajo ha realizado avances, si bien reconoció que aún queda mucho por hacer.</w:t>
      </w:r>
      <w:r w:rsidRPr="002668AE">
        <w:rPr>
          <w:rFonts w:cs="Arial"/>
          <w:lang w:val="es-ES_tradnl"/>
        </w:rPr>
        <w:t xml:space="preserve"> </w:t>
      </w:r>
      <w:r w:rsidR="00E641A7" w:rsidRPr="002668AE">
        <w:rPr>
          <w:rFonts w:cs="Arial"/>
          <w:lang w:val="es-ES_tradnl"/>
        </w:rPr>
        <w:t>Propuso que se elabore un informe sobre los avances logrados por el WG-SHF a fin de informar al Comité Administrativo y Jurídico (CAJ) en su septuagésima novena</w:t>
      </w:r>
      <w:r w:rsidR="006E5E80">
        <w:rPr>
          <w:rFonts w:cs="Arial"/>
          <w:lang w:val="es-ES_tradnl"/>
        </w:rPr>
        <w:t xml:space="preserve"> sesión, que se celebrará el 26 </w:t>
      </w:r>
      <w:r w:rsidR="00E641A7" w:rsidRPr="002668AE">
        <w:rPr>
          <w:rFonts w:cs="Arial"/>
          <w:lang w:val="es-ES_tradnl"/>
        </w:rPr>
        <w:t>de octubre de 2022.</w:t>
      </w:r>
      <w:r w:rsidRPr="002668AE">
        <w:rPr>
          <w:rFonts w:cs="Arial"/>
          <w:lang w:val="es-ES_tradnl"/>
        </w:rPr>
        <w:t xml:space="preserve"> </w:t>
      </w:r>
      <w:r w:rsidR="00E641A7" w:rsidRPr="002668AE">
        <w:rPr>
          <w:rFonts w:cs="Arial"/>
          <w:lang w:val="es-ES_tradnl"/>
        </w:rPr>
        <w:t>El presidente indicó que, en su opinión, es importante continuar la labor sobre el tema.</w:t>
      </w:r>
      <w:r w:rsidRPr="002668AE">
        <w:rPr>
          <w:rFonts w:cs="Arial"/>
          <w:lang w:val="es-ES_tradnl"/>
        </w:rPr>
        <w:t xml:space="preserve"> </w:t>
      </w:r>
      <w:r w:rsidR="00E641A7" w:rsidRPr="002668AE">
        <w:rPr>
          <w:rFonts w:cs="Arial"/>
          <w:lang w:val="es-ES_tradnl"/>
        </w:rPr>
        <w:t>En lo que respecta al camino que se ha de seguir, sugirió solicitar orientación al Comité Consultivo en su nonagésima novena sesión, que se celebrará el 27 de octubre de 2022.</w:t>
      </w:r>
      <w:r w:rsidRPr="002668AE">
        <w:rPr>
          <w:rFonts w:cs="Arial"/>
          <w:lang w:val="es-ES_tradnl"/>
        </w:rPr>
        <w:t xml:space="preserve"> </w:t>
      </w:r>
      <w:r w:rsidR="00E641A7" w:rsidRPr="002668AE">
        <w:rPr>
          <w:rFonts w:cs="Arial"/>
          <w:lang w:val="es-ES_tradnl"/>
        </w:rPr>
        <w:t>Formulará su recomendación e invitará al Comité Consultivo a decidir si el WG-SHF debe continuar su labor y cómo ha de proceder.</w:t>
      </w:r>
    </w:p>
    <w:p w14:paraId="0001E883" w14:textId="77777777" w:rsidR="002668AE" w:rsidRDefault="002668AE" w:rsidP="002668AE">
      <w:pPr>
        <w:rPr>
          <w:rFonts w:cs="Arial"/>
          <w:sz w:val="18"/>
          <w:highlight w:val="yellow"/>
          <w:lang w:val="es-ES_tradnl"/>
        </w:rPr>
      </w:pPr>
    </w:p>
    <w:p w14:paraId="644190DA" w14:textId="77777777" w:rsidR="002668AE" w:rsidRDefault="002668AE" w:rsidP="002668AE">
      <w:pPr>
        <w:rPr>
          <w:sz w:val="16"/>
          <w:lang w:val="es-ES_tradnl"/>
        </w:rPr>
      </w:pPr>
    </w:p>
    <w:p w14:paraId="4C280DE8" w14:textId="77777777" w:rsidR="002668AE" w:rsidRDefault="00E641A7" w:rsidP="002668AE">
      <w:pPr>
        <w:pStyle w:val="Heading2"/>
        <w:keepNext w:val="0"/>
        <w:rPr>
          <w:lang w:val="es-ES_tradnl"/>
        </w:rPr>
      </w:pPr>
      <w:r w:rsidRPr="002668AE">
        <w:rPr>
          <w:lang w:val="es-ES_tradnl"/>
        </w:rPr>
        <w:t>Nonagésima novena sesión del Comité Consultivo, celebrada el 27 de octubre de 2022</w:t>
      </w:r>
    </w:p>
    <w:p w14:paraId="37AA4BF5" w14:textId="77777777" w:rsidR="002668AE" w:rsidRDefault="002668AE" w:rsidP="002668AE">
      <w:pPr>
        <w:rPr>
          <w:spacing w:val="-4"/>
          <w:sz w:val="16"/>
          <w:lang w:val="es-ES_tradnl"/>
        </w:rPr>
      </w:pPr>
    </w:p>
    <w:p w14:paraId="390A3581" w14:textId="77777777" w:rsidR="002668AE" w:rsidRDefault="00325F14" w:rsidP="002668AE">
      <w:pPr>
        <w:rPr>
          <w:spacing w:val="-4"/>
          <w:lang w:val="es-ES_tradnl"/>
        </w:rPr>
      </w:pPr>
      <w:r w:rsidRPr="002668AE">
        <w:rPr>
          <w:spacing w:val="-4"/>
          <w:lang w:val="es-ES_tradnl"/>
        </w:rPr>
        <w:fldChar w:fldCharType="begin"/>
      </w:r>
      <w:r w:rsidRPr="002668AE">
        <w:rPr>
          <w:spacing w:val="-4"/>
          <w:lang w:val="es-ES_tradnl"/>
        </w:rPr>
        <w:instrText xml:space="preserve"> AUTONUM  </w:instrText>
      </w:r>
      <w:r w:rsidRPr="002668AE">
        <w:rPr>
          <w:spacing w:val="-4"/>
          <w:lang w:val="es-ES_tradnl"/>
        </w:rPr>
        <w:fldChar w:fldCharType="end"/>
      </w:r>
      <w:r w:rsidRPr="002668AE">
        <w:rPr>
          <w:spacing w:val="-4"/>
          <w:lang w:val="es-ES_tradnl"/>
        </w:rPr>
        <w:tab/>
      </w:r>
      <w:r w:rsidR="00BD2C1C" w:rsidRPr="002668AE">
        <w:rPr>
          <w:spacing w:val="-4"/>
          <w:lang w:val="es-ES_tradnl"/>
        </w:rPr>
        <w:t>En su nonagésima novena sesión, celebrada el 27 de octubre de 2022, el Comité Consultivo tomó nota de las novedades sobre las posibles orientaciones relativas a los agricultores a pequeña escala en un marco privado y con fines no comerciales, según se informa en el documento CC/99/11</w:t>
      </w:r>
      <w:r w:rsidR="00C43E1E" w:rsidRPr="002668AE">
        <w:rPr>
          <w:spacing w:val="-4"/>
          <w:lang w:val="es-ES_tradnl"/>
        </w:rPr>
        <w:t>,</w:t>
      </w:r>
      <w:r w:rsidR="00BD2C1C" w:rsidRPr="002668AE">
        <w:rPr>
          <w:spacing w:val="-4"/>
          <w:lang w:val="es-ES_tradnl"/>
        </w:rPr>
        <w:t xml:space="preserve"> y </w:t>
      </w:r>
      <w:r w:rsidR="00C43E1E" w:rsidRPr="002668AE">
        <w:rPr>
          <w:spacing w:val="-4"/>
          <w:lang w:val="es-ES_tradnl"/>
        </w:rPr>
        <w:t>de los</w:t>
      </w:r>
      <w:r w:rsidR="00BD2C1C" w:rsidRPr="002668AE">
        <w:rPr>
          <w:spacing w:val="-4"/>
          <w:lang w:val="es-ES_tradnl"/>
        </w:rPr>
        <w:t xml:space="preserve"> </w:t>
      </w:r>
      <w:r w:rsidR="00C43E1E" w:rsidRPr="002668AE">
        <w:rPr>
          <w:rFonts w:cs="Arial"/>
          <w:spacing w:val="-4"/>
          <w:lang w:val="es-ES_tradnl"/>
        </w:rPr>
        <w:t xml:space="preserve">próximos pasos </w:t>
      </w:r>
      <w:r w:rsidR="00BD2C1C" w:rsidRPr="002668AE">
        <w:rPr>
          <w:spacing w:val="-4"/>
          <w:lang w:val="es-ES_tradnl"/>
        </w:rPr>
        <w:t>propuest</w:t>
      </w:r>
      <w:r w:rsidR="00C43E1E" w:rsidRPr="002668AE">
        <w:rPr>
          <w:spacing w:val="-4"/>
          <w:lang w:val="es-ES_tradnl"/>
        </w:rPr>
        <w:t>os</w:t>
      </w:r>
      <w:r w:rsidR="00BD2C1C" w:rsidRPr="002668AE">
        <w:rPr>
          <w:rFonts w:cs="Arial"/>
          <w:spacing w:val="-4"/>
          <w:lang w:val="es-ES_tradnl"/>
        </w:rPr>
        <w:t xml:space="preserve"> por el presidente de</w:t>
      </w:r>
      <w:r w:rsidR="00C43E1E" w:rsidRPr="002668AE">
        <w:rPr>
          <w:rFonts w:cs="Arial"/>
          <w:spacing w:val="-4"/>
          <w:lang w:val="es-ES_tradnl"/>
        </w:rPr>
        <w:t>l</w:t>
      </w:r>
      <w:r w:rsidR="00BD2C1C" w:rsidRPr="002668AE">
        <w:rPr>
          <w:rFonts w:cs="Arial"/>
          <w:spacing w:val="-4"/>
          <w:lang w:val="es-ES_tradnl"/>
        </w:rPr>
        <w:t xml:space="preserve"> WG-SHF </w:t>
      </w:r>
      <w:r w:rsidR="00C43E1E" w:rsidRPr="002668AE">
        <w:rPr>
          <w:rFonts w:cs="Arial"/>
          <w:spacing w:val="-4"/>
          <w:lang w:val="es-ES_tradnl"/>
        </w:rPr>
        <w:t>para que los e</w:t>
      </w:r>
      <w:r w:rsidR="00EF6841" w:rsidRPr="002668AE">
        <w:rPr>
          <w:rFonts w:cs="Arial"/>
          <w:spacing w:val="-4"/>
          <w:lang w:val="es-ES_tradnl"/>
        </w:rPr>
        <w:t>studi</w:t>
      </w:r>
      <w:r w:rsidR="00C43E1E" w:rsidRPr="002668AE">
        <w:rPr>
          <w:rFonts w:cs="Arial"/>
          <w:spacing w:val="-4"/>
          <w:lang w:val="es-ES_tradnl"/>
        </w:rPr>
        <w:t>e</w:t>
      </w:r>
      <w:r w:rsidR="00BD2C1C" w:rsidRPr="002668AE">
        <w:rPr>
          <w:rFonts w:cs="Arial"/>
          <w:spacing w:val="-4"/>
          <w:lang w:val="es-ES_tradnl"/>
        </w:rPr>
        <w:t xml:space="preserve"> </w:t>
      </w:r>
      <w:r w:rsidR="00C43E1E" w:rsidRPr="002668AE">
        <w:rPr>
          <w:rFonts w:cs="Arial"/>
          <w:spacing w:val="-4"/>
          <w:lang w:val="es-ES_tradnl"/>
        </w:rPr>
        <w:t>el </w:t>
      </w:r>
      <w:r w:rsidR="00BD2C1C" w:rsidRPr="002668AE">
        <w:rPr>
          <w:rFonts w:cs="Arial"/>
          <w:spacing w:val="-4"/>
          <w:lang w:val="es-ES_tradnl"/>
        </w:rPr>
        <w:t>Comité Consultivo:</w:t>
      </w:r>
    </w:p>
    <w:p w14:paraId="57B378FE" w14:textId="77777777" w:rsidR="002668AE" w:rsidRDefault="002668AE" w:rsidP="002668AE">
      <w:pPr>
        <w:rPr>
          <w:rFonts w:cs="Arial"/>
          <w:sz w:val="16"/>
          <w:szCs w:val="16"/>
          <w:lang w:val="es-ES_tradnl"/>
        </w:rPr>
      </w:pPr>
    </w:p>
    <w:p w14:paraId="70966FA4" w14:textId="21715038" w:rsidR="002668AE" w:rsidRDefault="00325F14" w:rsidP="002668AE">
      <w:pPr>
        <w:ind w:firstLine="567"/>
        <w:rPr>
          <w:rFonts w:cs="Arial"/>
          <w:lang w:val="es-ES_tradnl"/>
        </w:rPr>
      </w:pPr>
      <w:r w:rsidRPr="002668AE">
        <w:rPr>
          <w:rFonts w:cs="Arial"/>
          <w:lang w:val="es-ES_tradnl"/>
        </w:rPr>
        <w:t>a)</w:t>
      </w:r>
      <w:r w:rsidRPr="002668AE">
        <w:rPr>
          <w:rFonts w:cs="Arial"/>
          <w:lang w:val="es-ES_tradnl"/>
        </w:rPr>
        <w:tab/>
      </w:r>
      <w:r w:rsidR="00EF6841" w:rsidRPr="002668AE">
        <w:rPr>
          <w:rFonts w:cs="Arial"/>
          <w:lang w:val="es-ES_tradnl"/>
        </w:rPr>
        <w:t>tomar nota de que el WG-SHF no ha cumplido los objetivos de su mandato, por lo que se propone que el WG-SHF continúe su labor de conformidad con su mandato y, en particular, que trate de ofrecer indicaciones para redactar la revisión del documento UPOV/EXN/EXC, que elaborará el Comité Administrativo y Jurídico, y la revisión de las preguntas frecuentes sobre las excepciones al derecho de obtentor, que elaborará la Oficina de la Unión (párrafo c) del apartado “</w:t>
      </w:r>
      <w:r w:rsidR="00EF6841" w:rsidRPr="002668AE">
        <w:rPr>
          <w:rFonts w:cs="Arial"/>
          <w:i/>
          <w:iCs/>
          <w:lang w:val="es-ES_tradnl"/>
        </w:rPr>
        <w:t>Modus operandi</w:t>
      </w:r>
      <w:r w:rsidR="006E5E80">
        <w:rPr>
          <w:rFonts w:cs="Arial"/>
          <w:lang w:val="es-ES_tradnl"/>
        </w:rPr>
        <w:t>” del mandato [</w:t>
      </w:r>
      <w:r w:rsidR="00EF6841" w:rsidRPr="002668AE">
        <w:rPr>
          <w:rFonts w:cs="Arial"/>
          <w:lang w:val="es-ES_tradnl"/>
        </w:rPr>
        <w:t xml:space="preserve">véase </w:t>
      </w:r>
      <w:r w:rsidR="006E5E80">
        <w:rPr>
          <w:rFonts w:cs="Arial"/>
          <w:lang w:val="es-ES_tradnl"/>
        </w:rPr>
        <w:t>el Anexo del presente documento]</w:t>
      </w:r>
      <w:r w:rsidR="00EF6841" w:rsidRPr="002668AE">
        <w:rPr>
          <w:rFonts w:cs="Arial"/>
          <w:lang w:val="es-ES_tradnl"/>
        </w:rPr>
        <w:t>);</w:t>
      </w:r>
    </w:p>
    <w:p w14:paraId="5645E342" w14:textId="77777777" w:rsidR="002668AE" w:rsidRDefault="002668AE" w:rsidP="002668AE">
      <w:pPr>
        <w:contextualSpacing/>
        <w:rPr>
          <w:rFonts w:cs="Arial"/>
          <w:sz w:val="16"/>
          <w:lang w:val="es-ES_tradnl"/>
        </w:rPr>
      </w:pPr>
    </w:p>
    <w:p w14:paraId="0662F70C" w14:textId="77777777" w:rsidR="002668AE" w:rsidRDefault="00325F14" w:rsidP="002668AE">
      <w:pPr>
        <w:ind w:firstLine="567"/>
        <w:rPr>
          <w:rFonts w:cs="Arial"/>
          <w:spacing w:val="-4"/>
          <w:lang w:val="es-ES_tradnl"/>
        </w:rPr>
      </w:pPr>
      <w:r w:rsidRPr="002668AE">
        <w:rPr>
          <w:rFonts w:cs="Arial"/>
          <w:spacing w:val="-4"/>
          <w:lang w:val="es-ES_tradnl"/>
        </w:rPr>
        <w:t>b)</w:t>
      </w:r>
      <w:r w:rsidRPr="002668AE">
        <w:rPr>
          <w:rFonts w:cs="Arial"/>
          <w:spacing w:val="-4"/>
          <w:lang w:val="es-ES_tradnl"/>
        </w:rPr>
        <w:tab/>
      </w:r>
      <w:r w:rsidR="00707A7C" w:rsidRPr="002668AE">
        <w:rPr>
          <w:rFonts w:cs="Arial"/>
          <w:spacing w:val="-4"/>
          <w:lang w:val="es-ES_tradnl"/>
        </w:rPr>
        <w:t>invitar a la Oficina de la Unión a preparar un documento para la tercera reunión del WG-SHF con el fin de ayudar al WG-SHF a ofrecer las indicaciones solicitadas, a partir del debate mantenido en las reuniones primera y segunda del WG-SHF; y</w:t>
      </w:r>
    </w:p>
    <w:p w14:paraId="1DAC43FB" w14:textId="77777777" w:rsidR="002668AE" w:rsidRDefault="002668AE" w:rsidP="002668AE">
      <w:pPr>
        <w:rPr>
          <w:rFonts w:cs="Arial"/>
          <w:sz w:val="16"/>
          <w:lang w:val="es-ES_tradnl"/>
        </w:rPr>
      </w:pPr>
    </w:p>
    <w:p w14:paraId="6AB7338E" w14:textId="77777777" w:rsidR="002668AE" w:rsidRDefault="00325F14" w:rsidP="002668AE">
      <w:pPr>
        <w:ind w:firstLine="567"/>
        <w:rPr>
          <w:rFonts w:cs="Arial"/>
          <w:spacing w:val="-2"/>
          <w:lang w:val="es-ES_tradnl"/>
        </w:rPr>
      </w:pPr>
      <w:r w:rsidRPr="002668AE">
        <w:rPr>
          <w:rFonts w:cs="Arial"/>
          <w:spacing w:val="-2"/>
          <w:lang w:val="es-ES_tradnl"/>
        </w:rPr>
        <w:t>c)</w:t>
      </w:r>
      <w:r w:rsidRPr="002668AE">
        <w:rPr>
          <w:rFonts w:cs="Arial"/>
          <w:spacing w:val="-2"/>
          <w:lang w:val="es-ES_tradnl"/>
        </w:rPr>
        <w:tab/>
      </w:r>
      <w:r w:rsidR="00785437" w:rsidRPr="002668AE">
        <w:rPr>
          <w:rFonts w:cs="Arial"/>
          <w:spacing w:val="-2"/>
          <w:lang w:val="es-ES_tradnl"/>
        </w:rPr>
        <w:t>invitar al WG-SHF, en su tercera reunión, a partir del debate mantenido en las reuniones primera y segunda, a ofrecer indicaciones al Comité Consultivo en su centésima primera sesión sobre las opciones para:</w:t>
      </w:r>
    </w:p>
    <w:p w14:paraId="1141CA98" w14:textId="77777777" w:rsidR="002668AE" w:rsidRDefault="002668AE" w:rsidP="002668AE">
      <w:pPr>
        <w:rPr>
          <w:rFonts w:cs="Arial"/>
          <w:spacing w:val="-2"/>
          <w:sz w:val="16"/>
          <w:szCs w:val="16"/>
          <w:lang w:val="es-ES_tradnl"/>
        </w:rPr>
      </w:pPr>
    </w:p>
    <w:p w14:paraId="1379E19A" w14:textId="1D2686EB" w:rsidR="002668AE" w:rsidRPr="00F54751" w:rsidRDefault="00785437" w:rsidP="00F54751">
      <w:pPr>
        <w:pStyle w:val="ListParagraph"/>
        <w:numPr>
          <w:ilvl w:val="0"/>
          <w:numId w:val="7"/>
        </w:numPr>
        <w:rPr>
          <w:rFonts w:ascii="Arial" w:hAnsi="Arial" w:cs="Arial"/>
          <w:sz w:val="20"/>
          <w:szCs w:val="20"/>
          <w:lang w:val="es-ES_tradnl"/>
        </w:rPr>
      </w:pPr>
      <w:r w:rsidRPr="00F54751">
        <w:rPr>
          <w:rFonts w:ascii="Arial" w:hAnsi="Arial" w:cs="Arial"/>
          <w:sz w:val="20"/>
          <w:szCs w:val="20"/>
          <w:lang w:val="es-ES_tradnl"/>
        </w:rPr>
        <w:t>redactar una revisión del documento UPOV/E</w:t>
      </w:r>
      <w:r w:rsidR="006E5E80" w:rsidRPr="00F54751">
        <w:rPr>
          <w:rFonts w:ascii="Arial" w:hAnsi="Arial" w:cs="Arial"/>
          <w:sz w:val="20"/>
          <w:szCs w:val="20"/>
          <w:lang w:val="es-ES_tradnl"/>
        </w:rPr>
        <w:t>XN/EXC, que elaborará el Comité </w:t>
      </w:r>
      <w:r w:rsidRPr="00F54751">
        <w:rPr>
          <w:rFonts w:ascii="Arial" w:hAnsi="Arial" w:cs="Arial"/>
          <w:sz w:val="20"/>
          <w:szCs w:val="20"/>
          <w:lang w:val="es-ES_tradnl"/>
        </w:rPr>
        <w:t>Administrativo y Jurídico; y</w:t>
      </w:r>
    </w:p>
    <w:p w14:paraId="45D08A31" w14:textId="77777777" w:rsidR="002668AE" w:rsidRPr="00F54751" w:rsidRDefault="002668AE" w:rsidP="002668AE">
      <w:pPr>
        <w:contextualSpacing/>
        <w:rPr>
          <w:rFonts w:cs="Arial"/>
          <w:lang w:val="es-ES_tradnl"/>
        </w:rPr>
      </w:pPr>
    </w:p>
    <w:p w14:paraId="2C121B41" w14:textId="77777777" w:rsidR="002668AE" w:rsidRDefault="00785437" w:rsidP="002668AE">
      <w:pPr>
        <w:numPr>
          <w:ilvl w:val="0"/>
          <w:numId w:val="7"/>
        </w:numPr>
        <w:contextualSpacing/>
        <w:rPr>
          <w:rFonts w:cs="Arial"/>
          <w:lang w:val="es-ES_tradnl"/>
        </w:rPr>
      </w:pPr>
      <w:r w:rsidRPr="00F54751">
        <w:rPr>
          <w:rFonts w:cs="Arial"/>
          <w:lang w:val="es-ES_tradnl"/>
        </w:rPr>
        <w:t>redactar una revisión de las preguntas frecuentes sobre las excepciones al derecho de obtentor</w:t>
      </w:r>
      <w:r w:rsidRPr="002668AE">
        <w:rPr>
          <w:rFonts w:cs="Arial"/>
          <w:lang w:val="es-ES_tradnl"/>
        </w:rPr>
        <w:t>.</w:t>
      </w:r>
    </w:p>
    <w:p w14:paraId="4DAC5179" w14:textId="77777777" w:rsidR="002668AE" w:rsidRDefault="002668AE" w:rsidP="002668AE">
      <w:pPr>
        <w:rPr>
          <w:sz w:val="16"/>
          <w:szCs w:val="16"/>
          <w:lang w:val="es-ES_tradnl"/>
        </w:rPr>
      </w:pPr>
    </w:p>
    <w:p w14:paraId="315CD091" w14:textId="77777777" w:rsidR="002668AE" w:rsidRDefault="00785437" w:rsidP="002668AE">
      <w:pPr>
        <w:rPr>
          <w:lang w:val="es-ES_tradnl"/>
        </w:rPr>
      </w:pPr>
      <w:r w:rsidRPr="002668AE">
        <w:rPr>
          <w:lang w:val="es-ES_tradnl"/>
        </w:rPr>
        <w:t>(párrafo 21 del documento CC/99/11)</w:t>
      </w:r>
    </w:p>
    <w:p w14:paraId="50BA2317" w14:textId="77777777" w:rsidR="002668AE" w:rsidRDefault="002668AE" w:rsidP="002668AE">
      <w:pPr>
        <w:rPr>
          <w:sz w:val="18"/>
          <w:lang w:val="es-ES_tradnl"/>
        </w:rPr>
      </w:pPr>
    </w:p>
    <w:p w14:paraId="4832D097" w14:textId="77777777" w:rsidR="002668AE" w:rsidRDefault="00325F14" w:rsidP="002668AE">
      <w:pPr>
        <w:rPr>
          <w:lang w:val="es-ES_tradnl"/>
        </w:rPr>
      </w:pPr>
      <w:r w:rsidRPr="002668AE">
        <w:rPr>
          <w:lang w:val="es-ES_tradnl"/>
        </w:rPr>
        <w:fldChar w:fldCharType="begin"/>
      </w:r>
      <w:r w:rsidRPr="002668AE">
        <w:rPr>
          <w:lang w:val="es-ES_tradnl"/>
        </w:rPr>
        <w:instrText xml:space="preserve"> AUTONUM  </w:instrText>
      </w:r>
      <w:r w:rsidRPr="002668AE">
        <w:rPr>
          <w:lang w:val="es-ES_tradnl"/>
        </w:rPr>
        <w:fldChar w:fldCharType="end"/>
      </w:r>
      <w:r w:rsidRPr="002668AE">
        <w:rPr>
          <w:lang w:val="es-ES_tradnl"/>
        </w:rPr>
        <w:tab/>
      </w:r>
      <w:r w:rsidR="00785437" w:rsidRPr="002668AE">
        <w:rPr>
          <w:lang w:val="es-ES_tradnl"/>
        </w:rPr>
        <w:t xml:space="preserve">El Comité Consultivo acordó lo siguiente en relación con los próximos pasos del </w:t>
      </w:r>
      <w:r w:rsidR="00785437" w:rsidRPr="002668AE">
        <w:rPr>
          <w:rFonts w:cs="Arial"/>
          <w:lang w:val="es-ES_tradnl"/>
        </w:rPr>
        <w:t>WG-SHF</w:t>
      </w:r>
      <w:r w:rsidR="00785437" w:rsidRPr="002668AE">
        <w:rPr>
          <w:lang w:val="es-ES_tradnl"/>
        </w:rPr>
        <w:t>:</w:t>
      </w:r>
    </w:p>
    <w:p w14:paraId="60791E53" w14:textId="77777777" w:rsidR="002668AE" w:rsidRDefault="002668AE" w:rsidP="002668AE">
      <w:pPr>
        <w:ind w:firstLine="567"/>
        <w:rPr>
          <w:rFonts w:cs="Arial"/>
          <w:spacing w:val="-4"/>
          <w:sz w:val="16"/>
          <w:szCs w:val="16"/>
          <w:lang w:val="es-ES_tradnl"/>
        </w:rPr>
      </w:pPr>
    </w:p>
    <w:p w14:paraId="42A1BBFC" w14:textId="77777777" w:rsidR="002668AE" w:rsidRDefault="00325F14" w:rsidP="002668AE">
      <w:pPr>
        <w:ind w:firstLine="567"/>
        <w:rPr>
          <w:rFonts w:cs="Arial"/>
          <w:spacing w:val="-4"/>
          <w:lang w:val="es-ES_tradnl"/>
        </w:rPr>
      </w:pPr>
      <w:r w:rsidRPr="002668AE">
        <w:rPr>
          <w:rFonts w:cs="Arial"/>
          <w:spacing w:val="-4"/>
          <w:lang w:val="es-ES_tradnl"/>
        </w:rPr>
        <w:t>a)</w:t>
      </w:r>
      <w:r w:rsidRPr="002668AE">
        <w:rPr>
          <w:rFonts w:cs="Arial"/>
          <w:spacing w:val="-4"/>
          <w:lang w:val="es-ES_tradnl"/>
        </w:rPr>
        <w:tab/>
      </w:r>
      <w:r w:rsidR="00785437" w:rsidRPr="002668AE">
        <w:rPr>
          <w:rFonts w:cs="Arial"/>
          <w:spacing w:val="-4"/>
          <w:lang w:val="es-ES_tradnl"/>
        </w:rPr>
        <w:t>invitar a la Oficina de la Unión a preparar un documento para la tercera reunión del WG-SHF con el fin de ayudar al WG-SHF a ofrecer las indicaciones solicitadas, a partir del debate mantenido en las reuniones primera y segunda del WG-SHF; y</w:t>
      </w:r>
    </w:p>
    <w:p w14:paraId="51B59633" w14:textId="77777777" w:rsidR="002668AE" w:rsidRDefault="002668AE" w:rsidP="002668AE">
      <w:pPr>
        <w:rPr>
          <w:rFonts w:cs="Arial"/>
          <w:sz w:val="16"/>
          <w:szCs w:val="16"/>
          <w:lang w:val="es-ES_tradnl"/>
        </w:rPr>
      </w:pPr>
    </w:p>
    <w:p w14:paraId="20EA0D49" w14:textId="77777777" w:rsidR="002668AE" w:rsidRDefault="00325F14" w:rsidP="006E5E80">
      <w:pPr>
        <w:keepNext/>
        <w:ind w:firstLine="567"/>
        <w:rPr>
          <w:rFonts w:cs="Arial"/>
          <w:spacing w:val="-2"/>
          <w:lang w:val="es-ES_tradnl"/>
        </w:rPr>
      </w:pPr>
      <w:r w:rsidRPr="002668AE">
        <w:rPr>
          <w:rFonts w:cs="Arial"/>
          <w:spacing w:val="-2"/>
          <w:lang w:val="es-ES_tradnl"/>
        </w:rPr>
        <w:lastRenderedPageBreak/>
        <w:t>b)</w:t>
      </w:r>
      <w:r w:rsidRPr="002668AE">
        <w:rPr>
          <w:rFonts w:cs="Arial"/>
          <w:spacing w:val="-2"/>
          <w:lang w:val="es-ES_tradnl"/>
        </w:rPr>
        <w:tab/>
      </w:r>
      <w:r w:rsidR="00785437" w:rsidRPr="002668AE">
        <w:rPr>
          <w:rFonts w:cs="Arial"/>
          <w:spacing w:val="-2"/>
          <w:lang w:val="es-ES_tradnl"/>
        </w:rPr>
        <w:t>invitar al WG-SHF, en su tercera reunión, a partir del debate mantenido en las reuniones primera y segunda, a ofrecer indicaciones al Comité Consultivo en su centésima primera sesión sobre las opciones para:</w:t>
      </w:r>
    </w:p>
    <w:p w14:paraId="4E0C5C18" w14:textId="77777777" w:rsidR="002668AE" w:rsidRDefault="002668AE" w:rsidP="006E5E80">
      <w:pPr>
        <w:keepNext/>
        <w:ind w:firstLine="567"/>
        <w:rPr>
          <w:rFonts w:cs="Arial"/>
          <w:spacing w:val="-2"/>
          <w:sz w:val="16"/>
          <w:szCs w:val="16"/>
          <w:lang w:val="es-ES_tradnl"/>
        </w:rPr>
      </w:pPr>
    </w:p>
    <w:p w14:paraId="7025DD66" w14:textId="30842C83" w:rsidR="002668AE" w:rsidRDefault="00325F14" w:rsidP="006E5E80">
      <w:pPr>
        <w:keepLines/>
        <w:ind w:left="1710" w:hanging="540"/>
        <w:rPr>
          <w:rFonts w:cs="Arial"/>
          <w:lang w:val="es-ES_tradnl"/>
        </w:rPr>
      </w:pPr>
      <w:r w:rsidRPr="002668AE">
        <w:rPr>
          <w:rFonts w:cs="Arial"/>
          <w:lang w:val="es-ES_tradnl"/>
        </w:rPr>
        <w:t>i)</w:t>
      </w:r>
      <w:r w:rsidRPr="002668AE">
        <w:rPr>
          <w:rFonts w:cs="Arial"/>
          <w:lang w:val="es-ES_tradnl"/>
        </w:rPr>
        <w:tab/>
      </w:r>
      <w:r w:rsidR="00785437" w:rsidRPr="002668AE">
        <w:rPr>
          <w:rFonts w:cs="Arial"/>
          <w:lang w:val="es-ES_tradnl"/>
        </w:rPr>
        <w:t xml:space="preserve">redactar una revisión del documento UPOV/EXN/EXC, que elaborará el Comité </w:t>
      </w:r>
      <w:r w:rsidR="006E5E80">
        <w:rPr>
          <w:rFonts w:cs="Arial"/>
          <w:lang w:val="es-ES_tradnl"/>
        </w:rPr>
        <w:t> </w:t>
      </w:r>
      <w:r w:rsidR="00785437" w:rsidRPr="002668AE">
        <w:rPr>
          <w:rFonts w:cs="Arial"/>
          <w:lang w:val="es-ES_tradnl"/>
        </w:rPr>
        <w:t>Administrativo y Jurídico; y</w:t>
      </w:r>
    </w:p>
    <w:p w14:paraId="77AB8225" w14:textId="77777777" w:rsidR="002668AE" w:rsidRDefault="002668AE" w:rsidP="002668AE">
      <w:pPr>
        <w:pStyle w:val="ListParagraph"/>
        <w:ind w:left="1440"/>
        <w:rPr>
          <w:rFonts w:ascii="Arial" w:eastAsia="Times New Roman" w:hAnsi="Arial" w:cs="Arial"/>
          <w:sz w:val="16"/>
          <w:szCs w:val="16"/>
          <w:lang w:val="es-ES_tradnl" w:eastAsia="en-US"/>
        </w:rPr>
      </w:pPr>
    </w:p>
    <w:p w14:paraId="42A02E47" w14:textId="77777777" w:rsidR="002668AE" w:rsidRDefault="00785437" w:rsidP="002668AE">
      <w:pPr>
        <w:pStyle w:val="ListParagraph"/>
        <w:numPr>
          <w:ilvl w:val="0"/>
          <w:numId w:val="7"/>
        </w:numPr>
        <w:ind w:left="1710" w:hanging="540"/>
        <w:contextualSpacing/>
        <w:jc w:val="both"/>
        <w:rPr>
          <w:rFonts w:ascii="Arial" w:eastAsia="Times New Roman" w:hAnsi="Arial" w:cs="Arial"/>
          <w:sz w:val="20"/>
          <w:szCs w:val="20"/>
          <w:lang w:val="es-ES_tradnl" w:eastAsia="en-US"/>
        </w:rPr>
      </w:pPr>
      <w:r w:rsidRPr="002668AE">
        <w:rPr>
          <w:rFonts w:ascii="Arial" w:eastAsia="Times New Roman" w:hAnsi="Arial" w:cs="Arial"/>
          <w:sz w:val="20"/>
          <w:szCs w:val="20"/>
          <w:lang w:val="es-ES_tradnl" w:eastAsia="en-US"/>
        </w:rPr>
        <w:t>redactar una revisión de las preguntas frecuentes sobre las excepciones al derecho de obtentor.</w:t>
      </w:r>
    </w:p>
    <w:p w14:paraId="161C2B2B" w14:textId="77777777" w:rsidR="002668AE" w:rsidRPr="002668AE" w:rsidRDefault="002668AE" w:rsidP="002668AE">
      <w:pPr>
        <w:rPr>
          <w:sz w:val="16"/>
          <w:szCs w:val="16"/>
          <w:lang w:val="es-ES_tradnl"/>
        </w:rPr>
      </w:pPr>
    </w:p>
    <w:p w14:paraId="06E0F36E" w14:textId="77777777" w:rsidR="002668AE" w:rsidRDefault="00785437" w:rsidP="002668AE">
      <w:pPr>
        <w:spacing w:after="480"/>
        <w:rPr>
          <w:lang w:val="es-ES_tradnl"/>
        </w:rPr>
      </w:pPr>
      <w:r w:rsidRPr="002668AE">
        <w:rPr>
          <w:lang w:val="es-ES_tradnl"/>
        </w:rPr>
        <w:t>(véanse los párrafos 85 y 87 del documento CC/99/13 “Informe”)</w:t>
      </w:r>
    </w:p>
    <w:p w14:paraId="0E619343" w14:textId="4C07CD78" w:rsidR="002668AE" w:rsidRDefault="00785437" w:rsidP="002668AE">
      <w:pPr>
        <w:rPr>
          <w:snapToGrid w:val="0"/>
          <w:color w:val="000000" w:themeColor="text1"/>
          <w:lang w:val="es-ES_tradnl"/>
        </w:rPr>
      </w:pPr>
      <w:r w:rsidRPr="002668AE">
        <w:rPr>
          <w:snapToGrid w:val="0"/>
          <w:color w:val="000000" w:themeColor="text1"/>
          <w:lang w:val="es-ES_tradnl"/>
        </w:rPr>
        <w:t>III.</w:t>
      </w:r>
      <w:r w:rsidR="00325F14" w:rsidRPr="002668AE">
        <w:rPr>
          <w:snapToGrid w:val="0"/>
          <w:color w:val="000000" w:themeColor="text1"/>
          <w:lang w:val="es-ES_tradnl"/>
        </w:rPr>
        <w:t xml:space="preserve"> </w:t>
      </w:r>
      <w:r w:rsidR="00325F14" w:rsidRPr="002668AE">
        <w:rPr>
          <w:snapToGrid w:val="0"/>
          <w:color w:val="000000" w:themeColor="text1"/>
          <w:lang w:val="es-ES_tradnl"/>
        </w:rPr>
        <w:tab/>
      </w:r>
      <w:r w:rsidRPr="002668AE">
        <w:rPr>
          <w:snapToGrid w:val="0"/>
          <w:color w:val="000000" w:themeColor="text1"/>
          <w:lang w:val="es-ES_tradnl"/>
        </w:rPr>
        <w:t xml:space="preserve">OPCIONES PARA ABORDAR </w:t>
      </w:r>
      <w:r w:rsidR="006E5E80" w:rsidRPr="006E5E80">
        <w:rPr>
          <w:snapToGrid w:val="0"/>
          <w:color w:val="000000" w:themeColor="text1"/>
          <w:lang w:val="es-ES_tradnl"/>
        </w:rPr>
        <w:t>LAS CUESTIONES</w:t>
      </w:r>
      <w:r w:rsidR="006E5E80" w:rsidRPr="002668AE">
        <w:rPr>
          <w:snapToGrid w:val="0"/>
          <w:color w:val="000000" w:themeColor="text1"/>
          <w:lang w:val="es-ES_tradnl"/>
        </w:rPr>
        <w:t xml:space="preserve"> </w:t>
      </w:r>
      <w:r w:rsidR="006E5E80">
        <w:rPr>
          <w:snapToGrid w:val="0"/>
          <w:color w:val="000000" w:themeColor="text1"/>
          <w:lang w:val="es-ES_tradnl"/>
        </w:rPr>
        <w:t>EXAMINADA</w:t>
      </w:r>
      <w:r w:rsidR="00CC64B1" w:rsidRPr="002668AE">
        <w:rPr>
          <w:snapToGrid w:val="0"/>
          <w:color w:val="000000" w:themeColor="text1"/>
          <w:lang w:val="es-ES_tradnl"/>
        </w:rPr>
        <w:t>S</w:t>
      </w:r>
      <w:r w:rsidR="006E5E80">
        <w:rPr>
          <w:snapToGrid w:val="0"/>
          <w:color w:val="000000" w:themeColor="text1"/>
          <w:lang w:val="es-ES_tradnl"/>
        </w:rPr>
        <w:t xml:space="preserve"> EN LA </w:t>
      </w:r>
      <w:r w:rsidRPr="002668AE">
        <w:rPr>
          <w:snapToGrid w:val="0"/>
          <w:color w:val="000000" w:themeColor="text1"/>
          <w:lang w:val="es-ES_tradnl"/>
        </w:rPr>
        <w:t xml:space="preserve">PRIMERA Y SEGUNDA </w:t>
      </w:r>
      <w:r w:rsidR="006E5E80" w:rsidRPr="002668AE">
        <w:rPr>
          <w:snapToGrid w:val="0"/>
          <w:color w:val="000000" w:themeColor="text1"/>
          <w:lang w:val="es-ES_tradnl"/>
        </w:rPr>
        <w:t xml:space="preserve">REUNIONES </w:t>
      </w:r>
      <w:r w:rsidRPr="002668AE">
        <w:rPr>
          <w:snapToGrid w:val="0"/>
          <w:color w:val="000000" w:themeColor="text1"/>
          <w:lang w:val="es-ES_tradnl"/>
        </w:rPr>
        <w:t>DEL WG-SHF</w:t>
      </w:r>
    </w:p>
    <w:p w14:paraId="505B31B4" w14:textId="77777777" w:rsidR="002668AE" w:rsidRDefault="002668AE" w:rsidP="002668AE">
      <w:pPr>
        <w:rPr>
          <w:snapToGrid w:val="0"/>
          <w:color w:val="000000" w:themeColor="text1"/>
          <w:lang w:val="es-ES_tradnl"/>
        </w:rPr>
      </w:pPr>
    </w:p>
    <w:p w14:paraId="5BD0E72A" w14:textId="2927B1E5" w:rsidR="002668AE" w:rsidRDefault="00325F14" w:rsidP="002668AE">
      <w:pPr>
        <w:rPr>
          <w:snapToGrid w:val="0"/>
          <w:color w:val="000000" w:themeColor="text1"/>
          <w:lang w:val="es-ES_tradnl"/>
        </w:rPr>
      </w:pPr>
      <w:r w:rsidRPr="002668AE">
        <w:rPr>
          <w:snapToGrid w:val="0"/>
          <w:color w:val="000000" w:themeColor="text1"/>
          <w:lang w:val="es-ES_tradnl"/>
        </w:rPr>
        <w:fldChar w:fldCharType="begin"/>
      </w:r>
      <w:r w:rsidRPr="002668AE">
        <w:rPr>
          <w:snapToGrid w:val="0"/>
          <w:color w:val="000000" w:themeColor="text1"/>
          <w:lang w:val="es-ES_tradnl"/>
        </w:rPr>
        <w:instrText xml:space="preserve"> AUTONUM  </w:instrText>
      </w:r>
      <w:r w:rsidRPr="002668AE">
        <w:rPr>
          <w:snapToGrid w:val="0"/>
          <w:color w:val="000000" w:themeColor="text1"/>
          <w:lang w:val="es-ES_tradnl"/>
        </w:rPr>
        <w:fldChar w:fldCharType="end"/>
      </w:r>
      <w:r w:rsidRPr="002668AE">
        <w:rPr>
          <w:snapToGrid w:val="0"/>
          <w:color w:val="000000" w:themeColor="text1"/>
          <w:lang w:val="es-ES_tradnl"/>
        </w:rPr>
        <w:tab/>
      </w:r>
      <w:r w:rsidR="00C85DCC" w:rsidRPr="002668AE">
        <w:rPr>
          <w:snapToGrid w:val="0"/>
          <w:color w:val="000000" w:themeColor="text1"/>
          <w:lang w:val="es-ES_tradnl"/>
        </w:rPr>
        <w:t xml:space="preserve">En este apartado se presentan opciones </w:t>
      </w:r>
      <w:r w:rsidR="0048221D" w:rsidRPr="002668AE">
        <w:rPr>
          <w:snapToGrid w:val="0"/>
          <w:color w:val="000000" w:themeColor="text1"/>
          <w:lang w:val="es-ES_tradnl"/>
        </w:rPr>
        <w:t>respecto de</w:t>
      </w:r>
      <w:r w:rsidR="00C85DCC" w:rsidRPr="002668AE">
        <w:rPr>
          <w:snapToGrid w:val="0"/>
          <w:color w:val="000000" w:themeColor="text1"/>
          <w:lang w:val="es-ES_tradnl"/>
        </w:rPr>
        <w:t xml:space="preserve"> </w:t>
      </w:r>
      <w:r w:rsidR="006E5E80" w:rsidRPr="002668AE">
        <w:rPr>
          <w:snapToGrid w:val="0"/>
          <w:color w:val="000000" w:themeColor="text1"/>
          <w:lang w:val="es-ES_tradnl"/>
        </w:rPr>
        <w:t>las cuestiones</w:t>
      </w:r>
      <w:r w:rsidR="006E5E80">
        <w:rPr>
          <w:snapToGrid w:val="0"/>
          <w:color w:val="000000" w:themeColor="text1"/>
          <w:lang w:val="es-ES_tradnl"/>
        </w:rPr>
        <w:t xml:space="preserve"> examinada</w:t>
      </w:r>
      <w:r w:rsidR="00CC64B1" w:rsidRPr="002668AE">
        <w:rPr>
          <w:snapToGrid w:val="0"/>
          <w:color w:val="000000" w:themeColor="text1"/>
          <w:lang w:val="es-ES_tradnl"/>
        </w:rPr>
        <w:t>s</w:t>
      </w:r>
      <w:r w:rsidR="006E5E80">
        <w:rPr>
          <w:snapToGrid w:val="0"/>
          <w:color w:val="000000" w:themeColor="text1"/>
          <w:lang w:val="es-ES_tradnl"/>
        </w:rPr>
        <w:t xml:space="preserve"> por el WG-SHF en su</w:t>
      </w:r>
      <w:r w:rsidR="00C85DCC" w:rsidRPr="002668AE">
        <w:rPr>
          <w:snapToGrid w:val="0"/>
          <w:color w:val="000000" w:themeColor="text1"/>
          <w:lang w:val="es-ES_tradnl"/>
        </w:rPr>
        <w:t xml:space="preserve"> primera y segunda</w:t>
      </w:r>
      <w:r w:rsidR="006E5E80" w:rsidRPr="006E5E80">
        <w:rPr>
          <w:snapToGrid w:val="0"/>
          <w:color w:val="000000" w:themeColor="text1"/>
          <w:lang w:val="es-ES_tradnl"/>
        </w:rPr>
        <w:t xml:space="preserve"> </w:t>
      </w:r>
      <w:r w:rsidR="006E5E80" w:rsidRPr="002668AE">
        <w:rPr>
          <w:snapToGrid w:val="0"/>
          <w:color w:val="000000" w:themeColor="text1"/>
          <w:lang w:val="es-ES_tradnl"/>
        </w:rPr>
        <w:t>reuniones</w:t>
      </w:r>
      <w:r w:rsidR="00C85DCC" w:rsidRPr="002668AE">
        <w:rPr>
          <w:snapToGrid w:val="0"/>
          <w:color w:val="000000" w:themeColor="text1"/>
          <w:lang w:val="es-ES_tradnl"/>
        </w:rPr>
        <w:t xml:space="preserve">, por orden cronológico, que podrían abordarse en una revisión del documento UPOV/EXN/EXC o en una revisión </w:t>
      </w:r>
      <w:r w:rsidR="00C85DCC" w:rsidRPr="002668AE">
        <w:rPr>
          <w:rFonts w:cs="Arial"/>
          <w:lang w:val="es-ES_tradnl"/>
        </w:rPr>
        <w:t>de las preguntas frecuentes sobre las excepciones al derecho de obtentor</w:t>
      </w:r>
      <w:r w:rsidR="00C85DCC" w:rsidRPr="002668AE">
        <w:rPr>
          <w:snapToGrid w:val="0"/>
          <w:color w:val="000000" w:themeColor="text1"/>
          <w:lang w:val="es-ES_tradnl"/>
        </w:rPr>
        <w:t>.</w:t>
      </w:r>
    </w:p>
    <w:p w14:paraId="78411E8E" w14:textId="77777777" w:rsidR="002668AE" w:rsidRDefault="002668AE" w:rsidP="002668AE">
      <w:pPr>
        <w:rPr>
          <w:snapToGrid w:val="0"/>
          <w:color w:val="000000" w:themeColor="text1"/>
          <w:lang w:val="es-ES_tradnl"/>
        </w:rPr>
      </w:pPr>
    </w:p>
    <w:p w14:paraId="6C897A79" w14:textId="6712C405" w:rsidR="002668AE" w:rsidRDefault="00325F14" w:rsidP="002668AE">
      <w:pPr>
        <w:rPr>
          <w:snapToGrid w:val="0"/>
          <w:color w:val="000000" w:themeColor="text1"/>
          <w:lang w:val="es-ES_tradnl"/>
        </w:rPr>
      </w:pPr>
      <w:r w:rsidRPr="002668AE">
        <w:rPr>
          <w:snapToGrid w:val="0"/>
          <w:color w:val="000000" w:themeColor="text1"/>
          <w:lang w:val="es-ES_tradnl"/>
        </w:rPr>
        <w:fldChar w:fldCharType="begin"/>
      </w:r>
      <w:r w:rsidRPr="002668AE">
        <w:rPr>
          <w:snapToGrid w:val="0"/>
          <w:color w:val="000000" w:themeColor="text1"/>
          <w:lang w:val="es-ES_tradnl"/>
        </w:rPr>
        <w:instrText xml:space="preserve"> AUTONUM  </w:instrText>
      </w:r>
      <w:r w:rsidRPr="002668AE">
        <w:rPr>
          <w:snapToGrid w:val="0"/>
          <w:color w:val="000000" w:themeColor="text1"/>
          <w:lang w:val="es-ES_tradnl"/>
        </w:rPr>
        <w:fldChar w:fldCharType="end"/>
      </w:r>
      <w:r w:rsidRPr="002668AE">
        <w:rPr>
          <w:snapToGrid w:val="0"/>
          <w:color w:val="000000" w:themeColor="text1"/>
          <w:lang w:val="es-ES_tradnl"/>
        </w:rPr>
        <w:tab/>
      </w:r>
      <w:r w:rsidR="00E26919" w:rsidRPr="002668AE">
        <w:rPr>
          <w:snapToGrid w:val="0"/>
          <w:color w:val="000000" w:themeColor="text1"/>
          <w:lang w:val="es-ES_tradnl"/>
        </w:rPr>
        <w:t>A título de referencia</w:t>
      </w:r>
      <w:r w:rsidR="00C85DCC" w:rsidRPr="002668AE">
        <w:rPr>
          <w:snapToGrid w:val="0"/>
          <w:color w:val="000000" w:themeColor="text1"/>
          <w:lang w:val="es-ES_tradnl"/>
        </w:rPr>
        <w:t xml:space="preserve">, </w:t>
      </w:r>
      <w:r w:rsidR="0048221D" w:rsidRPr="002668AE">
        <w:rPr>
          <w:snapToGrid w:val="0"/>
          <w:color w:val="000000" w:themeColor="text1"/>
          <w:lang w:val="es-ES_tradnl"/>
        </w:rPr>
        <w:t xml:space="preserve">en la página web de la reunión </w:t>
      </w:r>
      <w:hyperlink r:id="rId13" w:history="1">
        <w:r w:rsidR="0048221D" w:rsidRPr="002668AE">
          <w:rPr>
            <w:rStyle w:val="Hyperlink"/>
            <w:snapToGrid w:val="0"/>
            <w:lang w:val="es-ES_tradnl"/>
          </w:rPr>
          <w:t>WG-SHF/3</w:t>
        </w:r>
      </w:hyperlink>
      <w:r w:rsidR="0048221D" w:rsidRPr="002668AE">
        <w:rPr>
          <w:snapToGrid w:val="0"/>
          <w:color w:val="000000" w:themeColor="text1"/>
          <w:lang w:val="es-ES_tradnl"/>
        </w:rPr>
        <w:t xml:space="preserve"> se han publicado </w:t>
      </w:r>
      <w:r w:rsidR="00C85DCC" w:rsidRPr="002668AE">
        <w:rPr>
          <w:snapToGrid w:val="0"/>
          <w:color w:val="000000" w:themeColor="text1"/>
          <w:lang w:val="es-ES_tradnl"/>
        </w:rPr>
        <w:t>version</w:t>
      </w:r>
      <w:r w:rsidR="0048221D" w:rsidRPr="002668AE">
        <w:rPr>
          <w:snapToGrid w:val="0"/>
          <w:color w:val="000000" w:themeColor="text1"/>
          <w:lang w:val="es-ES_tradnl"/>
        </w:rPr>
        <w:t>e</w:t>
      </w:r>
      <w:r w:rsidR="00C85DCC" w:rsidRPr="002668AE">
        <w:rPr>
          <w:snapToGrid w:val="0"/>
          <w:color w:val="000000" w:themeColor="text1"/>
          <w:lang w:val="es-ES_tradnl"/>
        </w:rPr>
        <w:t xml:space="preserve">s de </w:t>
      </w:r>
      <w:r w:rsidR="0048221D" w:rsidRPr="002668AE">
        <w:rPr>
          <w:snapToGrid w:val="0"/>
          <w:color w:val="000000" w:themeColor="text1"/>
          <w:lang w:val="es-ES_tradnl"/>
        </w:rPr>
        <w:t>los</w:t>
      </w:r>
      <w:r w:rsidR="00C85DCC" w:rsidRPr="002668AE">
        <w:rPr>
          <w:snapToGrid w:val="0"/>
          <w:color w:val="000000" w:themeColor="text1"/>
          <w:lang w:val="es-ES_tradnl"/>
        </w:rPr>
        <w:t xml:space="preserve"> </w:t>
      </w:r>
      <w:r w:rsidR="0048221D" w:rsidRPr="002668AE">
        <w:rPr>
          <w:snapToGrid w:val="0"/>
          <w:color w:val="000000" w:themeColor="text1"/>
          <w:lang w:val="es-ES_tradnl"/>
        </w:rPr>
        <w:t>informe</w:t>
      </w:r>
      <w:r w:rsidR="00C85DCC" w:rsidRPr="002668AE">
        <w:rPr>
          <w:snapToGrid w:val="0"/>
          <w:color w:val="000000" w:themeColor="text1"/>
          <w:lang w:val="es-ES_tradnl"/>
        </w:rPr>
        <w:t xml:space="preserve">s </w:t>
      </w:r>
      <w:r w:rsidR="006E5E80">
        <w:rPr>
          <w:snapToGrid w:val="0"/>
          <w:color w:val="000000" w:themeColor="text1"/>
          <w:lang w:val="es-ES_tradnl"/>
        </w:rPr>
        <w:t xml:space="preserve">de la </w:t>
      </w:r>
      <w:r w:rsidR="00C85DCC" w:rsidRPr="002668AE">
        <w:rPr>
          <w:snapToGrid w:val="0"/>
          <w:color w:val="000000" w:themeColor="text1"/>
          <w:lang w:val="es-ES_tradnl"/>
        </w:rPr>
        <w:t xml:space="preserve">primera </w:t>
      </w:r>
      <w:r w:rsidR="0048221D" w:rsidRPr="002668AE">
        <w:rPr>
          <w:snapToGrid w:val="0"/>
          <w:color w:val="000000" w:themeColor="text1"/>
          <w:lang w:val="es-ES_tradnl"/>
        </w:rPr>
        <w:t>y</w:t>
      </w:r>
      <w:r w:rsidR="00C85DCC" w:rsidRPr="002668AE">
        <w:rPr>
          <w:snapToGrid w:val="0"/>
          <w:color w:val="000000" w:themeColor="text1"/>
          <w:lang w:val="es-ES_tradnl"/>
        </w:rPr>
        <w:t xml:space="preserve"> segunda </w:t>
      </w:r>
      <w:r w:rsidR="006E5E80" w:rsidRPr="002668AE">
        <w:rPr>
          <w:snapToGrid w:val="0"/>
          <w:color w:val="000000" w:themeColor="text1"/>
          <w:lang w:val="es-ES_tradnl"/>
        </w:rPr>
        <w:t xml:space="preserve">reuniones </w:t>
      </w:r>
      <w:r w:rsidR="0048221D" w:rsidRPr="002668AE">
        <w:rPr>
          <w:snapToGrid w:val="0"/>
          <w:color w:val="000000" w:themeColor="text1"/>
          <w:lang w:val="es-ES_tradnl"/>
        </w:rPr>
        <w:t>del</w:t>
      </w:r>
      <w:r w:rsidR="00C85DCC" w:rsidRPr="002668AE">
        <w:rPr>
          <w:snapToGrid w:val="0"/>
          <w:color w:val="000000" w:themeColor="text1"/>
          <w:lang w:val="es-ES_tradnl"/>
        </w:rPr>
        <w:t xml:space="preserve"> WG-SHF </w:t>
      </w:r>
      <w:r w:rsidR="0048221D" w:rsidRPr="002668AE">
        <w:rPr>
          <w:snapToGrid w:val="0"/>
          <w:color w:val="000000" w:themeColor="text1"/>
          <w:lang w:val="es-ES_tradnl"/>
        </w:rPr>
        <w:t>e</w:t>
      </w:r>
      <w:r w:rsidR="00C85DCC" w:rsidRPr="002668AE">
        <w:rPr>
          <w:snapToGrid w:val="0"/>
          <w:color w:val="000000" w:themeColor="text1"/>
          <w:lang w:val="es-ES_tradnl"/>
        </w:rPr>
        <w:t xml:space="preserve">n </w:t>
      </w:r>
      <w:r w:rsidR="0048221D" w:rsidRPr="002668AE">
        <w:rPr>
          <w:snapToGrid w:val="0"/>
          <w:color w:val="000000" w:themeColor="text1"/>
          <w:lang w:val="es-ES_tradnl"/>
        </w:rPr>
        <w:t xml:space="preserve">las que se ha </w:t>
      </w:r>
      <w:r w:rsidR="00C85DCC" w:rsidRPr="002668AE">
        <w:rPr>
          <w:snapToGrid w:val="0"/>
          <w:color w:val="000000" w:themeColor="text1"/>
          <w:lang w:val="es-ES_tradnl"/>
        </w:rPr>
        <w:t xml:space="preserve">resaltado </w:t>
      </w:r>
      <w:r w:rsidR="0048221D" w:rsidRPr="002668AE">
        <w:rPr>
          <w:snapToGrid w:val="0"/>
          <w:color w:val="000000" w:themeColor="text1"/>
          <w:lang w:val="es-ES_tradnl"/>
        </w:rPr>
        <w:t>la</w:t>
      </w:r>
      <w:r w:rsidR="00C85DCC" w:rsidRPr="002668AE">
        <w:rPr>
          <w:snapToGrid w:val="0"/>
          <w:color w:val="000000" w:themeColor="text1"/>
          <w:lang w:val="es-ES_tradnl"/>
        </w:rPr>
        <w:t xml:space="preserve"> fuente </w:t>
      </w:r>
      <w:r w:rsidR="0048221D" w:rsidRPr="002668AE">
        <w:rPr>
          <w:snapToGrid w:val="0"/>
          <w:color w:val="000000" w:themeColor="text1"/>
          <w:lang w:val="es-ES_tradnl"/>
        </w:rPr>
        <w:t xml:space="preserve">de </w:t>
      </w:r>
      <w:r w:rsidR="00CC64B1" w:rsidRPr="002668AE">
        <w:rPr>
          <w:snapToGrid w:val="0"/>
          <w:color w:val="000000" w:themeColor="text1"/>
          <w:lang w:val="es-ES_tradnl"/>
        </w:rPr>
        <w:t>las cuestiones</w:t>
      </w:r>
      <w:r w:rsidR="0048221D" w:rsidRPr="002668AE">
        <w:rPr>
          <w:snapToGrid w:val="0"/>
          <w:color w:val="000000" w:themeColor="text1"/>
          <w:lang w:val="es-ES_tradnl"/>
        </w:rPr>
        <w:t xml:space="preserve"> que se exponen a continuación</w:t>
      </w:r>
      <w:r w:rsidR="00C85DCC" w:rsidRPr="002668AE">
        <w:rPr>
          <w:snapToGrid w:val="0"/>
          <w:color w:val="000000" w:themeColor="text1"/>
          <w:lang w:val="es-ES_tradnl"/>
        </w:rPr>
        <w:t>.</w:t>
      </w:r>
    </w:p>
    <w:p w14:paraId="712C6B2A" w14:textId="77777777" w:rsidR="002668AE" w:rsidRDefault="002668AE" w:rsidP="002668AE">
      <w:pPr>
        <w:rPr>
          <w:snapToGrid w:val="0"/>
          <w:color w:val="000000" w:themeColor="text1"/>
          <w:lang w:val="es-ES_tradnl"/>
        </w:rPr>
      </w:pPr>
    </w:p>
    <w:p w14:paraId="50182A29" w14:textId="77777777" w:rsidR="002668AE" w:rsidRDefault="002668AE" w:rsidP="002668AE">
      <w:pPr>
        <w:rPr>
          <w:snapToGrid w:val="0"/>
          <w:color w:val="000000" w:themeColor="text1"/>
          <w:lang w:val="es-ES_tradnl"/>
        </w:rPr>
      </w:pPr>
    </w:p>
    <w:p w14:paraId="4D8CD94A" w14:textId="0F100366" w:rsidR="00325F14" w:rsidRPr="002668AE" w:rsidRDefault="0048221D" w:rsidP="002668AE">
      <w:pPr>
        <w:rPr>
          <w:snapToGrid w:val="0"/>
          <w:color w:val="000000" w:themeColor="text1"/>
          <w:u w:val="single"/>
          <w:lang w:val="es-ES_tradnl"/>
        </w:rPr>
      </w:pPr>
      <w:r w:rsidRPr="002668AE">
        <w:rPr>
          <w:snapToGrid w:val="0"/>
          <w:color w:val="000000" w:themeColor="text1"/>
          <w:u w:val="single"/>
          <w:lang w:val="es-ES_tradnl"/>
        </w:rPr>
        <w:t xml:space="preserve">Opciones respecto de </w:t>
      </w:r>
      <w:r w:rsidR="00CC64B1" w:rsidRPr="002668AE">
        <w:rPr>
          <w:snapToGrid w:val="0"/>
          <w:color w:val="000000" w:themeColor="text1"/>
          <w:u w:val="single"/>
          <w:lang w:val="es-ES_tradnl"/>
        </w:rPr>
        <w:t>las cuestiones</w:t>
      </w:r>
      <w:r w:rsidRPr="002668AE">
        <w:rPr>
          <w:snapToGrid w:val="0"/>
          <w:color w:val="000000" w:themeColor="text1"/>
          <w:u w:val="single"/>
          <w:lang w:val="es-ES_tradnl"/>
        </w:rPr>
        <w:t xml:space="preserve"> que podrían examinarse en una revisión del documento UPOV/EXN/EXC</w:t>
      </w:r>
    </w:p>
    <w:tbl>
      <w:tblPr>
        <w:tblW w:w="0" w:type="auto"/>
        <w:tblCellMar>
          <w:top w:w="57" w:type="dxa"/>
          <w:left w:w="85" w:type="dxa"/>
          <w:right w:w="113" w:type="dxa"/>
        </w:tblCellMar>
        <w:tblLook w:val="0000" w:firstRow="0" w:lastRow="0" w:firstColumn="0" w:lastColumn="0" w:noHBand="0" w:noVBand="0"/>
      </w:tblPr>
      <w:tblGrid>
        <w:gridCol w:w="9633"/>
      </w:tblGrid>
      <w:tr w:rsidR="00325F14" w:rsidRPr="002668AE" w14:paraId="0E461C63" w14:textId="77777777" w:rsidTr="003B4E98">
        <w:tc>
          <w:tcPr>
            <w:tcW w:w="9633" w:type="dxa"/>
          </w:tcPr>
          <w:p w14:paraId="531A39D4" w14:textId="77777777" w:rsidR="002668AE" w:rsidRDefault="0048221D" w:rsidP="002668AE">
            <w:pPr>
              <w:spacing w:before="120" w:after="120"/>
              <w:rPr>
                <w:rFonts w:cs="Arial"/>
                <w:lang w:val="es-ES_tradnl"/>
              </w:rPr>
            </w:pPr>
            <w:r w:rsidRPr="002668AE">
              <w:rPr>
                <w:rFonts w:cs="Arial"/>
                <w:lang w:val="es-ES_tradnl"/>
              </w:rPr>
              <w:t>Estudiar las posibilidades de:</w:t>
            </w:r>
          </w:p>
          <w:p w14:paraId="3FAD65C3" w14:textId="77777777" w:rsidR="002668AE" w:rsidRDefault="004B388D" w:rsidP="002668AE">
            <w:pPr>
              <w:pStyle w:val="ListParagraph"/>
              <w:numPr>
                <w:ilvl w:val="0"/>
                <w:numId w:val="8"/>
              </w:numPr>
              <w:spacing w:before="120" w:after="120"/>
              <w:ind w:left="1080" w:hanging="630"/>
              <w:jc w:val="both"/>
              <w:rPr>
                <w:rFonts w:ascii="Arial" w:hAnsi="Arial" w:cs="Arial"/>
                <w:sz w:val="20"/>
                <w:szCs w:val="20"/>
                <w:lang w:val="es-ES_tradnl"/>
              </w:rPr>
            </w:pPr>
            <w:r w:rsidRPr="002668AE">
              <w:rPr>
                <w:rFonts w:ascii="Arial" w:hAnsi="Arial" w:cs="Arial"/>
                <w:sz w:val="20"/>
                <w:szCs w:val="20"/>
                <w:lang w:val="es-ES_tradnl"/>
              </w:rPr>
              <w:t>aclarar el alcance de la aplicación de la excepción obligatoria para los actos realizados en un marco privado y con fines no comerciales contemplada en el Artículo 15.1)i) del Acta de 1991 y de la excepción facultativa contemplada en el Artículo 15.2) del Acta de 1991 y brindar opciones de aplicación de esas disposiciones en la legislación nacional o regional;</w:t>
            </w:r>
          </w:p>
          <w:p w14:paraId="14105010" w14:textId="1BE27AB7" w:rsidR="002668AE" w:rsidRDefault="00F54751" w:rsidP="002668AE">
            <w:pPr>
              <w:pStyle w:val="ListParagraph"/>
              <w:numPr>
                <w:ilvl w:val="0"/>
                <w:numId w:val="8"/>
              </w:numPr>
              <w:spacing w:before="120" w:after="120"/>
              <w:ind w:left="1080" w:hanging="630"/>
              <w:jc w:val="both"/>
              <w:rPr>
                <w:rFonts w:ascii="Arial" w:hAnsi="Arial" w:cs="Arial"/>
                <w:spacing w:val="-2"/>
                <w:sz w:val="20"/>
                <w:szCs w:val="20"/>
                <w:lang w:val="es-ES_tradnl"/>
              </w:rPr>
            </w:pPr>
            <w:r w:rsidRPr="002668AE">
              <w:rPr>
                <w:rFonts w:ascii="Arial" w:hAnsi="Arial" w:cs="Arial"/>
                <w:sz w:val="20"/>
                <w:szCs w:val="20"/>
                <w:lang w:val="es-ES_tradnl"/>
              </w:rPr>
              <w:t>aclarar</w:t>
            </w:r>
            <w:r w:rsidR="004B388D" w:rsidRPr="002668AE">
              <w:rPr>
                <w:rFonts w:ascii="Arial" w:hAnsi="Arial" w:cs="Arial"/>
                <w:spacing w:val="-2"/>
                <w:sz w:val="20"/>
                <w:szCs w:val="20"/>
                <w:lang w:val="es-ES_tradnl"/>
              </w:rPr>
              <w:t xml:space="preserve">, en relación con el Artículo 15.1)i), </w:t>
            </w:r>
            <w:r w:rsidR="004E1D11" w:rsidRPr="002668AE">
              <w:rPr>
                <w:rFonts w:ascii="Arial" w:hAnsi="Arial" w:cs="Arial"/>
                <w:spacing w:val="-2"/>
                <w:sz w:val="20"/>
                <w:szCs w:val="20"/>
                <w:lang w:val="es-ES_tradnl"/>
              </w:rPr>
              <w:t>que</w:t>
            </w:r>
            <w:r w:rsidR="004B388D" w:rsidRPr="002668AE">
              <w:rPr>
                <w:rFonts w:ascii="Arial" w:hAnsi="Arial" w:cs="Arial"/>
                <w:spacing w:val="-2"/>
                <w:sz w:val="20"/>
                <w:szCs w:val="20"/>
                <w:lang w:val="es-ES_tradnl"/>
              </w:rPr>
              <w:t xml:space="preserve"> </w:t>
            </w:r>
            <w:r w:rsidR="004E1D11" w:rsidRPr="002668AE">
              <w:rPr>
                <w:rFonts w:ascii="Arial" w:hAnsi="Arial" w:cs="Arial"/>
                <w:spacing w:val="-2"/>
                <w:sz w:val="20"/>
                <w:szCs w:val="20"/>
                <w:lang w:val="es-ES_tradnl"/>
              </w:rPr>
              <w:t>se trata de una cuestión de si el acto se realiza en un marco privado y con fines no comerciales</w:t>
            </w:r>
            <w:r w:rsidR="004B388D" w:rsidRPr="002668AE">
              <w:rPr>
                <w:rFonts w:ascii="Arial" w:hAnsi="Arial" w:cs="Arial"/>
                <w:spacing w:val="-2"/>
                <w:sz w:val="20"/>
                <w:szCs w:val="20"/>
                <w:lang w:val="es-ES_tradnl"/>
              </w:rPr>
              <w:t xml:space="preserve">, </w:t>
            </w:r>
            <w:r w:rsidR="004E1D11" w:rsidRPr="002668AE">
              <w:rPr>
                <w:rFonts w:ascii="Arial" w:hAnsi="Arial" w:cs="Arial"/>
                <w:spacing w:val="-2"/>
                <w:sz w:val="20"/>
                <w:szCs w:val="20"/>
                <w:lang w:val="es-ES_tradnl"/>
              </w:rPr>
              <w:t>y no de la escala del acto o de quién lo realiza</w:t>
            </w:r>
            <w:r w:rsidR="004B388D" w:rsidRPr="002668AE">
              <w:rPr>
                <w:rFonts w:ascii="Arial" w:hAnsi="Arial" w:cs="Arial"/>
                <w:spacing w:val="-2"/>
                <w:sz w:val="20"/>
                <w:szCs w:val="20"/>
                <w:lang w:val="es-ES_tradnl"/>
              </w:rPr>
              <w:t>;</w:t>
            </w:r>
          </w:p>
          <w:p w14:paraId="27B8DE1C" w14:textId="2004D3BF" w:rsidR="002668AE" w:rsidRDefault="00F54751" w:rsidP="002668AE">
            <w:pPr>
              <w:pStyle w:val="ListParagraph"/>
              <w:numPr>
                <w:ilvl w:val="0"/>
                <w:numId w:val="8"/>
              </w:numPr>
              <w:spacing w:before="120" w:after="120"/>
              <w:ind w:left="1080" w:hanging="630"/>
              <w:jc w:val="both"/>
              <w:rPr>
                <w:rFonts w:ascii="Arial" w:hAnsi="Arial" w:cs="Arial"/>
                <w:sz w:val="20"/>
                <w:szCs w:val="20"/>
                <w:lang w:val="es-ES_tradnl"/>
              </w:rPr>
            </w:pPr>
            <w:r w:rsidRPr="002668AE">
              <w:rPr>
                <w:rFonts w:ascii="Arial" w:hAnsi="Arial" w:cs="Arial"/>
                <w:sz w:val="20"/>
                <w:szCs w:val="20"/>
                <w:lang w:val="es-ES_tradnl"/>
              </w:rPr>
              <w:t>aclarar</w:t>
            </w:r>
            <w:r w:rsidR="007A2B14" w:rsidRPr="002668AE">
              <w:rPr>
                <w:rFonts w:ascii="Arial" w:hAnsi="Arial" w:cs="Arial"/>
                <w:snapToGrid w:val="0"/>
                <w:color w:val="000000" w:themeColor="text1"/>
                <w:sz w:val="20"/>
                <w:szCs w:val="20"/>
                <w:lang w:val="es-ES_tradnl"/>
              </w:rPr>
              <w:t>, en relación con el Artículo 15.1)i), que la excepción para actos realizados en un marco privado y con fines no comerciales se aplica a todo tipo de personas y no solo a los agricultores a pequeña escala</w:t>
            </w:r>
            <w:r w:rsidR="007A2B14" w:rsidRPr="002668AE">
              <w:rPr>
                <w:rFonts w:ascii="Arial" w:hAnsi="Arial" w:cs="Arial"/>
                <w:sz w:val="20"/>
                <w:szCs w:val="20"/>
                <w:lang w:val="es-ES_tradnl"/>
              </w:rPr>
              <w:t xml:space="preserve"> </w:t>
            </w:r>
            <w:r w:rsidR="004E1D11" w:rsidRPr="002668AE">
              <w:rPr>
                <w:rFonts w:ascii="Arial" w:hAnsi="Arial" w:cs="Arial"/>
                <w:snapToGrid w:val="0"/>
                <w:color w:val="000000" w:themeColor="text1"/>
                <w:sz w:val="20"/>
                <w:szCs w:val="20"/>
                <w:lang w:val="es-ES_tradnl"/>
              </w:rPr>
              <w:t xml:space="preserve">o </w:t>
            </w:r>
            <w:r w:rsidR="007A2B14" w:rsidRPr="002668AE">
              <w:rPr>
                <w:rFonts w:ascii="Arial" w:hAnsi="Arial" w:cs="Arial"/>
                <w:snapToGrid w:val="0"/>
                <w:color w:val="000000" w:themeColor="text1"/>
                <w:sz w:val="20"/>
                <w:szCs w:val="20"/>
                <w:lang w:val="es-ES_tradnl"/>
              </w:rPr>
              <w:t xml:space="preserve">a los </w:t>
            </w:r>
            <w:r w:rsidR="004E1D11" w:rsidRPr="002668AE">
              <w:rPr>
                <w:rFonts w:ascii="Arial" w:hAnsi="Arial" w:cs="Arial"/>
                <w:snapToGrid w:val="0"/>
                <w:color w:val="000000" w:themeColor="text1"/>
                <w:sz w:val="20"/>
                <w:szCs w:val="20"/>
                <w:lang w:val="es-ES_tradnl"/>
              </w:rPr>
              <w:t>agricultores de subsistencia;</w:t>
            </w:r>
          </w:p>
          <w:p w14:paraId="4491C017" w14:textId="77777777" w:rsidR="002668AE" w:rsidRDefault="007A2B14" w:rsidP="002668AE">
            <w:pPr>
              <w:pStyle w:val="ListParagraph"/>
              <w:numPr>
                <w:ilvl w:val="0"/>
                <w:numId w:val="8"/>
              </w:numPr>
              <w:spacing w:before="120" w:after="120"/>
              <w:ind w:left="1080" w:hanging="630"/>
              <w:jc w:val="both"/>
              <w:rPr>
                <w:rFonts w:ascii="Arial" w:hAnsi="Arial" w:cs="Arial"/>
                <w:sz w:val="20"/>
                <w:szCs w:val="20"/>
                <w:lang w:val="es-ES_tradnl"/>
              </w:rPr>
            </w:pPr>
            <w:r w:rsidRPr="002668AE">
              <w:rPr>
                <w:rFonts w:ascii="Arial" w:hAnsi="Arial" w:cs="Arial"/>
                <w:sz w:val="20"/>
                <w:szCs w:val="20"/>
                <w:lang w:val="es-ES_tradnl"/>
              </w:rPr>
              <w:t>aclarar que la</w:t>
            </w:r>
            <w:r w:rsidRPr="002668AE">
              <w:rPr>
                <w:rFonts w:ascii="Arial" w:hAnsi="Arial" w:cs="Arial"/>
                <w:iCs/>
                <w:snapToGrid w:val="0"/>
                <w:color w:val="000000" w:themeColor="text1"/>
                <w:sz w:val="20"/>
                <w:szCs w:val="20"/>
                <w:lang w:val="es-ES_tradnl" w:eastAsia="ja-JP"/>
              </w:rPr>
              <w:t xml:space="preserve"> exportación de material de una variedad protegida sin autorización o consentimiento del obtentor podría producirse sea cual sea la escala del agricultor o el tipo de agricultura, incluso si se trata de agricultores a pequeña escala;</w:t>
            </w:r>
          </w:p>
          <w:p w14:paraId="0EAB127E" w14:textId="77777777" w:rsidR="002668AE" w:rsidRDefault="00D07859" w:rsidP="002668AE">
            <w:pPr>
              <w:pStyle w:val="ListParagraph"/>
              <w:numPr>
                <w:ilvl w:val="0"/>
                <w:numId w:val="8"/>
              </w:numPr>
              <w:spacing w:before="120" w:after="120"/>
              <w:ind w:left="1080" w:hanging="630"/>
              <w:jc w:val="both"/>
              <w:rPr>
                <w:rFonts w:ascii="Arial" w:hAnsi="Arial" w:cs="Arial"/>
                <w:sz w:val="20"/>
                <w:szCs w:val="20"/>
                <w:lang w:val="es-ES_tradnl"/>
              </w:rPr>
            </w:pPr>
            <w:r w:rsidRPr="002668AE">
              <w:rPr>
                <w:rFonts w:ascii="Arial" w:hAnsi="Arial" w:cs="Arial"/>
                <w:sz w:val="20"/>
                <w:szCs w:val="20"/>
                <w:lang w:val="es-ES_tradnl"/>
              </w:rPr>
              <w:t xml:space="preserve">examinar las cuestiones de observancia cuando </w:t>
            </w:r>
            <w:r w:rsidR="003B4E98" w:rsidRPr="002668AE">
              <w:rPr>
                <w:rFonts w:ascii="Arial" w:hAnsi="Arial" w:cs="Arial"/>
                <w:sz w:val="20"/>
                <w:szCs w:val="20"/>
                <w:lang w:val="es-ES_tradnl"/>
              </w:rPr>
              <w:t xml:space="preserve">tienen lugar </w:t>
            </w:r>
            <w:r w:rsidRPr="002668AE">
              <w:rPr>
                <w:rFonts w:ascii="Arial" w:hAnsi="Arial" w:cs="Arial"/>
                <w:sz w:val="20"/>
                <w:szCs w:val="20"/>
                <w:lang w:val="es-ES_tradnl"/>
              </w:rPr>
              <w:t xml:space="preserve">actos </w:t>
            </w:r>
            <w:r w:rsidR="003B4E98" w:rsidRPr="002668AE">
              <w:rPr>
                <w:rFonts w:ascii="Arial" w:hAnsi="Arial" w:cs="Arial"/>
                <w:sz w:val="20"/>
                <w:szCs w:val="20"/>
                <w:lang w:val="es-ES_tradnl"/>
              </w:rPr>
              <w:t>que exceden</w:t>
            </w:r>
            <w:r w:rsidRPr="002668AE">
              <w:rPr>
                <w:rFonts w:ascii="Arial" w:hAnsi="Arial" w:cs="Arial"/>
                <w:sz w:val="20"/>
                <w:szCs w:val="20"/>
                <w:lang w:val="es-ES_tradnl"/>
              </w:rPr>
              <w:t xml:space="preserve"> las excepciones y se infringen los derechos de los obtentores;</w:t>
            </w:r>
          </w:p>
          <w:p w14:paraId="63E6F051" w14:textId="77777777" w:rsidR="002668AE" w:rsidRDefault="00D07859" w:rsidP="002668AE">
            <w:pPr>
              <w:pStyle w:val="ListParagraph"/>
              <w:numPr>
                <w:ilvl w:val="0"/>
                <w:numId w:val="8"/>
              </w:numPr>
              <w:spacing w:before="120" w:after="120"/>
              <w:ind w:left="1080" w:hanging="630"/>
              <w:jc w:val="both"/>
              <w:rPr>
                <w:rFonts w:ascii="Arial" w:hAnsi="Arial" w:cs="Arial"/>
                <w:sz w:val="20"/>
                <w:szCs w:val="20"/>
                <w:lang w:val="es-ES_tradnl"/>
              </w:rPr>
            </w:pPr>
            <w:r w:rsidRPr="002668AE">
              <w:rPr>
                <w:rFonts w:ascii="Arial" w:hAnsi="Arial" w:cs="Arial"/>
                <w:sz w:val="20"/>
                <w:szCs w:val="20"/>
                <w:lang w:val="es-ES_tradnl"/>
              </w:rPr>
              <w:t xml:space="preserve">aclarar que el Artículo 15.1)i) se refiere a </w:t>
            </w:r>
            <w:r w:rsidRPr="002668AE">
              <w:rPr>
                <w:rFonts w:ascii="Arial" w:hAnsi="Arial" w:cs="Arial"/>
                <w:snapToGrid w:val="0"/>
                <w:color w:val="000000" w:themeColor="text1"/>
                <w:sz w:val="20"/>
                <w:szCs w:val="20"/>
                <w:lang w:val="es-ES_tradnl"/>
              </w:rPr>
              <w:t xml:space="preserve">actos privados y con fines no comerciales </w:t>
            </w:r>
            <w:r w:rsidRPr="002668AE">
              <w:rPr>
                <w:rFonts w:ascii="Arial" w:hAnsi="Arial" w:cs="Arial"/>
                <w:sz w:val="20"/>
                <w:szCs w:val="20"/>
                <w:lang w:val="es-ES_tradnl"/>
              </w:rPr>
              <w:t>y el Artículo 15.2), a las actividades profesionales a escala comercial;</w:t>
            </w:r>
          </w:p>
          <w:p w14:paraId="2BEA30F5" w14:textId="77777777" w:rsidR="002668AE" w:rsidRDefault="00284D90" w:rsidP="002668AE">
            <w:pPr>
              <w:pStyle w:val="ListParagraph"/>
              <w:numPr>
                <w:ilvl w:val="0"/>
                <w:numId w:val="8"/>
              </w:numPr>
              <w:spacing w:before="120" w:after="120"/>
              <w:ind w:left="1080" w:hanging="630"/>
              <w:jc w:val="both"/>
              <w:rPr>
                <w:rFonts w:ascii="Arial" w:hAnsi="Arial" w:cs="Arial"/>
                <w:sz w:val="20"/>
                <w:szCs w:val="20"/>
                <w:lang w:val="es-ES_tradnl"/>
              </w:rPr>
            </w:pPr>
            <w:r w:rsidRPr="002668AE">
              <w:rPr>
                <w:rFonts w:ascii="Arial" w:hAnsi="Arial" w:cs="Arial"/>
                <w:sz w:val="20"/>
                <w:szCs w:val="20"/>
                <w:lang w:val="es-ES_tradnl"/>
              </w:rPr>
              <w:t>tener en cuenta que</w:t>
            </w:r>
            <w:r w:rsidR="00D07859" w:rsidRPr="002668AE">
              <w:rPr>
                <w:rFonts w:ascii="Arial" w:hAnsi="Arial" w:cs="Arial"/>
                <w:sz w:val="20"/>
                <w:szCs w:val="20"/>
                <w:lang w:val="es-ES_tradnl"/>
              </w:rPr>
              <w:t xml:space="preserve">, </w:t>
            </w:r>
            <w:r w:rsidRPr="002668AE">
              <w:rPr>
                <w:rFonts w:ascii="Arial" w:hAnsi="Arial" w:cs="Arial"/>
                <w:sz w:val="20"/>
                <w:szCs w:val="20"/>
                <w:lang w:val="es-ES_tradnl"/>
              </w:rPr>
              <w:t>al</w:t>
            </w:r>
            <w:r w:rsidR="00D07859" w:rsidRPr="002668AE">
              <w:rPr>
                <w:rFonts w:ascii="Arial" w:hAnsi="Arial" w:cs="Arial"/>
                <w:sz w:val="20"/>
                <w:szCs w:val="20"/>
                <w:lang w:val="es-ES_tradnl"/>
              </w:rPr>
              <w:t xml:space="preserve"> aplica</w:t>
            </w:r>
            <w:r w:rsidRPr="002668AE">
              <w:rPr>
                <w:rFonts w:ascii="Arial" w:hAnsi="Arial" w:cs="Arial"/>
                <w:sz w:val="20"/>
                <w:szCs w:val="20"/>
                <w:lang w:val="es-ES_tradnl"/>
              </w:rPr>
              <w:t xml:space="preserve">r el </w:t>
            </w:r>
            <w:r w:rsidR="00D07859" w:rsidRPr="002668AE">
              <w:rPr>
                <w:rFonts w:ascii="Arial" w:hAnsi="Arial" w:cs="Arial"/>
                <w:sz w:val="20"/>
                <w:szCs w:val="20"/>
                <w:lang w:val="es-ES_tradnl"/>
              </w:rPr>
              <w:t>Artículo</w:t>
            </w:r>
            <w:r w:rsidR="003B4E98" w:rsidRPr="002668AE">
              <w:rPr>
                <w:rFonts w:ascii="Arial" w:hAnsi="Arial" w:cs="Arial"/>
                <w:sz w:val="20"/>
                <w:szCs w:val="20"/>
                <w:lang w:val="es-ES_tradnl"/>
              </w:rPr>
              <w:t> </w:t>
            </w:r>
            <w:r w:rsidR="00D07859" w:rsidRPr="002668AE">
              <w:rPr>
                <w:rFonts w:ascii="Arial" w:hAnsi="Arial" w:cs="Arial"/>
                <w:sz w:val="20"/>
                <w:szCs w:val="20"/>
                <w:lang w:val="es-ES_tradnl"/>
              </w:rPr>
              <w:t>15</w:t>
            </w:r>
            <w:r w:rsidRPr="002668AE">
              <w:rPr>
                <w:rFonts w:ascii="Arial" w:hAnsi="Arial" w:cs="Arial"/>
                <w:sz w:val="20"/>
                <w:szCs w:val="20"/>
                <w:lang w:val="es-ES_tradnl"/>
              </w:rPr>
              <w:t>.</w:t>
            </w:r>
            <w:r w:rsidR="00D07859" w:rsidRPr="002668AE">
              <w:rPr>
                <w:rFonts w:ascii="Arial" w:hAnsi="Arial" w:cs="Arial"/>
                <w:sz w:val="20"/>
                <w:szCs w:val="20"/>
                <w:lang w:val="es-ES_tradnl"/>
              </w:rPr>
              <w:t>1)i),</w:t>
            </w:r>
            <w:r w:rsidR="00D07859" w:rsidRPr="002668AE">
              <w:rPr>
                <w:rFonts w:ascii="Arial" w:hAnsi="Arial" w:cs="Arial"/>
                <w:spacing w:val="-2"/>
                <w:sz w:val="20"/>
                <w:szCs w:val="20"/>
                <w:lang w:val="es-ES_tradnl"/>
              </w:rPr>
              <w:t xml:space="preserve"> </w:t>
            </w:r>
            <w:r w:rsidRPr="002668AE">
              <w:rPr>
                <w:rFonts w:ascii="Arial" w:hAnsi="Arial" w:cs="Arial"/>
                <w:spacing w:val="-2"/>
                <w:sz w:val="20"/>
                <w:szCs w:val="20"/>
                <w:lang w:val="es-ES_tradnl"/>
              </w:rPr>
              <w:t xml:space="preserve">es posible que </w:t>
            </w:r>
            <w:r w:rsidR="003B4E98" w:rsidRPr="002668AE">
              <w:rPr>
                <w:rFonts w:ascii="Arial" w:hAnsi="Arial" w:cs="Arial"/>
                <w:spacing w:val="-2"/>
                <w:sz w:val="20"/>
                <w:szCs w:val="20"/>
                <w:lang w:val="es-ES_tradnl"/>
              </w:rPr>
              <w:t>determinados</w:t>
            </w:r>
            <w:r w:rsidRPr="002668AE">
              <w:rPr>
                <w:rFonts w:ascii="Arial" w:hAnsi="Arial" w:cs="Arial"/>
                <w:spacing w:val="-2"/>
                <w:sz w:val="20"/>
                <w:szCs w:val="20"/>
                <w:lang w:val="es-ES_tradnl"/>
              </w:rPr>
              <w:t xml:space="preserve"> miembros de la UPOV </w:t>
            </w:r>
            <w:r w:rsidR="004C2361" w:rsidRPr="002668AE">
              <w:rPr>
                <w:rFonts w:ascii="Arial" w:hAnsi="Arial" w:cs="Arial"/>
                <w:spacing w:val="-2"/>
                <w:sz w:val="20"/>
                <w:szCs w:val="20"/>
                <w:lang w:val="es-ES_tradnl"/>
              </w:rPr>
              <w:t>quieran</w:t>
            </w:r>
            <w:r w:rsidR="00D07859" w:rsidRPr="002668AE">
              <w:rPr>
                <w:rFonts w:ascii="Arial" w:hAnsi="Arial" w:cs="Arial"/>
                <w:spacing w:val="-2"/>
                <w:sz w:val="20"/>
                <w:szCs w:val="20"/>
                <w:lang w:val="es-ES_tradnl"/>
              </w:rPr>
              <w:t xml:space="preserve"> </w:t>
            </w:r>
            <w:r w:rsidRPr="002668AE">
              <w:rPr>
                <w:rFonts w:ascii="Arial" w:hAnsi="Arial" w:cs="Arial"/>
                <w:spacing w:val="-2"/>
                <w:sz w:val="20"/>
                <w:szCs w:val="20"/>
                <w:lang w:val="es-ES_tradnl"/>
              </w:rPr>
              <w:t>hacer hincapié en cultivos que tienen importancia nacional o regional para la seguridad alimentaria y el sustento de los agricultores</w:t>
            </w:r>
            <w:r w:rsidR="00D07859" w:rsidRPr="002668AE">
              <w:rPr>
                <w:rFonts w:ascii="Arial" w:hAnsi="Arial" w:cs="Arial"/>
                <w:spacing w:val="-2"/>
                <w:sz w:val="20"/>
                <w:szCs w:val="20"/>
                <w:lang w:val="es-ES_tradnl"/>
              </w:rPr>
              <w:t>;</w:t>
            </w:r>
          </w:p>
          <w:p w14:paraId="06740071" w14:textId="77777777" w:rsidR="002668AE" w:rsidRDefault="004C2361" w:rsidP="002668AE">
            <w:pPr>
              <w:pStyle w:val="ListParagraph"/>
              <w:numPr>
                <w:ilvl w:val="0"/>
                <w:numId w:val="8"/>
              </w:numPr>
              <w:spacing w:before="120" w:after="120"/>
              <w:ind w:left="1080" w:hanging="630"/>
              <w:jc w:val="both"/>
              <w:rPr>
                <w:rFonts w:ascii="Arial" w:hAnsi="Arial" w:cs="Arial"/>
                <w:sz w:val="20"/>
                <w:szCs w:val="20"/>
                <w:lang w:val="es-ES_tradnl"/>
              </w:rPr>
            </w:pPr>
            <w:r w:rsidRPr="002668AE">
              <w:rPr>
                <w:rFonts w:ascii="Arial" w:hAnsi="Arial" w:cs="Arial"/>
                <w:sz w:val="20"/>
                <w:szCs w:val="20"/>
                <w:lang w:val="es-ES_tradnl"/>
              </w:rPr>
              <w:t>tener en cuenta que, al aplicar el Artículo</w:t>
            </w:r>
            <w:r w:rsidR="003B4E98" w:rsidRPr="002668AE">
              <w:rPr>
                <w:rFonts w:ascii="Arial" w:hAnsi="Arial" w:cs="Arial"/>
                <w:sz w:val="20"/>
                <w:szCs w:val="20"/>
                <w:lang w:val="es-ES_tradnl"/>
              </w:rPr>
              <w:t> </w:t>
            </w:r>
            <w:r w:rsidRPr="002668AE">
              <w:rPr>
                <w:rFonts w:ascii="Arial" w:hAnsi="Arial" w:cs="Arial"/>
                <w:sz w:val="20"/>
                <w:szCs w:val="20"/>
                <w:lang w:val="es-ES_tradnl"/>
              </w:rPr>
              <w:t xml:space="preserve">15.1)i), es posible que </w:t>
            </w:r>
            <w:r w:rsidR="003B4E98" w:rsidRPr="002668AE">
              <w:rPr>
                <w:rFonts w:ascii="Arial" w:hAnsi="Arial" w:cs="Arial"/>
                <w:spacing w:val="-2"/>
                <w:sz w:val="20"/>
                <w:szCs w:val="20"/>
                <w:lang w:val="es-ES_tradnl"/>
              </w:rPr>
              <w:t xml:space="preserve">determinados </w:t>
            </w:r>
            <w:r w:rsidRPr="002668AE">
              <w:rPr>
                <w:rFonts w:ascii="Arial" w:hAnsi="Arial" w:cs="Arial"/>
                <w:sz w:val="20"/>
                <w:szCs w:val="20"/>
                <w:lang w:val="es-ES_tradnl"/>
              </w:rPr>
              <w:t xml:space="preserve">miembros de la UPOV deseen </w:t>
            </w:r>
            <w:r w:rsidRPr="002668AE">
              <w:rPr>
                <w:rFonts w:ascii="Arial" w:hAnsi="Arial" w:cs="Arial"/>
                <w:spacing w:val="-2"/>
                <w:sz w:val="20"/>
                <w:szCs w:val="20"/>
                <w:lang w:val="es-ES_tradnl"/>
              </w:rPr>
              <w:t>excluir las variedades de multiplicación vegetativa, como las plantas ornamentales y frutales.</w:t>
            </w:r>
            <w:r w:rsidR="00325F14" w:rsidRPr="002668AE">
              <w:rPr>
                <w:rFonts w:ascii="Arial" w:hAnsi="Arial" w:cs="Arial"/>
                <w:spacing w:val="-2"/>
                <w:sz w:val="20"/>
                <w:szCs w:val="20"/>
                <w:lang w:val="es-ES_tradnl"/>
              </w:rPr>
              <w:t xml:space="preserve"> </w:t>
            </w:r>
            <w:r w:rsidRPr="002668AE">
              <w:rPr>
                <w:rFonts w:ascii="Arial" w:hAnsi="Arial" w:cs="Arial"/>
                <w:spacing w:val="-2"/>
                <w:sz w:val="20"/>
                <w:szCs w:val="20"/>
                <w:lang w:val="es-ES_tradnl"/>
              </w:rPr>
              <w:t>Habida cuenta de que esos cultivos permanecen en el terreno durante un par de años y de que los árboles frutales pueden producir frutos durante decenios, el valor del derecho de obtentor podría reducirse considerablemente;</w:t>
            </w:r>
          </w:p>
          <w:p w14:paraId="0D478646" w14:textId="77777777" w:rsidR="002668AE" w:rsidRDefault="00374A03" w:rsidP="002668AE">
            <w:pPr>
              <w:pStyle w:val="ListParagraph"/>
              <w:numPr>
                <w:ilvl w:val="0"/>
                <w:numId w:val="8"/>
              </w:numPr>
              <w:spacing w:before="120" w:after="120"/>
              <w:ind w:left="1080" w:hanging="630"/>
              <w:jc w:val="both"/>
              <w:rPr>
                <w:rFonts w:ascii="Arial" w:hAnsi="Arial" w:cs="Arial"/>
                <w:sz w:val="20"/>
                <w:szCs w:val="20"/>
                <w:lang w:val="es-ES_tradnl"/>
              </w:rPr>
            </w:pPr>
            <w:r w:rsidRPr="002668AE">
              <w:rPr>
                <w:rFonts w:ascii="Arial" w:hAnsi="Arial" w:cs="Arial"/>
                <w:sz w:val="20"/>
                <w:szCs w:val="20"/>
                <w:lang w:val="es-ES_tradnl"/>
              </w:rPr>
              <w:t xml:space="preserve">tener en cuenta, </w:t>
            </w:r>
            <w:r w:rsidR="004C2361" w:rsidRPr="002668AE">
              <w:rPr>
                <w:rFonts w:ascii="Arial" w:hAnsi="Arial" w:cs="Arial"/>
                <w:sz w:val="20"/>
                <w:szCs w:val="20"/>
                <w:lang w:val="es-ES_tradnl"/>
              </w:rPr>
              <w:t xml:space="preserve">en relación con </w:t>
            </w:r>
            <w:r w:rsidRPr="002668AE">
              <w:rPr>
                <w:rFonts w:ascii="Arial" w:hAnsi="Arial" w:cs="Arial"/>
                <w:sz w:val="20"/>
                <w:szCs w:val="20"/>
                <w:lang w:val="es-ES_tradnl"/>
              </w:rPr>
              <w:t xml:space="preserve">el </w:t>
            </w:r>
            <w:r w:rsidR="004C2361" w:rsidRPr="002668AE">
              <w:rPr>
                <w:rFonts w:ascii="Arial" w:hAnsi="Arial" w:cs="Arial"/>
                <w:sz w:val="20"/>
                <w:szCs w:val="20"/>
                <w:lang w:val="es-ES_tradnl"/>
              </w:rPr>
              <w:t>Artículo</w:t>
            </w:r>
            <w:r w:rsidRPr="002668AE">
              <w:rPr>
                <w:rFonts w:ascii="Arial" w:hAnsi="Arial" w:cs="Arial"/>
                <w:sz w:val="20"/>
                <w:szCs w:val="20"/>
                <w:lang w:val="es-ES_tradnl"/>
              </w:rPr>
              <w:t> </w:t>
            </w:r>
            <w:r w:rsidR="004C2361" w:rsidRPr="002668AE">
              <w:rPr>
                <w:rFonts w:ascii="Arial" w:hAnsi="Arial" w:cs="Arial"/>
                <w:sz w:val="20"/>
                <w:szCs w:val="20"/>
                <w:lang w:val="es-ES_tradnl"/>
              </w:rPr>
              <w:t>15</w:t>
            </w:r>
            <w:r w:rsidRPr="002668AE">
              <w:rPr>
                <w:rFonts w:ascii="Arial" w:hAnsi="Arial" w:cs="Arial"/>
                <w:sz w:val="20"/>
                <w:szCs w:val="20"/>
                <w:lang w:val="es-ES_tradnl"/>
              </w:rPr>
              <w:t>.</w:t>
            </w:r>
            <w:r w:rsidR="004C2361" w:rsidRPr="002668AE">
              <w:rPr>
                <w:rFonts w:ascii="Arial" w:hAnsi="Arial" w:cs="Arial"/>
                <w:sz w:val="20"/>
                <w:szCs w:val="20"/>
                <w:lang w:val="es-ES_tradnl"/>
              </w:rPr>
              <w:t>1)i)</w:t>
            </w:r>
            <w:r w:rsidRPr="002668AE">
              <w:rPr>
                <w:rFonts w:ascii="Arial" w:hAnsi="Arial" w:cs="Arial"/>
                <w:sz w:val="20"/>
                <w:szCs w:val="20"/>
                <w:lang w:val="es-ES_tradnl"/>
              </w:rPr>
              <w:t>,</w:t>
            </w:r>
            <w:r w:rsidR="004C2361" w:rsidRPr="002668AE">
              <w:rPr>
                <w:rFonts w:ascii="Arial" w:hAnsi="Arial" w:cs="Arial"/>
                <w:sz w:val="20"/>
                <w:szCs w:val="20"/>
                <w:lang w:val="es-ES_tradnl"/>
              </w:rPr>
              <w:t xml:space="preserve"> </w:t>
            </w:r>
            <w:r w:rsidRPr="002668AE">
              <w:rPr>
                <w:rFonts w:ascii="Arial" w:hAnsi="Arial" w:cs="Arial"/>
                <w:sz w:val="20"/>
                <w:szCs w:val="20"/>
                <w:lang w:val="es-ES_tradnl"/>
              </w:rPr>
              <w:t>que las</w:t>
            </w:r>
            <w:r w:rsidR="004C2361" w:rsidRPr="002668AE">
              <w:rPr>
                <w:rFonts w:ascii="Arial" w:hAnsi="Arial" w:cs="Arial"/>
                <w:sz w:val="20"/>
                <w:szCs w:val="20"/>
                <w:lang w:val="es-ES_tradnl"/>
              </w:rPr>
              <w:t xml:space="preserve"> plantas medicinales </w:t>
            </w:r>
            <w:r w:rsidRPr="002668AE">
              <w:rPr>
                <w:rFonts w:ascii="Arial" w:hAnsi="Arial" w:cs="Arial"/>
                <w:sz w:val="20"/>
                <w:szCs w:val="20"/>
                <w:lang w:val="es-ES_tradnl"/>
              </w:rPr>
              <w:t>son cultivos no alimentarios que suelen utilizarse para el consumo doméstico</w:t>
            </w:r>
            <w:r w:rsidR="004C2361" w:rsidRPr="002668AE">
              <w:rPr>
                <w:rFonts w:ascii="Arial" w:hAnsi="Arial" w:cs="Arial"/>
                <w:sz w:val="20"/>
                <w:szCs w:val="20"/>
                <w:lang w:val="es-ES_tradnl"/>
              </w:rPr>
              <w:t>;</w:t>
            </w:r>
          </w:p>
          <w:p w14:paraId="19F76EC4" w14:textId="77777777" w:rsidR="002668AE" w:rsidRDefault="00374A03" w:rsidP="002668AE">
            <w:pPr>
              <w:pStyle w:val="ListParagraph"/>
              <w:numPr>
                <w:ilvl w:val="0"/>
                <w:numId w:val="8"/>
              </w:numPr>
              <w:spacing w:before="120" w:after="120"/>
              <w:ind w:left="1080" w:hanging="630"/>
              <w:jc w:val="both"/>
              <w:rPr>
                <w:rFonts w:ascii="Arial" w:hAnsi="Arial" w:cs="Arial"/>
                <w:sz w:val="20"/>
                <w:szCs w:val="20"/>
                <w:lang w:val="es-ES_tradnl"/>
              </w:rPr>
            </w:pPr>
            <w:r w:rsidRPr="002668AE">
              <w:rPr>
                <w:rFonts w:ascii="Arial" w:hAnsi="Arial" w:cs="Arial"/>
                <w:sz w:val="20"/>
                <w:szCs w:val="20"/>
                <w:lang w:val="es-ES_tradnl"/>
              </w:rPr>
              <w:t>aclarar los conceptos de “territorio” y “lugar” en relación con la aplicación del Artículo 15.1)i);</w:t>
            </w:r>
          </w:p>
          <w:p w14:paraId="59C4CAD0" w14:textId="77777777" w:rsidR="002668AE" w:rsidRDefault="007E236F" w:rsidP="002668AE">
            <w:pPr>
              <w:pStyle w:val="ListParagraph"/>
              <w:numPr>
                <w:ilvl w:val="0"/>
                <w:numId w:val="8"/>
              </w:numPr>
              <w:spacing w:before="120" w:after="120"/>
              <w:ind w:left="1080" w:hanging="630"/>
              <w:jc w:val="both"/>
              <w:rPr>
                <w:rFonts w:ascii="Arial" w:hAnsi="Arial" w:cs="Arial"/>
                <w:sz w:val="20"/>
                <w:szCs w:val="20"/>
                <w:lang w:val="es-ES_tradnl"/>
              </w:rPr>
            </w:pPr>
            <w:r w:rsidRPr="002668AE">
              <w:rPr>
                <w:rFonts w:ascii="Arial" w:hAnsi="Arial" w:cs="Arial"/>
                <w:sz w:val="20"/>
                <w:szCs w:val="20"/>
                <w:lang w:val="es-ES_tradnl"/>
              </w:rPr>
              <w:t xml:space="preserve">tener en cuenta que </w:t>
            </w:r>
            <w:r w:rsidR="00374A03" w:rsidRPr="002668AE">
              <w:rPr>
                <w:rFonts w:ascii="Arial" w:hAnsi="Arial" w:cs="Arial"/>
                <w:sz w:val="20"/>
                <w:szCs w:val="20"/>
                <w:lang w:val="es-ES_tradnl"/>
              </w:rPr>
              <w:t>el intercambio y la venta de material de la variedad protegida sería</w:t>
            </w:r>
            <w:r w:rsidRPr="002668AE">
              <w:rPr>
                <w:rFonts w:ascii="Arial" w:hAnsi="Arial" w:cs="Arial"/>
                <w:sz w:val="20"/>
                <w:szCs w:val="20"/>
                <w:lang w:val="es-ES_tradnl"/>
              </w:rPr>
              <w:t>n</w:t>
            </w:r>
            <w:r w:rsidR="00374A03" w:rsidRPr="002668AE">
              <w:rPr>
                <w:rFonts w:ascii="Arial" w:hAnsi="Arial" w:cs="Arial"/>
                <w:sz w:val="20"/>
                <w:szCs w:val="20"/>
                <w:lang w:val="es-ES_tradnl"/>
              </w:rPr>
              <w:t xml:space="preserve"> contrari</w:t>
            </w:r>
            <w:r w:rsidRPr="002668AE">
              <w:rPr>
                <w:rFonts w:ascii="Arial" w:hAnsi="Arial" w:cs="Arial"/>
                <w:sz w:val="20"/>
                <w:szCs w:val="20"/>
                <w:lang w:val="es-ES_tradnl"/>
              </w:rPr>
              <w:t>os</w:t>
            </w:r>
            <w:r w:rsidR="00374A03" w:rsidRPr="002668AE">
              <w:rPr>
                <w:rFonts w:ascii="Arial" w:hAnsi="Arial" w:cs="Arial"/>
                <w:sz w:val="20"/>
                <w:szCs w:val="20"/>
                <w:lang w:val="es-ES_tradnl"/>
              </w:rPr>
              <w:t xml:space="preserve"> al Artículo 15.1)i)</w:t>
            </w:r>
            <w:r w:rsidRPr="002668AE">
              <w:rPr>
                <w:rFonts w:ascii="Arial" w:hAnsi="Arial" w:cs="Arial"/>
                <w:sz w:val="20"/>
                <w:szCs w:val="20"/>
                <w:lang w:val="es-ES_tradnl"/>
              </w:rPr>
              <w:t>;</w:t>
            </w:r>
          </w:p>
          <w:p w14:paraId="7F095A3D" w14:textId="77777777" w:rsidR="002668AE" w:rsidRDefault="007E236F" w:rsidP="002668AE">
            <w:pPr>
              <w:pStyle w:val="ListParagraph"/>
              <w:numPr>
                <w:ilvl w:val="0"/>
                <w:numId w:val="8"/>
              </w:numPr>
              <w:spacing w:before="120" w:after="120"/>
              <w:ind w:left="1080" w:hanging="630"/>
              <w:jc w:val="both"/>
              <w:rPr>
                <w:rFonts w:ascii="Arial" w:hAnsi="Arial" w:cs="Arial"/>
                <w:sz w:val="20"/>
                <w:szCs w:val="20"/>
                <w:lang w:val="es-ES_tradnl"/>
              </w:rPr>
            </w:pPr>
            <w:r w:rsidRPr="002668AE">
              <w:rPr>
                <w:rFonts w:ascii="Arial" w:hAnsi="Arial" w:cs="Arial"/>
                <w:sz w:val="20"/>
                <w:szCs w:val="20"/>
                <w:lang w:val="es-ES_tradnl"/>
              </w:rPr>
              <w:lastRenderedPageBreak/>
              <w:t>aclarar a los obtentores y agricultores qué actos quedan cubiertos por la excepción facultativa relativa a los “actos con fines comerciales” o por la excepción obligatoria relativa a los “actos con fines no comerciales”</w:t>
            </w:r>
            <w:r w:rsidR="009C2803" w:rsidRPr="002668AE">
              <w:rPr>
                <w:rFonts w:ascii="Arial" w:hAnsi="Arial" w:cs="Arial"/>
                <w:sz w:val="20"/>
                <w:szCs w:val="20"/>
                <w:lang w:val="es-ES_tradnl"/>
              </w:rPr>
              <w:t>;</w:t>
            </w:r>
          </w:p>
          <w:p w14:paraId="0838F4AC" w14:textId="77777777" w:rsidR="002668AE" w:rsidRDefault="00AD6273" w:rsidP="002668AE">
            <w:pPr>
              <w:pStyle w:val="ListParagraph"/>
              <w:numPr>
                <w:ilvl w:val="0"/>
                <w:numId w:val="8"/>
              </w:numPr>
              <w:spacing w:before="120" w:after="120"/>
              <w:ind w:left="1080" w:hanging="630"/>
              <w:jc w:val="both"/>
              <w:rPr>
                <w:rFonts w:ascii="Arial" w:hAnsi="Arial" w:cs="Arial"/>
                <w:sz w:val="20"/>
                <w:szCs w:val="20"/>
                <w:lang w:val="es-ES_tradnl"/>
              </w:rPr>
            </w:pPr>
            <w:r w:rsidRPr="002668AE">
              <w:rPr>
                <w:rFonts w:ascii="Arial" w:hAnsi="Arial" w:cs="Arial"/>
                <w:sz w:val="20"/>
                <w:szCs w:val="20"/>
                <w:lang w:val="es-ES_tradnl"/>
              </w:rPr>
              <w:t>enumerar, en relación con el Artículo 15.1)i), todos los factores de lo que puede considerarse un uso legítimo con fines no comerciales y en qué circunstancias podría afectar al interés legítimo del obtentor por recuperar su inversión en fitomejoramiento;</w:t>
            </w:r>
          </w:p>
          <w:p w14:paraId="59A2F678" w14:textId="06494484" w:rsidR="008C5084" w:rsidRPr="002668AE" w:rsidRDefault="00F54751" w:rsidP="002668AE">
            <w:pPr>
              <w:pStyle w:val="ListParagraph"/>
              <w:numPr>
                <w:ilvl w:val="0"/>
                <w:numId w:val="8"/>
              </w:numPr>
              <w:spacing w:before="120" w:after="120"/>
              <w:ind w:left="1080" w:hanging="630"/>
              <w:jc w:val="both"/>
              <w:rPr>
                <w:rFonts w:ascii="Arial" w:hAnsi="Arial" w:cs="Arial"/>
                <w:sz w:val="20"/>
                <w:szCs w:val="20"/>
                <w:lang w:val="es-ES_tradnl"/>
              </w:rPr>
            </w:pPr>
            <w:r>
              <w:rPr>
                <w:rFonts w:ascii="Arial" w:hAnsi="Arial" w:cs="Arial"/>
                <w:sz w:val="20"/>
                <w:szCs w:val="20"/>
                <w:lang w:val="es-ES_tradnl"/>
              </w:rPr>
              <w:t>aclarar</w:t>
            </w:r>
            <w:r w:rsidR="00B76E43" w:rsidRPr="002668AE">
              <w:rPr>
                <w:rFonts w:ascii="Arial" w:hAnsi="Arial" w:cs="Arial"/>
                <w:sz w:val="20"/>
                <w:szCs w:val="20"/>
                <w:lang w:val="es-ES_tradnl"/>
              </w:rPr>
              <w:t xml:space="preserve">, en relación con el Artículo 15.1)i), </w:t>
            </w:r>
            <w:r w:rsidR="00AD6273" w:rsidRPr="002668AE">
              <w:rPr>
                <w:rFonts w:ascii="Arial" w:hAnsi="Arial" w:cs="Arial"/>
                <w:sz w:val="20"/>
                <w:szCs w:val="20"/>
                <w:lang w:val="es-ES_tradnl"/>
              </w:rPr>
              <w:t>que la venta de semillas de variedades protegidas no satisfaría el requisito de uso privado con fines no comerciales</w:t>
            </w:r>
            <w:r w:rsidR="00B76E43" w:rsidRPr="002668AE">
              <w:rPr>
                <w:rFonts w:ascii="Arial" w:hAnsi="Arial" w:cs="Arial"/>
                <w:sz w:val="20"/>
                <w:szCs w:val="20"/>
                <w:lang w:val="es-ES_tradnl"/>
              </w:rPr>
              <w:t>;</w:t>
            </w:r>
          </w:p>
          <w:p w14:paraId="3BD4CE57" w14:textId="77777777" w:rsidR="002668AE" w:rsidRDefault="0048609D" w:rsidP="002668AE">
            <w:pPr>
              <w:pStyle w:val="ListParagraph"/>
              <w:numPr>
                <w:ilvl w:val="0"/>
                <w:numId w:val="8"/>
              </w:numPr>
              <w:spacing w:before="120" w:after="120"/>
              <w:ind w:left="1080" w:hanging="630"/>
              <w:jc w:val="both"/>
              <w:rPr>
                <w:rFonts w:ascii="Arial" w:hAnsi="Arial" w:cs="Arial"/>
                <w:sz w:val="20"/>
                <w:szCs w:val="20"/>
                <w:lang w:val="es-ES_tradnl"/>
              </w:rPr>
            </w:pPr>
            <w:r w:rsidRPr="002668AE">
              <w:rPr>
                <w:rFonts w:ascii="Arial" w:hAnsi="Arial" w:cs="Arial"/>
                <w:sz w:val="20"/>
                <w:szCs w:val="20"/>
                <w:lang w:val="es-ES_tradnl"/>
              </w:rPr>
              <w:t>considerar, en relación con</w:t>
            </w:r>
            <w:r w:rsidRPr="002668AE">
              <w:rPr>
                <w:rFonts w:ascii="Arial" w:hAnsi="Arial" w:cs="Arial"/>
                <w:snapToGrid w:val="0"/>
                <w:sz w:val="20"/>
                <w:szCs w:val="20"/>
                <w:lang w:val="es-ES_tradnl"/>
              </w:rPr>
              <w:t xml:space="preserve"> el Artículo 15.1)i),</w:t>
            </w:r>
            <w:r w:rsidRPr="002668AE">
              <w:rPr>
                <w:rFonts w:ascii="Arial" w:hAnsi="Arial" w:cs="Arial"/>
                <w:sz w:val="20"/>
                <w:szCs w:val="20"/>
                <w:lang w:val="es-ES_tradnl"/>
              </w:rPr>
              <w:t xml:space="preserve"> </w:t>
            </w:r>
            <w:r w:rsidRPr="002668AE">
              <w:rPr>
                <w:rFonts w:ascii="Arial" w:hAnsi="Arial" w:cs="Arial"/>
                <w:snapToGrid w:val="0"/>
                <w:spacing w:val="-4"/>
                <w:sz w:val="20"/>
                <w:szCs w:val="20"/>
                <w:lang w:val="es-ES_tradnl"/>
              </w:rPr>
              <w:t xml:space="preserve">la posibilidad de incluir </w:t>
            </w:r>
            <w:r w:rsidRPr="002668AE">
              <w:rPr>
                <w:rFonts w:ascii="Arial" w:hAnsi="Arial" w:cs="Arial"/>
                <w:sz w:val="20"/>
                <w:szCs w:val="20"/>
                <w:lang w:val="es-ES_tradnl"/>
              </w:rPr>
              <w:t>varios ejemplos basados en casos concretos aportados por miembros de la UPOV</w:t>
            </w:r>
            <w:r w:rsidRPr="002668AE">
              <w:rPr>
                <w:rFonts w:ascii="Arial" w:hAnsi="Arial" w:cs="Arial"/>
                <w:snapToGrid w:val="0"/>
                <w:spacing w:val="-4"/>
                <w:sz w:val="20"/>
                <w:szCs w:val="20"/>
                <w:lang w:val="es-ES_tradnl"/>
              </w:rPr>
              <w:t>; y</w:t>
            </w:r>
          </w:p>
          <w:p w14:paraId="20DE6143" w14:textId="0C0F2395" w:rsidR="00325F14" w:rsidRPr="002668AE" w:rsidRDefault="0048609D" w:rsidP="002668AE">
            <w:pPr>
              <w:pStyle w:val="ListParagraph"/>
              <w:numPr>
                <w:ilvl w:val="0"/>
                <w:numId w:val="8"/>
              </w:numPr>
              <w:spacing w:before="120" w:after="120"/>
              <w:ind w:left="1080" w:hanging="630"/>
              <w:jc w:val="both"/>
              <w:rPr>
                <w:rFonts w:ascii="Arial" w:hAnsi="Arial" w:cs="Arial"/>
                <w:sz w:val="20"/>
                <w:szCs w:val="20"/>
                <w:lang w:val="es-ES_tradnl"/>
              </w:rPr>
            </w:pPr>
            <w:r w:rsidRPr="002668AE">
              <w:rPr>
                <w:rFonts w:ascii="Arial" w:hAnsi="Arial" w:cs="Arial"/>
                <w:sz w:val="20"/>
                <w:szCs w:val="20"/>
                <w:lang w:val="es-ES_tradnl"/>
              </w:rPr>
              <w:t>explicar que es posible que los obtentores prefieran no emprender acciones judiciales contra los agricultores a pequeña escala porque los actos de estos se consideran ajenos a su actividad empresarial principal.</w:t>
            </w:r>
          </w:p>
        </w:tc>
      </w:tr>
    </w:tbl>
    <w:p w14:paraId="32BBBBA9" w14:textId="264720AC" w:rsidR="00325F14" w:rsidRPr="002668AE" w:rsidRDefault="00CC64B1" w:rsidP="002668AE">
      <w:pPr>
        <w:spacing w:before="360"/>
        <w:rPr>
          <w:snapToGrid w:val="0"/>
          <w:color w:val="000000" w:themeColor="text1"/>
          <w:u w:val="single"/>
          <w:lang w:val="es-ES_tradnl"/>
        </w:rPr>
      </w:pPr>
      <w:r w:rsidRPr="002668AE">
        <w:rPr>
          <w:snapToGrid w:val="0"/>
          <w:color w:val="000000" w:themeColor="text1"/>
          <w:u w:val="single"/>
          <w:lang w:val="es-ES_tradnl"/>
        </w:rPr>
        <w:lastRenderedPageBreak/>
        <w:t>Opciones respecto de las cuestiones que podrían examinarse una revisión de las preguntas frecuentes sobre las excepciones al derecho de obtentor</w:t>
      </w:r>
    </w:p>
    <w:tbl>
      <w:tblPr>
        <w:tblW w:w="0" w:type="auto"/>
        <w:tblInd w:w="2" w:type="dxa"/>
        <w:tblCellMar>
          <w:top w:w="57" w:type="dxa"/>
          <w:left w:w="85" w:type="dxa"/>
          <w:right w:w="113" w:type="dxa"/>
        </w:tblCellMar>
        <w:tblLook w:val="0000" w:firstRow="0" w:lastRow="0" w:firstColumn="0" w:lastColumn="0" w:noHBand="0" w:noVBand="0"/>
      </w:tblPr>
      <w:tblGrid>
        <w:gridCol w:w="9629"/>
      </w:tblGrid>
      <w:tr w:rsidR="00325F14" w:rsidRPr="002668AE" w14:paraId="1098D4B2" w14:textId="77777777" w:rsidTr="00F172AF">
        <w:tc>
          <w:tcPr>
            <w:tcW w:w="9629" w:type="dxa"/>
          </w:tcPr>
          <w:p w14:paraId="12FE809E" w14:textId="77777777" w:rsidR="002668AE" w:rsidRDefault="00134973" w:rsidP="002668AE">
            <w:pPr>
              <w:spacing w:before="120" w:after="120"/>
              <w:rPr>
                <w:rFonts w:cs="Arial"/>
                <w:lang w:val="es-ES_tradnl"/>
              </w:rPr>
            </w:pPr>
            <w:r w:rsidRPr="002668AE">
              <w:rPr>
                <w:rFonts w:cs="Arial"/>
                <w:lang w:val="es-ES_tradnl"/>
              </w:rPr>
              <w:t>Estudiar las posibilidades de:</w:t>
            </w:r>
          </w:p>
          <w:p w14:paraId="2A87D39A" w14:textId="6D1A5163" w:rsidR="002668AE" w:rsidRDefault="00FE1B1E" w:rsidP="002668AE">
            <w:pPr>
              <w:pStyle w:val="ListParagraph"/>
              <w:numPr>
                <w:ilvl w:val="0"/>
                <w:numId w:val="9"/>
              </w:numPr>
              <w:spacing w:before="120" w:after="120"/>
              <w:ind w:left="1080" w:hanging="630"/>
              <w:jc w:val="both"/>
              <w:rPr>
                <w:rFonts w:ascii="Arial" w:hAnsi="Arial" w:cs="Arial"/>
                <w:sz w:val="20"/>
                <w:szCs w:val="20"/>
                <w:lang w:val="es-ES_tradnl"/>
              </w:rPr>
            </w:pPr>
            <w:r w:rsidRPr="002668AE">
              <w:rPr>
                <w:rFonts w:ascii="Arial" w:hAnsi="Arial" w:cs="Arial"/>
                <w:sz w:val="20"/>
                <w:szCs w:val="20"/>
                <w:lang w:val="es-ES_tradnl"/>
              </w:rPr>
              <w:t xml:space="preserve">explicar que los actos permitidos en virtud de las excepciones al derecho de obtentor pueden estar limitados por otras normas nacionales o regionales (por ejemplo, leyes de semillas, fitosanitarias, de bioseguridad </w:t>
            </w:r>
            <w:r w:rsidR="001E6CB3">
              <w:rPr>
                <w:rFonts w:ascii="Arial" w:hAnsi="Arial" w:cs="Arial"/>
                <w:sz w:val="20"/>
                <w:szCs w:val="20"/>
                <w:lang w:val="es-ES_tradnl"/>
              </w:rPr>
              <w:t>(</w:t>
            </w:r>
            <w:r w:rsidR="001E6CB3" w:rsidRPr="001E6CB3">
              <w:rPr>
                <w:rFonts w:ascii="Arial" w:hAnsi="Arial" w:cs="Arial"/>
                <w:i/>
                <w:sz w:val="20"/>
                <w:szCs w:val="20"/>
                <w:lang w:val="es-ES_tradnl"/>
              </w:rPr>
              <w:t>biosafety</w:t>
            </w:r>
            <w:r w:rsidR="001E6CB3">
              <w:rPr>
                <w:rFonts w:ascii="Arial" w:hAnsi="Arial" w:cs="Arial"/>
                <w:sz w:val="20"/>
                <w:szCs w:val="20"/>
                <w:lang w:val="es-ES_tradnl"/>
              </w:rPr>
              <w:t xml:space="preserve">) </w:t>
            </w:r>
            <w:r w:rsidRPr="002668AE">
              <w:rPr>
                <w:rFonts w:ascii="Arial" w:hAnsi="Arial" w:cs="Arial"/>
                <w:sz w:val="20"/>
                <w:szCs w:val="20"/>
                <w:lang w:val="es-ES_tradnl"/>
              </w:rPr>
              <w:t>de organismos modificados genéticamente o de bio</w:t>
            </w:r>
            <w:r w:rsidR="001E6CB3">
              <w:rPr>
                <w:rFonts w:ascii="Arial" w:hAnsi="Arial" w:cs="Arial"/>
                <w:sz w:val="20"/>
                <w:szCs w:val="20"/>
                <w:lang w:val="es-ES_tradnl"/>
              </w:rPr>
              <w:t>protección (</w:t>
            </w:r>
            <w:r w:rsidR="001E6CB3" w:rsidRPr="001E6CB3">
              <w:rPr>
                <w:rFonts w:ascii="Arial" w:hAnsi="Arial" w:cs="Arial"/>
                <w:i/>
                <w:sz w:val="20"/>
                <w:szCs w:val="20"/>
                <w:lang w:val="es-ES_tradnl"/>
              </w:rPr>
              <w:t>biosecurity</w:t>
            </w:r>
            <w:r w:rsidR="001E6CB3">
              <w:rPr>
                <w:rFonts w:ascii="Arial" w:hAnsi="Arial" w:cs="Arial"/>
                <w:sz w:val="20"/>
                <w:szCs w:val="20"/>
                <w:lang w:val="es-ES_tradnl"/>
              </w:rPr>
              <w:t>)</w:t>
            </w:r>
            <w:r w:rsidRPr="002668AE">
              <w:rPr>
                <w:rFonts w:ascii="Arial" w:hAnsi="Arial" w:cs="Arial"/>
                <w:sz w:val="20"/>
                <w:szCs w:val="20"/>
                <w:lang w:val="es-ES_tradnl"/>
              </w:rPr>
              <w:t>);</w:t>
            </w:r>
          </w:p>
          <w:p w14:paraId="63508605" w14:textId="77777777" w:rsidR="002668AE" w:rsidRDefault="00FE1B1E" w:rsidP="002668AE">
            <w:pPr>
              <w:pStyle w:val="ListParagraph"/>
              <w:numPr>
                <w:ilvl w:val="0"/>
                <w:numId w:val="9"/>
              </w:numPr>
              <w:spacing w:before="120" w:after="120"/>
              <w:ind w:left="1080" w:hanging="630"/>
              <w:jc w:val="both"/>
              <w:rPr>
                <w:rFonts w:ascii="Arial" w:hAnsi="Arial" w:cs="Arial"/>
                <w:sz w:val="20"/>
                <w:szCs w:val="20"/>
                <w:lang w:val="es-ES_tradnl"/>
              </w:rPr>
            </w:pPr>
            <w:r w:rsidRPr="002668AE">
              <w:rPr>
                <w:rFonts w:ascii="Arial" w:hAnsi="Arial" w:cs="Arial"/>
                <w:sz w:val="20"/>
                <w:szCs w:val="20"/>
                <w:lang w:val="es-ES_tradnl"/>
              </w:rPr>
              <w:t>explicar que</w:t>
            </w:r>
            <w:r w:rsidR="008D17EB" w:rsidRPr="002668AE">
              <w:rPr>
                <w:rFonts w:ascii="Arial" w:hAnsi="Arial" w:cs="Arial"/>
                <w:sz w:val="20"/>
                <w:szCs w:val="20"/>
                <w:lang w:val="es-ES_tradnl"/>
              </w:rPr>
              <w:t>,</w:t>
            </w:r>
            <w:r w:rsidRPr="002668AE">
              <w:rPr>
                <w:rFonts w:ascii="Arial" w:hAnsi="Arial" w:cs="Arial"/>
                <w:sz w:val="20"/>
                <w:szCs w:val="20"/>
                <w:lang w:val="es-ES_tradnl"/>
              </w:rPr>
              <w:t xml:space="preserve"> si </w:t>
            </w:r>
            <w:r w:rsidR="00C70094" w:rsidRPr="002668AE">
              <w:rPr>
                <w:rFonts w:ascii="Arial" w:hAnsi="Arial" w:cs="Arial"/>
                <w:sz w:val="20"/>
                <w:szCs w:val="20"/>
                <w:lang w:val="es-ES_tradnl"/>
              </w:rPr>
              <w:t>los excedentes de producción de semillas de variedades protegidas pudieran intercambiarse o venderse sin el etiquetado oficial o la marca del titular del derecho</w:t>
            </w:r>
            <w:r w:rsidR="008D17EB" w:rsidRPr="002668AE">
              <w:rPr>
                <w:rFonts w:ascii="Arial" w:hAnsi="Arial" w:cs="Arial"/>
                <w:sz w:val="20"/>
                <w:szCs w:val="20"/>
                <w:lang w:val="es-ES_tradnl"/>
              </w:rPr>
              <w:t>,</w:t>
            </w:r>
            <w:r w:rsidR="00C70094" w:rsidRPr="002668AE">
              <w:rPr>
                <w:rFonts w:ascii="Arial" w:hAnsi="Arial" w:cs="Arial"/>
                <w:sz w:val="20"/>
                <w:szCs w:val="20"/>
                <w:lang w:val="es-ES_tradnl"/>
              </w:rPr>
              <w:t xml:space="preserve"> sería un permiso </w:t>
            </w:r>
            <w:r w:rsidR="00C70094" w:rsidRPr="002668AE">
              <w:rPr>
                <w:rFonts w:ascii="Arial" w:hAnsi="Arial" w:cs="Arial"/>
                <w:i/>
                <w:iCs/>
                <w:sz w:val="20"/>
                <w:szCs w:val="20"/>
                <w:lang w:val="es-ES_tradnl"/>
              </w:rPr>
              <w:t>de facto</w:t>
            </w:r>
            <w:r w:rsidR="00C70094" w:rsidRPr="002668AE">
              <w:rPr>
                <w:rFonts w:ascii="Arial" w:hAnsi="Arial" w:cs="Arial"/>
                <w:sz w:val="20"/>
                <w:szCs w:val="20"/>
                <w:lang w:val="es-ES_tradnl"/>
              </w:rPr>
              <w:t xml:space="preserve"> para la venta o el intercambio de semillas no certificadas y la comercialización de semillas ilegales</w:t>
            </w:r>
            <w:r w:rsidRPr="002668AE">
              <w:rPr>
                <w:rFonts w:ascii="Arial" w:hAnsi="Arial" w:cs="Arial"/>
                <w:sz w:val="20"/>
                <w:szCs w:val="20"/>
                <w:lang w:val="es-ES_tradnl"/>
              </w:rPr>
              <w:t>;</w:t>
            </w:r>
          </w:p>
          <w:p w14:paraId="5D27305B" w14:textId="77777777" w:rsidR="002668AE" w:rsidRDefault="00C70094" w:rsidP="002668AE">
            <w:pPr>
              <w:pStyle w:val="ListParagraph"/>
              <w:numPr>
                <w:ilvl w:val="0"/>
                <w:numId w:val="9"/>
              </w:numPr>
              <w:spacing w:before="120" w:after="120"/>
              <w:ind w:left="1080" w:hanging="630"/>
              <w:jc w:val="both"/>
              <w:rPr>
                <w:rFonts w:ascii="Arial" w:hAnsi="Arial" w:cs="Arial"/>
                <w:sz w:val="20"/>
                <w:szCs w:val="20"/>
                <w:lang w:val="es-ES_tradnl"/>
              </w:rPr>
            </w:pPr>
            <w:r w:rsidRPr="002668AE">
              <w:rPr>
                <w:rFonts w:ascii="Arial" w:hAnsi="Arial" w:cs="Arial"/>
                <w:sz w:val="20"/>
                <w:szCs w:val="20"/>
                <w:lang w:val="es-ES_tradnl"/>
              </w:rPr>
              <w:t xml:space="preserve">explicar la forma de [poner a disposición de]/[proporcionar acceso a] los agricultores, en particular los agricultores a pequeña escala, </w:t>
            </w:r>
            <w:r w:rsidR="008D17EB" w:rsidRPr="002668AE">
              <w:rPr>
                <w:rFonts w:ascii="Arial" w:hAnsi="Arial" w:cs="Arial"/>
                <w:sz w:val="20"/>
                <w:szCs w:val="20"/>
                <w:lang w:val="es-ES_tradnl"/>
              </w:rPr>
              <w:t xml:space="preserve">[a] </w:t>
            </w:r>
            <w:r w:rsidRPr="002668AE">
              <w:rPr>
                <w:rFonts w:ascii="Arial" w:hAnsi="Arial" w:cs="Arial"/>
                <w:sz w:val="20"/>
                <w:szCs w:val="20"/>
                <w:lang w:val="es-ES_tradnl"/>
              </w:rPr>
              <w:t>variedades mejoradas cuando pasen a ser de dominio público, una vez finalizado su período de protección;</w:t>
            </w:r>
          </w:p>
          <w:p w14:paraId="440949A0" w14:textId="77777777" w:rsidR="002668AE" w:rsidRDefault="00022536" w:rsidP="002668AE">
            <w:pPr>
              <w:pStyle w:val="ListParagraph"/>
              <w:numPr>
                <w:ilvl w:val="0"/>
                <w:numId w:val="9"/>
              </w:numPr>
              <w:spacing w:before="120" w:after="120"/>
              <w:ind w:left="1080" w:hanging="630"/>
              <w:jc w:val="both"/>
              <w:rPr>
                <w:rFonts w:ascii="Arial" w:hAnsi="Arial" w:cs="Arial"/>
                <w:sz w:val="20"/>
                <w:szCs w:val="20"/>
                <w:lang w:val="es-ES_tradnl"/>
              </w:rPr>
            </w:pPr>
            <w:r w:rsidRPr="002668AE">
              <w:rPr>
                <w:rFonts w:ascii="Arial" w:hAnsi="Arial" w:cs="Arial"/>
                <w:sz w:val="20"/>
                <w:szCs w:val="20"/>
                <w:lang w:val="es-ES_tradnl"/>
              </w:rPr>
              <w:t>explicar el modo de</w:t>
            </w:r>
            <w:r w:rsidRPr="002668AE">
              <w:rPr>
                <w:lang w:val="es-ES_tradnl"/>
              </w:rPr>
              <w:t xml:space="preserve"> </w:t>
            </w:r>
            <w:r w:rsidRPr="002668AE">
              <w:rPr>
                <w:rFonts w:ascii="Arial" w:hAnsi="Arial" w:cs="Arial"/>
                <w:sz w:val="20"/>
                <w:szCs w:val="20"/>
                <w:lang w:val="es-ES_tradnl"/>
              </w:rPr>
              <w:t>mejorar la situación de los agricultores de subsistencia en ámbitos comprendidos en el mandato de la UPOV, procurando evitar la duplicación de tareas en otros órganos internacionales, como la Organización de las Naciones Unidas para la Agricultura y la Alimentación (FAO) y el Tratado Internacional sobre los Recursos Fitogenéticos para la Alimentación y la Agricultura (ITPGRFA);</w:t>
            </w:r>
          </w:p>
          <w:p w14:paraId="2A02E533" w14:textId="77777777" w:rsidR="002668AE" w:rsidRDefault="00022536" w:rsidP="002668AE">
            <w:pPr>
              <w:pStyle w:val="ListParagraph"/>
              <w:numPr>
                <w:ilvl w:val="0"/>
                <w:numId w:val="9"/>
              </w:numPr>
              <w:spacing w:before="120" w:after="120"/>
              <w:ind w:left="1080" w:hanging="630"/>
              <w:jc w:val="both"/>
              <w:rPr>
                <w:rFonts w:ascii="Arial" w:hAnsi="Arial" w:cs="Arial"/>
                <w:sz w:val="20"/>
                <w:szCs w:val="20"/>
                <w:lang w:val="es-ES_tradnl"/>
              </w:rPr>
            </w:pPr>
            <w:r w:rsidRPr="002668AE">
              <w:rPr>
                <w:rFonts w:ascii="Arial" w:hAnsi="Arial" w:cs="Arial"/>
                <w:sz w:val="20"/>
                <w:szCs w:val="20"/>
                <w:lang w:val="es-ES_tradnl"/>
              </w:rPr>
              <w:t>expl</w:t>
            </w:r>
            <w:r w:rsidR="000B08EC" w:rsidRPr="002668AE">
              <w:rPr>
                <w:rFonts w:ascii="Arial" w:hAnsi="Arial" w:cs="Arial"/>
                <w:sz w:val="20"/>
                <w:szCs w:val="20"/>
                <w:lang w:val="es-ES_tradnl"/>
              </w:rPr>
              <w:t>icar que, según la encuesta efectuada entre los</w:t>
            </w:r>
            <w:r w:rsidRPr="002668AE">
              <w:rPr>
                <w:rFonts w:ascii="Arial" w:hAnsi="Arial" w:cs="Arial"/>
                <w:sz w:val="20"/>
                <w:szCs w:val="20"/>
                <w:lang w:val="es-ES_tradnl"/>
              </w:rPr>
              <w:t xml:space="preserve"> miembros de la </w:t>
            </w:r>
            <w:r w:rsidR="000B08EC" w:rsidRPr="002668AE">
              <w:rPr>
                <w:rFonts w:ascii="Arial" w:hAnsi="Arial" w:cs="Arial"/>
                <w:sz w:val="20"/>
                <w:szCs w:val="20"/>
                <w:lang w:val="es-ES_tradnl"/>
              </w:rPr>
              <w:t>UPOV,</w:t>
            </w:r>
            <w:r w:rsidRPr="002668AE">
              <w:rPr>
                <w:rFonts w:ascii="Arial" w:hAnsi="Arial" w:cs="Arial"/>
                <w:sz w:val="20"/>
                <w:szCs w:val="20"/>
                <w:lang w:val="es-ES_tradnl"/>
              </w:rPr>
              <w:t xml:space="preserve"> </w:t>
            </w:r>
            <w:r w:rsidR="000B08EC" w:rsidRPr="002668AE">
              <w:rPr>
                <w:rFonts w:ascii="Arial" w:hAnsi="Arial" w:cs="Arial"/>
                <w:sz w:val="20"/>
                <w:szCs w:val="20"/>
                <w:lang w:val="es-ES_tradnl"/>
              </w:rPr>
              <w:t>en ninguno de ellos se han notificado demandas judiciales contra agricultores a pequeña escala por infracción de derechos de obtentor</w:t>
            </w:r>
            <w:r w:rsidRPr="002668AE">
              <w:rPr>
                <w:rFonts w:ascii="Arial" w:hAnsi="Arial" w:cs="Arial"/>
                <w:sz w:val="20"/>
                <w:szCs w:val="20"/>
                <w:lang w:val="es-ES_tradnl"/>
              </w:rPr>
              <w:t>;</w:t>
            </w:r>
          </w:p>
          <w:p w14:paraId="752D4B1D" w14:textId="77777777" w:rsidR="002668AE" w:rsidRDefault="000B08EC" w:rsidP="002668AE">
            <w:pPr>
              <w:pStyle w:val="ListParagraph"/>
              <w:numPr>
                <w:ilvl w:val="0"/>
                <w:numId w:val="9"/>
              </w:numPr>
              <w:spacing w:before="120" w:after="120"/>
              <w:ind w:left="1080" w:hanging="630"/>
              <w:jc w:val="both"/>
              <w:rPr>
                <w:rFonts w:ascii="Arial" w:hAnsi="Arial" w:cs="Arial"/>
                <w:sz w:val="20"/>
                <w:szCs w:val="20"/>
                <w:lang w:val="es-ES_tradnl"/>
              </w:rPr>
            </w:pPr>
            <w:r w:rsidRPr="002668AE">
              <w:rPr>
                <w:rFonts w:ascii="Arial" w:hAnsi="Arial" w:cs="Arial"/>
                <w:sz w:val="20"/>
                <w:szCs w:val="20"/>
                <w:lang w:val="es-ES_tradnl"/>
              </w:rPr>
              <w:t>explicar que sería problemático intentar definir el término “agricultor a pequeña escala”;</w:t>
            </w:r>
          </w:p>
          <w:p w14:paraId="66B79EF6" w14:textId="2D18BB09" w:rsidR="002668AE" w:rsidRDefault="006C7EEC" w:rsidP="002668AE">
            <w:pPr>
              <w:pStyle w:val="ListParagraph"/>
              <w:numPr>
                <w:ilvl w:val="0"/>
                <w:numId w:val="9"/>
              </w:numPr>
              <w:spacing w:before="120" w:after="120"/>
              <w:ind w:left="1080" w:hanging="630"/>
              <w:jc w:val="both"/>
              <w:rPr>
                <w:rFonts w:ascii="Arial" w:hAnsi="Arial" w:cs="Arial"/>
                <w:sz w:val="20"/>
                <w:szCs w:val="20"/>
                <w:lang w:val="es-ES_tradnl"/>
              </w:rPr>
            </w:pPr>
            <w:r w:rsidRPr="002668AE">
              <w:rPr>
                <w:rFonts w:ascii="Arial" w:hAnsi="Arial" w:cs="Arial"/>
                <w:sz w:val="20"/>
                <w:szCs w:val="20"/>
                <w:lang w:val="es-ES_tradnl"/>
              </w:rPr>
              <w:t xml:space="preserve">explicar que </w:t>
            </w:r>
            <w:r w:rsidR="000B08EC" w:rsidRPr="002668AE">
              <w:rPr>
                <w:rFonts w:ascii="Arial" w:hAnsi="Arial" w:cs="Arial"/>
                <w:sz w:val="20"/>
                <w:szCs w:val="20"/>
                <w:lang w:val="es-ES_tradnl"/>
              </w:rPr>
              <w:t xml:space="preserve">todos los agricultores necesitan acceder a </w:t>
            </w:r>
            <w:r w:rsidRPr="002668AE">
              <w:rPr>
                <w:rFonts w:ascii="Arial" w:hAnsi="Arial" w:cs="Arial"/>
                <w:sz w:val="20"/>
                <w:szCs w:val="20"/>
                <w:lang w:val="es-ES_tradnl"/>
              </w:rPr>
              <w:t xml:space="preserve">buenas </w:t>
            </w:r>
            <w:r w:rsidR="000B08EC" w:rsidRPr="002668AE">
              <w:rPr>
                <w:rFonts w:ascii="Arial" w:hAnsi="Arial" w:cs="Arial"/>
                <w:sz w:val="20"/>
                <w:szCs w:val="20"/>
                <w:lang w:val="es-ES_tradnl"/>
              </w:rPr>
              <w:t>semillas y que es importante mejorar sus medios de subsistencia en todo el mundo</w:t>
            </w:r>
            <w:r w:rsidRPr="002668AE">
              <w:rPr>
                <w:rFonts w:ascii="Arial" w:hAnsi="Arial" w:cs="Arial"/>
                <w:sz w:val="20"/>
                <w:szCs w:val="20"/>
                <w:lang w:val="es-ES_tradnl"/>
              </w:rPr>
              <w:t xml:space="preserve"> y facilitarles el acceso a semillas de calidad</w:t>
            </w:r>
            <w:r w:rsidR="009A4DE7" w:rsidRPr="002668AE">
              <w:rPr>
                <w:rFonts w:ascii="Arial" w:hAnsi="Arial" w:cs="Arial"/>
                <w:sz w:val="20"/>
                <w:szCs w:val="20"/>
                <w:lang w:val="es-ES_tradnl"/>
              </w:rPr>
              <w:t>; y</w:t>
            </w:r>
          </w:p>
          <w:p w14:paraId="115F5050" w14:textId="65A78574" w:rsidR="00325F14" w:rsidRPr="002668AE" w:rsidRDefault="006C7EEC" w:rsidP="002668AE">
            <w:pPr>
              <w:pStyle w:val="ListParagraph"/>
              <w:numPr>
                <w:ilvl w:val="0"/>
                <w:numId w:val="9"/>
              </w:numPr>
              <w:spacing w:before="120" w:after="120"/>
              <w:ind w:left="1080" w:hanging="630"/>
              <w:jc w:val="both"/>
              <w:rPr>
                <w:rFonts w:ascii="Arial" w:hAnsi="Arial" w:cs="Arial"/>
                <w:sz w:val="20"/>
                <w:szCs w:val="20"/>
                <w:lang w:val="es-ES_tradnl"/>
              </w:rPr>
            </w:pPr>
            <w:r w:rsidRPr="002668AE">
              <w:rPr>
                <w:rFonts w:ascii="Arial" w:hAnsi="Arial" w:cs="Arial"/>
                <w:sz w:val="20"/>
                <w:szCs w:val="20"/>
                <w:lang w:val="es-ES_tradnl"/>
              </w:rPr>
              <w:t>explicar de qué manera puede el sistema de protección de las obtenciones vegetales de la UPOV prestar asistencia respecto del acceso a las variedades protegidas y de las posibilidades de elección a todo tipo de agricultores, en particular a los agricultores a pequeña escala.</w:t>
            </w:r>
            <w:r w:rsidR="00325F14" w:rsidRPr="002668AE">
              <w:rPr>
                <w:rFonts w:ascii="Arial" w:hAnsi="Arial" w:cs="Arial"/>
                <w:sz w:val="20"/>
                <w:szCs w:val="20"/>
                <w:lang w:val="es-ES_tradnl"/>
              </w:rPr>
              <w:t xml:space="preserve"> </w:t>
            </w:r>
          </w:p>
        </w:tc>
      </w:tr>
    </w:tbl>
    <w:p w14:paraId="2D5A2BD2" w14:textId="77777777" w:rsidR="002668AE" w:rsidRDefault="002668AE" w:rsidP="002668AE">
      <w:pPr>
        <w:rPr>
          <w:snapToGrid w:val="0"/>
          <w:color w:val="000000" w:themeColor="text1"/>
          <w:lang w:val="es-ES_tradnl"/>
        </w:rPr>
      </w:pPr>
    </w:p>
    <w:p w14:paraId="4C53452A" w14:textId="77777777" w:rsidR="002668AE" w:rsidRDefault="00325F14" w:rsidP="002668AE">
      <w:pPr>
        <w:ind w:left="5670"/>
        <w:rPr>
          <w:i/>
          <w:lang w:val="es-ES_tradnl"/>
        </w:rPr>
      </w:pPr>
      <w:r w:rsidRPr="002668AE">
        <w:rPr>
          <w:i/>
          <w:lang w:val="es-ES_tradnl"/>
        </w:rPr>
        <w:fldChar w:fldCharType="begin"/>
      </w:r>
      <w:r w:rsidRPr="002668AE">
        <w:rPr>
          <w:i/>
          <w:lang w:val="es-ES_tradnl"/>
        </w:rPr>
        <w:instrText xml:space="preserve"> AUTONUM  </w:instrText>
      </w:r>
      <w:r w:rsidRPr="002668AE">
        <w:rPr>
          <w:i/>
          <w:lang w:val="es-ES_tradnl"/>
        </w:rPr>
        <w:fldChar w:fldCharType="end"/>
      </w:r>
      <w:r w:rsidRPr="002668AE">
        <w:rPr>
          <w:i/>
          <w:lang w:val="es-ES_tradnl"/>
        </w:rPr>
        <w:tab/>
      </w:r>
      <w:r w:rsidR="006C7EEC" w:rsidRPr="002668AE">
        <w:rPr>
          <w:i/>
          <w:lang w:val="es-ES_tradnl"/>
        </w:rPr>
        <w:t xml:space="preserve">Se invita al WG-SHF a estudiar las posibles opciones expuestas en el presente documento, sobre la base de los debates mantenidos en </w:t>
      </w:r>
      <w:r w:rsidR="00F172AF" w:rsidRPr="002668AE">
        <w:rPr>
          <w:i/>
          <w:lang w:val="es-ES_tradnl"/>
        </w:rPr>
        <w:t>su</w:t>
      </w:r>
      <w:r w:rsidR="006C7EEC" w:rsidRPr="002668AE">
        <w:rPr>
          <w:i/>
          <w:lang w:val="es-ES_tradnl"/>
        </w:rPr>
        <w:t xml:space="preserve">s reuniones primera y segunda, </w:t>
      </w:r>
      <w:r w:rsidR="00F172AF" w:rsidRPr="002668AE">
        <w:rPr>
          <w:i/>
          <w:lang w:val="es-ES_tradnl"/>
        </w:rPr>
        <w:t>respecto de</w:t>
      </w:r>
      <w:r w:rsidR="006C7EEC" w:rsidRPr="002668AE">
        <w:rPr>
          <w:i/>
          <w:lang w:val="es-ES_tradnl"/>
        </w:rPr>
        <w:t xml:space="preserve"> los </w:t>
      </w:r>
      <w:r w:rsidR="006C7EEC" w:rsidRPr="002668AE">
        <w:rPr>
          <w:rFonts w:cs="Arial"/>
          <w:i/>
          <w:lang w:val="es-ES_tradnl"/>
        </w:rPr>
        <w:t>próximos pasos para ofrecer la orientación solicitada de conformidad con su mandato.</w:t>
      </w:r>
    </w:p>
    <w:p w14:paraId="2E4A86EC" w14:textId="77777777" w:rsidR="002668AE" w:rsidRDefault="002668AE" w:rsidP="002668AE">
      <w:pPr>
        <w:jc w:val="right"/>
        <w:rPr>
          <w:lang w:val="es-ES_tradnl"/>
        </w:rPr>
      </w:pPr>
      <w:bookmarkStart w:id="1" w:name="_GoBack"/>
      <w:bookmarkEnd w:id="1"/>
    </w:p>
    <w:p w14:paraId="25C8A5C3" w14:textId="62D2E880" w:rsidR="002668AE" w:rsidRDefault="006C7EEC" w:rsidP="002668AE">
      <w:pPr>
        <w:jc w:val="right"/>
        <w:rPr>
          <w:lang w:val="es-ES_tradnl"/>
        </w:rPr>
      </w:pPr>
      <w:r w:rsidRPr="002668AE">
        <w:rPr>
          <w:lang w:val="es-ES_tradnl"/>
        </w:rPr>
        <w:t>[Sigue el Anexo]</w:t>
      </w:r>
    </w:p>
    <w:p w14:paraId="185B430B" w14:textId="7AB2508A" w:rsidR="00325F14" w:rsidRPr="002668AE" w:rsidRDefault="00325F14" w:rsidP="002668AE">
      <w:pPr>
        <w:jc w:val="left"/>
        <w:rPr>
          <w:lang w:val="es-ES_tradnl"/>
        </w:rPr>
        <w:sectPr w:rsidR="00325F14" w:rsidRPr="002668AE" w:rsidSect="002668AE">
          <w:headerReference w:type="even" r:id="rId14"/>
          <w:headerReference w:type="default" r:id="rId15"/>
          <w:footerReference w:type="first" r:id="rId16"/>
          <w:pgSz w:w="11907" w:h="16840" w:code="9"/>
          <w:pgMar w:top="510" w:right="1134" w:bottom="1134" w:left="1134" w:header="510" w:footer="680" w:gutter="0"/>
          <w:pgNumType w:start="1"/>
          <w:cols w:space="720"/>
          <w:titlePg/>
          <w:docGrid w:linePitch="272"/>
        </w:sectPr>
      </w:pPr>
    </w:p>
    <w:p w14:paraId="1AECB022" w14:textId="77777777" w:rsidR="002668AE" w:rsidRDefault="00C940FB" w:rsidP="002668AE">
      <w:pPr>
        <w:jc w:val="center"/>
        <w:rPr>
          <w:rFonts w:cs="Arial"/>
          <w:lang w:val="es-ES_tradnl"/>
        </w:rPr>
      </w:pPr>
      <w:r w:rsidRPr="002668AE">
        <w:rPr>
          <w:rFonts w:cs="Arial"/>
          <w:lang w:val="es-ES_tradnl"/>
        </w:rPr>
        <w:lastRenderedPageBreak/>
        <w:t>MANDATO Y COMPOSICIÓN DEL GRUPO DE TRABAJO SOBRE ORIENTACIONES</w:t>
      </w:r>
    </w:p>
    <w:p w14:paraId="48C4AC15" w14:textId="77777777" w:rsidR="002668AE" w:rsidRDefault="00C940FB" w:rsidP="002668AE">
      <w:pPr>
        <w:jc w:val="center"/>
        <w:rPr>
          <w:rFonts w:cs="Arial"/>
          <w:lang w:val="es-ES_tradnl"/>
        </w:rPr>
      </w:pPr>
      <w:r w:rsidRPr="002668AE">
        <w:rPr>
          <w:rFonts w:cs="Arial"/>
          <w:lang w:val="es-ES_tradnl"/>
        </w:rPr>
        <w:t>RELATIVAS A LOS AGRICULTORES A PEQUEÑA ESCALA EN UN MARCO PRIVADO Y CON FINES NO COMERCIALES</w:t>
      </w:r>
    </w:p>
    <w:p w14:paraId="77918EE3" w14:textId="77777777" w:rsidR="002668AE" w:rsidRDefault="00C940FB" w:rsidP="002668AE">
      <w:pPr>
        <w:jc w:val="center"/>
        <w:rPr>
          <w:rFonts w:cs="Arial"/>
          <w:lang w:val="es-ES_tradnl"/>
        </w:rPr>
      </w:pPr>
      <w:r w:rsidRPr="002668AE">
        <w:rPr>
          <w:rFonts w:cs="Arial"/>
          <w:lang w:val="es-ES_tradnl"/>
        </w:rPr>
        <w:t>(WG-SHF)</w:t>
      </w:r>
    </w:p>
    <w:p w14:paraId="262385D7" w14:textId="77777777" w:rsidR="002668AE" w:rsidRDefault="002668AE" w:rsidP="002668AE">
      <w:pPr>
        <w:jc w:val="center"/>
        <w:rPr>
          <w:rFonts w:cs="Arial"/>
          <w:lang w:val="es-ES_tradnl"/>
        </w:rPr>
      </w:pPr>
    </w:p>
    <w:p w14:paraId="3BD247D2" w14:textId="77777777" w:rsidR="002668AE" w:rsidRDefault="002668AE" w:rsidP="002668AE">
      <w:pPr>
        <w:jc w:val="center"/>
        <w:rPr>
          <w:lang w:val="es-ES_tradnl"/>
        </w:rPr>
      </w:pPr>
    </w:p>
    <w:p w14:paraId="3E0D2A76" w14:textId="77777777" w:rsidR="002668AE" w:rsidRDefault="00C940FB" w:rsidP="002668AE">
      <w:pPr>
        <w:rPr>
          <w:snapToGrid w:val="0"/>
          <w:spacing w:val="-2"/>
          <w:lang w:val="es-ES_tradnl"/>
        </w:rPr>
      </w:pPr>
      <w:r w:rsidRPr="002668AE">
        <w:rPr>
          <w:rFonts w:cs="Arial"/>
          <w:spacing w:val="-4"/>
          <w:lang w:val="es-ES_tradnl"/>
        </w:rPr>
        <w:t>El Comité Consultivo, en su nonagésima octava sesión, celebrada por medios electrónicos el 28 de octubre de 2021, decidió crear un grupo de trabajo para ofrecer orientaciones relativas a los agricultores a pequeña escala en un marco privado y con fines no comerciales (WG</w:t>
      </w:r>
      <w:r w:rsidRPr="002668AE">
        <w:rPr>
          <w:rFonts w:cs="Arial"/>
          <w:spacing w:val="-4"/>
          <w:lang w:val="es-ES_tradnl"/>
        </w:rPr>
        <w:noBreakHyphen/>
        <w:t xml:space="preserve">SHF) y acordó que el mandato del Grupo de Trabajo fuera aprobado por el Comité Consultivo por correspondencia </w:t>
      </w:r>
      <w:r w:rsidRPr="002668AE">
        <w:rPr>
          <w:rFonts w:eastAsiaTheme="minorEastAsia" w:cs="Arial"/>
          <w:spacing w:val="-4"/>
          <w:lang w:val="es-ES_tradnl"/>
        </w:rPr>
        <w:t xml:space="preserve">(véase el documento </w:t>
      </w:r>
      <w:hyperlink r:id="rId17" w:history="1">
        <w:r w:rsidRPr="002668AE">
          <w:rPr>
            <w:rStyle w:val="Hyperlink"/>
            <w:rFonts w:eastAsiaTheme="minorEastAsia" w:cs="Arial"/>
            <w:spacing w:val="-4"/>
            <w:lang w:val="es-ES_tradnl"/>
          </w:rPr>
          <w:t>C/55/18</w:t>
        </w:r>
      </w:hyperlink>
      <w:r w:rsidRPr="002668AE">
        <w:rPr>
          <w:rFonts w:eastAsiaTheme="minorEastAsia" w:cs="Arial"/>
          <w:spacing w:val="-4"/>
          <w:lang w:val="es-ES_tradnl"/>
        </w:rPr>
        <w:t xml:space="preserve"> “Informe”, párrafo 19).</w:t>
      </w:r>
      <w:r w:rsidR="00325F14" w:rsidRPr="002668AE">
        <w:rPr>
          <w:rFonts w:cs="Arial"/>
          <w:spacing w:val="-4"/>
          <w:lang w:val="es-ES_tradnl"/>
        </w:rPr>
        <w:t xml:space="preserve"> </w:t>
      </w:r>
      <w:r w:rsidR="005A4C2E" w:rsidRPr="002668AE">
        <w:rPr>
          <w:lang w:val="es-ES_tradnl"/>
        </w:rPr>
        <w:t xml:space="preserve">El Comité Consultivo ha aprobado por correspondencia, el 19 de diciembre de 2021, el mandato del Grupo de Trabajo (véase </w:t>
      </w:r>
      <w:r w:rsidR="005A4C2E" w:rsidRPr="002668AE">
        <w:rPr>
          <w:i/>
          <w:iCs/>
          <w:lang w:val="es-ES_tradnl"/>
        </w:rPr>
        <w:t>infra</w:t>
      </w:r>
      <w:r w:rsidR="005A4C2E" w:rsidRPr="002668AE">
        <w:rPr>
          <w:lang w:val="es-ES_tradnl"/>
        </w:rPr>
        <w:t xml:space="preserve"> “Mandato”).</w:t>
      </w:r>
    </w:p>
    <w:p w14:paraId="1A22D0EE" w14:textId="77777777" w:rsidR="002668AE" w:rsidRDefault="002668AE" w:rsidP="002668AE">
      <w:pPr>
        <w:rPr>
          <w:snapToGrid w:val="0"/>
          <w:spacing w:val="-2"/>
          <w:lang w:val="es-ES_tradnl"/>
        </w:rPr>
      </w:pPr>
    </w:p>
    <w:p w14:paraId="11ACAAEA" w14:textId="77777777" w:rsidR="002668AE" w:rsidRDefault="005A4C2E" w:rsidP="002668AE">
      <w:pPr>
        <w:rPr>
          <w:rFonts w:cs="Arial"/>
          <w:lang w:val="es-ES_tradnl"/>
        </w:rPr>
      </w:pPr>
      <w:r w:rsidRPr="002668AE">
        <w:rPr>
          <w:rFonts w:cs="Arial"/>
          <w:lang w:val="es-ES_tradnl" w:eastAsia="fr-FR"/>
        </w:rPr>
        <w:t xml:space="preserve">En su nonagésima octava sesión, el Comité Consultivo acordó que el WG-SHF esté compuesto por los miembros de la Unión y los observadores ante el Consejo que respondan a una circular expresando su interés en formar parte del WG-SHF </w:t>
      </w:r>
      <w:r w:rsidRPr="002668AE">
        <w:rPr>
          <w:szCs w:val="18"/>
          <w:lang w:val="es-ES_tradnl"/>
        </w:rPr>
        <w:t xml:space="preserve">(véase el documento </w:t>
      </w:r>
      <w:hyperlink r:id="rId18" w:history="1">
        <w:r w:rsidRPr="002668AE">
          <w:rPr>
            <w:rStyle w:val="Hyperlink"/>
            <w:szCs w:val="18"/>
            <w:lang w:val="es-ES_tradnl"/>
          </w:rPr>
          <w:t>C/55/18</w:t>
        </w:r>
      </w:hyperlink>
      <w:r w:rsidRPr="002668AE">
        <w:rPr>
          <w:szCs w:val="18"/>
          <w:lang w:val="es-ES_tradnl"/>
        </w:rPr>
        <w:t xml:space="preserve"> “Informe”, párrafo 19).</w:t>
      </w:r>
      <w:r w:rsidR="00325F14" w:rsidRPr="002668AE">
        <w:rPr>
          <w:rFonts w:cs="Arial"/>
          <w:lang w:val="es-ES_tradnl"/>
        </w:rPr>
        <w:t xml:space="preserve"> </w:t>
      </w:r>
      <w:r w:rsidRPr="002668AE">
        <w:rPr>
          <w:rFonts w:cs="Arial"/>
          <w:lang w:val="es-ES_tradnl"/>
        </w:rPr>
        <w:t>En la circular E</w:t>
      </w:r>
      <w:r w:rsidRPr="002668AE">
        <w:rPr>
          <w:rFonts w:cs="Arial"/>
          <w:lang w:val="es-ES_tradnl"/>
        </w:rPr>
        <w:noBreakHyphen/>
        <w:t xml:space="preserve">21/230 de 19 de noviembre de 2021 se invitó a los miembros de la Unión y a los observadores ante el Consejo a expresar su interés por ser miembros del WG-SHF a más tardar el 19 de diciembre de 2021 (véase </w:t>
      </w:r>
      <w:r w:rsidRPr="002668AE">
        <w:rPr>
          <w:rFonts w:cs="Arial"/>
          <w:i/>
          <w:iCs/>
          <w:lang w:val="es-ES_tradnl"/>
        </w:rPr>
        <w:t>infra</w:t>
      </w:r>
      <w:r w:rsidRPr="002668AE">
        <w:rPr>
          <w:rFonts w:cs="Arial"/>
          <w:lang w:val="es-ES_tradnl"/>
        </w:rPr>
        <w:t xml:space="preserve"> “Composición”).</w:t>
      </w:r>
    </w:p>
    <w:p w14:paraId="282599F7" w14:textId="77777777" w:rsidR="002668AE" w:rsidRDefault="002668AE" w:rsidP="002668AE">
      <w:pPr>
        <w:rPr>
          <w:szCs w:val="18"/>
          <w:lang w:val="es-ES_tradnl"/>
        </w:rPr>
      </w:pPr>
    </w:p>
    <w:p w14:paraId="45907318" w14:textId="77777777" w:rsidR="002668AE" w:rsidRDefault="002668AE" w:rsidP="002668AE">
      <w:pPr>
        <w:rPr>
          <w:szCs w:val="18"/>
          <w:lang w:val="es-ES_tradnl"/>
        </w:rPr>
      </w:pPr>
    </w:p>
    <w:p w14:paraId="71AF30BD" w14:textId="77777777" w:rsidR="002668AE" w:rsidRDefault="005A4C2E" w:rsidP="002668AE">
      <w:pPr>
        <w:jc w:val="center"/>
        <w:rPr>
          <w:u w:val="single"/>
          <w:lang w:val="es-ES_tradnl"/>
        </w:rPr>
      </w:pPr>
      <w:r w:rsidRPr="002668AE">
        <w:rPr>
          <w:rFonts w:cs="Arial"/>
          <w:u w:val="single"/>
          <w:lang w:val="es-ES_tradnl"/>
        </w:rPr>
        <w:t>MANDATO Y COMPOSICIÓN DEL WG-SHF</w:t>
      </w:r>
    </w:p>
    <w:p w14:paraId="68EDB9DE" w14:textId="77777777" w:rsidR="002668AE" w:rsidRDefault="002668AE" w:rsidP="002668AE">
      <w:pPr>
        <w:tabs>
          <w:tab w:val="left" w:pos="284"/>
          <w:tab w:val="left" w:pos="851"/>
        </w:tabs>
        <w:autoSpaceDE w:val="0"/>
        <w:autoSpaceDN w:val="0"/>
        <w:adjustRightInd w:val="0"/>
        <w:rPr>
          <w:i/>
          <w:lang w:val="es-ES_tradnl"/>
        </w:rPr>
      </w:pPr>
    </w:p>
    <w:p w14:paraId="0300798E" w14:textId="77777777" w:rsidR="002668AE" w:rsidRDefault="002668AE" w:rsidP="002668AE">
      <w:pPr>
        <w:rPr>
          <w:szCs w:val="18"/>
          <w:lang w:val="es-ES_tradnl"/>
        </w:rPr>
      </w:pPr>
    </w:p>
    <w:p w14:paraId="7DB68379" w14:textId="77777777" w:rsidR="002668AE" w:rsidRDefault="005A4C2E" w:rsidP="002668AE">
      <w:pPr>
        <w:rPr>
          <w:szCs w:val="18"/>
          <w:lang w:val="es-ES_tradnl"/>
        </w:rPr>
      </w:pPr>
      <w:r w:rsidRPr="002668AE">
        <w:rPr>
          <w:szCs w:val="18"/>
          <w:lang w:val="es-ES_tradnl"/>
        </w:rPr>
        <w:t>FINALIDAD:</w:t>
      </w:r>
    </w:p>
    <w:p w14:paraId="5DDEC30C" w14:textId="77777777" w:rsidR="002668AE" w:rsidRDefault="002668AE" w:rsidP="002668AE">
      <w:pPr>
        <w:contextualSpacing/>
        <w:rPr>
          <w:rFonts w:cs="Arial"/>
          <w:szCs w:val="18"/>
          <w:lang w:val="es-ES_tradnl"/>
        </w:rPr>
      </w:pPr>
    </w:p>
    <w:p w14:paraId="474FAC81" w14:textId="77777777" w:rsidR="002668AE" w:rsidRDefault="005A4C2E" w:rsidP="002668AE">
      <w:pPr>
        <w:contextualSpacing/>
        <w:rPr>
          <w:rFonts w:cs="Arial"/>
          <w:szCs w:val="18"/>
          <w:lang w:val="es-ES_tradnl"/>
        </w:rPr>
      </w:pPr>
      <w:r w:rsidRPr="002668AE">
        <w:rPr>
          <w:rFonts w:cs="Arial"/>
          <w:szCs w:val="18"/>
          <w:lang w:val="es-ES_tradnl"/>
        </w:rPr>
        <w:t>La finalidad del WG</w:t>
      </w:r>
      <w:r w:rsidRPr="002668AE">
        <w:rPr>
          <w:rFonts w:cs="Arial"/>
          <w:szCs w:val="18"/>
          <w:lang w:val="es-ES_tradnl"/>
        </w:rPr>
        <w:noBreakHyphen/>
        <w:t>SHF es elaborar orientaciones relativas a los agricultores a pequeña escala en un marco privado y con fines no comerciales, que servirían de base para una versión revisada de las “Notas explicativas sobre las excepciones al derecho de obtentor con arreglo al Acta de 1991 del Convenio de la UPOV” y una versión revisada de las preguntas frecuentes sobre las excepciones al derecho de obtentor.</w:t>
      </w:r>
    </w:p>
    <w:p w14:paraId="5699A60E" w14:textId="77777777" w:rsidR="002668AE" w:rsidRDefault="002668AE" w:rsidP="002668AE">
      <w:pPr>
        <w:rPr>
          <w:sz w:val="22"/>
          <w:lang w:val="es-ES_tradnl"/>
        </w:rPr>
      </w:pPr>
    </w:p>
    <w:p w14:paraId="5F845514" w14:textId="77777777" w:rsidR="002668AE" w:rsidRDefault="002668AE" w:rsidP="002668AE">
      <w:pPr>
        <w:rPr>
          <w:sz w:val="22"/>
          <w:lang w:val="es-ES_tradnl"/>
        </w:rPr>
      </w:pPr>
    </w:p>
    <w:p w14:paraId="6A6AC48B" w14:textId="77777777" w:rsidR="002668AE" w:rsidRDefault="005A4C2E" w:rsidP="002668AE">
      <w:pPr>
        <w:rPr>
          <w:szCs w:val="18"/>
          <w:lang w:val="es-ES_tradnl"/>
        </w:rPr>
      </w:pPr>
      <w:r w:rsidRPr="002668AE">
        <w:rPr>
          <w:szCs w:val="18"/>
          <w:lang w:val="es-ES_tradnl"/>
        </w:rPr>
        <w:t>COMPOSICIÓN:</w:t>
      </w:r>
    </w:p>
    <w:p w14:paraId="1D02EEED" w14:textId="77777777" w:rsidR="002668AE" w:rsidRDefault="002668AE" w:rsidP="002668AE">
      <w:pPr>
        <w:rPr>
          <w:rFonts w:cs="Arial"/>
          <w:szCs w:val="18"/>
          <w:lang w:val="es-ES_tradnl"/>
        </w:rPr>
      </w:pPr>
    </w:p>
    <w:p w14:paraId="28913E08" w14:textId="77777777" w:rsidR="002668AE" w:rsidRDefault="005A4C2E" w:rsidP="002668AE">
      <w:pPr>
        <w:ind w:firstLine="567"/>
        <w:rPr>
          <w:rFonts w:cs="Arial"/>
          <w:color w:val="000000"/>
          <w:szCs w:val="18"/>
          <w:lang w:val="es-ES_tradnl"/>
        </w:rPr>
      </w:pPr>
      <w:r w:rsidRPr="002668AE">
        <w:rPr>
          <w:rFonts w:cs="Arial"/>
          <w:szCs w:val="18"/>
          <w:lang w:val="es-ES_tradnl"/>
        </w:rPr>
        <w:t>a)</w:t>
      </w:r>
      <w:r w:rsidR="00325F14" w:rsidRPr="002668AE">
        <w:rPr>
          <w:rFonts w:cs="Arial"/>
          <w:szCs w:val="18"/>
          <w:lang w:val="es-ES_tradnl"/>
        </w:rPr>
        <w:tab/>
      </w:r>
      <w:r w:rsidRPr="002668AE">
        <w:rPr>
          <w:rFonts w:cs="Arial"/>
          <w:szCs w:val="18"/>
          <w:lang w:val="es-ES_tradnl"/>
        </w:rPr>
        <w:t>los miembros de la Unión y los observadores ante el Consejo que han expresado interés en formar parte del WG-SHF en respuesta a la circular E-21/230, de 19 de noviembre de 2021:</w:t>
      </w:r>
    </w:p>
    <w:p w14:paraId="67057958" w14:textId="77777777" w:rsidR="002668AE" w:rsidRDefault="002668AE" w:rsidP="002668AE">
      <w:pPr>
        <w:rPr>
          <w:rFonts w:cs="Arial"/>
          <w:szCs w:val="18"/>
          <w:lang w:val="es-ES_tradnl"/>
        </w:rPr>
      </w:pPr>
    </w:p>
    <w:p w14:paraId="6C5BC539" w14:textId="77777777" w:rsidR="000A43FD" w:rsidRDefault="000A43FD" w:rsidP="000A43FD">
      <w:pPr>
        <w:ind w:left="540"/>
        <w:rPr>
          <w:spacing w:val="-2"/>
        </w:rPr>
      </w:pPr>
      <w:r>
        <w:rPr>
          <w:spacing w:val="-2"/>
        </w:rPr>
        <w:t xml:space="preserve">Argentina, Austria, Bélgica, Canadá, Chile, Colombia, Estados Unidos de América, Francia, Ghana, Japón, México, Noruega, Países Bajos, Reino Unido, República Checa, Suiza, Túnez, Unión Europea, Zimbabwe, Centro del Sur, </w:t>
      </w:r>
      <w:r>
        <w:rPr>
          <w:i/>
          <w:spacing w:val="-2"/>
        </w:rPr>
        <w:t>African Seed Trade Association</w:t>
      </w:r>
      <w:r>
        <w:rPr>
          <w:spacing w:val="-2"/>
        </w:rPr>
        <w:t xml:space="preserve"> (AFSTA) (Asociación Africana de Comercio de Semillas), </w:t>
      </w:r>
      <w:r>
        <w:rPr>
          <w:i/>
          <w:spacing w:val="-2"/>
        </w:rPr>
        <w:t>Asia and Pacific Seed Association</w:t>
      </w:r>
      <w:r>
        <w:rPr>
          <w:spacing w:val="-2"/>
        </w:rPr>
        <w:t xml:space="preserve"> (APSA) (Asociación de Semillas de Asia y el Pacífico), Asociación de Semillas de las Américas (SAA), </w:t>
      </w:r>
      <w:r>
        <w:rPr>
          <w:i/>
          <w:spacing w:val="-2"/>
        </w:rPr>
        <w:t xml:space="preserve">Association for Plant Breeding for the Benefit of Society </w:t>
      </w:r>
      <w:r>
        <w:rPr>
          <w:spacing w:val="-2"/>
        </w:rPr>
        <w:t xml:space="preserve">(APBREBES), Comunidad Internacional de Fitomejoradores de Plantas Hortícolas de Reproducción Asexuada (CIOPORA), Coordinadora Europea Vía Campesina (ECVC), </w:t>
      </w:r>
      <w:r>
        <w:rPr>
          <w:i/>
          <w:spacing w:val="-2"/>
        </w:rPr>
        <w:t>CropLife International</w:t>
      </w:r>
      <w:r>
        <w:rPr>
          <w:spacing w:val="-2"/>
        </w:rPr>
        <w:t xml:space="preserve">, Euroseeds y </w:t>
      </w:r>
      <w:r>
        <w:rPr>
          <w:i/>
          <w:spacing w:val="-2"/>
        </w:rPr>
        <w:t>International Seed Federation</w:t>
      </w:r>
      <w:r>
        <w:rPr>
          <w:spacing w:val="-2"/>
        </w:rPr>
        <w:t xml:space="preserve"> (ISF).</w:t>
      </w:r>
    </w:p>
    <w:p w14:paraId="3D4D1C98" w14:textId="77777777" w:rsidR="002668AE" w:rsidRDefault="002668AE" w:rsidP="002668AE">
      <w:pPr>
        <w:rPr>
          <w:rFonts w:cs="Arial"/>
          <w:szCs w:val="18"/>
          <w:lang w:val="es-ES_tradnl"/>
        </w:rPr>
      </w:pPr>
    </w:p>
    <w:p w14:paraId="32B07A8C" w14:textId="77777777" w:rsidR="002668AE" w:rsidRDefault="00986625" w:rsidP="002668AE">
      <w:pPr>
        <w:ind w:firstLine="567"/>
        <w:rPr>
          <w:rFonts w:cs="Arial"/>
          <w:szCs w:val="18"/>
          <w:lang w:val="es-ES_tradnl"/>
        </w:rPr>
      </w:pPr>
      <w:r w:rsidRPr="002668AE">
        <w:rPr>
          <w:rFonts w:cs="Arial"/>
          <w:szCs w:val="18"/>
          <w:lang w:val="es-ES_tradnl"/>
        </w:rPr>
        <w:t>b)</w:t>
      </w:r>
      <w:r w:rsidR="00325F14" w:rsidRPr="002668AE">
        <w:rPr>
          <w:rFonts w:cs="Arial"/>
          <w:szCs w:val="18"/>
          <w:lang w:val="es-ES_tradnl"/>
        </w:rPr>
        <w:tab/>
      </w:r>
      <w:r w:rsidRPr="002668AE">
        <w:rPr>
          <w:rFonts w:cs="Arial"/>
          <w:szCs w:val="18"/>
          <w:lang w:val="es-ES_tradnl"/>
        </w:rPr>
        <w:t>cuando lo deseen, los demás miembros de la Unión tendrán la facultad de participar en las reuniones del WG-SHF;</w:t>
      </w:r>
    </w:p>
    <w:p w14:paraId="375A188A" w14:textId="77777777" w:rsidR="002668AE" w:rsidRDefault="002668AE" w:rsidP="002668AE">
      <w:pPr>
        <w:rPr>
          <w:rFonts w:cs="Arial"/>
          <w:szCs w:val="18"/>
          <w:lang w:val="es-ES_tradnl"/>
        </w:rPr>
      </w:pPr>
    </w:p>
    <w:p w14:paraId="4EBFE915" w14:textId="77777777" w:rsidR="002668AE" w:rsidRDefault="00986625" w:rsidP="002668AE">
      <w:pPr>
        <w:ind w:firstLine="567"/>
        <w:rPr>
          <w:rFonts w:cs="Arial"/>
          <w:szCs w:val="18"/>
          <w:lang w:val="es-ES_tradnl"/>
        </w:rPr>
      </w:pPr>
      <w:r w:rsidRPr="002668AE">
        <w:rPr>
          <w:rFonts w:cs="Arial"/>
          <w:szCs w:val="18"/>
          <w:lang w:val="es-ES_tradnl"/>
        </w:rPr>
        <w:t>c)</w:t>
      </w:r>
      <w:r w:rsidR="00325F14" w:rsidRPr="002668AE">
        <w:rPr>
          <w:rFonts w:cs="Arial"/>
          <w:szCs w:val="18"/>
          <w:lang w:val="es-ES_tradnl"/>
        </w:rPr>
        <w:tab/>
      </w:r>
      <w:r w:rsidRPr="002668AE">
        <w:rPr>
          <w:rFonts w:cs="Arial"/>
          <w:szCs w:val="18"/>
          <w:lang w:val="es-ES_tradnl"/>
        </w:rPr>
        <w:t>los miembros del proyecto “Opciones de interpretación del concepto de uso privado y no comercial previsto en el artículo 15.1.i) del Acta de 1991 del Convenio de la UPOV” (Euroseeds, Plantum y Oxfam: “equipo del proyecto”) estarán invitados a participar en la primera reunión del WG-SHF.</w:t>
      </w:r>
      <w:r w:rsidR="00325F14" w:rsidRPr="002668AE">
        <w:rPr>
          <w:rFonts w:cs="Arial"/>
          <w:szCs w:val="18"/>
          <w:lang w:val="es-ES_tradnl"/>
        </w:rPr>
        <w:t xml:space="preserve"> </w:t>
      </w:r>
      <w:r w:rsidRPr="002668AE">
        <w:rPr>
          <w:rFonts w:cs="Arial"/>
          <w:szCs w:val="18"/>
          <w:lang w:val="es-ES_tradnl"/>
        </w:rPr>
        <w:t xml:space="preserve">Se podrán formular invitaciones </w:t>
      </w:r>
      <w:r w:rsidRPr="002668AE">
        <w:rPr>
          <w:rFonts w:cs="Arial"/>
          <w:i/>
          <w:iCs/>
          <w:szCs w:val="18"/>
          <w:lang w:val="es-ES_tradnl"/>
        </w:rPr>
        <w:t>ad hoc</w:t>
      </w:r>
      <w:r w:rsidRPr="002668AE">
        <w:rPr>
          <w:rFonts w:cs="Arial"/>
          <w:szCs w:val="18"/>
          <w:lang w:val="es-ES_tradnl"/>
        </w:rPr>
        <w:t xml:space="preserve"> al equipo del proyecto a fin de que asista a otras reuniones del WG-SHF, cuando el WG-SHF lo considere adecuado; y</w:t>
      </w:r>
    </w:p>
    <w:p w14:paraId="335D9EC6" w14:textId="77777777" w:rsidR="002668AE" w:rsidRDefault="002668AE" w:rsidP="002668AE">
      <w:pPr>
        <w:rPr>
          <w:rFonts w:cs="Arial"/>
          <w:szCs w:val="18"/>
          <w:lang w:val="es-ES_tradnl"/>
        </w:rPr>
      </w:pPr>
    </w:p>
    <w:p w14:paraId="1D67D768" w14:textId="77777777" w:rsidR="002668AE" w:rsidRDefault="00325F14" w:rsidP="002668AE">
      <w:pPr>
        <w:rPr>
          <w:rFonts w:cs="Arial"/>
          <w:szCs w:val="18"/>
          <w:lang w:val="es-ES_tradnl"/>
        </w:rPr>
      </w:pPr>
      <w:r w:rsidRPr="002668AE">
        <w:rPr>
          <w:rFonts w:cs="Arial"/>
          <w:szCs w:val="18"/>
          <w:lang w:val="es-ES_tradnl"/>
        </w:rPr>
        <w:tab/>
      </w:r>
      <w:r w:rsidR="00986625" w:rsidRPr="002668AE">
        <w:rPr>
          <w:rFonts w:cs="Arial"/>
          <w:szCs w:val="18"/>
          <w:lang w:val="es-ES_tradnl"/>
        </w:rPr>
        <w:t>d)</w:t>
      </w:r>
      <w:r w:rsidRPr="002668AE">
        <w:rPr>
          <w:rFonts w:cs="Arial"/>
          <w:szCs w:val="18"/>
          <w:lang w:val="es-ES_tradnl"/>
        </w:rPr>
        <w:tab/>
      </w:r>
      <w:r w:rsidR="00986625" w:rsidRPr="002668AE">
        <w:rPr>
          <w:rFonts w:cs="Arial"/>
          <w:szCs w:val="18"/>
          <w:lang w:val="es-ES_tradnl"/>
        </w:rPr>
        <w:t>las reuniones serán presididas por el presidente del Consejo.</w:t>
      </w:r>
    </w:p>
    <w:p w14:paraId="5033EC9F" w14:textId="77777777" w:rsidR="002668AE" w:rsidRDefault="00986625" w:rsidP="002668AE">
      <w:pPr>
        <w:keepNext/>
        <w:keepLines/>
        <w:tabs>
          <w:tab w:val="center" w:pos="4819"/>
        </w:tabs>
        <w:spacing w:before="600"/>
        <w:rPr>
          <w:szCs w:val="18"/>
          <w:lang w:val="es-ES_tradnl"/>
        </w:rPr>
      </w:pPr>
      <w:r w:rsidRPr="002668AE">
        <w:rPr>
          <w:i/>
          <w:iCs/>
          <w:szCs w:val="18"/>
          <w:lang w:val="es-ES_tradnl"/>
        </w:rPr>
        <w:lastRenderedPageBreak/>
        <w:t>MODUS OPERANDI</w:t>
      </w:r>
      <w:r w:rsidRPr="002668AE">
        <w:rPr>
          <w:szCs w:val="18"/>
          <w:lang w:val="es-ES_tradnl"/>
        </w:rPr>
        <w:t>:</w:t>
      </w:r>
    </w:p>
    <w:p w14:paraId="73097B35" w14:textId="77777777" w:rsidR="002668AE" w:rsidRDefault="002668AE" w:rsidP="002668AE">
      <w:pPr>
        <w:keepNext/>
        <w:keepLines/>
        <w:rPr>
          <w:rFonts w:cs="Arial"/>
          <w:szCs w:val="18"/>
          <w:u w:val="single"/>
          <w:lang w:val="es-ES_tradnl"/>
        </w:rPr>
      </w:pPr>
    </w:p>
    <w:p w14:paraId="21B85D2C" w14:textId="77777777" w:rsidR="002668AE" w:rsidRDefault="00986625" w:rsidP="002668AE">
      <w:pPr>
        <w:numPr>
          <w:ilvl w:val="0"/>
          <w:numId w:val="3"/>
        </w:numPr>
        <w:ind w:left="0" w:firstLine="540"/>
        <w:contextualSpacing/>
        <w:rPr>
          <w:szCs w:val="18"/>
          <w:lang w:val="es-ES_tradnl"/>
        </w:rPr>
      </w:pPr>
      <w:r w:rsidRPr="002668AE">
        <w:rPr>
          <w:szCs w:val="18"/>
          <w:lang w:val="es-ES_tradnl"/>
        </w:rPr>
        <w:t>el análisis de las contribuciones del compendio con las respuestas a la circular E</w:t>
      </w:r>
      <w:r w:rsidRPr="002668AE">
        <w:rPr>
          <w:szCs w:val="18"/>
          <w:lang w:val="es-ES_tradnl"/>
        </w:rPr>
        <w:noBreakHyphen/>
        <w:t>20/246 de la UPOV y un informe con sugerencias preparado por el equipo del proyecto, junto con la Oficina de la Unión, se utilizarán como base inicial para los debates sobre la elaboración de orientaciones relativas a los agricultores a pequeña escala en un marco privado y con fines no comerciales;</w:t>
      </w:r>
    </w:p>
    <w:p w14:paraId="38DB1B21" w14:textId="77777777" w:rsidR="002668AE" w:rsidRDefault="002668AE" w:rsidP="002668AE">
      <w:pPr>
        <w:ind w:firstLine="540"/>
        <w:rPr>
          <w:rFonts w:cs="Arial"/>
          <w:szCs w:val="18"/>
          <w:u w:val="single"/>
          <w:lang w:val="es-ES_tradnl"/>
        </w:rPr>
      </w:pPr>
    </w:p>
    <w:p w14:paraId="20778BCB" w14:textId="77777777" w:rsidR="002668AE" w:rsidRDefault="00986625" w:rsidP="002668AE">
      <w:pPr>
        <w:numPr>
          <w:ilvl w:val="0"/>
          <w:numId w:val="3"/>
        </w:numPr>
        <w:tabs>
          <w:tab w:val="left" w:pos="1134"/>
        </w:tabs>
        <w:ind w:left="0" w:firstLine="540"/>
        <w:contextualSpacing/>
        <w:rPr>
          <w:rFonts w:cs="Arial"/>
          <w:szCs w:val="18"/>
          <w:lang w:val="es-ES_tradnl"/>
        </w:rPr>
      </w:pPr>
      <w:r w:rsidRPr="002668AE">
        <w:rPr>
          <w:rFonts w:cs="Arial"/>
          <w:szCs w:val="18"/>
          <w:lang w:val="es-ES_tradnl"/>
        </w:rPr>
        <w:t>el WG-SHF celebrará reuniones, presenciales o electrónicas, en el período y con la frecuencia necesarios conforme a lo que acuerde el WG-SHF, para cumplir con su mandato;</w:t>
      </w:r>
    </w:p>
    <w:p w14:paraId="253AB3F4" w14:textId="77777777" w:rsidR="002668AE" w:rsidRDefault="002668AE" w:rsidP="002668AE">
      <w:pPr>
        <w:contextualSpacing/>
        <w:rPr>
          <w:rFonts w:cs="Arial"/>
          <w:szCs w:val="18"/>
          <w:u w:val="single"/>
          <w:lang w:val="es-ES_tradnl"/>
        </w:rPr>
      </w:pPr>
    </w:p>
    <w:p w14:paraId="6CF5D0EB" w14:textId="77777777" w:rsidR="002668AE" w:rsidRDefault="00986625" w:rsidP="002668AE">
      <w:pPr>
        <w:numPr>
          <w:ilvl w:val="0"/>
          <w:numId w:val="3"/>
        </w:numPr>
        <w:tabs>
          <w:tab w:val="left" w:pos="1134"/>
        </w:tabs>
        <w:ind w:left="0" w:firstLine="540"/>
        <w:contextualSpacing/>
        <w:rPr>
          <w:rFonts w:cs="Arial"/>
          <w:szCs w:val="18"/>
          <w:lang w:val="es-ES_tradnl"/>
        </w:rPr>
      </w:pPr>
      <w:r w:rsidRPr="002668AE">
        <w:rPr>
          <w:rFonts w:cs="Arial"/>
          <w:szCs w:val="18"/>
          <w:lang w:val="es-ES_tradnl"/>
        </w:rPr>
        <w:t>el WG-SHF proporcionará orientación para elaborar un proyecto de revisión del documento UPOV/EXN/EXC, que preparará el Comité Administrativo y Jurídico, y la revisión de las preguntas frecuentes sobre las excepciones al derecho de obtentor, que preparará la Oficina de la Unión;</w:t>
      </w:r>
    </w:p>
    <w:p w14:paraId="2D5CB584" w14:textId="77777777" w:rsidR="002668AE" w:rsidRDefault="002668AE" w:rsidP="002668AE">
      <w:pPr>
        <w:tabs>
          <w:tab w:val="left" w:pos="1134"/>
        </w:tabs>
        <w:ind w:firstLine="540"/>
        <w:rPr>
          <w:rFonts w:cs="Arial"/>
          <w:szCs w:val="18"/>
          <w:u w:val="single"/>
          <w:lang w:val="es-ES_tradnl"/>
        </w:rPr>
      </w:pPr>
    </w:p>
    <w:p w14:paraId="686DD662" w14:textId="77777777" w:rsidR="002668AE" w:rsidRDefault="00986625" w:rsidP="002668AE">
      <w:pPr>
        <w:numPr>
          <w:ilvl w:val="0"/>
          <w:numId w:val="3"/>
        </w:numPr>
        <w:tabs>
          <w:tab w:val="left" w:pos="1134"/>
        </w:tabs>
        <w:ind w:left="0" w:firstLine="540"/>
        <w:contextualSpacing/>
        <w:rPr>
          <w:rFonts w:cs="Arial"/>
          <w:szCs w:val="18"/>
          <w:lang w:val="es-ES_tradnl"/>
        </w:rPr>
      </w:pPr>
      <w:r w:rsidRPr="002668AE">
        <w:rPr>
          <w:rFonts w:cs="Arial"/>
          <w:szCs w:val="18"/>
          <w:lang w:val="es-ES_tradnl"/>
        </w:rPr>
        <w:t>el WG-SHF informará al Comité Consultivo de la marcha de su labor y solicitará orientación adicional al Comité Consultivo, según proceda; y</w:t>
      </w:r>
    </w:p>
    <w:p w14:paraId="58C64C62" w14:textId="77777777" w:rsidR="002668AE" w:rsidRDefault="002668AE" w:rsidP="002668AE">
      <w:pPr>
        <w:tabs>
          <w:tab w:val="left" w:pos="1134"/>
        </w:tabs>
        <w:ind w:firstLine="540"/>
        <w:contextualSpacing/>
        <w:rPr>
          <w:rFonts w:cs="Arial"/>
          <w:szCs w:val="18"/>
          <w:lang w:val="es-ES_tradnl"/>
        </w:rPr>
      </w:pPr>
    </w:p>
    <w:p w14:paraId="5CB75E61" w14:textId="77777777" w:rsidR="002668AE" w:rsidRDefault="00986625" w:rsidP="002668AE">
      <w:pPr>
        <w:numPr>
          <w:ilvl w:val="0"/>
          <w:numId w:val="3"/>
        </w:numPr>
        <w:tabs>
          <w:tab w:val="left" w:pos="1134"/>
        </w:tabs>
        <w:ind w:left="0" w:firstLine="540"/>
        <w:contextualSpacing/>
        <w:rPr>
          <w:rFonts w:cs="Arial"/>
          <w:szCs w:val="18"/>
          <w:lang w:val="es-ES_tradnl"/>
        </w:rPr>
      </w:pPr>
      <w:r w:rsidRPr="002668AE">
        <w:rPr>
          <w:rFonts w:cs="Arial"/>
          <w:szCs w:val="18"/>
          <w:lang w:val="es-ES_tradnl"/>
        </w:rPr>
        <w:t>los documentos del WG-SHF se pondrán a disposición de los miembros de la Unión y los observadores del Consejo.</w:t>
      </w:r>
    </w:p>
    <w:p w14:paraId="01AC9632" w14:textId="6204EB64" w:rsidR="002668AE" w:rsidRDefault="002668AE" w:rsidP="002668AE">
      <w:pPr>
        <w:rPr>
          <w:lang w:val="es-ES_tradnl"/>
        </w:rPr>
      </w:pPr>
    </w:p>
    <w:p w14:paraId="71C73BC2" w14:textId="3DCCE479" w:rsidR="002668AE" w:rsidRDefault="002668AE" w:rsidP="002668AE">
      <w:pPr>
        <w:rPr>
          <w:lang w:val="es-ES_tradnl"/>
        </w:rPr>
      </w:pPr>
    </w:p>
    <w:p w14:paraId="7865D8EF" w14:textId="77777777" w:rsidR="002668AE" w:rsidRDefault="002668AE" w:rsidP="002668AE">
      <w:pPr>
        <w:rPr>
          <w:lang w:val="es-ES_tradnl"/>
        </w:rPr>
      </w:pPr>
    </w:p>
    <w:p w14:paraId="138E5473" w14:textId="77777777" w:rsidR="002668AE" w:rsidRDefault="00325F14" w:rsidP="002668AE">
      <w:pPr>
        <w:jc w:val="right"/>
        <w:rPr>
          <w:lang w:val="es-ES_tradnl"/>
        </w:rPr>
      </w:pPr>
      <w:r w:rsidRPr="002668AE">
        <w:rPr>
          <w:lang w:val="es-ES_tradnl"/>
        </w:rPr>
        <w:t>[Fin del Anexo y del documento]</w:t>
      </w:r>
    </w:p>
    <w:sectPr w:rsidR="002668AE" w:rsidSect="003809E6">
      <w:headerReference w:type="even" r:id="rId19"/>
      <w:headerReference w:type="default" r:id="rId20"/>
      <w:footerReference w:type="even" r:id="rId21"/>
      <w:footerReference w:type="default" r:id="rId22"/>
      <w:headerReference w:type="first" r:id="rId23"/>
      <w:footerReference w:type="first" r:id="rId24"/>
      <w:pgSz w:w="11907" w:h="16840" w:code="9"/>
      <w:pgMar w:top="510" w:right="1134" w:bottom="1134" w:left="1134" w:header="510" w:footer="680" w:gutter="0"/>
      <w:pgNumType w:start="1"/>
      <w:cols w:space="720"/>
      <w:titlePg/>
    </w:sectPr>
  </w:body>
</w:document>
</file>

<file path=word/customizations.xml><?xml version="1.0" encoding="utf-8"?>
<wne:tcg xmlns:r="http://schemas.openxmlformats.org/officeDocument/2006/relationships" xmlns:wne="http://schemas.microsoft.com/office/word/2006/wordml">
  <wne:keymaps>
    <wne:keymap wne:kcmPrimary="0479">
      <wne:macro wne:macroName="TEMPLATEPROJECT.NEWMACROS.DELETERS"/>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DCB86" w14:textId="77777777" w:rsidR="00172084" w:rsidRDefault="00172084" w:rsidP="006655D3">
      <w:r>
        <w:separator/>
      </w:r>
    </w:p>
    <w:p w14:paraId="3A6588A8" w14:textId="77777777" w:rsidR="00172084" w:rsidRDefault="00172084" w:rsidP="006655D3"/>
    <w:p w14:paraId="6438589D" w14:textId="77777777" w:rsidR="00172084" w:rsidRDefault="00172084" w:rsidP="006655D3"/>
  </w:endnote>
  <w:endnote w:type="continuationSeparator" w:id="0">
    <w:p w14:paraId="53AE6370" w14:textId="77777777" w:rsidR="00172084" w:rsidRDefault="00172084" w:rsidP="006655D3">
      <w:r>
        <w:separator/>
      </w:r>
    </w:p>
    <w:p w14:paraId="642991BB" w14:textId="77777777" w:rsidR="00172084" w:rsidRPr="00294751" w:rsidRDefault="00172084">
      <w:pPr>
        <w:pStyle w:val="Footer"/>
        <w:spacing w:after="60"/>
        <w:rPr>
          <w:sz w:val="18"/>
          <w:lang w:val="fr-FR"/>
        </w:rPr>
      </w:pPr>
      <w:r w:rsidRPr="00294751">
        <w:rPr>
          <w:sz w:val="18"/>
          <w:lang w:val="fr-FR"/>
        </w:rPr>
        <w:t>[Suite de la note de la page précédente]</w:t>
      </w:r>
    </w:p>
    <w:p w14:paraId="29C8AF2B" w14:textId="77777777" w:rsidR="00172084" w:rsidRPr="00294751" w:rsidRDefault="00172084" w:rsidP="006655D3">
      <w:pPr>
        <w:rPr>
          <w:lang w:val="fr-FR"/>
        </w:rPr>
      </w:pPr>
    </w:p>
    <w:p w14:paraId="12F4BE3E" w14:textId="77777777" w:rsidR="00172084" w:rsidRPr="00294751" w:rsidRDefault="00172084" w:rsidP="006655D3">
      <w:pPr>
        <w:rPr>
          <w:lang w:val="fr-FR"/>
        </w:rPr>
      </w:pPr>
    </w:p>
  </w:endnote>
  <w:endnote w:type="continuationNotice" w:id="1">
    <w:p w14:paraId="0E18788A" w14:textId="77777777" w:rsidR="00172084" w:rsidRPr="00294751" w:rsidRDefault="00172084" w:rsidP="006655D3">
      <w:pPr>
        <w:rPr>
          <w:lang w:val="fr-FR"/>
        </w:rPr>
      </w:pPr>
      <w:r w:rsidRPr="00294751">
        <w:rPr>
          <w:lang w:val="fr-FR"/>
        </w:rPr>
        <w:t>[Suite de la note page suivante]</w:t>
      </w:r>
    </w:p>
    <w:p w14:paraId="5BD50CB7" w14:textId="77777777" w:rsidR="00172084" w:rsidRPr="00294751" w:rsidRDefault="00172084" w:rsidP="006655D3">
      <w:pPr>
        <w:rPr>
          <w:lang w:val="fr-FR"/>
        </w:rPr>
      </w:pPr>
    </w:p>
    <w:p w14:paraId="1755A65E" w14:textId="77777777" w:rsidR="00172084" w:rsidRPr="00294751" w:rsidRDefault="0017208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DF478" w14:textId="77777777" w:rsidR="002668AE" w:rsidRDefault="00325F14" w:rsidP="00CF3064">
    <w:pPr>
      <w:tabs>
        <w:tab w:val="left" w:pos="2552"/>
      </w:tabs>
      <w:spacing w:before="60"/>
      <w:rPr>
        <w:sz w:val="16"/>
        <w:u w:val="single"/>
        <w:lang w:val="es-ES_tradnl"/>
      </w:rPr>
    </w:pPr>
    <w:r w:rsidRPr="00325F14">
      <w:rPr>
        <w:sz w:val="16"/>
        <w:u w:val="single"/>
        <w:lang w:val="es-ES_tradnl"/>
      </w:rPr>
      <w:tab/>
    </w:r>
  </w:p>
  <w:p w14:paraId="1BF872A9" w14:textId="76D6F1B7" w:rsidR="00325F14" w:rsidRPr="00325F14" w:rsidRDefault="0074687C" w:rsidP="003466B9">
    <w:pPr>
      <w:spacing w:before="120"/>
      <w:rPr>
        <w:sz w:val="16"/>
        <w:szCs w:val="16"/>
        <w:u w:val="single"/>
        <w:lang w:val="es-ES_tradnl"/>
      </w:rPr>
    </w:pPr>
    <w:r w:rsidRPr="003466B9">
      <w:rPr>
        <w:sz w:val="16"/>
        <w:szCs w:val="16"/>
        <w:u w:val="single"/>
        <w:lang w:val="es-ES_tradnl"/>
      </w:rPr>
      <w:t>La reunión se celebrará el viernes 24 de marzo de 2023 en la Sala A de la sede de la UPOV (34, chemin des Colombettes, Ginebra (Suiza)).</w:t>
    </w:r>
    <w:r>
      <w:rPr>
        <w:sz w:val="16"/>
        <w:szCs w:val="16"/>
        <w:u w:val="single"/>
      </w:rPr>
      <w:t xml:space="preserve"> </w:t>
    </w:r>
    <w:r w:rsidRPr="003466B9">
      <w:rPr>
        <w:sz w:val="16"/>
        <w:szCs w:val="16"/>
        <w:u w:val="single"/>
        <w:lang w:val="es-ES_tradnl"/>
      </w:rPr>
      <w:t>Se efectuarán los preparativos necesarios para que los participantes que no puedan asistir a la reunión en Ginebra participen a través de Zoom.</w:t>
    </w:r>
    <w:r>
      <w:rPr>
        <w:sz w:val="16"/>
        <w:szCs w:val="16"/>
        <w:u w:val="single"/>
      </w:rPr>
      <w:t xml:space="preserve"> </w:t>
    </w:r>
    <w:r w:rsidRPr="003466B9">
      <w:rPr>
        <w:sz w:val="16"/>
        <w:szCs w:val="16"/>
        <w:u w:val="single"/>
        <w:lang w:val="es-ES_tradnl"/>
      </w:rPr>
      <w:t>La reunión tendrá lugar de 13:00 a 16:00 (hora de Ginebra (CET)).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0B840" w14:textId="77777777" w:rsidR="002668AE" w:rsidRDefault="002668AE" w:rsidP="00325F14">
    <w:pPr>
      <w:pStyle w:val="Footer"/>
    </w:pPr>
  </w:p>
  <w:p w14:paraId="24CFE8F9" w14:textId="77777777" w:rsidR="00325F14" w:rsidRDefault="00325F14" w:rsidP="00325F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EE19B" w14:textId="010CB41B" w:rsidR="006464FF" w:rsidRDefault="006464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E812C" w14:textId="501588AD" w:rsidR="006464FF" w:rsidRDefault="00646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006EB" w14:textId="77777777" w:rsidR="00172084" w:rsidRDefault="00172084" w:rsidP="006655D3">
      <w:r>
        <w:separator/>
      </w:r>
    </w:p>
  </w:footnote>
  <w:footnote w:type="continuationSeparator" w:id="0">
    <w:p w14:paraId="5F98996C" w14:textId="77777777" w:rsidR="00172084" w:rsidRDefault="00172084" w:rsidP="006655D3">
      <w:r>
        <w:separator/>
      </w:r>
    </w:p>
  </w:footnote>
  <w:footnote w:type="continuationNotice" w:id="1">
    <w:p w14:paraId="257750E4" w14:textId="77777777" w:rsidR="00172084" w:rsidRPr="00AB530F" w:rsidRDefault="0017208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66903" w14:textId="77777777" w:rsidR="002668AE" w:rsidRDefault="00325F14" w:rsidP="002668AE">
    <w:pPr>
      <w:pStyle w:val="Header"/>
      <w:rPr>
        <w:rStyle w:val="PageNumber"/>
        <w:lang w:val="en-US"/>
      </w:rPr>
    </w:pPr>
    <w:r>
      <w:rPr>
        <w:noProof/>
        <w:lang w:val="en-US"/>
      </w:rPr>
      <mc:AlternateContent>
        <mc:Choice Requires="wps">
          <w:drawing>
            <wp:anchor distT="558800" distB="0" distL="114300" distR="114300" simplePos="0" relativeHeight="251661312" behindDoc="0" locked="0" layoutInCell="0" allowOverlap="1" wp14:anchorId="5C996ABB" wp14:editId="04A066A6">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BC2C96" w14:textId="23C3A08A" w:rsidR="00325F14" w:rsidRDefault="00B861FD" w:rsidP="00325F14">
                          <w:pPr>
                            <w:jc w:val="center"/>
                          </w:pPr>
                          <w:r w:rsidRPr="00B861FD">
                            <w:rPr>
                              <w:color w:val="000000"/>
                              <w:sz w:val="17"/>
                            </w:rPr>
                            <w:t>PARA USO EXCLUSIVO DE LA OMPI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996ABB"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14:paraId="7FBC2C96" w14:textId="23C3A08A" w:rsidR="00325F14" w:rsidRDefault="00B861FD" w:rsidP="00325F14">
                    <w:pPr>
                      <w:jc w:val="center"/>
                    </w:pPr>
                    <w:r w:rsidRPr="00B861FD">
                      <w:rPr>
                        <w:color w:val="000000"/>
                        <w:sz w:val="17"/>
                      </w:rPr>
                      <w:t>PARA USO EXCLUSIVO DE LA OMPI</w:t>
                    </w:r>
                  </w:p>
                </w:txbxContent>
              </v:textbox>
              <w10:wrap anchorx="margin" anchory="margin"/>
            </v:shape>
          </w:pict>
        </mc:Fallback>
      </mc:AlternateContent>
    </w:r>
    <w:r>
      <w:rPr>
        <w:rStyle w:val="PageNumber"/>
        <w:lang w:val="en-US"/>
      </w:rPr>
      <w:t>WG-SHF/3/2</w:t>
    </w:r>
  </w:p>
  <w:p w14:paraId="556A99AF" w14:textId="7E0FF7D0" w:rsidR="002668AE" w:rsidRDefault="00325F14" w:rsidP="002668AE">
    <w:pPr>
      <w:pStyle w:val="Header"/>
      <w:rPr>
        <w:lang w:val="en-US"/>
      </w:rPr>
    </w:pPr>
    <w:r w:rsidRPr="008E126B">
      <w:rPr>
        <w:lang w:val="es-ES_tradnl"/>
      </w:rPr>
      <w:t>página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668AE">
      <w:rPr>
        <w:rStyle w:val="PageNumber"/>
        <w:noProof/>
        <w:lang w:val="en-US"/>
      </w:rPr>
      <w:t>2</w:t>
    </w:r>
    <w:r w:rsidRPr="00C5280D">
      <w:rPr>
        <w:rStyle w:val="PageNumber"/>
        <w:lang w:val="en-US"/>
      </w:rPr>
      <w:fldChar w:fldCharType="end"/>
    </w:r>
  </w:p>
  <w:p w14:paraId="2ABA3F92" w14:textId="334CEE08" w:rsidR="00325F14" w:rsidRPr="00770B4D" w:rsidRDefault="00325F14" w:rsidP="002668AE">
    <w:pPr>
      <w:jc w:val="center"/>
      <w:rPr>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364C5" w14:textId="77777777" w:rsidR="002668AE" w:rsidRDefault="00325F14" w:rsidP="002668AE">
    <w:pPr>
      <w:pStyle w:val="Header"/>
      <w:rPr>
        <w:rStyle w:val="PageNumber"/>
        <w:lang w:val="en-US"/>
      </w:rPr>
    </w:pPr>
    <w:r>
      <w:rPr>
        <w:rStyle w:val="PageNumber"/>
        <w:lang w:val="en-US"/>
      </w:rPr>
      <w:t>WG-SHF/3/2</w:t>
    </w:r>
  </w:p>
  <w:p w14:paraId="39D474DE" w14:textId="5FAE85FD" w:rsidR="002668AE" w:rsidRDefault="00325F14" w:rsidP="002668AE">
    <w:pPr>
      <w:pStyle w:val="Header"/>
      <w:rPr>
        <w:lang w:val="es-ES_tradnl"/>
      </w:rPr>
    </w:pPr>
    <w:r w:rsidRPr="00C637F6">
      <w:rPr>
        <w:lang w:val="es-ES_tradnl"/>
      </w:rPr>
      <w:t xml:space="preserve">página </w:t>
    </w:r>
    <w:r w:rsidRPr="00C637F6">
      <w:rPr>
        <w:rStyle w:val="PageNumber"/>
        <w:lang w:val="es-ES_tradnl"/>
      </w:rPr>
      <w:fldChar w:fldCharType="begin"/>
    </w:r>
    <w:r w:rsidRPr="00C637F6">
      <w:rPr>
        <w:rStyle w:val="PageNumber"/>
        <w:lang w:val="es-ES_tradnl"/>
      </w:rPr>
      <w:instrText xml:space="preserve"> PAGE </w:instrText>
    </w:r>
    <w:r w:rsidRPr="00C637F6">
      <w:rPr>
        <w:rStyle w:val="PageNumber"/>
        <w:lang w:val="es-ES_tradnl"/>
      </w:rPr>
      <w:fldChar w:fldCharType="separate"/>
    </w:r>
    <w:r w:rsidR="001E6CB3">
      <w:rPr>
        <w:rStyle w:val="PageNumber"/>
        <w:noProof/>
        <w:lang w:val="es-ES_tradnl"/>
      </w:rPr>
      <w:t>4</w:t>
    </w:r>
    <w:r w:rsidRPr="00C637F6">
      <w:rPr>
        <w:rStyle w:val="PageNumber"/>
        <w:lang w:val="es-ES_tradnl"/>
      </w:rPr>
      <w:fldChar w:fldCharType="end"/>
    </w:r>
  </w:p>
  <w:p w14:paraId="5BF58313" w14:textId="67EA9022" w:rsidR="00325F14" w:rsidRPr="00770B4D" w:rsidRDefault="00325F14" w:rsidP="002668AE">
    <w:pPr>
      <w:jc w:val="cent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3AE16" w14:textId="77777777" w:rsidR="002668AE" w:rsidRDefault="00325F14" w:rsidP="00325F14">
    <w:pPr>
      <w:pStyle w:val="Header"/>
    </w:pPr>
    <w:r>
      <w:rPr>
        <w:noProof/>
        <w:lang w:val="en-US"/>
      </w:rPr>
      <mc:AlternateContent>
        <mc:Choice Requires="wps">
          <w:drawing>
            <wp:anchor distT="558800" distB="0" distL="114300" distR="114300" simplePos="0" relativeHeight="251663360" behindDoc="0" locked="0" layoutInCell="0" allowOverlap="1" wp14:anchorId="613F34A6" wp14:editId="7CBDE5B5">
              <wp:simplePos x="0" y="0"/>
              <wp:positionH relativeFrom="margin">
                <wp:align>center</wp:align>
              </wp:positionH>
              <wp:positionV relativeFrom="bottomMargin">
                <wp:posOffset>558800</wp:posOffset>
              </wp:positionV>
              <wp:extent cx="7620000" cy="317500"/>
              <wp:effectExtent l="0" t="0" r="0" b="6350"/>
              <wp:wrapNone/>
              <wp:docPr id="6"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504F38" w14:textId="6BE77468" w:rsidR="00325F14" w:rsidRDefault="00B861FD" w:rsidP="00325F14">
                          <w:pPr>
                            <w:jc w:val="center"/>
                          </w:pPr>
                          <w:r w:rsidRPr="00B861FD">
                            <w:rPr>
                              <w:color w:val="000000"/>
                              <w:sz w:val="17"/>
                            </w:rPr>
                            <w:t>PARA USO EXCLUSIVO DE LA OMPI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3F34A6" id="_x0000_t202" coordsize="21600,21600" o:spt="202" path="m,l,21600r21600,l21600,xe">
              <v:stroke joinstyle="miter"/>
              <v:path gradientshapeok="t" o:connecttype="rect"/>
            </v:shapetype>
            <v:shape id="TITUSO2footer" o:spid="_x0000_s1027"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C70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PoALvSpAgAAZAUAAA4AAAAAAAAAAAAAAAAA&#10;LgIAAGRycy9lMm9Eb2MueG1sUEsBAi0AFAAGAAgAAAAhAM3y8yjaAAAACAEAAA8AAAAAAAAAAAAA&#10;AAAAAwUAAGRycy9kb3ducmV2LnhtbFBLBQYAAAAABAAEAPMAAAAKBgAAAAA=&#10;" o:allowincell="f" filled="f" stroked="f" strokeweight=".5pt">
              <v:path arrowok="t"/>
              <v:textbox>
                <w:txbxContent>
                  <w:p w14:paraId="73504F38" w14:textId="6BE77468" w:rsidR="00325F14" w:rsidRDefault="00B861FD" w:rsidP="00325F14">
                    <w:pPr>
                      <w:jc w:val="center"/>
                    </w:pPr>
                    <w:r w:rsidRPr="00B861FD">
                      <w:rPr>
                        <w:color w:val="000000"/>
                        <w:sz w:val="17"/>
                      </w:rPr>
                      <w:t>PARA USO EXCLUSIVO DE LA OMPI</w:t>
                    </w:r>
                  </w:p>
                </w:txbxContent>
              </v:textbox>
              <w10:wrap anchorx="margin" anchory="margin"/>
            </v:shape>
          </w:pict>
        </mc:Fallback>
      </mc:AlternateContent>
    </w:r>
    <w:r>
      <w:t>WG-SHF/3/2</w:t>
    </w:r>
  </w:p>
  <w:p w14:paraId="04E01074" w14:textId="23826CC7" w:rsidR="002668AE" w:rsidRDefault="00325F14" w:rsidP="00325F14">
    <w:pPr>
      <w:pStyle w:val="Header"/>
      <w:rPr>
        <w:lang w:val="es-ES_tradnl"/>
      </w:rPr>
    </w:pPr>
    <w:r w:rsidRPr="00C637F6">
      <w:rPr>
        <w:lang w:val="es-ES_tradnl"/>
      </w:rPr>
      <w:t xml:space="preserve">Anexo, página </w:t>
    </w:r>
    <w:r w:rsidRPr="00C637F6">
      <w:rPr>
        <w:rStyle w:val="PageNumber"/>
        <w:lang w:val="es-ES_tradnl"/>
      </w:rPr>
      <w:fldChar w:fldCharType="begin"/>
    </w:r>
    <w:r w:rsidRPr="00C637F6">
      <w:rPr>
        <w:rStyle w:val="PageNumber"/>
        <w:lang w:val="es-ES_tradnl"/>
      </w:rPr>
      <w:instrText xml:space="preserve"> PAGE </w:instrText>
    </w:r>
    <w:r w:rsidRPr="00C637F6">
      <w:rPr>
        <w:rStyle w:val="PageNumber"/>
        <w:lang w:val="es-ES_tradnl"/>
      </w:rPr>
      <w:fldChar w:fldCharType="separate"/>
    </w:r>
    <w:r w:rsidR="002668AE">
      <w:rPr>
        <w:rStyle w:val="PageNumber"/>
        <w:noProof/>
        <w:lang w:val="es-ES_tradnl"/>
      </w:rPr>
      <w:t>2</w:t>
    </w:r>
    <w:r w:rsidRPr="00C637F6">
      <w:rPr>
        <w:rStyle w:val="PageNumber"/>
        <w:lang w:val="es-ES_tradnl"/>
      </w:rPr>
      <w:fldChar w:fldCharType="end"/>
    </w:r>
  </w:p>
  <w:p w14:paraId="22E3D7D5" w14:textId="77777777" w:rsidR="002668AE" w:rsidRDefault="002668AE" w:rsidP="00325F14">
    <w:pPr>
      <w:pStyle w:val="Header"/>
    </w:pPr>
  </w:p>
  <w:p w14:paraId="30AD9E4C" w14:textId="378CAD87" w:rsidR="00325F14" w:rsidRPr="00CD34F8" w:rsidRDefault="00325F14" w:rsidP="00325F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F600C" w14:textId="77777777" w:rsidR="002668AE" w:rsidRDefault="00325F14" w:rsidP="00CD34F8">
    <w:pPr>
      <w:pStyle w:val="Header"/>
    </w:pPr>
    <w:r>
      <w:t>WG-SHF/3</w:t>
    </w:r>
    <w:r w:rsidR="001B7724">
      <w:t>/</w:t>
    </w:r>
    <w:r>
      <w:t>2</w:t>
    </w:r>
  </w:p>
  <w:p w14:paraId="5CEA8ACB" w14:textId="5DDDF7D7" w:rsidR="002668AE" w:rsidRDefault="00325F14" w:rsidP="00CD34F8">
    <w:pPr>
      <w:pStyle w:val="Header"/>
    </w:pPr>
    <w:r>
      <w:t>Anexo, página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E6CB3">
      <w:rPr>
        <w:rStyle w:val="PageNumber"/>
        <w:noProof/>
        <w:lang w:val="en-US"/>
      </w:rPr>
      <w:t>2</w:t>
    </w:r>
    <w:r w:rsidRPr="00C5280D">
      <w:rPr>
        <w:rStyle w:val="PageNumber"/>
        <w:lang w:val="en-US"/>
      </w:rPr>
      <w:fldChar w:fldCharType="end"/>
    </w:r>
  </w:p>
  <w:p w14:paraId="64864817" w14:textId="5BEB65BE" w:rsidR="001B7724" w:rsidRPr="00CD34F8" w:rsidRDefault="001B7724" w:rsidP="00CD34F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A4B5A" w14:textId="77777777" w:rsidR="002668AE" w:rsidRDefault="00325F14" w:rsidP="00325F14">
    <w:pPr>
      <w:pStyle w:val="Header"/>
      <w:rPr>
        <w:rStyle w:val="PageNumber"/>
        <w:lang w:val="en-US"/>
      </w:rPr>
    </w:pPr>
    <w:r>
      <w:rPr>
        <w:rStyle w:val="PageNumber"/>
        <w:lang w:val="en-US"/>
      </w:rPr>
      <w:t>WG-SHF/3/2</w:t>
    </w:r>
  </w:p>
  <w:p w14:paraId="19F97984" w14:textId="77777777" w:rsidR="002668AE" w:rsidRDefault="002668AE" w:rsidP="00325F14">
    <w:pPr>
      <w:pStyle w:val="Header"/>
      <w:rPr>
        <w:lang w:val="en-US"/>
      </w:rPr>
    </w:pPr>
  </w:p>
  <w:p w14:paraId="21896756" w14:textId="77777777" w:rsidR="002668AE" w:rsidRDefault="00325F14" w:rsidP="00325F14">
    <w:pPr>
      <w:pStyle w:val="Header"/>
      <w:rPr>
        <w:lang w:val="es-ES_tradnl"/>
      </w:rPr>
    </w:pPr>
    <w:r w:rsidRPr="00C637F6">
      <w:rPr>
        <w:lang w:val="es-ES_tradnl"/>
      </w:rPr>
      <w:t>ANEXO</w:t>
    </w:r>
  </w:p>
  <w:p w14:paraId="29157ED5" w14:textId="3381AB94" w:rsidR="006464FF" w:rsidRDefault="006464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C724A"/>
    <w:multiLevelType w:val="hybridMultilevel"/>
    <w:tmpl w:val="DC74D2D8"/>
    <w:lvl w:ilvl="0" w:tplc="D0D0665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FAF3F0D"/>
    <w:multiLevelType w:val="hybridMultilevel"/>
    <w:tmpl w:val="E4C84758"/>
    <w:lvl w:ilvl="0" w:tplc="B3F44CB4">
      <w:start w:val="2"/>
      <w:numFmt w:val="bullet"/>
      <w:lvlText w:val="-"/>
      <w:lvlJc w:val="left"/>
      <w:pPr>
        <w:ind w:left="812" w:hanging="360"/>
      </w:pPr>
      <w:rPr>
        <w:rFonts w:ascii="Arial" w:eastAsia="Times New Roman" w:hAnsi="Arial" w:cs="Aria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2" w15:restartNumberingAfterBreak="0">
    <w:nsid w:val="25183355"/>
    <w:multiLevelType w:val="hybridMultilevel"/>
    <w:tmpl w:val="34B43C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2E325A"/>
    <w:multiLevelType w:val="hybridMultilevel"/>
    <w:tmpl w:val="1764D052"/>
    <w:lvl w:ilvl="0" w:tplc="F4FE427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5E604D6B"/>
    <w:multiLevelType w:val="hybridMultilevel"/>
    <w:tmpl w:val="BFFEE91C"/>
    <w:lvl w:ilvl="0" w:tplc="4636028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62EA7F4E"/>
    <w:multiLevelType w:val="hybridMultilevel"/>
    <w:tmpl w:val="D422CFCE"/>
    <w:lvl w:ilvl="0" w:tplc="D6CE5386">
      <w:start w:val="1"/>
      <w:numFmt w:val="lowerRoman"/>
      <w:lvlText w:val="%1)"/>
      <w:lvlJc w:val="left"/>
      <w:pPr>
        <w:ind w:left="1854" w:hanging="720"/>
      </w:pPr>
      <w:rPr>
        <w:rFonts w:cs="Times New Roman"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6FD80C4F"/>
    <w:multiLevelType w:val="hybridMultilevel"/>
    <w:tmpl w:val="9D184E1E"/>
    <w:lvl w:ilvl="0" w:tplc="04090017">
      <w:start w:val="1"/>
      <w:numFmt w:val="lowerLetter"/>
      <w:lvlText w:val="%1)"/>
      <w:lvlJc w:val="left"/>
      <w:pPr>
        <w:ind w:left="2828" w:hanging="5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7" w15:restartNumberingAfterBreak="0">
    <w:nsid w:val="7E3B0437"/>
    <w:multiLevelType w:val="hybridMultilevel"/>
    <w:tmpl w:val="E85A4890"/>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es-419"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fr-FR" w:vendorID="64" w:dllVersion="131078" w:nlCheck="1" w:checkStyle="0"/>
  <w:activeWritingStyle w:appName="MSWord" w:lang="en-US" w:vendorID="64" w:dllVersion="131078" w:nlCheck="1" w:checkStyle="1"/>
  <w:activeWritingStyle w:appName="MSWord" w:lang="es-419"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5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tBookmark" w:val="00002"/>
  </w:docVars>
  <w:rsids>
    <w:rsidRoot w:val="00172084"/>
    <w:rsid w:val="00003AD5"/>
    <w:rsid w:val="00010CF3"/>
    <w:rsid w:val="00011E27"/>
    <w:rsid w:val="000148BC"/>
    <w:rsid w:val="00022536"/>
    <w:rsid w:val="00024AB8"/>
    <w:rsid w:val="00030854"/>
    <w:rsid w:val="000351E8"/>
    <w:rsid w:val="00036028"/>
    <w:rsid w:val="0004198B"/>
    <w:rsid w:val="0004297B"/>
    <w:rsid w:val="00044642"/>
    <w:rsid w:val="000446B9"/>
    <w:rsid w:val="00047E21"/>
    <w:rsid w:val="00050E16"/>
    <w:rsid w:val="0006041B"/>
    <w:rsid w:val="00085505"/>
    <w:rsid w:val="0009348D"/>
    <w:rsid w:val="000A43FD"/>
    <w:rsid w:val="000B08EC"/>
    <w:rsid w:val="000C4E25"/>
    <w:rsid w:val="000C7021"/>
    <w:rsid w:val="000D5735"/>
    <w:rsid w:val="000D6BBC"/>
    <w:rsid w:val="000D7780"/>
    <w:rsid w:val="000E636A"/>
    <w:rsid w:val="000F2F11"/>
    <w:rsid w:val="00100233"/>
    <w:rsid w:val="00100A5F"/>
    <w:rsid w:val="00102C36"/>
    <w:rsid w:val="00105929"/>
    <w:rsid w:val="00110BED"/>
    <w:rsid w:val="00110C36"/>
    <w:rsid w:val="00112A66"/>
    <w:rsid w:val="001131D5"/>
    <w:rsid w:val="00114547"/>
    <w:rsid w:val="00134973"/>
    <w:rsid w:val="00141DB8"/>
    <w:rsid w:val="00172084"/>
    <w:rsid w:val="00174356"/>
    <w:rsid w:val="0017474A"/>
    <w:rsid w:val="001758C6"/>
    <w:rsid w:val="00182B99"/>
    <w:rsid w:val="001B7724"/>
    <w:rsid w:val="001C1525"/>
    <w:rsid w:val="001E6CB3"/>
    <w:rsid w:val="001F3DC4"/>
    <w:rsid w:val="0021181E"/>
    <w:rsid w:val="0021332C"/>
    <w:rsid w:val="00213982"/>
    <w:rsid w:val="002318ED"/>
    <w:rsid w:val="0024416D"/>
    <w:rsid w:val="002668AE"/>
    <w:rsid w:val="00271335"/>
    <w:rsid w:val="00271911"/>
    <w:rsid w:val="00273187"/>
    <w:rsid w:val="002743EB"/>
    <w:rsid w:val="00276E32"/>
    <w:rsid w:val="002800A0"/>
    <w:rsid w:val="002801B3"/>
    <w:rsid w:val="00281060"/>
    <w:rsid w:val="00284050"/>
    <w:rsid w:val="00284D90"/>
    <w:rsid w:val="00285BD0"/>
    <w:rsid w:val="002940E8"/>
    <w:rsid w:val="00294751"/>
    <w:rsid w:val="002A6E50"/>
    <w:rsid w:val="002B4298"/>
    <w:rsid w:val="002B7A36"/>
    <w:rsid w:val="002C256A"/>
    <w:rsid w:val="002D3CFB"/>
    <w:rsid w:val="002D3E3E"/>
    <w:rsid w:val="002D50AC"/>
    <w:rsid w:val="002D5226"/>
    <w:rsid w:val="00303545"/>
    <w:rsid w:val="00305A7F"/>
    <w:rsid w:val="003152FE"/>
    <w:rsid w:val="00325F14"/>
    <w:rsid w:val="00327436"/>
    <w:rsid w:val="00344BD6"/>
    <w:rsid w:val="003466B9"/>
    <w:rsid w:val="00351594"/>
    <w:rsid w:val="0035528D"/>
    <w:rsid w:val="00361821"/>
    <w:rsid w:val="00361E9E"/>
    <w:rsid w:val="00374A03"/>
    <w:rsid w:val="003753EE"/>
    <w:rsid w:val="003809E6"/>
    <w:rsid w:val="003A0835"/>
    <w:rsid w:val="003A5AAF"/>
    <w:rsid w:val="003B4E98"/>
    <w:rsid w:val="003B700A"/>
    <w:rsid w:val="003C7FBE"/>
    <w:rsid w:val="003D227C"/>
    <w:rsid w:val="003D2B4D"/>
    <w:rsid w:val="003E3582"/>
    <w:rsid w:val="003F047E"/>
    <w:rsid w:val="003F3394"/>
    <w:rsid w:val="003F37F5"/>
    <w:rsid w:val="003F7078"/>
    <w:rsid w:val="00401CCF"/>
    <w:rsid w:val="00442710"/>
    <w:rsid w:val="00444A88"/>
    <w:rsid w:val="00451EEE"/>
    <w:rsid w:val="00457288"/>
    <w:rsid w:val="00474DA4"/>
    <w:rsid w:val="00476B4D"/>
    <w:rsid w:val="004805FA"/>
    <w:rsid w:val="0048221D"/>
    <w:rsid w:val="0048609D"/>
    <w:rsid w:val="004935D2"/>
    <w:rsid w:val="004B1215"/>
    <w:rsid w:val="004B388D"/>
    <w:rsid w:val="004C2361"/>
    <w:rsid w:val="004D047D"/>
    <w:rsid w:val="004D3422"/>
    <w:rsid w:val="004E1D11"/>
    <w:rsid w:val="004F1E9E"/>
    <w:rsid w:val="004F305A"/>
    <w:rsid w:val="00512164"/>
    <w:rsid w:val="00520297"/>
    <w:rsid w:val="00532395"/>
    <w:rsid w:val="005338F9"/>
    <w:rsid w:val="0054281C"/>
    <w:rsid w:val="00544581"/>
    <w:rsid w:val="0055268D"/>
    <w:rsid w:val="0057136F"/>
    <w:rsid w:val="00575DE2"/>
    <w:rsid w:val="00576BE4"/>
    <w:rsid w:val="005779DB"/>
    <w:rsid w:val="00594F65"/>
    <w:rsid w:val="005A2A67"/>
    <w:rsid w:val="005A400A"/>
    <w:rsid w:val="005A4C2E"/>
    <w:rsid w:val="005B269D"/>
    <w:rsid w:val="005C6424"/>
    <w:rsid w:val="005F7B92"/>
    <w:rsid w:val="00612379"/>
    <w:rsid w:val="006153B6"/>
    <w:rsid w:val="0061555F"/>
    <w:rsid w:val="006245ED"/>
    <w:rsid w:val="00636CA6"/>
    <w:rsid w:val="00641200"/>
    <w:rsid w:val="00645CA8"/>
    <w:rsid w:val="006464FF"/>
    <w:rsid w:val="006561D8"/>
    <w:rsid w:val="006655D3"/>
    <w:rsid w:val="00667404"/>
    <w:rsid w:val="00687EB4"/>
    <w:rsid w:val="00695C56"/>
    <w:rsid w:val="006A5CDE"/>
    <w:rsid w:val="006A644A"/>
    <w:rsid w:val="006B17D2"/>
    <w:rsid w:val="006B180D"/>
    <w:rsid w:val="006B28DE"/>
    <w:rsid w:val="006C224E"/>
    <w:rsid w:val="006C3BBD"/>
    <w:rsid w:val="006C7EEC"/>
    <w:rsid w:val="006D780A"/>
    <w:rsid w:val="006E5E80"/>
    <w:rsid w:val="00707A7C"/>
    <w:rsid w:val="00710366"/>
    <w:rsid w:val="0071271E"/>
    <w:rsid w:val="00732DEC"/>
    <w:rsid w:val="0073565F"/>
    <w:rsid w:val="00735BD5"/>
    <w:rsid w:val="00740542"/>
    <w:rsid w:val="00743F1B"/>
    <w:rsid w:val="007451EC"/>
    <w:rsid w:val="007459D5"/>
    <w:rsid w:val="0074687C"/>
    <w:rsid w:val="00751613"/>
    <w:rsid w:val="00753A19"/>
    <w:rsid w:val="00753EE9"/>
    <w:rsid w:val="007556F6"/>
    <w:rsid w:val="00760EEF"/>
    <w:rsid w:val="00770CAC"/>
    <w:rsid w:val="00777EE5"/>
    <w:rsid w:val="00784836"/>
    <w:rsid w:val="00785437"/>
    <w:rsid w:val="0079023E"/>
    <w:rsid w:val="007A2854"/>
    <w:rsid w:val="007A2B14"/>
    <w:rsid w:val="007C1D92"/>
    <w:rsid w:val="007C4CB9"/>
    <w:rsid w:val="007D0B9D"/>
    <w:rsid w:val="007D19B0"/>
    <w:rsid w:val="007E236F"/>
    <w:rsid w:val="007E3218"/>
    <w:rsid w:val="007F498F"/>
    <w:rsid w:val="0080679D"/>
    <w:rsid w:val="008108B0"/>
    <w:rsid w:val="00811B20"/>
    <w:rsid w:val="00812609"/>
    <w:rsid w:val="008211B5"/>
    <w:rsid w:val="0082296E"/>
    <w:rsid w:val="00824099"/>
    <w:rsid w:val="00846D7C"/>
    <w:rsid w:val="00867AC1"/>
    <w:rsid w:val="008751DE"/>
    <w:rsid w:val="00890DF8"/>
    <w:rsid w:val="008A0ADE"/>
    <w:rsid w:val="008A4251"/>
    <w:rsid w:val="008A743F"/>
    <w:rsid w:val="008C0970"/>
    <w:rsid w:val="008C5084"/>
    <w:rsid w:val="008D0BC5"/>
    <w:rsid w:val="008D0F14"/>
    <w:rsid w:val="008D17EB"/>
    <w:rsid w:val="008D2CF7"/>
    <w:rsid w:val="008E126B"/>
    <w:rsid w:val="008E17A7"/>
    <w:rsid w:val="008F17C7"/>
    <w:rsid w:val="00900C26"/>
    <w:rsid w:val="0090197F"/>
    <w:rsid w:val="00903264"/>
    <w:rsid w:val="00906DDC"/>
    <w:rsid w:val="00927B88"/>
    <w:rsid w:val="00934E09"/>
    <w:rsid w:val="00936253"/>
    <w:rsid w:val="00940D46"/>
    <w:rsid w:val="009413F1"/>
    <w:rsid w:val="00952DD4"/>
    <w:rsid w:val="009561F4"/>
    <w:rsid w:val="00965AE7"/>
    <w:rsid w:val="00970FED"/>
    <w:rsid w:val="00977FDA"/>
    <w:rsid w:val="00986625"/>
    <w:rsid w:val="00992CA8"/>
    <w:rsid w:val="00992D82"/>
    <w:rsid w:val="00997029"/>
    <w:rsid w:val="009A4DE7"/>
    <w:rsid w:val="009A7339"/>
    <w:rsid w:val="009B440E"/>
    <w:rsid w:val="009C2803"/>
    <w:rsid w:val="009D690D"/>
    <w:rsid w:val="009E65B6"/>
    <w:rsid w:val="009E7A00"/>
    <w:rsid w:val="009F0A51"/>
    <w:rsid w:val="009F77CF"/>
    <w:rsid w:val="00A24C10"/>
    <w:rsid w:val="00A42AC3"/>
    <w:rsid w:val="00A430CF"/>
    <w:rsid w:val="00A54309"/>
    <w:rsid w:val="00A57F12"/>
    <w:rsid w:val="00A610A9"/>
    <w:rsid w:val="00A80F2A"/>
    <w:rsid w:val="00A93927"/>
    <w:rsid w:val="00A96C33"/>
    <w:rsid w:val="00AB2B93"/>
    <w:rsid w:val="00AB3819"/>
    <w:rsid w:val="00AB530F"/>
    <w:rsid w:val="00AB7E5B"/>
    <w:rsid w:val="00AC1487"/>
    <w:rsid w:val="00AC2883"/>
    <w:rsid w:val="00AC2ACB"/>
    <w:rsid w:val="00AD4550"/>
    <w:rsid w:val="00AD6273"/>
    <w:rsid w:val="00AE0EF1"/>
    <w:rsid w:val="00AE2937"/>
    <w:rsid w:val="00AE737D"/>
    <w:rsid w:val="00AF40BE"/>
    <w:rsid w:val="00B07301"/>
    <w:rsid w:val="00B11F3E"/>
    <w:rsid w:val="00B15683"/>
    <w:rsid w:val="00B224DE"/>
    <w:rsid w:val="00B324D4"/>
    <w:rsid w:val="00B33B58"/>
    <w:rsid w:val="00B46575"/>
    <w:rsid w:val="00B61777"/>
    <w:rsid w:val="00B622E6"/>
    <w:rsid w:val="00B76E43"/>
    <w:rsid w:val="00B83E82"/>
    <w:rsid w:val="00B84BBD"/>
    <w:rsid w:val="00B861FD"/>
    <w:rsid w:val="00B918F7"/>
    <w:rsid w:val="00BA43FB"/>
    <w:rsid w:val="00BB24A6"/>
    <w:rsid w:val="00BB4045"/>
    <w:rsid w:val="00BC127D"/>
    <w:rsid w:val="00BC1FE6"/>
    <w:rsid w:val="00BD2C1C"/>
    <w:rsid w:val="00BF0E3D"/>
    <w:rsid w:val="00BF5568"/>
    <w:rsid w:val="00C061B6"/>
    <w:rsid w:val="00C23418"/>
    <w:rsid w:val="00C2446C"/>
    <w:rsid w:val="00C36AE5"/>
    <w:rsid w:val="00C41F17"/>
    <w:rsid w:val="00C43E1E"/>
    <w:rsid w:val="00C50EFB"/>
    <w:rsid w:val="00C527FA"/>
    <w:rsid w:val="00C5280D"/>
    <w:rsid w:val="00C53EB3"/>
    <w:rsid w:val="00C5791C"/>
    <w:rsid w:val="00C637F6"/>
    <w:rsid w:val="00C6573E"/>
    <w:rsid w:val="00C66290"/>
    <w:rsid w:val="00C70094"/>
    <w:rsid w:val="00C72B7A"/>
    <w:rsid w:val="00C85DCC"/>
    <w:rsid w:val="00C940FB"/>
    <w:rsid w:val="00C973F2"/>
    <w:rsid w:val="00CA304C"/>
    <w:rsid w:val="00CA774A"/>
    <w:rsid w:val="00CB4921"/>
    <w:rsid w:val="00CC11B0"/>
    <w:rsid w:val="00CC2841"/>
    <w:rsid w:val="00CC64B1"/>
    <w:rsid w:val="00CD34F8"/>
    <w:rsid w:val="00CD7E48"/>
    <w:rsid w:val="00CF12B5"/>
    <w:rsid w:val="00CF1330"/>
    <w:rsid w:val="00CF24B5"/>
    <w:rsid w:val="00CF70EA"/>
    <w:rsid w:val="00CF7E36"/>
    <w:rsid w:val="00D07859"/>
    <w:rsid w:val="00D25C63"/>
    <w:rsid w:val="00D33377"/>
    <w:rsid w:val="00D3708D"/>
    <w:rsid w:val="00D40426"/>
    <w:rsid w:val="00D53B45"/>
    <w:rsid w:val="00D57C96"/>
    <w:rsid w:val="00D57D18"/>
    <w:rsid w:val="00D70E65"/>
    <w:rsid w:val="00D8117F"/>
    <w:rsid w:val="00D81995"/>
    <w:rsid w:val="00D91203"/>
    <w:rsid w:val="00D913FF"/>
    <w:rsid w:val="00D95174"/>
    <w:rsid w:val="00DA4973"/>
    <w:rsid w:val="00DA6F36"/>
    <w:rsid w:val="00DB596E"/>
    <w:rsid w:val="00DB7773"/>
    <w:rsid w:val="00DC00EA"/>
    <w:rsid w:val="00DC3802"/>
    <w:rsid w:val="00DD6208"/>
    <w:rsid w:val="00DE1157"/>
    <w:rsid w:val="00DE4BFD"/>
    <w:rsid w:val="00DF7E99"/>
    <w:rsid w:val="00E01B7F"/>
    <w:rsid w:val="00E07D87"/>
    <w:rsid w:val="00E249C8"/>
    <w:rsid w:val="00E26919"/>
    <w:rsid w:val="00E32F7E"/>
    <w:rsid w:val="00E5267B"/>
    <w:rsid w:val="00E559F0"/>
    <w:rsid w:val="00E63C0E"/>
    <w:rsid w:val="00E641A7"/>
    <w:rsid w:val="00E72D49"/>
    <w:rsid w:val="00E7593C"/>
    <w:rsid w:val="00E7678A"/>
    <w:rsid w:val="00E935F1"/>
    <w:rsid w:val="00E94A81"/>
    <w:rsid w:val="00EA1FFB"/>
    <w:rsid w:val="00EB048E"/>
    <w:rsid w:val="00EB4E9C"/>
    <w:rsid w:val="00EE00A8"/>
    <w:rsid w:val="00EE34DF"/>
    <w:rsid w:val="00EF2F89"/>
    <w:rsid w:val="00EF6841"/>
    <w:rsid w:val="00F03E98"/>
    <w:rsid w:val="00F1237A"/>
    <w:rsid w:val="00F172AF"/>
    <w:rsid w:val="00F22CBD"/>
    <w:rsid w:val="00F26FE8"/>
    <w:rsid w:val="00F272F1"/>
    <w:rsid w:val="00F30440"/>
    <w:rsid w:val="00F31412"/>
    <w:rsid w:val="00F45372"/>
    <w:rsid w:val="00F54751"/>
    <w:rsid w:val="00F560F7"/>
    <w:rsid w:val="00F6334D"/>
    <w:rsid w:val="00F63599"/>
    <w:rsid w:val="00F7155A"/>
    <w:rsid w:val="00F71781"/>
    <w:rsid w:val="00F77575"/>
    <w:rsid w:val="00FA094F"/>
    <w:rsid w:val="00FA49AB"/>
    <w:rsid w:val="00FB23B0"/>
    <w:rsid w:val="00FC5FD0"/>
    <w:rsid w:val="00FE1B1E"/>
    <w:rsid w:val="00FE39C7"/>
    <w:rsid w:val="00FF2D15"/>
    <w:rsid w:val="00FF4C85"/>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29E1ED63"/>
  <w15:docId w15:val="{29309345-FD6F-4D3C-B4D4-F225C6C4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uiPriority w:val="39"/>
    <w:rsid w:val="005C6424"/>
    <w:pPr>
      <w:tabs>
        <w:tab w:val="right" w:leader="dot" w:pos="9639"/>
      </w:tabs>
      <w:spacing w:after="120"/>
      <w:ind w:left="720" w:right="720"/>
      <w:contextualSpacing/>
    </w:pPr>
    <w:rPr>
      <w:rFonts w:ascii="Arial" w:hAnsi="Arial"/>
    </w:rPr>
  </w:style>
  <w:style w:type="paragraph" w:styleId="TOC3">
    <w:name w:val="toc 3"/>
    <w:next w:val="Normal"/>
    <w:autoRedefine/>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next w:val="Normal"/>
    <w:autoRedefine/>
    <w:uiPriority w:val="39"/>
    <w:rsid w:val="005C6424"/>
    <w:pPr>
      <w:tabs>
        <w:tab w:val="right" w:leader="dot" w:pos="9639"/>
      </w:tabs>
      <w:spacing w:after="120"/>
      <w:jc w:val="both"/>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21181E"/>
    <w:pPr>
      <w:ind w:left="720"/>
      <w:jc w:val="left"/>
    </w:pPr>
    <w:rPr>
      <w:rFonts w:ascii="Calibri" w:eastAsia="Calibri" w:hAnsi="Calibri"/>
      <w:sz w:val="22"/>
      <w:szCs w:val="22"/>
      <w:lang w:eastAsia="fr-FR"/>
    </w:rPr>
  </w:style>
  <w:style w:type="table" w:styleId="TableGrid">
    <w:name w:val="Table Grid"/>
    <w:basedOn w:val="TableNormal"/>
    <w:rsid w:val="00CD7E4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3927"/>
    <w:rPr>
      <w:sz w:val="16"/>
      <w:szCs w:val="16"/>
    </w:rPr>
  </w:style>
  <w:style w:type="paragraph" w:customStyle="1" w:styleId="CommentText1">
    <w:name w:val="Comment Text1"/>
    <w:basedOn w:val="Normal"/>
    <w:next w:val="CommentText"/>
    <w:link w:val="CommentTextChar"/>
    <w:uiPriority w:val="99"/>
    <w:semiHidden/>
    <w:unhideWhenUsed/>
    <w:rsid w:val="00A93927"/>
    <w:pPr>
      <w:spacing w:after="160"/>
      <w:jc w:val="left"/>
    </w:pPr>
    <w:rPr>
      <w:rFonts w:ascii="Times New Roman" w:hAnsi="Times New Roman"/>
    </w:rPr>
  </w:style>
  <w:style w:type="character" w:customStyle="1" w:styleId="CommentTextChar">
    <w:name w:val="Comment Text Char"/>
    <w:basedOn w:val="DefaultParagraphFont"/>
    <w:link w:val="CommentText1"/>
    <w:uiPriority w:val="99"/>
    <w:semiHidden/>
    <w:rsid w:val="00A93927"/>
    <w:rPr>
      <w:sz w:val="20"/>
      <w:szCs w:val="20"/>
    </w:rPr>
  </w:style>
  <w:style w:type="paragraph" w:styleId="CommentText">
    <w:name w:val="annotation text"/>
    <w:basedOn w:val="Normal"/>
    <w:link w:val="CommentTextChar1"/>
    <w:semiHidden/>
    <w:unhideWhenUsed/>
    <w:rsid w:val="00A93927"/>
  </w:style>
  <w:style w:type="character" w:customStyle="1" w:styleId="CommentTextChar1">
    <w:name w:val="Comment Text Char1"/>
    <w:basedOn w:val="DefaultParagraphFont"/>
    <w:link w:val="CommentText"/>
    <w:semiHidden/>
    <w:rsid w:val="00A93927"/>
    <w:rPr>
      <w:rFonts w:ascii="Arial" w:hAnsi="Arial"/>
    </w:rPr>
  </w:style>
  <w:style w:type="character" w:customStyle="1" w:styleId="FootnoteTextChar">
    <w:name w:val="Footnote Text Char"/>
    <w:basedOn w:val="DefaultParagraphFont"/>
    <w:link w:val="FootnoteText"/>
    <w:uiPriority w:val="99"/>
    <w:rsid w:val="00C23418"/>
    <w:rPr>
      <w:rFonts w:ascii="Arial" w:hAnsi="Arial"/>
      <w:sz w:val="16"/>
    </w:rPr>
  </w:style>
  <w:style w:type="character" w:styleId="Strong">
    <w:name w:val="Strong"/>
    <w:basedOn w:val="DefaultParagraphFont"/>
    <w:uiPriority w:val="22"/>
    <w:qFormat/>
    <w:rsid w:val="001F3DC4"/>
    <w:rPr>
      <w:b/>
      <w:bCs/>
    </w:rPr>
  </w:style>
  <w:style w:type="character" w:customStyle="1" w:styleId="ListParagraphChar">
    <w:name w:val="List Paragraph Char"/>
    <w:aliases w:val="auto_list_(i) Char,List Paragraph1 Char"/>
    <w:basedOn w:val="DefaultParagraphFont"/>
    <w:link w:val="ListParagraph"/>
    <w:uiPriority w:val="34"/>
    <w:rsid w:val="00325F14"/>
    <w:rPr>
      <w:rFonts w:ascii="Calibri" w:eastAsia="Calibri" w:hAnsi="Calibri"/>
      <w:sz w:val="22"/>
      <w:szCs w:val="22"/>
      <w:lang w:eastAsia="fr-FR"/>
    </w:rPr>
  </w:style>
  <w:style w:type="character" w:customStyle="1" w:styleId="Heading2Char">
    <w:name w:val="Heading 2 Char"/>
    <w:aliases w:val="VARIETY Char,variety Char"/>
    <w:basedOn w:val="DefaultParagraphFont"/>
    <w:link w:val="Heading2"/>
    <w:rsid w:val="00325F14"/>
    <w:rPr>
      <w:rFonts w:ascii="Arial" w:hAnsi="Arial"/>
      <w:u w:val="single"/>
    </w:rPr>
  </w:style>
  <w:style w:type="character" w:styleId="FollowedHyperlink">
    <w:name w:val="FollowedHyperlink"/>
    <w:basedOn w:val="DefaultParagraphFont"/>
    <w:semiHidden/>
    <w:unhideWhenUsed/>
    <w:rsid w:val="00451E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715334">
      <w:bodyDiv w:val="1"/>
      <w:marLeft w:val="0"/>
      <w:marRight w:val="0"/>
      <w:marTop w:val="0"/>
      <w:marBottom w:val="0"/>
      <w:divBdr>
        <w:top w:val="none" w:sz="0" w:space="0" w:color="auto"/>
        <w:left w:val="none" w:sz="0" w:space="0" w:color="auto"/>
        <w:bottom w:val="none" w:sz="0" w:space="0" w:color="auto"/>
        <w:right w:val="none" w:sz="0" w:space="0" w:color="auto"/>
      </w:divBdr>
    </w:div>
    <w:div w:id="513501553">
      <w:bodyDiv w:val="1"/>
      <w:marLeft w:val="0"/>
      <w:marRight w:val="0"/>
      <w:marTop w:val="0"/>
      <w:marBottom w:val="0"/>
      <w:divBdr>
        <w:top w:val="none" w:sz="0" w:space="0" w:color="auto"/>
        <w:left w:val="none" w:sz="0" w:space="0" w:color="auto"/>
        <w:bottom w:val="none" w:sz="0" w:space="0" w:color="auto"/>
        <w:right w:val="none" w:sz="0" w:space="0" w:color="auto"/>
      </w:divBdr>
    </w:div>
    <w:div w:id="530383962">
      <w:bodyDiv w:val="1"/>
      <w:marLeft w:val="0"/>
      <w:marRight w:val="0"/>
      <w:marTop w:val="0"/>
      <w:marBottom w:val="0"/>
      <w:divBdr>
        <w:top w:val="none" w:sz="0" w:space="0" w:color="auto"/>
        <w:left w:val="none" w:sz="0" w:space="0" w:color="auto"/>
        <w:bottom w:val="none" w:sz="0" w:space="0" w:color="auto"/>
        <w:right w:val="none" w:sz="0" w:space="0" w:color="auto"/>
      </w:divBdr>
    </w:div>
    <w:div w:id="1274896749">
      <w:bodyDiv w:val="1"/>
      <w:marLeft w:val="0"/>
      <w:marRight w:val="0"/>
      <w:marTop w:val="0"/>
      <w:marBottom w:val="0"/>
      <w:divBdr>
        <w:top w:val="none" w:sz="0" w:space="0" w:color="auto"/>
        <w:left w:val="none" w:sz="0" w:space="0" w:color="auto"/>
        <w:bottom w:val="none" w:sz="0" w:space="0" w:color="auto"/>
        <w:right w:val="none" w:sz="0" w:space="0" w:color="auto"/>
      </w:divBdr>
    </w:div>
    <w:div w:id="1380086075">
      <w:bodyDiv w:val="1"/>
      <w:marLeft w:val="0"/>
      <w:marRight w:val="0"/>
      <w:marTop w:val="0"/>
      <w:marBottom w:val="0"/>
      <w:divBdr>
        <w:top w:val="none" w:sz="0" w:space="0" w:color="auto"/>
        <w:left w:val="none" w:sz="0" w:space="0" w:color="auto"/>
        <w:bottom w:val="none" w:sz="0" w:space="0" w:color="auto"/>
        <w:right w:val="none" w:sz="0" w:space="0" w:color="auto"/>
      </w:divBdr>
    </w:div>
    <w:div w:id="1393888385">
      <w:bodyDiv w:val="1"/>
      <w:marLeft w:val="0"/>
      <w:marRight w:val="0"/>
      <w:marTop w:val="0"/>
      <w:marBottom w:val="0"/>
      <w:divBdr>
        <w:top w:val="none" w:sz="0" w:space="0" w:color="auto"/>
        <w:left w:val="none" w:sz="0" w:space="0" w:color="auto"/>
        <w:bottom w:val="none" w:sz="0" w:space="0" w:color="auto"/>
        <w:right w:val="none" w:sz="0" w:space="0" w:color="auto"/>
      </w:divBdr>
    </w:div>
    <w:div w:id="1442064708">
      <w:bodyDiv w:val="1"/>
      <w:marLeft w:val="0"/>
      <w:marRight w:val="0"/>
      <w:marTop w:val="0"/>
      <w:marBottom w:val="0"/>
      <w:divBdr>
        <w:top w:val="none" w:sz="0" w:space="0" w:color="auto"/>
        <w:left w:val="none" w:sz="0" w:space="0" w:color="auto"/>
        <w:bottom w:val="none" w:sz="0" w:space="0" w:color="auto"/>
        <w:right w:val="none" w:sz="0" w:space="0" w:color="auto"/>
      </w:divBdr>
    </w:div>
    <w:div w:id="1540388675">
      <w:bodyDiv w:val="1"/>
      <w:marLeft w:val="0"/>
      <w:marRight w:val="0"/>
      <w:marTop w:val="0"/>
      <w:marBottom w:val="0"/>
      <w:divBdr>
        <w:top w:val="none" w:sz="0" w:space="0" w:color="auto"/>
        <w:left w:val="none" w:sz="0" w:space="0" w:color="auto"/>
        <w:bottom w:val="none" w:sz="0" w:space="0" w:color="auto"/>
        <w:right w:val="none" w:sz="0" w:space="0" w:color="auto"/>
      </w:divBdr>
    </w:div>
    <w:div w:id="1804929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pov.int/meetings/es/details.jsp?meeting_id=74772" TargetMode="External"/><Relationship Id="rId18" Type="http://schemas.openxmlformats.org/officeDocument/2006/relationships/hyperlink" Target="https://www.upov.int/edocs/mdocs/upov/es/c_55/c_55_18.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upov.int/meetings/es/details.jsp?meeting_id=70189" TargetMode="External"/><Relationship Id="rId17" Type="http://schemas.openxmlformats.org/officeDocument/2006/relationships/hyperlink" Target="https://www.upov.int/edocs/mdocs/upov/es/c_55/c_55_18.pdf"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upov.int/meetings/es/details.jsp?meeting_id=67775"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hyperlink" Target="https://www.upov.int/edocs/mdocs/upov/es/wg_shf_1/wg_shf_1_2.pdf"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299B6-3325-4DEE-AF6E-039B5C13B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3012</Words>
  <Characters>16524</Characters>
  <Application>Microsoft Office Word</Application>
  <DocSecurity>0</DocSecurity>
  <Lines>137</Lines>
  <Paragraphs>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WG-SHF/3/2</vt:lpstr>
      <vt:lpstr>CAJ/78</vt:lpstr>
    </vt:vector>
  </TitlesOfParts>
  <Company>UPOV</Company>
  <LinksUpToDate>false</LinksUpToDate>
  <CharactersWithSpaces>19498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WG-SHF/3/2</dc:title>
  <dc:creator>SANCHEZ-VIZCAINO GOMEZ Rosa Maria</dc:creator>
  <cp:keywords/>
  <cp:lastModifiedBy>HUERTA-CASADO Yolanda</cp:lastModifiedBy>
  <cp:revision>7</cp:revision>
  <cp:lastPrinted>2016-11-22T15:41:00Z</cp:lastPrinted>
  <dcterms:created xsi:type="dcterms:W3CDTF">2023-03-22T10:01:00Z</dcterms:created>
  <dcterms:modified xsi:type="dcterms:W3CDTF">2023-03-22T19:37:00Z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617b551a-6fed-40c8-a62e-49658502deb7</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