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3F379F94" w14:textId="77777777" w:rsidTr="00EB4E9C">
        <w:tc>
          <w:tcPr>
            <w:tcW w:w="6522" w:type="dxa"/>
          </w:tcPr>
          <w:p w14:paraId="542E95D3" w14:textId="3F8FB55D" w:rsidR="00DC3802" w:rsidRPr="00AC2883" w:rsidRDefault="0067333B" w:rsidP="00AC2883">
            <w:r>
              <w:rPr>
                <w:noProof/>
                <w:sz w:val="16"/>
              </w:rPr>
              <w:drawing>
                <wp:inline distT="0" distB="0" distL="0" distR="0" wp14:anchorId="072D7A25" wp14:editId="76B38A3F">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A36B12C" w14:textId="264009A6" w:rsidR="00DC3802" w:rsidRPr="007C1D92" w:rsidRDefault="008143ED" w:rsidP="00AC2883">
            <w:pPr>
              <w:pStyle w:val="Lettrine"/>
            </w:pPr>
            <w:r>
              <w:t>S</w:t>
            </w:r>
          </w:p>
        </w:tc>
      </w:tr>
      <w:tr w:rsidR="00DC3802" w:rsidRPr="008143ED" w14:paraId="6BF3292A" w14:textId="77777777" w:rsidTr="00645CA8">
        <w:trPr>
          <w:trHeight w:val="219"/>
        </w:trPr>
        <w:tc>
          <w:tcPr>
            <w:tcW w:w="6522" w:type="dxa"/>
          </w:tcPr>
          <w:p w14:paraId="53F1CC41" w14:textId="77777777" w:rsidR="00DC3802" w:rsidRPr="0036468B" w:rsidRDefault="00DC3802" w:rsidP="00AC2883">
            <w:pPr>
              <w:pStyle w:val="upove"/>
              <w:rPr>
                <w:lang w:val="es-ES"/>
              </w:rPr>
            </w:pPr>
            <w:r w:rsidRPr="0036468B">
              <w:rPr>
                <w:lang w:val="es-ES"/>
              </w:rPr>
              <w:t>Unión Internacional para la Protección de las Obtenciones Vegetales</w:t>
            </w:r>
          </w:p>
        </w:tc>
        <w:tc>
          <w:tcPr>
            <w:tcW w:w="3117" w:type="dxa"/>
          </w:tcPr>
          <w:p w14:paraId="7E35AB22" w14:textId="77777777" w:rsidR="00DC3802" w:rsidRPr="0036468B" w:rsidRDefault="00DC3802" w:rsidP="00DA4973">
            <w:pPr>
              <w:rPr>
                <w:lang w:val="es-ES"/>
              </w:rPr>
            </w:pPr>
          </w:p>
        </w:tc>
      </w:tr>
    </w:tbl>
    <w:p w14:paraId="6A7F2D29" w14:textId="77777777" w:rsidR="00DC3802" w:rsidRPr="0036468B" w:rsidRDefault="00DC3802" w:rsidP="00DC3802">
      <w:pPr>
        <w:rPr>
          <w:lang w:val="es-ES"/>
        </w:rPr>
      </w:pPr>
    </w:p>
    <w:p w14:paraId="2BF4764E" w14:textId="77777777" w:rsidR="0004297B" w:rsidRPr="0036468B" w:rsidRDefault="0004297B" w:rsidP="0004297B">
      <w:pPr>
        <w:rPr>
          <w:lang w:val="es-ES"/>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4297B" w:rsidRPr="008143ED" w14:paraId="58731F60" w14:textId="77777777" w:rsidTr="00EB56DD">
        <w:tc>
          <w:tcPr>
            <w:tcW w:w="6512" w:type="dxa"/>
          </w:tcPr>
          <w:p w14:paraId="43912C1E" w14:textId="77777777" w:rsidR="0036468B" w:rsidRPr="0036468B" w:rsidRDefault="0036468B" w:rsidP="0036468B">
            <w:pPr>
              <w:pStyle w:val="Sessiontc"/>
              <w:spacing w:line="240" w:lineRule="auto"/>
              <w:ind w:right="126"/>
              <w:rPr>
                <w:lang w:val="es-ES"/>
              </w:rPr>
            </w:pPr>
            <w:r w:rsidRPr="0036468B">
              <w:rPr>
                <w:lang w:val="es-ES"/>
              </w:rPr>
              <w:t>Grupo de trabajo sobre el producto de la cosecha y la utilización no autorizada de material de reproducción o de multiplicación</w:t>
            </w:r>
          </w:p>
          <w:p w14:paraId="1EEFFEE0" w14:textId="77777777" w:rsidR="00A73882" w:rsidRPr="0036468B" w:rsidRDefault="00CD680A" w:rsidP="00A73882">
            <w:pPr>
              <w:pStyle w:val="Sessiontcplacedate"/>
              <w:rPr>
                <w:lang w:val="es-ES"/>
              </w:rPr>
            </w:pPr>
            <w:r w:rsidRPr="0036468B">
              <w:rPr>
                <w:lang w:val="es-ES"/>
              </w:rPr>
              <w:t xml:space="preserve">Octava </w:t>
            </w:r>
            <w:r w:rsidR="00A73882" w:rsidRPr="0036468B">
              <w:rPr>
                <w:lang w:val="es-ES"/>
              </w:rPr>
              <w:t>reunión</w:t>
            </w:r>
          </w:p>
          <w:p w14:paraId="7811A4FF" w14:textId="77777777" w:rsidR="0004297B" w:rsidRPr="0036468B" w:rsidRDefault="00A73882" w:rsidP="00644B33">
            <w:pPr>
              <w:pStyle w:val="Sessiontcplacedate"/>
              <w:rPr>
                <w:sz w:val="22"/>
                <w:lang w:val="es-ES"/>
              </w:rPr>
            </w:pPr>
            <w:r w:rsidRPr="0036468B">
              <w:rPr>
                <w:lang w:val="es-ES"/>
              </w:rPr>
              <w:t>Ginebra,</w:t>
            </w:r>
            <w:r w:rsidR="00CD680A" w:rsidRPr="0036468B">
              <w:rPr>
                <w:lang w:val="es-ES"/>
              </w:rPr>
              <w:t xml:space="preserve"> 22 </w:t>
            </w:r>
            <w:r w:rsidR="00644B33" w:rsidRPr="0036468B">
              <w:rPr>
                <w:lang w:val="es-ES"/>
              </w:rPr>
              <w:t xml:space="preserve">de </w:t>
            </w:r>
            <w:r w:rsidR="00CD680A" w:rsidRPr="0036468B">
              <w:rPr>
                <w:lang w:val="es-ES"/>
              </w:rPr>
              <w:t xml:space="preserve">octubre </w:t>
            </w:r>
            <w:r w:rsidR="00F55A83" w:rsidRPr="0036468B">
              <w:rPr>
                <w:lang w:val="es-ES"/>
              </w:rPr>
              <w:t>de 2025</w:t>
            </w:r>
          </w:p>
        </w:tc>
        <w:tc>
          <w:tcPr>
            <w:tcW w:w="3127" w:type="dxa"/>
          </w:tcPr>
          <w:p w14:paraId="57F3D1BB" w14:textId="44497E06" w:rsidR="0004297B" w:rsidRPr="0036468B" w:rsidRDefault="00377434" w:rsidP="00EB56DD">
            <w:pPr>
              <w:pStyle w:val="Doccode"/>
              <w:rPr>
                <w:lang w:val="es-ES"/>
              </w:rPr>
            </w:pPr>
            <w:r w:rsidRPr="0036468B">
              <w:rPr>
                <w:lang w:val="es-ES"/>
              </w:rPr>
              <w:t>WG-HRV/8/2</w:t>
            </w:r>
          </w:p>
          <w:p w14:paraId="3FC1DFF4" w14:textId="77777777" w:rsidR="0004297B" w:rsidRPr="0036468B" w:rsidRDefault="0004297B" w:rsidP="00EB56DD">
            <w:pPr>
              <w:pStyle w:val="Doccode"/>
              <w:rPr>
                <w:lang w:val="es-ES"/>
              </w:rPr>
            </w:pPr>
          </w:p>
          <w:p w14:paraId="0BB9787F" w14:textId="77777777" w:rsidR="0004297B" w:rsidRPr="0036468B" w:rsidRDefault="0004297B" w:rsidP="00EB56DD">
            <w:pPr>
              <w:pStyle w:val="Docoriginal"/>
              <w:rPr>
                <w:lang w:val="es-ES"/>
              </w:rPr>
            </w:pPr>
            <w:r w:rsidRPr="0036468B">
              <w:rPr>
                <w:lang w:val="es-ES"/>
              </w:rPr>
              <w:t xml:space="preserve">Original: </w:t>
            </w:r>
            <w:r w:rsidRPr="0036468B">
              <w:rPr>
                <w:b w:val="0"/>
                <w:spacing w:val="0"/>
                <w:lang w:val="es-ES"/>
              </w:rPr>
              <w:t>inglés</w:t>
            </w:r>
          </w:p>
          <w:p w14:paraId="65506658" w14:textId="506C8430" w:rsidR="0004297B" w:rsidRPr="0036468B" w:rsidRDefault="0004297B" w:rsidP="00644B33">
            <w:pPr>
              <w:pStyle w:val="Docoriginal"/>
              <w:rPr>
                <w:lang w:val="es-ES"/>
              </w:rPr>
            </w:pPr>
            <w:r w:rsidRPr="0036468B">
              <w:rPr>
                <w:lang w:val="es-ES"/>
              </w:rPr>
              <w:t>Fecha:</w:t>
            </w:r>
            <w:r w:rsidRPr="0036468B">
              <w:rPr>
                <w:b w:val="0"/>
                <w:spacing w:val="0"/>
                <w:lang w:val="es-ES"/>
              </w:rPr>
              <w:t xml:space="preserve">  </w:t>
            </w:r>
            <w:r w:rsidR="00F81C35" w:rsidRPr="0036468B">
              <w:rPr>
                <w:b w:val="0"/>
                <w:spacing w:val="0"/>
                <w:lang w:val="es-ES"/>
              </w:rPr>
              <w:t xml:space="preserve"> 24 </w:t>
            </w:r>
            <w:r w:rsidR="00D33FB4" w:rsidRPr="0036468B">
              <w:rPr>
                <w:b w:val="0"/>
                <w:spacing w:val="0"/>
                <w:lang w:val="es-ES"/>
              </w:rPr>
              <w:t xml:space="preserve">de </w:t>
            </w:r>
            <w:r w:rsidR="0091516F" w:rsidRPr="0036468B">
              <w:rPr>
                <w:b w:val="0"/>
                <w:spacing w:val="0"/>
                <w:lang w:val="es-ES"/>
              </w:rPr>
              <w:t xml:space="preserve">septiembre </w:t>
            </w:r>
            <w:r w:rsidR="00D33FB4" w:rsidRPr="0036468B">
              <w:rPr>
                <w:b w:val="0"/>
                <w:spacing w:val="0"/>
                <w:lang w:val="es-ES"/>
              </w:rPr>
              <w:t>de 2025</w:t>
            </w:r>
          </w:p>
        </w:tc>
      </w:tr>
    </w:tbl>
    <w:p w14:paraId="538784CF" w14:textId="50D0D1CA" w:rsidR="0004297B" w:rsidRPr="0036468B" w:rsidRDefault="0036468B" w:rsidP="0004297B">
      <w:pPr>
        <w:pStyle w:val="Titleofdoc0"/>
        <w:rPr>
          <w:lang w:val="es-ES"/>
        </w:rPr>
      </w:pPr>
      <w:r w:rsidRPr="0036468B">
        <w:rPr>
          <w:lang w:val="es-ES"/>
        </w:rPr>
        <w:t>Estudio sobre el “Alcance del derecho de obtentor” y la relación con el “Agotamiento del derecho de obtentor”</w:t>
      </w:r>
    </w:p>
    <w:p w14:paraId="10FED85D" w14:textId="77777777" w:rsidR="0004297B" w:rsidRPr="0036468B" w:rsidRDefault="0004297B" w:rsidP="0004297B">
      <w:pPr>
        <w:pStyle w:val="preparedby1"/>
        <w:jc w:val="left"/>
        <w:rPr>
          <w:lang w:val="es-ES"/>
        </w:rPr>
      </w:pPr>
      <w:r w:rsidRPr="0036468B">
        <w:rPr>
          <w:lang w:val="es-ES"/>
        </w:rPr>
        <w:t>Documento preparado por la Oficina de la Unión</w:t>
      </w:r>
    </w:p>
    <w:p w14:paraId="33E9EA5B" w14:textId="77777777" w:rsidR="0036468B" w:rsidRPr="00364AE9" w:rsidRDefault="0036468B" w:rsidP="0036468B">
      <w:pPr>
        <w:pStyle w:val="Disclaimer"/>
        <w:rPr>
          <w:lang w:val="es-ES"/>
        </w:rPr>
      </w:pPr>
      <w:r w:rsidRPr="00364AE9">
        <w:rPr>
          <w:lang w:val="es-ES"/>
        </w:rPr>
        <w:t>Descargo de responsabilidad: el presente documento no constituye un documento de política u orientación de la UPOV.</w:t>
      </w:r>
      <w:r w:rsidRPr="00364AE9">
        <w:rPr>
          <w:lang w:val="es-ES"/>
        </w:rPr>
        <w:br/>
      </w:r>
      <w:r w:rsidRPr="00364AE9">
        <w:rPr>
          <w:lang w:val="es-ES"/>
        </w:rPr>
        <w:br/>
        <w:t>Este documento se ha generado mediante traducción automática y no puede garantizarse su exactitud. Por lo tanto, el texto en el idioma original es la única versión auténtica.</w:t>
      </w:r>
    </w:p>
    <w:p w14:paraId="54C42C18" w14:textId="728010C9" w:rsidR="00E727A5" w:rsidRPr="0036468B" w:rsidRDefault="00E727A5" w:rsidP="006C6976">
      <w:pPr>
        <w:pStyle w:val="Heading1"/>
        <w:rPr>
          <w:rFonts w:cs="Times New Roman"/>
          <w:lang w:val="es-ES"/>
        </w:rPr>
      </w:pPr>
      <w:r w:rsidRPr="0036468B">
        <w:rPr>
          <w:lang w:val="es-ES"/>
        </w:rPr>
        <w:t>ANTECEDENTES</w:t>
      </w:r>
    </w:p>
    <w:p w14:paraId="1A7B53BE" w14:textId="77777777" w:rsidR="00E727A5" w:rsidRPr="0036468B" w:rsidRDefault="00E727A5" w:rsidP="00D33FB4">
      <w:pPr>
        <w:rPr>
          <w:rFonts w:cs="Arial"/>
          <w:lang w:val="es-ES"/>
        </w:rPr>
      </w:pPr>
    </w:p>
    <w:p w14:paraId="6F4D10CC" w14:textId="0FC57015" w:rsidR="00D33FB4" w:rsidRPr="0036468B" w:rsidRDefault="00D33FB4" w:rsidP="0036468B">
      <w:pPr>
        <w:rPr>
          <w:rFonts w:cs="Arial"/>
          <w:lang w:val="es-ES"/>
        </w:rPr>
      </w:pPr>
      <w:r w:rsidRPr="00416F54">
        <w:rPr>
          <w:rFonts w:cs="Arial"/>
        </w:rPr>
        <w:fldChar w:fldCharType="begin"/>
      </w:r>
      <w:r w:rsidRPr="0036468B">
        <w:rPr>
          <w:rFonts w:cs="Arial"/>
          <w:lang w:val="es-ES"/>
        </w:rPr>
        <w:instrText xml:space="preserve"> AUTONUM  </w:instrText>
      </w:r>
      <w:r w:rsidRPr="00416F54">
        <w:rPr>
          <w:rFonts w:cs="Arial"/>
        </w:rPr>
        <w:fldChar w:fldCharType="end"/>
      </w:r>
      <w:r w:rsidRPr="0036468B">
        <w:rPr>
          <w:rFonts w:cs="Arial"/>
          <w:lang w:val="es-ES"/>
        </w:rPr>
        <w:tab/>
        <w:t xml:space="preserve">El objetivo del presente documento es invitar al Grupo de Trabajo </w:t>
      </w:r>
      <w:r w:rsidR="0036468B" w:rsidRPr="0036468B">
        <w:rPr>
          <w:rFonts w:cs="Arial"/>
          <w:lang w:val="es-ES"/>
        </w:rPr>
        <w:t xml:space="preserve">sobre el producto de la cosecha y la utilización no autorizada de material de reproducción o de multiplicación </w:t>
      </w:r>
      <w:r w:rsidRPr="0036468B">
        <w:rPr>
          <w:rFonts w:cs="Arial"/>
          <w:lang w:val="es-ES"/>
        </w:rPr>
        <w:t xml:space="preserve">(WG-HRV) a tomar nota del </w:t>
      </w:r>
      <w:r w:rsidR="00D26695" w:rsidRPr="0036468B">
        <w:rPr>
          <w:rFonts w:cs="Arial"/>
          <w:lang w:val="es-ES"/>
        </w:rPr>
        <w:t xml:space="preserve">proyecto </w:t>
      </w:r>
      <w:r w:rsidR="006840D7" w:rsidRPr="0036468B">
        <w:rPr>
          <w:rFonts w:cs="Arial"/>
          <w:lang w:val="es-ES"/>
        </w:rPr>
        <w:t xml:space="preserve">de estudio de los autores </w:t>
      </w:r>
      <w:r w:rsidRPr="0036468B">
        <w:rPr>
          <w:rFonts w:cs="Arial"/>
          <w:lang w:val="es-ES"/>
        </w:rPr>
        <w:t xml:space="preserve">sobre </w:t>
      </w:r>
      <w:r w:rsidR="0036468B" w:rsidRPr="0036468B">
        <w:rPr>
          <w:rFonts w:cs="Arial"/>
          <w:lang w:val="es-ES"/>
        </w:rPr>
        <w:t>el “Alcance del derecho de obtentor” y la</w:t>
      </w:r>
      <w:r w:rsidR="0036468B">
        <w:rPr>
          <w:rFonts w:cs="Arial"/>
          <w:lang w:val="es-ES"/>
        </w:rPr>
        <w:t xml:space="preserve"> </w:t>
      </w:r>
      <w:r w:rsidR="0036468B" w:rsidRPr="0036468B">
        <w:rPr>
          <w:rFonts w:cs="Arial"/>
          <w:lang w:val="es-ES"/>
        </w:rPr>
        <w:t>relación con el “Agotamiento del derecho de obtentor”</w:t>
      </w:r>
      <w:r w:rsidRPr="0036468B">
        <w:rPr>
          <w:rFonts w:cs="Arial"/>
          <w:lang w:val="es-ES"/>
        </w:rPr>
        <w:t>.</w:t>
      </w:r>
    </w:p>
    <w:p w14:paraId="7A8A45C3" w14:textId="77777777" w:rsidR="00D33FB4" w:rsidRPr="0036468B" w:rsidRDefault="00D33FB4" w:rsidP="00D33FB4">
      <w:pPr>
        <w:jc w:val="left"/>
        <w:rPr>
          <w:lang w:val="es-ES"/>
        </w:rPr>
      </w:pPr>
    </w:p>
    <w:p w14:paraId="25A33A29" w14:textId="4CD7B649" w:rsidR="00D33FB4" w:rsidRPr="0036468B" w:rsidRDefault="00D33FB4" w:rsidP="00D33FB4">
      <w:pPr>
        <w:rPr>
          <w:lang w:val="es-ES"/>
        </w:rPr>
      </w:pPr>
      <w:r>
        <w:fldChar w:fldCharType="begin"/>
      </w:r>
      <w:r w:rsidRPr="0036468B">
        <w:rPr>
          <w:lang w:val="es-ES"/>
        </w:rPr>
        <w:instrText xml:space="preserve"> AUTONUM  </w:instrText>
      </w:r>
      <w:r>
        <w:fldChar w:fldCharType="end"/>
      </w:r>
      <w:r w:rsidRPr="0036468B">
        <w:rPr>
          <w:lang w:val="es-ES"/>
        </w:rPr>
        <w:tab/>
        <w:t xml:space="preserve">Este </w:t>
      </w:r>
      <w:r w:rsidR="00D26695" w:rsidRPr="0036468B">
        <w:rPr>
          <w:lang w:val="es-ES"/>
        </w:rPr>
        <w:t xml:space="preserve">proyecto </w:t>
      </w:r>
      <w:r w:rsidR="006840D7" w:rsidRPr="0036468B">
        <w:rPr>
          <w:lang w:val="es-ES"/>
        </w:rPr>
        <w:t xml:space="preserve">de estudio </w:t>
      </w:r>
      <w:r w:rsidRPr="0036468B">
        <w:rPr>
          <w:lang w:val="es-ES"/>
        </w:rPr>
        <w:t xml:space="preserve">proporcionado por los autores se reproduce en el Anexo I del presente documento. </w:t>
      </w:r>
      <w:bookmarkStart w:id="0" w:name="_Hlk209444584"/>
    </w:p>
    <w:bookmarkEnd w:id="0"/>
    <w:p w14:paraId="62683BA8" w14:textId="77777777" w:rsidR="00D33FB4" w:rsidRPr="0036468B" w:rsidRDefault="00D33FB4" w:rsidP="00D33FB4">
      <w:pPr>
        <w:rPr>
          <w:color w:val="262626"/>
          <w:lang w:val="es-ES"/>
        </w:rPr>
      </w:pPr>
    </w:p>
    <w:p w14:paraId="634C6003" w14:textId="2469929F" w:rsidR="00D33FB4" w:rsidRPr="0036468B" w:rsidRDefault="00D33FB4" w:rsidP="00D33FB4">
      <w:pPr>
        <w:rPr>
          <w:lang w:val="es-ES"/>
        </w:rPr>
      </w:pPr>
      <w:r>
        <w:rPr>
          <w:lang w:val="en-GB"/>
        </w:rPr>
        <w:fldChar w:fldCharType="begin"/>
      </w:r>
      <w:r w:rsidRPr="0036468B">
        <w:rPr>
          <w:lang w:val="es-ES"/>
        </w:rPr>
        <w:instrText xml:space="preserve"> AUTONUM  </w:instrText>
      </w:r>
      <w:r>
        <w:rPr>
          <w:lang w:val="en-GB"/>
        </w:rPr>
        <w:fldChar w:fldCharType="end"/>
      </w:r>
      <w:r w:rsidRPr="0036468B">
        <w:rPr>
          <w:lang w:val="es-ES"/>
        </w:rPr>
        <w:tab/>
        <w:t>El WG-HRV, durante su sexta reunión</w:t>
      </w:r>
      <w:r>
        <w:rPr>
          <w:rStyle w:val="FootnoteReference"/>
          <w:color w:val="262626"/>
        </w:rPr>
        <w:footnoteReference w:id="2"/>
      </w:r>
      <w:r w:rsidRPr="0036468B">
        <w:rPr>
          <w:lang w:val="es-ES"/>
        </w:rPr>
        <w:t>, acordó que el informe final se presentaría antes del 1 de septiembre de 2025, tal y como se menciona en el mandato.</w:t>
      </w:r>
    </w:p>
    <w:p w14:paraId="040C4369" w14:textId="77777777" w:rsidR="00D33FB4" w:rsidRPr="0036468B" w:rsidRDefault="00D33FB4" w:rsidP="00D33FB4">
      <w:pPr>
        <w:rPr>
          <w:lang w:val="es-ES"/>
        </w:rPr>
      </w:pPr>
    </w:p>
    <w:p w14:paraId="332E0867" w14:textId="5098CCBD" w:rsidR="00F019EE" w:rsidRPr="0036468B" w:rsidRDefault="00F019EE" w:rsidP="00D33FB4">
      <w:pPr>
        <w:rPr>
          <w:lang w:val="es-ES"/>
        </w:rPr>
      </w:pPr>
      <w:r>
        <w:rPr>
          <w:lang w:val="en-GB"/>
        </w:rPr>
        <w:fldChar w:fldCharType="begin"/>
      </w:r>
      <w:r w:rsidRPr="0036468B">
        <w:rPr>
          <w:lang w:val="es-ES"/>
        </w:rPr>
        <w:instrText xml:space="preserve"> AUTONUM  </w:instrText>
      </w:r>
      <w:r>
        <w:rPr>
          <w:lang w:val="en-GB"/>
        </w:rPr>
        <w:fldChar w:fldCharType="end"/>
      </w:r>
      <w:r w:rsidRPr="0036468B">
        <w:rPr>
          <w:lang w:val="es-ES"/>
        </w:rPr>
        <w:tab/>
        <w:t>El mandato menciona que el plazo podría prolongarse a petición de los autores.</w:t>
      </w:r>
    </w:p>
    <w:p w14:paraId="48CF9334" w14:textId="77777777" w:rsidR="00F019EE" w:rsidRPr="0036468B" w:rsidRDefault="00F019EE" w:rsidP="00D33FB4">
      <w:pPr>
        <w:rPr>
          <w:lang w:val="es-ES"/>
        </w:rPr>
      </w:pPr>
    </w:p>
    <w:p w14:paraId="1A9BE146" w14:textId="47F1B1EC" w:rsidR="007A67D1" w:rsidRPr="0036468B" w:rsidRDefault="00F019EE" w:rsidP="00D33FB4">
      <w:pPr>
        <w:rPr>
          <w:lang w:val="es-ES"/>
        </w:rPr>
      </w:pPr>
      <w:r>
        <w:rPr>
          <w:lang w:val="en-GB"/>
        </w:rPr>
        <w:fldChar w:fldCharType="begin"/>
      </w:r>
      <w:r w:rsidRPr="0036468B">
        <w:rPr>
          <w:lang w:val="es-ES"/>
        </w:rPr>
        <w:instrText xml:space="preserve"> AUTONUM  </w:instrText>
      </w:r>
      <w:r>
        <w:rPr>
          <w:lang w:val="en-GB"/>
        </w:rPr>
        <w:fldChar w:fldCharType="end"/>
      </w:r>
      <w:r w:rsidRPr="0036468B">
        <w:rPr>
          <w:lang w:val="es-ES"/>
        </w:rPr>
        <w:tab/>
      </w:r>
      <w:bookmarkStart w:id="1" w:name="_Hlk209533210"/>
      <w:r w:rsidRPr="0036468B">
        <w:rPr>
          <w:lang w:val="es-ES"/>
        </w:rPr>
        <w:t>Mediante la Circular</w:t>
      </w:r>
      <w:bookmarkStart w:id="2" w:name="_Hlk209444619"/>
      <w:r w:rsidR="007A67D1" w:rsidRPr="0036468B">
        <w:rPr>
          <w:lang w:val="es-ES"/>
        </w:rPr>
        <w:t xml:space="preserve"> E-25/053</w:t>
      </w:r>
      <w:bookmarkEnd w:id="2"/>
      <w:r w:rsidRPr="0036468B">
        <w:rPr>
          <w:lang w:val="es-ES"/>
        </w:rPr>
        <w:t xml:space="preserve"> de</w:t>
      </w:r>
      <w:r w:rsidR="007A67D1" w:rsidRPr="0036468B">
        <w:rPr>
          <w:lang w:val="es-ES"/>
        </w:rPr>
        <w:t xml:space="preserve"> 11 de septiembre </w:t>
      </w:r>
      <w:r w:rsidRPr="0036468B">
        <w:rPr>
          <w:lang w:val="es-ES"/>
        </w:rPr>
        <w:t xml:space="preserve">de 2025, se informó al WG-HRV de que los autores del estudio habían solicitado aplazar la fecha de entrega del informe final hasta el 15 de diciembre de 2025, </w:t>
      </w:r>
      <w:r w:rsidR="007A67D1" w:rsidRPr="0036468B">
        <w:rPr>
          <w:lang w:val="es-ES"/>
        </w:rPr>
        <w:t xml:space="preserve">ya que el alcance del estudio, en particular la revisión de la historia del desarrollo de </w:t>
      </w:r>
      <w:r w:rsidR="00BE33F3" w:rsidRPr="0036468B">
        <w:rPr>
          <w:lang w:val="es-ES"/>
        </w:rPr>
        <w:t>los artículos</w:t>
      </w:r>
      <w:r w:rsidR="007A67D1" w:rsidRPr="0036468B">
        <w:rPr>
          <w:lang w:val="es-ES"/>
        </w:rPr>
        <w:t xml:space="preserve"> 14 y 16 del Acta de 1991, era muy amplio y la recopilación y el análisis del material requerían más tiempo del previsto inicialmente.</w:t>
      </w:r>
      <w:bookmarkEnd w:id="1"/>
    </w:p>
    <w:p w14:paraId="136F6932" w14:textId="77777777" w:rsidR="0004297B" w:rsidRPr="0036468B" w:rsidRDefault="0004297B" w:rsidP="0004297B">
      <w:pPr>
        <w:rPr>
          <w:lang w:val="es-ES"/>
        </w:rPr>
      </w:pPr>
    </w:p>
    <w:p w14:paraId="12E04540" w14:textId="77777777" w:rsidR="00D33FB4" w:rsidRPr="0036468B" w:rsidRDefault="00D33FB4" w:rsidP="00D33FB4">
      <w:pPr>
        <w:rPr>
          <w:lang w:val="es-ES"/>
        </w:rPr>
      </w:pPr>
    </w:p>
    <w:p w14:paraId="40CD7068" w14:textId="224D729A" w:rsidR="00D33FB4" w:rsidRPr="0036468B" w:rsidRDefault="00D33FB4" w:rsidP="00D33FB4">
      <w:pPr>
        <w:rPr>
          <w:lang w:val="es-ES"/>
        </w:rPr>
      </w:pPr>
      <w:r w:rsidRPr="0036468B">
        <w:rPr>
          <w:lang w:val="es-ES"/>
        </w:rPr>
        <w:t>PRESENTACIÓN DE LOS AUTORES DURANTE LA REUNIÓN DEL</w:t>
      </w:r>
      <w:r w:rsidR="00F019EE" w:rsidRPr="0036468B">
        <w:rPr>
          <w:lang w:val="es-ES"/>
        </w:rPr>
        <w:t xml:space="preserve"> 22 </w:t>
      </w:r>
      <w:r w:rsidRPr="0036468B">
        <w:rPr>
          <w:lang w:val="es-ES"/>
        </w:rPr>
        <w:t xml:space="preserve">DE </w:t>
      </w:r>
      <w:r w:rsidR="00F019EE" w:rsidRPr="0036468B">
        <w:rPr>
          <w:lang w:val="es-ES"/>
        </w:rPr>
        <w:t xml:space="preserve">OCTUBRE </w:t>
      </w:r>
      <w:r w:rsidRPr="0036468B">
        <w:rPr>
          <w:lang w:val="es-ES"/>
        </w:rPr>
        <w:t>DE 2025</w:t>
      </w:r>
    </w:p>
    <w:p w14:paraId="245E1C8D" w14:textId="77777777" w:rsidR="00D33FB4" w:rsidRPr="0036468B" w:rsidRDefault="00D33FB4" w:rsidP="00D33FB4">
      <w:pPr>
        <w:rPr>
          <w:lang w:val="es-ES"/>
        </w:rPr>
      </w:pPr>
    </w:p>
    <w:p w14:paraId="497A0DBC" w14:textId="012AB20F" w:rsidR="00D33FB4" w:rsidRPr="0036468B" w:rsidRDefault="00D33FB4" w:rsidP="00D33FB4">
      <w:pPr>
        <w:rPr>
          <w:lang w:val="es-ES"/>
        </w:rPr>
      </w:pPr>
      <w:r>
        <w:fldChar w:fldCharType="begin"/>
      </w:r>
      <w:r w:rsidRPr="0036468B">
        <w:rPr>
          <w:lang w:val="es-ES"/>
        </w:rPr>
        <w:instrText xml:space="preserve"> AUTONUM  </w:instrText>
      </w:r>
      <w:r>
        <w:fldChar w:fldCharType="end"/>
      </w:r>
      <w:r w:rsidRPr="0036468B">
        <w:rPr>
          <w:lang w:val="es-ES"/>
        </w:rPr>
        <w:tab/>
        <w:t xml:space="preserve">Los autores </w:t>
      </w:r>
      <w:r w:rsidR="007A67D1" w:rsidRPr="0036468B">
        <w:rPr>
          <w:lang w:val="es-ES"/>
        </w:rPr>
        <w:t>presentarán un borrador del estudio en la octava reunión del WG-HRV, el 22 de octubre de 2025, en persona.</w:t>
      </w:r>
      <w:r w:rsidR="0036468B">
        <w:rPr>
          <w:lang w:val="es-ES"/>
        </w:rPr>
        <w:t xml:space="preserve"> </w:t>
      </w:r>
      <w:r w:rsidR="007A67D1" w:rsidRPr="0036468B">
        <w:rPr>
          <w:lang w:val="es-ES"/>
        </w:rPr>
        <w:t xml:space="preserve"> Este </w:t>
      </w:r>
      <w:r w:rsidR="00BE33F3" w:rsidRPr="0036468B">
        <w:rPr>
          <w:lang w:val="es-ES"/>
        </w:rPr>
        <w:t xml:space="preserve">borrador del estudio </w:t>
      </w:r>
      <w:r w:rsidR="007A67D1" w:rsidRPr="0036468B">
        <w:rPr>
          <w:lang w:val="es-ES"/>
        </w:rPr>
        <w:t xml:space="preserve">se </w:t>
      </w:r>
      <w:r w:rsidRPr="0036468B">
        <w:rPr>
          <w:lang w:val="es-ES"/>
        </w:rPr>
        <w:t xml:space="preserve">reproduce en el anexo I </w:t>
      </w:r>
      <w:r w:rsidR="006840D7" w:rsidRPr="0036468B">
        <w:rPr>
          <w:lang w:val="es-ES"/>
        </w:rPr>
        <w:t xml:space="preserve">del </w:t>
      </w:r>
      <w:r w:rsidRPr="0036468B">
        <w:rPr>
          <w:lang w:val="es-ES"/>
        </w:rPr>
        <w:t xml:space="preserve">presente documento.  </w:t>
      </w:r>
    </w:p>
    <w:p w14:paraId="2BEFF08F" w14:textId="77777777" w:rsidR="00561055" w:rsidRPr="0036468B" w:rsidRDefault="00561055" w:rsidP="00D33FB4">
      <w:pPr>
        <w:rPr>
          <w:lang w:val="es-ES"/>
        </w:rPr>
      </w:pPr>
    </w:p>
    <w:p w14:paraId="03EFDB25" w14:textId="6AA7D066" w:rsidR="00BE33F3" w:rsidRPr="0036468B" w:rsidRDefault="00561055" w:rsidP="00BE33F3">
      <w:pPr>
        <w:rPr>
          <w:lang w:val="es-ES"/>
        </w:rPr>
      </w:pPr>
      <w:r>
        <w:fldChar w:fldCharType="begin"/>
      </w:r>
      <w:r w:rsidRPr="0036468B">
        <w:rPr>
          <w:lang w:val="es-ES"/>
        </w:rPr>
        <w:instrText xml:space="preserve"> AUTONUM  </w:instrText>
      </w:r>
      <w:r>
        <w:fldChar w:fldCharType="end"/>
      </w:r>
      <w:r w:rsidRPr="0036468B">
        <w:rPr>
          <w:lang w:val="es-ES"/>
        </w:rPr>
        <w:tab/>
        <w:t xml:space="preserve">Los autores estarán listos para entregar una </w:t>
      </w:r>
      <w:r w:rsidR="00BE33F3" w:rsidRPr="0036468B">
        <w:rPr>
          <w:lang w:val="es-ES"/>
        </w:rPr>
        <w:t>versión</w:t>
      </w:r>
      <w:r w:rsidRPr="0036468B">
        <w:rPr>
          <w:lang w:val="es-ES"/>
        </w:rPr>
        <w:t xml:space="preserve"> </w:t>
      </w:r>
      <w:bookmarkStart w:id="3" w:name="_Hlk209444516"/>
      <w:r w:rsidR="0036468B" w:rsidRPr="0036468B">
        <w:rPr>
          <w:lang w:val="es-ES"/>
        </w:rPr>
        <w:t>final</w:t>
      </w:r>
      <w:r w:rsidRPr="0036468B">
        <w:rPr>
          <w:lang w:val="es-ES"/>
        </w:rPr>
        <w:t xml:space="preserve"> </w:t>
      </w:r>
      <w:r w:rsidR="00BE33F3" w:rsidRPr="0036468B">
        <w:rPr>
          <w:lang w:val="es-ES"/>
        </w:rPr>
        <w:t>del estudio</w:t>
      </w:r>
      <w:bookmarkEnd w:id="3"/>
      <w:r w:rsidRPr="0036468B">
        <w:rPr>
          <w:lang w:val="es-ES"/>
        </w:rPr>
        <w:t xml:space="preserve"> el 15 de diciembre de 2025 a la Oficina de la Unión.  El </w:t>
      </w:r>
      <w:r w:rsidR="00D3593A" w:rsidRPr="0036468B">
        <w:rPr>
          <w:lang w:val="es-ES"/>
        </w:rPr>
        <w:t xml:space="preserve">estudio </w:t>
      </w:r>
      <w:r w:rsidRPr="0036468B">
        <w:rPr>
          <w:lang w:val="es-ES"/>
        </w:rPr>
        <w:t xml:space="preserve">se pondrá a disposición del WG-HRV en enero de 2026, lo que dará tiempo a los miembros para examinar la </w:t>
      </w:r>
      <w:r w:rsidR="00BE33F3" w:rsidRPr="0036468B">
        <w:rPr>
          <w:lang w:val="es-ES"/>
        </w:rPr>
        <w:t xml:space="preserve">versión final del estudio </w:t>
      </w:r>
      <w:r w:rsidRPr="0036468B">
        <w:rPr>
          <w:lang w:val="es-ES"/>
        </w:rPr>
        <w:t xml:space="preserve">antes de la novena reunión del WG-HRV, prevista para marzo de 2026, fecha aún por confirmar. </w:t>
      </w:r>
      <w:r w:rsidR="00BE33F3" w:rsidRPr="0036468B">
        <w:rPr>
          <w:lang w:val="es-ES"/>
        </w:rPr>
        <w:t>El mandato del estudio, aprobado por el WG-HRV en su sexta reunión y modificado por la Circular E-25/053, se reproduce en el anexo II del presente documento.</w:t>
      </w:r>
    </w:p>
    <w:p w14:paraId="2E1206A9" w14:textId="77777777" w:rsidR="002A7C98" w:rsidRPr="0036468B" w:rsidRDefault="002A7C98" w:rsidP="002A7C98">
      <w:pPr>
        <w:rPr>
          <w:lang w:val="es-ES"/>
        </w:rPr>
      </w:pPr>
    </w:p>
    <w:p w14:paraId="0496517F" w14:textId="68226E9A" w:rsidR="002A7C98" w:rsidRPr="0036468B" w:rsidRDefault="002A7C98" w:rsidP="002A7C98">
      <w:pPr>
        <w:pStyle w:val="DecisionParagraphs"/>
        <w:rPr>
          <w:rFonts w:cs="Arial"/>
          <w:highlight w:val="yellow"/>
          <w:lang w:val="es-ES"/>
        </w:rPr>
      </w:pPr>
      <w:r w:rsidRPr="00606666">
        <w:rPr>
          <w:rFonts w:cs="Arial"/>
        </w:rPr>
        <w:fldChar w:fldCharType="begin"/>
      </w:r>
      <w:r w:rsidRPr="0036468B">
        <w:rPr>
          <w:rFonts w:cs="Arial"/>
          <w:lang w:val="es-ES"/>
        </w:rPr>
        <w:instrText xml:space="preserve"> AUTONUM  </w:instrText>
      </w:r>
      <w:r w:rsidRPr="00606666">
        <w:rPr>
          <w:rFonts w:cs="Arial"/>
        </w:rPr>
        <w:fldChar w:fldCharType="end"/>
      </w:r>
      <w:r w:rsidRPr="0036468B">
        <w:rPr>
          <w:rFonts w:cs="Arial"/>
          <w:lang w:val="es-ES"/>
        </w:rPr>
        <w:tab/>
        <w:t xml:space="preserve">Se invita al </w:t>
      </w:r>
      <w:r w:rsidR="004B2FB1" w:rsidRPr="0036468B">
        <w:rPr>
          <w:rFonts w:cs="Arial"/>
          <w:lang w:val="es-ES"/>
        </w:rPr>
        <w:t xml:space="preserve">WG-HRV </w:t>
      </w:r>
      <w:r w:rsidRPr="0036468B">
        <w:rPr>
          <w:rFonts w:cs="Arial"/>
          <w:lang w:val="es-ES"/>
        </w:rPr>
        <w:t xml:space="preserve">a tomar nota del proyecto de estudio que figura en el anexo </w:t>
      </w:r>
      <w:r w:rsidR="00D2328B" w:rsidRPr="0036468B">
        <w:rPr>
          <w:rFonts w:cs="Arial"/>
          <w:lang w:val="es-ES"/>
        </w:rPr>
        <w:t xml:space="preserve">I </w:t>
      </w:r>
      <w:r w:rsidRPr="0036468B">
        <w:rPr>
          <w:rFonts w:cs="Arial"/>
          <w:lang w:val="es-ES"/>
        </w:rPr>
        <w:t>del presente documento.</w:t>
      </w:r>
    </w:p>
    <w:p w14:paraId="58081C87" w14:textId="52D14DF0" w:rsidR="00561055" w:rsidRPr="0036468B" w:rsidRDefault="00050E16" w:rsidP="0036468B">
      <w:pPr>
        <w:jc w:val="right"/>
        <w:rPr>
          <w:lang w:val="es-ES"/>
        </w:rPr>
      </w:pPr>
      <w:r w:rsidRPr="0036468B">
        <w:rPr>
          <w:lang w:val="es-ES"/>
        </w:rPr>
        <w:t>[</w:t>
      </w:r>
      <w:r w:rsidR="00E5481C" w:rsidRPr="00E5481C">
        <w:t>Sigue el Anexo</w:t>
      </w:r>
      <w:r w:rsidR="00E5481C">
        <w:t xml:space="preserve"> I</w:t>
      </w:r>
      <w:r w:rsidRPr="0036468B">
        <w:rPr>
          <w:lang w:val="es-ES"/>
        </w:rPr>
        <w:t>]</w:t>
      </w:r>
    </w:p>
    <w:p w14:paraId="72258C21" w14:textId="77777777" w:rsidR="005C7CCD" w:rsidRPr="0036468B" w:rsidRDefault="005C7CCD" w:rsidP="00561055">
      <w:pPr>
        <w:jc w:val="left"/>
        <w:rPr>
          <w:lang w:val="es-ES"/>
        </w:rPr>
        <w:sectPr w:rsidR="005C7CCD" w:rsidRPr="0036468B" w:rsidSect="0004198B">
          <w:headerReference w:type="default" r:id="rId9"/>
          <w:pgSz w:w="11907" w:h="16840" w:code="9"/>
          <w:pgMar w:top="510" w:right="1134" w:bottom="1134" w:left="1134" w:header="510" w:footer="680" w:gutter="0"/>
          <w:pgNumType w:start="1"/>
          <w:cols w:space="720"/>
          <w:titlePg/>
        </w:sectPr>
      </w:pPr>
    </w:p>
    <w:p w14:paraId="3724C71C" w14:textId="6DBCBC61" w:rsidR="002A7C98" w:rsidRPr="0036468B" w:rsidRDefault="002A7C98" w:rsidP="00315110">
      <w:pPr>
        <w:jc w:val="center"/>
        <w:rPr>
          <w:lang w:val="es-ES"/>
        </w:rPr>
      </w:pPr>
      <w:r w:rsidRPr="0036468B">
        <w:rPr>
          <w:b/>
          <w:bCs/>
          <w:lang w:val="es-ES"/>
        </w:rPr>
        <w:lastRenderedPageBreak/>
        <w:t>Proyecto de estudio</w:t>
      </w:r>
    </w:p>
    <w:p w14:paraId="4B7818A6" w14:textId="77777777" w:rsidR="002A7C98" w:rsidRPr="0036468B" w:rsidRDefault="002A7C98" w:rsidP="006C6976">
      <w:pPr>
        <w:jc w:val="left"/>
        <w:rPr>
          <w:lang w:val="es-ES"/>
        </w:rPr>
      </w:pPr>
    </w:p>
    <w:p w14:paraId="054BFB5D" w14:textId="7D6CA162" w:rsidR="006C6976" w:rsidRPr="0036468B" w:rsidRDefault="006C6976" w:rsidP="006C6976">
      <w:pPr>
        <w:jc w:val="left"/>
        <w:rPr>
          <w:lang w:val="es-ES"/>
        </w:rPr>
      </w:pPr>
      <w:r w:rsidRPr="0036468B">
        <w:rPr>
          <w:lang w:val="es-ES"/>
        </w:rPr>
        <w:t>ESTUDIO SOBRE EL «ÁMBITO DE APLICACIÓN DEL DERECHO DE OBTENTOR» Y LA RELACIÓN CON EL «AGOTAMIENTO DEL DERECHO DE OBTENTOR»</w:t>
      </w:r>
    </w:p>
    <w:p w14:paraId="4EF6DACD" w14:textId="77777777" w:rsidR="006C6976" w:rsidRPr="0036468B" w:rsidRDefault="006C6976" w:rsidP="006C6976">
      <w:pPr>
        <w:jc w:val="left"/>
        <w:rPr>
          <w:lang w:val="es-ES"/>
        </w:rPr>
      </w:pPr>
    </w:p>
    <w:p w14:paraId="6F34D744" w14:textId="77777777" w:rsidR="006C6976" w:rsidRPr="0036468B" w:rsidRDefault="006C6976" w:rsidP="006C6976">
      <w:pPr>
        <w:jc w:val="left"/>
        <w:rPr>
          <w:lang w:val="es-ES"/>
        </w:rPr>
      </w:pPr>
      <w:r w:rsidRPr="0036468B">
        <w:rPr>
          <w:lang w:val="es-ES"/>
        </w:rPr>
        <w:t>por los miembros del Grupo de Expertos:</w:t>
      </w:r>
    </w:p>
    <w:p w14:paraId="59334204" w14:textId="77777777" w:rsidR="006C6976" w:rsidRPr="0036468B" w:rsidRDefault="006C6976" w:rsidP="006C6976">
      <w:pPr>
        <w:jc w:val="left"/>
        <w:rPr>
          <w:lang w:val="es-ES"/>
        </w:rPr>
      </w:pPr>
    </w:p>
    <w:p w14:paraId="1E78661A" w14:textId="77777777" w:rsidR="006C6976" w:rsidRPr="0036468B" w:rsidRDefault="006C6976" w:rsidP="006C6976">
      <w:pPr>
        <w:jc w:val="left"/>
        <w:rPr>
          <w:lang w:val="es-ES"/>
        </w:rPr>
      </w:pPr>
      <w:r w:rsidRPr="0036468B">
        <w:rPr>
          <w:lang w:val="es-ES"/>
        </w:rPr>
        <w:t>Huib Ghijsen, Viviane Kunisawa, Charles Lawson, Axel Metzger y Joseph Straus</w:t>
      </w:r>
    </w:p>
    <w:p w14:paraId="0BF1B456" w14:textId="77777777" w:rsidR="006C6976" w:rsidRPr="0036468B" w:rsidRDefault="006C6976" w:rsidP="006C6976">
      <w:pPr>
        <w:jc w:val="left"/>
        <w:rPr>
          <w:lang w:val="es-ES"/>
        </w:rPr>
      </w:pPr>
    </w:p>
    <w:p w14:paraId="52A00642" w14:textId="573FFE57" w:rsidR="006C6976" w:rsidRPr="0036468B" w:rsidRDefault="006C6976" w:rsidP="006C6976">
      <w:pPr>
        <w:jc w:val="left"/>
        <w:rPr>
          <w:b/>
          <w:bCs/>
          <w:lang w:val="es-ES"/>
        </w:rPr>
      </w:pPr>
      <w:r w:rsidRPr="0036468B">
        <w:rPr>
          <w:b/>
          <w:bCs/>
          <w:lang w:val="es-ES"/>
        </w:rPr>
        <w:t xml:space="preserve">Informe provisional Septiembre de 2025 </w:t>
      </w:r>
    </w:p>
    <w:p w14:paraId="601CE299" w14:textId="77777777" w:rsidR="006C6976" w:rsidRPr="0036468B" w:rsidRDefault="006C6976" w:rsidP="006C6976">
      <w:pPr>
        <w:jc w:val="left"/>
        <w:rPr>
          <w:b/>
          <w:lang w:val="es-ES"/>
        </w:rPr>
      </w:pPr>
    </w:p>
    <w:p w14:paraId="4F2DF281" w14:textId="77777777" w:rsidR="006C6976" w:rsidRPr="0036468B" w:rsidRDefault="006C6976" w:rsidP="006C6976">
      <w:pPr>
        <w:jc w:val="left"/>
        <w:rPr>
          <w:lang w:val="es-ES"/>
        </w:rPr>
      </w:pPr>
      <w:r w:rsidRPr="0036468B">
        <w:rPr>
          <w:lang w:val="es-ES"/>
        </w:rPr>
        <w:t>Mandato, anexo al documento CAJ/81/5 Add:</w:t>
      </w:r>
    </w:p>
    <w:p w14:paraId="30BD206C" w14:textId="77777777" w:rsidR="006C6976" w:rsidRPr="0036468B" w:rsidRDefault="006C6976" w:rsidP="006C6976">
      <w:pPr>
        <w:jc w:val="left"/>
        <w:rPr>
          <w:lang w:val="es-ES"/>
        </w:rPr>
      </w:pPr>
    </w:p>
    <w:p w14:paraId="629195BD" w14:textId="77777777" w:rsidR="006C6976" w:rsidRPr="0036468B" w:rsidRDefault="006C6976" w:rsidP="00F465C7">
      <w:pPr>
        <w:numPr>
          <w:ilvl w:val="0"/>
          <w:numId w:val="3"/>
        </w:numPr>
        <w:rPr>
          <w:lang w:val="es-ES"/>
        </w:rPr>
      </w:pPr>
      <w:r w:rsidRPr="0036468B">
        <w:rPr>
          <w:lang w:val="es-ES"/>
        </w:rPr>
        <w:t>Análisis de las intenciones de los redactores del Acta de 1991 del Convenio de la UPOV en relación con el «alcance del derecho de obtentor» en el artículo 14.1) y 14.2) del Acta de 1991, incluidas las nociones de «uso no autorizado» y «oportunidad razonable», y la relación con el «agotamiento del derecho de obtentor» en el artículo 16 del Acta de 1991; y</w:t>
      </w:r>
    </w:p>
    <w:p w14:paraId="062A70F2" w14:textId="77777777" w:rsidR="006C6976" w:rsidRPr="0036468B" w:rsidRDefault="006C6976" w:rsidP="00F465C7">
      <w:pPr>
        <w:numPr>
          <w:ilvl w:val="0"/>
          <w:numId w:val="3"/>
        </w:numPr>
        <w:rPr>
          <w:lang w:val="es-ES"/>
        </w:rPr>
      </w:pPr>
      <w:r w:rsidRPr="0036468B">
        <w:rPr>
          <w:lang w:val="es-ES"/>
        </w:rPr>
        <w:t>Resúmenes de casos judiciales pertinentes de miembros de la UPOV vinculados por el Acta de 1991.</w:t>
      </w:r>
    </w:p>
    <w:p w14:paraId="253B9C01" w14:textId="77777777" w:rsidR="006C6976" w:rsidRPr="0036468B" w:rsidRDefault="006C6976" w:rsidP="00F465C7">
      <w:pPr>
        <w:rPr>
          <w:lang w:val="es-ES"/>
        </w:rPr>
      </w:pPr>
    </w:p>
    <w:p w14:paraId="7ADC8CA7" w14:textId="77777777" w:rsidR="006C6976" w:rsidRPr="0036468B" w:rsidRDefault="006C6976" w:rsidP="00F465C7">
      <w:pPr>
        <w:rPr>
          <w:lang w:val="es-ES"/>
        </w:rPr>
      </w:pPr>
      <w:r w:rsidRPr="0036468B">
        <w:rPr>
          <w:lang w:val="es-ES"/>
        </w:rPr>
        <w:t>Debido a que el plazo disponible para este amplio estudio parece demasiado ajustado, aún no se ha analizado la relación entre el «uso no autorizado» y la «oportunidad razonable» con el «agotamiento del derecho de obtentor».</w:t>
      </w:r>
    </w:p>
    <w:p w14:paraId="7A0CEF01" w14:textId="77777777" w:rsidR="006C6976" w:rsidRPr="0036468B" w:rsidRDefault="006C6976" w:rsidP="00F465C7">
      <w:pPr>
        <w:rPr>
          <w:lang w:val="es-ES"/>
        </w:rPr>
      </w:pPr>
    </w:p>
    <w:p w14:paraId="5D3A01CE" w14:textId="77777777" w:rsidR="006C6976" w:rsidRPr="0036468B" w:rsidRDefault="006C6976" w:rsidP="00F465C7">
      <w:pPr>
        <w:rPr>
          <w:b/>
          <w:bCs/>
          <w:lang w:val="es-ES"/>
        </w:rPr>
      </w:pPr>
      <w:r w:rsidRPr="0036468B">
        <w:rPr>
          <w:b/>
          <w:bCs/>
          <w:lang w:val="es-ES"/>
        </w:rPr>
        <w:t>Resultados provisionales del estudio:</w:t>
      </w:r>
    </w:p>
    <w:p w14:paraId="15643333" w14:textId="77777777" w:rsidR="006C6976" w:rsidRPr="0036468B" w:rsidRDefault="006C6976" w:rsidP="00F465C7">
      <w:pPr>
        <w:rPr>
          <w:b/>
          <w:lang w:val="es-ES"/>
        </w:rPr>
      </w:pPr>
    </w:p>
    <w:p w14:paraId="400CEC91" w14:textId="77777777" w:rsidR="006C6976" w:rsidRPr="0036468B" w:rsidRDefault="006C6976" w:rsidP="00F465C7">
      <w:pPr>
        <w:rPr>
          <w:lang w:val="es-ES"/>
        </w:rPr>
      </w:pPr>
      <w:r w:rsidRPr="0036468B">
        <w:rPr>
          <w:lang w:val="es-ES"/>
        </w:rPr>
        <w:t>El Grupo de Expertos (el Grupo) celebró cuatro reuniones a través de Teams entre abril y julio de 2025. El Grupo analizó la historia de los Convenios de la UPOV de 1978 y 1991 y las intenciones de los redactores en relación con los conceptos del artículo 14.2) del Convenio de la UPOV de 1991, a saber «uso no autorizado», «oportunidad razonable», «material de reproducción» y «material de cosecha», mediante el estudio de los documentos preparatorios y las actas de las conferencias diplomáticas, junto con la jurisprudencia pertinente. Se llevó a cabo el estudio de los conceptos de «material de reproducción» y «material de cosecha», ya que también se consideran parte integrante del artículo 14.2) del Convenio de la UPOV de 1991.</w:t>
      </w:r>
    </w:p>
    <w:p w14:paraId="4ADC43A0" w14:textId="77777777" w:rsidR="006C6976" w:rsidRPr="0036468B" w:rsidRDefault="006C6976" w:rsidP="006C6976">
      <w:pPr>
        <w:jc w:val="left"/>
        <w:rPr>
          <w:lang w:val="es-ES"/>
        </w:rPr>
      </w:pPr>
    </w:p>
    <w:p w14:paraId="7F1B3FDE" w14:textId="77777777" w:rsidR="006C6976" w:rsidRPr="0036468B" w:rsidRDefault="006C6976" w:rsidP="006C6976">
      <w:pPr>
        <w:jc w:val="left"/>
        <w:rPr>
          <w:lang w:val="es-ES"/>
        </w:rPr>
      </w:pPr>
      <w:r w:rsidRPr="0036468B">
        <w:rPr>
          <w:lang w:val="es-ES"/>
        </w:rPr>
        <w:t>Sobre la base de estos amplios estudios, el Grupo llega a las siguientes conclusiones provisionales y resumidas:</w:t>
      </w:r>
    </w:p>
    <w:p w14:paraId="536E1352" w14:textId="77777777" w:rsidR="006C6976" w:rsidRPr="0036468B" w:rsidRDefault="006C6976" w:rsidP="006C6976">
      <w:pPr>
        <w:jc w:val="left"/>
        <w:rPr>
          <w:lang w:val="es-ES"/>
        </w:rPr>
      </w:pPr>
    </w:p>
    <w:p w14:paraId="40E80B61" w14:textId="77777777" w:rsidR="006C6976" w:rsidRPr="006C6976" w:rsidRDefault="006C6976" w:rsidP="006C6976">
      <w:pPr>
        <w:numPr>
          <w:ilvl w:val="0"/>
          <w:numId w:val="2"/>
        </w:numPr>
        <w:rPr>
          <w:b/>
          <w:bCs/>
        </w:rPr>
      </w:pPr>
      <w:r w:rsidRPr="006C6976">
        <w:rPr>
          <w:b/>
          <w:bCs/>
        </w:rPr>
        <w:t>Uso no autorizado</w:t>
      </w:r>
    </w:p>
    <w:p w14:paraId="210952DE" w14:textId="77777777" w:rsidR="006C6976" w:rsidRPr="006C6976" w:rsidRDefault="006C6976" w:rsidP="006C6976">
      <w:pPr>
        <w:jc w:val="left"/>
        <w:rPr>
          <w:b/>
        </w:rPr>
      </w:pPr>
    </w:p>
    <w:p w14:paraId="7DBCE530" w14:textId="77777777" w:rsidR="006C6976" w:rsidRPr="0036468B" w:rsidRDefault="006C6976" w:rsidP="006C6976">
      <w:pPr>
        <w:numPr>
          <w:ilvl w:val="1"/>
          <w:numId w:val="2"/>
        </w:numPr>
        <w:jc w:val="left"/>
        <w:rPr>
          <w:lang w:val="es-ES"/>
        </w:rPr>
      </w:pPr>
      <w:r w:rsidRPr="0036468B">
        <w:rPr>
          <w:lang w:val="es-ES"/>
        </w:rPr>
        <w:t>El análisis de los documentos preparatorios y las actas de la Conferencia Diplomática en lo que respecta a la noción de «uso no autorizado de material de reproducción» de la variedad protegida en el artículo 14.1)b), ahora artículo 14.2) del Convenio de la UPOV de 1991, lleva a las siguientes conclusiones:</w:t>
      </w:r>
    </w:p>
    <w:p w14:paraId="52B15AC6" w14:textId="77777777" w:rsidR="006C6976" w:rsidRPr="0036468B" w:rsidRDefault="006C6976" w:rsidP="006C6976">
      <w:pPr>
        <w:jc w:val="left"/>
        <w:rPr>
          <w:lang w:val="es-ES"/>
        </w:rPr>
      </w:pPr>
    </w:p>
    <w:p w14:paraId="78F42CFA" w14:textId="77777777" w:rsidR="006C6976" w:rsidRPr="0036468B" w:rsidRDefault="006C6976" w:rsidP="006C6976">
      <w:pPr>
        <w:numPr>
          <w:ilvl w:val="1"/>
          <w:numId w:val="2"/>
        </w:numPr>
        <w:jc w:val="left"/>
        <w:rPr>
          <w:lang w:val="es-ES"/>
        </w:rPr>
      </w:pPr>
      <w:r w:rsidRPr="0036468B">
        <w:rPr>
          <w:lang w:val="es-ES"/>
        </w:rPr>
        <w:t>Cualquier uso especificado en el artículo 14.1)a) del Convenio de la UPOV de 1991, incluido cualquier uso condicionado en virtud del artículo 14.1)b), de material de reproducción o de multiplicación de una variedad protegida, requiere la autorización del titular del derecho de obtentor sobre esa variedad. De lo contrario, se trata de un uso no autorizado.</w:t>
      </w:r>
    </w:p>
    <w:p w14:paraId="6D1ACD0B" w14:textId="77777777" w:rsidR="006C6976" w:rsidRPr="0036468B" w:rsidRDefault="006C6976" w:rsidP="006C6976">
      <w:pPr>
        <w:pStyle w:val="ListParagraph"/>
        <w:rPr>
          <w:lang w:val="es-ES"/>
        </w:rPr>
      </w:pPr>
    </w:p>
    <w:p w14:paraId="383914B6" w14:textId="77777777" w:rsidR="006C6976" w:rsidRPr="0036468B" w:rsidRDefault="006C6976" w:rsidP="006C6976">
      <w:pPr>
        <w:pStyle w:val="ListParagraph"/>
        <w:widowControl w:val="0"/>
        <w:numPr>
          <w:ilvl w:val="1"/>
          <w:numId w:val="2"/>
        </w:numPr>
        <w:tabs>
          <w:tab w:val="left" w:pos="835"/>
          <w:tab w:val="left" w:pos="836"/>
        </w:tabs>
        <w:autoSpaceDE w:val="0"/>
        <w:autoSpaceDN w:val="0"/>
        <w:spacing w:before="76"/>
        <w:ind w:right="208"/>
        <w:contextualSpacing w:val="0"/>
        <w:rPr>
          <w:rFonts w:cs="Arial"/>
          <w:lang w:val="es-ES"/>
        </w:rPr>
      </w:pPr>
      <w:r w:rsidRPr="0036468B">
        <w:rPr>
          <w:rFonts w:cs="Arial"/>
          <w:lang w:val="es-ES"/>
        </w:rPr>
        <w:t>El concepto de «no autorizado» del artículo 14.2) del Convenio de la UPOV de 1991 se refiere a la autorización del titular del derecho de obtentor en cuestión y no a la situación jurídica del material de reproducción o de multiplicación utilizado para obtener el material cosechado. Es irrelevante que el uso del material de reproducción fuera del territorio en el que se ha concedido, es válido y se aplica el derecho de obtentor correspondiente esté cubierto por algún derecho de propiedad o no, es decir, que se utilice de forma legal o ilegal.</w:t>
      </w:r>
    </w:p>
    <w:p w14:paraId="00DC4B62" w14:textId="77777777" w:rsidR="006C6976" w:rsidRPr="0036468B" w:rsidRDefault="006C6976" w:rsidP="006C6976">
      <w:pPr>
        <w:pStyle w:val="BodyText"/>
        <w:spacing w:before="10"/>
        <w:rPr>
          <w:rFonts w:cs="Arial"/>
          <w:lang w:val="es-ES"/>
        </w:rPr>
      </w:pPr>
    </w:p>
    <w:p w14:paraId="1E44AA19" w14:textId="77777777" w:rsidR="006C6976" w:rsidRPr="0036468B" w:rsidRDefault="006C6976" w:rsidP="006C6976">
      <w:pPr>
        <w:pStyle w:val="ListParagraph"/>
        <w:widowControl w:val="0"/>
        <w:numPr>
          <w:ilvl w:val="1"/>
          <w:numId w:val="2"/>
        </w:numPr>
        <w:tabs>
          <w:tab w:val="left" w:pos="835"/>
          <w:tab w:val="left" w:pos="836"/>
        </w:tabs>
        <w:autoSpaceDE w:val="0"/>
        <w:autoSpaceDN w:val="0"/>
        <w:spacing w:line="292" w:lineRule="exact"/>
        <w:ind w:hanging="361"/>
        <w:contextualSpacing w:val="0"/>
        <w:rPr>
          <w:rFonts w:cs="Arial"/>
          <w:lang w:val="es-ES"/>
        </w:rPr>
      </w:pPr>
      <w:r w:rsidRPr="0036468B">
        <w:rPr>
          <w:rFonts w:cs="Arial"/>
          <w:lang w:val="es-ES"/>
        </w:rPr>
        <w:t xml:space="preserve">Las dos condiciones previas para la extensión del derecho de obtentor al </w:t>
      </w:r>
      <w:r w:rsidRPr="0036468B">
        <w:rPr>
          <w:rFonts w:cs="Arial"/>
          <w:spacing w:val="-2"/>
          <w:lang w:val="es-ES"/>
        </w:rPr>
        <w:t xml:space="preserve">material </w:t>
      </w:r>
      <w:r w:rsidRPr="0036468B">
        <w:rPr>
          <w:rFonts w:cs="Arial"/>
          <w:lang w:val="es-ES"/>
        </w:rPr>
        <w:t>cosechado</w:t>
      </w:r>
      <w:r w:rsidRPr="0036468B">
        <w:rPr>
          <w:rFonts w:cs="Arial"/>
          <w:spacing w:val="-2"/>
          <w:lang w:val="es-ES"/>
        </w:rPr>
        <w:t>,</w:t>
      </w:r>
    </w:p>
    <w:p w14:paraId="4B3E3D1A" w14:textId="77777777" w:rsidR="006C6976" w:rsidRPr="0036468B" w:rsidRDefault="006C6976" w:rsidP="006C6976">
      <w:pPr>
        <w:pStyle w:val="BodyText"/>
        <w:ind w:left="836" w:right="174"/>
        <w:rPr>
          <w:rFonts w:cs="Arial"/>
          <w:lang w:val="es-ES"/>
        </w:rPr>
      </w:pPr>
      <w:r w:rsidRPr="0036468B">
        <w:rPr>
          <w:rFonts w:cs="Arial"/>
          <w:lang w:val="es-ES"/>
        </w:rPr>
        <w:t>Es decir, el «uso no autorizado» del material de reproducción o de multiplicación de la variedad protegida y el hecho de que «el obtentor no haya tenido una oportunidad razonable de ejercer el derecho en relación con dicho material de reproducción o de multiplicación», en el artículo 14 (2) del Convenio de la UPOV, constituyen un todo inseparable.</w:t>
      </w:r>
    </w:p>
    <w:p w14:paraId="2DBAE061" w14:textId="77777777" w:rsidR="006C6976" w:rsidRPr="0036468B" w:rsidRDefault="006C6976" w:rsidP="006C6976">
      <w:pPr>
        <w:pStyle w:val="BodyText"/>
        <w:spacing w:before="1"/>
        <w:rPr>
          <w:rFonts w:cs="Arial"/>
          <w:lang w:val="es-ES"/>
        </w:rPr>
      </w:pPr>
    </w:p>
    <w:p w14:paraId="753EC7CB" w14:textId="77777777" w:rsidR="006C6976" w:rsidRPr="0036468B" w:rsidRDefault="006C6976" w:rsidP="006C6976">
      <w:pPr>
        <w:pStyle w:val="ListParagraph"/>
        <w:widowControl w:val="0"/>
        <w:numPr>
          <w:ilvl w:val="1"/>
          <w:numId w:val="2"/>
        </w:numPr>
        <w:tabs>
          <w:tab w:val="left" w:pos="836"/>
        </w:tabs>
        <w:autoSpaceDE w:val="0"/>
        <w:autoSpaceDN w:val="0"/>
        <w:spacing w:line="292" w:lineRule="exact"/>
        <w:ind w:hanging="361"/>
        <w:contextualSpacing w:val="0"/>
        <w:rPr>
          <w:rFonts w:cs="Arial"/>
          <w:lang w:val="es-ES"/>
        </w:rPr>
      </w:pPr>
      <w:r w:rsidRPr="0036468B">
        <w:rPr>
          <w:rFonts w:cs="Arial"/>
          <w:lang w:val="es-ES"/>
        </w:rPr>
        <w:lastRenderedPageBreak/>
        <w:t>La introducción del concepto de «oportunidad razonable» en la redacción del artículo</w:t>
      </w:r>
      <w:r w:rsidRPr="0036468B">
        <w:rPr>
          <w:rFonts w:cs="Arial"/>
          <w:spacing w:val="-5"/>
          <w:lang w:val="es-ES"/>
        </w:rPr>
        <w:t xml:space="preserve"> 14</w:t>
      </w:r>
    </w:p>
    <w:p w14:paraId="0483BFCB" w14:textId="77777777" w:rsidR="006C6976" w:rsidRPr="0036468B" w:rsidRDefault="006C6976" w:rsidP="006C6976">
      <w:pPr>
        <w:pStyle w:val="BodyText"/>
        <w:ind w:left="836" w:right="323"/>
        <w:rPr>
          <w:rFonts w:cs="Arial"/>
          <w:lang w:val="es-ES"/>
        </w:rPr>
      </w:pPr>
      <w:r w:rsidRPr="0036468B">
        <w:rPr>
          <w:rFonts w:cs="Arial"/>
          <w:lang w:val="es-ES"/>
        </w:rPr>
        <w:t>(2) ha ampliado la posibilidad de reclamar la protección del derecho del obtentor sobre el material cosechado más allá del concepto anterior de «no ha tenido ninguna posibilidad legal de ejercer el derecho en relación con el material de reproducción o de multiplicación».</w:t>
      </w:r>
    </w:p>
    <w:p w14:paraId="4D618AC3" w14:textId="77777777" w:rsidR="006C6976" w:rsidRPr="0036468B" w:rsidRDefault="006C6976" w:rsidP="006C6976">
      <w:pPr>
        <w:pStyle w:val="BodyText"/>
        <w:rPr>
          <w:rFonts w:cs="Arial"/>
          <w:lang w:val="es-ES"/>
        </w:rPr>
      </w:pPr>
    </w:p>
    <w:p w14:paraId="321547A3" w14:textId="77777777" w:rsidR="006C6976" w:rsidRPr="0036468B" w:rsidRDefault="006C6976" w:rsidP="006C6976">
      <w:pPr>
        <w:pStyle w:val="ListParagraph"/>
        <w:widowControl w:val="0"/>
        <w:numPr>
          <w:ilvl w:val="1"/>
          <w:numId w:val="2"/>
        </w:numPr>
        <w:tabs>
          <w:tab w:val="left" w:pos="835"/>
          <w:tab w:val="left" w:pos="836"/>
        </w:tabs>
        <w:autoSpaceDE w:val="0"/>
        <w:autoSpaceDN w:val="0"/>
        <w:ind w:right="248"/>
        <w:contextualSpacing w:val="0"/>
        <w:rPr>
          <w:rFonts w:cs="Arial"/>
          <w:lang w:val="es-ES"/>
        </w:rPr>
      </w:pPr>
      <w:r w:rsidRPr="0036468B">
        <w:rPr>
          <w:rFonts w:cs="Arial"/>
          <w:lang w:val="es-ES"/>
        </w:rPr>
        <w:t xml:space="preserve">En virtud del principio de cascada establecido en el artículo 14.2) del Convenio de la UPOV de 1991, el titular del derecho puede ejercerlo una sola vez y percibir una sola vez el pago de derechos, con sujeción a las posibles condiciones contractuales y limitaciones impuestas por el titular del </w:t>
      </w:r>
      <w:r w:rsidRPr="0036468B">
        <w:rPr>
          <w:rFonts w:cs="Arial"/>
          <w:spacing w:val="-2"/>
          <w:lang w:val="es-ES"/>
        </w:rPr>
        <w:t>derecho</w:t>
      </w:r>
      <w:r w:rsidRPr="0036468B">
        <w:rPr>
          <w:rFonts w:cs="Arial"/>
          <w:lang w:val="es-ES"/>
        </w:rPr>
        <w:t xml:space="preserve"> de obtentor</w:t>
      </w:r>
      <w:r w:rsidRPr="0036468B">
        <w:rPr>
          <w:rFonts w:cs="Arial"/>
          <w:spacing w:val="-2"/>
          <w:lang w:val="es-ES"/>
        </w:rPr>
        <w:t>.</w:t>
      </w:r>
    </w:p>
    <w:p w14:paraId="756A0829" w14:textId="77777777" w:rsidR="006C6976" w:rsidRPr="0036468B" w:rsidRDefault="006C6976" w:rsidP="006C6976">
      <w:pPr>
        <w:pStyle w:val="BodyText"/>
        <w:spacing w:before="11"/>
        <w:rPr>
          <w:rFonts w:cs="Arial"/>
          <w:lang w:val="es-ES"/>
        </w:rPr>
      </w:pPr>
    </w:p>
    <w:p w14:paraId="7FC805D3" w14:textId="77777777" w:rsidR="006C6976" w:rsidRPr="0036468B" w:rsidRDefault="006C6976" w:rsidP="006C6976">
      <w:pPr>
        <w:pStyle w:val="ListParagraph"/>
        <w:widowControl w:val="0"/>
        <w:numPr>
          <w:ilvl w:val="1"/>
          <w:numId w:val="2"/>
        </w:numPr>
        <w:tabs>
          <w:tab w:val="left" w:pos="835"/>
          <w:tab w:val="left" w:pos="836"/>
        </w:tabs>
        <w:autoSpaceDE w:val="0"/>
        <w:autoSpaceDN w:val="0"/>
        <w:ind w:right="322"/>
        <w:contextualSpacing w:val="0"/>
        <w:rPr>
          <w:rFonts w:cs="Arial"/>
          <w:lang w:val="es-ES"/>
        </w:rPr>
      </w:pPr>
      <w:r w:rsidRPr="0036468B">
        <w:rPr>
          <w:rFonts w:cs="Arial"/>
          <w:lang w:val="es-ES"/>
        </w:rPr>
        <w:t>Se requiere la autorización del titular del derecho de obtentor para todos los actos especificados en el artículo 14.1) i) a vii) del Convenio de la UPOV de 1991, también en relación con el material cosechado así obtenido fuera del ámbito de validez del derecho de obtentor correspondiente, cuando ese material cosechado entre y se distribuya en el territorio en el que sea válido el derecho de obtentor correspondiente. Dado que el material cosechado cumple entonces los requisitos acumulativos de «uso no autorizado» y «ausencia de oportunidad razonable para ejercer su derecho», cualquier otro ejercicio de ese derecho, por ejemplo, reclamando regalías, constituye al mismo tiempo un «ejercicio del derecho de obtentor en la fase más temprana posible» dentro de la cascada.</w:t>
      </w:r>
    </w:p>
    <w:p w14:paraId="37947673" w14:textId="77777777" w:rsidR="006C6976" w:rsidRPr="0036468B" w:rsidRDefault="006C6976" w:rsidP="006C6976">
      <w:pPr>
        <w:pStyle w:val="BodyText"/>
        <w:spacing w:before="6"/>
        <w:rPr>
          <w:rFonts w:cs="Arial"/>
          <w:lang w:val="es-ES"/>
        </w:rPr>
      </w:pPr>
    </w:p>
    <w:p w14:paraId="5590EAEC" w14:textId="77777777" w:rsidR="006C6976" w:rsidRPr="0036468B" w:rsidRDefault="006C6976" w:rsidP="006C6976">
      <w:pPr>
        <w:pStyle w:val="ListParagraph"/>
        <w:widowControl w:val="0"/>
        <w:numPr>
          <w:ilvl w:val="1"/>
          <w:numId w:val="2"/>
        </w:numPr>
        <w:tabs>
          <w:tab w:val="left" w:pos="835"/>
          <w:tab w:val="left" w:pos="836"/>
        </w:tabs>
        <w:autoSpaceDE w:val="0"/>
        <w:autoSpaceDN w:val="0"/>
        <w:spacing w:line="237" w:lineRule="auto"/>
        <w:ind w:right="203"/>
        <w:contextualSpacing w:val="0"/>
        <w:rPr>
          <w:rFonts w:cs="Arial"/>
          <w:lang w:val="es-ES"/>
        </w:rPr>
      </w:pPr>
      <w:r w:rsidRPr="0036468B">
        <w:rPr>
          <w:rFonts w:cs="Arial"/>
          <w:lang w:val="es-ES"/>
        </w:rPr>
        <w:t xml:space="preserve">En resumen: </w:t>
      </w:r>
      <w:r w:rsidRPr="0036468B">
        <w:rPr>
          <w:rFonts w:cs="Arial"/>
          <w:i/>
          <w:lang w:val="es-ES"/>
        </w:rPr>
        <w:t xml:space="preserve">«Uso no autorizado»: </w:t>
      </w:r>
      <w:r w:rsidRPr="0036468B">
        <w:rPr>
          <w:rFonts w:cs="Arial"/>
          <w:lang w:val="es-ES"/>
        </w:rPr>
        <w:t>el uso de material de reproducción de una variedad protegida, sin la autorización del titular, para la producción del material cosechado resultante dentro o fuera del territorio en el que la variedad está protegida y, en este último caso, cuando el material cosechado posiblemente importado esté protegido por el artículo 14(2) del Convenio de la UPOV de 1991.</w:t>
      </w:r>
    </w:p>
    <w:p w14:paraId="33915513" w14:textId="77777777" w:rsidR="006C6976" w:rsidRPr="0036468B" w:rsidRDefault="006C6976" w:rsidP="006C6976">
      <w:pPr>
        <w:pStyle w:val="BodyText"/>
        <w:rPr>
          <w:rFonts w:cs="Arial"/>
          <w:lang w:val="es-ES"/>
        </w:rPr>
      </w:pPr>
    </w:p>
    <w:p w14:paraId="69797E9C" w14:textId="77777777" w:rsidR="006C6976" w:rsidRPr="0036468B" w:rsidRDefault="006C6976" w:rsidP="006C6976">
      <w:pPr>
        <w:pStyle w:val="BodyText"/>
        <w:spacing w:before="8"/>
        <w:rPr>
          <w:rFonts w:cs="Arial"/>
          <w:lang w:val="es-ES"/>
        </w:rPr>
      </w:pPr>
    </w:p>
    <w:p w14:paraId="74FB162A" w14:textId="77777777" w:rsidR="006C6976" w:rsidRPr="006C6976" w:rsidRDefault="006C6976" w:rsidP="006C6976">
      <w:pPr>
        <w:pStyle w:val="Heading1"/>
        <w:numPr>
          <w:ilvl w:val="0"/>
          <w:numId w:val="2"/>
        </w:numPr>
      </w:pPr>
      <w:r w:rsidRPr="006C6976">
        <w:t>Oportunidad razonable:</w:t>
      </w:r>
    </w:p>
    <w:p w14:paraId="5F8E2DE3" w14:textId="77777777" w:rsidR="006C6976" w:rsidRPr="00981F05" w:rsidRDefault="006C6976" w:rsidP="006C6976">
      <w:pPr>
        <w:pStyle w:val="BodyText"/>
        <w:spacing w:before="5"/>
        <w:rPr>
          <w:rFonts w:cs="Arial"/>
          <w:b/>
        </w:rPr>
      </w:pPr>
    </w:p>
    <w:p w14:paraId="6C833534" w14:textId="77777777" w:rsidR="006C6976" w:rsidRPr="0036468B" w:rsidRDefault="006C6976" w:rsidP="006C6976">
      <w:pPr>
        <w:pStyle w:val="ListParagraph"/>
        <w:widowControl w:val="0"/>
        <w:numPr>
          <w:ilvl w:val="1"/>
          <w:numId w:val="2"/>
        </w:numPr>
        <w:tabs>
          <w:tab w:val="left" w:pos="836"/>
        </w:tabs>
        <w:autoSpaceDE w:val="0"/>
        <w:autoSpaceDN w:val="0"/>
        <w:spacing w:line="259" w:lineRule="auto"/>
        <w:ind w:right="114"/>
        <w:contextualSpacing w:val="0"/>
        <w:rPr>
          <w:rFonts w:cs="Arial"/>
          <w:lang w:val="es-ES"/>
        </w:rPr>
      </w:pPr>
      <w:r w:rsidRPr="0036468B">
        <w:rPr>
          <w:rFonts w:cs="Arial"/>
          <w:lang w:val="es-ES"/>
        </w:rPr>
        <w:t>La cláusula</w:t>
      </w:r>
      <w:r w:rsidRPr="0036468B">
        <w:rPr>
          <w:rFonts w:cs="Arial"/>
          <w:i/>
          <w:lang w:val="es-ES"/>
        </w:rPr>
        <w:t xml:space="preserve"> de oportunidad razonable </w:t>
      </w:r>
      <w:r w:rsidRPr="0036468B">
        <w:rPr>
          <w:rFonts w:cs="Arial"/>
          <w:lang w:val="es-ES"/>
        </w:rPr>
        <w:t>se introdujo durante la Conferencia Diplomática de 1991 como una alternativa flexible a propuestas más estrictas («sin posibilidad legal» / «a pesar de todo el cuidado debido») y no figuraba en el Acta de 1978 ni en textos anteriores.</w:t>
      </w:r>
    </w:p>
    <w:p w14:paraId="78995AFB" w14:textId="77777777" w:rsidR="006C6976" w:rsidRPr="0036468B" w:rsidRDefault="006C6976" w:rsidP="006C6976">
      <w:pPr>
        <w:pStyle w:val="ListParagraph"/>
        <w:widowControl w:val="0"/>
        <w:numPr>
          <w:ilvl w:val="1"/>
          <w:numId w:val="2"/>
        </w:numPr>
        <w:tabs>
          <w:tab w:val="left" w:pos="836"/>
        </w:tabs>
        <w:autoSpaceDE w:val="0"/>
        <w:autoSpaceDN w:val="0"/>
        <w:spacing w:before="157" w:line="259" w:lineRule="auto"/>
        <w:ind w:right="114"/>
        <w:contextualSpacing w:val="0"/>
        <w:rPr>
          <w:rFonts w:cs="Arial"/>
          <w:lang w:val="es-ES"/>
        </w:rPr>
      </w:pPr>
      <w:r w:rsidRPr="0036468B">
        <w:rPr>
          <w:rFonts w:cs="Arial"/>
          <w:lang w:val="es-ES"/>
        </w:rPr>
        <w:t>La cláusula se adoptó como compromiso durante la Conferencia Diplomática de 1991, en sustitución de propuestas más estrictas como «sin posibilidad legal» o «a pesar de todas las precauciones debidas». Esta elección de redacción garantizó una interpretación flexible y sensible al contexto, al tiempo que preservó la estructura en cascada. Refleja un compromiso negociado destinado a preservar la estructura en cascada, al tiempo que permite una interpretación judicial contextual, y supuso una nueva salvaguardia en la ampliación de los derechos al material recolectado.</w:t>
      </w:r>
    </w:p>
    <w:p w14:paraId="0C782F5D" w14:textId="6E0CB56F" w:rsidR="006C6976" w:rsidRPr="0036468B" w:rsidRDefault="006C6976" w:rsidP="006C6976">
      <w:pPr>
        <w:pStyle w:val="ListParagraph"/>
        <w:widowControl w:val="0"/>
        <w:numPr>
          <w:ilvl w:val="1"/>
          <w:numId w:val="2"/>
        </w:numPr>
        <w:tabs>
          <w:tab w:val="left" w:pos="836"/>
        </w:tabs>
        <w:autoSpaceDE w:val="0"/>
        <w:autoSpaceDN w:val="0"/>
        <w:spacing w:before="157" w:line="259" w:lineRule="auto"/>
        <w:ind w:right="114"/>
        <w:contextualSpacing w:val="0"/>
        <w:rPr>
          <w:rFonts w:cs="Arial"/>
          <w:lang w:val="es-ES"/>
        </w:rPr>
      </w:pPr>
      <w:r w:rsidRPr="0036468B">
        <w:rPr>
          <w:rFonts w:cs="Arial"/>
          <w:lang w:val="es-ES"/>
        </w:rPr>
        <w:t xml:space="preserve">Su función principal es garantizar la proporcionalidad: la aplicación posterior sobre el material recolectado solo se permite cuando los obtentores no tuvieron una oportunidad realista de ejercer sus derechos anteriormente en la fase de propagación. La distinción establecida en la Conferencia entre el «ejercicio» de los derechos (por ejemplo, la concesión de licencias o el cobro de regalías) y la «aplicación» (recursos legales) confirmó que </w:t>
      </w:r>
      <w:r w:rsidRPr="0036468B">
        <w:rPr>
          <w:rFonts w:cs="Arial"/>
          <w:i/>
          <w:lang w:val="es-ES"/>
        </w:rPr>
        <w:t xml:space="preserve">la oportunidad razonable </w:t>
      </w:r>
      <w:r w:rsidRPr="0036468B">
        <w:rPr>
          <w:rFonts w:cs="Arial"/>
          <w:lang w:val="es-ES"/>
        </w:rPr>
        <w:t>se refiere principalmente a lo primero: si el obtentor tenía una oportunidad comercialmente significativa de intervenir en la fase anterior.</w:t>
      </w:r>
    </w:p>
    <w:p w14:paraId="79BDBD27" w14:textId="77777777" w:rsidR="006C6976" w:rsidRPr="0036468B" w:rsidRDefault="006C6976" w:rsidP="006C6976">
      <w:pPr>
        <w:pStyle w:val="ListParagraph"/>
        <w:widowControl w:val="0"/>
        <w:numPr>
          <w:ilvl w:val="1"/>
          <w:numId w:val="2"/>
        </w:numPr>
        <w:tabs>
          <w:tab w:val="left" w:pos="836"/>
        </w:tabs>
        <w:autoSpaceDE w:val="0"/>
        <w:autoSpaceDN w:val="0"/>
        <w:spacing w:before="160" w:line="259" w:lineRule="auto"/>
        <w:ind w:right="114"/>
        <w:contextualSpacing w:val="0"/>
        <w:rPr>
          <w:rFonts w:cs="Arial"/>
          <w:lang w:val="es-ES"/>
        </w:rPr>
      </w:pPr>
      <w:r w:rsidRPr="0036468B">
        <w:rPr>
          <w:rFonts w:cs="Arial"/>
          <w:lang w:val="es-ES"/>
        </w:rPr>
        <w:t>Las Notas Explicativas (UPOV/EXN/HRV/1) establecen que deben cumplirse dos condiciones acumulativas: i) el uso no autorizado de material de reproducción, y ii) la ausencia de una oportunidad razonable para actuar en esa etapa. La cláusula es territorial y se basa en hechos, y se evalúa de acuerdo con las circunstancias específicas de cada caso.</w:t>
      </w:r>
    </w:p>
    <w:p w14:paraId="7F0E6E1C" w14:textId="77777777" w:rsidR="006C6976" w:rsidRPr="0036468B" w:rsidRDefault="006C6976" w:rsidP="006C6976">
      <w:pPr>
        <w:pStyle w:val="ListParagraph"/>
        <w:widowControl w:val="0"/>
        <w:numPr>
          <w:ilvl w:val="1"/>
          <w:numId w:val="2"/>
        </w:numPr>
        <w:tabs>
          <w:tab w:val="left" w:pos="835"/>
          <w:tab w:val="left" w:pos="836"/>
        </w:tabs>
        <w:autoSpaceDE w:val="0"/>
        <w:autoSpaceDN w:val="0"/>
        <w:spacing w:before="157"/>
        <w:ind w:hanging="361"/>
        <w:contextualSpacing w:val="0"/>
        <w:rPr>
          <w:rFonts w:cs="Arial"/>
          <w:lang w:val="es-ES"/>
        </w:rPr>
      </w:pPr>
      <w:r w:rsidRPr="0036468B">
        <w:rPr>
          <w:rFonts w:cs="Arial"/>
          <w:lang w:val="es-ES"/>
        </w:rPr>
        <w:t xml:space="preserve">La jurisprudencia ilustra el alcance práctico de esta </w:t>
      </w:r>
      <w:r w:rsidRPr="0036468B">
        <w:rPr>
          <w:rFonts w:cs="Arial"/>
          <w:spacing w:val="-2"/>
          <w:lang w:val="es-ES"/>
        </w:rPr>
        <w:t>condición.</w:t>
      </w:r>
    </w:p>
    <w:p w14:paraId="67A32C91" w14:textId="77777777" w:rsidR="006C6976" w:rsidRPr="0036468B" w:rsidRDefault="006C6976" w:rsidP="006C6976">
      <w:pPr>
        <w:pStyle w:val="ListParagraph"/>
        <w:widowControl w:val="0"/>
        <w:numPr>
          <w:ilvl w:val="2"/>
          <w:numId w:val="2"/>
        </w:numPr>
        <w:tabs>
          <w:tab w:val="left" w:pos="1556"/>
        </w:tabs>
        <w:autoSpaceDE w:val="0"/>
        <w:autoSpaceDN w:val="0"/>
        <w:spacing w:before="185" w:line="254" w:lineRule="auto"/>
        <w:ind w:right="114"/>
        <w:contextualSpacing w:val="0"/>
        <w:rPr>
          <w:rFonts w:cs="Arial"/>
          <w:lang w:val="es-ES"/>
        </w:rPr>
      </w:pPr>
      <w:r w:rsidRPr="0036468B">
        <w:rPr>
          <w:rFonts w:cs="Arial"/>
          <w:b/>
          <w:lang w:val="es-ES"/>
        </w:rPr>
        <w:t>Nadorcott (TJUE)</w:t>
      </w:r>
      <w:r w:rsidRPr="0036468B">
        <w:rPr>
          <w:rFonts w:cs="Arial"/>
          <w:lang w:val="es-ES"/>
        </w:rPr>
        <w:t>: restrictivo; el período de protección provisional no exige las condiciones previas de uso no autorizado y oportunidad razonable, ya que la cascada solo se aplica a una variedad protegida.</w:t>
      </w:r>
    </w:p>
    <w:p w14:paraId="4765578E" w14:textId="77777777" w:rsidR="0036468B" w:rsidRDefault="006C6976" w:rsidP="006C6976">
      <w:pPr>
        <w:pStyle w:val="ListParagraph"/>
        <w:widowControl w:val="0"/>
        <w:numPr>
          <w:ilvl w:val="2"/>
          <w:numId w:val="2"/>
        </w:numPr>
        <w:tabs>
          <w:tab w:val="left" w:pos="1556"/>
        </w:tabs>
        <w:autoSpaceDE w:val="0"/>
        <w:autoSpaceDN w:val="0"/>
        <w:spacing w:before="165" w:line="254" w:lineRule="auto"/>
        <w:ind w:right="114"/>
        <w:contextualSpacing w:val="0"/>
        <w:rPr>
          <w:rFonts w:cs="Arial"/>
          <w:lang w:val="es-ES"/>
        </w:rPr>
        <w:sectPr w:rsidR="0036468B" w:rsidSect="0004198B">
          <w:headerReference w:type="default" r:id="rId10"/>
          <w:headerReference w:type="first" r:id="rId11"/>
          <w:pgSz w:w="11907" w:h="16840" w:code="9"/>
          <w:pgMar w:top="510" w:right="1134" w:bottom="1134" w:left="1134" w:header="510" w:footer="680" w:gutter="0"/>
          <w:pgNumType w:start="1"/>
          <w:cols w:space="720"/>
          <w:titlePg/>
        </w:sectPr>
      </w:pPr>
      <w:r w:rsidRPr="0036468B">
        <w:rPr>
          <w:rFonts w:cs="Arial"/>
          <w:b/>
          <w:lang w:val="es-ES"/>
        </w:rPr>
        <w:t>Melanie (BGH, Alemania)</w:t>
      </w:r>
      <w:r w:rsidRPr="0036468B">
        <w:rPr>
          <w:rFonts w:cs="Arial"/>
          <w:lang w:val="es-ES"/>
        </w:rPr>
        <w:t>: los límites extraterritoriales (sin derechos en Francia) constituían una ausencia de oportunidad. Se consideró que la incapacidad del obtentor</w:t>
      </w:r>
    </w:p>
    <w:p w14:paraId="79F1B560" w14:textId="77777777" w:rsidR="006C6976" w:rsidRPr="0036468B" w:rsidRDefault="006C6976" w:rsidP="006C6976">
      <w:pPr>
        <w:pStyle w:val="ListParagraph"/>
        <w:widowControl w:val="0"/>
        <w:numPr>
          <w:ilvl w:val="2"/>
          <w:numId w:val="2"/>
        </w:numPr>
        <w:tabs>
          <w:tab w:val="left" w:pos="1556"/>
        </w:tabs>
        <w:autoSpaceDE w:val="0"/>
        <w:autoSpaceDN w:val="0"/>
        <w:spacing w:before="165" w:line="254" w:lineRule="auto"/>
        <w:ind w:right="114"/>
        <w:contextualSpacing w:val="0"/>
        <w:rPr>
          <w:rFonts w:cs="Arial"/>
          <w:lang w:val="es-ES"/>
        </w:rPr>
      </w:pPr>
      <w:r w:rsidRPr="0036468B">
        <w:rPr>
          <w:rFonts w:cs="Arial"/>
          <w:lang w:val="es-ES"/>
        </w:rPr>
        <w:lastRenderedPageBreak/>
        <w:t xml:space="preserve"> para hacer valer sus derechos extraterritorialmente era suficiente para satisfacer la cláusula.</w:t>
      </w:r>
    </w:p>
    <w:p w14:paraId="48C829FF" w14:textId="77777777" w:rsidR="006C6976" w:rsidRPr="0036468B" w:rsidRDefault="006C6976" w:rsidP="006C6976">
      <w:pPr>
        <w:pStyle w:val="ListParagraph"/>
        <w:widowControl w:val="0"/>
        <w:numPr>
          <w:ilvl w:val="2"/>
          <w:numId w:val="2"/>
        </w:numPr>
        <w:tabs>
          <w:tab w:val="left" w:pos="1556"/>
        </w:tabs>
        <w:autoSpaceDE w:val="0"/>
        <w:autoSpaceDN w:val="0"/>
        <w:spacing w:before="170" w:line="256" w:lineRule="auto"/>
        <w:ind w:right="114"/>
        <w:contextualSpacing w:val="0"/>
        <w:rPr>
          <w:rFonts w:cs="Arial"/>
          <w:lang w:val="es-ES"/>
        </w:rPr>
      </w:pPr>
      <w:r w:rsidRPr="0036468B">
        <w:rPr>
          <w:rFonts w:cs="Arial"/>
          <w:b/>
          <w:spacing w:val="-2"/>
          <w:lang w:val="es-ES"/>
        </w:rPr>
        <w:t>Shiitake (Tribunal Superior de Propiedad Intelectual, Japón)</w:t>
      </w:r>
      <w:r w:rsidRPr="0036468B">
        <w:rPr>
          <w:rFonts w:cs="Arial"/>
          <w:spacing w:val="-2"/>
          <w:lang w:val="es-ES"/>
        </w:rPr>
        <w:t xml:space="preserve">: reconoció límites fácticos más amplios (lagunas jurídicas </w:t>
      </w:r>
      <w:r w:rsidRPr="0036468B">
        <w:rPr>
          <w:rFonts w:cs="Arial"/>
          <w:lang w:val="es-ES"/>
        </w:rPr>
        <w:t xml:space="preserve">en el extranjero, obstáculos probatorios y técnicos). Amplió aún más el razonamiento, reconociendo que la falta de protección jurídica en el extranjero, las limitaciones probatorias y los retos técnicos podían constituir conjuntamente una ausencia de </w:t>
      </w:r>
      <w:r w:rsidRPr="0036468B">
        <w:rPr>
          <w:rFonts w:cs="Arial"/>
          <w:spacing w:val="-2"/>
          <w:lang w:val="es-ES"/>
        </w:rPr>
        <w:t>oportunidad</w:t>
      </w:r>
      <w:r w:rsidRPr="0036468B">
        <w:rPr>
          <w:rFonts w:cs="Arial"/>
          <w:lang w:val="es-ES"/>
        </w:rPr>
        <w:t xml:space="preserve"> razonable</w:t>
      </w:r>
      <w:r w:rsidRPr="0036468B">
        <w:rPr>
          <w:rFonts w:cs="Arial"/>
          <w:spacing w:val="-2"/>
          <w:lang w:val="es-ES"/>
        </w:rPr>
        <w:t>.</w:t>
      </w:r>
    </w:p>
    <w:p w14:paraId="41FFFADF" w14:textId="77777777" w:rsidR="006C6976" w:rsidRPr="0036468B" w:rsidRDefault="006C6976" w:rsidP="006C6976">
      <w:pPr>
        <w:pStyle w:val="ListParagraph"/>
        <w:widowControl w:val="0"/>
        <w:numPr>
          <w:ilvl w:val="2"/>
          <w:numId w:val="2"/>
        </w:numPr>
        <w:tabs>
          <w:tab w:val="left" w:pos="1556"/>
        </w:tabs>
        <w:autoSpaceDE w:val="0"/>
        <w:autoSpaceDN w:val="0"/>
        <w:spacing w:before="162" w:line="254" w:lineRule="auto"/>
        <w:ind w:right="114"/>
        <w:contextualSpacing w:val="0"/>
        <w:rPr>
          <w:rFonts w:cs="Arial"/>
          <w:lang w:val="es-ES"/>
        </w:rPr>
      </w:pPr>
      <w:r w:rsidRPr="0036468B">
        <w:rPr>
          <w:rFonts w:cs="Arial"/>
          <w:b/>
          <w:lang w:val="es-ES"/>
        </w:rPr>
        <w:t>Erntegut (BGH, Alemania)</w:t>
      </w:r>
      <w:r w:rsidRPr="0036468B">
        <w:rPr>
          <w:rFonts w:cs="Arial"/>
          <w:lang w:val="es-ES"/>
        </w:rPr>
        <w:t>: se hizo hincapié en la importancia de la posibilidad concreta de que el obtentor ejerciera su derecho; la falta de trazabilidad y las cadenas de suministro ocultas excluían la oportunidad de actuar en las fases iniciales.</w:t>
      </w:r>
    </w:p>
    <w:p w14:paraId="144811AF" w14:textId="77777777" w:rsidR="006C6976" w:rsidRPr="0036468B" w:rsidRDefault="006C6976" w:rsidP="006C6976">
      <w:pPr>
        <w:pStyle w:val="ListParagraph"/>
        <w:widowControl w:val="0"/>
        <w:numPr>
          <w:ilvl w:val="1"/>
          <w:numId w:val="2"/>
        </w:numPr>
        <w:tabs>
          <w:tab w:val="left" w:pos="836"/>
        </w:tabs>
        <w:autoSpaceDE w:val="0"/>
        <w:autoSpaceDN w:val="0"/>
        <w:spacing w:before="170" w:line="259" w:lineRule="auto"/>
        <w:ind w:right="114"/>
        <w:contextualSpacing w:val="0"/>
        <w:rPr>
          <w:rFonts w:cs="Arial"/>
          <w:lang w:val="es-ES"/>
        </w:rPr>
      </w:pPr>
      <w:r w:rsidRPr="0036468B">
        <w:rPr>
          <w:rFonts w:cs="Arial"/>
          <w:lang w:val="es-ES"/>
        </w:rPr>
        <w:t xml:space="preserve">En todas las jurisdicciones, la noción de </w:t>
      </w:r>
      <w:r w:rsidRPr="0036468B">
        <w:rPr>
          <w:rFonts w:cs="Arial"/>
          <w:i/>
          <w:lang w:val="es-ES"/>
        </w:rPr>
        <w:t xml:space="preserve">oportunidad razonable </w:t>
      </w:r>
      <w:r w:rsidRPr="0036468B">
        <w:rPr>
          <w:rFonts w:cs="Arial"/>
          <w:lang w:val="es-ES"/>
        </w:rPr>
        <w:t>se ha convertido en un umbral decisivo: impide la aplicación oportunista o retroactiva de la ley, al tiempo que preserva la capacidad del obtentor para actuar cuando el control en las fases iniciales era legal o prácticamente imposible.</w:t>
      </w:r>
    </w:p>
    <w:p w14:paraId="2BDB23CB" w14:textId="77777777" w:rsidR="006C6976" w:rsidRPr="0036468B" w:rsidRDefault="006C6976" w:rsidP="006C6976">
      <w:pPr>
        <w:pStyle w:val="ListParagraph"/>
        <w:widowControl w:val="0"/>
        <w:numPr>
          <w:ilvl w:val="1"/>
          <w:numId w:val="2"/>
        </w:numPr>
        <w:tabs>
          <w:tab w:val="left" w:pos="836"/>
        </w:tabs>
        <w:autoSpaceDE w:val="0"/>
        <w:autoSpaceDN w:val="0"/>
        <w:spacing w:before="157" w:line="259" w:lineRule="auto"/>
        <w:ind w:right="114"/>
        <w:contextualSpacing w:val="0"/>
        <w:rPr>
          <w:rFonts w:cs="Arial"/>
          <w:lang w:val="es-ES"/>
        </w:rPr>
      </w:pPr>
      <w:r w:rsidRPr="0036468B">
        <w:rPr>
          <w:rFonts w:cs="Arial"/>
          <w:lang w:val="es-ES"/>
        </w:rPr>
        <w:t xml:space="preserve">En resumen: </w:t>
      </w:r>
      <w:r w:rsidRPr="0036468B">
        <w:rPr>
          <w:rFonts w:cs="Arial"/>
          <w:i/>
          <w:lang w:val="es-ES"/>
        </w:rPr>
        <w:t xml:space="preserve">la oportunidad razonable </w:t>
      </w:r>
      <w:r w:rsidRPr="0036468B">
        <w:rPr>
          <w:rFonts w:cs="Arial"/>
          <w:lang w:val="es-ES"/>
        </w:rPr>
        <w:t>se ha convertido en el umbral decisivo para aplicar el principio de cascada: impide las reclamaciones retroactivas u oportunistas, al tiempo que garantiza que los obtentores no se vean privados de protección cuando la aplicación en las fases iniciales sea legal o prácticamente imposible.</w:t>
      </w:r>
    </w:p>
    <w:p w14:paraId="10F8E596" w14:textId="77777777" w:rsidR="006C6976" w:rsidRPr="0036468B" w:rsidRDefault="006C6976" w:rsidP="006C6976">
      <w:pPr>
        <w:pStyle w:val="BodyText"/>
        <w:spacing w:before="5"/>
        <w:rPr>
          <w:rFonts w:cs="Arial"/>
          <w:lang w:val="es-ES"/>
        </w:rPr>
      </w:pPr>
    </w:p>
    <w:p w14:paraId="378C5FDE" w14:textId="77777777" w:rsidR="006C6976" w:rsidRPr="0036468B" w:rsidRDefault="006C6976" w:rsidP="006C6976">
      <w:pPr>
        <w:pStyle w:val="Heading1"/>
        <w:rPr>
          <w:lang w:val="es-ES"/>
        </w:rPr>
      </w:pPr>
      <w:r w:rsidRPr="0036468B">
        <w:rPr>
          <w:lang w:val="es-ES"/>
        </w:rPr>
        <w:t xml:space="preserve">III Material de propagación y </w:t>
      </w:r>
      <w:r w:rsidRPr="0036468B">
        <w:rPr>
          <w:spacing w:val="-2"/>
          <w:lang w:val="es-ES"/>
        </w:rPr>
        <w:t xml:space="preserve">material </w:t>
      </w:r>
      <w:r w:rsidRPr="0036468B">
        <w:rPr>
          <w:lang w:val="es-ES"/>
        </w:rPr>
        <w:t>cosechado</w:t>
      </w:r>
      <w:r w:rsidRPr="0036468B">
        <w:rPr>
          <w:spacing w:val="-2"/>
          <w:lang w:val="es-ES"/>
        </w:rPr>
        <w:t>:</w:t>
      </w:r>
    </w:p>
    <w:p w14:paraId="1F46A037" w14:textId="77777777" w:rsidR="006C6976" w:rsidRPr="0036468B" w:rsidRDefault="006C6976" w:rsidP="006C6976">
      <w:pPr>
        <w:pStyle w:val="BodyText"/>
        <w:spacing w:before="5"/>
        <w:rPr>
          <w:rFonts w:cs="Arial"/>
          <w:b/>
          <w:lang w:val="es-ES"/>
        </w:rPr>
      </w:pPr>
    </w:p>
    <w:p w14:paraId="737D2C47" w14:textId="77777777" w:rsidR="006C6976" w:rsidRPr="0036468B" w:rsidRDefault="006C6976" w:rsidP="006C6976">
      <w:pPr>
        <w:pStyle w:val="BodyText"/>
        <w:spacing w:line="276" w:lineRule="auto"/>
        <w:ind w:left="116" w:right="262"/>
        <w:rPr>
          <w:rFonts w:cs="Arial"/>
          <w:lang w:val="es-ES"/>
        </w:rPr>
      </w:pPr>
      <w:r w:rsidRPr="0036468B">
        <w:rPr>
          <w:rFonts w:cs="Arial"/>
          <w:lang w:val="es-ES"/>
        </w:rPr>
        <w:t>Las actas de la Conferencia de 1991 adoptan una posición clara al no definir «material de propagación» y «material cosechado». Se debatieron enmiendas propuestas que finalmente no se adoptaron, lo que permite extraer conclusiones sobre la interpretación del texto final, pero solo se explica de forma indirecta y sin adoptar una postura clara sobre la controvertida cuestión del alcance de las protecciones. Estos debates también aplazaron parte del debate sobre el «material de reproducción» y el «material cosechado» a los debates sobre el agotamiento (artículo 16). Teniendo esto en cuenta, se pueden extraer las siguientes conclusiones cautelosas:</w:t>
      </w:r>
    </w:p>
    <w:p w14:paraId="1415D2A8" w14:textId="77777777" w:rsidR="006C6976" w:rsidRPr="0036468B" w:rsidRDefault="006C6976" w:rsidP="006C6976">
      <w:pPr>
        <w:pStyle w:val="BodyText"/>
        <w:spacing w:line="276" w:lineRule="auto"/>
        <w:ind w:left="116" w:right="262"/>
        <w:rPr>
          <w:rFonts w:cs="Arial"/>
          <w:lang w:val="es-ES"/>
        </w:rPr>
      </w:pPr>
    </w:p>
    <w:p w14:paraId="58CA985E" w14:textId="77777777" w:rsidR="006C6976" w:rsidRPr="0036468B" w:rsidRDefault="006C6976" w:rsidP="006C6976">
      <w:pPr>
        <w:pStyle w:val="ListParagraph"/>
        <w:widowControl w:val="0"/>
        <w:numPr>
          <w:ilvl w:val="0"/>
          <w:numId w:val="4"/>
        </w:numPr>
        <w:tabs>
          <w:tab w:val="left" w:pos="682"/>
          <w:tab w:val="left" w:pos="683"/>
        </w:tabs>
        <w:autoSpaceDE w:val="0"/>
        <w:autoSpaceDN w:val="0"/>
        <w:spacing w:before="79" w:line="276" w:lineRule="auto"/>
        <w:ind w:right="115"/>
        <w:contextualSpacing w:val="0"/>
        <w:jc w:val="both"/>
        <w:rPr>
          <w:rFonts w:cs="Arial"/>
          <w:lang w:val="es-ES"/>
        </w:rPr>
      </w:pPr>
      <w:r w:rsidRPr="0036468B">
        <w:rPr>
          <w:rFonts w:cs="Arial"/>
          <w:lang w:val="es-ES"/>
        </w:rPr>
        <w:t>En el caso de los «materiales cosechados» que pueden utilizarse como «materiales de propagación» o como productos de consumo (patatas, cultivos, etc.), la mera posibilidad biológica de utilizar esos materiales para la reproducción no se ha considerado suficiente para aplicar el primer nivel de la cascada; sin embargo, los Registros no adoptan una posición clara en cuanto a las condiciones adicionales (por ejemplo, la intención o el conocimiento) que deben cumplirse para caracterizar los productos de consumo como «materiales de propagación».</w:t>
      </w:r>
    </w:p>
    <w:p w14:paraId="6F442211" w14:textId="77777777" w:rsidR="006C6976" w:rsidRPr="0036468B" w:rsidRDefault="006C6976" w:rsidP="006C6976">
      <w:pPr>
        <w:pStyle w:val="ListParagraph"/>
        <w:widowControl w:val="0"/>
        <w:numPr>
          <w:ilvl w:val="0"/>
          <w:numId w:val="4"/>
        </w:numPr>
        <w:tabs>
          <w:tab w:val="left" w:pos="682"/>
          <w:tab w:val="left" w:pos="683"/>
        </w:tabs>
        <w:autoSpaceDE w:val="0"/>
        <w:autoSpaceDN w:val="0"/>
        <w:spacing w:before="1" w:line="276" w:lineRule="auto"/>
        <w:ind w:right="147"/>
        <w:contextualSpacing w:val="0"/>
        <w:jc w:val="both"/>
        <w:rPr>
          <w:rFonts w:cs="Arial"/>
          <w:lang w:val="es-ES"/>
        </w:rPr>
      </w:pPr>
      <w:r w:rsidRPr="0036468B">
        <w:rPr>
          <w:rFonts w:cs="Arial"/>
          <w:lang w:val="es-ES"/>
        </w:rPr>
        <w:t>Los Registros indican que el material vegetal que no es ni «material de reproducción» ni «productos cosechados» en sentido literal debe seguir estando cubierto, especialmente las plantas completas (plantas en maceta, árboles frutales), las flores cortadas, los bulbos de flores, los esquejes, las plántulas, etc. En el caso de las flores cortadas, los Registros indican claramente que los redactores las consideraron «materiales cosechados». Los delegados remitieron a los obtentores que deseaban una protección más amplia a la celebración de contratos adecuados.</w:t>
      </w:r>
    </w:p>
    <w:p w14:paraId="23DBD0CD" w14:textId="77777777" w:rsidR="006C6976" w:rsidRPr="0036468B" w:rsidRDefault="006C6976" w:rsidP="006C6976">
      <w:pPr>
        <w:pStyle w:val="BodyText"/>
        <w:spacing w:before="5"/>
        <w:rPr>
          <w:rFonts w:cs="Arial"/>
          <w:lang w:val="es-ES"/>
        </w:rPr>
      </w:pPr>
    </w:p>
    <w:p w14:paraId="42E60E3B" w14:textId="77777777" w:rsidR="006C6976" w:rsidRPr="0036468B" w:rsidRDefault="006C6976" w:rsidP="006C6976">
      <w:pPr>
        <w:pStyle w:val="BodyText"/>
        <w:spacing w:line="237" w:lineRule="auto"/>
        <w:ind w:left="116" w:right="115"/>
        <w:rPr>
          <w:rFonts w:cs="Arial"/>
          <w:lang w:val="es-ES"/>
        </w:rPr>
      </w:pPr>
      <w:r w:rsidRPr="0036468B">
        <w:rPr>
          <w:rFonts w:cs="Arial"/>
          <w:lang w:val="es-ES"/>
        </w:rPr>
        <w:t xml:space="preserve">Las decisiones judiciales no ofrecen una imagen totalmente coherente, pero pueden resumirse de </w:t>
      </w:r>
      <w:r w:rsidRPr="0036468B">
        <w:rPr>
          <w:rFonts w:cs="Arial"/>
          <w:spacing w:val="-2"/>
          <w:lang w:val="es-ES"/>
        </w:rPr>
        <w:t>la siguiente manera:</w:t>
      </w:r>
    </w:p>
    <w:p w14:paraId="0EBCCB66" w14:textId="77777777" w:rsidR="006C6976" w:rsidRPr="0036468B" w:rsidRDefault="006C6976" w:rsidP="006C6976">
      <w:pPr>
        <w:pStyle w:val="ListParagraph"/>
        <w:widowControl w:val="0"/>
        <w:numPr>
          <w:ilvl w:val="0"/>
          <w:numId w:val="5"/>
        </w:numPr>
        <w:tabs>
          <w:tab w:val="left" w:pos="683"/>
        </w:tabs>
        <w:autoSpaceDE w:val="0"/>
        <w:autoSpaceDN w:val="0"/>
        <w:spacing w:before="4"/>
        <w:ind w:right="114"/>
        <w:contextualSpacing w:val="0"/>
        <w:jc w:val="both"/>
        <w:rPr>
          <w:rFonts w:cs="Arial"/>
          <w:lang w:val="es-ES"/>
        </w:rPr>
      </w:pPr>
      <w:r w:rsidRPr="0036468B">
        <w:rPr>
          <w:rFonts w:cs="Arial"/>
          <w:lang w:val="es-ES"/>
        </w:rPr>
        <w:t>El material vegetal que no es capaz de reproducirse fiel al tipo no puede caracterizarse como material de propagación, sino solo como material cosechado (o determinados productos) si se cumplen las condiciones.</w:t>
      </w:r>
    </w:p>
    <w:p w14:paraId="7BD3B2FC" w14:textId="77777777" w:rsidR="006C6976" w:rsidRPr="00981F05" w:rsidRDefault="006C6976" w:rsidP="006C6976">
      <w:pPr>
        <w:pStyle w:val="ListParagraph"/>
        <w:widowControl w:val="0"/>
        <w:numPr>
          <w:ilvl w:val="0"/>
          <w:numId w:val="5"/>
        </w:numPr>
        <w:tabs>
          <w:tab w:val="left" w:pos="683"/>
        </w:tabs>
        <w:autoSpaceDE w:val="0"/>
        <w:autoSpaceDN w:val="0"/>
        <w:spacing w:line="242" w:lineRule="auto"/>
        <w:ind w:right="114"/>
        <w:contextualSpacing w:val="0"/>
        <w:jc w:val="both"/>
        <w:rPr>
          <w:rFonts w:cs="Arial"/>
        </w:rPr>
      </w:pPr>
      <w:r w:rsidRPr="0036468B">
        <w:rPr>
          <w:rFonts w:cs="Arial"/>
          <w:lang w:val="es-ES"/>
        </w:rPr>
        <w:t xml:space="preserve">El material vegetal que es capaz de reproducirse fiel al tipo no debe caracterizarse necesariamente como material de propagación. </w:t>
      </w:r>
      <w:r w:rsidRPr="00981F05">
        <w:rPr>
          <w:rFonts w:cs="Arial"/>
        </w:rPr>
        <w:t>En este caso hay que distinguir varios casos:</w:t>
      </w:r>
    </w:p>
    <w:p w14:paraId="038670D3" w14:textId="77777777" w:rsidR="006C6976" w:rsidRPr="0036468B" w:rsidRDefault="006C6976" w:rsidP="006C6976">
      <w:pPr>
        <w:pStyle w:val="ListParagraph"/>
        <w:widowControl w:val="0"/>
        <w:numPr>
          <w:ilvl w:val="1"/>
          <w:numId w:val="5"/>
        </w:numPr>
        <w:tabs>
          <w:tab w:val="left" w:pos="1250"/>
        </w:tabs>
        <w:autoSpaceDE w:val="0"/>
        <w:autoSpaceDN w:val="0"/>
        <w:spacing w:line="271" w:lineRule="exact"/>
        <w:ind w:hanging="568"/>
        <w:contextualSpacing w:val="0"/>
        <w:jc w:val="both"/>
        <w:rPr>
          <w:rFonts w:cs="Arial"/>
          <w:lang w:val="es-ES"/>
        </w:rPr>
      </w:pPr>
      <w:r w:rsidRPr="0036468B">
        <w:rPr>
          <w:rFonts w:cs="Arial"/>
          <w:lang w:val="es-ES"/>
        </w:rPr>
        <w:t xml:space="preserve">Las partes de plantas o las plantas completas optimizadas para la reproducción son </w:t>
      </w:r>
      <w:r w:rsidRPr="0036468B">
        <w:rPr>
          <w:rFonts w:cs="Arial"/>
          <w:spacing w:val="-2"/>
          <w:lang w:val="es-ES"/>
        </w:rPr>
        <w:t xml:space="preserve">material </w:t>
      </w:r>
      <w:r w:rsidRPr="0036468B">
        <w:rPr>
          <w:rFonts w:cs="Arial"/>
          <w:lang w:val="es-ES"/>
        </w:rPr>
        <w:t>de reproducción</w:t>
      </w:r>
      <w:r w:rsidRPr="0036468B">
        <w:rPr>
          <w:rFonts w:cs="Arial"/>
          <w:spacing w:val="-2"/>
          <w:lang w:val="es-ES"/>
        </w:rPr>
        <w:t>.</w:t>
      </w:r>
    </w:p>
    <w:p w14:paraId="57A30B1E" w14:textId="77777777" w:rsidR="006C6976" w:rsidRPr="0036468B" w:rsidRDefault="006C6976" w:rsidP="006C6976">
      <w:pPr>
        <w:pStyle w:val="ListParagraph"/>
        <w:widowControl w:val="0"/>
        <w:numPr>
          <w:ilvl w:val="1"/>
          <w:numId w:val="5"/>
        </w:numPr>
        <w:tabs>
          <w:tab w:val="left" w:pos="1250"/>
        </w:tabs>
        <w:autoSpaceDE w:val="0"/>
        <w:autoSpaceDN w:val="0"/>
        <w:spacing w:before="2" w:line="237" w:lineRule="auto"/>
        <w:ind w:right="114"/>
        <w:contextualSpacing w:val="0"/>
        <w:jc w:val="both"/>
        <w:rPr>
          <w:rFonts w:cs="Arial"/>
          <w:lang w:val="es-ES"/>
        </w:rPr>
      </w:pPr>
      <w:r w:rsidRPr="0036468B">
        <w:rPr>
          <w:rFonts w:cs="Arial"/>
          <w:lang w:val="es-ES"/>
        </w:rPr>
        <w:t>Las partes de plantas o plantas completas optimizadas para el cultivo o la producción (profesionales) son material de reproducción (bulbos de flores, esquejes) («Goldfinger», «Amaryllis»).</w:t>
      </w:r>
    </w:p>
    <w:p w14:paraId="24EE6E25" w14:textId="77777777" w:rsidR="006C6976" w:rsidRPr="0036468B" w:rsidRDefault="006C6976" w:rsidP="006C6976">
      <w:pPr>
        <w:pStyle w:val="ListParagraph"/>
        <w:widowControl w:val="0"/>
        <w:numPr>
          <w:ilvl w:val="1"/>
          <w:numId w:val="5"/>
        </w:numPr>
        <w:tabs>
          <w:tab w:val="left" w:pos="823"/>
          <w:tab w:val="left" w:pos="824"/>
        </w:tabs>
        <w:autoSpaceDE w:val="0"/>
        <w:autoSpaceDN w:val="0"/>
        <w:spacing w:before="3"/>
        <w:ind w:left="116" w:right="354" w:firstLine="0"/>
        <w:contextualSpacing w:val="0"/>
        <w:jc w:val="both"/>
        <w:rPr>
          <w:rFonts w:cs="Arial"/>
          <w:lang w:val="es-ES"/>
        </w:rPr>
      </w:pPr>
      <w:r w:rsidRPr="0036468B">
        <w:rPr>
          <w:rFonts w:cs="Arial"/>
          <w:lang w:val="es-ES"/>
        </w:rPr>
        <w:lastRenderedPageBreak/>
        <w:t xml:space="preserve">Las partes de plantas o plantas completas que son productos típicos de consumo, material cosechado (patatas, cultivos, flores cortadas, plantas en maceta, setas Shitake), si no se venden o utilizan como material de propagación o cultivo («Achat», «Cilena», «Melanie», pero «Franklin», pero </w:t>
      </w:r>
      <w:r w:rsidRPr="0036468B">
        <w:rPr>
          <w:rFonts w:cs="Arial"/>
          <w:spacing w:val="-2"/>
          <w:lang w:val="es-ES"/>
        </w:rPr>
        <w:t>«Amethyst»).</w:t>
      </w:r>
    </w:p>
    <w:p w14:paraId="6A0438A9" w14:textId="77777777" w:rsidR="006C6976" w:rsidRPr="0036468B" w:rsidRDefault="006C6976" w:rsidP="006C6976">
      <w:pPr>
        <w:pStyle w:val="BodyText"/>
        <w:spacing w:before="9"/>
        <w:rPr>
          <w:rFonts w:cs="Arial"/>
          <w:lang w:val="es-ES"/>
        </w:rPr>
      </w:pPr>
    </w:p>
    <w:p w14:paraId="3EFEA694" w14:textId="77777777" w:rsidR="006C6976" w:rsidRPr="00981F05" w:rsidRDefault="006C6976" w:rsidP="006C6976">
      <w:pPr>
        <w:pStyle w:val="Heading1"/>
        <w:spacing w:before="1"/>
      </w:pPr>
      <w:r w:rsidRPr="00981F05">
        <w:rPr>
          <w:spacing w:val="-2"/>
        </w:rPr>
        <w:t xml:space="preserve">Trabajo </w:t>
      </w:r>
      <w:r w:rsidRPr="00981F05">
        <w:t>futuro</w:t>
      </w:r>
      <w:r w:rsidRPr="00981F05">
        <w:rPr>
          <w:spacing w:val="-2"/>
        </w:rPr>
        <w:t>:</w:t>
      </w:r>
    </w:p>
    <w:p w14:paraId="4A4946EB" w14:textId="77777777" w:rsidR="006C6976" w:rsidRPr="00981F05" w:rsidRDefault="006C6976" w:rsidP="006C6976">
      <w:pPr>
        <w:pStyle w:val="BodyText"/>
        <w:spacing w:before="11"/>
        <w:rPr>
          <w:rFonts w:cs="Arial"/>
          <w:b/>
        </w:rPr>
      </w:pPr>
    </w:p>
    <w:p w14:paraId="78328653" w14:textId="77777777" w:rsidR="006C6976" w:rsidRPr="0036468B" w:rsidRDefault="006C6976" w:rsidP="006C6976">
      <w:pPr>
        <w:pStyle w:val="ListParagraph"/>
        <w:widowControl w:val="0"/>
        <w:numPr>
          <w:ilvl w:val="2"/>
          <w:numId w:val="5"/>
        </w:numPr>
        <w:tabs>
          <w:tab w:val="left" w:pos="356"/>
        </w:tabs>
        <w:autoSpaceDE w:val="0"/>
        <w:autoSpaceDN w:val="0"/>
        <w:contextualSpacing w:val="0"/>
        <w:jc w:val="both"/>
        <w:rPr>
          <w:rFonts w:cs="Arial"/>
          <w:lang w:val="es-ES"/>
        </w:rPr>
      </w:pPr>
      <w:r w:rsidRPr="0036468B">
        <w:rPr>
          <w:rFonts w:cs="Arial"/>
          <w:lang w:val="es-ES"/>
        </w:rPr>
        <w:t xml:space="preserve">Analizar la relación entre el uso no autorizado y </w:t>
      </w:r>
      <w:r w:rsidRPr="0036468B">
        <w:rPr>
          <w:rFonts w:cs="Arial"/>
          <w:spacing w:val="-2"/>
          <w:lang w:val="es-ES"/>
        </w:rPr>
        <w:t>el agotamiento.</w:t>
      </w:r>
    </w:p>
    <w:p w14:paraId="45582001" w14:textId="77777777" w:rsidR="006C6976" w:rsidRPr="0036468B" w:rsidRDefault="006C6976" w:rsidP="006C6976">
      <w:pPr>
        <w:pStyle w:val="BodyText"/>
        <w:rPr>
          <w:rFonts w:cs="Arial"/>
          <w:lang w:val="es-ES"/>
        </w:rPr>
      </w:pPr>
    </w:p>
    <w:p w14:paraId="60D097F5" w14:textId="77777777" w:rsidR="006C6976" w:rsidRPr="0036468B" w:rsidRDefault="006C6976" w:rsidP="006C6976">
      <w:pPr>
        <w:pStyle w:val="ListParagraph"/>
        <w:widowControl w:val="0"/>
        <w:numPr>
          <w:ilvl w:val="2"/>
          <w:numId w:val="5"/>
        </w:numPr>
        <w:tabs>
          <w:tab w:val="left" w:pos="356"/>
        </w:tabs>
        <w:autoSpaceDE w:val="0"/>
        <w:autoSpaceDN w:val="0"/>
        <w:contextualSpacing w:val="0"/>
        <w:jc w:val="both"/>
        <w:rPr>
          <w:rFonts w:cs="Arial"/>
          <w:lang w:val="es-ES"/>
        </w:rPr>
      </w:pPr>
      <w:r w:rsidRPr="0036468B">
        <w:rPr>
          <w:rFonts w:cs="Arial"/>
          <w:lang w:val="es-ES"/>
        </w:rPr>
        <w:t xml:space="preserve">Resúmenes de casos judiciales relevantes de los miembros de la UPOV vinculados por el </w:t>
      </w:r>
      <w:r w:rsidRPr="0036468B">
        <w:rPr>
          <w:rFonts w:cs="Arial"/>
          <w:spacing w:val="-4"/>
          <w:lang w:val="es-ES"/>
        </w:rPr>
        <w:t xml:space="preserve">Acta </w:t>
      </w:r>
      <w:r w:rsidRPr="0036468B">
        <w:rPr>
          <w:rFonts w:cs="Arial"/>
          <w:lang w:val="es-ES"/>
        </w:rPr>
        <w:t>de 1991</w:t>
      </w:r>
      <w:r w:rsidRPr="0036468B">
        <w:rPr>
          <w:rFonts w:cs="Arial"/>
          <w:spacing w:val="-4"/>
          <w:lang w:val="es-ES"/>
        </w:rPr>
        <w:t>.</w:t>
      </w:r>
    </w:p>
    <w:p w14:paraId="3D628ACA" w14:textId="77777777" w:rsidR="006C6976" w:rsidRPr="0036468B" w:rsidRDefault="006C6976" w:rsidP="006C6976">
      <w:pPr>
        <w:pStyle w:val="BodyText"/>
        <w:rPr>
          <w:rFonts w:cs="Arial"/>
          <w:lang w:val="es-ES"/>
        </w:rPr>
      </w:pPr>
    </w:p>
    <w:p w14:paraId="62AF88C8" w14:textId="6709B884" w:rsidR="005C7CCD" w:rsidRPr="0036468B" w:rsidRDefault="006C6976" w:rsidP="006C6976">
      <w:pPr>
        <w:pStyle w:val="BodyText"/>
        <w:spacing w:line="242" w:lineRule="auto"/>
        <w:ind w:left="116"/>
        <w:rPr>
          <w:rFonts w:cs="Arial"/>
          <w:lang w:val="es-ES"/>
        </w:rPr>
      </w:pPr>
      <w:r w:rsidRPr="0036468B">
        <w:rPr>
          <w:rFonts w:cs="Arial"/>
          <w:lang w:val="es-ES"/>
        </w:rPr>
        <w:t xml:space="preserve">El Grupo tiene como objetivo presentar un borrador del informe final antes de que finalice 2025, que se ultimará y debatirá en la reunión </w:t>
      </w:r>
      <w:r w:rsidR="0035513E" w:rsidRPr="0036468B">
        <w:rPr>
          <w:rFonts w:cs="Arial"/>
          <w:lang w:val="es-ES"/>
        </w:rPr>
        <w:t xml:space="preserve">del WG-HRV </w:t>
      </w:r>
      <w:r w:rsidRPr="0036468B">
        <w:rPr>
          <w:rFonts w:cs="Arial"/>
          <w:lang w:val="es-ES"/>
        </w:rPr>
        <w:t>de marzo de 2026.</w:t>
      </w:r>
    </w:p>
    <w:p w14:paraId="72AAE4C5" w14:textId="77777777" w:rsidR="005C7CCD" w:rsidRPr="0036468B" w:rsidRDefault="005C7CCD" w:rsidP="00561055">
      <w:pPr>
        <w:jc w:val="left"/>
        <w:rPr>
          <w:lang w:val="es-ES"/>
        </w:rPr>
      </w:pPr>
    </w:p>
    <w:p w14:paraId="6801EEBE" w14:textId="77777777" w:rsidR="005C7CCD" w:rsidRPr="0036468B" w:rsidRDefault="005C7CCD" w:rsidP="00561055">
      <w:pPr>
        <w:jc w:val="left"/>
        <w:rPr>
          <w:lang w:val="es-ES"/>
        </w:rPr>
      </w:pPr>
    </w:p>
    <w:p w14:paraId="463A1991" w14:textId="77777777" w:rsidR="005C7CCD" w:rsidRPr="0036468B" w:rsidRDefault="005C7CCD" w:rsidP="00561055">
      <w:pPr>
        <w:jc w:val="left"/>
        <w:rPr>
          <w:lang w:val="es-ES"/>
        </w:rPr>
      </w:pPr>
    </w:p>
    <w:p w14:paraId="0A2797D4" w14:textId="6D6E4F44" w:rsidR="00D26695" w:rsidRPr="0036468B" w:rsidRDefault="00D26695" w:rsidP="00D26695">
      <w:pPr>
        <w:jc w:val="right"/>
        <w:rPr>
          <w:lang w:val="es-ES"/>
        </w:rPr>
      </w:pPr>
      <w:r w:rsidRPr="0036468B">
        <w:rPr>
          <w:lang w:val="es-ES"/>
        </w:rPr>
        <w:t>[</w:t>
      </w:r>
      <w:r w:rsidR="00E5481C" w:rsidRPr="00E5481C">
        <w:rPr>
          <w:lang w:val="es-ES"/>
        </w:rPr>
        <w:t xml:space="preserve">Sigue el Anexo </w:t>
      </w:r>
      <w:r w:rsidRPr="0036468B">
        <w:rPr>
          <w:lang w:val="es-ES"/>
        </w:rPr>
        <w:t>II]</w:t>
      </w:r>
    </w:p>
    <w:p w14:paraId="46426F91" w14:textId="77777777" w:rsidR="005C7CCD" w:rsidRPr="0036468B" w:rsidRDefault="005C7CCD" w:rsidP="00561055">
      <w:pPr>
        <w:jc w:val="left"/>
        <w:rPr>
          <w:lang w:val="es-ES"/>
        </w:rPr>
      </w:pPr>
    </w:p>
    <w:p w14:paraId="672DF07A" w14:textId="77777777" w:rsidR="00561055" w:rsidRPr="0036468B" w:rsidRDefault="00561055" w:rsidP="00561055">
      <w:pPr>
        <w:jc w:val="left"/>
        <w:rPr>
          <w:lang w:val="es-ES"/>
        </w:rPr>
      </w:pPr>
    </w:p>
    <w:p w14:paraId="39F30A96" w14:textId="77777777" w:rsidR="00561055" w:rsidRPr="0036468B" w:rsidRDefault="00561055" w:rsidP="00561055">
      <w:pPr>
        <w:jc w:val="left"/>
        <w:rPr>
          <w:lang w:val="es-ES"/>
        </w:rPr>
        <w:sectPr w:rsidR="00561055" w:rsidRPr="0036468B" w:rsidSect="0004198B">
          <w:headerReference w:type="default" r:id="rId12"/>
          <w:headerReference w:type="first" r:id="rId13"/>
          <w:pgSz w:w="11907" w:h="16840" w:code="9"/>
          <w:pgMar w:top="510" w:right="1134" w:bottom="1134" w:left="1134" w:header="510" w:footer="680" w:gutter="0"/>
          <w:pgNumType w:start="1"/>
          <w:cols w:space="720"/>
          <w:titlePg/>
        </w:sectPr>
      </w:pPr>
    </w:p>
    <w:p w14:paraId="7D92D18A" w14:textId="77777777" w:rsidR="00E5481C" w:rsidRPr="005F086E" w:rsidRDefault="00E5481C" w:rsidP="00E5481C">
      <w:pPr>
        <w:jc w:val="center"/>
        <w:rPr>
          <w:b/>
          <w:bCs/>
          <w:lang w:val="es-ES"/>
        </w:rPr>
      </w:pPr>
      <w:bookmarkStart w:id="4" w:name="_Hlk172119356"/>
      <w:r w:rsidRPr="005F086E">
        <w:rPr>
          <w:rFonts w:cs="Arial"/>
          <w:lang w:val="es-ES"/>
        </w:rPr>
        <w:lastRenderedPageBreak/>
        <w:t xml:space="preserve">MANDATO DEL </w:t>
      </w:r>
      <w:r w:rsidRPr="005F086E">
        <w:rPr>
          <w:lang w:val="es-ES"/>
        </w:rPr>
        <w:t>ESTUDIO SOBRE EL "ALCANCE DEL DERECHO DE OBTENTOR" Y LA RELACIÓN CON EL "AGOTAMIENTO DEL DERECHO DE OBTENTOR"</w:t>
      </w:r>
    </w:p>
    <w:bookmarkEnd w:id="4"/>
    <w:p w14:paraId="598729B9" w14:textId="03E9ED6C" w:rsidR="00561055" w:rsidRPr="0036468B" w:rsidRDefault="00BE33F3" w:rsidP="00D3593A">
      <w:pPr>
        <w:jc w:val="center"/>
        <w:rPr>
          <w:i/>
          <w:iCs/>
          <w:lang w:val="es-ES"/>
        </w:rPr>
      </w:pPr>
      <w:r w:rsidRPr="0036468B">
        <w:rPr>
          <w:i/>
          <w:iCs/>
          <w:lang w:val="es-ES"/>
        </w:rPr>
        <w:t>aprobado por el WG-HRV en su sexta reunión y modificado por la Circular E-25/053</w:t>
      </w:r>
    </w:p>
    <w:p w14:paraId="3158968B" w14:textId="77777777" w:rsidR="00561055" w:rsidRPr="0036468B" w:rsidRDefault="00561055" w:rsidP="00561055">
      <w:pPr>
        <w:jc w:val="left"/>
        <w:rPr>
          <w:lang w:val="es-ES"/>
        </w:rPr>
      </w:pPr>
    </w:p>
    <w:p w14:paraId="23CAA0BC" w14:textId="77777777" w:rsidR="00E5481C" w:rsidRDefault="00E5481C" w:rsidP="00E5481C">
      <w:pPr>
        <w:pStyle w:val="Heading1"/>
      </w:pPr>
      <w:r>
        <w:t>ALCANCE:</w:t>
      </w:r>
    </w:p>
    <w:p w14:paraId="2F8507F1" w14:textId="77777777" w:rsidR="00E5481C" w:rsidRDefault="00E5481C" w:rsidP="00E5481C">
      <w:pPr>
        <w:jc w:val="left"/>
      </w:pPr>
    </w:p>
    <w:p w14:paraId="1D8E7282" w14:textId="77777777" w:rsidR="00E5481C" w:rsidRDefault="00E5481C" w:rsidP="00E5481C">
      <w:pPr>
        <w:widowControl w:val="0"/>
        <w:tabs>
          <w:tab w:val="left" w:pos="762"/>
        </w:tabs>
        <w:autoSpaceDE w:val="0"/>
        <w:autoSpaceDN w:val="0"/>
        <w:rPr>
          <w:color w:val="262626"/>
        </w:rPr>
      </w:pPr>
      <w:r w:rsidRPr="003338C4">
        <w:rPr>
          <w:color w:val="262626"/>
        </w:rPr>
        <w:t>El estudio incluirá</w:t>
      </w:r>
      <w:r>
        <w:rPr>
          <w:color w:val="262626"/>
        </w:rPr>
        <w:t>:</w:t>
      </w:r>
    </w:p>
    <w:p w14:paraId="7CCBA36A" w14:textId="77777777" w:rsidR="00E5481C" w:rsidRPr="003338C4" w:rsidRDefault="00E5481C" w:rsidP="00E5481C">
      <w:pPr>
        <w:widowControl w:val="0"/>
        <w:tabs>
          <w:tab w:val="left" w:pos="762"/>
        </w:tabs>
        <w:autoSpaceDE w:val="0"/>
        <w:autoSpaceDN w:val="0"/>
        <w:rPr>
          <w:color w:val="262626"/>
        </w:rPr>
      </w:pPr>
    </w:p>
    <w:p w14:paraId="2B491092" w14:textId="77777777" w:rsidR="00E5481C" w:rsidRPr="005F086E" w:rsidRDefault="00E5481C" w:rsidP="00E5481C">
      <w:pPr>
        <w:pStyle w:val="ListParagraph"/>
        <w:widowControl w:val="0"/>
        <w:numPr>
          <w:ilvl w:val="0"/>
          <w:numId w:val="1"/>
        </w:numPr>
        <w:tabs>
          <w:tab w:val="left" w:pos="762"/>
        </w:tabs>
        <w:autoSpaceDE w:val="0"/>
        <w:autoSpaceDN w:val="0"/>
        <w:rPr>
          <w:color w:val="262626"/>
          <w:lang w:val="es-ES"/>
        </w:rPr>
      </w:pPr>
      <w:r w:rsidRPr="005F086E">
        <w:rPr>
          <w:color w:val="262626"/>
          <w:lang w:val="es-ES"/>
        </w:rPr>
        <w:t xml:space="preserve">una </w:t>
      </w:r>
      <w:r w:rsidRPr="005F086E">
        <w:rPr>
          <w:color w:val="262626"/>
          <w:u w:val="single"/>
          <w:lang w:val="es-ES"/>
        </w:rPr>
        <w:t xml:space="preserve">primera parte </w:t>
      </w:r>
      <w:r w:rsidRPr="005F086E">
        <w:rPr>
          <w:color w:val="262626"/>
          <w:lang w:val="es-ES"/>
        </w:rPr>
        <w:t xml:space="preserve">con un análisis de </w:t>
      </w:r>
      <w:r w:rsidRPr="005F086E">
        <w:rPr>
          <w:color w:val="161616"/>
          <w:lang w:val="es-ES"/>
        </w:rPr>
        <w:t xml:space="preserve">las intenciones </w:t>
      </w:r>
      <w:r w:rsidRPr="005F086E">
        <w:rPr>
          <w:color w:val="262626"/>
          <w:lang w:val="es-ES"/>
        </w:rPr>
        <w:t xml:space="preserve">de los redactores </w:t>
      </w:r>
      <w:r w:rsidRPr="005F086E">
        <w:rPr>
          <w:color w:val="161616"/>
          <w:lang w:val="es-ES"/>
        </w:rPr>
        <w:t xml:space="preserve">del Acta de 1991 del Convenio de la UPOV </w:t>
      </w:r>
      <w:r w:rsidRPr="005F086E">
        <w:rPr>
          <w:color w:val="262626"/>
          <w:lang w:val="es-ES"/>
        </w:rPr>
        <w:t xml:space="preserve">en </w:t>
      </w:r>
      <w:r w:rsidRPr="005F086E">
        <w:rPr>
          <w:color w:val="161616"/>
          <w:lang w:val="es-ES"/>
        </w:rPr>
        <w:t xml:space="preserve">relación con </w:t>
      </w:r>
      <w:r w:rsidRPr="005F086E">
        <w:rPr>
          <w:color w:val="262626"/>
          <w:lang w:val="es-ES"/>
        </w:rPr>
        <w:t>el "Alcance del derecho de obtentor" en el artículo 14.1) y 2) del Acta de 1991, incluidas las nociones de "uso no autorizado" y "oportunidad razonable" y la relación con el "Agotamiento del derecho de obtentor" en el artículo 16 del Acta de 1991; y</w:t>
      </w:r>
    </w:p>
    <w:p w14:paraId="2D0D7CA5" w14:textId="77777777" w:rsidR="00E5481C" w:rsidRPr="005F086E" w:rsidRDefault="00E5481C" w:rsidP="00E5481C">
      <w:pPr>
        <w:pStyle w:val="ListParagraph"/>
        <w:widowControl w:val="0"/>
        <w:tabs>
          <w:tab w:val="left" w:pos="762"/>
        </w:tabs>
        <w:autoSpaceDE w:val="0"/>
        <w:autoSpaceDN w:val="0"/>
        <w:rPr>
          <w:color w:val="262626"/>
          <w:lang w:val="es-ES"/>
        </w:rPr>
      </w:pPr>
    </w:p>
    <w:p w14:paraId="797383FB" w14:textId="77777777" w:rsidR="00E5481C" w:rsidRPr="005F086E" w:rsidRDefault="00E5481C" w:rsidP="00E5481C">
      <w:pPr>
        <w:pStyle w:val="ListParagraph"/>
        <w:widowControl w:val="0"/>
        <w:numPr>
          <w:ilvl w:val="0"/>
          <w:numId w:val="1"/>
        </w:numPr>
        <w:tabs>
          <w:tab w:val="left" w:pos="762"/>
        </w:tabs>
        <w:autoSpaceDE w:val="0"/>
        <w:autoSpaceDN w:val="0"/>
        <w:rPr>
          <w:color w:val="343434"/>
          <w:lang w:val="es-ES"/>
        </w:rPr>
      </w:pPr>
      <w:r w:rsidRPr="005F086E">
        <w:rPr>
          <w:color w:val="262626"/>
          <w:lang w:val="es-ES"/>
        </w:rPr>
        <w:t xml:space="preserve">una </w:t>
      </w:r>
      <w:r w:rsidRPr="005F086E">
        <w:rPr>
          <w:color w:val="343434"/>
          <w:u w:val="single"/>
          <w:lang w:val="es-ES"/>
        </w:rPr>
        <w:t xml:space="preserve">segunda </w:t>
      </w:r>
      <w:r w:rsidRPr="005F086E">
        <w:rPr>
          <w:color w:val="262626"/>
          <w:u w:val="single"/>
          <w:lang w:val="es-ES"/>
        </w:rPr>
        <w:t xml:space="preserve">parte </w:t>
      </w:r>
      <w:r w:rsidRPr="005F086E">
        <w:rPr>
          <w:color w:val="262626"/>
          <w:lang w:val="es-ES"/>
        </w:rPr>
        <w:t xml:space="preserve">con </w:t>
      </w:r>
      <w:r w:rsidRPr="005F086E">
        <w:rPr>
          <w:color w:val="161616"/>
          <w:lang w:val="es-ES"/>
        </w:rPr>
        <w:t xml:space="preserve">resúmenes </w:t>
      </w:r>
      <w:r w:rsidRPr="005F086E">
        <w:rPr>
          <w:color w:val="343434"/>
          <w:lang w:val="es-ES"/>
        </w:rPr>
        <w:t xml:space="preserve">de casos </w:t>
      </w:r>
      <w:r w:rsidRPr="005F086E">
        <w:rPr>
          <w:color w:val="262626"/>
          <w:lang w:val="es-ES"/>
        </w:rPr>
        <w:t xml:space="preserve">judiciales relevantes </w:t>
      </w:r>
      <w:r w:rsidRPr="005F086E">
        <w:rPr>
          <w:color w:val="343434"/>
          <w:lang w:val="es-ES"/>
        </w:rPr>
        <w:t xml:space="preserve">de miembros de la UPOV vinculados </w:t>
      </w:r>
      <w:r w:rsidRPr="005F086E">
        <w:rPr>
          <w:color w:val="343434"/>
          <w:lang w:val="es-ES"/>
        </w:rPr>
        <w:br/>
        <w:t>por el Acta de 1991.</w:t>
      </w:r>
    </w:p>
    <w:p w14:paraId="5F9B1D4E" w14:textId="77777777" w:rsidR="00E5481C" w:rsidRPr="005F086E" w:rsidRDefault="00E5481C" w:rsidP="00E5481C">
      <w:pPr>
        <w:widowControl w:val="0"/>
        <w:tabs>
          <w:tab w:val="left" w:pos="762"/>
        </w:tabs>
        <w:autoSpaceDE w:val="0"/>
        <w:autoSpaceDN w:val="0"/>
        <w:rPr>
          <w:color w:val="262626"/>
          <w:lang w:val="es-ES"/>
        </w:rPr>
      </w:pPr>
    </w:p>
    <w:p w14:paraId="5CC0338B" w14:textId="77777777" w:rsidR="00E5481C" w:rsidRPr="005F086E" w:rsidRDefault="00E5481C" w:rsidP="00E5481C">
      <w:pPr>
        <w:widowControl w:val="0"/>
        <w:tabs>
          <w:tab w:val="left" w:pos="762"/>
        </w:tabs>
        <w:autoSpaceDE w:val="0"/>
        <w:autoSpaceDN w:val="0"/>
        <w:rPr>
          <w:color w:val="262626"/>
          <w:lang w:val="es-ES"/>
        </w:rPr>
      </w:pPr>
    </w:p>
    <w:p w14:paraId="54863F26" w14:textId="77777777" w:rsidR="00E5481C" w:rsidRPr="005F086E" w:rsidRDefault="00E5481C" w:rsidP="00E5481C">
      <w:pPr>
        <w:pStyle w:val="Heading1"/>
        <w:rPr>
          <w:lang w:val="es-ES"/>
        </w:rPr>
      </w:pPr>
      <w:bookmarkStart w:id="5" w:name="_Toc172119299"/>
      <w:bookmarkStart w:id="6" w:name="_Toc172119336"/>
      <w:r w:rsidRPr="005F086E">
        <w:rPr>
          <w:lang w:val="es-ES"/>
        </w:rPr>
        <w:t>COMPOSICIÓN:</w:t>
      </w:r>
      <w:bookmarkEnd w:id="5"/>
      <w:bookmarkEnd w:id="6"/>
    </w:p>
    <w:p w14:paraId="3D3184F9" w14:textId="77777777" w:rsidR="00E5481C" w:rsidRPr="005F086E" w:rsidRDefault="00E5481C" w:rsidP="00E5481C">
      <w:pPr>
        <w:widowControl w:val="0"/>
        <w:tabs>
          <w:tab w:val="left" w:pos="762"/>
        </w:tabs>
        <w:autoSpaceDE w:val="0"/>
        <w:autoSpaceDN w:val="0"/>
        <w:ind w:right="113"/>
        <w:rPr>
          <w:color w:val="262626"/>
          <w:lang w:val="es-ES"/>
        </w:rPr>
      </w:pPr>
    </w:p>
    <w:p w14:paraId="2FC71B13" w14:textId="77777777" w:rsidR="00E5481C" w:rsidRPr="005F086E" w:rsidRDefault="00E5481C" w:rsidP="00E5481C">
      <w:pPr>
        <w:rPr>
          <w:lang w:val="es-ES"/>
        </w:rPr>
      </w:pPr>
      <w:r w:rsidRPr="005F086E">
        <w:rPr>
          <w:lang w:val="es-ES"/>
        </w:rPr>
        <w:t>El estudio debe ser realizado por los cinco autores que se mencionan a continuación. Los autores deberán ponerse de acuerdo sobre uno de ellos para que coordine su trabajo.</w:t>
      </w:r>
    </w:p>
    <w:p w14:paraId="046680D9" w14:textId="77777777" w:rsidR="00E5481C" w:rsidRPr="005F086E" w:rsidRDefault="00E5481C" w:rsidP="00E5481C">
      <w:pPr>
        <w:rPr>
          <w:lang w:val="es-ES"/>
        </w:rPr>
      </w:pPr>
    </w:p>
    <w:p w14:paraId="6B69A93F" w14:textId="77777777" w:rsidR="00E5481C" w:rsidRPr="005F086E" w:rsidRDefault="00E5481C" w:rsidP="00E5481C">
      <w:pPr>
        <w:rPr>
          <w:lang w:val="es-ES"/>
        </w:rPr>
      </w:pPr>
      <w:r w:rsidRPr="005F086E">
        <w:rPr>
          <w:lang w:val="es-ES"/>
        </w:rPr>
        <w:t xml:space="preserve">La lengua de trabajo de los autores debe ser el inglés y el estudio debe redactarse en inglés. </w:t>
      </w:r>
    </w:p>
    <w:p w14:paraId="4F8EBA5D" w14:textId="77777777" w:rsidR="00E5481C" w:rsidRPr="005F086E" w:rsidRDefault="00E5481C" w:rsidP="00E5481C">
      <w:pPr>
        <w:jc w:val="left"/>
        <w:rPr>
          <w:spacing w:val="-2"/>
          <w:lang w:val="es-ES"/>
        </w:rPr>
      </w:pPr>
    </w:p>
    <w:tbl>
      <w:tblPr>
        <w:tblStyle w:val="TableGrid"/>
        <w:tblW w:w="3145" w:type="dxa"/>
        <w:jc w:val="center"/>
        <w:tblInd w:w="0" w:type="dxa"/>
        <w:tblLook w:val="04A0" w:firstRow="1" w:lastRow="0" w:firstColumn="1" w:lastColumn="0" w:noHBand="0" w:noVBand="1"/>
      </w:tblPr>
      <w:tblGrid>
        <w:gridCol w:w="3145"/>
      </w:tblGrid>
      <w:tr w:rsidR="00E5481C" w:rsidRPr="00E02B4F" w14:paraId="0D707443"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hideMark/>
          </w:tcPr>
          <w:p w14:paraId="319071F4" w14:textId="77777777" w:rsidR="00E5481C" w:rsidRDefault="00E5481C" w:rsidP="00A66492">
            <w:pPr>
              <w:jc w:val="left"/>
              <w:rPr>
                <w:b/>
                <w:bCs/>
                <w:spacing w:val="-2"/>
              </w:rPr>
            </w:pPr>
            <w:r w:rsidRPr="00073978">
              <w:rPr>
                <w:b/>
                <w:bCs/>
                <w:spacing w:val="-2"/>
              </w:rPr>
              <w:t>Expertos (orden alfabético)</w:t>
            </w:r>
          </w:p>
        </w:tc>
      </w:tr>
      <w:tr w:rsidR="00E5481C" w:rsidRPr="00E02B4F" w14:paraId="71496226"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tcPr>
          <w:p w14:paraId="2E28E0EB" w14:textId="77777777" w:rsidR="00E5481C" w:rsidRDefault="00E5481C" w:rsidP="00A66492">
            <w:pPr>
              <w:jc w:val="left"/>
              <w:rPr>
                <w:spacing w:val="-2"/>
              </w:rPr>
            </w:pPr>
            <w:r w:rsidRPr="00073E6C">
              <w:rPr>
                <w:spacing w:val="-2"/>
              </w:rPr>
              <w:t>Sr</w:t>
            </w:r>
            <w:r>
              <w:rPr>
                <w:spacing w:val="-2"/>
              </w:rPr>
              <w:t xml:space="preserve">. </w:t>
            </w:r>
            <w:r w:rsidRPr="00073E6C">
              <w:rPr>
                <w:spacing w:val="-2"/>
              </w:rPr>
              <w:t>Huib Ghijsen</w:t>
            </w:r>
          </w:p>
        </w:tc>
      </w:tr>
      <w:tr w:rsidR="00E5481C" w:rsidRPr="00E02B4F" w14:paraId="71142A52"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tcPr>
          <w:p w14:paraId="27473049" w14:textId="77777777" w:rsidR="00E5481C" w:rsidRDefault="00E5481C" w:rsidP="00A66492">
            <w:pPr>
              <w:jc w:val="left"/>
              <w:rPr>
                <w:spacing w:val="-2"/>
              </w:rPr>
            </w:pPr>
            <w:r w:rsidRPr="00073E6C">
              <w:rPr>
                <w:spacing w:val="-2"/>
                <w:lang w:val="es-ES_tradnl"/>
              </w:rPr>
              <w:t>Sra. Vivianne Kunisawa</w:t>
            </w:r>
          </w:p>
        </w:tc>
      </w:tr>
      <w:tr w:rsidR="00E5481C" w:rsidRPr="00E02B4F" w14:paraId="3593C682"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hideMark/>
          </w:tcPr>
          <w:p w14:paraId="2DA888C5" w14:textId="77777777" w:rsidR="00E5481C" w:rsidRDefault="00E5481C" w:rsidP="00A66492">
            <w:pPr>
              <w:jc w:val="left"/>
              <w:rPr>
                <w:spacing w:val="-2"/>
              </w:rPr>
            </w:pPr>
            <w:r w:rsidRPr="00073E6C">
              <w:rPr>
                <w:spacing w:val="-2"/>
              </w:rPr>
              <w:t>Sr</w:t>
            </w:r>
            <w:r>
              <w:rPr>
                <w:spacing w:val="-2"/>
              </w:rPr>
              <w:t xml:space="preserve">. </w:t>
            </w:r>
            <w:r w:rsidRPr="00073E6C">
              <w:rPr>
                <w:spacing w:val="-2"/>
              </w:rPr>
              <w:t>Charles Lawson</w:t>
            </w:r>
          </w:p>
        </w:tc>
      </w:tr>
      <w:tr w:rsidR="00E5481C" w:rsidRPr="00E02B4F" w14:paraId="245EEED8"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tcPr>
          <w:p w14:paraId="01333402" w14:textId="77777777" w:rsidR="00E5481C" w:rsidRDefault="00E5481C" w:rsidP="00A66492">
            <w:pPr>
              <w:jc w:val="left"/>
              <w:rPr>
                <w:spacing w:val="-2"/>
              </w:rPr>
            </w:pPr>
            <w:r w:rsidRPr="00073E6C">
              <w:rPr>
                <w:spacing w:val="-2"/>
              </w:rPr>
              <w:t>Sr</w:t>
            </w:r>
            <w:r>
              <w:rPr>
                <w:spacing w:val="-2"/>
              </w:rPr>
              <w:t xml:space="preserve">. </w:t>
            </w:r>
            <w:r w:rsidRPr="00073E6C">
              <w:rPr>
                <w:spacing w:val="-2"/>
              </w:rPr>
              <w:t>Axel Metzger</w:t>
            </w:r>
          </w:p>
        </w:tc>
      </w:tr>
      <w:tr w:rsidR="00E5481C" w:rsidRPr="00E02B4F" w14:paraId="64AAE5AD"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hideMark/>
          </w:tcPr>
          <w:p w14:paraId="68FD9E32" w14:textId="77777777" w:rsidR="00E5481C" w:rsidRDefault="00E5481C" w:rsidP="00A66492">
            <w:pPr>
              <w:jc w:val="left"/>
              <w:rPr>
                <w:spacing w:val="-2"/>
                <w:lang w:val="es-ES_tradnl"/>
              </w:rPr>
            </w:pPr>
            <w:r>
              <w:rPr>
                <w:spacing w:val="-2"/>
              </w:rPr>
              <w:t xml:space="preserve">Sr. </w:t>
            </w:r>
            <w:r w:rsidRPr="00073E6C">
              <w:rPr>
                <w:spacing w:val="-2"/>
              </w:rPr>
              <w:t>Joseph Straus</w:t>
            </w:r>
          </w:p>
        </w:tc>
      </w:tr>
    </w:tbl>
    <w:p w14:paraId="0B3A0999" w14:textId="77777777" w:rsidR="00E5481C" w:rsidRDefault="00E5481C" w:rsidP="00E5481C">
      <w:pPr>
        <w:widowControl w:val="0"/>
        <w:tabs>
          <w:tab w:val="left" w:pos="762"/>
        </w:tabs>
        <w:autoSpaceDE w:val="0"/>
        <w:autoSpaceDN w:val="0"/>
        <w:jc w:val="left"/>
        <w:rPr>
          <w:color w:val="262626"/>
        </w:rPr>
      </w:pPr>
    </w:p>
    <w:p w14:paraId="4C8EEDB3" w14:textId="77777777" w:rsidR="00E5481C" w:rsidRDefault="00E5481C" w:rsidP="00E5481C">
      <w:pPr>
        <w:rPr>
          <w:color w:val="262626"/>
        </w:rPr>
      </w:pPr>
    </w:p>
    <w:p w14:paraId="2241D1EF" w14:textId="77777777" w:rsidR="00E5481C" w:rsidRDefault="00E5481C" w:rsidP="00E5481C">
      <w:pPr>
        <w:widowControl w:val="0"/>
        <w:tabs>
          <w:tab w:val="left" w:pos="762"/>
        </w:tabs>
        <w:autoSpaceDE w:val="0"/>
        <w:autoSpaceDN w:val="0"/>
        <w:rPr>
          <w:caps/>
        </w:rPr>
      </w:pPr>
      <w:r w:rsidRPr="007F0F7A">
        <w:rPr>
          <w:caps/>
        </w:rPr>
        <w:t>MODUS OPERANDI:</w:t>
      </w:r>
    </w:p>
    <w:p w14:paraId="521F727F" w14:textId="77777777" w:rsidR="00E5481C" w:rsidRDefault="00E5481C" w:rsidP="00E5481C">
      <w:pPr>
        <w:widowControl w:val="0"/>
        <w:tabs>
          <w:tab w:val="left" w:pos="762"/>
        </w:tabs>
        <w:autoSpaceDE w:val="0"/>
        <w:autoSpaceDN w:val="0"/>
        <w:rPr>
          <w:color w:val="262626"/>
        </w:rPr>
      </w:pPr>
    </w:p>
    <w:p w14:paraId="1B786694" w14:textId="77777777" w:rsidR="00E5481C" w:rsidRDefault="00E5481C" w:rsidP="00E5481C">
      <w:pPr>
        <w:pStyle w:val="Heading2"/>
      </w:pPr>
      <w:bookmarkStart w:id="7" w:name="_Toc172119300"/>
      <w:bookmarkStart w:id="8" w:name="_Toc172119337"/>
      <w:r w:rsidRPr="007F0F7A">
        <w:t xml:space="preserve">Independencia: </w:t>
      </w:r>
      <w:bookmarkEnd w:id="7"/>
      <w:bookmarkEnd w:id="8"/>
    </w:p>
    <w:p w14:paraId="7503F994" w14:textId="77777777" w:rsidR="00E5481C" w:rsidRPr="003338C4" w:rsidRDefault="00E5481C" w:rsidP="00E5481C"/>
    <w:p w14:paraId="348A9D59" w14:textId="77777777" w:rsidR="00E5481C" w:rsidRPr="005F086E" w:rsidRDefault="00E5481C" w:rsidP="00E5481C">
      <w:pPr>
        <w:widowControl w:val="0"/>
        <w:tabs>
          <w:tab w:val="left" w:pos="762"/>
        </w:tabs>
        <w:autoSpaceDE w:val="0"/>
        <w:autoSpaceDN w:val="0"/>
        <w:rPr>
          <w:lang w:val="es-ES"/>
        </w:rPr>
      </w:pPr>
      <w:r w:rsidRPr="005F086E">
        <w:rPr>
          <w:color w:val="262626"/>
          <w:lang w:val="es-ES"/>
        </w:rPr>
        <w:t xml:space="preserve">Los autores son independientes en la redacción del estudio, en el </w:t>
      </w:r>
      <w:r w:rsidRPr="005F086E">
        <w:rPr>
          <w:lang w:val="es-ES"/>
        </w:rPr>
        <w:t xml:space="preserve">sentido de que no deben recibir instrucciones individuales de nadie y de que deben ser imparciales y objetivos. </w:t>
      </w:r>
    </w:p>
    <w:p w14:paraId="44C33F77" w14:textId="77777777" w:rsidR="00E5481C" w:rsidRPr="005F086E" w:rsidRDefault="00E5481C" w:rsidP="00E5481C">
      <w:pPr>
        <w:widowControl w:val="0"/>
        <w:tabs>
          <w:tab w:val="left" w:pos="762"/>
        </w:tabs>
        <w:autoSpaceDE w:val="0"/>
        <w:autoSpaceDN w:val="0"/>
        <w:rPr>
          <w:lang w:val="es-ES"/>
        </w:rPr>
      </w:pPr>
    </w:p>
    <w:p w14:paraId="116693CC" w14:textId="77777777" w:rsidR="00E5481C" w:rsidRPr="005F086E" w:rsidRDefault="00E5481C" w:rsidP="00E5481C">
      <w:pPr>
        <w:widowControl w:val="0"/>
        <w:tabs>
          <w:tab w:val="left" w:pos="762"/>
        </w:tabs>
        <w:autoSpaceDE w:val="0"/>
        <w:autoSpaceDN w:val="0"/>
        <w:rPr>
          <w:color w:val="262626"/>
          <w:lang w:val="es-ES"/>
        </w:rPr>
      </w:pPr>
      <w:r w:rsidRPr="005F086E">
        <w:rPr>
          <w:lang w:val="es-ES"/>
        </w:rPr>
        <w:t>Los cinco autores deberán redactar un estudio y seguir un método de trabajo colaborativo que se ajuste a las normas académicas. Siguiendo dichas normas, los autores deberán gestionar las posibles diferentes perspectivas o análisis y, en su caso, cómo deben reflejarse dichas cuestiones en el estudio.</w:t>
      </w:r>
    </w:p>
    <w:p w14:paraId="2740AB3D" w14:textId="77777777" w:rsidR="00E5481C" w:rsidRPr="005F086E" w:rsidRDefault="00E5481C" w:rsidP="00E5481C">
      <w:pPr>
        <w:widowControl w:val="0"/>
        <w:tabs>
          <w:tab w:val="left" w:pos="762"/>
        </w:tabs>
        <w:autoSpaceDE w:val="0"/>
        <w:autoSpaceDN w:val="0"/>
        <w:rPr>
          <w:color w:val="262626"/>
          <w:lang w:val="es-ES"/>
        </w:rPr>
      </w:pPr>
    </w:p>
    <w:p w14:paraId="76F60A7D" w14:textId="77777777" w:rsidR="00E5481C" w:rsidRPr="005F086E" w:rsidRDefault="00E5481C" w:rsidP="00E5481C">
      <w:pPr>
        <w:widowControl w:val="0"/>
        <w:tabs>
          <w:tab w:val="left" w:pos="762"/>
        </w:tabs>
        <w:autoSpaceDE w:val="0"/>
        <w:autoSpaceDN w:val="0"/>
        <w:rPr>
          <w:color w:val="262626"/>
          <w:lang w:val="es-ES"/>
        </w:rPr>
      </w:pPr>
      <w:r w:rsidRPr="005F086E">
        <w:rPr>
          <w:color w:val="262626"/>
          <w:lang w:val="es-ES"/>
        </w:rPr>
        <w:t xml:space="preserve">Una vez recibido el estudio, corresponde al WG-HRV considerar un posible seguimiento y solicitar más orientaciones al CAJ, según proceda. </w:t>
      </w:r>
    </w:p>
    <w:p w14:paraId="57FD5A9D" w14:textId="77777777" w:rsidR="00E5481C" w:rsidRPr="005F086E" w:rsidRDefault="00E5481C" w:rsidP="00E5481C">
      <w:pPr>
        <w:widowControl w:val="0"/>
        <w:tabs>
          <w:tab w:val="left" w:pos="762"/>
        </w:tabs>
        <w:autoSpaceDE w:val="0"/>
        <w:autoSpaceDN w:val="0"/>
        <w:rPr>
          <w:color w:val="262626"/>
          <w:lang w:val="es-ES"/>
        </w:rPr>
      </w:pPr>
    </w:p>
    <w:p w14:paraId="2D8A26F5" w14:textId="77777777" w:rsidR="00E5481C" w:rsidRPr="005F086E" w:rsidRDefault="00E5481C" w:rsidP="00E5481C">
      <w:pPr>
        <w:widowControl w:val="0"/>
        <w:tabs>
          <w:tab w:val="left" w:pos="762"/>
        </w:tabs>
        <w:autoSpaceDE w:val="0"/>
        <w:autoSpaceDN w:val="0"/>
        <w:rPr>
          <w:color w:val="262626"/>
          <w:lang w:val="es-ES"/>
        </w:rPr>
      </w:pPr>
      <w:r w:rsidRPr="005F086E">
        <w:rPr>
          <w:color w:val="262626"/>
          <w:lang w:val="es-ES"/>
        </w:rPr>
        <w:t>Los miembros de la UPOV no están obligados por el contenido y/o las conclusiones extraídas en el estudio.</w:t>
      </w:r>
    </w:p>
    <w:p w14:paraId="2B6EB15F" w14:textId="77777777" w:rsidR="00561055" w:rsidRPr="0036468B" w:rsidRDefault="00561055" w:rsidP="00561055">
      <w:pPr>
        <w:widowControl w:val="0"/>
        <w:tabs>
          <w:tab w:val="left" w:pos="762"/>
        </w:tabs>
        <w:autoSpaceDE w:val="0"/>
        <w:autoSpaceDN w:val="0"/>
        <w:rPr>
          <w:color w:val="262626"/>
          <w:lang w:val="es-ES"/>
        </w:rPr>
      </w:pPr>
    </w:p>
    <w:p w14:paraId="50974BBF" w14:textId="77777777" w:rsidR="00561055" w:rsidRPr="0036468B" w:rsidRDefault="00561055" w:rsidP="00561055">
      <w:pPr>
        <w:pStyle w:val="Heading2"/>
        <w:rPr>
          <w:lang w:val="es-ES"/>
        </w:rPr>
      </w:pPr>
      <w:bookmarkStart w:id="9" w:name="_Toc172119301"/>
      <w:bookmarkStart w:id="10" w:name="_Toc172119338"/>
      <w:r w:rsidRPr="0036468B">
        <w:rPr>
          <w:lang w:val="es-ES"/>
        </w:rPr>
        <w:t>Calendario:</w:t>
      </w:r>
      <w:bookmarkEnd w:id="9"/>
      <w:bookmarkEnd w:id="10"/>
    </w:p>
    <w:p w14:paraId="5741CE1B" w14:textId="77777777" w:rsidR="00561055" w:rsidRPr="0036468B" w:rsidRDefault="00561055" w:rsidP="00561055">
      <w:pPr>
        <w:widowControl w:val="0"/>
        <w:tabs>
          <w:tab w:val="left" w:pos="762"/>
        </w:tabs>
        <w:autoSpaceDE w:val="0"/>
        <w:autoSpaceDN w:val="0"/>
        <w:rPr>
          <w:color w:val="161616"/>
          <w:lang w:val="es-ES"/>
        </w:rPr>
      </w:pPr>
    </w:p>
    <w:p w14:paraId="128CB4FB" w14:textId="49DC143E" w:rsidR="00561055" w:rsidRPr="0036468B" w:rsidRDefault="00561055" w:rsidP="00561055">
      <w:pPr>
        <w:widowControl w:val="0"/>
        <w:tabs>
          <w:tab w:val="left" w:pos="762"/>
        </w:tabs>
        <w:autoSpaceDE w:val="0"/>
        <w:autoSpaceDN w:val="0"/>
        <w:rPr>
          <w:rFonts w:cs="Arial"/>
          <w:lang w:val="es-ES"/>
        </w:rPr>
      </w:pPr>
      <w:bookmarkStart w:id="11" w:name="_Hlk209533393"/>
      <w:r w:rsidRPr="0036468B">
        <w:rPr>
          <w:rFonts w:cs="Arial"/>
          <w:lang w:val="es-ES"/>
        </w:rPr>
        <w:t>Se pedirá a los autores que entreguen el borrador del estudio a más tardar el</w:t>
      </w:r>
      <w:r w:rsidR="00BE33F3" w:rsidRPr="0036468B">
        <w:rPr>
          <w:rFonts w:cs="Arial"/>
          <w:lang w:val="es-ES"/>
        </w:rPr>
        <w:t xml:space="preserve"> 1 </w:t>
      </w:r>
      <w:r w:rsidRPr="0036468B">
        <w:rPr>
          <w:rFonts w:cs="Arial"/>
          <w:lang w:val="es-ES"/>
        </w:rPr>
        <w:t>de</w:t>
      </w:r>
      <w:r w:rsidR="00BE33F3" w:rsidRPr="0036468B">
        <w:rPr>
          <w:rFonts w:cs="Arial"/>
          <w:lang w:val="es-ES"/>
        </w:rPr>
        <w:t xml:space="preserve"> septiembre </w:t>
      </w:r>
      <w:r w:rsidRPr="0036468B">
        <w:rPr>
          <w:rFonts w:cs="Arial"/>
          <w:lang w:val="es-ES"/>
        </w:rPr>
        <w:t xml:space="preserve">de 2025, para su examen en la </w:t>
      </w:r>
      <w:r w:rsidR="00D2328B" w:rsidRPr="0036468B">
        <w:rPr>
          <w:rFonts w:cs="Arial"/>
          <w:lang w:val="es-ES"/>
        </w:rPr>
        <w:t xml:space="preserve">octava </w:t>
      </w:r>
      <w:r w:rsidRPr="0036468B">
        <w:rPr>
          <w:rFonts w:cs="Arial"/>
          <w:lang w:val="es-ES"/>
        </w:rPr>
        <w:t xml:space="preserve">reunión del WG-HRV, </w:t>
      </w:r>
      <w:r w:rsidR="00D2328B" w:rsidRPr="0036468B">
        <w:rPr>
          <w:rFonts w:cs="Arial"/>
          <w:lang w:val="es-ES"/>
        </w:rPr>
        <w:t>el 22 de octubre de 2025</w:t>
      </w:r>
      <w:r w:rsidRPr="0036468B">
        <w:rPr>
          <w:rFonts w:cs="Arial"/>
          <w:lang w:val="es-ES"/>
        </w:rPr>
        <w:t>. La versión final del estudio deberá entregarse a más tardar el</w:t>
      </w:r>
      <w:r w:rsidR="00BE33F3" w:rsidRPr="0036468B">
        <w:rPr>
          <w:rFonts w:cs="Arial"/>
          <w:lang w:val="es-ES"/>
        </w:rPr>
        <w:t xml:space="preserve"> 15 </w:t>
      </w:r>
      <w:r w:rsidRPr="0036468B">
        <w:rPr>
          <w:rFonts w:cs="Arial"/>
          <w:lang w:val="es-ES"/>
        </w:rPr>
        <w:t>de</w:t>
      </w:r>
      <w:r w:rsidR="00BE33F3" w:rsidRPr="0036468B">
        <w:rPr>
          <w:rFonts w:cs="Arial"/>
          <w:lang w:val="es-ES"/>
        </w:rPr>
        <w:t xml:space="preserve"> diciembre </w:t>
      </w:r>
      <w:r w:rsidRPr="0036468B">
        <w:rPr>
          <w:rFonts w:cs="Arial"/>
          <w:lang w:val="es-ES"/>
        </w:rPr>
        <w:t>de 2025.</w:t>
      </w:r>
    </w:p>
    <w:bookmarkEnd w:id="11"/>
    <w:p w14:paraId="3B07CC7D" w14:textId="77777777" w:rsidR="00561055" w:rsidRPr="0036468B" w:rsidRDefault="00561055" w:rsidP="00561055">
      <w:pPr>
        <w:widowControl w:val="0"/>
        <w:tabs>
          <w:tab w:val="left" w:pos="762"/>
        </w:tabs>
        <w:autoSpaceDE w:val="0"/>
        <w:autoSpaceDN w:val="0"/>
        <w:rPr>
          <w:rFonts w:cs="Arial"/>
          <w:lang w:val="es-ES"/>
        </w:rPr>
      </w:pPr>
    </w:p>
    <w:p w14:paraId="71D0B3CB" w14:textId="77777777" w:rsidR="00561055" w:rsidRPr="0036468B" w:rsidRDefault="00561055" w:rsidP="00561055">
      <w:pPr>
        <w:widowControl w:val="0"/>
        <w:tabs>
          <w:tab w:val="left" w:pos="762"/>
        </w:tabs>
        <w:autoSpaceDE w:val="0"/>
        <w:autoSpaceDN w:val="0"/>
        <w:rPr>
          <w:color w:val="161616"/>
          <w:lang w:val="es-ES"/>
        </w:rPr>
      </w:pPr>
    </w:p>
    <w:p w14:paraId="1ECD2CF7" w14:textId="77777777" w:rsidR="00E5481C" w:rsidRPr="005F086E" w:rsidRDefault="00E5481C" w:rsidP="00E5481C">
      <w:pPr>
        <w:pStyle w:val="Heading2"/>
        <w:rPr>
          <w:lang w:val="es-ES"/>
        </w:rPr>
      </w:pPr>
      <w:bookmarkStart w:id="12" w:name="_Toc172119302"/>
      <w:bookmarkStart w:id="13" w:name="_Toc172119339"/>
      <w:r w:rsidRPr="005F086E">
        <w:rPr>
          <w:lang w:val="es-ES"/>
        </w:rPr>
        <w:lastRenderedPageBreak/>
        <w:t>Apoyo financiero:</w:t>
      </w:r>
      <w:bookmarkEnd w:id="12"/>
      <w:bookmarkEnd w:id="13"/>
    </w:p>
    <w:p w14:paraId="4042BF1F" w14:textId="77777777" w:rsidR="00E5481C" w:rsidRPr="005F086E" w:rsidRDefault="00E5481C" w:rsidP="00E5481C">
      <w:pPr>
        <w:keepNext/>
        <w:jc w:val="left"/>
        <w:rPr>
          <w:lang w:val="es-ES"/>
        </w:rPr>
      </w:pPr>
    </w:p>
    <w:p w14:paraId="5BAAD55D" w14:textId="77777777" w:rsidR="00E5481C" w:rsidRPr="005F086E" w:rsidRDefault="00E5481C" w:rsidP="00E5481C">
      <w:pPr>
        <w:keepNext/>
        <w:rPr>
          <w:lang w:val="es-ES"/>
        </w:rPr>
      </w:pPr>
      <w:r w:rsidRPr="005F086E">
        <w:rPr>
          <w:lang w:val="es-ES"/>
        </w:rPr>
        <w:t xml:space="preserve">55.000 francos suizos que incluirían: </w:t>
      </w:r>
    </w:p>
    <w:p w14:paraId="43C8271A" w14:textId="77777777" w:rsidR="00E5481C" w:rsidRPr="005F086E" w:rsidRDefault="00E5481C" w:rsidP="00E5481C">
      <w:pPr>
        <w:keepNext/>
        <w:rPr>
          <w:lang w:val="es-ES"/>
        </w:rPr>
      </w:pPr>
    </w:p>
    <w:p w14:paraId="7090F3DF" w14:textId="77777777" w:rsidR="00E5481C" w:rsidRPr="005F086E" w:rsidRDefault="00E5481C" w:rsidP="00E5481C">
      <w:pPr>
        <w:keepNext/>
        <w:ind w:left="284" w:hanging="284"/>
        <w:rPr>
          <w:lang w:val="es-ES"/>
        </w:rPr>
      </w:pPr>
      <w:r w:rsidRPr="00222C58">
        <w:rPr>
          <w:rFonts w:ascii="MS Gothic" w:eastAsia="MS Gothic" w:hAnsi="MS Gothic" w:cs="MS Gothic" w:hint="eastAsia"/>
        </w:rPr>
        <w:t>・</w:t>
      </w:r>
      <w:r w:rsidRPr="005F086E">
        <w:rPr>
          <w:rFonts w:ascii="MS Gothic" w:eastAsia="MS Gothic" w:hAnsi="MS Gothic" w:cs="MS Gothic"/>
          <w:lang w:val="es-ES"/>
        </w:rPr>
        <w:tab/>
      </w:r>
      <w:r w:rsidRPr="005F086E">
        <w:rPr>
          <w:lang w:val="es-ES"/>
        </w:rPr>
        <w:t xml:space="preserve">Honorarios de 10.000 francos suizos para cada uno de los 5 autores. </w:t>
      </w:r>
    </w:p>
    <w:p w14:paraId="03E8B3A4" w14:textId="77777777" w:rsidR="00E5481C" w:rsidRPr="005F086E" w:rsidRDefault="00E5481C" w:rsidP="00E5481C">
      <w:pPr>
        <w:ind w:left="284" w:hanging="284"/>
        <w:rPr>
          <w:lang w:val="es-ES"/>
        </w:rPr>
      </w:pPr>
      <w:r w:rsidRPr="00222C58">
        <w:rPr>
          <w:rFonts w:ascii="MS Gothic" w:eastAsia="MS Gothic" w:hAnsi="MS Gothic" w:cs="MS Gothic" w:hint="eastAsia"/>
        </w:rPr>
        <w:t>・</w:t>
      </w:r>
      <w:r w:rsidRPr="005F086E">
        <w:rPr>
          <w:rFonts w:ascii="MS Gothic" w:eastAsia="MS Gothic" w:hAnsi="MS Gothic" w:cs="MS Gothic"/>
          <w:lang w:val="es-ES"/>
        </w:rPr>
        <w:tab/>
      </w:r>
      <w:r w:rsidRPr="005F086E">
        <w:rPr>
          <w:lang w:val="es-ES"/>
        </w:rPr>
        <w:t>Gastos de viaje de hasta 5.000 francos suizos en total para los 5 autores. La finalidad del viaje podría ser convocar una reunión entre los autores o sufragar el viaje para acudir a Ginebra a presentar las conclusiones del estudio o cualquier otro gasto de viaje imprevisto.</w:t>
      </w:r>
    </w:p>
    <w:p w14:paraId="11405759" w14:textId="77777777" w:rsidR="00E5481C" w:rsidRPr="005F086E" w:rsidRDefault="00E5481C" w:rsidP="00E5481C">
      <w:pPr>
        <w:rPr>
          <w:lang w:val="es-ES"/>
        </w:rPr>
      </w:pPr>
    </w:p>
    <w:p w14:paraId="6C63B0B8" w14:textId="77777777" w:rsidR="00E5481C" w:rsidRPr="005F086E" w:rsidRDefault="00E5481C" w:rsidP="00E5481C">
      <w:pPr>
        <w:rPr>
          <w:lang w:val="es-ES"/>
        </w:rPr>
      </w:pPr>
      <w:r w:rsidRPr="005F086E">
        <w:rPr>
          <w:lang w:val="es-ES"/>
        </w:rPr>
        <w:t xml:space="preserve">La estimación global del coste a repartir es la siguiente:  El presupuesto ordinario de la UPOV cubriría 30.000 francos suizos y el Acuerdo de Fondos Fiduciarios entre el Gobierno de Japón y la UPOV (JP-FIT) cubriría 25.000 francos suizos.  </w:t>
      </w:r>
    </w:p>
    <w:p w14:paraId="477F764F" w14:textId="77777777" w:rsidR="00E5481C" w:rsidRPr="00364AE9" w:rsidRDefault="00E5481C" w:rsidP="00E5481C">
      <w:pPr>
        <w:ind w:right="100"/>
        <w:jc w:val="left"/>
        <w:rPr>
          <w:lang w:val="es-ES"/>
        </w:rPr>
      </w:pPr>
    </w:p>
    <w:p w14:paraId="7FEA8B17" w14:textId="77777777" w:rsidR="00E5481C" w:rsidRPr="00364AE9" w:rsidRDefault="00E5481C" w:rsidP="00E5481C">
      <w:pPr>
        <w:ind w:right="100"/>
        <w:jc w:val="left"/>
        <w:rPr>
          <w:lang w:val="es-ES"/>
        </w:rPr>
      </w:pPr>
    </w:p>
    <w:p w14:paraId="63E6DBC0" w14:textId="77777777" w:rsidR="00E5481C" w:rsidRPr="00364AE9" w:rsidRDefault="00E5481C" w:rsidP="00E5481C">
      <w:pPr>
        <w:ind w:right="100"/>
        <w:jc w:val="left"/>
        <w:rPr>
          <w:lang w:val="es-ES"/>
        </w:rPr>
      </w:pPr>
    </w:p>
    <w:p w14:paraId="2A895242" w14:textId="6A60ED0F" w:rsidR="00E5481C" w:rsidRPr="00364AE9" w:rsidRDefault="00E5481C" w:rsidP="00E5481C">
      <w:pPr>
        <w:jc w:val="right"/>
        <w:rPr>
          <w:lang w:val="es-ES"/>
        </w:rPr>
      </w:pPr>
      <w:r w:rsidRPr="00364AE9">
        <w:rPr>
          <w:lang w:val="es-ES"/>
        </w:rPr>
        <w:t xml:space="preserve">[Fin de los </w:t>
      </w:r>
      <w:r>
        <w:rPr>
          <w:lang w:val="es-ES"/>
        </w:rPr>
        <w:t>A</w:t>
      </w:r>
      <w:r w:rsidRPr="00364AE9">
        <w:rPr>
          <w:lang w:val="es-ES"/>
        </w:rPr>
        <w:t>nexos y del documento]</w:t>
      </w:r>
    </w:p>
    <w:p w14:paraId="2AA5F3BF" w14:textId="09F889DA" w:rsidR="00561055" w:rsidRPr="0036468B" w:rsidRDefault="00561055" w:rsidP="00E5481C">
      <w:pPr>
        <w:pStyle w:val="Heading2"/>
        <w:rPr>
          <w:lang w:val="es-ES"/>
        </w:rPr>
      </w:pPr>
    </w:p>
    <w:sectPr w:rsidR="00561055" w:rsidRPr="0036468B" w:rsidSect="0004198B">
      <w:headerReference w:type="default" r:id="rId14"/>
      <w:headerReference w:type="first" r:id="rId15"/>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11B7" w14:textId="77777777" w:rsidR="00AC5977" w:rsidRDefault="00AC5977" w:rsidP="006655D3">
      <w:r>
        <w:separator/>
      </w:r>
    </w:p>
    <w:p w14:paraId="623A7052" w14:textId="77777777" w:rsidR="00AC5977" w:rsidRDefault="00AC5977" w:rsidP="006655D3"/>
    <w:p w14:paraId="76F3E7A2" w14:textId="77777777" w:rsidR="00AC5977" w:rsidRDefault="00AC5977" w:rsidP="006655D3"/>
  </w:endnote>
  <w:endnote w:type="continuationSeparator" w:id="0">
    <w:p w14:paraId="4C13042A" w14:textId="77777777" w:rsidR="00AC5977" w:rsidRDefault="00AC5977" w:rsidP="006655D3">
      <w:r>
        <w:separator/>
      </w:r>
    </w:p>
    <w:p w14:paraId="1093ABC2" w14:textId="77777777" w:rsidR="00AC5977" w:rsidRPr="0036468B" w:rsidRDefault="00AC5977">
      <w:pPr>
        <w:pStyle w:val="Footer"/>
        <w:spacing w:after="60"/>
        <w:rPr>
          <w:sz w:val="18"/>
          <w:lang w:val="es-ES"/>
        </w:rPr>
      </w:pPr>
      <w:r w:rsidRPr="0036468B">
        <w:rPr>
          <w:sz w:val="18"/>
          <w:lang w:val="es-ES"/>
        </w:rPr>
        <w:t>[Continuación de la nota de la página anterior]</w:t>
      </w:r>
    </w:p>
    <w:p w14:paraId="0C30E58E" w14:textId="77777777" w:rsidR="00AC5977" w:rsidRPr="0036468B" w:rsidRDefault="00AC5977" w:rsidP="006655D3">
      <w:pPr>
        <w:rPr>
          <w:lang w:val="es-ES"/>
        </w:rPr>
      </w:pPr>
    </w:p>
    <w:p w14:paraId="4AE33547" w14:textId="77777777" w:rsidR="00AC5977" w:rsidRPr="0036468B" w:rsidRDefault="00AC5977" w:rsidP="006655D3">
      <w:pPr>
        <w:rPr>
          <w:lang w:val="es-ES"/>
        </w:rPr>
      </w:pPr>
    </w:p>
  </w:endnote>
  <w:endnote w:type="continuationNotice" w:id="1">
    <w:p w14:paraId="057ED5FE" w14:textId="77777777" w:rsidR="00AC5977" w:rsidRPr="0036468B" w:rsidRDefault="00AC5977" w:rsidP="006655D3">
      <w:pPr>
        <w:rPr>
          <w:lang w:val="es-ES"/>
        </w:rPr>
      </w:pPr>
      <w:r w:rsidRPr="0036468B">
        <w:rPr>
          <w:lang w:val="es-ES"/>
        </w:rPr>
        <w:t>[Continuación de la nota de la página siguiente]</w:t>
      </w:r>
    </w:p>
    <w:p w14:paraId="6DE420DA" w14:textId="77777777" w:rsidR="00AC5977" w:rsidRPr="0036468B" w:rsidRDefault="00AC5977" w:rsidP="006655D3">
      <w:pPr>
        <w:rPr>
          <w:lang w:val="es-ES"/>
        </w:rPr>
      </w:pPr>
    </w:p>
    <w:p w14:paraId="63CD3225" w14:textId="77777777" w:rsidR="00AC5977" w:rsidRPr="0036468B" w:rsidRDefault="00AC5977" w:rsidP="006655D3">
      <w:pPr>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BAB5" w14:textId="77777777" w:rsidR="00AC5977" w:rsidRDefault="00AC5977" w:rsidP="006655D3">
      <w:r>
        <w:separator/>
      </w:r>
    </w:p>
  </w:footnote>
  <w:footnote w:type="continuationSeparator" w:id="0">
    <w:p w14:paraId="36480842" w14:textId="77777777" w:rsidR="00AC5977" w:rsidRDefault="00AC5977" w:rsidP="006655D3">
      <w:r>
        <w:separator/>
      </w:r>
    </w:p>
  </w:footnote>
  <w:footnote w:type="continuationNotice" w:id="1">
    <w:p w14:paraId="17E489BD" w14:textId="77777777" w:rsidR="00AC5977" w:rsidRPr="00AB530F" w:rsidRDefault="00AC5977" w:rsidP="00AB530F">
      <w:pPr>
        <w:pStyle w:val="Footer"/>
      </w:pPr>
    </w:p>
  </w:footnote>
  <w:footnote w:id="2">
    <w:p w14:paraId="66A5A0F0" w14:textId="77777777" w:rsidR="00D33FB4" w:rsidRPr="0036468B" w:rsidRDefault="00D33FB4" w:rsidP="00D33FB4">
      <w:pPr>
        <w:pStyle w:val="FootnoteText"/>
        <w:rPr>
          <w:lang w:val="es-ES"/>
        </w:rPr>
      </w:pPr>
      <w:r>
        <w:rPr>
          <w:rStyle w:val="FootnoteReference"/>
        </w:rPr>
        <w:footnoteRef/>
      </w:r>
      <w:r w:rsidRPr="0036468B">
        <w:rPr>
          <w:lang w:val="es-ES"/>
        </w:rPr>
        <w:tab/>
        <w:t>Celebrada en Ginebra el 22 de octubre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688C" w14:textId="77777777" w:rsidR="0004198B" w:rsidRPr="00C5280D" w:rsidRDefault="00F55A83" w:rsidP="00EB048E">
    <w:pPr>
      <w:pStyle w:val="Header"/>
      <w:rPr>
        <w:rStyle w:val="PageNumber"/>
        <w:lang w:val="en-US"/>
      </w:rPr>
    </w:pPr>
    <w:r>
      <w:rPr>
        <w:rStyle w:val="PageNumber"/>
        <w:lang w:val="en-US"/>
      </w:rPr>
      <w:t>WG-HRV/8/</w:t>
    </w:r>
  </w:p>
  <w:p w14:paraId="1E40A40B" w14:textId="77777777" w:rsidR="0004198B" w:rsidRPr="00C5280D" w:rsidRDefault="0004198B" w:rsidP="00EB048E">
    <w:pPr>
      <w:pStyle w:val="Header"/>
      <w:rPr>
        <w:lang w:val="en-US"/>
      </w:rPr>
    </w:pPr>
    <w:r w:rsidRPr="00C5280D">
      <w:rPr>
        <w:lang w:val="en-US"/>
      </w:rPr>
      <w:t xml:space="preserve">página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30E20407"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AFD1" w14:textId="77777777" w:rsidR="006C6976" w:rsidRDefault="006C6976" w:rsidP="006C6976">
    <w:pPr>
      <w:pStyle w:val="Header"/>
      <w:rPr>
        <w:lang w:val="en-US"/>
      </w:rPr>
    </w:pPr>
    <w:r>
      <w:rPr>
        <w:lang w:val="en-US"/>
      </w:rPr>
      <w:t>WG-HRV/8/2</w:t>
    </w:r>
  </w:p>
  <w:p w14:paraId="5B4017D7" w14:textId="4A104571" w:rsidR="006C6976" w:rsidRDefault="006C6976" w:rsidP="006C6976">
    <w:pPr>
      <w:pStyle w:val="Header"/>
      <w:rPr>
        <w:lang w:val="en-US"/>
      </w:rPr>
    </w:pPr>
    <w:r>
      <w:rPr>
        <w:lang w:val="en-US"/>
      </w:rPr>
      <w:t>Anexo I, página 2</w:t>
    </w:r>
  </w:p>
  <w:p w14:paraId="4A3D9F8A" w14:textId="77777777" w:rsidR="006C6976" w:rsidRPr="00C5280D" w:rsidRDefault="006C697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08F1" w14:textId="77777777" w:rsidR="006C6976" w:rsidRDefault="006C6976" w:rsidP="006C6976">
    <w:pPr>
      <w:pStyle w:val="Header"/>
      <w:rPr>
        <w:lang w:val="en-US"/>
      </w:rPr>
    </w:pPr>
    <w:r>
      <w:rPr>
        <w:lang w:val="en-US"/>
      </w:rPr>
      <w:t>WG-HRV/8/2</w:t>
    </w:r>
  </w:p>
  <w:p w14:paraId="6FF2DE3A" w14:textId="2CA8C855" w:rsidR="00315110" w:rsidRDefault="00315110" w:rsidP="00315110">
    <w:pPr>
      <w:pStyle w:val="Header"/>
      <w:rPr>
        <w:lang w:val="en-US"/>
      </w:rPr>
    </w:pPr>
  </w:p>
  <w:p w14:paraId="2360B077" w14:textId="7E0A7BA4" w:rsidR="00315110" w:rsidRDefault="00315110" w:rsidP="00315110">
    <w:pPr>
      <w:pStyle w:val="Header"/>
      <w:rPr>
        <w:lang w:val="en-US"/>
      </w:rPr>
    </w:pPr>
    <w:r>
      <w:rPr>
        <w:lang w:val="en-US"/>
      </w:rPr>
      <w:t>ANEXO I</w:t>
    </w:r>
  </w:p>
  <w:p w14:paraId="055BF102" w14:textId="77777777" w:rsidR="00315110" w:rsidRPr="005C7CCD" w:rsidRDefault="00315110" w:rsidP="00315110">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6AF4" w14:textId="77777777" w:rsidR="00E5481C" w:rsidRDefault="00E5481C" w:rsidP="006C6976">
    <w:pPr>
      <w:pStyle w:val="Header"/>
      <w:rPr>
        <w:lang w:val="en-US"/>
      </w:rPr>
    </w:pPr>
    <w:r>
      <w:rPr>
        <w:lang w:val="en-US"/>
      </w:rPr>
      <w:t>WG-HRV/8/2</w:t>
    </w:r>
  </w:p>
  <w:p w14:paraId="178ECD76" w14:textId="4E687A3E" w:rsidR="00E5481C" w:rsidRDefault="00E5481C" w:rsidP="006C6976">
    <w:pPr>
      <w:pStyle w:val="Header"/>
      <w:rPr>
        <w:lang w:val="en-US"/>
      </w:rPr>
    </w:pPr>
    <w:r>
      <w:rPr>
        <w:lang w:val="en-US"/>
      </w:rPr>
      <w:t>Anexo I, página 4</w:t>
    </w:r>
  </w:p>
  <w:p w14:paraId="5C6CF1E5" w14:textId="77777777" w:rsidR="00E5481C" w:rsidRPr="00C5280D" w:rsidRDefault="00E5481C"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ED39" w14:textId="77777777" w:rsidR="00315110" w:rsidRDefault="00315110" w:rsidP="006C6976">
    <w:pPr>
      <w:pStyle w:val="Header"/>
      <w:rPr>
        <w:lang w:val="en-US"/>
      </w:rPr>
    </w:pPr>
    <w:r>
      <w:rPr>
        <w:lang w:val="en-US"/>
      </w:rPr>
      <w:t>WG-HRV/8/2</w:t>
    </w:r>
  </w:p>
  <w:p w14:paraId="1CFD3AF3" w14:textId="77777777" w:rsidR="00315110" w:rsidRDefault="00315110" w:rsidP="00315110">
    <w:pPr>
      <w:pStyle w:val="Header"/>
      <w:rPr>
        <w:lang w:val="en-US"/>
      </w:rPr>
    </w:pPr>
    <w:r>
      <w:rPr>
        <w:lang w:val="en-US"/>
      </w:rPr>
      <w:t>Anexo I, página 3</w:t>
    </w:r>
  </w:p>
  <w:p w14:paraId="3EAA0E8E" w14:textId="77777777" w:rsidR="00315110" w:rsidRPr="005C7CCD" w:rsidRDefault="00315110" w:rsidP="00315110">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33F3" w14:textId="15313483" w:rsidR="00561055" w:rsidRPr="0036468B" w:rsidRDefault="00561055" w:rsidP="00EB048E">
    <w:pPr>
      <w:pStyle w:val="Header"/>
      <w:rPr>
        <w:rStyle w:val="PageNumber"/>
        <w:lang w:val="es-ES"/>
      </w:rPr>
    </w:pPr>
    <w:r w:rsidRPr="0036468B">
      <w:rPr>
        <w:rStyle w:val="PageNumber"/>
        <w:lang w:val="es-ES"/>
      </w:rPr>
      <w:t>WG-HRV/8/2</w:t>
    </w:r>
  </w:p>
  <w:p w14:paraId="401DAD98" w14:textId="5952C95E" w:rsidR="00561055" w:rsidRPr="0036468B" w:rsidRDefault="00561055" w:rsidP="00EB048E">
    <w:pPr>
      <w:pStyle w:val="Header"/>
      <w:rPr>
        <w:lang w:val="es-ES"/>
      </w:rPr>
    </w:pPr>
    <w:r w:rsidRPr="0036468B">
      <w:rPr>
        <w:lang w:val="es-ES"/>
      </w:rPr>
      <w:t xml:space="preserve">Anexo II, página </w:t>
    </w:r>
    <w:r w:rsidRPr="00C5280D">
      <w:rPr>
        <w:rStyle w:val="PageNumber"/>
        <w:lang w:val="en-US"/>
      </w:rPr>
      <w:fldChar w:fldCharType="begin"/>
    </w:r>
    <w:r w:rsidRPr="0036468B">
      <w:rPr>
        <w:rStyle w:val="PageNumber"/>
        <w:lang w:val="es-ES"/>
      </w:rPr>
      <w:instrText xml:space="preserve"> PAGE </w:instrText>
    </w:r>
    <w:r w:rsidRPr="00C5280D">
      <w:rPr>
        <w:rStyle w:val="PageNumber"/>
        <w:lang w:val="en-US"/>
      </w:rPr>
      <w:fldChar w:fldCharType="separate"/>
    </w:r>
    <w:r w:rsidRPr="0036468B">
      <w:rPr>
        <w:rStyle w:val="PageNumber"/>
        <w:noProof/>
        <w:lang w:val="es-ES"/>
      </w:rPr>
      <w:t>2</w:t>
    </w:r>
    <w:r w:rsidRPr="00C5280D">
      <w:rPr>
        <w:rStyle w:val="PageNumber"/>
        <w:lang w:val="en-US"/>
      </w:rPr>
      <w:fldChar w:fldCharType="end"/>
    </w:r>
  </w:p>
  <w:p w14:paraId="4D998286" w14:textId="77777777" w:rsidR="00561055" w:rsidRPr="0036468B" w:rsidRDefault="00561055" w:rsidP="006655D3">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8238" w14:textId="0408120B" w:rsidR="00561055" w:rsidRDefault="00561055">
    <w:pPr>
      <w:pStyle w:val="Header"/>
      <w:rPr>
        <w:lang w:val="en-US"/>
      </w:rPr>
    </w:pPr>
    <w:r>
      <w:rPr>
        <w:lang w:val="en-US"/>
      </w:rPr>
      <w:t>WG-HRV/8/2</w:t>
    </w:r>
  </w:p>
  <w:p w14:paraId="1E5688B1" w14:textId="77777777" w:rsidR="00561055" w:rsidRDefault="00561055">
    <w:pPr>
      <w:pStyle w:val="Header"/>
      <w:rPr>
        <w:lang w:val="en-US"/>
      </w:rPr>
    </w:pPr>
  </w:p>
  <w:p w14:paraId="7963E800" w14:textId="7DD00FAC" w:rsidR="00561055" w:rsidRDefault="00561055">
    <w:pPr>
      <w:pStyle w:val="Header"/>
      <w:rPr>
        <w:lang w:val="en-US"/>
      </w:rPr>
    </w:pPr>
    <w:r>
      <w:rPr>
        <w:lang w:val="en-US"/>
      </w:rPr>
      <w:t>ANEXO II</w:t>
    </w:r>
  </w:p>
  <w:p w14:paraId="3CCF4080" w14:textId="77777777" w:rsidR="00561055" w:rsidRPr="00561055" w:rsidRDefault="0056105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484"/>
    <w:multiLevelType w:val="hybridMultilevel"/>
    <w:tmpl w:val="5EF0AFDC"/>
    <w:lvl w:ilvl="0" w:tplc="2512702C">
      <w:start w:val="1"/>
      <w:numFmt w:val="decimal"/>
      <w:lvlText w:val="%1)"/>
      <w:lvlJc w:val="left"/>
      <w:pPr>
        <w:ind w:left="116" w:hanging="260"/>
      </w:pPr>
      <w:rPr>
        <w:rFonts w:ascii="Arial" w:eastAsia="Times New Roman" w:hAnsi="Arial" w:cs="Arial" w:hint="default"/>
        <w:b w:val="0"/>
        <w:bCs w:val="0"/>
        <w:i w:val="0"/>
        <w:iCs w:val="0"/>
        <w:w w:val="100"/>
        <w:sz w:val="20"/>
        <w:szCs w:val="20"/>
        <w:lang w:val="en-US" w:eastAsia="en-US" w:bidi="ar-SA"/>
      </w:rPr>
    </w:lvl>
    <w:lvl w:ilvl="1" w:tplc="3B30EC42">
      <w:numFmt w:val="bullet"/>
      <w:lvlText w:val="•"/>
      <w:lvlJc w:val="left"/>
      <w:pPr>
        <w:ind w:left="1038" w:hanging="260"/>
      </w:pPr>
      <w:rPr>
        <w:rFonts w:hint="default"/>
        <w:lang w:val="en-US" w:eastAsia="en-US" w:bidi="ar-SA"/>
      </w:rPr>
    </w:lvl>
    <w:lvl w:ilvl="2" w:tplc="40A09C42">
      <w:numFmt w:val="bullet"/>
      <w:lvlText w:val="•"/>
      <w:lvlJc w:val="left"/>
      <w:pPr>
        <w:ind w:left="1956" w:hanging="260"/>
      </w:pPr>
      <w:rPr>
        <w:rFonts w:hint="default"/>
        <w:lang w:val="en-US" w:eastAsia="en-US" w:bidi="ar-SA"/>
      </w:rPr>
    </w:lvl>
    <w:lvl w:ilvl="3" w:tplc="25DA9EEA">
      <w:numFmt w:val="bullet"/>
      <w:lvlText w:val="•"/>
      <w:lvlJc w:val="left"/>
      <w:pPr>
        <w:ind w:left="2875" w:hanging="260"/>
      </w:pPr>
      <w:rPr>
        <w:rFonts w:hint="default"/>
        <w:lang w:val="en-US" w:eastAsia="en-US" w:bidi="ar-SA"/>
      </w:rPr>
    </w:lvl>
    <w:lvl w:ilvl="4" w:tplc="E988A940">
      <w:numFmt w:val="bullet"/>
      <w:lvlText w:val="•"/>
      <w:lvlJc w:val="left"/>
      <w:pPr>
        <w:ind w:left="3793" w:hanging="260"/>
      </w:pPr>
      <w:rPr>
        <w:rFonts w:hint="default"/>
        <w:lang w:val="en-US" w:eastAsia="en-US" w:bidi="ar-SA"/>
      </w:rPr>
    </w:lvl>
    <w:lvl w:ilvl="5" w:tplc="7AC2C906">
      <w:numFmt w:val="bullet"/>
      <w:lvlText w:val="•"/>
      <w:lvlJc w:val="left"/>
      <w:pPr>
        <w:ind w:left="4712" w:hanging="260"/>
      </w:pPr>
      <w:rPr>
        <w:rFonts w:hint="default"/>
        <w:lang w:val="en-US" w:eastAsia="en-US" w:bidi="ar-SA"/>
      </w:rPr>
    </w:lvl>
    <w:lvl w:ilvl="6" w:tplc="8480B5B4">
      <w:numFmt w:val="bullet"/>
      <w:lvlText w:val="•"/>
      <w:lvlJc w:val="left"/>
      <w:pPr>
        <w:ind w:left="5630" w:hanging="260"/>
      </w:pPr>
      <w:rPr>
        <w:rFonts w:hint="default"/>
        <w:lang w:val="en-US" w:eastAsia="en-US" w:bidi="ar-SA"/>
      </w:rPr>
    </w:lvl>
    <w:lvl w:ilvl="7" w:tplc="5A32C04E">
      <w:numFmt w:val="bullet"/>
      <w:lvlText w:val="•"/>
      <w:lvlJc w:val="left"/>
      <w:pPr>
        <w:ind w:left="6548" w:hanging="260"/>
      </w:pPr>
      <w:rPr>
        <w:rFonts w:hint="default"/>
        <w:lang w:val="en-US" w:eastAsia="en-US" w:bidi="ar-SA"/>
      </w:rPr>
    </w:lvl>
    <w:lvl w:ilvl="8" w:tplc="22C4434E">
      <w:numFmt w:val="bullet"/>
      <w:lvlText w:val="•"/>
      <w:lvlJc w:val="left"/>
      <w:pPr>
        <w:ind w:left="7467" w:hanging="260"/>
      </w:pPr>
      <w:rPr>
        <w:rFonts w:hint="default"/>
        <w:lang w:val="en-US" w:eastAsia="en-US" w:bidi="ar-SA"/>
      </w:rPr>
    </w:lvl>
  </w:abstractNum>
  <w:abstractNum w:abstractNumId="1" w15:restartNumberingAfterBreak="0">
    <w:nsid w:val="29217F4B"/>
    <w:multiLevelType w:val="hybridMultilevel"/>
    <w:tmpl w:val="4AE49D9A"/>
    <w:lvl w:ilvl="0" w:tplc="8544EAB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B7AAA"/>
    <w:multiLevelType w:val="hybridMultilevel"/>
    <w:tmpl w:val="432C3F0A"/>
    <w:lvl w:ilvl="0" w:tplc="EC12F988">
      <w:start w:val="1"/>
      <w:numFmt w:val="upperRoman"/>
      <w:lvlText w:val="%1."/>
      <w:lvlJc w:val="left"/>
      <w:pPr>
        <w:ind w:left="389" w:hanging="274"/>
      </w:pPr>
      <w:rPr>
        <w:rFonts w:ascii="Arial" w:eastAsia="Times New Roman" w:hAnsi="Arial" w:cs="Arial" w:hint="default"/>
        <w:b/>
        <w:bCs/>
        <w:i w:val="0"/>
        <w:iCs w:val="0"/>
        <w:w w:val="100"/>
        <w:sz w:val="20"/>
        <w:szCs w:val="20"/>
        <w:lang w:val="en-US" w:eastAsia="en-US" w:bidi="ar-SA"/>
      </w:rPr>
    </w:lvl>
    <w:lvl w:ilvl="1" w:tplc="D09A4680">
      <w:numFmt w:val="bullet"/>
      <w:lvlText w:val=""/>
      <w:lvlJc w:val="left"/>
      <w:pPr>
        <w:ind w:left="836" w:hanging="360"/>
      </w:pPr>
      <w:rPr>
        <w:rFonts w:ascii="Symbol" w:eastAsia="Symbol" w:hAnsi="Symbol" w:cs="Symbol" w:hint="default"/>
        <w:w w:val="100"/>
        <w:lang w:val="en-US" w:eastAsia="en-US" w:bidi="ar-SA"/>
      </w:rPr>
    </w:lvl>
    <w:lvl w:ilvl="2" w:tplc="3280D698">
      <w:numFmt w:val="bullet"/>
      <w:lvlText w:val="o"/>
      <w:lvlJc w:val="left"/>
      <w:pPr>
        <w:ind w:left="1556" w:hanging="360"/>
      </w:pPr>
      <w:rPr>
        <w:rFonts w:ascii="Courier New" w:eastAsia="Courier New" w:hAnsi="Courier New" w:cs="Courier New" w:hint="default"/>
        <w:b w:val="0"/>
        <w:bCs w:val="0"/>
        <w:i w:val="0"/>
        <w:iCs w:val="0"/>
        <w:w w:val="100"/>
        <w:sz w:val="20"/>
        <w:szCs w:val="20"/>
        <w:lang w:val="en-US" w:eastAsia="en-US" w:bidi="ar-SA"/>
      </w:rPr>
    </w:lvl>
    <w:lvl w:ilvl="3" w:tplc="438CD4C8">
      <w:numFmt w:val="bullet"/>
      <w:lvlText w:val="•"/>
      <w:lvlJc w:val="left"/>
      <w:pPr>
        <w:ind w:left="2528" w:hanging="360"/>
      </w:pPr>
      <w:rPr>
        <w:rFonts w:hint="default"/>
        <w:lang w:val="en-US" w:eastAsia="en-US" w:bidi="ar-SA"/>
      </w:rPr>
    </w:lvl>
    <w:lvl w:ilvl="4" w:tplc="BF22372C">
      <w:numFmt w:val="bullet"/>
      <w:lvlText w:val="•"/>
      <w:lvlJc w:val="left"/>
      <w:pPr>
        <w:ind w:left="3496" w:hanging="360"/>
      </w:pPr>
      <w:rPr>
        <w:rFonts w:hint="default"/>
        <w:lang w:val="en-US" w:eastAsia="en-US" w:bidi="ar-SA"/>
      </w:rPr>
    </w:lvl>
    <w:lvl w:ilvl="5" w:tplc="F2F6600C">
      <w:numFmt w:val="bullet"/>
      <w:lvlText w:val="•"/>
      <w:lvlJc w:val="left"/>
      <w:pPr>
        <w:ind w:left="4464" w:hanging="360"/>
      </w:pPr>
      <w:rPr>
        <w:rFonts w:hint="default"/>
        <w:lang w:val="en-US" w:eastAsia="en-US" w:bidi="ar-SA"/>
      </w:rPr>
    </w:lvl>
    <w:lvl w:ilvl="6" w:tplc="03DC7EC8">
      <w:numFmt w:val="bullet"/>
      <w:lvlText w:val="•"/>
      <w:lvlJc w:val="left"/>
      <w:pPr>
        <w:ind w:left="5432" w:hanging="360"/>
      </w:pPr>
      <w:rPr>
        <w:rFonts w:hint="default"/>
        <w:lang w:val="en-US" w:eastAsia="en-US" w:bidi="ar-SA"/>
      </w:rPr>
    </w:lvl>
    <w:lvl w:ilvl="7" w:tplc="2932D4B4">
      <w:numFmt w:val="bullet"/>
      <w:lvlText w:val="•"/>
      <w:lvlJc w:val="left"/>
      <w:pPr>
        <w:ind w:left="6400" w:hanging="360"/>
      </w:pPr>
      <w:rPr>
        <w:rFonts w:hint="default"/>
        <w:lang w:val="en-US" w:eastAsia="en-US" w:bidi="ar-SA"/>
      </w:rPr>
    </w:lvl>
    <w:lvl w:ilvl="8" w:tplc="923C92FC">
      <w:numFmt w:val="bullet"/>
      <w:lvlText w:val="•"/>
      <w:lvlJc w:val="left"/>
      <w:pPr>
        <w:ind w:left="7368" w:hanging="360"/>
      </w:pPr>
      <w:rPr>
        <w:rFonts w:hint="default"/>
        <w:lang w:val="en-US" w:eastAsia="en-US" w:bidi="ar-SA"/>
      </w:rPr>
    </w:lvl>
  </w:abstractNum>
  <w:abstractNum w:abstractNumId="3" w15:restartNumberingAfterBreak="0">
    <w:nsid w:val="4CE93FC8"/>
    <w:multiLevelType w:val="hybridMultilevel"/>
    <w:tmpl w:val="ECD0A1FC"/>
    <w:lvl w:ilvl="0" w:tplc="BA189D44">
      <w:start w:val="1"/>
      <w:numFmt w:val="lowerLetter"/>
      <w:lvlText w:val="%1)"/>
      <w:lvlJc w:val="left"/>
      <w:pPr>
        <w:ind w:left="683" w:hanging="567"/>
        <w:jc w:val="left"/>
      </w:pPr>
      <w:rPr>
        <w:rFonts w:ascii="Arial" w:eastAsia="Times New Roman" w:hAnsi="Arial" w:cs="Arial" w:hint="default"/>
        <w:b w:val="0"/>
        <w:bCs w:val="0"/>
        <w:i w:val="0"/>
        <w:iCs w:val="0"/>
        <w:spacing w:val="-1"/>
        <w:w w:val="100"/>
        <w:sz w:val="20"/>
        <w:szCs w:val="20"/>
        <w:lang w:val="en-US" w:eastAsia="en-US" w:bidi="ar-SA"/>
      </w:rPr>
    </w:lvl>
    <w:lvl w:ilvl="1" w:tplc="A43E4AF6">
      <w:numFmt w:val="bullet"/>
      <w:lvlText w:val="•"/>
      <w:lvlJc w:val="left"/>
      <w:pPr>
        <w:ind w:left="1542" w:hanging="567"/>
      </w:pPr>
      <w:rPr>
        <w:rFonts w:hint="default"/>
        <w:lang w:val="en-US" w:eastAsia="en-US" w:bidi="ar-SA"/>
      </w:rPr>
    </w:lvl>
    <w:lvl w:ilvl="2" w:tplc="290876B4">
      <w:numFmt w:val="bullet"/>
      <w:lvlText w:val="•"/>
      <w:lvlJc w:val="left"/>
      <w:pPr>
        <w:ind w:left="2404" w:hanging="567"/>
      </w:pPr>
      <w:rPr>
        <w:rFonts w:hint="default"/>
        <w:lang w:val="en-US" w:eastAsia="en-US" w:bidi="ar-SA"/>
      </w:rPr>
    </w:lvl>
    <w:lvl w:ilvl="3" w:tplc="3DB00776">
      <w:numFmt w:val="bullet"/>
      <w:lvlText w:val="•"/>
      <w:lvlJc w:val="left"/>
      <w:pPr>
        <w:ind w:left="3267" w:hanging="567"/>
      </w:pPr>
      <w:rPr>
        <w:rFonts w:hint="default"/>
        <w:lang w:val="en-US" w:eastAsia="en-US" w:bidi="ar-SA"/>
      </w:rPr>
    </w:lvl>
    <w:lvl w:ilvl="4" w:tplc="9B942842">
      <w:numFmt w:val="bullet"/>
      <w:lvlText w:val="•"/>
      <w:lvlJc w:val="left"/>
      <w:pPr>
        <w:ind w:left="4129" w:hanging="567"/>
      </w:pPr>
      <w:rPr>
        <w:rFonts w:hint="default"/>
        <w:lang w:val="en-US" w:eastAsia="en-US" w:bidi="ar-SA"/>
      </w:rPr>
    </w:lvl>
    <w:lvl w:ilvl="5" w:tplc="C5D655B8">
      <w:numFmt w:val="bullet"/>
      <w:lvlText w:val="•"/>
      <w:lvlJc w:val="left"/>
      <w:pPr>
        <w:ind w:left="4992" w:hanging="567"/>
      </w:pPr>
      <w:rPr>
        <w:rFonts w:hint="default"/>
        <w:lang w:val="en-US" w:eastAsia="en-US" w:bidi="ar-SA"/>
      </w:rPr>
    </w:lvl>
    <w:lvl w:ilvl="6" w:tplc="DD942142">
      <w:numFmt w:val="bullet"/>
      <w:lvlText w:val="•"/>
      <w:lvlJc w:val="left"/>
      <w:pPr>
        <w:ind w:left="5854" w:hanging="567"/>
      </w:pPr>
      <w:rPr>
        <w:rFonts w:hint="default"/>
        <w:lang w:val="en-US" w:eastAsia="en-US" w:bidi="ar-SA"/>
      </w:rPr>
    </w:lvl>
    <w:lvl w:ilvl="7" w:tplc="351C0426">
      <w:numFmt w:val="bullet"/>
      <w:lvlText w:val="•"/>
      <w:lvlJc w:val="left"/>
      <w:pPr>
        <w:ind w:left="6716" w:hanging="567"/>
      </w:pPr>
      <w:rPr>
        <w:rFonts w:hint="default"/>
        <w:lang w:val="en-US" w:eastAsia="en-US" w:bidi="ar-SA"/>
      </w:rPr>
    </w:lvl>
    <w:lvl w:ilvl="8" w:tplc="9C8ADD6E">
      <w:numFmt w:val="bullet"/>
      <w:lvlText w:val="•"/>
      <w:lvlJc w:val="left"/>
      <w:pPr>
        <w:ind w:left="7579" w:hanging="567"/>
      </w:pPr>
      <w:rPr>
        <w:rFonts w:hint="default"/>
        <w:lang w:val="en-US" w:eastAsia="en-US" w:bidi="ar-SA"/>
      </w:rPr>
    </w:lvl>
  </w:abstractNum>
  <w:abstractNum w:abstractNumId="4" w15:restartNumberingAfterBreak="0">
    <w:nsid w:val="794B06A7"/>
    <w:multiLevelType w:val="hybridMultilevel"/>
    <w:tmpl w:val="E26E4872"/>
    <w:lvl w:ilvl="0" w:tplc="CFEE7AC4">
      <w:start w:val="1"/>
      <w:numFmt w:val="lowerLetter"/>
      <w:lvlText w:val="%1)"/>
      <w:lvlJc w:val="left"/>
      <w:pPr>
        <w:ind w:left="683" w:hanging="567"/>
        <w:jc w:val="left"/>
      </w:pPr>
      <w:rPr>
        <w:rFonts w:ascii="Arial" w:eastAsia="Times New Roman" w:hAnsi="Arial" w:cs="Arial" w:hint="default"/>
        <w:b w:val="0"/>
        <w:bCs w:val="0"/>
        <w:i w:val="0"/>
        <w:iCs w:val="0"/>
        <w:spacing w:val="-1"/>
        <w:w w:val="100"/>
        <w:sz w:val="20"/>
        <w:szCs w:val="20"/>
        <w:lang w:val="en-US" w:eastAsia="en-US" w:bidi="ar-SA"/>
      </w:rPr>
    </w:lvl>
    <w:lvl w:ilvl="1" w:tplc="A57C1F4A">
      <w:start w:val="1"/>
      <w:numFmt w:val="lowerRoman"/>
      <w:lvlText w:val="%2)"/>
      <w:lvlJc w:val="left"/>
      <w:pPr>
        <w:ind w:left="1250" w:hanging="567"/>
        <w:jc w:val="right"/>
      </w:pPr>
      <w:rPr>
        <w:rFonts w:ascii="Arial" w:eastAsia="Times New Roman" w:hAnsi="Arial" w:cs="Arial" w:hint="default"/>
        <w:b w:val="0"/>
        <w:bCs w:val="0"/>
        <w:i w:val="0"/>
        <w:iCs w:val="0"/>
        <w:w w:val="100"/>
        <w:sz w:val="20"/>
        <w:szCs w:val="20"/>
        <w:lang w:val="en-US" w:eastAsia="en-US" w:bidi="ar-SA"/>
      </w:rPr>
    </w:lvl>
    <w:lvl w:ilvl="2" w:tplc="76400D9E">
      <w:start w:val="1"/>
      <w:numFmt w:val="decimal"/>
      <w:lvlText w:val="%3."/>
      <w:lvlJc w:val="left"/>
      <w:pPr>
        <w:ind w:left="356" w:hanging="240"/>
        <w:jc w:val="left"/>
      </w:pPr>
      <w:rPr>
        <w:rFonts w:ascii="Arial" w:eastAsia="Times New Roman" w:hAnsi="Arial" w:cs="Arial" w:hint="default"/>
        <w:b w:val="0"/>
        <w:bCs w:val="0"/>
        <w:i w:val="0"/>
        <w:iCs w:val="0"/>
        <w:w w:val="100"/>
        <w:sz w:val="20"/>
        <w:szCs w:val="20"/>
        <w:lang w:val="en-US" w:eastAsia="en-US" w:bidi="ar-SA"/>
      </w:rPr>
    </w:lvl>
    <w:lvl w:ilvl="3" w:tplc="27BEF070">
      <w:numFmt w:val="bullet"/>
      <w:lvlText w:val="•"/>
      <w:lvlJc w:val="left"/>
      <w:pPr>
        <w:ind w:left="2265" w:hanging="240"/>
      </w:pPr>
      <w:rPr>
        <w:rFonts w:hint="default"/>
        <w:lang w:val="en-US" w:eastAsia="en-US" w:bidi="ar-SA"/>
      </w:rPr>
    </w:lvl>
    <w:lvl w:ilvl="4" w:tplc="8FA4FF24">
      <w:numFmt w:val="bullet"/>
      <w:lvlText w:val="•"/>
      <w:lvlJc w:val="left"/>
      <w:pPr>
        <w:ind w:left="3271" w:hanging="240"/>
      </w:pPr>
      <w:rPr>
        <w:rFonts w:hint="default"/>
        <w:lang w:val="en-US" w:eastAsia="en-US" w:bidi="ar-SA"/>
      </w:rPr>
    </w:lvl>
    <w:lvl w:ilvl="5" w:tplc="D414BBAC">
      <w:numFmt w:val="bullet"/>
      <w:lvlText w:val="•"/>
      <w:lvlJc w:val="left"/>
      <w:pPr>
        <w:ind w:left="4276" w:hanging="240"/>
      </w:pPr>
      <w:rPr>
        <w:rFonts w:hint="default"/>
        <w:lang w:val="en-US" w:eastAsia="en-US" w:bidi="ar-SA"/>
      </w:rPr>
    </w:lvl>
    <w:lvl w:ilvl="6" w:tplc="42A898D6">
      <w:numFmt w:val="bullet"/>
      <w:lvlText w:val="•"/>
      <w:lvlJc w:val="left"/>
      <w:pPr>
        <w:ind w:left="5282" w:hanging="240"/>
      </w:pPr>
      <w:rPr>
        <w:rFonts w:hint="default"/>
        <w:lang w:val="en-US" w:eastAsia="en-US" w:bidi="ar-SA"/>
      </w:rPr>
    </w:lvl>
    <w:lvl w:ilvl="7" w:tplc="B3C6405E">
      <w:numFmt w:val="bullet"/>
      <w:lvlText w:val="•"/>
      <w:lvlJc w:val="left"/>
      <w:pPr>
        <w:ind w:left="6287" w:hanging="240"/>
      </w:pPr>
      <w:rPr>
        <w:rFonts w:hint="default"/>
        <w:lang w:val="en-US" w:eastAsia="en-US" w:bidi="ar-SA"/>
      </w:rPr>
    </w:lvl>
    <w:lvl w:ilvl="8" w:tplc="A5BCD10A">
      <w:numFmt w:val="bullet"/>
      <w:lvlText w:val="•"/>
      <w:lvlJc w:val="left"/>
      <w:pPr>
        <w:ind w:left="7293" w:hanging="240"/>
      </w:pPr>
      <w:rPr>
        <w:rFonts w:hint="default"/>
        <w:lang w:val="en-US" w:eastAsia="en-US" w:bidi="ar-SA"/>
      </w:rPr>
    </w:lvl>
  </w:abstractNum>
  <w:num w:numId="1" w16cid:durableId="769742828">
    <w:abstractNumId w:val="1"/>
  </w:num>
  <w:num w:numId="2" w16cid:durableId="131869100">
    <w:abstractNumId w:val="2"/>
  </w:num>
  <w:num w:numId="3" w16cid:durableId="71122519">
    <w:abstractNumId w:val="0"/>
  </w:num>
  <w:num w:numId="4" w16cid:durableId="2143384813">
    <w:abstractNumId w:val="3"/>
  </w:num>
  <w:num w:numId="5" w16cid:durableId="2020497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77"/>
    <w:rsid w:val="00010CF3"/>
    <w:rsid w:val="00011E27"/>
    <w:rsid w:val="000148BC"/>
    <w:rsid w:val="00024AB8"/>
    <w:rsid w:val="00030854"/>
    <w:rsid w:val="00036028"/>
    <w:rsid w:val="0004198B"/>
    <w:rsid w:val="0004297B"/>
    <w:rsid w:val="00044642"/>
    <w:rsid w:val="000446B9"/>
    <w:rsid w:val="00047E21"/>
    <w:rsid w:val="00050E16"/>
    <w:rsid w:val="00085505"/>
    <w:rsid w:val="000C4E25"/>
    <w:rsid w:val="000C7021"/>
    <w:rsid w:val="000D6BBC"/>
    <w:rsid w:val="000D7780"/>
    <w:rsid w:val="000E636A"/>
    <w:rsid w:val="000F2F11"/>
    <w:rsid w:val="00100A5F"/>
    <w:rsid w:val="00105929"/>
    <w:rsid w:val="00110BED"/>
    <w:rsid w:val="00110C36"/>
    <w:rsid w:val="001131D5"/>
    <w:rsid w:val="00114547"/>
    <w:rsid w:val="00141DB8"/>
    <w:rsid w:val="00172084"/>
    <w:rsid w:val="0017474A"/>
    <w:rsid w:val="001758C6"/>
    <w:rsid w:val="00182B99"/>
    <w:rsid w:val="001C1525"/>
    <w:rsid w:val="0020260C"/>
    <w:rsid w:val="0021332C"/>
    <w:rsid w:val="00213982"/>
    <w:rsid w:val="0022397B"/>
    <w:rsid w:val="0024416D"/>
    <w:rsid w:val="00260EA2"/>
    <w:rsid w:val="00271335"/>
    <w:rsid w:val="00271911"/>
    <w:rsid w:val="00273187"/>
    <w:rsid w:val="002800A0"/>
    <w:rsid w:val="002801B3"/>
    <w:rsid w:val="00281060"/>
    <w:rsid w:val="00284050"/>
    <w:rsid w:val="00285BD0"/>
    <w:rsid w:val="002940E8"/>
    <w:rsid w:val="00294751"/>
    <w:rsid w:val="002A6E50"/>
    <w:rsid w:val="002A7C98"/>
    <w:rsid w:val="002B4298"/>
    <w:rsid w:val="002B7A36"/>
    <w:rsid w:val="002C256A"/>
    <w:rsid w:val="002D5226"/>
    <w:rsid w:val="00305A7F"/>
    <w:rsid w:val="00315110"/>
    <w:rsid w:val="003152FE"/>
    <w:rsid w:val="00327436"/>
    <w:rsid w:val="00344BD6"/>
    <w:rsid w:val="0035513E"/>
    <w:rsid w:val="0035528D"/>
    <w:rsid w:val="00361821"/>
    <w:rsid w:val="00361E9E"/>
    <w:rsid w:val="0036468B"/>
    <w:rsid w:val="003753EE"/>
    <w:rsid w:val="00377434"/>
    <w:rsid w:val="003A0835"/>
    <w:rsid w:val="003A5AAF"/>
    <w:rsid w:val="003B700A"/>
    <w:rsid w:val="003C5661"/>
    <w:rsid w:val="003C7FBE"/>
    <w:rsid w:val="003D227C"/>
    <w:rsid w:val="003D2B4D"/>
    <w:rsid w:val="003F37F5"/>
    <w:rsid w:val="00405714"/>
    <w:rsid w:val="00444A88"/>
    <w:rsid w:val="00455DA6"/>
    <w:rsid w:val="00474DA4"/>
    <w:rsid w:val="00476B4D"/>
    <w:rsid w:val="004805FA"/>
    <w:rsid w:val="004935D2"/>
    <w:rsid w:val="004B1215"/>
    <w:rsid w:val="004B2FB1"/>
    <w:rsid w:val="004D047D"/>
    <w:rsid w:val="004F1E9E"/>
    <w:rsid w:val="004F305A"/>
    <w:rsid w:val="00512164"/>
    <w:rsid w:val="00520297"/>
    <w:rsid w:val="00532395"/>
    <w:rsid w:val="005338F9"/>
    <w:rsid w:val="0054281C"/>
    <w:rsid w:val="00544581"/>
    <w:rsid w:val="0055268D"/>
    <w:rsid w:val="00561055"/>
    <w:rsid w:val="00575DE2"/>
    <w:rsid w:val="00576BE4"/>
    <w:rsid w:val="005779DB"/>
    <w:rsid w:val="00597BB8"/>
    <w:rsid w:val="005A2A67"/>
    <w:rsid w:val="005A400A"/>
    <w:rsid w:val="005A7FFC"/>
    <w:rsid w:val="005B269D"/>
    <w:rsid w:val="005C7CCD"/>
    <w:rsid w:val="005D13A6"/>
    <w:rsid w:val="005D3A9C"/>
    <w:rsid w:val="005E27B8"/>
    <w:rsid w:val="005F7B92"/>
    <w:rsid w:val="00612379"/>
    <w:rsid w:val="006153B6"/>
    <w:rsid w:val="0061555F"/>
    <w:rsid w:val="006245ED"/>
    <w:rsid w:val="0062468E"/>
    <w:rsid w:val="00636CA6"/>
    <w:rsid w:val="00641200"/>
    <w:rsid w:val="00644B33"/>
    <w:rsid w:val="00645CA8"/>
    <w:rsid w:val="006655D3"/>
    <w:rsid w:val="00667404"/>
    <w:rsid w:val="0067333B"/>
    <w:rsid w:val="006840D7"/>
    <w:rsid w:val="00687EB4"/>
    <w:rsid w:val="0069599B"/>
    <w:rsid w:val="00695C56"/>
    <w:rsid w:val="006A5CDE"/>
    <w:rsid w:val="006A644A"/>
    <w:rsid w:val="006B17D2"/>
    <w:rsid w:val="006C224E"/>
    <w:rsid w:val="006C6976"/>
    <w:rsid w:val="006D753E"/>
    <w:rsid w:val="006D780A"/>
    <w:rsid w:val="0071271E"/>
    <w:rsid w:val="00717D80"/>
    <w:rsid w:val="00732DEC"/>
    <w:rsid w:val="0073565F"/>
    <w:rsid w:val="00735BD5"/>
    <w:rsid w:val="007451EC"/>
    <w:rsid w:val="00751613"/>
    <w:rsid w:val="00753EE9"/>
    <w:rsid w:val="007556F6"/>
    <w:rsid w:val="00760EEF"/>
    <w:rsid w:val="00777EE5"/>
    <w:rsid w:val="00784836"/>
    <w:rsid w:val="0079023E"/>
    <w:rsid w:val="007A2854"/>
    <w:rsid w:val="007A67D1"/>
    <w:rsid w:val="007C1D92"/>
    <w:rsid w:val="007C4CB9"/>
    <w:rsid w:val="007D0B9D"/>
    <w:rsid w:val="007D19B0"/>
    <w:rsid w:val="007F498F"/>
    <w:rsid w:val="0080679D"/>
    <w:rsid w:val="008108B0"/>
    <w:rsid w:val="00811B20"/>
    <w:rsid w:val="00812609"/>
    <w:rsid w:val="008143ED"/>
    <w:rsid w:val="008211B5"/>
    <w:rsid w:val="0082296E"/>
    <w:rsid w:val="00824099"/>
    <w:rsid w:val="00846D7C"/>
    <w:rsid w:val="00867AC1"/>
    <w:rsid w:val="008751DE"/>
    <w:rsid w:val="00890DF8"/>
    <w:rsid w:val="008A0ADE"/>
    <w:rsid w:val="008A743F"/>
    <w:rsid w:val="008C0970"/>
    <w:rsid w:val="008D0BC5"/>
    <w:rsid w:val="008D0F14"/>
    <w:rsid w:val="008D2CF7"/>
    <w:rsid w:val="00900C26"/>
    <w:rsid w:val="00901556"/>
    <w:rsid w:val="0090197F"/>
    <w:rsid w:val="00903264"/>
    <w:rsid w:val="00906DDC"/>
    <w:rsid w:val="0091516F"/>
    <w:rsid w:val="00934E09"/>
    <w:rsid w:val="00936253"/>
    <w:rsid w:val="00940D46"/>
    <w:rsid w:val="009413F1"/>
    <w:rsid w:val="00952DD4"/>
    <w:rsid w:val="009561F4"/>
    <w:rsid w:val="00965AE7"/>
    <w:rsid w:val="00970FED"/>
    <w:rsid w:val="00992D82"/>
    <w:rsid w:val="00997029"/>
    <w:rsid w:val="009A7339"/>
    <w:rsid w:val="009B440E"/>
    <w:rsid w:val="009C20EA"/>
    <w:rsid w:val="009C536A"/>
    <w:rsid w:val="009D690D"/>
    <w:rsid w:val="009E11BF"/>
    <w:rsid w:val="009E65B6"/>
    <w:rsid w:val="009E7203"/>
    <w:rsid w:val="009F0A51"/>
    <w:rsid w:val="009F77CF"/>
    <w:rsid w:val="00A24C10"/>
    <w:rsid w:val="00A42AC3"/>
    <w:rsid w:val="00A430CF"/>
    <w:rsid w:val="00A54309"/>
    <w:rsid w:val="00A610A9"/>
    <w:rsid w:val="00A73882"/>
    <w:rsid w:val="00A80F2A"/>
    <w:rsid w:val="00A96C33"/>
    <w:rsid w:val="00AB2B93"/>
    <w:rsid w:val="00AB530F"/>
    <w:rsid w:val="00AB7E5B"/>
    <w:rsid w:val="00AC2883"/>
    <w:rsid w:val="00AC5977"/>
    <w:rsid w:val="00AE0EF1"/>
    <w:rsid w:val="00AE2937"/>
    <w:rsid w:val="00AF0C5C"/>
    <w:rsid w:val="00B07301"/>
    <w:rsid w:val="00B11F3E"/>
    <w:rsid w:val="00B224DE"/>
    <w:rsid w:val="00B324D4"/>
    <w:rsid w:val="00B46575"/>
    <w:rsid w:val="00B46AEE"/>
    <w:rsid w:val="00B61777"/>
    <w:rsid w:val="00B622E6"/>
    <w:rsid w:val="00B83E82"/>
    <w:rsid w:val="00B84BBD"/>
    <w:rsid w:val="00BA43FB"/>
    <w:rsid w:val="00BA52D5"/>
    <w:rsid w:val="00BC127D"/>
    <w:rsid w:val="00BC1FE6"/>
    <w:rsid w:val="00BE33F3"/>
    <w:rsid w:val="00C061B6"/>
    <w:rsid w:val="00C2446C"/>
    <w:rsid w:val="00C36AE5"/>
    <w:rsid w:val="00C41F17"/>
    <w:rsid w:val="00C527FA"/>
    <w:rsid w:val="00C5280D"/>
    <w:rsid w:val="00C53EB3"/>
    <w:rsid w:val="00C5791C"/>
    <w:rsid w:val="00C66290"/>
    <w:rsid w:val="00C72B7A"/>
    <w:rsid w:val="00C75A58"/>
    <w:rsid w:val="00C973F2"/>
    <w:rsid w:val="00CA304C"/>
    <w:rsid w:val="00CA774A"/>
    <w:rsid w:val="00CB4921"/>
    <w:rsid w:val="00CC11B0"/>
    <w:rsid w:val="00CC2841"/>
    <w:rsid w:val="00CD680A"/>
    <w:rsid w:val="00CF0DB8"/>
    <w:rsid w:val="00CF1330"/>
    <w:rsid w:val="00CF7E36"/>
    <w:rsid w:val="00D2328B"/>
    <w:rsid w:val="00D26695"/>
    <w:rsid w:val="00D3368A"/>
    <w:rsid w:val="00D33FB4"/>
    <w:rsid w:val="00D3593A"/>
    <w:rsid w:val="00D3708D"/>
    <w:rsid w:val="00D40426"/>
    <w:rsid w:val="00D57C96"/>
    <w:rsid w:val="00D57D18"/>
    <w:rsid w:val="00D70E65"/>
    <w:rsid w:val="00D91203"/>
    <w:rsid w:val="00D95174"/>
    <w:rsid w:val="00DA4973"/>
    <w:rsid w:val="00DA6F36"/>
    <w:rsid w:val="00DB596E"/>
    <w:rsid w:val="00DB7773"/>
    <w:rsid w:val="00DC00EA"/>
    <w:rsid w:val="00DC3802"/>
    <w:rsid w:val="00DD6208"/>
    <w:rsid w:val="00DF7E99"/>
    <w:rsid w:val="00E07D87"/>
    <w:rsid w:val="00E249C8"/>
    <w:rsid w:val="00E32F7E"/>
    <w:rsid w:val="00E5267B"/>
    <w:rsid w:val="00E5481C"/>
    <w:rsid w:val="00E559F0"/>
    <w:rsid w:val="00E63C0E"/>
    <w:rsid w:val="00E727A5"/>
    <w:rsid w:val="00E72D49"/>
    <w:rsid w:val="00E7593C"/>
    <w:rsid w:val="00E7678A"/>
    <w:rsid w:val="00E935F1"/>
    <w:rsid w:val="00E94A81"/>
    <w:rsid w:val="00EA1FFB"/>
    <w:rsid w:val="00EB048E"/>
    <w:rsid w:val="00EB4E9C"/>
    <w:rsid w:val="00EE34DF"/>
    <w:rsid w:val="00EF2F89"/>
    <w:rsid w:val="00F019EE"/>
    <w:rsid w:val="00F03E98"/>
    <w:rsid w:val="00F1237A"/>
    <w:rsid w:val="00F22CBD"/>
    <w:rsid w:val="00F272F1"/>
    <w:rsid w:val="00F31412"/>
    <w:rsid w:val="00F44BF1"/>
    <w:rsid w:val="00F45372"/>
    <w:rsid w:val="00F465C7"/>
    <w:rsid w:val="00F55A83"/>
    <w:rsid w:val="00F560F7"/>
    <w:rsid w:val="00F61A34"/>
    <w:rsid w:val="00F6334D"/>
    <w:rsid w:val="00F63599"/>
    <w:rsid w:val="00F71781"/>
    <w:rsid w:val="00F81C35"/>
    <w:rsid w:val="00FA49AB"/>
    <w:rsid w:val="00FA7122"/>
    <w:rsid w:val="00FC5FD0"/>
    <w:rsid w:val="00FD5B2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877A2"/>
  <w15:docId w15:val="{C3D6CD4D-B04F-4EF1-B093-0B38D553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6C6976"/>
    <w:pPr>
      <w:keepNext/>
      <w:jc w:val="both"/>
      <w:outlineLvl w:val="0"/>
    </w:pPr>
    <w:rPr>
      <w:rFonts w:ascii="Arial" w:hAnsi="Arial" w:cs="Arial"/>
      <w:b/>
      <w:bCs/>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uiPriority w:val="1"/>
    <w:qFormat/>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6C6976"/>
    <w:rPr>
      <w:rFonts w:ascii="Arial" w:hAnsi="Arial" w:cs="Arial"/>
      <w:b/>
      <w:bCs/>
      <w:caps/>
    </w:rPr>
  </w:style>
  <w:style w:type="paragraph" w:styleId="ListParagraph">
    <w:name w:val="List Paragraph"/>
    <w:basedOn w:val="Normal"/>
    <w:uiPriority w:val="34"/>
    <w:qFormat/>
    <w:rsid w:val="00561055"/>
    <w:pPr>
      <w:ind w:left="720"/>
      <w:contextualSpacing/>
    </w:pPr>
  </w:style>
  <w:style w:type="table" w:styleId="TableGrid">
    <w:name w:val="Table Grid"/>
    <w:basedOn w:val="TableNormal"/>
    <w:rsid w:val="0056105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27A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Ad%20hoc%20Working%20Groups\WG-HRV\WG-HRV_8_October_22_2025\templates\wg_hrv_8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wg_hrv_8_EN.dotx</Template>
  <TotalTime>107</TotalTime>
  <Pages>7</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WG-HRV/8</vt:lpstr>
    </vt:vector>
  </TitlesOfParts>
  <Company>UPOV</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WG-HRV/8</dc:title>
  <dc:creator>NICOLO Laurianne</dc:creator>
  <cp:keywords>, docId:3FAE252951DF4B2D5CB698EDEB9AF817</cp:keywords>
  <cp:lastModifiedBy>NICOLO Laurianne</cp:lastModifiedBy>
  <cp:revision>23</cp:revision>
  <cp:lastPrinted>2016-11-22T15:41:00Z</cp:lastPrinted>
  <dcterms:created xsi:type="dcterms:W3CDTF">2025-05-26T09:17:00Z</dcterms:created>
  <dcterms:modified xsi:type="dcterms:W3CDTF">2025-10-01T09:09:00Z</dcterms:modified>
</cp:coreProperties>
</file>