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3C0195EB" w14:textId="77777777" w:rsidTr="00EB4E9C">
        <w:tc>
          <w:tcPr>
            <w:tcW w:w="6522" w:type="dxa"/>
          </w:tcPr>
          <w:p w14:paraId="25673E72" w14:textId="77777777" w:rsidR="00DC3802" w:rsidRPr="00AC2883" w:rsidRDefault="00DC3802" w:rsidP="00AC2883">
            <w:r w:rsidRPr="00D250C5">
              <w:rPr>
                <w:noProof/>
              </w:rPr>
              <w:drawing>
                <wp:inline distT="0" distB="0" distL="0" distR="0" wp14:anchorId="4ABBE576" wp14:editId="255EBEA7">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04D35F74" w14:textId="35EFA5CD" w:rsidR="00DC3802" w:rsidRPr="007C1D92" w:rsidRDefault="00364AE9" w:rsidP="00AC2883">
            <w:pPr>
              <w:pStyle w:val="Lettrine"/>
            </w:pPr>
            <w:r>
              <w:t>S</w:t>
            </w:r>
          </w:p>
        </w:tc>
      </w:tr>
      <w:tr w:rsidR="00DC3802" w:rsidRPr="00364AE9" w14:paraId="7CEF5F62" w14:textId="77777777" w:rsidTr="00645CA8">
        <w:trPr>
          <w:trHeight w:val="219"/>
        </w:trPr>
        <w:tc>
          <w:tcPr>
            <w:tcW w:w="6522" w:type="dxa"/>
          </w:tcPr>
          <w:p w14:paraId="23E13BBA" w14:textId="77777777" w:rsidR="00DC3802" w:rsidRPr="00364AE9" w:rsidRDefault="00DC3802" w:rsidP="00AC2883">
            <w:pPr>
              <w:pStyle w:val="upove"/>
              <w:rPr>
                <w:lang w:val="es-ES"/>
              </w:rPr>
            </w:pPr>
            <w:r w:rsidRPr="00364AE9">
              <w:rPr>
                <w:lang w:val="es-ES"/>
              </w:rPr>
              <w:t>Unión Internacional para la Protección de las Obtenciones Vegetales</w:t>
            </w:r>
          </w:p>
        </w:tc>
        <w:tc>
          <w:tcPr>
            <w:tcW w:w="3117" w:type="dxa"/>
          </w:tcPr>
          <w:p w14:paraId="12BD22DE" w14:textId="77777777" w:rsidR="00DC3802" w:rsidRPr="00364AE9" w:rsidRDefault="00DC3802" w:rsidP="00DA4973">
            <w:pPr>
              <w:rPr>
                <w:lang w:val="es-ES"/>
              </w:rPr>
            </w:pPr>
          </w:p>
        </w:tc>
      </w:tr>
    </w:tbl>
    <w:p w14:paraId="062B3069" w14:textId="77777777" w:rsidR="00DC3802" w:rsidRPr="00364AE9" w:rsidRDefault="00DC3802" w:rsidP="00DC3802">
      <w:pPr>
        <w:rPr>
          <w:lang w:val="es-ES"/>
        </w:rPr>
      </w:pPr>
    </w:p>
    <w:p w14:paraId="41ECDEB9" w14:textId="77777777" w:rsidR="0004297B" w:rsidRPr="00364AE9" w:rsidRDefault="0004297B" w:rsidP="0004297B">
      <w:pPr>
        <w:rPr>
          <w:lang w:val="es-ES"/>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04297B" w:rsidRPr="00364AE9" w14:paraId="1B9DC9D9" w14:textId="77777777" w:rsidTr="00EB56DD">
        <w:tc>
          <w:tcPr>
            <w:tcW w:w="6512" w:type="dxa"/>
          </w:tcPr>
          <w:p w14:paraId="54E53891" w14:textId="7E52B0F9" w:rsidR="00364AE9" w:rsidRPr="00364AE9" w:rsidRDefault="000A6BD5" w:rsidP="00364AE9">
            <w:pPr>
              <w:pStyle w:val="Sessiontc"/>
              <w:spacing w:line="240" w:lineRule="auto"/>
              <w:ind w:right="126"/>
              <w:rPr>
                <w:lang w:val="es-ES"/>
              </w:rPr>
            </w:pPr>
            <w:r>
              <w:rPr>
                <w:lang w:val="es-ES"/>
              </w:rPr>
              <w:t>Grupo de trabajo sobre el producto de la cosecha y la utilización no autorizada de material de reproducción o de multiplicación</w:t>
            </w:r>
          </w:p>
          <w:p w14:paraId="413C8D07" w14:textId="21D609C7" w:rsidR="00A73882" w:rsidRPr="00364AE9" w:rsidRDefault="0023616B" w:rsidP="00A73882">
            <w:pPr>
              <w:pStyle w:val="Sessiontcplacedate"/>
              <w:rPr>
                <w:lang w:val="es-ES"/>
              </w:rPr>
            </w:pPr>
            <w:r w:rsidRPr="00364AE9">
              <w:rPr>
                <w:lang w:val="es-ES"/>
              </w:rPr>
              <w:t xml:space="preserve">Séptima </w:t>
            </w:r>
            <w:r w:rsidR="00A73882" w:rsidRPr="00364AE9">
              <w:rPr>
                <w:lang w:val="es-ES"/>
              </w:rPr>
              <w:t>reunión</w:t>
            </w:r>
          </w:p>
          <w:p w14:paraId="4AFB0F46" w14:textId="4B2C142D" w:rsidR="0004297B" w:rsidRPr="00364AE9" w:rsidRDefault="00A73882" w:rsidP="00644B33">
            <w:pPr>
              <w:pStyle w:val="Sessiontcplacedate"/>
              <w:rPr>
                <w:sz w:val="22"/>
                <w:lang w:val="es-ES"/>
              </w:rPr>
            </w:pPr>
            <w:r w:rsidRPr="00364AE9">
              <w:rPr>
                <w:lang w:val="es-ES"/>
              </w:rPr>
              <w:t xml:space="preserve">Ginebra, </w:t>
            </w:r>
            <w:r w:rsidR="0023616B" w:rsidRPr="00364AE9">
              <w:rPr>
                <w:lang w:val="es-ES"/>
              </w:rPr>
              <w:t>20 de marzo de 2025</w:t>
            </w:r>
          </w:p>
        </w:tc>
        <w:tc>
          <w:tcPr>
            <w:tcW w:w="3127" w:type="dxa"/>
          </w:tcPr>
          <w:p w14:paraId="1C85C015" w14:textId="456702F4" w:rsidR="0004297B" w:rsidRPr="00364AE9" w:rsidRDefault="009A087F" w:rsidP="00EB56DD">
            <w:pPr>
              <w:pStyle w:val="Doccode"/>
              <w:rPr>
                <w:lang w:val="es-ES"/>
              </w:rPr>
            </w:pPr>
            <w:r w:rsidRPr="00364AE9">
              <w:rPr>
                <w:lang w:val="es-ES"/>
              </w:rPr>
              <w:t>WG-HRV/7/2</w:t>
            </w:r>
          </w:p>
          <w:p w14:paraId="52269C53" w14:textId="77777777" w:rsidR="0004297B" w:rsidRPr="00364AE9" w:rsidRDefault="0004297B" w:rsidP="00EB56DD">
            <w:pPr>
              <w:pStyle w:val="Doccode"/>
              <w:rPr>
                <w:lang w:val="es-ES"/>
              </w:rPr>
            </w:pPr>
          </w:p>
          <w:p w14:paraId="2E480CEC" w14:textId="77777777" w:rsidR="0004297B" w:rsidRPr="00364AE9" w:rsidRDefault="0004297B" w:rsidP="00EB56DD">
            <w:pPr>
              <w:pStyle w:val="Docoriginal"/>
              <w:rPr>
                <w:lang w:val="es-ES"/>
              </w:rPr>
            </w:pPr>
            <w:r w:rsidRPr="00364AE9">
              <w:rPr>
                <w:lang w:val="es-ES"/>
              </w:rPr>
              <w:t>Original:</w:t>
            </w:r>
            <w:r w:rsidRPr="00364AE9">
              <w:rPr>
                <w:b w:val="0"/>
                <w:spacing w:val="0"/>
                <w:lang w:val="es-ES"/>
              </w:rPr>
              <w:t xml:space="preserve">  Inglés</w:t>
            </w:r>
          </w:p>
          <w:p w14:paraId="1D247B60" w14:textId="5AE20B18" w:rsidR="0004297B" w:rsidRPr="00364AE9" w:rsidRDefault="0004297B" w:rsidP="00644B33">
            <w:pPr>
              <w:pStyle w:val="Docoriginal"/>
              <w:rPr>
                <w:lang w:val="es-ES"/>
              </w:rPr>
            </w:pPr>
            <w:r w:rsidRPr="00364AE9">
              <w:rPr>
                <w:lang w:val="es-ES"/>
              </w:rPr>
              <w:t>Fecha:</w:t>
            </w:r>
            <w:r w:rsidRPr="00364AE9">
              <w:rPr>
                <w:b w:val="0"/>
                <w:spacing w:val="0"/>
                <w:lang w:val="es-ES"/>
              </w:rPr>
              <w:t xml:space="preserve">  </w:t>
            </w:r>
            <w:r w:rsidR="004B70E3" w:rsidRPr="00364AE9">
              <w:rPr>
                <w:b w:val="0"/>
                <w:spacing w:val="0"/>
                <w:lang w:val="es-ES"/>
              </w:rPr>
              <w:t xml:space="preserve"> 25 de</w:t>
            </w:r>
            <w:r w:rsidR="00BB406D" w:rsidRPr="00364AE9">
              <w:rPr>
                <w:b w:val="0"/>
                <w:spacing w:val="0"/>
                <w:lang w:val="es-ES"/>
              </w:rPr>
              <w:t xml:space="preserve"> febrero </w:t>
            </w:r>
            <w:r w:rsidR="0023616B" w:rsidRPr="00364AE9">
              <w:rPr>
                <w:b w:val="0"/>
                <w:spacing w:val="0"/>
                <w:lang w:val="es-ES"/>
              </w:rPr>
              <w:t>de 2025</w:t>
            </w:r>
          </w:p>
        </w:tc>
      </w:tr>
    </w:tbl>
    <w:p w14:paraId="0F55579C" w14:textId="75B3D567" w:rsidR="0004297B" w:rsidRPr="00364AE9" w:rsidRDefault="00BB406D" w:rsidP="0004297B">
      <w:pPr>
        <w:pStyle w:val="Titleofdoc0"/>
        <w:rPr>
          <w:lang w:val="es-ES"/>
        </w:rPr>
      </w:pPr>
      <w:r w:rsidRPr="00364AE9">
        <w:rPr>
          <w:lang w:val="es-ES"/>
        </w:rPr>
        <w:t xml:space="preserve">Informe </w:t>
      </w:r>
      <w:r w:rsidR="00364AE9" w:rsidRPr="00364AE9">
        <w:rPr>
          <w:lang w:val="es-ES"/>
        </w:rPr>
        <w:t>sobre los progresos realizados por los autores del estudio sobre el “Alcance del derecho de obtentor” y la relación con el “Agotamiento del derecho de obtentor”</w:t>
      </w:r>
    </w:p>
    <w:p w14:paraId="580EC3FA" w14:textId="4BA03317" w:rsidR="0004297B" w:rsidRPr="00364AE9" w:rsidRDefault="0004297B" w:rsidP="0004297B">
      <w:pPr>
        <w:pStyle w:val="preparedby1"/>
        <w:jc w:val="left"/>
        <w:rPr>
          <w:lang w:val="es-ES"/>
        </w:rPr>
      </w:pPr>
      <w:r w:rsidRPr="00364AE9">
        <w:rPr>
          <w:lang w:val="es-ES"/>
        </w:rPr>
        <w:t>preparado por la Oficina de la Unión</w:t>
      </w:r>
    </w:p>
    <w:p w14:paraId="7393E00E" w14:textId="77777777" w:rsidR="00364AE9" w:rsidRPr="00364AE9" w:rsidRDefault="00364AE9" w:rsidP="00364AE9">
      <w:pPr>
        <w:pStyle w:val="Disclaimer"/>
        <w:rPr>
          <w:lang w:val="es-ES"/>
        </w:rPr>
      </w:pPr>
      <w:r w:rsidRPr="00364AE9">
        <w:rPr>
          <w:lang w:val="es-ES"/>
        </w:rPr>
        <w:t>Descargo de responsabilidad: el presente documento no constituye un documento de política u orientación de la UPOV.</w:t>
      </w:r>
      <w:r w:rsidRPr="00364AE9">
        <w:rPr>
          <w:lang w:val="es-ES"/>
        </w:rPr>
        <w:br/>
      </w:r>
      <w:r w:rsidRPr="00364AE9">
        <w:rPr>
          <w:lang w:val="es-ES"/>
        </w:rPr>
        <w:br/>
        <w:t>Este documento se ha generado mediante traducción automática y no puede garantizarse su exactitud. Por lo tanto, el texto en el idioma original es la única versión auténtica.</w:t>
      </w:r>
    </w:p>
    <w:p w14:paraId="733A9185" w14:textId="594A8925" w:rsidR="00BB406D" w:rsidRPr="00364AE9" w:rsidRDefault="00BB406D" w:rsidP="000A6BD5">
      <w:pPr>
        <w:tabs>
          <w:tab w:val="left" w:pos="567"/>
        </w:tabs>
        <w:rPr>
          <w:rFonts w:cs="Arial"/>
          <w:lang w:val="es-ES"/>
        </w:rPr>
      </w:pPr>
      <w:r w:rsidRPr="00416F54">
        <w:rPr>
          <w:rFonts w:cs="Arial"/>
        </w:rPr>
        <w:fldChar w:fldCharType="begin"/>
      </w:r>
      <w:r w:rsidRPr="00364AE9">
        <w:rPr>
          <w:rFonts w:cs="Arial"/>
          <w:lang w:val="es-ES"/>
        </w:rPr>
        <w:instrText xml:space="preserve"> AUTONUM  </w:instrText>
      </w:r>
      <w:r w:rsidRPr="00416F54">
        <w:rPr>
          <w:rFonts w:cs="Arial"/>
        </w:rPr>
        <w:fldChar w:fldCharType="end"/>
      </w:r>
      <w:r w:rsidRPr="00364AE9">
        <w:rPr>
          <w:rFonts w:cs="Arial"/>
          <w:lang w:val="es-ES"/>
        </w:rPr>
        <w:tab/>
        <w:t xml:space="preserve">El presente documento tiene por objeto invitar al </w:t>
      </w:r>
      <w:r w:rsidR="000A6BD5">
        <w:rPr>
          <w:rFonts w:cs="Arial"/>
          <w:lang w:val="es-ES"/>
        </w:rPr>
        <w:t>Grupo de trabajo sobre el producto de la cosecha y la utilización no autorizada de material de reproducción o de multiplicación</w:t>
      </w:r>
      <w:r w:rsidRPr="00364AE9">
        <w:rPr>
          <w:rFonts w:cs="Arial"/>
          <w:lang w:val="es-ES"/>
        </w:rPr>
        <w:t xml:space="preserve"> (</w:t>
      </w:r>
      <w:r w:rsidR="000A6BD5">
        <w:rPr>
          <w:rFonts w:cs="Arial"/>
          <w:lang w:val="es-ES"/>
        </w:rPr>
        <w:t>WG-HRV</w:t>
      </w:r>
      <w:r w:rsidRPr="00364AE9">
        <w:rPr>
          <w:rFonts w:cs="Arial"/>
          <w:lang w:val="es-ES"/>
        </w:rPr>
        <w:t xml:space="preserve">) a tomar nota del informe </w:t>
      </w:r>
      <w:r w:rsidR="000A6BD5" w:rsidRPr="000A6BD5">
        <w:rPr>
          <w:lang w:val="es-ES"/>
        </w:rPr>
        <w:t>sobre los progresos realizados por los autores del estudio sobre el “Alcance del derecho de obtentor” y la relación con el “</w:t>
      </w:r>
      <w:r w:rsidR="000A6BD5" w:rsidRPr="000A6BD5">
        <w:rPr>
          <w:rFonts w:cs="Arial"/>
          <w:lang w:val="es-ES"/>
        </w:rPr>
        <w:t>Agotamiento del derecho de obtentor”</w:t>
      </w:r>
      <w:r w:rsidRPr="00364AE9">
        <w:rPr>
          <w:rFonts w:cs="Arial"/>
          <w:lang w:val="es-ES"/>
        </w:rPr>
        <w:t>.</w:t>
      </w:r>
    </w:p>
    <w:p w14:paraId="7F6481AC" w14:textId="77777777" w:rsidR="00544581" w:rsidRPr="00364AE9" w:rsidRDefault="00544581">
      <w:pPr>
        <w:jc w:val="left"/>
        <w:rPr>
          <w:lang w:val="es-ES"/>
        </w:rPr>
      </w:pPr>
    </w:p>
    <w:p w14:paraId="343696F5" w14:textId="774B1AFF" w:rsidR="006B0877" w:rsidRPr="00364AE9" w:rsidRDefault="006B0877" w:rsidP="006B0877">
      <w:pPr>
        <w:rPr>
          <w:lang w:val="es-ES"/>
        </w:rPr>
      </w:pPr>
      <w:r>
        <w:fldChar w:fldCharType="begin"/>
      </w:r>
      <w:r w:rsidRPr="00364AE9">
        <w:rPr>
          <w:lang w:val="es-ES"/>
        </w:rPr>
        <w:instrText xml:space="preserve"> AUTONUM  </w:instrText>
      </w:r>
      <w:r>
        <w:fldChar w:fldCharType="end"/>
      </w:r>
      <w:r w:rsidRPr="00364AE9">
        <w:rPr>
          <w:lang w:val="es-ES"/>
        </w:rPr>
        <w:tab/>
        <w:t>El informe de facilitado por los autores se reproduce en el Anexo I del presente documento.</w:t>
      </w:r>
      <w:r w:rsidR="000A6BD5">
        <w:rPr>
          <w:lang w:val="es-ES"/>
        </w:rPr>
        <w:t xml:space="preserve"> </w:t>
      </w:r>
      <w:r w:rsidR="003F2907" w:rsidRPr="00364AE9">
        <w:rPr>
          <w:lang w:val="es-ES"/>
        </w:rPr>
        <w:t xml:space="preserve"> </w:t>
      </w:r>
      <w:r w:rsidR="002456DE" w:rsidRPr="00364AE9">
        <w:rPr>
          <w:lang w:val="es-ES"/>
        </w:rPr>
        <w:t xml:space="preserve">Los Términos de Referencia del estudio </w:t>
      </w:r>
      <w:r w:rsidR="003F2907" w:rsidRPr="00364AE9">
        <w:rPr>
          <w:lang w:val="es-ES"/>
        </w:rPr>
        <w:t xml:space="preserve">aprobados por el WG-HRV, en su sexta reunión, se </w:t>
      </w:r>
      <w:r w:rsidR="004B70E3" w:rsidRPr="00364AE9">
        <w:rPr>
          <w:lang w:val="es-ES"/>
        </w:rPr>
        <w:t xml:space="preserve">reproducen en el Anexo </w:t>
      </w:r>
      <w:r w:rsidR="002456DE" w:rsidRPr="00364AE9">
        <w:rPr>
          <w:lang w:val="es-ES"/>
        </w:rPr>
        <w:t xml:space="preserve">II </w:t>
      </w:r>
      <w:r w:rsidR="004B70E3" w:rsidRPr="00364AE9">
        <w:rPr>
          <w:lang w:val="es-ES"/>
        </w:rPr>
        <w:t>de este documento.</w:t>
      </w:r>
    </w:p>
    <w:p w14:paraId="3F20E338" w14:textId="77777777" w:rsidR="006B0877" w:rsidRPr="00364AE9" w:rsidRDefault="006B0877">
      <w:pPr>
        <w:jc w:val="left"/>
        <w:rPr>
          <w:lang w:val="es-ES"/>
        </w:rPr>
      </w:pPr>
    </w:p>
    <w:p w14:paraId="50CCA8C5" w14:textId="77777777" w:rsidR="009E6486" w:rsidRPr="00364AE9" w:rsidRDefault="009E6486">
      <w:pPr>
        <w:jc w:val="left"/>
        <w:rPr>
          <w:lang w:val="es-ES"/>
        </w:rPr>
      </w:pPr>
    </w:p>
    <w:p w14:paraId="6B4F2D81" w14:textId="5D6859E0" w:rsidR="009E6486" w:rsidRPr="00364AE9" w:rsidRDefault="009E6486" w:rsidP="00C96D62">
      <w:pPr>
        <w:pStyle w:val="Heading1"/>
        <w:rPr>
          <w:lang w:val="es-ES"/>
        </w:rPr>
      </w:pPr>
      <w:bookmarkStart w:id="0" w:name="_Toc172119333"/>
      <w:r w:rsidRPr="00364AE9">
        <w:rPr>
          <w:lang w:val="es-ES"/>
        </w:rPr>
        <w:t>ANTECEDENTES</w:t>
      </w:r>
      <w:bookmarkEnd w:id="0"/>
    </w:p>
    <w:p w14:paraId="0E3FB0DA" w14:textId="77777777" w:rsidR="009E6486" w:rsidRPr="00364AE9" w:rsidRDefault="009E6486" w:rsidP="009E6486">
      <w:pPr>
        <w:rPr>
          <w:color w:val="262626"/>
          <w:lang w:val="es-ES"/>
        </w:rPr>
      </w:pPr>
    </w:p>
    <w:p w14:paraId="106C2305" w14:textId="5F34E733" w:rsidR="009E6486" w:rsidRPr="00364AE9" w:rsidRDefault="009E6486" w:rsidP="009E6486">
      <w:pPr>
        <w:rPr>
          <w:lang w:val="es-ES"/>
        </w:rPr>
      </w:pPr>
      <w:r>
        <w:rPr>
          <w:lang w:val="en-GB"/>
        </w:rPr>
        <w:fldChar w:fldCharType="begin"/>
      </w:r>
      <w:r w:rsidRPr="00364AE9">
        <w:rPr>
          <w:lang w:val="es-ES"/>
        </w:rPr>
        <w:instrText xml:space="preserve"> AUTONUM  </w:instrText>
      </w:r>
      <w:r>
        <w:rPr>
          <w:lang w:val="en-GB"/>
        </w:rPr>
        <w:fldChar w:fldCharType="end"/>
      </w:r>
      <w:r w:rsidRPr="00364AE9">
        <w:rPr>
          <w:lang w:val="es-ES"/>
        </w:rPr>
        <w:tab/>
        <w:t>El WG-HRV</w:t>
      </w:r>
      <w:r w:rsidR="003022C5" w:rsidRPr="00364AE9">
        <w:rPr>
          <w:lang w:val="es-ES"/>
        </w:rPr>
        <w:t>, durante su sexta reunión</w:t>
      </w:r>
      <w:r w:rsidR="003022C5">
        <w:rPr>
          <w:rStyle w:val="FootnoteReference"/>
          <w:color w:val="262626"/>
        </w:rPr>
        <w:footnoteReference w:id="2"/>
      </w:r>
      <w:r w:rsidRPr="00364AE9">
        <w:rPr>
          <w:lang w:val="es-ES"/>
        </w:rPr>
        <w:t xml:space="preserve"> , acordó </w:t>
      </w:r>
      <w:r w:rsidR="000A6BD5" w:rsidRPr="005F086E">
        <w:rPr>
          <w:lang w:val="es-ES"/>
        </w:rPr>
        <w:t xml:space="preserve">que la redacción del estudio debería seguir un enfoque independiente en consonancia con las normas académicas, que los autores revelarían los posibles conflictos de intereses en consonancia con las normas académicas y que las conclusiones no serían vinculantes para los miembros de la UPOV. </w:t>
      </w:r>
      <w:r w:rsidR="000A6BD5">
        <w:rPr>
          <w:lang w:val="es-ES"/>
        </w:rPr>
        <w:t xml:space="preserve"> </w:t>
      </w:r>
      <w:r w:rsidR="000A6BD5" w:rsidRPr="005F086E">
        <w:rPr>
          <w:lang w:val="es-ES"/>
        </w:rPr>
        <w:t>El WG-HRV acordó incluir en el informe del estudio que el propósito del mismo era asistir al WG-</w:t>
      </w:r>
      <w:r w:rsidR="000A6BD5">
        <w:rPr>
          <w:lang w:val="es-ES"/>
        </w:rPr>
        <w:t> </w:t>
      </w:r>
      <w:r w:rsidR="000A6BD5" w:rsidRPr="005F086E">
        <w:rPr>
          <w:lang w:val="es-ES"/>
        </w:rPr>
        <w:t xml:space="preserve">HRV en sus deliberaciones de conformidad con sus </w:t>
      </w:r>
      <w:r w:rsidR="00A370DC">
        <w:rPr>
          <w:lang w:val="es-ES"/>
        </w:rPr>
        <w:t>mandato</w:t>
      </w:r>
      <w:r w:rsidR="000A6BD5" w:rsidRPr="005F086E">
        <w:rPr>
          <w:lang w:val="es-ES"/>
        </w:rPr>
        <w:t xml:space="preserve"> sin crear ninguna obligación para el WG-HRV o los miembros de la UPOV.</w:t>
      </w:r>
      <w:r w:rsidR="000A6BD5">
        <w:rPr>
          <w:lang w:val="es-ES"/>
        </w:rPr>
        <w:t xml:space="preserve"> </w:t>
      </w:r>
      <w:r w:rsidR="000A6BD5" w:rsidRPr="005F086E">
        <w:rPr>
          <w:lang w:val="es-ES"/>
        </w:rPr>
        <w:t xml:space="preserve"> El WG-HRV acordó asimismo que la situación del informe del estudio sería un documento del WG-HRV que estaría disponible en el sitio Web de la UPOV dedicado al WG-</w:t>
      </w:r>
      <w:r w:rsidR="000A6BD5">
        <w:rPr>
          <w:lang w:val="es-ES"/>
        </w:rPr>
        <w:t> </w:t>
      </w:r>
      <w:r w:rsidR="000A6BD5" w:rsidRPr="005F086E">
        <w:rPr>
          <w:lang w:val="es-ES"/>
        </w:rPr>
        <w:t xml:space="preserve">HRV.  </w:t>
      </w:r>
      <w:r w:rsidR="000A6BD5" w:rsidRPr="00731500">
        <w:rPr>
          <w:lang w:val="es-ES"/>
        </w:rPr>
        <w:t>El WG- HRV tomó nota de que no estaba prevista una publicación separada del informe del estudio.</w:t>
      </w:r>
    </w:p>
    <w:p w14:paraId="1F88342F" w14:textId="77777777" w:rsidR="009E6486" w:rsidRPr="00364AE9" w:rsidRDefault="009E6486" w:rsidP="009E6486">
      <w:pPr>
        <w:rPr>
          <w:lang w:val="es-ES"/>
        </w:rPr>
      </w:pPr>
    </w:p>
    <w:p w14:paraId="4746BFD9" w14:textId="264F9F96" w:rsidR="009E6486" w:rsidRPr="00364AE9" w:rsidRDefault="009E6486" w:rsidP="009E6486">
      <w:pPr>
        <w:rPr>
          <w:lang w:val="es-ES"/>
        </w:rPr>
      </w:pPr>
      <w:r>
        <w:rPr>
          <w:lang w:val="en-GB"/>
        </w:rPr>
        <w:fldChar w:fldCharType="begin"/>
      </w:r>
      <w:r w:rsidRPr="00364AE9">
        <w:rPr>
          <w:lang w:val="es-ES"/>
        </w:rPr>
        <w:instrText xml:space="preserve"> AUTONUM  </w:instrText>
      </w:r>
      <w:r>
        <w:rPr>
          <w:lang w:val="en-GB"/>
        </w:rPr>
        <w:fldChar w:fldCharType="end"/>
      </w:r>
      <w:r w:rsidRPr="00364AE9">
        <w:rPr>
          <w:lang w:val="es-ES"/>
        </w:rPr>
        <w:tab/>
      </w:r>
      <w:r w:rsidR="000A6BD5" w:rsidRPr="000A6BD5">
        <w:rPr>
          <w:lang w:val="es-ES"/>
        </w:rPr>
        <w:t>En relación con el calendario propuesto, el WG-HRV acordó que los avances en el trabajo de los autores deberían comunicarse a finales de febrero para su consideración durante la séptima reunión del WG-HRV, en marzo de 2025, y que se esperaría un informe final para el 1 de septiembre de 2025.</w:t>
      </w:r>
    </w:p>
    <w:p w14:paraId="003ABA55" w14:textId="77777777" w:rsidR="009E6486" w:rsidRPr="00364AE9" w:rsidRDefault="009E6486" w:rsidP="009E6486">
      <w:pPr>
        <w:rPr>
          <w:lang w:val="es-ES"/>
        </w:rPr>
      </w:pPr>
    </w:p>
    <w:p w14:paraId="680B01D4" w14:textId="10D67156" w:rsidR="009E6486" w:rsidRPr="00364AE9" w:rsidRDefault="009E6486" w:rsidP="009E6486">
      <w:pPr>
        <w:rPr>
          <w:lang w:val="es-ES"/>
        </w:rPr>
      </w:pPr>
      <w:r>
        <w:rPr>
          <w:lang w:val="en-GB"/>
        </w:rPr>
        <w:fldChar w:fldCharType="begin"/>
      </w:r>
      <w:r w:rsidRPr="00364AE9">
        <w:rPr>
          <w:lang w:val="es-ES"/>
        </w:rPr>
        <w:instrText xml:space="preserve"> AUTONUM  </w:instrText>
      </w:r>
      <w:r>
        <w:rPr>
          <w:lang w:val="en-GB"/>
        </w:rPr>
        <w:fldChar w:fldCharType="end"/>
      </w:r>
      <w:r w:rsidRPr="00364AE9">
        <w:rPr>
          <w:lang w:val="es-ES"/>
        </w:rPr>
        <w:tab/>
      </w:r>
      <w:r w:rsidR="000A6BD5" w:rsidRPr="005F086E">
        <w:rPr>
          <w:lang w:val="es-ES"/>
        </w:rPr>
        <w:t>El WG-HRV acordó que las posibles preguntas formuladas por los autores sobre cuestiones prácticas de escasa complejidad serían tratadas por la Oficina de la Unión. El WG-HRV también acordó que las preguntas complejas o las solicitudes de orientación sustantiva por parte de los autores se remitirían al WG-</w:t>
      </w:r>
      <w:r w:rsidR="000A6BD5">
        <w:rPr>
          <w:lang w:val="es-ES"/>
        </w:rPr>
        <w:t> </w:t>
      </w:r>
      <w:r w:rsidR="000A6BD5" w:rsidRPr="005F086E">
        <w:rPr>
          <w:lang w:val="es-ES"/>
        </w:rPr>
        <w:t>HRV, en su(s) reunión(es), o mediante un procedimiento escrito, según proceda</w:t>
      </w:r>
      <w:r w:rsidR="000A6BD5" w:rsidRPr="000A6BD5">
        <w:rPr>
          <w:lang w:val="es-ES"/>
        </w:rPr>
        <w:t xml:space="preserve"> </w:t>
      </w:r>
      <w:r w:rsidR="000A6BD5" w:rsidRPr="00364AE9">
        <w:rPr>
          <w:lang w:val="es-ES"/>
        </w:rPr>
        <w:t>(véase el documento WG-HRV/6/3 "Informe", párrafos 13 a 15)</w:t>
      </w:r>
      <w:r w:rsidR="000A6BD5">
        <w:rPr>
          <w:lang w:val="es-ES"/>
        </w:rPr>
        <w:t>.</w:t>
      </w:r>
    </w:p>
    <w:p w14:paraId="1CD01657" w14:textId="77777777" w:rsidR="00BB406D" w:rsidRPr="00364AE9" w:rsidRDefault="00BB406D" w:rsidP="00050E16">
      <w:pPr>
        <w:rPr>
          <w:lang w:val="es-ES"/>
        </w:rPr>
      </w:pPr>
    </w:p>
    <w:p w14:paraId="28BD1F9F" w14:textId="67745041" w:rsidR="00F9465F" w:rsidRPr="00364AE9" w:rsidRDefault="00F9465F">
      <w:pPr>
        <w:jc w:val="left"/>
        <w:rPr>
          <w:lang w:val="es-ES"/>
        </w:rPr>
      </w:pPr>
      <w:r w:rsidRPr="00364AE9">
        <w:rPr>
          <w:lang w:val="es-ES"/>
        </w:rPr>
        <w:br w:type="page"/>
      </w:r>
    </w:p>
    <w:p w14:paraId="18DCF121" w14:textId="2FED109D" w:rsidR="006B0877" w:rsidRPr="00364AE9" w:rsidRDefault="006B0877" w:rsidP="006B0877">
      <w:pPr>
        <w:pStyle w:val="Heading1"/>
        <w:rPr>
          <w:lang w:val="es-ES"/>
        </w:rPr>
      </w:pPr>
      <w:bookmarkStart w:id="1" w:name="_Toc172119334"/>
      <w:r w:rsidRPr="00364AE9">
        <w:rPr>
          <w:lang w:val="es-ES"/>
        </w:rPr>
        <w:lastRenderedPageBreak/>
        <w:t>Reunión con</w:t>
      </w:r>
      <w:bookmarkEnd w:id="1"/>
      <w:r w:rsidRPr="00364AE9">
        <w:rPr>
          <w:lang w:val="es-ES"/>
        </w:rPr>
        <w:t xml:space="preserve"> LOS autores del estudio el 31 de enero de 2025</w:t>
      </w:r>
    </w:p>
    <w:p w14:paraId="08DA0732" w14:textId="77777777" w:rsidR="002456DE" w:rsidRPr="00364AE9" w:rsidRDefault="002456DE" w:rsidP="004B70E3">
      <w:pPr>
        <w:rPr>
          <w:lang w:val="es-ES"/>
        </w:rPr>
      </w:pPr>
    </w:p>
    <w:p w14:paraId="0EC741F0" w14:textId="2F178588" w:rsidR="002456DE" w:rsidRPr="00364AE9" w:rsidRDefault="002456DE" w:rsidP="002456DE">
      <w:pPr>
        <w:rPr>
          <w:lang w:val="es-ES"/>
        </w:rPr>
      </w:pPr>
      <w:r>
        <w:fldChar w:fldCharType="begin"/>
      </w:r>
      <w:r w:rsidRPr="00364AE9">
        <w:rPr>
          <w:lang w:val="es-ES"/>
        </w:rPr>
        <w:instrText xml:space="preserve"> AUTONUM  </w:instrText>
      </w:r>
      <w:r>
        <w:fldChar w:fldCharType="end"/>
      </w:r>
      <w:r w:rsidRPr="00364AE9">
        <w:rPr>
          <w:lang w:val="es-ES"/>
        </w:rPr>
        <w:tab/>
        <w:t>La Oficina de la Unión se reunió en línea con los autores del estudio para responder a cualquier pregunta sobre el proceso</w:t>
      </w:r>
      <w:r w:rsidR="0003071A" w:rsidRPr="00364AE9">
        <w:rPr>
          <w:lang w:val="es-ES"/>
        </w:rPr>
        <w:t xml:space="preserve">, </w:t>
      </w:r>
      <w:r w:rsidR="003F2907" w:rsidRPr="00364AE9">
        <w:rPr>
          <w:lang w:val="es-ES"/>
        </w:rPr>
        <w:t>explicar lo que se esperaba en la reunión WG-HRV/7</w:t>
      </w:r>
      <w:bookmarkStart w:id="2" w:name="_Hlk191414578"/>
      <w:bookmarkEnd w:id="2"/>
      <w:r w:rsidR="0003071A" w:rsidRPr="00364AE9">
        <w:rPr>
          <w:lang w:val="es-ES"/>
        </w:rPr>
        <w:t xml:space="preserve"> que se celebrará el 20 marzo de 2025 y proporcionar información práctica para su participación en la reunión</w:t>
      </w:r>
      <w:r w:rsidRPr="00364AE9">
        <w:rPr>
          <w:lang w:val="es-ES"/>
        </w:rPr>
        <w:t>.</w:t>
      </w:r>
      <w:r w:rsidR="000A6BD5">
        <w:rPr>
          <w:lang w:val="es-ES"/>
        </w:rPr>
        <w:t xml:space="preserve"> </w:t>
      </w:r>
      <w:r w:rsidRPr="00364AE9">
        <w:rPr>
          <w:lang w:val="es-ES"/>
        </w:rPr>
        <w:t xml:space="preserve"> Se explicó que el objetivo de la reunión del WG-HRV/7, que se celebrará el 20 marzo de 2025, era proporcionar un informe de progreso, no discutir el fondo del estudio. </w:t>
      </w:r>
    </w:p>
    <w:p w14:paraId="023E9928" w14:textId="77777777" w:rsidR="002456DE" w:rsidRPr="00364AE9" w:rsidRDefault="002456DE" w:rsidP="002456DE">
      <w:pPr>
        <w:rPr>
          <w:lang w:val="es-ES"/>
        </w:rPr>
      </w:pPr>
    </w:p>
    <w:p w14:paraId="5C93562D" w14:textId="77777777" w:rsidR="00CB7C6C" w:rsidRPr="00364AE9" w:rsidRDefault="00CB7C6C" w:rsidP="00CB7C6C">
      <w:pPr>
        <w:rPr>
          <w:lang w:val="es-ES"/>
        </w:rPr>
      </w:pPr>
    </w:p>
    <w:p w14:paraId="1E3D4775" w14:textId="3316E43D" w:rsidR="00220DC0" w:rsidRPr="00364AE9" w:rsidRDefault="0003071A" w:rsidP="00050E16">
      <w:pPr>
        <w:rPr>
          <w:lang w:val="es-ES"/>
        </w:rPr>
      </w:pPr>
      <w:r w:rsidRPr="00364AE9">
        <w:rPr>
          <w:lang w:val="es-ES"/>
        </w:rPr>
        <w:t>PRESENTACIÓN DE LOS AUTORES EN LA REUNIÓN DEL 20 DE MARZO DE 2025</w:t>
      </w:r>
    </w:p>
    <w:p w14:paraId="4D26E5EB" w14:textId="77777777" w:rsidR="0003071A" w:rsidRPr="00364AE9" w:rsidRDefault="0003071A" w:rsidP="00050E16">
      <w:pPr>
        <w:rPr>
          <w:lang w:val="es-ES"/>
        </w:rPr>
      </w:pPr>
    </w:p>
    <w:p w14:paraId="1CE4ED08" w14:textId="1D420D6D" w:rsidR="0003071A" w:rsidRPr="00364AE9" w:rsidRDefault="0003071A" w:rsidP="00050E16">
      <w:pPr>
        <w:rPr>
          <w:lang w:val="es-ES"/>
        </w:rPr>
      </w:pPr>
      <w:r>
        <w:fldChar w:fldCharType="begin"/>
      </w:r>
      <w:r w:rsidRPr="00364AE9">
        <w:rPr>
          <w:lang w:val="es-ES"/>
        </w:rPr>
        <w:instrText xml:space="preserve"> AUTONUM  </w:instrText>
      </w:r>
      <w:r>
        <w:fldChar w:fldCharType="end"/>
      </w:r>
      <w:r w:rsidRPr="00364AE9">
        <w:rPr>
          <w:lang w:val="es-ES"/>
        </w:rPr>
        <w:tab/>
        <w:t xml:space="preserve">Los autores harán una presentación durante la reunión del </w:t>
      </w:r>
      <w:r w:rsidR="000A6BD5">
        <w:rPr>
          <w:lang w:val="es-ES"/>
        </w:rPr>
        <w:t>WG-HRV</w:t>
      </w:r>
      <w:r w:rsidRPr="00364AE9">
        <w:rPr>
          <w:lang w:val="es-ES"/>
        </w:rPr>
        <w:t xml:space="preserve">/7 basada en el informe de situación que se reproduce en el Anexo I de este documento.  </w:t>
      </w:r>
    </w:p>
    <w:p w14:paraId="5F681CD6" w14:textId="77777777" w:rsidR="0003071A" w:rsidRPr="00364AE9" w:rsidRDefault="0003071A" w:rsidP="00050E16">
      <w:pPr>
        <w:rPr>
          <w:lang w:val="es-ES"/>
        </w:rPr>
      </w:pPr>
    </w:p>
    <w:p w14:paraId="33DA4E54" w14:textId="77777777" w:rsidR="00C96D62" w:rsidRPr="00364AE9" w:rsidRDefault="00C96D62" w:rsidP="00050E16">
      <w:pPr>
        <w:rPr>
          <w:lang w:val="es-ES"/>
        </w:rPr>
      </w:pPr>
    </w:p>
    <w:p w14:paraId="4C7713EE" w14:textId="77777777" w:rsidR="00C96D62" w:rsidRPr="00364AE9" w:rsidRDefault="00C96D62" w:rsidP="00050E16">
      <w:pPr>
        <w:rPr>
          <w:lang w:val="es-ES"/>
        </w:rPr>
      </w:pPr>
    </w:p>
    <w:p w14:paraId="3B912CD3" w14:textId="3A7F8F65" w:rsidR="00BB406D" w:rsidRPr="00364AE9" w:rsidRDefault="00050E16" w:rsidP="00050E16">
      <w:pPr>
        <w:jc w:val="right"/>
        <w:rPr>
          <w:lang w:val="es-ES"/>
        </w:rPr>
        <w:sectPr w:rsidR="00BB406D" w:rsidRPr="00364AE9" w:rsidSect="0004198B">
          <w:headerReference w:type="default" r:id="rId9"/>
          <w:footerReference w:type="first" r:id="rId10"/>
          <w:pgSz w:w="11907" w:h="16840" w:code="9"/>
          <w:pgMar w:top="510" w:right="1134" w:bottom="1134" w:left="1134" w:header="510" w:footer="680" w:gutter="0"/>
          <w:pgNumType w:start="1"/>
          <w:cols w:space="720"/>
          <w:titlePg/>
        </w:sectPr>
      </w:pPr>
      <w:bookmarkStart w:id="3" w:name="_Hlk190942320"/>
      <w:r w:rsidRPr="00364AE9">
        <w:rPr>
          <w:lang w:val="es-ES"/>
        </w:rPr>
        <w:t>[</w:t>
      </w:r>
      <w:r w:rsidR="00BB406D" w:rsidRPr="00364AE9">
        <w:rPr>
          <w:lang w:val="es-ES"/>
        </w:rPr>
        <w:t xml:space="preserve">Sigue el Anexo </w:t>
      </w:r>
      <w:r w:rsidR="005061F5" w:rsidRPr="00364AE9">
        <w:rPr>
          <w:lang w:val="es-ES"/>
        </w:rPr>
        <w:t>I</w:t>
      </w:r>
      <w:r w:rsidRPr="00364AE9">
        <w:rPr>
          <w:lang w:val="es-ES"/>
        </w:rPr>
        <w:t>]</w:t>
      </w:r>
    </w:p>
    <w:bookmarkEnd w:id="3"/>
    <w:p w14:paraId="70BE677E" w14:textId="064D33BF" w:rsidR="00AA4578" w:rsidRPr="00364AE9" w:rsidRDefault="0003071A" w:rsidP="00AA4578">
      <w:pPr>
        <w:widowControl w:val="0"/>
        <w:autoSpaceDE w:val="0"/>
        <w:autoSpaceDN w:val="0"/>
        <w:spacing w:before="63" w:line="360" w:lineRule="auto"/>
        <w:ind w:left="302" w:right="318"/>
        <w:jc w:val="center"/>
        <w:rPr>
          <w:rFonts w:ascii="Times New Roman" w:hAnsi="Times New Roman"/>
          <w:b/>
          <w:sz w:val="24"/>
          <w:szCs w:val="22"/>
          <w:lang w:val="es-ES"/>
        </w:rPr>
      </w:pPr>
      <w:r w:rsidRPr="00364AE9">
        <w:rPr>
          <w:rFonts w:ascii="Times New Roman" w:hAnsi="Times New Roman"/>
          <w:b/>
          <w:sz w:val="24"/>
          <w:szCs w:val="22"/>
          <w:lang w:val="es-ES"/>
        </w:rPr>
        <w:lastRenderedPageBreak/>
        <w:t>INFORME DE SITUACIÓN</w:t>
      </w:r>
      <w:r w:rsidR="00C67F85" w:rsidRPr="00C67F85">
        <w:rPr>
          <w:lang w:val="es-ES"/>
        </w:rPr>
        <w:t xml:space="preserve"> </w:t>
      </w:r>
      <w:r w:rsidR="00C67F85" w:rsidRPr="00C67F85">
        <w:rPr>
          <w:rFonts w:ascii="Times New Roman" w:hAnsi="Times New Roman"/>
          <w:b/>
          <w:sz w:val="24"/>
          <w:szCs w:val="22"/>
          <w:lang w:val="es-ES"/>
        </w:rPr>
        <w:t>SOBRE LOS PROGRESOS REALIZADOS POR LOS AUTORES DEL ESTUDIO SOBRE EL “ALCANCE DEL DERECHO DE OBTENTOR” Y LA RELACIÓN CON EL “AGOTAMIENTO DEL DERECHO DE OBTENTOR”</w:t>
      </w:r>
    </w:p>
    <w:p w14:paraId="5395493A" w14:textId="77777777" w:rsidR="00AA4578" w:rsidRPr="00364AE9" w:rsidRDefault="00AA4578" w:rsidP="00AA4578">
      <w:pPr>
        <w:widowControl w:val="0"/>
        <w:autoSpaceDE w:val="0"/>
        <w:autoSpaceDN w:val="0"/>
        <w:spacing w:before="161" w:line="496" w:lineRule="auto"/>
        <w:ind w:left="2205" w:right="2221"/>
        <w:jc w:val="center"/>
        <w:rPr>
          <w:rFonts w:ascii="Times New Roman" w:hAnsi="Times New Roman"/>
          <w:b/>
          <w:sz w:val="24"/>
          <w:szCs w:val="22"/>
          <w:lang w:val="es-ES"/>
        </w:rPr>
      </w:pPr>
      <w:r w:rsidRPr="00364AE9">
        <w:rPr>
          <w:rFonts w:ascii="Times New Roman" w:hAnsi="Times New Roman"/>
          <w:b/>
          <w:smallCaps/>
          <w:spacing w:val="-2"/>
          <w:sz w:val="24"/>
          <w:szCs w:val="22"/>
          <w:lang w:val="es-ES"/>
        </w:rPr>
        <w:t>Huib Ghijsen, Viviane Kunisawa, Charles Lawson</w:t>
      </w:r>
      <w:r w:rsidRPr="00364AE9">
        <w:rPr>
          <w:rFonts w:ascii="Times New Roman" w:hAnsi="Times New Roman"/>
          <w:b/>
          <w:smallCaps/>
          <w:sz w:val="24"/>
          <w:szCs w:val="22"/>
          <w:lang w:val="es-ES"/>
        </w:rPr>
        <w:t xml:space="preserve">, Axel Metzger, Joseph </w:t>
      </w:r>
      <w:proofErr w:type="spellStart"/>
      <w:r w:rsidRPr="00364AE9">
        <w:rPr>
          <w:rFonts w:ascii="Times New Roman" w:hAnsi="Times New Roman"/>
          <w:b/>
          <w:smallCaps/>
          <w:sz w:val="24"/>
          <w:szCs w:val="22"/>
          <w:lang w:val="es-ES"/>
        </w:rPr>
        <w:t>Straus</w:t>
      </w:r>
      <w:proofErr w:type="spellEnd"/>
    </w:p>
    <w:p w14:paraId="21272B09" w14:textId="77777777" w:rsidR="00AA4578" w:rsidRPr="00364AE9" w:rsidRDefault="00AA4578" w:rsidP="00AA4578">
      <w:pPr>
        <w:widowControl w:val="0"/>
        <w:autoSpaceDE w:val="0"/>
        <w:autoSpaceDN w:val="0"/>
        <w:spacing w:before="4"/>
        <w:ind w:left="301" w:right="318"/>
        <w:jc w:val="center"/>
        <w:rPr>
          <w:rFonts w:ascii="Times New Roman" w:hAnsi="Times New Roman"/>
          <w:b/>
          <w:sz w:val="24"/>
          <w:szCs w:val="22"/>
          <w:lang w:val="es-ES"/>
        </w:rPr>
      </w:pPr>
      <w:r w:rsidRPr="00364AE9">
        <w:rPr>
          <w:rFonts w:ascii="Times New Roman" w:hAnsi="Times New Roman"/>
          <w:b/>
          <w:smallCaps/>
          <w:sz w:val="24"/>
          <w:szCs w:val="22"/>
          <w:lang w:val="es-ES"/>
        </w:rPr>
        <w:t xml:space="preserve">Primer informe 19 de febrero </w:t>
      </w:r>
      <w:r w:rsidRPr="00364AE9">
        <w:rPr>
          <w:rFonts w:ascii="Times New Roman" w:hAnsi="Times New Roman"/>
          <w:b/>
          <w:smallCaps/>
          <w:spacing w:val="-4"/>
          <w:sz w:val="24"/>
          <w:szCs w:val="22"/>
          <w:lang w:val="es-ES"/>
        </w:rPr>
        <w:t>de 2025</w:t>
      </w:r>
    </w:p>
    <w:p w14:paraId="76AAC07F" w14:textId="77777777" w:rsidR="00AA4578" w:rsidRPr="00364AE9" w:rsidRDefault="00AA4578" w:rsidP="00AA4578">
      <w:pPr>
        <w:widowControl w:val="0"/>
        <w:autoSpaceDE w:val="0"/>
        <w:autoSpaceDN w:val="0"/>
        <w:jc w:val="left"/>
        <w:rPr>
          <w:rFonts w:ascii="Times New Roman" w:hAnsi="Times New Roman"/>
          <w:b/>
          <w:iCs/>
          <w:szCs w:val="24"/>
          <w:lang w:val="es-ES"/>
        </w:rPr>
      </w:pPr>
    </w:p>
    <w:p w14:paraId="0FA7CC3D" w14:textId="77777777" w:rsidR="00AA4578" w:rsidRPr="00364AE9" w:rsidRDefault="00AA4578" w:rsidP="00AA4578">
      <w:pPr>
        <w:widowControl w:val="0"/>
        <w:autoSpaceDE w:val="0"/>
        <w:autoSpaceDN w:val="0"/>
        <w:jc w:val="left"/>
        <w:rPr>
          <w:rFonts w:ascii="Times New Roman" w:hAnsi="Times New Roman"/>
          <w:b/>
          <w:iCs/>
          <w:szCs w:val="24"/>
          <w:lang w:val="es-ES"/>
        </w:rPr>
      </w:pPr>
    </w:p>
    <w:p w14:paraId="3352FCA1" w14:textId="77777777" w:rsidR="00AA4578" w:rsidRPr="00364AE9" w:rsidRDefault="00AA4578" w:rsidP="00AA4578">
      <w:pPr>
        <w:widowControl w:val="0"/>
        <w:autoSpaceDE w:val="0"/>
        <w:autoSpaceDN w:val="0"/>
        <w:jc w:val="left"/>
        <w:rPr>
          <w:rFonts w:ascii="Times New Roman" w:hAnsi="Times New Roman"/>
          <w:b/>
          <w:iCs/>
          <w:szCs w:val="24"/>
          <w:lang w:val="es-ES"/>
        </w:rPr>
      </w:pPr>
    </w:p>
    <w:p w14:paraId="11B2765F" w14:textId="63CF5A31" w:rsidR="00AA4578" w:rsidRPr="00364AE9" w:rsidRDefault="00AA4578" w:rsidP="00AA4578">
      <w:pPr>
        <w:widowControl w:val="0"/>
        <w:autoSpaceDE w:val="0"/>
        <w:autoSpaceDN w:val="0"/>
        <w:spacing w:before="6"/>
        <w:jc w:val="left"/>
        <w:rPr>
          <w:rFonts w:ascii="Times New Roman" w:hAnsi="Times New Roman"/>
          <w:b/>
          <w:iCs/>
          <w:sz w:val="13"/>
          <w:szCs w:val="24"/>
          <w:lang w:val="es-ES"/>
        </w:rPr>
      </w:pPr>
      <w:r w:rsidRPr="00AA4578">
        <w:rPr>
          <w:rFonts w:ascii="Times New Roman" w:hAnsi="Times New Roman"/>
          <w:i/>
          <w:iCs/>
          <w:noProof/>
          <w:sz w:val="24"/>
          <w:szCs w:val="24"/>
        </w:rPr>
        <mc:AlternateContent>
          <mc:Choice Requires="wps">
            <w:drawing>
              <wp:anchor distT="0" distB="0" distL="0" distR="0" simplePos="0" relativeHeight="251659264" behindDoc="1" locked="0" layoutInCell="1" allowOverlap="1" wp14:anchorId="00EC59DB" wp14:editId="00E81DE4">
                <wp:simplePos x="0" y="0"/>
                <wp:positionH relativeFrom="page">
                  <wp:posOffset>688975</wp:posOffset>
                </wp:positionH>
                <wp:positionV relativeFrom="paragraph">
                  <wp:posOffset>117475</wp:posOffset>
                </wp:positionV>
                <wp:extent cx="6181725" cy="1847215"/>
                <wp:effectExtent l="12700" t="8255" r="6350" b="11430"/>
                <wp:wrapTopAndBottom/>
                <wp:docPr id="11364520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84721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63FCC40" w14:textId="4918F3D5" w:rsidR="00AA4578" w:rsidRPr="00364AE9" w:rsidRDefault="00C67F85" w:rsidP="00AA4578">
                            <w:pPr>
                              <w:spacing w:before="1"/>
                              <w:ind w:left="105"/>
                              <w:rPr>
                                <w:b/>
                                <w:sz w:val="24"/>
                                <w:lang w:val="es-ES"/>
                              </w:rPr>
                            </w:pPr>
                            <w:r>
                              <w:rPr>
                                <w:b/>
                                <w:sz w:val="24"/>
                                <w:lang w:val="es-ES"/>
                              </w:rPr>
                              <w:t>Mandato</w:t>
                            </w:r>
                            <w:r w:rsidR="00AA4578" w:rsidRPr="00364AE9">
                              <w:rPr>
                                <w:b/>
                                <w:sz w:val="24"/>
                                <w:lang w:val="es-ES"/>
                              </w:rPr>
                              <w:t xml:space="preserve">, Anexo al documento CAJ/81/5 </w:t>
                            </w:r>
                            <w:proofErr w:type="spellStart"/>
                            <w:r w:rsidR="00AA4578" w:rsidRPr="00364AE9">
                              <w:rPr>
                                <w:b/>
                                <w:spacing w:val="-5"/>
                                <w:sz w:val="24"/>
                                <w:lang w:val="es-ES"/>
                              </w:rPr>
                              <w:t>Add</w:t>
                            </w:r>
                            <w:proofErr w:type="spellEnd"/>
                            <w:r w:rsidR="00AA4578" w:rsidRPr="00364AE9">
                              <w:rPr>
                                <w:b/>
                                <w:spacing w:val="-5"/>
                                <w:sz w:val="24"/>
                                <w:lang w:val="es-ES"/>
                              </w:rPr>
                              <w:t>.</w:t>
                            </w:r>
                          </w:p>
                          <w:p w14:paraId="588B74BD" w14:textId="77777777" w:rsidR="00AA4578" w:rsidRPr="00364AE9" w:rsidRDefault="00AA4578" w:rsidP="00AA4578">
                            <w:pPr>
                              <w:pStyle w:val="BodyText"/>
                              <w:rPr>
                                <w:b/>
                                <w:i/>
                                <w:sz w:val="26"/>
                                <w:lang w:val="es-ES"/>
                              </w:rPr>
                            </w:pPr>
                          </w:p>
                          <w:p w14:paraId="790A528D" w14:textId="77777777" w:rsidR="00AA4578" w:rsidRPr="00364AE9" w:rsidRDefault="00AA4578" w:rsidP="00AA4578">
                            <w:pPr>
                              <w:pStyle w:val="BodyText"/>
                              <w:spacing w:before="3"/>
                              <w:rPr>
                                <w:b/>
                                <w:i/>
                                <w:sz w:val="22"/>
                                <w:lang w:val="es-ES"/>
                              </w:rPr>
                            </w:pPr>
                          </w:p>
                          <w:p w14:paraId="1C0DEEA6" w14:textId="7BF0494F" w:rsidR="00AA4578" w:rsidRPr="00C67F85" w:rsidRDefault="00AA4578" w:rsidP="00C67F85">
                            <w:pPr>
                              <w:pStyle w:val="BodyText"/>
                              <w:widowControl w:val="0"/>
                              <w:numPr>
                                <w:ilvl w:val="0"/>
                                <w:numId w:val="5"/>
                              </w:numPr>
                              <w:tabs>
                                <w:tab w:val="left" w:pos="826"/>
                              </w:tabs>
                              <w:autoSpaceDE w:val="0"/>
                              <w:autoSpaceDN w:val="0"/>
                              <w:spacing w:line="360" w:lineRule="auto"/>
                              <w:ind w:right="97"/>
                              <w:rPr>
                                <w:lang w:val="es-ES"/>
                              </w:rPr>
                            </w:pPr>
                            <w:r w:rsidRPr="00364AE9">
                              <w:rPr>
                                <w:i/>
                                <w:lang w:val="es-ES"/>
                              </w:rPr>
                              <w:t xml:space="preserve">Análisis de las intenciones de los redactores del Acta de 1991 del Convenio de la UPOV en relación </w:t>
                            </w:r>
                            <w:r w:rsidRPr="00364AE9">
                              <w:rPr>
                                <w:lang w:val="es-ES"/>
                              </w:rPr>
                              <w:t xml:space="preserve">con el </w:t>
                            </w:r>
                            <w:r w:rsidR="00C67F85" w:rsidRPr="00364AE9">
                              <w:rPr>
                                <w:lang w:val="es-ES"/>
                              </w:rPr>
                              <w:t>"Agotamiento del derecho de obtentor"</w:t>
                            </w:r>
                            <w:r w:rsidR="00C67F85">
                              <w:rPr>
                                <w:lang w:val="es-ES"/>
                              </w:rPr>
                              <w:t xml:space="preserve"> </w:t>
                            </w:r>
                            <w:r w:rsidR="00C67F85" w:rsidRPr="00C67F85">
                              <w:rPr>
                                <w:lang w:val="es-ES"/>
                              </w:rPr>
                              <w:t>en el artículo 14.1) y 2) del Acta de 1991, incluidas las nociones de «uso no autorizado» y «oportunidad razonable» y la relación con el «Agotamiento del derecho de obtentor» en el artículo 16 del Acta de 1991; y</w:t>
                            </w:r>
                            <w:r w:rsidRPr="00C67F85">
                              <w:rPr>
                                <w:lang w:val="es-ES"/>
                              </w:rPr>
                              <w:t xml:space="preserve"> </w:t>
                            </w:r>
                          </w:p>
                          <w:p w14:paraId="5D8920DB" w14:textId="77777777" w:rsidR="00AA4578" w:rsidRPr="00364AE9" w:rsidRDefault="00AA4578" w:rsidP="00AA4578">
                            <w:pPr>
                              <w:pStyle w:val="BodyText"/>
                              <w:widowControl w:val="0"/>
                              <w:numPr>
                                <w:ilvl w:val="0"/>
                                <w:numId w:val="5"/>
                              </w:numPr>
                              <w:tabs>
                                <w:tab w:val="left" w:pos="826"/>
                              </w:tabs>
                              <w:autoSpaceDE w:val="0"/>
                              <w:autoSpaceDN w:val="0"/>
                              <w:ind w:hanging="361"/>
                              <w:rPr>
                                <w:lang w:val="es-ES"/>
                              </w:rPr>
                            </w:pPr>
                            <w:r w:rsidRPr="00364AE9">
                              <w:rPr>
                                <w:i/>
                                <w:lang w:val="es-ES"/>
                              </w:rPr>
                              <w:t xml:space="preserve">Resúmenes de casos judiciales relevantes de miembros de la UPOV vinculados por el </w:t>
                            </w:r>
                            <w:r w:rsidRPr="00364AE9">
                              <w:rPr>
                                <w:i/>
                                <w:spacing w:val="-4"/>
                                <w:lang w:val="es-ES"/>
                              </w:rPr>
                              <w:t>Acta de 1991.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EC59DB" id="_x0000_t202" coordsize="21600,21600" o:spt="202" path="m,l,21600r21600,l21600,xe">
                <v:stroke joinstyle="miter"/>
                <v:path gradientshapeok="t" o:connecttype="rect"/>
              </v:shapetype>
              <v:shape id="Text Box 16" o:spid="_x0000_s1026" type="#_x0000_t202" style="position:absolute;margin-left:54.25pt;margin-top:9.25pt;width:486.75pt;height:145.4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" filled="f" strokeweight=".48pt">
                <v:textbox inset="0,0,0,0">
                  <w:txbxContent>
                    <w:p w14:paraId="063FCC40" w14:textId="4918F3D5" w:rsidR="00AA4578" w:rsidRPr="00364AE9" w:rsidRDefault="00C67F85" w:rsidP="00AA4578">
                      <w:pPr>
                        <w:spacing w:before="1"/>
                        <w:ind w:left="105"/>
                        <w:rPr>
                          <w:b/>
                          <w:sz w:val="24"/>
                          <w:lang w:val="es-ES"/>
                        </w:rPr>
                      </w:pPr>
                      <w:r>
                        <w:rPr>
                          <w:b/>
                          <w:sz w:val="24"/>
                          <w:lang w:val="es-ES"/>
                        </w:rPr>
                        <w:t>Mandato</w:t>
                      </w:r>
                      <w:r w:rsidR="00AA4578" w:rsidRPr="00364AE9">
                        <w:rPr>
                          <w:b/>
                          <w:sz w:val="24"/>
                          <w:lang w:val="es-ES"/>
                        </w:rPr>
                        <w:t xml:space="preserve">, Anexo al documento CAJ/81/5 </w:t>
                      </w:r>
                      <w:proofErr w:type="spellStart"/>
                      <w:r w:rsidR="00AA4578" w:rsidRPr="00364AE9">
                        <w:rPr>
                          <w:b/>
                          <w:spacing w:val="-5"/>
                          <w:sz w:val="24"/>
                          <w:lang w:val="es-ES"/>
                        </w:rPr>
                        <w:t>Add</w:t>
                      </w:r>
                      <w:proofErr w:type="spellEnd"/>
                      <w:r w:rsidR="00AA4578" w:rsidRPr="00364AE9">
                        <w:rPr>
                          <w:b/>
                          <w:spacing w:val="-5"/>
                          <w:sz w:val="24"/>
                          <w:lang w:val="es-ES"/>
                        </w:rPr>
                        <w:t>.</w:t>
                      </w:r>
                    </w:p>
                    <w:p w14:paraId="588B74BD" w14:textId="77777777" w:rsidR="00AA4578" w:rsidRPr="00364AE9" w:rsidRDefault="00AA4578" w:rsidP="00AA4578">
                      <w:pPr>
                        <w:pStyle w:val="BodyText"/>
                        <w:rPr>
                          <w:b/>
                          <w:i/>
                          <w:sz w:val="26"/>
                          <w:lang w:val="es-ES"/>
                        </w:rPr>
                      </w:pPr>
                    </w:p>
                    <w:p w14:paraId="790A528D" w14:textId="77777777" w:rsidR="00AA4578" w:rsidRPr="00364AE9" w:rsidRDefault="00AA4578" w:rsidP="00AA4578">
                      <w:pPr>
                        <w:pStyle w:val="BodyText"/>
                        <w:spacing w:before="3"/>
                        <w:rPr>
                          <w:b/>
                          <w:i/>
                          <w:sz w:val="22"/>
                          <w:lang w:val="es-ES"/>
                        </w:rPr>
                      </w:pPr>
                    </w:p>
                    <w:p w14:paraId="1C0DEEA6" w14:textId="7BF0494F" w:rsidR="00AA4578" w:rsidRPr="00C67F85" w:rsidRDefault="00AA4578" w:rsidP="00C67F85">
                      <w:pPr>
                        <w:pStyle w:val="BodyText"/>
                        <w:widowControl w:val="0"/>
                        <w:numPr>
                          <w:ilvl w:val="0"/>
                          <w:numId w:val="5"/>
                        </w:numPr>
                        <w:tabs>
                          <w:tab w:val="left" w:pos="826"/>
                        </w:tabs>
                        <w:autoSpaceDE w:val="0"/>
                        <w:autoSpaceDN w:val="0"/>
                        <w:spacing w:line="360" w:lineRule="auto"/>
                        <w:ind w:right="97"/>
                        <w:rPr>
                          <w:lang w:val="es-ES"/>
                        </w:rPr>
                      </w:pPr>
                      <w:r w:rsidRPr="00364AE9">
                        <w:rPr>
                          <w:i/>
                          <w:lang w:val="es-ES"/>
                        </w:rPr>
                        <w:t xml:space="preserve">Análisis de las intenciones de los redactores del Acta de 1991 del Convenio de la UPOV en relación </w:t>
                      </w:r>
                      <w:r w:rsidRPr="00364AE9">
                        <w:rPr>
                          <w:lang w:val="es-ES"/>
                        </w:rPr>
                        <w:t xml:space="preserve">con el </w:t>
                      </w:r>
                      <w:r w:rsidR="00C67F85" w:rsidRPr="00364AE9">
                        <w:rPr>
                          <w:lang w:val="es-ES"/>
                        </w:rPr>
                        <w:t>"Agotamiento del derecho de obtentor"</w:t>
                      </w:r>
                      <w:r w:rsidR="00C67F85">
                        <w:rPr>
                          <w:lang w:val="es-ES"/>
                        </w:rPr>
                        <w:t xml:space="preserve"> </w:t>
                      </w:r>
                      <w:r w:rsidR="00C67F85" w:rsidRPr="00C67F85">
                        <w:rPr>
                          <w:lang w:val="es-ES"/>
                        </w:rPr>
                        <w:t>en el artículo 14.1) y 2) del Acta de 1991, incluidas las nociones de «uso no autorizado» y «oportunidad razonable» y la relación con el «Agotamiento del derecho de obtentor» en el artículo 16 del Acta de 1991; y</w:t>
                      </w:r>
                      <w:r w:rsidRPr="00C67F85">
                        <w:rPr>
                          <w:lang w:val="es-ES"/>
                        </w:rPr>
                        <w:t xml:space="preserve"> </w:t>
                      </w:r>
                    </w:p>
                    <w:p w14:paraId="5D8920DB" w14:textId="77777777" w:rsidR="00AA4578" w:rsidRPr="00364AE9" w:rsidRDefault="00AA4578" w:rsidP="00AA4578">
                      <w:pPr>
                        <w:pStyle w:val="BodyText"/>
                        <w:widowControl w:val="0"/>
                        <w:numPr>
                          <w:ilvl w:val="0"/>
                          <w:numId w:val="5"/>
                        </w:numPr>
                        <w:tabs>
                          <w:tab w:val="left" w:pos="826"/>
                        </w:tabs>
                        <w:autoSpaceDE w:val="0"/>
                        <w:autoSpaceDN w:val="0"/>
                        <w:ind w:hanging="361"/>
                        <w:rPr>
                          <w:lang w:val="es-ES"/>
                        </w:rPr>
                      </w:pPr>
                      <w:r w:rsidRPr="00364AE9">
                        <w:rPr>
                          <w:i/>
                          <w:lang w:val="es-ES"/>
                        </w:rPr>
                        <w:t xml:space="preserve">Resúmenes de casos judiciales relevantes de miembros de la UPOV vinculados por el </w:t>
                      </w:r>
                      <w:r w:rsidRPr="00364AE9">
                        <w:rPr>
                          <w:i/>
                          <w:spacing w:val="-4"/>
                          <w:lang w:val="es-ES"/>
                        </w:rPr>
                        <w:t>Acta de 1991.</w:t>
                      </w:r>
                    </w:p>
                  </w:txbxContent>
                </v:textbox>
                <w10:wrap type="topAndBottom" anchorx="page"/>
              </v:shape>
            </w:pict>
          </mc:Fallback>
        </mc:AlternateContent>
      </w:r>
    </w:p>
    <w:p w14:paraId="0673D1BD" w14:textId="77777777" w:rsidR="00AA4578" w:rsidRPr="00364AE9" w:rsidRDefault="00AA4578" w:rsidP="00AA4578">
      <w:pPr>
        <w:widowControl w:val="0"/>
        <w:autoSpaceDE w:val="0"/>
        <w:autoSpaceDN w:val="0"/>
        <w:jc w:val="left"/>
        <w:rPr>
          <w:rFonts w:ascii="Times New Roman" w:hAnsi="Times New Roman"/>
          <w:b/>
          <w:iCs/>
          <w:szCs w:val="24"/>
          <w:lang w:val="es-ES"/>
        </w:rPr>
      </w:pPr>
    </w:p>
    <w:p w14:paraId="2441EE1E" w14:textId="77777777" w:rsidR="00AA4578" w:rsidRPr="00364AE9" w:rsidRDefault="00AA4578" w:rsidP="00AA4578">
      <w:pPr>
        <w:widowControl w:val="0"/>
        <w:autoSpaceDE w:val="0"/>
        <w:autoSpaceDN w:val="0"/>
        <w:spacing w:before="9"/>
        <w:jc w:val="left"/>
        <w:rPr>
          <w:rFonts w:ascii="Times New Roman" w:hAnsi="Times New Roman"/>
          <w:b/>
          <w:iCs/>
          <w:sz w:val="22"/>
          <w:szCs w:val="24"/>
          <w:lang w:val="es-ES"/>
        </w:rPr>
      </w:pPr>
    </w:p>
    <w:p w14:paraId="1058C00E" w14:textId="77777777" w:rsidR="00AA4578" w:rsidRPr="00364AE9" w:rsidRDefault="00AA4578" w:rsidP="00AA4578">
      <w:pPr>
        <w:widowControl w:val="0"/>
        <w:autoSpaceDE w:val="0"/>
        <w:autoSpaceDN w:val="0"/>
        <w:spacing w:before="90"/>
        <w:ind w:left="100"/>
        <w:jc w:val="left"/>
        <w:rPr>
          <w:rFonts w:ascii="Times New Roman" w:hAnsi="Times New Roman"/>
          <w:b/>
          <w:sz w:val="24"/>
          <w:szCs w:val="22"/>
          <w:lang w:val="es-ES"/>
        </w:rPr>
      </w:pPr>
      <w:r w:rsidRPr="00364AE9">
        <w:rPr>
          <w:rFonts w:ascii="Times New Roman" w:hAnsi="Times New Roman"/>
          <w:b/>
          <w:spacing w:val="-2"/>
          <w:sz w:val="24"/>
          <w:szCs w:val="22"/>
          <w:lang w:val="es-ES"/>
        </w:rPr>
        <w:t>Prefacio</w:t>
      </w:r>
    </w:p>
    <w:p w14:paraId="37CC93AE" w14:textId="77777777" w:rsidR="00AA4578" w:rsidRPr="00364AE9" w:rsidRDefault="00AA4578" w:rsidP="00AA4578">
      <w:pPr>
        <w:widowControl w:val="0"/>
        <w:autoSpaceDE w:val="0"/>
        <w:autoSpaceDN w:val="0"/>
        <w:spacing w:before="8"/>
        <w:jc w:val="left"/>
        <w:rPr>
          <w:rFonts w:ascii="Times New Roman" w:hAnsi="Times New Roman"/>
          <w:b/>
          <w:iCs/>
          <w:sz w:val="25"/>
          <w:szCs w:val="24"/>
          <w:lang w:val="es-ES"/>
        </w:rPr>
      </w:pPr>
    </w:p>
    <w:p w14:paraId="3E4A55B3" w14:textId="77777777" w:rsidR="00AA4578" w:rsidRPr="00364AE9" w:rsidRDefault="00AA4578" w:rsidP="00AA4578">
      <w:pPr>
        <w:widowControl w:val="0"/>
        <w:autoSpaceDE w:val="0"/>
        <w:autoSpaceDN w:val="0"/>
        <w:spacing w:line="360" w:lineRule="auto"/>
        <w:ind w:left="100" w:right="117"/>
        <w:rPr>
          <w:rFonts w:ascii="Times New Roman" w:hAnsi="Times New Roman"/>
          <w:sz w:val="24"/>
          <w:szCs w:val="22"/>
          <w:lang w:val="es-ES"/>
        </w:rPr>
      </w:pPr>
      <w:r w:rsidRPr="00364AE9">
        <w:rPr>
          <w:rFonts w:ascii="Times New Roman" w:hAnsi="Times New Roman"/>
          <w:sz w:val="24"/>
          <w:szCs w:val="22"/>
          <w:lang w:val="es-ES"/>
        </w:rPr>
        <w:t>Entendemos que se encargó a nuestro Grupo de estudio que desarrollara un trabajo independiente de las posiciones adoptadas por los Estados miembros que, respectivamente, nos habían designado para la tarea, así como del Grupo de trabajo de la UPOV sobre material cosechado y uso no autorizado de material de reproducción o de multiplicación.</w:t>
      </w:r>
    </w:p>
    <w:p w14:paraId="44C6858D" w14:textId="77777777" w:rsidR="00AA4578" w:rsidRPr="00364AE9" w:rsidRDefault="00AA4578" w:rsidP="00AA4578">
      <w:pPr>
        <w:widowControl w:val="0"/>
        <w:autoSpaceDE w:val="0"/>
        <w:autoSpaceDN w:val="0"/>
        <w:spacing w:before="160"/>
        <w:ind w:left="100"/>
        <w:rPr>
          <w:rFonts w:ascii="Times New Roman" w:hAnsi="Times New Roman"/>
          <w:sz w:val="24"/>
          <w:szCs w:val="22"/>
          <w:lang w:val="es-ES"/>
        </w:rPr>
      </w:pPr>
      <w:r w:rsidRPr="00364AE9">
        <w:rPr>
          <w:rFonts w:ascii="Times New Roman" w:hAnsi="Times New Roman"/>
          <w:sz w:val="24"/>
          <w:szCs w:val="22"/>
          <w:lang w:val="es-ES"/>
        </w:rPr>
        <w:t xml:space="preserve">Nos esforzaremos por adoptar nuestra(s) posición(es) por consenso, pero no excluimos </w:t>
      </w:r>
      <w:r w:rsidRPr="00364AE9">
        <w:rPr>
          <w:rFonts w:ascii="Times New Roman" w:hAnsi="Times New Roman"/>
          <w:spacing w:val="-2"/>
          <w:sz w:val="24"/>
          <w:szCs w:val="22"/>
          <w:lang w:val="es-ES"/>
        </w:rPr>
        <w:t>la(s) posición(es) .</w:t>
      </w:r>
      <w:r w:rsidRPr="00364AE9">
        <w:rPr>
          <w:rFonts w:ascii="Times New Roman" w:hAnsi="Times New Roman"/>
          <w:sz w:val="24"/>
          <w:szCs w:val="22"/>
          <w:lang w:val="es-ES"/>
        </w:rPr>
        <w:t>discrepante(s)</w:t>
      </w:r>
    </w:p>
    <w:p w14:paraId="0EFE3DAE" w14:textId="77777777" w:rsidR="00AA4578" w:rsidRPr="00364AE9" w:rsidRDefault="00AA4578" w:rsidP="00AA4578">
      <w:pPr>
        <w:widowControl w:val="0"/>
        <w:autoSpaceDE w:val="0"/>
        <w:autoSpaceDN w:val="0"/>
        <w:jc w:val="left"/>
        <w:rPr>
          <w:rFonts w:ascii="Times New Roman" w:hAnsi="Times New Roman"/>
          <w:iCs/>
          <w:sz w:val="26"/>
          <w:szCs w:val="24"/>
          <w:lang w:val="es-ES"/>
        </w:rPr>
      </w:pPr>
    </w:p>
    <w:p w14:paraId="4A90EC51" w14:textId="571BCB3C" w:rsidR="00AA4578" w:rsidRPr="00364AE9" w:rsidRDefault="00C67F85" w:rsidP="00AA4578">
      <w:pPr>
        <w:widowControl w:val="0"/>
        <w:autoSpaceDE w:val="0"/>
        <w:autoSpaceDN w:val="0"/>
        <w:spacing w:before="1" w:line="360" w:lineRule="auto"/>
        <w:ind w:left="100" w:right="116"/>
        <w:rPr>
          <w:rFonts w:ascii="Times New Roman" w:hAnsi="Times New Roman"/>
          <w:sz w:val="24"/>
          <w:szCs w:val="22"/>
          <w:lang w:val="es-ES"/>
        </w:rPr>
      </w:pPr>
      <w:r w:rsidRPr="00C67F85">
        <w:rPr>
          <w:rFonts w:ascii="Times New Roman" w:hAnsi="Times New Roman"/>
          <w:sz w:val="24"/>
          <w:szCs w:val="22"/>
          <w:lang w:val="es-ES"/>
        </w:rPr>
        <w:t>La base de nuestra interpretación del art. 14 (1) (2) y del Art. 16 UPOV 1991, sigue un Convenio de Derecho internacional público, establecido por la Convención de Viena sobre el Derecho de los Tratados.</w:t>
      </w:r>
      <w:r w:rsidRPr="00364AE9">
        <w:rPr>
          <w:rFonts w:ascii="Times New Roman" w:hAnsi="Times New Roman"/>
          <w:sz w:val="24"/>
          <w:szCs w:val="22"/>
          <w:lang w:val="es-ES"/>
        </w:rPr>
        <w:t xml:space="preserve"> </w:t>
      </w:r>
    </w:p>
    <w:p w14:paraId="2633FC5A" w14:textId="77777777" w:rsidR="00AA4578" w:rsidRPr="00364AE9" w:rsidRDefault="00AA4578" w:rsidP="00AA4578">
      <w:pPr>
        <w:widowControl w:val="0"/>
        <w:autoSpaceDE w:val="0"/>
        <w:autoSpaceDN w:val="0"/>
        <w:spacing w:before="160"/>
        <w:ind w:left="100"/>
        <w:rPr>
          <w:rFonts w:ascii="Times New Roman" w:hAnsi="Times New Roman"/>
          <w:spacing w:val="-2"/>
          <w:sz w:val="24"/>
          <w:szCs w:val="22"/>
          <w:lang w:val="es-ES"/>
        </w:rPr>
        <w:sectPr w:rsidR="00AA4578" w:rsidRPr="00364AE9" w:rsidSect="0004198B">
          <w:headerReference w:type="first" r:id="rId11"/>
          <w:pgSz w:w="11907" w:h="16840" w:code="9"/>
          <w:pgMar w:top="510" w:right="1134" w:bottom="1134" w:left="1134" w:header="510" w:footer="680" w:gutter="0"/>
          <w:pgNumType w:start="1"/>
          <w:cols w:space="720"/>
          <w:titlePg/>
        </w:sectPr>
      </w:pPr>
      <w:r w:rsidRPr="00364AE9">
        <w:rPr>
          <w:rFonts w:ascii="Times New Roman" w:hAnsi="Times New Roman"/>
          <w:sz w:val="24"/>
          <w:szCs w:val="22"/>
          <w:lang w:val="es-ES"/>
        </w:rPr>
        <w:t xml:space="preserve">Por último, declaramos que no tenemos ningún conflicto para trabajar en el </w:t>
      </w:r>
      <w:r w:rsidRPr="00364AE9">
        <w:rPr>
          <w:rFonts w:ascii="Times New Roman" w:hAnsi="Times New Roman"/>
          <w:spacing w:val="-2"/>
          <w:sz w:val="24"/>
          <w:szCs w:val="22"/>
          <w:lang w:val="es-ES"/>
        </w:rPr>
        <w:t>Estudio.</w:t>
      </w:r>
    </w:p>
    <w:p w14:paraId="56F0F7BE" w14:textId="77777777" w:rsidR="00AA4578" w:rsidRPr="00364AE9" w:rsidRDefault="00AA4578" w:rsidP="00AA4578">
      <w:pPr>
        <w:widowControl w:val="0"/>
        <w:autoSpaceDE w:val="0"/>
        <w:autoSpaceDN w:val="0"/>
        <w:spacing w:before="63"/>
        <w:ind w:left="302" w:right="318"/>
        <w:jc w:val="center"/>
        <w:outlineLvl w:val="0"/>
        <w:rPr>
          <w:rFonts w:ascii="Times New Roman" w:hAnsi="Times New Roman"/>
          <w:b/>
          <w:bCs/>
          <w:sz w:val="24"/>
          <w:szCs w:val="24"/>
          <w:lang w:val="es-ES"/>
        </w:rPr>
      </w:pPr>
      <w:r w:rsidRPr="00364AE9">
        <w:rPr>
          <w:rFonts w:ascii="Times New Roman" w:hAnsi="Times New Roman"/>
          <w:b/>
          <w:bCs/>
          <w:sz w:val="24"/>
          <w:szCs w:val="24"/>
          <w:lang w:val="es-ES"/>
        </w:rPr>
        <w:lastRenderedPageBreak/>
        <w:t xml:space="preserve">Internacional Convenio para la Protección de las Obtenciones </w:t>
      </w:r>
      <w:r w:rsidRPr="00364AE9">
        <w:rPr>
          <w:rFonts w:ascii="Times New Roman" w:hAnsi="Times New Roman"/>
          <w:b/>
          <w:bCs/>
          <w:spacing w:val="-2"/>
          <w:sz w:val="24"/>
          <w:szCs w:val="24"/>
          <w:lang w:val="es-ES"/>
        </w:rPr>
        <w:t>Vegetales</w:t>
      </w:r>
    </w:p>
    <w:p w14:paraId="755D290F" w14:textId="77777777" w:rsidR="00AA4578" w:rsidRPr="00364AE9" w:rsidRDefault="00AA4578" w:rsidP="00AA4578">
      <w:pPr>
        <w:widowControl w:val="0"/>
        <w:autoSpaceDE w:val="0"/>
        <w:autoSpaceDN w:val="0"/>
        <w:spacing w:before="1"/>
        <w:jc w:val="left"/>
        <w:rPr>
          <w:rFonts w:ascii="Times New Roman" w:hAnsi="Times New Roman"/>
          <w:b/>
          <w:iCs/>
          <w:sz w:val="26"/>
          <w:szCs w:val="24"/>
          <w:lang w:val="es-ES"/>
        </w:rPr>
      </w:pPr>
    </w:p>
    <w:p w14:paraId="35DBBEC8" w14:textId="540EC2B4" w:rsidR="00AA4578" w:rsidRPr="00364AE9" w:rsidRDefault="00A809B3" w:rsidP="00A809B3">
      <w:pPr>
        <w:widowControl w:val="0"/>
        <w:autoSpaceDE w:val="0"/>
        <w:autoSpaceDN w:val="0"/>
        <w:ind w:left="302" w:right="318"/>
        <w:jc w:val="center"/>
        <w:rPr>
          <w:rFonts w:ascii="Times New Roman" w:hAnsi="Times New Roman"/>
          <w:sz w:val="24"/>
          <w:szCs w:val="22"/>
          <w:lang w:val="es-ES"/>
        </w:rPr>
      </w:pPr>
      <w:r w:rsidRPr="00AA4578">
        <w:rPr>
          <w:rFonts w:ascii="Times New Roman" w:hAnsi="Times New Roman"/>
          <w:b/>
          <w:bCs/>
          <w:i/>
          <w:iCs/>
          <w:noProof/>
          <w:sz w:val="24"/>
          <w:szCs w:val="24"/>
        </w:rPr>
        <mc:AlternateContent>
          <mc:Choice Requires="wps">
            <w:drawing>
              <wp:anchor distT="0" distB="0" distL="114300" distR="114300" simplePos="0" relativeHeight="251661312" behindDoc="1" locked="0" layoutInCell="1" allowOverlap="1" wp14:anchorId="417C41B1" wp14:editId="1E5CB936">
                <wp:simplePos x="0" y="0"/>
                <wp:positionH relativeFrom="page">
                  <wp:posOffset>685800</wp:posOffset>
                </wp:positionH>
                <wp:positionV relativeFrom="paragraph">
                  <wp:posOffset>518159</wp:posOffset>
                </wp:positionV>
                <wp:extent cx="6187440" cy="8296275"/>
                <wp:effectExtent l="0" t="0" r="3810" b="9525"/>
                <wp:wrapNone/>
                <wp:docPr id="765169533" name="Freeform: 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87440" cy="8296275"/>
                        </a:xfrm>
                        <a:custGeom>
                          <a:avLst/>
                          <a:gdLst>
                            <a:gd name="T0" fmla="+- 0 10824 1080"/>
                            <a:gd name="T1" fmla="*/ T0 w 9744"/>
                            <a:gd name="T2" fmla="+- 0 -6 -6"/>
                            <a:gd name="T3" fmla="*/ -6 h 12164"/>
                            <a:gd name="T4" fmla="+- 0 10814 1080"/>
                            <a:gd name="T5" fmla="*/ T4 w 9744"/>
                            <a:gd name="T6" fmla="+- 0 -6 -6"/>
                            <a:gd name="T7" fmla="*/ -6 h 12164"/>
                            <a:gd name="T8" fmla="+- 0 10814 1080"/>
                            <a:gd name="T9" fmla="*/ T8 w 9744"/>
                            <a:gd name="T10" fmla="+- 0 3 -6"/>
                            <a:gd name="T11" fmla="*/ 3 h 12164"/>
                            <a:gd name="T12" fmla="+- 0 10814 1080"/>
                            <a:gd name="T13" fmla="*/ T12 w 9744"/>
                            <a:gd name="T14" fmla="+- 0 12147 -6"/>
                            <a:gd name="T15" fmla="*/ 12147 h 12164"/>
                            <a:gd name="T16" fmla="+- 0 1090 1080"/>
                            <a:gd name="T17" fmla="*/ T16 w 9744"/>
                            <a:gd name="T18" fmla="+- 0 12147 -6"/>
                            <a:gd name="T19" fmla="*/ 12147 h 12164"/>
                            <a:gd name="T20" fmla="+- 0 1090 1080"/>
                            <a:gd name="T21" fmla="*/ T20 w 9744"/>
                            <a:gd name="T22" fmla="+- 0 3 -6"/>
                            <a:gd name="T23" fmla="*/ 3 h 12164"/>
                            <a:gd name="T24" fmla="+- 0 10814 1080"/>
                            <a:gd name="T25" fmla="*/ T24 w 9744"/>
                            <a:gd name="T26" fmla="+- 0 3 -6"/>
                            <a:gd name="T27" fmla="*/ 3 h 12164"/>
                            <a:gd name="T28" fmla="+- 0 10814 1080"/>
                            <a:gd name="T29" fmla="*/ T28 w 9744"/>
                            <a:gd name="T30" fmla="+- 0 -6 -6"/>
                            <a:gd name="T31" fmla="*/ -6 h 12164"/>
                            <a:gd name="T32" fmla="+- 0 1090 1080"/>
                            <a:gd name="T33" fmla="*/ T32 w 9744"/>
                            <a:gd name="T34" fmla="+- 0 -6 -6"/>
                            <a:gd name="T35" fmla="*/ -6 h 12164"/>
                            <a:gd name="T36" fmla="+- 0 1080 1080"/>
                            <a:gd name="T37" fmla="*/ T36 w 9744"/>
                            <a:gd name="T38" fmla="+- 0 -6 -6"/>
                            <a:gd name="T39" fmla="*/ -6 h 12164"/>
                            <a:gd name="T40" fmla="+- 0 1080 1080"/>
                            <a:gd name="T41" fmla="*/ T40 w 9744"/>
                            <a:gd name="T42" fmla="+- 0 3 -6"/>
                            <a:gd name="T43" fmla="*/ 3 h 12164"/>
                            <a:gd name="T44" fmla="+- 0 1080 1080"/>
                            <a:gd name="T45" fmla="*/ T44 w 9744"/>
                            <a:gd name="T46" fmla="+- 0 12147 -6"/>
                            <a:gd name="T47" fmla="*/ 12147 h 12164"/>
                            <a:gd name="T48" fmla="+- 0 1080 1080"/>
                            <a:gd name="T49" fmla="*/ T48 w 9744"/>
                            <a:gd name="T50" fmla="+- 0 12157 -6"/>
                            <a:gd name="T51" fmla="*/ 12157 h 12164"/>
                            <a:gd name="T52" fmla="+- 0 1090 1080"/>
                            <a:gd name="T53" fmla="*/ T52 w 9744"/>
                            <a:gd name="T54" fmla="+- 0 12157 -6"/>
                            <a:gd name="T55" fmla="*/ 12157 h 12164"/>
                            <a:gd name="T56" fmla="+- 0 10814 1080"/>
                            <a:gd name="T57" fmla="*/ T56 w 9744"/>
                            <a:gd name="T58" fmla="+- 0 12157 -6"/>
                            <a:gd name="T59" fmla="*/ 12157 h 12164"/>
                            <a:gd name="T60" fmla="+- 0 10824 1080"/>
                            <a:gd name="T61" fmla="*/ T60 w 9744"/>
                            <a:gd name="T62" fmla="+- 0 12157 -6"/>
                            <a:gd name="T63" fmla="*/ 12157 h 12164"/>
                            <a:gd name="T64" fmla="+- 0 10824 1080"/>
                            <a:gd name="T65" fmla="*/ T64 w 9744"/>
                            <a:gd name="T66" fmla="+- 0 12147 -6"/>
                            <a:gd name="T67" fmla="*/ 12147 h 12164"/>
                            <a:gd name="T68" fmla="+- 0 10824 1080"/>
                            <a:gd name="T69" fmla="*/ T68 w 9744"/>
                            <a:gd name="T70" fmla="+- 0 3 -6"/>
                            <a:gd name="T71" fmla="*/ 3 h 12164"/>
                            <a:gd name="T72" fmla="+- 0 10824 1080"/>
                            <a:gd name="T73" fmla="*/ T72 w 9744"/>
                            <a:gd name="T74" fmla="+- 0 -6 -6"/>
                            <a:gd name="T75" fmla="*/ -6 h 12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9744" h="12164">
                              <a:moveTo>
                                <a:pt x="9744" y="0"/>
                              </a:moveTo>
                              <a:lnTo>
                                <a:pt x="9734" y="0"/>
                              </a:lnTo>
                              <a:lnTo>
                                <a:pt x="9734" y="9"/>
                              </a:lnTo>
                              <a:lnTo>
                                <a:pt x="9734" y="12153"/>
                              </a:lnTo>
                              <a:lnTo>
                                <a:pt x="10" y="12153"/>
                              </a:lnTo>
                              <a:lnTo>
                                <a:pt x="10" y="9"/>
                              </a:lnTo>
                              <a:lnTo>
                                <a:pt x="9734" y="9"/>
                              </a:lnTo>
                              <a:lnTo>
                                <a:pt x="9734" y="0"/>
                              </a:lnTo>
                              <a:lnTo>
                                <a:pt x="10" y="0"/>
                              </a:lnTo>
                              <a:lnTo>
                                <a:pt x="0" y="0"/>
                              </a:lnTo>
                              <a:lnTo>
                                <a:pt x="0" y="9"/>
                              </a:lnTo>
                              <a:lnTo>
                                <a:pt x="0" y="12153"/>
                              </a:lnTo>
                              <a:lnTo>
                                <a:pt x="0" y="12163"/>
                              </a:lnTo>
                              <a:lnTo>
                                <a:pt x="10" y="12163"/>
                              </a:lnTo>
                              <a:lnTo>
                                <a:pt x="9734" y="12163"/>
                              </a:lnTo>
                              <a:lnTo>
                                <a:pt x="9744" y="12163"/>
                              </a:lnTo>
                              <a:lnTo>
                                <a:pt x="9744" y="12153"/>
                              </a:lnTo>
                              <a:lnTo>
                                <a:pt x="9744" y="9"/>
                              </a:lnTo>
                              <a:lnTo>
                                <a:pt x="97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F5D5B" id="Freeform: Shape 17" o:spid="_x0000_s1026" style="position:absolute;margin-left:54pt;margin-top:40.8pt;width:487.2pt;height:653.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744,12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" path="m9744,r-10,l9734,9r,12144l10,12153,10,9r9724,l9734,,10,,,,,9,,12153r,10l10,12163r9724,l9744,12163r,-10l9744,9r,-9xe" fillcolor="black" stroked="f">
                <v:path arrowok="t" o:connecttype="custom" o:connectlocs="6187440,-4092;6181090,-4092;6181090,2046;6181090,8284680;6350,8284680;6350,2046;6181090,2046;6181090,-4092;6350,-4092;0,-4092;0,2046;0,8284680;0,8291501;6350,8291501;6181090,8291501;6187440,8291501;6187440,8284680;6187440,2046;6187440,-4092" o:connectangles="0,0,0,0,0,0,0,0,0,0,0,0,0,0,0,0,0,0,0"/>
                <w10:wrap anchorx="page"/>
              </v:shape>
            </w:pict>
          </mc:Fallback>
        </mc:AlternateContent>
      </w:r>
      <w:r w:rsidR="00AA4578" w:rsidRPr="00364AE9">
        <w:rPr>
          <w:rFonts w:ascii="Times New Roman" w:hAnsi="Times New Roman"/>
          <w:sz w:val="24"/>
          <w:szCs w:val="22"/>
          <w:lang w:val="es-ES"/>
        </w:rPr>
        <w:t xml:space="preserve">de 2 de diciembre de 1961, revisada en Ginebra el 10 de noviembre de 1972, el 23 de octubre de 1978 y </w:t>
      </w:r>
      <w:r w:rsidR="00AA4578" w:rsidRPr="00364AE9">
        <w:rPr>
          <w:rFonts w:ascii="Times New Roman" w:hAnsi="Times New Roman"/>
          <w:spacing w:val="-5"/>
          <w:sz w:val="24"/>
          <w:szCs w:val="22"/>
          <w:lang w:val="es-ES"/>
        </w:rPr>
        <w:t>el</w:t>
      </w:r>
      <w:r>
        <w:rPr>
          <w:rFonts w:ascii="Times New Roman" w:hAnsi="Times New Roman"/>
          <w:spacing w:val="-5"/>
          <w:sz w:val="24"/>
          <w:szCs w:val="22"/>
          <w:lang w:val="es-ES"/>
        </w:rPr>
        <w:br/>
      </w:r>
      <w:r w:rsidR="00AA4578" w:rsidRPr="00364AE9">
        <w:rPr>
          <w:rFonts w:ascii="Times New Roman" w:hAnsi="Times New Roman"/>
          <w:sz w:val="24"/>
          <w:szCs w:val="22"/>
          <w:lang w:val="es-ES"/>
        </w:rPr>
        <w:t xml:space="preserve">19 de marzo </w:t>
      </w:r>
      <w:r w:rsidR="00AA4578" w:rsidRPr="00364AE9">
        <w:rPr>
          <w:rFonts w:ascii="Times New Roman" w:hAnsi="Times New Roman"/>
          <w:spacing w:val="-4"/>
          <w:sz w:val="24"/>
          <w:szCs w:val="22"/>
          <w:lang w:val="es-ES"/>
        </w:rPr>
        <w:t>de 1991</w:t>
      </w:r>
    </w:p>
    <w:p w14:paraId="185857F6" w14:textId="0332EF30" w:rsidR="00AA4578" w:rsidRPr="00364AE9" w:rsidRDefault="00AA4578" w:rsidP="00AA4578">
      <w:pPr>
        <w:widowControl w:val="0"/>
        <w:autoSpaceDE w:val="0"/>
        <w:autoSpaceDN w:val="0"/>
        <w:ind w:left="302" w:right="313"/>
        <w:jc w:val="center"/>
        <w:outlineLvl w:val="1"/>
        <w:rPr>
          <w:rFonts w:ascii="Times New Roman" w:hAnsi="Times New Roman"/>
          <w:b/>
          <w:bCs/>
          <w:i/>
          <w:iCs/>
          <w:sz w:val="24"/>
          <w:szCs w:val="24"/>
          <w:lang w:val="es-ES"/>
        </w:rPr>
      </w:pPr>
      <w:r w:rsidRPr="00364AE9">
        <w:rPr>
          <w:rFonts w:ascii="Times New Roman" w:hAnsi="Times New Roman"/>
          <w:b/>
          <w:bCs/>
          <w:i/>
          <w:iCs/>
          <w:sz w:val="24"/>
          <w:szCs w:val="24"/>
          <w:lang w:val="es-ES"/>
        </w:rPr>
        <w:t xml:space="preserve">CAPÍTULO </w:t>
      </w:r>
      <w:r w:rsidRPr="00364AE9">
        <w:rPr>
          <w:rFonts w:ascii="Times New Roman" w:hAnsi="Times New Roman"/>
          <w:b/>
          <w:bCs/>
          <w:i/>
          <w:iCs/>
          <w:spacing w:val="-10"/>
          <w:sz w:val="24"/>
          <w:szCs w:val="24"/>
          <w:lang w:val="es-ES"/>
        </w:rPr>
        <w:t>V</w:t>
      </w:r>
    </w:p>
    <w:p w14:paraId="1301E241" w14:textId="77777777" w:rsidR="00C67F85" w:rsidRDefault="00C67F85" w:rsidP="00AA4578">
      <w:pPr>
        <w:widowControl w:val="0"/>
        <w:autoSpaceDE w:val="0"/>
        <w:autoSpaceDN w:val="0"/>
        <w:spacing w:line="275" w:lineRule="exact"/>
        <w:ind w:left="302" w:right="313"/>
        <w:jc w:val="center"/>
        <w:outlineLvl w:val="2"/>
        <w:rPr>
          <w:rFonts w:ascii="Times New Roman" w:hAnsi="Times New Roman"/>
          <w:b/>
          <w:i/>
          <w:sz w:val="24"/>
          <w:szCs w:val="22"/>
          <w:lang w:val="es-ES"/>
        </w:rPr>
      </w:pPr>
      <w:r w:rsidRPr="00C67F85">
        <w:rPr>
          <w:rFonts w:ascii="Times New Roman" w:hAnsi="Times New Roman"/>
          <w:b/>
          <w:i/>
          <w:sz w:val="24"/>
          <w:szCs w:val="22"/>
          <w:lang w:val="es-ES"/>
        </w:rPr>
        <w:t>LOS DERECHOS DEL OBTENTOR</w:t>
      </w:r>
    </w:p>
    <w:p w14:paraId="1A0B4244" w14:textId="3522CC3C" w:rsidR="00AA4578" w:rsidRPr="00364AE9" w:rsidRDefault="00AA4578" w:rsidP="00AA4578">
      <w:pPr>
        <w:widowControl w:val="0"/>
        <w:autoSpaceDE w:val="0"/>
        <w:autoSpaceDN w:val="0"/>
        <w:spacing w:line="275" w:lineRule="exact"/>
        <w:ind w:left="302" w:right="313"/>
        <w:jc w:val="center"/>
        <w:outlineLvl w:val="2"/>
        <w:rPr>
          <w:rFonts w:ascii="Times New Roman" w:hAnsi="Times New Roman"/>
          <w:b/>
          <w:bCs/>
          <w:i/>
          <w:iCs/>
          <w:sz w:val="24"/>
          <w:szCs w:val="24"/>
          <w:lang w:val="es-ES"/>
        </w:rPr>
      </w:pPr>
      <w:r w:rsidRPr="00364AE9">
        <w:rPr>
          <w:rFonts w:ascii="Times New Roman" w:hAnsi="Times New Roman"/>
          <w:b/>
          <w:bCs/>
          <w:i/>
          <w:iCs/>
          <w:sz w:val="24"/>
          <w:szCs w:val="24"/>
          <w:lang w:val="es-ES"/>
        </w:rPr>
        <w:t xml:space="preserve">Artículo 14 Alcance </w:t>
      </w:r>
      <w:r w:rsidRPr="00364AE9">
        <w:rPr>
          <w:rFonts w:ascii="Times New Roman" w:hAnsi="Times New Roman"/>
          <w:b/>
          <w:bCs/>
          <w:i/>
          <w:iCs/>
          <w:spacing w:val="-2"/>
          <w:sz w:val="24"/>
          <w:szCs w:val="24"/>
          <w:lang w:val="es-ES"/>
        </w:rPr>
        <w:t xml:space="preserve">del derecho de </w:t>
      </w:r>
      <w:r w:rsidRPr="00364AE9">
        <w:rPr>
          <w:rFonts w:ascii="Times New Roman" w:hAnsi="Times New Roman"/>
          <w:b/>
          <w:bCs/>
          <w:i/>
          <w:iCs/>
          <w:sz w:val="24"/>
          <w:szCs w:val="24"/>
          <w:lang w:val="es-ES"/>
        </w:rPr>
        <w:t>obtentor</w:t>
      </w:r>
    </w:p>
    <w:p w14:paraId="3CF9F987" w14:textId="77777777" w:rsidR="00AA4578" w:rsidRPr="00364AE9" w:rsidRDefault="00AA4578" w:rsidP="00AA4578">
      <w:pPr>
        <w:widowControl w:val="0"/>
        <w:autoSpaceDE w:val="0"/>
        <w:autoSpaceDN w:val="0"/>
        <w:jc w:val="left"/>
        <w:rPr>
          <w:rFonts w:ascii="Times New Roman" w:hAnsi="Times New Roman"/>
          <w:b/>
          <w:i/>
          <w:iCs/>
          <w:sz w:val="24"/>
          <w:szCs w:val="24"/>
          <w:lang w:val="es-ES"/>
        </w:rPr>
      </w:pPr>
    </w:p>
    <w:p w14:paraId="5CE68D2D" w14:textId="3DBB8D1A" w:rsidR="00AA4578" w:rsidRPr="00364AE9" w:rsidRDefault="00AA4578" w:rsidP="00AA4578">
      <w:pPr>
        <w:widowControl w:val="0"/>
        <w:numPr>
          <w:ilvl w:val="0"/>
          <w:numId w:val="4"/>
        </w:numPr>
        <w:tabs>
          <w:tab w:val="left" w:pos="548"/>
        </w:tabs>
        <w:autoSpaceDE w:val="0"/>
        <w:autoSpaceDN w:val="0"/>
        <w:ind w:right="227" w:firstLine="0"/>
        <w:rPr>
          <w:rFonts w:ascii="Times New Roman" w:hAnsi="Times New Roman"/>
          <w:i/>
          <w:sz w:val="24"/>
          <w:szCs w:val="22"/>
          <w:lang w:val="es-ES"/>
        </w:rPr>
      </w:pPr>
      <w:r w:rsidRPr="00364AE9">
        <w:rPr>
          <w:rFonts w:ascii="Times New Roman" w:hAnsi="Times New Roman"/>
          <w:i/>
          <w:sz w:val="24"/>
          <w:szCs w:val="22"/>
          <w:lang w:val="es-ES"/>
        </w:rPr>
        <w:t>[</w:t>
      </w:r>
      <w:r w:rsidR="00C67F85" w:rsidRPr="00C67F85">
        <w:rPr>
          <w:rFonts w:ascii="Times New Roman" w:hAnsi="Times New Roman"/>
          <w:i/>
          <w:sz w:val="24"/>
          <w:szCs w:val="22"/>
          <w:lang w:val="es-ES"/>
        </w:rPr>
        <w:t>Actos respecto del material de reproducción o de multiplicación] a) A reserva de lo dispuesto en los Artículos 15 y 16, se requerirá la autorización del obtentor para los actos siguientes realizados respecto de material de reproducción o de multiplicación de la variedad protegida:</w:t>
      </w:r>
    </w:p>
    <w:p w14:paraId="13C2EF16" w14:textId="61AB80CF" w:rsidR="00AA4578" w:rsidRPr="00C67F85" w:rsidRDefault="00C67F85" w:rsidP="00AA4578">
      <w:pPr>
        <w:widowControl w:val="0"/>
        <w:numPr>
          <w:ilvl w:val="1"/>
          <w:numId w:val="4"/>
        </w:numPr>
        <w:tabs>
          <w:tab w:val="left" w:pos="1210"/>
        </w:tabs>
        <w:autoSpaceDE w:val="0"/>
        <w:autoSpaceDN w:val="0"/>
        <w:spacing w:before="3" w:line="275" w:lineRule="exact"/>
        <w:rPr>
          <w:rFonts w:ascii="Times New Roman" w:hAnsi="Times New Roman"/>
          <w:i/>
          <w:sz w:val="24"/>
          <w:szCs w:val="22"/>
          <w:lang w:val="es-ES"/>
        </w:rPr>
      </w:pPr>
      <w:r w:rsidRPr="00C67F85">
        <w:rPr>
          <w:rFonts w:ascii="Times New Roman" w:hAnsi="Times New Roman"/>
          <w:i/>
          <w:sz w:val="24"/>
          <w:szCs w:val="22"/>
          <w:lang w:val="es-ES"/>
        </w:rPr>
        <w:t>la producción o la reproducción (multiplicación)</w:t>
      </w:r>
      <w:r w:rsidR="00AA4578" w:rsidRPr="00C67F85">
        <w:rPr>
          <w:rFonts w:ascii="Times New Roman" w:hAnsi="Times New Roman"/>
          <w:i/>
          <w:spacing w:val="-2"/>
          <w:sz w:val="24"/>
          <w:szCs w:val="22"/>
          <w:lang w:val="es-ES"/>
        </w:rPr>
        <w:t>,</w:t>
      </w:r>
    </w:p>
    <w:p w14:paraId="385ADC82" w14:textId="0D0C1331" w:rsidR="00AA4578" w:rsidRPr="00364AE9" w:rsidRDefault="00C67F85" w:rsidP="00AA4578">
      <w:pPr>
        <w:widowControl w:val="0"/>
        <w:numPr>
          <w:ilvl w:val="1"/>
          <w:numId w:val="4"/>
        </w:numPr>
        <w:tabs>
          <w:tab w:val="left" w:pos="1277"/>
        </w:tabs>
        <w:autoSpaceDE w:val="0"/>
        <w:autoSpaceDN w:val="0"/>
        <w:spacing w:line="275" w:lineRule="exact"/>
        <w:ind w:left="1276" w:hanging="354"/>
        <w:rPr>
          <w:rFonts w:ascii="Times New Roman" w:hAnsi="Times New Roman"/>
          <w:i/>
          <w:sz w:val="24"/>
          <w:szCs w:val="22"/>
          <w:lang w:val="es-ES"/>
        </w:rPr>
      </w:pPr>
      <w:r w:rsidRPr="00C67F85">
        <w:rPr>
          <w:rFonts w:ascii="Times New Roman" w:hAnsi="Times New Roman"/>
          <w:i/>
          <w:sz w:val="24"/>
          <w:szCs w:val="22"/>
          <w:lang w:val="es-ES"/>
        </w:rPr>
        <w:t>la preparación a los fines de la reproducción o de la multiplicación,</w:t>
      </w:r>
    </w:p>
    <w:p w14:paraId="10CA45F0" w14:textId="0883873E" w:rsidR="00AA4578" w:rsidRPr="00AA4578" w:rsidRDefault="00C67F85" w:rsidP="00AA4578">
      <w:pPr>
        <w:widowControl w:val="0"/>
        <w:numPr>
          <w:ilvl w:val="1"/>
          <w:numId w:val="4"/>
        </w:numPr>
        <w:tabs>
          <w:tab w:val="left" w:pos="1344"/>
        </w:tabs>
        <w:autoSpaceDE w:val="0"/>
        <w:autoSpaceDN w:val="0"/>
        <w:spacing w:before="2" w:line="275" w:lineRule="exact"/>
        <w:ind w:left="1343" w:hanging="421"/>
        <w:rPr>
          <w:rFonts w:ascii="Times New Roman" w:hAnsi="Times New Roman"/>
          <w:i/>
          <w:sz w:val="24"/>
          <w:szCs w:val="22"/>
        </w:rPr>
      </w:pPr>
      <w:r w:rsidRPr="00C67F85">
        <w:rPr>
          <w:rFonts w:ascii="Times New Roman" w:hAnsi="Times New Roman"/>
          <w:i/>
          <w:sz w:val="24"/>
          <w:szCs w:val="22"/>
        </w:rPr>
        <w:t xml:space="preserve">la </w:t>
      </w:r>
      <w:proofErr w:type="spellStart"/>
      <w:r w:rsidRPr="00C67F85">
        <w:rPr>
          <w:rFonts w:ascii="Times New Roman" w:hAnsi="Times New Roman"/>
          <w:i/>
          <w:sz w:val="24"/>
          <w:szCs w:val="22"/>
        </w:rPr>
        <w:t>oferta</w:t>
      </w:r>
      <w:proofErr w:type="spellEnd"/>
      <w:r w:rsidRPr="00C67F85">
        <w:rPr>
          <w:rFonts w:ascii="Times New Roman" w:hAnsi="Times New Roman"/>
          <w:i/>
          <w:sz w:val="24"/>
          <w:szCs w:val="22"/>
        </w:rPr>
        <w:t xml:space="preserve"> </w:t>
      </w:r>
      <w:proofErr w:type="spellStart"/>
      <w:r w:rsidRPr="00C67F85">
        <w:rPr>
          <w:rFonts w:ascii="Times New Roman" w:hAnsi="Times New Roman"/>
          <w:i/>
          <w:sz w:val="24"/>
          <w:szCs w:val="22"/>
        </w:rPr>
        <w:t>en</w:t>
      </w:r>
      <w:proofErr w:type="spellEnd"/>
      <w:r w:rsidRPr="00C67F85">
        <w:rPr>
          <w:rFonts w:ascii="Times New Roman" w:hAnsi="Times New Roman"/>
          <w:i/>
          <w:sz w:val="24"/>
          <w:szCs w:val="22"/>
        </w:rPr>
        <w:t xml:space="preserve"> </w:t>
      </w:r>
      <w:proofErr w:type="spellStart"/>
      <w:r w:rsidRPr="00C67F85">
        <w:rPr>
          <w:rFonts w:ascii="Times New Roman" w:hAnsi="Times New Roman"/>
          <w:i/>
          <w:sz w:val="24"/>
          <w:szCs w:val="22"/>
        </w:rPr>
        <w:t>venta</w:t>
      </w:r>
      <w:proofErr w:type="spellEnd"/>
      <w:r w:rsidRPr="00C67F85">
        <w:rPr>
          <w:rFonts w:ascii="Times New Roman" w:hAnsi="Times New Roman"/>
          <w:i/>
          <w:sz w:val="24"/>
          <w:szCs w:val="22"/>
        </w:rPr>
        <w:t>,</w:t>
      </w:r>
    </w:p>
    <w:p w14:paraId="3AE9D271" w14:textId="51B86F94" w:rsidR="00AA4578" w:rsidRPr="00364AE9" w:rsidRDefault="00C67F85" w:rsidP="00AA4578">
      <w:pPr>
        <w:widowControl w:val="0"/>
        <w:numPr>
          <w:ilvl w:val="1"/>
          <w:numId w:val="4"/>
        </w:numPr>
        <w:tabs>
          <w:tab w:val="left" w:pos="1317"/>
        </w:tabs>
        <w:autoSpaceDE w:val="0"/>
        <w:autoSpaceDN w:val="0"/>
        <w:spacing w:line="275" w:lineRule="exact"/>
        <w:ind w:left="1316" w:hanging="394"/>
        <w:rPr>
          <w:rFonts w:ascii="Times New Roman" w:hAnsi="Times New Roman"/>
          <w:i/>
          <w:sz w:val="24"/>
          <w:szCs w:val="22"/>
          <w:lang w:val="es-ES"/>
        </w:rPr>
      </w:pPr>
      <w:r w:rsidRPr="00C67F85">
        <w:rPr>
          <w:rFonts w:ascii="Times New Roman" w:hAnsi="Times New Roman"/>
          <w:i/>
          <w:sz w:val="24"/>
          <w:szCs w:val="22"/>
          <w:lang w:val="es-ES"/>
        </w:rPr>
        <w:t>la venta o cualquier otra forma de comercialización</w:t>
      </w:r>
      <w:r w:rsidR="00AA4578" w:rsidRPr="00364AE9">
        <w:rPr>
          <w:rFonts w:ascii="Times New Roman" w:hAnsi="Times New Roman"/>
          <w:i/>
          <w:spacing w:val="-2"/>
          <w:sz w:val="24"/>
          <w:szCs w:val="22"/>
          <w:lang w:val="es-ES"/>
        </w:rPr>
        <w:t>,</w:t>
      </w:r>
    </w:p>
    <w:p w14:paraId="373B131E" w14:textId="3726B5A1" w:rsidR="00AA4578" w:rsidRPr="00AA4578" w:rsidRDefault="00C67F85" w:rsidP="00AA4578">
      <w:pPr>
        <w:widowControl w:val="0"/>
        <w:numPr>
          <w:ilvl w:val="1"/>
          <w:numId w:val="4"/>
        </w:numPr>
        <w:tabs>
          <w:tab w:val="left" w:pos="1250"/>
        </w:tabs>
        <w:autoSpaceDE w:val="0"/>
        <w:autoSpaceDN w:val="0"/>
        <w:spacing w:before="3" w:line="275" w:lineRule="exact"/>
        <w:ind w:left="1249" w:hanging="327"/>
        <w:rPr>
          <w:rFonts w:ascii="Times New Roman" w:hAnsi="Times New Roman"/>
          <w:i/>
          <w:sz w:val="24"/>
          <w:szCs w:val="22"/>
        </w:rPr>
      </w:pPr>
      <w:r>
        <w:rPr>
          <w:rFonts w:ascii="Times New Roman" w:hAnsi="Times New Roman"/>
          <w:i/>
          <w:spacing w:val="-2"/>
          <w:sz w:val="24"/>
          <w:szCs w:val="22"/>
          <w:lang w:val="es-ES"/>
        </w:rPr>
        <w:t xml:space="preserve">la </w:t>
      </w:r>
      <w:r w:rsidR="00AA4578" w:rsidRPr="00AA4578">
        <w:rPr>
          <w:rFonts w:ascii="Times New Roman" w:hAnsi="Times New Roman"/>
          <w:i/>
          <w:spacing w:val="-2"/>
          <w:sz w:val="24"/>
          <w:szCs w:val="22"/>
        </w:rPr>
        <w:t>exportación,</w:t>
      </w:r>
    </w:p>
    <w:p w14:paraId="111358DF" w14:textId="77777777" w:rsidR="00C67F85" w:rsidRPr="00C67F85" w:rsidRDefault="00C67F85" w:rsidP="00AA4578">
      <w:pPr>
        <w:widowControl w:val="0"/>
        <w:numPr>
          <w:ilvl w:val="1"/>
          <w:numId w:val="4"/>
        </w:numPr>
        <w:tabs>
          <w:tab w:val="left" w:pos="1383"/>
        </w:tabs>
        <w:autoSpaceDE w:val="0"/>
        <w:autoSpaceDN w:val="0"/>
        <w:spacing w:before="2" w:line="275" w:lineRule="exact"/>
        <w:ind w:left="1382" w:hanging="460"/>
        <w:rPr>
          <w:rFonts w:ascii="Times New Roman" w:hAnsi="Times New Roman"/>
          <w:i/>
          <w:sz w:val="24"/>
          <w:szCs w:val="22"/>
          <w:lang w:val="es-ES"/>
        </w:rPr>
      </w:pPr>
      <w:r w:rsidRPr="00C67F85">
        <w:rPr>
          <w:rFonts w:ascii="Times New Roman" w:hAnsi="Times New Roman"/>
          <w:i/>
          <w:spacing w:val="-2"/>
          <w:sz w:val="24"/>
          <w:szCs w:val="22"/>
        </w:rPr>
        <w:t xml:space="preserve">la </w:t>
      </w:r>
      <w:proofErr w:type="spellStart"/>
      <w:r w:rsidRPr="00C67F85">
        <w:rPr>
          <w:rFonts w:ascii="Times New Roman" w:hAnsi="Times New Roman"/>
          <w:i/>
          <w:spacing w:val="-2"/>
          <w:sz w:val="24"/>
          <w:szCs w:val="22"/>
        </w:rPr>
        <w:t>importación</w:t>
      </w:r>
      <w:proofErr w:type="spellEnd"/>
      <w:r w:rsidRPr="00C67F85">
        <w:rPr>
          <w:rFonts w:ascii="Times New Roman" w:hAnsi="Times New Roman"/>
          <w:i/>
          <w:spacing w:val="-2"/>
          <w:sz w:val="24"/>
          <w:szCs w:val="22"/>
        </w:rPr>
        <w:t>,</w:t>
      </w:r>
    </w:p>
    <w:p w14:paraId="2717F390" w14:textId="0AC1314F" w:rsidR="00AA4578" w:rsidRPr="00364AE9" w:rsidRDefault="00C67F85" w:rsidP="00AA4578">
      <w:pPr>
        <w:widowControl w:val="0"/>
        <w:numPr>
          <w:ilvl w:val="1"/>
          <w:numId w:val="4"/>
        </w:numPr>
        <w:tabs>
          <w:tab w:val="left" w:pos="1383"/>
        </w:tabs>
        <w:autoSpaceDE w:val="0"/>
        <w:autoSpaceDN w:val="0"/>
        <w:spacing w:before="2" w:line="275" w:lineRule="exact"/>
        <w:ind w:left="1382" w:hanging="460"/>
        <w:rPr>
          <w:rFonts w:ascii="Times New Roman" w:hAnsi="Times New Roman"/>
          <w:i/>
          <w:sz w:val="24"/>
          <w:szCs w:val="22"/>
          <w:lang w:val="es-ES"/>
        </w:rPr>
      </w:pPr>
      <w:r w:rsidRPr="00C67F85">
        <w:rPr>
          <w:rFonts w:ascii="Times New Roman" w:hAnsi="Times New Roman"/>
          <w:i/>
          <w:sz w:val="24"/>
          <w:szCs w:val="22"/>
          <w:lang w:val="es-ES"/>
        </w:rPr>
        <w:t>la posesión para cualquiera de los fines mencionados en los puntos i) a vi), supra</w:t>
      </w:r>
      <w:r w:rsidR="00AA4578" w:rsidRPr="00364AE9">
        <w:rPr>
          <w:rFonts w:ascii="Times New Roman" w:hAnsi="Times New Roman"/>
          <w:i/>
          <w:spacing w:val="-2"/>
          <w:sz w:val="24"/>
          <w:szCs w:val="22"/>
          <w:lang w:val="es-ES"/>
        </w:rPr>
        <w:t>.</w:t>
      </w:r>
    </w:p>
    <w:p w14:paraId="5CE7AAA9" w14:textId="768C866F" w:rsidR="00AA4578" w:rsidRPr="00364AE9" w:rsidRDefault="00AA4578" w:rsidP="00AA4578">
      <w:pPr>
        <w:widowControl w:val="0"/>
        <w:autoSpaceDE w:val="0"/>
        <w:autoSpaceDN w:val="0"/>
        <w:spacing w:line="275" w:lineRule="exact"/>
        <w:ind w:left="215"/>
        <w:jc w:val="left"/>
        <w:rPr>
          <w:rFonts w:ascii="Times New Roman" w:hAnsi="Times New Roman"/>
          <w:i/>
          <w:iCs/>
          <w:sz w:val="24"/>
          <w:szCs w:val="24"/>
          <w:lang w:val="es-ES"/>
        </w:rPr>
      </w:pPr>
      <w:r w:rsidRPr="00364AE9">
        <w:rPr>
          <w:rFonts w:ascii="Times New Roman" w:hAnsi="Times New Roman"/>
          <w:i/>
          <w:iCs/>
          <w:sz w:val="24"/>
          <w:szCs w:val="24"/>
          <w:lang w:val="es-ES"/>
        </w:rPr>
        <w:t xml:space="preserve">(b) El obtentor podrá </w:t>
      </w:r>
      <w:r w:rsidR="00C67F85" w:rsidRPr="00C67F85">
        <w:rPr>
          <w:rFonts w:ascii="Times New Roman" w:hAnsi="Times New Roman"/>
          <w:i/>
          <w:iCs/>
          <w:sz w:val="24"/>
          <w:szCs w:val="24"/>
          <w:lang w:val="es-ES"/>
        </w:rPr>
        <w:t>subordinar su autorización a condiciones y a limitaciones</w:t>
      </w:r>
      <w:r w:rsidR="00C67F85">
        <w:rPr>
          <w:rFonts w:ascii="Times New Roman" w:hAnsi="Times New Roman"/>
          <w:i/>
          <w:iCs/>
          <w:sz w:val="24"/>
          <w:szCs w:val="24"/>
          <w:lang w:val="es-ES"/>
        </w:rPr>
        <w:t>.</w:t>
      </w:r>
    </w:p>
    <w:p w14:paraId="3E8AFCF2" w14:textId="77777777" w:rsidR="00AA4578" w:rsidRPr="00364AE9" w:rsidRDefault="00AA4578" w:rsidP="00AA4578">
      <w:pPr>
        <w:widowControl w:val="0"/>
        <w:autoSpaceDE w:val="0"/>
        <w:autoSpaceDN w:val="0"/>
        <w:jc w:val="left"/>
        <w:rPr>
          <w:rFonts w:ascii="Times New Roman" w:hAnsi="Times New Roman"/>
          <w:i/>
          <w:iCs/>
          <w:sz w:val="24"/>
          <w:szCs w:val="24"/>
          <w:lang w:val="es-ES"/>
        </w:rPr>
      </w:pPr>
    </w:p>
    <w:p w14:paraId="7516AACD" w14:textId="45D088EF" w:rsidR="00AA4578" w:rsidRPr="00364AE9" w:rsidRDefault="00AA4578" w:rsidP="00AA4578">
      <w:pPr>
        <w:widowControl w:val="0"/>
        <w:numPr>
          <w:ilvl w:val="0"/>
          <w:numId w:val="4"/>
        </w:numPr>
        <w:tabs>
          <w:tab w:val="left" w:pos="561"/>
        </w:tabs>
        <w:autoSpaceDE w:val="0"/>
        <w:autoSpaceDN w:val="0"/>
        <w:ind w:right="227" w:firstLine="0"/>
        <w:rPr>
          <w:rFonts w:ascii="Times New Roman" w:hAnsi="Times New Roman"/>
          <w:i/>
          <w:sz w:val="24"/>
          <w:szCs w:val="22"/>
          <w:lang w:val="es-ES"/>
        </w:rPr>
      </w:pPr>
      <w:r w:rsidRPr="00364AE9">
        <w:rPr>
          <w:rFonts w:ascii="Times New Roman" w:hAnsi="Times New Roman"/>
          <w:i/>
          <w:sz w:val="24"/>
          <w:szCs w:val="22"/>
          <w:lang w:val="es-ES"/>
        </w:rPr>
        <w:t>[</w:t>
      </w:r>
      <w:r w:rsidR="00C67F85" w:rsidRPr="00C67F85">
        <w:rPr>
          <w:rFonts w:ascii="Times New Roman" w:hAnsi="Times New Roman"/>
          <w:i/>
          <w:sz w:val="24"/>
          <w:szCs w:val="22"/>
          <w:lang w:val="es-ES"/>
        </w:rPr>
        <w:t xml:space="preserve">Actos respecto del producto de la cosecha] A reserva de lo dispuesto en los Artículos 15 y 16, se requerirá la autorización del obtentor para los actos mencionados en los puntos i) a </w:t>
      </w:r>
      <w:proofErr w:type="spellStart"/>
      <w:r w:rsidR="00C67F85" w:rsidRPr="00C67F85">
        <w:rPr>
          <w:rFonts w:ascii="Times New Roman" w:hAnsi="Times New Roman"/>
          <w:i/>
          <w:sz w:val="24"/>
          <w:szCs w:val="22"/>
          <w:lang w:val="es-ES"/>
        </w:rPr>
        <w:t>vii</w:t>
      </w:r>
      <w:proofErr w:type="spellEnd"/>
      <w:r w:rsidR="00C67F85" w:rsidRPr="00C67F85">
        <w:rPr>
          <w:rFonts w:ascii="Times New Roman" w:hAnsi="Times New Roman"/>
          <w:i/>
          <w:sz w:val="24"/>
          <w:szCs w:val="22"/>
          <w:lang w:val="es-ES"/>
        </w:rPr>
        <w:t>) del párrafo 1)a) realizados respecto del producto de la cosecha, incluidas plantas enteras y partes de plantas, obtenido por utilización no autorizada de material de reproducción o de multiplicación de la variedad protegida, a menos que el obtentor haya podido ejercer razonablemente su derecho en relación con dicho material de reproducción o de multiplicación.</w:t>
      </w:r>
    </w:p>
    <w:p w14:paraId="01A360FB" w14:textId="77777777" w:rsidR="00AA4578" w:rsidRPr="00364AE9" w:rsidRDefault="00AA4578" w:rsidP="00AA4578">
      <w:pPr>
        <w:widowControl w:val="0"/>
        <w:autoSpaceDE w:val="0"/>
        <w:autoSpaceDN w:val="0"/>
        <w:spacing w:before="2"/>
        <w:jc w:val="left"/>
        <w:rPr>
          <w:rFonts w:ascii="Times New Roman" w:hAnsi="Times New Roman"/>
          <w:i/>
          <w:iCs/>
          <w:sz w:val="16"/>
          <w:szCs w:val="24"/>
          <w:lang w:val="es-ES"/>
        </w:rPr>
      </w:pPr>
    </w:p>
    <w:p w14:paraId="73CC1CE0" w14:textId="77777777" w:rsidR="00AA4578" w:rsidRPr="00364AE9" w:rsidRDefault="00AA4578" w:rsidP="00AA4578">
      <w:pPr>
        <w:widowControl w:val="0"/>
        <w:autoSpaceDE w:val="0"/>
        <w:autoSpaceDN w:val="0"/>
        <w:spacing w:before="90"/>
        <w:ind w:left="215"/>
        <w:jc w:val="left"/>
        <w:rPr>
          <w:rFonts w:ascii="Times New Roman" w:hAnsi="Times New Roman"/>
          <w:i/>
          <w:sz w:val="24"/>
          <w:szCs w:val="22"/>
          <w:lang w:val="es-ES"/>
        </w:rPr>
      </w:pPr>
      <w:r w:rsidRPr="00364AE9">
        <w:rPr>
          <w:rFonts w:ascii="Times New Roman" w:hAnsi="Times New Roman"/>
          <w:i/>
          <w:spacing w:val="-5"/>
          <w:sz w:val="24"/>
          <w:szCs w:val="22"/>
          <w:lang w:val="es-ES"/>
        </w:rPr>
        <w:t>[...]</w:t>
      </w:r>
    </w:p>
    <w:p w14:paraId="787CB735" w14:textId="5890FC95" w:rsidR="00AA4578" w:rsidRPr="00C67F85" w:rsidRDefault="00AA4578" w:rsidP="00AA4578">
      <w:pPr>
        <w:widowControl w:val="0"/>
        <w:autoSpaceDE w:val="0"/>
        <w:autoSpaceDN w:val="0"/>
        <w:spacing w:before="3"/>
        <w:ind w:left="2766"/>
        <w:jc w:val="left"/>
        <w:outlineLvl w:val="2"/>
        <w:rPr>
          <w:rFonts w:ascii="Times New Roman" w:hAnsi="Times New Roman"/>
          <w:b/>
          <w:bCs/>
          <w:i/>
          <w:iCs/>
          <w:sz w:val="24"/>
          <w:szCs w:val="24"/>
          <w:lang w:val="es-ES"/>
        </w:rPr>
      </w:pPr>
      <w:r w:rsidRPr="00364AE9">
        <w:rPr>
          <w:rFonts w:ascii="Times New Roman" w:hAnsi="Times New Roman"/>
          <w:b/>
          <w:bCs/>
          <w:i/>
          <w:iCs/>
          <w:sz w:val="24"/>
          <w:szCs w:val="24"/>
          <w:lang w:val="es-ES"/>
        </w:rPr>
        <w:t xml:space="preserve">Artículo 16 </w:t>
      </w:r>
      <w:r w:rsidR="00C67F85" w:rsidRPr="00C67F85">
        <w:rPr>
          <w:rFonts w:ascii="Times New Roman" w:hAnsi="Times New Roman"/>
          <w:b/>
          <w:bCs/>
          <w:i/>
          <w:iCs/>
          <w:sz w:val="24"/>
          <w:szCs w:val="24"/>
          <w:lang w:val="es-ES"/>
        </w:rPr>
        <w:t>Agotamiento del derecho de obtentor</w:t>
      </w:r>
    </w:p>
    <w:p w14:paraId="638D5EF8" w14:textId="77777777" w:rsidR="00AA4578" w:rsidRPr="00364AE9" w:rsidRDefault="00AA4578" w:rsidP="00AA4578">
      <w:pPr>
        <w:widowControl w:val="0"/>
        <w:autoSpaceDE w:val="0"/>
        <w:autoSpaceDN w:val="0"/>
        <w:spacing w:before="2"/>
        <w:jc w:val="left"/>
        <w:rPr>
          <w:rFonts w:ascii="Times New Roman" w:hAnsi="Times New Roman"/>
          <w:b/>
          <w:i/>
          <w:iCs/>
          <w:sz w:val="16"/>
          <w:szCs w:val="24"/>
          <w:lang w:val="es-ES"/>
        </w:rPr>
      </w:pPr>
    </w:p>
    <w:p w14:paraId="41812D88" w14:textId="6822E81D" w:rsidR="00AA4578" w:rsidRPr="00364AE9" w:rsidRDefault="00AA4578" w:rsidP="00AA4578">
      <w:pPr>
        <w:widowControl w:val="0"/>
        <w:numPr>
          <w:ilvl w:val="0"/>
          <w:numId w:val="3"/>
        </w:numPr>
        <w:tabs>
          <w:tab w:val="left" w:pos="549"/>
        </w:tabs>
        <w:autoSpaceDE w:val="0"/>
        <w:autoSpaceDN w:val="0"/>
        <w:spacing w:before="90"/>
        <w:ind w:right="227" w:firstLine="0"/>
        <w:rPr>
          <w:rFonts w:ascii="Times New Roman" w:hAnsi="Times New Roman"/>
          <w:i/>
          <w:sz w:val="24"/>
          <w:szCs w:val="22"/>
          <w:lang w:val="es-ES"/>
        </w:rPr>
      </w:pPr>
      <w:r w:rsidRPr="00364AE9">
        <w:rPr>
          <w:rFonts w:ascii="Times New Roman" w:hAnsi="Times New Roman"/>
          <w:i/>
          <w:sz w:val="24"/>
          <w:szCs w:val="22"/>
          <w:lang w:val="es-ES"/>
        </w:rPr>
        <w:t>[</w:t>
      </w:r>
      <w:r w:rsidR="00A809B3" w:rsidRPr="00A809B3">
        <w:rPr>
          <w:rFonts w:ascii="Times New Roman" w:hAnsi="Times New Roman"/>
          <w:i/>
          <w:sz w:val="24"/>
          <w:szCs w:val="22"/>
          <w:lang w:val="es-ES"/>
        </w:rPr>
        <w:t xml:space="preserve">Agotamiento del derecho] El derecho de obtentor no se extenderá a los actos relativos al material de su variedad, o de una variedad cubierta por el Artículo 14.5), que haya sido vendido o comercializado de otra manera en el territorio de la Parte Contratante concernida por el obtentor o con su consentimiento, o material derivado de dicho material, a menos que esos actos i) impliquen una nueva reproducción o multiplicación de la variedad en cuestión, </w:t>
      </w:r>
      <w:proofErr w:type="spellStart"/>
      <w:r w:rsidR="00A809B3" w:rsidRPr="00A809B3">
        <w:rPr>
          <w:rFonts w:ascii="Times New Roman" w:hAnsi="Times New Roman"/>
          <w:i/>
          <w:sz w:val="24"/>
          <w:szCs w:val="22"/>
          <w:lang w:val="es-ES"/>
        </w:rPr>
        <w:t>ii</w:t>
      </w:r>
      <w:proofErr w:type="spellEnd"/>
      <w:r w:rsidR="00A809B3" w:rsidRPr="00A809B3">
        <w:rPr>
          <w:rFonts w:ascii="Times New Roman" w:hAnsi="Times New Roman"/>
          <w:i/>
          <w:sz w:val="24"/>
          <w:szCs w:val="22"/>
          <w:lang w:val="es-ES"/>
        </w:rPr>
        <w:t>) impliquen una exportación de material de la variedad, que permita reproducirla, a un país que no proteja las variedades del género o de la especie vegetal a que pertenezca la variedad, salvo si el material exportado está destinado al consumo</w:t>
      </w:r>
      <w:r w:rsidR="00A809B3">
        <w:rPr>
          <w:rFonts w:ascii="Times New Roman" w:hAnsi="Times New Roman"/>
          <w:i/>
          <w:sz w:val="24"/>
          <w:szCs w:val="22"/>
          <w:lang w:val="es-ES"/>
        </w:rPr>
        <w:t>.</w:t>
      </w:r>
    </w:p>
    <w:p w14:paraId="13BC814B" w14:textId="77777777" w:rsidR="00AA4578" w:rsidRPr="00364AE9" w:rsidRDefault="00AA4578" w:rsidP="00AA4578">
      <w:pPr>
        <w:widowControl w:val="0"/>
        <w:autoSpaceDE w:val="0"/>
        <w:autoSpaceDN w:val="0"/>
        <w:spacing w:before="9"/>
        <w:jc w:val="left"/>
        <w:rPr>
          <w:rFonts w:ascii="Times New Roman" w:hAnsi="Times New Roman"/>
          <w:i/>
          <w:iCs/>
          <w:sz w:val="23"/>
          <w:szCs w:val="24"/>
          <w:lang w:val="es-ES"/>
        </w:rPr>
      </w:pPr>
    </w:p>
    <w:p w14:paraId="41B8C747" w14:textId="7F38B39E" w:rsidR="00AA4578" w:rsidRPr="00364AE9" w:rsidRDefault="00AA4578" w:rsidP="00AA4578">
      <w:pPr>
        <w:widowControl w:val="0"/>
        <w:numPr>
          <w:ilvl w:val="0"/>
          <w:numId w:val="3"/>
        </w:numPr>
        <w:tabs>
          <w:tab w:val="left" w:pos="561"/>
        </w:tabs>
        <w:autoSpaceDE w:val="0"/>
        <w:autoSpaceDN w:val="0"/>
        <w:ind w:right="227" w:firstLine="0"/>
        <w:rPr>
          <w:rFonts w:ascii="Times New Roman" w:hAnsi="Times New Roman"/>
          <w:i/>
          <w:sz w:val="24"/>
          <w:szCs w:val="22"/>
          <w:lang w:val="es-ES"/>
        </w:rPr>
      </w:pPr>
      <w:r w:rsidRPr="00364AE9">
        <w:rPr>
          <w:rFonts w:ascii="Times New Roman" w:hAnsi="Times New Roman"/>
          <w:i/>
          <w:sz w:val="24"/>
          <w:szCs w:val="22"/>
          <w:lang w:val="es-ES"/>
        </w:rPr>
        <w:t>[</w:t>
      </w:r>
      <w:r w:rsidR="00A809B3" w:rsidRPr="00A809B3">
        <w:rPr>
          <w:rFonts w:ascii="Times New Roman" w:hAnsi="Times New Roman"/>
          <w:i/>
          <w:sz w:val="24"/>
          <w:szCs w:val="22"/>
          <w:lang w:val="es-ES"/>
        </w:rPr>
        <w:t xml:space="preserve">Sentido de “material”] A los fines de lo dispuesto en el párrafo 1), se entenderá por “material”, en relación con una variedad, i) el material de reproducción o de multiplicación vegetativa, en cualquier forma, </w:t>
      </w:r>
      <w:proofErr w:type="spellStart"/>
      <w:r w:rsidR="00A809B3" w:rsidRPr="00A809B3">
        <w:rPr>
          <w:rFonts w:ascii="Times New Roman" w:hAnsi="Times New Roman"/>
          <w:i/>
          <w:sz w:val="24"/>
          <w:szCs w:val="22"/>
          <w:lang w:val="es-ES"/>
        </w:rPr>
        <w:t>ii</w:t>
      </w:r>
      <w:proofErr w:type="spellEnd"/>
      <w:r w:rsidR="00A809B3" w:rsidRPr="00A809B3">
        <w:rPr>
          <w:rFonts w:ascii="Times New Roman" w:hAnsi="Times New Roman"/>
          <w:i/>
          <w:sz w:val="24"/>
          <w:szCs w:val="22"/>
          <w:lang w:val="es-ES"/>
        </w:rPr>
        <w:t xml:space="preserve">) el producto de la cosecha, incluidas las plantas enteras y las partes de plantas, y </w:t>
      </w:r>
      <w:proofErr w:type="spellStart"/>
      <w:r w:rsidR="00A809B3" w:rsidRPr="00A809B3">
        <w:rPr>
          <w:rFonts w:ascii="Times New Roman" w:hAnsi="Times New Roman"/>
          <w:i/>
          <w:sz w:val="24"/>
          <w:szCs w:val="22"/>
          <w:lang w:val="es-ES"/>
        </w:rPr>
        <w:t>iii</w:t>
      </w:r>
      <w:proofErr w:type="spellEnd"/>
      <w:r w:rsidR="00A809B3" w:rsidRPr="00A809B3">
        <w:rPr>
          <w:rFonts w:ascii="Times New Roman" w:hAnsi="Times New Roman"/>
          <w:i/>
          <w:sz w:val="24"/>
          <w:szCs w:val="22"/>
          <w:lang w:val="es-ES"/>
        </w:rPr>
        <w:t>) todo producto fabricado directamente a partir del producto de la cosecha</w:t>
      </w:r>
    </w:p>
    <w:p w14:paraId="68C1CF00" w14:textId="77777777" w:rsidR="00AA4578" w:rsidRPr="00364AE9" w:rsidRDefault="00AA4578" w:rsidP="00AA4578">
      <w:pPr>
        <w:widowControl w:val="0"/>
        <w:autoSpaceDE w:val="0"/>
        <w:autoSpaceDN w:val="0"/>
        <w:jc w:val="left"/>
        <w:rPr>
          <w:rFonts w:ascii="Times New Roman" w:hAnsi="Times New Roman"/>
          <w:i/>
          <w:iCs/>
          <w:sz w:val="24"/>
          <w:szCs w:val="24"/>
          <w:lang w:val="es-ES"/>
        </w:rPr>
      </w:pPr>
    </w:p>
    <w:p w14:paraId="671E75F0" w14:textId="62537336" w:rsidR="00AA4578" w:rsidRPr="00364AE9" w:rsidRDefault="00AA4578" w:rsidP="00AA4578">
      <w:pPr>
        <w:widowControl w:val="0"/>
        <w:numPr>
          <w:ilvl w:val="0"/>
          <w:numId w:val="3"/>
        </w:numPr>
        <w:tabs>
          <w:tab w:val="left" w:pos="567"/>
        </w:tabs>
        <w:autoSpaceDE w:val="0"/>
        <w:autoSpaceDN w:val="0"/>
        <w:ind w:right="226" w:firstLine="0"/>
        <w:rPr>
          <w:rFonts w:ascii="Times New Roman" w:hAnsi="Times New Roman"/>
          <w:i/>
          <w:sz w:val="24"/>
          <w:szCs w:val="22"/>
          <w:lang w:val="es-ES"/>
        </w:rPr>
        <w:sectPr w:rsidR="00AA4578" w:rsidRPr="00364AE9" w:rsidSect="0004198B">
          <w:headerReference w:type="first" r:id="rId12"/>
          <w:pgSz w:w="11907" w:h="16840" w:code="9"/>
          <w:pgMar w:top="510" w:right="1134" w:bottom="1134" w:left="1134" w:header="510" w:footer="680" w:gutter="0"/>
          <w:pgNumType w:start="1"/>
          <w:cols w:space="720"/>
          <w:titlePg/>
        </w:sectPr>
      </w:pPr>
      <w:r w:rsidRPr="00364AE9">
        <w:rPr>
          <w:rFonts w:ascii="Times New Roman" w:hAnsi="Times New Roman"/>
          <w:i/>
          <w:sz w:val="24"/>
          <w:szCs w:val="22"/>
          <w:lang w:val="es-ES"/>
        </w:rPr>
        <w:t>[</w:t>
      </w:r>
      <w:r w:rsidR="00A809B3" w:rsidRPr="00A809B3">
        <w:rPr>
          <w:rFonts w:ascii="Times New Roman" w:hAnsi="Times New Roman"/>
          <w:i/>
          <w:sz w:val="24"/>
          <w:szCs w:val="22"/>
          <w:lang w:val="es-ES"/>
        </w:rPr>
        <w:t>“Territorios” en ciertos casos] A los fines de lo dispuesto en el párrafo 1), las Partes Contratantes que sean Estados miembros de una sola y misma organización intergubernamental, cuando las normas de esa organización lo requieran, podrán actuar conjuntamente para asimilar los actos realizados en los territorios de los Estados miembros de esa organización a actos realizados en su propio territorio; en tal caso, notificarán esa asimilación al Secretario General.</w:t>
      </w:r>
    </w:p>
    <w:p w14:paraId="6D1BD672" w14:textId="52CC15D2" w:rsidR="00AA4578" w:rsidRPr="00A809B3" w:rsidRDefault="00A809B3" w:rsidP="009B440E">
      <w:pPr>
        <w:jc w:val="left"/>
        <w:rPr>
          <w:b/>
          <w:bCs/>
          <w:noProof/>
          <w:lang w:val="es-ES"/>
        </w:rPr>
      </w:pPr>
      <w:r w:rsidRPr="00A809B3">
        <w:rPr>
          <w:b/>
          <w:bCs/>
          <w:noProof/>
          <w:lang w:val="es-ES"/>
        </w:rPr>
        <w:lastRenderedPageBreak/>
        <w:t>Convención de Viena sobre el Derecho de los Tratados</w:t>
      </w:r>
    </w:p>
    <w:p w14:paraId="666338AA" w14:textId="77777777" w:rsidR="00A809B3" w:rsidRPr="00A809B3" w:rsidRDefault="00A809B3" w:rsidP="009B440E">
      <w:pPr>
        <w:jc w:val="left"/>
        <w:rPr>
          <w:noProof/>
          <w:lang w:val="es-ES"/>
        </w:rPr>
      </w:pPr>
    </w:p>
    <w:p w14:paraId="30FAD491" w14:textId="78EFD391" w:rsidR="00A809B3" w:rsidRPr="00A809B3" w:rsidRDefault="00A809B3" w:rsidP="00A809B3">
      <w:pPr>
        <w:jc w:val="center"/>
        <w:rPr>
          <w:b/>
          <w:bCs/>
          <w:i/>
          <w:iCs/>
          <w:lang w:val="es-ES"/>
        </w:rPr>
      </w:pPr>
      <w:r w:rsidRPr="00A809B3">
        <w:rPr>
          <w:b/>
          <w:bCs/>
          <w:i/>
          <w:iCs/>
          <w:lang w:val="es-ES"/>
        </w:rPr>
        <w:t>SECCION TERCERA</w:t>
      </w:r>
      <w:r w:rsidRPr="00A809B3">
        <w:rPr>
          <w:b/>
          <w:bCs/>
          <w:i/>
          <w:iCs/>
          <w:lang w:val="es-ES"/>
        </w:rPr>
        <w:t xml:space="preserve"> INTERPRETACIÓN DE LOS TRATADOS.</w:t>
      </w:r>
    </w:p>
    <w:p w14:paraId="650CD993" w14:textId="77777777" w:rsidR="00A809B3" w:rsidRPr="00A809B3" w:rsidRDefault="00A809B3" w:rsidP="00A809B3">
      <w:pPr>
        <w:jc w:val="center"/>
        <w:rPr>
          <w:b/>
          <w:bCs/>
          <w:i/>
          <w:iCs/>
          <w:lang w:val="es-ES"/>
        </w:rPr>
      </w:pPr>
      <w:r w:rsidRPr="00A809B3">
        <w:rPr>
          <w:b/>
          <w:bCs/>
          <w:i/>
          <w:iCs/>
          <w:lang w:val="es-ES"/>
        </w:rPr>
        <w:t xml:space="preserve">31. </w:t>
      </w:r>
    </w:p>
    <w:p w14:paraId="0DB84F48" w14:textId="3AFF0919" w:rsidR="00A809B3" w:rsidRDefault="00A809B3" w:rsidP="00A809B3">
      <w:pPr>
        <w:jc w:val="center"/>
        <w:rPr>
          <w:b/>
          <w:bCs/>
          <w:i/>
          <w:iCs/>
          <w:lang w:val="es-ES"/>
        </w:rPr>
      </w:pPr>
      <w:r w:rsidRPr="00A809B3">
        <w:rPr>
          <w:b/>
          <w:bCs/>
          <w:i/>
          <w:iCs/>
          <w:lang w:val="es-ES"/>
        </w:rPr>
        <w:t>Regla general de interpretación.</w:t>
      </w:r>
    </w:p>
    <w:p w14:paraId="22C76374" w14:textId="77777777" w:rsidR="00A809B3" w:rsidRPr="00A809B3" w:rsidRDefault="00A809B3" w:rsidP="00A809B3">
      <w:pPr>
        <w:jc w:val="center"/>
        <w:rPr>
          <w:b/>
          <w:bCs/>
          <w:i/>
          <w:iCs/>
          <w:lang w:val="es-ES"/>
        </w:rPr>
      </w:pPr>
    </w:p>
    <w:p w14:paraId="26F52CC0" w14:textId="0C6165BA" w:rsidR="00A809B3" w:rsidRPr="00A809B3" w:rsidRDefault="00A809B3" w:rsidP="00A809B3">
      <w:pPr>
        <w:spacing w:line="276" w:lineRule="auto"/>
        <w:jc w:val="left"/>
        <w:rPr>
          <w:i/>
          <w:iCs/>
          <w:lang w:val="es-ES"/>
        </w:rPr>
      </w:pPr>
      <w:r w:rsidRPr="00A809B3">
        <w:rPr>
          <w:i/>
          <w:iCs/>
          <w:lang w:val="es-ES"/>
        </w:rPr>
        <w:t>1</w:t>
      </w:r>
      <w:r w:rsidRPr="00A809B3">
        <w:rPr>
          <w:i/>
          <w:iCs/>
          <w:lang w:val="es-ES"/>
        </w:rPr>
        <w:t>. Un tratado deberá interpretarse de buena fe</w:t>
      </w:r>
      <w:r w:rsidRPr="00A809B3">
        <w:rPr>
          <w:i/>
          <w:iCs/>
          <w:lang w:val="es-ES"/>
        </w:rPr>
        <w:t xml:space="preserve"> </w:t>
      </w:r>
      <w:r w:rsidRPr="00A809B3">
        <w:rPr>
          <w:i/>
          <w:iCs/>
          <w:lang w:val="es-ES"/>
        </w:rPr>
        <w:t>conforme al sentido corriente que haya de atribuirse a los términos del tratado en el</w:t>
      </w:r>
      <w:r w:rsidRPr="00A809B3">
        <w:rPr>
          <w:i/>
          <w:iCs/>
          <w:lang w:val="es-ES"/>
        </w:rPr>
        <w:t xml:space="preserve"> </w:t>
      </w:r>
      <w:r w:rsidRPr="00A809B3">
        <w:rPr>
          <w:i/>
          <w:iCs/>
          <w:lang w:val="es-ES"/>
        </w:rPr>
        <w:t>contexto de estos y teniendo en cuenta su objeto y fin.</w:t>
      </w:r>
    </w:p>
    <w:p w14:paraId="774CEB55" w14:textId="77777777" w:rsidR="00A809B3" w:rsidRPr="00A809B3" w:rsidRDefault="00A809B3" w:rsidP="00A809B3">
      <w:pPr>
        <w:spacing w:line="276" w:lineRule="auto"/>
        <w:jc w:val="left"/>
        <w:rPr>
          <w:i/>
          <w:iCs/>
          <w:lang w:val="es-ES"/>
        </w:rPr>
      </w:pPr>
    </w:p>
    <w:p w14:paraId="6825BE33" w14:textId="2446B4B2" w:rsidR="00A809B3" w:rsidRPr="00A809B3" w:rsidRDefault="00A809B3" w:rsidP="00A809B3">
      <w:pPr>
        <w:spacing w:line="276" w:lineRule="auto"/>
        <w:jc w:val="left"/>
        <w:rPr>
          <w:i/>
          <w:iCs/>
          <w:lang w:val="es-ES"/>
        </w:rPr>
      </w:pPr>
      <w:r w:rsidRPr="00A809B3">
        <w:rPr>
          <w:i/>
          <w:iCs/>
          <w:lang w:val="es-ES"/>
        </w:rPr>
        <w:t>2. Para los efectos de la interpretación de un tratado. el contexto comprenderá, además</w:t>
      </w:r>
      <w:r w:rsidRPr="00A809B3">
        <w:rPr>
          <w:i/>
          <w:iCs/>
          <w:lang w:val="es-ES"/>
        </w:rPr>
        <w:t xml:space="preserve"> </w:t>
      </w:r>
      <w:r w:rsidRPr="00A809B3">
        <w:rPr>
          <w:i/>
          <w:iCs/>
          <w:lang w:val="es-ES"/>
        </w:rPr>
        <w:t>del texto, incluidos su preámbulo y anexos:</w:t>
      </w:r>
    </w:p>
    <w:p w14:paraId="47D36455" w14:textId="6574D19F" w:rsidR="00A809B3" w:rsidRPr="00A809B3" w:rsidRDefault="00A809B3" w:rsidP="00A809B3">
      <w:pPr>
        <w:spacing w:line="276" w:lineRule="auto"/>
        <w:jc w:val="left"/>
        <w:rPr>
          <w:i/>
          <w:iCs/>
          <w:lang w:val="es-ES"/>
        </w:rPr>
      </w:pPr>
      <w:r>
        <w:rPr>
          <w:i/>
          <w:iCs/>
          <w:lang w:val="es-ES"/>
        </w:rPr>
        <w:t>(</w:t>
      </w:r>
      <w:r w:rsidRPr="00A809B3">
        <w:rPr>
          <w:i/>
          <w:iCs/>
          <w:lang w:val="es-ES"/>
        </w:rPr>
        <w:t>a) todo acuerdo que se refiera al tratado y haya sido concertado entre todas las partes con</w:t>
      </w:r>
      <w:r w:rsidRPr="00A809B3">
        <w:rPr>
          <w:i/>
          <w:iCs/>
          <w:lang w:val="es-ES"/>
        </w:rPr>
        <w:t xml:space="preserve"> </w:t>
      </w:r>
      <w:r w:rsidRPr="00A809B3">
        <w:rPr>
          <w:i/>
          <w:iCs/>
          <w:lang w:val="es-ES"/>
        </w:rPr>
        <w:t>motivo de la celebración del tratado:</w:t>
      </w:r>
    </w:p>
    <w:p w14:paraId="51A7E4F7" w14:textId="4D9AB071" w:rsidR="00A809B3" w:rsidRPr="00A809B3" w:rsidRDefault="00A809B3" w:rsidP="00A809B3">
      <w:pPr>
        <w:spacing w:line="276" w:lineRule="auto"/>
        <w:jc w:val="left"/>
        <w:rPr>
          <w:i/>
          <w:iCs/>
          <w:lang w:val="es-ES"/>
        </w:rPr>
      </w:pPr>
      <w:r>
        <w:rPr>
          <w:i/>
          <w:iCs/>
          <w:lang w:val="es-ES"/>
        </w:rPr>
        <w:t>(</w:t>
      </w:r>
      <w:r w:rsidRPr="00A809B3">
        <w:rPr>
          <w:i/>
          <w:iCs/>
          <w:lang w:val="es-ES"/>
        </w:rPr>
        <w:t xml:space="preserve">b) todo instrumento formulado por una o más </w:t>
      </w:r>
      <w:proofErr w:type="spellStart"/>
      <w:r w:rsidRPr="00A809B3">
        <w:rPr>
          <w:i/>
          <w:iCs/>
          <w:lang w:val="es-ES"/>
        </w:rPr>
        <w:t>partles</w:t>
      </w:r>
      <w:proofErr w:type="spellEnd"/>
      <w:r w:rsidRPr="00A809B3">
        <w:rPr>
          <w:i/>
          <w:iCs/>
          <w:lang w:val="es-ES"/>
        </w:rPr>
        <w:t xml:space="preserve"> con motivo de la celebración del</w:t>
      </w:r>
      <w:r w:rsidRPr="00A809B3">
        <w:rPr>
          <w:i/>
          <w:iCs/>
          <w:lang w:val="es-ES"/>
        </w:rPr>
        <w:t xml:space="preserve"> </w:t>
      </w:r>
      <w:r w:rsidRPr="00A809B3">
        <w:rPr>
          <w:i/>
          <w:iCs/>
          <w:lang w:val="es-ES"/>
        </w:rPr>
        <w:t>tratado y aceptado por las demás como instrumento referente al tratado;</w:t>
      </w:r>
    </w:p>
    <w:p w14:paraId="5A6BA48A" w14:textId="77777777" w:rsidR="00A809B3" w:rsidRPr="00A809B3" w:rsidRDefault="00A809B3" w:rsidP="00A809B3">
      <w:pPr>
        <w:spacing w:line="276" w:lineRule="auto"/>
        <w:jc w:val="left"/>
        <w:rPr>
          <w:i/>
          <w:iCs/>
          <w:lang w:val="es-ES"/>
        </w:rPr>
      </w:pPr>
    </w:p>
    <w:p w14:paraId="3107A608" w14:textId="1B1D9F0E" w:rsidR="00A809B3" w:rsidRPr="00A809B3" w:rsidRDefault="00A809B3" w:rsidP="00A809B3">
      <w:pPr>
        <w:spacing w:line="276" w:lineRule="auto"/>
        <w:jc w:val="left"/>
        <w:rPr>
          <w:i/>
          <w:iCs/>
          <w:lang w:val="es-ES"/>
        </w:rPr>
      </w:pPr>
      <w:r w:rsidRPr="00A809B3">
        <w:rPr>
          <w:i/>
          <w:iCs/>
          <w:lang w:val="es-ES"/>
        </w:rPr>
        <w:t>3. Juntamente con el contexto, habrá de tenerse en cuenta:</w:t>
      </w:r>
    </w:p>
    <w:p w14:paraId="028A0F59" w14:textId="426FAAF4" w:rsidR="00A809B3" w:rsidRPr="00A809B3" w:rsidRDefault="00A809B3" w:rsidP="00A809B3">
      <w:pPr>
        <w:spacing w:line="276" w:lineRule="auto"/>
        <w:jc w:val="left"/>
        <w:rPr>
          <w:i/>
          <w:iCs/>
          <w:lang w:val="es-ES"/>
        </w:rPr>
      </w:pPr>
      <w:r>
        <w:rPr>
          <w:i/>
          <w:iCs/>
          <w:lang w:val="es-ES"/>
        </w:rPr>
        <w:t>(</w:t>
      </w:r>
      <w:r w:rsidRPr="00A809B3">
        <w:rPr>
          <w:i/>
          <w:iCs/>
          <w:lang w:val="es-ES"/>
        </w:rPr>
        <w:t>a) todo acuerdo ulterior entre las partes acerca de la interpretación del tratado o de la</w:t>
      </w:r>
      <w:r w:rsidRPr="00A809B3">
        <w:rPr>
          <w:i/>
          <w:iCs/>
          <w:lang w:val="es-ES"/>
        </w:rPr>
        <w:t xml:space="preserve"> </w:t>
      </w:r>
      <w:r w:rsidRPr="00A809B3">
        <w:rPr>
          <w:i/>
          <w:iCs/>
          <w:lang w:val="es-ES"/>
        </w:rPr>
        <w:t>aplicación de sus disposiciones:</w:t>
      </w:r>
    </w:p>
    <w:p w14:paraId="6E8C7611" w14:textId="50FE2C8E" w:rsidR="00A809B3" w:rsidRPr="00A809B3" w:rsidRDefault="00A809B3" w:rsidP="00A809B3">
      <w:pPr>
        <w:spacing w:line="276" w:lineRule="auto"/>
        <w:jc w:val="left"/>
        <w:rPr>
          <w:i/>
          <w:iCs/>
          <w:lang w:val="es-ES"/>
        </w:rPr>
      </w:pPr>
      <w:r>
        <w:rPr>
          <w:i/>
          <w:iCs/>
          <w:lang w:val="es-ES"/>
        </w:rPr>
        <w:t>(</w:t>
      </w:r>
      <w:r w:rsidRPr="00A809B3">
        <w:rPr>
          <w:i/>
          <w:iCs/>
          <w:lang w:val="es-ES"/>
        </w:rPr>
        <w:t>b) toda práctica ulteriormente seguida en la aplicación del tratado por la cual conste el</w:t>
      </w:r>
      <w:r w:rsidRPr="00A809B3">
        <w:rPr>
          <w:i/>
          <w:iCs/>
          <w:lang w:val="es-ES"/>
        </w:rPr>
        <w:t xml:space="preserve"> </w:t>
      </w:r>
      <w:r w:rsidRPr="00A809B3">
        <w:rPr>
          <w:i/>
          <w:iCs/>
          <w:lang w:val="es-ES"/>
        </w:rPr>
        <w:t>acuerdo de las partes acerca de la interpretación del tratado:</w:t>
      </w:r>
    </w:p>
    <w:p w14:paraId="47AA8414" w14:textId="42001C3A" w:rsidR="00A809B3" w:rsidRPr="00A809B3" w:rsidRDefault="00A809B3" w:rsidP="00A809B3">
      <w:pPr>
        <w:spacing w:line="276" w:lineRule="auto"/>
        <w:jc w:val="left"/>
        <w:rPr>
          <w:i/>
          <w:iCs/>
          <w:lang w:val="es-ES"/>
        </w:rPr>
      </w:pPr>
      <w:r>
        <w:rPr>
          <w:i/>
          <w:iCs/>
          <w:lang w:val="es-ES"/>
        </w:rPr>
        <w:t>(</w:t>
      </w:r>
      <w:r w:rsidRPr="00A809B3">
        <w:rPr>
          <w:i/>
          <w:iCs/>
          <w:lang w:val="es-ES"/>
        </w:rPr>
        <w:t>c) toda forma pertinente de derecho internacional aplicable en las relaciones entre las</w:t>
      </w:r>
      <w:r w:rsidRPr="00A809B3">
        <w:rPr>
          <w:i/>
          <w:iCs/>
          <w:lang w:val="es-ES"/>
        </w:rPr>
        <w:t xml:space="preserve"> </w:t>
      </w:r>
      <w:r w:rsidRPr="00A809B3">
        <w:rPr>
          <w:i/>
          <w:iCs/>
          <w:lang w:val="es-ES"/>
        </w:rPr>
        <w:t>partes.</w:t>
      </w:r>
    </w:p>
    <w:p w14:paraId="53E32849" w14:textId="77777777" w:rsidR="00A809B3" w:rsidRPr="00A809B3" w:rsidRDefault="00A809B3" w:rsidP="00A809B3">
      <w:pPr>
        <w:spacing w:line="276" w:lineRule="auto"/>
        <w:jc w:val="left"/>
        <w:rPr>
          <w:i/>
          <w:iCs/>
          <w:lang w:val="es-ES"/>
        </w:rPr>
      </w:pPr>
    </w:p>
    <w:p w14:paraId="167E75CA" w14:textId="6DD65E0E" w:rsidR="00A809B3" w:rsidRPr="00A809B3" w:rsidRDefault="00A809B3" w:rsidP="00A809B3">
      <w:pPr>
        <w:spacing w:line="276" w:lineRule="auto"/>
        <w:jc w:val="left"/>
        <w:rPr>
          <w:i/>
          <w:iCs/>
          <w:lang w:val="es-ES"/>
        </w:rPr>
      </w:pPr>
      <w:r w:rsidRPr="00A809B3">
        <w:rPr>
          <w:i/>
          <w:iCs/>
          <w:lang w:val="es-ES"/>
        </w:rPr>
        <w:t>4. Se dará a un término un sentido especial si consta que tal fue la intención de las partes.</w:t>
      </w:r>
    </w:p>
    <w:p w14:paraId="69CF8B3B" w14:textId="77777777" w:rsidR="00A809B3" w:rsidRDefault="00A809B3" w:rsidP="009B440E">
      <w:pPr>
        <w:jc w:val="left"/>
        <w:rPr>
          <w:lang w:val="es-ES"/>
        </w:rPr>
      </w:pPr>
    </w:p>
    <w:p w14:paraId="6E918234" w14:textId="77777777" w:rsidR="00A809B3" w:rsidRPr="00A809B3" w:rsidRDefault="00A809B3" w:rsidP="009B440E">
      <w:pPr>
        <w:jc w:val="left"/>
        <w:rPr>
          <w:i/>
          <w:iCs/>
          <w:lang w:val="es-ES"/>
        </w:rPr>
      </w:pPr>
    </w:p>
    <w:p w14:paraId="69868A9D" w14:textId="77777777" w:rsidR="00A809B3" w:rsidRDefault="00A809B3" w:rsidP="00A809B3">
      <w:pPr>
        <w:jc w:val="center"/>
        <w:rPr>
          <w:i/>
          <w:iCs/>
          <w:lang w:val="es-ES"/>
        </w:rPr>
      </w:pPr>
      <w:r w:rsidRPr="00A809B3">
        <w:rPr>
          <w:i/>
          <w:iCs/>
          <w:lang w:val="es-ES"/>
        </w:rPr>
        <w:t xml:space="preserve">32. </w:t>
      </w:r>
    </w:p>
    <w:p w14:paraId="1B61A5BA" w14:textId="321EFAC1" w:rsidR="00A809B3" w:rsidRDefault="00A809B3" w:rsidP="00A809B3">
      <w:pPr>
        <w:jc w:val="center"/>
        <w:rPr>
          <w:i/>
          <w:iCs/>
          <w:lang w:val="es-ES"/>
        </w:rPr>
      </w:pPr>
      <w:r w:rsidRPr="00A809B3">
        <w:rPr>
          <w:i/>
          <w:iCs/>
          <w:lang w:val="es-ES"/>
        </w:rPr>
        <w:t>Medios de interpretación complementarios.</w:t>
      </w:r>
    </w:p>
    <w:p w14:paraId="2B03C939" w14:textId="77777777" w:rsidR="00A809B3" w:rsidRDefault="00A809B3" w:rsidP="00A809B3">
      <w:pPr>
        <w:jc w:val="center"/>
        <w:rPr>
          <w:i/>
          <w:iCs/>
          <w:lang w:val="es-ES"/>
        </w:rPr>
      </w:pPr>
    </w:p>
    <w:p w14:paraId="04616B88" w14:textId="68E09C1E" w:rsidR="00A809B3" w:rsidRDefault="00A809B3" w:rsidP="00A809B3">
      <w:pPr>
        <w:jc w:val="left"/>
        <w:rPr>
          <w:i/>
          <w:iCs/>
          <w:lang w:val="es-ES"/>
        </w:rPr>
      </w:pPr>
      <w:r w:rsidRPr="00A809B3">
        <w:rPr>
          <w:i/>
          <w:iCs/>
          <w:lang w:val="es-ES"/>
        </w:rPr>
        <w:t>Se podrán acudir a medios de</w:t>
      </w:r>
      <w:r>
        <w:rPr>
          <w:i/>
          <w:iCs/>
          <w:lang w:val="es-ES"/>
        </w:rPr>
        <w:t xml:space="preserve"> </w:t>
      </w:r>
      <w:r w:rsidRPr="00A809B3">
        <w:rPr>
          <w:i/>
          <w:iCs/>
          <w:lang w:val="es-ES"/>
        </w:rPr>
        <w:t>interpretación complementarios, en particular a los trabajos preparatorios del tratado y a</w:t>
      </w:r>
      <w:r>
        <w:rPr>
          <w:i/>
          <w:iCs/>
          <w:lang w:val="es-ES"/>
        </w:rPr>
        <w:t xml:space="preserve"> </w:t>
      </w:r>
      <w:r w:rsidRPr="00A809B3">
        <w:rPr>
          <w:i/>
          <w:iCs/>
          <w:lang w:val="es-ES"/>
        </w:rPr>
        <w:t>las circunstancias de su celebración, para confirmar el sentido resultante de la aplicación</w:t>
      </w:r>
      <w:r>
        <w:rPr>
          <w:i/>
          <w:iCs/>
          <w:lang w:val="es-ES"/>
        </w:rPr>
        <w:t xml:space="preserve"> </w:t>
      </w:r>
      <w:r w:rsidRPr="00A809B3">
        <w:rPr>
          <w:i/>
          <w:iCs/>
          <w:lang w:val="es-ES"/>
        </w:rPr>
        <w:t>del artículo 31, o para determinar el sentido cuando la interpretación dada de</w:t>
      </w:r>
      <w:r>
        <w:rPr>
          <w:i/>
          <w:iCs/>
          <w:lang w:val="es-ES"/>
        </w:rPr>
        <w:t xml:space="preserve"> </w:t>
      </w:r>
      <w:r w:rsidRPr="00A809B3">
        <w:rPr>
          <w:i/>
          <w:iCs/>
          <w:lang w:val="es-ES"/>
        </w:rPr>
        <w:t>conformidad con el artículo 31:</w:t>
      </w:r>
    </w:p>
    <w:p w14:paraId="2B7F3B5C" w14:textId="77777777" w:rsidR="00A809B3" w:rsidRPr="00A809B3" w:rsidRDefault="00A809B3" w:rsidP="00A809B3">
      <w:pPr>
        <w:jc w:val="left"/>
        <w:rPr>
          <w:i/>
          <w:iCs/>
          <w:lang w:val="es-ES"/>
        </w:rPr>
      </w:pPr>
    </w:p>
    <w:p w14:paraId="462FF81F" w14:textId="3532B49F" w:rsidR="00A809B3" w:rsidRPr="00A809B3" w:rsidRDefault="00A809B3" w:rsidP="00A809B3">
      <w:pPr>
        <w:jc w:val="left"/>
        <w:rPr>
          <w:i/>
          <w:iCs/>
          <w:lang w:val="es-ES"/>
        </w:rPr>
      </w:pPr>
      <w:r>
        <w:rPr>
          <w:i/>
          <w:iCs/>
          <w:lang w:val="es-ES"/>
        </w:rPr>
        <w:t xml:space="preserve">(a) </w:t>
      </w:r>
      <w:r w:rsidRPr="00A809B3">
        <w:rPr>
          <w:i/>
          <w:iCs/>
          <w:lang w:val="es-ES"/>
        </w:rPr>
        <w:t>deje ambiguo u oscuro el sentido; o</w:t>
      </w:r>
      <w:r w:rsidRPr="00A809B3">
        <w:rPr>
          <w:i/>
          <w:iCs/>
          <w:lang w:val="es-ES"/>
        </w:rPr>
        <w:t xml:space="preserve"> </w:t>
      </w:r>
    </w:p>
    <w:p w14:paraId="010BB5CB" w14:textId="77777777" w:rsidR="00A809B3" w:rsidRPr="00A809B3" w:rsidRDefault="00A809B3" w:rsidP="00A809B3">
      <w:pPr>
        <w:jc w:val="left"/>
        <w:rPr>
          <w:i/>
          <w:iCs/>
          <w:lang w:val="es-ES"/>
        </w:rPr>
      </w:pPr>
    </w:p>
    <w:p w14:paraId="4055B9C8" w14:textId="17F404DA" w:rsidR="00A809B3" w:rsidRPr="00A809B3" w:rsidRDefault="00A809B3" w:rsidP="00A809B3">
      <w:pPr>
        <w:jc w:val="left"/>
        <w:rPr>
          <w:i/>
          <w:iCs/>
          <w:lang w:val="es-ES"/>
        </w:rPr>
      </w:pPr>
      <w:r>
        <w:rPr>
          <w:i/>
          <w:iCs/>
          <w:lang w:val="es-ES"/>
        </w:rPr>
        <w:t>(</w:t>
      </w:r>
      <w:r w:rsidRPr="00A809B3">
        <w:rPr>
          <w:i/>
          <w:iCs/>
          <w:lang w:val="es-ES"/>
        </w:rPr>
        <w:t>b) conduzca a un resultado manifiestamente absurdo o irrazonable.</w:t>
      </w:r>
    </w:p>
    <w:p w14:paraId="4C14FCA6" w14:textId="77777777" w:rsidR="00AA4578" w:rsidRPr="00A809B3" w:rsidRDefault="00AA4578" w:rsidP="009B440E">
      <w:pPr>
        <w:jc w:val="left"/>
        <w:rPr>
          <w:lang w:val="es-ES"/>
        </w:rPr>
      </w:pPr>
    </w:p>
    <w:p w14:paraId="0B72A7E0" w14:textId="77777777" w:rsidR="00AA4578" w:rsidRDefault="00AA4578" w:rsidP="009B440E">
      <w:pPr>
        <w:jc w:val="left"/>
        <w:rPr>
          <w:lang w:val="es-ES"/>
        </w:rPr>
      </w:pPr>
    </w:p>
    <w:p w14:paraId="3A1870FA" w14:textId="270FCAB5" w:rsidR="00A809B3" w:rsidRPr="00A809B3" w:rsidRDefault="00A809B3" w:rsidP="009B440E">
      <w:pPr>
        <w:jc w:val="left"/>
        <w:rPr>
          <w:lang w:val="es-ES"/>
        </w:rPr>
        <w:sectPr w:rsidR="00A809B3" w:rsidRPr="00A809B3" w:rsidSect="0004198B">
          <w:headerReference w:type="first" r:id="rId13"/>
          <w:pgSz w:w="11907" w:h="16840" w:code="9"/>
          <w:pgMar w:top="510" w:right="1134" w:bottom="1134" w:left="1134" w:header="510" w:footer="680" w:gutter="0"/>
          <w:pgNumType w:start="1"/>
          <w:cols w:space="720"/>
          <w:titlePg/>
        </w:sectPr>
      </w:pPr>
    </w:p>
    <w:p w14:paraId="6DF5BF5C" w14:textId="77777777" w:rsidR="00A809B3" w:rsidRPr="00A809B3" w:rsidRDefault="00A809B3" w:rsidP="00A809B3">
      <w:pPr>
        <w:jc w:val="left"/>
        <w:rPr>
          <w:b/>
          <w:bCs/>
          <w:noProof/>
          <w:lang w:val="es-ES"/>
        </w:rPr>
      </w:pPr>
      <w:r w:rsidRPr="00A809B3">
        <w:rPr>
          <w:b/>
          <w:bCs/>
          <w:noProof/>
          <w:lang w:val="es-ES"/>
        </w:rPr>
        <w:lastRenderedPageBreak/>
        <w:t xml:space="preserve">En los próximos meses, el grupo de expertos analizará los siguientes conceptos del apartado 2 del artículo 14 </w:t>
      </w:r>
    </w:p>
    <w:p w14:paraId="07BB1301" w14:textId="77777777" w:rsidR="00A809B3" w:rsidRPr="00A809B3" w:rsidRDefault="00A809B3" w:rsidP="00A809B3">
      <w:pPr>
        <w:jc w:val="left"/>
        <w:rPr>
          <w:noProof/>
          <w:lang w:val="es-ES"/>
        </w:rPr>
      </w:pPr>
    </w:p>
    <w:p w14:paraId="2ED4B41A" w14:textId="374C80AB" w:rsidR="00A809B3" w:rsidRPr="00A809B3" w:rsidRDefault="00A809B3" w:rsidP="00A809B3">
      <w:pPr>
        <w:pStyle w:val="ListParagraph"/>
        <w:numPr>
          <w:ilvl w:val="0"/>
          <w:numId w:val="11"/>
        </w:numPr>
        <w:spacing w:line="360" w:lineRule="auto"/>
        <w:jc w:val="left"/>
        <w:rPr>
          <w:noProof/>
          <w:lang w:val="es-ES"/>
        </w:rPr>
      </w:pPr>
      <w:r w:rsidRPr="00A809B3">
        <w:rPr>
          <w:noProof/>
          <w:lang w:val="es-ES"/>
        </w:rPr>
        <w:t xml:space="preserve">«materiales de reproducción» y «materiales de cosecha». </w:t>
      </w:r>
    </w:p>
    <w:p w14:paraId="310E1FC4" w14:textId="77540A9E" w:rsidR="00A809B3" w:rsidRPr="00A809B3" w:rsidRDefault="00A809B3" w:rsidP="00A809B3">
      <w:pPr>
        <w:pStyle w:val="ListParagraph"/>
        <w:numPr>
          <w:ilvl w:val="0"/>
          <w:numId w:val="11"/>
        </w:numPr>
        <w:spacing w:line="360" w:lineRule="auto"/>
        <w:jc w:val="left"/>
        <w:rPr>
          <w:noProof/>
          <w:lang w:val="es-ES"/>
        </w:rPr>
      </w:pPr>
      <w:r w:rsidRPr="00A809B3">
        <w:rPr>
          <w:noProof/>
          <w:lang w:val="es-ES"/>
        </w:rPr>
        <w:t xml:space="preserve">actos de recolección </w:t>
      </w:r>
    </w:p>
    <w:p w14:paraId="05E55F46" w14:textId="3FBD7829" w:rsidR="00A809B3" w:rsidRPr="00A809B3" w:rsidRDefault="00A809B3" w:rsidP="00A809B3">
      <w:pPr>
        <w:pStyle w:val="ListParagraph"/>
        <w:numPr>
          <w:ilvl w:val="0"/>
          <w:numId w:val="11"/>
        </w:numPr>
        <w:spacing w:line="360" w:lineRule="auto"/>
        <w:jc w:val="left"/>
        <w:rPr>
          <w:noProof/>
          <w:lang w:val="es-ES"/>
        </w:rPr>
      </w:pPr>
      <w:r w:rsidRPr="00A809B3">
        <w:rPr>
          <w:noProof/>
          <w:lang w:val="es-ES"/>
        </w:rPr>
        <w:t xml:space="preserve">autorización» frente a »uso no autorizado </w:t>
      </w:r>
    </w:p>
    <w:p w14:paraId="4B84B554" w14:textId="1E62B064" w:rsidR="00A809B3" w:rsidRPr="00A809B3" w:rsidRDefault="00A809B3" w:rsidP="00A809B3">
      <w:pPr>
        <w:pStyle w:val="ListParagraph"/>
        <w:numPr>
          <w:ilvl w:val="0"/>
          <w:numId w:val="11"/>
        </w:numPr>
        <w:spacing w:line="360" w:lineRule="auto"/>
        <w:jc w:val="left"/>
        <w:rPr>
          <w:noProof/>
          <w:lang w:val="es-ES"/>
        </w:rPr>
      </w:pPr>
      <w:r w:rsidRPr="00A809B3">
        <w:rPr>
          <w:noProof/>
          <w:lang w:val="es-ES"/>
        </w:rPr>
        <w:t xml:space="preserve">ejercicio del derecho» frente a »infracción </w:t>
      </w:r>
    </w:p>
    <w:p w14:paraId="3D2D3A7F" w14:textId="3714E78F" w:rsidR="00A809B3" w:rsidRPr="00A809B3" w:rsidRDefault="00A809B3" w:rsidP="00A809B3">
      <w:pPr>
        <w:pStyle w:val="ListParagraph"/>
        <w:numPr>
          <w:ilvl w:val="0"/>
          <w:numId w:val="11"/>
        </w:numPr>
        <w:spacing w:line="360" w:lineRule="auto"/>
        <w:jc w:val="left"/>
        <w:rPr>
          <w:noProof/>
          <w:lang w:val="es-ES"/>
        </w:rPr>
      </w:pPr>
      <w:r w:rsidRPr="00A809B3">
        <w:rPr>
          <w:noProof/>
          <w:lang w:val="es-ES"/>
        </w:rPr>
        <w:t xml:space="preserve">oportunidad razonable </w:t>
      </w:r>
    </w:p>
    <w:p w14:paraId="0B29F1F5" w14:textId="77777777" w:rsidR="00A809B3" w:rsidRPr="00A809B3" w:rsidRDefault="00A809B3" w:rsidP="00A809B3">
      <w:pPr>
        <w:jc w:val="left"/>
        <w:rPr>
          <w:noProof/>
          <w:lang w:val="es-ES"/>
        </w:rPr>
      </w:pPr>
    </w:p>
    <w:p w14:paraId="6333F2FB" w14:textId="77777777" w:rsidR="00A809B3" w:rsidRPr="00A809B3" w:rsidRDefault="00A809B3" w:rsidP="00A809B3">
      <w:pPr>
        <w:jc w:val="left"/>
        <w:rPr>
          <w:b/>
          <w:bCs/>
          <w:noProof/>
          <w:lang w:val="es-ES"/>
        </w:rPr>
      </w:pPr>
      <w:r w:rsidRPr="00A809B3">
        <w:rPr>
          <w:b/>
          <w:bCs/>
          <w:noProof/>
          <w:lang w:val="es-ES"/>
        </w:rPr>
        <w:t xml:space="preserve">Lista provisional de documentos incluidos en los trabajos preparatorios </w:t>
      </w:r>
    </w:p>
    <w:p w14:paraId="5AFD831D" w14:textId="77777777" w:rsidR="00A809B3" w:rsidRPr="00A809B3" w:rsidRDefault="00A809B3" w:rsidP="00A809B3">
      <w:pPr>
        <w:jc w:val="left"/>
        <w:rPr>
          <w:noProof/>
          <w:lang w:val="es-ES"/>
        </w:rPr>
      </w:pPr>
    </w:p>
    <w:p w14:paraId="4A9BDA02" w14:textId="77777777" w:rsidR="00A809B3" w:rsidRPr="00A809B3" w:rsidRDefault="00A809B3" w:rsidP="00A809B3">
      <w:pPr>
        <w:jc w:val="left"/>
        <w:rPr>
          <w:noProof/>
          <w:lang w:val="es-ES"/>
        </w:rPr>
      </w:pPr>
      <w:r w:rsidRPr="00A809B3">
        <w:rPr>
          <w:noProof/>
          <w:lang w:val="es-ES"/>
        </w:rPr>
        <w:t xml:space="preserve">Artículo 5 UPOV 1978 </w:t>
      </w:r>
    </w:p>
    <w:p w14:paraId="58075CD6" w14:textId="77777777" w:rsidR="00A809B3" w:rsidRPr="00A809B3" w:rsidRDefault="00A809B3" w:rsidP="00A809B3">
      <w:pPr>
        <w:jc w:val="left"/>
        <w:rPr>
          <w:noProof/>
          <w:lang w:val="es-ES"/>
        </w:rPr>
      </w:pPr>
    </w:p>
    <w:p w14:paraId="2D815CFA" w14:textId="77777777" w:rsidR="00A809B3" w:rsidRPr="00A809B3" w:rsidRDefault="00A809B3" w:rsidP="00A809B3">
      <w:pPr>
        <w:jc w:val="left"/>
        <w:rPr>
          <w:noProof/>
          <w:lang w:val="es-ES"/>
        </w:rPr>
      </w:pPr>
      <w:r w:rsidRPr="00A809B3">
        <w:rPr>
          <w:noProof/>
          <w:lang w:val="es-ES"/>
        </w:rPr>
        <w:t xml:space="preserve">CAJ VIII/5, octubre de 1981 </w:t>
      </w:r>
    </w:p>
    <w:p w14:paraId="56D8B77D" w14:textId="77777777" w:rsidR="00A809B3" w:rsidRPr="00A809B3" w:rsidRDefault="00A809B3" w:rsidP="00A809B3">
      <w:pPr>
        <w:jc w:val="left"/>
        <w:rPr>
          <w:noProof/>
          <w:lang w:val="es-ES"/>
        </w:rPr>
      </w:pPr>
    </w:p>
    <w:p w14:paraId="530419FD" w14:textId="77777777" w:rsidR="00A809B3" w:rsidRPr="00A809B3" w:rsidRDefault="00A809B3" w:rsidP="00A809B3">
      <w:pPr>
        <w:jc w:val="left"/>
        <w:rPr>
          <w:noProof/>
          <w:lang w:val="es-ES"/>
        </w:rPr>
      </w:pPr>
      <w:r w:rsidRPr="00A809B3">
        <w:rPr>
          <w:noProof/>
          <w:lang w:val="es-ES"/>
        </w:rPr>
        <w:t xml:space="preserve">CAJ/VIII/6, noviembre de 1986 </w:t>
      </w:r>
    </w:p>
    <w:p w14:paraId="5F65E81C" w14:textId="77777777" w:rsidR="00A809B3" w:rsidRPr="00A809B3" w:rsidRDefault="00A809B3" w:rsidP="00A809B3">
      <w:pPr>
        <w:jc w:val="left"/>
        <w:rPr>
          <w:noProof/>
          <w:lang w:val="es-ES"/>
        </w:rPr>
      </w:pPr>
    </w:p>
    <w:p w14:paraId="638654E8" w14:textId="77777777" w:rsidR="00A809B3" w:rsidRPr="00A809B3" w:rsidRDefault="00A809B3" w:rsidP="00A809B3">
      <w:pPr>
        <w:jc w:val="left"/>
        <w:rPr>
          <w:noProof/>
          <w:lang w:val="es-ES"/>
        </w:rPr>
      </w:pPr>
      <w:r w:rsidRPr="00A809B3">
        <w:rPr>
          <w:noProof/>
          <w:lang w:val="es-ES"/>
        </w:rPr>
        <w:t xml:space="preserve">CAJ/XIX/11, abril de 1987 Acta resumida - inicio de la revisión </w:t>
      </w:r>
    </w:p>
    <w:p w14:paraId="33744736" w14:textId="77777777" w:rsidR="00A809B3" w:rsidRPr="00A809B3" w:rsidRDefault="00A809B3" w:rsidP="00A809B3">
      <w:pPr>
        <w:jc w:val="left"/>
        <w:rPr>
          <w:noProof/>
          <w:lang w:val="es-ES"/>
        </w:rPr>
      </w:pPr>
    </w:p>
    <w:p w14:paraId="0EDCB0EC" w14:textId="77777777" w:rsidR="00A809B3" w:rsidRPr="00A809B3" w:rsidRDefault="00A809B3" w:rsidP="00A809B3">
      <w:pPr>
        <w:jc w:val="left"/>
        <w:rPr>
          <w:noProof/>
          <w:lang w:val="es-ES"/>
        </w:rPr>
      </w:pPr>
      <w:r w:rsidRPr="00A809B3">
        <w:rPr>
          <w:noProof/>
          <w:lang w:val="es-ES"/>
        </w:rPr>
        <w:t xml:space="preserve">CAJ/XXII/12, 18-21 de abril de 1988 Revisión del Convenio </w:t>
      </w:r>
    </w:p>
    <w:p w14:paraId="437BFA18" w14:textId="77777777" w:rsidR="00A809B3" w:rsidRPr="00A809B3" w:rsidRDefault="00A809B3" w:rsidP="00A809B3">
      <w:pPr>
        <w:jc w:val="left"/>
        <w:rPr>
          <w:noProof/>
          <w:lang w:val="es-ES"/>
        </w:rPr>
      </w:pPr>
    </w:p>
    <w:p w14:paraId="06363294" w14:textId="77777777" w:rsidR="00A809B3" w:rsidRPr="00A809B3" w:rsidRDefault="00A809B3" w:rsidP="00A809B3">
      <w:pPr>
        <w:jc w:val="left"/>
        <w:rPr>
          <w:noProof/>
          <w:lang w:val="es-ES"/>
        </w:rPr>
      </w:pPr>
      <w:r w:rsidRPr="00A809B3">
        <w:rPr>
          <w:noProof/>
          <w:lang w:val="es-ES"/>
        </w:rPr>
        <w:t xml:space="preserve">OIM IV/2, 9-10 de octubre de 1989 Cuarta reunión con organizaciones internacionales </w:t>
      </w:r>
    </w:p>
    <w:p w14:paraId="683F12A8" w14:textId="77777777" w:rsidR="00A809B3" w:rsidRPr="00A809B3" w:rsidRDefault="00A809B3" w:rsidP="00A809B3">
      <w:pPr>
        <w:jc w:val="left"/>
        <w:rPr>
          <w:noProof/>
          <w:lang w:val="es-ES"/>
        </w:rPr>
      </w:pPr>
    </w:p>
    <w:p w14:paraId="56BBAE64" w14:textId="77777777" w:rsidR="00A809B3" w:rsidRPr="00A809B3" w:rsidRDefault="00A809B3" w:rsidP="00A809B3">
      <w:pPr>
        <w:jc w:val="left"/>
        <w:rPr>
          <w:noProof/>
          <w:lang w:val="es-ES"/>
        </w:rPr>
      </w:pPr>
      <w:r w:rsidRPr="00A809B3">
        <w:rPr>
          <w:noProof/>
          <w:lang w:val="es-ES"/>
        </w:rPr>
        <w:t xml:space="preserve">CAJ/XXV/2, ANEXO II 11-13 de octubre de 1989 Propuesta «en cascada </w:t>
      </w:r>
    </w:p>
    <w:p w14:paraId="791E19BA" w14:textId="77777777" w:rsidR="00A809B3" w:rsidRPr="00A809B3" w:rsidRDefault="00A809B3" w:rsidP="00A809B3">
      <w:pPr>
        <w:jc w:val="left"/>
        <w:rPr>
          <w:noProof/>
          <w:lang w:val="es-ES"/>
        </w:rPr>
      </w:pPr>
    </w:p>
    <w:p w14:paraId="12CDE7E3" w14:textId="77777777" w:rsidR="00A809B3" w:rsidRPr="00A809B3" w:rsidRDefault="00A809B3" w:rsidP="00A809B3">
      <w:pPr>
        <w:jc w:val="left"/>
        <w:rPr>
          <w:noProof/>
          <w:lang w:val="es-ES"/>
        </w:rPr>
      </w:pPr>
      <w:r w:rsidRPr="00A809B3">
        <w:rPr>
          <w:noProof/>
          <w:lang w:val="es-ES"/>
        </w:rPr>
        <w:t xml:space="preserve">CAJ XXV/2, 11-13 de octubre de 1989 Informe de las reuniones </w:t>
      </w:r>
    </w:p>
    <w:p w14:paraId="0045B7ED" w14:textId="77777777" w:rsidR="00A809B3" w:rsidRPr="00A809B3" w:rsidRDefault="00A809B3" w:rsidP="00A809B3">
      <w:pPr>
        <w:jc w:val="left"/>
        <w:rPr>
          <w:noProof/>
          <w:lang w:val="es-ES"/>
        </w:rPr>
      </w:pPr>
    </w:p>
    <w:p w14:paraId="0DADA504" w14:textId="77777777" w:rsidR="00A809B3" w:rsidRPr="00A809B3" w:rsidRDefault="00A809B3" w:rsidP="00A809B3">
      <w:pPr>
        <w:jc w:val="left"/>
        <w:rPr>
          <w:noProof/>
          <w:lang w:val="es-ES"/>
        </w:rPr>
      </w:pPr>
      <w:r w:rsidRPr="00A809B3">
        <w:rPr>
          <w:noProof/>
          <w:lang w:val="es-ES"/>
        </w:rPr>
        <w:t xml:space="preserve">CAI 27/8, 25-29 de junio de 1990 Informe de las reuniones </w:t>
      </w:r>
    </w:p>
    <w:p w14:paraId="59A03A7B" w14:textId="77777777" w:rsidR="00A809B3" w:rsidRPr="00A809B3" w:rsidRDefault="00A809B3" w:rsidP="00A809B3">
      <w:pPr>
        <w:jc w:val="left"/>
        <w:rPr>
          <w:noProof/>
          <w:lang w:val="es-ES"/>
        </w:rPr>
      </w:pPr>
    </w:p>
    <w:p w14:paraId="72F07972" w14:textId="77777777" w:rsidR="00A809B3" w:rsidRPr="00A809B3" w:rsidRDefault="00A809B3" w:rsidP="00A809B3">
      <w:pPr>
        <w:jc w:val="left"/>
        <w:rPr>
          <w:noProof/>
          <w:lang w:val="es-ES"/>
        </w:rPr>
      </w:pPr>
      <w:r w:rsidRPr="00A809B3">
        <w:rPr>
          <w:noProof/>
          <w:lang w:val="es-ES"/>
        </w:rPr>
        <w:t xml:space="preserve">IOM/V/2, 10-11 de octubre de 1990 Quinta reunión con organizaciones internacionales </w:t>
      </w:r>
    </w:p>
    <w:p w14:paraId="0E700AFF" w14:textId="77777777" w:rsidR="00A809B3" w:rsidRPr="00A809B3" w:rsidRDefault="00A809B3" w:rsidP="00A809B3">
      <w:pPr>
        <w:jc w:val="left"/>
        <w:rPr>
          <w:noProof/>
          <w:lang w:val="es-ES"/>
        </w:rPr>
      </w:pPr>
    </w:p>
    <w:p w14:paraId="7B62806C" w14:textId="77777777" w:rsidR="00A809B3" w:rsidRPr="00A809B3" w:rsidRDefault="00A809B3" w:rsidP="00A809B3">
      <w:pPr>
        <w:jc w:val="left"/>
        <w:rPr>
          <w:noProof/>
          <w:lang w:val="es-ES"/>
        </w:rPr>
      </w:pPr>
      <w:r w:rsidRPr="00A809B3">
        <w:rPr>
          <w:noProof/>
          <w:lang w:val="es-ES"/>
        </w:rPr>
        <w:t xml:space="preserve">CAJ 28/6, 12-16 de octubre de 1990 Informe de las reuniones </w:t>
      </w:r>
    </w:p>
    <w:p w14:paraId="0CE59A63" w14:textId="77777777" w:rsidR="00A809B3" w:rsidRPr="00A809B3" w:rsidRDefault="00A809B3" w:rsidP="00A809B3">
      <w:pPr>
        <w:jc w:val="left"/>
        <w:rPr>
          <w:noProof/>
          <w:lang w:val="es-ES"/>
        </w:rPr>
      </w:pPr>
    </w:p>
    <w:p w14:paraId="5F6071D9" w14:textId="77777777" w:rsidR="00A809B3" w:rsidRPr="00A809B3" w:rsidRDefault="00A809B3" w:rsidP="00A809B3">
      <w:pPr>
        <w:jc w:val="left"/>
        <w:rPr>
          <w:noProof/>
          <w:lang w:val="es-ES"/>
        </w:rPr>
      </w:pPr>
      <w:r w:rsidRPr="00A809B3">
        <w:rPr>
          <w:noProof/>
          <w:lang w:val="es-ES"/>
        </w:rPr>
        <w:t>Actas de la Conferencia Diplomática 1991</w:t>
      </w:r>
    </w:p>
    <w:p w14:paraId="2EA5A49D" w14:textId="77777777" w:rsidR="00A809B3" w:rsidRPr="00A809B3" w:rsidRDefault="00A809B3" w:rsidP="009B440E">
      <w:pPr>
        <w:jc w:val="left"/>
        <w:rPr>
          <w:noProof/>
          <w:lang w:val="es-ES"/>
        </w:rPr>
      </w:pPr>
    </w:p>
    <w:p w14:paraId="22EC90E1" w14:textId="77777777" w:rsidR="00A809B3" w:rsidRPr="00A809B3" w:rsidRDefault="00A809B3" w:rsidP="009B440E">
      <w:pPr>
        <w:jc w:val="left"/>
        <w:rPr>
          <w:noProof/>
          <w:lang w:val="es-ES"/>
        </w:rPr>
      </w:pPr>
    </w:p>
    <w:p w14:paraId="61C13490" w14:textId="77777777" w:rsidR="00A809B3" w:rsidRPr="00A809B3" w:rsidRDefault="00A809B3" w:rsidP="009B440E">
      <w:pPr>
        <w:jc w:val="left"/>
        <w:rPr>
          <w:noProof/>
          <w:lang w:val="es-ES"/>
        </w:rPr>
      </w:pPr>
    </w:p>
    <w:p w14:paraId="2A8C607C" w14:textId="489EECDA" w:rsidR="00A809B3" w:rsidRPr="00A809B3" w:rsidRDefault="00A809B3" w:rsidP="009B440E">
      <w:pPr>
        <w:jc w:val="left"/>
        <w:rPr>
          <w:lang w:val="es-ES"/>
        </w:rPr>
        <w:sectPr w:rsidR="00A809B3" w:rsidRPr="00A809B3" w:rsidSect="0004198B">
          <w:headerReference w:type="first" r:id="rId14"/>
          <w:pgSz w:w="11907" w:h="16840" w:code="9"/>
          <w:pgMar w:top="510" w:right="1134" w:bottom="1134" w:left="1134" w:header="510" w:footer="680" w:gutter="0"/>
          <w:pgNumType w:start="1"/>
          <w:cols w:space="720"/>
          <w:titlePg/>
        </w:sectPr>
      </w:pPr>
    </w:p>
    <w:p w14:paraId="6DF5FA8E" w14:textId="77777777" w:rsidR="00BE0A5B" w:rsidRPr="00BE0A5B" w:rsidRDefault="00BE0A5B" w:rsidP="00BE0A5B">
      <w:pPr>
        <w:jc w:val="left"/>
        <w:rPr>
          <w:b/>
          <w:bCs/>
          <w:lang w:val="es-ES"/>
        </w:rPr>
      </w:pPr>
      <w:r w:rsidRPr="00BE0A5B">
        <w:rPr>
          <w:b/>
          <w:bCs/>
          <w:lang w:val="es-ES"/>
        </w:rPr>
        <w:lastRenderedPageBreak/>
        <w:t xml:space="preserve">Lista provisional de sentencias pertinentes (actualizada el 10 de febrero de 2025) </w:t>
      </w:r>
    </w:p>
    <w:p w14:paraId="1099F95A" w14:textId="77777777" w:rsidR="00BE0A5B" w:rsidRPr="00BE0A5B" w:rsidRDefault="00BE0A5B" w:rsidP="00BE0A5B">
      <w:pPr>
        <w:jc w:val="left"/>
        <w:rPr>
          <w:lang w:val="es-ES"/>
        </w:rPr>
      </w:pPr>
    </w:p>
    <w:p w14:paraId="6CA79B50" w14:textId="77777777" w:rsidR="00BE0A5B" w:rsidRPr="00BE0A5B" w:rsidRDefault="00BE0A5B" w:rsidP="00BE0A5B">
      <w:pPr>
        <w:jc w:val="left"/>
        <w:rPr>
          <w:lang w:val="es-ES"/>
        </w:rPr>
      </w:pPr>
      <w:r w:rsidRPr="00BE0A5B">
        <w:rPr>
          <w:lang w:val="es-ES"/>
        </w:rPr>
        <w:t xml:space="preserve">1. CJEU « </w:t>
      </w:r>
      <w:proofErr w:type="spellStart"/>
      <w:r w:rsidRPr="00BE0A5B">
        <w:rPr>
          <w:lang w:val="es-ES"/>
        </w:rPr>
        <w:t>Greenstar</w:t>
      </w:r>
      <w:proofErr w:type="spellEnd"/>
      <w:r w:rsidRPr="00BE0A5B">
        <w:rPr>
          <w:lang w:val="es-ES"/>
        </w:rPr>
        <w:t xml:space="preserve"> </w:t>
      </w:r>
      <w:proofErr w:type="spellStart"/>
      <w:r w:rsidRPr="00BE0A5B">
        <w:rPr>
          <w:lang w:val="es-ES"/>
        </w:rPr>
        <w:t>Kanzi</w:t>
      </w:r>
      <w:proofErr w:type="spellEnd"/>
      <w:r w:rsidRPr="00BE0A5B">
        <w:rPr>
          <w:lang w:val="es-ES"/>
        </w:rPr>
        <w:t xml:space="preserve"> » (2011) </w:t>
      </w:r>
    </w:p>
    <w:p w14:paraId="74FE2C44" w14:textId="77777777" w:rsidR="00BE0A5B" w:rsidRPr="00BE0A5B" w:rsidRDefault="00BE0A5B" w:rsidP="00BE0A5B">
      <w:pPr>
        <w:jc w:val="left"/>
        <w:rPr>
          <w:lang w:val="es-ES"/>
        </w:rPr>
      </w:pPr>
    </w:p>
    <w:p w14:paraId="5F774B12" w14:textId="1F263B38" w:rsidR="00BE0A5B" w:rsidRPr="00BE0A5B" w:rsidRDefault="00BE0A5B" w:rsidP="00BE0A5B">
      <w:pPr>
        <w:jc w:val="left"/>
        <w:rPr>
          <w:lang w:val="es-ES"/>
        </w:rPr>
      </w:pPr>
      <w:r w:rsidRPr="00BE0A5B">
        <w:rPr>
          <w:lang w:val="es-ES"/>
        </w:rPr>
        <w:t xml:space="preserve">2. CJEU « </w:t>
      </w:r>
      <w:proofErr w:type="spellStart"/>
      <w:r w:rsidRPr="00BE0A5B">
        <w:rPr>
          <w:lang w:val="es-ES"/>
        </w:rPr>
        <w:t>Nadorcott</w:t>
      </w:r>
      <w:proofErr w:type="spellEnd"/>
      <w:r w:rsidRPr="00BE0A5B">
        <w:rPr>
          <w:lang w:val="es-ES"/>
        </w:rPr>
        <w:t xml:space="preserve"> » sobre las mandarinas (2019) </w:t>
      </w:r>
    </w:p>
    <w:p w14:paraId="7E87DA49" w14:textId="77777777" w:rsidR="00BE0A5B" w:rsidRPr="00BE0A5B" w:rsidRDefault="00BE0A5B" w:rsidP="00BE0A5B">
      <w:pPr>
        <w:jc w:val="left"/>
        <w:rPr>
          <w:lang w:val="es-ES"/>
        </w:rPr>
      </w:pPr>
    </w:p>
    <w:p w14:paraId="3CCE202D" w14:textId="77777777" w:rsidR="00BE0A5B" w:rsidRPr="00BE0A5B" w:rsidRDefault="00BE0A5B" w:rsidP="00BE0A5B">
      <w:pPr>
        <w:jc w:val="left"/>
        <w:rPr>
          <w:lang w:val="es-ES"/>
        </w:rPr>
      </w:pPr>
      <w:r w:rsidRPr="00BE0A5B">
        <w:rPr>
          <w:lang w:val="es-ES"/>
        </w:rPr>
        <w:t xml:space="preserve">3. Tribunal Supremo Federal alemán «Melanie» (2006) </w:t>
      </w:r>
    </w:p>
    <w:p w14:paraId="4AB5295A" w14:textId="77777777" w:rsidR="00BE0A5B" w:rsidRPr="00BE0A5B" w:rsidRDefault="00BE0A5B" w:rsidP="00BE0A5B">
      <w:pPr>
        <w:jc w:val="left"/>
        <w:rPr>
          <w:lang w:val="es-ES"/>
        </w:rPr>
      </w:pPr>
    </w:p>
    <w:p w14:paraId="230034B8" w14:textId="77777777" w:rsidR="00BE0A5B" w:rsidRPr="00BE0A5B" w:rsidRDefault="00BE0A5B" w:rsidP="00BE0A5B">
      <w:pPr>
        <w:jc w:val="left"/>
        <w:rPr>
          <w:lang w:val="es-ES"/>
        </w:rPr>
      </w:pPr>
      <w:r w:rsidRPr="00BE0A5B">
        <w:rPr>
          <w:lang w:val="es-ES"/>
        </w:rPr>
        <w:t>4. Tribunal Supremo Federal alemán «</w:t>
      </w:r>
      <w:proofErr w:type="spellStart"/>
      <w:r w:rsidRPr="00BE0A5B">
        <w:rPr>
          <w:lang w:val="es-ES"/>
        </w:rPr>
        <w:t>Emtegut</w:t>
      </w:r>
      <w:proofErr w:type="spellEnd"/>
      <w:r w:rsidRPr="00BE0A5B">
        <w:rPr>
          <w:lang w:val="es-ES"/>
        </w:rPr>
        <w:t xml:space="preserve">» (2023) </w:t>
      </w:r>
    </w:p>
    <w:p w14:paraId="59F33435" w14:textId="77777777" w:rsidR="00BE0A5B" w:rsidRPr="00BE0A5B" w:rsidRDefault="00BE0A5B" w:rsidP="00BE0A5B">
      <w:pPr>
        <w:jc w:val="left"/>
        <w:rPr>
          <w:lang w:val="es-ES"/>
        </w:rPr>
      </w:pPr>
    </w:p>
    <w:p w14:paraId="6226CC63" w14:textId="77777777" w:rsidR="00BE0A5B" w:rsidRPr="00BE0A5B" w:rsidRDefault="00BE0A5B" w:rsidP="00BE0A5B">
      <w:pPr>
        <w:jc w:val="left"/>
        <w:rPr>
          <w:lang w:val="es-ES"/>
        </w:rPr>
      </w:pPr>
      <w:r w:rsidRPr="00BE0A5B">
        <w:rPr>
          <w:lang w:val="es-ES"/>
        </w:rPr>
        <w:t>5. Tribunal Federal Australiano «</w:t>
      </w:r>
      <w:proofErr w:type="spellStart"/>
      <w:r w:rsidRPr="00BE0A5B">
        <w:rPr>
          <w:lang w:val="es-ES"/>
        </w:rPr>
        <w:t>Cultivaust</w:t>
      </w:r>
      <w:proofErr w:type="spellEnd"/>
      <w:r w:rsidRPr="00BE0A5B">
        <w:rPr>
          <w:lang w:val="es-ES"/>
        </w:rPr>
        <w:t xml:space="preserve"> </w:t>
      </w:r>
      <w:proofErr w:type="spellStart"/>
      <w:r w:rsidRPr="00BE0A5B">
        <w:rPr>
          <w:lang w:val="es-ES"/>
        </w:rPr>
        <w:t>Pty</w:t>
      </w:r>
      <w:proofErr w:type="spellEnd"/>
      <w:r w:rsidRPr="00BE0A5B">
        <w:rPr>
          <w:lang w:val="es-ES"/>
        </w:rPr>
        <w:t xml:space="preserve"> Ltd contra </w:t>
      </w:r>
      <w:proofErr w:type="spellStart"/>
      <w:r w:rsidRPr="00BE0A5B">
        <w:rPr>
          <w:lang w:val="es-ES"/>
        </w:rPr>
        <w:t>Grain</w:t>
      </w:r>
      <w:proofErr w:type="spellEnd"/>
      <w:r w:rsidRPr="00BE0A5B">
        <w:rPr>
          <w:lang w:val="es-ES"/>
        </w:rPr>
        <w:t xml:space="preserve"> Pool </w:t>
      </w:r>
      <w:proofErr w:type="spellStart"/>
      <w:r w:rsidRPr="00BE0A5B">
        <w:rPr>
          <w:lang w:val="es-ES"/>
        </w:rPr>
        <w:t>Pty</w:t>
      </w:r>
      <w:proofErr w:type="spellEnd"/>
      <w:r w:rsidRPr="00BE0A5B">
        <w:rPr>
          <w:lang w:val="es-ES"/>
        </w:rPr>
        <w:t xml:space="preserve"> Ltd» (2005) </w:t>
      </w:r>
    </w:p>
    <w:p w14:paraId="057BEAD4" w14:textId="77777777" w:rsidR="00BE0A5B" w:rsidRPr="00BE0A5B" w:rsidRDefault="00BE0A5B" w:rsidP="00BE0A5B">
      <w:pPr>
        <w:jc w:val="left"/>
        <w:rPr>
          <w:lang w:val="es-ES"/>
        </w:rPr>
      </w:pPr>
    </w:p>
    <w:p w14:paraId="7DEC79F7" w14:textId="77777777" w:rsidR="00BE0A5B" w:rsidRPr="00BE0A5B" w:rsidRDefault="00BE0A5B" w:rsidP="00BE0A5B">
      <w:pPr>
        <w:jc w:val="left"/>
        <w:rPr>
          <w:lang w:val="es-ES"/>
        </w:rPr>
      </w:pPr>
      <w:r w:rsidRPr="00BE0A5B">
        <w:rPr>
          <w:lang w:val="es-ES"/>
        </w:rPr>
        <w:t>6. Tribunal Supremo Federal alemán «</w:t>
      </w:r>
      <w:proofErr w:type="spellStart"/>
      <w:r w:rsidRPr="00BE0A5B">
        <w:rPr>
          <w:lang w:val="es-ES"/>
        </w:rPr>
        <w:t>Achat</w:t>
      </w:r>
      <w:proofErr w:type="spellEnd"/>
      <w:r w:rsidRPr="00BE0A5B">
        <w:rPr>
          <w:lang w:val="es-ES"/>
        </w:rPr>
        <w:t xml:space="preserve">» (1987) </w:t>
      </w:r>
    </w:p>
    <w:p w14:paraId="740FE659" w14:textId="77777777" w:rsidR="00BE0A5B" w:rsidRPr="00BE0A5B" w:rsidRDefault="00BE0A5B" w:rsidP="00BE0A5B">
      <w:pPr>
        <w:jc w:val="left"/>
        <w:rPr>
          <w:lang w:val="es-ES"/>
        </w:rPr>
      </w:pPr>
    </w:p>
    <w:p w14:paraId="2104DAA5" w14:textId="77777777" w:rsidR="00BE0A5B" w:rsidRPr="00BE0A5B" w:rsidRDefault="00BE0A5B" w:rsidP="00BE0A5B">
      <w:pPr>
        <w:jc w:val="left"/>
        <w:rPr>
          <w:lang w:val="es-ES"/>
        </w:rPr>
      </w:pPr>
      <w:r w:rsidRPr="00BE0A5B">
        <w:rPr>
          <w:lang w:val="es-ES"/>
        </w:rPr>
        <w:t>7. Tribunal de Apelación de Düsseldorf «</w:t>
      </w:r>
      <w:proofErr w:type="spellStart"/>
      <w:r w:rsidRPr="00BE0A5B">
        <w:rPr>
          <w:lang w:val="es-ES"/>
        </w:rPr>
        <w:t>Cilena</w:t>
      </w:r>
      <w:proofErr w:type="spellEnd"/>
      <w:r w:rsidRPr="00BE0A5B">
        <w:rPr>
          <w:lang w:val="es-ES"/>
        </w:rPr>
        <w:t xml:space="preserve">» (1996) </w:t>
      </w:r>
    </w:p>
    <w:p w14:paraId="5244BE96" w14:textId="77777777" w:rsidR="00BE0A5B" w:rsidRPr="00BE0A5B" w:rsidRDefault="00BE0A5B" w:rsidP="00BE0A5B">
      <w:pPr>
        <w:jc w:val="left"/>
        <w:rPr>
          <w:lang w:val="es-ES"/>
        </w:rPr>
      </w:pPr>
    </w:p>
    <w:p w14:paraId="325067BF" w14:textId="77777777" w:rsidR="00BE0A5B" w:rsidRPr="00BE0A5B" w:rsidRDefault="00BE0A5B" w:rsidP="00BE0A5B">
      <w:pPr>
        <w:jc w:val="left"/>
        <w:rPr>
          <w:lang w:val="de-DE"/>
        </w:rPr>
      </w:pPr>
      <w:r w:rsidRPr="00BE0A5B">
        <w:rPr>
          <w:lang w:val="de-DE"/>
        </w:rPr>
        <w:t xml:space="preserve">8. Tribunal Regional de Düsseldorf «Goldfinger» (1998) </w:t>
      </w:r>
    </w:p>
    <w:p w14:paraId="51A8C967" w14:textId="77777777" w:rsidR="00BE0A5B" w:rsidRPr="00BE0A5B" w:rsidRDefault="00BE0A5B" w:rsidP="00BE0A5B">
      <w:pPr>
        <w:jc w:val="left"/>
        <w:rPr>
          <w:lang w:val="de-DE"/>
        </w:rPr>
      </w:pPr>
    </w:p>
    <w:p w14:paraId="5343450A" w14:textId="77777777" w:rsidR="00BE0A5B" w:rsidRPr="00BE0A5B" w:rsidRDefault="00BE0A5B" w:rsidP="00BE0A5B">
      <w:pPr>
        <w:jc w:val="left"/>
        <w:rPr>
          <w:lang w:val="de-DE"/>
        </w:rPr>
      </w:pPr>
      <w:r w:rsidRPr="00BE0A5B">
        <w:rPr>
          <w:lang w:val="de-DE"/>
        </w:rPr>
        <w:t xml:space="preserve">9. Rechtbank Den Haag «Amaryllis» (2016) </w:t>
      </w:r>
    </w:p>
    <w:p w14:paraId="56BC7B8E" w14:textId="77777777" w:rsidR="00BE0A5B" w:rsidRPr="00BE0A5B" w:rsidRDefault="00BE0A5B" w:rsidP="00BE0A5B">
      <w:pPr>
        <w:jc w:val="left"/>
        <w:rPr>
          <w:lang w:val="de-DE"/>
        </w:rPr>
      </w:pPr>
    </w:p>
    <w:p w14:paraId="17DCD825" w14:textId="77777777" w:rsidR="00BE0A5B" w:rsidRPr="00BE0A5B" w:rsidRDefault="00BE0A5B" w:rsidP="00BE0A5B">
      <w:pPr>
        <w:jc w:val="left"/>
        <w:rPr>
          <w:lang w:val="es-ES"/>
        </w:rPr>
      </w:pPr>
      <w:r w:rsidRPr="00BE0A5B">
        <w:rPr>
          <w:lang w:val="es-ES"/>
        </w:rPr>
        <w:t xml:space="preserve">10. Tribunal Popular Supremo de China/Pekín «Pomelo» (2019) </w:t>
      </w:r>
    </w:p>
    <w:p w14:paraId="0E5CC9F4" w14:textId="77777777" w:rsidR="00BE0A5B" w:rsidRPr="00BE0A5B" w:rsidRDefault="00BE0A5B" w:rsidP="00BE0A5B">
      <w:pPr>
        <w:jc w:val="left"/>
        <w:rPr>
          <w:lang w:val="es-ES"/>
        </w:rPr>
      </w:pPr>
    </w:p>
    <w:p w14:paraId="18BC4632" w14:textId="77777777" w:rsidR="00BE0A5B" w:rsidRPr="00BE0A5B" w:rsidRDefault="00BE0A5B" w:rsidP="00BE0A5B">
      <w:pPr>
        <w:jc w:val="left"/>
        <w:rPr>
          <w:lang w:val="es-ES"/>
        </w:rPr>
      </w:pPr>
      <w:r w:rsidRPr="00BE0A5B">
        <w:rPr>
          <w:lang w:val="es-ES"/>
        </w:rPr>
        <w:t xml:space="preserve">11. Tribunal Superior de Propiedad Intelectual de Japón </w:t>
      </w:r>
      <w:proofErr w:type="spellStart"/>
      <w:r w:rsidRPr="00BE0A5B">
        <w:rPr>
          <w:lang w:val="es-ES"/>
        </w:rPr>
        <w:t>nº</w:t>
      </w:r>
      <w:proofErr w:type="spellEnd"/>
      <w:r w:rsidRPr="00BE0A5B">
        <w:rPr>
          <w:lang w:val="es-ES"/>
        </w:rPr>
        <w:t xml:space="preserve"> 10053 de 2018 «JMS5K - 16 setas shiitake».</w:t>
      </w:r>
    </w:p>
    <w:p w14:paraId="7435D160" w14:textId="77777777" w:rsidR="001A29AC" w:rsidRPr="00BE0A5B" w:rsidRDefault="001A29AC" w:rsidP="009B440E">
      <w:pPr>
        <w:jc w:val="left"/>
        <w:rPr>
          <w:lang w:val="es-ES"/>
        </w:rPr>
      </w:pPr>
    </w:p>
    <w:p w14:paraId="69DBE81F" w14:textId="77777777" w:rsidR="001A29AC" w:rsidRPr="00BE0A5B" w:rsidRDefault="001A29AC" w:rsidP="009B440E">
      <w:pPr>
        <w:jc w:val="left"/>
        <w:rPr>
          <w:lang w:val="es-ES"/>
        </w:rPr>
      </w:pPr>
    </w:p>
    <w:p w14:paraId="14653F80" w14:textId="77777777" w:rsidR="001A29AC" w:rsidRPr="00BE0A5B" w:rsidRDefault="001A29AC" w:rsidP="009B440E">
      <w:pPr>
        <w:jc w:val="left"/>
        <w:rPr>
          <w:lang w:val="es-ES"/>
        </w:rPr>
      </w:pPr>
    </w:p>
    <w:p w14:paraId="54889440" w14:textId="77777777" w:rsidR="005061F5" w:rsidRPr="00364AE9" w:rsidRDefault="001A29AC" w:rsidP="001A29AC">
      <w:pPr>
        <w:jc w:val="right"/>
        <w:rPr>
          <w:lang w:val="es-ES"/>
        </w:rPr>
        <w:sectPr w:rsidR="005061F5" w:rsidRPr="00364AE9" w:rsidSect="0004198B">
          <w:headerReference w:type="first" r:id="rId15"/>
          <w:pgSz w:w="11907" w:h="16840" w:code="9"/>
          <w:pgMar w:top="510" w:right="1134" w:bottom="1134" w:left="1134" w:header="510" w:footer="680" w:gutter="0"/>
          <w:pgNumType w:start="1"/>
          <w:cols w:space="720"/>
          <w:titlePg/>
        </w:sectPr>
      </w:pPr>
      <w:r w:rsidRPr="00364AE9">
        <w:rPr>
          <w:lang w:val="es-ES"/>
        </w:rPr>
        <w:t>[</w:t>
      </w:r>
      <w:r w:rsidR="005061F5" w:rsidRPr="00364AE9">
        <w:rPr>
          <w:lang w:val="es-ES"/>
        </w:rPr>
        <w:t>Sigue el Anexo II</w:t>
      </w:r>
      <w:r w:rsidRPr="00364AE9">
        <w:rPr>
          <w:lang w:val="es-ES"/>
        </w:rPr>
        <w:t>]</w:t>
      </w:r>
    </w:p>
    <w:p w14:paraId="5E8CC9CF" w14:textId="77777777" w:rsidR="000A6BD5" w:rsidRPr="005F086E" w:rsidRDefault="000A6BD5" w:rsidP="000A6BD5">
      <w:pPr>
        <w:jc w:val="center"/>
        <w:rPr>
          <w:b/>
          <w:bCs/>
          <w:lang w:val="es-ES"/>
        </w:rPr>
      </w:pPr>
      <w:bookmarkStart w:id="4" w:name="_Hlk172119356"/>
      <w:r w:rsidRPr="005F086E">
        <w:rPr>
          <w:rFonts w:cs="Arial"/>
          <w:lang w:val="es-ES"/>
        </w:rPr>
        <w:lastRenderedPageBreak/>
        <w:t xml:space="preserve">MANDATO DEL </w:t>
      </w:r>
      <w:r w:rsidRPr="005F086E">
        <w:rPr>
          <w:lang w:val="es-ES"/>
        </w:rPr>
        <w:t>ESTUDIO SOBRE EL "ALCANCE DEL DERECHO DE OBTENTOR" Y LA RELACIÓN CON EL "AGOTAMIENTO DEL DERECHO DE OBTENTOR"</w:t>
      </w:r>
    </w:p>
    <w:bookmarkEnd w:id="4"/>
    <w:p w14:paraId="5A26E370" w14:textId="77777777" w:rsidR="000A6BD5" w:rsidRPr="005F086E" w:rsidRDefault="000A6BD5" w:rsidP="000A6BD5">
      <w:pPr>
        <w:jc w:val="left"/>
        <w:rPr>
          <w:lang w:val="es-ES"/>
        </w:rPr>
      </w:pPr>
    </w:p>
    <w:p w14:paraId="20F02657" w14:textId="77777777" w:rsidR="000A6BD5" w:rsidRPr="005F086E" w:rsidRDefault="000A6BD5" w:rsidP="000A6BD5">
      <w:pPr>
        <w:jc w:val="left"/>
        <w:rPr>
          <w:lang w:val="es-ES"/>
        </w:rPr>
      </w:pPr>
    </w:p>
    <w:p w14:paraId="37FBAB9A" w14:textId="77777777" w:rsidR="000A6BD5" w:rsidRDefault="000A6BD5" w:rsidP="000A6BD5">
      <w:pPr>
        <w:pStyle w:val="Heading1"/>
      </w:pPr>
      <w:r>
        <w:t>ALCANCE:</w:t>
      </w:r>
    </w:p>
    <w:p w14:paraId="4CF2FE2C" w14:textId="77777777" w:rsidR="000A6BD5" w:rsidRDefault="000A6BD5" w:rsidP="000A6BD5">
      <w:pPr>
        <w:jc w:val="left"/>
      </w:pPr>
    </w:p>
    <w:p w14:paraId="210DC5EA" w14:textId="77777777" w:rsidR="000A6BD5" w:rsidRDefault="000A6BD5" w:rsidP="000A6BD5">
      <w:pPr>
        <w:widowControl w:val="0"/>
        <w:tabs>
          <w:tab w:val="left" w:pos="762"/>
        </w:tabs>
        <w:autoSpaceDE w:val="0"/>
        <w:autoSpaceDN w:val="0"/>
        <w:rPr>
          <w:color w:val="262626"/>
        </w:rPr>
      </w:pPr>
      <w:r w:rsidRPr="003338C4">
        <w:rPr>
          <w:color w:val="262626"/>
        </w:rPr>
        <w:t xml:space="preserve">El </w:t>
      </w:r>
      <w:proofErr w:type="spellStart"/>
      <w:r w:rsidRPr="003338C4">
        <w:rPr>
          <w:color w:val="262626"/>
        </w:rPr>
        <w:t>estudio</w:t>
      </w:r>
      <w:proofErr w:type="spellEnd"/>
      <w:r w:rsidRPr="003338C4">
        <w:rPr>
          <w:color w:val="262626"/>
        </w:rPr>
        <w:t xml:space="preserve"> </w:t>
      </w:r>
      <w:proofErr w:type="spellStart"/>
      <w:r w:rsidRPr="003338C4">
        <w:rPr>
          <w:color w:val="262626"/>
        </w:rPr>
        <w:t>incluirá</w:t>
      </w:r>
      <w:proofErr w:type="spellEnd"/>
      <w:r>
        <w:rPr>
          <w:color w:val="262626"/>
        </w:rPr>
        <w:t>:</w:t>
      </w:r>
    </w:p>
    <w:p w14:paraId="286E5303" w14:textId="77777777" w:rsidR="000A6BD5" w:rsidRPr="003338C4" w:rsidRDefault="000A6BD5" w:rsidP="000A6BD5">
      <w:pPr>
        <w:widowControl w:val="0"/>
        <w:tabs>
          <w:tab w:val="left" w:pos="762"/>
        </w:tabs>
        <w:autoSpaceDE w:val="0"/>
        <w:autoSpaceDN w:val="0"/>
        <w:rPr>
          <w:color w:val="262626"/>
        </w:rPr>
      </w:pPr>
    </w:p>
    <w:p w14:paraId="2B736BFD" w14:textId="77777777" w:rsidR="000A6BD5" w:rsidRPr="005F086E" w:rsidRDefault="000A6BD5" w:rsidP="000A6BD5">
      <w:pPr>
        <w:pStyle w:val="ListParagraph"/>
        <w:widowControl w:val="0"/>
        <w:numPr>
          <w:ilvl w:val="0"/>
          <w:numId w:val="7"/>
        </w:numPr>
        <w:tabs>
          <w:tab w:val="left" w:pos="762"/>
        </w:tabs>
        <w:autoSpaceDE w:val="0"/>
        <w:autoSpaceDN w:val="0"/>
        <w:rPr>
          <w:color w:val="262626"/>
          <w:lang w:val="es-ES"/>
        </w:rPr>
      </w:pPr>
      <w:r w:rsidRPr="005F086E">
        <w:rPr>
          <w:color w:val="262626"/>
          <w:lang w:val="es-ES"/>
        </w:rPr>
        <w:t xml:space="preserve">una </w:t>
      </w:r>
      <w:r w:rsidRPr="005F086E">
        <w:rPr>
          <w:color w:val="262626"/>
          <w:u w:val="single"/>
          <w:lang w:val="es-ES"/>
        </w:rPr>
        <w:t xml:space="preserve">primera parte </w:t>
      </w:r>
      <w:r w:rsidRPr="005F086E">
        <w:rPr>
          <w:color w:val="262626"/>
          <w:lang w:val="es-ES"/>
        </w:rPr>
        <w:t xml:space="preserve">con un análisis de </w:t>
      </w:r>
      <w:r w:rsidRPr="005F086E">
        <w:rPr>
          <w:color w:val="161616"/>
          <w:lang w:val="es-ES"/>
        </w:rPr>
        <w:t xml:space="preserve">las intenciones </w:t>
      </w:r>
      <w:r w:rsidRPr="005F086E">
        <w:rPr>
          <w:color w:val="262626"/>
          <w:lang w:val="es-ES"/>
        </w:rPr>
        <w:t xml:space="preserve">de los redactores </w:t>
      </w:r>
      <w:r w:rsidRPr="005F086E">
        <w:rPr>
          <w:color w:val="161616"/>
          <w:lang w:val="es-ES"/>
        </w:rPr>
        <w:t xml:space="preserve">del Acta de 1991 del Convenio de la UPOV </w:t>
      </w:r>
      <w:r w:rsidRPr="005F086E">
        <w:rPr>
          <w:color w:val="262626"/>
          <w:lang w:val="es-ES"/>
        </w:rPr>
        <w:t xml:space="preserve">en </w:t>
      </w:r>
      <w:r w:rsidRPr="005F086E">
        <w:rPr>
          <w:color w:val="161616"/>
          <w:lang w:val="es-ES"/>
        </w:rPr>
        <w:t xml:space="preserve">relación con </w:t>
      </w:r>
      <w:r w:rsidRPr="005F086E">
        <w:rPr>
          <w:color w:val="262626"/>
          <w:lang w:val="es-ES"/>
        </w:rPr>
        <w:t>el "Alcance del derecho de obtentor" en el artículo 14.1) y 2) del Acta de 1991, incluidas las nociones de "uso no autorizado" y "oportunidad razonable" y la relación con el "Agotamiento del derecho de obtentor" en el artículo 16 del Acta de 1991; y</w:t>
      </w:r>
    </w:p>
    <w:p w14:paraId="060290D8" w14:textId="77777777" w:rsidR="000A6BD5" w:rsidRPr="005F086E" w:rsidRDefault="000A6BD5" w:rsidP="000A6BD5">
      <w:pPr>
        <w:pStyle w:val="ListParagraph"/>
        <w:widowControl w:val="0"/>
        <w:tabs>
          <w:tab w:val="left" w:pos="762"/>
        </w:tabs>
        <w:autoSpaceDE w:val="0"/>
        <w:autoSpaceDN w:val="0"/>
        <w:rPr>
          <w:color w:val="262626"/>
          <w:lang w:val="es-ES"/>
        </w:rPr>
      </w:pPr>
    </w:p>
    <w:p w14:paraId="2B7B7055" w14:textId="77777777" w:rsidR="000A6BD5" w:rsidRPr="005F086E" w:rsidRDefault="000A6BD5" w:rsidP="000A6BD5">
      <w:pPr>
        <w:pStyle w:val="ListParagraph"/>
        <w:widowControl w:val="0"/>
        <w:numPr>
          <w:ilvl w:val="0"/>
          <w:numId w:val="7"/>
        </w:numPr>
        <w:tabs>
          <w:tab w:val="left" w:pos="762"/>
        </w:tabs>
        <w:autoSpaceDE w:val="0"/>
        <w:autoSpaceDN w:val="0"/>
        <w:rPr>
          <w:color w:val="343434"/>
          <w:lang w:val="es-ES"/>
        </w:rPr>
      </w:pPr>
      <w:r w:rsidRPr="005F086E">
        <w:rPr>
          <w:color w:val="262626"/>
          <w:lang w:val="es-ES"/>
        </w:rPr>
        <w:t xml:space="preserve">una </w:t>
      </w:r>
      <w:r w:rsidRPr="005F086E">
        <w:rPr>
          <w:color w:val="343434"/>
          <w:u w:val="single"/>
          <w:lang w:val="es-ES"/>
        </w:rPr>
        <w:t xml:space="preserve">segunda </w:t>
      </w:r>
      <w:r w:rsidRPr="005F086E">
        <w:rPr>
          <w:color w:val="262626"/>
          <w:u w:val="single"/>
          <w:lang w:val="es-ES"/>
        </w:rPr>
        <w:t xml:space="preserve">parte </w:t>
      </w:r>
      <w:r w:rsidRPr="005F086E">
        <w:rPr>
          <w:color w:val="262626"/>
          <w:lang w:val="es-ES"/>
        </w:rPr>
        <w:t xml:space="preserve">con </w:t>
      </w:r>
      <w:r w:rsidRPr="005F086E">
        <w:rPr>
          <w:color w:val="161616"/>
          <w:lang w:val="es-ES"/>
        </w:rPr>
        <w:t xml:space="preserve">resúmenes </w:t>
      </w:r>
      <w:r w:rsidRPr="005F086E">
        <w:rPr>
          <w:color w:val="343434"/>
          <w:lang w:val="es-ES"/>
        </w:rPr>
        <w:t xml:space="preserve">de casos </w:t>
      </w:r>
      <w:r w:rsidRPr="005F086E">
        <w:rPr>
          <w:color w:val="262626"/>
          <w:lang w:val="es-ES"/>
        </w:rPr>
        <w:t xml:space="preserve">judiciales relevantes </w:t>
      </w:r>
      <w:r w:rsidRPr="005F086E">
        <w:rPr>
          <w:color w:val="343434"/>
          <w:lang w:val="es-ES"/>
        </w:rPr>
        <w:t xml:space="preserve">de miembros de la UPOV vinculados </w:t>
      </w:r>
      <w:r w:rsidRPr="005F086E">
        <w:rPr>
          <w:color w:val="343434"/>
          <w:lang w:val="es-ES"/>
        </w:rPr>
        <w:br/>
        <w:t>por el Acta de 1991.</w:t>
      </w:r>
    </w:p>
    <w:p w14:paraId="399139C2" w14:textId="77777777" w:rsidR="000A6BD5" w:rsidRPr="005F086E" w:rsidRDefault="000A6BD5" w:rsidP="000A6BD5">
      <w:pPr>
        <w:widowControl w:val="0"/>
        <w:tabs>
          <w:tab w:val="left" w:pos="762"/>
        </w:tabs>
        <w:autoSpaceDE w:val="0"/>
        <w:autoSpaceDN w:val="0"/>
        <w:rPr>
          <w:color w:val="262626"/>
          <w:lang w:val="es-ES"/>
        </w:rPr>
      </w:pPr>
    </w:p>
    <w:p w14:paraId="136188E4" w14:textId="77777777" w:rsidR="000A6BD5" w:rsidRPr="005F086E" w:rsidRDefault="000A6BD5" w:rsidP="000A6BD5">
      <w:pPr>
        <w:widowControl w:val="0"/>
        <w:tabs>
          <w:tab w:val="left" w:pos="762"/>
        </w:tabs>
        <w:autoSpaceDE w:val="0"/>
        <w:autoSpaceDN w:val="0"/>
        <w:rPr>
          <w:color w:val="262626"/>
          <w:lang w:val="es-ES"/>
        </w:rPr>
      </w:pPr>
    </w:p>
    <w:p w14:paraId="1FCD5C43" w14:textId="77777777" w:rsidR="000A6BD5" w:rsidRPr="005F086E" w:rsidRDefault="000A6BD5" w:rsidP="000A6BD5">
      <w:pPr>
        <w:pStyle w:val="Heading1"/>
        <w:rPr>
          <w:lang w:val="es-ES"/>
        </w:rPr>
      </w:pPr>
      <w:bookmarkStart w:id="5" w:name="_Toc172119299"/>
      <w:bookmarkStart w:id="6" w:name="_Toc172119336"/>
      <w:r w:rsidRPr="005F086E">
        <w:rPr>
          <w:lang w:val="es-ES"/>
        </w:rPr>
        <w:t>COMPOSICIÓN:</w:t>
      </w:r>
      <w:bookmarkEnd w:id="5"/>
      <w:bookmarkEnd w:id="6"/>
    </w:p>
    <w:p w14:paraId="24592A1E" w14:textId="77777777" w:rsidR="000A6BD5" w:rsidRPr="005F086E" w:rsidRDefault="000A6BD5" w:rsidP="000A6BD5">
      <w:pPr>
        <w:widowControl w:val="0"/>
        <w:tabs>
          <w:tab w:val="left" w:pos="762"/>
        </w:tabs>
        <w:autoSpaceDE w:val="0"/>
        <w:autoSpaceDN w:val="0"/>
        <w:ind w:right="113"/>
        <w:rPr>
          <w:color w:val="262626"/>
          <w:lang w:val="es-ES"/>
        </w:rPr>
      </w:pPr>
    </w:p>
    <w:p w14:paraId="0BB18815" w14:textId="77777777" w:rsidR="000A6BD5" w:rsidRPr="005F086E" w:rsidRDefault="000A6BD5" w:rsidP="000A6BD5">
      <w:pPr>
        <w:rPr>
          <w:lang w:val="es-ES"/>
        </w:rPr>
      </w:pPr>
      <w:r w:rsidRPr="005F086E">
        <w:rPr>
          <w:lang w:val="es-ES"/>
        </w:rPr>
        <w:t>El estudio debe ser realizado por los cinco autores que se mencionan a continuación. Los autores deberán ponerse de acuerdo sobre uno de ellos para que coordine su trabajo.</w:t>
      </w:r>
    </w:p>
    <w:p w14:paraId="34BE5689" w14:textId="77777777" w:rsidR="000A6BD5" w:rsidRPr="005F086E" w:rsidRDefault="000A6BD5" w:rsidP="000A6BD5">
      <w:pPr>
        <w:rPr>
          <w:lang w:val="es-ES"/>
        </w:rPr>
      </w:pPr>
    </w:p>
    <w:p w14:paraId="050A957F" w14:textId="77777777" w:rsidR="000A6BD5" w:rsidRPr="005F086E" w:rsidRDefault="000A6BD5" w:rsidP="000A6BD5">
      <w:pPr>
        <w:rPr>
          <w:lang w:val="es-ES"/>
        </w:rPr>
      </w:pPr>
      <w:r w:rsidRPr="005F086E">
        <w:rPr>
          <w:lang w:val="es-ES"/>
        </w:rPr>
        <w:t xml:space="preserve">La lengua de trabajo de los autores debe ser el inglés y el estudio debe redactarse en inglés. </w:t>
      </w:r>
    </w:p>
    <w:p w14:paraId="0215E6CF" w14:textId="77777777" w:rsidR="000A6BD5" w:rsidRPr="005F086E" w:rsidRDefault="000A6BD5" w:rsidP="000A6BD5">
      <w:pPr>
        <w:jc w:val="left"/>
        <w:rPr>
          <w:spacing w:val="-2"/>
          <w:lang w:val="es-ES"/>
        </w:rPr>
      </w:pPr>
    </w:p>
    <w:tbl>
      <w:tblPr>
        <w:tblStyle w:val="TableGrid"/>
        <w:tblW w:w="3145" w:type="dxa"/>
        <w:jc w:val="center"/>
        <w:tblInd w:w="0" w:type="dxa"/>
        <w:tblLook w:val="04A0" w:firstRow="1" w:lastRow="0" w:firstColumn="1" w:lastColumn="0" w:noHBand="0" w:noVBand="1"/>
      </w:tblPr>
      <w:tblGrid>
        <w:gridCol w:w="3145"/>
      </w:tblGrid>
      <w:tr w:rsidR="000A6BD5" w:rsidRPr="00E02B4F" w14:paraId="5C69EE46" w14:textId="77777777" w:rsidTr="00522FBF">
        <w:trPr>
          <w:jc w:val="center"/>
        </w:trPr>
        <w:tc>
          <w:tcPr>
            <w:tcW w:w="3145" w:type="dxa"/>
            <w:tcBorders>
              <w:top w:val="single" w:sz="4" w:space="0" w:color="auto"/>
              <w:left w:val="single" w:sz="4" w:space="0" w:color="auto"/>
              <w:bottom w:val="single" w:sz="4" w:space="0" w:color="auto"/>
              <w:right w:val="single" w:sz="4" w:space="0" w:color="auto"/>
            </w:tcBorders>
            <w:hideMark/>
          </w:tcPr>
          <w:p w14:paraId="1D44331F" w14:textId="77777777" w:rsidR="000A6BD5" w:rsidRDefault="000A6BD5" w:rsidP="00522FBF">
            <w:pPr>
              <w:jc w:val="left"/>
              <w:rPr>
                <w:b/>
                <w:bCs/>
                <w:spacing w:val="-2"/>
              </w:rPr>
            </w:pPr>
            <w:proofErr w:type="spellStart"/>
            <w:r w:rsidRPr="00073978">
              <w:rPr>
                <w:b/>
                <w:bCs/>
                <w:spacing w:val="-2"/>
              </w:rPr>
              <w:t>Expertos</w:t>
            </w:r>
            <w:proofErr w:type="spellEnd"/>
            <w:r w:rsidRPr="00073978">
              <w:rPr>
                <w:b/>
                <w:bCs/>
                <w:spacing w:val="-2"/>
              </w:rPr>
              <w:t xml:space="preserve"> (</w:t>
            </w:r>
            <w:proofErr w:type="spellStart"/>
            <w:r w:rsidRPr="00073978">
              <w:rPr>
                <w:b/>
                <w:bCs/>
                <w:spacing w:val="-2"/>
              </w:rPr>
              <w:t>orden</w:t>
            </w:r>
            <w:proofErr w:type="spellEnd"/>
            <w:r w:rsidRPr="00073978">
              <w:rPr>
                <w:b/>
                <w:bCs/>
                <w:spacing w:val="-2"/>
              </w:rPr>
              <w:t xml:space="preserve"> </w:t>
            </w:r>
            <w:proofErr w:type="spellStart"/>
            <w:r w:rsidRPr="00073978">
              <w:rPr>
                <w:b/>
                <w:bCs/>
                <w:spacing w:val="-2"/>
              </w:rPr>
              <w:t>alfabético</w:t>
            </w:r>
            <w:proofErr w:type="spellEnd"/>
            <w:r w:rsidRPr="00073978">
              <w:rPr>
                <w:b/>
                <w:bCs/>
                <w:spacing w:val="-2"/>
              </w:rPr>
              <w:t>)</w:t>
            </w:r>
          </w:p>
        </w:tc>
      </w:tr>
      <w:tr w:rsidR="000A6BD5" w:rsidRPr="00E02B4F" w14:paraId="42F5785B" w14:textId="77777777" w:rsidTr="00522FBF">
        <w:trPr>
          <w:jc w:val="center"/>
        </w:trPr>
        <w:tc>
          <w:tcPr>
            <w:tcW w:w="3145" w:type="dxa"/>
            <w:tcBorders>
              <w:top w:val="single" w:sz="4" w:space="0" w:color="auto"/>
              <w:left w:val="single" w:sz="4" w:space="0" w:color="auto"/>
              <w:bottom w:val="single" w:sz="4" w:space="0" w:color="auto"/>
              <w:right w:val="single" w:sz="4" w:space="0" w:color="auto"/>
            </w:tcBorders>
          </w:tcPr>
          <w:p w14:paraId="66E6E53E" w14:textId="77777777" w:rsidR="000A6BD5" w:rsidRDefault="000A6BD5" w:rsidP="00522FBF">
            <w:pPr>
              <w:jc w:val="left"/>
              <w:rPr>
                <w:spacing w:val="-2"/>
              </w:rPr>
            </w:pPr>
            <w:r w:rsidRPr="00073E6C">
              <w:rPr>
                <w:spacing w:val="-2"/>
              </w:rPr>
              <w:t>Sr</w:t>
            </w:r>
            <w:r>
              <w:rPr>
                <w:spacing w:val="-2"/>
              </w:rPr>
              <w:t xml:space="preserve">. </w:t>
            </w:r>
            <w:r w:rsidRPr="00073E6C">
              <w:rPr>
                <w:spacing w:val="-2"/>
              </w:rPr>
              <w:t>Huib Ghijsen</w:t>
            </w:r>
          </w:p>
        </w:tc>
      </w:tr>
      <w:tr w:rsidR="000A6BD5" w:rsidRPr="00E02B4F" w14:paraId="345066D6" w14:textId="77777777" w:rsidTr="00522FBF">
        <w:trPr>
          <w:jc w:val="center"/>
        </w:trPr>
        <w:tc>
          <w:tcPr>
            <w:tcW w:w="3145" w:type="dxa"/>
            <w:tcBorders>
              <w:top w:val="single" w:sz="4" w:space="0" w:color="auto"/>
              <w:left w:val="single" w:sz="4" w:space="0" w:color="auto"/>
              <w:bottom w:val="single" w:sz="4" w:space="0" w:color="auto"/>
              <w:right w:val="single" w:sz="4" w:space="0" w:color="auto"/>
            </w:tcBorders>
          </w:tcPr>
          <w:p w14:paraId="5E17060F" w14:textId="77777777" w:rsidR="000A6BD5" w:rsidRDefault="000A6BD5" w:rsidP="00522FBF">
            <w:pPr>
              <w:jc w:val="left"/>
              <w:rPr>
                <w:spacing w:val="-2"/>
              </w:rPr>
            </w:pPr>
            <w:r w:rsidRPr="00073E6C">
              <w:rPr>
                <w:spacing w:val="-2"/>
                <w:lang w:val="es-ES_tradnl"/>
              </w:rPr>
              <w:t xml:space="preserve">Sra. </w:t>
            </w:r>
            <w:proofErr w:type="spellStart"/>
            <w:r w:rsidRPr="00073E6C">
              <w:rPr>
                <w:spacing w:val="-2"/>
                <w:lang w:val="es-ES_tradnl"/>
              </w:rPr>
              <w:t>Vivianne</w:t>
            </w:r>
            <w:proofErr w:type="spellEnd"/>
            <w:r w:rsidRPr="00073E6C">
              <w:rPr>
                <w:spacing w:val="-2"/>
                <w:lang w:val="es-ES_tradnl"/>
              </w:rPr>
              <w:t xml:space="preserve"> Kunisawa</w:t>
            </w:r>
          </w:p>
        </w:tc>
      </w:tr>
      <w:tr w:rsidR="000A6BD5" w:rsidRPr="00E02B4F" w14:paraId="29804BF2" w14:textId="77777777" w:rsidTr="00522FBF">
        <w:trPr>
          <w:jc w:val="center"/>
        </w:trPr>
        <w:tc>
          <w:tcPr>
            <w:tcW w:w="3145" w:type="dxa"/>
            <w:tcBorders>
              <w:top w:val="single" w:sz="4" w:space="0" w:color="auto"/>
              <w:left w:val="single" w:sz="4" w:space="0" w:color="auto"/>
              <w:bottom w:val="single" w:sz="4" w:space="0" w:color="auto"/>
              <w:right w:val="single" w:sz="4" w:space="0" w:color="auto"/>
            </w:tcBorders>
            <w:hideMark/>
          </w:tcPr>
          <w:p w14:paraId="0B85DD1D" w14:textId="77777777" w:rsidR="000A6BD5" w:rsidRDefault="000A6BD5" w:rsidP="00522FBF">
            <w:pPr>
              <w:jc w:val="left"/>
              <w:rPr>
                <w:spacing w:val="-2"/>
              </w:rPr>
            </w:pPr>
            <w:r w:rsidRPr="00073E6C">
              <w:rPr>
                <w:spacing w:val="-2"/>
              </w:rPr>
              <w:t>Sr</w:t>
            </w:r>
            <w:r>
              <w:rPr>
                <w:spacing w:val="-2"/>
              </w:rPr>
              <w:t xml:space="preserve">. </w:t>
            </w:r>
            <w:r w:rsidRPr="00073E6C">
              <w:rPr>
                <w:spacing w:val="-2"/>
              </w:rPr>
              <w:t>Charles Lawson</w:t>
            </w:r>
          </w:p>
        </w:tc>
      </w:tr>
      <w:tr w:rsidR="000A6BD5" w:rsidRPr="00E02B4F" w14:paraId="074F7676" w14:textId="77777777" w:rsidTr="00522FBF">
        <w:trPr>
          <w:jc w:val="center"/>
        </w:trPr>
        <w:tc>
          <w:tcPr>
            <w:tcW w:w="3145" w:type="dxa"/>
            <w:tcBorders>
              <w:top w:val="single" w:sz="4" w:space="0" w:color="auto"/>
              <w:left w:val="single" w:sz="4" w:space="0" w:color="auto"/>
              <w:bottom w:val="single" w:sz="4" w:space="0" w:color="auto"/>
              <w:right w:val="single" w:sz="4" w:space="0" w:color="auto"/>
            </w:tcBorders>
          </w:tcPr>
          <w:p w14:paraId="39EE5569" w14:textId="77777777" w:rsidR="000A6BD5" w:rsidRDefault="000A6BD5" w:rsidP="00522FBF">
            <w:pPr>
              <w:jc w:val="left"/>
              <w:rPr>
                <w:spacing w:val="-2"/>
              </w:rPr>
            </w:pPr>
            <w:r w:rsidRPr="00073E6C">
              <w:rPr>
                <w:spacing w:val="-2"/>
              </w:rPr>
              <w:t>Sr</w:t>
            </w:r>
            <w:r>
              <w:rPr>
                <w:spacing w:val="-2"/>
              </w:rPr>
              <w:t xml:space="preserve">. </w:t>
            </w:r>
            <w:r w:rsidRPr="00073E6C">
              <w:rPr>
                <w:spacing w:val="-2"/>
              </w:rPr>
              <w:t>Axel Metzger</w:t>
            </w:r>
          </w:p>
        </w:tc>
      </w:tr>
      <w:tr w:rsidR="000A6BD5" w:rsidRPr="00E02B4F" w14:paraId="6C281F7F" w14:textId="77777777" w:rsidTr="00522FBF">
        <w:trPr>
          <w:jc w:val="center"/>
        </w:trPr>
        <w:tc>
          <w:tcPr>
            <w:tcW w:w="3145" w:type="dxa"/>
            <w:tcBorders>
              <w:top w:val="single" w:sz="4" w:space="0" w:color="auto"/>
              <w:left w:val="single" w:sz="4" w:space="0" w:color="auto"/>
              <w:bottom w:val="single" w:sz="4" w:space="0" w:color="auto"/>
              <w:right w:val="single" w:sz="4" w:space="0" w:color="auto"/>
            </w:tcBorders>
            <w:hideMark/>
          </w:tcPr>
          <w:p w14:paraId="0E805421" w14:textId="77777777" w:rsidR="000A6BD5" w:rsidRDefault="000A6BD5" w:rsidP="00522FBF">
            <w:pPr>
              <w:jc w:val="left"/>
              <w:rPr>
                <w:spacing w:val="-2"/>
                <w:lang w:val="es-ES_tradnl"/>
              </w:rPr>
            </w:pPr>
            <w:r>
              <w:rPr>
                <w:spacing w:val="-2"/>
              </w:rPr>
              <w:t xml:space="preserve">Sr. </w:t>
            </w:r>
            <w:r w:rsidRPr="00073E6C">
              <w:rPr>
                <w:spacing w:val="-2"/>
              </w:rPr>
              <w:t>Joseph Straus</w:t>
            </w:r>
          </w:p>
        </w:tc>
      </w:tr>
    </w:tbl>
    <w:p w14:paraId="5A4D3D1A" w14:textId="77777777" w:rsidR="000A6BD5" w:rsidRDefault="000A6BD5" w:rsidP="000A6BD5">
      <w:pPr>
        <w:widowControl w:val="0"/>
        <w:tabs>
          <w:tab w:val="left" w:pos="762"/>
        </w:tabs>
        <w:autoSpaceDE w:val="0"/>
        <w:autoSpaceDN w:val="0"/>
        <w:jc w:val="left"/>
        <w:rPr>
          <w:color w:val="262626"/>
        </w:rPr>
      </w:pPr>
    </w:p>
    <w:p w14:paraId="602DF2EC" w14:textId="77777777" w:rsidR="000A6BD5" w:rsidRDefault="000A6BD5" w:rsidP="000A6BD5">
      <w:pPr>
        <w:rPr>
          <w:color w:val="262626"/>
        </w:rPr>
      </w:pPr>
    </w:p>
    <w:p w14:paraId="5DCD37D3" w14:textId="77777777" w:rsidR="000A6BD5" w:rsidRDefault="000A6BD5" w:rsidP="000A6BD5">
      <w:pPr>
        <w:widowControl w:val="0"/>
        <w:tabs>
          <w:tab w:val="left" w:pos="762"/>
        </w:tabs>
        <w:autoSpaceDE w:val="0"/>
        <w:autoSpaceDN w:val="0"/>
        <w:rPr>
          <w:caps/>
        </w:rPr>
      </w:pPr>
      <w:r w:rsidRPr="007F0F7A">
        <w:rPr>
          <w:caps/>
        </w:rPr>
        <w:t>MODUS OPERANDI:</w:t>
      </w:r>
    </w:p>
    <w:p w14:paraId="24E38FAB" w14:textId="77777777" w:rsidR="000A6BD5" w:rsidRDefault="000A6BD5" w:rsidP="000A6BD5">
      <w:pPr>
        <w:widowControl w:val="0"/>
        <w:tabs>
          <w:tab w:val="left" w:pos="762"/>
        </w:tabs>
        <w:autoSpaceDE w:val="0"/>
        <w:autoSpaceDN w:val="0"/>
        <w:rPr>
          <w:color w:val="262626"/>
        </w:rPr>
      </w:pPr>
    </w:p>
    <w:p w14:paraId="490B49D2" w14:textId="77777777" w:rsidR="000A6BD5" w:rsidRDefault="000A6BD5" w:rsidP="000A6BD5">
      <w:pPr>
        <w:pStyle w:val="Heading2"/>
      </w:pPr>
      <w:bookmarkStart w:id="7" w:name="_Toc172119300"/>
      <w:bookmarkStart w:id="8" w:name="_Toc172119337"/>
      <w:proofErr w:type="spellStart"/>
      <w:r w:rsidRPr="007F0F7A">
        <w:t>Independencia</w:t>
      </w:r>
      <w:proofErr w:type="spellEnd"/>
      <w:r w:rsidRPr="007F0F7A">
        <w:t xml:space="preserve">: </w:t>
      </w:r>
      <w:bookmarkEnd w:id="7"/>
      <w:bookmarkEnd w:id="8"/>
    </w:p>
    <w:p w14:paraId="511BC7B1" w14:textId="77777777" w:rsidR="000A6BD5" w:rsidRPr="003338C4" w:rsidRDefault="000A6BD5" w:rsidP="000A6BD5"/>
    <w:p w14:paraId="31C8B94D" w14:textId="77777777" w:rsidR="000A6BD5" w:rsidRPr="005F086E" w:rsidRDefault="000A6BD5" w:rsidP="000A6BD5">
      <w:pPr>
        <w:widowControl w:val="0"/>
        <w:tabs>
          <w:tab w:val="left" w:pos="762"/>
        </w:tabs>
        <w:autoSpaceDE w:val="0"/>
        <w:autoSpaceDN w:val="0"/>
        <w:rPr>
          <w:lang w:val="es-ES"/>
        </w:rPr>
      </w:pPr>
      <w:r w:rsidRPr="005F086E">
        <w:rPr>
          <w:color w:val="262626"/>
          <w:lang w:val="es-ES"/>
        </w:rPr>
        <w:t xml:space="preserve">Los autores son independientes en la redacción del estudio, en el </w:t>
      </w:r>
      <w:r w:rsidRPr="005F086E">
        <w:rPr>
          <w:lang w:val="es-ES"/>
        </w:rPr>
        <w:t xml:space="preserve">sentido de que no deben recibir instrucciones individuales de nadie y de que deben ser imparciales y objetivos. </w:t>
      </w:r>
    </w:p>
    <w:p w14:paraId="7C799D4E" w14:textId="77777777" w:rsidR="000A6BD5" w:rsidRPr="005F086E" w:rsidRDefault="000A6BD5" w:rsidP="000A6BD5">
      <w:pPr>
        <w:widowControl w:val="0"/>
        <w:tabs>
          <w:tab w:val="left" w:pos="762"/>
        </w:tabs>
        <w:autoSpaceDE w:val="0"/>
        <w:autoSpaceDN w:val="0"/>
        <w:rPr>
          <w:lang w:val="es-ES"/>
        </w:rPr>
      </w:pPr>
    </w:p>
    <w:p w14:paraId="6094AD79" w14:textId="77777777" w:rsidR="000A6BD5" w:rsidRPr="005F086E" w:rsidRDefault="000A6BD5" w:rsidP="000A6BD5">
      <w:pPr>
        <w:widowControl w:val="0"/>
        <w:tabs>
          <w:tab w:val="left" w:pos="762"/>
        </w:tabs>
        <w:autoSpaceDE w:val="0"/>
        <w:autoSpaceDN w:val="0"/>
        <w:rPr>
          <w:color w:val="262626"/>
          <w:lang w:val="es-ES"/>
        </w:rPr>
      </w:pPr>
      <w:r w:rsidRPr="005F086E">
        <w:rPr>
          <w:lang w:val="es-ES"/>
        </w:rPr>
        <w:t>Los cinco autores deberán redactar un estudio y seguir un método de trabajo colaborativo que se ajuste a las normas académicas. Siguiendo dichas normas, los autores deberán gestionar las posibles diferentes perspectivas o análisis y, en su caso, cómo deben reflejarse dichas cuestiones en el estudio.</w:t>
      </w:r>
    </w:p>
    <w:p w14:paraId="42CFE9C7" w14:textId="77777777" w:rsidR="000A6BD5" w:rsidRPr="005F086E" w:rsidRDefault="000A6BD5" w:rsidP="000A6BD5">
      <w:pPr>
        <w:widowControl w:val="0"/>
        <w:tabs>
          <w:tab w:val="left" w:pos="762"/>
        </w:tabs>
        <w:autoSpaceDE w:val="0"/>
        <w:autoSpaceDN w:val="0"/>
        <w:rPr>
          <w:color w:val="262626"/>
          <w:lang w:val="es-ES"/>
        </w:rPr>
      </w:pPr>
    </w:p>
    <w:p w14:paraId="3D484392" w14:textId="77777777" w:rsidR="000A6BD5" w:rsidRPr="005F086E" w:rsidRDefault="000A6BD5" w:rsidP="000A6BD5">
      <w:pPr>
        <w:widowControl w:val="0"/>
        <w:tabs>
          <w:tab w:val="left" w:pos="762"/>
        </w:tabs>
        <w:autoSpaceDE w:val="0"/>
        <w:autoSpaceDN w:val="0"/>
        <w:rPr>
          <w:color w:val="262626"/>
          <w:lang w:val="es-ES"/>
        </w:rPr>
      </w:pPr>
      <w:r w:rsidRPr="005F086E">
        <w:rPr>
          <w:color w:val="262626"/>
          <w:lang w:val="es-ES"/>
        </w:rPr>
        <w:t xml:space="preserve">Una vez recibido el estudio, corresponde al WG-HRV considerar un posible seguimiento y solicitar más orientaciones al CAJ, según proceda. </w:t>
      </w:r>
    </w:p>
    <w:p w14:paraId="18550E6F" w14:textId="77777777" w:rsidR="000A6BD5" w:rsidRPr="005F086E" w:rsidRDefault="000A6BD5" w:rsidP="000A6BD5">
      <w:pPr>
        <w:widowControl w:val="0"/>
        <w:tabs>
          <w:tab w:val="left" w:pos="762"/>
        </w:tabs>
        <w:autoSpaceDE w:val="0"/>
        <w:autoSpaceDN w:val="0"/>
        <w:rPr>
          <w:color w:val="262626"/>
          <w:lang w:val="es-ES"/>
        </w:rPr>
      </w:pPr>
    </w:p>
    <w:p w14:paraId="12177C5D" w14:textId="77777777" w:rsidR="000A6BD5" w:rsidRPr="005F086E" w:rsidRDefault="000A6BD5" w:rsidP="000A6BD5">
      <w:pPr>
        <w:widowControl w:val="0"/>
        <w:tabs>
          <w:tab w:val="left" w:pos="762"/>
        </w:tabs>
        <w:autoSpaceDE w:val="0"/>
        <w:autoSpaceDN w:val="0"/>
        <w:rPr>
          <w:color w:val="262626"/>
          <w:lang w:val="es-ES"/>
        </w:rPr>
      </w:pPr>
      <w:r w:rsidRPr="005F086E">
        <w:rPr>
          <w:color w:val="262626"/>
          <w:lang w:val="es-ES"/>
        </w:rPr>
        <w:t>Los miembros de la UPOV no están obligados por el contenido y/o las conclusiones extraídas en el estudio.</w:t>
      </w:r>
    </w:p>
    <w:p w14:paraId="2A0AAC91" w14:textId="77777777" w:rsidR="000A6BD5" w:rsidRPr="005F086E" w:rsidRDefault="000A6BD5" w:rsidP="000A6BD5">
      <w:pPr>
        <w:widowControl w:val="0"/>
        <w:tabs>
          <w:tab w:val="left" w:pos="762"/>
        </w:tabs>
        <w:autoSpaceDE w:val="0"/>
        <w:autoSpaceDN w:val="0"/>
        <w:rPr>
          <w:color w:val="262626"/>
          <w:lang w:val="es-ES"/>
        </w:rPr>
      </w:pPr>
    </w:p>
    <w:p w14:paraId="768AF3AA" w14:textId="77777777" w:rsidR="000A6BD5" w:rsidRPr="005F086E" w:rsidRDefault="000A6BD5" w:rsidP="000A6BD5">
      <w:pPr>
        <w:pStyle w:val="Heading2"/>
        <w:rPr>
          <w:lang w:val="es-ES"/>
        </w:rPr>
      </w:pPr>
      <w:bookmarkStart w:id="9" w:name="_Toc172119301"/>
      <w:bookmarkStart w:id="10" w:name="_Toc172119338"/>
      <w:r w:rsidRPr="005F086E">
        <w:rPr>
          <w:lang w:val="es-ES"/>
        </w:rPr>
        <w:t>Calendario:</w:t>
      </w:r>
      <w:bookmarkEnd w:id="9"/>
      <w:bookmarkEnd w:id="10"/>
    </w:p>
    <w:p w14:paraId="4BB2BB6A" w14:textId="77777777" w:rsidR="000A6BD5" w:rsidRPr="005F086E" w:rsidRDefault="000A6BD5" w:rsidP="000A6BD5">
      <w:pPr>
        <w:widowControl w:val="0"/>
        <w:tabs>
          <w:tab w:val="left" w:pos="762"/>
        </w:tabs>
        <w:autoSpaceDE w:val="0"/>
        <w:autoSpaceDN w:val="0"/>
        <w:rPr>
          <w:color w:val="161616"/>
          <w:lang w:val="es-ES"/>
        </w:rPr>
      </w:pPr>
    </w:p>
    <w:p w14:paraId="22CCB8B0" w14:textId="77777777" w:rsidR="000A6BD5" w:rsidRPr="005F086E" w:rsidRDefault="000A6BD5" w:rsidP="000A6BD5">
      <w:pPr>
        <w:widowControl w:val="0"/>
        <w:tabs>
          <w:tab w:val="left" w:pos="762"/>
        </w:tabs>
        <w:autoSpaceDE w:val="0"/>
        <w:autoSpaceDN w:val="0"/>
        <w:rPr>
          <w:rFonts w:cs="Arial"/>
          <w:lang w:val="es-ES"/>
        </w:rPr>
      </w:pPr>
      <w:r w:rsidRPr="005F086E">
        <w:rPr>
          <w:rFonts w:cs="Arial"/>
          <w:lang w:val="es-ES"/>
        </w:rPr>
        <w:t>Se pedirá a los autores que entreguen el borrador del estudio a más tardar el 28 de febrero de 2025, para su consideración en la séptima reunión del WG-HRV, prevista para el 20 de marzo de 2025 en Ginebra.  La versión final del estudio deberá entregarse a más tardar el 1 de septiembre de 2025 (</w:t>
      </w:r>
      <w:proofErr w:type="spellStart"/>
      <w:r w:rsidRPr="005F086E">
        <w:rPr>
          <w:rFonts w:cs="Arial"/>
          <w:vertAlign w:val="superscript"/>
          <w:lang w:val="es-ES"/>
        </w:rPr>
        <w:t>st</w:t>
      </w:r>
      <w:proofErr w:type="spellEnd"/>
      <w:r w:rsidRPr="005F086E">
        <w:rPr>
          <w:rFonts w:cs="Arial"/>
          <w:lang w:val="es-ES"/>
        </w:rPr>
        <w:t xml:space="preserve"> ).</w:t>
      </w:r>
    </w:p>
    <w:p w14:paraId="22D5EFFC" w14:textId="77777777" w:rsidR="000A6BD5" w:rsidRPr="005F086E" w:rsidRDefault="000A6BD5" w:rsidP="000A6BD5">
      <w:pPr>
        <w:widowControl w:val="0"/>
        <w:tabs>
          <w:tab w:val="left" w:pos="762"/>
        </w:tabs>
        <w:autoSpaceDE w:val="0"/>
        <w:autoSpaceDN w:val="0"/>
        <w:rPr>
          <w:rFonts w:cs="Arial"/>
          <w:lang w:val="es-ES"/>
        </w:rPr>
      </w:pPr>
    </w:p>
    <w:p w14:paraId="5C99BC62" w14:textId="11563ABF" w:rsidR="005061F5" w:rsidRPr="00364AE9" w:rsidRDefault="000A6BD5" w:rsidP="005061F5">
      <w:pPr>
        <w:widowControl w:val="0"/>
        <w:tabs>
          <w:tab w:val="left" w:pos="762"/>
        </w:tabs>
        <w:autoSpaceDE w:val="0"/>
        <w:autoSpaceDN w:val="0"/>
        <w:rPr>
          <w:color w:val="161616"/>
          <w:lang w:val="es-ES"/>
        </w:rPr>
      </w:pPr>
      <w:r w:rsidRPr="005F086E">
        <w:rPr>
          <w:color w:val="161616"/>
          <w:lang w:val="es-ES"/>
        </w:rPr>
        <w:t xml:space="preserve">El tiempo podría prolongarse a petición de los autores. </w:t>
      </w:r>
    </w:p>
    <w:p w14:paraId="10DCE9D3" w14:textId="77777777" w:rsidR="005061F5" w:rsidRPr="00364AE9" w:rsidRDefault="005061F5" w:rsidP="005061F5">
      <w:pPr>
        <w:widowControl w:val="0"/>
        <w:tabs>
          <w:tab w:val="left" w:pos="762"/>
        </w:tabs>
        <w:autoSpaceDE w:val="0"/>
        <w:autoSpaceDN w:val="0"/>
        <w:rPr>
          <w:color w:val="161616"/>
          <w:lang w:val="es-ES"/>
        </w:rPr>
      </w:pPr>
    </w:p>
    <w:p w14:paraId="7E294728" w14:textId="77777777" w:rsidR="000A6BD5" w:rsidRPr="005F086E" w:rsidRDefault="000A6BD5" w:rsidP="000A6BD5">
      <w:pPr>
        <w:pStyle w:val="Heading2"/>
        <w:rPr>
          <w:lang w:val="es-ES"/>
        </w:rPr>
      </w:pPr>
      <w:bookmarkStart w:id="11" w:name="_Toc172119302"/>
      <w:bookmarkStart w:id="12" w:name="_Toc172119339"/>
      <w:r w:rsidRPr="005F086E">
        <w:rPr>
          <w:lang w:val="es-ES"/>
        </w:rPr>
        <w:lastRenderedPageBreak/>
        <w:t>Apoyo financiero:</w:t>
      </w:r>
      <w:bookmarkEnd w:id="11"/>
      <w:bookmarkEnd w:id="12"/>
    </w:p>
    <w:p w14:paraId="109BBBF3" w14:textId="77777777" w:rsidR="000A6BD5" w:rsidRPr="005F086E" w:rsidRDefault="000A6BD5" w:rsidP="000A6BD5">
      <w:pPr>
        <w:keepNext/>
        <w:jc w:val="left"/>
        <w:rPr>
          <w:lang w:val="es-ES"/>
        </w:rPr>
      </w:pPr>
    </w:p>
    <w:p w14:paraId="41861AD7" w14:textId="77777777" w:rsidR="000A6BD5" w:rsidRPr="005F086E" w:rsidRDefault="000A6BD5" w:rsidP="000A6BD5">
      <w:pPr>
        <w:keepNext/>
        <w:rPr>
          <w:lang w:val="es-ES"/>
        </w:rPr>
      </w:pPr>
      <w:r w:rsidRPr="005F086E">
        <w:rPr>
          <w:lang w:val="es-ES"/>
        </w:rPr>
        <w:t xml:space="preserve">55.000 francos suizos que incluirían: </w:t>
      </w:r>
    </w:p>
    <w:p w14:paraId="50C08179" w14:textId="77777777" w:rsidR="000A6BD5" w:rsidRPr="005F086E" w:rsidRDefault="000A6BD5" w:rsidP="000A6BD5">
      <w:pPr>
        <w:keepNext/>
        <w:rPr>
          <w:lang w:val="es-ES"/>
        </w:rPr>
      </w:pPr>
    </w:p>
    <w:p w14:paraId="0433D0DC" w14:textId="77777777" w:rsidR="000A6BD5" w:rsidRPr="005F086E" w:rsidRDefault="000A6BD5" w:rsidP="000A6BD5">
      <w:pPr>
        <w:keepNext/>
        <w:ind w:left="284" w:hanging="284"/>
        <w:rPr>
          <w:lang w:val="es-ES"/>
        </w:rPr>
      </w:pPr>
      <w:r w:rsidRPr="00222C58">
        <w:rPr>
          <w:rFonts w:ascii="MS Gothic" w:eastAsia="MS Gothic" w:hAnsi="MS Gothic" w:cs="MS Gothic" w:hint="eastAsia"/>
        </w:rPr>
        <w:t>・</w:t>
      </w:r>
      <w:r w:rsidRPr="005F086E">
        <w:rPr>
          <w:rFonts w:ascii="MS Gothic" w:eastAsia="MS Gothic" w:hAnsi="MS Gothic" w:cs="MS Gothic"/>
          <w:lang w:val="es-ES"/>
        </w:rPr>
        <w:tab/>
      </w:r>
      <w:r w:rsidRPr="005F086E">
        <w:rPr>
          <w:lang w:val="es-ES"/>
        </w:rPr>
        <w:t xml:space="preserve">Honorarios de 10.000 francos suizos para cada uno de los 5 autores. </w:t>
      </w:r>
    </w:p>
    <w:p w14:paraId="52E0297D" w14:textId="77777777" w:rsidR="000A6BD5" w:rsidRPr="005F086E" w:rsidRDefault="000A6BD5" w:rsidP="000A6BD5">
      <w:pPr>
        <w:ind w:left="284" w:hanging="284"/>
        <w:rPr>
          <w:lang w:val="es-ES"/>
        </w:rPr>
      </w:pPr>
      <w:r w:rsidRPr="00222C58">
        <w:rPr>
          <w:rFonts w:ascii="MS Gothic" w:eastAsia="MS Gothic" w:hAnsi="MS Gothic" w:cs="MS Gothic" w:hint="eastAsia"/>
        </w:rPr>
        <w:t>・</w:t>
      </w:r>
      <w:r w:rsidRPr="005F086E">
        <w:rPr>
          <w:rFonts w:ascii="MS Gothic" w:eastAsia="MS Gothic" w:hAnsi="MS Gothic" w:cs="MS Gothic"/>
          <w:lang w:val="es-ES"/>
        </w:rPr>
        <w:tab/>
      </w:r>
      <w:r w:rsidRPr="005F086E">
        <w:rPr>
          <w:lang w:val="es-ES"/>
        </w:rPr>
        <w:t>Gastos de viaje de hasta 5.000 francos suizos en total para los 5 autores. La finalidad del viaje podría ser convocar una reunión entre los autores o sufragar el viaje para acudir a Ginebra a presentar las conclusiones del estudio o cualquier otro gasto de viaje imprevisto.</w:t>
      </w:r>
    </w:p>
    <w:p w14:paraId="7CA488A2" w14:textId="77777777" w:rsidR="000A6BD5" w:rsidRPr="005F086E" w:rsidRDefault="000A6BD5" w:rsidP="000A6BD5">
      <w:pPr>
        <w:rPr>
          <w:lang w:val="es-ES"/>
        </w:rPr>
      </w:pPr>
    </w:p>
    <w:p w14:paraId="4F1AA217" w14:textId="77777777" w:rsidR="000A6BD5" w:rsidRPr="005F086E" w:rsidRDefault="000A6BD5" w:rsidP="000A6BD5">
      <w:pPr>
        <w:rPr>
          <w:lang w:val="es-ES"/>
        </w:rPr>
      </w:pPr>
      <w:r w:rsidRPr="005F086E">
        <w:rPr>
          <w:lang w:val="es-ES"/>
        </w:rPr>
        <w:t xml:space="preserve">La estimación global del coste a repartir es la siguiente:  El presupuesto ordinario de la UPOV cubriría 30.000 francos suizos y el Acuerdo de Fondos Fiduciarios entre el Gobierno de Japón y la UPOV (JP-FIT) cubriría 25.000 francos suizos.  </w:t>
      </w:r>
    </w:p>
    <w:p w14:paraId="750BFE0B" w14:textId="2923514B" w:rsidR="001A29AC" w:rsidRPr="00364AE9" w:rsidRDefault="001A29AC" w:rsidP="005061F5">
      <w:pPr>
        <w:ind w:right="100"/>
        <w:jc w:val="left"/>
        <w:rPr>
          <w:lang w:val="es-ES"/>
        </w:rPr>
      </w:pPr>
    </w:p>
    <w:p w14:paraId="6846BBF9" w14:textId="77777777" w:rsidR="005061F5" w:rsidRPr="00364AE9" w:rsidRDefault="005061F5" w:rsidP="005061F5">
      <w:pPr>
        <w:ind w:right="100"/>
        <w:jc w:val="left"/>
        <w:rPr>
          <w:lang w:val="es-ES"/>
        </w:rPr>
      </w:pPr>
    </w:p>
    <w:p w14:paraId="6AE500DB" w14:textId="77777777" w:rsidR="005061F5" w:rsidRPr="00364AE9" w:rsidRDefault="005061F5" w:rsidP="005061F5">
      <w:pPr>
        <w:ind w:right="100"/>
        <w:jc w:val="left"/>
        <w:rPr>
          <w:lang w:val="es-ES"/>
        </w:rPr>
      </w:pPr>
    </w:p>
    <w:p w14:paraId="4E45E639" w14:textId="49910978" w:rsidR="005061F5" w:rsidRPr="00364AE9" w:rsidRDefault="005061F5" w:rsidP="005061F5">
      <w:pPr>
        <w:jc w:val="right"/>
        <w:rPr>
          <w:lang w:val="es-ES"/>
        </w:rPr>
      </w:pPr>
      <w:r w:rsidRPr="00364AE9">
        <w:rPr>
          <w:lang w:val="es-ES"/>
        </w:rPr>
        <w:t>[Fin de los anexos y del documento]</w:t>
      </w:r>
    </w:p>
    <w:p w14:paraId="45D317D3" w14:textId="77777777" w:rsidR="005061F5" w:rsidRPr="00364AE9" w:rsidRDefault="005061F5" w:rsidP="005061F5">
      <w:pPr>
        <w:ind w:right="100"/>
        <w:jc w:val="left"/>
        <w:rPr>
          <w:lang w:val="es-ES"/>
        </w:rPr>
      </w:pPr>
    </w:p>
    <w:sectPr w:rsidR="005061F5" w:rsidRPr="00364AE9" w:rsidSect="0004198B">
      <w:headerReference w:type="default" r:id="rId16"/>
      <w:headerReference w:type="first" r:id="rId17"/>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822F1" w14:textId="77777777" w:rsidR="001903A6" w:rsidRDefault="001903A6" w:rsidP="006655D3">
      <w:r>
        <w:separator/>
      </w:r>
    </w:p>
    <w:p w14:paraId="0FC14002" w14:textId="77777777" w:rsidR="001903A6" w:rsidRDefault="001903A6" w:rsidP="006655D3"/>
    <w:p w14:paraId="03C15902" w14:textId="77777777" w:rsidR="001903A6" w:rsidRDefault="001903A6" w:rsidP="006655D3"/>
  </w:endnote>
  <w:endnote w:type="continuationSeparator" w:id="0">
    <w:p w14:paraId="74CD4382" w14:textId="77777777" w:rsidR="001903A6" w:rsidRDefault="001903A6" w:rsidP="006655D3">
      <w:r>
        <w:separator/>
      </w:r>
    </w:p>
    <w:p w14:paraId="01A3CFBC" w14:textId="77777777" w:rsidR="001903A6" w:rsidRPr="00294751" w:rsidRDefault="001903A6" w:rsidP="00871C26">
      <w:pPr>
        <w:pStyle w:val="Footer"/>
        <w:rPr>
          <w:lang w:val="fr-FR"/>
        </w:rPr>
      </w:pPr>
      <w:r w:rsidRPr="00294751">
        <w:rPr>
          <w:lang w:val="fr-FR"/>
        </w:rPr>
        <w:t>[Suite de la note de la page précédente]</w:t>
      </w:r>
    </w:p>
    <w:p w14:paraId="04651C5E" w14:textId="77777777" w:rsidR="001903A6" w:rsidRPr="00294751" w:rsidRDefault="001903A6" w:rsidP="006655D3">
      <w:pPr>
        <w:rPr>
          <w:lang w:val="fr-FR"/>
        </w:rPr>
      </w:pPr>
    </w:p>
    <w:p w14:paraId="35FDF70D" w14:textId="77777777" w:rsidR="001903A6" w:rsidRPr="00294751" w:rsidRDefault="001903A6" w:rsidP="006655D3">
      <w:pPr>
        <w:rPr>
          <w:lang w:val="fr-FR"/>
        </w:rPr>
      </w:pPr>
    </w:p>
  </w:endnote>
  <w:endnote w:type="continuationNotice" w:id="1">
    <w:p w14:paraId="4BE4719A" w14:textId="77777777" w:rsidR="001903A6" w:rsidRPr="00294751" w:rsidRDefault="001903A6" w:rsidP="006655D3">
      <w:pPr>
        <w:rPr>
          <w:lang w:val="fr-FR"/>
        </w:rPr>
      </w:pPr>
      <w:r w:rsidRPr="00294751">
        <w:rPr>
          <w:lang w:val="fr-FR"/>
        </w:rPr>
        <w:t>[Suite de la note page suivante]</w:t>
      </w:r>
    </w:p>
    <w:p w14:paraId="15E6F94A" w14:textId="77777777" w:rsidR="001903A6" w:rsidRPr="00294751" w:rsidRDefault="001903A6" w:rsidP="006655D3">
      <w:pPr>
        <w:rPr>
          <w:lang w:val="fr-FR"/>
        </w:rPr>
      </w:pPr>
    </w:p>
    <w:p w14:paraId="58F64547" w14:textId="77777777" w:rsidR="001903A6" w:rsidRPr="00294751" w:rsidRDefault="001903A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CC475" w14:textId="295CFCE2" w:rsidR="00FB43CA" w:rsidRPr="00BB406D" w:rsidRDefault="00FB43CA" w:rsidP="00BB406D">
    <w:pPr>
      <w:tabs>
        <w:tab w:val="left" w:pos="2268"/>
      </w:tabs>
      <w:spacing w:after="60"/>
      <w:rPr>
        <w:sz w:val="16"/>
        <w:u w:val="single"/>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4DDE4" w14:textId="77777777" w:rsidR="001903A6" w:rsidRDefault="001903A6" w:rsidP="006655D3">
      <w:r>
        <w:separator/>
      </w:r>
    </w:p>
  </w:footnote>
  <w:footnote w:type="continuationSeparator" w:id="0">
    <w:p w14:paraId="77F7F184" w14:textId="77777777" w:rsidR="001903A6" w:rsidRDefault="001903A6" w:rsidP="006655D3">
      <w:r>
        <w:separator/>
      </w:r>
    </w:p>
  </w:footnote>
  <w:footnote w:type="continuationNotice" w:id="1">
    <w:p w14:paraId="5ED20D78" w14:textId="77777777" w:rsidR="001903A6" w:rsidRPr="00AB530F" w:rsidRDefault="001903A6" w:rsidP="00871C26">
      <w:pPr>
        <w:pStyle w:val="Footer"/>
      </w:pPr>
    </w:p>
  </w:footnote>
  <w:footnote w:id="2">
    <w:p w14:paraId="52169B85" w14:textId="495CA6D5" w:rsidR="003022C5" w:rsidRPr="00364AE9" w:rsidRDefault="003022C5" w:rsidP="003022C5">
      <w:pPr>
        <w:pStyle w:val="FootnoteText"/>
        <w:rPr>
          <w:lang w:val="es-ES"/>
        </w:rPr>
      </w:pPr>
      <w:r>
        <w:rPr>
          <w:rStyle w:val="FootnoteReference"/>
        </w:rPr>
        <w:footnoteRef/>
      </w:r>
      <w:r w:rsidRPr="00364AE9">
        <w:rPr>
          <w:lang w:val="es-ES"/>
        </w:rPr>
        <w:tab/>
        <w:t>Se celebra en Ginebra el 22 de octubre de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1E579" w14:textId="776B4C4C" w:rsidR="0004198B" w:rsidRPr="00C5280D" w:rsidRDefault="009E6486" w:rsidP="00EB048E">
    <w:pPr>
      <w:pStyle w:val="Header"/>
      <w:rPr>
        <w:rStyle w:val="PageNumber"/>
        <w:lang w:val="en-US"/>
      </w:rPr>
    </w:pPr>
    <w:r>
      <w:rPr>
        <w:rStyle w:val="PageNumber"/>
        <w:lang w:val="en-US"/>
      </w:rPr>
      <w:t>WG-HRV/7/2</w:t>
    </w:r>
  </w:p>
  <w:p w14:paraId="01DD186B" w14:textId="77777777" w:rsidR="0004198B" w:rsidRPr="00C5280D" w:rsidRDefault="0004198B" w:rsidP="00EB048E">
    <w:pPr>
      <w:pStyle w:val="Header"/>
      <w:rPr>
        <w:lang w:val="en-US"/>
      </w:rPr>
    </w:pPr>
    <w:r w:rsidRPr="00C5280D">
      <w:rPr>
        <w:lang w:val="en-US"/>
      </w:rPr>
      <w:t xml:space="preserve">página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44BF1">
      <w:rPr>
        <w:rStyle w:val="PageNumber"/>
        <w:noProof/>
        <w:lang w:val="en-US"/>
      </w:rPr>
      <w:t>2</w:t>
    </w:r>
    <w:r w:rsidRPr="00C5280D">
      <w:rPr>
        <w:rStyle w:val="PageNumber"/>
        <w:lang w:val="en-US"/>
      </w:rPr>
      <w:fldChar w:fldCharType="end"/>
    </w:r>
  </w:p>
  <w:p w14:paraId="19FE82F6" w14:textId="77777777"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A6E9E" w14:textId="17154FDC" w:rsidR="00BB406D" w:rsidRDefault="00BB406D">
    <w:pPr>
      <w:pStyle w:val="Header"/>
      <w:rPr>
        <w:lang w:val="fr-CH"/>
      </w:rPr>
    </w:pPr>
    <w:r>
      <w:rPr>
        <w:lang w:val="fr-CH"/>
      </w:rPr>
      <w:t>WG-HRV/7/2</w:t>
    </w:r>
  </w:p>
  <w:p w14:paraId="27CAE274" w14:textId="77777777" w:rsidR="00BB406D" w:rsidRDefault="00BB406D">
    <w:pPr>
      <w:pStyle w:val="Header"/>
      <w:rPr>
        <w:lang w:val="fr-CH"/>
      </w:rPr>
    </w:pPr>
  </w:p>
  <w:p w14:paraId="461D3D14" w14:textId="1C7D25DA" w:rsidR="00BB406D" w:rsidRDefault="00BB406D">
    <w:pPr>
      <w:pStyle w:val="Header"/>
      <w:rPr>
        <w:lang w:val="fr-CH"/>
      </w:rPr>
    </w:pPr>
    <w:r>
      <w:rPr>
        <w:lang w:val="fr-CH"/>
      </w:rPr>
      <w:t xml:space="preserve">ANEXO </w:t>
    </w:r>
    <w:r w:rsidR="0003071A">
      <w:rPr>
        <w:lang w:val="fr-CH"/>
      </w:rPr>
      <w:t>I</w:t>
    </w:r>
  </w:p>
  <w:p w14:paraId="7FB2219C" w14:textId="77777777" w:rsidR="003022C5" w:rsidRPr="00BB406D" w:rsidRDefault="003022C5">
    <w:pPr>
      <w:pStyle w:val="Header"/>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736DF" w14:textId="67DA5874" w:rsidR="00AA4578" w:rsidRDefault="00AA4578" w:rsidP="00AA4578">
    <w:pPr>
      <w:pStyle w:val="Header"/>
      <w:rPr>
        <w:lang w:val="fr-CH"/>
      </w:rPr>
    </w:pPr>
    <w:r>
      <w:rPr>
        <w:lang w:val="fr-CH"/>
      </w:rPr>
      <w:t>WG-HRV/7/2</w:t>
    </w:r>
  </w:p>
  <w:p w14:paraId="37D0E1E1" w14:textId="01F0699F" w:rsidR="00AA4578" w:rsidRDefault="00AA4578">
    <w:pPr>
      <w:pStyle w:val="Header"/>
      <w:rPr>
        <w:lang w:val="fr-CH"/>
      </w:rPr>
    </w:pPr>
    <w:r>
      <w:rPr>
        <w:lang w:val="fr-CH"/>
      </w:rPr>
      <w:t xml:space="preserve">Anexo </w:t>
    </w:r>
    <w:r w:rsidR="005061F5">
      <w:rPr>
        <w:lang w:val="fr-CH"/>
      </w:rPr>
      <w:t>I</w:t>
    </w:r>
    <w:r>
      <w:rPr>
        <w:lang w:val="fr-CH"/>
      </w:rPr>
      <w:t>, página 2</w:t>
    </w:r>
  </w:p>
  <w:p w14:paraId="6376388C" w14:textId="77777777" w:rsidR="00AA4578" w:rsidRPr="00BB406D" w:rsidRDefault="00AA4578">
    <w:pPr>
      <w:pStyle w:val="Header"/>
      <w:rPr>
        <w:lang w:val="fr-CH"/>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16A7B" w14:textId="77777777" w:rsidR="00AA4578" w:rsidRDefault="00AA4578" w:rsidP="00AA4578">
    <w:pPr>
      <w:pStyle w:val="Header"/>
      <w:rPr>
        <w:lang w:val="fr-CH"/>
      </w:rPr>
    </w:pPr>
    <w:r>
      <w:rPr>
        <w:lang w:val="fr-CH"/>
      </w:rPr>
      <w:t>WG-HRV/7/2</w:t>
    </w:r>
  </w:p>
  <w:p w14:paraId="569ED53C" w14:textId="3E6FE90A" w:rsidR="00AA4578" w:rsidRDefault="00AA4578">
    <w:pPr>
      <w:pStyle w:val="Header"/>
      <w:rPr>
        <w:lang w:val="fr-CH"/>
      </w:rPr>
    </w:pPr>
    <w:r>
      <w:rPr>
        <w:lang w:val="fr-CH"/>
      </w:rPr>
      <w:t xml:space="preserve">Anexo </w:t>
    </w:r>
    <w:r w:rsidR="005061F5">
      <w:rPr>
        <w:lang w:val="fr-CH"/>
      </w:rPr>
      <w:t>I</w:t>
    </w:r>
    <w:r>
      <w:rPr>
        <w:lang w:val="fr-CH"/>
      </w:rPr>
      <w:t>, página 3</w:t>
    </w:r>
  </w:p>
  <w:p w14:paraId="266755DC" w14:textId="77777777" w:rsidR="00AA4578" w:rsidRPr="00BB406D" w:rsidRDefault="00AA4578">
    <w:pPr>
      <w:pStyle w:val="Header"/>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8DC77" w14:textId="77777777" w:rsidR="00AA4578" w:rsidRDefault="00AA4578" w:rsidP="00AA4578">
    <w:pPr>
      <w:pStyle w:val="Header"/>
      <w:rPr>
        <w:lang w:val="fr-CH"/>
      </w:rPr>
    </w:pPr>
    <w:r>
      <w:rPr>
        <w:lang w:val="fr-CH"/>
      </w:rPr>
      <w:t>WG-HRV/7/2</w:t>
    </w:r>
  </w:p>
  <w:p w14:paraId="7AAE832A" w14:textId="0E11E6C0" w:rsidR="00AA4578" w:rsidRDefault="00AA4578">
    <w:pPr>
      <w:pStyle w:val="Header"/>
      <w:rPr>
        <w:lang w:val="fr-CH"/>
      </w:rPr>
    </w:pPr>
    <w:r>
      <w:rPr>
        <w:lang w:val="fr-CH"/>
      </w:rPr>
      <w:t xml:space="preserve">Anexo </w:t>
    </w:r>
    <w:r w:rsidR="005061F5">
      <w:rPr>
        <w:lang w:val="fr-CH"/>
      </w:rPr>
      <w:t>I</w:t>
    </w:r>
    <w:r>
      <w:rPr>
        <w:lang w:val="fr-CH"/>
      </w:rPr>
      <w:t>, página 4</w:t>
    </w:r>
  </w:p>
  <w:p w14:paraId="13EADC78" w14:textId="77777777" w:rsidR="00AA4578" w:rsidRPr="00BB406D" w:rsidRDefault="00AA4578">
    <w:pPr>
      <w:pStyle w:val="Header"/>
      <w:rPr>
        <w:lang w:val="fr-CH"/>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B1691" w14:textId="77777777" w:rsidR="00AA4578" w:rsidRDefault="00AA4578" w:rsidP="00AA4578">
    <w:pPr>
      <w:pStyle w:val="Header"/>
      <w:rPr>
        <w:lang w:val="fr-CH"/>
      </w:rPr>
    </w:pPr>
    <w:r>
      <w:rPr>
        <w:lang w:val="fr-CH"/>
      </w:rPr>
      <w:t>WG-HRV/7/2</w:t>
    </w:r>
  </w:p>
  <w:p w14:paraId="2F8D9284" w14:textId="5A278F70" w:rsidR="00AA4578" w:rsidRDefault="00AA4578">
    <w:pPr>
      <w:pStyle w:val="Header"/>
      <w:rPr>
        <w:lang w:val="fr-CH"/>
      </w:rPr>
    </w:pPr>
    <w:r>
      <w:rPr>
        <w:lang w:val="fr-CH"/>
      </w:rPr>
      <w:t xml:space="preserve">Anexo </w:t>
    </w:r>
    <w:r w:rsidR="005061F5">
      <w:rPr>
        <w:lang w:val="fr-CH"/>
      </w:rPr>
      <w:t>I</w:t>
    </w:r>
    <w:r>
      <w:rPr>
        <w:lang w:val="fr-CH"/>
      </w:rPr>
      <w:t>, página 5</w:t>
    </w:r>
  </w:p>
  <w:p w14:paraId="653AA39F" w14:textId="77777777" w:rsidR="00AA4578" w:rsidRPr="00BB406D" w:rsidRDefault="00AA4578">
    <w:pPr>
      <w:pStyle w:val="Header"/>
      <w:rPr>
        <w:lang w:val="fr-CH"/>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F3D68" w14:textId="77777777" w:rsidR="005061F5" w:rsidRPr="00364AE9" w:rsidRDefault="005061F5" w:rsidP="00EB048E">
    <w:pPr>
      <w:pStyle w:val="Header"/>
      <w:rPr>
        <w:rStyle w:val="PageNumber"/>
        <w:lang w:val="es-ES"/>
      </w:rPr>
    </w:pPr>
    <w:r w:rsidRPr="00364AE9">
      <w:rPr>
        <w:rStyle w:val="PageNumber"/>
        <w:lang w:val="es-ES"/>
      </w:rPr>
      <w:t>WG-HRV/7/2</w:t>
    </w:r>
  </w:p>
  <w:p w14:paraId="3883860A" w14:textId="51156811" w:rsidR="005061F5" w:rsidRPr="00364AE9" w:rsidRDefault="005061F5" w:rsidP="00EB048E">
    <w:pPr>
      <w:pStyle w:val="Header"/>
      <w:rPr>
        <w:lang w:val="es-ES"/>
      </w:rPr>
    </w:pPr>
    <w:r w:rsidRPr="00364AE9">
      <w:rPr>
        <w:lang w:val="es-ES"/>
      </w:rPr>
      <w:t xml:space="preserve">Anexo II, página </w:t>
    </w:r>
    <w:r w:rsidRPr="00C5280D">
      <w:rPr>
        <w:rStyle w:val="PageNumber"/>
        <w:lang w:val="en-US"/>
      </w:rPr>
      <w:fldChar w:fldCharType="begin"/>
    </w:r>
    <w:r w:rsidRPr="00364AE9">
      <w:rPr>
        <w:rStyle w:val="PageNumber"/>
        <w:lang w:val="es-ES"/>
      </w:rPr>
      <w:instrText xml:space="preserve"> PAGE </w:instrText>
    </w:r>
    <w:r w:rsidRPr="00C5280D">
      <w:rPr>
        <w:rStyle w:val="PageNumber"/>
        <w:lang w:val="en-US"/>
      </w:rPr>
      <w:fldChar w:fldCharType="separate"/>
    </w:r>
    <w:r w:rsidRPr="00364AE9">
      <w:rPr>
        <w:rStyle w:val="PageNumber"/>
        <w:noProof/>
        <w:lang w:val="es-ES"/>
      </w:rPr>
      <w:t>2</w:t>
    </w:r>
    <w:r w:rsidRPr="00C5280D">
      <w:rPr>
        <w:rStyle w:val="PageNumber"/>
        <w:lang w:val="en-US"/>
      </w:rPr>
      <w:fldChar w:fldCharType="end"/>
    </w:r>
  </w:p>
  <w:p w14:paraId="28B9FD82" w14:textId="77777777" w:rsidR="005061F5" w:rsidRPr="00364AE9" w:rsidRDefault="005061F5" w:rsidP="006655D3">
    <w:pPr>
      <w:rPr>
        <w:lang w:val="es-E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90538" w14:textId="77777777" w:rsidR="005061F5" w:rsidRDefault="005061F5" w:rsidP="00AA4578">
    <w:pPr>
      <w:pStyle w:val="Header"/>
      <w:rPr>
        <w:lang w:val="fr-CH"/>
      </w:rPr>
    </w:pPr>
    <w:r>
      <w:rPr>
        <w:lang w:val="fr-CH"/>
      </w:rPr>
      <w:t>WG-HRV/7/2</w:t>
    </w:r>
  </w:p>
  <w:p w14:paraId="7F3DBBEC" w14:textId="77777777" w:rsidR="005061F5" w:rsidRDefault="005061F5" w:rsidP="00AA4578">
    <w:pPr>
      <w:pStyle w:val="Header"/>
      <w:rPr>
        <w:lang w:val="fr-CH"/>
      </w:rPr>
    </w:pPr>
  </w:p>
  <w:p w14:paraId="47220E74" w14:textId="5E7FD353" w:rsidR="005061F5" w:rsidRDefault="005061F5">
    <w:pPr>
      <w:pStyle w:val="Header"/>
      <w:rPr>
        <w:lang w:val="fr-CH"/>
      </w:rPr>
    </w:pPr>
    <w:r>
      <w:rPr>
        <w:lang w:val="fr-CH"/>
      </w:rPr>
      <w:t>ANEXO II</w:t>
    </w:r>
  </w:p>
  <w:p w14:paraId="30E41A63" w14:textId="77777777" w:rsidR="005061F5" w:rsidRPr="00BB406D" w:rsidRDefault="005061F5">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16144"/>
    <w:multiLevelType w:val="multilevel"/>
    <w:tmpl w:val="9026A9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F34DFF"/>
    <w:multiLevelType w:val="hybridMultilevel"/>
    <w:tmpl w:val="CE866B2E"/>
    <w:lvl w:ilvl="0" w:tplc="22BC0282">
      <w:start w:val="1"/>
      <w:numFmt w:val="decimal"/>
      <w:lvlText w:val="(%1)"/>
      <w:lvlJc w:val="left"/>
      <w:pPr>
        <w:ind w:left="215" w:hanging="333"/>
      </w:pPr>
      <w:rPr>
        <w:rFonts w:ascii="Times New Roman" w:eastAsia="Times New Roman" w:hAnsi="Times New Roman" w:cs="Times New Roman" w:hint="default"/>
        <w:b w:val="0"/>
        <w:bCs w:val="0"/>
        <w:i/>
        <w:iCs/>
        <w:w w:val="100"/>
        <w:sz w:val="24"/>
        <w:szCs w:val="24"/>
        <w:lang w:val="en-US" w:eastAsia="en-US" w:bidi="ar-SA"/>
      </w:rPr>
    </w:lvl>
    <w:lvl w:ilvl="1" w:tplc="8036025A">
      <w:start w:val="1"/>
      <w:numFmt w:val="lowerRoman"/>
      <w:lvlText w:val="(%2)"/>
      <w:lvlJc w:val="left"/>
      <w:pPr>
        <w:ind w:left="1209" w:hanging="287"/>
      </w:pPr>
      <w:rPr>
        <w:rFonts w:ascii="Times New Roman" w:eastAsia="Times New Roman" w:hAnsi="Times New Roman" w:cs="Times New Roman" w:hint="default"/>
        <w:b w:val="0"/>
        <w:bCs w:val="0"/>
        <w:i/>
        <w:iCs/>
        <w:spacing w:val="-1"/>
        <w:w w:val="100"/>
        <w:sz w:val="24"/>
        <w:szCs w:val="24"/>
        <w:lang w:val="en-US" w:eastAsia="en-US" w:bidi="ar-SA"/>
      </w:rPr>
    </w:lvl>
    <w:lvl w:ilvl="2" w:tplc="9A507036">
      <w:numFmt w:val="bullet"/>
      <w:lvlText w:val="•"/>
      <w:lvlJc w:val="left"/>
      <w:pPr>
        <w:ind w:left="2173" w:hanging="287"/>
      </w:pPr>
      <w:rPr>
        <w:rFonts w:hint="default"/>
        <w:lang w:val="en-US" w:eastAsia="en-US" w:bidi="ar-SA"/>
      </w:rPr>
    </w:lvl>
    <w:lvl w:ilvl="3" w:tplc="2FA67F96">
      <w:numFmt w:val="bullet"/>
      <w:lvlText w:val="•"/>
      <w:lvlJc w:val="left"/>
      <w:pPr>
        <w:ind w:left="3147" w:hanging="287"/>
      </w:pPr>
      <w:rPr>
        <w:rFonts w:hint="default"/>
        <w:lang w:val="en-US" w:eastAsia="en-US" w:bidi="ar-SA"/>
      </w:rPr>
    </w:lvl>
    <w:lvl w:ilvl="4" w:tplc="13E461CA">
      <w:numFmt w:val="bullet"/>
      <w:lvlText w:val="•"/>
      <w:lvlJc w:val="left"/>
      <w:pPr>
        <w:ind w:left="4121" w:hanging="287"/>
      </w:pPr>
      <w:rPr>
        <w:rFonts w:hint="default"/>
        <w:lang w:val="en-US" w:eastAsia="en-US" w:bidi="ar-SA"/>
      </w:rPr>
    </w:lvl>
    <w:lvl w:ilvl="5" w:tplc="F8E4EB92">
      <w:numFmt w:val="bullet"/>
      <w:lvlText w:val="•"/>
      <w:lvlJc w:val="left"/>
      <w:pPr>
        <w:ind w:left="5095" w:hanging="287"/>
      </w:pPr>
      <w:rPr>
        <w:rFonts w:hint="default"/>
        <w:lang w:val="en-US" w:eastAsia="en-US" w:bidi="ar-SA"/>
      </w:rPr>
    </w:lvl>
    <w:lvl w:ilvl="6" w:tplc="E3BADAC2">
      <w:numFmt w:val="bullet"/>
      <w:lvlText w:val="•"/>
      <w:lvlJc w:val="left"/>
      <w:pPr>
        <w:ind w:left="6068" w:hanging="287"/>
      </w:pPr>
      <w:rPr>
        <w:rFonts w:hint="default"/>
        <w:lang w:val="en-US" w:eastAsia="en-US" w:bidi="ar-SA"/>
      </w:rPr>
    </w:lvl>
    <w:lvl w:ilvl="7" w:tplc="DFDA5844">
      <w:numFmt w:val="bullet"/>
      <w:lvlText w:val="•"/>
      <w:lvlJc w:val="left"/>
      <w:pPr>
        <w:ind w:left="7042" w:hanging="287"/>
      </w:pPr>
      <w:rPr>
        <w:rFonts w:hint="default"/>
        <w:lang w:val="en-US" w:eastAsia="en-US" w:bidi="ar-SA"/>
      </w:rPr>
    </w:lvl>
    <w:lvl w:ilvl="8" w:tplc="A5ECC52E">
      <w:numFmt w:val="bullet"/>
      <w:lvlText w:val="•"/>
      <w:lvlJc w:val="left"/>
      <w:pPr>
        <w:ind w:left="8016" w:hanging="287"/>
      </w:pPr>
      <w:rPr>
        <w:rFonts w:hint="default"/>
        <w:lang w:val="en-US" w:eastAsia="en-US" w:bidi="ar-SA"/>
      </w:rPr>
    </w:lvl>
  </w:abstractNum>
  <w:abstractNum w:abstractNumId="2" w15:restartNumberingAfterBreak="0">
    <w:nsid w:val="1BB933EF"/>
    <w:multiLevelType w:val="hybridMultilevel"/>
    <w:tmpl w:val="2944944C"/>
    <w:lvl w:ilvl="0" w:tplc="B846D3A4">
      <w:start w:val="1"/>
      <w:numFmt w:val="decimal"/>
      <w:lvlText w:val="%1)"/>
      <w:lvlJc w:val="left"/>
      <w:pPr>
        <w:ind w:left="825" w:hanging="360"/>
      </w:pPr>
      <w:rPr>
        <w:rFonts w:ascii="Times New Roman" w:eastAsia="Times New Roman" w:hAnsi="Times New Roman" w:cs="Times New Roman" w:hint="default"/>
        <w:b/>
        <w:bCs/>
        <w:i w:val="0"/>
        <w:iCs w:val="0"/>
        <w:w w:val="100"/>
        <w:sz w:val="24"/>
        <w:szCs w:val="24"/>
        <w:lang w:val="en-US" w:eastAsia="en-US" w:bidi="ar-SA"/>
      </w:rPr>
    </w:lvl>
    <w:lvl w:ilvl="1" w:tplc="D0CCAF92">
      <w:numFmt w:val="bullet"/>
      <w:lvlText w:val="•"/>
      <w:lvlJc w:val="left"/>
      <w:pPr>
        <w:ind w:left="1710" w:hanging="360"/>
      </w:pPr>
      <w:rPr>
        <w:rFonts w:hint="default"/>
        <w:lang w:val="en-US" w:eastAsia="en-US" w:bidi="ar-SA"/>
      </w:rPr>
    </w:lvl>
    <w:lvl w:ilvl="2" w:tplc="1B781C3A">
      <w:numFmt w:val="bullet"/>
      <w:lvlText w:val="•"/>
      <w:lvlJc w:val="left"/>
      <w:pPr>
        <w:ind w:left="2600" w:hanging="360"/>
      </w:pPr>
      <w:rPr>
        <w:rFonts w:hint="default"/>
        <w:lang w:val="en-US" w:eastAsia="en-US" w:bidi="ar-SA"/>
      </w:rPr>
    </w:lvl>
    <w:lvl w:ilvl="3" w:tplc="22EE856C">
      <w:numFmt w:val="bullet"/>
      <w:lvlText w:val="•"/>
      <w:lvlJc w:val="left"/>
      <w:pPr>
        <w:ind w:left="3491" w:hanging="360"/>
      </w:pPr>
      <w:rPr>
        <w:rFonts w:hint="default"/>
        <w:lang w:val="en-US" w:eastAsia="en-US" w:bidi="ar-SA"/>
      </w:rPr>
    </w:lvl>
    <w:lvl w:ilvl="4" w:tplc="F740FE84">
      <w:numFmt w:val="bullet"/>
      <w:lvlText w:val="•"/>
      <w:lvlJc w:val="left"/>
      <w:pPr>
        <w:ind w:left="4381" w:hanging="360"/>
      </w:pPr>
      <w:rPr>
        <w:rFonts w:hint="default"/>
        <w:lang w:val="en-US" w:eastAsia="en-US" w:bidi="ar-SA"/>
      </w:rPr>
    </w:lvl>
    <w:lvl w:ilvl="5" w:tplc="C35C5896">
      <w:numFmt w:val="bullet"/>
      <w:lvlText w:val="•"/>
      <w:lvlJc w:val="left"/>
      <w:pPr>
        <w:ind w:left="5272" w:hanging="360"/>
      </w:pPr>
      <w:rPr>
        <w:rFonts w:hint="default"/>
        <w:lang w:val="en-US" w:eastAsia="en-US" w:bidi="ar-SA"/>
      </w:rPr>
    </w:lvl>
    <w:lvl w:ilvl="6" w:tplc="FC7CBF24">
      <w:numFmt w:val="bullet"/>
      <w:lvlText w:val="•"/>
      <w:lvlJc w:val="left"/>
      <w:pPr>
        <w:ind w:left="6162" w:hanging="360"/>
      </w:pPr>
      <w:rPr>
        <w:rFonts w:hint="default"/>
        <w:lang w:val="en-US" w:eastAsia="en-US" w:bidi="ar-SA"/>
      </w:rPr>
    </w:lvl>
    <w:lvl w:ilvl="7" w:tplc="573AB2FC">
      <w:numFmt w:val="bullet"/>
      <w:lvlText w:val="•"/>
      <w:lvlJc w:val="left"/>
      <w:pPr>
        <w:ind w:left="7053" w:hanging="360"/>
      </w:pPr>
      <w:rPr>
        <w:rFonts w:hint="default"/>
        <w:lang w:val="en-US" w:eastAsia="en-US" w:bidi="ar-SA"/>
      </w:rPr>
    </w:lvl>
    <w:lvl w:ilvl="8" w:tplc="E6665760">
      <w:numFmt w:val="bullet"/>
      <w:lvlText w:val="•"/>
      <w:lvlJc w:val="left"/>
      <w:pPr>
        <w:ind w:left="7943" w:hanging="360"/>
      </w:pPr>
      <w:rPr>
        <w:rFonts w:hint="default"/>
        <w:lang w:val="en-US" w:eastAsia="en-US" w:bidi="ar-SA"/>
      </w:rPr>
    </w:lvl>
  </w:abstractNum>
  <w:abstractNum w:abstractNumId="3" w15:restartNumberingAfterBreak="0">
    <w:nsid w:val="1FEE2ED6"/>
    <w:multiLevelType w:val="hybridMultilevel"/>
    <w:tmpl w:val="EC4E15A6"/>
    <w:lvl w:ilvl="0" w:tplc="C018FB58">
      <w:start w:val="1"/>
      <w:numFmt w:val="decimal"/>
      <w:lvlText w:val="(%1)"/>
      <w:lvlJc w:val="left"/>
      <w:pPr>
        <w:ind w:left="215" w:hanging="334"/>
      </w:pPr>
      <w:rPr>
        <w:rFonts w:ascii="Times New Roman" w:eastAsia="Times New Roman" w:hAnsi="Times New Roman" w:cs="Times New Roman" w:hint="default"/>
        <w:b w:val="0"/>
        <w:bCs w:val="0"/>
        <w:i/>
        <w:iCs/>
        <w:w w:val="100"/>
        <w:sz w:val="24"/>
        <w:szCs w:val="24"/>
        <w:lang w:val="en-US" w:eastAsia="en-US" w:bidi="ar-SA"/>
      </w:rPr>
    </w:lvl>
    <w:lvl w:ilvl="1" w:tplc="10F268B8">
      <w:numFmt w:val="bullet"/>
      <w:lvlText w:val="•"/>
      <w:lvlJc w:val="left"/>
      <w:pPr>
        <w:ind w:left="1194" w:hanging="334"/>
      </w:pPr>
      <w:rPr>
        <w:rFonts w:hint="default"/>
        <w:lang w:val="en-US" w:eastAsia="en-US" w:bidi="ar-SA"/>
      </w:rPr>
    </w:lvl>
    <w:lvl w:ilvl="2" w:tplc="E0C6C106">
      <w:numFmt w:val="bullet"/>
      <w:lvlText w:val="•"/>
      <w:lvlJc w:val="left"/>
      <w:pPr>
        <w:ind w:left="2168" w:hanging="334"/>
      </w:pPr>
      <w:rPr>
        <w:rFonts w:hint="default"/>
        <w:lang w:val="en-US" w:eastAsia="en-US" w:bidi="ar-SA"/>
      </w:rPr>
    </w:lvl>
    <w:lvl w:ilvl="3" w:tplc="92568786">
      <w:numFmt w:val="bullet"/>
      <w:lvlText w:val="•"/>
      <w:lvlJc w:val="left"/>
      <w:pPr>
        <w:ind w:left="3143" w:hanging="334"/>
      </w:pPr>
      <w:rPr>
        <w:rFonts w:hint="default"/>
        <w:lang w:val="en-US" w:eastAsia="en-US" w:bidi="ar-SA"/>
      </w:rPr>
    </w:lvl>
    <w:lvl w:ilvl="4" w:tplc="A19EC798">
      <w:numFmt w:val="bullet"/>
      <w:lvlText w:val="•"/>
      <w:lvlJc w:val="left"/>
      <w:pPr>
        <w:ind w:left="4117" w:hanging="334"/>
      </w:pPr>
      <w:rPr>
        <w:rFonts w:hint="default"/>
        <w:lang w:val="en-US" w:eastAsia="en-US" w:bidi="ar-SA"/>
      </w:rPr>
    </w:lvl>
    <w:lvl w:ilvl="5" w:tplc="996A0816">
      <w:numFmt w:val="bullet"/>
      <w:lvlText w:val="•"/>
      <w:lvlJc w:val="left"/>
      <w:pPr>
        <w:ind w:left="5092" w:hanging="334"/>
      </w:pPr>
      <w:rPr>
        <w:rFonts w:hint="default"/>
        <w:lang w:val="en-US" w:eastAsia="en-US" w:bidi="ar-SA"/>
      </w:rPr>
    </w:lvl>
    <w:lvl w:ilvl="6" w:tplc="9026A1C4">
      <w:numFmt w:val="bullet"/>
      <w:lvlText w:val="•"/>
      <w:lvlJc w:val="left"/>
      <w:pPr>
        <w:ind w:left="6066" w:hanging="334"/>
      </w:pPr>
      <w:rPr>
        <w:rFonts w:hint="default"/>
        <w:lang w:val="en-US" w:eastAsia="en-US" w:bidi="ar-SA"/>
      </w:rPr>
    </w:lvl>
    <w:lvl w:ilvl="7" w:tplc="7E563182">
      <w:numFmt w:val="bullet"/>
      <w:lvlText w:val="•"/>
      <w:lvlJc w:val="left"/>
      <w:pPr>
        <w:ind w:left="7040" w:hanging="334"/>
      </w:pPr>
      <w:rPr>
        <w:rFonts w:hint="default"/>
        <w:lang w:val="en-US" w:eastAsia="en-US" w:bidi="ar-SA"/>
      </w:rPr>
    </w:lvl>
    <w:lvl w:ilvl="8" w:tplc="C74C5BE4">
      <w:numFmt w:val="bullet"/>
      <w:lvlText w:val="•"/>
      <w:lvlJc w:val="left"/>
      <w:pPr>
        <w:ind w:left="8015" w:hanging="334"/>
      </w:pPr>
      <w:rPr>
        <w:rFonts w:hint="default"/>
        <w:lang w:val="en-US" w:eastAsia="en-US" w:bidi="ar-SA"/>
      </w:rPr>
    </w:lvl>
  </w:abstractNum>
  <w:abstractNum w:abstractNumId="4" w15:restartNumberingAfterBreak="0">
    <w:nsid w:val="22071E73"/>
    <w:multiLevelType w:val="hybridMultilevel"/>
    <w:tmpl w:val="9F98FC3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9217F4B"/>
    <w:multiLevelType w:val="hybridMultilevel"/>
    <w:tmpl w:val="4AE49D9A"/>
    <w:lvl w:ilvl="0" w:tplc="8544EAB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1C069C"/>
    <w:multiLevelType w:val="hybridMultilevel"/>
    <w:tmpl w:val="5C6E52CA"/>
    <w:lvl w:ilvl="0" w:tplc="94A8844C">
      <w:start w:val="1"/>
      <w:numFmt w:val="decimal"/>
      <w:lvlText w:val="%1."/>
      <w:lvlJc w:val="left"/>
      <w:pPr>
        <w:ind w:left="100" w:hanging="244"/>
      </w:pPr>
      <w:rPr>
        <w:rFonts w:ascii="Times New Roman" w:eastAsia="Times New Roman" w:hAnsi="Times New Roman" w:cs="Times New Roman" w:hint="default"/>
        <w:b w:val="0"/>
        <w:bCs w:val="0"/>
        <w:i/>
        <w:iCs/>
        <w:w w:val="100"/>
        <w:sz w:val="24"/>
        <w:szCs w:val="24"/>
        <w:lang w:val="en-US" w:eastAsia="en-US" w:bidi="ar-SA"/>
      </w:rPr>
    </w:lvl>
    <w:lvl w:ilvl="1" w:tplc="B6683C98">
      <w:start w:val="1"/>
      <w:numFmt w:val="lowerLetter"/>
      <w:lvlText w:val="(%2)"/>
      <w:lvlJc w:val="left"/>
      <w:pPr>
        <w:ind w:left="100" w:hanging="335"/>
      </w:pPr>
      <w:rPr>
        <w:rFonts w:ascii="Times New Roman" w:eastAsia="Times New Roman" w:hAnsi="Times New Roman" w:cs="Times New Roman" w:hint="default"/>
        <w:b w:val="0"/>
        <w:bCs w:val="0"/>
        <w:i/>
        <w:iCs/>
        <w:w w:val="100"/>
        <w:sz w:val="24"/>
        <w:szCs w:val="24"/>
        <w:lang w:val="en-US" w:eastAsia="en-US" w:bidi="ar-SA"/>
      </w:rPr>
    </w:lvl>
    <w:lvl w:ilvl="2" w:tplc="194E1474">
      <w:numFmt w:val="bullet"/>
      <w:lvlText w:val=""/>
      <w:lvlJc w:val="left"/>
      <w:pPr>
        <w:ind w:left="820" w:hanging="360"/>
      </w:pPr>
      <w:rPr>
        <w:rFonts w:ascii="Symbol" w:eastAsia="Symbol" w:hAnsi="Symbol" w:cs="Symbol" w:hint="default"/>
        <w:b w:val="0"/>
        <w:bCs w:val="0"/>
        <w:i w:val="0"/>
        <w:iCs w:val="0"/>
        <w:w w:val="100"/>
        <w:sz w:val="24"/>
        <w:szCs w:val="24"/>
        <w:lang w:val="en-US" w:eastAsia="en-US" w:bidi="ar-SA"/>
      </w:rPr>
    </w:lvl>
    <w:lvl w:ilvl="3" w:tplc="2D904B6C">
      <w:numFmt w:val="bullet"/>
      <w:lvlText w:val="•"/>
      <w:lvlJc w:val="left"/>
      <w:pPr>
        <w:ind w:left="1963" w:hanging="360"/>
      </w:pPr>
      <w:rPr>
        <w:rFonts w:hint="default"/>
        <w:lang w:val="en-US" w:eastAsia="en-US" w:bidi="ar-SA"/>
      </w:rPr>
    </w:lvl>
    <w:lvl w:ilvl="4" w:tplc="BD76F592">
      <w:numFmt w:val="bullet"/>
      <w:lvlText w:val="•"/>
      <w:lvlJc w:val="left"/>
      <w:pPr>
        <w:ind w:left="3106" w:hanging="360"/>
      </w:pPr>
      <w:rPr>
        <w:rFonts w:hint="default"/>
        <w:lang w:val="en-US" w:eastAsia="en-US" w:bidi="ar-SA"/>
      </w:rPr>
    </w:lvl>
    <w:lvl w:ilvl="5" w:tplc="9CF4C54E">
      <w:numFmt w:val="bullet"/>
      <w:lvlText w:val="•"/>
      <w:lvlJc w:val="left"/>
      <w:pPr>
        <w:ind w:left="4249" w:hanging="360"/>
      </w:pPr>
      <w:rPr>
        <w:rFonts w:hint="default"/>
        <w:lang w:val="en-US" w:eastAsia="en-US" w:bidi="ar-SA"/>
      </w:rPr>
    </w:lvl>
    <w:lvl w:ilvl="6" w:tplc="B7862D8C">
      <w:numFmt w:val="bullet"/>
      <w:lvlText w:val="•"/>
      <w:lvlJc w:val="left"/>
      <w:pPr>
        <w:ind w:left="5392" w:hanging="360"/>
      </w:pPr>
      <w:rPr>
        <w:rFonts w:hint="default"/>
        <w:lang w:val="en-US" w:eastAsia="en-US" w:bidi="ar-SA"/>
      </w:rPr>
    </w:lvl>
    <w:lvl w:ilvl="7" w:tplc="DB945AF8">
      <w:numFmt w:val="bullet"/>
      <w:lvlText w:val="•"/>
      <w:lvlJc w:val="left"/>
      <w:pPr>
        <w:ind w:left="6535" w:hanging="360"/>
      </w:pPr>
      <w:rPr>
        <w:rFonts w:hint="default"/>
        <w:lang w:val="en-US" w:eastAsia="en-US" w:bidi="ar-SA"/>
      </w:rPr>
    </w:lvl>
    <w:lvl w:ilvl="8" w:tplc="45D2EAAA">
      <w:numFmt w:val="bullet"/>
      <w:lvlText w:val="•"/>
      <w:lvlJc w:val="left"/>
      <w:pPr>
        <w:ind w:left="7678" w:hanging="360"/>
      </w:pPr>
      <w:rPr>
        <w:rFonts w:hint="default"/>
        <w:lang w:val="en-US" w:eastAsia="en-US" w:bidi="ar-SA"/>
      </w:rPr>
    </w:lvl>
  </w:abstractNum>
  <w:abstractNum w:abstractNumId="7" w15:restartNumberingAfterBreak="0">
    <w:nsid w:val="36AB77EA"/>
    <w:multiLevelType w:val="hybridMultilevel"/>
    <w:tmpl w:val="933608CC"/>
    <w:lvl w:ilvl="0" w:tplc="D7C07C5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614CCE"/>
    <w:multiLevelType w:val="hybridMultilevel"/>
    <w:tmpl w:val="79F8A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4307AF"/>
    <w:multiLevelType w:val="hybridMultilevel"/>
    <w:tmpl w:val="EDE85D2E"/>
    <w:lvl w:ilvl="0" w:tplc="7128A6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D463A5F"/>
    <w:multiLevelType w:val="hybridMultilevel"/>
    <w:tmpl w:val="40B612AA"/>
    <w:lvl w:ilvl="0" w:tplc="6A56C266">
      <w:start w:val="1"/>
      <w:numFmt w:val="decimal"/>
      <w:lvlText w:val="%1."/>
      <w:lvlJc w:val="left"/>
      <w:pPr>
        <w:ind w:left="340" w:hanging="240"/>
      </w:pPr>
      <w:rPr>
        <w:rFonts w:ascii="Times New Roman" w:eastAsia="Times New Roman" w:hAnsi="Times New Roman" w:cs="Times New Roman" w:hint="default"/>
        <w:b w:val="0"/>
        <w:bCs w:val="0"/>
        <w:i w:val="0"/>
        <w:iCs w:val="0"/>
        <w:w w:val="100"/>
        <w:sz w:val="24"/>
        <w:szCs w:val="24"/>
        <w:lang w:val="en-US" w:eastAsia="en-US" w:bidi="ar-SA"/>
      </w:rPr>
    </w:lvl>
    <w:lvl w:ilvl="1" w:tplc="53EE6340">
      <w:numFmt w:val="bullet"/>
      <w:lvlText w:val="•"/>
      <w:lvlJc w:val="left"/>
      <w:pPr>
        <w:ind w:left="1302" w:hanging="240"/>
      </w:pPr>
      <w:rPr>
        <w:rFonts w:hint="default"/>
        <w:lang w:val="en-US" w:eastAsia="en-US" w:bidi="ar-SA"/>
      </w:rPr>
    </w:lvl>
    <w:lvl w:ilvl="2" w:tplc="213A26BA">
      <w:numFmt w:val="bullet"/>
      <w:lvlText w:val="•"/>
      <w:lvlJc w:val="left"/>
      <w:pPr>
        <w:ind w:left="2264" w:hanging="240"/>
      </w:pPr>
      <w:rPr>
        <w:rFonts w:hint="default"/>
        <w:lang w:val="en-US" w:eastAsia="en-US" w:bidi="ar-SA"/>
      </w:rPr>
    </w:lvl>
    <w:lvl w:ilvl="3" w:tplc="F59057E6">
      <w:numFmt w:val="bullet"/>
      <w:lvlText w:val="•"/>
      <w:lvlJc w:val="left"/>
      <w:pPr>
        <w:ind w:left="3227" w:hanging="240"/>
      </w:pPr>
      <w:rPr>
        <w:rFonts w:hint="default"/>
        <w:lang w:val="en-US" w:eastAsia="en-US" w:bidi="ar-SA"/>
      </w:rPr>
    </w:lvl>
    <w:lvl w:ilvl="4" w:tplc="69207FBA">
      <w:numFmt w:val="bullet"/>
      <w:lvlText w:val="•"/>
      <w:lvlJc w:val="left"/>
      <w:pPr>
        <w:ind w:left="4189" w:hanging="240"/>
      </w:pPr>
      <w:rPr>
        <w:rFonts w:hint="default"/>
        <w:lang w:val="en-US" w:eastAsia="en-US" w:bidi="ar-SA"/>
      </w:rPr>
    </w:lvl>
    <w:lvl w:ilvl="5" w:tplc="A216C1F4">
      <w:numFmt w:val="bullet"/>
      <w:lvlText w:val="•"/>
      <w:lvlJc w:val="left"/>
      <w:pPr>
        <w:ind w:left="5152" w:hanging="240"/>
      </w:pPr>
      <w:rPr>
        <w:rFonts w:hint="default"/>
        <w:lang w:val="en-US" w:eastAsia="en-US" w:bidi="ar-SA"/>
      </w:rPr>
    </w:lvl>
    <w:lvl w:ilvl="6" w:tplc="4114EE14">
      <w:numFmt w:val="bullet"/>
      <w:lvlText w:val="•"/>
      <w:lvlJc w:val="left"/>
      <w:pPr>
        <w:ind w:left="6114" w:hanging="240"/>
      </w:pPr>
      <w:rPr>
        <w:rFonts w:hint="default"/>
        <w:lang w:val="en-US" w:eastAsia="en-US" w:bidi="ar-SA"/>
      </w:rPr>
    </w:lvl>
    <w:lvl w:ilvl="7" w:tplc="F9DE7EF0">
      <w:numFmt w:val="bullet"/>
      <w:lvlText w:val="•"/>
      <w:lvlJc w:val="left"/>
      <w:pPr>
        <w:ind w:left="7076" w:hanging="240"/>
      </w:pPr>
      <w:rPr>
        <w:rFonts w:hint="default"/>
        <w:lang w:val="en-US" w:eastAsia="en-US" w:bidi="ar-SA"/>
      </w:rPr>
    </w:lvl>
    <w:lvl w:ilvl="8" w:tplc="33D02B5E">
      <w:numFmt w:val="bullet"/>
      <w:lvlText w:val="•"/>
      <w:lvlJc w:val="left"/>
      <w:pPr>
        <w:ind w:left="8039" w:hanging="240"/>
      </w:pPr>
      <w:rPr>
        <w:rFonts w:hint="default"/>
        <w:lang w:val="en-US" w:eastAsia="en-US" w:bidi="ar-SA"/>
      </w:rPr>
    </w:lvl>
  </w:abstractNum>
  <w:num w:numId="1" w16cid:durableId="1266840229">
    <w:abstractNumId w:val="10"/>
  </w:num>
  <w:num w:numId="2" w16cid:durableId="1999648132">
    <w:abstractNumId w:val="6"/>
  </w:num>
  <w:num w:numId="3" w16cid:durableId="1831365791">
    <w:abstractNumId w:val="3"/>
  </w:num>
  <w:num w:numId="4" w16cid:durableId="115174338">
    <w:abstractNumId w:val="1"/>
  </w:num>
  <w:num w:numId="5" w16cid:durableId="2046101420">
    <w:abstractNumId w:val="2"/>
  </w:num>
  <w:num w:numId="6" w16cid:durableId="2031952031">
    <w:abstractNumId w:val="0"/>
  </w:num>
  <w:num w:numId="7" w16cid:durableId="769742828">
    <w:abstractNumId w:val="5"/>
  </w:num>
  <w:num w:numId="8" w16cid:durableId="151065038">
    <w:abstractNumId w:val="9"/>
  </w:num>
  <w:num w:numId="9" w16cid:durableId="1054500529">
    <w:abstractNumId w:val="8"/>
  </w:num>
  <w:num w:numId="10" w16cid:durableId="1791245238">
    <w:abstractNumId w:val="7"/>
  </w:num>
  <w:num w:numId="11" w16cid:durableId="12977574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3A6"/>
    <w:rsid w:val="00010CF3"/>
    <w:rsid w:val="00011E27"/>
    <w:rsid w:val="000148BC"/>
    <w:rsid w:val="00024AB8"/>
    <w:rsid w:val="0003071A"/>
    <w:rsid w:val="00030854"/>
    <w:rsid w:val="00036028"/>
    <w:rsid w:val="0004198B"/>
    <w:rsid w:val="0004297B"/>
    <w:rsid w:val="00044642"/>
    <w:rsid w:val="000446B9"/>
    <w:rsid w:val="00047E21"/>
    <w:rsid w:val="00050E16"/>
    <w:rsid w:val="00085505"/>
    <w:rsid w:val="000A6BD5"/>
    <w:rsid w:val="000C4E25"/>
    <w:rsid w:val="000C7021"/>
    <w:rsid w:val="000D6BBC"/>
    <w:rsid w:val="000D7780"/>
    <w:rsid w:val="000D7E3A"/>
    <w:rsid w:val="000E636A"/>
    <w:rsid w:val="000F2E0D"/>
    <w:rsid w:val="000F2F11"/>
    <w:rsid w:val="00100A5F"/>
    <w:rsid w:val="00105929"/>
    <w:rsid w:val="00110BED"/>
    <w:rsid w:val="00110C36"/>
    <w:rsid w:val="001131D5"/>
    <w:rsid w:val="00114547"/>
    <w:rsid w:val="00141DB8"/>
    <w:rsid w:val="00172084"/>
    <w:rsid w:val="0017474A"/>
    <w:rsid w:val="001758C6"/>
    <w:rsid w:val="00182B99"/>
    <w:rsid w:val="001903A6"/>
    <w:rsid w:val="001A29AC"/>
    <w:rsid w:val="001B6B97"/>
    <w:rsid w:val="001C1525"/>
    <w:rsid w:val="001D5DC3"/>
    <w:rsid w:val="00212FB5"/>
    <w:rsid w:val="0021332C"/>
    <w:rsid w:val="00213982"/>
    <w:rsid w:val="00220DC0"/>
    <w:rsid w:val="0023616B"/>
    <w:rsid w:val="002370CE"/>
    <w:rsid w:val="0024416D"/>
    <w:rsid w:val="002456DE"/>
    <w:rsid w:val="00260EA2"/>
    <w:rsid w:val="00271335"/>
    <w:rsid w:val="00271911"/>
    <w:rsid w:val="00273187"/>
    <w:rsid w:val="002800A0"/>
    <w:rsid w:val="002801B3"/>
    <w:rsid w:val="00281060"/>
    <w:rsid w:val="00284050"/>
    <w:rsid w:val="00285BD0"/>
    <w:rsid w:val="002940E8"/>
    <w:rsid w:val="00294751"/>
    <w:rsid w:val="002A6E50"/>
    <w:rsid w:val="002B4298"/>
    <w:rsid w:val="002B7A36"/>
    <w:rsid w:val="002C256A"/>
    <w:rsid w:val="002D5226"/>
    <w:rsid w:val="003022C5"/>
    <w:rsid w:val="00305A7F"/>
    <w:rsid w:val="00306639"/>
    <w:rsid w:val="003152FE"/>
    <w:rsid w:val="00327436"/>
    <w:rsid w:val="00344BD6"/>
    <w:rsid w:val="0035528D"/>
    <w:rsid w:val="00361821"/>
    <w:rsid w:val="00361E9E"/>
    <w:rsid w:val="00364AE9"/>
    <w:rsid w:val="003753EE"/>
    <w:rsid w:val="003A0835"/>
    <w:rsid w:val="003A5AAF"/>
    <w:rsid w:val="003B700A"/>
    <w:rsid w:val="003C7FBE"/>
    <w:rsid w:val="003D227C"/>
    <w:rsid w:val="003D2B4D"/>
    <w:rsid w:val="003F2907"/>
    <w:rsid w:val="003F37F5"/>
    <w:rsid w:val="00444A88"/>
    <w:rsid w:val="00474DA4"/>
    <w:rsid w:val="00476B4D"/>
    <w:rsid w:val="004805FA"/>
    <w:rsid w:val="004935D2"/>
    <w:rsid w:val="00495081"/>
    <w:rsid w:val="004B1215"/>
    <w:rsid w:val="004B70E3"/>
    <w:rsid w:val="004D047D"/>
    <w:rsid w:val="004F087F"/>
    <w:rsid w:val="004F1E9E"/>
    <w:rsid w:val="004F305A"/>
    <w:rsid w:val="004F681D"/>
    <w:rsid w:val="005061F5"/>
    <w:rsid w:val="00512164"/>
    <w:rsid w:val="005171D2"/>
    <w:rsid w:val="00520297"/>
    <w:rsid w:val="00532395"/>
    <w:rsid w:val="005338F9"/>
    <w:rsid w:val="0054281C"/>
    <w:rsid w:val="00544581"/>
    <w:rsid w:val="005505D9"/>
    <w:rsid w:val="0055268D"/>
    <w:rsid w:val="00574D29"/>
    <w:rsid w:val="00575DE2"/>
    <w:rsid w:val="00576BE4"/>
    <w:rsid w:val="005779DB"/>
    <w:rsid w:val="005A2A67"/>
    <w:rsid w:val="005A400A"/>
    <w:rsid w:val="005B269D"/>
    <w:rsid w:val="005D13A6"/>
    <w:rsid w:val="005F7B92"/>
    <w:rsid w:val="00612379"/>
    <w:rsid w:val="006153B6"/>
    <w:rsid w:val="0061555F"/>
    <w:rsid w:val="006245ED"/>
    <w:rsid w:val="0062468E"/>
    <w:rsid w:val="00636CA6"/>
    <w:rsid w:val="00641200"/>
    <w:rsid w:val="00644B33"/>
    <w:rsid w:val="00645CA8"/>
    <w:rsid w:val="006655D3"/>
    <w:rsid w:val="00667404"/>
    <w:rsid w:val="00687EB4"/>
    <w:rsid w:val="006936BE"/>
    <w:rsid w:val="00695C56"/>
    <w:rsid w:val="006A5CDE"/>
    <w:rsid w:val="006A644A"/>
    <w:rsid w:val="006B0877"/>
    <w:rsid w:val="006B17D2"/>
    <w:rsid w:val="006C224E"/>
    <w:rsid w:val="006C37A8"/>
    <w:rsid w:val="006D780A"/>
    <w:rsid w:val="006F0A27"/>
    <w:rsid w:val="0071271E"/>
    <w:rsid w:val="00722595"/>
    <w:rsid w:val="00732DEC"/>
    <w:rsid w:val="0073565F"/>
    <w:rsid w:val="00735BD5"/>
    <w:rsid w:val="00741AEC"/>
    <w:rsid w:val="007451EC"/>
    <w:rsid w:val="00751613"/>
    <w:rsid w:val="00753EE9"/>
    <w:rsid w:val="007556F6"/>
    <w:rsid w:val="00760EEF"/>
    <w:rsid w:val="00777EE5"/>
    <w:rsid w:val="00784836"/>
    <w:rsid w:val="0079023E"/>
    <w:rsid w:val="007A2854"/>
    <w:rsid w:val="007C1D92"/>
    <w:rsid w:val="007C4CB9"/>
    <w:rsid w:val="007D0B9D"/>
    <w:rsid w:val="007D19B0"/>
    <w:rsid w:val="007F498F"/>
    <w:rsid w:val="0080679D"/>
    <w:rsid w:val="008108B0"/>
    <w:rsid w:val="00811B20"/>
    <w:rsid w:val="00812609"/>
    <w:rsid w:val="008211B5"/>
    <w:rsid w:val="0082296E"/>
    <w:rsid w:val="00824099"/>
    <w:rsid w:val="00846D7C"/>
    <w:rsid w:val="00867AC1"/>
    <w:rsid w:val="00871C26"/>
    <w:rsid w:val="008751DE"/>
    <w:rsid w:val="00886952"/>
    <w:rsid w:val="00890DF8"/>
    <w:rsid w:val="008A0ADE"/>
    <w:rsid w:val="008A743F"/>
    <w:rsid w:val="008C0970"/>
    <w:rsid w:val="008D0BC5"/>
    <w:rsid w:val="008D0F14"/>
    <w:rsid w:val="008D2CF7"/>
    <w:rsid w:val="00900C26"/>
    <w:rsid w:val="0090197F"/>
    <w:rsid w:val="00903264"/>
    <w:rsid w:val="00906DDC"/>
    <w:rsid w:val="00934E09"/>
    <w:rsid w:val="00936253"/>
    <w:rsid w:val="00940D46"/>
    <w:rsid w:val="009413F1"/>
    <w:rsid w:val="00952DD4"/>
    <w:rsid w:val="009561F4"/>
    <w:rsid w:val="00965AE7"/>
    <w:rsid w:val="00970FED"/>
    <w:rsid w:val="00992D82"/>
    <w:rsid w:val="00997029"/>
    <w:rsid w:val="009A087F"/>
    <w:rsid w:val="009A7339"/>
    <w:rsid w:val="009B440E"/>
    <w:rsid w:val="009C536A"/>
    <w:rsid w:val="009D690D"/>
    <w:rsid w:val="009E6486"/>
    <w:rsid w:val="009E65B6"/>
    <w:rsid w:val="009E7203"/>
    <w:rsid w:val="009F0A51"/>
    <w:rsid w:val="009F77CF"/>
    <w:rsid w:val="00A23463"/>
    <w:rsid w:val="00A234D4"/>
    <w:rsid w:val="00A24C10"/>
    <w:rsid w:val="00A370DC"/>
    <w:rsid w:val="00A42AC3"/>
    <w:rsid w:val="00A430CF"/>
    <w:rsid w:val="00A54309"/>
    <w:rsid w:val="00A610A9"/>
    <w:rsid w:val="00A614C3"/>
    <w:rsid w:val="00A73882"/>
    <w:rsid w:val="00A74721"/>
    <w:rsid w:val="00A809B3"/>
    <w:rsid w:val="00A80F2A"/>
    <w:rsid w:val="00A96C33"/>
    <w:rsid w:val="00AA4578"/>
    <w:rsid w:val="00AB2B93"/>
    <w:rsid w:val="00AB3E3D"/>
    <w:rsid w:val="00AB530F"/>
    <w:rsid w:val="00AB7E5B"/>
    <w:rsid w:val="00AC2883"/>
    <w:rsid w:val="00AD0E66"/>
    <w:rsid w:val="00AE0EF1"/>
    <w:rsid w:val="00AE2937"/>
    <w:rsid w:val="00B07301"/>
    <w:rsid w:val="00B11F3E"/>
    <w:rsid w:val="00B224DE"/>
    <w:rsid w:val="00B324D4"/>
    <w:rsid w:val="00B46575"/>
    <w:rsid w:val="00B46AEE"/>
    <w:rsid w:val="00B47606"/>
    <w:rsid w:val="00B57BA9"/>
    <w:rsid w:val="00B61777"/>
    <w:rsid w:val="00B622E6"/>
    <w:rsid w:val="00B809C3"/>
    <w:rsid w:val="00B83E82"/>
    <w:rsid w:val="00B84BBD"/>
    <w:rsid w:val="00BA43FB"/>
    <w:rsid w:val="00BB406D"/>
    <w:rsid w:val="00BC127D"/>
    <w:rsid w:val="00BC1FE6"/>
    <w:rsid w:val="00BD37E7"/>
    <w:rsid w:val="00BE0A5B"/>
    <w:rsid w:val="00BF71D8"/>
    <w:rsid w:val="00C061B6"/>
    <w:rsid w:val="00C2446C"/>
    <w:rsid w:val="00C36AE5"/>
    <w:rsid w:val="00C41F17"/>
    <w:rsid w:val="00C527FA"/>
    <w:rsid w:val="00C5280D"/>
    <w:rsid w:val="00C53EB3"/>
    <w:rsid w:val="00C5791C"/>
    <w:rsid w:val="00C66290"/>
    <w:rsid w:val="00C67F85"/>
    <w:rsid w:val="00C72B7A"/>
    <w:rsid w:val="00C942B6"/>
    <w:rsid w:val="00C96D62"/>
    <w:rsid w:val="00C973F2"/>
    <w:rsid w:val="00CA304C"/>
    <w:rsid w:val="00CA774A"/>
    <w:rsid w:val="00CB4921"/>
    <w:rsid w:val="00CB7C6C"/>
    <w:rsid w:val="00CC11B0"/>
    <w:rsid w:val="00CC2841"/>
    <w:rsid w:val="00CD680A"/>
    <w:rsid w:val="00CF1330"/>
    <w:rsid w:val="00CF4BFF"/>
    <w:rsid w:val="00CF7E36"/>
    <w:rsid w:val="00D3708D"/>
    <w:rsid w:val="00D40426"/>
    <w:rsid w:val="00D503CD"/>
    <w:rsid w:val="00D57C96"/>
    <w:rsid w:val="00D57D18"/>
    <w:rsid w:val="00D643EC"/>
    <w:rsid w:val="00D70E65"/>
    <w:rsid w:val="00D7375B"/>
    <w:rsid w:val="00D91203"/>
    <w:rsid w:val="00D95174"/>
    <w:rsid w:val="00DA4973"/>
    <w:rsid w:val="00DA6F36"/>
    <w:rsid w:val="00DB596E"/>
    <w:rsid w:val="00DB7773"/>
    <w:rsid w:val="00DC00EA"/>
    <w:rsid w:val="00DC3802"/>
    <w:rsid w:val="00DD6208"/>
    <w:rsid w:val="00DF7E99"/>
    <w:rsid w:val="00E06AE0"/>
    <w:rsid w:val="00E07D87"/>
    <w:rsid w:val="00E14C45"/>
    <w:rsid w:val="00E249C8"/>
    <w:rsid w:val="00E32F7E"/>
    <w:rsid w:val="00E5267B"/>
    <w:rsid w:val="00E559F0"/>
    <w:rsid w:val="00E63C0E"/>
    <w:rsid w:val="00E72D49"/>
    <w:rsid w:val="00E7593C"/>
    <w:rsid w:val="00E7678A"/>
    <w:rsid w:val="00E935F1"/>
    <w:rsid w:val="00E94A81"/>
    <w:rsid w:val="00EA1FFB"/>
    <w:rsid w:val="00EA2A25"/>
    <w:rsid w:val="00EA5F73"/>
    <w:rsid w:val="00EA7C41"/>
    <w:rsid w:val="00EB048E"/>
    <w:rsid w:val="00EB4E9C"/>
    <w:rsid w:val="00EB5C4B"/>
    <w:rsid w:val="00EE34DF"/>
    <w:rsid w:val="00EF2F89"/>
    <w:rsid w:val="00F03E98"/>
    <w:rsid w:val="00F1237A"/>
    <w:rsid w:val="00F22CBD"/>
    <w:rsid w:val="00F272F1"/>
    <w:rsid w:val="00F31412"/>
    <w:rsid w:val="00F44BF1"/>
    <w:rsid w:val="00F45372"/>
    <w:rsid w:val="00F52AAE"/>
    <w:rsid w:val="00F560F7"/>
    <w:rsid w:val="00F5748F"/>
    <w:rsid w:val="00F6334D"/>
    <w:rsid w:val="00F63599"/>
    <w:rsid w:val="00F71781"/>
    <w:rsid w:val="00F9465F"/>
    <w:rsid w:val="00FA49AB"/>
    <w:rsid w:val="00FB43CA"/>
    <w:rsid w:val="00FC5FD0"/>
    <w:rsid w:val="00FE39C7"/>
    <w:rsid w:val="00FE5F16"/>
    <w:rsid w:val="00FF4D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225957"/>
  <w15:docId w15:val="{D293F7CD-E5AD-4419-85CF-23FAE65F8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link w:val="FooterChar"/>
    <w:autoRedefine/>
    <w:rsid w:val="00871C26"/>
    <w:pPr>
      <w:tabs>
        <w:tab w:val="left" w:leader="underscore" w:pos="2835"/>
      </w:tabs>
      <w:spacing w:before="120"/>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Revision">
    <w:name w:val="Revision"/>
    <w:hidden/>
    <w:uiPriority w:val="99"/>
    <w:semiHidden/>
    <w:rsid w:val="00220DC0"/>
    <w:rPr>
      <w:rFonts w:ascii="Arial" w:hAnsi="Arial"/>
    </w:rPr>
  </w:style>
  <w:style w:type="character" w:customStyle="1" w:styleId="FooterChar">
    <w:name w:val="Footer Char"/>
    <w:aliases w:val="doc_path_name Char"/>
    <w:basedOn w:val="DefaultParagraphFont"/>
    <w:link w:val="Footer"/>
    <w:rsid w:val="00871C26"/>
    <w:rPr>
      <w:rFonts w:ascii="Arial" w:hAnsi="Arial"/>
      <w:sz w:val="14"/>
    </w:rPr>
  </w:style>
  <w:style w:type="paragraph" w:styleId="ListParagraph">
    <w:name w:val="List Paragraph"/>
    <w:basedOn w:val="Normal"/>
    <w:uiPriority w:val="34"/>
    <w:qFormat/>
    <w:rsid w:val="005061F5"/>
    <w:pPr>
      <w:ind w:left="720"/>
      <w:contextualSpacing/>
    </w:pPr>
  </w:style>
  <w:style w:type="character" w:customStyle="1" w:styleId="Heading1Char">
    <w:name w:val="Heading 1 Char"/>
    <w:basedOn w:val="DefaultParagraphFont"/>
    <w:link w:val="Heading1"/>
    <w:rsid w:val="005061F5"/>
    <w:rPr>
      <w:rFonts w:ascii="Arial" w:hAnsi="Arial"/>
      <w:caps/>
    </w:rPr>
  </w:style>
  <w:style w:type="table" w:styleId="TableGrid">
    <w:name w:val="Table Grid"/>
    <w:basedOn w:val="TableNormal"/>
    <w:rsid w:val="005061F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6772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Ad%20hoc%20Working%20Groups\WG-HRV\WG-HRV_6_October_22_2024\templates\wg_hrv_6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1B79D-C0CD-49A8-938E-8CAB423A0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wg_hrv_6_EN.dotx</Template>
  <TotalTime>137</TotalTime>
  <Pages>9</Pages>
  <Words>2330</Words>
  <Characters>12186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WG-HRV/7/2</vt:lpstr>
    </vt:vector>
  </TitlesOfParts>
  <Company>UPOV</Company>
  <LinksUpToDate>false</LinksUpToDate>
  <CharactersWithSpaces>14488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WG-HRV/7/2</dc:title>
  <dc:creator>NICOLO Laurianne</dc:creator>
  <cp:keywords>, docId:428F986FD45F2687DBD098667403F0C5</cp:keywords>
  <cp:lastModifiedBy>NICOLO Laurianne</cp:lastModifiedBy>
  <cp:revision>22</cp:revision>
  <cp:lastPrinted>2016-11-22T15:41:00Z</cp:lastPrinted>
  <dcterms:created xsi:type="dcterms:W3CDTF">2025-02-20T09:24:00Z</dcterms:created>
  <dcterms:modified xsi:type="dcterms:W3CDTF">2025-03-11T15:02:00Z</dcterms:modified>
</cp:coreProperties>
</file>