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643F8" w14:paraId="3EECC2F6" w14:textId="77777777" w:rsidTr="00EB4E9C">
        <w:tc>
          <w:tcPr>
            <w:tcW w:w="6522" w:type="dxa"/>
          </w:tcPr>
          <w:p w14:paraId="5BD01F2E" w14:textId="77777777" w:rsidR="00DC3802" w:rsidRPr="00E643F8" w:rsidRDefault="00DC3802" w:rsidP="00AC2883">
            <w:r w:rsidRPr="00E643F8">
              <w:drawing>
                <wp:inline distT="0" distB="0" distL="0" distR="0" wp14:anchorId="77DD74BE" wp14:editId="05D4A10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A49090B" w14:textId="7F194694" w:rsidR="001D4474" w:rsidRPr="00E643F8" w:rsidRDefault="00777E6B">
            <w:pPr>
              <w:pStyle w:val="Lettrine"/>
            </w:pPr>
            <w:r w:rsidRPr="00E643F8">
              <w:t>S</w:t>
            </w:r>
          </w:p>
        </w:tc>
      </w:tr>
      <w:tr w:rsidR="00DC3802" w:rsidRPr="00E643F8" w14:paraId="7C826EB5" w14:textId="77777777" w:rsidTr="00645CA8">
        <w:trPr>
          <w:trHeight w:val="219"/>
        </w:trPr>
        <w:tc>
          <w:tcPr>
            <w:tcW w:w="6522" w:type="dxa"/>
          </w:tcPr>
          <w:p w14:paraId="1C003AA6" w14:textId="19C19246" w:rsidR="001D4474" w:rsidRPr="00E643F8" w:rsidRDefault="004D1F96">
            <w:pPr>
              <w:pStyle w:val="upove"/>
            </w:pPr>
            <w:r w:rsidRPr="00E643F8">
              <w:t>Unión Internacional para la Protección de las Obtenciones Vegetales</w:t>
            </w:r>
          </w:p>
        </w:tc>
        <w:tc>
          <w:tcPr>
            <w:tcW w:w="3117" w:type="dxa"/>
          </w:tcPr>
          <w:p w14:paraId="4FD6BFA1" w14:textId="77777777" w:rsidR="00DC3802" w:rsidRPr="00E643F8" w:rsidRDefault="00DC3802" w:rsidP="00DA4973"/>
        </w:tc>
      </w:tr>
    </w:tbl>
    <w:p w14:paraId="32DE132F" w14:textId="77777777" w:rsidR="00DC3802" w:rsidRPr="00E643F8" w:rsidRDefault="00DC3802" w:rsidP="00DC3802"/>
    <w:p w14:paraId="0C92CE9D" w14:textId="77777777" w:rsidR="0004297B" w:rsidRPr="00E643F8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E643F8" w14:paraId="2240C5F6" w14:textId="77777777" w:rsidTr="00EB56DD">
        <w:tc>
          <w:tcPr>
            <w:tcW w:w="6512" w:type="dxa"/>
          </w:tcPr>
          <w:p w14:paraId="770D1D05" w14:textId="244265F8" w:rsidR="001D4474" w:rsidRPr="00E643F8" w:rsidRDefault="00777E6B">
            <w:pPr>
              <w:pStyle w:val="Sessiontc"/>
              <w:spacing w:line="240" w:lineRule="auto"/>
            </w:pPr>
            <w:bookmarkStart w:id="0" w:name="_Hlk174002016"/>
            <w:r w:rsidRPr="00E643F8">
              <w:t xml:space="preserve">Grupo de trabajo sobre el producto de la cosecha y la utilización </w:t>
            </w:r>
            <w:r w:rsidRPr="00E643F8">
              <w:br/>
              <w:t>no autorizada de material de reproducción o de multiplicación</w:t>
            </w:r>
            <w:bookmarkEnd w:id="0"/>
          </w:p>
          <w:p w14:paraId="4D1F4DAA" w14:textId="77777777" w:rsidR="001D4474" w:rsidRPr="00E643F8" w:rsidRDefault="004D1F96">
            <w:pPr>
              <w:pStyle w:val="Sessiontcplacedate"/>
            </w:pPr>
            <w:r w:rsidRPr="00E643F8">
              <w:t xml:space="preserve">Sexta </w:t>
            </w:r>
            <w:r w:rsidR="00A73882" w:rsidRPr="00E643F8">
              <w:t>reunión</w:t>
            </w:r>
          </w:p>
          <w:p w14:paraId="44F34E8C" w14:textId="77777777" w:rsidR="001D4474" w:rsidRPr="00E643F8" w:rsidRDefault="004D1F96">
            <w:pPr>
              <w:pStyle w:val="Sessiontcplacedate"/>
              <w:rPr>
                <w:sz w:val="22"/>
              </w:rPr>
            </w:pPr>
            <w:r w:rsidRPr="00E643F8">
              <w:t xml:space="preserve">Ginebra, </w:t>
            </w:r>
            <w:r w:rsidR="00CD680A" w:rsidRPr="00E643F8">
              <w:t xml:space="preserve">22 de octubre </w:t>
            </w:r>
            <w:r w:rsidR="00644B33" w:rsidRPr="00E643F8">
              <w:t xml:space="preserve">de </w:t>
            </w:r>
            <w:r w:rsidR="009E7203" w:rsidRPr="00E643F8">
              <w:t>2024</w:t>
            </w:r>
          </w:p>
        </w:tc>
        <w:tc>
          <w:tcPr>
            <w:tcW w:w="3127" w:type="dxa"/>
          </w:tcPr>
          <w:p w14:paraId="451917E4" w14:textId="77777777" w:rsidR="001D4474" w:rsidRPr="00E643F8" w:rsidRDefault="00991E86">
            <w:pPr>
              <w:pStyle w:val="Doccode"/>
              <w:rPr>
                <w:lang w:val="es-ES_tradnl"/>
              </w:rPr>
            </w:pPr>
            <w:r w:rsidRPr="00E643F8">
              <w:rPr>
                <w:lang w:val="es-ES_tradnl"/>
              </w:rPr>
              <w:t>WG-HRV/6/2</w:t>
            </w:r>
          </w:p>
          <w:p w14:paraId="6EB66728" w14:textId="77777777" w:rsidR="0004297B" w:rsidRPr="00E643F8" w:rsidRDefault="0004297B" w:rsidP="00EB56DD">
            <w:pPr>
              <w:pStyle w:val="Doccode"/>
              <w:rPr>
                <w:lang w:val="es-ES_tradnl"/>
              </w:rPr>
            </w:pPr>
          </w:p>
          <w:p w14:paraId="66A067DC" w14:textId="77777777" w:rsidR="001D4474" w:rsidRPr="00E643F8" w:rsidRDefault="004D1F96">
            <w:pPr>
              <w:pStyle w:val="Docoriginal"/>
            </w:pPr>
            <w:r w:rsidRPr="00E643F8">
              <w:t>Original:</w:t>
            </w:r>
            <w:r w:rsidRPr="00E643F8">
              <w:rPr>
                <w:b w:val="0"/>
                <w:spacing w:val="0"/>
              </w:rPr>
              <w:t xml:space="preserve">  Inglés</w:t>
            </w:r>
          </w:p>
          <w:p w14:paraId="32BD465A" w14:textId="77777777" w:rsidR="001D4474" w:rsidRPr="00E643F8" w:rsidRDefault="004D1F96">
            <w:pPr>
              <w:pStyle w:val="Docoriginal"/>
            </w:pPr>
            <w:r w:rsidRPr="00E643F8">
              <w:t xml:space="preserve">Fecha:  </w:t>
            </w:r>
            <w:r w:rsidR="007B7881" w:rsidRPr="00E643F8">
              <w:rPr>
                <w:b w:val="0"/>
                <w:spacing w:val="0"/>
              </w:rPr>
              <w:t xml:space="preserve">6 de agosto </w:t>
            </w:r>
            <w:r w:rsidR="006F30A5" w:rsidRPr="00E643F8">
              <w:rPr>
                <w:b w:val="0"/>
                <w:spacing w:val="0"/>
              </w:rPr>
              <w:t>de 2024</w:t>
            </w:r>
          </w:p>
        </w:tc>
      </w:tr>
    </w:tbl>
    <w:p w14:paraId="29F72AFC" w14:textId="2D110F45" w:rsidR="001D4474" w:rsidRPr="00E643F8" w:rsidRDefault="006E2FA0">
      <w:pPr>
        <w:pStyle w:val="Titleofdoc0"/>
      </w:pPr>
      <w:r w:rsidRPr="00E643F8">
        <w:t>Posibilidades</w:t>
      </w:r>
      <w:r w:rsidR="004D1F96" w:rsidRPr="00E643F8">
        <w:t xml:space="preserve"> de encargar un estudio sobre el "Alcance del derecho de obtentor" y la relación con el "Agotamiento del derecho de obtentor"</w:t>
      </w:r>
    </w:p>
    <w:p w14:paraId="0A38DD5E" w14:textId="0C1E9C98" w:rsidR="001D4474" w:rsidRPr="00E643F8" w:rsidRDefault="004D1F96">
      <w:pPr>
        <w:pStyle w:val="preparedby1"/>
        <w:jc w:val="left"/>
      </w:pPr>
      <w:r w:rsidRPr="00E643F8">
        <w:t>Documento preparado por la Oficina de la Un</w:t>
      </w:r>
      <w:r w:rsidR="00777E6B" w:rsidRPr="00E643F8">
        <w:t>ió</w:t>
      </w:r>
      <w:r w:rsidRPr="00E643F8">
        <w:t>n</w:t>
      </w:r>
    </w:p>
    <w:p w14:paraId="42910E21" w14:textId="0C75F176" w:rsidR="001D4474" w:rsidRPr="00E643F8" w:rsidRDefault="004D1F96">
      <w:pPr>
        <w:pStyle w:val="Disclaimer"/>
        <w:rPr>
          <w:lang w:val="es-ES_tradnl"/>
        </w:rPr>
      </w:pPr>
      <w:r w:rsidRPr="00E643F8">
        <w:rPr>
          <w:lang w:val="es-ES_tradnl"/>
        </w:rPr>
        <w:t xml:space="preserve">Descargo de responsabilidad: el presente documento no constituye un documento de </w:t>
      </w:r>
      <w:r w:rsidR="00777E6B" w:rsidRPr="00E643F8">
        <w:rPr>
          <w:lang w:val="es-ES_tradnl"/>
        </w:rPr>
        <w:t>política</w:t>
      </w:r>
      <w:r w:rsidRPr="00E643F8">
        <w:rPr>
          <w:lang w:val="es-ES_tradnl"/>
        </w:rPr>
        <w:t xml:space="preserve"> u orientaci</w:t>
      </w:r>
      <w:r w:rsidR="00D4159F" w:rsidRPr="00E643F8">
        <w:rPr>
          <w:lang w:val="es-ES_tradnl"/>
        </w:rPr>
        <w:t>ó</w:t>
      </w:r>
      <w:r w:rsidRPr="00E643F8">
        <w:rPr>
          <w:lang w:val="es-ES_tradnl"/>
        </w:rPr>
        <w:t>n de la UPOV.</w:t>
      </w:r>
      <w:r w:rsidR="00D4159F" w:rsidRPr="00E643F8">
        <w:rPr>
          <w:lang w:val="es-ES_tradnl"/>
        </w:rPr>
        <w:br/>
      </w:r>
      <w:r w:rsidR="00777E6B" w:rsidRPr="00E643F8">
        <w:rPr>
          <w:lang w:val="es-ES_tradnl"/>
        </w:rPr>
        <w:br/>
        <w:t>Este documento se ha generado mediante traducción automática y no puede garantizarse su exactitud. Por lo tanto, el texto en el idioma original es la única versión auténtica.</w:t>
      </w:r>
    </w:p>
    <w:p w14:paraId="615B7B0F" w14:textId="77777777" w:rsidR="001D4474" w:rsidRPr="00E643F8" w:rsidRDefault="004D1F96" w:rsidP="00D4159F">
      <w:pPr>
        <w:pStyle w:val="Heading1"/>
        <w:rPr>
          <w:snapToGrid w:val="0"/>
          <w:lang w:val="es-ES_tradnl"/>
        </w:rPr>
      </w:pPr>
      <w:bookmarkStart w:id="1" w:name="_Toc172119332"/>
      <w:r w:rsidRPr="00E643F8">
        <w:rPr>
          <w:snapToGrid w:val="0"/>
          <w:lang w:val="es-ES_tradnl"/>
        </w:rPr>
        <w:t>RESUMEN</w:t>
      </w:r>
      <w:bookmarkEnd w:id="1"/>
    </w:p>
    <w:p w14:paraId="0D8CCC90" w14:textId="77777777" w:rsidR="006F30A5" w:rsidRPr="00E643F8" w:rsidRDefault="006F30A5" w:rsidP="006F30A5">
      <w:pPr>
        <w:rPr>
          <w:rFonts w:cs="Arial"/>
          <w:snapToGrid w:val="0"/>
          <w:sz w:val="16"/>
          <w:szCs w:val="16"/>
        </w:rPr>
      </w:pPr>
    </w:p>
    <w:p w14:paraId="6D90692E" w14:textId="10F63DAD" w:rsidR="001D4474" w:rsidRPr="00E643F8" w:rsidRDefault="004D1F96" w:rsidP="00777E6B">
      <w:pPr>
        <w:rPr>
          <w:rFonts w:cs="Arial"/>
        </w:rPr>
      </w:pPr>
      <w:r w:rsidRPr="00E643F8">
        <w:rPr>
          <w:rFonts w:cs="Arial"/>
        </w:rPr>
        <w:fldChar w:fldCharType="begin"/>
      </w:r>
      <w:r w:rsidRPr="00E643F8">
        <w:rPr>
          <w:rFonts w:cs="Arial"/>
        </w:rPr>
        <w:instrText xml:space="preserve"> AUTONUM  </w:instrText>
      </w:r>
      <w:r w:rsidRPr="00E643F8">
        <w:rPr>
          <w:rFonts w:cs="Arial"/>
        </w:rPr>
        <w:fldChar w:fldCharType="end"/>
      </w:r>
      <w:r w:rsidRPr="00E643F8">
        <w:rPr>
          <w:rFonts w:cs="Arial"/>
        </w:rPr>
        <w:tab/>
        <w:t xml:space="preserve">El presente documento tiene por objeto invitar al </w:t>
      </w:r>
      <w:r w:rsidR="00777E6B" w:rsidRPr="00E643F8">
        <w:rPr>
          <w:rFonts w:cs="Arial"/>
        </w:rPr>
        <w:t xml:space="preserve">Grupo de trabajo sobre el producto de la cosecha y la utilización no autorizada de material de reproducción o de multiplicación </w:t>
      </w:r>
      <w:r w:rsidRPr="00E643F8">
        <w:rPr>
          <w:rFonts w:cs="Arial"/>
        </w:rPr>
        <w:t>(WG-HRV) a examinar una propuesta de mandato para un estudio.</w:t>
      </w:r>
      <w:r w:rsidR="00777E6B" w:rsidRPr="00E643F8">
        <w:rPr>
          <w:rFonts w:cs="Arial"/>
        </w:rPr>
        <w:t xml:space="preserve"> </w:t>
      </w:r>
      <w:r w:rsidRPr="00E643F8">
        <w:rPr>
          <w:rFonts w:cs="Arial"/>
        </w:rPr>
        <w:t xml:space="preserve"> El estudio abordará aspectos sobre el </w:t>
      </w:r>
      <w:r w:rsidR="006E2FA0" w:rsidRPr="00E643F8">
        <w:rPr>
          <w:rFonts w:cs="Arial"/>
        </w:rPr>
        <w:t>alcance del derecho de obtentor y el agotamiento del derecho de obtentor</w:t>
      </w:r>
      <w:r w:rsidRPr="00E643F8">
        <w:rPr>
          <w:rFonts w:cs="Arial"/>
        </w:rPr>
        <w:t>.</w:t>
      </w:r>
    </w:p>
    <w:p w14:paraId="582004BE" w14:textId="77777777" w:rsidR="006F30A5" w:rsidRPr="00E643F8" w:rsidRDefault="006F30A5" w:rsidP="006F30A5">
      <w:pPr>
        <w:rPr>
          <w:rFonts w:cs="Arial"/>
        </w:rPr>
      </w:pPr>
    </w:p>
    <w:p w14:paraId="5F62D0C0" w14:textId="77777777" w:rsidR="001D4474" w:rsidRPr="00E643F8" w:rsidRDefault="004D1F96">
      <w:pPr>
        <w:rPr>
          <w:rFonts w:cs="Arial"/>
        </w:rPr>
      </w:pPr>
      <w:r w:rsidRPr="00E643F8">
        <w:rPr>
          <w:rFonts w:cs="Arial"/>
        </w:rPr>
        <w:fldChar w:fldCharType="begin"/>
      </w:r>
      <w:r w:rsidRPr="00E643F8">
        <w:rPr>
          <w:rFonts w:cs="Arial"/>
        </w:rPr>
        <w:instrText xml:space="preserve"> AUTONUM  </w:instrText>
      </w:r>
      <w:r w:rsidRPr="00E643F8">
        <w:rPr>
          <w:rFonts w:cs="Arial"/>
        </w:rPr>
        <w:fldChar w:fldCharType="end"/>
      </w:r>
      <w:r w:rsidRPr="00E643F8">
        <w:rPr>
          <w:rFonts w:cs="Arial"/>
        </w:rPr>
        <w:tab/>
        <w:t>La estructura de este documento es la siguiente:</w:t>
      </w:r>
    </w:p>
    <w:p w14:paraId="6CEF4CE2" w14:textId="77777777" w:rsidR="006F30A5" w:rsidRPr="00E643F8" w:rsidRDefault="006F30A5" w:rsidP="006E2FA0"/>
    <w:sdt>
      <w:sdtPr>
        <w:rPr>
          <w:rFonts w:cs="Arial"/>
          <w:sz w:val="18"/>
          <w:szCs w:val="18"/>
          <w:lang w:val="es-ES_tradnl"/>
        </w:rPr>
        <w:id w:val="-454788501"/>
        <w:docPartObj>
          <w:docPartGallery w:val="Table of Contents"/>
          <w:docPartUnique/>
        </w:docPartObj>
      </w:sdtPr>
      <w:sdtEndPr>
        <w:rPr>
          <w:caps w:val="0"/>
          <w:sz w:val="20"/>
          <w:highlight w:val="green"/>
        </w:rPr>
      </w:sdtEndPr>
      <w:sdtContent>
        <w:p w14:paraId="336572F6" w14:textId="77777777" w:rsidR="001D4474" w:rsidRPr="00E643F8" w:rsidRDefault="004D1F96" w:rsidP="006E2FA0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s-ES_tradnl" w:eastAsia="zh-TW"/>
              <w14:ligatures w14:val="standardContextual"/>
            </w:rPr>
          </w:pPr>
          <w:r w:rsidRPr="00E643F8">
            <w:rPr>
              <w:rFonts w:cs="Arial"/>
              <w:sz w:val="18"/>
              <w:szCs w:val="18"/>
              <w:lang w:val="es-ES_tradnl"/>
            </w:rPr>
            <w:fldChar w:fldCharType="begin"/>
          </w:r>
          <w:r w:rsidRPr="00E643F8">
            <w:rPr>
              <w:rFonts w:cs="Arial"/>
              <w:sz w:val="18"/>
              <w:szCs w:val="18"/>
              <w:lang w:val="es-ES_tradnl"/>
            </w:rPr>
            <w:instrText xml:space="preserve"> TOC \o "1-3" \h \z \u </w:instrText>
          </w:r>
          <w:r w:rsidRPr="00E643F8">
            <w:rPr>
              <w:rFonts w:cs="Arial"/>
              <w:sz w:val="18"/>
              <w:szCs w:val="18"/>
              <w:lang w:val="es-ES_tradnl"/>
            </w:rPr>
            <w:fldChar w:fldCharType="separate"/>
          </w:r>
          <w:hyperlink w:anchor="_Toc172119332" w:history="1">
            <w:r w:rsidR="00556863" w:rsidRPr="00E643F8">
              <w:rPr>
                <w:rStyle w:val="Hyperlink"/>
                <w:snapToGrid w:val="0"/>
                <w:lang w:val="es-ES_tradnl"/>
              </w:rPr>
              <w:t>RESUMEN</w:t>
            </w:r>
            <w:r w:rsidR="00556863" w:rsidRPr="00E643F8">
              <w:rPr>
                <w:webHidden/>
                <w:lang w:val="es-ES_tradnl"/>
              </w:rPr>
              <w:tab/>
            </w:r>
            <w:r w:rsidR="00556863" w:rsidRPr="00E643F8">
              <w:rPr>
                <w:webHidden/>
                <w:lang w:val="es-ES_tradnl"/>
              </w:rPr>
              <w:fldChar w:fldCharType="begin"/>
            </w:r>
            <w:r w:rsidR="00556863" w:rsidRPr="00E643F8">
              <w:rPr>
                <w:webHidden/>
                <w:lang w:val="es-ES_tradnl"/>
              </w:rPr>
              <w:instrText xml:space="preserve"> PAGEREF _Toc172119332 \h </w:instrText>
            </w:r>
            <w:r w:rsidR="00556863" w:rsidRPr="00E643F8">
              <w:rPr>
                <w:webHidden/>
                <w:lang w:val="es-ES_tradnl"/>
              </w:rPr>
            </w:r>
            <w:r w:rsidR="00556863" w:rsidRPr="00E643F8">
              <w:rPr>
                <w:webHidden/>
                <w:lang w:val="es-ES_tradnl"/>
              </w:rPr>
              <w:fldChar w:fldCharType="separate"/>
            </w:r>
            <w:r w:rsidR="00556863" w:rsidRPr="00E643F8">
              <w:rPr>
                <w:webHidden/>
                <w:lang w:val="es-ES_tradnl"/>
              </w:rPr>
              <w:t>1</w:t>
            </w:r>
            <w:r w:rsidR="00556863" w:rsidRPr="00E643F8">
              <w:rPr>
                <w:webHidden/>
                <w:lang w:val="es-ES_tradnl"/>
              </w:rPr>
              <w:fldChar w:fldCharType="end"/>
            </w:r>
          </w:hyperlink>
        </w:p>
        <w:p w14:paraId="55F820C1" w14:textId="77777777" w:rsidR="001D4474" w:rsidRPr="00E643F8" w:rsidRDefault="00F111A1" w:rsidP="006E2FA0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s-ES_tradnl" w:eastAsia="zh-TW"/>
              <w14:ligatures w14:val="standardContextual"/>
            </w:rPr>
          </w:pPr>
          <w:hyperlink w:anchor="_Toc172119333" w:history="1">
            <w:r w:rsidR="00556863" w:rsidRPr="00E643F8">
              <w:rPr>
                <w:rStyle w:val="Hyperlink"/>
                <w:lang w:val="es-ES_tradnl"/>
              </w:rPr>
              <w:t>ANTECEDENTES</w:t>
            </w:r>
            <w:r w:rsidR="00556863" w:rsidRPr="00E643F8">
              <w:rPr>
                <w:webHidden/>
                <w:lang w:val="es-ES_tradnl"/>
              </w:rPr>
              <w:tab/>
            </w:r>
            <w:r w:rsidR="00556863" w:rsidRPr="00E643F8">
              <w:rPr>
                <w:webHidden/>
                <w:lang w:val="es-ES_tradnl"/>
              </w:rPr>
              <w:fldChar w:fldCharType="begin"/>
            </w:r>
            <w:r w:rsidR="00556863" w:rsidRPr="00E643F8">
              <w:rPr>
                <w:webHidden/>
                <w:lang w:val="es-ES_tradnl"/>
              </w:rPr>
              <w:instrText xml:space="preserve"> PAGEREF _Toc172119333 \h </w:instrText>
            </w:r>
            <w:r w:rsidR="00556863" w:rsidRPr="00E643F8">
              <w:rPr>
                <w:webHidden/>
                <w:lang w:val="es-ES_tradnl"/>
              </w:rPr>
            </w:r>
            <w:r w:rsidR="00556863" w:rsidRPr="00E643F8">
              <w:rPr>
                <w:webHidden/>
                <w:lang w:val="es-ES_tradnl"/>
              </w:rPr>
              <w:fldChar w:fldCharType="separate"/>
            </w:r>
            <w:r w:rsidR="00556863" w:rsidRPr="00E643F8">
              <w:rPr>
                <w:webHidden/>
                <w:lang w:val="es-ES_tradnl"/>
              </w:rPr>
              <w:t>1</w:t>
            </w:r>
            <w:r w:rsidR="00556863" w:rsidRPr="00E643F8">
              <w:rPr>
                <w:webHidden/>
                <w:lang w:val="es-ES_tradnl"/>
              </w:rPr>
              <w:fldChar w:fldCharType="end"/>
            </w:r>
          </w:hyperlink>
        </w:p>
        <w:p w14:paraId="2B0D80B4" w14:textId="77777777" w:rsidR="001D4474" w:rsidRPr="00E643F8" w:rsidRDefault="00F111A1" w:rsidP="006E2FA0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val="es-ES_tradnl" w:eastAsia="zh-TW"/>
              <w14:ligatures w14:val="standardContextual"/>
            </w:rPr>
          </w:pPr>
          <w:hyperlink w:anchor="_Toc172119334" w:history="1">
            <w:r w:rsidR="00556863" w:rsidRPr="00E643F8">
              <w:rPr>
                <w:rStyle w:val="Hyperlink"/>
                <w:lang w:val="es-ES_tradnl"/>
              </w:rPr>
              <w:t>Reunión con los miembros del WG-HRV que hicieron propuestas en la quinta reunión sobre los autores y la financiación del estudio.</w:t>
            </w:r>
            <w:r w:rsidR="00556863" w:rsidRPr="00E643F8">
              <w:rPr>
                <w:webHidden/>
                <w:lang w:val="es-ES_tradnl"/>
              </w:rPr>
              <w:tab/>
            </w:r>
            <w:r w:rsidR="00556863" w:rsidRPr="00E643F8">
              <w:rPr>
                <w:webHidden/>
                <w:lang w:val="es-ES_tradnl"/>
              </w:rPr>
              <w:fldChar w:fldCharType="begin"/>
            </w:r>
            <w:r w:rsidR="00556863" w:rsidRPr="00E643F8">
              <w:rPr>
                <w:webHidden/>
                <w:lang w:val="es-ES_tradnl"/>
              </w:rPr>
              <w:instrText xml:space="preserve"> PAGEREF _Toc172119334 \h </w:instrText>
            </w:r>
            <w:r w:rsidR="00556863" w:rsidRPr="00E643F8">
              <w:rPr>
                <w:webHidden/>
                <w:lang w:val="es-ES_tradnl"/>
              </w:rPr>
            </w:r>
            <w:r w:rsidR="00556863" w:rsidRPr="00E643F8">
              <w:rPr>
                <w:webHidden/>
                <w:lang w:val="es-ES_tradnl"/>
              </w:rPr>
              <w:fldChar w:fldCharType="separate"/>
            </w:r>
            <w:r w:rsidR="00556863" w:rsidRPr="00E643F8">
              <w:rPr>
                <w:webHidden/>
                <w:lang w:val="es-ES_tradnl"/>
              </w:rPr>
              <w:t>2</w:t>
            </w:r>
            <w:r w:rsidR="00556863" w:rsidRPr="00E643F8">
              <w:rPr>
                <w:webHidden/>
                <w:lang w:val="es-ES_tradnl"/>
              </w:rPr>
              <w:fldChar w:fldCharType="end"/>
            </w:r>
          </w:hyperlink>
        </w:p>
        <w:p w14:paraId="400F4525" w14:textId="77777777" w:rsidR="001D4474" w:rsidRPr="00E643F8" w:rsidRDefault="004D1F96" w:rsidP="006E2FA0">
          <w:pPr>
            <w:spacing w:before="120"/>
            <w:ind w:left="1134" w:right="283" w:hanging="1134"/>
            <w:rPr>
              <w:rFonts w:cs="Arial"/>
            </w:rPr>
          </w:pPr>
          <w:r w:rsidRPr="00E643F8">
            <w:rPr>
              <w:rFonts w:cs="Arial"/>
              <w:caps/>
              <w:szCs w:val="18"/>
            </w:rPr>
            <w:fldChar w:fldCharType="end"/>
          </w:r>
          <w:r w:rsidRPr="00E643F8">
            <w:rPr>
              <w:rFonts w:cs="Arial"/>
            </w:rPr>
            <w:t>ANEXO</w:t>
          </w:r>
          <w:r w:rsidRPr="00E643F8">
            <w:rPr>
              <w:rFonts w:cs="Arial"/>
            </w:rPr>
            <w:tab/>
          </w:r>
          <w:r w:rsidR="00556863" w:rsidRPr="00E643F8">
            <w:rPr>
              <w:rFonts w:cs="Arial"/>
            </w:rPr>
            <w:t>PROYECTO DE MANDATO ACTUALIZADO DEL ESTUDIO SOBRE EL "ALCANCE DEL DERECHO DE OBTENTOR" Y LA RELACIÓN CON EL "AGOTAMIENTO DEL DERECHO DE OBTENTOR</w:t>
          </w:r>
        </w:p>
        <w:p w14:paraId="24DC686C" w14:textId="77777777" w:rsidR="006F30A5" w:rsidRPr="00E643F8" w:rsidRDefault="00F111A1" w:rsidP="006F30A5">
          <w:pPr>
            <w:spacing w:before="120"/>
            <w:ind w:left="1134" w:hanging="1134"/>
            <w:rPr>
              <w:rFonts w:cs="Arial"/>
            </w:rPr>
          </w:pPr>
        </w:p>
      </w:sdtContent>
    </w:sdt>
    <w:p w14:paraId="369EB1C1" w14:textId="77777777" w:rsidR="006F30A5" w:rsidRPr="00E643F8" w:rsidRDefault="006F30A5" w:rsidP="006F30A5">
      <w:pPr>
        <w:rPr>
          <w:rFonts w:cs="Arial"/>
          <w:highlight w:val="yellow"/>
        </w:rPr>
      </w:pPr>
    </w:p>
    <w:p w14:paraId="01160DA3" w14:textId="77777777" w:rsidR="001D4474" w:rsidRPr="00E643F8" w:rsidRDefault="004D1F96" w:rsidP="00D4159F">
      <w:pPr>
        <w:pStyle w:val="Heading1"/>
        <w:rPr>
          <w:lang w:val="es-ES_tradnl"/>
        </w:rPr>
      </w:pPr>
      <w:bookmarkStart w:id="2" w:name="_Toc172119333"/>
      <w:r w:rsidRPr="00E643F8">
        <w:rPr>
          <w:lang w:val="es-ES_tradnl"/>
        </w:rPr>
        <w:t>ANTECEDENTES</w:t>
      </w:r>
      <w:bookmarkEnd w:id="2"/>
    </w:p>
    <w:p w14:paraId="4615D57F" w14:textId="77777777" w:rsidR="006F30A5" w:rsidRPr="00E643F8" w:rsidRDefault="006F30A5" w:rsidP="006F30A5"/>
    <w:bookmarkStart w:id="3" w:name="_Hlk158800361"/>
    <w:p w14:paraId="4EAC3437" w14:textId="08B09E39" w:rsidR="001D4474" w:rsidRPr="00E643F8" w:rsidRDefault="004D1F96" w:rsidP="006E2FA0">
      <w:r w:rsidRPr="00E643F8">
        <w:rPr>
          <w:rFonts w:cs="Arial"/>
        </w:rPr>
        <w:fldChar w:fldCharType="begin"/>
      </w:r>
      <w:r w:rsidRPr="00E643F8">
        <w:rPr>
          <w:rFonts w:cs="Arial"/>
        </w:rPr>
        <w:instrText xml:space="preserve"> AUTONUM  </w:instrText>
      </w:r>
      <w:r w:rsidRPr="00E643F8">
        <w:rPr>
          <w:rFonts w:cs="Arial"/>
        </w:rPr>
        <w:fldChar w:fldCharType="end"/>
      </w:r>
      <w:r w:rsidRPr="00E643F8">
        <w:tab/>
        <w:t xml:space="preserve">El WG-HRV, </w:t>
      </w:r>
      <w:r w:rsidRPr="00E643F8">
        <w:rPr>
          <w:rFonts w:cs="Arial"/>
        </w:rPr>
        <w:t>durante su tercera reunión,</w:t>
      </w:r>
      <w:r w:rsidRPr="00E643F8">
        <w:rPr>
          <w:rStyle w:val="FootnoteReference"/>
          <w:rFonts w:cs="Arial"/>
        </w:rPr>
        <w:footnoteReference w:id="2"/>
      </w:r>
      <w:r w:rsidRPr="00E643F8">
        <w:t xml:space="preserve"> acordó organizar un estudio para contribuir a sus deliberaciones sobre el "Alcance del derecho de obtentor" en el artículo 14.1) y 2) del Acta de 1991, incluidas las nociones de "uso no autorizado" y "oportunidad razonable" y la relación con el "Agotamiento del derecho de obtentor" en el artículo 16 del Acta de 1991 (</w:t>
      </w:r>
      <w:r w:rsidR="006E2FA0" w:rsidRPr="00E643F8">
        <w:t xml:space="preserve">véase el documento </w:t>
      </w:r>
      <w:r w:rsidRPr="00E643F8">
        <w:t>WG-HRV/3/4</w:t>
      </w:r>
      <w:r w:rsidR="006E2FA0" w:rsidRPr="00E643F8">
        <w:t xml:space="preserve"> “Informe”</w:t>
      </w:r>
      <w:r w:rsidRPr="00E643F8">
        <w:t xml:space="preserve">, párrafo 11). </w:t>
      </w:r>
    </w:p>
    <w:p w14:paraId="3F5C076F" w14:textId="77777777" w:rsidR="006F30A5" w:rsidRPr="00E643F8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rFonts w:cs="Arial"/>
          <w:color w:val="000000"/>
        </w:rPr>
      </w:pPr>
    </w:p>
    <w:p w14:paraId="489604EA" w14:textId="31C7B6AA" w:rsidR="001D4474" w:rsidRPr="00E643F8" w:rsidRDefault="004D1F96" w:rsidP="006E2FA0">
      <w:pPr>
        <w:widowControl w:val="0"/>
        <w:autoSpaceDE w:val="0"/>
        <w:autoSpaceDN w:val="0"/>
        <w:ind w:right="113"/>
        <w:rPr>
          <w:color w:val="000000"/>
        </w:rPr>
      </w:pPr>
      <w:r w:rsidRPr="00E643F8">
        <w:rPr>
          <w:rFonts w:cs="Arial"/>
        </w:rPr>
        <w:fldChar w:fldCharType="begin"/>
      </w:r>
      <w:r w:rsidRPr="00E643F8">
        <w:rPr>
          <w:rFonts w:cs="Arial"/>
        </w:rPr>
        <w:instrText xml:space="preserve"> AUTONUM  </w:instrText>
      </w:r>
      <w:r w:rsidRPr="00E643F8">
        <w:rPr>
          <w:rFonts w:cs="Arial"/>
        </w:rPr>
        <w:fldChar w:fldCharType="end"/>
      </w:r>
      <w:r w:rsidRPr="00E643F8">
        <w:rPr>
          <w:rFonts w:cs="Arial"/>
        </w:rPr>
        <w:tab/>
      </w:r>
      <w:r w:rsidRPr="00E643F8">
        <w:rPr>
          <w:color w:val="000000"/>
        </w:rPr>
        <w:t>El WG-HRV acordó invitar a los miembros del WG-HRV a proponer temas y/o sugerir autores para dicho estudio (</w:t>
      </w:r>
      <w:r w:rsidR="006E2FA0" w:rsidRPr="00E643F8">
        <w:rPr>
          <w:color w:val="000000"/>
        </w:rPr>
        <w:t xml:space="preserve">véase el documento </w:t>
      </w:r>
      <w:r w:rsidRPr="00E643F8">
        <w:rPr>
          <w:color w:val="000000"/>
        </w:rPr>
        <w:t>WG-HRV/3/4</w:t>
      </w:r>
      <w:r w:rsidR="006E2FA0" w:rsidRPr="00E643F8">
        <w:t xml:space="preserve">“Informe”, </w:t>
      </w:r>
      <w:r w:rsidRPr="00E643F8">
        <w:rPr>
          <w:color w:val="000000"/>
        </w:rPr>
        <w:t>párrafo 17). En consecuencia, la Oficina de la</w:t>
      </w:r>
      <w:r w:rsidR="006E2FA0" w:rsidRPr="00E643F8">
        <w:rPr>
          <w:color w:val="000000"/>
        </w:rPr>
        <w:t> </w:t>
      </w:r>
      <w:r w:rsidRPr="00E643F8">
        <w:rPr>
          <w:color w:val="000000"/>
        </w:rPr>
        <w:t xml:space="preserve">Unión envió </w:t>
      </w:r>
      <w:r w:rsidR="006E2FA0" w:rsidRPr="00E643F8">
        <w:rPr>
          <w:color w:val="000000"/>
        </w:rPr>
        <w:t xml:space="preserve">la </w:t>
      </w:r>
      <w:r w:rsidRPr="00E643F8">
        <w:rPr>
          <w:rFonts w:cs="Arial"/>
        </w:rPr>
        <w:t>Circular E-23/071 de la UPOV.</w:t>
      </w:r>
    </w:p>
    <w:p w14:paraId="3E476BCF" w14:textId="77777777" w:rsidR="006F30A5" w:rsidRPr="00E643F8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color w:val="000000"/>
        </w:rPr>
      </w:pPr>
    </w:p>
    <w:p w14:paraId="7360C956" w14:textId="71ECB40B" w:rsidR="006F30A5" w:rsidRPr="00E643F8" w:rsidRDefault="004D1F96" w:rsidP="00D4159F">
      <w:pPr>
        <w:rPr>
          <w:rFonts w:cs="Arial"/>
        </w:rPr>
      </w:pPr>
      <w:r w:rsidRPr="00E643F8">
        <w:rPr>
          <w:rFonts w:cs="Arial"/>
        </w:rPr>
        <w:fldChar w:fldCharType="begin"/>
      </w:r>
      <w:r w:rsidRPr="00E643F8">
        <w:rPr>
          <w:rFonts w:cs="Arial"/>
        </w:rPr>
        <w:instrText xml:space="preserve"> AUTONUM  </w:instrText>
      </w:r>
      <w:r w:rsidRPr="00E643F8">
        <w:rPr>
          <w:rFonts w:cs="Arial"/>
        </w:rPr>
        <w:fldChar w:fldCharType="end"/>
      </w:r>
      <w:r w:rsidRPr="00E643F8">
        <w:rPr>
          <w:rFonts w:cs="Arial"/>
        </w:rPr>
        <w:tab/>
        <w:t>El WG-HRV tomó nota, durante su cuarta reunión,</w:t>
      </w:r>
      <w:r w:rsidRPr="00E643F8">
        <w:rPr>
          <w:rStyle w:val="FootnoteReference"/>
          <w:rFonts w:cs="Arial"/>
        </w:rPr>
        <w:footnoteReference w:id="3"/>
      </w:r>
      <w:r w:rsidRPr="00E643F8">
        <w:rPr>
          <w:rFonts w:cs="Arial"/>
        </w:rPr>
        <w:t xml:space="preserve"> de las respuestas a la Circular E-23/071 de la</w:t>
      </w:r>
      <w:r w:rsidR="00E643F8" w:rsidRPr="00E643F8">
        <w:rPr>
          <w:rFonts w:cs="Arial"/>
        </w:rPr>
        <w:t> </w:t>
      </w:r>
      <w:r w:rsidRPr="00E643F8">
        <w:rPr>
          <w:rFonts w:cs="Arial"/>
        </w:rPr>
        <w:t>UPOV, que figuran en los párrafos 9 y 10 y en el Anexo del documento WG-HRV/4/2.</w:t>
      </w:r>
    </w:p>
    <w:p w14:paraId="13B3EF71" w14:textId="77777777" w:rsidR="00D4159F" w:rsidRPr="00E643F8" w:rsidRDefault="00D4159F" w:rsidP="00D4159F">
      <w:pPr>
        <w:rPr>
          <w:rFonts w:cs="Arial"/>
        </w:rPr>
      </w:pPr>
    </w:p>
    <w:p w14:paraId="6318D0EA" w14:textId="2D3EB67B" w:rsidR="001D4474" w:rsidRPr="00E643F8" w:rsidRDefault="004D1F96" w:rsidP="00D4159F">
      <w:pPr>
        <w:rPr>
          <w:color w:val="262626"/>
        </w:rPr>
      </w:pPr>
      <w:r w:rsidRPr="00E643F8">
        <w:rPr>
          <w:rFonts w:cs="Arial"/>
        </w:rPr>
        <w:fldChar w:fldCharType="begin"/>
      </w:r>
      <w:r w:rsidRPr="00E643F8">
        <w:rPr>
          <w:rFonts w:cs="Arial"/>
        </w:rPr>
        <w:instrText xml:space="preserve"> AUTONUM  </w:instrText>
      </w:r>
      <w:r w:rsidRPr="00E643F8">
        <w:rPr>
          <w:rFonts w:cs="Arial"/>
        </w:rPr>
        <w:fldChar w:fldCharType="end"/>
      </w:r>
      <w:r w:rsidRPr="00E643F8">
        <w:rPr>
          <w:rFonts w:cs="Arial"/>
        </w:rPr>
        <w:tab/>
      </w:r>
      <w:r w:rsidRPr="00E643F8">
        <w:rPr>
          <w:color w:val="161616"/>
        </w:rPr>
        <w:t xml:space="preserve">El </w:t>
      </w:r>
      <w:r w:rsidRPr="00E643F8">
        <w:rPr>
          <w:color w:val="262626"/>
        </w:rPr>
        <w:t xml:space="preserve">WG-HRV acordó </w:t>
      </w:r>
      <w:r w:rsidRPr="00E643F8">
        <w:rPr>
          <w:color w:val="343434"/>
        </w:rPr>
        <w:t xml:space="preserve">que </w:t>
      </w:r>
      <w:r w:rsidRPr="00E643F8">
        <w:rPr>
          <w:color w:val="262626"/>
        </w:rPr>
        <w:t xml:space="preserve">la </w:t>
      </w:r>
      <w:r w:rsidRPr="00E643F8">
        <w:rPr>
          <w:color w:val="161616"/>
        </w:rPr>
        <w:t xml:space="preserve">Oficina </w:t>
      </w:r>
      <w:r w:rsidRPr="00E643F8">
        <w:rPr>
          <w:color w:val="262626"/>
        </w:rPr>
        <w:t xml:space="preserve">de </w:t>
      </w:r>
      <w:r w:rsidRPr="00E643F8">
        <w:rPr>
          <w:color w:val="161616"/>
        </w:rPr>
        <w:t xml:space="preserve">la Unión </w:t>
      </w:r>
      <w:r w:rsidRPr="00E643F8">
        <w:rPr>
          <w:color w:val="343434"/>
        </w:rPr>
        <w:t>consultaría a</w:t>
      </w:r>
      <w:r w:rsidR="00E643F8" w:rsidRPr="00E643F8">
        <w:rPr>
          <w:color w:val="343434"/>
        </w:rPr>
        <w:t xml:space="preserve"> l</w:t>
      </w:r>
      <w:r w:rsidRPr="00E643F8">
        <w:rPr>
          <w:color w:val="343434"/>
        </w:rPr>
        <w:t xml:space="preserve">os miembros del WG-HRV que proporcionaron respuestas a la Circular E-23/071 de la UPOV y </w:t>
      </w:r>
      <w:r w:rsidRPr="00E643F8">
        <w:rPr>
          <w:color w:val="262626"/>
        </w:rPr>
        <w:t xml:space="preserve">propondría </w:t>
      </w:r>
      <w:r w:rsidRPr="00E643F8">
        <w:rPr>
          <w:color w:val="161616"/>
        </w:rPr>
        <w:t xml:space="preserve">las </w:t>
      </w:r>
      <w:r w:rsidRPr="00E643F8">
        <w:rPr>
          <w:color w:val="262626"/>
        </w:rPr>
        <w:t xml:space="preserve">bases de un </w:t>
      </w:r>
      <w:r w:rsidRPr="00E643F8">
        <w:rPr>
          <w:color w:val="343434"/>
        </w:rPr>
        <w:t xml:space="preserve">estudio, </w:t>
      </w:r>
      <w:r w:rsidRPr="00E643F8">
        <w:rPr>
          <w:color w:val="161616"/>
        </w:rPr>
        <w:t xml:space="preserve">incluidos el </w:t>
      </w:r>
      <w:r w:rsidRPr="00E643F8">
        <w:rPr>
          <w:color w:val="262626"/>
        </w:rPr>
        <w:t>mandato</w:t>
      </w:r>
      <w:r w:rsidRPr="00E643F8">
        <w:rPr>
          <w:color w:val="161616"/>
        </w:rPr>
        <w:t xml:space="preserve">, el calendario </w:t>
      </w:r>
      <w:r w:rsidRPr="00E643F8">
        <w:rPr>
          <w:color w:val="343434"/>
        </w:rPr>
        <w:t xml:space="preserve">y los </w:t>
      </w:r>
      <w:r w:rsidRPr="00E643F8">
        <w:rPr>
          <w:color w:val="262626"/>
        </w:rPr>
        <w:t>autores</w:t>
      </w:r>
      <w:r w:rsidRPr="00E643F8">
        <w:rPr>
          <w:color w:val="505050"/>
        </w:rPr>
        <w:t xml:space="preserve">, </w:t>
      </w:r>
      <w:r w:rsidRPr="00E643F8">
        <w:rPr>
          <w:color w:val="262626"/>
        </w:rPr>
        <w:t xml:space="preserve">para su examen por el WG-HRV en </w:t>
      </w:r>
      <w:r w:rsidRPr="00E643F8">
        <w:rPr>
          <w:color w:val="161616"/>
        </w:rPr>
        <w:t xml:space="preserve">su </w:t>
      </w:r>
      <w:r w:rsidRPr="00E643F8">
        <w:rPr>
          <w:color w:val="262626"/>
        </w:rPr>
        <w:t xml:space="preserve">quinta reunión. </w:t>
      </w:r>
    </w:p>
    <w:p w14:paraId="6CB23695" w14:textId="334AFC93" w:rsidR="001D4474" w:rsidRPr="00E643F8" w:rsidRDefault="004D1F96" w:rsidP="00D4159F">
      <w:pPr>
        <w:rPr>
          <w:color w:val="262626"/>
        </w:rPr>
      </w:pPr>
      <w:r w:rsidRPr="00E643F8">
        <w:rPr>
          <w:rFonts w:cs="Arial"/>
        </w:rPr>
        <w:lastRenderedPageBreak/>
        <w:fldChar w:fldCharType="begin"/>
      </w:r>
      <w:r w:rsidRPr="00E643F8">
        <w:rPr>
          <w:rFonts w:cs="Arial"/>
        </w:rPr>
        <w:instrText xml:space="preserve"> AUTONUM  </w:instrText>
      </w:r>
      <w:r w:rsidRPr="00E643F8">
        <w:rPr>
          <w:rFonts w:cs="Arial"/>
        </w:rPr>
        <w:fldChar w:fldCharType="end"/>
      </w:r>
      <w:r w:rsidRPr="00E643F8">
        <w:rPr>
          <w:rFonts w:cs="Arial"/>
        </w:rPr>
        <w:tab/>
      </w:r>
      <w:r w:rsidRPr="00E643F8">
        <w:rPr>
          <w:color w:val="161616"/>
        </w:rPr>
        <w:t xml:space="preserve">El </w:t>
      </w:r>
      <w:r w:rsidRPr="00E643F8">
        <w:rPr>
          <w:color w:val="262626"/>
        </w:rPr>
        <w:t xml:space="preserve">WG-HRV </w:t>
      </w:r>
      <w:r w:rsidRPr="00E643F8">
        <w:rPr>
          <w:rFonts w:cs="Arial"/>
        </w:rPr>
        <w:t xml:space="preserve">acordó que </w:t>
      </w:r>
      <w:r w:rsidRPr="00E643F8">
        <w:rPr>
          <w:color w:val="262626"/>
        </w:rPr>
        <w:t xml:space="preserve">el estudio incluiría una primera parte con un análisis de </w:t>
      </w:r>
      <w:r w:rsidRPr="00E643F8">
        <w:rPr>
          <w:color w:val="161616"/>
        </w:rPr>
        <w:t xml:space="preserve">las intenciones </w:t>
      </w:r>
      <w:r w:rsidRPr="00E643F8">
        <w:rPr>
          <w:color w:val="262626"/>
        </w:rPr>
        <w:t xml:space="preserve">de los redactores </w:t>
      </w:r>
      <w:r w:rsidRPr="00E643F8">
        <w:rPr>
          <w:color w:val="161616"/>
        </w:rPr>
        <w:t xml:space="preserve">del Acta de 1991 del Convenio de la UPOV </w:t>
      </w:r>
      <w:r w:rsidRPr="00E643F8">
        <w:rPr>
          <w:color w:val="262626"/>
        </w:rPr>
        <w:t xml:space="preserve">en </w:t>
      </w:r>
      <w:r w:rsidRPr="00E643F8">
        <w:rPr>
          <w:color w:val="161616"/>
        </w:rPr>
        <w:t xml:space="preserve">relación con </w:t>
      </w:r>
      <w:r w:rsidRPr="00E643F8">
        <w:rPr>
          <w:color w:val="262626"/>
        </w:rPr>
        <w:t>el Artículo 14 y el Artículo 16 del Acta</w:t>
      </w:r>
      <w:r w:rsidR="00E643F8" w:rsidRPr="00E643F8">
        <w:rPr>
          <w:color w:val="262626"/>
        </w:rPr>
        <w:t> </w:t>
      </w:r>
      <w:r w:rsidRPr="00E643F8">
        <w:rPr>
          <w:color w:val="262626"/>
        </w:rPr>
        <w:t xml:space="preserve">de 1991, y una </w:t>
      </w:r>
      <w:r w:rsidRPr="00E643F8">
        <w:rPr>
          <w:color w:val="343434"/>
        </w:rPr>
        <w:t xml:space="preserve">segunda </w:t>
      </w:r>
      <w:r w:rsidRPr="00E643F8">
        <w:rPr>
          <w:color w:val="262626"/>
        </w:rPr>
        <w:t xml:space="preserve">parte, que </w:t>
      </w:r>
      <w:r w:rsidRPr="00E643F8">
        <w:rPr>
          <w:color w:val="161616"/>
        </w:rPr>
        <w:t xml:space="preserve">incluiría resúmenes </w:t>
      </w:r>
      <w:r w:rsidRPr="00E643F8">
        <w:rPr>
          <w:color w:val="343434"/>
        </w:rPr>
        <w:t>de casos judiciales de miembros de la UPOV vinculados por el Acta de 1991.</w:t>
      </w:r>
    </w:p>
    <w:p w14:paraId="0BE4E00D" w14:textId="77777777" w:rsidR="006F30A5" w:rsidRPr="00E643F8" w:rsidRDefault="006F30A5" w:rsidP="00D4159F">
      <w:pPr>
        <w:widowControl w:val="0"/>
        <w:tabs>
          <w:tab w:val="left" w:pos="762"/>
        </w:tabs>
        <w:autoSpaceDE w:val="0"/>
        <w:autoSpaceDN w:val="0"/>
        <w:ind w:right="113"/>
        <w:rPr>
          <w:color w:val="262626"/>
        </w:rPr>
      </w:pPr>
    </w:p>
    <w:p w14:paraId="6674182E" w14:textId="3C857B4C" w:rsidR="001D4474" w:rsidRPr="00E643F8" w:rsidRDefault="004D1F96" w:rsidP="00D4159F">
      <w:pPr>
        <w:rPr>
          <w:color w:val="262626"/>
        </w:rPr>
      </w:pPr>
      <w:r w:rsidRPr="00E643F8">
        <w:rPr>
          <w:color w:val="262626"/>
        </w:rPr>
        <w:fldChar w:fldCharType="begin"/>
      </w:r>
      <w:r w:rsidRPr="00E643F8">
        <w:rPr>
          <w:color w:val="262626"/>
        </w:rPr>
        <w:instrText xml:space="preserve"> AUTONUM  </w:instrText>
      </w:r>
      <w:r w:rsidRPr="00E643F8">
        <w:rPr>
          <w:color w:val="262626"/>
        </w:rPr>
        <w:fldChar w:fldCharType="end"/>
      </w:r>
      <w:r w:rsidRPr="00E643F8">
        <w:rPr>
          <w:color w:val="262626"/>
        </w:rPr>
        <w:tab/>
        <w:t>El WG-HRV, durante su quinta reunión</w:t>
      </w:r>
      <w:r w:rsidR="000F606D" w:rsidRPr="00E643F8">
        <w:rPr>
          <w:rStyle w:val="FootnoteReference"/>
          <w:color w:val="262626"/>
        </w:rPr>
        <w:footnoteReference w:id="4"/>
      </w:r>
      <w:r w:rsidR="00C45D29" w:rsidRPr="00E643F8">
        <w:rPr>
          <w:color w:val="262626"/>
        </w:rPr>
        <w:t>, debatió, en esencia, el apoyo al estudio y la financiación, el número y nombre de los autores y una propuesta de</w:t>
      </w:r>
      <w:r w:rsidR="00E643F8" w:rsidRPr="00E643F8">
        <w:rPr>
          <w:color w:val="262626"/>
        </w:rPr>
        <w:t>l</w:t>
      </w:r>
      <w:r w:rsidR="00C45D29" w:rsidRPr="00E643F8">
        <w:rPr>
          <w:color w:val="262626"/>
        </w:rPr>
        <w:t xml:space="preserve"> Japón de introducir dos casos ilustrativos como parte del ámbito del estudio. Se </w:t>
      </w:r>
      <w:r w:rsidRPr="00E643F8">
        <w:rPr>
          <w:color w:val="262626"/>
        </w:rPr>
        <w:t>acordó que la Oficina de la Unión convocaría una reunión virtual con los miembros del WG-HRV que habían hecho propuestas en la reunión sobre el número y los nombres de los autores y las cuestiones relativas a la financiación.</w:t>
      </w:r>
      <w:r w:rsidR="00C45D29" w:rsidRPr="00E643F8">
        <w:rPr>
          <w:color w:val="262626"/>
        </w:rPr>
        <w:t xml:space="preserve"> Por falta de tiempo, la propuesta de</w:t>
      </w:r>
      <w:r w:rsidR="00E643F8" w:rsidRPr="00E643F8">
        <w:rPr>
          <w:color w:val="262626"/>
        </w:rPr>
        <w:t>l</w:t>
      </w:r>
      <w:r w:rsidR="00C45D29" w:rsidRPr="00E643F8">
        <w:rPr>
          <w:color w:val="262626"/>
        </w:rPr>
        <w:t xml:space="preserve"> Japón sobre el alcance del estudio sólo se inició, pero no pudo finalizarse. </w:t>
      </w:r>
    </w:p>
    <w:p w14:paraId="709157AC" w14:textId="77777777" w:rsidR="006F30A5" w:rsidRPr="00E643F8" w:rsidRDefault="006F30A5" w:rsidP="00E643F8"/>
    <w:p w14:paraId="30150E56" w14:textId="77777777" w:rsidR="00D4159F" w:rsidRPr="00E643F8" w:rsidRDefault="00D4159F" w:rsidP="00E643F8"/>
    <w:p w14:paraId="12DD6343" w14:textId="67D7DD50" w:rsidR="001D4474" w:rsidRPr="00E643F8" w:rsidRDefault="004D1F96" w:rsidP="00D4159F">
      <w:pPr>
        <w:pStyle w:val="Heading1"/>
        <w:rPr>
          <w:lang w:val="es-ES_tradnl"/>
        </w:rPr>
      </w:pPr>
      <w:bookmarkStart w:id="4" w:name="_Toc172119334"/>
      <w:bookmarkEnd w:id="3"/>
      <w:r w:rsidRPr="00E643F8">
        <w:rPr>
          <w:lang w:val="es-ES_tradnl"/>
        </w:rPr>
        <w:t xml:space="preserve">Reunión </w:t>
      </w:r>
      <w:r w:rsidR="00E0569F" w:rsidRPr="00E643F8">
        <w:rPr>
          <w:lang w:val="es-ES_tradnl"/>
        </w:rPr>
        <w:t xml:space="preserve">con </w:t>
      </w:r>
      <w:r w:rsidRPr="00E643F8">
        <w:rPr>
          <w:lang w:val="es-ES_tradnl"/>
        </w:rPr>
        <w:t xml:space="preserve">los miembros del WG-HRV </w:t>
      </w:r>
      <w:r w:rsidR="00E0569F" w:rsidRPr="00E643F8">
        <w:rPr>
          <w:lang w:val="es-ES_tradnl"/>
        </w:rPr>
        <w:t>que hicieron propuestas en la quinta reunión sobre los autores y la financiación del estudio</w:t>
      </w:r>
      <w:bookmarkEnd w:id="4"/>
    </w:p>
    <w:p w14:paraId="5235CBE5" w14:textId="77777777" w:rsidR="00556863" w:rsidRPr="00E643F8" w:rsidRDefault="00556863" w:rsidP="00556863"/>
    <w:p w14:paraId="74DBDFC3" w14:textId="3709EF62" w:rsidR="001D4474" w:rsidRPr="00E643F8" w:rsidRDefault="004D1F96">
      <w:r w:rsidRPr="00E643F8">
        <w:fldChar w:fldCharType="begin"/>
      </w:r>
      <w:r w:rsidRPr="00E643F8">
        <w:instrText xml:space="preserve"> AUTONUM  </w:instrText>
      </w:r>
      <w:r w:rsidRPr="00E643F8">
        <w:fldChar w:fldCharType="end"/>
      </w:r>
      <w:r w:rsidRPr="00E643F8">
        <w:tab/>
        <w:t xml:space="preserve">Como se acordó en la quinta reunión, se invitó a </w:t>
      </w:r>
      <w:r w:rsidR="008773A7" w:rsidRPr="00E643F8">
        <w:t xml:space="preserve">una </w:t>
      </w:r>
      <w:r w:rsidRPr="00E643F8">
        <w:t>reunión virtual a los miembros del WG-HRV que hicieron comentarios y/o propuestas sobre los autores o consideraciones de financiación</w:t>
      </w:r>
      <w:r w:rsidR="00296CB7" w:rsidRPr="00E643F8">
        <w:t xml:space="preserve">. </w:t>
      </w:r>
      <w:r w:rsidR="00E0569F" w:rsidRPr="00E643F8">
        <w:t xml:space="preserve">La </w:t>
      </w:r>
      <w:r w:rsidR="008773A7" w:rsidRPr="00E643F8">
        <w:t xml:space="preserve">reunión tuvo lugar por medios virtuales el </w:t>
      </w:r>
      <w:r w:rsidR="00556863" w:rsidRPr="00E643F8">
        <w:t xml:space="preserve">22 de mayo de 2024, y </w:t>
      </w:r>
      <w:r w:rsidR="00E0569F" w:rsidRPr="00E643F8">
        <w:t xml:space="preserve">en ella participaron los siguientes miembros del </w:t>
      </w:r>
      <w:r w:rsidR="00E643F8" w:rsidRPr="00E643F8">
        <w:br/>
      </w:r>
      <w:r w:rsidR="00E0569F" w:rsidRPr="00E643F8">
        <w:t xml:space="preserve">WG-HRV: </w:t>
      </w:r>
      <w:r w:rsidR="00556863" w:rsidRPr="00E643F8">
        <w:t xml:space="preserve">Argentina, Australia, Brasil, Japón, </w:t>
      </w:r>
      <w:r w:rsidR="00E643F8" w:rsidRPr="00E643F8">
        <w:t xml:space="preserve">Unión Europea, </w:t>
      </w:r>
      <w:proofErr w:type="spellStart"/>
      <w:r w:rsidR="00777E6B" w:rsidRPr="00E643F8">
        <w:rPr>
          <w:i/>
          <w:iCs/>
        </w:rPr>
        <w:t>Association</w:t>
      </w:r>
      <w:proofErr w:type="spellEnd"/>
      <w:r w:rsidR="00777E6B" w:rsidRPr="00E643F8">
        <w:rPr>
          <w:i/>
          <w:iCs/>
        </w:rPr>
        <w:t xml:space="preserve"> </w:t>
      </w:r>
      <w:proofErr w:type="spellStart"/>
      <w:r w:rsidR="00777E6B" w:rsidRPr="00E643F8">
        <w:rPr>
          <w:i/>
          <w:iCs/>
        </w:rPr>
        <w:t>for</w:t>
      </w:r>
      <w:proofErr w:type="spellEnd"/>
      <w:r w:rsidR="00777E6B" w:rsidRPr="00E643F8">
        <w:rPr>
          <w:i/>
          <w:iCs/>
        </w:rPr>
        <w:t xml:space="preserve"> </w:t>
      </w:r>
      <w:proofErr w:type="spellStart"/>
      <w:r w:rsidR="00777E6B" w:rsidRPr="00E643F8">
        <w:rPr>
          <w:i/>
          <w:iCs/>
        </w:rPr>
        <w:t>Plant</w:t>
      </w:r>
      <w:proofErr w:type="spellEnd"/>
      <w:r w:rsidR="00777E6B" w:rsidRPr="00E643F8">
        <w:rPr>
          <w:i/>
          <w:iCs/>
        </w:rPr>
        <w:t xml:space="preserve"> </w:t>
      </w:r>
      <w:proofErr w:type="spellStart"/>
      <w:r w:rsidR="00777E6B" w:rsidRPr="00E643F8">
        <w:rPr>
          <w:i/>
          <w:iCs/>
        </w:rPr>
        <w:t>Breeding</w:t>
      </w:r>
      <w:proofErr w:type="spellEnd"/>
      <w:r w:rsidR="00777E6B" w:rsidRPr="00E643F8">
        <w:rPr>
          <w:i/>
          <w:iCs/>
        </w:rPr>
        <w:t xml:space="preserve"> </w:t>
      </w:r>
      <w:proofErr w:type="spellStart"/>
      <w:r w:rsidR="00777E6B" w:rsidRPr="00E643F8">
        <w:rPr>
          <w:i/>
          <w:iCs/>
        </w:rPr>
        <w:t>for</w:t>
      </w:r>
      <w:proofErr w:type="spellEnd"/>
      <w:r w:rsidR="00777E6B" w:rsidRPr="00E643F8">
        <w:rPr>
          <w:i/>
          <w:iCs/>
        </w:rPr>
        <w:t xml:space="preserve"> </w:t>
      </w:r>
      <w:proofErr w:type="spellStart"/>
      <w:r w:rsidR="00777E6B" w:rsidRPr="00E643F8">
        <w:rPr>
          <w:i/>
          <w:iCs/>
        </w:rPr>
        <w:t>the</w:t>
      </w:r>
      <w:proofErr w:type="spellEnd"/>
      <w:r w:rsidR="00777E6B" w:rsidRPr="00E643F8">
        <w:rPr>
          <w:i/>
          <w:iCs/>
        </w:rPr>
        <w:t xml:space="preserve"> Benefit of </w:t>
      </w:r>
      <w:proofErr w:type="spellStart"/>
      <w:r w:rsidR="00777E6B" w:rsidRPr="00E643F8">
        <w:rPr>
          <w:i/>
          <w:iCs/>
        </w:rPr>
        <w:t>Society</w:t>
      </w:r>
      <w:proofErr w:type="spellEnd"/>
      <w:r w:rsidR="00556863" w:rsidRPr="00E643F8">
        <w:t xml:space="preserve"> (APBREBES), Asociación Internacional de Productores Hortícolas (AIPH), Comunidad Internacional de </w:t>
      </w:r>
      <w:proofErr w:type="spellStart"/>
      <w:r w:rsidR="00556863" w:rsidRPr="00E643F8">
        <w:t>Fitomejoradores</w:t>
      </w:r>
      <w:proofErr w:type="spellEnd"/>
      <w:r w:rsidR="00556863" w:rsidRPr="00E643F8">
        <w:t xml:space="preserve"> de Plantas Hortícolas de Reproducción Asexuada (CIOPORA) </w:t>
      </w:r>
      <w:r w:rsidR="00E643F8" w:rsidRPr="00E643F8">
        <w:t>e</w:t>
      </w:r>
      <w:r w:rsidR="00556863" w:rsidRPr="00E643F8">
        <w:t xml:space="preserve"> </w:t>
      </w:r>
      <w:r w:rsidR="00556863" w:rsidRPr="00E643F8">
        <w:rPr>
          <w:i/>
          <w:iCs/>
        </w:rPr>
        <w:t xml:space="preserve">International </w:t>
      </w:r>
      <w:proofErr w:type="spellStart"/>
      <w:r w:rsidR="00556863" w:rsidRPr="00E643F8">
        <w:rPr>
          <w:i/>
          <w:iCs/>
        </w:rPr>
        <w:t>Seed</w:t>
      </w:r>
      <w:proofErr w:type="spellEnd"/>
      <w:r w:rsidR="00556863" w:rsidRPr="00E643F8">
        <w:rPr>
          <w:i/>
          <w:iCs/>
        </w:rPr>
        <w:t xml:space="preserve"> </w:t>
      </w:r>
      <w:proofErr w:type="spellStart"/>
      <w:r w:rsidR="00556863" w:rsidRPr="00E643F8">
        <w:rPr>
          <w:i/>
          <w:iCs/>
        </w:rPr>
        <w:t>Federation</w:t>
      </w:r>
      <w:proofErr w:type="spellEnd"/>
      <w:r w:rsidR="00556863" w:rsidRPr="00E643F8">
        <w:t xml:space="preserve"> (ISF). </w:t>
      </w:r>
    </w:p>
    <w:p w14:paraId="3224384C" w14:textId="77777777" w:rsidR="002E5189" w:rsidRPr="00E643F8" w:rsidRDefault="002E5189" w:rsidP="002E5189"/>
    <w:p w14:paraId="32908A36" w14:textId="6E3D7F40" w:rsidR="001D4474" w:rsidRPr="00E643F8" w:rsidRDefault="004D1F96">
      <w:r w:rsidRPr="00E643F8">
        <w:fldChar w:fldCharType="begin"/>
      </w:r>
      <w:r w:rsidRPr="00E643F8">
        <w:instrText xml:space="preserve"> AUTONUM  </w:instrText>
      </w:r>
      <w:r w:rsidRPr="00E643F8">
        <w:fldChar w:fldCharType="end"/>
      </w:r>
      <w:r w:rsidRPr="00E643F8">
        <w:tab/>
        <w:t>Los participantes en la reunión acordaron proponer los siguientes 5 autores para su consideración por el WG- HRV</w:t>
      </w:r>
      <w:r w:rsidR="00E643F8" w:rsidRPr="00E643F8">
        <w:t xml:space="preserve"> en su sexta reunión</w:t>
      </w:r>
      <w:r w:rsidRPr="00E643F8">
        <w:t xml:space="preserve"> en octubre </w:t>
      </w:r>
      <w:r w:rsidR="002117A1" w:rsidRPr="00E643F8">
        <w:t xml:space="preserve">de 2024 </w:t>
      </w:r>
      <w:r w:rsidR="00E0569F" w:rsidRPr="00E643F8">
        <w:t>(enumerados por orden alfabético)</w:t>
      </w:r>
      <w:r w:rsidRPr="00E643F8">
        <w:t>:</w:t>
      </w:r>
    </w:p>
    <w:p w14:paraId="6E1301D8" w14:textId="77777777" w:rsidR="002E5189" w:rsidRPr="00E643F8" w:rsidRDefault="002E5189" w:rsidP="002E5189"/>
    <w:p w14:paraId="6A3ABF91" w14:textId="0E015C9A" w:rsidR="001D4474" w:rsidRPr="00E643F8" w:rsidRDefault="004D1F96">
      <w:pPr>
        <w:pStyle w:val="ListParagraph"/>
        <w:numPr>
          <w:ilvl w:val="0"/>
          <w:numId w:val="3"/>
        </w:numPr>
        <w:ind w:left="1418"/>
      </w:pPr>
      <w:r w:rsidRPr="00E643F8">
        <w:t xml:space="preserve">Sr. </w:t>
      </w:r>
      <w:proofErr w:type="spellStart"/>
      <w:r w:rsidR="00E0569F" w:rsidRPr="00E643F8">
        <w:t>Huib</w:t>
      </w:r>
      <w:proofErr w:type="spellEnd"/>
      <w:r w:rsidR="00E0569F" w:rsidRPr="00E643F8">
        <w:t xml:space="preserve"> </w:t>
      </w:r>
      <w:proofErr w:type="spellStart"/>
      <w:r w:rsidRPr="00E643F8">
        <w:t>Ghijsen</w:t>
      </w:r>
      <w:proofErr w:type="spellEnd"/>
      <w:r w:rsidRPr="00E643F8">
        <w:t xml:space="preserve"> (</w:t>
      </w:r>
      <w:r w:rsidR="00E643F8" w:rsidRPr="00E643F8">
        <w:t>designado</w:t>
      </w:r>
      <w:r w:rsidRPr="00E643F8">
        <w:t xml:space="preserve"> por la AIPH)</w:t>
      </w:r>
    </w:p>
    <w:p w14:paraId="6AD40081" w14:textId="3B093F01" w:rsidR="001D4474" w:rsidRPr="00E643F8" w:rsidRDefault="004D1F96">
      <w:pPr>
        <w:pStyle w:val="ListParagraph"/>
        <w:numPr>
          <w:ilvl w:val="0"/>
          <w:numId w:val="3"/>
        </w:numPr>
        <w:ind w:left="1418"/>
      </w:pPr>
      <w:r w:rsidRPr="00E643F8">
        <w:t xml:space="preserve">Sra. </w:t>
      </w:r>
      <w:proofErr w:type="spellStart"/>
      <w:r w:rsidR="00E0569F" w:rsidRPr="00E643F8">
        <w:t>Vivianne</w:t>
      </w:r>
      <w:proofErr w:type="spellEnd"/>
      <w:r w:rsidR="00E0569F" w:rsidRPr="00E643F8">
        <w:t xml:space="preserve"> </w:t>
      </w:r>
      <w:proofErr w:type="spellStart"/>
      <w:r w:rsidRPr="00E643F8">
        <w:t>Kunisawa</w:t>
      </w:r>
      <w:proofErr w:type="spellEnd"/>
      <w:r w:rsidRPr="00E643F8">
        <w:t xml:space="preserve"> (</w:t>
      </w:r>
      <w:r w:rsidR="00E643F8" w:rsidRPr="00E643F8">
        <w:t xml:space="preserve">designada </w:t>
      </w:r>
      <w:r w:rsidRPr="00E643F8">
        <w:t xml:space="preserve">por </w:t>
      </w:r>
      <w:r w:rsidR="00E643F8" w:rsidRPr="00E643F8">
        <w:t xml:space="preserve">el </w:t>
      </w:r>
      <w:r w:rsidRPr="00E643F8">
        <w:t>Brasil)</w:t>
      </w:r>
    </w:p>
    <w:p w14:paraId="6224451B" w14:textId="77777777" w:rsidR="001D4474" w:rsidRPr="00E643F8" w:rsidRDefault="004D1F96">
      <w:pPr>
        <w:pStyle w:val="ListParagraph"/>
        <w:numPr>
          <w:ilvl w:val="0"/>
          <w:numId w:val="3"/>
        </w:numPr>
        <w:ind w:left="1418"/>
      </w:pPr>
      <w:r w:rsidRPr="00E643F8">
        <w:t xml:space="preserve">Sr. </w:t>
      </w:r>
      <w:r w:rsidR="00E0569F" w:rsidRPr="00E643F8">
        <w:t xml:space="preserve">Charles </w:t>
      </w:r>
      <w:proofErr w:type="spellStart"/>
      <w:r w:rsidRPr="00E643F8">
        <w:t>Lawson</w:t>
      </w:r>
      <w:proofErr w:type="spellEnd"/>
      <w:r w:rsidRPr="00E643F8">
        <w:t xml:space="preserve"> (designado por Australia)</w:t>
      </w:r>
    </w:p>
    <w:p w14:paraId="247BFA8C" w14:textId="77777777" w:rsidR="001D4474" w:rsidRPr="00E643F8" w:rsidRDefault="004D1F96">
      <w:pPr>
        <w:pStyle w:val="ListParagraph"/>
        <w:numPr>
          <w:ilvl w:val="0"/>
          <w:numId w:val="3"/>
        </w:numPr>
        <w:ind w:left="1418"/>
      </w:pPr>
      <w:r w:rsidRPr="00E643F8">
        <w:t xml:space="preserve">Sr. </w:t>
      </w:r>
      <w:r w:rsidR="00E0569F" w:rsidRPr="00E643F8">
        <w:t xml:space="preserve">Axel </w:t>
      </w:r>
      <w:proofErr w:type="spellStart"/>
      <w:r w:rsidRPr="00E643F8">
        <w:t>Metzger</w:t>
      </w:r>
      <w:proofErr w:type="spellEnd"/>
      <w:r w:rsidRPr="00E643F8">
        <w:t xml:space="preserve"> (designado por la Unión Europea)</w:t>
      </w:r>
    </w:p>
    <w:p w14:paraId="43478940" w14:textId="6FF96263" w:rsidR="001D4474" w:rsidRPr="00E643F8" w:rsidRDefault="004D1F96">
      <w:pPr>
        <w:pStyle w:val="ListParagraph"/>
        <w:numPr>
          <w:ilvl w:val="0"/>
          <w:numId w:val="3"/>
        </w:numPr>
        <w:ind w:left="1418"/>
      </w:pPr>
      <w:r w:rsidRPr="00E643F8">
        <w:t xml:space="preserve">Sr. </w:t>
      </w:r>
      <w:r w:rsidR="00E0569F" w:rsidRPr="00E643F8">
        <w:t xml:space="preserve">Joseph </w:t>
      </w:r>
      <w:r w:rsidRPr="00E643F8">
        <w:t>Strauss (</w:t>
      </w:r>
      <w:r w:rsidR="00E643F8" w:rsidRPr="00E643F8">
        <w:t xml:space="preserve">designado </w:t>
      </w:r>
      <w:r w:rsidRPr="00E643F8">
        <w:t xml:space="preserve">por </w:t>
      </w:r>
      <w:r w:rsidR="00E643F8" w:rsidRPr="00E643F8">
        <w:t xml:space="preserve">el </w:t>
      </w:r>
      <w:r w:rsidRPr="00E643F8">
        <w:t>Japón)</w:t>
      </w:r>
    </w:p>
    <w:p w14:paraId="2A694587" w14:textId="77777777" w:rsidR="002E5189" w:rsidRPr="00E643F8" w:rsidRDefault="002E5189" w:rsidP="002E5189"/>
    <w:p w14:paraId="239D0763" w14:textId="375C3349" w:rsidR="001D4474" w:rsidRPr="00E643F8" w:rsidRDefault="004D1F96">
      <w:r w:rsidRPr="00E643F8">
        <w:fldChar w:fldCharType="begin"/>
      </w:r>
      <w:r w:rsidRPr="00E643F8">
        <w:instrText xml:space="preserve"> AUTONUM  </w:instrText>
      </w:r>
      <w:r w:rsidRPr="00E643F8">
        <w:fldChar w:fldCharType="end"/>
      </w:r>
      <w:r w:rsidR="00E643F8">
        <w:tab/>
      </w:r>
      <w:r w:rsidRPr="00E643F8">
        <w:t xml:space="preserve">Se </w:t>
      </w:r>
      <w:r w:rsidR="00E0569F" w:rsidRPr="00E643F8">
        <w:t xml:space="preserve">debatió </w:t>
      </w:r>
      <w:r w:rsidRPr="00E643F8">
        <w:t xml:space="preserve">la cuestión de </w:t>
      </w:r>
      <w:r w:rsidR="00E0569F" w:rsidRPr="00E643F8">
        <w:t xml:space="preserve">la financiación </w:t>
      </w:r>
      <w:r w:rsidRPr="00E643F8">
        <w:t xml:space="preserve">y se hizo la siguiente propuesta de presupuesto: </w:t>
      </w:r>
    </w:p>
    <w:p w14:paraId="5A313568" w14:textId="77777777" w:rsidR="002E5189" w:rsidRPr="00E643F8" w:rsidRDefault="002E5189" w:rsidP="002E5189">
      <w:pPr>
        <w:jc w:val="left"/>
      </w:pPr>
    </w:p>
    <w:p w14:paraId="2CDACBD2" w14:textId="77777777" w:rsidR="001D4474" w:rsidRPr="00E643F8" w:rsidRDefault="004D1F96">
      <w:pPr>
        <w:pStyle w:val="ListParagraph"/>
        <w:numPr>
          <w:ilvl w:val="0"/>
          <w:numId w:val="4"/>
        </w:numPr>
        <w:ind w:left="1418"/>
        <w:jc w:val="left"/>
      </w:pPr>
      <w:r w:rsidRPr="00E643F8">
        <w:t>55</w:t>
      </w:r>
      <w:r w:rsidR="00332020" w:rsidRPr="00E643F8">
        <w:t>.</w:t>
      </w:r>
      <w:r w:rsidRPr="00E643F8">
        <w:t xml:space="preserve">000 </w:t>
      </w:r>
      <w:r w:rsidR="009B2EE6" w:rsidRPr="00E643F8">
        <w:t>francos</w:t>
      </w:r>
      <w:r w:rsidRPr="00E643F8">
        <w:t xml:space="preserve"> suizos que incluirían: </w:t>
      </w:r>
    </w:p>
    <w:p w14:paraId="60CA067D" w14:textId="75E0DC3A" w:rsidR="001D4474" w:rsidRPr="00E643F8" w:rsidRDefault="004D1F96" w:rsidP="00E643F8">
      <w:pPr>
        <w:pStyle w:val="ListParagraph"/>
        <w:ind w:left="1701" w:hanging="283"/>
      </w:pPr>
      <w:r w:rsidRPr="00E643F8">
        <w:rPr>
          <w:rFonts w:ascii="MS Gothic" w:eastAsia="MS Gothic" w:hAnsi="MS Gothic" w:cs="MS Gothic"/>
        </w:rPr>
        <w:t>・</w:t>
      </w:r>
      <w:r w:rsidR="00E643F8">
        <w:rPr>
          <w:rFonts w:ascii="MS Gothic" w:eastAsia="MS Gothic" w:hAnsi="MS Gothic" w:cs="MS Gothic"/>
        </w:rPr>
        <w:tab/>
      </w:r>
      <w:r w:rsidRPr="00E643F8">
        <w:rPr>
          <w:rFonts w:eastAsia="MS Gothic" w:hint="eastAsia"/>
        </w:rPr>
        <w:t>Honorari</w:t>
      </w:r>
      <w:r w:rsidR="00E643F8">
        <w:rPr>
          <w:rFonts w:eastAsia="MS Gothic"/>
        </w:rPr>
        <w:t>os</w:t>
      </w:r>
      <w:r w:rsidRPr="00E643F8">
        <w:rPr>
          <w:rFonts w:eastAsia="MS Gothic" w:hint="eastAsia"/>
        </w:rPr>
        <w:t xml:space="preserve"> </w:t>
      </w:r>
      <w:r w:rsidRPr="00E643F8">
        <w:t>de 10</w:t>
      </w:r>
      <w:r w:rsidR="00332020" w:rsidRPr="00E643F8">
        <w:t>.</w:t>
      </w:r>
      <w:r w:rsidRPr="00E643F8">
        <w:t xml:space="preserve">000 francos suizos </w:t>
      </w:r>
      <w:r w:rsidR="00E0569F" w:rsidRPr="00E643F8">
        <w:t xml:space="preserve">para </w:t>
      </w:r>
      <w:r w:rsidRPr="00E643F8">
        <w:t xml:space="preserve">cada uno </w:t>
      </w:r>
      <w:r w:rsidR="00E0569F" w:rsidRPr="00E643F8">
        <w:t xml:space="preserve">de los </w:t>
      </w:r>
      <w:r w:rsidRPr="00E643F8">
        <w:t xml:space="preserve">5 autores. </w:t>
      </w:r>
    </w:p>
    <w:p w14:paraId="4167C306" w14:textId="4E6DA55D" w:rsidR="001D4474" w:rsidRPr="00E643F8" w:rsidRDefault="004D1F96" w:rsidP="00E643F8">
      <w:pPr>
        <w:pStyle w:val="ListParagraph"/>
        <w:ind w:left="1701" w:hanging="283"/>
      </w:pPr>
      <w:r w:rsidRPr="00E643F8">
        <w:t>・</w:t>
      </w:r>
      <w:r w:rsidR="00E643F8">
        <w:tab/>
      </w:r>
      <w:r w:rsidRPr="00E643F8">
        <w:t>Gastos de viaje de hasta 5</w:t>
      </w:r>
      <w:r w:rsidR="00332020" w:rsidRPr="00E643F8">
        <w:t>.</w:t>
      </w:r>
      <w:r w:rsidRPr="00E643F8">
        <w:t xml:space="preserve">000 francos suizos en total </w:t>
      </w:r>
      <w:r w:rsidR="00E0569F" w:rsidRPr="00E643F8">
        <w:t>para los 5 autores</w:t>
      </w:r>
      <w:r w:rsidRPr="00E643F8">
        <w:t xml:space="preserve">. La finalidad del viaje podría ser convocar una reunión entre los autores o </w:t>
      </w:r>
      <w:r w:rsidR="00E0569F" w:rsidRPr="00E643F8">
        <w:t xml:space="preserve">sufragar el viaje para </w:t>
      </w:r>
      <w:r w:rsidRPr="00E643F8">
        <w:t xml:space="preserve">acudir a Ginebra </w:t>
      </w:r>
      <w:r w:rsidR="008773A7" w:rsidRPr="00E643F8">
        <w:t xml:space="preserve">a presentar las conclusiones del estudio </w:t>
      </w:r>
      <w:r w:rsidRPr="00E643F8">
        <w:t>o cualquier otro gasto de viaje imprevisto.</w:t>
      </w:r>
    </w:p>
    <w:p w14:paraId="44B1A04F" w14:textId="77777777" w:rsidR="002E5189" w:rsidRPr="00E643F8" w:rsidRDefault="002E5189" w:rsidP="00296CB7">
      <w:pPr>
        <w:ind w:left="1418"/>
        <w:jc w:val="left"/>
      </w:pPr>
    </w:p>
    <w:p w14:paraId="6D5FDC73" w14:textId="3EFD005A" w:rsidR="001D4474" w:rsidRPr="00E643F8" w:rsidRDefault="004D1F96" w:rsidP="00FE1B37">
      <w:pPr>
        <w:pStyle w:val="ListParagraph"/>
        <w:numPr>
          <w:ilvl w:val="0"/>
          <w:numId w:val="4"/>
        </w:numPr>
        <w:ind w:left="1418"/>
      </w:pPr>
      <w:r w:rsidRPr="00E643F8">
        <w:t xml:space="preserve">La estimación global del coste </w:t>
      </w:r>
      <w:r w:rsidR="00E0569F" w:rsidRPr="00E643F8">
        <w:t xml:space="preserve">a </w:t>
      </w:r>
      <w:r w:rsidRPr="00E643F8">
        <w:t xml:space="preserve">repartir es la siguiente:  </w:t>
      </w:r>
      <w:r w:rsidR="00FE1B37">
        <w:t>e</w:t>
      </w:r>
      <w:r w:rsidR="00D50EFC" w:rsidRPr="00E643F8">
        <w:t xml:space="preserve">l </w:t>
      </w:r>
      <w:r w:rsidRPr="00E643F8">
        <w:t xml:space="preserve">presupuesto ordinario de la </w:t>
      </w:r>
      <w:r w:rsidR="00D50EFC" w:rsidRPr="00E643F8">
        <w:t xml:space="preserve">UPOV </w:t>
      </w:r>
      <w:r w:rsidRPr="00E643F8">
        <w:t>cubriría 30</w:t>
      </w:r>
      <w:r w:rsidR="00332020" w:rsidRPr="00E643F8">
        <w:t>.</w:t>
      </w:r>
      <w:r w:rsidRPr="00E643F8">
        <w:t xml:space="preserve">000 francos suizos y </w:t>
      </w:r>
      <w:r w:rsidR="00D50EFC" w:rsidRPr="00E643F8">
        <w:t>el Acuerdo de Fondos Fiduciarios entre el Gobierno de</w:t>
      </w:r>
      <w:r w:rsidR="00FE1B37">
        <w:t>l</w:t>
      </w:r>
      <w:r w:rsidR="00D50EFC" w:rsidRPr="00E643F8">
        <w:t xml:space="preserve"> Japón y la UPOV (</w:t>
      </w:r>
      <w:r w:rsidRPr="00E643F8">
        <w:t>JP-FIT</w:t>
      </w:r>
      <w:r w:rsidR="00D50EFC" w:rsidRPr="00E643F8">
        <w:t xml:space="preserve">) </w:t>
      </w:r>
      <w:r w:rsidRPr="00E643F8">
        <w:t>cubriría 25</w:t>
      </w:r>
      <w:r w:rsidR="00332020" w:rsidRPr="00E643F8">
        <w:t>.</w:t>
      </w:r>
      <w:r w:rsidRPr="00E643F8">
        <w:t>000 francos suizos.</w:t>
      </w:r>
    </w:p>
    <w:p w14:paraId="11991B3F" w14:textId="77777777" w:rsidR="002E5189" w:rsidRPr="00E643F8" w:rsidRDefault="002E5189" w:rsidP="002E5189">
      <w:pPr>
        <w:jc w:val="left"/>
      </w:pPr>
    </w:p>
    <w:p w14:paraId="39B6EFEB" w14:textId="1E1DFED9" w:rsidR="001D4474" w:rsidRPr="00E643F8" w:rsidRDefault="004D1F96" w:rsidP="00FE1B37">
      <w:r w:rsidRPr="00E643F8">
        <w:fldChar w:fldCharType="begin"/>
      </w:r>
      <w:r w:rsidRPr="00E643F8">
        <w:instrText xml:space="preserve"> AUTONUM  </w:instrText>
      </w:r>
      <w:r w:rsidRPr="00E643F8">
        <w:fldChar w:fldCharType="end"/>
      </w:r>
      <w:r w:rsidRPr="00E643F8">
        <w:tab/>
        <w:t xml:space="preserve">Los participantes en la reunión acordaron proponer la citada propuesta de financiación para su </w:t>
      </w:r>
      <w:r w:rsidR="008773A7" w:rsidRPr="00E643F8">
        <w:t xml:space="preserve">aprobación </w:t>
      </w:r>
      <w:r w:rsidRPr="00E643F8">
        <w:t>por el WG-HRV</w:t>
      </w:r>
      <w:r w:rsidR="00FE1B37">
        <w:t xml:space="preserve"> en su sexta reunión</w:t>
      </w:r>
      <w:r w:rsidRPr="00E643F8">
        <w:t xml:space="preserve"> en octubre</w:t>
      </w:r>
      <w:r w:rsidR="00FE1B37">
        <w:t xml:space="preserve"> de 2024</w:t>
      </w:r>
      <w:r w:rsidRPr="00E643F8">
        <w:t>.</w:t>
      </w:r>
    </w:p>
    <w:p w14:paraId="3A1ECE68" w14:textId="77777777" w:rsidR="002E5189" w:rsidRPr="00E643F8" w:rsidRDefault="002E5189" w:rsidP="002E5189"/>
    <w:p w14:paraId="4AE142EC" w14:textId="6373AC95" w:rsidR="001D4474" w:rsidRPr="00E643F8" w:rsidRDefault="004D1F96">
      <w:pPr>
        <w:keepLines/>
        <w:rPr>
          <w:color w:val="262626"/>
        </w:rPr>
      </w:pPr>
      <w:r w:rsidRPr="00E643F8">
        <w:rPr>
          <w:rFonts w:cs="Arial"/>
        </w:rPr>
        <w:fldChar w:fldCharType="begin"/>
      </w:r>
      <w:r w:rsidRPr="00E643F8">
        <w:rPr>
          <w:rFonts w:cs="Arial"/>
        </w:rPr>
        <w:instrText xml:space="preserve"> AUTONUM  </w:instrText>
      </w:r>
      <w:r w:rsidRPr="00E643F8">
        <w:rPr>
          <w:rFonts w:cs="Arial"/>
        </w:rPr>
        <w:fldChar w:fldCharType="end"/>
      </w:r>
      <w:r w:rsidRPr="00E643F8">
        <w:rPr>
          <w:rFonts w:cs="Arial"/>
        </w:rPr>
        <w:tab/>
      </w:r>
      <w:r w:rsidRPr="00E643F8">
        <w:t xml:space="preserve">Basándose en las conclusiones </w:t>
      </w:r>
      <w:r w:rsidR="008773A7" w:rsidRPr="00E643F8">
        <w:t xml:space="preserve">del WG-HRV en </w:t>
      </w:r>
      <w:r w:rsidRPr="00E643F8">
        <w:t xml:space="preserve">sus cuarta y quinta </w:t>
      </w:r>
      <w:r w:rsidR="00FE1B37" w:rsidRPr="00E643F8">
        <w:t xml:space="preserve">reuniones </w:t>
      </w:r>
      <w:r w:rsidRPr="00E643F8">
        <w:t xml:space="preserve">y en la reunión virtual </w:t>
      </w:r>
      <w:r w:rsidR="00556863" w:rsidRPr="00E643F8">
        <w:t>del 22 de mayo de 22024</w:t>
      </w:r>
      <w:r w:rsidRPr="00E643F8">
        <w:t xml:space="preserve">, la Oficina de la Unión ha actualizado los términos de referencia propuestos para un </w:t>
      </w:r>
      <w:r w:rsidRPr="00E643F8">
        <w:rPr>
          <w:rFonts w:cs="Arial"/>
          <w:lang w:eastAsia="fr-FR"/>
        </w:rPr>
        <w:t>estudio</w:t>
      </w:r>
      <w:r w:rsidRPr="00E643F8">
        <w:rPr>
          <w:color w:val="343434"/>
        </w:rPr>
        <w:t xml:space="preserve">, incluyendo </w:t>
      </w:r>
      <w:r w:rsidRPr="00E643F8">
        <w:rPr>
          <w:color w:val="161616"/>
        </w:rPr>
        <w:t xml:space="preserve">un calendario, </w:t>
      </w:r>
      <w:r w:rsidRPr="00E643F8">
        <w:rPr>
          <w:color w:val="262626"/>
        </w:rPr>
        <w:t xml:space="preserve">autores y presupuesto (véase </w:t>
      </w:r>
      <w:r w:rsidRPr="00FE1B37">
        <w:rPr>
          <w:color w:val="262626"/>
        </w:rPr>
        <w:t>el Anexo</w:t>
      </w:r>
      <w:r w:rsidRPr="00E643F8">
        <w:rPr>
          <w:color w:val="262626"/>
        </w:rPr>
        <w:t xml:space="preserve">). </w:t>
      </w:r>
    </w:p>
    <w:p w14:paraId="6B4C442E" w14:textId="77777777" w:rsidR="00D4159F" w:rsidRPr="00E643F8" w:rsidRDefault="00D4159F" w:rsidP="002E5189"/>
    <w:p w14:paraId="450B5F7F" w14:textId="161F824B" w:rsidR="00D4159F" w:rsidRPr="00E643F8" w:rsidRDefault="004D1F96" w:rsidP="00D4159F">
      <w:pPr>
        <w:pStyle w:val="DecisionParagraphs"/>
      </w:pPr>
      <w:r w:rsidRPr="00E643F8">
        <w:rPr>
          <w:rFonts w:cs="Arial"/>
        </w:rPr>
        <w:fldChar w:fldCharType="begin"/>
      </w:r>
      <w:r w:rsidRPr="00E643F8">
        <w:rPr>
          <w:rFonts w:cs="Arial"/>
        </w:rPr>
        <w:instrText xml:space="preserve"> AUTONUM  </w:instrText>
      </w:r>
      <w:r w:rsidRPr="00E643F8">
        <w:rPr>
          <w:rFonts w:cs="Arial"/>
        </w:rPr>
        <w:fldChar w:fldCharType="end"/>
      </w:r>
      <w:r w:rsidR="00D4159F" w:rsidRPr="00E643F8">
        <w:rPr>
          <w:rFonts w:cs="Arial"/>
        </w:rPr>
        <w:tab/>
      </w:r>
      <w:r w:rsidRPr="00E643F8">
        <w:t xml:space="preserve">Se invita al WG-HRV a examinar las cuestiones presentadas en este documento y el mandato </w:t>
      </w:r>
      <w:r w:rsidR="002E5189" w:rsidRPr="00E643F8">
        <w:t xml:space="preserve">actualizado </w:t>
      </w:r>
      <w:r w:rsidRPr="00E643F8">
        <w:t xml:space="preserve">para un estudio, que figura en el </w:t>
      </w:r>
      <w:r w:rsidR="00B065ED" w:rsidRPr="00E643F8">
        <w:t>Anexo</w:t>
      </w:r>
      <w:r w:rsidR="002E5189" w:rsidRPr="00E643F8">
        <w:t>.</w:t>
      </w:r>
    </w:p>
    <w:p w14:paraId="240AF387" w14:textId="77777777" w:rsidR="00D4159F" w:rsidRDefault="00D4159F" w:rsidP="00D4159F">
      <w:pPr>
        <w:pStyle w:val="DecisionParagraphs"/>
      </w:pPr>
    </w:p>
    <w:p w14:paraId="00719F8B" w14:textId="77777777" w:rsidR="00BA45BF" w:rsidRDefault="00BA45BF" w:rsidP="00D4159F">
      <w:pPr>
        <w:pStyle w:val="DecisionParagraphs"/>
      </w:pPr>
    </w:p>
    <w:p w14:paraId="4DC95B35" w14:textId="77777777" w:rsidR="00BA45BF" w:rsidRPr="00E643F8" w:rsidRDefault="00BA45BF" w:rsidP="00D4159F">
      <w:pPr>
        <w:pStyle w:val="DecisionParagraphs"/>
      </w:pPr>
    </w:p>
    <w:p w14:paraId="1513FF37" w14:textId="64447829" w:rsidR="001D4474" w:rsidRPr="00E643F8" w:rsidRDefault="004D1F96">
      <w:pPr>
        <w:jc w:val="right"/>
      </w:pPr>
      <w:r w:rsidRPr="00E643F8">
        <w:t xml:space="preserve">[Sigue el </w:t>
      </w:r>
      <w:r w:rsidR="00B065ED" w:rsidRPr="00E643F8">
        <w:t>Anexo</w:t>
      </w:r>
      <w:r w:rsidRPr="00E643F8">
        <w:t>]</w:t>
      </w:r>
    </w:p>
    <w:p w14:paraId="3B32A338" w14:textId="77777777" w:rsidR="006F30A5" w:rsidRPr="00E643F8" w:rsidRDefault="006F30A5" w:rsidP="006F30A5">
      <w:pPr>
        <w:jc w:val="left"/>
        <w:sectPr w:rsidR="006F30A5" w:rsidRPr="00E643F8" w:rsidSect="00BA45BF">
          <w:headerReference w:type="default" r:id="rId9"/>
          <w:pgSz w:w="11907" w:h="16840" w:code="9"/>
          <w:pgMar w:top="510" w:right="1134" w:bottom="851" w:left="1134" w:header="510" w:footer="680" w:gutter="0"/>
          <w:pgNumType w:start="1"/>
          <w:cols w:space="720"/>
          <w:titlePg/>
        </w:sectPr>
      </w:pPr>
    </w:p>
    <w:p w14:paraId="109FFA33" w14:textId="77777777" w:rsidR="001D4474" w:rsidRPr="00E643F8" w:rsidRDefault="008773A7">
      <w:pPr>
        <w:jc w:val="center"/>
        <w:rPr>
          <w:b/>
          <w:bCs/>
        </w:rPr>
      </w:pPr>
      <w:bookmarkStart w:id="5" w:name="_Hlk172119356"/>
      <w:r w:rsidRPr="00E643F8">
        <w:rPr>
          <w:rFonts w:cs="Arial"/>
        </w:rPr>
        <w:lastRenderedPageBreak/>
        <w:t xml:space="preserve">PROYECTO DE </w:t>
      </w:r>
      <w:r w:rsidR="006F30A5" w:rsidRPr="00E643F8">
        <w:rPr>
          <w:rFonts w:cs="Arial"/>
        </w:rPr>
        <w:t xml:space="preserve">MANDATO </w:t>
      </w:r>
      <w:r w:rsidR="004D1F96" w:rsidRPr="00E643F8">
        <w:rPr>
          <w:rFonts w:cs="Arial"/>
        </w:rPr>
        <w:t xml:space="preserve">ACTUALIZADO </w:t>
      </w:r>
      <w:r w:rsidR="006F30A5" w:rsidRPr="00E643F8">
        <w:rPr>
          <w:rFonts w:cs="Arial"/>
        </w:rPr>
        <w:t xml:space="preserve">DEL </w:t>
      </w:r>
      <w:r w:rsidR="006F30A5" w:rsidRPr="00E643F8">
        <w:t>ESTUDIO SOBRE EL "ALCANCE DEL DERECHO DE OBTENTOR" Y LA RELACIÓN CON EL "AGOTAMIENTO DEL DERECHO DE OBTENTOR".</w:t>
      </w:r>
    </w:p>
    <w:bookmarkEnd w:id="5"/>
    <w:p w14:paraId="644E41D4" w14:textId="77777777" w:rsidR="006F30A5" w:rsidRPr="00E643F8" w:rsidRDefault="006F30A5" w:rsidP="006F30A5">
      <w:pPr>
        <w:jc w:val="left"/>
      </w:pPr>
    </w:p>
    <w:p w14:paraId="294050E9" w14:textId="77777777" w:rsidR="006F30A5" w:rsidRPr="00E643F8" w:rsidRDefault="006F30A5" w:rsidP="006F30A5">
      <w:pPr>
        <w:jc w:val="left"/>
      </w:pPr>
    </w:p>
    <w:p w14:paraId="236CCDE4" w14:textId="77777777" w:rsidR="001D4474" w:rsidRPr="00E643F8" w:rsidRDefault="004D1F96" w:rsidP="00D4159F">
      <w:pPr>
        <w:pStyle w:val="Heading1"/>
        <w:rPr>
          <w:lang w:val="es-ES_tradnl"/>
        </w:rPr>
      </w:pPr>
      <w:bookmarkStart w:id="6" w:name="_Toc172119298"/>
      <w:bookmarkStart w:id="7" w:name="_Toc172119335"/>
      <w:r w:rsidRPr="00E643F8">
        <w:rPr>
          <w:lang w:val="es-ES_tradnl"/>
        </w:rPr>
        <w:t>ALCANCE:</w:t>
      </w:r>
      <w:bookmarkEnd w:id="6"/>
      <w:bookmarkEnd w:id="7"/>
    </w:p>
    <w:p w14:paraId="2023761A" w14:textId="77777777" w:rsidR="006F30A5" w:rsidRPr="00E643F8" w:rsidRDefault="006F30A5" w:rsidP="006F30A5">
      <w:pPr>
        <w:jc w:val="left"/>
      </w:pPr>
    </w:p>
    <w:p w14:paraId="0B7687DC" w14:textId="29117E90" w:rsidR="001D4474" w:rsidRPr="00E643F8" w:rsidRDefault="004D1F96">
      <w:pPr>
        <w:widowControl w:val="0"/>
        <w:tabs>
          <w:tab w:val="left" w:pos="762"/>
        </w:tabs>
        <w:autoSpaceDE w:val="0"/>
        <w:autoSpaceDN w:val="0"/>
        <w:ind w:right="113"/>
        <w:rPr>
          <w:color w:val="262626"/>
        </w:rPr>
      </w:pPr>
      <w:r w:rsidRPr="00E643F8">
        <w:rPr>
          <w:color w:val="262626"/>
        </w:rPr>
        <w:t>El estudio incluirá</w:t>
      </w:r>
      <w:r w:rsidR="0023301E">
        <w:rPr>
          <w:color w:val="262626"/>
        </w:rPr>
        <w:t>:</w:t>
      </w:r>
    </w:p>
    <w:p w14:paraId="5D46B02D" w14:textId="77777777" w:rsidR="006F30A5" w:rsidRPr="00E643F8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color w:val="262626"/>
        </w:rPr>
      </w:pPr>
    </w:p>
    <w:p w14:paraId="7BE1A375" w14:textId="77777777" w:rsidR="001D4474" w:rsidRPr="0023301E" w:rsidRDefault="004D1F96">
      <w:pPr>
        <w:pStyle w:val="ListParagraph"/>
        <w:widowControl w:val="0"/>
        <w:numPr>
          <w:ilvl w:val="0"/>
          <w:numId w:val="2"/>
        </w:numPr>
        <w:tabs>
          <w:tab w:val="left" w:pos="762"/>
        </w:tabs>
        <w:autoSpaceDE w:val="0"/>
        <w:autoSpaceDN w:val="0"/>
        <w:ind w:right="113"/>
        <w:rPr>
          <w:color w:val="343434"/>
        </w:rPr>
      </w:pPr>
      <w:r w:rsidRPr="0023301E">
        <w:rPr>
          <w:color w:val="262626"/>
        </w:rPr>
        <w:t xml:space="preserve">una </w:t>
      </w:r>
      <w:r w:rsidRPr="0023301E">
        <w:rPr>
          <w:color w:val="262626"/>
          <w:u w:val="single"/>
        </w:rPr>
        <w:t xml:space="preserve">primera parte </w:t>
      </w:r>
      <w:r w:rsidRPr="0023301E">
        <w:rPr>
          <w:color w:val="262626"/>
        </w:rPr>
        <w:t xml:space="preserve">con un análisis de </w:t>
      </w:r>
      <w:r w:rsidRPr="0023301E">
        <w:rPr>
          <w:color w:val="161616"/>
        </w:rPr>
        <w:t xml:space="preserve">las intenciones </w:t>
      </w:r>
      <w:r w:rsidRPr="0023301E">
        <w:rPr>
          <w:color w:val="262626"/>
        </w:rPr>
        <w:t xml:space="preserve">de los redactores </w:t>
      </w:r>
      <w:r w:rsidRPr="0023301E">
        <w:rPr>
          <w:color w:val="161616"/>
        </w:rPr>
        <w:t xml:space="preserve">del Acta de 1991 del Convenio de la UPOV </w:t>
      </w:r>
      <w:r w:rsidRPr="0023301E">
        <w:rPr>
          <w:color w:val="262626"/>
        </w:rPr>
        <w:t xml:space="preserve">en </w:t>
      </w:r>
      <w:r w:rsidRPr="0023301E">
        <w:rPr>
          <w:color w:val="161616"/>
        </w:rPr>
        <w:t xml:space="preserve">relación con </w:t>
      </w:r>
      <w:r w:rsidRPr="0023301E">
        <w:rPr>
          <w:color w:val="262626"/>
        </w:rPr>
        <w:t>el artículo 14 y el artículo 16 del Acta de 1991; y</w:t>
      </w:r>
    </w:p>
    <w:p w14:paraId="1A48BC0A" w14:textId="1F313368" w:rsidR="001D4474" w:rsidRPr="0023301E" w:rsidRDefault="004D1F96">
      <w:pPr>
        <w:pStyle w:val="ListParagraph"/>
        <w:widowControl w:val="0"/>
        <w:numPr>
          <w:ilvl w:val="0"/>
          <w:numId w:val="2"/>
        </w:numPr>
        <w:tabs>
          <w:tab w:val="left" w:pos="762"/>
        </w:tabs>
        <w:autoSpaceDE w:val="0"/>
        <w:autoSpaceDN w:val="0"/>
        <w:ind w:right="113"/>
        <w:rPr>
          <w:color w:val="343434"/>
        </w:rPr>
      </w:pPr>
      <w:r w:rsidRPr="0023301E">
        <w:rPr>
          <w:color w:val="262626"/>
        </w:rPr>
        <w:t xml:space="preserve">una </w:t>
      </w:r>
      <w:r w:rsidRPr="0023301E">
        <w:rPr>
          <w:color w:val="343434"/>
          <w:u w:val="single"/>
        </w:rPr>
        <w:t xml:space="preserve">segunda </w:t>
      </w:r>
      <w:r w:rsidRPr="0023301E">
        <w:rPr>
          <w:color w:val="262626"/>
          <w:u w:val="single"/>
        </w:rPr>
        <w:t xml:space="preserve">parte </w:t>
      </w:r>
      <w:r w:rsidRPr="0023301E">
        <w:rPr>
          <w:color w:val="262626"/>
        </w:rPr>
        <w:t xml:space="preserve">con </w:t>
      </w:r>
      <w:r w:rsidRPr="0023301E">
        <w:rPr>
          <w:color w:val="161616"/>
        </w:rPr>
        <w:t xml:space="preserve">resúmenes </w:t>
      </w:r>
      <w:r w:rsidRPr="0023301E">
        <w:rPr>
          <w:color w:val="343434"/>
        </w:rPr>
        <w:t xml:space="preserve">de casos </w:t>
      </w:r>
      <w:r w:rsidRPr="0023301E">
        <w:rPr>
          <w:color w:val="262626"/>
        </w:rPr>
        <w:t xml:space="preserve">judiciales relevantes </w:t>
      </w:r>
      <w:r w:rsidRPr="0023301E">
        <w:rPr>
          <w:color w:val="343434"/>
        </w:rPr>
        <w:t>de miembros de la UPOV obligados por el Acta de 1991.</w:t>
      </w:r>
    </w:p>
    <w:p w14:paraId="73627AE9" w14:textId="77777777" w:rsidR="006F30A5" w:rsidRPr="00E643F8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color w:val="262626"/>
        </w:rPr>
      </w:pPr>
    </w:p>
    <w:p w14:paraId="24122E17" w14:textId="77777777" w:rsidR="006F30A5" w:rsidRPr="00E643F8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color w:val="262626"/>
        </w:rPr>
      </w:pPr>
    </w:p>
    <w:p w14:paraId="687EDC21" w14:textId="77777777" w:rsidR="001D4474" w:rsidRPr="00E643F8" w:rsidRDefault="004D1F96" w:rsidP="00D4159F">
      <w:pPr>
        <w:pStyle w:val="Heading1"/>
        <w:rPr>
          <w:lang w:val="es-ES_tradnl"/>
        </w:rPr>
      </w:pPr>
      <w:bookmarkStart w:id="8" w:name="_Toc172119299"/>
      <w:bookmarkStart w:id="9" w:name="_Toc172119336"/>
      <w:r w:rsidRPr="00E643F8">
        <w:rPr>
          <w:lang w:val="es-ES_tradnl"/>
        </w:rPr>
        <w:t>COMPOSICIÓN:</w:t>
      </w:r>
      <w:bookmarkEnd w:id="8"/>
      <w:bookmarkEnd w:id="9"/>
    </w:p>
    <w:p w14:paraId="65CFCB88" w14:textId="77777777" w:rsidR="006F30A5" w:rsidRPr="00E643F8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color w:val="262626"/>
        </w:rPr>
      </w:pPr>
    </w:p>
    <w:p w14:paraId="6FC00FAC" w14:textId="77777777" w:rsidR="001D4474" w:rsidRPr="0023301E" w:rsidRDefault="004D1F96" w:rsidP="0023301E">
      <w:r w:rsidRPr="0023301E">
        <w:t xml:space="preserve">El </w:t>
      </w:r>
      <w:r w:rsidR="006F30A5" w:rsidRPr="0023301E">
        <w:t xml:space="preserve">estudio debe ser realizado por </w:t>
      </w:r>
      <w:r w:rsidR="00302C50" w:rsidRPr="0023301E">
        <w:t xml:space="preserve">los </w:t>
      </w:r>
      <w:r w:rsidR="006F30A5" w:rsidRPr="0023301E">
        <w:t>cinco autores que se mencionan a continuación. Los autores deberán ponerse de acuerdo sobre uno de ellos para que coordine su trabajo.</w:t>
      </w:r>
    </w:p>
    <w:p w14:paraId="36262F93" w14:textId="77777777" w:rsidR="006F30A5" w:rsidRPr="0023301E" w:rsidRDefault="006F30A5" w:rsidP="0023301E"/>
    <w:p w14:paraId="71FBD811" w14:textId="77777777" w:rsidR="001D4474" w:rsidRPr="0023301E" w:rsidRDefault="004D1F96" w:rsidP="0023301E">
      <w:r w:rsidRPr="0023301E">
        <w:t xml:space="preserve">La lengua de trabajo de los autores debe ser el inglés y el estudio debe redactarse en inglés. </w:t>
      </w:r>
    </w:p>
    <w:p w14:paraId="50CF90D0" w14:textId="77777777" w:rsidR="006F30A5" w:rsidRPr="0023301E" w:rsidRDefault="006F30A5" w:rsidP="0023301E"/>
    <w:tbl>
      <w:tblPr>
        <w:tblStyle w:val="TableGrid"/>
        <w:tblW w:w="3145" w:type="dxa"/>
        <w:jc w:val="center"/>
        <w:tblInd w:w="0" w:type="dxa"/>
        <w:tblLook w:val="04A0" w:firstRow="1" w:lastRow="0" w:firstColumn="1" w:lastColumn="0" w:noHBand="0" w:noVBand="1"/>
      </w:tblPr>
      <w:tblGrid>
        <w:gridCol w:w="3145"/>
      </w:tblGrid>
      <w:tr w:rsidR="006F30A5" w:rsidRPr="00E643F8" w14:paraId="255C285B" w14:textId="77777777" w:rsidTr="00783693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36450" w14:textId="77777777" w:rsidR="001D4474" w:rsidRPr="00E643F8" w:rsidRDefault="004D1F96">
            <w:pPr>
              <w:jc w:val="left"/>
              <w:rPr>
                <w:b/>
                <w:bCs/>
                <w:spacing w:val="-2"/>
              </w:rPr>
            </w:pPr>
            <w:r w:rsidRPr="00E643F8">
              <w:rPr>
                <w:b/>
                <w:bCs/>
                <w:spacing w:val="-2"/>
              </w:rPr>
              <w:t>Expertos (orden alfabético)</w:t>
            </w:r>
          </w:p>
        </w:tc>
      </w:tr>
      <w:tr w:rsidR="006F30A5" w:rsidRPr="00E643F8" w14:paraId="16DDB6F7" w14:textId="77777777" w:rsidTr="00783693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F5FC" w14:textId="77777777" w:rsidR="001D4474" w:rsidRPr="00E643F8" w:rsidRDefault="004D1F96">
            <w:pPr>
              <w:jc w:val="left"/>
              <w:rPr>
                <w:spacing w:val="-2"/>
              </w:rPr>
            </w:pPr>
            <w:r w:rsidRPr="00E643F8">
              <w:rPr>
                <w:spacing w:val="-2"/>
              </w:rPr>
              <w:t xml:space="preserve">Sr. </w:t>
            </w:r>
            <w:proofErr w:type="spellStart"/>
            <w:r w:rsidRPr="00E643F8">
              <w:rPr>
                <w:spacing w:val="-2"/>
              </w:rPr>
              <w:t>Huib</w:t>
            </w:r>
            <w:proofErr w:type="spellEnd"/>
            <w:r w:rsidRPr="00E643F8">
              <w:rPr>
                <w:spacing w:val="-2"/>
              </w:rPr>
              <w:t xml:space="preserve"> </w:t>
            </w:r>
            <w:proofErr w:type="spellStart"/>
            <w:r w:rsidRPr="00E643F8">
              <w:rPr>
                <w:spacing w:val="-2"/>
              </w:rPr>
              <w:t>Ghijsen</w:t>
            </w:r>
            <w:proofErr w:type="spellEnd"/>
          </w:p>
        </w:tc>
      </w:tr>
      <w:tr w:rsidR="006F30A5" w:rsidRPr="00E643F8" w14:paraId="4CD9ABBE" w14:textId="77777777" w:rsidTr="00783693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E338" w14:textId="77777777" w:rsidR="001D4474" w:rsidRPr="00E643F8" w:rsidRDefault="004D1F96">
            <w:pPr>
              <w:jc w:val="left"/>
              <w:rPr>
                <w:spacing w:val="-2"/>
              </w:rPr>
            </w:pPr>
            <w:r w:rsidRPr="00E643F8">
              <w:rPr>
                <w:spacing w:val="-2"/>
              </w:rPr>
              <w:t xml:space="preserve">Sra. </w:t>
            </w:r>
            <w:proofErr w:type="spellStart"/>
            <w:r w:rsidRPr="00E643F8">
              <w:rPr>
                <w:spacing w:val="-2"/>
              </w:rPr>
              <w:t>Vivianne</w:t>
            </w:r>
            <w:proofErr w:type="spellEnd"/>
            <w:r w:rsidRPr="00E643F8">
              <w:rPr>
                <w:spacing w:val="-2"/>
              </w:rPr>
              <w:t xml:space="preserve"> </w:t>
            </w:r>
            <w:proofErr w:type="spellStart"/>
            <w:r w:rsidRPr="00E643F8">
              <w:rPr>
                <w:spacing w:val="-2"/>
              </w:rPr>
              <w:t>Kunisawa</w:t>
            </w:r>
            <w:proofErr w:type="spellEnd"/>
          </w:p>
        </w:tc>
      </w:tr>
      <w:tr w:rsidR="006F30A5" w:rsidRPr="00E643F8" w14:paraId="39F0638E" w14:textId="77777777" w:rsidTr="00783693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6E0A" w14:textId="77777777" w:rsidR="001D4474" w:rsidRPr="00E643F8" w:rsidRDefault="004D1F96">
            <w:pPr>
              <w:jc w:val="left"/>
              <w:rPr>
                <w:spacing w:val="-2"/>
              </w:rPr>
            </w:pPr>
            <w:r w:rsidRPr="00E643F8">
              <w:rPr>
                <w:spacing w:val="-2"/>
              </w:rPr>
              <w:t xml:space="preserve">Sr. Charles </w:t>
            </w:r>
            <w:proofErr w:type="spellStart"/>
            <w:r w:rsidRPr="00E643F8">
              <w:rPr>
                <w:spacing w:val="-2"/>
              </w:rPr>
              <w:t>Lawson</w:t>
            </w:r>
            <w:proofErr w:type="spellEnd"/>
          </w:p>
        </w:tc>
      </w:tr>
      <w:tr w:rsidR="006F30A5" w:rsidRPr="00E643F8" w14:paraId="582D2293" w14:textId="77777777" w:rsidTr="00783693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03F8" w14:textId="77777777" w:rsidR="001D4474" w:rsidRPr="00E643F8" w:rsidRDefault="004D1F96">
            <w:pPr>
              <w:jc w:val="left"/>
              <w:rPr>
                <w:spacing w:val="-2"/>
              </w:rPr>
            </w:pPr>
            <w:r w:rsidRPr="00E643F8">
              <w:rPr>
                <w:spacing w:val="-2"/>
              </w:rPr>
              <w:t xml:space="preserve">Sr. Axel </w:t>
            </w:r>
            <w:proofErr w:type="spellStart"/>
            <w:r w:rsidRPr="00E643F8">
              <w:rPr>
                <w:spacing w:val="-2"/>
              </w:rPr>
              <w:t>Metzger</w:t>
            </w:r>
            <w:proofErr w:type="spellEnd"/>
          </w:p>
        </w:tc>
      </w:tr>
      <w:tr w:rsidR="006F30A5" w:rsidRPr="00E643F8" w14:paraId="11805661" w14:textId="77777777" w:rsidTr="00783693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474E" w14:textId="77777777" w:rsidR="001D4474" w:rsidRPr="00E643F8" w:rsidRDefault="004D1F96">
            <w:pPr>
              <w:jc w:val="left"/>
              <w:rPr>
                <w:spacing w:val="-2"/>
              </w:rPr>
            </w:pPr>
            <w:r w:rsidRPr="00E643F8">
              <w:rPr>
                <w:spacing w:val="-2"/>
              </w:rPr>
              <w:t>Sr. Joseph Strauss</w:t>
            </w:r>
          </w:p>
        </w:tc>
      </w:tr>
    </w:tbl>
    <w:p w14:paraId="037E6EF4" w14:textId="77777777" w:rsidR="006F30A5" w:rsidRPr="00E643F8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jc w:val="left"/>
        <w:rPr>
          <w:color w:val="262626"/>
        </w:rPr>
      </w:pPr>
    </w:p>
    <w:p w14:paraId="24734475" w14:textId="77777777" w:rsidR="006F30A5" w:rsidRPr="00E643F8" w:rsidRDefault="006F30A5" w:rsidP="006F30A5">
      <w:pPr>
        <w:rPr>
          <w:color w:val="262626"/>
        </w:rPr>
      </w:pPr>
    </w:p>
    <w:p w14:paraId="751610B8" w14:textId="77777777" w:rsidR="001D4474" w:rsidRPr="00E643F8" w:rsidRDefault="004D1F96">
      <w:pPr>
        <w:widowControl w:val="0"/>
        <w:tabs>
          <w:tab w:val="left" w:pos="762"/>
        </w:tabs>
        <w:autoSpaceDE w:val="0"/>
        <w:autoSpaceDN w:val="0"/>
        <w:ind w:right="113"/>
        <w:rPr>
          <w:caps/>
        </w:rPr>
      </w:pPr>
      <w:r w:rsidRPr="00E643F8">
        <w:rPr>
          <w:caps/>
        </w:rPr>
        <w:t>MODUS OPERANDI:</w:t>
      </w:r>
    </w:p>
    <w:p w14:paraId="6A8C6956" w14:textId="77777777" w:rsidR="006F30A5" w:rsidRPr="00E643F8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color w:val="262626"/>
        </w:rPr>
      </w:pPr>
    </w:p>
    <w:p w14:paraId="27B20A3F" w14:textId="77777777" w:rsidR="001D4474" w:rsidRPr="00E643F8" w:rsidRDefault="004D1F96">
      <w:pPr>
        <w:pStyle w:val="Heading2"/>
        <w:rPr>
          <w:lang w:val="es-ES_tradnl"/>
        </w:rPr>
      </w:pPr>
      <w:bookmarkStart w:id="10" w:name="_Toc172119300"/>
      <w:bookmarkStart w:id="11" w:name="_Toc172119337"/>
      <w:r w:rsidRPr="00E643F8">
        <w:rPr>
          <w:lang w:val="es-ES_tradnl"/>
        </w:rPr>
        <w:t xml:space="preserve">Independencia: </w:t>
      </w:r>
      <w:bookmarkEnd w:id="10"/>
      <w:bookmarkEnd w:id="11"/>
    </w:p>
    <w:p w14:paraId="743FCBFB" w14:textId="77777777" w:rsidR="006F30A5" w:rsidRPr="0023301E" w:rsidRDefault="006F30A5" w:rsidP="0023301E"/>
    <w:p w14:paraId="4E8145C2" w14:textId="77777777" w:rsidR="001D4474" w:rsidRPr="00E643F8" w:rsidRDefault="004D1F96">
      <w:pPr>
        <w:widowControl w:val="0"/>
        <w:tabs>
          <w:tab w:val="left" w:pos="762"/>
        </w:tabs>
        <w:autoSpaceDE w:val="0"/>
        <w:autoSpaceDN w:val="0"/>
        <w:ind w:right="113"/>
      </w:pPr>
      <w:r w:rsidRPr="00E643F8">
        <w:rPr>
          <w:color w:val="262626"/>
        </w:rPr>
        <w:t>Los autores son independientes en la redacción del estudio</w:t>
      </w:r>
      <w:r w:rsidR="009B2EE6" w:rsidRPr="00E643F8">
        <w:rPr>
          <w:color w:val="262626"/>
        </w:rPr>
        <w:t xml:space="preserve">, </w:t>
      </w:r>
      <w:r w:rsidR="009B2EE6" w:rsidRPr="00E643F8">
        <w:t xml:space="preserve">en el sentido de que no deben recibir </w:t>
      </w:r>
      <w:r w:rsidR="008773A7" w:rsidRPr="00E643F8">
        <w:t>instrucciones</w:t>
      </w:r>
      <w:r w:rsidR="009B2EE6" w:rsidRPr="00E643F8">
        <w:t xml:space="preserve"> individuales de nadie y de que deben ser imparciales y objetivos. </w:t>
      </w:r>
    </w:p>
    <w:p w14:paraId="505DFAC4" w14:textId="77777777" w:rsidR="009B2EE6" w:rsidRPr="00E643F8" w:rsidRDefault="009B2EE6" w:rsidP="006F30A5">
      <w:pPr>
        <w:widowControl w:val="0"/>
        <w:tabs>
          <w:tab w:val="left" w:pos="762"/>
        </w:tabs>
        <w:autoSpaceDE w:val="0"/>
        <w:autoSpaceDN w:val="0"/>
        <w:ind w:right="113"/>
      </w:pPr>
    </w:p>
    <w:p w14:paraId="406A227F" w14:textId="77777777" w:rsidR="001D4474" w:rsidRPr="00E643F8" w:rsidRDefault="004D1F96">
      <w:pPr>
        <w:widowControl w:val="0"/>
        <w:tabs>
          <w:tab w:val="left" w:pos="762"/>
        </w:tabs>
        <w:autoSpaceDE w:val="0"/>
        <w:autoSpaceDN w:val="0"/>
        <w:ind w:right="113"/>
        <w:rPr>
          <w:color w:val="262626"/>
        </w:rPr>
      </w:pPr>
      <w:r w:rsidRPr="00E643F8">
        <w:t xml:space="preserve">Los cinco autores deberán redactar un estudio y seguir un método de trabajo colaborativo que se ajuste a las normas académicas. </w:t>
      </w:r>
      <w:r w:rsidR="009B2EE6" w:rsidRPr="00E643F8">
        <w:t xml:space="preserve">Siguiendo dichas normas, los autores deberán gestionar las posibles diferentes </w:t>
      </w:r>
      <w:r w:rsidR="008773A7" w:rsidRPr="00E643F8">
        <w:t xml:space="preserve">perspectivas o análisis </w:t>
      </w:r>
      <w:r w:rsidR="009B2EE6" w:rsidRPr="00E643F8">
        <w:t>y</w:t>
      </w:r>
      <w:r w:rsidR="00FF03BD" w:rsidRPr="00E643F8">
        <w:t xml:space="preserve">, en su caso, </w:t>
      </w:r>
      <w:r w:rsidR="009B2EE6" w:rsidRPr="00E643F8">
        <w:t xml:space="preserve">cómo deben reflejarse dichas </w:t>
      </w:r>
      <w:r w:rsidR="008773A7" w:rsidRPr="00E643F8">
        <w:t xml:space="preserve">cuestiones </w:t>
      </w:r>
      <w:r w:rsidR="009B2EE6" w:rsidRPr="00E643F8">
        <w:t>en el estudio.</w:t>
      </w:r>
    </w:p>
    <w:p w14:paraId="42BA2E30" w14:textId="77777777" w:rsidR="002117A1" w:rsidRPr="00E643F8" w:rsidRDefault="002117A1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color w:val="262626"/>
        </w:rPr>
      </w:pPr>
    </w:p>
    <w:p w14:paraId="7B8ACF49" w14:textId="77777777" w:rsidR="001D4474" w:rsidRPr="00E643F8" w:rsidRDefault="004D1F96">
      <w:pPr>
        <w:widowControl w:val="0"/>
        <w:tabs>
          <w:tab w:val="left" w:pos="762"/>
        </w:tabs>
        <w:autoSpaceDE w:val="0"/>
        <w:autoSpaceDN w:val="0"/>
        <w:ind w:right="113"/>
        <w:rPr>
          <w:color w:val="262626"/>
        </w:rPr>
      </w:pPr>
      <w:r w:rsidRPr="00E643F8">
        <w:rPr>
          <w:color w:val="262626"/>
        </w:rPr>
        <w:t xml:space="preserve">Una vez recibido el estudio, corresponde al WG-HRV considerar un posible seguimiento y solicitar más orientaciones al CAJ, según proceda. </w:t>
      </w:r>
    </w:p>
    <w:p w14:paraId="173F1A49" w14:textId="77777777" w:rsidR="006F30A5" w:rsidRPr="00E643F8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color w:val="262626"/>
        </w:rPr>
      </w:pPr>
    </w:p>
    <w:p w14:paraId="6AE0123F" w14:textId="77777777" w:rsidR="001D4474" w:rsidRPr="00E643F8" w:rsidRDefault="004D1F96">
      <w:pPr>
        <w:widowControl w:val="0"/>
        <w:tabs>
          <w:tab w:val="left" w:pos="762"/>
        </w:tabs>
        <w:autoSpaceDE w:val="0"/>
        <w:autoSpaceDN w:val="0"/>
        <w:ind w:right="113"/>
        <w:rPr>
          <w:color w:val="262626"/>
        </w:rPr>
      </w:pPr>
      <w:r w:rsidRPr="00E643F8">
        <w:rPr>
          <w:color w:val="262626"/>
        </w:rPr>
        <w:t>Los miembros de la UPOV no están obligados por el contenido y/o las conclusiones extraídas en el estudio.</w:t>
      </w:r>
    </w:p>
    <w:p w14:paraId="3128EFC7" w14:textId="77777777" w:rsidR="006F30A5" w:rsidRPr="00E643F8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color w:val="262626"/>
        </w:rPr>
      </w:pPr>
    </w:p>
    <w:p w14:paraId="6E023771" w14:textId="77777777" w:rsidR="001D4474" w:rsidRPr="00E643F8" w:rsidRDefault="004D1F96">
      <w:pPr>
        <w:pStyle w:val="Heading2"/>
        <w:rPr>
          <w:lang w:val="es-ES_tradnl"/>
        </w:rPr>
      </w:pPr>
      <w:bookmarkStart w:id="12" w:name="_Toc172119301"/>
      <w:bookmarkStart w:id="13" w:name="_Toc172119338"/>
      <w:r w:rsidRPr="00E643F8">
        <w:rPr>
          <w:lang w:val="es-ES_tradnl"/>
        </w:rPr>
        <w:t>Calendario:</w:t>
      </w:r>
      <w:bookmarkEnd w:id="12"/>
      <w:bookmarkEnd w:id="13"/>
    </w:p>
    <w:p w14:paraId="6615CC6E" w14:textId="77777777" w:rsidR="006F30A5" w:rsidRPr="00E643F8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color w:val="161616"/>
        </w:rPr>
      </w:pPr>
    </w:p>
    <w:p w14:paraId="6D5084D4" w14:textId="3DDEEA98" w:rsidR="001D4474" w:rsidRPr="00E643F8" w:rsidRDefault="004D1F96">
      <w:pPr>
        <w:widowControl w:val="0"/>
        <w:tabs>
          <w:tab w:val="left" w:pos="762"/>
        </w:tabs>
        <w:autoSpaceDE w:val="0"/>
        <w:autoSpaceDN w:val="0"/>
        <w:ind w:right="113"/>
        <w:rPr>
          <w:rFonts w:cs="Arial"/>
        </w:rPr>
      </w:pPr>
      <w:r w:rsidRPr="00E643F8">
        <w:rPr>
          <w:rFonts w:cs="Arial"/>
        </w:rPr>
        <w:t xml:space="preserve">Se pedirá a los autores que entreguen el </w:t>
      </w:r>
      <w:r w:rsidR="00FF03BD" w:rsidRPr="00E643F8">
        <w:rPr>
          <w:rFonts w:cs="Arial"/>
        </w:rPr>
        <w:t xml:space="preserve">borrador del </w:t>
      </w:r>
      <w:r w:rsidRPr="00E643F8">
        <w:rPr>
          <w:rFonts w:cs="Arial"/>
        </w:rPr>
        <w:t xml:space="preserve">estudio </w:t>
      </w:r>
      <w:r w:rsidR="00FF03BD" w:rsidRPr="00E643F8">
        <w:rPr>
          <w:rFonts w:cs="Arial"/>
        </w:rPr>
        <w:t xml:space="preserve">a más tardar </w:t>
      </w:r>
      <w:r w:rsidR="006B40B2" w:rsidRPr="00E643F8">
        <w:rPr>
          <w:rFonts w:cs="Arial"/>
        </w:rPr>
        <w:t xml:space="preserve">el </w:t>
      </w:r>
      <w:r w:rsidR="00FF03BD" w:rsidRPr="00E643F8">
        <w:rPr>
          <w:rFonts w:cs="Arial"/>
        </w:rPr>
        <w:t xml:space="preserve">28 de febrero </w:t>
      </w:r>
      <w:r w:rsidR="006B40B2" w:rsidRPr="00E643F8">
        <w:rPr>
          <w:rFonts w:cs="Arial"/>
        </w:rPr>
        <w:t xml:space="preserve">de 2025 </w:t>
      </w:r>
      <w:r w:rsidRPr="00E643F8">
        <w:rPr>
          <w:rFonts w:cs="Arial"/>
        </w:rPr>
        <w:t xml:space="preserve">para su consideración en la </w:t>
      </w:r>
      <w:r w:rsidR="002117A1" w:rsidRPr="00E643F8">
        <w:rPr>
          <w:rFonts w:cs="Arial"/>
        </w:rPr>
        <w:t xml:space="preserve">séptima </w:t>
      </w:r>
      <w:r w:rsidRPr="00E643F8">
        <w:rPr>
          <w:rFonts w:cs="Arial"/>
        </w:rPr>
        <w:t xml:space="preserve">reunión del WG-HRV, prevista en Ginebra </w:t>
      </w:r>
      <w:r w:rsidR="00FF03BD" w:rsidRPr="00E643F8">
        <w:rPr>
          <w:rFonts w:cs="Arial"/>
        </w:rPr>
        <w:t xml:space="preserve">el </w:t>
      </w:r>
      <w:r w:rsidR="00B53C9A" w:rsidRPr="00E643F8">
        <w:rPr>
          <w:rFonts w:cs="Arial"/>
        </w:rPr>
        <w:t xml:space="preserve">20 de </w:t>
      </w:r>
      <w:r w:rsidR="002117A1" w:rsidRPr="00E643F8">
        <w:rPr>
          <w:rFonts w:cs="Arial"/>
        </w:rPr>
        <w:t xml:space="preserve">marzo </w:t>
      </w:r>
      <w:r w:rsidRPr="00E643F8">
        <w:rPr>
          <w:rFonts w:cs="Arial"/>
        </w:rPr>
        <w:t xml:space="preserve">de </w:t>
      </w:r>
      <w:r w:rsidR="002117A1" w:rsidRPr="00E643F8">
        <w:rPr>
          <w:rFonts w:cs="Arial"/>
        </w:rPr>
        <w:t>2025</w:t>
      </w:r>
      <w:r w:rsidR="00B53C9A" w:rsidRPr="00E643F8">
        <w:rPr>
          <w:rFonts w:cs="Arial"/>
        </w:rPr>
        <w:t>, pendiente de confirmación</w:t>
      </w:r>
      <w:r w:rsidRPr="00E643F8">
        <w:rPr>
          <w:rFonts w:cs="Arial"/>
        </w:rPr>
        <w:t xml:space="preserve">.  </w:t>
      </w:r>
      <w:r w:rsidR="00FF03BD" w:rsidRPr="00E643F8">
        <w:rPr>
          <w:rFonts w:cs="Arial"/>
        </w:rPr>
        <w:t xml:space="preserve">La versión final del estudio deberá entregarse </w:t>
      </w:r>
      <w:r w:rsidR="006B40B2" w:rsidRPr="00E643F8">
        <w:rPr>
          <w:rFonts w:cs="Arial"/>
        </w:rPr>
        <w:t>a más tardar el 1 de septiembre de 2025.</w:t>
      </w:r>
    </w:p>
    <w:p w14:paraId="4504B64C" w14:textId="77777777" w:rsidR="006F30A5" w:rsidRPr="00E643F8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rFonts w:cs="Arial"/>
        </w:rPr>
      </w:pPr>
    </w:p>
    <w:p w14:paraId="60D2500F" w14:textId="77777777" w:rsidR="001D4474" w:rsidRPr="00E643F8" w:rsidRDefault="004D1F96">
      <w:pPr>
        <w:widowControl w:val="0"/>
        <w:tabs>
          <w:tab w:val="left" w:pos="762"/>
        </w:tabs>
        <w:autoSpaceDE w:val="0"/>
        <w:autoSpaceDN w:val="0"/>
        <w:ind w:right="113"/>
        <w:rPr>
          <w:color w:val="161616"/>
        </w:rPr>
      </w:pPr>
      <w:r w:rsidRPr="00E643F8">
        <w:rPr>
          <w:color w:val="161616"/>
        </w:rPr>
        <w:t xml:space="preserve">El tiempo podría prolongarse a petición de los autores. </w:t>
      </w:r>
    </w:p>
    <w:p w14:paraId="7F56301A" w14:textId="77777777" w:rsidR="006F30A5" w:rsidRPr="00E643F8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color w:val="161616"/>
        </w:rPr>
      </w:pPr>
    </w:p>
    <w:p w14:paraId="288061CA" w14:textId="77777777" w:rsidR="001D4474" w:rsidRPr="00E643F8" w:rsidRDefault="004D1F96">
      <w:pPr>
        <w:pStyle w:val="Heading2"/>
        <w:rPr>
          <w:lang w:val="es-ES_tradnl"/>
        </w:rPr>
      </w:pPr>
      <w:bookmarkStart w:id="14" w:name="_Toc172119302"/>
      <w:bookmarkStart w:id="15" w:name="_Toc172119339"/>
      <w:r w:rsidRPr="00E643F8">
        <w:rPr>
          <w:lang w:val="es-ES_tradnl"/>
        </w:rPr>
        <w:t>Apoyo financiero:</w:t>
      </w:r>
      <w:bookmarkEnd w:id="14"/>
      <w:bookmarkEnd w:id="15"/>
    </w:p>
    <w:p w14:paraId="60343E19" w14:textId="77777777" w:rsidR="00302C50" w:rsidRPr="00E643F8" w:rsidRDefault="00302C50" w:rsidP="002E5189">
      <w:pPr>
        <w:jc w:val="left"/>
      </w:pPr>
    </w:p>
    <w:p w14:paraId="4F3F3C5E" w14:textId="77777777" w:rsidR="001D4474" w:rsidRPr="00E643F8" w:rsidRDefault="004D1F96">
      <w:pPr>
        <w:jc w:val="left"/>
      </w:pPr>
      <w:r w:rsidRPr="00E643F8">
        <w:t xml:space="preserve">55.000 francos suizos que incluirían: </w:t>
      </w:r>
    </w:p>
    <w:p w14:paraId="47FBC295" w14:textId="555DFC76" w:rsidR="001D4474" w:rsidRPr="00E643F8" w:rsidRDefault="004D1F96" w:rsidP="00F111A1">
      <w:pPr>
        <w:ind w:left="284" w:hanging="284"/>
      </w:pPr>
      <w:r w:rsidRPr="00E643F8">
        <w:rPr>
          <w:rFonts w:ascii="MS Gothic" w:eastAsia="MS Gothic" w:hAnsi="MS Gothic" w:cs="MS Gothic"/>
        </w:rPr>
        <w:t>・</w:t>
      </w:r>
      <w:r w:rsidR="00F111A1">
        <w:rPr>
          <w:rFonts w:ascii="MS Gothic" w:eastAsia="MS Gothic" w:hAnsi="MS Gothic" w:cs="MS Gothic"/>
        </w:rPr>
        <w:tab/>
      </w:r>
      <w:r w:rsidRPr="00F111A1">
        <w:rPr>
          <w:rFonts w:eastAsia="MS Gothic" w:hint="eastAsia"/>
        </w:rPr>
        <w:t>Honorari</w:t>
      </w:r>
      <w:r w:rsidR="00F111A1">
        <w:rPr>
          <w:rFonts w:eastAsia="MS Gothic"/>
        </w:rPr>
        <w:t>os</w:t>
      </w:r>
      <w:r w:rsidRPr="00F111A1">
        <w:rPr>
          <w:rFonts w:eastAsia="MS Gothic" w:hint="eastAsia"/>
        </w:rPr>
        <w:t xml:space="preserve"> </w:t>
      </w:r>
      <w:r w:rsidRPr="00F111A1">
        <w:t>de</w:t>
      </w:r>
      <w:r w:rsidRPr="00E643F8">
        <w:t xml:space="preserve"> 10.000 francos suizos para cada uno de los 5 autores. </w:t>
      </w:r>
    </w:p>
    <w:p w14:paraId="20649F34" w14:textId="5BCFF49A" w:rsidR="001D4474" w:rsidRPr="00E643F8" w:rsidRDefault="004D1F96" w:rsidP="00F111A1">
      <w:pPr>
        <w:ind w:left="284" w:hanging="284"/>
      </w:pPr>
      <w:r w:rsidRPr="00E643F8">
        <w:t>・</w:t>
      </w:r>
      <w:r w:rsidR="00F111A1">
        <w:tab/>
      </w:r>
      <w:r w:rsidRPr="00E643F8">
        <w:t>Gastos de viaje de hasta 5.000 francos suizos en total para los 5 autores. La finalidad del viaje podría ser convocar una reunión entre los autores o sufragar el viaje para acudir a Ginebra a presentar las conclusiones del estudio o cualquier otro gasto de viaje imprevisto.</w:t>
      </w:r>
    </w:p>
    <w:p w14:paraId="4F3C55E5" w14:textId="77777777" w:rsidR="00222C58" w:rsidRPr="00F111A1" w:rsidRDefault="00222C58" w:rsidP="00F111A1"/>
    <w:p w14:paraId="58B82162" w14:textId="3374FD93" w:rsidR="001D4474" w:rsidRPr="00E643F8" w:rsidRDefault="004D1F96" w:rsidP="00F111A1">
      <w:r w:rsidRPr="00E643F8">
        <w:lastRenderedPageBreak/>
        <w:t>La estimación global del coste a repartir es la siguiente:  El presupuesto ordinario de la UPOV cubriría 30.000</w:t>
      </w:r>
      <w:r w:rsidR="00F111A1">
        <w:t> </w:t>
      </w:r>
      <w:r w:rsidRPr="00E643F8">
        <w:t>francos suizos y el Acuerdo de Fondos Fiduciarios entre el Gobierno de</w:t>
      </w:r>
      <w:r w:rsidR="00F111A1">
        <w:t>l</w:t>
      </w:r>
      <w:r w:rsidRPr="00E643F8">
        <w:t xml:space="preserve"> Japón y la UPOV (JP-FIT) cubriría 25.000 francos suizos.  </w:t>
      </w:r>
    </w:p>
    <w:p w14:paraId="2AE59BB9" w14:textId="77777777" w:rsidR="00222C58" w:rsidRPr="00E643F8" w:rsidRDefault="00222C58" w:rsidP="002E5189">
      <w:pPr>
        <w:jc w:val="left"/>
      </w:pPr>
    </w:p>
    <w:p w14:paraId="4593C9FE" w14:textId="77777777" w:rsidR="006F30A5" w:rsidRPr="00E643F8" w:rsidRDefault="006F30A5" w:rsidP="006F30A5">
      <w:pPr>
        <w:jc w:val="left"/>
      </w:pPr>
    </w:p>
    <w:p w14:paraId="51B9018B" w14:textId="77777777" w:rsidR="00222C58" w:rsidRPr="00E643F8" w:rsidRDefault="00222C58" w:rsidP="006F30A5">
      <w:pPr>
        <w:jc w:val="left"/>
      </w:pPr>
    </w:p>
    <w:p w14:paraId="417D1D65" w14:textId="77777777" w:rsidR="001D4474" w:rsidRPr="00E643F8" w:rsidRDefault="004D1F96">
      <w:pPr>
        <w:jc w:val="right"/>
      </w:pPr>
      <w:r w:rsidRPr="00E643F8">
        <w:t>[Fin del anexo y del documento]</w:t>
      </w:r>
    </w:p>
    <w:sectPr w:rsidR="001D4474" w:rsidRPr="00E643F8" w:rsidSect="0004198B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7F0147" w14:textId="77777777" w:rsidR="00325E4F" w:rsidRDefault="00325E4F" w:rsidP="006655D3">
      <w:r>
        <w:separator/>
      </w:r>
    </w:p>
    <w:p w14:paraId="2260ABCE" w14:textId="77777777" w:rsidR="00325E4F" w:rsidRDefault="00325E4F" w:rsidP="006655D3"/>
    <w:p w14:paraId="71ABBB59" w14:textId="77777777" w:rsidR="00325E4F" w:rsidRDefault="00325E4F" w:rsidP="006655D3"/>
  </w:endnote>
  <w:endnote w:type="continuationSeparator" w:id="0">
    <w:p w14:paraId="6B164208" w14:textId="77777777" w:rsidR="00325E4F" w:rsidRDefault="00325E4F" w:rsidP="006655D3">
      <w:r>
        <w:separator/>
      </w:r>
    </w:p>
    <w:p w14:paraId="4FF02D55" w14:textId="77777777" w:rsidR="001D4474" w:rsidRDefault="004D1F9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C07FC9B" w14:textId="77777777" w:rsidR="00325E4F" w:rsidRPr="00294751" w:rsidRDefault="00325E4F" w:rsidP="006655D3">
      <w:pPr>
        <w:rPr>
          <w:lang w:val="fr-FR"/>
        </w:rPr>
      </w:pPr>
    </w:p>
    <w:p w14:paraId="6972A145" w14:textId="77777777" w:rsidR="00325E4F" w:rsidRPr="00294751" w:rsidRDefault="00325E4F" w:rsidP="006655D3">
      <w:pPr>
        <w:rPr>
          <w:lang w:val="fr-FR"/>
        </w:rPr>
      </w:pPr>
    </w:p>
  </w:endnote>
  <w:endnote w:type="continuationNotice" w:id="1">
    <w:p w14:paraId="718A8D11" w14:textId="77777777" w:rsidR="001D4474" w:rsidRDefault="004D1F96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B52BF62" w14:textId="77777777" w:rsidR="00325E4F" w:rsidRPr="00294751" w:rsidRDefault="00325E4F" w:rsidP="006655D3">
      <w:pPr>
        <w:rPr>
          <w:lang w:val="fr-FR"/>
        </w:rPr>
      </w:pPr>
    </w:p>
    <w:p w14:paraId="6084F654" w14:textId="77777777" w:rsidR="00325E4F" w:rsidRPr="00294751" w:rsidRDefault="00325E4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AA994" w14:textId="77777777" w:rsidR="00325E4F" w:rsidRDefault="00325E4F" w:rsidP="006655D3">
      <w:r>
        <w:separator/>
      </w:r>
    </w:p>
  </w:footnote>
  <w:footnote w:type="continuationSeparator" w:id="0">
    <w:p w14:paraId="7B0E8945" w14:textId="77777777" w:rsidR="00325E4F" w:rsidRDefault="00325E4F" w:rsidP="006655D3">
      <w:r>
        <w:separator/>
      </w:r>
    </w:p>
  </w:footnote>
  <w:footnote w:type="continuationNotice" w:id="1">
    <w:p w14:paraId="7A6650AC" w14:textId="77777777" w:rsidR="00325E4F" w:rsidRPr="00AB530F" w:rsidRDefault="00325E4F" w:rsidP="00AB530F">
      <w:pPr>
        <w:pStyle w:val="Footer"/>
      </w:pPr>
    </w:p>
  </w:footnote>
  <w:footnote w:id="2">
    <w:p w14:paraId="760552D3" w14:textId="03D22F52" w:rsidR="001D4474" w:rsidRPr="00777E6B" w:rsidRDefault="004D1F96" w:rsidP="008A20B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777E6B">
        <w:rPr>
          <w:spacing w:val="-2"/>
          <w:lang w:val="es-ES"/>
        </w:rPr>
        <w:tab/>
        <w:t>Celebrad</w:t>
      </w:r>
      <w:r w:rsidR="006E2FA0">
        <w:rPr>
          <w:spacing w:val="-2"/>
          <w:lang w:val="es-ES"/>
        </w:rPr>
        <w:t>a</w:t>
      </w:r>
      <w:r w:rsidRPr="00777E6B">
        <w:rPr>
          <w:spacing w:val="-2"/>
          <w:lang w:val="es-ES"/>
        </w:rPr>
        <w:t xml:space="preserve"> en Ginebra </w:t>
      </w:r>
      <w:r w:rsidRPr="00777E6B">
        <w:rPr>
          <w:lang w:val="es-ES"/>
        </w:rPr>
        <w:t>el 21 de marzo de 2023</w:t>
      </w:r>
      <w:r w:rsidR="00BA45BF">
        <w:rPr>
          <w:lang w:val="es-ES"/>
        </w:rPr>
        <w:t>.</w:t>
      </w:r>
    </w:p>
  </w:footnote>
  <w:footnote w:id="3">
    <w:p w14:paraId="45475F1D" w14:textId="316E1DAE" w:rsidR="001D4474" w:rsidRPr="00777E6B" w:rsidRDefault="004D1F96" w:rsidP="008A20B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777E6B">
        <w:rPr>
          <w:lang w:val="es-ES"/>
        </w:rPr>
        <w:t xml:space="preserve"> </w:t>
      </w:r>
      <w:r w:rsidRPr="00777E6B">
        <w:rPr>
          <w:lang w:val="es-ES"/>
        </w:rPr>
        <w:tab/>
      </w:r>
      <w:r w:rsidRPr="00777E6B">
        <w:rPr>
          <w:spacing w:val="-2"/>
          <w:lang w:val="es-ES"/>
        </w:rPr>
        <w:t>Celebrad</w:t>
      </w:r>
      <w:r w:rsidR="006E2FA0">
        <w:rPr>
          <w:spacing w:val="-2"/>
          <w:lang w:val="es-ES"/>
        </w:rPr>
        <w:t>a</w:t>
      </w:r>
      <w:r w:rsidRPr="00777E6B">
        <w:rPr>
          <w:spacing w:val="-2"/>
          <w:lang w:val="es-ES"/>
        </w:rPr>
        <w:t xml:space="preserve"> en Ginebra </w:t>
      </w:r>
      <w:r w:rsidRPr="00777E6B">
        <w:rPr>
          <w:lang w:val="es-ES"/>
        </w:rPr>
        <w:t>el 25 de octubre de 2023</w:t>
      </w:r>
      <w:r w:rsidR="00BA45BF">
        <w:rPr>
          <w:lang w:val="es-ES"/>
        </w:rPr>
        <w:t>.</w:t>
      </w:r>
    </w:p>
  </w:footnote>
  <w:footnote w:id="4">
    <w:p w14:paraId="5E18BC1E" w14:textId="7A8CFA36" w:rsidR="001D4474" w:rsidRPr="00777E6B" w:rsidRDefault="004D1F96" w:rsidP="008A20BF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="00BA45BF">
        <w:rPr>
          <w:lang w:val="es-ES"/>
        </w:rPr>
        <w:tab/>
      </w:r>
      <w:r w:rsidRPr="00777E6B">
        <w:rPr>
          <w:lang w:val="es-ES"/>
        </w:rPr>
        <w:t>Celebrad</w:t>
      </w:r>
      <w:r w:rsidR="00E643F8">
        <w:rPr>
          <w:lang w:val="es-ES"/>
        </w:rPr>
        <w:t>a</w:t>
      </w:r>
      <w:r w:rsidRPr="00777E6B">
        <w:rPr>
          <w:lang w:val="es-ES"/>
        </w:rPr>
        <w:t xml:space="preserve"> en Ginebra el 21 de marzo de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21809" w14:textId="77777777" w:rsidR="001D4474" w:rsidRDefault="004D1F96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WG-HRV/6/2</w:t>
    </w:r>
  </w:p>
  <w:p w14:paraId="34D62ADD" w14:textId="3EE40315" w:rsidR="006F30A5" w:rsidRDefault="004D1F96" w:rsidP="00D4159F">
    <w:pPr>
      <w:pStyle w:val="Header"/>
      <w:rPr>
        <w:rStyle w:val="PageNumber"/>
        <w:lang w:val="en-US"/>
      </w:rPr>
    </w:pPr>
    <w:r w:rsidRPr="00C5280D">
      <w:rPr>
        <w:lang w:val="en-US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BCC544D" w14:textId="77777777" w:rsidR="00E643F8" w:rsidRPr="00D4159F" w:rsidRDefault="00E643F8" w:rsidP="00D4159F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84693" w14:textId="77777777" w:rsidR="001D4474" w:rsidRDefault="006F30A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WG-HRV/6/2</w:t>
    </w:r>
  </w:p>
  <w:p w14:paraId="4A785BAE" w14:textId="77777777" w:rsidR="001D4474" w:rsidRDefault="004D1F96">
    <w:pPr>
      <w:pStyle w:val="Header"/>
      <w:rPr>
        <w:lang w:val="en-US"/>
      </w:rPr>
    </w:pPr>
    <w:r>
      <w:rPr>
        <w:lang w:val="en-US"/>
      </w:rPr>
      <w:t xml:space="preserve">Anexo, </w:t>
    </w:r>
    <w:r w:rsidR="0004198B" w:rsidRPr="00C5280D">
      <w:rPr>
        <w:lang w:val="en-US"/>
      </w:rPr>
      <w:t xml:space="preserve">página </w:t>
    </w:r>
    <w:r w:rsidR="0004198B" w:rsidRPr="00C5280D">
      <w:rPr>
        <w:rStyle w:val="PageNumber"/>
        <w:lang w:val="en-US"/>
      </w:rPr>
      <w:fldChar w:fldCharType="begin"/>
    </w:r>
    <w:r w:rsidR="0004198B" w:rsidRPr="00C5280D">
      <w:rPr>
        <w:rStyle w:val="PageNumber"/>
        <w:lang w:val="en-US"/>
      </w:rPr>
      <w:instrText xml:space="preserve"> PAGE </w:instrText>
    </w:r>
    <w:r w:rsidR="0004198B" w:rsidRPr="00C5280D">
      <w:rPr>
        <w:rStyle w:val="PageNumber"/>
        <w:lang w:val="en-US"/>
      </w:rPr>
      <w:fldChar w:fldCharType="separate"/>
    </w:r>
    <w:r w:rsidR="00F44BF1">
      <w:rPr>
        <w:rStyle w:val="PageNumber"/>
        <w:noProof/>
        <w:lang w:val="en-US"/>
      </w:rPr>
      <w:t>2</w:t>
    </w:r>
    <w:r w:rsidR="0004198B" w:rsidRPr="00C5280D">
      <w:rPr>
        <w:rStyle w:val="PageNumber"/>
        <w:lang w:val="en-US"/>
      </w:rPr>
      <w:fldChar w:fldCharType="end"/>
    </w:r>
  </w:p>
  <w:p w14:paraId="0661F9BB" w14:textId="77777777" w:rsidR="0004198B" w:rsidRPr="00C5280D" w:rsidRDefault="0004198B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53979" w14:textId="77777777" w:rsidR="001D4474" w:rsidRDefault="004D1F96">
    <w:pPr>
      <w:pStyle w:val="Header"/>
      <w:rPr>
        <w:lang w:val="fr-CH"/>
      </w:rPr>
    </w:pPr>
    <w:r>
      <w:rPr>
        <w:lang w:val="fr-CH"/>
      </w:rPr>
      <w:t>WG-HRV/6/2</w:t>
    </w:r>
  </w:p>
  <w:p w14:paraId="777A99B7" w14:textId="77777777" w:rsidR="006F30A5" w:rsidRDefault="006F30A5" w:rsidP="006F30A5">
    <w:pPr>
      <w:pStyle w:val="Header"/>
      <w:rPr>
        <w:lang w:val="fr-CH"/>
      </w:rPr>
    </w:pPr>
  </w:p>
  <w:p w14:paraId="3567FB9D" w14:textId="77777777" w:rsidR="001D4474" w:rsidRDefault="004D1F96">
    <w:pPr>
      <w:pStyle w:val="Header"/>
      <w:rPr>
        <w:lang w:val="fr-CH"/>
      </w:rPr>
    </w:pPr>
    <w:r>
      <w:rPr>
        <w:lang w:val="fr-CH"/>
      </w:rPr>
      <w:t>ANEXO</w:t>
    </w:r>
  </w:p>
  <w:p w14:paraId="712C92DE" w14:textId="77777777" w:rsidR="006F30A5" w:rsidRDefault="006F3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48CD"/>
    <w:multiLevelType w:val="hybridMultilevel"/>
    <w:tmpl w:val="E9506840"/>
    <w:lvl w:ilvl="0" w:tplc="517EBF72">
      <w:start w:val="1"/>
      <w:numFmt w:val="lowerLetter"/>
      <w:lvlText w:val="(%1)"/>
      <w:lvlJc w:val="left"/>
      <w:pPr>
        <w:ind w:left="60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" w15:restartNumberingAfterBreak="0">
    <w:nsid w:val="29217F4B"/>
    <w:multiLevelType w:val="hybridMultilevel"/>
    <w:tmpl w:val="4AE49D9A"/>
    <w:lvl w:ilvl="0" w:tplc="8544EA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13B00"/>
    <w:multiLevelType w:val="hybridMultilevel"/>
    <w:tmpl w:val="7786A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40725"/>
    <w:multiLevelType w:val="hybridMultilevel"/>
    <w:tmpl w:val="B134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07203">
    <w:abstractNumId w:val="0"/>
  </w:num>
  <w:num w:numId="2" w16cid:durableId="769742828">
    <w:abstractNumId w:val="1"/>
  </w:num>
  <w:num w:numId="3" w16cid:durableId="1311472530">
    <w:abstractNumId w:val="3"/>
  </w:num>
  <w:num w:numId="4" w16cid:durableId="1877621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4F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64D98"/>
    <w:rsid w:val="00085505"/>
    <w:rsid w:val="000C4E25"/>
    <w:rsid w:val="000C7021"/>
    <w:rsid w:val="000D6BBC"/>
    <w:rsid w:val="000D7780"/>
    <w:rsid w:val="000E0618"/>
    <w:rsid w:val="000E636A"/>
    <w:rsid w:val="000F2F11"/>
    <w:rsid w:val="000F606D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9020B"/>
    <w:rsid w:val="001C0260"/>
    <w:rsid w:val="001C1525"/>
    <w:rsid w:val="001D4474"/>
    <w:rsid w:val="002117A1"/>
    <w:rsid w:val="0021332C"/>
    <w:rsid w:val="00213982"/>
    <w:rsid w:val="00222C58"/>
    <w:rsid w:val="0023301E"/>
    <w:rsid w:val="0024416D"/>
    <w:rsid w:val="00260EA2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96CB7"/>
    <w:rsid w:val="002A6E50"/>
    <w:rsid w:val="002B4298"/>
    <w:rsid w:val="002B7A36"/>
    <w:rsid w:val="002C256A"/>
    <w:rsid w:val="002D5226"/>
    <w:rsid w:val="002E5189"/>
    <w:rsid w:val="00302C50"/>
    <w:rsid w:val="00305A7F"/>
    <w:rsid w:val="003152FE"/>
    <w:rsid w:val="00325E4F"/>
    <w:rsid w:val="00327436"/>
    <w:rsid w:val="00332020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D1F96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56863"/>
    <w:rsid w:val="00575DE2"/>
    <w:rsid w:val="00576BE4"/>
    <w:rsid w:val="005779DB"/>
    <w:rsid w:val="005A2A67"/>
    <w:rsid w:val="005A400A"/>
    <w:rsid w:val="005B269D"/>
    <w:rsid w:val="005D13A6"/>
    <w:rsid w:val="005F7B92"/>
    <w:rsid w:val="00612379"/>
    <w:rsid w:val="006153B6"/>
    <w:rsid w:val="0061555F"/>
    <w:rsid w:val="006245ED"/>
    <w:rsid w:val="0062468E"/>
    <w:rsid w:val="00636CA6"/>
    <w:rsid w:val="00641200"/>
    <w:rsid w:val="00644B33"/>
    <w:rsid w:val="00645CA8"/>
    <w:rsid w:val="006655D3"/>
    <w:rsid w:val="00667404"/>
    <w:rsid w:val="00687EB4"/>
    <w:rsid w:val="00695C56"/>
    <w:rsid w:val="006A5CDE"/>
    <w:rsid w:val="006A644A"/>
    <w:rsid w:val="006B17D2"/>
    <w:rsid w:val="006B40B2"/>
    <w:rsid w:val="006C224E"/>
    <w:rsid w:val="006D780A"/>
    <w:rsid w:val="006E2FA0"/>
    <w:rsid w:val="006F30A5"/>
    <w:rsid w:val="0071271E"/>
    <w:rsid w:val="00732DEC"/>
    <w:rsid w:val="0073565F"/>
    <w:rsid w:val="00735BD5"/>
    <w:rsid w:val="007451EC"/>
    <w:rsid w:val="00751613"/>
    <w:rsid w:val="00753EE9"/>
    <w:rsid w:val="007556F6"/>
    <w:rsid w:val="00760EEF"/>
    <w:rsid w:val="00777E6B"/>
    <w:rsid w:val="00777EE5"/>
    <w:rsid w:val="00784836"/>
    <w:rsid w:val="0079023E"/>
    <w:rsid w:val="007A2854"/>
    <w:rsid w:val="007B7881"/>
    <w:rsid w:val="007C1D92"/>
    <w:rsid w:val="007C4CB9"/>
    <w:rsid w:val="007D0B9D"/>
    <w:rsid w:val="007D19B0"/>
    <w:rsid w:val="007E3CBF"/>
    <w:rsid w:val="007F498F"/>
    <w:rsid w:val="008032D6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773A7"/>
    <w:rsid w:val="00886D10"/>
    <w:rsid w:val="00890DF8"/>
    <w:rsid w:val="008A0ADE"/>
    <w:rsid w:val="008A20BF"/>
    <w:rsid w:val="008A743F"/>
    <w:rsid w:val="008C0970"/>
    <w:rsid w:val="008D0BC5"/>
    <w:rsid w:val="008D0F14"/>
    <w:rsid w:val="008D2CF7"/>
    <w:rsid w:val="00900C26"/>
    <w:rsid w:val="0090197F"/>
    <w:rsid w:val="00903264"/>
    <w:rsid w:val="00906DDC"/>
    <w:rsid w:val="009136A0"/>
    <w:rsid w:val="00934E09"/>
    <w:rsid w:val="00936253"/>
    <w:rsid w:val="00940D46"/>
    <w:rsid w:val="009413F1"/>
    <w:rsid w:val="00952DD4"/>
    <w:rsid w:val="009561F4"/>
    <w:rsid w:val="00965AE7"/>
    <w:rsid w:val="00970FED"/>
    <w:rsid w:val="00991E86"/>
    <w:rsid w:val="00992D82"/>
    <w:rsid w:val="00997029"/>
    <w:rsid w:val="009A7339"/>
    <w:rsid w:val="009B2EE6"/>
    <w:rsid w:val="009B440E"/>
    <w:rsid w:val="009C536A"/>
    <w:rsid w:val="009D690D"/>
    <w:rsid w:val="009E65B6"/>
    <w:rsid w:val="009E7203"/>
    <w:rsid w:val="009F0A51"/>
    <w:rsid w:val="009F77CF"/>
    <w:rsid w:val="00A24C10"/>
    <w:rsid w:val="00A42AC3"/>
    <w:rsid w:val="00A430CF"/>
    <w:rsid w:val="00A46D38"/>
    <w:rsid w:val="00A54309"/>
    <w:rsid w:val="00A610A9"/>
    <w:rsid w:val="00A73882"/>
    <w:rsid w:val="00A80F2A"/>
    <w:rsid w:val="00A82B09"/>
    <w:rsid w:val="00A96C33"/>
    <w:rsid w:val="00AB2B93"/>
    <w:rsid w:val="00AB530F"/>
    <w:rsid w:val="00AB7E5B"/>
    <w:rsid w:val="00AC2883"/>
    <w:rsid w:val="00AE0EF1"/>
    <w:rsid w:val="00AE2937"/>
    <w:rsid w:val="00B065ED"/>
    <w:rsid w:val="00B07301"/>
    <w:rsid w:val="00B11F3E"/>
    <w:rsid w:val="00B224DE"/>
    <w:rsid w:val="00B324D4"/>
    <w:rsid w:val="00B46575"/>
    <w:rsid w:val="00B46AEE"/>
    <w:rsid w:val="00B53C9A"/>
    <w:rsid w:val="00B61777"/>
    <w:rsid w:val="00B622E6"/>
    <w:rsid w:val="00B83E82"/>
    <w:rsid w:val="00B84BBD"/>
    <w:rsid w:val="00BA43FB"/>
    <w:rsid w:val="00BA45BF"/>
    <w:rsid w:val="00BC127D"/>
    <w:rsid w:val="00BC1FE6"/>
    <w:rsid w:val="00BD1943"/>
    <w:rsid w:val="00C061B6"/>
    <w:rsid w:val="00C2446C"/>
    <w:rsid w:val="00C36AE5"/>
    <w:rsid w:val="00C41F17"/>
    <w:rsid w:val="00C45D29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D680A"/>
    <w:rsid w:val="00CF1330"/>
    <w:rsid w:val="00CF7E36"/>
    <w:rsid w:val="00D3708D"/>
    <w:rsid w:val="00D40426"/>
    <w:rsid w:val="00D4159F"/>
    <w:rsid w:val="00D50EFC"/>
    <w:rsid w:val="00D57C96"/>
    <w:rsid w:val="00D57D18"/>
    <w:rsid w:val="00D70E65"/>
    <w:rsid w:val="00D91203"/>
    <w:rsid w:val="00D95174"/>
    <w:rsid w:val="00D96027"/>
    <w:rsid w:val="00DA4973"/>
    <w:rsid w:val="00DA6F36"/>
    <w:rsid w:val="00DB596E"/>
    <w:rsid w:val="00DB7773"/>
    <w:rsid w:val="00DC00EA"/>
    <w:rsid w:val="00DC3802"/>
    <w:rsid w:val="00DD6208"/>
    <w:rsid w:val="00DF7E99"/>
    <w:rsid w:val="00E0569F"/>
    <w:rsid w:val="00E07D87"/>
    <w:rsid w:val="00E249C8"/>
    <w:rsid w:val="00E32F7E"/>
    <w:rsid w:val="00E5267B"/>
    <w:rsid w:val="00E559F0"/>
    <w:rsid w:val="00E573A8"/>
    <w:rsid w:val="00E63C0E"/>
    <w:rsid w:val="00E643F8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11A1"/>
    <w:rsid w:val="00F1237A"/>
    <w:rsid w:val="00F22CBD"/>
    <w:rsid w:val="00F272F1"/>
    <w:rsid w:val="00F31412"/>
    <w:rsid w:val="00F44BF1"/>
    <w:rsid w:val="00F45372"/>
    <w:rsid w:val="00F560F7"/>
    <w:rsid w:val="00F6334D"/>
    <w:rsid w:val="00F63599"/>
    <w:rsid w:val="00F71781"/>
    <w:rsid w:val="00FA49AB"/>
    <w:rsid w:val="00FC5FD0"/>
    <w:rsid w:val="00FE1B37"/>
    <w:rsid w:val="00FE39C7"/>
    <w:rsid w:val="00FF03BD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4FF8CD"/>
  <w15:docId w15:val="{E7F50539-FED1-43A2-9952-E6581398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3F8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D4159F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8A20BF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6E2FA0"/>
    <w:pPr>
      <w:tabs>
        <w:tab w:val="right" w:leader="dot" w:pos="9639"/>
      </w:tabs>
      <w:spacing w:after="120"/>
      <w:ind w:right="284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6F30A5"/>
    <w:pPr>
      <w:ind w:left="720"/>
      <w:contextualSpacing/>
    </w:pPr>
  </w:style>
  <w:style w:type="table" w:styleId="TableGrid">
    <w:name w:val="Table Grid"/>
    <w:basedOn w:val="TableNormal"/>
    <w:rsid w:val="006F30A5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0A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Ad%20hoc%20Working%20Groups\WG-HRV\WG-HRV_6_October_22_2024\templates\wg_hrv_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B79D-C0CD-49A8-938E-8CAB423A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wg_hrv_6_EN.dotx</Template>
  <TotalTime>100</TotalTime>
  <Pages>4</Pages>
  <Words>1448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WG-HRV/6</vt:lpstr>
    </vt:vector>
  </TitlesOfParts>
  <Company>UPOV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WG-HRV/6</dc:title>
  <dc:creator>NICOLO Laurianne</dc:creator>
  <cp:keywords>, docId:97B4124B294DEB6AB9FBBC7BEF143C9C</cp:keywords>
  <cp:lastModifiedBy>SANCHEZ VIZCAINO GOMEZ Rosa Maria</cp:lastModifiedBy>
  <cp:revision>14</cp:revision>
  <cp:lastPrinted>2016-11-22T15:41:00Z</cp:lastPrinted>
  <dcterms:created xsi:type="dcterms:W3CDTF">2024-07-29T09:03:00Z</dcterms:created>
  <dcterms:modified xsi:type="dcterms:W3CDTF">2024-08-12T13:24:00Z</dcterms:modified>
</cp:coreProperties>
</file>