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ADAFFEF" w14:textId="77777777" w:rsidTr="00EB4E9C">
        <w:tc>
          <w:tcPr>
            <w:tcW w:w="6522" w:type="dxa"/>
          </w:tcPr>
          <w:p w14:paraId="290815AC" w14:textId="77777777" w:rsidR="00DC3802" w:rsidRPr="00AC2883" w:rsidRDefault="00DC3802" w:rsidP="00AC2883">
            <w:r w:rsidRPr="00D250C5">
              <w:rPr>
                <w:noProof/>
              </w:rPr>
              <w:drawing>
                <wp:inline distT="0" distB="0" distL="0" distR="0" wp14:anchorId="51E65A13" wp14:editId="0D1A68A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6342E25" w14:textId="278EE5D7" w:rsidR="00DE5E38" w:rsidRDefault="00505FA0">
            <w:pPr>
              <w:pStyle w:val="Lettrine"/>
            </w:pPr>
            <w:r>
              <w:t>S</w:t>
            </w:r>
          </w:p>
        </w:tc>
      </w:tr>
      <w:tr w:rsidR="00DC3802" w:rsidRPr="003F2D26" w14:paraId="624EA9FF" w14:textId="77777777" w:rsidTr="00645CA8">
        <w:trPr>
          <w:trHeight w:val="219"/>
        </w:trPr>
        <w:tc>
          <w:tcPr>
            <w:tcW w:w="6522" w:type="dxa"/>
          </w:tcPr>
          <w:p w14:paraId="0E993A09" w14:textId="77777777" w:rsidR="00DE5E38" w:rsidRPr="00505FA0" w:rsidRDefault="00C5303F">
            <w:pPr>
              <w:pStyle w:val="upove"/>
              <w:rPr>
                <w:lang w:val="es-ES"/>
              </w:rPr>
            </w:pPr>
            <w:r w:rsidRPr="00505FA0">
              <w:rPr>
                <w:lang w:val="es-ES"/>
              </w:rPr>
              <w:t>La Unión Internacional para la Protección de las Obtenciones Vegetales</w:t>
            </w:r>
          </w:p>
        </w:tc>
        <w:tc>
          <w:tcPr>
            <w:tcW w:w="3117" w:type="dxa"/>
          </w:tcPr>
          <w:p w14:paraId="27542651" w14:textId="77777777" w:rsidR="00DC3802" w:rsidRPr="00505FA0" w:rsidRDefault="00DC3802" w:rsidP="00DA4973">
            <w:pPr>
              <w:rPr>
                <w:lang w:val="es-ES"/>
              </w:rPr>
            </w:pPr>
          </w:p>
        </w:tc>
      </w:tr>
    </w:tbl>
    <w:p w14:paraId="7EDC7ACB" w14:textId="77777777" w:rsidR="00DC3802" w:rsidRPr="00505FA0" w:rsidRDefault="00DC3802" w:rsidP="00DC3802">
      <w:pPr>
        <w:rPr>
          <w:lang w:val="es-ES"/>
        </w:rPr>
      </w:pPr>
    </w:p>
    <w:p w14:paraId="6B5FB1CF" w14:textId="77777777" w:rsidR="00DA4973" w:rsidRPr="00505FA0" w:rsidRDefault="00DA4973" w:rsidP="00DC3802">
      <w:pPr>
        <w:rPr>
          <w:lang w:val="es-ES"/>
        </w:rPr>
      </w:pPr>
    </w:p>
    <w:p w14:paraId="513539F9" w14:textId="77777777" w:rsidR="00EC232A" w:rsidRPr="00505FA0" w:rsidRDefault="00EC232A"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F2D26" w14:paraId="44243F6B" w14:textId="77777777" w:rsidTr="00EB4E9C">
        <w:tc>
          <w:tcPr>
            <w:tcW w:w="6512" w:type="dxa"/>
          </w:tcPr>
          <w:p w14:paraId="01FDF554" w14:textId="30E71A28" w:rsidR="00DE5E38" w:rsidRPr="00505FA0" w:rsidRDefault="00DD44DF">
            <w:pPr>
              <w:pStyle w:val="Sessiontc"/>
              <w:spacing w:line="240" w:lineRule="auto"/>
              <w:rPr>
                <w:lang w:val="es-ES"/>
              </w:rPr>
            </w:pPr>
            <w:r w:rsidRPr="00505FA0">
              <w:rPr>
                <w:lang w:val="es-ES"/>
              </w:rPr>
              <w:t xml:space="preserve">Grupo de </w:t>
            </w:r>
            <w:r w:rsidR="00C5303F" w:rsidRPr="00505FA0">
              <w:rPr>
                <w:lang w:val="es-ES"/>
              </w:rPr>
              <w:t xml:space="preserve">trabajo </w:t>
            </w:r>
            <w:r w:rsidRPr="00505FA0">
              <w:rPr>
                <w:lang w:val="es-ES"/>
              </w:rPr>
              <w:t xml:space="preserve">sobre el producto de la cosecha y la utilización </w:t>
            </w:r>
            <w:r w:rsidR="00505FA0" w:rsidRPr="00505FA0">
              <w:rPr>
                <w:lang w:val="es-ES"/>
              </w:rPr>
              <w:br/>
            </w:r>
            <w:r w:rsidRPr="00505FA0">
              <w:rPr>
                <w:lang w:val="es-ES"/>
              </w:rPr>
              <w:t>no autorizada de material de reproducción o de multiplicación</w:t>
            </w:r>
          </w:p>
          <w:p w14:paraId="06B95243" w14:textId="77777777" w:rsidR="00DE5E38" w:rsidRPr="00505FA0" w:rsidRDefault="00C5303F">
            <w:pPr>
              <w:pStyle w:val="Sessiontcplacedate"/>
              <w:rPr>
                <w:lang w:val="es-ES"/>
              </w:rPr>
            </w:pPr>
            <w:r w:rsidRPr="00505FA0">
              <w:rPr>
                <w:lang w:val="es-ES"/>
              </w:rPr>
              <w:t xml:space="preserve">Cuarta </w:t>
            </w:r>
            <w:r w:rsidR="00A655E8" w:rsidRPr="00505FA0">
              <w:rPr>
                <w:lang w:val="es-ES"/>
              </w:rPr>
              <w:t>reunión</w:t>
            </w:r>
          </w:p>
          <w:p w14:paraId="0E959768" w14:textId="77777777" w:rsidR="00DE5E38" w:rsidRPr="00505FA0" w:rsidRDefault="00C5303F">
            <w:pPr>
              <w:pStyle w:val="Sessiontcplacedate"/>
              <w:rPr>
                <w:sz w:val="22"/>
                <w:lang w:val="es-ES"/>
              </w:rPr>
            </w:pPr>
            <w:r w:rsidRPr="00505FA0">
              <w:rPr>
                <w:lang w:val="es-ES"/>
              </w:rPr>
              <w:t xml:space="preserve">Ginebra, </w:t>
            </w:r>
            <w:r w:rsidR="009C2C83" w:rsidRPr="00505FA0">
              <w:rPr>
                <w:lang w:val="es-ES"/>
              </w:rPr>
              <w:t xml:space="preserve">25 </w:t>
            </w:r>
            <w:r w:rsidR="00F31412" w:rsidRPr="00505FA0">
              <w:rPr>
                <w:lang w:val="es-ES"/>
              </w:rPr>
              <w:t>de</w:t>
            </w:r>
            <w:r w:rsidR="009C2C83" w:rsidRPr="00505FA0">
              <w:rPr>
                <w:lang w:val="es-ES"/>
              </w:rPr>
              <w:t xml:space="preserve"> octubre </w:t>
            </w:r>
            <w:r w:rsidR="002362BD" w:rsidRPr="00505FA0">
              <w:rPr>
                <w:lang w:val="es-ES"/>
              </w:rPr>
              <w:t>de 2023</w:t>
            </w:r>
          </w:p>
        </w:tc>
        <w:tc>
          <w:tcPr>
            <w:tcW w:w="3127" w:type="dxa"/>
          </w:tcPr>
          <w:p w14:paraId="1BDE2AB2" w14:textId="77777777" w:rsidR="00DE5E38" w:rsidRPr="00505FA0" w:rsidRDefault="009C2C83">
            <w:pPr>
              <w:pStyle w:val="Doccode"/>
              <w:rPr>
                <w:lang w:val="es-ES"/>
              </w:rPr>
            </w:pPr>
            <w:r w:rsidRPr="00505FA0">
              <w:rPr>
                <w:lang w:val="es-ES"/>
              </w:rPr>
              <w:t>WG-HRV/4/3</w:t>
            </w:r>
          </w:p>
          <w:p w14:paraId="3518A28E" w14:textId="77777777" w:rsidR="00A655E8" w:rsidRPr="00505FA0" w:rsidRDefault="00A655E8" w:rsidP="003C7FBE">
            <w:pPr>
              <w:pStyle w:val="Doccode"/>
              <w:rPr>
                <w:lang w:val="es-ES"/>
              </w:rPr>
            </w:pPr>
          </w:p>
          <w:p w14:paraId="0D20E00B" w14:textId="77777777" w:rsidR="00DE5E38" w:rsidRPr="00505FA0" w:rsidRDefault="00C5303F">
            <w:pPr>
              <w:pStyle w:val="Docoriginal"/>
              <w:rPr>
                <w:lang w:val="es-ES"/>
              </w:rPr>
            </w:pPr>
            <w:r w:rsidRPr="00505FA0">
              <w:rPr>
                <w:lang w:val="es-ES"/>
              </w:rPr>
              <w:t>Original:</w:t>
            </w:r>
            <w:r w:rsidRPr="00505FA0">
              <w:rPr>
                <w:b w:val="0"/>
                <w:spacing w:val="0"/>
                <w:lang w:val="es-ES"/>
              </w:rPr>
              <w:t xml:space="preserve">  Inglés</w:t>
            </w:r>
          </w:p>
          <w:p w14:paraId="413FB58A" w14:textId="77777777" w:rsidR="00DE5E38" w:rsidRPr="00505FA0" w:rsidRDefault="00C5303F">
            <w:pPr>
              <w:pStyle w:val="Docoriginal"/>
              <w:rPr>
                <w:lang w:val="es-ES"/>
              </w:rPr>
            </w:pPr>
            <w:r w:rsidRPr="00505FA0">
              <w:rPr>
                <w:lang w:val="es-ES"/>
              </w:rPr>
              <w:t xml:space="preserve">Fecha:  </w:t>
            </w:r>
            <w:r w:rsidR="005710F3" w:rsidRPr="00505FA0">
              <w:rPr>
                <w:b w:val="0"/>
                <w:spacing w:val="0"/>
                <w:lang w:val="es-ES"/>
              </w:rPr>
              <w:t>4 de enero de 2024</w:t>
            </w:r>
          </w:p>
        </w:tc>
      </w:tr>
    </w:tbl>
    <w:p w14:paraId="3DA1CA95" w14:textId="77777777" w:rsidR="00DE5E38" w:rsidRPr="00505FA0" w:rsidRDefault="00C5303F">
      <w:pPr>
        <w:pStyle w:val="Titleofdoc0"/>
        <w:rPr>
          <w:lang w:val="es-ES"/>
        </w:rPr>
      </w:pPr>
      <w:r w:rsidRPr="00505FA0">
        <w:rPr>
          <w:lang w:val="es-ES"/>
        </w:rPr>
        <w:t>INFORME</w:t>
      </w:r>
    </w:p>
    <w:p w14:paraId="02E58063" w14:textId="77777777" w:rsidR="00DE5E38" w:rsidRPr="00505FA0" w:rsidRDefault="00C5303F">
      <w:pPr>
        <w:pStyle w:val="preparedby1"/>
        <w:jc w:val="left"/>
        <w:rPr>
          <w:lang w:val="es-ES"/>
        </w:rPr>
      </w:pPr>
      <w:r w:rsidRPr="00505FA0">
        <w:rPr>
          <w:lang w:val="es-ES"/>
        </w:rPr>
        <w:t>preparado por la Oficina de la Unión</w:t>
      </w:r>
    </w:p>
    <w:p w14:paraId="397B09AB" w14:textId="1F4D2425" w:rsidR="00DE5E38" w:rsidRPr="00505FA0" w:rsidRDefault="00C5303F">
      <w:pPr>
        <w:pStyle w:val="Disclaimer"/>
        <w:rPr>
          <w:lang w:val="es-ES"/>
        </w:rPr>
      </w:pPr>
      <w:r w:rsidRPr="00505FA0">
        <w:rPr>
          <w:lang w:val="es-ES"/>
        </w:rPr>
        <w:t xml:space="preserve">Descargo de responsabilidad: el presente documento no constituye un documento de </w:t>
      </w:r>
      <w:r w:rsidR="00505FA0" w:rsidRPr="00505FA0">
        <w:rPr>
          <w:lang w:val="es-ES"/>
        </w:rPr>
        <w:t>política u orientación de la UPOV.</w:t>
      </w:r>
      <w:r w:rsidR="00505FA0">
        <w:rPr>
          <w:lang w:val="es-ES"/>
        </w:rPr>
        <w:br/>
      </w:r>
      <w:r w:rsidR="00505FA0">
        <w:rPr>
          <w:lang w:val="es-ES"/>
        </w:rPr>
        <w:br/>
      </w:r>
      <w:r w:rsidR="00505FA0" w:rsidRPr="00505FA0">
        <w:rPr>
          <w:lang w:val="es-ES"/>
        </w:rPr>
        <w:t>Este documento se ha generado mediante traducción automática y no puede garantizarse su exactitud. Por lo tanto, el texto en el idioma original es la única versión auténtica.</w:t>
      </w:r>
    </w:p>
    <w:p w14:paraId="402EA556" w14:textId="77777777" w:rsidR="00DE5E38" w:rsidRPr="00505FA0" w:rsidRDefault="00C5303F">
      <w:pPr>
        <w:pStyle w:val="Heading1"/>
        <w:rPr>
          <w:lang w:val="es-ES"/>
        </w:rPr>
      </w:pPr>
      <w:r w:rsidRPr="00505FA0">
        <w:rPr>
          <w:lang w:val="es-ES"/>
        </w:rPr>
        <w:t>Apertura de la REUNIÓN</w:t>
      </w:r>
    </w:p>
    <w:p w14:paraId="5889B845" w14:textId="77777777" w:rsidR="00C36577" w:rsidRPr="00505FA0" w:rsidRDefault="00C36577" w:rsidP="00C36577">
      <w:pPr>
        <w:rPr>
          <w:lang w:val="es-ES"/>
        </w:rPr>
      </w:pPr>
    </w:p>
    <w:p w14:paraId="366F1BB7" w14:textId="77777777" w:rsidR="00DE5E38" w:rsidRPr="00505FA0" w:rsidRDefault="00C5303F">
      <w:pPr>
        <w:rPr>
          <w:lang w:val="es-ES"/>
        </w:rPr>
      </w:pPr>
      <w:r w:rsidRPr="00F20310">
        <w:rPr>
          <w:spacing w:val="-2"/>
        </w:rPr>
        <w:fldChar w:fldCharType="begin"/>
      </w:r>
      <w:r w:rsidRPr="00505FA0">
        <w:rPr>
          <w:spacing w:val="-2"/>
          <w:lang w:val="es-ES"/>
        </w:rPr>
        <w:instrText xml:space="preserve"> AUTONUM  </w:instrText>
      </w:r>
      <w:r w:rsidRPr="00F20310">
        <w:rPr>
          <w:spacing w:val="-2"/>
        </w:rPr>
        <w:fldChar w:fldCharType="end"/>
      </w:r>
      <w:r w:rsidRPr="00505FA0">
        <w:rPr>
          <w:spacing w:val="-2"/>
          <w:lang w:val="es-ES"/>
        </w:rPr>
        <w:tab/>
      </w:r>
      <w:r w:rsidR="00C36577" w:rsidRPr="00505FA0">
        <w:rPr>
          <w:spacing w:val="-2"/>
          <w:lang w:val="es-ES"/>
        </w:rPr>
        <w:t xml:space="preserve">El Grupo de trabajo sobre el producto de la cosecha y la utilización no autorizada de </w:t>
      </w:r>
      <w:r w:rsidR="00BF0760" w:rsidRPr="00505FA0">
        <w:rPr>
          <w:spacing w:val="-2"/>
          <w:lang w:val="es-ES"/>
        </w:rPr>
        <w:t xml:space="preserve">material de </w:t>
      </w:r>
      <w:r w:rsidR="00C36577" w:rsidRPr="00505FA0">
        <w:rPr>
          <w:spacing w:val="-2"/>
          <w:lang w:val="es-ES"/>
        </w:rPr>
        <w:t xml:space="preserve">reproducción o de multiplicación </w:t>
      </w:r>
      <w:r w:rsidR="00BF0760" w:rsidRPr="00505FA0">
        <w:rPr>
          <w:spacing w:val="-2"/>
          <w:lang w:val="es-ES"/>
        </w:rPr>
        <w:t xml:space="preserve">(WG-HRV) celebró su </w:t>
      </w:r>
      <w:r w:rsidR="009C2C83" w:rsidRPr="00505FA0">
        <w:rPr>
          <w:spacing w:val="-2"/>
          <w:lang w:val="es-ES"/>
        </w:rPr>
        <w:t xml:space="preserve">cuarta </w:t>
      </w:r>
      <w:r w:rsidR="00C36577" w:rsidRPr="00505FA0">
        <w:rPr>
          <w:spacing w:val="-2"/>
          <w:lang w:val="es-ES"/>
        </w:rPr>
        <w:t xml:space="preserve">reunión en </w:t>
      </w:r>
      <w:r w:rsidR="004B6077" w:rsidRPr="00505FA0">
        <w:rPr>
          <w:spacing w:val="-2"/>
          <w:lang w:val="es-ES"/>
        </w:rPr>
        <w:t>Ginebra</w:t>
      </w:r>
      <w:r w:rsidR="006C6D99" w:rsidRPr="00505FA0">
        <w:rPr>
          <w:spacing w:val="-2"/>
          <w:lang w:val="es-ES"/>
        </w:rPr>
        <w:t xml:space="preserve">, </w:t>
      </w:r>
      <w:r w:rsidR="004B6077" w:rsidRPr="00505FA0">
        <w:rPr>
          <w:lang w:val="es-ES"/>
        </w:rPr>
        <w:t xml:space="preserve">el </w:t>
      </w:r>
      <w:r w:rsidR="009C2C83" w:rsidRPr="00505FA0">
        <w:rPr>
          <w:lang w:val="es-ES"/>
        </w:rPr>
        <w:t xml:space="preserve">25 de octubre </w:t>
      </w:r>
      <w:r w:rsidR="004B6077" w:rsidRPr="00505FA0">
        <w:rPr>
          <w:lang w:val="es-ES"/>
        </w:rPr>
        <w:t>de 2023</w:t>
      </w:r>
      <w:r w:rsidR="004B6077" w:rsidRPr="00505FA0">
        <w:rPr>
          <w:spacing w:val="-2"/>
          <w:lang w:val="es-ES"/>
        </w:rPr>
        <w:t xml:space="preserve">, en formato híbrido, </w:t>
      </w:r>
      <w:r w:rsidR="00C36577" w:rsidRPr="00505FA0">
        <w:rPr>
          <w:lang w:val="es-ES"/>
        </w:rPr>
        <w:t xml:space="preserve">presidida por </w:t>
      </w:r>
      <w:r w:rsidR="00CC04CA" w:rsidRPr="00505FA0">
        <w:rPr>
          <w:lang w:val="es-ES"/>
        </w:rPr>
        <w:t>la</w:t>
      </w:r>
      <w:r w:rsidR="009C2C83" w:rsidRPr="00505FA0">
        <w:rPr>
          <w:lang w:val="es-ES"/>
        </w:rPr>
        <w:t xml:space="preserve"> Sra. Yolanda Huerta</w:t>
      </w:r>
      <w:r w:rsidR="00CC04CA" w:rsidRPr="00505FA0">
        <w:rPr>
          <w:lang w:val="es-ES"/>
        </w:rPr>
        <w:t>, Vicesecretaria</w:t>
      </w:r>
      <w:r w:rsidR="00CC04CA" w:rsidRPr="00505FA0">
        <w:rPr>
          <w:lang w:val="es-ES"/>
        </w:rPr>
        <w:noBreakHyphen/>
      </w:r>
      <w:r w:rsidR="00C36577" w:rsidRPr="00505FA0">
        <w:rPr>
          <w:lang w:val="es-ES"/>
        </w:rPr>
        <w:t xml:space="preserve"> General de la UPOV.  </w:t>
      </w:r>
    </w:p>
    <w:p w14:paraId="5F86FD7E" w14:textId="77777777" w:rsidR="00C36577" w:rsidRPr="00505FA0" w:rsidRDefault="00C36577" w:rsidP="007D4DD7">
      <w:pPr>
        <w:rPr>
          <w:lang w:val="es-ES"/>
        </w:rPr>
      </w:pPr>
    </w:p>
    <w:p w14:paraId="58B7A596" w14:textId="77777777" w:rsidR="00DE5E38" w:rsidRPr="00505FA0" w:rsidRDefault="00C5303F">
      <w:pPr>
        <w:rPr>
          <w:lang w:val="es-ES"/>
        </w:rPr>
      </w:pPr>
      <w:r w:rsidRPr="00F20310">
        <w:fldChar w:fldCharType="begin"/>
      </w:r>
      <w:r w:rsidRPr="00505FA0">
        <w:rPr>
          <w:lang w:val="es-ES"/>
        </w:rPr>
        <w:instrText xml:space="preserve"> AUTONUM  </w:instrText>
      </w:r>
      <w:r w:rsidRPr="00F20310">
        <w:fldChar w:fldCharType="end"/>
      </w:r>
      <w:r w:rsidRPr="00505FA0">
        <w:rPr>
          <w:lang w:val="es-ES"/>
        </w:rPr>
        <w:tab/>
      </w:r>
      <w:r w:rsidR="00C36577" w:rsidRPr="00505FA0">
        <w:rPr>
          <w:lang w:val="es-ES"/>
        </w:rPr>
        <w:t xml:space="preserve">La reunión fue inaugurada por el Presidente, que dio la bienvenida a los participantes.  </w:t>
      </w:r>
    </w:p>
    <w:p w14:paraId="18584B07" w14:textId="77777777" w:rsidR="00C36577" w:rsidRPr="00505FA0" w:rsidRDefault="00C36577" w:rsidP="007D4DD7">
      <w:pPr>
        <w:rPr>
          <w:lang w:val="es-ES"/>
        </w:rPr>
      </w:pPr>
    </w:p>
    <w:p w14:paraId="0E4315BA" w14:textId="77777777" w:rsidR="00DE5E38" w:rsidRPr="00505FA0" w:rsidRDefault="00C5303F">
      <w:pPr>
        <w:rPr>
          <w:lang w:val="es-ES"/>
        </w:rPr>
      </w:pPr>
      <w:r w:rsidRPr="00F20310">
        <w:fldChar w:fldCharType="begin"/>
      </w:r>
      <w:r w:rsidRPr="00505FA0">
        <w:rPr>
          <w:lang w:val="es-ES"/>
        </w:rPr>
        <w:instrText xml:space="preserve"> AUTONUM  </w:instrText>
      </w:r>
      <w:r w:rsidRPr="00F20310">
        <w:fldChar w:fldCharType="end"/>
      </w:r>
      <w:r w:rsidRPr="00505FA0">
        <w:rPr>
          <w:lang w:val="es-ES"/>
        </w:rPr>
        <w:tab/>
      </w:r>
      <w:r w:rsidR="00C36577" w:rsidRPr="00505FA0">
        <w:rPr>
          <w:lang w:val="es-ES"/>
        </w:rPr>
        <w:t xml:space="preserve">La lista de participantes figura en el anexo del presente informe. </w:t>
      </w:r>
    </w:p>
    <w:p w14:paraId="3EA52D4E" w14:textId="77777777" w:rsidR="00C36577" w:rsidRPr="00505FA0" w:rsidRDefault="00C36577" w:rsidP="007D4DD7">
      <w:pPr>
        <w:rPr>
          <w:lang w:val="es-ES"/>
        </w:rPr>
      </w:pPr>
    </w:p>
    <w:p w14:paraId="61C7CDAB" w14:textId="77777777" w:rsidR="00154004" w:rsidRPr="00505FA0" w:rsidRDefault="00154004" w:rsidP="007D4DD7">
      <w:pPr>
        <w:rPr>
          <w:lang w:val="es-ES"/>
        </w:rPr>
      </w:pPr>
    </w:p>
    <w:p w14:paraId="492A0C23" w14:textId="77777777" w:rsidR="00DE5E38" w:rsidRPr="00505FA0" w:rsidRDefault="00C5303F">
      <w:pPr>
        <w:pStyle w:val="Heading1"/>
        <w:rPr>
          <w:lang w:val="es-ES"/>
        </w:rPr>
      </w:pPr>
      <w:r w:rsidRPr="00505FA0">
        <w:rPr>
          <w:lang w:val="es-ES"/>
        </w:rPr>
        <w:t>Aprobación del orden del día</w:t>
      </w:r>
    </w:p>
    <w:p w14:paraId="6D206D95" w14:textId="77777777" w:rsidR="00C36577" w:rsidRPr="00505FA0" w:rsidRDefault="00C36577" w:rsidP="007D4DD7">
      <w:pPr>
        <w:keepNext/>
        <w:outlineLvl w:val="0"/>
        <w:rPr>
          <w:b/>
          <w:caps/>
          <w:snapToGrid w:val="0"/>
          <w:lang w:val="es-ES"/>
        </w:rPr>
      </w:pPr>
    </w:p>
    <w:p w14:paraId="1018E94A" w14:textId="7F876CF4" w:rsidR="00DE5E38" w:rsidRPr="00505FA0" w:rsidRDefault="00C5303F">
      <w:pPr>
        <w:rPr>
          <w:rFonts w:cs="Arial"/>
          <w:lang w:val="es-ES"/>
        </w:rPr>
      </w:pPr>
      <w:r w:rsidRPr="00F20310">
        <w:rPr>
          <w:rFonts w:cs="Arial"/>
        </w:rPr>
        <w:fldChar w:fldCharType="begin"/>
      </w:r>
      <w:r w:rsidRPr="00505FA0">
        <w:rPr>
          <w:rFonts w:cs="Arial"/>
          <w:lang w:val="es-ES"/>
        </w:rPr>
        <w:instrText xml:space="preserve"> AUTONUM  </w:instrText>
      </w:r>
      <w:r w:rsidRPr="00F20310">
        <w:rPr>
          <w:rFonts w:cs="Arial"/>
        </w:rPr>
        <w:fldChar w:fldCharType="end"/>
      </w:r>
      <w:r w:rsidRPr="00505FA0">
        <w:rPr>
          <w:rFonts w:cs="Arial"/>
          <w:lang w:val="es-ES"/>
        </w:rPr>
        <w:tab/>
      </w:r>
      <w:r w:rsidR="00C36577" w:rsidRPr="00505FA0">
        <w:rPr>
          <w:rFonts w:cs="Arial"/>
          <w:lang w:val="es-ES"/>
        </w:rPr>
        <w:t xml:space="preserve">El </w:t>
      </w:r>
      <w:r>
        <w:rPr>
          <w:rFonts w:cs="Arial"/>
          <w:lang w:val="es-ES"/>
        </w:rPr>
        <w:t>WG-HRV</w:t>
      </w:r>
      <w:r w:rsidR="00C36577" w:rsidRPr="00505FA0">
        <w:rPr>
          <w:rFonts w:cs="Arial"/>
          <w:lang w:val="es-ES"/>
        </w:rPr>
        <w:t xml:space="preserve"> aprobó el proyecto de </w:t>
      </w:r>
      <w:r w:rsidR="00BF0760" w:rsidRPr="00505FA0">
        <w:rPr>
          <w:rFonts w:cs="Arial"/>
          <w:lang w:val="es-ES"/>
        </w:rPr>
        <w:t xml:space="preserve">orden del día propuesto en el documento </w:t>
      </w:r>
      <w:r w:rsidR="009C2C83" w:rsidRPr="00505FA0">
        <w:rPr>
          <w:rFonts w:cs="Arial"/>
          <w:lang w:val="es-ES"/>
        </w:rPr>
        <w:t>WG-HRV/4/1</w:t>
      </w:r>
      <w:r w:rsidR="00C36577" w:rsidRPr="00505FA0">
        <w:rPr>
          <w:rFonts w:cs="Arial"/>
          <w:lang w:val="es-ES"/>
        </w:rPr>
        <w:t>.</w:t>
      </w:r>
    </w:p>
    <w:p w14:paraId="26BA6E9C" w14:textId="77777777" w:rsidR="00154004" w:rsidRPr="00505FA0" w:rsidRDefault="00154004" w:rsidP="007D4DD7">
      <w:pPr>
        <w:rPr>
          <w:lang w:val="es-ES"/>
        </w:rPr>
      </w:pPr>
    </w:p>
    <w:p w14:paraId="59322F63" w14:textId="77777777" w:rsidR="005018D9" w:rsidRPr="00505FA0" w:rsidRDefault="005018D9">
      <w:pPr>
        <w:jc w:val="left"/>
        <w:rPr>
          <w:lang w:val="es-ES"/>
        </w:rPr>
      </w:pPr>
    </w:p>
    <w:p w14:paraId="7550C533" w14:textId="77777777" w:rsidR="00DE5E38" w:rsidRPr="00505FA0" w:rsidRDefault="00C5303F">
      <w:pPr>
        <w:pStyle w:val="Heading1"/>
        <w:spacing w:line="254" w:lineRule="auto"/>
        <w:ind w:firstLine="7"/>
        <w:rPr>
          <w:lang w:val="es-ES"/>
        </w:rPr>
      </w:pPr>
      <w:r w:rsidRPr="00505FA0">
        <w:rPr>
          <w:color w:val="111111"/>
          <w:w w:val="105"/>
          <w:lang w:val="es-ES"/>
        </w:rPr>
        <w:t xml:space="preserve">PROPUESTA </w:t>
      </w:r>
      <w:r w:rsidRPr="00505FA0">
        <w:rPr>
          <w:color w:val="212121"/>
          <w:w w:val="105"/>
          <w:lang w:val="es-ES"/>
        </w:rPr>
        <w:t xml:space="preserve">DE </w:t>
      </w:r>
      <w:r w:rsidRPr="00505FA0">
        <w:rPr>
          <w:color w:val="111111"/>
          <w:w w:val="105"/>
          <w:lang w:val="es-ES"/>
        </w:rPr>
        <w:t xml:space="preserve">REVISIÓN DE LAS </w:t>
      </w:r>
      <w:r w:rsidRPr="00505FA0">
        <w:rPr>
          <w:color w:val="212121"/>
          <w:w w:val="105"/>
          <w:lang w:val="es-ES"/>
        </w:rPr>
        <w:t>"</w:t>
      </w:r>
      <w:r w:rsidRPr="00505FA0">
        <w:rPr>
          <w:color w:val="111111"/>
          <w:w w:val="105"/>
          <w:lang w:val="es-ES"/>
        </w:rPr>
        <w:t xml:space="preserve">NOTAS </w:t>
      </w:r>
      <w:r w:rsidRPr="00505FA0">
        <w:rPr>
          <w:color w:val="212121"/>
          <w:w w:val="105"/>
          <w:lang w:val="es-ES"/>
        </w:rPr>
        <w:t xml:space="preserve">EXPLICATIVAS </w:t>
      </w:r>
      <w:r w:rsidRPr="00505FA0">
        <w:rPr>
          <w:color w:val="111111"/>
          <w:w w:val="105"/>
          <w:lang w:val="es-ES"/>
        </w:rPr>
        <w:t>SOBRE EL MATERIAL DE REPRODUCCIÓN O DE MULTIPLICACIÓN" CON ARREGLO AL CONVENIO DE LA UPOV</w:t>
      </w:r>
    </w:p>
    <w:p w14:paraId="36AA265F" w14:textId="77777777" w:rsidR="005018D9" w:rsidRPr="00505FA0" w:rsidRDefault="005018D9">
      <w:pPr>
        <w:jc w:val="left"/>
        <w:rPr>
          <w:lang w:val="es-ES"/>
        </w:rPr>
      </w:pPr>
    </w:p>
    <w:p w14:paraId="388ED345" w14:textId="77777777" w:rsidR="00DE5E38" w:rsidRPr="00505FA0" w:rsidRDefault="00C5303F">
      <w:pPr>
        <w:jc w:val="left"/>
        <w:rPr>
          <w:rFonts w:cs="Arial"/>
          <w:lang w:val="es-ES"/>
        </w:rPr>
      </w:pPr>
      <w:r w:rsidRPr="00B60EAB">
        <w:rPr>
          <w:rFonts w:cs="Arial"/>
        </w:rPr>
        <w:fldChar w:fldCharType="begin"/>
      </w:r>
      <w:r w:rsidRPr="00505FA0">
        <w:rPr>
          <w:rFonts w:cs="Arial"/>
          <w:lang w:val="es-ES"/>
        </w:rPr>
        <w:instrText xml:space="preserve"> AUTONUM  </w:instrText>
      </w:r>
      <w:r w:rsidRPr="00B60EAB">
        <w:rPr>
          <w:rFonts w:cs="Arial"/>
        </w:rPr>
        <w:fldChar w:fldCharType="end"/>
      </w:r>
      <w:r w:rsidRPr="00505FA0">
        <w:rPr>
          <w:rFonts w:cs="Arial"/>
          <w:lang w:val="es-ES"/>
        </w:rPr>
        <w:tab/>
        <w:t>El WG-HRV examinó</w:t>
      </w:r>
      <w:bookmarkStart w:id="0" w:name="_Toc331410077"/>
      <w:r w:rsidR="009C2C83" w:rsidRPr="00505FA0">
        <w:rPr>
          <w:rFonts w:cs="Arial"/>
          <w:lang w:val="es-ES"/>
        </w:rPr>
        <w:t xml:space="preserve"> documento WG-HRV/4/2.</w:t>
      </w:r>
    </w:p>
    <w:p w14:paraId="5A4BBFDA" w14:textId="77777777" w:rsidR="009C2C83" w:rsidRPr="00505FA0" w:rsidRDefault="009C2C83" w:rsidP="009C2C83">
      <w:pPr>
        <w:jc w:val="left"/>
        <w:rPr>
          <w:spacing w:val="-2"/>
          <w:lang w:val="es-ES"/>
        </w:rPr>
      </w:pPr>
    </w:p>
    <w:p w14:paraId="270BFA78" w14:textId="05CF811E" w:rsidR="00DE5E38" w:rsidRPr="00505FA0" w:rsidRDefault="00C5303F">
      <w:pPr>
        <w:keepLines/>
        <w:rPr>
          <w:lang w:val="es-ES"/>
        </w:rPr>
      </w:pPr>
      <w:r w:rsidRPr="00416F54">
        <w:rPr>
          <w:rFonts w:cs="Arial"/>
        </w:rPr>
        <w:fldChar w:fldCharType="begin"/>
      </w:r>
      <w:r w:rsidRPr="00505FA0">
        <w:rPr>
          <w:rFonts w:cs="Arial"/>
          <w:lang w:val="es-ES"/>
        </w:rPr>
        <w:instrText xml:space="preserve"> AUTONUM  </w:instrText>
      </w:r>
      <w:r w:rsidRPr="00416F54">
        <w:rPr>
          <w:rFonts w:cs="Arial"/>
        </w:rPr>
        <w:fldChar w:fldCharType="end"/>
      </w:r>
      <w:r w:rsidRPr="00505FA0">
        <w:rPr>
          <w:rFonts w:cs="Arial"/>
          <w:lang w:val="es-ES"/>
        </w:rPr>
        <w:tab/>
      </w:r>
      <w:r w:rsidRPr="00505FA0">
        <w:rPr>
          <w:lang w:val="es-ES"/>
        </w:rPr>
        <w:t xml:space="preserve">El </w:t>
      </w:r>
      <w:r>
        <w:rPr>
          <w:lang w:val="es-ES"/>
        </w:rPr>
        <w:t>WG-HRV</w:t>
      </w:r>
      <w:r w:rsidRPr="00505FA0">
        <w:rPr>
          <w:lang w:val="es-ES"/>
        </w:rPr>
        <w:t xml:space="preserve"> </w:t>
      </w:r>
      <w:r w:rsidR="00CC0770" w:rsidRPr="00505FA0">
        <w:rPr>
          <w:lang w:val="es-ES"/>
        </w:rPr>
        <w:t>tomó nota de que</w:t>
      </w:r>
      <w:r w:rsidRPr="00505FA0">
        <w:rPr>
          <w:lang w:val="es-ES"/>
        </w:rPr>
        <w:t xml:space="preserve">, </w:t>
      </w:r>
      <w:r w:rsidRPr="00505FA0">
        <w:rPr>
          <w:spacing w:val="-2"/>
          <w:lang w:val="es-ES"/>
        </w:rPr>
        <w:t xml:space="preserve">en su tercera reunión, celebrada en Ginebra </w:t>
      </w:r>
      <w:r w:rsidRPr="00505FA0">
        <w:rPr>
          <w:lang w:val="es-ES"/>
        </w:rPr>
        <w:t xml:space="preserve">el 21 de marzo de 2023, acordó modificar la sección "Factores que se han considerado en relación con el material de propagación", tal como se presenta a continuación.  </w:t>
      </w:r>
    </w:p>
    <w:p w14:paraId="11949321" w14:textId="77777777" w:rsidR="00CC0770" w:rsidRPr="00505FA0" w:rsidRDefault="00CC0770" w:rsidP="009C2C83">
      <w:pPr>
        <w:keepLines/>
        <w:rPr>
          <w:lang w:val="es-ES"/>
        </w:rPr>
      </w:pPr>
    </w:p>
    <w:p w14:paraId="0BDD220C" w14:textId="77777777" w:rsidR="00DE5E38" w:rsidRPr="00505FA0" w:rsidRDefault="00C5303F">
      <w:pPr>
        <w:keepNext/>
        <w:ind w:left="567"/>
        <w:outlineLvl w:val="0"/>
        <w:rPr>
          <w:caps/>
          <w:sz w:val="18"/>
          <w:szCs w:val="18"/>
          <w:lang w:val="es-ES"/>
        </w:rPr>
      </w:pPr>
      <w:r w:rsidRPr="00505FA0">
        <w:rPr>
          <w:caps/>
          <w:sz w:val="18"/>
          <w:szCs w:val="18"/>
          <w:lang w:val="es-ES"/>
        </w:rPr>
        <w:t>Factores que SE HAN TENIDO EN CUENTA en relación con el material de propagación</w:t>
      </w:r>
    </w:p>
    <w:p w14:paraId="3D6FDDA8" w14:textId="77777777" w:rsidR="00CC0770" w:rsidRPr="00505FA0" w:rsidRDefault="00CC0770" w:rsidP="00CC0770">
      <w:pPr>
        <w:ind w:left="567"/>
        <w:rPr>
          <w:sz w:val="18"/>
          <w:szCs w:val="18"/>
          <w:lang w:val="es-ES"/>
        </w:rPr>
      </w:pPr>
    </w:p>
    <w:p w14:paraId="079751D2" w14:textId="77777777" w:rsidR="00DE5E38" w:rsidRPr="00505FA0" w:rsidRDefault="00C5303F">
      <w:pPr>
        <w:ind w:left="567"/>
        <w:rPr>
          <w:sz w:val="18"/>
          <w:szCs w:val="18"/>
          <w:lang w:val="es-ES"/>
        </w:rPr>
      </w:pPr>
      <w:r w:rsidRPr="00505FA0">
        <w:rPr>
          <w:sz w:val="18"/>
          <w:szCs w:val="18"/>
          <w:lang w:val="es-ES"/>
        </w:rPr>
        <w:t>El Convenio de la UPOV no ofrece una definición de "material de reproducción o multiplicación".  Los materiales de reproducción abarcan los materiales de reproducción y de multiplicación vegetativa.  A continuación figuran ejemplos no exhaustivos de factores, uno o varios de los cuales podrían utilizarse para decidir si un material es material de reproducción o de multiplicación.  Dichos factores deben considerarse en el contexto de cada miembro de la Unión y de las circunstancias particulares.</w:t>
      </w:r>
    </w:p>
    <w:p w14:paraId="532AAC52" w14:textId="77777777" w:rsidR="00CC0770" w:rsidRPr="00505FA0" w:rsidRDefault="00CC0770" w:rsidP="00CC0770">
      <w:pPr>
        <w:ind w:left="567"/>
        <w:rPr>
          <w:sz w:val="18"/>
          <w:szCs w:val="18"/>
          <w:lang w:val="es-ES"/>
        </w:rPr>
      </w:pPr>
    </w:p>
    <w:p w14:paraId="2721A71F" w14:textId="77777777" w:rsidR="00DE5E38" w:rsidRPr="00505FA0" w:rsidRDefault="00C5303F">
      <w:pPr>
        <w:tabs>
          <w:tab w:val="left" w:pos="1710"/>
        </w:tabs>
        <w:spacing w:after="120"/>
        <w:ind w:left="2277" w:hanging="990"/>
        <w:rPr>
          <w:sz w:val="18"/>
          <w:szCs w:val="18"/>
          <w:lang w:val="es-ES"/>
        </w:rPr>
      </w:pPr>
      <w:r w:rsidRPr="00505FA0">
        <w:rPr>
          <w:sz w:val="18"/>
          <w:szCs w:val="18"/>
          <w:lang w:val="es-ES"/>
        </w:rPr>
        <w:t>(i)</w:t>
      </w:r>
      <w:r w:rsidRPr="00505FA0">
        <w:rPr>
          <w:sz w:val="18"/>
          <w:szCs w:val="18"/>
          <w:lang w:val="es-ES"/>
        </w:rPr>
        <w:tab/>
        <w:t>planta o parte de plantas utilizadas para la reproducción de la variedad;</w:t>
      </w:r>
    </w:p>
    <w:p w14:paraId="5115283A" w14:textId="77777777" w:rsidR="00DE5E38" w:rsidRPr="00505FA0" w:rsidRDefault="00C5303F">
      <w:pPr>
        <w:tabs>
          <w:tab w:val="left" w:pos="1710"/>
        </w:tabs>
        <w:spacing w:after="120"/>
        <w:ind w:left="2277" w:hanging="990"/>
        <w:rPr>
          <w:sz w:val="18"/>
          <w:szCs w:val="18"/>
          <w:lang w:val="es-ES"/>
        </w:rPr>
      </w:pPr>
      <w:r w:rsidRPr="00505FA0">
        <w:rPr>
          <w:sz w:val="18"/>
          <w:szCs w:val="18"/>
          <w:lang w:val="es-ES"/>
        </w:rPr>
        <w:t>(</w:t>
      </w:r>
      <w:proofErr w:type="spellStart"/>
      <w:r w:rsidRPr="00505FA0">
        <w:rPr>
          <w:sz w:val="18"/>
          <w:szCs w:val="18"/>
          <w:lang w:val="es-ES"/>
        </w:rPr>
        <w:t>ii</w:t>
      </w:r>
      <w:proofErr w:type="spellEnd"/>
      <w:r w:rsidRPr="00505FA0">
        <w:rPr>
          <w:sz w:val="18"/>
          <w:szCs w:val="18"/>
          <w:lang w:val="es-ES"/>
        </w:rPr>
        <w:t xml:space="preserve">) </w:t>
      </w:r>
      <w:r w:rsidRPr="00505FA0">
        <w:rPr>
          <w:sz w:val="18"/>
          <w:szCs w:val="18"/>
          <w:lang w:val="es-ES"/>
        </w:rPr>
        <w:tab/>
        <w:t>si el material se ha utilizado para multiplicar la variedad;</w:t>
      </w:r>
    </w:p>
    <w:p w14:paraId="33B51C5A" w14:textId="77777777" w:rsidR="00DE5E38" w:rsidRPr="00505FA0" w:rsidRDefault="00C5303F">
      <w:pPr>
        <w:tabs>
          <w:tab w:val="left" w:pos="1710"/>
        </w:tabs>
        <w:spacing w:after="120"/>
        <w:ind w:left="2277" w:hanging="990"/>
        <w:rPr>
          <w:sz w:val="18"/>
          <w:szCs w:val="18"/>
          <w:lang w:val="es-ES"/>
        </w:rPr>
      </w:pPr>
      <w:r w:rsidRPr="00505FA0">
        <w:rPr>
          <w:sz w:val="18"/>
          <w:szCs w:val="18"/>
          <w:lang w:val="es-ES"/>
        </w:rPr>
        <w:t>(</w:t>
      </w:r>
      <w:proofErr w:type="spellStart"/>
      <w:r w:rsidRPr="00505FA0">
        <w:rPr>
          <w:sz w:val="18"/>
          <w:szCs w:val="18"/>
          <w:lang w:val="es-ES"/>
        </w:rPr>
        <w:t>iii</w:t>
      </w:r>
      <w:proofErr w:type="spellEnd"/>
      <w:r w:rsidRPr="00505FA0">
        <w:rPr>
          <w:sz w:val="18"/>
          <w:szCs w:val="18"/>
          <w:lang w:val="es-ES"/>
        </w:rPr>
        <w:t xml:space="preserve">) </w:t>
      </w:r>
      <w:r w:rsidRPr="00505FA0">
        <w:rPr>
          <w:sz w:val="18"/>
          <w:szCs w:val="18"/>
          <w:lang w:val="es-ES"/>
        </w:rPr>
        <w:tab/>
        <w:t>si el material tiene una capacidad innata de producir plantas enteras de la variedad (por ejemplo, semillas, tubérculos);</w:t>
      </w:r>
    </w:p>
    <w:p w14:paraId="460D7605" w14:textId="77777777" w:rsidR="00DE5E38" w:rsidRPr="00505FA0" w:rsidRDefault="00C5303F">
      <w:pPr>
        <w:tabs>
          <w:tab w:val="left" w:pos="1170"/>
          <w:tab w:val="left" w:pos="1710"/>
        </w:tabs>
        <w:autoSpaceDE w:val="0"/>
        <w:autoSpaceDN w:val="0"/>
        <w:adjustRightInd w:val="0"/>
        <w:spacing w:after="120"/>
        <w:ind w:left="2277" w:hanging="990"/>
        <w:rPr>
          <w:sz w:val="18"/>
          <w:szCs w:val="18"/>
          <w:lang w:val="es-ES"/>
        </w:rPr>
      </w:pPr>
      <w:r w:rsidRPr="00505FA0">
        <w:rPr>
          <w:sz w:val="18"/>
          <w:szCs w:val="18"/>
          <w:lang w:val="es-ES"/>
        </w:rPr>
        <w:t>(</w:t>
      </w:r>
      <w:proofErr w:type="spellStart"/>
      <w:r w:rsidRPr="00505FA0">
        <w:rPr>
          <w:sz w:val="18"/>
          <w:szCs w:val="18"/>
          <w:lang w:val="es-ES"/>
        </w:rPr>
        <w:t>iv</w:t>
      </w:r>
      <w:proofErr w:type="spellEnd"/>
      <w:r w:rsidRPr="00505FA0">
        <w:rPr>
          <w:sz w:val="18"/>
          <w:szCs w:val="18"/>
          <w:lang w:val="es-ES"/>
        </w:rPr>
        <w:t>)</w:t>
      </w:r>
      <w:r w:rsidRPr="00505FA0">
        <w:rPr>
          <w:sz w:val="18"/>
          <w:szCs w:val="18"/>
          <w:lang w:val="es-ES"/>
        </w:rPr>
        <w:tab/>
      </w:r>
      <w:r w:rsidRPr="00505FA0">
        <w:rPr>
          <w:sz w:val="18"/>
          <w:szCs w:val="18"/>
          <w:lang w:val="es-ES"/>
        </w:rPr>
        <w:tab/>
        <w:t xml:space="preserve">si el material podría utilizarse como material de propagación, mediante el uso de técnicas de propagación (por ejemplo, esquejes, cultivo de tejidos); </w:t>
      </w:r>
    </w:p>
    <w:p w14:paraId="0D75890B" w14:textId="77777777" w:rsidR="00DE5E38" w:rsidRPr="00505FA0" w:rsidRDefault="00C5303F">
      <w:pPr>
        <w:tabs>
          <w:tab w:val="left" w:pos="1170"/>
          <w:tab w:val="left" w:pos="1710"/>
        </w:tabs>
        <w:autoSpaceDE w:val="0"/>
        <w:autoSpaceDN w:val="0"/>
        <w:adjustRightInd w:val="0"/>
        <w:spacing w:after="120"/>
        <w:ind w:left="2277" w:hanging="990"/>
        <w:rPr>
          <w:sz w:val="18"/>
          <w:szCs w:val="18"/>
          <w:lang w:val="es-ES"/>
        </w:rPr>
      </w:pPr>
      <w:r w:rsidRPr="00505FA0">
        <w:rPr>
          <w:sz w:val="18"/>
          <w:szCs w:val="18"/>
          <w:lang w:val="es-ES"/>
        </w:rPr>
        <w:lastRenderedPageBreak/>
        <w:t>(v)</w:t>
      </w:r>
      <w:r w:rsidRPr="00505FA0">
        <w:rPr>
          <w:sz w:val="18"/>
          <w:szCs w:val="18"/>
          <w:lang w:val="es-ES"/>
        </w:rPr>
        <w:tab/>
      </w:r>
      <w:r w:rsidRPr="00505FA0">
        <w:rPr>
          <w:sz w:val="18"/>
          <w:szCs w:val="18"/>
          <w:lang w:val="es-ES"/>
        </w:rPr>
        <w:tab/>
        <w:t xml:space="preserve">si ha existido </w:t>
      </w:r>
      <w:r w:rsidRPr="00505FA0">
        <w:rPr>
          <w:sz w:val="18"/>
          <w:szCs w:val="18"/>
          <w:lang w:val="es-ES"/>
        </w:rPr>
        <w:tab/>
        <w:t xml:space="preserve">la </w:t>
      </w:r>
      <w:r w:rsidRPr="00505FA0">
        <w:rPr>
          <w:rFonts w:cs="Arial"/>
          <w:sz w:val="18"/>
          <w:szCs w:val="18"/>
          <w:lang w:val="es-ES"/>
        </w:rPr>
        <w:t>costumbre/práctica</w:t>
      </w:r>
      <w:r w:rsidRPr="00505FA0">
        <w:rPr>
          <w:sz w:val="18"/>
          <w:szCs w:val="18"/>
          <w:lang w:val="es-ES"/>
        </w:rPr>
        <w:tab/>
        <w:t xml:space="preserve"> de utilizar el material </w:t>
      </w:r>
      <w:r w:rsidRPr="00505FA0">
        <w:rPr>
          <w:sz w:val="18"/>
          <w:szCs w:val="18"/>
          <w:lang w:val="es-ES"/>
        </w:rPr>
        <w:tab/>
        <w:t>con fines de propagación o</w:t>
      </w:r>
      <w:r w:rsidRPr="00505FA0">
        <w:rPr>
          <w:rFonts w:cs="Arial"/>
          <w:sz w:val="18"/>
          <w:szCs w:val="18"/>
          <w:lang w:val="es-ES"/>
        </w:rPr>
        <w:t>, como consecuencia de nuevos acontecimientos, existe una nueva costumbre/práctica de utilizar el material con ese fin;</w:t>
      </w:r>
    </w:p>
    <w:p w14:paraId="71171BB2" w14:textId="77777777" w:rsidR="00DE5E38" w:rsidRPr="00505FA0" w:rsidRDefault="00C5303F">
      <w:pPr>
        <w:tabs>
          <w:tab w:val="left" w:pos="1170"/>
          <w:tab w:val="left" w:pos="1710"/>
        </w:tabs>
        <w:spacing w:after="120"/>
        <w:ind w:left="2277" w:hanging="990"/>
        <w:rPr>
          <w:sz w:val="18"/>
          <w:szCs w:val="18"/>
          <w:u w:val="single"/>
          <w:lang w:val="es-ES"/>
        </w:rPr>
      </w:pPr>
      <w:r w:rsidRPr="00505FA0">
        <w:rPr>
          <w:sz w:val="18"/>
          <w:szCs w:val="18"/>
          <w:lang w:val="es-ES"/>
        </w:rPr>
        <w:t xml:space="preserve"> (vi)</w:t>
      </w:r>
      <w:r w:rsidRPr="00505FA0">
        <w:rPr>
          <w:sz w:val="18"/>
          <w:szCs w:val="18"/>
          <w:lang w:val="es-ES"/>
        </w:rPr>
        <w:tab/>
      </w:r>
      <w:r w:rsidRPr="00505FA0">
        <w:rPr>
          <w:sz w:val="18"/>
          <w:szCs w:val="18"/>
          <w:lang w:val="es-ES"/>
        </w:rPr>
        <w:tab/>
        <w:t xml:space="preserve">si, basándose en la naturaleza y el estado de los materiales y/o en la forma de su utilización, puede determinarse que se trata de "materiales de multiplicación";  </w:t>
      </w:r>
    </w:p>
    <w:p w14:paraId="1E8E7E6B" w14:textId="77777777" w:rsidR="00DE5E38" w:rsidRPr="00505FA0" w:rsidRDefault="00C5303F">
      <w:pPr>
        <w:tabs>
          <w:tab w:val="left" w:pos="1710"/>
        </w:tabs>
        <w:spacing w:after="120"/>
        <w:ind w:left="2277" w:hanging="990"/>
        <w:rPr>
          <w:sz w:val="18"/>
          <w:szCs w:val="18"/>
          <w:u w:val="single"/>
          <w:lang w:val="es-ES"/>
        </w:rPr>
      </w:pPr>
      <w:r w:rsidRPr="00505FA0">
        <w:rPr>
          <w:sz w:val="18"/>
          <w:szCs w:val="18"/>
          <w:lang w:val="es-ES"/>
        </w:rPr>
        <w:t>(</w:t>
      </w:r>
      <w:proofErr w:type="spellStart"/>
      <w:r w:rsidRPr="00505FA0">
        <w:rPr>
          <w:sz w:val="18"/>
          <w:szCs w:val="18"/>
          <w:lang w:val="es-ES"/>
        </w:rPr>
        <w:t>vii</w:t>
      </w:r>
      <w:proofErr w:type="spellEnd"/>
      <w:r w:rsidRPr="00505FA0">
        <w:rPr>
          <w:sz w:val="18"/>
          <w:szCs w:val="18"/>
          <w:lang w:val="es-ES"/>
        </w:rPr>
        <w:t>)</w:t>
      </w:r>
      <w:r w:rsidRPr="00505FA0">
        <w:rPr>
          <w:sz w:val="18"/>
          <w:szCs w:val="18"/>
          <w:lang w:val="es-ES"/>
        </w:rPr>
        <w:tab/>
      </w:r>
      <w:r w:rsidRPr="00505FA0">
        <w:rPr>
          <w:sz w:val="18"/>
          <w:szCs w:val="18"/>
          <w:lang w:val="es-ES"/>
        </w:rPr>
        <w:tab/>
        <w:t>el material varietal cuando las condiciones y el modo de su producción respondan a la finalidad de reproducción de nuevas plantas de la variedad pero no de consumo final.</w:t>
      </w:r>
    </w:p>
    <w:p w14:paraId="5B9480FF" w14:textId="77777777" w:rsidR="00DE5E38" w:rsidRPr="00505FA0" w:rsidRDefault="00C5303F">
      <w:pPr>
        <w:ind w:left="1134"/>
        <w:rPr>
          <w:sz w:val="18"/>
          <w:szCs w:val="18"/>
          <w:lang w:val="es-ES"/>
        </w:rPr>
      </w:pPr>
      <w:r w:rsidRPr="00505FA0">
        <w:rPr>
          <w:sz w:val="18"/>
          <w:szCs w:val="18"/>
          <w:lang w:val="es-ES"/>
        </w:rPr>
        <w:t>El texto anterior no pretende ser una definición de "material de propagación".</w:t>
      </w:r>
    </w:p>
    <w:p w14:paraId="6B25A454" w14:textId="77777777" w:rsidR="00CC0770" w:rsidRPr="00505FA0" w:rsidRDefault="00CC0770" w:rsidP="009C2C83">
      <w:pPr>
        <w:keepLines/>
        <w:rPr>
          <w:sz w:val="18"/>
          <w:szCs w:val="18"/>
          <w:lang w:val="es-ES"/>
        </w:rPr>
      </w:pPr>
    </w:p>
    <w:p w14:paraId="1E1E27B9" w14:textId="77777777" w:rsidR="009C2C83" w:rsidRPr="00505FA0" w:rsidRDefault="009C2C83" w:rsidP="009C2C83">
      <w:pPr>
        <w:rPr>
          <w:lang w:val="es-ES"/>
        </w:rPr>
      </w:pPr>
    </w:p>
    <w:p w14:paraId="05E6ABC4" w14:textId="77777777" w:rsidR="00DE5E38" w:rsidRPr="00505FA0" w:rsidRDefault="00C5303F">
      <w:pPr>
        <w:rPr>
          <w:lang w:val="es-ES"/>
        </w:rPr>
      </w:pPr>
      <w:r w:rsidRPr="00505FA0">
        <w:rPr>
          <w:lang w:val="es-ES"/>
        </w:rPr>
        <w:t>(véase el documento WG-HRV/3/4 "Informe", párrafo 7).</w:t>
      </w:r>
    </w:p>
    <w:p w14:paraId="7D584395" w14:textId="77777777" w:rsidR="009C2C83" w:rsidRPr="00505FA0" w:rsidRDefault="009C2C83" w:rsidP="009C2C83">
      <w:pPr>
        <w:rPr>
          <w:lang w:val="es-ES"/>
        </w:rPr>
      </w:pPr>
    </w:p>
    <w:bookmarkEnd w:id="0"/>
    <w:p w14:paraId="3E25B2F9" w14:textId="77777777" w:rsidR="00DE5E38" w:rsidRPr="00505FA0" w:rsidRDefault="00C5303F">
      <w:pPr>
        <w:rPr>
          <w:sz w:val="18"/>
          <w:szCs w:val="18"/>
          <w:lang w:val="es-ES"/>
        </w:rPr>
      </w:pPr>
      <w:r w:rsidRPr="00B60EAB">
        <w:rPr>
          <w:rFonts w:cs="Arial"/>
        </w:rPr>
        <w:fldChar w:fldCharType="begin"/>
      </w:r>
      <w:r w:rsidRPr="00505FA0">
        <w:rPr>
          <w:rFonts w:cs="Arial"/>
          <w:lang w:val="es-ES"/>
        </w:rPr>
        <w:instrText xml:space="preserve"> AUTONUM  </w:instrText>
      </w:r>
      <w:r w:rsidRPr="00B60EAB">
        <w:rPr>
          <w:rFonts w:cs="Arial"/>
        </w:rPr>
        <w:fldChar w:fldCharType="end"/>
      </w:r>
      <w:r w:rsidRPr="00505FA0">
        <w:rPr>
          <w:rFonts w:cs="Arial"/>
          <w:lang w:val="es-ES"/>
        </w:rPr>
        <w:tab/>
        <w:t xml:space="preserve">El WG-HRV acordó </w:t>
      </w:r>
      <w:r w:rsidRPr="00505FA0">
        <w:rPr>
          <w:rFonts w:cs="Arial"/>
          <w:spacing w:val="-4"/>
          <w:lang w:val="es-ES"/>
        </w:rPr>
        <w:t>proponer al CAJ</w:t>
      </w:r>
      <w:r w:rsidR="00014BFE" w:rsidRPr="00505FA0">
        <w:rPr>
          <w:rFonts w:cs="Arial"/>
          <w:spacing w:val="-4"/>
          <w:lang w:val="es-ES"/>
        </w:rPr>
        <w:t xml:space="preserve">, </w:t>
      </w:r>
      <w:r w:rsidRPr="00505FA0">
        <w:rPr>
          <w:rFonts w:cs="Arial"/>
          <w:spacing w:val="-4"/>
          <w:lang w:val="es-ES"/>
        </w:rPr>
        <w:t xml:space="preserve">en su octogésima primera sesión </w:t>
      </w:r>
      <w:r w:rsidR="00014BFE" w:rsidRPr="00505FA0">
        <w:rPr>
          <w:rFonts w:cs="Arial"/>
          <w:spacing w:val="-4"/>
          <w:lang w:val="es-ES"/>
        </w:rPr>
        <w:t xml:space="preserve">de octubre de 2024, </w:t>
      </w:r>
      <w:r w:rsidRPr="00505FA0">
        <w:rPr>
          <w:rFonts w:cs="Arial"/>
          <w:spacing w:val="-4"/>
          <w:lang w:val="es-ES"/>
        </w:rPr>
        <w:t xml:space="preserve">que apruebe la revisión de las "Notas explicativas sobre el material de reproducción o de multiplicación con arreglo al Convenio de la UPOV", (UPOV/EXN/PPM/1) tal como se expone en el párrafo 5 del </w:t>
      </w:r>
      <w:r w:rsidRPr="00505FA0">
        <w:rPr>
          <w:rFonts w:cs="Arial"/>
          <w:lang w:val="es-ES"/>
        </w:rPr>
        <w:t xml:space="preserve">documento WG-HRV/4/2 </w:t>
      </w:r>
      <w:r w:rsidR="00CC0770" w:rsidRPr="00505FA0">
        <w:rPr>
          <w:rFonts w:cs="Arial"/>
          <w:lang w:val="es-ES"/>
        </w:rPr>
        <w:t>(véase el párrafo 6, supra).</w:t>
      </w:r>
    </w:p>
    <w:p w14:paraId="474FE06F" w14:textId="77777777" w:rsidR="00FE246A" w:rsidRPr="00505FA0" w:rsidRDefault="00FE246A" w:rsidP="009C2C83">
      <w:pPr>
        <w:ind w:left="1134"/>
        <w:rPr>
          <w:sz w:val="18"/>
          <w:szCs w:val="18"/>
          <w:lang w:val="es-ES"/>
        </w:rPr>
      </w:pPr>
    </w:p>
    <w:p w14:paraId="5E61E454" w14:textId="77777777" w:rsidR="0029033A" w:rsidRPr="00505FA0" w:rsidRDefault="0029033A" w:rsidP="00FE246A">
      <w:pPr>
        <w:rPr>
          <w:lang w:val="es-ES"/>
        </w:rPr>
      </w:pPr>
    </w:p>
    <w:p w14:paraId="6C815AD5" w14:textId="77777777" w:rsidR="00DE5E38" w:rsidRPr="00505FA0" w:rsidRDefault="00C5303F">
      <w:pPr>
        <w:spacing w:line="261" w:lineRule="auto"/>
        <w:rPr>
          <w:b/>
          <w:sz w:val="19"/>
          <w:lang w:val="es-ES"/>
        </w:rPr>
      </w:pPr>
      <w:r w:rsidRPr="00505FA0">
        <w:rPr>
          <w:b/>
          <w:color w:val="161616"/>
          <w:w w:val="105"/>
          <w:sz w:val="19"/>
          <w:lang w:val="es-ES"/>
        </w:rPr>
        <w:t xml:space="preserve">PERSPECTIVAS DE ENCARGAR UN ESTUDIO SOBRE EL </w:t>
      </w:r>
      <w:r w:rsidRPr="00505FA0">
        <w:rPr>
          <w:b/>
          <w:color w:val="262626"/>
          <w:w w:val="105"/>
          <w:sz w:val="19"/>
          <w:lang w:val="es-ES"/>
        </w:rPr>
        <w:t xml:space="preserve">"ALCANCE </w:t>
      </w:r>
      <w:r w:rsidRPr="00505FA0">
        <w:rPr>
          <w:b/>
          <w:color w:val="161616"/>
          <w:w w:val="105"/>
          <w:sz w:val="19"/>
          <w:lang w:val="es-ES"/>
        </w:rPr>
        <w:t>DEL DERECHO DE OBTENTOR" Y LA RELACIÓN CON EL "AGOTAMIENTO DEL DERECHO DE OBTENTOR".</w:t>
      </w:r>
    </w:p>
    <w:p w14:paraId="398681EF" w14:textId="77777777" w:rsidR="0029033A" w:rsidRPr="00505FA0" w:rsidRDefault="0029033A" w:rsidP="00FE246A">
      <w:pPr>
        <w:rPr>
          <w:sz w:val="18"/>
          <w:szCs w:val="18"/>
          <w:lang w:val="es-ES"/>
        </w:rPr>
      </w:pPr>
    </w:p>
    <w:p w14:paraId="78337EAB" w14:textId="77777777" w:rsidR="009C2C83" w:rsidRPr="00505FA0" w:rsidRDefault="009C2C83" w:rsidP="009C2C83">
      <w:pPr>
        <w:rPr>
          <w:rFonts w:cs="Arial"/>
          <w:sz w:val="18"/>
          <w:szCs w:val="18"/>
          <w:lang w:val="es-ES"/>
        </w:rPr>
      </w:pPr>
    </w:p>
    <w:p w14:paraId="6A8F65F2" w14:textId="77777777" w:rsidR="00DE5E38" w:rsidRPr="00505FA0" w:rsidRDefault="00C5303F">
      <w:pPr>
        <w:rPr>
          <w:rFonts w:cs="Arial"/>
          <w:lang w:val="es-ES"/>
        </w:rPr>
      </w:pPr>
      <w:r w:rsidRPr="00B60EAB">
        <w:rPr>
          <w:rFonts w:cs="Arial"/>
        </w:rPr>
        <w:fldChar w:fldCharType="begin"/>
      </w:r>
      <w:r w:rsidRPr="00505FA0">
        <w:rPr>
          <w:rFonts w:cs="Arial"/>
          <w:lang w:val="es-ES"/>
        </w:rPr>
        <w:instrText xml:space="preserve"> AUTONUM  </w:instrText>
      </w:r>
      <w:r w:rsidRPr="00B60EAB">
        <w:rPr>
          <w:rFonts w:cs="Arial"/>
        </w:rPr>
        <w:fldChar w:fldCharType="end"/>
      </w:r>
      <w:r w:rsidRPr="00505FA0">
        <w:rPr>
          <w:rFonts w:cs="Arial"/>
          <w:lang w:val="es-ES"/>
        </w:rPr>
        <w:tab/>
        <w:t>El WG-HRV tomó nota de las respuestas a la Circular E-23/071 de la UPOV, que figuran en los párrafos 9 y 10 y en el Anexo del documento WG-HRV/4/2.</w:t>
      </w:r>
    </w:p>
    <w:p w14:paraId="1A46F0A0" w14:textId="77777777" w:rsidR="00CF14F6" w:rsidRPr="00505FA0" w:rsidRDefault="00CF14F6" w:rsidP="009C2C83">
      <w:pPr>
        <w:rPr>
          <w:rFonts w:cs="Arial"/>
          <w:sz w:val="18"/>
          <w:szCs w:val="18"/>
          <w:lang w:val="es-ES"/>
        </w:rPr>
      </w:pPr>
    </w:p>
    <w:p w14:paraId="2E89D955" w14:textId="62C13648" w:rsidR="00DE5E38" w:rsidRPr="00505FA0" w:rsidRDefault="00C5303F">
      <w:pPr>
        <w:pStyle w:val="BodyText"/>
        <w:spacing w:before="2"/>
        <w:rPr>
          <w:color w:val="262626"/>
          <w:lang w:val="es-ES"/>
        </w:rPr>
      </w:pPr>
      <w:r w:rsidRPr="00B60EAB">
        <w:rPr>
          <w:rFonts w:cs="Arial"/>
        </w:rPr>
        <w:fldChar w:fldCharType="begin"/>
      </w:r>
      <w:r w:rsidRPr="00505FA0">
        <w:rPr>
          <w:rFonts w:cs="Arial"/>
          <w:lang w:val="es-ES"/>
        </w:rPr>
        <w:instrText xml:space="preserve"> AUTONUM  </w:instrText>
      </w:r>
      <w:r w:rsidRPr="00B60EAB">
        <w:rPr>
          <w:rFonts w:cs="Arial"/>
        </w:rPr>
        <w:fldChar w:fldCharType="end"/>
      </w:r>
      <w:r w:rsidRPr="00505FA0">
        <w:rPr>
          <w:rFonts w:cs="Arial"/>
          <w:lang w:val="es-ES"/>
        </w:rPr>
        <w:tab/>
      </w:r>
      <w:r w:rsidR="0029033A" w:rsidRPr="00505FA0">
        <w:rPr>
          <w:color w:val="161616"/>
          <w:lang w:val="es-ES"/>
        </w:rPr>
        <w:t xml:space="preserve">El </w:t>
      </w:r>
      <w:r>
        <w:rPr>
          <w:color w:val="262626"/>
          <w:lang w:val="es-ES"/>
        </w:rPr>
        <w:t>WG-HRV</w:t>
      </w:r>
      <w:r w:rsidR="0029033A" w:rsidRPr="00505FA0">
        <w:rPr>
          <w:color w:val="262626"/>
          <w:lang w:val="es-ES"/>
        </w:rPr>
        <w:t xml:space="preserve"> </w:t>
      </w:r>
      <w:r w:rsidR="0029033A" w:rsidRPr="00505FA0">
        <w:rPr>
          <w:color w:val="161616"/>
          <w:lang w:val="es-ES"/>
        </w:rPr>
        <w:t xml:space="preserve">debatió </w:t>
      </w:r>
      <w:r w:rsidR="0029033A" w:rsidRPr="00505FA0">
        <w:rPr>
          <w:color w:val="262626"/>
          <w:lang w:val="es-ES"/>
        </w:rPr>
        <w:t xml:space="preserve">sobre la </w:t>
      </w:r>
      <w:r w:rsidR="0029033A" w:rsidRPr="00505FA0">
        <w:rPr>
          <w:color w:val="161616"/>
          <w:lang w:val="es-ES"/>
        </w:rPr>
        <w:t xml:space="preserve">conveniencia </w:t>
      </w:r>
      <w:r w:rsidR="0029033A" w:rsidRPr="00505FA0">
        <w:rPr>
          <w:color w:val="262626"/>
          <w:lang w:val="es-ES"/>
        </w:rPr>
        <w:t xml:space="preserve">de </w:t>
      </w:r>
      <w:r w:rsidR="00014BFE" w:rsidRPr="00505FA0">
        <w:rPr>
          <w:color w:val="343434"/>
          <w:lang w:val="es-ES"/>
        </w:rPr>
        <w:t xml:space="preserve">seleccionar a </w:t>
      </w:r>
      <w:r w:rsidR="0029033A" w:rsidRPr="00505FA0">
        <w:rPr>
          <w:color w:val="262626"/>
          <w:lang w:val="es-ES"/>
        </w:rPr>
        <w:t xml:space="preserve">un autor </w:t>
      </w:r>
      <w:r w:rsidR="0029033A" w:rsidRPr="00505FA0">
        <w:rPr>
          <w:color w:val="161616"/>
          <w:lang w:val="es-ES"/>
        </w:rPr>
        <w:t xml:space="preserve">o a </w:t>
      </w:r>
      <w:r w:rsidR="0029033A" w:rsidRPr="00505FA0">
        <w:rPr>
          <w:color w:val="262626"/>
          <w:lang w:val="es-ES"/>
        </w:rPr>
        <w:t xml:space="preserve">un </w:t>
      </w:r>
      <w:r w:rsidR="0029033A" w:rsidRPr="00505FA0">
        <w:rPr>
          <w:color w:val="161616"/>
          <w:lang w:val="es-ES"/>
        </w:rPr>
        <w:t xml:space="preserve">equipo de </w:t>
      </w:r>
      <w:r w:rsidR="0029033A" w:rsidRPr="00505FA0">
        <w:rPr>
          <w:color w:val="262626"/>
          <w:lang w:val="es-ES"/>
        </w:rPr>
        <w:t xml:space="preserve">autores </w:t>
      </w:r>
      <w:r w:rsidR="0029033A" w:rsidRPr="00505FA0">
        <w:rPr>
          <w:color w:val="161616"/>
          <w:lang w:val="es-ES"/>
        </w:rPr>
        <w:t xml:space="preserve">para </w:t>
      </w:r>
      <w:r w:rsidR="0029033A" w:rsidRPr="00505FA0">
        <w:rPr>
          <w:color w:val="262626"/>
          <w:lang w:val="es-ES"/>
        </w:rPr>
        <w:t xml:space="preserve">llevar a cabo el </w:t>
      </w:r>
      <w:r w:rsidR="0029033A" w:rsidRPr="00505FA0">
        <w:rPr>
          <w:color w:val="343434"/>
          <w:lang w:val="es-ES"/>
        </w:rPr>
        <w:t xml:space="preserve">estudio. Se </w:t>
      </w:r>
      <w:r w:rsidR="0029033A" w:rsidRPr="00505FA0">
        <w:rPr>
          <w:color w:val="161616"/>
          <w:lang w:val="es-ES"/>
        </w:rPr>
        <w:t xml:space="preserve">acordó </w:t>
      </w:r>
      <w:r w:rsidR="0029033A" w:rsidRPr="00505FA0">
        <w:rPr>
          <w:color w:val="262626"/>
          <w:lang w:val="es-ES"/>
        </w:rPr>
        <w:t xml:space="preserve">que sería </w:t>
      </w:r>
      <w:r w:rsidR="0029033A" w:rsidRPr="00505FA0">
        <w:rPr>
          <w:color w:val="161616"/>
          <w:lang w:val="es-ES"/>
        </w:rPr>
        <w:t xml:space="preserve">apropiado </w:t>
      </w:r>
      <w:r w:rsidR="00014BFE" w:rsidRPr="00505FA0">
        <w:rPr>
          <w:color w:val="161616"/>
          <w:lang w:val="es-ES"/>
        </w:rPr>
        <w:t xml:space="preserve">seleccionar </w:t>
      </w:r>
      <w:r w:rsidR="0029033A" w:rsidRPr="00505FA0">
        <w:rPr>
          <w:color w:val="262626"/>
          <w:lang w:val="es-ES"/>
        </w:rPr>
        <w:t xml:space="preserve">un </w:t>
      </w:r>
      <w:r w:rsidR="0029033A" w:rsidRPr="00505FA0">
        <w:rPr>
          <w:color w:val="161616"/>
          <w:lang w:val="es-ES"/>
        </w:rPr>
        <w:t xml:space="preserve">equipo </w:t>
      </w:r>
      <w:r w:rsidR="0029033A" w:rsidRPr="00505FA0">
        <w:rPr>
          <w:color w:val="262626"/>
          <w:lang w:val="es-ES"/>
        </w:rPr>
        <w:t xml:space="preserve">de </w:t>
      </w:r>
      <w:r w:rsidR="0029033A" w:rsidRPr="00505FA0">
        <w:rPr>
          <w:color w:val="262626"/>
          <w:spacing w:val="-7"/>
          <w:lang w:val="es-ES"/>
        </w:rPr>
        <w:t xml:space="preserve">autores </w:t>
      </w:r>
      <w:r w:rsidR="0029033A" w:rsidRPr="00505FA0">
        <w:rPr>
          <w:color w:val="262626"/>
          <w:lang w:val="es-ES"/>
        </w:rPr>
        <w:t xml:space="preserve">para plasmar </w:t>
      </w:r>
      <w:r w:rsidR="0029033A" w:rsidRPr="00505FA0">
        <w:rPr>
          <w:color w:val="161616"/>
          <w:lang w:val="es-ES"/>
        </w:rPr>
        <w:t xml:space="preserve">en el </w:t>
      </w:r>
      <w:r w:rsidR="0029033A" w:rsidRPr="00505FA0">
        <w:rPr>
          <w:color w:val="161616"/>
          <w:spacing w:val="-6"/>
          <w:lang w:val="es-ES"/>
        </w:rPr>
        <w:t xml:space="preserve">trabajo </w:t>
      </w:r>
      <w:r w:rsidR="0029033A" w:rsidRPr="00505FA0">
        <w:rPr>
          <w:color w:val="262626"/>
          <w:lang w:val="es-ES"/>
        </w:rPr>
        <w:t xml:space="preserve">una diversidad de </w:t>
      </w:r>
      <w:r w:rsidR="0029033A" w:rsidRPr="00505FA0">
        <w:rPr>
          <w:color w:val="343434"/>
          <w:lang w:val="es-ES"/>
        </w:rPr>
        <w:t>puntos de vista</w:t>
      </w:r>
      <w:r w:rsidR="0029033A" w:rsidRPr="00505FA0">
        <w:rPr>
          <w:color w:val="262626"/>
          <w:lang w:val="es-ES"/>
        </w:rPr>
        <w:t xml:space="preserve">. Se acordó </w:t>
      </w:r>
      <w:r w:rsidR="0029033A" w:rsidRPr="00505FA0">
        <w:rPr>
          <w:color w:val="161616"/>
          <w:lang w:val="es-ES"/>
        </w:rPr>
        <w:t xml:space="preserve">limitar </w:t>
      </w:r>
      <w:r w:rsidR="0029033A" w:rsidRPr="00505FA0">
        <w:rPr>
          <w:color w:val="343434"/>
          <w:lang w:val="es-ES"/>
        </w:rPr>
        <w:t xml:space="preserve">el </w:t>
      </w:r>
      <w:r w:rsidR="0029033A" w:rsidRPr="00505FA0">
        <w:rPr>
          <w:color w:val="161616"/>
          <w:lang w:val="es-ES"/>
        </w:rPr>
        <w:t xml:space="preserve">número </w:t>
      </w:r>
      <w:r w:rsidR="0029033A" w:rsidRPr="00505FA0">
        <w:rPr>
          <w:color w:val="262626"/>
          <w:lang w:val="es-ES"/>
        </w:rPr>
        <w:t xml:space="preserve">de autores a un máximo de cuatro y </w:t>
      </w:r>
      <w:r w:rsidR="00CC0770" w:rsidRPr="00505FA0">
        <w:rPr>
          <w:color w:val="262626"/>
          <w:lang w:val="es-ES"/>
        </w:rPr>
        <w:t xml:space="preserve">designar </w:t>
      </w:r>
      <w:r w:rsidR="0029033A" w:rsidRPr="00505FA0">
        <w:rPr>
          <w:color w:val="161616"/>
          <w:lang w:val="es-ES"/>
        </w:rPr>
        <w:t xml:space="preserve">a uno </w:t>
      </w:r>
      <w:r w:rsidR="0029033A" w:rsidRPr="00505FA0">
        <w:rPr>
          <w:color w:val="262626"/>
          <w:lang w:val="es-ES"/>
        </w:rPr>
        <w:t xml:space="preserve">de </w:t>
      </w:r>
      <w:r w:rsidR="0029033A" w:rsidRPr="00505FA0">
        <w:rPr>
          <w:color w:val="161616"/>
          <w:lang w:val="es-ES"/>
        </w:rPr>
        <w:t xml:space="preserve">ellos para dirigir </w:t>
      </w:r>
      <w:r w:rsidR="0029033A" w:rsidRPr="00505FA0">
        <w:rPr>
          <w:color w:val="262626"/>
          <w:lang w:val="es-ES"/>
        </w:rPr>
        <w:t>el equipo.</w:t>
      </w:r>
    </w:p>
    <w:p w14:paraId="796355FC" w14:textId="77777777" w:rsidR="0029033A" w:rsidRPr="00505FA0" w:rsidRDefault="0029033A" w:rsidP="0029033A">
      <w:pPr>
        <w:pStyle w:val="BodyText"/>
        <w:spacing w:before="2"/>
        <w:rPr>
          <w:color w:val="262626"/>
          <w:lang w:val="es-ES"/>
        </w:rPr>
      </w:pPr>
    </w:p>
    <w:p w14:paraId="72E6A904" w14:textId="77777777" w:rsidR="00DE5E38" w:rsidRPr="00505FA0" w:rsidRDefault="00C5303F">
      <w:pPr>
        <w:widowControl w:val="0"/>
        <w:tabs>
          <w:tab w:val="left" w:pos="755"/>
        </w:tabs>
        <w:autoSpaceDE w:val="0"/>
        <w:autoSpaceDN w:val="0"/>
        <w:spacing w:line="247" w:lineRule="auto"/>
        <w:ind w:right="112"/>
        <w:rPr>
          <w:color w:val="161616"/>
          <w:lang w:val="es-ES"/>
        </w:rPr>
      </w:pPr>
      <w:r w:rsidRPr="00B60EAB">
        <w:rPr>
          <w:rFonts w:cs="Arial"/>
        </w:rPr>
        <w:fldChar w:fldCharType="begin"/>
      </w:r>
      <w:r w:rsidRPr="00505FA0">
        <w:rPr>
          <w:rFonts w:cs="Arial"/>
          <w:lang w:val="es-ES"/>
        </w:rPr>
        <w:instrText xml:space="preserve"> AUTONUM  </w:instrText>
      </w:r>
      <w:r w:rsidRPr="00B60EAB">
        <w:rPr>
          <w:rFonts w:cs="Arial"/>
        </w:rPr>
        <w:fldChar w:fldCharType="end"/>
      </w:r>
      <w:r w:rsidRPr="00505FA0">
        <w:rPr>
          <w:rFonts w:cs="Arial"/>
          <w:lang w:val="es-ES"/>
        </w:rPr>
        <w:tab/>
      </w:r>
      <w:r w:rsidRPr="00505FA0">
        <w:rPr>
          <w:color w:val="262626"/>
          <w:lang w:val="es-ES"/>
        </w:rPr>
        <w:t xml:space="preserve">El WG-HRV convino en que el estudio </w:t>
      </w:r>
      <w:r w:rsidRPr="00505FA0">
        <w:rPr>
          <w:color w:val="161616"/>
          <w:lang w:val="es-ES"/>
        </w:rPr>
        <w:t xml:space="preserve">debería </w:t>
      </w:r>
      <w:r w:rsidRPr="00505FA0">
        <w:rPr>
          <w:color w:val="262626"/>
          <w:lang w:val="es-ES"/>
        </w:rPr>
        <w:t xml:space="preserve">incluir un análisis de </w:t>
      </w:r>
      <w:r w:rsidRPr="00505FA0">
        <w:rPr>
          <w:color w:val="161616"/>
          <w:lang w:val="es-ES"/>
        </w:rPr>
        <w:t xml:space="preserve">las intenciones de los </w:t>
      </w:r>
      <w:r w:rsidRPr="00505FA0">
        <w:rPr>
          <w:color w:val="262626"/>
          <w:lang w:val="es-ES"/>
        </w:rPr>
        <w:t xml:space="preserve">redactores del </w:t>
      </w:r>
      <w:r w:rsidR="00CC0770" w:rsidRPr="00505FA0">
        <w:rPr>
          <w:color w:val="161616"/>
          <w:lang w:val="es-ES"/>
        </w:rPr>
        <w:t xml:space="preserve">Acta de 1991 del Convenio de la UPOV </w:t>
      </w:r>
      <w:r w:rsidRPr="00505FA0">
        <w:rPr>
          <w:color w:val="262626"/>
          <w:lang w:val="es-ES"/>
        </w:rPr>
        <w:t xml:space="preserve">en </w:t>
      </w:r>
      <w:r w:rsidRPr="00505FA0">
        <w:rPr>
          <w:color w:val="161616"/>
          <w:lang w:val="es-ES"/>
        </w:rPr>
        <w:t xml:space="preserve">relación con </w:t>
      </w:r>
      <w:r w:rsidR="00CC0770" w:rsidRPr="00505FA0">
        <w:rPr>
          <w:color w:val="262626"/>
          <w:lang w:val="es-ES"/>
        </w:rPr>
        <w:t>el Artículo 14 y el Artículo 16 del Acta de 1991</w:t>
      </w:r>
      <w:r w:rsidRPr="00505FA0">
        <w:rPr>
          <w:color w:val="262626"/>
          <w:lang w:val="es-ES"/>
        </w:rPr>
        <w:t xml:space="preserve">. Se debatió si la jurisprudencia </w:t>
      </w:r>
      <w:r w:rsidRPr="00505FA0">
        <w:rPr>
          <w:color w:val="161616"/>
          <w:lang w:val="es-ES"/>
        </w:rPr>
        <w:t xml:space="preserve">de </w:t>
      </w:r>
      <w:r w:rsidRPr="00505FA0">
        <w:rPr>
          <w:color w:val="262626"/>
          <w:lang w:val="es-ES"/>
        </w:rPr>
        <w:t xml:space="preserve">los miembros de </w:t>
      </w:r>
      <w:r w:rsidRPr="00505FA0">
        <w:rPr>
          <w:color w:val="161616"/>
          <w:lang w:val="es-ES"/>
        </w:rPr>
        <w:t xml:space="preserve">la UPOV </w:t>
      </w:r>
      <w:r w:rsidRPr="00505FA0">
        <w:rPr>
          <w:color w:val="343434"/>
          <w:lang w:val="es-ES"/>
        </w:rPr>
        <w:t xml:space="preserve">debería </w:t>
      </w:r>
      <w:r w:rsidRPr="00505FA0">
        <w:rPr>
          <w:color w:val="161616"/>
          <w:lang w:val="es-ES"/>
        </w:rPr>
        <w:t xml:space="preserve">formar </w:t>
      </w:r>
      <w:r w:rsidRPr="00505FA0">
        <w:rPr>
          <w:color w:val="262626"/>
          <w:lang w:val="es-ES"/>
        </w:rPr>
        <w:t xml:space="preserve">parte </w:t>
      </w:r>
      <w:r w:rsidRPr="00505FA0">
        <w:rPr>
          <w:color w:val="161616"/>
          <w:lang w:val="es-ES"/>
        </w:rPr>
        <w:t xml:space="preserve">del </w:t>
      </w:r>
      <w:r w:rsidRPr="00505FA0">
        <w:rPr>
          <w:color w:val="161616"/>
          <w:spacing w:val="-1"/>
          <w:lang w:val="es-ES"/>
        </w:rPr>
        <w:t>estudio</w:t>
      </w:r>
      <w:r w:rsidRPr="00505FA0">
        <w:rPr>
          <w:color w:val="262626"/>
          <w:lang w:val="es-ES"/>
        </w:rPr>
        <w:t xml:space="preserve">. </w:t>
      </w:r>
      <w:r w:rsidRPr="00505FA0">
        <w:rPr>
          <w:color w:val="343434"/>
          <w:lang w:val="es-ES"/>
        </w:rPr>
        <w:t xml:space="preserve">Se </w:t>
      </w:r>
      <w:r w:rsidRPr="00505FA0">
        <w:rPr>
          <w:color w:val="262626"/>
          <w:lang w:val="es-ES"/>
        </w:rPr>
        <w:t xml:space="preserve">acordó que una parte </w:t>
      </w:r>
      <w:r w:rsidRPr="00505FA0">
        <w:rPr>
          <w:color w:val="161616"/>
          <w:lang w:val="es-ES"/>
        </w:rPr>
        <w:t xml:space="preserve">del </w:t>
      </w:r>
      <w:r w:rsidRPr="00505FA0">
        <w:rPr>
          <w:color w:val="161616"/>
          <w:spacing w:val="-9"/>
          <w:lang w:val="es-ES"/>
        </w:rPr>
        <w:t xml:space="preserve">estudio </w:t>
      </w:r>
      <w:r w:rsidRPr="00505FA0">
        <w:rPr>
          <w:color w:val="262626"/>
          <w:lang w:val="es-ES"/>
        </w:rPr>
        <w:t xml:space="preserve">se centraría en </w:t>
      </w:r>
      <w:r w:rsidRPr="00505FA0">
        <w:rPr>
          <w:color w:val="161616"/>
          <w:lang w:val="es-ES"/>
        </w:rPr>
        <w:t xml:space="preserve">el </w:t>
      </w:r>
      <w:r w:rsidR="00014BFE" w:rsidRPr="00505FA0">
        <w:rPr>
          <w:color w:val="161616"/>
          <w:lang w:val="es-ES"/>
        </w:rPr>
        <w:t xml:space="preserve">análisis de las intenciones </w:t>
      </w:r>
      <w:r w:rsidRPr="00505FA0">
        <w:rPr>
          <w:color w:val="262626"/>
          <w:lang w:val="es-ES"/>
        </w:rPr>
        <w:t xml:space="preserve">de </w:t>
      </w:r>
      <w:r w:rsidRPr="00505FA0">
        <w:rPr>
          <w:color w:val="161616"/>
          <w:lang w:val="es-ES"/>
        </w:rPr>
        <w:t xml:space="preserve">los </w:t>
      </w:r>
      <w:r w:rsidR="00ED7C74" w:rsidRPr="00505FA0">
        <w:rPr>
          <w:color w:val="262626"/>
          <w:lang w:val="es-ES"/>
        </w:rPr>
        <w:t xml:space="preserve">redactores </w:t>
      </w:r>
      <w:r w:rsidRPr="00505FA0">
        <w:rPr>
          <w:color w:val="262626"/>
          <w:lang w:val="es-ES"/>
        </w:rPr>
        <w:t xml:space="preserve">del </w:t>
      </w:r>
      <w:r w:rsidRPr="00505FA0">
        <w:rPr>
          <w:color w:val="161616"/>
          <w:lang w:val="es-ES"/>
        </w:rPr>
        <w:t xml:space="preserve">Acta de 1991 </w:t>
      </w:r>
      <w:r w:rsidRPr="00505FA0">
        <w:rPr>
          <w:color w:val="262626"/>
          <w:lang w:val="es-ES"/>
        </w:rPr>
        <w:t xml:space="preserve">y una </w:t>
      </w:r>
      <w:r w:rsidRPr="00505FA0">
        <w:rPr>
          <w:color w:val="343434"/>
          <w:lang w:val="es-ES"/>
        </w:rPr>
        <w:t xml:space="preserve">segunda </w:t>
      </w:r>
      <w:r w:rsidRPr="00505FA0">
        <w:rPr>
          <w:color w:val="262626"/>
          <w:lang w:val="es-ES"/>
        </w:rPr>
        <w:t xml:space="preserve">parte </w:t>
      </w:r>
      <w:r w:rsidR="00506D22" w:rsidRPr="00505FA0">
        <w:rPr>
          <w:color w:val="161616"/>
          <w:lang w:val="es-ES"/>
        </w:rPr>
        <w:t xml:space="preserve">incluiría </w:t>
      </w:r>
      <w:r w:rsidR="00ED7C74" w:rsidRPr="00505FA0">
        <w:rPr>
          <w:color w:val="161616"/>
          <w:lang w:val="es-ES"/>
        </w:rPr>
        <w:t xml:space="preserve">resúmenes </w:t>
      </w:r>
      <w:r w:rsidR="00ED7C74" w:rsidRPr="00505FA0">
        <w:rPr>
          <w:color w:val="343434"/>
          <w:lang w:val="es-ES"/>
        </w:rPr>
        <w:t xml:space="preserve">de </w:t>
      </w:r>
      <w:r w:rsidRPr="00505FA0">
        <w:rPr>
          <w:color w:val="343434"/>
          <w:lang w:val="es-ES"/>
        </w:rPr>
        <w:t xml:space="preserve">casos judiciales de miembros de la UPOV </w:t>
      </w:r>
      <w:r w:rsidR="00CC0770" w:rsidRPr="00505FA0">
        <w:rPr>
          <w:color w:val="343434"/>
          <w:lang w:val="es-ES"/>
        </w:rPr>
        <w:t>vinculados por el Acta de 1991</w:t>
      </w:r>
      <w:r w:rsidRPr="00505FA0">
        <w:rPr>
          <w:color w:val="161616"/>
          <w:lang w:val="es-ES"/>
        </w:rPr>
        <w:t>.</w:t>
      </w:r>
    </w:p>
    <w:p w14:paraId="15EF040E" w14:textId="77777777" w:rsidR="00767385" w:rsidRPr="00505FA0" w:rsidRDefault="00767385" w:rsidP="00767385">
      <w:pPr>
        <w:widowControl w:val="0"/>
        <w:tabs>
          <w:tab w:val="left" w:pos="755"/>
        </w:tabs>
        <w:autoSpaceDE w:val="0"/>
        <w:autoSpaceDN w:val="0"/>
        <w:spacing w:line="247" w:lineRule="auto"/>
        <w:ind w:right="112"/>
        <w:rPr>
          <w:color w:val="161616"/>
          <w:lang w:val="es-ES"/>
        </w:rPr>
      </w:pPr>
    </w:p>
    <w:p w14:paraId="0D7B3B78" w14:textId="77777777" w:rsidR="00DE5E38" w:rsidRPr="00505FA0" w:rsidRDefault="00C5303F">
      <w:pPr>
        <w:rPr>
          <w:lang w:val="es-ES"/>
        </w:rPr>
      </w:pPr>
      <w:r w:rsidRPr="00B60EAB">
        <w:rPr>
          <w:rFonts w:cs="Arial"/>
        </w:rPr>
        <w:fldChar w:fldCharType="begin"/>
      </w:r>
      <w:r w:rsidRPr="00505FA0">
        <w:rPr>
          <w:rFonts w:cs="Arial"/>
          <w:lang w:val="es-ES"/>
        </w:rPr>
        <w:instrText xml:space="preserve"> AUTONUM  </w:instrText>
      </w:r>
      <w:r w:rsidRPr="00B60EAB">
        <w:rPr>
          <w:rFonts w:cs="Arial"/>
        </w:rPr>
        <w:fldChar w:fldCharType="end"/>
      </w:r>
      <w:r w:rsidRPr="00505FA0">
        <w:rPr>
          <w:rFonts w:cs="Arial"/>
          <w:lang w:val="es-ES"/>
        </w:rPr>
        <w:tab/>
      </w:r>
      <w:r w:rsidRPr="00505FA0">
        <w:rPr>
          <w:color w:val="161616"/>
          <w:lang w:val="es-ES"/>
        </w:rPr>
        <w:t xml:space="preserve">El </w:t>
      </w:r>
      <w:r w:rsidRPr="00505FA0">
        <w:rPr>
          <w:color w:val="262626"/>
          <w:lang w:val="es-ES"/>
        </w:rPr>
        <w:t xml:space="preserve">WG-HRV acordó </w:t>
      </w:r>
      <w:r w:rsidRPr="00505FA0">
        <w:rPr>
          <w:color w:val="161616"/>
          <w:lang w:val="es-ES"/>
        </w:rPr>
        <w:t>que</w:t>
      </w:r>
      <w:r w:rsidRPr="00505FA0">
        <w:rPr>
          <w:color w:val="505050"/>
          <w:lang w:val="es-ES"/>
        </w:rPr>
        <w:t xml:space="preserve">, de conformidad </w:t>
      </w:r>
      <w:r w:rsidR="00014BFE" w:rsidRPr="00505FA0">
        <w:rPr>
          <w:color w:val="262626"/>
          <w:lang w:val="es-ES"/>
        </w:rPr>
        <w:t xml:space="preserve">con los </w:t>
      </w:r>
      <w:r w:rsidRPr="00505FA0">
        <w:rPr>
          <w:color w:val="161616"/>
          <w:lang w:val="es-ES"/>
        </w:rPr>
        <w:t xml:space="preserve">debates mantenidos </w:t>
      </w:r>
      <w:r w:rsidRPr="00505FA0">
        <w:rPr>
          <w:color w:val="262626"/>
          <w:lang w:val="es-ES"/>
        </w:rPr>
        <w:t xml:space="preserve">durante la </w:t>
      </w:r>
      <w:r w:rsidRPr="00505FA0">
        <w:rPr>
          <w:color w:val="161616"/>
          <w:lang w:val="es-ES"/>
        </w:rPr>
        <w:t xml:space="preserve">cuarta </w:t>
      </w:r>
      <w:r w:rsidRPr="00505FA0">
        <w:rPr>
          <w:color w:val="262626"/>
          <w:lang w:val="es-ES"/>
        </w:rPr>
        <w:t xml:space="preserve">reunión </w:t>
      </w:r>
      <w:r w:rsidRPr="00505FA0">
        <w:rPr>
          <w:color w:val="161616"/>
          <w:lang w:val="es-ES"/>
        </w:rPr>
        <w:t xml:space="preserve">del </w:t>
      </w:r>
      <w:r w:rsidRPr="00505FA0">
        <w:rPr>
          <w:color w:val="262626"/>
          <w:lang w:val="es-ES"/>
        </w:rPr>
        <w:t>WG-HRV</w:t>
      </w:r>
      <w:r w:rsidRPr="00505FA0">
        <w:rPr>
          <w:color w:val="343434"/>
          <w:lang w:val="es-ES"/>
        </w:rPr>
        <w:t xml:space="preserve">, </w:t>
      </w:r>
      <w:r w:rsidRPr="00505FA0">
        <w:rPr>
          <w:color w:val="262626"/>
          <w:lang w:val="es-ES"/>
        </w:rPr>
        <w:t xml:space="preserve">la </w:t>
      </w:r>
      <w:r w:rsidRPr="00505FA0">
        <w:rPr>
          <w:color w:val="161616"/>
          <w:lang w:val="es-ES"/>
        </w:rPr>
        <w:t xml:space="preserve">Oficina </w:t>
      </w:r>
      <w:r w:rsidRPr="00505FA0">
        <w:rPr>
          <w:color w:val="262626"/>
          <w:lang w:val="es-ES"/>
        </w:rPr>
        <w:t xml:space="preserve">de </w:t>
      </w:r>
      <w:r w:rsidRPr="00505FA0">
        <w:rPr>
          <w:color w:val="161616"/>
          <w:lang w:val="es-ES"/>
        </w:rPr>
        <w:t xml:space="preserve">la Unión </w:t>
      </w:r>
      <w:r w:rsidR="00CC0770" w:rsidRPr="00505FA0">
        <w:rPr>
          <w:color w:val="343434"/>
          <w:spacing w:val="-4"/>
          <w:lang w:val="es-ES"/>
        </w:rPr>
        <w:t xml:space="preserve">consultaría a los miembros del WG-HRV que </w:t>
      </w:r>
      <w:r w:rsidR="00ED7C74" w:rsidRPr="00505FA0">
        <w:rPr>
          <w:color w:val="343434"/>
          <w:spacing w:val="-4"/>
          <w:lang w:val="es-ES"/>
        </w:rPr>
        <w:t xml:space="preserve">proporcionaron respuestas </w:t>
      </w:r>
      <w:r w:rsidR="00CC0770" w:rsidRPr="00505FA0">
        <w:rPr>
          <w:color w:val="343434"/>
          <w:spacing w:val="-4"/>
          <w:lang w:val="es-ES"/>
        </w:rPr>
        <w:t xml:space="preserve">a la Circular E-23/071 de la UPOV </w:t>
      </w:r>
      <w:r w:rsidR="00292ED4" w:rsidRPr="00505FA0">
        <w:rPr>
          <w:color w:val="343434"/>
          <w:spacing w:val="-4"/>
          <w:lang w:val="es-ES"/>
        </w:rPr>
        <w:t xml:space="preserve">y </w:t>
      </w:r>
      <w:r w:rsidRPr="00505FA0">
        <w:rPr>
          <w:color w:val="262626"/>
          <w:lang w:val="es-ES"/>
        </w:rPr>
        <w:t xml:space="preserve">propondría </w:t>
      </w:r>
      <w:r w:rsidRPr="00505FA0">
        <w:rPr>
          <w:color w:val="161616"/>
          <w:lang w:val="es-ES"/>
        </w:rPr>
        <w:t xml:space="preserve">las </w:t>
      </w:r>
      <w:r w:rsidRPr="00505FA0">
        <w:rPr>
          <w:color w:val="262626"/>
          <w:lang w:val="es-ES"/>
        </w:rPr>
        <w:t xml:space="preserve">bases de un </w:t>
      </w:r>
      <w:r w:rsidRPr="00505FA0">
        <w:rPr>
          <w:color w:val="343434"/>
          <w:lang w:val="es-ES"/>
        </w:rPr>
        <w:t xml:space="preserve">estudio, </w:t>
      </w:r>
      <w:r w:rsidRPr="00505FA0">
        <w:rPr>
          <w:color w:val="161616"/>
          <w:lang w:val="es-ES"/>
        </w:rPr>
        <w:t xml:space="preserve">incluidos el </w:t>
      </w:r>
      <w:r w:rsidRPr="00505FA0">
        <w:rPr>
          <w:color w:val="262626"/>
          <w:spacing w:val="-15"/>
          <w:lang w:val="es-ES"/>
        </w:rPr>
        <w:t>mandato</w:t>
      </w:r>
      <w:r w:rsidRPr="00505FA0">
        <w:rPr>
          <w:color w:val="161616"/>
          <w:lang w:val="es-ES"/>
        </w:rPr>
        <w:t xml:space="preserve">, el calendario </w:t>
      </w:r>
      <w:r w:rsidRPr="00505FA0">
        <w:rPr>
          <w:color w:val="343434"/>
          <w:lang w:val="es-ES"/>
        </w:rPr>
        <w:t xml:space="preserve">y los </w:t>
      </w:r>
      <w:r w:rsidR="00CC0770" w:rsidRPr="00505FA0">
        <w:rPr>
          <w:color w:val="262626"/>
          <w:lang w:val="es-ES"/>
        </w:rPr>
        <w:t>autores</w:t>
      </w:r>
      <w:r w:rsidRPr="00505FA0">
        <w:rPr>
          <w:color w:val="505050"/>
          <w:lang w:val="es-ES"/>
        </w:rPr>
        <w:t xml:space="preserve">, </w:t>
      </w:r>
      <w:r w:rsidRPr="00505FA0">
        <w:rPr>
          <w:color w:val="262626"/>
          <w:lang w:val="es-ES"/>
        </w:rPr>
        <w:t xml:space="preserve">para su examen por el WG-HRV en </w:t>
      </w:r>
      <w:r w:rsidRPr="00505FA0">
        <w:rPr>
          <w:color w:val="161616"/>
          <w:lang w:val="es-ES"/>
        </w:rPr>
        <w:t xml:space="preserve">su </w:t>
      </w:r>
      <w:r w:rsidRPr="00505FA0">
        <w:rPr>
          <w:color w:val="262626"/>
          <w:lang w:val="es-ES"/>
        </w:rPr>
        <w:t>quinta reunión.</w:t>
      </w:r>
    </w:p>
    <w:p w14:paraId="4BA52EC7" w14:textId="77777777" w:rsidR="007B34A2" w:rsidRPr="00505FA0" w:rsidRDefault="007B34A2" w:rsidP="00275157">
      <w:pPr>
        <w:jc w:val="left"/>
        <w:rPr>
          <w:highlight w:val="yellow"/>
          <w:lang w:val="es-ES"/>
        </w:rPr>
      </w:pPr>
    </w:p>
    <w:p w14:paraId="1B006D60" w14:textId="77777777" w:rsidR="00E51FB9" w:rsidRPr="00505FA0" w:rsidRDefault="00E51FB9" w:rsidP="00275157">
      <w:pPr>
        <w:jc w:val="left"/>
        <w:rPr>
          <w:highlight w:val="yellow"/>
          <w:lang w:val="es-ES"/>
        </w:rPr>
      </w:pPr>
    </w:p>
    <w:p w14:paraId="7A70B09F" w14:textId="77777777" w:rsidR="00DE5E38" w:rsidRPr="00505FA0" w:rsidRDefault="00C5303F">
      <w:pPr>
        <w:pStyle w:val="Heading1"/>
        <w:rPr>
          <w:lang w:val="es-ES"/>
        </w:rPr>
      </w:pPr>
      <w:r w:rsidRPr="00505FA0">
        <w:rPr>
          <w:lang w:val="es-ES"/>
        </w:rPr>
        <w:t xml:space="preserve">PROPUESTAS RELATIVAS A LAS NOTAS EXPLICATIVAS SOBRE LA PROTECCIÓN PROVISIONAL CON ARREGLO AL CONVENIO DE LA UPOV </w:t>
      </w:r>
    </w:p>
    <w:p w14:paraId="5034BF2B" w14:textId="77777777" w:rsidR="00275157" w:rsidRPr="00505FA0" w:rsidRDefault="00275157" w:rsidP="001D4B4B">
      <w:pPr>
        <w:rPr>
          <w:highlight w:val="yellow"/>
          <w:lang w:val="es-ES"/>
        </w:rPr>
      </w:pPr>
    </w:p>
    <w:p w14:paraId="1296B4C2" w14:textId="77777777" w:rsidR="00DE5E38" w:rsidRPr="00505FA0" w:rsidRDefault="00C5303F">
      <w:pPr>
        <w:widowControl w:val="0"/>
        <w:tabs>
          <w:tab w:val="left" w:pos="762"/>
        </w:tabs>
        <w:autoSpaceDE w:val="0"/>
        <w:autoSpaceDN w:val="0"/>
        <w:spacing w:before="177" w:line="247" w:lineRule="auto"/>
        <w:ind w:right="108"/>
        <w:rPr>
          <w:color w:val="262626"/>
          <w:lang w:val="es-ES"/>
        </w:rPr>
      </w:pPr>
      <w:r w:rsidRPr="00767385">
        <w:rPr>
          <w:rFonts w:cs="Arial"/>
        </w:rPr>
        <w:fldChar w:fldCharType="begin"/>
      </w:r>
      <w:r w:rsidRPr="00505FA0">
        <w:rPr>
          <w:rFonts w:cs="Arial"/>
          <w:lang w:val="es-ES"/>
        </w:rPr>
        <w:instrText xml:space="preserve"> AUTONUM  </w:instrText>
      </w:r>
      <w:r w:rsidRPr="00767385">
        <w:rPr>
          <w:rFonts w:cs="Arial"/>
        </w:rPr>
        <w:fldChar w:fldCharType="end"/>
      </w:r>
      <w:r w:rsidRPr="00505FA0">
        <w:rPr>
          <w:rFonts w:cs="Arial"/>
          <w:lang w:val="es-ES"/>
        </w:rPr>
        <w:tab/>
      </w:r>
      <w:r w:rsidR="00767385" w:rsidRPr="00505FA0">
        <w:rPr>
          <w:color w:val="161616"/>
          <w:lang w:val="es-ES"/>
        </w:rPr>
        <w:t xml:space="preserve">El </w:t>
      </w:r>
      <w:r w:rsidR="00292ED4" w:rsidRPr="00505FA0">
        <w:rPr>
          <w:color w:val="343434"/>
          <w:lang w:val="es-ES"/>
        </w:rPr>
        <w:t xml:space="preserve">WG-HRV </w:t>
      </w:r>
      <w:r w:rsidR="00767385" w:rsidRPr="00505FA0">
        <w:rPr>
          <w:color w:val="343434"/>
          <w:lang w:val="es-ES"/>
        </w:rPr>
        <w:t xml:space="preserve">examinó </w:t>
      </w:r>
      <w:r w:rsidR="00767385" w:rsidRPr="00505FA0">
        <w:rPr>
          <w:color w:val="161616"/>
          <w:lang w:val="es-ES"/>
        </w:rPr>
        <w:t xml:space="preserve">el documento </w:t>
      </w:r>
      <w:r w:rsidR="00767385" w:rsidRPr="00505FA0">
        <w:rPr>
          <w:color w:val="343434"/>
          <w:lang w:val="es-ES"/>
        </w:rPr>
        <w:t xml:space="preserve">WG-HRV/2/5 y </w:t>
      </w:r>
      <w:r w:rsidR="00767385" w:rsidRPr="00505FA0">
        <w:rPr>
          <w:color w:val="161616"/>
          <w:lang w:val="es-ES"/>
        </w:rPr>
        <w:t xml:space="preserve">debatió las </w:t>
      </w:r>
      <w:r w:rsidR="00767385" w:rsidRPr="00505FA0">
        <w:rPr>
          <w:color w:val="262626"/>
          <w:lang w:val="es-ES"/>
        </w:rPr>
        <w:t xml:space="preserve">propuestas de los miembros </w:t>
      </w:r>
      <w:r w:rsidR="00292ED4" w:rsidRPr="00505FA0">
        <w:rPr>
          <w:color w:val="343434"/>
          <w:lang w:val="es-ES"/>
        </w:rPr>
        <w:t xml:space="preserve">del WG-HRV relativas al </w:t>
      </w:r>
      <w:r w:rsidR="00767385" w:rsidRPr="00505FA0">
        <w:rPr>
          <w:color w:val="161616"/>
          <w:lang w:val="es-ES"/>
        </w:rPr>
        <w:t xml:space="preserve">texto de las notas </w:t>
      </w:r>
      <w:r w:rsidR="00767385" w:rsidRPr="00505FA0">
        <w:rPr>
          <w:color w:val="343434"/>
          <w:lang w:val="es-ES"/>
        </w:rPr>
        <w:t xml:space="preserve">explicativas sobre la </w:t>
      </w:r>
      <w:r w:rsidR="00767385" w:rsidRPr="00505FA0">
        <w:rPr>
          <w:color w:val="262626"/>
          <w:lang w:val="es-ES"/>
        </w:rPr>
        <w:t>protección provisional.</w:t>
      </w:r>
    </w:p>
    <w:p w14:paraId="3AA12BAD" w14:textId="77777777" w:rsidR="00767385" w:rsidRPr="00505FA0" w:rsidRDefault="00767385" w:rsidP="00767385">
      <w:pPr>
        <w:widowControl w:val="0"/>
        <w:tabs>
          <w:tab w:val="left" w:pos="762"/>
        </w:tabs>
        <w:autoSpaceDE w:val="0"/>
        <w:autoSpaceDN w:val="0"/>
        <w:spacing w:before="1"/>
        <w:rPr>
          <w:color w:val="161616"/>
          <w:lang w:val="es-ES"/>
        </w:rPr>
      </w:pPr>
    </w:p>
    <w:p w14:paraId="54156456" w14:textId="77777777" w:rsidR="00DE5E38" w:rsidRPr="00505FA0" w:rsidRDefault="00C5303F">
      <w:pPr>
        <w:widowControl w:val="0"/>
        <w:tabs>
          <w:tab w:val="left" w:pos="762"/>
        </w:tabs>
        <w:autoSpaceDE w:val="0"/>
        <w:autoSpaceDN w:val="0"/>
        <w:spacing w:before="1"/>
        <w:rPr>
          <w:color w:val="161616"/>
          <w:lang w:val="es-ES"/>
        </w:rPr>
      </w:pPr>
      <w:r w:rsidRPr="00767385">
        <w:rPr>
          <w:rFonts w:cs="Arial"/>
        </w:rPr>
        <w:fldChar w:fldCharType="begin"/>
      </w:r>
      <w:r w:rsidRPr="00505FA0">
        <w:rPr>
          <w:rFonts w:cs="Arial"/>
          <w:lang w:val="es-ES"/>
        </w:rPr>
        <w:instrText xml:space="preserve"> AUTONUM  </w:instrText>
      </w:r>
      <w:r w:rsidRPr="00767385">
        <w:rPr>
          <w:rFonts w:cs="Arial"/>
        </w:rPr>
        <w:fldChar w:fldCharType="end"/>
      </w:r>
      <w:r w:rsidRPr="00505FA0">
        <w:rPr>
          <w:rFonts w:cs="Arial"/>
          <w:lang w:val="es-ES"/>
        </w:rPr>
        <w:tab/>
      </w:r>
      <w:r w:rsidRPr="00505FA0">
        <w:rPr>
          <w:color w:val="161616"/>
          <w:lang w:val="es-ES"/>
        </w:rPr>
        <w:t xml:space="preserve">No </w:t>
      </w:r>
      <w:r w:rsidRPr="00505FA0">
        <w:rPr>
          <w:color w:val="262626"/>
          <w:lang w:val="es-ES"/>
        </w:rPr>
        <w:t xml:space="preserve">se </w:t>
      </w:r>
      <w:r w:rsidRPr="00505FA0">
        <w:rPr>
          <w:color w:val="161616"/>
          <w:spacing w:val="-2"/>
          <w:lang w:val="es-ES"/>
        </w:rPr>
        <w:t xml:space="preserve">mantuvieron </w:t>
      </w:r>
      <w:r w:rsidRPr="00505FA0">
        <w:rPr>
          <w:color w:val="161616"/>
          <w:lang w:val="es-ES"/>
        </w:rPr>
        <w:t xml:space="preserve">los </w:t>
      </w:r>
      <w:r w:rsidRPr="00505FA0">
        <w:rPr>
          <w:color w:val="343434"/>
          <w:lang w:val="es-ES"/>
        </w:rPr>
        <w:t xml:space="preserve">cambios </w:t>
      </w:r>
      <w:r w:rsidRPr="00505FA0">
        <w:rPr>
          <w:color w:val="262626"/>
          <w:lang w:val="es-ES"/>
        </w:rPr>
        <w:t xml:space="preserve">propuestos </w:t>
      </w:r>
      <w:r w:rsidRPr="00505FA0">
        <w:rPr>
          <w:color w:val="161616"/>
          <w:lang w:val="es-ES"/>
        </w:rPr>
        <w:t xml:space="preserve">en los apartados </w:t>
      </w:r>
      <w:r w:rsidRPr="00505FA0">
        <w:rPr>
          <w:color w:val="262626"/>
          <w:lang w:val="es-ES"/>
        </w:rPr>
        <w:t xml:space="preserve">2 y 5 </w:t>
      </w:r>
      <w:r w:rsidR="001358F7" w:rsidRPr="00505FA0">
        <w:rPr>
          <w:color w:val="262626"/>
          <w:lang w:val="es-ES"/>
        </w:rPr>
        <w:t xml:space="preserve">de las </w:t>
      </w:r>
      <w:r w:rsidR="001358F7" w:rsidRPr="00505FA0">
        <w:rPr>
          <w:color w:val="161616"/>
          <w:lang w:val="es-ES"/>
        </w:rPr>
        <w:t xml:space="preserve">Notas </w:t>
      </w:r>
      <w:r w:rsidR="001358F7" w:rsidRPr="00505FA0">
        <w:rPr>
          <w:color w:val="343434"/>
          <w:lang w:val="es-ES"/>
        </w:rPr>
        <w:t xml:space="preserve">explicativas sobre la </w:t>
      </w:r>
      <w:r w:rsidR="001358F7" w:rsidRPr="00505FA0">
        <w:rPr>
          <w:color w:val="262626"/>
          <w:lang w:val="es-ES"/>
        </w:rPr>
        <w:t xml:space="preserve">protección </w:t>
      </w:r>
      <w:r w:rsidR="001358F7" w:rsidRPr="00505FA0">
        <w:rPr>
          <w:color w:val="161616"/>
          <w:lang w:val="es-ES"/>
        </w:rPr>
        <w:t>provisional</w:t>
      </w:r>
      <w:r w:rsidRPr="00505FA0">
        <w:rPr>
          <w:color w:val="505050"/>
          <w:spacing w:val="-2"/>
          <w:lang w:val="es-ES"/>
        </w:rPr>
        <w:t>.</w:t>
      </w:r>
    </w:p>
    <w:p w14:paraId="53B724F0" w14:textId="77777777" w:rsidR="00767385" w:rsidRPr="00505FA0" w:rsidRDefault="00767385" w:rsidP="00767385">
      <w:pPr>
        <w:pStyle w:val="BodyText"/>
        <w:spacing w:before="5"/>
        <w:rPr>
          <w:lang w:val="es-ES"/>
        </w:rPr>
      </w:pPr>
    </w:p>
    <w:p w14:paraId="3410E208" w14:textId="77777777" w:rsidR="00DE5E38" w:rsidRPr="00505FA0" w:rsidRDefault="00C5303F">
      <w:pPr>
        <w:widowControl w:val="0"/>
        <w:tabs>
          <w:tab w:val="left" w:pos="767"/>
        </w:tabs>
        <w:autoSpaceDE w:val="0"/>
        <w:autoSpaceDN w:val="0"/>
        <w:spacing w:before="1" w:line="252" w:lineRule="auto"/>
        <w:ind w:right="114"/>
        <w:rPr>
          <w:color w:val="161616"/>
          <w:lang w:val="es-ES"/>
        </w:rPr>
      </w:pPr>
      <w:r w:rsidRPr="00767385">
        <w:rPr>
          <w:rFonts w:cs="Arial"/>
        </w:rPr>
        <w:fldChar w:fldCharType="begin"/>
      </w:r>
      <w:r w:rsidRPr="00505FA0">
        <w:rPr>
          <w:rFonts w:cs="Arial"/>
          <w:lang w:val="es-ES"/>
        </w:rPr>
        <w:instrText xml:space="preserve"> AUTONUM  </w:instrText>
      </w:r>
      <w:r w:rsidRPr="00767385">
        <w:rPr>
          <w:rFonts w:cs="Arial"/>
        </w:rPr>
        <w:fldChar w:fldCharType="end"/>
      </w:r>
      <w:r w:rsidRPr="00505FA0">
        <w:rPr>
          <w:rFonts w:cs="Arial"/>
          <w:lang w:val="es-ES"/>
        </w:rPr>
        <w:tab/>
      </w:r>
      <w:r w:rsidRPr="00505FA0">
        <w:rPr>
          <w:color w:val="161616"/>
          <w:lang w:val="es-ES"/>
        </w:rPr>
        <w:t xml:space="preserve">Los miembros del </w:t>
      </w:r>
      <w:r w:rsidRPr="00505FA0">
        <w:rPr>
          <w:color w:val="262626"/>
          <w:lang w:val="es-ES"/>
        </w:rPr>
        <w:t xml:space="preserve">WG-HRV </w:t>
      </w:r>
      <w:r w:rsidRPr="00505FA0">
        <w:rPr>
          <w:color w:val="343434"/>
          <w:lang w:val="es-ES"/>
        </w:rPr>
        <w:t xml:space="preserve">apoyaron </w:t>
      </w:r>
      <w:r w:rsidRPr="00505FA0">
        <w:rPr>
          <w:color w:val="161616"/>
          <w:lang w:val="es-ES"/>
        </w:rPr>
        <w:t xml:space="preserve">la idea de introducir </w:t>
      </w:r>
      <w:r w:rsidRPr="00505FA0">
        <w:rPr>
          <w:color w:val="262626"/>
          <w:lang w:val="es-ES"/>
        </w:rPr>
        <w:t xml:space="preserve">una frase </w:t>
      </w:r>
      <w:r w:rsidRPr="00505FA0">
        <w:rPr>
          <w:color w:val="161616"/>
          <w:lang w:val="es-ES"/>
        </w:rPr>
        <w:t xml:space="preserve">en el párrafo </w:t>
      </w:r>
      <w:r w:rsidRPr="00505FA0">
        <w:rPr>
          <w:color w:val="262626"/>
          <w:lang w:val="es-ES"/>
        </w:rPr>
        <w:t xml:space="preserve">6 </w:t>
      </w:r>
      <w:r w:rsidR="00292ED4" w:rsidRPr="00505FA0">
        <w:rPr>
          <w:color w:val="262626"/>
          <w:lang w:val="es-ES"/>
        </w:rPr>
        <w:t xml:space="preserve">de </w:t>
      </w:r>
      <w:r w:rsidR="001358F7" w:rsidRPr="00505FA0">
        <w:rPr>
          <w:color w:val="262626"/>
          <w:lang w:val="es-ES"/>
        </w:rPr>
        <w:t xml:space="preserve">las </w:t>
      </w:r>
      <w:r w:rsidR="001358F7" w:rsidRPr="00505FA0">
        <w:rPr>
          <w:color w:val="161616"/>
          <w:lang w:val="es-ES"/>
        </w:rPr>
        <w:t xml:space="preserve">Notas </w:t>
      </w:r>
      <w:r w:rsidR="001358F7" w:rsidRPr="00505FA0">
        <w:rPr>
          <w:color w:val="343434"/>
          <w:lang w:val="es-ES"/>
        </w:rPr>
        <w:t xml:space="preserve">explicativas sobre </w:t>
      </w:r>
      <w:r w:rsidR="001358F7" w:rsidRPr="00505FA0">
        <w:rPr>
          <w:color w:val="161616"/>
          <w:lang w:val="es-ES"/>
        </w:rPr>
        <w:t xml:space="preserve">la </w:t>
      </w:r>
      <w:r w:rsidR="001358F7" w:rsidRPr="00505FA0">
        <w:rPr>
          <w:color w:val="262626"/>
          <w:lang w:val="es-ES"/>
        </w:rPr>
        <w:t xml:space="preserve">protección provisional en la </w:t>
      </w:r>
      <w:r w:rsidRPr="00505FA0">
        <w:rPr>
          <w:color w:val="161616"/>
          <w:lang w:val="es-ES"/>
        </w:rPr>
        <w:t xml:space="preserve">que se indique que las publicaciones </w:t>
      </w:r>
      <w:r w:rsidRPr="00505FA0">
        <w:rPr>
          <w:color w:val="262626"/>
          <w:lang w:val="es-ES"/>
        </w:rPr>
        <w:t xml:space="preserve">de una </w:t>
      </w:r>
      <w:r w:rsidRPr="00505FA0">
        <w:rPr>
          <w:color w:val="343434"/>
          <w:lang w:val="es-ES"/>
        </w:rPr>
        <w:t xml:space="preserve">solicitud </w:t>
      </w:r>
      <w:r w:rsidRPr="00505FA0">
        <w:rPr>
          <w:color w:val="161616"/>
          <w:lang w:val="es-ES"/>
        </w:rPr>
        <w:t xml:space="preserve">de derecho de </w:t>
      </w:r>
      <w:r w:rsidRPr="00505FA0">
        <w:rPr>
          <w:color w:val="505050"/>
          <w:lang w:val="es-ES"/>
        </w:rPr>
        <w:t xml:space="preserve">obtentor </w:t>
      </w:r>
      <w:r w:rsidRPr="00505FA0">
        <w:rPr>
          <w:color w:val="161616"/>
          <w:lang w:val="es-ES"/>
        </w:rPr>
        <w:t xml:space="preserve">se refieren a las publicaciones en </w:t>
      </w:r>
      <w:r w:rsidRPr="00505FA0">
        <w:rPr>
          <w:color w:val="262626"/>
          <w:lang w:val="es-ES"/>
        </w:rPr>
        <w:t xml:space="preserve">un </w:t>
      </w:r>
      <w:r w:rsidRPr="00505FA0">
        <w:rPr>
          <w:color w:val="161616"/>
          <w:lang w:val="es-ES"/>
        </w:rPr>
        <w:t xml:space="preserve">diario </w:t>
      </w:r>
      <w:r w:rsidRPr="00505FA0">
        <w:rPr>
          <w:color w:val="262626"/>
          <w:lang w:val="es-ES"/>
        </w:rPr>
        <w:t xml:space="preserve">o </w:t>
      </w:r>
      <w:r w:rsidRPr="00505FA0">
        <w:rPr>
          <w:color w:val="161616"/>
          <w:lang w:val="es-ES"/>
        </w:rPr>
        <w:t xml:space="preserve">boletín oficial, </w:t>
      </w:r>
      <w:r w:rsidRPr="00505FA0">
        <w:rPr>
          <w:color w:val="262626"/>
          <w:lang w:val="es-ES"/>
        </w:rPr>
        <w:t xml:space="preserve">ya sea en un documento </w:t>
      </w:r>
      <w:r w:rsidRPr="00505FA0">
        <w:rPr>
          <w:color w:val="161616"/>
          <w:lang w:val="es-ES"/>
        </w:rPr>
        <w:t xml:space="preserve">físico </w:t>
      </w:r>
      <w:r w:rsidRPr="00505FA0">
        <w:rPr>
          <w:color w:val="262626"/>
          <w:lang w:val="es-ES"/>
        </w:rPr>
        <w:t xml:space="preserve">o </w:t>
      </w:r>
      <w:r w:rsidRPr="00505FA0">
        <w:rPr>
          <w:color w:val="262626"/>
          <w:spacing w:val="-5"/>
          <w:lang w:val="es-ES"/>
        </w:rPr>
        <w:t xml:space="preserve">en </w:t>
      </w:r>
      <w:r w:rsidRPr="00505FA0">
        <w:rPr>
          <w:color w:val="161616"/>
          <w:lang w:val="es-ES"/>
        </w:rPr>
        <w:t xml:space="preserve">formato </w:t>
      </w:r>
      <w:r w:rsidRPr="00505FA0">
        <w:rPr>
          <w:color w:val="262626"/>
          <w:lang w:val="es-ES"/>
        </w:rPr>
        <w:t>electrónico</w:t>
      </w:r>
      <w:r w:rsidRPr="00505FA0">
        <w:rPr>
          <w:color w:val="161616"/>
          <w:lang w:val="es-ES"/>
        </w:rPr>
        <w:t xml:space="preserve">. </w:t>
      </w:r>
      <w:r w:rsidR="00506D22" w:rsidRPr="00505FA0">
        <w:rPr>
          <w:color w:val="161616"/>
          <w:lang w:val="es-ES"/>
        </w:rPr>
        <w:t xml:space="preserve">El WG-HRV </w:t>
      </w:r>
      <w:r w:rsidR="00014BFE" w:rsidRPr="00505FA0">
        <w:rPr>
          <w:color w:val="262626"/>
          <w:lang w:val="es-ES"/>
        </w:rPr>
        <w:t xml:space="preserve">solicitó a la </w:t>
      </w:r>
      <w:r w:rsidR="00506D22" w:rsidRPr="00505FA0">
        <w:rPr>
          <w:color w:val="161616"/>
          <w:lang w:val="es-ES"/>
        </w:rPr>
        <w:t xml:space="preserve">Oficina de la Unión </w:t>
      </w:r>
      <w:r w:rsidR="00014BFE" w:rsidRPr="00505FA0">
        <w:rPr>
          <w:color w:val="161616"/>
          <w:lang w:val="es-ES"/>
        </w:rPr>
        <w:t xml:space="preserve">que </w:t>
      </w:r>
      <w:r w:rsidR="00506D22" w:rsidRPr="00505FA0">
        <w:rPr>
          <w:color w:val="161616"/>
          <w:lang w:val="es-ES"/>
        </w:rPr>
        <w:t xml:space="preserve">redacte un texto </w:t>
      </w:r>
      <w:r w:rsidR="00014BFE" w:rsidRPr="00505FA0">
        <w:rPr>
          <w:color w:val="161616"/>
          <w:lang w:val="es-ES"/>
        </w:rPr>
        <w:t xml:space="preserve">que </w:t>
      </w:r>
      <w:r w:rsidR="00506D22" w:rsidRPr="00505FA0">
        <w:rPr>
          <w:color w:val="161616"/>
          <w:lang w:val="es-ES"/>
        </w:rPr>
        <w:t xml:space="preserve">recoja </w:t>
      </w:r>
      <w:r w:rsidR="00ED7C74" w:rsidRPr="00505FA0">
        <w:rPr>
          <w:color w:val="161616"/>
          <w:lang w:val="es-ES"/>
        </w:rPr>
        <w:t xml:space="preserve">ese elemento </w:t>
      </w:r>
      <w:r w:rsidR="00506D22" w:rsidRPr="00505FA0">
        <w:rPr>
          <w:color w:val="161616"/>
          <w:lang w:val="es-ES"/>
        </w:rPr>
        <w:t xml:space="preserve">para someterlo a la consideración del WG-HRV </w:t>
      </w:r>
      <w:r w:rsidR="00122247" w:rsidRPr="00505FA0">
        <w:rPr>
          <w:color w:val="161616"/>
          <w:lang w:val="es-ES"/>
        </w:rPr>
        <w:t xml:space="preserve">en </w:t>
      </w:r>
      <w:r w:rsidR="00506D22" w:rsidRPr="00505FA0">
        <w:rPr>
          <w:color w:val="161616"/>
          <w:lang w:val="es-ES"/>
        </w:rPr>
        <w:t xml:space="preserve">su próxima reunión. </w:t>
      </w:r>
    </w:p>
    <w:p w14:paraId="06BC1464" w14:textId="77777777" w:rsidR="00767385" w:rsidRPr="00505FA0" w:rsidRDefault="00767385" w:rsidP="00767385">
      <w:pPr>
        <w:pStyle w:val="BodyText"/>
        <w:spacing w:before="10"/>
        <w:rPr>
          <w:sz w:val="17"/>
          <w:lang w:val="es-ES"/>
        </w:rPr>
      </w:pPr>
    </w:p>
    <w:p w14:paraId="7866FEBE" w14:textId="77777777" w:rsidR="00DE5E38" w:rsidRPr="00505FA0" w:rsidRDefault="00C5303F">
      <w:pPr>
        <w:widowControl w:val="0"/>
        <w:tabs>
          <w:tab w:val="left" w:pos="772"/>
        </w:tabs>
        <w:autoSpaceDE w:val="0"/>
        <w:autoSpaceDN w:val="0"/>
        <w:ind w:right="105"/>
        <w:rPr>
          <w:color w:val="2F2F2F"/>
          <w:w w:val="105"/>
          <w:lang w:val="es-ES"/>
        </w:rPr>
      </w:pPr>
      <w:r w:rsidRPr="00767385">
        <w:rPr>
          <w:rFonts w:cs="Arial"/>
        </w:rPr>
        <w:fldChar w:fldCharType="begin"/>
      </w:r>
      <w:r w:rsidRPr="00505FA0">
        <w:rPr>
          <w:rFonts w:cs="Arial"/>
          <w:lang w:val="es-ES"/>
        </w:rPr>
        <w:instrText xml:space="preserve"> AUTONUM  </w:instrText>
      </w:r>
      <w:r w:rsidRPr="00767385">
        <w:rPr>
          <w:rFonts w:cs="Arial"/>
        </w:rPr>
        <w:fldChar w:fldCharType="end"/>
      </w:r>
      <w:r w:rsidRPr="00505FA0">
        <w:rPr>
          <w:rFonts w:cs="Arial"/>
          <w:lang w:val="es-ES"/>
        </w:rPr>
        <w:tab/>
      </w:r>
      <w:r w:rsidRPr="00505FA0">
        <w:rPr>
          <w:color w:val="262626"/>
          <w:lang w:val="es-ES"/>
        </w:rPr>
        <w:t xml:space="preserve">Algunos </w:t>
      </w:r>
      <w:r w:rsidRPr="00505FA0">
        <w:rPr>
          <w:color w:val="262626"/>
          <w:spacing w:val="-14"/>
          <w:lang w:val="es-ES"/>
        </w:rPr>
        <w:t xml:space="preserve">miembros </w:t>
      </w:r>
      <w:r w:rsidR="005F5997" w:rsidRPr="00505FA0">
        <w:rPr>
          <w:color w:val="262626"/>
          <w:spacing w:val="-14"/>
          <w:lang w:val="es-ES"/>
        </w:rPr>
        <w:t xml:space="preserve">del WG-HRV </w:t>
      </w:r>
      <w:r w:rsidRPr="00505FA0">
        <w:rPr>
          <w:color w:val="343434"/>
          <w:lang w:val="es-ES"/>
        </w:rPr>
        <w:t xml:space="preserve">expresaron su apoyo </w:t>
      </w:r>
      <w:r w:rsidRPr="00505FA0">
        <w:rPr>
          <w:color w:val="161616"/>
          <w:lang w:val="es-ES"/>
        </w:rPr>
        <w:t xml:space="preserve">a </w:t>
      </w:r>
      <w:r w:rsidRPr="00505FA0">
        <w:rPr>
          <w:color w:val="262626"/>
          <w:lang w:val="es-ES"/>
        </w:rPr>
        <w:t xml:space="preserve">las </w:t>
      </w:r>
      <w:r w:rsidRPr="00505FA0">
        <w:rPr>
          <w:color w:val="161616"/>
          <w:lang w:val="es-ES"/>
        </w:rPr>
        <w:t xml:space="preserve">razones </w:t>
      </w:r>
      <w:r w:rsidRPr="00505FA0">
        <w:rPr>
          <w:color w:val="262626"/>
          <w:lang w:val="es-ES"/>
        </w:rPr>
        <w:t xml:space="preserve">subyacentes </w:t>
      </w:r>
      <w:r w:rsidR="00B830C4" w:rsidRPr="00505FA0">
        <w:rPr>
          <w:lang w:val="es-ES"/>
        </w:rPr>
        <w:t xml:space="preserve">de las </w:t>
      </w:r>
      <w:r w:rsidRPr="00505FA0">
        <w:rPr>
          <w:lang w:val="es-ES"/>
        </w:rPr>
        <w:t xml:space="preserve">propuestas formuladas por las </w:t>
      </w:r>
      <w:r w:rsidR="00ED7C74" w:rsidRPr="00505FA0">
        <w:rPr>
          <w:lang w:val="es-ES"/>
        </w:rPr>
        <w:t xml:space="preserve">organizaciones de obtentores </w:t>
      </w:r>
      <w:r w:rsidRPr="00505FA0">
        <w:rPr>
          <w:lang w:val="es-ES"/>
        </w:rPr>
        <w:t xml:space="preserve">para modificar el párrafo 8 </w:t>
      </w:r>
      <w:r w:rsidR="00BF20DF" w:rsidRPr="00505FA0">
        <w:rPr>
          <w:lang w:val="es-ES"/>
        </w:rPr>
        <w:t xml:space="preserve">relativo a las medidas </w:t>
      </w:r>
      <w:r w:rsidRPr="00505FA0">
        <w:rPr>
          <w:lang w:val="es-ES"/>
        </w:rPr>
        <w:t xml:space="preserve">de las notas explicativas , pero no al texto propuesto. Algunos miembros </w:t>
      </w:r>
      <w:r w:rsidR="005F5997" w:rsidRPr="00505FA0">
        <w:rPr>
          <w:lang w:val="es-ES"/>
        </w:rPr>
        <w:t xml:space="preserve">del WG-HRV </w:t>
      </w:r>
      <w:r w:rsidR="00B830C4" w:rsidRPr="00505FA0">
        <w:rPr>
          <w:lang w:val="es-ES"/>
        </w:rPr>
        <w:t xml:space="preserve">declararon </w:t>
      </w:r>
      <w:r w:rsidRPr="00505FA0">
        <w:rPr>
          <w:lang w:val="es-ES"/>
        </w:rPr>
        <w:t xml:space="preserve">que, dado que </w:t>
      </w:r>
      <w:r w:rsidR="00B830C4" w:rsidRPr="00505FA0">
        <w:rPr>
          <w:lang w:val="es-ES"/>
        </w:rPr>
        <w:t xml:space="preserve">la </w:t>
      </w:r>
      <w:r w:rsidR="00B830C4" w:rsidRPr="00505FA0">
        <w:rPr>
          <w:lang w:val="es-ES"/>
        </w:rPr>
        <w:lastRenderedPageBreak/>
        <w:t xml:space="preserve">disposición sobre </w:t>
      </w:r>
      <w:r w:rsidR="00B830C4" w:rsidRPr="00505FA0">
        <w:rPr>
          <w:color w:val="262626"/>
          <w:lang w:val="es-ES"/>
        </w:rPr>
        <w:t xml:space="preserve">protección provisional del </w:t>
      </w:r>
      <w:r w:rsidR="005F5997" w:rsidRPr="00505FA0">
        <w:rPr>
          <w:color w:val="262626"/>
          <w:lang w:val="es-ES"/>
        </w:rPr>
        <w:t xml:space="preserve">Acta de 1991 del Convenio de la UPOV </w:t>
      </w:r>
      <w:r w:rsidRPr="00505FA0">
        <w:rPr>
          <w:color w:val="262626"/>
          <w:lang w:val="es-ES"/>
        </w:rPr>
        <w:t xml:space="preserve">prevé </w:t>
      </w:r>
      <w:r w:rsidRPr="00505FA0">
        <w:rPr>
          <w:color w:val="262626"/>
          <w:spacing w:val="25"/>
          <w:lang w:val="es-ES"/>
        </w:rPr>
        <w:t xml:space="preserve">la posibilidad de </w:t>
      </w:r>
      <w:r w:rsidRPr="00505FA0">
        <w:rPr>
          <w:color w:val="262626"/>
          <w:lang w:val="es-ES"/>
        </w:rPr>
        <w:t xml:space="preserve">elegir las </w:t>
      </w:r>
      <w:r w:rsidR="00B830C4" w:rsidRPr="00505FA0">
        <w:rPr>
          <w:color w:val="161616"/>
          <w:lang w:val="es-ES"/>
        </w:rPr>
        <w:t xml:space="preserve">medidas que </w:t>
      </w:r>
      <w:r w:rsidR="00B830C4" w:rsidRPr="00505FA0">
        <w:rPr>
          <w:color w:val="343434"/>
          <w:lang w:val="es-ES"/>
        </w:rPr>
        <w:t xml:space="preserve">deberían </w:t>
      </w:r>
      <w:r w:rsidRPr="00505FA0">
        <w:rPr>
          <w:color w:val="262626"/>
          <w:lang w:val="es-ES"/>
        </w:rPr>
        <w:t xml:space="preserve">estar </w:t>
      </w:r>
      <w:r w:rsidR="00B830C4" w:rsidRPr="00505FA0">
        <w:rPr>
          <w:color w:val="262626"/>
          <w:lang w:val="es-ES"/>
        </w:rPr>
        <w:t xml:space="preserve">disponibles </w:t>
      </w:r>
      <w:r w:rsidRPr="00505FA0">
        <w:rPr>
          <w:color w:val="161616"/>
          <w:lang w:val="es-ES"/>
        </w:rPr>
        <w:t xml:space="preserve">durante el </w:t>
      </w:r>
      <w:r w:rsidRPr="00505FA0">
        <w:rPr>
          <w:color w:val="262626"/>
          <w:lang w:val="es-ES"/>
        </w:rPr>
        <w:t xml:space="preserve">período de </w:t>
      </w:r>
      <w:r w:rsidRPr="00505FA0">
        <w:rPr>
          <w:color w:val="2F2F2F"/>
          <w:w w:val="105"/>
          <w:lang w:val="es-ES"/>
        </w:rPr>
        <w:t xml:space="preserve">protección </w:t>
      </w:r>
      <w:r w:rsidRPr="00505FA0">
        <w:rPr>
          <w:color w:val="161616"/>
          <w:lang w:val="es-ES"/>
        </w:rPr>
        <w:t xml:space="preserve">provisional, </w:t>
      </w:r>
      <w:r w:rsidRPr="00505FA0">
        <w:rPr>
          <w:color w:val="2F2F2F"/>
          <w:w w:val="105"/>
          <w:lang w:val="es-ES"/>
        </w:rPr>
        <w:t xml:space="preserve">no deberían introducirse preferencias </w:t>
      </w:r>
      <w:r w:rsidR="00B830C4" w:rsidRPr="00505FA0">
        <w:rPr>
          <w:color w:val="2F2F2F"/>
          <w:w w:val="105"/>
          <w:lang w:val="es-ES"/>
        </w:rPr>
        <w:t xml:space="preserve">sobre la </w:t>
      </w:r>
      <w:r w:rsidRPr="00505FA0">
        <w:rPr>
          <w:color w:val="2F2F2F"/>
          <w:w w:val="105"/>
          <w:lang w:val="es-ES"/>
        </w:rPr>
        <w:t xml:space="preserve">aplicación en las notas explicativas. </w:t>
      </w:r>
      <w:r w:rsidR="00BF20DF" w:rsidRPr="00505FA0">
        <w:rPr>
          <w:color w:val="2F2F2F"/>
          <w:spacing w:val="-6"/>
          <w:w w:val="105"/>
          <w:lang w:val="es-ES"/>
        </w:rPr>
        <w:t xml:space="preserve">El </w:t>
      </w:r>
      <w:r w:rsidR="005F5997" w:rsidRPr="00505FA0">
        <w:rPr>
          <w:color w:val="2F2F2F"/>
          <w:w w:val="105"/>
          <w:lang w:val="es-ES"/>
        </w:rPr>
        <w:t xml:space="preserve">WG-HRV observó </w:t>
      </w:r>
      <w:r w:rsidRPr="00505FA0">
        <w:rPr>
          <w:color w:val="2F2F2F"/>
          <w:w w:val="105"/>
          <w:lang w:val="es-ES"/>
        </w:rPr>
        <w:t xml:space="preserve">que </w:t>
      </w:r>
      <w:r w:rsidR="005F5997" w:rsidRPr="00505FA0">
        <w:rPr>
          <w:color w:val="2F2F2F"/>
          <w:w w:val="105"/>
          <w:lang w:val="es-ES"/>
        </w:rPr>
        <w:t xml:space="preserve">podría ser útil incluir </w:t>
      </w:r>
      <w:r w:rsidR="00BF20DF" w:rsidRPr="00505FA0">
        <w:rPr>
          <w:color w:val="2F2F2F"/>
          <w:w w:val="105"/>
          <w:lang w:val="es-ES"/>
        </w:rPr>
        <w:t xml:space="preserve">en las notas explicativas </w:t>
      </w:r>
      <w:r w:rsidRPr="00505FA0">
        <w:rPr>
          <w:color w:val="1A1A1A"/>
          <w:w w:val="105"/>
          <w:lang w:val="es-ES"/>
        </w:rPr>
        <w:t xml:space="preserve">los antecedentes </w:t>
      </w:r>
      <w:r w:rsidR="005F5997" w:rsidRPr="00505FA0">
        <w:rPr>
          <w:color w:val="1A1A1A"/>
          <w:w w:val="105"/>
          <w:lang w:val="es-ES"/>
        </w:rPr>
        <w:t xml:space="preserve">y la </w:t>
      </w:r>
      <w:r w:rsidR="00ED7C74" w:rsidRPr="00505FA0">
        <w:rPr>
          <w:color w:val="1A1A1A"/>
          <w:w w:val="105"/>
          <w:lang w:val="es-ES"/>
        </w:rPr>
        <w:t xml:space="preserve">justificación </w:t>
      </w:r>
      <w:r w:rsidR="00ED7C74" w:rsidRPr="00505FA0">
        <w:rPr>
          <w:color w:val="2F2F2F"/>
          <w:w w:val="105"/>
          <w:lang w:val="es-ES"/>
        </w:rPr>
        <w:t xml:space="preserve">de </w:t>
      </w:r>
      <w:r w:rsidR="005F5997" w:rsidRPr="00505FA0">
        <w:rPr>
          <w:color w:val="2F2F2F"/>
          <w:w w:val="105"/>
          <w:lang w:val="es-ES"/>
        </w:rPr>
        <w:t xml:space="preserve">la inclusión de las </w:t>
      </w:r>
      <w:r w:rsidR="00BF20DF" w:rsidRPr="00505FA0">
        <w:rPr>
          <w:color w:val="2F2F2F"/>
          <w:w w:val="105"/>
          <w:lang w:val="es-ES"/>
        </w:rPr>
        <w:t xml:space="preserve">disposiciones sobre protección </w:t>
      </w:r>
      <w:r w:rsidR="005F5997" w:rsidRPr="00505FA0">
        <w:rPr>
          <w:color w:val="2F2F2F"/>
          <w:w w:val="105"/>
          <w:lang w:val="es-ES"/>
        </w:rPr>
        <w:t xml:space="preserve">provisional </w:t>
      </w:r>
      <w:r w:rsidR="00BF20DF" w:rsidRPr="00505FA0">
        <w:rPr>
          <w:color w:val="2F2F2F"/>
          <w:w w:val="105"/>
          <w:lang w:val="es-ES"/>
        </w:rPr>
        <w:t xml:space="preserve">en </w:t>
      </w:r>
      <w:r w:rsidR="00B830C4" w:rsidRPr="00505FA0">
        <w:rPr>
          <w:color w:val="2F2F2F"/>
          <w:w w:val="105"/>
          <w:lang w:val="es-ES"/>
        </w:rPr>
        <w:t>el Convenio de la UPOV</w:t>
      </w:r>
      <w:r w:rsidR="00BF20DF" w:rsidRPr="00505FA0">
        <w:rPr>
          <w:color w:val="2F2F2F"/>
          <w:spacing w:val="-6"/>
          <w:w w:val="105"/>
          <w:lang w:val="es-ES"/>
        </w:rPr>
        <w:t xml:space="preserve">. Se observó </w:t>
      </w:r>
      <w:r w:rsidR="00122247" w:rsidRPr="00505FA0">
        <w:rPr>
          <w:color w:val="2F2F2F"/>
          <w:spacing w:val="-6"/>
          <w:w w:val="105"/>
          <w:lang w:val="es-ES"/>
        </w:rPr>
        <w:t xml:space="preserve">que </w:t>
      </w:r>
      <w:r w:rsidR="00B830C4" w:rsidRPr="00505FA0">
        <w:rPr>
          <w:color w:val="2F2F2F"/>
          <w:spacing w:val="-6"/>
          <w:w w:val="105"/>
          <w:lang w:val="es-ES"/>
        </w:rPr>
        <w:t xml:space="preserve">los miembros </w:t>
      </w:r>
      <w:r w:rsidR="005F5997" w:rsidRPr="00505FA0">
        <w:rPr>
          <w:color w:val="2F2F2F"/>
          <w:spacing w:val="-6"/>
          <w:w w:val="105"/>
          <w:lang w:val="es-ES"/>
        </w:rPr>
        <w:t xml:space="preserve">y futuros miembros de la UPOV </w:t>
      </w:r>
      <w:r w:rsidR="00B830C4" w:rsidRPr="00505FA0">
        <w:rPr>
          <w:color w:val="2F2F2F"/>
          <w:spacing w:val="-6"/>
          <w:w w:val="105"/>
          <w:lang w:val="es-ES"/>
        </w:rPr>
        <w:t xml:space="preserve">podrían tener en cuenta esa información </w:t>
      </w:r>
      <w:r w:rsidRPr="00505FA0">
        <w:rPr>
          <w:color w:val="2F2F2F"/>
          <w:w w:val="105"/>
          <w:lang w:val="es-ES"/>
        </w:rPr>
        <w:t xml:space="preserve">al </w:t>
      </w:r>
      <w:r w:rsidR="005F5997" w:rsidRPr="00505FA0">
        <w:rPr>
          <w:color w:val="2F2F2F"/>
          <w:w w:val="105"/>
          <w:lang w:val="es-ES"/>
        </w:rPr>
        <w:t xml:space="preserve">elaborar y </w:t>
      </w:r>
      <w:r w:rsidRPr="00505FA0">
        <w:rPr>
          <w:color w:val="1A1A1A"/>
          <w:w w:val="105"/>
          <w:lang w:val="es-ES"/>
        </w:rPr>
        <w:t xml:space="preserve">aplicar las </w:t>
      </w:r>
      <w:r w:rsidR="005F5997" w:rsidRPr="00505FA0">
        <w:rPr>
          <w:color w:val="2F2F2F"/>
          <w:w w:val="105"/>
          <w:lang w:val="es-ES"/>
        </w:rPr>
        <w:t>disposiciones sobre protección provisional</w:t>
      </w:r>
      <w:r w:rsidRPr="00505FA0">
        <w:rPr>
          <w:color w:val="2F2F2F"/>
          <w:w w:val="105"/>
          <w:lang w:val="es-ES"/>
        </w:rPr>
        <w:t>.</w:t>
      </w:r>
    </w:p>
    <w:p w14:paraId="2247A4A1" w14:textId="77777777" w:rsidR="00A163A2" w:rsidRPr="00505FA0" w:rsidRDefault="00A163A2" w:rsidP="00767385">
      <w:pPr>
        <w:widowControl w:val="0"/>
        <w:tabs>
          <w:tab w:val="left" w:pos="772"/>
        </w:tabs>
        <w:autoSpaceDE w:val="0"/>
        <w:autoSpaceDN w:val="0"/>
        <w:ind w:right="105"/>
        <w:rPr>
          <w:color w:val="2F2F2F"/>
          <w:w w:val="105"/>
          <w:lang w:val="es-ES"/>
        </w:rPr>
      </w:pPr>
    </w:p>
    <w:p w14:paraId="318373A7" w14:textId="77777777" w:rsidR="00DE5E38" w:rsidRPr="00505FA0" w:rsidRDefault="00C5303F">
      <w:pPr>
        <w:widowControl w:val="0"/>
        <w:tabs>
          <w:tab w:val="left" w:pos="772"/>
        </w:tabs>
        <w:autoSpaceDE w:val="0"/>
        <w:autoSpaceDN w:val="0"/>
        <w:ind w:right="105"/>
        <w:rPr>
          <w:rFonts w:cs="Arial"/>
          <w:lang w:val="es-ES"/>
        </w:rPr>
      </w:pPr>
      <w:r w:rsidRPr="00767385">
        <w:rPr>
          <w:rFonts w:cs="Arial"/>
        </w:rPr>
        <w:fldChar w:fldCharType="begin"/>
      </w:r>
      <w:r w:rsidRPr="00505FA0">
        <w:rPr>
          <w:rFonts w:cs="Arial"/>
          <w:lang w:val="es-ES"/>
        </w:rPr>
        <w:instrText xml:space="preserve"> AUTONUM  </w:instrText>
      </w:r>
      <w:r w:rsidRPr="00767385">
        <w:rPr>
          <w:rFonts w:cs="Arial"/>
        </w:rPr>
        <w:fldChar w:fldCharType="end"/>
      </w:r>
      <w:r w:rsidRPr="00505FA0">
        <w:rPr>
          <w:rFonts w:cs="Arial"/>
          <w:lang w:val="es-ES"/>
        </w:rPr>
        <w:t xml:space="preserve"> </w:t>
      </w:r>
      <w:r w:rsidR="00BF20DF" w:rsidRPr="00505FA0">
        <w:rPr>
          <w:rFonts w:cs="Arial"/>
          <w:lang w:val="es-ES"/>
        </w:rPr>
        <w:tab/>
      </w:r>
      <w:r w:rsidRPr="00505FA0">
        <w:rPr>
          <w:rFonts w:cs="Arial"/>
          <w:lang w:val="es-ES"/>
        </w:rPr>
        <w:t xml:space="preserve">Se concluyó que no había acuerdo para un nuevo texto en el apartado 8 </w:t>
      </w:r>
      <w:r w:rsidR="00BF20DF" w:rsidRPr="00505FA0">
        <w:rPr>
          <w:rFonts w:cs="Arial"/>
          <w:lang w:val="es-ES"/>
        </w:rPr>
        <w:t xml:space="preserve">relativo a las medidas </w:t>
      </w:r>
      <w:r w:rsidRPr="00505FA0">
        <w:rPr>
          <w:rFonts w:cs="Arial"/>
          <w:lang w:val="es-ES"/>
        </w:rPr>
        <w:t>y que debía mantenerse la redacción actual.</w:t>
      </w:r>
    </w:p>
    <w:p w14:paraId="1AF8AC3B" w14:textId="77777777" w:rsidR="00767385" w:rsidRPr="00505FA0" w:rsidRDefault="00767385" w:rsidP="00767385">
      <w:pPr>
        <w:pStyle w:val="BodyText"/>
        <w:spacing w:before="7"/>
        <w:rPr>
          <w:sz w:val="22"/>
          <w:lang w:val="es-ES"/>
        </w:rPr>
      </w:pPr>
    </w:p>
    <w:bookmarkStart w:id="1" w:name="_Hlk152574914"/>
    <w:p w14:paraId="50F40FC0" w14:textId="77777777" w:rsidR="00DE5E38" w:rsidRPr="00505FA0" w:rsidRDefault="00C5303F">
      <w:pPr>
        <w:widowControl w:val="0"/>
        <w:tabs>
          <w:tab w:val="left" w:pos="691"/>
        </w:tabs>
        <w:autoSpaceDE w:val="0"/>
        <w:autoSpaceDN w:val="0"/>
        <w:spacing w:line="254" w:lineRule="auto"/>
        <w:ind w:right="173"/>
        <w:rPr>
          <w:color w:val="2F2F2F"/>
          <w:lang w:val="es-ES"/>
        </w:rPr>
      </w:pPr>
      <w:r w:rsidRPr="00E51FB9">
        <w:rPr>
          <w:rFonts w:cs="Arial"/>
        </w:rPr>
        <w:fldChar w:fldCharType="begin"/>
      </w:r>
      <w:r w:rsidRPr="00505FA0">
        <w:rPr>
          <w:rFonts w:cs="Arial"/>
          <w:lang w:val="es-ES"/>
        </w:rPr>
        <w:instrText xml:space="preserve"> AUTONUM  </w:instrText>
      </w:r>
      <w:r w:rsidRPr="00E51FB9">
        <w:rPr>
          <w:rFonts w:cs="Arial"/>
        </w:rPr>
        <w:fldChar w:fldCharType="end"/>
      </w:r>
      <w:r w:rsidR="00767385" w:rsidRPr="00505FA0">
        <w:rPr>
          <w:rFonts w:cs="Arial"/>
          <w:lang w:val="es-ES"/>
        </w:rPr>
        <w:tab/>
      </w:r>
      <w:r w:rsidR="00767385" w:rsidRPr="00505FA0">
        <w:rPr>
          <w:color w:val="1A1A1A"/>
          <w:w w:val="105"/>
          <w:lang w:val="es-ES"/>
        </w:rPr>
        <w:t xml:space="preserve">El </w:t>
      </w:r>
      <w:r w:rsidR="003F5A76" w:rsidRPr="00505FA0">
        <w:rPr>
          <w:color w:val="2F2F2F"/>
          <w:w w:val="105"/>
          <w:lang w:val="es-ES"/>
        </w:rPr>
        <w:t xml:space="preserve">WG-HRV </w:t>
      </w:r>
      <w:r w:rsidR="00BF20DF" w:rsidRPr="00505FA0">
        <w:rPr>
          <w:color w:val="1A1A1A"/>
          <w:w w:val="105"/>
          <w:lang w:val="es-ES"/>
        </w:rPr>
        <w:t xml:space="preserve">tomó nota de que las </w:t>
      </w:r>
      <w:r w:rsidR="00767385" w:rsidRPr="00505FA0">
        <w:rPr>
          <w:color w:val="2F2F2F"/>
          <w:w w:val="105"/>
          <w:lang w:val="es-ES"/>
        </w:rPr>
        <w:t xml:space="preserve">organizaciones </w:t>
      </w:r>
      <w:r w:rsidR="00BF20DF" w:rsidRPr="00505FA0">
        <w:rPr>
          <w:color w:val="2F2F2F"/>
          <w:w w:val="105"/>
          <w:lang w:val="es-ES"/>
        </w:rPr>
        <w:t xml:space="preserve">que representan a los obtentores </w:t>
      </w:r>
      <w:r w:rsidR="00767385" w:rsidRPr="00505FA0">
        <w:rPr>
          <w:color w:val="2F2F2F"/>
          <w:w w:val="105"/>
          <w:lang w:val="es-ES"/>
        </w:rPr>
        <w:t xml:space="preserve">(ISF, </w:t>
      </w:r>
      <w:r w:rsidR="00767385" w:rsidRPr="00505FA0">
        <w:rPr>
          <w:color w:val="1A1A1A"/>
          <w:w w:val="105"/>
          <w:lang w:val="es-ES"/>
        </w:rPr>
        <w:t>CIOPORA</w:t>
      </w:r>
      <w:r w:rsidR="00767385" w:rsidRPr="00505FA0">
        <w:rPr>
          <w:color w:val="4F4F4F"/>
          <w:w w:val="105"/>
          <w:lang w:val="es-ES"/>
        </w:rPr>
        <w:t xml:space="preserve">, </w:t>
      </w:r>
      <w:proofErr w:type="spellStart"/>
      <w:r w:rsidR="00767385" w:rsidRPr="00505FA0">
        <w:rPr>
          <w:color w:val="2F2F2F"/>
          <w:w w:val="105"/>
          <w:lang w:val="es-ES"/>
        </w:rPr>
        <w:t>Croplife</w:t>
      </w:r>
      <w:proofErr w:type="spellEnd"/>
      <w:r w:rsidR="00767385" w:rsidRPr="00505FA0">
        <w:rPr>
          <w:color w:val="2F2F2F"/>
          <w:w w:val="105"/>
          <w:lang w:val="es-ES"/>
        </w:rPr>
        <w:t xml:space="preserve"> </w:t>
      </w:r>
      <w:r w:rsidR="00767385" w:rsidRPr="00505FA0">
        <w:rPr>
          <w:color w:val="1A1A1A"/>
          <w:w w:val="105"/>
          <w:lang w:val="es-ES"/>
        </w:rPr>
        <w:t xml:space="preserve">International, </w:t>
      </w:r>
      <w:proofErr w:type="spellStart"/>
      <w:r w:rsidR="00767385" w:rsidRPr="00505FA0">
        <w:rPr>
          <w:color w:val="1A1A1A"/>
          <w:w w:val="105"/>
          <w:lang w:val="es-ES"/>
        </w:rPr>
        <w:t>Euroseeds</w:t>
      </w:r>
      <w:proofErr w:type="spellEnd"/>
      <w:r w:rsidR="00767385" w:rsidRPr="00505FA0">
        <w:rPr>
          <w:color w:val="4F4F4F"/>
          <w:w w:val="105"/>
          <w:lang w:val="es-ES"/>
        </w:rPr>
        <w:t xml:space="preserve">, </w:t>
      </w:r>
      <w:r w:rsidR="00767385" w:rsidRPr="00505FA0">
        <w:rPr>
          <w:color w:val="2F2F2F"/>
          <w:w w:val="105"/>
          <w:lang w:val="es-ES"/>
        </w:rPr>
        <w:t xml:space="preserve">APSA, AFSTA y </w:t>
      </w:r>
      <w:r w:rsidR="00767385" w:rsidRPr="00505FA0">
        <w:rPr>
          <w:color w:val="1A1A1A"/>
          <w:w w:val="105"/>
          <w:lang w:val="es-ES"/>
        </w:rPr>
        <w:t xml:space="preserve">SAA) </w:t>
      </w:r>
      <w:r w:rsidRPr="00505FA0">
        <w:rPr>
          <w:color w:val="1A1A1A"/>
          <w:w w:val="105"/>
          <w:lang w:val="es-ES"/>
        </w:rPr>
        <w:t xml:space="preserve">se ofrecieron a </w:t>
      </w:r>
      <w:r w:rsidR="00122247" w:rsidRPr="00505FA0">
        <w:rPr>
          <w:color w:val="1A1A1A"/>
          <w:w w:val="105"/>
          <w:lang w:val="es-ES"/>
        </w:rPr>
        <w:t xml:space="preserve">proporcionar un </w:t>
      </w:r>
      <w:r w:rsidR="00BF20DF" w:rsidRPr="00505FA0">
        <w:rPr>
          <w:color w:val="1A1A1A"/>
          <w:w w:val="105"/>
          <w:lang w:val="es-ES"/>
        </w:rPr>
        <w:t>texto con una explicación de la importancia de proporcionar una protección eficaz durante el periodo de protección provisional</w:t>
      </w:r>
      <w:r w:rsidR="00767385" w:rsidRPr="00505FA0">
        <w:rPr>
          <w:color w:val="4F4F4F"/>
          <w:w w:val="105"/>
          <w:lang w:val="es-ES"/>
        </w:rPr>
        <w:t xml:space="preserve">, </w:t>
      </w:r>
      <w:r w:rsidR="00767385" w:rsidRPr="00505FA0">
        <w:rPr>
          <w:color w:val="1A1A1A"/>
          <w:w w:val="105"/>
          <w:lang w:val="es-ES"/>
        </w:rPr>
        <w:t xml:space="preserve">para que </w:t>
      </w:r>
      <w:r w:rsidR="003F5A76" w:rsidRPr="00505FA0">
        <w:rPr>
          <w:color w:val="2F2F2F"/>
          <w:w w:val="105"/>
          <w:lang w:val="es-ES"/>
        </w:rPr>
        <w:t xml:space="preserve">el WG-HRV lo </w:t>
      </w:r>
      <w:r w:rsidR="00767385" w:rsidRPr="00505FA0">
        <w:rPr>
          <w:color w:val="2F2F2F"/>
          <w:w w:val="105"/>
          <w:lang w:val="es-ES"/>
        </w:rPr>
        <w:t xml:space="preserve">examinara en su </w:t>
      </w:r>
      <w:r w:rsidR="00767385" w:rsidRPr="00505FA0">
        <w:rPr>
          <w:color w:val="1A1A1A"/>
          <w:w w:val="105"/>
          <w:lang w:val="es-ES"/>
        </w:rPr>
        <w:t>quinta reunión</w:t>
      </w:r>
      <w:r w:rsidR="00767385" w:rsidRPr="00505FA0">
        <w:rPr>
          <w:color w:val="2F2F2F"/>
          <w:w w:val="105"/>
          <w:lang w:val="es-ES"/>
        </w:rPr>
        <w:t>.</w:t>
      </w:r>
    </w:p>
    <w:bookmarkEnd w:id="1"/>
    <w:p w14:paraId="3E0D1B0E" w14:textId="77777777" w:rsidR="00767385" w:rsidRPr="00505FA0" w:rsidRDefault="00767385" w:rsidP="00767385">
      <w:pPr>
        <w:pStyle w:val="BodyText"/>
        <w:rPr>
          <w:lang w:val="es-ES"/>
        </w:rPr>
      </w:pPr>
    </w:p>
    <w:p w14:paraId="17D3CDEB" w14:textId="77777777" w:rsidR="00EA0FD3" w:rsidRPr="00505FA0" w:rsidRDefault="00EA0FD3" w:rsidP="00767385">
      <w:pPr>
        <w:widowControl w:val="0"/>
        <w:tabs>
          <w:tab w:val="left" w:pos="762"/>
        </w:tabs>
        <w:autoSpaceDE w:val="0"/>
        <w:autoSpaceDN w:val="0"/>
        <w:spacing w:before="177" w:line="247" w:lineRule="auto"/>
        <w:ind w:right="108"/>
        <w:rPr>
          <w:color w:val="161616"/>
          <w:lang w:val="es-ES"/>
        </w:rPr>
      </w:pPr>
    </w:p>
    <w:p w14:paraId="338F5E14" w14:textId="77777777" w:rsidR="00DE5E38" w:rsidRPr="00505FA0" w:rsidRDefault="00C5303F">
      <w:pPr>
        <w:pStyle w:val="Heading1"/>
        <w:rPr>
          <w:lang w:val="es-ES"/>
        </w:rPr>
      </w:pPr>
      <w:r w:rsidRPr="00505FA0">
        <w:rPr>
          <w:lang w:val="es-ES"/>
        </w:rPr>
        <w:t xml:space="preserve">FECHA Y PROGRAMA DE LA </w:t>
      </w:r>
      <w:r w:rsidR="00982133" w:rsidRPr="00505FA0">
        <w:rPr>
          <w:lang w:val="es-ES"/>
        </w:rPr>
        <w:t xml:space="preserve">QUINTA </w:t>
      </w:r>
      <w:r w:rsidRPr="00505FA0">
        <w:rPr>
          <w:lang w:val="es-ES"/>
        </w:rPr>
        <w:t xml:space="preserve">REUNIÓN </w:t>
      </w:r>
    </w:p>
    <w:p w14:paraId="1E18F777" w14:textId="77777777" w:rsidR="00275157" w:rsidRPr="00505FA0" w:rsidRDefault="00275157" w:rsidP="00AF2484">
      <w:pPr>
        <w:keepNext/>
        <w:rPr>
          <w:rFonts w:cs="Arial"/>
          <w:spacing w:val="-2"/>
          <w:sz w:val="18"/>
          <w:lang w:val="es-ES"/>
        </w:rPr>
      </w:pPr>
    </w:p>
    <w:p w14:paraId="3EDA4DAC" w14:textId="77777777" w:rsidR="00DE5E38" w:rsidRPr="00505FA0" w:rsidRDefault="00C5303F">
      <w:pPr>
        <w:widowControl w:val="0"/>
        <w:tabs>
          <w:tab w:val="left" w:pos="762"/>
        </w:tabs>
        <w:autoSpaceDE w:val="0"/>
        <w:autoSpaceDN w:val="0"/>
        <w:ind w:right="113"/>
        <w:rPr>
          <w:lang w:val="es-ES"/>
        </w:rPr>
      </w:pPr>
      <w:r w:rsidRPr="00B60EAB">
        <w:rPr>
          <w:rFonts w:cs="Arial"/>
        </w:rPr>
        <w:fldChar w:fldCharType="begin"/>
      </w:r>
      <w:r w:rsidRPr="00505FA0">
        <w:rPr>
          <w:rFonts w:cs="Arial"/>
          <w:lang w:val="es-ES"/>
        </w:rPr>
        <w:instrText xml:space="preserve"> AUTONUM  </w:instrText>
      </w:r>
      <w:r w:rsidRPr="00B60EAB">
        <w:rPr>
          <w:rFonts w:cs="Arial"/>
        </w:rPr>
        <w:fldChar w:fldCharType="end"/>
      </w:r>
      <w:r w:rsidRPr="00505FA0">
        <w:rPr>
          <w:rFonts w:cs="Arial"/>
          <w:lang w:val="es-ES"/>
        </w:rPr>
        <w:tab/>
      </w:r>
      <w:r w:rsidRPr="00505FA0">
        <w:rPr>
          <w:lang w:val="es-ES"/>
        </w:rPr>
        <w:t xml:space="preserve">El WG-HRV </w:t>
      </w:r>
      <w:r w:rsidRPr="00505FA0">
        <w:rPr>
          <w:rFonts w:cs="Arial"/>
          <w:lang w:val="es-ES" w:eastAsia="fr-FR"/>
        </w:rPr>
        <w:t xml:space="preserve">acordó </w:t>
      </w:r>
      <w:r w:rsidR="00C0769A" w:rsidRPr="00505FA0">
        <w:rPr>
          <w:rFonts w:cs="Arial"/>
          <w:lang w:val="es-ES" w:eastAsia="fr-FR"/>
        </w:rPr>
        <w:t xml:space="preserve">celebrar </w:t>
      </w:r>
      <w:r w:rsidRPr="00505FA0">
        <w:rPr>
          <w:rFonts w:cs="Arial"/>
          <w:lang w:val="es-ES" w:eastAsia="fr-FR"/>
        </w:rPr>
        <w:t xml:space="preserve">su </w:t>
      </w:r>
      <w:r w:rsidR="00982133" w:rsidRPr="00505FA0">
        <w:rPr>
          <w:rFonts w:cs="Arial"/>
          <w:lang w:val="es-ES" w:eastAsia="fr-FR"/>
        </w:rPr>
        <w:t xml:space="preserve">quinta </w:t>
      </w:r>
      <w:r w:rsidRPr="00505FA0">
        <w:rPr>
          <w:rFonts w:cs="Arial"/>
          <w:lang w:val="es-ES" w:eastAsia="fr-FR"/>
        </w:rPr>
        <w:t xml:space="preserve">reunión </w:t>
      </w:r>
      <w:r w:rsidRPr="00505FA0">
        <w:rPr>
          <w:lang w:val="es-ES"/>
        </w:rPr>
        <w:t xml:space="preserve">el </w:t>
      </w:r>
      <w:r w:rsidR="00982133" w:rsidRPr="00505FA0">
        <w:rPr>
          <w:lang w:val="es-ES"/>
        </w:rPr>
        <w:t xml:space="preserve">21 de marzo </w:t>
      </w:r>
      <w:r w:rsidR="00F0430B" w:rsidRPr="00505FA0">
        <w:rPr>
          <w:lang w:val="es-ES"/>
        </w:rPr>
        <w:t>de 2024</w:t>
      </w:r>
      <w:r w:rsidRPr="00505FA0">
        <w:rPr>
          <w:lang w:val="es-ES"/>
        </w:rPr>
        <w:t xml:space="preserve">, por vía </w:t>
      </w:r>
      <w:r w:rsidR="00982133" w:rsidRPr="00505FA0">
        <w:rPr>
          <w:lang w:val="es-ES"/>
        </w:rPr>
        <w:t xml:space="preserve">electrónica, </w:t>
      </w:r>
      <w:r w:rsidR="003F5A76" w:rsidRPr="00505FA0">
        <w:rPr>
          <w:lang w:val="es-ES"/>
        </w:rPr>
        <w:t xml:space="preserve">para considerar lo </w:t>
      </w:r>
      <w:r w:rsidR="00F0430B" w:rsidRPr="00505FA0">
        <w:rPr>
          <w:lang w:val="es-ES"/>
        </w:rPr>
        <w:t xml:space="preserve">siguiente: </w:t>
      </w:r>
      <w:r w:rsidR="003F5A76" w:rsidRPr="00505FA0">
        <w:rPr>
          <w:lang w:val="es-ES"/>
        </w:rPr>
        <w:t xml:space="preserve"> </w:t>
      </w:r>
    </w:p>
    <w:p w14:paraId="57E29739" w14:textId="77777777" w:rsidR="00E51FB9" w:rsidRPr="00505FA0" w:rsidRDefault="00E51FB9" w:rsidP="00F0430B">
      <w:pPr>
        <w:widowControl w:val="0"/>
        <w:tabs>
          <w:tab w:val="left" w:pos="762"/>
        </w:tabs>
        <w:autoSpaceDE w:val="0"/>
        <w:autoSpaceDN w:val="0"/>
        <w:ind w:right="113"/>
        <w:rPr>
          <w:rFonts w:cs="Arial"/>
          <w:lang w:val="es-ES" w:eastAsia="fr-FR"/>
        </w:rPr>
      </w:pPr>
    </w:p>
    <w:p w14:paraId="2AD05A72" w14:textId="77777777" w:rsidR="00DE5E38" w:rsidRPr="00505FA0" w:rsidRDefault="00C5303F">
      <w:pPr>
        <w:widowControl w:val="0"/>
        <w:tabs>
          <w:tab w:val="left" w:pos="762"/>
        </w:tabs>
        <w:autoSpaceDE w:val="0"/>
        <w:autoSpaceDN w:val="0"/>
        <w:ind w:left="720" w:right="113"/>
        <w:rPr>
          <w:color w:val="262626"/>
          <w:lang w:val="es-ES"/>
        </w:rPr>
      </w:pPr>
      <w:r w:rsidRPr="00505FA0">
        <w:rPr>
          <w:rFonts w:cs="Arial"/>
          <w:lang w:val="es-ES" w:eastAsia="fr-FR"/>
        </w:rPr>
        <w:t xml:space="preserve">1. </w:t>
      </w:r>
      <w:r w:rsidRPr="00505FA0">
        <w:rPr>
          <w:rFonts w:cs="Arial"/>
          <w:lang w:val="es-ES" w:eastAsia="fr-FR"/>
        </w:rPr>
        <w:tab/>
      </w:r>
      <w:r w:rsidR="00A163A2" w:rsidRPr="00505FA0">
        <w:rPr>
          <w:rFonts w:cs="Arial"/>
          <w:lang w:val="es-ES" w:eastAsia="fr-FR"/>
        </w:rPr>
        <w:t xml:space="preserve">El </w:t>
      </w:r>
      <w:r w:rsidR="005347AE" w:rsidRPr="00505FA0">
        <w:rPr>
          <w:rFonts w:cs="Arial"/>
          <w:lang w:val="es-ES" w:eastAsia="fr-FR"/>
        </w:rPr>
        <w:t>encargo de un estudio</w:t>
      </w:r>
      <w:r w:rsidR="00A163A2" w:rsidRPr="00505FA0">
        <w:rPr>
          <w:color w:val="343434"/>
          <w:lang w:val="es-ES"/>
        </w:rPr>
        <w:t xml:space="preserve">, </w:t>
      </w:r>
      <w:r w:rsidR="00A163A2" w:rsidRPr="00505FA0">
        <w:rPr>
          <w:color w:val="161616"/>
          <w:lang w:val="es-ES"/>
        </w:rPr>
        <w:t xml:space="preserve">incluidos el </w:t>
      </w:r>
      <w:r w:rsidR="00A163A2" w:rsidRPr="00505FA0">
        <w:rPr>
          <w:color w:val="262626"/>
          <w:spacing w:val="-15"/>
          <w:lang w:val="es-ES"/>
        </w:rPr>
        <w:t>mandato</w:t>
      </w:r>
      <w:r w:rsidR="00A163A2" w:rsidRPr="00505FA0">
        <w:rPr>
          <w:color w:val="161616"/>
          <w:lang w:val="es-ES"/>
        </w:rPr>
        <w:t xml:space="preserve">, el calendario </w:t>
      </w:r>
      <w:r w:rsidR="00A163A2" w:rsidRPr="00505FA0">
        <w:rPr>
          <w:color w:val="343434"/>
          <w:lang w:val="es-ES"/>
        </w:rPr>
        <w:t xml:space="preserve">y los </w:t>
      </w:r>
      <w:r w:rsidR="00A163A2" w:rsidRPr="00505FA0">
        <w:rPr>
          <w:color w:val="262626"/>
          <w:lang w:val="es-ES"/>
        </w:rPr>
        <w:t>autores</w:t>
      </w:r>
      <w:r w:rsidR="005347AE" w:rsidRPr="00505FA0">
        <w:rPr>
          <w:color w:val="262626"/>
          <w:lang w:val="es-ES"/>
        </w:rPr>
        <w:t xml:space="preserve">. El estudio incluiría una primera parte con un análisis de </w:t>
      </w:r>
      <w:r w:rsidR="005347AE" w:rsidRPr="00505FA0">
        <w:rPr>
          <w:color w:val="161616"/>
          <w:lang w:val="es-ES"/>
        </w:rPr>
        <w:t xml:space="preserve">las intenciones de los </w:t>
      </w:r>
      <w:r w:rsidR="005347AE" w:rsidRPr="00505FA0">
        <w:rPr>
          <w:color w:val="262626"/>
          <w:lang w:val="es-ES"/>
        </w:rPr>
        <w:t xml:space="preserve">redactores del </w:t>
      </w:r>
      <w:r w:rsidR="005347AE" w:rsidRPr="00505FA0">
        <w:rPr>
          <w:color w:val="161616"/>
          <w:lang w:val="es-ES"/>
        </w:rPr>
        <w:t xml:space="preserve">Acta de 1991 del Convenio de la UPOV </w:t>
      </w:r>
      <w:r w:rsidR="005347AE" w:rsidRPr="00505FA0">
        <w:rPr>
          <w:color w:val="262626"/>
          <w:lang w:val="es-ES"/>
        </w:rPr>
        <w:t xml:space="preserve">en </w:t>
      </w:r>
      <w:r w:rsidR="005347AE" w:rsidRPr="00505FA0">
        <w:rPr>
          <w:color w:val="161616"/>
          <w:lang w:val="es-ES"/>
        </w:rPr>
        <w:t xml:space="preserve">relación con </w:t>
      </w:r>
      <w:r w:rsidR="005347AE" w:rsidRPr="00505FA0">
        <w:rPr>
          <w:color w:val="262626"/>
          <w:lang w:val="es-ES"/>
        </w:rPr>
        <w:t xml:space="preserve">el Artículo 14 y el Artículo 16 del Acta de 1991, y una </w:t>
      </w:r>
      <w:r w:rsidR="005347AE" w:rsidRPr="00505FA0">
        <w:rPr>
          <w:color w:val="343434"/>
          <w:lang w:val="es-ES"/>
        </w:rPr>
        <w:t xml:space="preserve">segunda </w:t>
      </w:r>
      <w:r w:rsidR="005347AE" w:rsidRPr="00505FA0">
        <w:rPr>
          <w:color w:val="262626"/>
          <w:lang w:val="es-ES"/>
        </w:rPr>
        <w:t xml:space="preserve">parte, que </w:t>
      </w:r>
      <w:r w:rsidR="005347AE" w:rsidRPr="00505FA0">
        <w:rPr>
          <w:color w:val="161616"/>
          <w:lang w:val="es-ES"/>
        </w:rPr>
        <w:t xml:space="preserve">incluiría </w:t>
      </w:r>
      <w:r w:rsidRPr="00505FA0">
        <w:rPr>
          <w:color w:val="161616"/>
          <w:lang w:val="es-ES"/>
        </w:rPr>
        <w:t xml:space="preserve">resúmenes </w:t>
      </w:r>
      <w:r w:rsidRPr="00505FA0">
        <w:rPr>
          <w:color w:val="343434"/>
          <w:lang w:val="es-ES"/>
        </w:rPr>
        <w:t xml:space="preserve">de </w:t>
      </w:r>
      <w:r w:rsidR="005347AE" w:rsidRPr="00505FA0">
        <w:rPr>
          <w:color w:val="343434"/>
          <w:lang w:val="es-ES"/>
        </w:rPr>
        <w:t>casos judiciales de miembros de la UPOV vinculados por el Acta de 1991.</w:t>
      </w:r>
    </w:p>
    <w:p w14:paraId="162AA11B" w14:textId="77777777" w:rsidR="005347AE" w:rsidRPr="00505FA0" w:rsidRDefault="005347AE" w:rsidP="00E51FB9">
      <w:pPr>
        <w:pStyle w:val="ListParagraph"/>
        <w:widowControl w:val="0"/>
        <w:tabs>
          <w:tab w:val="left" w:pos="762"/>
        </w:tabs>
        <w:autoSpaceDE w:val="0"/>
        <w:autoSpaceDN w:val="0"/>
        <w:ind w:right="113"/>
        <w:rPr>
          <w:color w:val="262626"/>
          <w:lang w:val="es-ES"/>
        </w:rPr>
      </w:pPr>
    </w:p>
    <w:p w14:paraId="7C734C8A" w14:textId="77777777" w:rsidR="00DE5E38" w:rsidRPr="00505FA0" w:rsidRDefault="00C5303F">
      <w:pPr>
        <w:pStyle w:val="ListParagraph"/>
        <w:widowControl w:val="0"/>
        <w:tabs>
          <w:tab w:val="left" w:pos="755"/>
        </w:tabs>
        <w:autoSpaceDE w:val="0"/>
        <w:autoSpaceDN w:val="0"/>
        <w:ind w:right="113"/>
        <w:rPr>
          <w:color w:val="161616"/>
          <w:lang w:val="es-ES"/>
        </w:rPr>
      </w:pPr>
      <w:r w:rsidRPr="00505FA0">
        <w:rPr>
          <w:color w:val="262626"/>
          <w:lang w:val="es-ES"/>
        </w:rPr>
        <w:t xml:space="preserve">2.    </w:t>
      </w:r>
      <w:r w:rsidR="00A163A2" w:rsidRPr="00505FA0">
        <w:rPr>
          <w:color w:val="262626"/>
          <w:lang w:val="es-ES"/>
        </w:rPr>
        <w:t xml:space="preserve">La </w:t>
      </w:r>
      <w:r w:rsidRPr="00505FA0">
        <w:rPr>
          <w:color w:val="262626"/>
          <w:lang w:val="es-ES"/>
        </w:rPr>
        <w:t xml:space="preserve">Oficina de la UPOV </w:t>
      </w:r>
      <w:r w:rsidR="00A163A2" w:rsidRPr="00505FA0">
        <w:rPr>
          <w:color w:val="262626"/>
          <w:lang w:val="es-ES"/>
        </w:rPr>
        <w:t xml:space="preserve">propone un texto para el apartado 6 de las </w:t>
      </w:r>
      <w:r w:rsidR="005347AE" w:rsidRPr="00505FA0">
        <w:rPr>
          <w:color w:val="262626"/>
          <w:lang w:val="es-ES"/>
        </w:rPr>
        <w:t xml:space="preserve">Notas </w:t>
      </w:r>
      <w:r w:rsidR="00A163A2" w:rsidRPr="00505FA0">
        <w:rPr>
          <w:color w:val="262626"/>
          <w:lang w:val="es-ES"/>
        </w:rPr>
        <w:t xml:space="preserve">explicativas </w:t>
      </w:r>
      <w:r w:rsidR="005347AE" w:rsidRPr="00505FA0">
        <w:rPr>
          <w:color w:val="262626"/>
          <w:lang w:val="es-ES"/>
        </w:rPr>
        <w:t xml:space="preserve">sobre la protección provisional relativo a la publicación de las solicitudes de derechos de obtentor. </w:t>
      </w:r>
    </w:p>
    <w:p w14:paraId="6E4C5220" w14:textId="77777777" w:rsidR="00F0430B" w:rsidRPr="00505FA0" w:rsidRDefault="00F0430B" w:rsidP="00E51FB9">
      <w:pPr>
        <w:pStyle w:val="ListParagraph"/>
        <w:rPr>
          <w:color w:val="262626"/>
          <w:lang w:val="es-ES"/>
        </w:rPr>
      </w:pPr>
    </w:p>
    <w:p w14:paraId="00F7898B" w14:textId="77777777" w:rsidR="00DE5E38" w:rsidRPr="00505FA0" w:rsidRDefault="00C5303F">
      <w:pPr>
        <w:pStyle w:val="ListParagraph"/>
        <w:widowControl w:val="0"/>
        <w:numPr>
          <w:ilvl w:val="0"/>
          <w:numId w:val="13"/>
        </w:numPr>
        <w:tabs>
          <w:tab w:val="left" w:pos="691"/>
        </w:tabs>
        <w:autoSpaceDE w:val="0"/>
        <w:autoSpaceDN w:val="0"/>
        <w:spacing w:line="254" w:lineRule="auto"/>
        <w:ind w:right="173"/>
        <w:rPr>
          <w:color w:val="2F2F2F"/>
          <w:lang w:val="es-ES"/>
        </w:rPr>
      </w:pPr>
      <w:r w:rsidRPr="00505FA0">
        <w:rPr>
          <w:rFonts w:cs="Arial"/>
          <w:lang w:val="es-ES"/>
        </w:rPr>
        <w:t xml:space="preserve">Las </w:t>
      </w:r>
      <w:r w:rsidRPr="00505FA0">
        <w:rPr>
          <w:color w:val="2F2F2F"/>
          <w:w w:val="105"/>
          <w:lang w:val="es-ES"/>
        </w:rPr>
        <w:t xml:space="preserve">organizaciones que representan a los obtentores (ISF, </w:t>
      </w:r>
      <w:r w:rsidRPr="00505FA0">
        <w:rPr>
          <w:color w:val="1A1A1A"/>
          <w:w w:val="105"/>
          <w:lang w:val="es-ES"/>
        </w:rPr>
        <w:t>CIOPORA</w:t>
      </w:r>
      <w:r w:rsidRPr="00505FA0">
        <w:rPr>
          <w:color w:val="4F4F4F"/>
          <w:w w:val="105"/>
          <w:lang w:val="es-ES"/>
        </w:rPr>
        <w:t xml:space="preserve">, </w:t>
      </w:r>
      <w:proofErr w:type="spellStart"/>
      <w:r w:rsidRPr="00505FA0">
        <w:rPr>
          <w:color w:val="2F2F2F"/>
          <w:w w:val="105"/>
          <w:lang w:val="es-ES"/>
        </w:rPr>
        <w:t>Croplife</w:t>
      </w:r>
      <w:proofErr w:type="spellEnd"/>
      <w:r w:rsidRPr="00505FA0">
        <w:rPr>
          <w:color w:val="2F2F2F"/>
          <w:w w:val="105"/>
          <w:lang w:val="es-ES"/>
        </w:rPr>
        <w:t xml:space="preserve"> </w:t>
      </w:r>
      <w:r w:rsidRPr="00505FA0">
        <w:rPr>
          <w:color w:val="1A1A1A"/>
          <w:w w:val="105"/>
          <w:lang w:val="es-ES"/>
        </w:rPr>
        <w:t xml:space="preserve">International, </w:t>
      </w:r>
      <w:proofErr w:type="spellStart"/>
      <w:r w:rsidRPr="00505FA0">
        <w:rPr>
          <w:color w:val="1A1A1A"/>
          <w:w w:val="105"/>
          <w:lang w:val="es-ES"/>
        </w:rPr>
        <w:t>Euroseeds</w:t>
      </w:r>
      <w:proofErr w:type="spellEnd"/>
      <w:r w:rsidRPr="00505FA0">
        <w:rPr>
          <w:color w:val="4F4F4F"/>
          <w:w w:val="105"/>
          <w:lang w:val="es-ES"/>
        </w:rPr>
        <w:t xml:space="preserve">, </w:t>
      </w:r>
      <w:r w:rsidRPr="00505FA0">
        <w:rPr>
          <w:color w:val="2F2F2F"/>
          <w:w w:val="105"/>
          <w:lang w:val="es-ES"/>
        </w:rPr>
        <w:t xml:space="preserve">APSA, AFSTA y </w:t>
      </w:r>
      <w:r w:rsidRPr="00505FA0">
        <w:rPr>
          <w:color w:val="1A1A1A"/>
          <w:w w:val="105"/>
          <w:lang w:val="es-ES"/>
        </w:rPr>
        <w:t>SAA) proporcionarían un texto con una explicación de la importancia de proporcionar una protección eficaz durante el periodo de protección provisional</w:t>
      </w:r>
      <w:r w:rsidR="00122247" w:rsidRPr="00505FA0">
        <w:rPr>
          <w:color w:val="1A1A1A"/>
          <w:w w:val="105"/>
          <w:lang w:val="es-ES"/>
        </w:rPr>
        <w:t>.</w:t>
      </w:r>
    </w:p>
    <w:p w14:paraId="33644CF9" w14:textId="77777777" w:rsidR="00A163A2" w:rsidRPr="00505FA0" w:rsidRDefault="00A163A2" w:rsidP="001D4B4B">
      <w:pPr>
        <w:rPr>
          <w:lang w:val="es-ES"/>
        </w:rPr>
      </w:pPr>
    </w:p>
    <w:p w14:paraId="29E9BE22" w14:textId="77777777" w:rsidR="00EA0FD3" w:rsidRPr="00505FA0" w:rsidRDefault="00EA0FD3" w:rsidP="001D4B4B">
      <w:pPr>
        <w:rPr>
          <w:lang w:val="es-ES"/>
        </w:rPr>
      </w:pPr>
    </w:p>
    <w:p w14:paraId="072FDCE2" w14:textId="77777777" w:rsidR="00544581" w:rsidRPr="00505FA0" w:rsidRDefault="00544581" w:rsidP="00982133">
      <w:pPr>
        <w:rPr>
          <w:lang w:val="es-ES"/>
        </w:rPr>
      </w:pPr>
    </w:p>
    <w:p w14:paraId="5239809C" w14:textId="77777777" w:rsidR="00154004" w:rsidRPr="00505FA0" w:rsidRDefault="00154004" w:rsidP="00982133">
      <w:pPr>
        <w:rPr>
          <w:lang w:val="es-ES"/>
        </w:rPr>
      </w:pPr>
    </w:p>
    <w:p w14:paraId="0307D334" w14:textId="77777777" w:rsidR="00982133" w:rsidRPr="00505FA0" w:rsidRDefault="00982133" w:rsidP="00982133">
      <w:pPr>
        <w:rPr>
          <w:lang w:val="es-ES"/>
        </w:rPr>
      </w:pPr>
    </w:p>
    <w:p w14:paraId="5E3E2AAF" w14:textId="77777777" w:rsidR="00DE5E38" w:rsidRPr="00505FA0" w:rsidRDefault="00C5303F">
      <w:pPr>
        <w:jc w:val="right"/>
        <w:rPr>
          <w:lang w:val="es-ES"/>
        </w:rPr>
      </w:pPr>
      <w:r w:rsidRPr="00505FA0">
        <w:rPr>
          <w:lang w:val="es-ES"/>
        </w:rPr>
        <w:t>[</w:t>
      </w:r>
      <w:r w:rsidR="0030260E" w:rsidRPr="00505FA0">
        <w:rPr>
          <w:lang w:val="es-ES"/>
        </w:rPr>
        <w:t>Sigue el anexo</w:t>
      </w:r>
      <w:r w:rsidRPr="00505FA0">
        <w:rPr>
          <w:lang w:val="es-ES"/>
        </w:rPr>
        <w:t>]</w:t>
      </w:r>
    </w:p>
    <w:p w14:paraId="11F86FA5" w14:textId="77777777" w:rsidR="0030260E" w:rsidRPr="00505FA0" w:rsidRDefault="0030260E" w:rsidP="009B440E">
      <w:pPr>
        <w:jc w:val="left"/>
        <w:rPr>
          <w:lang w:val="es-ES"/>
        </w:rPr>
        <w:sectPr w:rsidR="0030260E" w:rsidRPr="00505FA0" w:rsidSect="00F515AB">
          <w:headerReference w:type="even" r:id="rId9"/>
          <w:headerReference w:type="default" r:id="rId10"/>
          <w:pgSz w:w="11907" w:h="16840" w:code="9"/>
          <w:pgMar w:top="510" w:right="1134" w:bottom="1134" w:left="1134" w:header="510" w:footer="680" w:gutter="0"/>
          <w:cols w:space="720"/>
          <w:titlePg/>
          <w:docGrid w:linePitch="272"/>
        </w:sectPr>
      </w:pPr>
    </w:p>
    <w:p w14:paraId="02DFBEEC" w14:textId="77777777" w:rsidR="00DE5E38" w:rsidRPr="00505FA0" w:rsidRDefault="00C5303F">
      <w:pPr>
        <w:jc w:val="center"/>
        <w:rPr>
          <w:lang w:val="es-ES"/>
        </w:rPr>
      </w:pPr>
      <w:r w:rsidRPr="00505FA0">
        <w:rPr>
          <w:lang w:val="es-ES"/>
        </w:rPr>
        <w:lastRenderedPageBreak/>
        <w:t>(</w:t>
      </w:r>
      <w:proofErr w:type="spellStart"/>
      <w:r w:rsidRPr="00505FA0">
        <w:rPr>
          <w:lang w:val="es-ES"/>
        </w:rPr>
        <w:t>dans</w:t>
      </w:r>
      <w:proofErr w:type="spellEnd"/>
      <w:r w:rsidRPr="00505FA0">
        <w:rPr>
          <w:lang w:val="es-ES"/>
        </w:rPr>
        <w:t xml:space="preserve"> </w:t>
      </w:r>
      <w:proofErr w:type="spellStart"/>
      <w:r w:rsidRPr="00505FA0">
        <w:rPr>
          <w:lang w:val="es-ES"/>
        </w:rPr>
        <w:t>l'ordre</w:t>
      </w:r>
      <w:proofErr w:type="spellEnd"/>
      <w:r w:rsidRPr="00505FA0">
        <w:rPr>
          <w:lang w:val="es-ES"/>
        </w:rPr>
        <w:t xml:space="preserve"> </w:t>
      </w:r>
      <w:proofErr w:type="spellStart"/>
      <w:r w:rsidRPr="00505FA0">
        <w:rPr>
          <w:lang w:val="es-ES"/>
        </w:rPr>
        <w:t>alphabétique</w:t>
      </w:r>
      <w:proofErr w:type="spellEnd"/>
      <w:r w:rsidRPr="00505FA0">
        <w:rPr>
          <w:lang w:val="es-ES"/>
        </w:rPr>
        <w:t xml:space="preserve"> des </w:t>
      </w:r>
      <w:proofErr w:type="spellStart"/>
      <w:r w:rsidRPr="00505FA0">
        <w:rPr>
          <w:lang w:val="es-ES"/>
        </w:rPr>
        <w:t>noms</w:t>
      </w:r>
      <w:proofErr w:type="spellEnd"/>
      <w:r w:rsidRPr="00505FA0">
        <w:rPr>
          <w:lang w:val="es-ES"/>
        </w:rPr>
        <w:t xml:space="preserve"> </w:t>
      </w:r>
      <w:proofErr w:type="spellStart"/>
      <w:r w:rsidRPr="00505FA0">
        <w:rPr>
          <w:lang w:val="es-ES"/>
        </w:rPr>
        <w:t>français</w:t>
      </w:r>
      <w:proofErr w:type="spellEnd"/>
      <w:r w:rsidRPr="00505FA0">
        <w:rPr>
          <w:lang w:val="es-ES"/>
        </w:rPr>
        <w:t xml:space="preserve"> des membres / </w:t>
      </w:r>
      <w:r w:rsidRPr="00505FA0">
        <w:rPr>
          <w:lang w:val="es-ES"/>
        </w:rPr>
        <w:br/>
        <w:t xml:space="preserve">in the </w:t>
      </w:r>
      <w:proofErr w:type="spellStart"/>
      <w:r w:rsidRPr="00505FA0">
        <w:rPr>
          <w:lang w:val="es-ES"/>
        </w:rPr>
        <w:t>alphabetical</w:t>
      </w:r>
      <w:proofErr w:type="spellEnd"/>
      <w:r w:rsidRPr="00505FA0">
        <w:rPr>
          <w:lang w:val="es-ES"/>
        </w:rPr>
        <w:t xml:space="preserve"> </w:t>
      </w:r>
      <w:proofErr w:type="spellStart"/>
      <w:r w:rsidRPr="00505FA0">
        <w:rPr>
          <w:lang w:val="es-ES"/>
        </w:rPr>
        <w:t>order</w:t>
      </w:r>
      <w:proofErr w:type="spellEnd"/>
      <w:r w:rsidRPr="00505FA0">
        <w:rPr>
          <w:lang w:val="es-ES"/>
        </w:rPr>
        <w:t xml:space="preserve"> of the French </w:t>
      </w:r>
      <w:proofErr w:type="spellStart"/>
      <w:r w:rsidRPr="00505FA0">
        <w:rPr>
          <w:lang w:val="es-ES"/>
        </w:rPr>
        <w:t>names</w:t>
      </w:r>
      <w:proofErr w:type="spellEnd"/>
      <w:r w:rsidRPr="00505FA0">
        <w:rPr>
          <w:lang w:val="es-ES"/>
        </w:rPr>
        <w:t xml:space="preserve"> of the </w:t>
      </w:r>
      <w:proofErr w:type="spellStart"/>
      <w:r w:rsidRPr="00505FA0">
        <w:rPr>
          <w:lang w:val="es-ES"/>
        </w:rPr>
        <w:t>members</w:t>
      </w:r>
      <w:proofErr w:type="spellEnd"/>
      <w:r w:rsidRPr="00505FA0">
        <w:rPr>
          <w:lang w:val="es-ES"/>
        </w:rPr>
        <w:t xml:space="preserve"> / </w:t>
      </w:r>
      <w:r w:rsidRPr="00505FA0">
        <w:rPr>
          <w:lang w:val="es-ES"/>
        </w:rPr>
        <w:br/>
        <w:t>por orden alfabético de los nombres en francés de los miembros)</w:t>
      </w:r>
    </w:p>
    <w:p w14:paraId="27E4AF78" w14:textId="77777777" w:rsidR="00C5303F" w:rsidRPr="00ED7C74" w:rsidRDefault="00C5303F" w:rsidP="00C5303F">
      <w:pPr>
        <w:pStyle w:val="plheading"/>
        <w:rPr>
          <w:lang w:val="fr-FR"/>
        </w:rPr>
      </w:pPr>
      <w:r w:rsidRPr="00ED7C74">
        <w:rPr>
          <w:lang w:val="fr-FR"/>
        </w:rPr>
        <w:t>I. MEMBRES / MEMBERS / MIEMBROS</w:t>
      </w:r>
    </w:p>
    <w:p w14:paraId="0B2C58C7" w14:textId="77777777" w:rsidR="00C5303F" w:rsidRPr="00366852" w:rsidRDefault="00C5303F" w:rsidP="00C5303F">
      <w:pPr>
        <w:pStyle w:val="plcountry"/>
        <w:rPr>
          <w:sz w:val="24"/>
          <w:szCs w:val="30"/>
          <w:lang w:val="fr-CH"/>
        </w:rPr>
      </w:pPr>
      <w:r w:rsidRPr="00366852">
        <w:rPr>
          <w:lang w:val="fr-CH"/>
        </w:rPr>
        <w:t>AFRIQUE DU SUD / SOUTH AFRICA / SUDÁFRICA</w:t>
      </w:r>
    </w:p>
    <w:p w14:paraId="3F567707" w14:textId="77777777" w:rsidR="00C5303F" w:rsidRPr="00366852" w:rsidRDefault="00C5303F" w:rsidP="00C5303F">
      <w:pPr>
        <w:pStyle w:val="pldetails"/>
      </w:pPr>
      <w:r w:rsidRPr="00366852">
        <w:t xml:space="preserve">Noluthando NETNOU-NKOANA (Ms.), Director, Genetic Resources, Department of Agriculture, Rural development and Land Reform, Pretoria </w:t>
      </w:r>
      <w:r w:rsidRPr="00366852">
        <w:br/>
        <w:t>(e-mail: noluthandon@daff.gov.za)</w:t>
      </w:r>
    </w:p>
    <w:p w14:paraId="73210BE0" w14:textId="77777777" w:rsidR="00C5303F" w:rsidRPr="00366852" w:rsidRDefault="00C5303F" w:rsidP="00C5303F">
      <w:pPr>
        <w:pStyle w:val="pldetails"/>
      </w:pPr>
      <w:r w:rsidRPr="00366852">
        <w:t xml:space="preserve">Thapelo Martin SEKELE (Mr.), Variety Control Regisration Officer, Scientist Production, Genetic Resources, Plant Breeder's Rights, Department of Agriculture, Land Reform and Rural Deveolpment, Pretoria </w:t>
      </w:r>
      <w:r w:rsidRPr="00366852">
        <w:br/>
        <w:t>(e-mail: ThapeloS@dalrrd.gov.za)</w:t>
      </w:r>
    </w:p>
    <w:p w14:paraId="55D18364" w14:textId="77777777" w:rsidR="00C5303F" w:rsidRPr="00366852" w:rsidRDefault="00C5303F" w:rsidP="00C5303F">
      <w:pPr>
        <w:pStyle w:val="plcountry"/>
        <w:rPr>
          <w:sz w:val="30"/>
          <w:szCs w:val="30"/>
        </w:rPr>
      </w:pPr>
      <w:r w:rsidRPr="00366852">
        <w:t>Allemagne / GERMANY/ Alemania</w:t>
      </w:r>
    </w:p>
    <w:p w14:paraId="61AA6646" w14:textId="77777777" w:rsidR="00C5303F" w:rsidRPr="00366852" w:rsidRDefault="00C5303F" w:rsidP="00C5303F">
      <w:pPr>
        <w:pStyle w:val="pldetails"/>
      </w:pPr>
      <w:r w:rsidRPr="00366852">
        <w:t xml:space="preserve">Beate RÜCKER (Ms.), Head of Division, Federal Plant Variety Office, Bundessortenamt, Hanover </w:t>
      </w:r>
      <w:r w:rsidRPr="00366852">
        <w:br/>
        <w:t>(e-mail: beate.ruecker@bundessortenamt.de)</w:t>
      </w:r>
    </w:p>
    <w:p w14:paraId="61226830" w14:textId="77777777" w:rsidR="00C5303F" w:rsidRPr="00366852" w:rsidRDefault="00C5303F" w:rsidP="00C5303F">
      <w:pPr>
        <w:pStyle w:val="pldetails"/>
      </w:pPr>
      <w:r w:rsidRPr="00366852">
        <w:t xml:space="preserve">Elmar PFÜLB (Mr.), President, Federal Plant Variety Office, Bundessortenamt, Hanover </w:t>
      </w:r>
      <w:r w:rsidRPr="00366852">
        <w:br/>
        <w:t>(e-mail: postfach.praesident@bundessortenamt.de)</w:t>
      </w:r>
    </w:p>
    <w:p w14:paraId="0003F4B3" w14:textId="77777777" w:rsidR="00C5303F" w:rsidRPr="00366852" w:rsidRDefault="00C5303F" w:rsidP="00C5303F">
      <w:pPr>
        <w:pStyle w:val="plcountry"/>
        <w:rPr>
          <w:lang w:val="es-ES"/>
        </w:rPr>
      </w:pPr>
      <w:r w:rsidRPr="00366852">
        <w:rPr>
          <w:lang w:val="es-ES"/>
        </w:rPr>
        <w:t>ARGENTINE / ARGENTINA</w:t>
      </w:r>
    </w:p>
    <w:p w14:paraId="32CF22C9" w14:textId="77777777" w:rsidR="00C5303F" w:rsidRPr="00366852" w:rsidRDefault="00C5303F" w:rsidP="00C5303F">
      <w:pPr>
        <w:pStyle w:val="pldetails"/>
        <w:rPr>
          <w:lang w:val="es-ES"/>
        </w:rPr>
      </w:pPr>
      <w:r w:rsidRPr="00366852">
        <w:rPr>
          <w:lang w:val="es-ES"/>
        </w:rPr>
        <w:t xml:space="preserve">María Laura VILLAMAYOR (Sra.), Coordinadora de Relaciones Institucionales e Interjurisdiccionales, Instituto Nacional de Semillas (INASE), Secretaría de Agricultura, Ganadería, Pesca y Alimentación, Buenos Aires </w:t>
      </w:r>
      <w:r w:rsidRPr="00366852">
        <w:rPr>
          <w:lang w:val="es-ES"/>
        </w:rPr>
        <w:br/>
        <w:t>(e-mail: mlvillamayor@inase.gob.ar)</w:t>
      </w:r>
    </w:p>
    <w:p w14:paraId="4F7655DB" w14:textId="77777777" w:rsidR="00C5303F" w:rsidRPr="00366852" w:rsidRDefault="00C5303F" w:rsidP="00C5303F">
      <w:pPr>
        <w:pStyle w:val="plcountry"/>
      </w:pPr>
      <w:r w:rsidRPr="00366852">
        <w:t>AUSTRALIE / AUSTRALIA</w:t>
      </w:r>
    </w:p>
    <w:p w14:paraId="09C89C40" w14:textId="77777777" w:rsidR="00C5303F" w:rsidRPr="00366852" w:rsidRDefault="00C5303F" w:rsidP="00C5303F">
      <w:pPr>
        <w:pStyle w:val="pldetails"/>
      </w:pPr>
      <w:r w:rsidRPr="00366852">
        <w:t>Isabel Louise WARD (Ms.), Assistant Director, Plant Breeder's Rights, IP Australia, Woden</w:t>
      </w:r>
      <w:r w:rsidRPr="00366852">
        <w:br/>
        <w:t>(e-mail: Isabel.Ward@ipaustralia.gov.au)</w:t>
      </w:r>
    </w:p>
    <w:p w14:paraId="701EEB69" w14:textId="77777777" w:rsidR="00C5303F" w:rsidRPr="00366852" w:rsidRDefault="00C5303F" w:rsidP="00C5303F">
      <w:pPr>
        <w:pStyle w:val="plcountry"/>
        <w:rPr>
          <w:lang w:val="de-DE"/>
        </w:rPr>
      </w:pPr>
      <w:r w:rsidRPr="00366852">
        <w:rPr>
          <w:lang w:val="de-DE"/>
        </w:rPr>
        <w:t>AUTRICHE / AUSTRIA</w:t>
      </w:r>
    </w:p>
    <w:p w14:paraId="6D3A02C5" w14:textId="77777777" w:rsidR="00C5303F" w:rsidRPr="00366852" w:rsidRDefault="00C5303F" w:rsidP="00C5303F">
      <w:pPr>
        <w:pStyle w:val="pldetails"/>
        <w:rPr>
          <w:lang w:val="de-DE"/>
        </w:rPr>
      </w:pPr>
      <w:r w:rsidRPr="00366852">
        <w:rPr>
          <w:lang w:val="de-DE"/>
        </w:rPr>
        <w:t xml:space="preserve">Birgit GULZ-KUSCHER (Ms.), Legal Advisor for Seed Law and Plant Variety Protection Law, Bundesministerium für Land- und Forstwirtschaft, Regionen und Wasserwirtschaft, Wien </w:t>
      </w:r>
      <w:r w:rsidRPr="00366852">
        <w:rPr>
          <w:lang w:val="de-DE"/>
        </w:rPr>
        <w:br/>
        <w:t>(e-mail: birgit.gulz-kuscher@bml.gv.at)</w:t>
      </w:r>
    </w:p>
    <w:p w14:paraId="6589217F" w14:textId="77777777" w:rsidR="00C5303F" w:rsidRPr="00366852" w:rsidRDefault="00C5303F" w:rsidP="00C5303F">
      <w:pPr>
        <w:pStyle w:val="plcountry"/>
        <w:rPr>
          <w:lang w:val="pt-PT"/>
        </w:rPr>
      </w:pPr>
      <w:r w:rsidRPr="00366852">
        <w:rPr>
          <w:lang w:val="pt-PT"/>
        </w:rPr>
        <w:t>BRÉSIL / BRAZIL / BRASIL</w:t>
      </w:r>
    </w:p>
    <w:p w14:paraId="58D6EE8F" w14:textId="77777777" w:rsidR="00C5303F" w:rsidRPr="00366852" w:rsidRDefault="00C5303F" w:rsidP="00C5303F">
      <w:pPr>
        <w:pStyle w:val="pldetails"/>
        <w:rPr>
          <w:lang w:val="pt-BR"/>
        </w:rPr>
      </w:pPr>
      <w:r w:rsidRPr="00366852">
        <w:rPr>
          <w:lang w:val="pt-BR"/>
        </w:rPr>
        <w:t>Stefânia PALMA ARAUJO (Ms.), Coordinator, Plant Variety Protection Office, National Plant Variety Protection Service, Serviço Nacional de Proteção de Cultivares (SNPC), Brasilia</w:t>
      </w:r>
      <w:r w:rsidRPr="00366852">
        <w:rPr>
          <w:lang w:val="pt-BR"/>
        </w:rPr>
        <w:br/>
        <w:t>(e-mail: stefania.araujo@agro.gov.br)</w:t>
      </w:r>
    </w:p>
    <w:p w14:paraId="488AD398" w14:textId="77777777" w:rsidR="00C5303F" w:rsidRPr="00366852" w:rsidRDefault="00C5303F" w:rsidP="00C5303F">
      <w:pPr>
        <w:pStyle w:val="plcountry"/>
        <w:rPr>
          <w:lang w:val="pt-PT"/>
        </w:rPr>
      </w:pPr>
      <w:r w:rsidRPr="00366852">
        <w:rPr>
          <w:lang w:val="pt-PT"/>
        </w:rPr>
        <w:t>CANADA / CANADÁ</w:t>
      </w:r>
    </w:p>
    <w:p w14:paraId="10E43A6D" w14:textId="77777777" w:rsidR="00C5303F" w:rsidRPr="00366852" w:rsidRDefault="00C5303F" w:rsidP="00C5303F">
      <w:pPr>
        <w:pStyle w:val="pldetails"/>
      </w:pPr>
      <w:r w:rsidRPr="00366852">
        <w:t xml:space="preserve">Anthony PARKER (Mr.), Commissioner, Plant Breeders' Rights Office, Canadian Food Inspection Agency (CFIA), Ottawa </w:t>
      </w:r>
      <w:r w:rsidRPr="00366852">
        <w:br/>
        <w:t>(e-mail: anthony.parker@inspection.gc.ca)</w:t>
      </w:r>
    </w:p>
    <w:p w14:paraId="1EA210A9" w14:textId="77777777" w:rsidR="00C5303F" w:rsidRPr="00366852" w:rsidRDefault="00C5303F" w:rsidP="00C5303F">
      <w:pPr>
        <w:pStyle w:val="pldetails"/>
      </w:pPr>
      <w:r w:rsidRPr="00366852">
        <w:t xml:space="preserve">Marc DE WIT (Mr.), Senior Examiner, Plant Breeders' Rights Office, Canadian Food Inspection Agency (CFIA), Ottawa </w:t>
      </w:r>
      <w:r w:rsidRPr="00366852">
        <w:br/>
        <w:t>(e-mail: Marc.deWit@Inspection.gc.ca)</w:t>
      </w:r>
    </w:p>
    <w:p w14:paraId="4A65EB8D" w14:textId="77777777" w:rsidR="00C5303F" w:rsidRPr="00366852" w:rsidRDefault="00C5303F" w:rsidP="00C5303F">
      <w:pPr>
        <w:pStyle w:val="pldetails"/>
      </w:pPr>
      <w:r w:rsidRPr="00366852">
        <w:t xml:space="preserve">Ashley BALCHIN (Ms.), Examiner, Plant Breeders' Rights Office, Canadian Food Inspection Agency (CFIA), Ottawa </w:t>
      </w:r>
      <w:r w:rsidRPr="00366852">
        <w:br/>
        <w:t>(e-mail: ashley.balchin@inspection.gc.ca)</w:t>
      </w:r>
    </w:p>
    <w:p w14:paraId="430A56FD" w14:textId="77777777" w:rsidR="00C5303F" w:rsidRPr="00366852" w:rsidRDefault="00C5303F" w:rsidP="00C5303F">
      <w:pPr>
        <w:pStyle w:val="pldetails"/>
      </w:pPr>
      <w:r w:rsidRPr="00366852">
        <w:t xml:space="preserve">Renée CLOUTIER (Ms.), Examiner, Plant Breeders' Rights Office, Canadian Food Inspection Agency (CFIA), Ottawa </w:t>
      </w:r>
      <w:r w:rsidRPr="00366852">
        <w:br/>
        <w:t>(e-mail: Renee.Cloutier@inspection.gc.ca)</w:t>
      </w:r>
    </w:p>
    <w:p w14:paraId="7EB80EC8" w14:textId="77777777" w:rsidR="00C5303F" w:rsidRPr="00366852" w:rsidRDefault="00C5303F" w:rsidP="00C5303F">
      <w:pPr>
        <w:pStyle w:val="plcountry"/>
        <w:rPr>
          <w:sz w:val="30"/>
          <w:szCs w:val="30"/>
          <w:lang w:val="es-ES_tradnl"/>
        </w:rPr>
      </w:pPr>
      <w:r w:rsidRPr="00366852">
        <w:rPr>
          <w:lang w:val="es-ES_tradnl"/>
        </w:rPr>
        <w:lastRenderedPageBreak/>
        <w:t>Chili / CHILE</w:t>
      </w:r>
    </w:p>
    <w:p w14:paraId="761C1DEB" w14:textId="77777777" w:rsidR="00C5303F" w:rsidRPr="00366852" w:rsidRDefault="00C5303F" w:rsidP="00C5303F">
      <w:pPr>
        <w:pStyle w:val="pldetails"/>
        <w:rPr>
          <w:lang w:val="es-ES"/>
        </w:rPr>
      </w:pPr>
      <w:r w:rsidRPr="00366852">
        <w:rPr>
          <w:lang w:val="es-ES"/>
        </w:rPr>
        <w:t xml:space="preserve">Manuel Antonio TORO UGALDE (Sr.), Jefe Sección, Registro de Variedades Protegidas, Departamento de Semillas y Plantas, Servicio Agrícola y Ganadero (SAG), Santiago de Chile </w:t>
      </w:r>
      <w:r w:rsidRPr="00366852">
        <w:rPr>
          <w:lang w:val="es-ES"/>
        </w:rPr>
        <w:br/>
        <w:t>(e-mail: manuel.toro@sag.gob.cl)</w:t>
      </w:r>
    </w:p>
    <w:p w14:paraId="2FB4A59A" w14:textId="77777777" w:rsidR="00C5303F" w:rsidRPr="00366852" w:rsidRDefault="00C5303F" w:rsidP="00C5303F">
      <w:pPr>
        <w:pStyle w:val="plcountry"/>
      </w:pPr>
      <w:r w:rsidRPr="00366852">
        <w:t>CHINE / CHINA</w:t>
      </w:r>
    </w:p>
    <w:p w14:paraId="4041C7B5" w14:textId="77777777" w:rsidR="00C5303F" w:rsidRPr="00366852" w:rsidRDefault="00C5303F" w:rsidP="00C5303F">
      <w:pPr>
        <w:pStyle w:val="pldetails"/>
      </w:pPr>
      <w:r w:rsidRPr="00366852">
        <w:t xml:space="preserve">Yehan CUI (Mr.), Chief Agronomist, Development Center of Science and Technology (DCST), Ministry of Agriculture and Rural Affairs (MARA), Beijing </w:t>
      </w:r>
      <w:r w:rsidRPr="00366852">
        <w:br/>
        <w:t>(e-mail: cuiyehan@agri.gov.cn)</w:t>
      </w:r>
    </w:p>
    <w:p w14:paraId="36973E86" w14:textId="77777777" w:rsidR="00C5303F" w:rsidRPr="00366852" w:rsidRDefault="00C5303F" w:rsidP="00C5303F">
      <w:pPr>
        <w:pStyle w:val="pldetails"/>
      </w:pPr>
      <w:r w:rsidRPr="00366852">
        <w:t xml:space="preserve">Xiujie ZHANG (Ms.), Division Director, Division of DUS Tests, Development Center of Science and Technology (DCST), Beijing </w:t>
      </w:r>
      <w:r w:rsidRPr="00366852">
        <w:br/>
        <w:t xml:space="preserve">(e-mail: zhxj7410@sina.com) </w:t>
      </w:r>
    </w:p>
    <w:p w14:paraId="6346775D" w14:textId="77777777" w:rsidR="00C5303F" w:rsidRPr="00366852" w:rsidRDefault="00C5303F" w:rsidP="00C5303F">
      <w:pPr>
        <w:pStyle w:val="plcountry"/>
        <w:rPr>
          <w:lang w:val="es-ES"/>
        </w:rPr>
      </w:pPr>
      <w:r w:rsidRPr="00366852">
        <w:rPr>
          <w:lang w:val="es-ES"/>
        </w:rPr>
        <w:t>COLOMBIE / COLOMBIA / COLOMBIA</w:t>
      </w:r>
    </w:p>
    <w:p w14:paraId="215E1F13" w14:textId="77777777" w:rsidR="00C5303F" w:rsidRPr="00366852" w:rsidRDefault="00C5303F" w:rsidP="00C5303F">
      <w:pPr>
        <w:pStyle w:val="pldetails"/>
        <w:rPr>
          <w:lang w:val="pt-BR"/>
        </w:rPr>
      </w:pPr>
      <w:r w:rsidRPr="00366852">
        <w:rPr>
          <w:lang w:val="es-ES"/>
        </w:rPr>
        <w:t xml:space="preserve">Alfonso Alberto ROSERO (Sr.), Director Técnico de Semillas, Subgerencia de Protección Vegetal, Instituto Colombiano Agropecuario (ICA), Bogotá </w:t>
      </w:r>
      <w:r w:rsidRPr="00366852">
        <w:rPr>
          <w:lang w:val="es-ES"/>
        </w:rPr>
        <w:br/>
        <w:t>(e-mail: alberto.rosero@ica.gov.co)</w:t>
      </w:r>
    </w:p>
    <w:p w14:paraId="32DAF225" w14:textId="77777777" w:rsidR="00C5303F" w:rsidRPr="00366852" w:rsidRDefault="00C5303F" w:rsidP="00C5303F">
      <w:pPr>
        <w:pStyle w:val="plcountry"/>
      </w:pPr>
      <w:r w:rsidRPr="00366852">
        <w:t>CROATIE / CROATIA / CROACIA</w:t>
      </w:r>
    </w:p>
    <w:p w14:paraId="148851E8" w14:textId="77777777" w:rsidR="00C5303F" w:rsidRPr="00366852" w:rsidRDefault="00C5303F" w:rsidP="00C5303F">
      <w:pPr>
        <w:pStyle w:val="pldetails"/>
      </w:pPr>
      <w:r w:rsidRPr="00366852">
        <w:t xml:space="preserve">Zeljka CEGUR (Ms.), Head of Department, Department for Plant Reproductive Material, Directorate-General for Agricultural Land, Plant Production and Market, Zagreb </w:t>
      </w:r>
      <w:r w:rsidRPr="00366852">
        <w:br/>
        <w:t>(e-mail: zeljka.cegur@mps.hr)</w:t>
      </w:r>
    </w:p>
    <w:p w14:paraId="4CBAEA4D" w14:textId="77777777" w:rsidR="00C5303F" w:rsidRPr="00366852" w:rsidRDefault="00C5303F" w:rsidP="00C5303F">
      <w:pPr>
        <w:pStyle w:val="plcountry"/>
        <w:rPr>
          <w:lang w:val="es-ES"/>
        </w:rPr>
      </w:pPr>
      <w:r w:rsidRPr="00366852">
        <w:rPr>
          <w:lang w:val="es-ES"/>
        </w:rPr>
        <w:t>ESPAGNE / SPAIN / ESPAÑA</w:t>
      </w:r>
    </w:p>
    <w:p w14:paraId="39BB6E94" w14:textId="77777777" w:rsidR="00C5303F" w:rsidRPr="00366852" w:rsidRDefault="00C5303F" w:rsidP="00C5303F">
      <w:pPr>
        <w:pStyle w:val="pldetails"/>
        <w:rPr>
          <w:lang w:val="es-ES"/>
        </w:rPr>
      </w:pPr>
      <w:r w:rsidRPr="00366852">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366852">
        <w:rPr>
          <w:lang w:val="es-ES"/>
        </w:rPr>
        <w:br/>
        <w:t>(e-mail: jasobrino@mapa.es)</w:t>
      </w:r>
    </w:p>
    <w:p w14:paraId="668DFF1A" w14:textId="77777777" w:rsidR="00C5303F" w:rsidRPr="00366852" w:rsidRDefault="00C5303F" w:rsidP="00C5303F">
      <w:pPr>
        <w:pStyle w:val="pldetails"/>
        <w:rPr>
          <w:lang w:val="pt-BR"/>
        </w:rPr>
      </w:pPr>
      <w:r w:rsidRPr="00366852">
        <w:rPr>
          <w:lang w:val="es-ES"/>
        </w:rPr>
        <w:t xml:space="preserve">Nuria URQUÍA FERNÁNDEZ (Sra.), Jefe de Área de Registro de Variedades, Oficina Española de Variedades Vegetales (MPA y OEVV), Ministerio de Agricultura, Pesca y Alimentación (MAPA), Madrid </w:t>
      </w:r>
      <w:r w:rsidRPr="00366852">
        <w:rPr>
          <w:lang w:val="es-ES"/>
        </w:rPr>
        <w:br/>
        <w:t>(e-mail: nurquia@mapa.es)</w:t>
      </w:r>
    </w:p>
    <w:p w14:paraId="70807264" w14:textId="77777777" w:rsidR="00C5303F" w:rsidRPr="00306442" w:rsidRDefault="00C5303F" w:rsidP="00C5303F">
      <w:pPr>
        <w:pStyle w:val="plcountry"/>
        <w:rPr>
          <w:lang w:val="en-GB"/>
        </w:rPr>
      </w:pPr>
      <w:r w:rsidRPr="00306442">
        <w:rPr>
          <w:lang w:val="en-GB"/>
        </w:rPr>
        <w:t>ÉTATS-UNIS D'AMÉRIQUE / UNITED STATES OF AMERICA / ESTADOS UNIDOS DE AMÉRICA</w:t>
      </w:r>
    </w:p>
    <w:p w14:paraId="0AB16064" w14:textId="77777777" w:rsidR="00C5303F" w:rsidRPr="00366852" w:rsidRDefault="00C5303F" w:rsidP="00C5303F">
      <w:pPr>
        <w:pStyle w:val="pldetails"/>
        <w:rPr>
          <w:lang w:val="pt-BR"/>
        </w:rPr>
      </w:pPr>
      <w:r w:rsidRPr="00366852">
        <w:t xml:space="preserve">Nyeemah GRAZIER (Ms.), Patent Attorney, Office of Policy and International Affairs (OPIA), U.S. Department of Commerce, Alexandria </w:t>
      </w:r>
      <w:r w:rsidRPr="00366852">
        <w:br/>
        <w:t>(e-mail: nyeemah.grazier@uspto.gov)</w:t>
      </w:r>
    </w:p>
    <w:p w14:paraId="51CB8BC2" w14:textId="77777777" w:rsidR="00C5303F" w:rsidRPr="00366852" w:rsidRDefault="00C5303F" w:rsidP="00C5303F">
      <w:pPr>
        <w:pStyle w:val="pldetails"/>
      </w:pPr>
      <w:r w:rsidRPr="00366852">
        <w:t xml:space="preserve">Christian HANNON (Mr.), Senior Patent Attorney, Office of Policy and International Affairs (OPIA), U.S. Department of Commerce, Alexandria </w:t>
      </w:r>
      <w:r w:rsidRPr="00366852">
        <w:br/>
        <w:t>(e-mail: christian.hannon@uspto.gov)</w:t>
      </w:r>
    </w:p>
    <w:p w14:paraId="08BD6A7F" w14:textId="77777777" w:rsidR="00C5303F" w:rsidRPr="00366852" w:rsidRDefault="00C5303F" w:rsidP="00C5303F">
      <w:pPr>
        <w:pStyle w:val="pldetails"/>
        <w:rPr>
          <w:lang w:val="pt-BR"/>
        </w:rPr>
      </w:pPr>
      <w:r w:rsidRPr="00366852">
        <w:t xml:space="preserve">Ruihong GUO (Ms.), Deputy Administrator, AMS, Science &amp; Technology Program, United States Department of Agriculture (USDA), Washington D.C. </w:t>
      </w:r>
      <w:r w:rsidRPr="00366852">
        <w:br/>
        <w:t>(e-mail: ruihong.guo@usda.gov)</w:t>
      </w:r>
    </w:p>
    <w:p w14:paraId="65AB3585" w14:textId="77777777" w:rsidR="00C5303F" w:rsidRPr="00366852" w:rsidRDefault="00C5303F" w:rsidP="00C5303F">
      <w:pPr>
        <w:pStyle w:val="pldetails"/>
      </w:pPr>
      <w:r w:rsidRPr="00366852">
        <w:t xml:space="preserve">Florence DOVAL (Ms.), Foreign Affairs Officer, Office of Intellectual Property Enforcement, U.S. Department of State, Washington D.C. </w:t>
      </w:r>
      <w:r w:rsidRPr="00366852">
        <w:br/>
        <w:t>(e-mail: DovalF@state.gov)</w:t>
      </w:r>
    </w:p>
    <w:p w14:paraId="74310FAC" w14:textId="77777777" w:rsidR="00C5303F" w:rsidRPr="00306442" w:rsidRDefault="00C5303F" w:rsidP="00C5303F">
      <w:pPr>
        <w:pStyle w:val="plcountry"/>
        <w:rPr>
          <w:lang w:val="en-GB"/>
        </w:rPr>
      </w:pPr>
      <w:r w:rsidRPr="00306442">
        <w:rPr>
          <w:lang w:val="en-GB"/>
        </w:rPr>
        <w:t>FÉDÉRATION DE RUSSIE / RUSSIAN FEDERATION / FEDERACIÓN DE RUSIA</w:t>
      </w:r>
    </w:p>
    <w:p w14:paraId="193329F4" w14:textId="77777777" w:rsidR="00C5303F" w:rsidRPr="00366852" w:rsidRDefault="00C5303F" w:rsidP="00C5303F">
      <w:pPr>
        <w:pStyle w:val="pldetails"/>
      </w:pPr>
      <w:r w:rsidRPr="00366852">
        <w:t>Olga PANTELEEVA (Ms.), Counsellor, Embassy of the Russian Federation, Bern</w:t>
      </w:r>
      <w:r w:rsidRPr="00366852">
        <w:br/>
        <w:t>(e-mail: o.panteleyeva@mcx.gov.ru)</w:t>
      </w:r>
    </w:p>
    <w:p w14:paraId="5ADD41D7" w14:textId="77777777" w:rsidR="00C5303F" w:rsidRPr="00366852" w:rsidRDefault="00C5303F" w:rsidP="00C5303F">
      <w:pPr>
        <w:pStyle w:val="plcountry"/>
      </w:pPr>
      <w:r w:rsidRPr="00366852">
        <w:t>GHANA</w:t>
      </w:r>
    </w:p>
    <w:p w14:paraId="7533CAE4" w14:textId="77777777" w:rsidR="00C5303F" w:rsidRPr="00366852" w:rsidRDefault="00C5303F" w:rsidP="00C5303F">
      <w:pPr>
        <w:pStyle w:val="pldetails"/>
      </w:pPr>
      <w:r w:rsidRPr="00366852">
        <w:t xml:space="preserve">Diana Asonoba DAPAAH (Ms.), Deputy Attorney General and Deputy Minister of Justice, Office of the Attorney General and Ministry of Justice, Accra </w:t>
      </w:r>
      <w:r w:rsidRPr="00366852">
        <w:br/>
        <w:t>(e-mail: diana.dapaah@mojagd.gov.gh)</w:t>
      </w:r>
    </w:p>
    <w:p w14:paraId="5EFB7B59" w14:textId="77777777" w:rsidR="00C5303F" w:rsidRPr="00366852" w:rsidRDefault="00C5303F" w:rsidP="00C5303F">
      <w:pPr>
        <w:pStyle w:val="pldetails"/>
      </w:pPr>
      <w:r w:rsidRPr="00366852">
        <w:t xml:space="preserve">Teddy EDU-YAW (Mr.), Principal IT/IM Officer, Registrar-General’s Department, Ministry of Justice, Accra </w:t>
      </w:r>
      <w:r w:rsidRPr="00366852">
        <w:br/>
        <w:t>(e-mail: eduyaw@gmail.com)</w:t>
      </w:r>
    </w:p>
    <w:p w14:paraId="70B7DC2C" w14:textId="77777777" w:rsidR="00C5303F" w:rsidRPr="00366852" w:rsidRDefault="00C5303F" w:rsidP="00C5303F">
      <w:pPr>
        <w:pStyle w:val="pldetails"/>
      </w:pPr>
      <w:r w:rsidRPr="00366852">
        <w:lastRenderedPageBreak/>
        <w:t>Audrey NEEQUAYE (Ms.), First Secretary, Permanent Mission, Geneva</w:t>
      </w:r>
      <w:r w:rsidRPr="00366852">
        <w:br/>
        <w:t>(e-mail: neequayea@ghanamission.ch)</w:t>
      </w:r>
    </w:p>
    <w:p w14:paraId="588671D4" w14:textId="77777777" w:rsidR="00C5303F" w:rsidRPr="00366852" w:rsidRDefault="00C5303F" w:rsidP="00C5303F">
      <w:pPr>
        <w:pStyle w:val="plcountry"/>
        <w:rPr>
          <w:sz w:val="30"/>
          <w:szCs w:val="30"/>
        </w:rPr>
      </w:pPr>
      <w:bookmarkStart w:id="2" w:name="_Hlk149149786"/>
      <w:r w:rsidRPr="00366852">
        <w:t>ISRAËL / ISRAEL</w:t>
      </w:r>
    </w:p>
    <w:p w14:paraId="38C9B6F2" w14:textId="77777777" w:rsidR="00C5303F" w:rsidRPr="00366852" w:rsidRDefault="00C5303F" w:rsidP="00C5303F">
      <w:pPr>
        <w:pStyle w:val="pldetails"/>
      </w:pPr>
      <w:r w:rsidRPr="00366852">
        <w:t xml:space="preserve">Dikla DABBY-NAOR (Ms.), Chairperson, Plant Breeders' Rights Council, Ministry of Agriculture and Rural Development, Beit-Dagan </w:t>
      </w:r>
      <w:r w:rsidRPr="00366852">
        <w:br/>
        <w:t>(e-mail: diklad@moag.gov.il)</w:t>
      </w:r>
    </w:p>
    <w:bookmarkEnd w:id="2"/>
    <w:p w14:paraId="2D7C2F17" w14:textId="77777777" w:rsidR="00C5303F" w:rsidRPr="00366852" w:rsidRDefault="00C5303F" w:rsidP="00C5303F">
      <w:pPr>
        <w:pStyle w:val="plcountry"/>
      </w:pPr>
      <w:r w:rsidRPr="00366852">
        <w:t>Italie / italy / italien / italia</w:t>
      </w:r>
    </w:p>
    <w:p w14:paraId="102762A5" w14:textId="77777777" w:rsidR="00C5303F" w:rsidRPr="00366852" w:rsidRDefault="00C5303F" w:rsidP="00C5303F">
      <w:pPr>
        <w:pStyle w:val="pldetails"/>
      </w:pPr>
      <w:r w:rsidRPr="00366852">
        <w:t xml:space="preserve">Alessandro FARACI (Mr.), Patents Examiner, Italian Patent and Trademark Office, Ministry of Enterprises and Made in Italy, Roma </w:t>
      </w:r>
      <w:r w:rsidRPr="00366852">
        <w:br/>
        <w:t>(e-mail: alessandro.faraci@mise.gov.it)</w:t>
      </w:r>
    </w:p>
    <w:p w14:paraId="52000CE3" w14:textId="77777777" w:rsidR="00C5303F" w:rsidRPr="00366852" w:rsidRDefault="00C5303F" w:rsidP="00C5303F">
      <w:pPr>
        <w:pStyle w:val="plcountry"/>
      </w:pPr>
      <w:r w:rsidRPr="00366852">
        <w:t>JAPON / JAPAN / JAPÓN</w:t>
      </w:r>
    </w:p>
    <w:p w14:paraId="66FB3C1A" w14:textId="77777777" w:rsidR="00C5303F" w:rsidRPr="00366852" w:rsidRDefault="00C5303F" w:rsidP="00C5303F">
      <w:pPr>
        <w:pStyle w:val="pldetails"/>
      </w:pPr>
      <w:r w:rsidRPr="00366852">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366852">
        <w:br/>
        <w:t>(e-mail: minori_hagiwara110@maff.go.jp)</w:t>
      </w:r>
    </w:p>
    <w:p w14:paraId="4F3D90E7" w14:textId="77777777" w:rsidR="00C5303F" w:rsidRPr="00366852" w:rsidRDefault="00C5303F" w:rsidP="00C5303F">
      <w:pPr>
        <w:pStyle w:val="plcountry"/>
        <w:rPr>
          <w:sz w:val="30"/>
          <w:szCs w:val="30"/>
        </w:rPr>
      </w:pPr>
      <w:r w:rsidRPr="00366852">
        <w:t>NORVÈGE / NORWAY / Noruega</w:t>
      </w:r>
    </w:p>
    <w:p w14:paraId="07ECD77F" w14:textId="77777777" w:rsidR="00C5303F" w:rsidRPr="00366852" w:rsidRDefault="00C5303F" w:rsidP="00C5303F">
      <w:pPr>
        <w:pStyle w:val="pldetails"/>
      </w:pPr>
      <w:r w:rsidRPr="00366852">
        <w:t xml:space="preserve">Pia BORG (Ms.), Senior Advisor, Norwegian Food Safety Authority, Brumunddal </w:t>
      </w:r>
      <w:r w:rsidRPr="00366852">
        <w:br/>
        <w:t>(e-mail: pia.borg@mattilsynet.no)</w:t>
      </w:r>
    </w:p>
    <w:p w14:paraId="2413D3FE" w14:textId="77777777" w:rsidR="00C5303F" w:rsidRPr="00306442" w:rsidRDefault="00C5303F" w:rsidP="00C5303F">
      <w:pPr>
        <w:pStyle w:val="plcountry"/>
        <w:rPr>
          <w:lang w:val="en-GB"/>
        </w:rPr>
      </w:pPr>
      <w:r w:rsidRPr="00306442">
        <w:rPr>
          <w:lang w:val="en-GB"/>
        </w:rPr>
        <w:t>NOUVELLE-ZÉLANDE / NEW ZEALAND / NUEVA ZELANDIA</w:t>
      </w:r>
    </w:p>
    <w:p w14:paraId="27B87B3C" w14:textId="77777777" w:rsidR="00C5303F" w:rsidRPr="00366852" w:rsidRDefault="00C5303F" w:rsidP="00C5303F">
      <w:pPr>
        <w:pStyle w:val="pldetails"/>
      </w:pPr>
      <w:r w:rsidRPr="00366852">
        <w:t xml:space="preserve">Christopher James BARNABY (Mr.), PVR Manager / Assistant Commissioner, Plant Variety Rights Office, Intellectual Property Office of New Zealand, Ministry of Economic Development, Christchurch </w:t>
      </w:r>
      <w:r w:rsidRPr="00366852">
        <w:br/>
        <w:t>(e-mail: Chris.Barnaby@pvr.govt.nz)</w:t>
      </w:r>
    </w:p>
    <w:p w14:paraId="6B5C7CF8" w14:textId="77777777" w:rsidR="00C5303F" w:rsidRPr="00366852" w:rsidRDefault="00C5303F" w:rsidP="00C5303F">
      <w:pPr>
        <w:pStyle w:val="pldetails"/>
      </w:pPr>
      <w:r w:rsidRPr="00366852">
        <w:t xml:space="preserve">Cecilia REQUEJO-JACKMAN (Ms.), Senior Plant Variety Rights Examiner, Plant Variety Rights Office, Intellectual Property Office of New Zealand, Ministry of Economic Development, Christchurch </w:t>
      </w:r>
      <w:r w:rsidRPr="00366852">
        <w:br/>
        <w:t>(e-mail: Cecilia.R-Jackman@pvr.govt.nz)</w:t>
      </w:r>
    </w:p>
    <w:p w14:paraId="56331D92" w14:textId="77777777" w:rsidR="00C5303F" w:rsidRPr="00366852" w:rsidRDefault="00C5303F" w:rsidP="00C5303F">
      <w:pPr>
        <w:pStyle w:val="plcountry"/>
      </w:pPr>
      <w:r w:rsidRPr="00366852">
        <w:t>PAYS-BAS / NETHERLANDS / PAÍSES BAJOS</w:t>
      </w:r>
    </w:p>
    <w:p w14:paraId="02023E0A" w14:textId="77777777" w:rsidR="00C5303F" w:rsidRPr="00366852" w:rsidRDefault="00C5303F" w:rsidP="00C5303F">
      <w:pPr>
        <w:pStyle w:val="pldetails"/>
      </w:pPr>
      <w:r w:rsidRPr="00366852">
        <w:t xml:space="preserve">Kees Jan GROENEWOUD (Mr.), Secretary, Board for Plant Varieties (Raad voor plantenrassen), Roelofarendsveen </w:t>
      </w:r>
      <w:r w:rsidRPr="00366852">
        <w:br/>
        <w:t>(e-mail: c.j.a.groenewoud@raadvoorplantenrassen.nl)</w:t>
      </w:r>
    </w:p>
    <w:p w14:paraId="2B12AA80" w14:textId="77777777" w:rsidR="00C5303F" w:rsidRPr="00366852" w:rsidRDefault="00C5303F" w:rsidP="00C5303F">
      <w:pPr>
        <w:pStyle w:val="pldetails"/>
      </w:pPr>
      <w:r w:rsidRPr="00366852">
        <w:t xml:space="preserve">Bernadette REGEER (Ms.), Coordinating policy advisor, Phytosanitary Affairs and Propagating material, DG Agro &amp; Nature, Ministry of Agriculture, Nature and Food Quality, Den Haag </w:t>
      </w:r>
      <w:r w:rsidRPr="00366852">
        <w:br/>
        <w:t>(e-mail: b.regeer@minlnv.nl)</w:t>
      </w:r>
    </w:p>
    <w:p w14:paraId="0623B212" w14:textId="77777777" w:rsidR="00C5303F" w:rsidRPr="00366852" w:rsidRDefault="00C5303F" w:rsidP="00C5303F">
      <w:pPr>
        <w:pStyle w:val="plcountry"/>
        <w:rPr>
          <w:lang w:val="es-ES"/>
        </w:rPr>
      </w:pPr>
      <w:r w:rsidRPr="00366852">
        <w:rPr>
          <w:lang w:val="es-ES"/>
        </w:rPr>
        <w:t>PÉROU / PERU / PERÚ</w:t>
      </w:r>
    </w:p>
    <w:p w14:paraId="2272FE2F" w14:textId="77777777" w:rsidR="00C5303F" w:rsidRPr="00366852" w:rsidRDefault="00C5303F" w:rsidP="00C5303F">
      <w:pPr>
        <w:pStyle w:val="pldetails"/>
        <w:rPr>
          <w:lang w:val="es-ES"/>
        </w:rPr>
      </w:pPr>
      <w:r w:rsidRPr="00366852">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sidRPr="00366852">
        <w:rPr>
          <w:lang w:val="es-ES"/>
        </w:rPr>
        <w:br/>
        <w:t>(e-mail: squinteros@indecopi.gob.pe)</w:t>
      </w:r>
    </w:p>
    <w:p w14:paraId="308E19E8" w14:textId="77777777" w:rsidR="00C5303F" w:rsidRPr="00306442" w:rsidRDefault="00C5303F" w:rsidP="00C5303F">
      <w:pPr>
        <w:pStyle w:val="plcountry"/>
        <w:rPr>
          <w:lang w:val="en-GB"/>
        </w:rPr>
      </w:pPr>
      <w:r w:rsidRPr="00306442">
        <w:rPr>
          <w:lang w:val="en-GB"/>
        </w:rPr>
        <w:t>RÉPUBLIQUE DE CORÉE / REPUBLIC of korea / REPÚBLICA de corea</w:t>
      </w:r>
    </w:p>
    <w:p w14:paraId="5684A209" w14:textId="77777777" w:rsidR="00C5303F" w:rsidRPr="00366852" w:rsidRDefault="00C5303F" w:rsidP="00C5303F">
      <w:pPr>
        <w:pStyle w:val="pldetails"/>
      </w:pPr>
      <w:r w:rsidRPr="00366852">
        <w:t xml:space="preserve">Yong Seok JANG (Mr.), Deputy Director, Plant Variety Protection Division, National Forest Seed Variety Center (NFSV), Chungcheongbukdo </w:t>
      </w:r>
      <w:r w:rsidRPr="00366852">
        <w:br/>
        <w:t xml:space="preserve">(e-mail: mushrm@korea.kr) </w:t>
      </w:r>
    </w:p>
    <w:p w14:paraId="39491B6C" w14:textId="77777777" w:rsidR="00C5303F" w:rsidRPr="00366852" w:rsidRDefault="00C5303F" w:rsidP="00C5303F">
      <w:pPr>
        <w:pStyle w:val="pldetails"/>
      </w:pPr>
      <w:r w:rsidRPr="00366852">
        <w:t xml:space="preserve">Tae Hoon KIM (Mr.), Senior Forest Researcher, Examiner, National Forest Seed Variety Center (NFSV), Chungcheongbuk-do </w:t>
      </w:r>
      <w:r w:rsidRPr="00366852">
        <w:br/>
        <w:t>(e-mail: algae23@korea.kr)</w:t>
      </w:r>
    </w:p>
    <w:p w14:paraId="44ADC424" w14:textId="77777777" w:rsidR="00C5303F" w:rsidRPr="00366852" w:rsidRDefault="00C5303F" w:rsidP="00C5303F">
      <w:pPr>
        <w:pStyle w:val="pldetails"/>
      </w:pPr>
      <w:r w:rsidRPr="00366852">
        <w:t xml:space="preserve">Won-Bum CHO (Mr.), Forest Researcher, Plant Variety Protection Division, National Forest Seed Variety Center (NFSV), Chungcheongbuk-do </w:t>
      </w:r>
      <w:r w:rsidRPr="00366852">
        <w:br/>
        <w:t xml:space="preserve">(e-mail: rudis99@korea.kr) </w:t>
      </w:r>
    </w:p>
    <w:p w14:paraId="594A84F9" w14:textId="77777777" w:rsidR="00C5303F" w:rsidRPr="00366852" w:rsidRDefault="00C5303F" w:rsidP="00C5303F">
      <w:pPr>
        <w:pStyle w:val="pldetails"/>
      </w:pPr>
      <w:r w:rsidRPr="00366852">
        <w:t xml:space="preserve">Hwan-Su HWANG (Mr.), Forest Researcher, Plant Variety Protection Division, National Forest Seed Variety Center, Korea Forest Service, Chungcheongbuk-do </w:t>
      </w:r>
      <w:r w:rsidRPr="00366852">
        <w:br/>
        <w:t>(e-mail: hwansu3368@korea.kr)</w:t>
      </w:r>
    </w:p>
    <w:p w14:paraId="1ADC33E1" w14:textId="77777777" w:rsidR="00C5303F" w:rsidRPr="00366852" w:rsidRDefault="00C5303F" w:rsidP="00C5303F">
      <w:pPr>
        <w:pStyle w:val="pldetails"/>
      </w:pPr>
      <w:r w:rsidRPr="00366852">
        <w:lastRenderedPageBreak/>
        <w:t xml:space="preserve">Kwanghong LEE (Mr.), Researcher, Korea Seed and Variety Service (KSVS), Gimcheon City </w:t>
      </w:r>
      <w:r w:rsidRPr="00366852">
        <w:br/>
        <w:t>(e-mail: grin@korea.kr)</w:t>
      </w:r>
    </w:p>
    <w:p w14:paraId="0CBEF60A" w14:textId="77777777" w:rsidR="00C5303F" w:rsidRPr="00366852" w:rsidRDefault="00C5303F" w:rsidP="00C5303F">
      <w:pPr>
        <w:pStyle w:val="plcountry"/>
        <w:rPr>
          <w:lang w:val="pt-BR"/>
        </w:rPr>
      </w:pPr>
      <w:bookmarkStart w:id="3" w:name="_Hlk149149558"/>
      <w:r w:rsidRPr="00366852">
        <w:rPr>
          <w:lang w:val="pt-BR"/>
        </w:rPr>
        <w:t xml:space="preserve">RÉPUBLIQUE Dominicaine / dominican REPUBLIC / dominikanische REPUBLIK / </w:t>
      </w:r>
      <w:r w:rsidRPr="00366852">
        <w:rPr>
          <w:lang w:val="pt-BR"/>
        </w:rPr>
        <w:br/>
        <w:t>REPÚBLICA Dominicana</w:t>
      </w:r>
    </w:p>
    <w:p w14:paraId="14F1930F" w14:textId="77777777" w:rsidR="00C5303F" w:rsidRPr="00366852" w:rsidRDefault="00C5303F" w:rsidP="00C5303F">
      <w:pPr>
        <w:pStyle w:val="pldetails"/>
        <w:rPr>
          <w:lang w:val="es-ES"/>
        </w:rPr>
      </w:pPr>
      <w:r w:rsidRPr="00366852">
        <w:rPr>
          <w:lang w:val="es-ES"/>
        </w:rPr>
        <w:t xml:space="preserve">Octavio Augusto BERAS-GOICO JUSTINIANO (Sr.), Encargado del Departamento Legal, Oficina de Registro de Variedades y Obtenciones Vegetales (OREVADO), Santo Domingo </w:t>
      </w:r>
      <w:r w:rsidRPr="00366852">
        <w:rPr>
          <w:lang w:val="es-ES"/>
        </w:rPr>
        <w:br/>
        <w:t xml:space="preserve">(e-mail: </w:t>
      </w:r>
      <w:r w:rsidRPr="00EC1BE8">
        <w:rPr>
          <w:lang w:val="es-ES"/>
        </w:rPr>
        <w:t>ota470@gmail.com</w:t>
      </w:r>
      <w:r w:rsidRPr="00366852">
        <w:rPr>
          <w:lang w:val="es-ES"/>
        </w:rPr>
        <w:t>)</w:t>
      </w:r>
    </w:p>
    <w:bookmarkEnd w:id="3"/>
    <w:p w14:paraId="12A36D7C" w14:textId="77777777" w:rsidR="00C5303F" w:rsidRPr="00366852" w:rsidRDefault="00C5303F" w:rsidP="00C5303F">
      <w:pPr>
        <w:pStyle w:val="plcountry"/>
        <w:rPr>
          <w:lang w:val="fr-CH"/>
        </w:rPr>
      </w:pPr>
      <w:r w:rsidRPr="00366852">
        <w:rPr>
          <w:lang w:val="fr-CH"/>
        </w:rPr>
        <w:t>RÉPUBLIQUE TCHÈQUE / CZECH REPUBLIC / REPÚBLICA CHECA</w:t>
      </w:r>
    </w:p>
    <w:p w14:paraId="22ABE904" w14:textId="77777777" w:rsidR="00C5303F" w:rsidRPr="00366852" w:rsidRDefault="00C5303F" w:rsidP="00C5303F">
      <w:pPr>
        <w:pStyle w:val="pldetails"/>
      </w:pPr>
      <w:r w:rsidRPr="00366852">
        <w:t xml:space="preserve">Pavla BÍMOVÁ (Ms.), General affairs of DUS testing, National Plant Variety Office, Central Institute for Supervising and Testing in Agriculture (ÚKZÚZ), Brno </w:t>
      </w:r>
      <w:r w:rsidRPr="00366852">
        <w:br/>
        <w:t>(e-mail: pavla.bimova@ukzuz.cz)</w:t>
      </w:r>
    </w:p>
    <w:p w14:paraId="3817166B" w14:textId="77777777" w:rsidR="00C5303F" w:rsidRPr="00366852" w:rsidRDefault="00C5303F" w:rsidP="00C5303F">
      <w:pPr>
        <w:pStyle w:val="pldetails"/>
      </w:pPr>
      <w:r w:rsidRPr="00366852">
        <w:t xml:space="preserve">Lenka CLOWEZOVÁ (Ms.), State official, Plant Commodities Department,, Ministry of Agriculture, Praha </w:t>
      </w:r>
      <w:r w:rsidRPr="00366852">
        <w:br/>
        <w:t>(e-mail: lenka.clowezova@mze.cz)</w:t>
      </w:r>
    </w:p>
    <w:p w14:paraId="68C3EA26" w14:textId="77777777" w:rsidR="00C5303F" w:rsidRPr="00366852" w:rsidRDefault="00C5303F" w:rsidP="00C5303F">
      <w:pPr>
        <w:pStyle w:val="plcountry"/>
        <w:ind w:right="-284"/>
        <w:rPr>
          <w:lang w:val="es-ES"/>
        </w:rPr>
      </w:pPr>
      <w:r w:rsidRPr="00366852">
        <w:rPr>
          <w:lang w:val="es-ES"/>
        </w:rPr>
        <w:t>RÉPUBLIQUE-UNIE DE TANZANIE / UNITED REPUBLIC OF TANZANIA / REPÚBLICA UNIDA DE TANZANÍA</w:t>
      </w:r>
    </w:p>
    <w:p w14:paraId="3EFAA77F" w14:textId="77777777" w:rsidR="00C5303F" w:rsidRPr="00366852" w:rsidRDefault="00C5303F" w:rsidP="00C5303F">
      <w:pPr>
        <w:pStyle w:val="pldetails"/>
      </w:pPr>
      <w:r w:rsidRPr="00366852">
        <w:t xml:space="preserve">Patrick NGWEDIAGI (Mr.), Director General, Tanzania Official Seed Certification Institute (TOSCI), Morogoro </w:t>
      </w:r>
      <w:r w:rsidRPr="00366852">
        <w:br/>
        <w:t>(e-mail: dg@tosci.go.tz)</w:t>
      </w:r>
    </w:p>
    <w:p w14:paraId="30F877FF" w14:textId="77777777" w:rsidR="00C5303F" w:rsidRPr="00366852" w:rsidRDefault="00C5303F" w:rsidP="00C5303F">
      <w:pPr>
        <w:pStyle w:val="pldetails"/>
      </w:pPr>
      <w:r w:rsidRPr="00366852">
        <w:t xml:space="preserve">Twalib Mustafa NJOHOLE (Mr.), Registrar of Plant Breeders' Rights, Plant Breeders Rights' Office, Ministry of Agriculture (MoA), Dodoma </w:t>
      </w:r>
      <w:r w:rsidRPr="00366852">
        <w:br/>
        <w:t>(e-mail: twalib.njohole@kilimo.go.tz)</w:t>
      </w:r>
    </w:p>
    <w:p w14:paraId="472048B4" w14:textId="77777777" w:rsidR="00C5303F" w:rsidRPr="00366852" w:rsidRDefault="00C5303F" w:rsidP="00C5303F">
      <w:pPr>
        <w:pStyle w:val="plcountry"/>
      </w:pPr>
      <w:r w:rsidRPr="00366852">
        <w:t>ROYAUME-UNI / UNITED KINGDOM / reino unido</w:t>
      </w:r>
    </w:p>
    <w:p w14:paraId="3C91FDC7" w14:textId="77777777" w:rsidR="00C5303F" w:rsidRPr="00366852" w:rsidRDefault="00C5303F" w:rsidP="00C5303F">
      <w:pPr>
        <w:pStyle w:val="pldetails"/>
      </w:pPr>
      <w:r w:rsidRPr="00366852">
        <w:t xml:space="preserve">Kat DEEKS (Ms.), Plant Variety and seeds policy Team Leader, Department for Environment, Food and Rural Affairs (Defra), Cambridge </w:t>
      </w:r>
      <w:r w:rsidRPr="00366852">
        <w:br/>
        <w:t>(e-mail: katherine.deeks@defra.gov.uk)</w:t>
      </w:r>
    </w:p>
    <w:p w14:paraId="47C193B5" w14:textId="77777777" w:rsidR="00C5303F" w:rsidRPr="00366852" w:rsidRDefault="00C5303F" w:rsidP="00C5303F">
      <w:pPr>
        <w:pStyle w:val="pldetails"/>
      </w:pPr>
      <w:bookmarkStart w:id="4" w:name="_Hlk148608195"/>
      <w:r w:rsidRPr="00366852">
        <w:t xml:space="preserve">Joanne JURY (Ms.), Policy Officer, Department for Environment, Food &amp; Rural Affairs (DEFRA), London </w:t>
      </w:r>
      <w:r w:rsidRPr="00366852">
        <w:br/>
        <w:t>(e-mail: Joanne.Jury@defra.gov.uk)</w:t>
      </w:r>
    </w:p>
    <w:bookmarkEnd w:id="4"/>
    <w:p w14:paraId="684C6D7A" w14:textId="77777777" w:rsidR="00C5303F" w:rsidRPr="00366852" w:rsidRDefault="00C5303F" w:rsidP="00C5303F">
      <w:pPr>
        <w:pStyle w:val="pldetails"/>
      </w:pPr>
      <w:r w:rsidRPr="00366852">
        <w:t xml:space="preserve">Michael BROWN (Mr.), Head of Plant Variety and Seeds (PVS), Animal and Plant Health Agency (APHA), Cambridge </w:t>
      </w:r>
      <w:r w:rsidRPr="00366852">
        <w:br/>
        <w:t>(e-mail: Michael.Brown@apha.gov.uk)</w:t>
      </w:r>
    </w:p>
    <w:p w14:paraId="5710E2A5" w14:textId="77777777" w:rsidR="00C5303F" w:rsidRPr="00366852" w:rsidRDefault="00C5303F" w:rsidP="00C5303F">
      <w:pPr>
        <w:pStyle w:val="pldetails"/>
      </w:pPr>
      <w:r w:rsidRPr="00366852">
        <w:t xml:space="preserve">Sigurd RAMANS-HARBOROUGH (Mr.), Manager of UK Variety Listing and PBR, Plant Varieties and Seeds, Animal and Plant Health Agency (APHA), Department for Environment, Food and Rural Affairs (DEFRA), Cambridge </w:t>
      </w:r>
      <w:r w:rsidRPr="00366852">
        <w:br/>
        <w:t>(e-mail: Sigurd.Ramans-Harborough@defra.gov.uk)</w:t>
      </w:r>
    </w:p>
    <w:p w14:paraId="3DD3C169" w14:textId="77777777" w:rsidR="00C5303F" w:rsidRPr="00366852" w:rsidRDefault="00C5303F" w:rsidP="00C5303F">
      <w:pPr>
        <w:pStyle w:val="pldetails"/>
      </w:pPr>
      <w:r w:rsidRPr="00366852">
        <w:t xml:space="preserve">Hilary PAPWORTH (Ms.), Senior Technical Manager, NIAB, Cambridge </w:t>
      </w:r>
      <w:r w:rsidRPr="00366852">
        <w:br/>
        <w:t>(e-mail: hilary.papworth@niab.com)</w:t>
      </w:r>
    </w:p>
    <w:p w14:paraId="7FAFC171" w14:textId="77777777" w:rsidR="00C5303F" w:rsidRPr="00366852" w:rsidRDefault="00C5303F" w:rsidP="00C5303F">
      <w:pPr>
        <w:pStyle w:val="plcountry"/>
      </w:pPr>
      <w:r w:rsidRPr="00366852">
        <w:t>SERBIE / SERBIA / SERBIEN / SERBIA</w:t>
      </w:r>
    </w:p>
    <w:p w14:paraId="149D0643" w14:textId="77777777" w:rsidR="00C5303F" w:rsidRPr="00366852" w:rsidRDefault="00C5303F" w:rsidP="00C5303F">
      <w:pPr>
        <w:pStyle w:val="pldetails"/>
      </w:pPr>
      <w:r w:rsidRPr="00366852">
        <w:t xml:space="preserve">Gordana LONCAR (Ms.), Senior Adviser for Plant Variety protection, Plant Protection Directorate, Group for Plant Variety Protection and Biosafety, Ministry of Agriculture, Forestry and Water Management, Belgrade </w:t>
      </w:r>
      <w:r w:rsidRPr="00366852">
        <w:br/>
        <w:t>(e-mail: gordana.loncar@minpolj.gov.rs)</w:t>
      </w:r>
    </w:p>
    <w:p w14:paraId="6705F5B4" w14:textId="77777777" w:rsidR="00C5303F" w:rsidRPr="00366852" w:rsidRDefault="00C5303F" w:rsidP="00C5303F">
      <w:pPr>
        <w:pStyle w:val="plcountry"/>
      </w:pPr>
      <w:r w:rsidRPr="00366852">
        <w:t>SLOVAQUIE / SLOVAKIA / ESLOVAQUIA</w:t>
      </w:r>
    </w:p>
    <w:p w14:paraId="6AAFF186" w14:textId="77777777" w:rsidR="00C5303F" w:rsidRPr="00366852" w:rsidRDefault="00C5303F" w:rsidP="00C5303F">
      <w:pPr>
        <w:pStyle w:val="pldetails"/>
      </w:pPr>
      <w:r w:rsidRPr="00366852">
        <w:t xml:space="preserve">Ján GALBAVY (Mr.), First Secretary, Permanent Mission, Grand-Saconnex </w:t>
      </w:r>
      <w:r w:rsidRPr="00366852">
        <w:br/>
        <w:t>(e-mail: Jan.Galbavy@mzv.sk)</w:t>
      </w:r>
    </w:p>
    <w:p w14:paraId="7AD19A89" w14:textId="77777777" w:rsidR="00C5303F" w:rsidRPr="00366852" w:rsidRDefault="00C5303F" w:rsidP="00C5303F">
      <w:pPr>
        <w:pStyle w:val="plcountry"/>
        <w:rPr>
          <w:lang w:val="de-DE"/>
        </w:rPr>
      </w:pPr>
      <w:r w:rsidRPr="00366852">
        <w:rPr>
          <w:lang w:val="de-DE"/>
        </w:rPr>
        <w:t>SUISSE / SWITZERLAND / SUIZA</w:t>
      </w:r>
    </w:p>
    <w:p w14:paraId="56227972" w14:textId="77777777" w:rsidR="00C5303F" w:rsidRPr="00366852" w:rsidRDefault="00C5303F" w:rsidP="00C5303F">
      <w:pPr>
        <w:pStyle w:val="pldetails"/>
        <w:rPr>
          <w:lang w:val="de-DE"/>
        </w:rPr>
      </w:pPr>
      <w:r w:rsidRPr="00366852">
        <w:rPr>
          <w:lang w:val="de-DE"/>
        </w:rPr>
        <w:t xml:space="preserve">Eva TSCHARLAND (Ms.), Jurist, Fachbereich Recht und Verfahren, Office fédéral de l'agriculture (OFAG), Bern </w:t>
      </w:r>
      <w:r w:rsidRPr="00366852">
        <w:rPr>
          <w:lang w:val="de-DE"/>
        </w:rPr>
        <w:br/>
        <w:t>(e-mail: eva.tscharland@blw.admin.ch)</w:t>
      </w:r>
    </w:p>
    <w:p w14:paraId="0399F80A" w14:textId="77777777" w:rsidR="00C5303F" w:rsidRPr="00366852" w:rsidRDefault="00C5303F" w:rsidP="00C5303F">
      <w:pPr>
        <w:pStyle w:val="plcountry"/>
      </w:pPr>
      <w:r w:rsidRPr="00366852">
        <w:t>TÜRKIYE / TÜRKIYE</w:t>
      </w:r>
    </w:p>
    <w:p w14:paraId="44CD4125" w14:textId="77777777" w:rsidR="00C5303F" w:rsidRPr="00366852" w:rsidRDefault="00C5303F" w:rsidP="00C5303F">
      <w:pPr>
        <w:pStyle w:val="pldetails"/>
      </w:pPr>
      <w:r w:rsidRPr="00366852">
        <w:t xml:space="preserve">Cagri OVAYURT (Ms.), Agricultural Engineer, General Directorate of Agricultural Research and Policies, Ankara </w:t>
      </w:r>
      <w:r w:rsidRPr="00366852">
        <w:br/>
        <w:t xml:space="preserve">(e-mail: cagri.ovayurt@tarimorman.gov.tr)  </w:t>
      </w:r>
    </w:p>
    <w:p w14:paraId="1148F40C" w14:textId="77777777" w:rsidR="00C5303F" w:rsidRPr="00366852" w:rsidRDefault="00C5303F" w:rsidP="00C5303F">
      <w:pPr>
        <w:pStyle w:val="plcountry"/>
        <w:rPr>
          <w:lang w:val="es-ES"/>
        </w:rPr>
      </w:pPr>
      <w:r w:rsidRPr="00366852">
        <w:rPr>
          <w:lang w:val="es-ES"/>
        </w:rPr>
        <w:lastRenderedPageBreak/>
        <w:t>UNION EUROPÉENNE / EUROPEAN UNION / UNIÓN EUROPEA</w:t>
      </w:r>
    </w:p>
    <w:p w14:paraId="36C72E67" w14:textId="77777777" w:rsidR="00C5303F" w:rsidRPr="00366852" w:rsidRDefault="00C5303F" w:rsidP="00C5303F">
      <w:pPr>
        <w:pStyle w:val="pldetails"/>
      </w:pPr>
      <w:bookmarkStart w:id="5" w:name="_Hlk149152836"/>
      <w:r w:rsidRPr="00366852">
        <w:t xml:space="preserve">Francesco MATTINA (Mr.), President, Community Plant Variety Office (CPVO), Angers </w:t>
      </w:r>
      <w:r w:rsidRPr="00366852">
        <w:br/>
        <w:t>(e-mail: mattina@cpvo.europa.eu)</w:t>
      </w:r>
    </w:p>
    <w:bookmarkEnd w:id="5"/>
    <w:p w14:paraId="124BE82F" w14:textId="77777777" w:rsidR="00C5303F" w:rsidRPr="00366852" w:rsidRDefault="00C5303F" w:rsidP="00C5303F">
      <w:pPr>
        <w:pStyle w:val="pldetails"/>
      </w:pPr>
      <w:r w:rsidRPr="00366852">
        <w:t xml:space="preserve">Päivi MANNERKORPI (Ms.), Team Leader - Plant Reproductive Material, Unit G1 Plant Health, Directorate General for Health and Food Safety (DG SANTE), European Commission, Brussels </w:t>
      </w:r>
      <w:r w:rsidRPr="00366852">
        <w:br/>
        <w:t>(e-mail: paivi.mannerkorpi@ec.europa.eu)</w:t>
      </w:r>
    </w:p>
    <w:p w14:paraId="0517007C" w14:textId="77777777" w:rsidR="00C5303F" w:rsidRPr="00366852" w:rsidRDefault="00C5303F" w:rsidP="00C5303F">
      <w:pPr>
        <w:pStyle w:val="pldetails"/>
        <w:rPr>
          <w:lang w:val="es-ES"/>
        </w:rPr>
      </w:pPr>
      <w:r w:rsidRPr="00366852">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366852">
        <w:rPr>
          <w:lang w:val="es-ES"/>
        </w:rPr>
        <w:br/>
        <w:t>(e-mail: jasobrino@mapa.es)</w:t>
      </w:r>
    </w:p>
    <w:p w14:paraId="5E7A4B5E" w14:textId="77777777" w:rsidR="00C5303F" w:rsidRPr="00366852" w:rsidRDefault="00C5303F" w:rsidP="00C5303F">
      <w:pPr>
        <w:pStyle w:val="pldetails"/>
        <w:rPr>
          <w:lang w:val="pt-BR"/>
        </w:rPr>
      </w:pPr>
      <w:r w:rsidRPr="00366852">
        <w:rPr>
          <w:lang w:val="es-ES"/>
        </w:rPr>
        <w:t xml:space="preserve">Nuria URQUÍA FERNÁNDEZ (Sra.), Jefe de Área de Registro de Variedades, Oficina Española de Variedades Vegetales (MPA y OEVV), Ministerio de Agricultura, Pesca y Alimentación (MAPA), Madrid </w:t>
      </w:r>
      <w:r w:rsidRPr="00366852">
        <w:rPr>
          <w:lang w:val="es-ES"/>
        </w:rPr>
        <w:br/>
        <w:t>(e-mail: nurquia@mapa.es)</w:t>
      </w:r>
    </w:p>
    <w:p w14:paraId="14AA4971" w14:textId="77777777" w:rsidR="00C5303F" w:rsidRPr="00366852" w:rsidRDefault="00C5303F" w:rsidP="00C5303F">
      <w:pPr>
        <w:pStyle w:val="pldetails"/>
      </w:pPr>
      <w:r w:rsidRPr="00366852">
        <w:t xml:space="preserve">Ángela MARTÍNEZ LÓPEZ (Ms.), Legal Officer, Community Plant Variety Office (CPVO), Angers </w:t>
      </w:r>
      <w:r w:rsidRPr="00366852">
        <w:br/>
        <w:t xml:space="preserve">(e-mail: martinez-lopez@cpvo.europa.eu) </w:t>
      </w:r>
    </w:p>
    <w:p w14:paraId="63D023EE" w14:textId="77777777" w:rsidR="00C5303F" w:rsidRPr="00366852" w:rsidRDefault="00C5303F" w:rsidP="00C5303F">
      <w:pPr>
        <w:pStyle w:val="plheading"/>
      </w:pPr>
      <w:r w:rsidRPr="00366852">
        <w:t>II. OBSERVATEURS / OBSERVERS / OBSERVADORES</w:t>
      </w:r>
    </w:p>
    <w:p w14:paraId="42FF3DEC" w14:textId="77777777" w:rsidR="00C5303F" w:rsidRPr="00366852" w:rsidRDefault="00C5303F" w:rsidP="00C5303F">
      <w:pPr>
        <w:pStyle w:val="plcountry"/>
      </w:pPr>
      <w:r w:rsidRPr="00366852">
        <w:t>ARABIE SAOUDITE / SAUDI ARABIA / ARABIA SAUDITA</w:t>
      </w:r>
    </w:p>
    <w:p w14:paraId="54F7661E" w14:textId="77777777" w:rsidR="00C5303F" w:rsidRPr="00366852" w:rsidRDefault="00C5303F" w:rsidP="00C5303F">
      <w:pPr>
        <w:pStyle w:val="pldetails"/>
      </w:pPr>
      <w:r w:rsidRPr="00366852">
        <w:t xml:space="preserve">Ali NAMAZI (Mr.), Head of Plant Varieties, Saudi Authority for Intellectual Property (SAIP), Riyadh </w:t>
      </w:r>
      <w:r w:rsidRPr="00366852">
        <w:br/>
        <w:t>(e-mail: anamazi@saip.gov.sa)</w:t>
      </w:r>
    </w:p>
    <w:p w14:paraId="32156F81" w14:textId="77777777" w:rsidR="00C5303F" w:rsidRPr="00366852" w:rsidRDefault="00C5303F" w:rsidP="00C5303F">
      <w:pPr>
        <w:pStyle w:val="pldetails"/>
      </w:pPr>
      <w:r w:rsidRPr="00366852">
        <w:t xml:space="preserve">Fahd ALAIJAN (Mr.), Patent Support Expert, Saudi Authority for Intellectual Property (SAIP), Riyadh </w:t>
      </w:r>
      <w:r w:rsidRPr="00366852">
        <w:br/>
        <w:t>(e-mail: fajlan@saip.gov.sa)</w:t>
      </w:r>
    </w:p>
    <w:p w14:paraId="7B638333" w14:textId="77777777" w:rsidR="00C5303F" w:rsidRPr="00366852" w:rsidRDefault="00C5303F" w:rsidP="00C5303F">
      <w:pPr>
        <w:pStyle w:val="plheading"/>
      </w:pPr>
      <w:r w:rsidRPr="00366852">
        <w:t>III. ORGANISATIONS / ORGANIZATIONS / ORGANIZACIONES</w:t>
      </w:r>
    </w:p>
    <w:p w14:paraId="33AD257A" w14:textId="77777777" w:rsidR="00C5303F" w:rsidRPr="00366852" w:rsidRDefault="00C5303F" w:rsidP="00C5303F">
      <w:pPr>
        <w:pStyle w:val="plcountry"/>
      </w:pPr>
      <w:r w:rsidRPr="00366852">
        <w:t>ASSOCIATION FOR PLANT BREEDING FOR THE BENEFIT OF SOCIETY (APBREBES)</w:t>
      </w:r>
    </w:p>
    <w:p w14:paraId="14838D2B" w14:textId="77777777" w:rsidR="00C5303F" w:rsidRPr="00366852" w:rsidRDefault="00C5303F" w:rsidP="00C5303F">
      <w:pPr>
        <w:pStyle w:val="pldetails"/>
      </w:pPr>
      <w:r w:rsidRPr="00366852">
        <w:t>François MEIENBERG (Mr.), Coordinator, Association for Plant Breeding for the Benefit of Society (APBREBES), Zürich, Switzerland</w:t>
      </w:r>
      <w:r w:rsidRPr="00366852">
        <w:br/>
        <w:t>(e-mail: contact@apbrebes.org)</w:t>
      </w:r>
    </w:p>
    <w:p w14:paraId="15CB67EA" w14:textId="77777777" w:rsidR="00C5303F" w:rsidRPr="00366852" w:rsidRDefault="00C5303F" w:rsidP="00C5303F">
      <w:pPr>
        <w:pStyle w:val="plcountry"/>
      </w:pPr>
      <w:r w:rsidRPr="00366852">
        <w:t xml:space="preserve">ASSOCIATION INTERNATIONALE DES PRODUCTEURS HORTICOLES (AIPH) / </w:t>
      </w:r>
      <w:r w:rsidRPr="00366852">
        <w:br/>
        <w:t xml:space="preserve">INTERNATIONAL ASSOCIATION OF HORTICULTURAL PRODUCERS (AIPH) / </w:t>
      </w:r>
      <w:r w:rsidRPr="00366852">
        <w:br/>
        <w:t>Asociación Internacional de Productores Hortícolas (AIPH)</w:t>
      </w:r>
    </w:p>
    <w:p w14:paraId="375E45D0" w14:textId="77777777" w:rsidR="00C5303F" w:rsidRPr="00366852" w:rsidRDefault="00C5303F" w:rsidP="00C5303F">
      <w:pPr>
        <w:pStyle w:val="pldetails"/>
      </w:pPr>
      <w:r w:rsidRPr="00366852">
        <w:t>Mia HOPPERUS BUMA (Ms.), Advisor, Committee for Novelty Protection, International Association of Horticultural Producers (AIPH), The Hague, Netherlands</w:t>
      </w:r>
      <w:r w:rsidRPr="00366852">
        <w:br/>
        <w:t xml:space="preserve">(e-mail: info@miabuma.nl) </w:t>
      </w:r>
    </w:p>
    <w:p w14:paraId="36A9132E" w14:textId="77777777" w:rsidR="00C5303F" w:rsidRPr="00306442" w:rsidRDefault="00C5303F" w:rsidP="00C5303F">
      <w:pPr>
        <w:pStyle w:val="plcountry"/>
        <w:ind w:right="-284"/>
      </w:pPr>
      <w:r w:rsidRPr="00306442">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14:paraId="0F51A4A7" w14:textId="77777777" w:rsidR="00C5303F" w:rsidRPr="00366852" w:rsidRDefault="00C5303F" w:rsidP="00C5303F">
      <w:pPr>
        <w:pStyle w:val="pldetails"/>
      </w:pPr>
      <w:r w:rsidRPr="00366852">
        <w:t xml:space="preserve">Edgar KRIEGER (Mr.), Secretary General, International Community of Breeders of Asexually Reproduced Horticultural Plants (CIOPORA), Hamburg, Germany </w:t>
      </w:r>
      <w:r w:rsidRPr="00366852">
        <w:br/>
        <w:t>(e-mail: edgar.krieger@ciopora.org)</w:t>
      </w:r>
    </w:p>
    <w:p w14:paraId="4A266572" w14:textId="77777777" w:rsidR="00C5303F" w:rsidRPr="00366852" w:rsidRDefault="00C5303F" w:rsidP="00C5303F">
      <w:pPr>
        <w:pStyle w:val="pldetails"/>
      </w:pPr>
      <w:r w:rsidRPr="00366852">
        <w:t>Judith Maria Anneke DE ROOS-BLOKLAND (Ms.), Senior Plant Breeder's Rights Attorney, AOMB Intellectual Property, Eindhoven, Netherlands</w:t>
      </w:r>
      <w:r w:rsidRPr="00366852">
        <w:br/>
        <w:t xml:space="preserve">(e-mail: J.deRoos@aomb.nl) </w:t>
      </w:r>
    </w:p>
    <w:p w14:paraId="3E0EAAE5" w14:textId="77777777" w:rsidR="00C5303F" w:rsidRPr="00E51FB9" w:rsidRDefault="00C5303F" w:rsidP="00C5303F">
      <w:pPr>
        <w:pStyle w:val="plcountry"/>
      </w:pPr>
      <w:r w:rsidRPr="00E51FB9">
        <w:t>CROPLIFE INTERNATIONAL</w:t>
      </w:r>
    </w:p>
    <w:p w14:paraId="53BEDCEC" w14:textId="77777777" w:rsidR="00C5303F" w:rsidRPr="00E51FB9" w:rsidRDefault="00C5303F" w:rsidP="00C5303F">
      <w:pPr>
        <w:pStyle w:val="pldetails"/>
      </w:pPr>
      <w:r w:rsidRPr="00E51FB9">
        <w:t xml:space="preserve">Marcel BRUINS (Mr.), Consultant, CropLife International, Bruxelles, Belgium </w:t>
      </w:r>
      <w:r w:rsidRPr="00E51FB9">
        <w:br/>
        <w:t xml:space="preserve">(e-mail: marcel@bruinsseedconsultancy.com) </w:t>
      </w:r>
    </w:p>
    <w:p w14:paraId="5C2E1962" w14:textId="77777777" w:rsidR="00C5303F" w:rsidRPr="00E51FB9" w:rsidRDefault="00C5303F" w:rsidP="00C5303F">
      <w:pPr>
        <w:pStyle w:val="plcountry"/>
      </w:pPr>
      <w:r w:rsidRPr="00E51FB9">
        <w:lastRenderedPageBreak/>
        <w:t>EUROSEEDS</w:t>
      </w:r>
    </w:p>
    <w:p w14:paraId="6F90A1A9" w14:textId="77777777" w:rsidR="00C5303F" w:rsidRPr="00E51FB9" w:rsidRDefault="00C5303F" w:rsidP="00C5303F">
      <w:pPr>
        <w:pStyle w:val="pldetails"/>
      </w:pPr>
      <w:r w:rsidRPr="00E51FB9">
        <w:t xml:space="preserve">Szonja CSÖRGÖ (Ms.), Director, Intellectual Property &amp; Legal Affairs, Euroseeds, Bruxelles, Belgium </w:t>
      </w:r>
      <w:r w:rsidRPr="00E51FB9">
        <w:br/>
        <w:t xml:space="preserve">(e-mail: szonjacsorgo@euroseeds.eu) </w:t>
      </w:r>
    </w:p>
    <w:p w14:paraId="1A96C12A" w14:textId="77777777" w:rsidR="00C5303F" w:rsidRPr="00366852" w:rsidRDefault="00C5303F" w:rsidP="00C5303F">
      <w:pPr>
        <w:pStyle w:val="plcountry"/>
      </w:pPr>
      <w:r w:rsidRPr="00366852">
        <w:t>INTERNATIONAL SEED FEDERATION (ISF)</w:t>
      </w:r>
    </w:p>
    <w:p w14:paraId="247D29F9" w14:textId="77777777" w:rsidR="00C5303F" w:rsidRPr="00366852" w:rsidRDefault="00C5303F" w:rsidP="00C5303F">
      <w:pPr>
        <w:pStyle w:val="pldetails"/>
      </w:pPr>
      <w:r w:rsidRPr="00366852">
        <w:t>Catherine LANGAT (Ms.), Technical Manager, African Seed Trade Association (AFSTA), Nairobi, Kenya</w:t>
      </w:r>
      <w:r w:rsidRPr="00366852">
        <w:br/>
        <w:t>(e-mail: catherine@afsta.org)</w:t>
      </w:r>
    </w:p>
    <w:p w14:paraId="70BFF465" w14:textId="77777777" w:rsidR="00C5303F" w:rsidRPr="00366852" w:rsidRDefault="00C5303F" w:rsidP="00C5303F">
      <w:pPr>
        <w:pStyle w:val="pldetails"/>
      </w:pPr>
      <w:r w:rsidRPr="00366852">
        <w:t>Kim MAESSEN-VAN BUGGENUM (Ms.), Plant Variety Protection Officer, BASF Vegetable Seeds, Nunhem, Netherlands</w:t>
      </w:r>
      <w:r w:rsidRPr="00366852">
        <w:br/>
        <w:t xml:space="preserve">(e-mail: Kim.vanbuggenum@vegetableseeds.basf.com)  </w:t>
      </w:r>
    </w:p>
    <w:p w14:paraId="0F0FB6B6" w14:textId="77777777" w:rsidR="00C5303F" w:rsidRPr="00366852" w:rsidRDefault="00C5303F" w:rsidP="00C5303F">
      <w:pPr>
        <w:pStyle w:val="pldetails"/>
        <w:rPr>
          <w:lang w:val="de-DE"/>
        </w:rPr>
      </w:pPr>
      <w:r w:rsidRPr="00366852">
        <w:rPr>
          <w:lang w:val="de-DE"/>
        </w:rPr>
        <w:t xml:space="preserve">Frank MICHIELS, Global PVP manager GBI/BG, BASF, Gent, Belgium </w:t>
      </w:r>
      <w:r w:rsidRPr="00366852">
        <w:rPr>
          <w:lang w:val="de-DE"/>
        </w:rPr>
        <w:br/>
        <w:t>(e-mail: frank.michiels@basf.com)</w:t>
      </w:r>
    </w:p>
    <w:p w14:paraId="68E12CDF" w14:textId="77777777" w:rsidR="00C5303F" w:rsidRPr="00366852" w:rsidRDefault="00C5303F" w:rsidP="00C5303F">
      <w:pPr>
        <w:pStyle w:val="plcountry"/>
        <w:rPr>
          <w:lang w:val="es-ES"/>
        </w:rPr>
      </w:pPr>
      <w:r w:rsidRPr="00366852">
        <w:rPr>
          <w:lang w:val="es-ES"/>
        </w:rPr>
        <w:t xml:space="preserve">SEED ASSOCIATION OF THE AMERICAS (SAA) / </w:t>
      </w:r>
      <w:r w:rsidRPr="00366852">
        <w:rPr>
          <w:lang w:val="es-ES"/>
        </w:rPr>
        <w:br/>
        <w:t>Asociación de Semillas de las Américas (SAA)</w:t>
      </w:r>
    </w:p>
    <w:p w14:paraId="21834F2A" w14:textId="77777777" w:rsidR="00C5303F" w:rsidRPr="00090D23" w:rsidRDefault="00C5303F" w:rsidP="00C5303F">
      <w:pPr>
        <w:pStyle w:val="pldetails"/>
      </w:pPr>
      <w:r w:rsidRPr="00366852">
        <w:t>Diego A. RISSO (Mr.), Director Ejecutivo, Seed Association of the Americas (SAA), Montevideo, Uruguay</w:t>
      </w:r>
      <w:r w:rsidRPr="00366852">
        <w:br/>
        <w:t>(e-mail: drisso@saaseed.org)</w:t>
      </w:r>
    </w:p>
    <w:p w14:paraId="4580C42A" w14:textId="77777777" w:rsidR="00C5303F" w:rsidRPr="004071DD" w:rsidRDefault="00C5303F" w:rsidP="00C5303F">
      <w:pPr>
        <w:pStyle w:val="plheading"/>
        <w:rPr>
          <w:rFonts w:cs="Arial"/>
        </w:rPr>
      </w:pPr>
      <w:r>
        <w:rPr>
          <w:rFonts w:cs="Arial"/>
        </w:rPr>
        <w:t>IV</w:t>
      </w:r>
      <w:r w:rsidRPr="004071DD">
        <w:rPr>
          <w:rFonts w:cs="Arial"/>
        </w:rPr>
        <w:t>. BUREAU / OFFICER / OFICINA</w:t>
      </w:r>
    </w:p>
    <w:p w14:paraId="77F26B27" w14:textId="77777777" w:rsidR="00C5303F" w:rsidRDefault="00C5303F" w:rsidP="00C5303F">
      <w:pPr>
        <w:pStyle w:val="pldetails"/>
      </w:pPr>
      <w:r>
        <w:t>Yolanda HUERTA</w:t>
      </w:r>
      <w:r w:rsidRPr="00E338CA">
        <w:t xml:space="preserve"> (M</w:t>
      </w:r>
      <w:r>
        <w:t>s</w:t>
      </w:r>
      <w:r w:rsidRPr="00E338CA">
        <w:t>.)</w:t>
      </w:r>
      <w:r w:rsidRPr="004071DD">
        <w:t xml:space="preserve">, </w:t>
      </w:r>
      <w:r>
        <w:t>Chair</w:t>
      </w:r>
    </w:p>
    <w:p w14:paraId="2A05A697" w14:textId="77777777" w:rsidR="00C5303F" w:rsidRPr="00912E4C" w:rsidRDefault="00C5303F" w:rsidP="00C5303F">
      <w:pPr>
        <w:pStyle w:val="plheading"/>
        <w:keepLines/>
        <w:rPr>
          <w:rFonts w:cs="Arial"/>
        </w:rPr>
      </w:pPr>
      <w:r w:rsidRPr="00912E4C">
        <w:rPr>
          <w:rFonts w:cs="Arial"/>
        </w:rPr>
        <w:t>V. BUREAU DE L’UPOV / OFFICE OF UPOV / OFICINA DE LA UPOV</w:t>
      </w:r>
    </w:p>
    <w:p w14:paraId="35D4A63A" w14:textId="77777777" w:rsidR="00C5303F" w:rsidRPr="00622478" w:rsidRDefault="00C5303F" w:rsidP="00C5303F">
      <w:pPr>
        <w:pStyle w:val="pldetails"/>
        <w:keepNext/>
      </w:pPr>
      <w:r w:rsidRPr="00622478">
        <w:t>Yolanda HUERTA (Ms.), Vice Secretary-General</w:t>
      </w:r>
    </w:p>
    <w:p w14:paraId="39F9E1D4" w14:textId="77777777" w:rsidR="00C5303F" w:rsidRDefault="00C5303F" w:rsidP="00C5303F">
      <w:pPr>
        <w:pStyle w:val="pldetails"/>
      </w:pPr>
      <w:bookmarkStart w:id="6" w:name="_Hlk148523837"/>
      <w:r>
        <w:rPr>
          <w:rFonts w:cs="Arial"/>
        </w:rPr>
        <w:t xml:space="preserve">Martin EKVAD (Mr.), </w:t>
      </w:r>
      <w:bookmarkStart w:id="7" w:name="_Hlk147302165"/>
      <w:r w:rsidRPr="00845508">
        <w:rPr>
          <w:rFonts w:cs="Arial"/>
        </w:rPr>
        <w:t>Director of Legal Affairs</w:t>
      </w:r>
      <w:bookmarkEnd w:id="7"/>
    </w:p>
    <w:p w14:paraId="425944ED" w14:textId="77777777" w:rsidR="00C5303F" w:rsidRPr="00C53674" w:rsidRDefault="00C5303F" w:rsidP="00C5303F">
      <w:pPr>
        <w:pStyle w:val="pldetails"/>
      </w:pPr>
      <w:r w:rsidRPr="00C53674">
        <w:t xml:space="preserve">Leontino TAVEIRA (Mr.), </w:t>
      </w:r>
      <w:bookmarkStart w:id="8" w:name="_Hlk147302207"/>
      <w:r w:rsidRPr="000B6642">
        <w:t>Director of Global Development and Technical Affairs</w:t>
      </w:r>
      <w:bookmarkEnd w:id="8"/>
    </w:p>
    <w:p w14:paraId="75B619CD" w14:textId="77777777" w:rsidR="00C5303F" w:rsidRPr="00AF437E" w:rsidRDefault="00C5303F" w:rsidP="00C5303F">
      <w:pPr>
        <w:pStyle w:val="pldetails"/>
      </w:pPr>
      <w:r w:rsidRPr="00C53674">
        <w:t>Hend MADHOUR (Ms.), IT Officer</w:t>
      </w:r>
    </w:p>
    <w:p w14:paraId="6608C847" w14:textId="77777777" w:rsidR="00C5303F" w:rsidRPr="00841411" w:rsidRDefault="00C5303F" w:rsidP="00C5303F">
      <w:pPr>
        <w:pStyle w:val="pldetails"/>
      </w:pPr>
      <w:r>
        <w:t>Manabu SUZUKI (Mr.)</w:t>
      </w:r>
      <w:r w:rsidRPr="00841411">
        <w:t>, Technical/Regional Officer (Asia)</w:t>
      </w:r>
    </w:p>
    <w:p w14:paraId="79F840E7" w14:textId="77777777" w:rsidR="00C5303F" w:rsidRPr="00ED7C74" w:rsidRDefault="00C5303F" w:rsidP="00C5303F">
      <w:pPr>
        <w:pStyle w:val="pldetails"/>
        <w:keepNext/>
        <w:rPr>
          <w:lang w:val="nl-NL"/>
        </w:rPr>
      </w:pPr>
      <w:r w:rsidRPr="00ED7C74">
        <w:rPr>
          <w:rFonts w:cs="Arial"/>
          <w:lang w:val="nl-NL"/>
        </w:rPr>
        <w:t>Kees VAN ETTEKOVEN (Mr.), Technical Expert</w:t>
      </w:r>
    </w:p>
    <w:bookmarkEnd w:id="6"/>
    <w:p w14:paraId="43DEDA73" w14:textId="77777777" w:rsidR="00C5303F" w:rsidRPr="00ED7C74" w:rsidRDefault="00C5303F" w:rsidP="00C5303F">
      <w:pPr>
        <w:rPr>
          <w:lang w:val="nl-NL"/>
        </w:rPr>
      </w:pPr>
    </w:p>
    <w:p w14:paraId="576F436B" w14:textId="77777777" w:rsidR="00C5303F" w:rsidRPr="00ED7C74" w:rsidRDefault="00C5303F" w:rsidP="00C5303F">
      <w:pPr>
        <w:rPr>
          <w:lang w:val="nl-NL"/>
        </w:rPr>
      </w:pPr>
    </w:p>
    <w:p w14:paraId="627A5150" w14:textId="77777777" w:rsidR="00C5303F" w:rsidRPr="00ED7C74" w:rsidRDefault="00C5303F" w:rsidP="00C5303F">
      <w:pPr>
        <w:rPr>
          <w:lang w:val="nl-NL"/>
        </w:rPr>
      </w:pPr>
    </w:p>
    <w:p w14:paraId="098E440E" w14:textId="77777777" w:rsidR="00C5303F" w:rsidRDefault="00C5303F" w:rsidP="00C5303F">
      <w:pPr>
        <w:keepNext/>
        <w:jc w:val="right"/>
        <w:rPr>
          <w:rFonts w:cs="Arial"/>
          <w:lang w:val="fr-CH"/>
        </w:rPr>
      </w:pPr>
      <w:r w:rsidRPr="00315113">
        <w:rPr>
          <w:rFonts w:cs="Arial"/>
          <w:lang w:val="fr-CH"/>
        </w:rPr>
        <w:t>[Fin de l’annexe et du document/</w:t>
      </w:r>
      <w:r w:rsidRPr="00315113">
        <w:rPr>
          <w:rFonts w:cs="Arial"/>
          <w:lang w:val="fr-CH"/>
        </w:rPr>
        <w:br/>
        <w:t>End of Annex and of document/</w:t>
      </w:r>
      <w:r w:rsidRPr="00315113">
        <w:rPr>
          <w:rFonts w:cs="Arial"/>
          <w:lang w:val="fr-CH"/>
        </w:rPr>
        <w:br/>
        <w:t xml:space="preserve">Fin </w:t>
      </w:r>
      <w:proofErr w:type="spellStart"/>
      <w:r w:rsidRPr="00315113">
        <w:rPr>
          <w:rFonts w:cs="Arial"/>
          <w:lang w:val="fr-CH"/>
        </w:rPr>
        <w:t>del</w:t>
      </w:r>
      <w:proofErr w:type="spellEnd"/>
      <w:r w:rsidRPr="00315113">
        <w:rPr>
          <w:rFonts w:cs="Arial"/>
          <w:lang w:val="fr-CH"/>
        </w:rPr>
        <w:t xml:space="preserve"> </w:t>
      </w:r>
      <w:proofErr w:type="spellStart"/>
      <w:r w:rsidRPr="00315113">
        <w:rPr>
          <w:rFonts w:cs="Arial"/>
          <w:lang w:val="fr-CH"/>
        </w:rPr>
        <w:t>Anexo</w:t>
      </w:r>
      <w:proofErr w:type="spellEnd"/>
      <w:r w:rsidRPr="00315113">
        <w:rPr>
          <w:rFonts w:cs="Arial"/>
          <w:lang w:val="fr-CH"/>
        </w:rPr>
        <w:t xml:space="preserve"> y </w:t>
      </w:r>
      <w:proofErr w:type="spellStart"/>
      <w:r w:rsidRPr="00315113">
        <w:rPr>
          <w:rFonts w:cs="Arial"/>
          <w:lang w:val="fr-CH"/>
        </w:rPr>
        <w:t>del</w:t>
      </w:r>
      <w:proofErr w:type="spellEnd"/>
      <w:r w:rsidRPr="00315113">
        <w:rPr>
          <w:rFonts w:cs="Arial"/>
          <w:lang w:val="fr-CH"/>
        </w:rPr>
        <w:t xml:space="preserve"> </w:t>
      </w:r>
      <w:proofErr w:type="spellStart"/>
      <w:r w:rsidRPr="00315113">
        <w:rPr>
          <w:rFonts w:cs="Arial"/>
          <w:lang w:val="fr-CH"/>
        </w:rPr>
        <w:t>documento</w:t>
      </w:r>
      <w:proofErr w:type="spellEnd"/>
      <w:r w:rsidRPr="00315113">
        <w:rPr>
          <w:rFonts w:cs="Arial"/>
          <w:lang w:val="fr-CH"/>
        </w:rPr>
        <w:t>]</w:t>
      </w:r>
    </w:p>
    <w:p w14:paraId="31D58655" w14:textId="77777777" w:rsidR="00C5303F" w:rsidRDefault="00C5303F" w:rsidP="00C5303F">
      <w:pPr>
        <w:keepNext/>
        <w:jc w:val="right"/>
        <w:rPr>
          <w:rFonts w:cs="Arial"/>
          <w:lang w:val="fr-CH"/>
        </w:rPr>
      </w:pPr>
    </w:p>
    <w:p w14:paraId="678F3C06" w14:textId="77777777" w:rsidR="00C5303F" w:rsidRPr="00BC0819" w:rsidRDefault="00C5303F" w:rsidP="00C5303F">
      <w:pPr>
        <w:jc w:val="left"/>
        <w:rPr>
          <w:lang w:val="fr-CH"/>
        </w:rPr>
      </w:pPr>
    </w:p>
    <w:p w14:paraId="5CAC1D21" w14:textId="77777777" w:rsidR="00214CAA" w:rsidRPr="00C5303F" w:rsidRDefault="00214CAA" w:rsidP="009B440E">
      <w:pPr>
        <w:jc w:val="left"/>
        <w:rPr>
          <w:lang w:val="fr-CH"/>
        </w:rPr>
      </w:pPr>
    </w:p>
    <w:sectPr w:rsidR="00214CAA" w:rsidRPr="00C5303F" w:rsidSect="0030260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032FF" w14:textId="77777777" w:rsidR="004E68F7" w:rsidRDefault="004E68F7" w:rsidP="006655D3">
      <w:r>
        <w:separator/>
      </w:r>
    </w:p>
    <w:p w14:paraId="6B911D67" w14:textId="77777777" w:rsidR="004E68F7" w:rsidRDefault="004E68F7" w:rsidP="006655D3"/>
    <w:p w14:paraId="3921DE2C" w14:textId="77777777" w:rsidR="004E68F7" w:rsidRDefault="004E68F7" w:rsidP="006655D3"/>
  </w:endnote>
  <w:endnote w:type="continuationSeparator" w:id="0">
    <w:p w14:paraId="509CE10D" w14:textId="77777777" w:rsidR="004E68F7" w:rsidRDefault="004E68F7" w:rsidP="006655D3">
      <w:r>
        <w:separator/>
      </w:r>
    </w:p>
    <w:p w14:paraId="2D728AE9" w14:textId="77777777" w:rsidR="00DE5E38" w:rsidRDefault="00C5303F">
      <w:pPr>
        <w:pStyle w:val="Footer"/>
        <w:spacing w:after="60"/>
        <w:rPr>
          <w:sz w:val="18"/>
          <w:lang w:val="fr-FR"/>
        </w:rPr>
      </w:pPr>
      <w:r w:rsidRPr="00294751">
        <w:rPr>
          <w:sz w:val="18"/>
          <w:lang w:val="fr-FR"/>
        </w:rPr>
        <w:t>[Suite de la note de la page précédente]</w:t>
      </w:r>
    </w:p>
    <w:p w14:paraId="1E47E8A9" w14:textId="77777777" w:rsidR="004E68F7" w:rsidRPr="00294751" w:rsidRDefault="004E68F7" w:rsidP="006655D3">
      <w:pPr>
        <w:rPr>
          <w:lang w:val="fr-FR"/>
        </w:rPr>
      </w:pPr>
    </w:p>
    <w:p w14:paraId="47B550F8" w14:textId="77777777" w:rsidR="004E68F7" w:rsidRPr="00294751" w:rsidRDefault="004E68F7" w:rsidP="006655D3">
      <w:pPr>
        <w:rPr>
          <w:lang w:val="fr-FR"/>
        </w:rPr>
      </w:pPr>
    </w:p>
  </w:endnote>
  <w:endnote w:type="continuationNotice" w:id="1">
    <w:p w14:paraId="417EB1E7" w14:textId="77777777" w:rsidR="00DE5E38" w:rsidRDefault="00C5303F">
      <w:pPr>
        <w:rPr>
          <w:lang w:val="fr-FR"/>
        </w:rPr>
      </w:pPr>
      <w:r w:rsidRPr="00294751">
        <w:rPr>
          <w:lang w:val="fr-FR"/>
        </w:rPr>
        <w:t>[Suite de la note page suivante]</w:t>
      </w:r>
    </w:p>
    <w:p w14:paraId="347BC3A2" w14:textId="77777777" w:rsidR="004E68F7" w:rsidRPr="00294751" w:rsidRDefault="004E68F7" w:rsidP="006655D3">
      <w:pPr>
        <w:rPr>
          <w:lang w:val="fr-FR"/>
        </w:rPr>
      </w:pPr>
    </w:p>
    <w:p w14:paraId="0B0CFA18" w14:textId="77777777" w:rsidR="004E68F7" w:rsidRPr="00294751" w:rsidRDefault="004E68F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2E8E" w14:textId="77777777" w:rsidR="00265565" w:rsidRDefault="00265565" w:rsidP="00F51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D85B0" w14:textId="77777777" w:rsidR="00265565" w:rsidRDefault="00265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BC1F7" w14:textId="77777777" w:rsidR="00265565" w:rsidRDefault="0026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D17F8" w14:textId="77777777" w:rsidR="004E68F7" w:rsidRDefault="004E68F7" w:rsidP="006655D3">
      <w:r>
        <w:separator/>
      </w:r>
    </w:p>
  </w:footnote>
  <w:footnote w:type="continuationSeparator" w:id="0">
    <w:p w14:paraId="527FEDDB" w14:textId="77777777" w:rsidR="004E68F7" w:rsidRDefault="004E68F7" w:rsidP="006655D3">
      <w:r>
        <w:separator/>
      </w:r>
    </w:p>
  </w:footnote>
  <w:footnote w:type="continuationNotice" w:id="1">
    <w:p w14:paraId="4CB0580A" w14:textId="77777777" w:rsidR="004E68F7" w:rsidRPr="00AB530F" w:rsidRDefault="004E68F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F05A" w14:textId="77777777" w:rsidR="00DE5E38" w:rsidRDefault="00EC1BE8">
    <w:pPr>
      <w:pStyle w:val="Header"/>
      <w:rPr>
        <w:rStyle w:val="PageNumber"/>
        <w:lang w:val="en-US"/>
      </w:rPr>
    </w:pPr>
    <w:r>
      <w:rPr>
        <w:rStyle w:val="PageNumber"/>
        <w:lang w:val="en-US"/>
      </w:rPr>
      <w:t>WG-HRV/4/3</w:t>
    </w:r>
  </w:p>
  <w:p w14:paraId="0B5D608D" w14:textId="77777777" w:rsidR="00DE5E38" w:rsidRDefault="00C5303F">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133">
      <w:rPr>
        <w:rStyle w:val="PageNumber"/>
        <w:noProof/>
        <w:lang w:val="en-US"/>
      </w:rPr>
      <w:t>2</w:t>
    </w:r>
    <w:r w:rsidRPr="00C5280D">
      <w:rPr>
        <w:rStyle w:val="PageNumber"/>
        <w:lang w:val="en-US"/>
      </w:rPr>
      <w:fldChar w:fldCharType="end"/>
    </w:r>
  </w:p>
  <w:p w14:paraId="184DA903" w14:textId="77777777" w:rsidR="00265565" w:rsidRPr="00C5280D" w:rsidRDefault="00265565" w:rsidP="00F515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0D79" w14:textId="77777777" w:rsidR="00DE5E38" w:rsidRDefault="00EC1BE8">
    <w:pPr>
      <w:pStyle w:val="Header"/>
      <w:rPr>
        <w:rStyle w:val="PageNumber"/>
        <w:lang w:val="pt-PT"/>
      </w:rPr>
    </w:pPr>
    <w:r>
      <w:rPr>
        <w:rFonts w:cs="Arial"/>
        <w:lang w:val="pt-PT"/>
      </w:rPr>
      <w:t>WG-HRV/4/3</w:t>
    </w:r>
  </w:p>
  <w:p w14:paraId="55E5BB8A" w14:textId="77777777" w:rsidR="00DE5E38" w:rsidRDefault="00C5303F">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133">
      <w:rPr>
        <w:rStyle w:val="PageNumber"/>
        <w:noProof/>
        <w:lang w:val="en-US"/>
      </w:rPr>
      <w:t>3</w:t>
    </w:r>
    <w:r w:rsidRPr="00C5280D">
      <w:rPr>
        <w:rStyle w:val="PageNumber"/>
        <w:lang w:val="en-US"/>
      </w:rPr>
      <w:fldChar w:fldCharType="end"/>
    </w:r>
  </w:p>
  <w:p w14:paraId="69587C24" w14:textId="77777777" w:rsidR="00265565" w:rsidRPr="00C5280D" w:rsidRDefault="00265565"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155D6" w14:textId="77777777" w:rsidR="00DE5E38" w:rsidRDefault="00EC1BE8">
    <w:pPr>
      <w:pStyle w:val="Header"/>
      <w:rPr>
        <w:rStyle w:val="PageNumber"/>
        <w:lang w:val="pt-PT"/>
      </w:rPr>
    </w:pPr>
    <w:r>
      <w:rPr>
        <w:rFonts w:cs="Arial"/>
        <w:lang w:val="pt-PT"/>
      </w:rPr>
      <w:t>WG-HRV/4/3</w:t>
    </w:r>
  </w:p>
  <w:p w14:paraId="20A6B475" w14:textId="77777777" w:rsidR="00DE5E38" w:rsidRDefault="00C5303F">
    <w:pPr>
      <w:jc w:val="center"/>
      <w:rPr>
        <w:lang w:val="pt-PT"/>
      </w:rPr>
    </w:pPr>
    <w:r>
      <w:rPr>
        <w:lang w:val="pt-PT"/>
      </w:rPr>
      <w:t>Anexo / Annexe / Anexo</w:t>
    </w:r>
  </w:p>
  <w:p w14:paraId="3665C273" w14:textId="77777777" w:rsidR="00DE5E38" w:rsidRDefault="00C5303F">
    <w:pPr>
      <w:jc w:val="center"/>
      <w:rPr>
        <w:rFonts w:cs="Arial"/>
        <w:lang w:val="pt-PT"/>
      </w:rPr>
    </w:pPr>
    <w:r w:rsidRPr="00DB67FC">
      <w:rPr>
        <w:rFonts w:cs="Arial"/>
        <w:lang w:val="pt-PT"/>
      </w:rPr>
      <w:t xml:space="preserve">página </w:t>
    </w:r>
    <w:r>
      <w:rPr>
        <w:rFonts w:cs="Arial"/>
      </w:rPr>
      <w:fldChar w:fldCharType="begin"/>
    </w:r>
    <w:r w:rsidRPr="004A5F2E">
      <w:rPr>
        <w:rFonts w:cs="Arial"/>
        <w:lang w:val="pt-PT"/>
      </w:rPr>
      <w:instrText xml:space="preserve"> PAGE  </w:instrText>
    </w:r>
    <w:r>
      <w:rPr>
        <w:rFonts w:cs="Arial"/>
      </w:rPr>
      <w:fldChar w:fldCharType="separate"/>
    </w:r>
    <w:r w:rsidR="00982133">
      <w:rPr>
        <w:rFonts w:cs="Arial"/>
        <w:noProof/>
        <w:lang w:val="pt-PT"/>
      </w:rPr>
      <w:t>6</w:t>
    </w:r>
    <w:r>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982133">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982133">
      <w:rPr>
        <w:rFonts w:cs="Arial"/>
        <w:noProof/>
        <w:lang w:val="pt-PT"/>
      </w:rPr>
      <w:t>6</w:t>
    </w:r>
    <w:r w:rsidRPr="00DB67FC">
      <w:rPr>
        <w:rFonts w:cs="Arial"/>
      </w:rPr>
      <w:fldChar w:fldCharType="end"/>
    </w:r>
  </w:p>
  <w:p w14:paraId="78E1765D" w14:textId="77777777" w:rsidR="00265565" w:rsidRPr="00505FA0" w:rsidRDefault="00265565" w:rsidP="00F515AB">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90D9" w14:textId="77777777" w:rsidR="00DE5E38" w:rsidRDefault="00EC1BE8">
    <w:pPr>
      <w:pStyle w:val="Header"/>
      <w:rPr>
        <w:rStyle w:val="PageNumber"/>
        <w:lang w:val="pt-PT"/>
      </w:rPr>
    </w:pPr>
    <w:r>
      <w:rPr>
        <w:rFonts w:cs="Arial"/>
        <w:lang w:val="pt-PT"/>
      </w:rPr>
      <w:t>WG-HRV/4/3</w:t>
    </w:r>
  </w:p>
  <w:p w14:paraId="5A8FC54C" w14:textId="77777777" w:rsidR="00DE5E38" w:rsidRDefault="00C5303F">
    <w:pPr>
      <w:jc w:val="center"/>
      <w:rPr>
        <w:lang w:val="pt-PT"/>
      </w:rPr>
    </w:pPr>
    <w:r>
      <w:rPr>
        <w:lang w:val="pt-PT"/>
      </w:rPr>
      <w:t>Anexo / Annexe / Anexo</w:t>
    </w:r>
  </w:p>
  <w:p w14:paraId="5890E719" w14:textId="77777777" w:rsidR="00DE5E38" w:rsidRDefault="00C5303F">
    <w:pPr>
      <w:jc w:val="center"/>
      <w:rPr>
        <w:rFonts w:cs="Arial"/>
        <w:lang w:val="pt-PT"/>
      </w:rPr>
    </w:pPr>
    <w:r w:rsidRPr="00DB67FC">
      <w:rPr>
        <w:rFonts w:cs="Arial"/>
        <w:lang w:val="pt-PT"/>
      </w:rPr>
      <w:t xml:space="preserve">página </w:t>
    </w:r>
    <w:r>
      <w:rPr>
        <w:rFonts w:cs="Arial"/>
      </w:rPr>
      <w:fldChar w:fldCharType="begin"/>
    </w:r>
    <w:r w:rsidRPr="004A5F2E">
      <w:rPr>
        <w:rFonts w:cs="Arial"/>
        <w:lang w:val="pt-PT"/>
      </w:rPr>
      <w:instrText xml:space="preserve"> PAGE  </w:instrText>
    </w:r>
    <w:r>
      <w:rPr>
        <w:rFonts w:cs="Arial"/>
      </w:rPr>
      <w:fldChar w:fldCharType="separate"/>
    </w:r>
    <w:r w:rsidR="00982133">
      <w:rPr>
        <w:rFonts w:cs="Arial"/>
        <w:noProof/>
        <w:lang w:val="pt-PT"/>
      </w:rPr>
      <w:t>5</w:t>
    </w:r>
    <w:r>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982133">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982133">
      <w:rPr>
        <w:rFonts w:cs="Arial"/>
        <w:noProof/>
        <w:lang w:val="pt-PT"/>
      </w:rPr>
      <w:t>5</w:t>
    </w:r>
    <w:r w:rsidRPr="00DB67FC">
      <w:rPr>
        <w:rFonts w:cs="Arial"/>
      </w:rPr>
      <w:fldChar w:fldCharType="end"/>
    </w:r>
  </w:p>
  <w:p w14:paraId="49FE98E7" w14:textId="77777777" w:rsidR="00265565" w:rsidRPr="00505FA0" w:rsidRDefault="00265565" w:rsidP="006655D3">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BD58A" w14:textId="77777777" w:rsidR="00DE5E38" w:rsidRDefault="00982133">
    <w:pPr>
      <w:pStyle w:val="Header"/>
      <w:rPr>
        <w:rStyle w:val="PageNumber"/>
        <w:lang w:val="pt-PT"/>
      </w:rPr>
    </w:pPr>
    <w:r>
      <w:rPr>
        <w:rFonts w:cs="Arial"/>
        <w:lang w:val="pt-PT"/>
      </w:rPr>
      <w:t>WG-HRV/4/3</w:t>
    </w:r>
  </w:p>
  <w:p w14:paraId="51ABF63C" w14:textId="77777777" w:rsidR="00265565" w:rsidRDefault="00265565" w:rsidP="0030260E">
    <w:pPr>
      <w:jc w:val="center"/>
      <w:rPr>
        <w:lang w:val="pt-PT"/>
      </w:rPr>
    </w:pPr>
  </w:p>
  <w:p w14:paraId="4D12333D" w14:textId="77777777" w:rsidR="00DE5E38" w:rsidRDefault="00C5303F">
    <w:pPr>
      <w:jc w:val="center"/>
      <w:rPr>
        <w:lang w:val="pt-PT"/>
      </w:rPr>
    </w:pPr>
    <w:r>
      <w:rPr>
        <w:lang w:val="pt-PT"/>
      </w:rPr>
      <w:t xml:space="preserve">ANNEXE / ANNEX / ANEXO </w:t>
    </w:r>
  </w:p>
  <w:p w14:paraId="4E448406" w14:textId="77777777" w:rsidR="00265565" w:rsidRPr="00EC1BE8" w:rsidRDefault="00265565" w:rsidP="0030260E">
    <w:pPr>
      <w:pStyle w:val="Header"/>
      <w:rPr>
        <w:lang w:val="sv-SE"/>
      </w:rPr>
    </w:pPr>
  </w:p>
  <w:p w14:paraId="3589C45B" w14:textId="77777777" w:rsidR="00265565" w:rsidRPr="00EC1BE8" w:rsidRDefault="00265565" w:rsidP="0030260E">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D227CD2"/>
    <w:multiLevelType w:val="hybridMultilevel"/>
    <w:tmpl w:val="CA9E915A"/>
    <w:lvl w:ilvl="0" w:tplc="D5B29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0F57E0B"/>
    <w:multiLevelType w:val="hybridMultilevel"/>
    <w:tmpl w:val="8A9276FC"/>
    <w:lvl w:ilvl="0" w:tplc="3C6440FE">
      <w:start w:val="9"/>
      <w:numFmt w:val="decimal"/>
      <w:lvlText w:val="%1."/>
      <w:lvlJc w:val="left"/>
      <w:pPr>
        <w:ind w:left="187" w:hanging="560"/>
        <w:jc w:val="right"/>
      </w:pPr>
      <w:rPr>
        <w:rFonts w:hint="default"/>
        <w:spacing w:val="-1"/>
        <w:w w:val="110"/>
        <w:lang w:val="en-US" w:eastAsia="en-US" w:bidi="ar-SA"/>
      </w:rPr>
    </w:lvl>
    <w:lvl w:ilvl="1" w:tplc="AF18D256">
      <w:numFmt w:val="bullet"/>
      <w:lvlText w:val="•"/>
      <w:lvlJc w:val="left"/>
      <w:pPr>
        <w:ind w:left="1154" w:hanging="560"/>
      </w:pPr>
      <w:rPr>
        <w:rFonts w:hint="default"/>
        <w:lang w:val="en-US" w:eastAsia="en-US" w:bidi="ar-SA"/>
      </w:rPr>
    </w:lvl>
    <w:lvl w:ilvl="2" w:tplc="B55C0BF4">
      <w:numFmt w:val="bullet"/>
      <w:lvlText w:val="•"/>
      <w:lvlJc w:val="left"/>
      <w:pPr>
        <w:ind w:left="2128" w:hanging="560"/>
      </w:pPr>
      <w:rPr>
        <w:rFonts w:hint="default"/>
        <w:lang w:val="en-US" w:eastAsia="en-US" w:bidi="ar-SA"/>
      </w:rPr>
    </w:lvl>
    <w:lvl w:ilvl="3" w:tplc="15B089DC">
      <w:numFmt w:val="bullet"/>
      <w:lvlText w:val="•"/>
      <w:lvlJc w:val="left"/>
      <w:pPr>
        <w:ind w:left="3102" w:hanging="560"/>
      </w:pPr>
      <w:rPr>
        <w:rFonts w:hint="default"/>
        <w:lang w:val="en-US" w:eastAsia="en-US" w:bidi="ar-SA"/>
      </w:rPr>
    </w:lvl>
    <w:lvl w:ilvl="4" w:tplc="40DCC14C">
      <w:numFmt w:val="bullet"/>
      <w:lvlText w:val="•"/>
      <w:lvlJc w:val="left"/>
      <w:pPr>
        <w:ind w:left="4076" w:hanging="560"/>
      </w:pPr>
      <w:rPr>
        <w:rFonts w:hint="default"/>
        <w:lang w:val="en-US" w:eastAsia="en-US" w:bidi="ar-SA"/>
      </w:rPr>
    </w:lvl>
    <w:lvl w:ilvl="5" w:tplc="F2065E14">
      <w:numFmt w:val="bullet"/>
      <w:lvlText w:val="•"/>
      <w:lvlJc w:val="left"/>
      <w:pPr>
        <w:ind w:left="5050" w:hanging="560"/>
      </w:pPr>
      <w:rPr>
        <w:rFonts w:hint="default"/>
        <w:lang w:val="en-US" w:eastAsia="en-US" w:bidi="ar-SA"/>
      </w:rPr>
    </w:lvl>
    <w:lvl w:ilvl="6" w:tplc="95627F58">
      <w:numFmt w:val="bullet"/>
      <w:lvlText w:val="•"/>
      <w:lvlJc w:val="left"/>
      <w:pPr>
        <w:ind w:left="6024" w:hanging="560"/>
      </w:pPr>
      <w:rPr>
        <w:rFonts w:hint="default"/>
        <w:lang w:val="en-US" w:eastAsia="en-US" w:bidi="ar-SA"/>
      </w:rPr>
    </w:lvl>
    <w:lvl w:ilvl="7" w:tplc="E1E217CE">
      <w:numFmt w:val="bullet"/>
      <w:lvlText w:val="•"/>
      <w:lvlJc w:val="left"/>
      <w:pPr>
        <w:ind w:left="6999" w:hanging="560"/>
      </w:pPr>
      <w:rPr>
        <w:rFonts w:hint="default"/>
        <w:lang w:val="en-US" w:eastAsia="en-US" w:bidi="ar-SA"/>
      </w:rPr>
    </w:lvl>
    <w:lvl w:ilvl="8" w:tplc="7C322B14">
      <w:numFmt w:val="bullet"/>
      <w:lvlText w:val="•"/>
      <w:lvlJc w:val="left"/>
      <w:pPr>
        <w:ind w:left="7973" w:hanging="560"/>
      </w:pPr>
      <w:rPr>
        <w:rFonts w:hint="default"/>
        <w:lang w:val="en-US" w:eastAsia="en-US" w:bidi="ar-SA"/>
      </w:rPr>
    </w:lvl>
  </w:abstractNum>
  <w:abstractNum w:abstractNumId="8" w15:restartNumberingAfterBreak="0">
    <w:nsid w:val="58962ABC"/>
    <w:multiLevelType w:val="hybridMultilevel"/>
    <w:tmpl w:val="C262D288"/>
    <w:lvl w:ilvl="0" w:tplc="D3BEB470">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05C7C"/>
    <w:multiLevelType w:val="hybridMultilevel"/>
    <w:tmpl w:val="986A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57D35"/>
    <w:multiLevelType w:val="hybridMultilevel"/>
    <w:tmpl w:val="8ECA4EDA"/>
    <w:lvl w:ilvl="0" w:tplc="78D0601C">
      <w:start w:val="1"/>
      <w:numFmt w:val="decimal"/>
      <w:lvlText w:val="%1."/>
      <w:lvlJc w:val="left"/>
      <w:pPr>
        <w:ind w:left="720" w:hanging="36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032E84"/>
    <w:multiLevelType w:val="hybridMultilevel"/>
    <w:tmpl w:val="95823624"/>
    <w:lvl w:ilvl="0" w:tplc="4AE223E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560360">
    <w:abstractNumId w:val="1"/>
  </w:num>
  <w:num w:numId="2" w16cid:durableId="1143697012">
    <w:abstractNumId w:val="2"/>
  </w:num>
  <w:num w:numId="3" w16cid:durableId="248777717">
    <w:abstractNumId w:val="0"/>
  </w:num>
  <w:num w:numId="4" w16cid:durableId="1621061091">
    <w:abstractNumId w:val="4"/>
  </w:num>
  <w:num w:numId="5" w16cid:durableId="1098982062">
    <w:abstractNumId w:val="9"/>
  </w:num>
  <w:num w:numId="6" w16cid:durableId="1339582116">
    <w:abstractNumId w:val="10"/>
  </w:num>
  <w:num w:numId="7" w16cid:durableId="222833066">
    <w:abstractNumId w:val="6"/>
  </w:num>
  <w:num w:numId="8" w16cid:durableId="900210982">
    <w:abstractNumId w:val="12"/>
  </w:num>
  <w:num w:numId="9" w16cid:durableId="253708367">
    <w:abstractNumId w:val="5"/>
  </w:num>
  <w:num w:numId="10" w16cid:durableId="121578285">
    <w:abstractNumId w:val="7"/>
  </w:num>
  <w:num w:numId="11" w16cid:durableId="474494643">
    <w:abstractNumId w:val="11"/>
  </w:num>
  <w:num w:numId="12" w16cid:durableId="393427784">
    <w:abstractNumId w:val="8"/>
  </w:num>
  <w:num w:numId="13" w16cid:durableId="753749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70"/>
    <w:rsid w:val="00010CF3"/>
    <w:rsid w:val="00011E27"/>
    <w:rsid w:val="000148BC"/>
    <w:rsid w:val="00014BFE"/>
    <w:rsid w:val="00024AB8"/>
    <w:rsid w:val="00030854"/>
    <w:rsid w:val="00036028"/>
    <w:rsid w:val="00044642"/>
    <w:rsid w:val="000446B9"/>
    <w:rsid w:val="00046248"/>
    <w:rsid w:val="00047A1E"/>
    <w:rsid w:val="00047E21"/>
    <w:rsid w:val="00050E16"/>
    <w:rsid w:val="00063E3E"/>
    <w:rsid w:val="00073788"/>
    <w:rsid w:val="00080F3E"/>
    <w:rsid w:val="00085505"/>
    <w:rsid w:val="000A1C42"/>
    <w:rsid w:val="000A53D0"/>
    <w:rsid w:val="000A5A60"/>
    <w:rsid w:val="000B3612"/>
    <w:rsid w:val="000B5915"/>
    <w:rsid w:val="000C4E25"/>
    <w:rsid w:val="000C68DC"/>
    <w:rsid w:val="000C7021"/>
    <w:rsid w:val="000D0CB7"/>
    <w:rsid w:val="000D6BBC"/>
    <w:rsid w:val="000D7780"/>
    <w:rsid w:val="000E054E"/>
    <w:rsid w:val="000E636A"/>
    <w:rsid w:val="000F16C9"/>
    <w:rsid w:val="000F2F11"/>
    <w:rsid w:val="000F342F"/>
    <w:rsid w:val="00105929"/>
    <w:rsid w:val="00106617"/>
    <w:rsid w:val="001109B4"/>
    <w:rsid w:val="00110BED"/>
    <w:rsid w:val="00110C36"/>
    <w:rsid w:val="001131D5"/>
    <w:rsid w:val="00122247"/>
    <w:rsid w:val="00122356"/>
    <w:rsid w:val="001358F7"/>
    <w:rsid w:val="00141DB8"/>
    <w:rsid w:val="00154004"/>
    <w:rsid w:val="001640A3"/>
    <w:rsid w:val="0016432C"/>
    <w:rsid w:val="00165DD8"/>
    <w:rsid w:val="00171322"/>
    <w:rsid w:val="00172084"/>
    <w:rsid w:val="00173A98"/>
    <w:rsid w:val="0017474A"/>
    <w:rsid w:val="001758C6"/>
    <w:rsid w:val="001828A6"/>
    <w:rsid w:val="00182B99"/>
    <w:rsid w:val="00184F2A"/>
    <w:rsid w:val="001A560F"/>
    <w:rsid w:val="001B6FD3"/>
    <w:rsid w:val="001C1525"/>
    <w:rsid w:val="001C70F8"/>
    <w:rsid w:val="001C73CC"/>
    <w:rsid w:val="001D4B4B"/>
    <w:rsid w:val="001E4312"/>
    <w:rsid w:val="001F13D4"/>
    <w:rsid w:val="00204CE7"/>
    <w:rsid w:val="0021332C"/>
    <w:rsid w:val="00213634"/>
    <w:rsid w:val="00213982"/>
    <w:rsid w:val="00214CAA"/>
    <w:rsid w:val="00216276"/>
    <w:rsid w:val="0022039C"/>
    <w:rsid w:val="00223417"/>
    <w:rsid w:val="002235F7"/>
    <w:rsid w:val="00226F69"/>
    <w:rsid w:val="00227A2B"/>
    <w:rsid w:val="002362BD"/>
    <w:rsid w:val="0024416D"/>
    <w:rsid w:val="00246ABE"/>
    <w:rsid w:val="00260153"/>
    <w:rsid w:val="00265565"/>
    <w:rsid w:val="0027146C"/>
    <w:rsid w:val="00271911"/>
    <w:rsid w:val="00271CB9"/>
    <w:rsid w:val="00273D1A"/>
    <w:rsid w:val="00275157"/>
    <w:rsid w:val="002800A0"/>
    <w:rsid w:val="002801B3"/>
    <w:rsid w:val="00281060"/>
    <w:rsid w:val="00281AE2"/>
    <w:rsid w:val="002827FA"/>
    <w:rsid w:val="0029033A"/>
    <w:rsid w:val="00292ED4"/>
    <w:rsid w:val="002940E8"/>
    <w:rsid w:val="00294751"/>
    <w:rsid w:val="002A2361"/>
    <w:rsid w:val="002A6E50"/>
    <w:rsid w:val="002B31DD"/>
    <w:rsid w:val="002B4298"/>
    <w:rsid w:val="002B5E6C"/>
    <w:rsid w:val="002B7A36"/>
    <w:rsid w:val="002C256A"/>
    <w:rsid w:val="002C686A"/>
    <w:rsid w:val="002D22EA"/>
    <w:rsid w:val="002D6FD5"/>
    <w:rsid w:val="002E05F8"/>
    <w:rsid w:val="002E069A"/>
    <w:rsid w:val="002E2FE0"/>
    <w:rsid w:val="002E40D9"/>
    <w:rsid w:val="002F543F"/>
    <w:rsid w:val="002F79D3"/>
    <w:rsid w:val="002F7E6E"/>
    <w:rsid w:val="0030260E"/>
    <w:rsid w:val="00305A7F"/>
    <w:rsid w:val="00306442"/>
    <w:rsid w:val="003078F7"/>
    <w:rsid w:val="00315113"/>
    <w:rsid w:val="003152FE"/>
    <w:rsid w:val="0032341B"/>
    <w:rsid w:val="0032617F"/>
    <w:rsid w:val="0032692B"/>
    <w:rsid w:val="00327436"/>
    <w:rsid w:val="00343B22"/>
    <w:rsid w:val="00344BD6"/>
    <w:rsid w:val="0035528D"/>
    <w:rsid w:val="00361821"/>
    <w:rsid w:val="00361E9E"/>
    <w:rsid w:val="00367481"/>
    <w:rsid w:val="00376068"/>
    <w:rsid w:val="003854EB"/>
    <w:rsid w:val="00395F80"/>
    <w:rsid w:val="003971E7"/>
    <w:rsid w:val="003A3DCC"/>
    <w:rsid w:val="003A5AAF"/>
    <w:rsid w:val="003C7FBE"/>
    <w:rsid w:val="003D227C"/>
    <w:rsid w:val="003D2B4D"/>
    <w:rsid w:val="003E0F53"/>
    <w:rsid w:val="003E3CEE"/>
    <w:rsid w:val="003F2D26"/>
    <w:rsid w:val="003F2EA8"/>
    <w:rsid w:val="003F366F"/>
    <w:rsid w:val="003F3C15"/>
    <w:rsid w:val="003F5A76"/>
    <w:rsid w:val="00400739"/>
    <w:rsid w:val="00400F93"/>
    <w:rsid w:val="00421F17"/>
    <w:rsid w:val="00423B52"/>
    <w:rsid w:val="00431FA0"/>
    <w:rsid w:val="004344D9"/>
    <w:rsid w:val="00444A88"/>
    <w:rsid w:val="0044717E"/>
    <w:rsid w:val="00447D5E"/>
    <w:rsid w:val="004640C8"/>
    <w:rsid w:val="00474DA4"/>
    <w:rsid w:val="00475C53"/>
    <w:rsid w:val="00476B4D"/>
    <w:rsid w:val="004805FA"/>
    <w:rsid w:val="00483433"/>
    <w:rsid w:val="00484988"/>
    <w:rsid w:val="004930F1"/>
    <w:rsid w:val="004935D2"/>
    <w:rsid w:val="004A10CD"/>
    <w:rsid w:val="004A7551"/>
    <w:rsid w:val="004B1215"/>
    <w:rsid w:val="004B6077"/>
    <w:rsid w:val="004B7EDD"/>
    <w:rsid w:val="004C30F6"/>
    <w:rsid w:val="004D047D"/>
    <w:rsid w:val="004E68F7"/>
    <w:rsid w:val="004F0D03"/>
    <w:rsid w:val="004F1E9E"/>
    <w:rsid w:val="004F305A"/>
    <w:rsid w:val="004F3F84"/>
    <w:rsid w:val="005018D9"/>
    <w:rsid w:val="005048C1"/>
    <w:rsid w:val="00505FA0"/>
    <w:rsid w:val="00506D22"/>
    <w:rsid w:val="00512164"/>
    <w:rsid w:val="005176AD"/>
    <w:rsid w:val="00520297"/>
    <w:rsid w:val="005338F9"/>
    <w:rsid w:val="005347AE"/>
    <w:rsid w:val="005352EC"/>
    <w:rsid w:val="005422B5"/>
    <w:rsid w:val="0054281C"/>
    <w:rsid w:val="00544581"/>
    <w:rsid w:val="00544AA7"/>
    <w:rsid w:val="005502AC"/>
    <w:rsid w:val="00551D2F"/>
    <w:rsid w:val="0055268D"/>
    <w:rsid w:val="00562756"/>
    <w:rsid w:val="00567C77"/>
    <w:rsid w:val="005710F3"/>
    <w:rsid w:val="005739F0"/>
    <w:rsid w:val="00576B40"/>
    <w:rsid w:val="00576BE4"/>
    <w:rsid w:val="005779DB"/>
    <w:rsid w:val="005A400A"/>
    <w:rsid w:val="005B0606"/>
    <w:rsid w:val="005C1B37"/>
    <w:rsid w:val="005D0631"/>
    <w:rsid w:val="005D2B39"/>
    <w:rsid w:val="005D5BF7"/>
    <w:rsid w:val="005E4ECA"/>
    <w:rsid w:val="005E55D1"/>
    <w:rsid w:val="005F5997"/>
    <w:rsid w:val="005F7B92"/>
    <w:rsid w:val="0060761B"/>
    <w:rsid w:val="00612379"/>
    <w:rsid w:val="006153B6"/>
    <w:rsid w:val="0061555F"/>
    <w:rsid w:val="006261E2"/>
    <w:rsid w:val="00636CA6"/>
    <w:rsid w:val="00641200"/>
    <w:rsid w:val="006443F5"/>
    <w:rsid w:val="00645CA8"/>
    <w:rsid w:val="00655C75"/>
    <w:rsid w:val="00662BEF"/>
    <w:rsid w:val="0066481F"/>
    <w:rsid w:val="006655D3"/>
    <w:rsid w:val="00667404"/>
    <w:rsid w:val="0067577D"/>
    <w:rsid w:val="00684581"/>
    <w:rsid w:val="00687521"/>
    <w:rsid w:val="00687EB4"/>
    <w:rsid w:val="00695C56"/>
    <w:rsid w:val="00696E39"/>
    <w:rsid w:val="006A5CDE"/>
    <w:rsid w:val="006A644A"/>
    <w:rsid w:val="006A6991"/>
    <w:rsid w:val="006A6CD0"/>
    <w:rsid w:val="006B17D2"/>
    <w:rsid w:val="006B2E6C"/>
    <w:rsid w:val="006C224E"/>
    <w:rsid w:val="006C3785"/>
    <w:rsid w:val="006C6D99"/>
    <w:rsid w:val="006D68F9"/>
    <w:rsid w:val="006D780A"/>
    <w:rsid w:val="006E11D4"/>
    <w:rsid w:val="006E26F0"/>
    <w:rsid w:val="006F51C5"/>
    <w:rsid w:val="007049B7"/>
    <w:rsid w:val="00704AEF"/>
    <w:rsid w:val="007119C5"/>
    <w:rsid w:val="007119DA"/>
    <w:rsid w:val="0071271E"/>
    <w:rsid w:val="007224FD"/>
    <w:rsid w:val="007279F9"/>
    <w:rsid w:val="00731BB3"/>
    <w:rsid w:val="00732DEC"/>
    <w:rsid w:val="00735BD5"/>
    <w:rsid w:val="00740F91"/>
    <w:rsid w:val="007451EC"/>
    <w:rsid w:val="00751613"/>
    <w:rsid w:val="00752CC1"/>
    <w:rsid w:val="00753EE9"/>
    <w:rsid w:val="007556F6"/>
    <w:rsid w:val="00760EEF"/>
    <w:rsid w:val="00767385"/>
    <w:rsid w:val="007719AE"/>
    <w:rsid w:val="00777EE5"/>
    <w:rsid w:val="00784836"/>
    <w:rsid w:val="00784911"/>
    <w:rsid w:val="00786F82"/>
    <w:rsid w:val="00790150"/>
    <w:rsid w:val="0079023E"/>
    <w:rsid w:val="007A2854"/>
    <w:rsid w:val="007A4B84"/>
    <w:rsid w:val="007B3148"/>
    <w:rsid w:val="007B34A2"/>
    <w:rsid w:val="007B46A4"/>
    <w:rsid w:val="007B4903"/>
    <w:rsid w:val="007B77AA"/>
    <w:rsid w:val="007C1D92"/>
    <w:rsid w:val="007C28BC"/>
    <w:rsid w:val="007C4CB9"/>
    <w:rsid w:val="007D0B9D"/>
    <w:rsid w:val="007D0BF9"/>
    <w:rsid w:val="007D19B0"/>
    <w:rsid w:val="007D4DD7"/>
    <w:rsid w:val="007E686D"/>
    <w:rsid w:val="007F498F"/>
    <w:rsid w:val="00806252"/>
    <w:rsid w:val="0080679D"/>
    <w:rsid w:val="00807CC3"/>
    <w:rsid w:val="008108B0"/>
    <w:rsid w:val="00811B20"/>
    <w:rsid w:val="00812609"/>
    <w:rsid w:val="008211B5"/>
    <w:rsid w:val="0082296E"/>
    <w:rsid w:val="00824099"/>
    <w:rsid w:val="008269AE"/>
    <w:rsid w:val="00831B48"/>
    <w:rsid w:val="00845B47"/>
    <w:rsid w:val="00846D7C"/>
    <w:rsid w:val="00850B7C"/>
    <w:rsid w:val="0086684D"/>
    <w:rsid w:val="008670C0"/>
    <w:rsid w:val="00867AC1"/>
    <w:rsid w:val="008755EB"/>
    <w:rsid w:val="00881056"/>
    <w:rsid w:val="0088342F"/>
    <w:rsid w:val="0089068A"/>
    <w:rsid w:val="00890DF8"/>
    <w:rsid w:val="008943EF"/>
    <w:rsid w:val="008A6DD5"/>
    <w:rsid w:val="008A743F"/>
    <w:rsid w:val="008A7663"/>
    <w:rsid w:val="008B465C"/>
    <w:rsid w:val="008B54D6"/>
    <w:rsid w:val="008B5F0B"/>
    <w:rsid w:val="008C0970"/>
    <w:rsid w:val="008D0BC5"/>
    <w:rsid w:val="008D2CF7"/>
    <w:rsid w:val="008D5C70"/>
    <w:rsid w:val="00900C26"/>
    <w:rsid w:val="0090197F"/>
    <w:rsid w:val="00903264"/>
    <w:rsid w:val="00906DDC"/>
    <w:rsid w:val="00934E09"/>
    <w:rsid w:val="00936253"/>
    <w:rsid w:val="00940D46"/>
    <w:rsid w:val="00941739"/>
    <w:rsid w:val="009434CA"/>
    <w:rsid w:val="00952DD4"/>
    <w:rsid w:val="00965AE7"/>
    <w:rsid w:val="00970FED"/>
    <w:rsid w:val="00982133"/>
    <w:rsid w:val="009849A0"/>
    <w:rsid w:val="00992D82"/>
    <w:rsid w:val="00995195"/>
    <w:rsid w:val="00997029"/>
    <w:rsid w:val="009A7339"/>
    <w:rsid w:val="009B3DF9"/>
    <w:rsid w:val="009B440E"/>
    <w:rsid w:val="009B7E72"/>
    <w:rsid w:val="009C2C83"/>
    <w:rsid w:val="009D3FD7"/>
    <w:rsid w:val="009D690D"/>
    <w:rsid w:val="009E1895"/>
    <w:rsid w:val="009E45CB"/>
    <w:rsid w:val="009E65B6"/>
    <w:rsid w:val="009F06E3"/>
    <w:rsid w:val="009F369A"/>
    <w:rsid w:val="009F6EE4"/>
    <w:rsid w:val="009F77CF"/>
    <w:rsid w:val="00A00EE2"/>
    <w:rsid w:val="00A02469"/>
    <w:rsid w:val="00A02DB7"/>
    <w:rsid w:val="00A04539"/>
    <w:rsid w:val="00A074EF"/>
    <w:rsid w:val="00A163A2"/>
    <w:rsid w:val="00A24C10"/>
    <w:rsid w:val="00A255D0"/>
    <w:rsid w:val="00A3110A"/>
    <w:rsid w:val="00A42AC3"/>
    <w:rsid w:val="00A430CF"/>
    <w:rsid w:val="00A514DB"/>
    <w:rsid w:val="00A54309"/>
    <w:rsid w:val="00A54CCA"/>
    <w:rsid w:val="00A575F7"/>
    <w:rsid w:val="00A604D9"/>
    <w:rsid w:val="00A655E8"/>
    <w:rsid w:val="00A67030"/>
    <w:rsid w:val="00A80F2A"/>
    <w:rsid w:val="00A87AC0"/>
    <w:rsid w:val="00A926DC"/>
    <w:rsid w:val="00AA022B"/>
    <w:rsid w:val="00AB2B93"/>
    <w:rsid w:val="00AB4EC6"/>
    <w:rsid w:val="00AB530F"/>
    <w:rsid w:val="00AB5CF2"/>
    <w:rsid w:val="00AB7E5B"/>
    <w:rsid w:val="00AC2883"/>
    <w:rsid w:val="00AC379C"/>
    <w:rsid w:val="00AC37D8"/>
    <w:rsid w:val="00AC5A84"/>
    <w:rsid w:val="00AD730C"/>
    <w:rsid w:val="00AE0EF1"/>
    <w:rsid w:val="00AE2937"/>
    <w:rsid w:val="00AF2484"/>
    <w:rsid w:val="00AF7CD9"/>
    <w:rsid w:val="00B033FD"/>
    <w:rsid w:val="00B065CC"/>
    <w:rsid w:val="00B07301"/>
    <w:rsid w:val="00B10A93"/>
    <w:rsid w:val="00B11F3E"/>
    <w:rsid w:val="00B224DE"/>
    <w:rsid w:val="00B324D4"/>
    <w:rsid w:val="00B46575"/>
    <w:rsid w:val="00B60EAB"/>
    <w:rsid w:val="00B60EDD"/>
    <w:rsid w:val="00B61777"/>
    <w:rsid w:val="00B622E6"/>
    <w:rsid w:val="00B62570"/>
    <w:rsid w:val="00B70785"/>
    <w:rsid w:val="00B830C4"/>
    <w:rsid w:val="00B84BBD"/>
    <w:rsid w:val="00B9119A"/>
    <w:rsid w:val="00B957F6"/>
    <w:rsid w:val="00B97CE0"/>
    <w:rsid w:val="00BA43FB"/>
    <w:rsid w:val="00BB58D8"/>
    <w:rsid w:val="00BC0819"/>
    <w:rsid w:val="00BC127D"/>
    <w:rsid w:val="00BC15FF"/>
    <w:rsid w:val="00BC1FE6"/>
    <w:rsid w:val="00BC7ACB"/>
    <w:rsid w:val="00BD0AB8"/>
    <w:rsid w:val="00BD2FDB"/>
    <w:rsid w:val="00BF0760"/>
    <w:rsid w:val="00BF20DF"/>
    <w:rsid w:val="00BF3AE6"/>
    <w:rsid w:val="00C061B6"/>
    <w:rsid w:val="00C0769A"/>
    <w:rsid w:val="00C2007C"/>
    <w:rsid w:val="00C2446C"/>
    <w:rsid w:val="00C36577"/>
    <w:rsid w:val="00C36AE5"/>
    <w:rsid w:val="00C41F17"/>
    <w:rsid w:val="00C509E0"/>
    <w:rsid w:val="00C5168E"/>
    <w:rsid w:val="00C527FA"/>
    <w:rsid w:val="00C5280D"/>
    <w:rsid w:val="00C5303F"/>
    <w:rsid w:val="00C53EB3"/>
    <w:rsid w:val="00C5791C"/>
    <w:rsid w:val="00C63894"/>
    <w:rsid w:val="00C66290"/>
    <w:rsid w:val="00C67D9C"/>
    <w:rsid w:val="00C72B7A"/>
    <w:rsid w:val="00C973F2"/>
    <w:rsid w:val="00CA22AB"/>
    <w:rsid w:val="00CA304C"/>
    <w:rsid w:val="00CA774A"/>
    <w:rsid w:val="00CB7448"/>
    <w:rsid w:val="00CC04CA"/>
    <w:rsid w:val="00CC0770"/>
    <w:rsid w:val="00CC11B0"/>
    <w:rsid w:val="00CC2841"/>
    <w:rsid w:val="00CD261C"/>
    <w:rsid w:val="00CE7743"/>
    <w:rsid w:val="00CF00FD"/>
    <w:rsid w:val="00CF1330"/>
    <w:rsid w:val="00CF14F6"/>
    <w:rsid w:val="00CF7E36"/>
    <w:rsid w:val="00CF7FC8"/>
    <w:rsid w:val="00D20DA7"/>
    <w:rsid w:val="00D3708D"/>
    <w:rsid w:val="00D40426"/>
    <w:rsid w:val="00D43086"/>
    <w:rsid w:val="00D47F45"/>
    <w:rsid w:val="00D57C96"/>
    <w:rsid w:val="00D57D18"/>
    <w:rsid w:val="00D8294C"/>
    <w:rsid w:val="00D91203"/>
    <w:rsid w:val="00D95174"/>
    <w:rsid w:val="00DA1D78"/>
    <w:rsid w:val="00DA4432"/>
    <w:rsid w:val="00DA4973"/>
    <w:rsid w:val="00DA6F1D"/>
    <w:rsid w:val="00DA6F36"/>
    <w:rsid w:val="00DB596E"/>
    <w:rsid w:val="00DB7773"/>
    <w:rsid w:val="00DC00EA"/>
    <w:rsid w:val="00DC3802"/>
    <w:rsid w:val="00DD32D6"/>
    <w:rsid w:val="00DD44DF"/>
    <w:rsid w:val="00DD6208"/>
    <w:rsid w:val="00DE5E38"/>
    <w:rsid w:val="00DF48D9"/>
    <w:rsid w:val="00E00762"/>
    <w:rsid w:val="00E07D87"/>
    <w:rsid w:val="00E237E3"/>
    <w:rsid w:val="00E249C8"/>
    <w:rsid w:val="00E27FB5"/>
    <w:rsid w:val="00E32F7E"/>
    <w:rsid w:val="00E34A3A"/>
    <w:rsid w:val="00E37C71"/>
    <w:rsid w:val="00E51194"/>
    <w:rsid w:val="00E51FB9"/>
    <w:rsid w:val="00E5267B"/>
    <w:rsid w:val="00E54022"/>
    <w:rsid w:val="00E559F0"/>
    <w:rsid w:val="00E63C0E"/>
    <w:rsid w:val="00E70A85"/>
    <w:rsid w:val="00E72D49"/>
    <w:rsid w:val="00E7593C"/>
    <w:rsid w:val="00E7678A"/>
    <w:rsid w:val="00E935F1"/>
    <w:rsid w:val="00E94A81"/>
    <w:rsid w:val="00E976F2"/>
    <w:rsid w:val="00EA09D0"/>
    <w:rsid w:val="00EA0FD3"/>
    <w:rsid w:val="00EA1FFB"/>
    <w:rsid w:val="00EB048E"/>
    <w:rsid w:val="00EB4E9C"/>
    <w:rsid w:val="00EB56AA"/>
    <w:rsid w:val="00EC1BE8"/>
    <w:rsid w:val="00EC232A"/>
    <w:rsid w:val="00ED7C74"/>
    <w:rsid w:val="00EE0AFF"/>
    <w:rsid w:val="00EE34DF"/>
    <w:rsid w:val="00EF2F89"/>
    <w:rsid w:val="00F03E98"/>
    <w:rsid w:val="00F0430B"/>
    <w:rsid w:val="00F1237A"/>
    <w:rsid w:val="00F17BDA"/>
    <w:rsid w:val="00F20310"/>
    <w:rsid w:val="00F22CBD"/>
    <w:rsid w:val="00F272F1"/>
    <w:rsid w:val="00F31412"/>
    <w:rsid w:val="00F33B20"/>
    <w:rsid w:val="00F34159"/>
    <w:rsid w:val="00F45372"/>
    <w:rsid w:val="00F515AB"/>
    <w:rsid w:val="00F560F7"/>
    <w:rsid w:val="00F6334D"/>
    <w:rsid w:val="00F63599"/>
    <w:rsid w:val="00F647B1"/>
    <w:rsid w:val="00F702EF"/>
    <w:rsid w:val="00F75616"/>
    <w:rsid w:val="00FA49AB"/>
    <w:rsid w:val="00FA6972"/>
    <w:rsid w:val="00FB005A"/>
    <w:rsid w:val="00FB0958"/>
    <w:rsid w:val="00FD75FE"/>
    <w:rsid w:val="00FE1842"/>
    <w:rsid w:val="00FE246A"/>
    <w:rsid w:val="00FE39C7"/>
    <w:rsid w:val="00FE658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397AE"/>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30B"/>
    <w:pPr>
      <w:jc w:val="both"/>
    </w:pPr>
    <w:rPr>
      <w:rFonts w:ascii="Arial" w:hAnsi="Arial"/>
    </w:rPr>
  </w:style>
  <w:style w:type="paragraph" w:styleId="Heading1">
    <w:name w:val="heading 1"/>
    <w:next w:val="Normal"/>
    <w:link w:val="Heading1Char"/>
    <w:autoRedefine/>
    <w:qFormat/>
    <w:rsid w:val="00FE246A"/>
    <w:pPr>
      <w:keepNext/>
      <w:jc w:val="both"/>
      <w:outlineLvl w:val="0"/>
    </w:pPr>
    <w:rPr>
      <w:rFonts w:ascii="Arial" w:hAnsi="Arial"/>
      <w:b/>
      <w:bCs/>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FE246A"/>
    <w:rPr>
      <w:rFonts w:ascii="Arial" w:hAnsi="Arial"/>
      <w:b/>
      <w:bCs/>
      <w:caps/>
    </w:rPr>
  </w:style>
  <w:style w:type="paragraph" w:styleId="ListParagraph">
    <w:name w:val="List Paragraph"/>
    <w:basedOn w:val="Normal"/>
    <w:uiPriority w:val="1"/>
    <w:qFormat/>
    <w:rsid w:val="00B60EDD"/>
    <w:pPr>
      <w:ind w:left="720"/>
      <w:contextualSpacing/>
    </w:pPr>
  </w:style>
  <w:style w:type="table" w:styleId="TableGrid">
    <w:name w:val="Table Grid"/>
    <w:basedOn w:val="TableNormal"/>
    <w:rsid w:val="0027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0770"/>
    <w:rPr>
      <w:rFonts w:ascii="Arial" w:hAnsi="Arial"/>
    </w:rPr>
  </w:style>
  <w:style w:type="character" w:styleId="CommentReference">
    <w:name w:val="annotation reference"/>
    <w:basedOn w:val="DefaultParagraphFont"/>
    <w:semiHidden/>
    <w:unhideWhenUsed/>
    <w:rsid w:val="00423B52"/>
    <w:rPr>
      <w:sz w:val="16"/>
      <w:szCs w:val="16"/>
    </w:rPr>
  </w:style>
  <w:style w:type="paragraph" w:styleId="CommentText">
    <w:name w:val="annotation text"/>
    <w:basedOn w:val="Normal"/>
    <w:link w:val="CommentTextChar"/>
    <w:unhideWhenUsed/>
    <w:rsid w:val="00423B52"/>
  </w:style>
  <w:style w:type="character" w:customStyle="1" w:styleId="CommentTextChar">
    <w:name w:val="Comment Text Char"/>
    <w:basedOn w:val="DefaultParagraphFont"/>
    <w:link w:val="CommentText"/>
    <w:rsid w:val="00423B52"/>
    <w:rPr>
      <w:rFonts w:ascii="Arial" w:hAnsi="Arial"/>
    </w:rPr>
  </w:style>
  <w:style w:type="paragraph" w:styleId="CommentSubject">
    <w:name w:val="annotation subject"/>
    <w:basedOn w:val="CommentText"/>
    <w:next w:val="CommentText"/>
    <w:link w:val="CommentSubjectChar"/>
    <w:semiHidden/>
    <w:unhideWhenUsed/>
    <w:rsid w:val="00423B52"/>
    <w:rPr>
      <w:b/>
      <w:bCs/>
    </w:rPr>
  </w:style>
  <w:style w:type="character" w:customStyle="1" w:styleId="CommentSubjectChar">
    <w:name w:val="Comment Subject Char"/>
    <w:basedOn w:val="CommentTextChar"/>
    <w:link w:val="CommentSubject"/>
    <w:semiHidden/>
    <w:rsid w:val="00423B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5775">
      <w:bodyDiv w:val="1"/>
      <w:marLeft w:val="0"/>
      <w:marRight w:val="0"/>
      <w:marTop w:val="0"/>
      <w:marBottom w:val="0"/>
      <w:divBdr>
        <w:top w:val="none" w:sz="0" w:space="0" w:color="auto"/>
        <w:left w:val="none" w:sz="0" w:space="0" w:color="auto"/>
        <w:bottom w:val="none" w:sz="0" w:space="0" w:color="auto"/>
        <w:right w:val="none" w:sz="0" w:space="0" w:color="auto"/>
      </w:divBdr>
    </w:div>
    <w:div w:id="176253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F8CB-4DD9-472B-BF61-48BD0947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3236</Words>
  <Characters>20739</Characters>
  <Application>Microsoft Office Word</Application>
  <DocSecurity>0</DocSecurity>
  <Lines>450</Lines>
  <Paragraphs>206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WG-HRV/2/6</vt:lpstr>
      <vt:lpstr>WG-HRV/2/6</vt:lpstr>
    </vt:vector>
  </TitlesOfParts>
  <Company>UPOV</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WG-HRV/4/3</dc:title>
  <dc:creator>BUTTON Peter</dc:creator>
  <cp:keywords>FOR OFFICIAL USE ONLY, docId:ECAE659A03ED30393A5ADECF0731CABA</cp:keywords>
  <cp:lastModifiedBy>NICOLO Laurianne</cp:lastModifiedBy>
  <cp:revision>7</cp:revision>
  <cp:lastPrinted>2022-09-05T19:37:00Z</cp:lastPrinted>
  <dcterms:created xsi:type="dcterms:W3CDTF">2024-01-03T13:35:00Z</dcterms:created>
  <dcterms:modified xsi:type="dcterms:W3CDTF">2024-01-09T08:55:00Z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6d7c0b78-7881-4a2a-83f1-666138bc8f8e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