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3075A" w:rsidRPr="00497066" w:rsidTr="00416434">
        <w:tc>
          <w:tcPr>
            <w:tcW w:w="6522" w:type="dxa"/>
          </w:tcPr>
          <w:p w:rsidR="00A3075A" w:rsidRPr="00497066" w:rsidRDefault="00A3075A" w:rsidP="00416434">
            <w:pPr>
              <w:rPr>
                <w:dstrike/>
                <w:lang w:val="es-419"/>
              </w:rPr>
            </w:pPr>
            <w:r w:rsidRPr="00497066">
              <w:rPr>
                <w:noProof/>
              </w:rPr>
              <w:drawing>
                <wp:inline distT="0" distB="0" distL="0" distR="0" wp14:anchorId="3BCD8ED0" wp14:editId="57EC9FF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3075A" w:rsidRPr="00497066" w:rsidRDefault="00A3075A" w:rsidP="00416434">
            <w:pPr>
              <w:pStyle w:val="Lettrine"/>
              <w:rPr>
                <w:lang w:val="es-419"/>
              </w:rPr>
            </w:pPr>
            <w:r w:rsidRPr="00497066">
              <w:rPr>
                <w:lang w:val="es-419"/>
              </w:rPr>
              <w:t>S</w:t>
            </w:r>
          </w:p>
        </w:tc>
      </w:tr>
      <w:tr w:rsidR="00A3075A" w:rsidRPr="00167D81" w:rsidTr="00416434">
        <w:trPr>
          <w:trHeight w:val="219"/>
        </w:trPr>
        <w:tc>
          <w:tcPr>
            <w:tcW w:w="6522" w:type="dxa"/>
          </w:tcPr>
          <w:p w:rsidR="00A3075A" w:rsidRPr="00497066" w:rsidRDefault="00A3075A" w:rsidP="00416434">
            <w:pPr>
              <w:pStyle w:val="upove"/>
              <w:rPr>
                <w:dstrike/>
                <w:lang w:val="es-419"/>
              </w:rPr>
            </w:pPr>
            <w:r w:rsidRPr="00497066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A3075A" w:rsidRPr="00497066" w:rsidRDefault="00A3075A" w:rsidP="00416434">
            <w:pPr>
              <w:rPr>
                <w:lang w:val="es-419"/>
              </w:rPr>
            </w:pPr>
          </w:p>
        </w:tc>
      </w:tr>
    </w:tbl>
    <w:p w:rsidR="00A3075A" w:rsidRPr="00497066" w:rsidRDefault="00A3075A" w:rsidP="00A3075A">
      <w:pPr>
        <w:rPr>
          <w:lang w:val="es-419"/>
        </w:rPr>
      </w:pPr>
    </w:p>
    <w:p w:rsidR="00A3075A" w:rsidRPr="00497066" w:rsidRDefault="00A3075A" w:rsidP="00A3075A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3075A" w:rsidRPr="00167D81" w:rsidTr="00416434">
        <w:tc>
          <w:tcPr>
            <w:tcW w:w="6512" w:type="dxa"/>
          </w:tcPr>
          <w:p w:rsidR="00A3075A" w:rsidRPr="00497066" w:rsidRDefault="00A3075A" w:rsidP="00416434">
            <w:pPr>
              <w:pStyle w:val="Sessiontc"/>
              <w:spacing w:line="240" w:lineRule="auto"/>
              <w:rPr>
                <w:lang w:val="es-419"/>
              </w:rPr>
            </w:pPr>
            <w:r w:rsidRPr="00497066">
              <w:rPr>
                <w:lang w:val="es-419"/>
              </w:rPr>
              <w:t>Grupo de trabajo sobre el producto de la cosecha y la utilización no autorizada de material de reproducción o de multiplicación</w:t>
            </w:r>
          </w:p>
          <w:p w:rsidR="00A3075A" w:rsidRPr="00497066" w:rsidRDefault="00A3075A" w:rsidP="00416434">
            <w:pPr>
              <w:pStyle w:val="Sessiontcplacedate"/>
              <w:rPr>
                <w:lang w:val="es-419"/>
              </w:rPr>
            </w:pPr>
            <w:r w:rsidRPr="00497066">
              <w:rPr>
                <w:lang w:val="es-419"/>
              </w:rPr>
              <w:t>Tercera reunión</w:t>
            </w:r>
          </w:p>
          <w:p w:rsidR="00A3075A" w:rsidRPr="00497066" w:rsidRDefault="00A3075A" w:rsidP="00416434">
            <w:pPr>
              <w:pStyle w:val="Sessiontcplacedate"/>
              <w:rPr>
                <w:dstrike/>
                <w:sz w:val="22"/>
                <w:lang w:val="es-419"/>
              </w:rPr>
            </w:pPr>
            <w:r w:rsidRPr="00497066">
              <w:rPr>
                <w:lang w:val="es-419"/>
              </w:rPr>
              <w:t>Ginebra, 21 de marzo de 2023</w:t>
            </w:r>
          </w:p>
        </w:tc>
        <w:tc>
          <w:tcPr>
            <w:tcW w:w="3127" w:type="dxa"/>
          </w:tcPr>
          <w:p w:rsidR="00A3075A" w:rsidRPr="00497066" w:rsidRDefault="00A3075A" w:rsidP="00416434">
            <w:pPr>
              <w:pStyle w:val="Doccode"/>
              <w:rPr>
                <w:lang w:val="es-419"/>
              </w:rPr>
            </w:pPr>
            <w:r w:rsidRPr="00497066">
              <w:rPr>
                <w:lang w:val="es-419"/>
              </w:rPr>
              <w:t>WG-HRV/3/3</w:t>
            </w:r>
            <w:r w:rsidR="003B1CB9" w:rsidRPr="00497066">
              <w:rPr>
                <w:lang w:val="es-419"/>
              </w:rPr>
              <w:t xml:space="preserve"> Add.</w:t>
            </w:r>
          </w:p>
          <w:p w:rsidR="00A3075A" w:rsidRPr="00497066" w:rsidRDefault="00A3075A" w:rsidP="00416434">
            <w:pPr>
              <w:pStyle w:val="Doccode"/>
              <w:rPr>
                <w:lang w:val="es-419"/>
              </w:rPr>
            </w:pPr>
          </w:p>
          <w:p w:rsidR="00A3075A" w:rsidRPr="00497066" w:rsidRDefault="00A3075A" w:rsidP="00416434">
            <w:pPr>
              <w:pStyle w:val="Docoriginal"/>
              <w:rPr>
                <w:lang w:val="es-419"/>
              </w:rPr>
            </w:pPr>
            <w:r w:rsidRPr="00497066">
              <w:rPr>
                <w:lang w:val="es-419"/>
              </w:rPr>
              <w:t>Original:</w:t>
            </w:r>
            <w:r w:rsidRPr="00497066">
              <w:rPr>
                <w:b w:val="0"/>
                <w:spacing w:val="0"/>
                <w:lang w:val="es-419"/>
              </w:rPr>
              <w:t xml:space="preserve"> Inglés</w:t>
            </w:r>
          </w:p>
          <w:p w:rsidR="00A3075A" w:rsidRPr="00497066" w:rsidRDefault="00A3075A" w:rsidP="003B1CB9">
            <w:pPr>
              <w:pStyle w:val="Docoriginal"/>
              <w:rPr>
                <w:lang w:val="es-419"/>
              </w:rPr>
            </w:pPr>
            <w:r w:rsidRPr="00497066">
              <w:rPr>
                <w:lang w:val="es-419"/>
              </w:rPr>
              <w:t>Fecha:</w:t>
            </w:r>
            <w:r w:rsidRPr="00497066">
              <w:rPr>
                <w:b w:val="0"/>
                <w:spacing w:val="0"/>
                <w:lang w:val="es-419"/>
              </w:rPr>
              <w:t xml:space="preserve"> 17 de</w:t>
            </w:r>
            <w:r w:rsidR="003B1CB9" w:rsidRPr="00497066">
              <w:rPr>
                <w:b w:val="0"/>
                <w:spacing w:val="0"/>
                <w:lang w:val="es-419"/>
              </w:rPr>
              <w:t xml:space="preserve"> marzo</w:t>
            </w:r>
            <w:r w:rsidRPr="00497066">
              <w:rPr>
                <w:b w:val="0"/>
                <w:spacing w:val="0"/>
                <w:lang w:val="es-419"/>
              </w:rPr>
              <w:t xml:space="preserve"> de 2023</w:t>
            </w:r>
          </w:p>
        </w:tc>
      </w:tr>
    </w:tbl>
    <w:p w:rsidR="00A3075A" w:rsidRPr="00497066" w:rsidRDefault="000D763A" w:rsidP="00A3075A">
      <w:pPr>
        <w:pStyle w:val="Titleofdoc0"/>
        <w:rPr>
          <w:lang w:val="es-419"/>
        </w:rPr>
      </w:pPr>
      <w:r w:rsidRPr="00497066">
        <w:rPr>
          <w:lang w:val="es-419"/>
        </w:rPr>
        <w:t>ADICIÓN A</w:t>
      </w:r>
      <w:r w:rsidR="00BD36CD">
        <w:rPr>
          <w:lang w:val="es-419"/>
        </w:rPr>
        <w:br/>
      </w:r>
      <w:r w:rsidR="00A3075A" w:rsidRPr="00497066">
        <w:rPr>
          <w:lang w:val="es-419"/>
        </w:rPr>
        <w:t xml:space="preserve">PerspectivAs </w:t>
      </w:r>
      <w:r w:rsidR="00BD36CD" w:rsidRPr="00BD36CD">
        <w:rPr>
          <w:lang w:val="es-419"/>
        </w:rPr>
        <w:t>sobre la</w:t>
      </w:r>
      <w:r w:rsidR="00BD36CD">
        <w:rPr>
          <w:lang w:val="es-419"/>
        </w:rPr>
        <w:t xml:space="preserve"> </w:t>
      </w:r>
      <w:r w:rsidR="00A3075A" w:rsidRPr="00497066">
        <w:rPr>
          <w:lang w:val="es-419"/>
        </w:rPr>
        <w:t>“</w:t>
      </w:r>
      <w:r w:rsidR="00A3075A" w:rsidRPr="00497066">
        <w:rPr>
          <w:caps w:val="0"/>
          <w:lang w:val="es-419"/>
        </w:rPr>
        <w:t>UTILIZACIÓN NO AUTORIZADA</w:t>
      </w:r>
      <w:r w:rsidR="00A3075A" w:rsidRPr="00497066">
        <w:rPr>
          <w:lang w:val="es-419"/>
        </w:rPr>
        <w:t>” conforme al Artículo 14.2) del Acta de 1991 del Convenio de la UPOV</w:t>
      </w:r>
    </w:p>
    <w:p w:rsidR="00A3075A" w:rsidRPr="00497066" w:rsidRDefault="00A3075A" w:rsidP="00A3075A">
      <w:pPr>
        <w:pStyle w:val="preparedby1"/>
        <w:jc w:val="left"/>
        <w:rPr>
          <w:lang w:val="es-419"/>
        </w:rPr>
      </w:pPr>
      <w:r w:rsidRPr="00497066">
        <w:rPr>
          <w:lang w:val="es-419"/>
        </w:rPr>
        <w:t>Documento preparado por la Oficina de la Unión</w:t>
      </w:r>
    </w:p>
    <w:p w:rsidR="00A3075A" w:rsidRPr="00497066" w:rsidRDefault="00A3075A" w:rsidP="00A3075A">
      <w:pPr>
        <w:pStyle w:val="Disclaimer"/>
        <w:rPr>
          <w:lang w:val="es-419"/>
        </w:rPr>
      </w:pPr>
      <w:r w:rsidRPr="00497066">
        <w:rPr>
          <w:lang w:val="es-419"/>
        </w:rPr>
        <w:t>Descargo de responsabilidad: el presente documento no constituye un documento de política u orientación de la UPOV</w:t>
      </w:r>
    </w:p>
    <w:p w:rsidR="00A3075A" w:rsidRPr="00BD36CD" w:rsidRDefault="00A3075A" w:rsidP="00167D81">
      <w:pPr>
        <w:pStyle w:val="Heading1"/>
        <w:rPr>
          <w:snapToGrid w:val="0"/>
          <w:lang w:val="es-419"/>
        </w:rPr>
      </w:pPr>
      <w:bookmarkStart w:id="0" w:name="_Toc128509171"/>
      <w:r w:rsidRPr="00BD36CD">
        <w:rPr>
          <w:snapToGrid w:val="0"/>
          <w:lang w:val="es-419"/>
        </w:rPr>
        <w:t>RESUMEN</w:t>
      </w:r>
      <w:bookmarkEnd w:id="0"/>
    </w:p>
    <w:p w:rsidR="00962161" w:rsidRPr="00BD36CD" w:rsidRDefault="00962161" w:rsidP="00962161">
      <w:pPr>
        <w:keepNext/>
        <w:outlineLvl w:val="0"/>
        <w:rPr>
          <w:lang w:val="es-419"/>
        </w:rPr>
      </w:pPr>
    </w:p>
    <w:p w:rsidR="008C7C17" w:rsidRPr="00BD36CD" w:rsidRDefault="00962161" w:rsidP="00167D81">
      <w:pPr>
        <w:rPr>
          <w:rFonts w:eastAsiaTheme="minorEastAsia" w:cs="Arial"/>
          <w:snapToGrid w:val="0"/>
          <w:lang w:val="es-419"/>
        </w:rPr>
      </w:pPr>
      <w:r w:rsidRPr="00BD36CD">
        <w:rPr>
          <w:lang w:val="es-419"/>
        </w:rPr>
        <w:fldChar w:fldCharType="begin"/>
      </w:r>
      <w:r w:rsidRPr="00BD36CD">
        <w:rPr>
          <w:lang w:val="es-419"/>
        </w:rPr>
        <w:instrText xml:space="preserve"> AUTONUM  </w:instrText>
      </w:r>
      <w:r w:rsidRPr="00BD36CD">
        <w:rPr>
          <w:lang w:val="es-419"/>
        </w:rPr>
        <w:fldChar w:fldCharType="end"/>
      </w:r>
      <w:r w:rsidRPr="00BD36CD">
        <w:rPr>
          <w:lang w:val="es-419"/>
        </w:rPr>
        <w:tab/>
      </w:r>
      <w:r w:rsidR="008C7C17" w:rsidRPr="00BD36CD">
        <w:rPr>
          <w:rFonts w:cs="Arial"/>
          <w:lang w:val="es-419"/>
        </w:rPr>
        <w:t xml:space="preserve">La </w:t>
      </w:r>
      <w:r w:rsidR="008C7C17" w:rsidRPr="00BD36CD">
        <w:rPr>
          <w:lang w:val="es-419"/>
        </w:rPr>
        <w:t>presente adición tiene por objeto ofrecer información sobre las respuestas a la Circular E-23/022, de 17 de febrero de 2023, en relación con los ejemplos de la interpretación del concepto de “utilización no autorizada” conforme al Artículo 14.2) del Acta de 1991 y del modo en que esa interpretación afectaría a la capacidad de los obtentores para ejercer sus derechos en el territorio.</w:t>
      </w:r>
    </w:p>
    <w:p w:rsidR="00477128" w:rsidRPr="00BD36CD" w:rsidRDefault="00477128" w:rsidP="00AE1D82">
      <w:pPr>
        <w:rPr>
          <w:lang w:val="es-419"/>
        </w:rPr>
      </w:pPr>
    </w:p>
    <w:p w:rsidR="00BD36CD" w:rsidRPr="00BD36CD" w:rsidRDefault="00BD36CD" w:rsidP="00AE1D82">
      <w:pPr>
        <w:rPr>
          <w:lang w:val="es-419"/>
        </w:rPr>
      </w:pPr>
    </w:p>
    <w:p w:rsidR="00D8710A" w:rsidRPr="00BD36CD" w:rsidRDefault="008C7C17" w:rsidP="00167D81">
      <w:pPr>
        <w:pStyle w:val="Heading1"/>
        <w:rPr>
          <w:lang w:val="es-419"/>
        </w:rPr>
      </w:pPr>
      <w:r w:rsidRPr="00BD36CD">
        <w:rPr>
          <w:lang w:val="es-419"/>
        </w:rPr>
        <w:t>ANTECEDENTES</w:t>
      </w:r>
    </w:p>
    <w:p w:rsidR="00D8710A" w:rsidRPr="00BD36CD" w:rsidRDefault="00D8710A" w:rsidP="00AE1D82">
      <w:pPr>
        <w:rPr>
          <w:lang w:val="es-419"/>
        </w:rPr>
      </w:pPr>
    </w:p>
    <w:p w:rsidR="00D8710A" w:rsidRPr="00BD36CD" w:rsidRDefault="00D8710A" w:rsidP="00167D81">
      <w:pPr>
        <w:rPr>
          <w:rFonts w:cs="Arial"/>
          <w:lang w:val="es-419"/>
        </w:rPr>
      </w:pPr>
      <w:r w:rsidRPr="00BD36CD">
        <w:rPr>
          <w:lang w:val="es-419"/>
        </w:rPr>
        <w:fldChar w:fldCharType="begin"/>
      </w:r>
      <w:r w:rsidRPr="00BD36CD">
        <w:rPr>
          <w:lang w:val="es-419"/>
        </w:rPr>
        <w:instrText xml:space="preserve"> AUTONUM  </w:instrText>
      </w:r>
      <w:r w:rsidRPr="00BD36CD">
        <w:rPr>
          <w:lang w:val="es-419"/>
        </w:rPr>
        <w:fldChar w:fldCharType="end"/>
      </w:r>
      <w:r w:rsidRPr="00BD36CD">
        <w:rPr>
          <w:lang w:val="es-419"/>
        </w:rPr>
        <w:tab/>
      </w:r>
      <w:r w:rsidR="00C74B88" w:rsidRPr="00BD36CD">
        <w:rPr>
          <w:lang w:val="es-419"/>
        </w:rPr>
        <w:t xml:space="preserve">El Grupo de trabajo sobre el producto de la cosecha y la utilización no autorizada de material de reproducción o de multiplicación </w:t>
      </w:r>
      <w:r w:rsidRPr="00BD36CD">
        <w:rPr>
          <w:rFonts w:cs="Arial"/>
          <w:lang w:val="es-419"/>
        </w:rPr>
        <w:t>(WG</w:t>
      </w:r>
      <w:r w:rsidRPr="00BD36CD">
        <w:rPr>
          <w:rFonts w:cs="Arial"/>
          <w:lang w:val="es-419"/>
        </w:rPr>
        <w:noBreakHyphen/>
        <w:t xml:space="preserve">HRV), </w:t>
      </w:r>
      <w:r w:rsidR="00C74B88" w:rsidRPr="00BD36CD">
        <w:rPr>
          <w:rFonts w:cs="Arial"/>
          <w:lang w:val="es-419"/>
        </w:rPr>
        <w:t>acordó, en su segunda reunión</w:t>
      </w:r>
      <w:r w:rsidR="009F7466" w:rsidRPr="00BD36CD">
        <w:rPr>
          <w:rFonts w:cs="Arial"/>
          <w:lang w:val="es-419"/>
        </w:rPr>
        <w:t>,</w:t>
      </w:r>
      <w:r w:rsidRPr="00BD36CD">
        <w:rPr>
          <w:rFonts w:cs="Arial"/>
          <w:lang w:val="es-419"/>
        </w:rPr>
        <w:t xml:space="preserve"> </w:t>
      </w:r>
      <w:r w:rsidR="00C74B88" w:rsidRPr="00BD36CD">
        <w:rPr>
          <w:rFonts w:cs="Arial"/>
          <w:lang w:val="es-419"/>
        </w:rPr>
        <w:t xml:space="preserve">celebrada el </w:t>
      </w:r>
      <w:r w:rsidR="009F7466" w:rsidRPr="00BD36CD">
        <w:rPr>
          <w:rFonts w:cs="Arial"/>
          <w:lang w:val="es-419"/>
        </w:rPr>
        <w:t>6</w:t>
      </w:r>
      <w:r w:rsidR="00C74B88" w:rsidRPr="00BD36CD">
        <w:rPr>
          <w:rFonts w:cs="Arial"/>
          <w:lang w:val="es-419"/>
        </w:rPr>
        <w:t xml:space="preserve"> de septiembre de</w:t>
      </w:r>
      <w:r w:rsidR="009F7466" w:rsidRPr="00BD36CD">
        <w:rPr>
          <w:rFonts w:cs="Arial"/>
          <w:lang w:val="es-419"/>
        </w:rPr>
        <w:t xml:space="preserve"> 2022, </w:t>
      </w:r>
      <w:r w:rsidR="00C74B88" w:rsidRPr="00BD36CD">
        <w:rPr>
          <w:rFonts w:cs="Arial"/>
          <w:lang w:val="es-419"/>
        </w:rPr>
        <w:t xml:space="preserve">que los miembros del </w:t>
      </w:r>
      <w:r w:rsidRPr="00BD36CD">
        <w:rPr>
          <w:rFonts w:cs="Arial"/>
          <w:lang w:val="es-419"/>
        </w:rPr>
        <w:t>WG</w:t>
      </w:r>
      <w:r w:rsidRPr="00BD36CD">
        <w:rPr>
          <w:rFonts w:cs="Arial"/>
          <w:lang w:val="es-419"/>
        </w:rPr>
        <w:noBreakHyphen/>
        <w:t xml:space="preserve">HRV </w:t>
      </w:r>
      <w:r w:rsidR="00C74B88" w:rsidRPr="00BD36CD">
        <w:rPr>
          <w:rFonts w:cs="Arial"/>
          <w:lang w:val="es-419"/>
        </w:rPr>
        <w:t xml:space="preserve">proporcionarían ejemplos de la interpretación  de la noción </w:t>
      </w:r>
      <w:r w:rsidR="00C74B88" w:rsidRPr="00BD36CD">
        <w:rPr>
          <w:lang w:val="es-419"/>
        </w:rPr>
        <w:t>del concepto de “utilización no autorizada” conforme al Artículo 14.2) del Acta de 1991 y del modo en que esa interpretación afectaría a la capacidad de los obtentores para ejercer sus derechos en el territorio</w:t>
      </w:r>
      <w:r w:rsidR="00C74B88" w:rsidRPr="00BD36CD">
        <w:rPr>
          <w:rFonts w:cs="Arial"/>
          <w:lang w:val="es-419"/>
        </w:rPr>
        <w:t xml:space="preserve"> </w:t>
      </w:r>
      <w:r w:rsidR="002A527E" w:rsidRPr="00BD36CD">
        <w:rPr>
          <w:rFonts w:cs="Arial"/>
          <w:lang w:val="es-419"/>
        </w:rPr>
        <w:t>(</w:t>
      </w:r>
      <w:r w:rsidR="00C74B88" w:rsidRPr="00BD36CD">
        <w:rPr>
          <w:rFonts w:cs="Arial"/>
          <w:lang w:val="es-419"/>
        </w:rPr>
        <w:t xml:space="preserve">véase el </w:t>
      </w:r>
      <w:r w:rsidR="002A527E" w:rsidRPr="00BD36CD">
        <w:rPr>
          <w:rFonts w:cs="Arial"/>
          <w:lang w:val="es-419"/>
        </w:rPr>
        <w:t>document</w:t>
      </w:r>
      <w:r w:rsidR="00C74B88" w:rsidRPr="00BD36CD">
        <w:rPr>
          <w:rFonts w:cs="Arial"/>
          <w:lang w:val="es-419"/>
        </w:rPr>
        <w:t>o</w:t>
      </w:r>
      <w:r w:rsidR="002A527E" w:rsidRPr="00BD36CD">
        <w:rPr>
          <w:rFonts w:cs="Arial"/>
          <w:lang w:val="es-419"/>
        </w:rPr>
        <w:t xml:space="preserve"> WG</w:t>
      </w:r>
      <w:r w:rsidR="00A97B36" w:rsidRPr="00BD36CD">
        <w:rPr>
          <w:rFonts w:cs="Arial"/>
          <w:lang w:val="es-419"/>
        </w:rPr>
        <w:noBreakHyphen/>
      </w:r>
      <w:r w:rsidRPr="00BD36CD">
        <w:rPr>
          <w:rFonts w:cs="Arial"/>
          <w:lang w:val="es-419"/>
        </w:rPr>
        <w:t>HRV/2/6 “</w:t>
      </w:r>
      <w:r w:rsidR="00523501" w:rsidRPr="00BD36CD">
        <w:rPr>
          <w:rFonts w:cs="Arial"/>
          <w:lang w:val="es-419"/>
        </w:rPr>
        <w:t>Informe</w:t>
      </w:r>
      <w:r w:rsidRPr="00BD36CD">
        <w:rPr>
          <w:rFonts w:cs="Arial"/>
          <w:lang w:val="es-419"/>
        </w:rPr>
        <w:t xml:space="preserve">”, </w:t>
      </w:r>
      <w:r w:rsidR="00C74B88" w:rsidRPr="00BD36CD">
        <w:rPr>
          <w:rFonts w:cs="Arial"/>
          <w:lang w:val="es-419"/>
        </w:rPr>
        <w:t xml:space="preserve">párrafo </w:t>
      </w:r>
      <w:r w:rsidRPr="00BD36CD">
        <w:rPr>
          <w:rFonts w:cs="Arial"/>
          <w:lang w:val="es-419"/>
        </w:rPr>
        <w:t xml:space="preserve">33).  </w:t>
      </w:r>
    </w:p>
    <w:p w:rsidR="00D8710A" w:rsidRPr="00BD36CD" w:rsidRDefault="00D8710A" w:rsidP="00167D81">
      <w:pPr>
        <w:rPr>
          <w:spacing w:val="-2"/>
          <w:lang w:val="es-419"/>
        </w:rPr>
      </w:pPr>
    </w:p>
    <w:p w:rsidR="00FF4096" w:rsidRPr="00BD36CD" w:rsidRDefault="00FF4096" w:rsidP="00167D81">
      <w:pPr>
        <w:rPr>
          <w:spacing w:val="-2"/>
          <w:lang w:val="es-419"/>
        </w:rPr>
      </w:pPr>
      <w:r w:rsidRPr="00BD36CD">
        <w:rPr>
          <w:spacing w:val="-2"/>
          <w:lang w:val="es-419"/>
        </w:rPr>
        <w:fldChar w:fldCharType="begin"/>
      </w:r>
      <w:r w:rsidRPr="00BD36CD">
        <w:rPr>
          <w:spacing w:val="-2"/>
          <w:lang w:val="es-419"/>
        </w:rPr>
        <w:instrText xml:space="preserve"> AUTONUM  </w:instrText>
      </w:r>
      <w:r w:rsidRPr="00BD36CD">
        <w:rPr>
          <w:spacing w:val="-2"/>
          <w:lang w:val="es-419"/>
        </w:rPr>
        <w:fldChar w:fldCharType="end"/>
      </w:r>
      <w:r w:rsidRPr="00BD36CD">
        <w:rPr>
          <w:spacing w:val="-2"/>
          <w:lang w:val="es-419"/>
        </w:rPr>
        <w:tab/>
      </w:r>
      <w:r w:rsidR="00C74B88" w:rsidRPr="00BD36CD">
        <w:rPr>
          <w:spacing w:val="-2"/>
          <w:lang w:val="es-419"/>
        </w:rPr>
        <w:t>En el párrafo 9 del documento WG-HRV/3/3 “Perspectivas sobre la “utilización no autorizada” conforme al A</w:t>
      </w:r>
      <w:r w:rsidR="001521CB" w:rsidRPr="00BD36CD">
        <w:rPr>
          <w:spacing w:val="-2"/>
          <w:lang w:val="es-419"/>
        </w:rPr>
        <w:t>rtículo 14.2) del Acta de 1991 del C</w:t>
      </w:r>
      <w:r w:rsidR="00C74B88" w:rsidRPr="00BD36CD">
        <w:rPr>
          <w:spacing w:val="-2"/>
          <w:lang w:val="es-419"/>
        </w:rPr>
        <w:t>onvenio de la UPOV” se disponía que en la circular en la que se anunciara la publicación del documento WG-HRV/3/3 también se incluiría una invitación a aportar tales ejemplos.</w:t>
      </w:r>
    </w:p>
    <w:p w:rsidR="00FF4096" w:rsidRPr="00BD36CD" w:rsidRDefault="00FF4096" w:rsidP="00AE1D82">
      <w:pPr>
        <w:rPr>
          <w:lang w:val="es-419"/>
        </w:rPr>
      </w:pPr>
    </w:p>
    <w:p w:rsidR="00FF4096" w:rsidRPr="00BD36CD" w:rsidRDefault="00AE1D82" w:rsidP="00AE1D82">
      <w:pPr>
        <w:rPr>
          <w:spacing w:val="-2"/>
          <w:lang w:val="es-419"/>
        </w:rPr>
      </w:pPr>
      <w:r w:rsidRPr="00BD36CD">
        <w:rPr>
          <w:spacing w:val="-2"/>
          <w:lang w:val="es-419"/>
        </w:rPr>
        <w:fldChar w:fldCharType="begin"/>
      </w:r>
      <w:r w:rsidRPr="00BD36CD">
        <w:rPr>
          <w:spacing w:val="-2"/>
          <w:lang w:val="es-419"/>
        </w:rPr>
        <w:instrText xml:space="preserve"> AUTONUM  </w:instrText>
      </w:r>
      <w:r w:rsidRPr="00BD36CD">
        <w:rPr>
          <w:spacing w:val="-2"/>
          <w:lang w:val="es-419"/>
        </w:rPr>
        <w:fldChar w:fldCharType="end"/>
      </w:r>
      <w:r w:rsidRPr="00BD36CD">
        <w:rPr>
          <w:spacing w:val="-2"/>
          <w:lang w:val="es-419"/>
        </w:rPr>
        <w:tab/>
      </w:r>
      <w:r w:rsidR="00B12AE9" w:rsidRPr="007E7B8D">
        <w:rPr>
          <w:spacing w:val="-2"/>
          <w:lang w:val="es-419"/>
        </w:rPr>
        <w:t xml:space="preserve">En respuesta a la </w:t>
      </w:r>
      <w:r w:rsidR="00BE23F1" w:rsidRPr="007E7B8D">
        <w:rPr>
          <w:spacing w:val="-2"/>
          <w:lang w:val="es-419"/>
        </w:rPr>
        <w:t xml:space="preserve">Circular E-23/022 </w:t>
      </w:r>
      <w:r w:rsidR="00B12AE9" w:rsidRPr="007E7B8D">
        <w:rPr>
          <w:spacing w:val="-2"/>
          <w:lang w:val="es-419"/>
        </w:rPr>
        <w:t xml:space="preserve">de </w:t>
      </w:r>
      <w:r w:rsidR="00BE23F1" w:rsidRPr="007E7B8D">
        <w:rPr>
          <w:spacing w:val="-2"/>
          <w:lang w:val="es-419"/>
        </w:rPr>
        <w:t>17</w:t>
      </w:r>
      <w:r w:rsidR="00B12AE9" w:rsidRPr="007E7B8D">
        <w:rPr>
          <w:spacing w:val="-2"/>
          <w:lang w:val="es-419"/>
        </w:rPr>
        <w:t xml:space="preserve"> de febrero de</w:t>
      </w:r>
      <w:r w:rsidR="00BE23F1" w:rsidRPr="007E7B8D">
        <w:rPr>
          <w:spacing w:val="-2"/>
          <w:lang w:val="es-419"/>
        </w:rPr>
        <w:t xml:space="preserve"> 2023</w:t>
      </w:r>
      <w:r w:rsidRPr="007E7B8D">
        <w:rPr>
          <w:spacing w:val="-2"/>
          <w:lang w:val="es-419"/>
        </w:rPr>
        <w:t xml:space="preserve">, </w:t>
      </w:r>
      <w:r w:rsidR="00B12AE9" w:rsidRPr="007E7B8D">
        <w:rPr>
          <w:spacing w:val="-2"/>
          <w:lang w:val="es-419"/>
        </w:rPr>
        <w:t xml:space="preserve">la Oficina de la Unión recibió contribuciones en relación con los documentos </w:t>
      </w:r>
      <w:r w:rsidR="00C525F8" w:rsidRPr="007E7B8D">
        <w:rPr>
          <w:spacing w:val="-2"/>
          <w:lang w:val="es-419"/>
        </w:rPr>
        <w:t>de</w:t>
      </w:r>
      <w:r w:rsidR="00B12AE9" w:rsidRPr="007E7B8D">
        <w:rPr>
          <w:spacing w:val="-2"/>
          <w:lang w:val="es-419"/>
        </w:rPr>
        <w:t xml:space="preserve"> la 3.ª reunión del WG-HRV</w:t>
      </w:r>
      <w:r w:rsidR="003442CC" w:rsidRPr="007E7B8D">
        <w:rPr>
          <w:spacing w:val="-2"/>
          <w:lang w:val="es-419"/>
        </w:rPr>
        <w:t xml:space="preserve"> </w:t>
      </w:r>
      <w:r w:rsidR="00B12AE9" w:rsidRPr="007E7B8D">
        <w:rPr>
          <w:spacing w:val="-2"/>
          <w:lang w:val="es-419"/>
        </w:rPr>
        <w:t xml:space="preserve">de </w:t>
      </w:r>
      <w:hyperlink r:id="rId9" w:history="1">
        <w:r w:rsidR="00BE23F1" w:rsidRPr="007E7B8D">
          <w:rPr>
            <w:rStyle w:val="Hyperlink"/>
            <w:spacing w:val="-2"/>
            <w:lang w:val="es-419"/>
          </w:rPr>
          <w:t>Australia</w:t>
        </w:r>
      </w:hyperlink>
      <w:r w:rsidR="00BE23F1" w:rsidRPr="007E7B8D">
        <w:rPr>
          <w:spacing w:val="-2"/>
          <w:lang w:val="es-419"/>
        </w:rPr>
        <w:t>,</w:t>
      </w:r>
      <w:r w:rsidR="00C525F8" w:rsidRPr="007E7B8D">
        <w:rPr>
          <w:spacing w:val="-2"/>
          <w:lang w:val="es-419"/>
        </w:rPr>
        <w:t xml:space="preserve"> </w:t>
      </w:r>
      <w:r w:rsidR="00167D81" w:rsidRPr="007E7B8D">
        <w:rPr>
          <w:spacing w:val="-2"/>
          <w:lang w:val="es-419"/>
        </w:rPr>
        <w:t xml:space="preserve">el </w:t>
      </w:r>
      <w:hyperlink r:id="rId10" w:history="1">
        <w:r w:rsidR="00167D81" w:rsidRPr="007E7B8D">
          <w:rPr>
            <w:rStyle w:val="Hyperlink"/>
            <w:spacing w:val="-2"/>
            <w:lang w:val="es-419"/>
          </w:rPr>
          <w:t>Japón</w:t>
        </w:r>
      </w:hyperlink>
      <w:r w:rsidR="00167D81" w:rsidRPr="007E7B8D">
        <w:rPr>
          <w:lang w:val="es-ES"/>
        </w:rPr>
        <w:t xml:space="preserve">, </w:t>
      </w:r>
      <w:hyperlink r:id="rId11" w:history="1">
        <w:r w:rsidR="00167D81" w:rsidRPr="007E7B8D">
          <w:rPr>
            <w:rStyle w:val="Hyperlink"/>
            <w:spacing w:val="-2"/>
            <w:lang w:val="es-419"/>
          </w:rPr>
          <w:t>Nueva Zelandia</w:t>
        </w:r>
      </w:hyperlink>
      <w:r w:rsidR="00167D81" w:rsidRPr="007E7B8D">
        <w:rPr>
          <w:spacing w:val="-2"/>
          <w:lang w:val="es-419"/>
        </w:rPr>
        <w:t xml:space="preserve">, la </w:t>
      </w:r>
      <w:hyperlink r:id="rId12" w:history="1">
        <w:r w:rsidR="00167D81" w:rsidRPr="007E7B8D">
          <w:rPr>
            <w:rStyle w:val="Hyperlink"/>
            <w:spacing w:val="-2"/>
            <w:lang w:val="es-419"/>
          </w:rPr>
          <w:t>República of Korea</w:t>
        </w:r>
      </w:hyperlink>
      <w:r w:rsidR="00167D81" w:rsidRPr="007E7B8D">
        <w:rPr>
          <w:lang w:val="es-ES"/>
        </w:rPr>
        <w:t xml:space="preserve">, </w:t>
      </w:r>
      <w:r w:rsidR="00167D81" w:rsidRPr="007E7B8D">
        <w:rPr>
          <w:spacing w:val="-2"/>
          <w:lang w:val="es-419"/>
        </w:rPr>
        <w:t>l</w:t>
      </w:r>
      <w:r w:rsidR="00C525F8" w:rsidRPr="007E7B8D">
        <w:rPr>
          <w:spacing w:val="-2"/>
          <w:lang w:val="es-419"/>
        </w:rPr>
        <w:t>a</w:t>
      </w:r>
      <w:r w:rsidR="00BE23F1" w:rsidRPr="007E7B8D">
        <w:rPr>
          <w:spacing w:val="-2"/>
          <w:lang w:val="es-419"/>
        </w:rPr>
        <w:t xml:space="preserve"> </w:t>
      </w:r>
      <w:hyperlink r:id="rId13" w:history="1">
        <w:r w:rsidR="00B12AE9" w:rsidRPr="007E7B8D">
          <w:rPr>
            <w:rStyle w:val="Hyperlink"/>
            <w:spacing w:val="-2"/>
            <w:lang w:val="es-419"/>
          </w:rPr>
          <w:t>Unión E</w:t>
        </w:r>
        <w:r w:rsidR="002D0244" w:rsidRPr="007E7B8D">
          <w:rPr>
            <w:rStyle w:val="Hyperlink"/>
            <w:spacing w:val="-2"/>
            <w:lang w:val="es-419"/>
          </w:rPr>
          <w:t>uropea</w:t>
        </w:r>
      </w:hyperlink>
      <w:r w:rsidR="00167D81" w:rsidRPr="007E7B8D">
        <w:rPr>
          <w:spacing w:val="-2"/>
          <w:lang w:val="es-419"/>
        </w:rPr>
        <w:t>,</w:t>
      </w:r>
      <w:r w:rsidR="00B24D12" w:rsidRPr="007E7B8D">
        <w:rPr>
          <w:spacing w:val="-2"/>
          <w:lang w:val="es-419"/>
        </w:rPr>
        <w:t xml:space="preserve"> </w:t>
      </w:r>
      <w:r w:rsidR="00B12AE9" w:rsidRPr="007E7B8D">
        <w:rPr>
          <w:spacing w:val="-2"/>
          <w:lang w:val="es-419"/>
        </w:rPr>
        <w:t xml:space="preserve">la Asociación Internacional de Productores Hortícolas </w:t>
      </w:r>
      <w:r w:rsidR="00B24D12" w:rsidRPr="007E7B8D">
        <w:rPr>
          <w:spacing w:val="-2"/>
          <w:lang w:val="es-419"/>
        </w:rPr>
        <w:t xml:space="preserve"> (</w:t>
      </w:r>
      <w:hyperlink r:id="rId14" w:history="1">
        <w:r w:rsidR="00B24D12" w:rsidRPr="007E7B8D">
          <w:rPr>
            <w:rStyle w:val="Hyperlink"/>
            <w:spacing w:val="-2"/>
            <w:lang w:val="es-419"/>
          </w:rPr>
          <w:t>AIPH</w:t>
        </w:r>
      </w:hyperlink>
      <w:r w:rsidR="00B24D12" w:rsidRPr="007E7B8D">
        <w:rPr>
          <w:spacing w:val="-2"/>
          <w:lang w:val="es-419"/>
        </w:rPr>
        <w:t>)</w:t>
      </w:r>
      <w:r w:rsidR="00C11A0C" w:rsidRPr="007E7B8D">
        <w:rPr>
          <w:spacing w:val="-2"/>
          <w:lang w:val="es-419"/>
        </w:rPr>
        <w:t xml:space="preserve"> </w:t>
      </w:r>
      <w:r w:rsidR="00B12AE9" w:rsidRPr="007E7B8D">
        <w:rPr>
          <w:spacing w:val="-2"/>
          <w:lang w:val="es-419"/>
        </w:rPr>
        <w:t>y</w:t>
      </w:r>
      <w:r w:rsidR="00BE23F1" w:rsidRPr="007E7B8D">
        <w:rPr>
          <w:spacing w:val="-2"/>
          <w:lang w:val="es-419"/>
        </w:rPr>
        <w:t xml:space="preserve"> </w:t>
      </w:r>
      <w:hyperlink r:id="rId15" w:history="1">
        <w:r w:rsidR="00B12AE9" w:rsidRPr="007E7B8D">
          <w:rPr>
            <w:rStyle w:val="Hyperlink"/>
            <w:spacing w:val="-2"/>
            <w:lang w:val="es-419"/>
          </w:rPr>
          <w:t>come</w:t>
        </w:r>
        <w:r w:rsidR="00C11A0C" w:rsidRPr="007E7B8D">
          <w:rPr>
            <w:rStyle w:val="Hyperlink"/>
            <w:spacing w:val="-2"/>
            <w:lang w:val="es-419"/>
          </w:rPr>
          <w:t>n</w:t>
        </w:r>
        <w:r w:rsidR="00B12AE9" w:rsidRPr="007E7B8D">
          <w:rPr>
            <w:rStyle w:val="Hyperlink"/>
            <w:spacing w:val="-2"/>
            <w:lang w:val="es-419"/>
          </w:rPr>
          <w:t>tarios conjuntos</w:t>
        </w:r>
      </w:hyperlink>
      <w:r w:rsidR="00BE23F1" w:rsidRPr="007E7B8D">
        <w:rPr>
          <w:spacing w:val="-2"/>
          <w:lang w:val="es-419"/>
        </w:rPr>
        <w:t xml:space="preserve"> </w:t>
      </w:r>
      <w:r w:rsidR="00B12AE9" w:rsidRPr="007E7B8D">
        <w:rPr>
          <w:spacing w:val="-2"/>
          <w:lang w:val="es-419"/>
        </w:rPr>
        <w:t xml:space="preserve">de la </w:t>
      </w:r>
      <w:r w:rsidR="007E7B8D" w:rsidRPr="007E7B8D">
        <w:rPr>
          <w:rStyle w:val="Emphasis"/>
          <w:rFonts w:cs="Arial"/>
          <w:color w:val="333333"/>
          <w:shd w:val="clear" w:color="auto" w:fill="FFFFFF"/>
        </w:rPr>
        <w:t>African Seed Trade Association </w:t>
      </w:r>
      <w:r w:rsidR="007E7B8D" w:rsidRPr="007E7B8D">
        <w:rPr>
          <w:rFonts w:cs="Arial"/>
          <w:color w:val="333333"/>
          <w:shd w:val="clear" w:color="auto" w:fill="FFFFFF"/>
        </w:rPr>
        <w:t>(AFSTA)</w:t>
      </w:r>
      <w:r w:rsidR="007E7B8D">
        <w:rPr>
          <w:rFonts w:cs="Arial"/>
          <w:color w:val="333333"/>
          <w:shd w:val="clear" w:color="auto" w:fill="FFFFFF"/>
        </w:rPr>
        <w:t xml:space="preserve"> </w:t>
      </w:r>
      <w:r w:rsidR="007E7B8D" w:rsidRPr="007E7B8D">
        <w:rPr>
          <w:rFonts w:cs="Arial"/>
          <w:color w:val="333333"/>
          <w:shd w:val="clear" w:color="auto" w:fill="FFFFFF"/>
        </w:rPr>
        <w:t>(Asociación Africana de Comercio de Semillas)</w:t>
      </w:r>
      <w:r w:rsidR="00B12AE9" w:rsidRPr="007E7B8D">
        <w:rPr>
          <w:spacing w:val="-2"/>
          <w:lang w:val="es-419"/>
        </w:rPr>
        <w:t xml:space="preserve">, la </w:t>
      </w:r>
      <w:r w:rsidR="007E7B8D" w:rsidRPr="007E7B8D">
        <w:rPr>
          <w:rStyle w:val="Emphasis"/>
          <w:rFonts w:cs="Arial"/>
          <w:color w:val="333333"/>
          <w:shd w:val="clear" w:color="auto" w:fill="FFFFFF"/>
        </w:rPr>
        <w:t>Asia and Pacific Seed Association</w:t>
      </w:r>
      <w:r w:rsidR="007E7B8D" w:rsidRPr="007E7B8D">
        <w:rPr>
          <w:rFonts w:cs="Arial"/>
          <w:color w:val="333333"/>
          <w:shd w:val="clear" w:color="auto" w:fill="FFFFFF"/>
        </w:rPr>
        <w:t> (APSA)</w:t>
      </w:r>
      <w:r w:rsidR="007E7B8D">
        <w:rPr>
          <w:rFonts w:cs="Arial"/>
          <w:color w:val="333333"/>
          <w:shd w:val="clear" w:color="auto" w:fill="FFFFFF"/>
        </w:rPr>
        <w:t xml:space="preserve"> </w:t>
      </w:r>
      <w:r w:rsidR="007E7B8D" w:rsidRPr="007E7B8D">
        <w:rPr>
          <w:rFonts w:cs="Arial"/>
          <w:color w:val="333333"/>
          <w:shd w:val="clear" w:color="auto" w:fill="FFFFFF"/>
        </w:rPr>
        <w:t>(Asociación de Semillas de Asia y el Pacífico)</w:t>
      </w:r>
      <w:r w:rsidR="00BE23F1" w:rsidRPr="007E7B8D">
        <w:rPr>
          <w:spacing w:val="-2"/>
          <w:lang w:val="es-419"/>
        </w:rPr>
        <w:t>,</w:t>
      </w:r>
      <w:r w:rsidR="00167D81" w:rsidRPr="007E7B8D">
        <w:rPr>
          <w:spacing w:val="-2"/>
          <w:lang w:val="es-419"/>
        </w:rPr>
        <w:t xml:space="preserve"> la Asociación de Semillas de las Américas (SAA),</w:t>
      </w:r>
      <w:r w:rsidR="00BE23F1" w:rsidRPr="007E7B8D">
        <w:rPr>
          <w:spacing w:val="-2"/>
          <w:lang w:val="es-419"/>
        </w:rPr>
        <w:t xml:space="preserve"> </w:t>
      </w:r>
      <w:r w:rsidR="00167D81" w:rsidRPr="007E7B8D">
        <w:rPr>
          <w:spacing w:val="-2"/>
          <w:lang w:val="es-419"/>
        </w:rPr>
        <w:t xml:space="preserve">la Comunidad Internacional de Fitomejoradores de Plantas Hortícolas de Reproducción Asexuada (CIOPORA), </w:t>
      </w:r>
      <w:r w:rsidR="00BE23F1" w:rsidRPr="007E7B8D">
        <w:rPr>
          <w:i/>
          <w:iCs/>
          <w:spacing w:val="-2"/>
          <w:lang w:val="es-419"/>
        </w:rPr>
        <w:t>Croplife International</w:t>
      </w:r>
      <w:r w:rsidR="00BE23F1" w:rsidRPr="007E7B8D">
        <w:rPr>
          <w:spacing w:val="-2"/>
          <w:lang w:val="es-419"/>
        </w:rPr>
        <w:t xml:space="preserve">, </w:t>
      </w:r>
      <w:r w:rsidR="00BE23F1" w:rsidRPr="007E7B8D">
        <w:rPr>
          <w:iCs/>
          <w:spacing w:val="-2"/>
          <w:lang w:val="es-419"/>
        </w:rPr>
        <w:t>Euroseeds</w:t>
      </w:r>
      <w:r w:rsidR="00167D81" w:rsidRPr="007E7B8D">
        <w:rPr>
          <w:spacing w:val="-2"/>
          <w:lang w:val="es-419"/>
        </w:rPr>
        <w:t xml:space="preserve"> y</w:t>
      </w:r>
      <w:r w:rsidR="00B12AE9" w:rsidRPr="007E7B8D">
        <w:rPr>
          <w:spacing w:val="-2"/>
          <w:lang w:val="es-419"/>
        </w:rPr>
        <w:t xml:space="preserve"> la </w:t>
      </w:r>
      <w:r w:rsidR="00477128" w:rsidRPr="007E7B8D">
        <w:rPr>
          <w:i/>
          <w:iCs/>
          <w:spacing w:val="-2"/>
          <w:lang w:val="es-419"/>
        </w:rPr>
        <w:t>International </w:t>
      </w:r>
      <w:r w:rsidR="00BE23F1" w:rsidRPr="007E7B8D">
        <w:rPr>
          <w:i/>
          <w:iCs/>
          <w:spacing w:val="-2"/>
          <w:lang w:val="es-419"/>
        </w:rPr>
        <w:t>Seed Federation</w:t>
      </w:r>
      <w:r w:rsidR="00167D81" w:rsidRPr="007E7B8D">
        <w:rPr>
          <w:spacing w:val="-2"/>
          <w:lang w:val="es-419"/>
        </w:rPr>
        <w:t xml:space="preserve"> (ISF)</w:t>
      </w:r>
      <w:r w:rsidR="00B12AE9" w:rsidRPr="007E7B8D">
        <w:rPr>
          <w:spacing w:val="-2"/>
          <w:lang w:val="es-419"/>
        </w:rPr>
        <w:t xml:space="preserve"> </w:t>
      </w:r>
      <w:r w:rsidR="00FF4096" w:rsidRPr="007E7B8D">
        <w:rPr>
          <w:spacing w:val="-2"/>
          <w:lang w:val="es-419"/>
        </w:rPr>
        <w:t>(</w:t>
      </w:r>
      <w:r w:rsidR="001A2E96" w:rsidRPr="007E7B8D">
        <w:rPr>
          <w:spacing w:val="-2"/>
          <w:lang w:val="es-419"/>
        </w:rPr>
        <w:t>propuesta</w:t>
      </w:r>
      <w:r w:rsidR="00B12AE9" w:rsidRPr="007E7B8D">
        <w:rPr>
          <w:spacing w:val="-2"/>
          <w:lang w:val="es-419"/>
        </w:rPr>
        <w:t xml:space="preserve"> conjunta</w:t>
      </w:r>
      <w:r w:rsidR="00FF4096" w:rsidRPr="007E7B8D">
        <w:rPr>
          <w:spacing w:val="-2"/>
          <w:lang w:val="es-419"/>
        </w:rPr>
        <w:t>)</w:t>
      </w:r>
      <w:r w:rsidR="00BE23F1" w:rsidRPr="007E7B8D">
        <w:rPr>
          <w:spacing w:val="-2"/>
          <w:lang w:val="es-419"/>
        </w:rPr>
        <w:t xml:space="preserve"> </w:t>
      </w:r>
      <w:r w:rsidR="00B12AE9" w:rsidRPr="007E7B8D">
        <w:rPr>
          <w:spacing w:val="-2"/>
          <w:lang w:val="es-419"/>
        </w:rPr>
        <w:t xml:space="preserve">que se han publicado en la página web de </w:t>
      </w:r>
      <w:r w:rsidR="00591F88" w:rsidRPr="007E7B8D">
        <w:rPr>
          <w:spacing w:val="-2"/>
          <w:lang w:val="es-419"/>
        </w:rPr>
        <w:t xml:space="preserve">dicha </w:t>
      </w:r>
      <w:r w:rsidR="00B12AE9" w:rsidRPr="007E7B8D">
        <w:rPr>
          <w:spacing w:val="-2"/>
          <w:lang w:val="es-419"/>
        </w:rPr>
        <w:t>reun</w:t>
      </w:r>
      <w:r w:rsidR="00B12AE9" w:rsidRPr="00BD36CD">
        <w:rPr>
          <w:spacing w:val="-2"/>
          <w:lang w:val="es-419"/>
        </w:rPr>
        <w:t xml:space="preserve">ión del </w:t>
      </w:r>
      <w:r w:rsidR="00421715" w:rsidRPr="00BD36CD">
        <w:rPr>
          <w:spacing w:val="-2"/>
          <w:lang w:val="es-419"/>
        </w:rPr>
        <w:t>WG-HRV</w:t>
      </w:r>
      <w:r w:rsidRPr="00BD36CD">
        <w:rPr>
          <w:spacing w:val="-2"/>
          <w:lang w:val="es-419"/>
        </w:rPr>
        <w:t xml:space="preserve"> </w:t>
      </w:r>
      <w:hyperlink r:id="rId16" w:history="1">
        <w:r w:rsidR="00B12AE9" w:rsidRPr="00BD36CD">
          <w:rPr>
            <w:rStyle w:val="Hyperlink"/>
            <w:spacing w:val="-2"/>
            <w:lang w:val="es-419"/>
          </w:rPr>
          <w:t>https://www.upov.int/meetings/es/details.jsp?meeting_id=74773</w:t>
        </w:r>
      </w:hyperlink>
      <w:r w:rsidR="00B12AE9" w:rsidRPr="00BD36CD">
        <w:rPr>
          <w:spacing w:val="-2"/>
          <w:lang w:val="es-419"/>
        </w:rPr>
        <w:t>.</w:t>
      </w:r>
    </w:p>
    <w:p w:rsidR="00E4589D" w:rsidRPr="00BD36CD" w:rsidRDefault="00E4589D" w:rsidP="00E4589D">
      <w:pPr>
        <w:rPr>
          <w:lang w:val="es-419"/>
        </w:rPr>
      </w:pPr>
    </w:p>
    <w:p w:rsidR="00114517" w:rsidRPr="00BD36CD" w:rsidRDefault="00962161" w:rsidP="00167D81">
      <w:pPr>
        <w:pStyle w:val="DecisionParagraphs"/>
        <w:rPr>
          <w:lang w:val="es-419"/>
        </w:rPr>
      </w:pPr>
      <w:r w:rsidRPr="00BD36CD">
        <w:rPr>
          <w:lang w:val="es-419"/>
        </w:rPr>
        <w:fldChar w:fldCharType="begin"/>
      </w:r>
      <w:r w:rsidRPr="00BD36CD">
        <w:rPr>
          <w:lang w:val="es-419"/>
        </w:rPr>
        <w:instrText xml:space="preserve"> AUTONUM  </w:instrText>
      </w:r>
      <w:r w:rsidRPr="00BD36CD">
        <w:rPr>
          <w:lang w:val="es-419"/>
        </w:rPr>
        <w:fldChar w:fldCharType="end"/>
      </w:r>
      <w:r w:rsidRPr="00BD36CD">
        <w:rPr>
          <w:lang w:val="es-419"/>
        </w:rPr>
        <w:tab/>
      </w:r>
      <w:r w:rsidR="00B12AE9" w:rsidRPr="00BD36CD">
        <w:rPr>
          <w:lang w:val="es-419"/>
        </w:rPr>
        <w:t xml:space="preserve">Se invita al </w:t>
      </w:r>
      <w:r w:rsidRPr="00BD36CD">
        <w:rPr>
          <w:lang w:val="es-419"/>
        </w:rPr>
        <w:t>WG-HRV</w:t>
      </w:r>
      <w:r w:rsidR="00DA05D1" w:rsidRPr="00BD36CD">
        <w:rPr>
          <w:lang w:val="es-419"/>
        </w:rPr>
        <w:t xml:space="preserve"> </w:t>
      </w:r>
      <w:r w:rsidR="00C525F8" w:rsidRPr="00BD36CD">
        <w:rPr>
          <w:lang w:val="es-419"/>
        </w:rPr>
        <w:t>a examinar la información sobre los ejemplos relativos a la interpretación d</w:t>
      </w:r>
      <w:r w:rsidR="00650959" w:rsidRPr="00BD36CD">
        <w:rPr>
          <w:lang w:val="es-419"/>
        </w:rPr>
        <w:t>e</w:t>
      </w:r>
      <w:r w:rsidR="00C525F8" w:rsidRPr="00BD36CD">
        <w:rPr>
          <w:lang w:val="es-419"/>
        </w:rPr>
        <w:t xml:space="preserve">l concepto de </w:t>
      </w:r>
      <w:r w:rsidR="005D58CA" w:rsidRPr="00BD36CD">
        <w:rPr>
          <w:lang w:val="es-419"/>
        </w:rPr>
        <w:t>“</w:t>
      </w:r>
      <w:r w:rsidR="00C525F8" w:rsidRPr="00BD36CD">
        <w:rPr>
          <w:lang w:val="es-419"/>
        </w:rPr>
        <w:t>utilización no autorizada</w:t>
      </w:r>
      <w:r w:rsidR="005D58CA" w:rsidRPr="00BD36CD">
        <w:rPr>
          <w:lang w:val="es-419"/>
        </w:rPr>
        <w:t xml:space="preserve">” </w:t>
      </w:r>
      <w:r w:rsidR="00C525F8" w:rsidRPr="00BD36CD">
        <w:rPr>
          <w:lang w:val="es-419"/>
        </w:rPr>
        <w:t>conforme al Artículo 14.</w:t>
      </w:r>
      <w:r w:rsidR="005D58CA" w:rsidRPr="00BD36CD">
        <w:rPr>
          <w:lang w:val="es-419"/>
        </w:rPr>
        <w:t xml:space="preserve">2) </w:t>
      </w:r>
      <w:r w:rsidR="00C525F8" w:rsidRPr="00BD36CD">
        <w:rPr>
          <w:lang w:val="es-419"/>
        </w:rPr>
        <w:t xml:space="preserve">del Acta de </w:t>
      </w:r>
      <w:r w:rsidR="005D58CA" w:rsidRPr="00BD36CD">
        <w:rPr>
          <w:lang w:val="es-419"/>
        </w:rPr>
        <w:t xml:space="preserve">1991 </w:t>
      </w:r>
      <w:r w:rsidR="00C525F8" w:rsidRPr="00BD36CD">
        <w:rPr>
          <w:lang w:val="es-419"/>
        </w:rPr>
        <w:t>y del modo en que esa interpretación afectaría a la capacidad de los obtentores para ejercer sus derechos en el territorio</w:t>
      </w:r>
      <w:r w:rsidR="005D58CA" w:rsidRPr="00BD36CD">
        <w:rPr>
          <w:lang w:val="es-419"/>
        </w:rPr>
        <w:t xml:space="preserve"> </w:t>
      </w:r>
      <w:r w:rsidR="00C525F8" w:rsidRPr="00BD36CD">
        <w:rPr>
          <w:lang w:val="es-419"/>
        </w:rPr>
        <w:t xml:space="preserve">que se proporcionaron en las respuestas a la </w:t>
      </w:r>
      <w:r w:rsidR="00477128" w:rsidRPr="00BD36CD">
        <w:rPr>
          <w:lang w:val="es-419"/>
        </w:rPr>
        <w:t>Circular E</w:t>
      </w:r>
      <w:r w:rsidR="00477128" w:rsidRPr="00BD36CD">
        <w:rPr>
          <w:lang w:val="es-419"/>
        </w:rPr>
        <w:noBreakHyphen/>
      </w:r>
      <w:r w:rsidR="005D58CA" w:rsidRPr="00BD36CD">
        <w:rPr>
          <w:lang w:val="es-419"/>
        </w:rPr>
        <w:t>23/022</w:t>
      </w:r>
      <w:r w:rsidR="00DA7EE2" w:rsidRPr="00BD36CD">
        <w:rPr>
          <w:lang w:val="es-419"/>
        </w:rPr>
        <w:t>,</w:t>
      </w:r>
      <w:r w:rsidR="00C525F8" w:rsidRPr="00BD36CD">
        <w:rPr>
          <w:lang w:val="es-419"/>
        </w:rPr>
        <w:t xml:space="preserve"> conjuntamente con el </w:t>
      </w:r>
      <w:r w:rsidR="003442CC" w:rsidRPr="00BD36CD">
        <w:rPr>
          <w:lang w:val="es-419"/>
        </w:rPr>
        <w:t>document</w:t>
      </w:r>
      <w:r w:rsidR="00C525F8" w:rsidRPr="00BD36CD">
        <w:rPr>
          <w:lang w:val="es-419"/>
        </w:rPr>
        <w:t>o</w:t>
      </w:r>
      <w:r w:rsidR="003442CC" w:rsidRPr="00BD36CD">
        <w:rPr>
          <w:lang w:val="es-419"/>
        </w:rPr>
        <w:t xml:space="preserve"> </w:t>
      </w:r>
      <w:r w:rsidR="00477128" w:rsidRPr="00BD36CD">
        <w:rPr>
          <w:lang w:val="es-419"/>
        </w:rPr>
        <w:t>WG</w:t>
      </w:r>
      <w:r w:rsidR="00477128" w:rsidRPr="00BD36CD">
        <w:rPr>
          <w:lang w:val="es-419"/>
        </w:rPr>
        <w:noBreakHyphen/>
      </w:r>
      <w:r w:rsidR="003442CC" w:rsidRPr="00BD36CD">
        <w:rPr>
          <w:lang w:val="es-419"/>
        </w:rPr>
        <w:t>HRV/3/3</w:t>
      </w:r>
      <w:r w:rsidR="00267C2B" w:rsidRPr="00BD36CD">
        <w:rPr>
          <w:lang w:val="es-419"/>
        </w:rPr>
        <w:t>.</w:t>
      </w:r>
    </w:p>
    <w:p w:rsidR="00BD36CD" w:rsidRDefault="007E7B8D" w:rsidP="00BD36CD"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344170</wp:posOffset>
                </wp:positionV>
                <wp:extent cx="1743075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7B8D" w:rsidRPr="007E7B8D" w:rsidRDefault="007E7B8D" w:rsidP="007E7B8D">
                            <w:pPr>
                              <w:jc w:val="right"/>
                              <w:rPr>
                                <w:sz w:val="18"/>
                                <w:lang w:val="es-419"/>
                              </w:rPr>
                            </w:pPr>
                            <w:r w:rsidRPr="007E7B8D">
                              <w:rPr>
                                <w:sz w:val="18"/>
                                <w:lang w:val="es-419"/>
                              </w:rPr>
                              <w:t>[Fin del documento]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.8pt;margin-top:27.1pt;width:13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fCLAIAAFEEAAAOAAAAZHJzL2Uyb0RvYy54bWysVFFv2jAQfp+0/2D5fSRQKG1EqFgrpkmo&#10;rQRTn41jQyTb59mGhP36nZ1AUbenaS/O+e585/u+z5k9tFqRo3C+BlPS4SCnRBgOVW12Jf2xWX65&#10;o8QHZiqmwIiSnoSnD/PPn2aNLcQI9qAq4QgWMb5obEn3IdgiyzzfC838AKwwGJTgNAu4dbuscqzB&#10;6lplozy/zRpwlXXAhffofeqCdJ7qSyl4eJHSi0BUSfFuIa0urdu4ZvMZK3aO2X3N+2uwf7iFZrXB&#10;ppdSTywwcnD1H6V0zR14kGHAQWcgZc1FmgGnGeYfplnvmRVpFgTH2wtM/v+V5c/HV0fqCrmjxDCN&#10;FG1EG8hXaMkwotNYX2DS2mJaaNEdM3u/R2ccupVOxy+OQzCOOJ8u2MZiPB6ajm/y6YQSjrHR/WSE&#10;NpbJ3k9b58M3AZpEo6QOuUuQsuPKhy71nBKbGVjWSqGfFcqQpqS3N5M8HbhEsLgy2CPO0N01WqHd&#10;tv0AW6hOOJeDThfe8mWNzVfMh1fmUAg4Coo7vOAiFWAT6C1K9uB+/c0f85EfjFLSoLBK6n8emBOU&#10;qO8GmbsfjsdRiWkznkxHuHHXke11xBz0I6B2kR28XTJjflBnUzrQb/gGFrErhpjh2Luk4Ww+hk7u&#10;+Ia4WCxSEmrPsrAya8tj6YhhhHbTvjFne/wDMvcMZwmy4gMNXW5HxOIQQNaJowhwh2qPO+o2sdy/&#10;sfgwrvcp6/1PMP8NAAD//wMAUEsDBBQABgAIAAAAIQAAhL/04QAAAAoBAAAPAAAAZHJzL2Rvd25y&#10;ZXYueG1sTI/BTsMwEETvSPyDtUjcqJ2IpiHEqapIFRKCQ0sv3JzYTSLsdYjdNvD1LCc4ruZp5m25&#10;np1lZzOFwaOEZCGAGWy9HrCTcHjb3uXAQlSolfVoJHyZAOvq+qpUhfYX3JnzPnaMSjAUSkIf41hw&#10;HtreOBUWfjRI2dFPTkU6p47rSV2o3FmeCpFxpwakhV6Npu5N+7E/OQnP9fZV7ZrU5d+2fno5bsbP&#10;w/tSytubefMILJo5/sHwq0/qUJFT40+oA7MSVkmSESpheZ8CI+AhzxJgDZFCrIBXJf//QvUDAAD/&#10;/wMAUEsBAi0AFAAGAAgAAAAhALaDOJL+AAAA4QEAABMAAAAAAAAAAAAAAAAAAAAAAFtDb250ZW50&#10;X1R5cGVzXS54bWxQSwECLQAUAAYACAAAACEAOP0h/9YAAACUAQAACwAAAAAAAAAAAAAAAAAvAQAA&#10;X3JlbHMvLnJlbHNQSwECLQAUAAYACAAAACEAgtpnwiwCAABRBAAADgAAAAAAAAAAAAAAAAAuAgAA&#10;ZHJzL2Uyb0RvYy54bWxQSwECLQAUAAYACAAAACEAAIS/9OEAAAAKAQAADwAAAAAAAAAAAAAAAACG&#10;BAAAZHJzL2Rvd25yZXYueG1sUEsFBgAAAAAEAAQA8wAAAJQFAAAAAA==&#10;" filled="f" stroked="f" strokeweight=".5pt">
                <v:textbox>
                  <w:txbxContent>
                    <w:p w:rsidR="007E7B8D" w:rsidRPr="007E7B8D" w:rsidRDefault="007E7B8D" w:rsidP="007E7B8D">
                      <w:pPr>
                        <w:jc w:val="right"/>
                        <w:rPr>
                          <w:sz w:val="18"/>
                          <w:lang w:val="es-419"/>
                        </w:rPr>
                      </w:pPr>
                      <w:r w:rsidRPr="007E7B8D">
                        <w:rPr>
                          <w:sz w:val="18"/>
                          <w:lang w:val="es-419"/>
                        </w:rPr>
                        <w:t>[Fin del documento]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36CD" w:rsidSect="009F7466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C1" w:rsidRDefault="00693EC1" w:rsidP="006655D3">
      <w:r>
        <w:separator/>
      </w:r>
    </w:p>
    <w:p w:rsidR="00693EC1" w:rsidRDefault="00693EC1" w:rsidP="006655D3"/>
    <w:p w:rsidR="00693EC1" w:rsidRDefault="00693EC1" w:rsidP="006655D3"/>
  </w:endnote>
  <w:endnote w:type="continuationSeparator" w:id="0">
    <w:p w:rsidR="00693EC1" w:rsidRDefault="00693EC1" w:rsidP="006655D3">
      <w:r>
        <w:separator/>
      </w:r>
    </w:p>
    <w:p w:rsidR="00693EC1" w:rsidRPr="00294751" w:rsidRDefault="00693EC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93EC1" w:rsidRPr="00294751" w:rsidRDefault="00693EC1" w:rsidP="006655D3">
      <w:pPr>
        <w:rPr>
          <w:lang w:val="fr-FR"/>
        </w:rPr>
      </w:pPr>
    </w:p>
    <w:p w:rsidR="00693EC1" w:rsidRPr="00294751" w:rsidRDefault="00693EC1" w:rsidP="006655D3">
      <w:pPr>
        <w:rPr>
          <w:lang w:val="fr-FR"/>
        </w:rPr>
      </w:pPr>
    </w:p>
  </w:endnote>
  <w:endnote w:type="continuationNotice" w:id="1">
    <w:p w:rsidR="00693EC1" w:rsidRPr="00294751" w:rsidRDefault="00693EC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93EC1" w:rsidRPr="00294751" w:rsidRDefault="00693EC1" w:rsidP="006655D3">
      <w:pPr>
        <w:rPr>
          <w:lang w:val="fr-FR"/>
        </w:rPr>
      </w:pPr>
    </w:p>
    <w:p w:rsidR="00693EC1" w:rsidRPr="00294751" w:rsidRDefault="00693EC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C1" w:rsidRDefault="00693EC1" w:rsidP="006655D3">
      <w:r>
        <w:separator/>
      </w:r>
    </w:p>
  </w:footnote>
  <w:footnote w:type="continuationSeparator" w:id="0">
    <w:p w:rsidR="00693EC1" w:rsidRDefault="00693EC1" w:rsidP="006655D3">
      <w:r>
        <w:separator/>
      </w:r>
    </w:p>
  </w:footnote>
  <w:footnote w:type="continuationNotice" w:id="1">
    <w:p w:rsidR="00693EC1" w:rsidRPr="00AB530F" w:rsidRDefault="00693EC1" w:rsidP="00AB530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E48B6"/>
    <w:multiLevelType w:val="hybridMultilevel"/>
    <w:tmpl w:val="42B2377A"/>
    <w:lvl w:ilvl="0" w:tplc="C0C6DE64">
      <w:start w:val="4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24FAA"/>
    <w:multiLevelType w:val="hybridMultilevel"/>
    <w:tmpl w:val="C9A0B3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45DF4"/>
    <w:multiLevelType w:val="hybridMultilevel"/>
    <w:tmpl w:val="FBA69184"/>
    <w:lvl w:ilvl="0" w:tplc="A684AE4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E2C1735"/>
    <w:multiLevelType w:val="hybridMultilevel"/>
    <w:tmpl w:val="E19003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s-419" w:vendorID="64" w:dllVersion="131078" w:nlCheck="1" w:checkStyle="0"/>
  <w:activeWritingStyle w:appName="MSWord" w:lang="es-DO" w:vendorID="64" w:dllVersion="131078" w:nlCheck="1" w:checkStyle="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C1"/>
    <w:rsid w:val="00010CF3"/>
    <w:rsid w:val="00011E27"/>
    <w:rsid w:val="000148BC"/>
    <w:rsid w:val="00024AB8"/>
    <w:rsid w:val="00030854"/>
    <w:rsid w:val="00031341"/>
    <w:rsid w:val="00036028"/>
    <w:rsid w:val="00044642"/>
    <w:rsid w:val="000446B9"/>
    <w:rsid w:val="000452DC"/>
    <w:rsid w:val="00047E21"/>
    <w:rsid w:val="00050E16"/>
    <w:rsid w:val="00077523"/>
    <w:rsid w:val="00085505"/>
    <w:rsid w:val="000B1F81"/>
    <w:rsid w:val="000B2E15"/>
    <w:rsid w:val="000C369A"/>
    <w:rsid w:val="000C4E25"/>
    <w:rsid w:val="000C7021"/>
    <w:rsid w:val="000D2764"/>
    <w:rsid w:val="000D6BBC"/>
    <w:rsid w:val="000D763A"/>
    <w:rsid w:val="000D7780"/>
    <w:rsid w:val="000E05EA"/>
    <w:rsid w:val="000E13D9"/>
    <w:rsid w:val="000E636A"/>
    <w:rsid w:val="000F2F11"/>
    <w:rsid w:val="00105929"/>
    <w:rsid w:val="00110C36"/>
    <w:rsid w:val="001131D5"/>
    <w:rsid w:val="00114517"/>
    <w:rsid w:val="00114E45"/>
    <w:rsid w:val="00127E12"/>
    <w:rsid w:val="00141DB8"/>
    <w:rsid w:val="001521CB"/>
    <w:rsid w:val="00167D81"/>
    <w:rsid w:val="00172084"/>
    <w:rsid w:val="001737F5"/>
    <w:rsid w:val="0017407D"/>
    <w:rsid w:val="0017474A"/>
    <w:rsid w:val="001758C6"/>
    <w:rsid w:val="00182B99"/>
    <w:rsid w:val="001A2E96"/>
    <w:rsid w:val="001C1525"/>
    <w:rsid w:val="001D0CF7"/>
    <w:rsid w:val="001E539A"/>
    <w:rsid w:val="001E6B99"/>
    <w:rsid w:val="001F3AC2"/>
    <w:rsid w:val="0021332C"/>
    <w:rsid w:val="00213982"/>
    <w:rsid w:val="002401C9"/>
    <w:rsid w:val="0024416D"/>
    <w:rsid w:val="00267C2B"/>
    <w:rsid w:val="00271911"/>
    <w:rsid w:val="002800A0"/>
    <w:rsid w:val="002801B3"/>
    <w:rsid w:val="00281060"/>
    <w:rsid w:val="00284138"/>
    <w:rsid w:val="002909A1"/>
    <w:rsid w:val="002940E8"/>
    <w:rsid w:val="00294751"/>
    <w:rsid w:val="00296EC2"/>
    <w:rsid w:val="002A527E"/>
    <w:rsid w:val="002A6E50"/>
    <w:rsid w:val="002B4298"/>
    <w:rsid w:val="002C256A"/>
    <w:rsid w:val="002D0244"/>
    <w:rsid w:val="002D591E"/>
    <w:rsid w:val="002D6675"/>
    <w:rsid w:val="00305A7F"/>
    <w:rsid w:val="003152FE"/>
    <w:rsid w:val="00327436"/>
    <w:rsid w:val="00327A19"/>
    <w:rsid w:val="003442CC"/>
    <w:rsid w:val="00344BD6"/>
    <w:rsid w:val="0035528D"/>
    <w:rsid w:val="00361821"/>
    <w:rsid w:val="00361E9E"/>
    <w:rsid w:val="003877CC"/>
    <w:rsid w:val="003B1CB9"/>
    <w:rsid w:val="003C7FBE"/>
    <w:rsid w:val="003D227C"/>
    <w:rsid w:val="003D2B4D"/>
    <w:rsid w:val="003D7754"/>
    <w:rsid w:val="003F4163"/>
    <w:rsid w:val="0040494E"/>
    <w:rsid w:val="00405CFE"/>
    <w:rsid w:val="00421715"/>
    <w:rsid w:val="00422032"/>
    <w:rsid w:val="00436F91"/>
    <w:rsid w:val="00444A88"/>
    <w:rsid w:val="00447B71"/>
    <w:rsid w:val="00474DA4"/>
    <w:rsid w:val="00476B4D"/>
    <w:rsid w:val="00477128"/>
    <w:rsid w:val="004805FA"/>
    <w:rsid w:val="004935D2"/>
    <w:rsid w:val="00496DE8"/>
    <w:rsid w:val="00497066"/>
    <w:rsid w:val="004B1215"/>
    <w:rsid w:val="004B2158"/>
    <w:rsid w:val="004D047D"/>
    <w:rsid w:val="004F1E9E"/>
    <w:rsid w:val="004F305A"/>
    <w:rsid w:val="00504BD4"/>
    <w:rsid w:val="00512164"/>
    <w:rsid w:val="00520297"/>
    <w:rsid w:val="00523501"/>
    <w:rsid w:val="005338F9"/>
    <w:rsid w:val="0054281C"/>
    <w:rsid w:val="00542EAD"/>
    <w:rsid w:val="00544581"/>
    <w:rsid w:val="00551703"/>
    <w:rsid w:val="0055268D"/>
    <w:rsid w:val="005568A0"/>
    <w:rsid w:val="00567AED"/>
    <w:rsid w:val="00570D54"/>
    <w:rsid w:val="00576BE4"/>
    <w:rsid w:val="00591F88"/>
    <w:rsid w:val="005A37EA"/>
    <w:rsid w:val="005A400A"/>
    <w:rsid w:val="005C70A6"/>
    <w:rsid w:val="005D1A60"/>
    <w:rsid w:val="005D58CA"/>
    <w:rsid w:val="005F7B92"/>
    <w:rsid w:val="00612379"/>
    <w:rsid w:val="006153B6"/>
    <w:rsid w:val="0061555F"/>
    <w:rsid w:val="00636CA6"/>
    <w:rsid w:val="00641200"/>
    <w:rsid w:val="00645CA8"/>
    <w:rsid w:val="00650959"/>
    <w:rsid w:val="006655D3"/>
    <w:rsid w:val="00666DA5"/>
    <w:rsid w:val="00667404"/>
    <w:rsid w:val="00676E8D"/>
    <w:rsid w:val="00687EB4"/>
    <w:rsid w:val="00693EC1"/>
    <w:rsid w:val="00695C56"/>
    <w:rsid w:val="006A5CDE"/>
    <w:rsid w:val="006A644A"/>
    <w:rsid w:val="006B17D2"/>
    <w:rsid w:val="006C224E"/>
    <w:rsid w:val="006D238C"/>
    <w:rsid w:val="006D2C4B"/>
    <w:rsid w:val="006D72E6"/>
    <w:rsid w:val="006D780A"/>
    <w:rsid w:val="006F4B2E"/>
    <w:rsid w:val="0071271E"/>
    <w:rsid w:val="00732DEC"/>
    <w:rsid w:val="00735BD5"/>
    <w:rsid w:val="007502F5"/>
    <w:rsid w:val="00751613"/>
    <w:rsid w:val="007556F6"/>
    <w:rsid w:val="00760282"/>
    <w:rsid w:val="00760EEF"/>
    <w:rsid w:val="00762A6E"/>
    <w:rsid w:val="00777EE5"/>
    <w:rsid w:val="00780A77"/>
    <w:rsid w:val="007823AC"/>
    <w:rsid w:val="00784836"/>
    <w:rsid w:val="0079023E"/>
    <w:rsid w:val="00797033"/>
    <w:rsid w:val="007A0F84"/>
    <w:rsid w:val="007A2854"/>
    <w:rsid w:val="007B1863"/>
    <w:rsid w:val="007B2D5E"/>
    <w:rsid w:val="007C1D92"/>
    <w:rsid w:val="007C33EB"/>
    <w:rsid w:val="007C4CB9"/>
    <w:rsid w:val="007D0B9D"/>
    <w:rsid w:val="007D19B0"/>
    <w:rsid w:val="007D3DD7"/>
    <w:rsid w:val="007E7B8D"/>
    <w:rsid w:val="007F498F"/>
    <w:rsid w:val="008016D3"/>
    <w:rsid w:val="0080679D"/>
    <w:rsid w:val="008108B0"/>
    <w:rsid w:val="00811B20"/>
    <w:rsid w:val="008211B5"/>
    <w:rsid w:val="0082296E"/>
    <w:rsid w:val="00822D87"/>
    <w:rsid w:val="00824099"/>
    <w:rsid w:val="008377D0"/>
    <w:rsid w:val="00840595"/>
    <w:rsid w:val="008443C4"/>
    <w:rsid w:val="00846D7C"/>
    <w:rsid w:val="00867AC1"/>
    <w:rsid w:val="00890DF8"/>
    <w:rsid w:val="0089743E"/>
    <w:rsid w:val="008A743F"/>
    <w:rsid w:val="008C0970"/>
    <w:rsid w:val="008C3987"/>
    <w:rsid w:val="008C7C17"/>
    <w:rsid w:val="008D0BC5"/>
    <w:rsid w:val="008D2CF7"/>
    <w:rsid w:val="008E13E8"/>
    <w:rsid w:val="00900C26"/>
    <w:rsid w:val="0090197F"/>
    <w:rsid w:val="00902C86"/>
    <w:rsid w:val="00903264"/>
    <w:rsid w:val="00906173"/>
    <w:rsid w:val="00906DDC"/>
    <w:rsid w:val="00930033"/>
    <w:rsid w:val="00934E09"/>
    <w:rsid w:val="00935FBB"/>
    <w:rsid w:val="00936253"/>
    <w:rsid w:val="00940D46"/>
    <w:rsid w:val="00943997"/>
    <w:rsid w:val="00952DD4"/>
    <w:rsid w:val="00962161"/>
    <w:rsid w:val="00965AE7"/>
    <w:rsid w:val="00970FED"/>
    <w:rsid w:val="00992D82"/>
    <w:rsid w:val="00997029"/>
    <w:rsid w:val="009A3DBD"/>
    <w:rsid w:val="009A3EE9"/>
    <w:rsid w:val="009A7339"/>
    <w:rsid w:val="009B440E"/>
    <w:rsid w:val="009C4D3C"/>
    <w:rsid w:val="009D690D"/>
    <w:rsid w:val="009E65B6"/>
    <w:rsid w:val="009F7466"/>
    <w:rsid w:val="009F77CF"/>
    <w:rsid w:val="00A14D5B"/>
    <w:rsid w:val="00A24C10"/>
    <w:rsid w:val="00A3075A"/>
    <w:rsid w:val="00A33150"/>
    <w:rsid w:val="00A36805"/>
    <w:rsid w:val="00A42AC3"/>
    <w:rsid w:val="00A430CF"/>
    <w:rsid w:val="00A54309"/>
    <w:rsid w:val="00A76CBA"/>
    <w:rsid w:val="00A97B36"/>
    <w:rsid w:val="00AB2B93"/>
    <w:rsid w:val="00AB530F"/>
    <w:rsid w:val="00AB7E5B"/>
    <w:rsid w:val="00AC2883"/>
    <w:rsid w:val="00AC6EA0"/>
    <w:rsid w:val="00AE0EF1"/>
    <w:rsid w:val="00AE1D82"/>
    <w:rsid w:val="00AE2937"/>
    <w:rsid w:val="00B07301"/>
    <w:rsid w:val="00B11F3E"/>
    <w:rsid w:val="00B12AE9"/>
    <w:rsid w:val="00B224DE"/>
    <w:rsid w:val="00B24D12"/>
    <w:rsid w:val="00B324D4"/>
    <w:rsid w:val="00B36169"/>
    <w:rsid w:val="00B46575"/>
    <w:rsid w:val="00B61777"/>
    <w:rsid w:val="00B6684D"/>
    <w:rsid w:val="00B67675"/>
    <w:rsid w:val="00B75DAD"/>
    <w:rsid w:val="00B84BBD"/>
    <w:rsid w:val="00BA43FB"/>
    <w:rsid w:val="00BA528E"/>
    <w:rsid w:val="00BC127D"/>
    <w:rsid w:val="00BC1FE6"/>
    <w:rsid w:val="00BD36CD"/>
    <w:rsid w:val="00BE23F1"/>
    <w:rsid w:val="00C061B6"/>
    <w:rsid w:val="00C11A0C"/>
    <w:rsid w:val="00C2446C"/>
    <w:rsid w:val="00C36AE5"/>
    <w:rsid w:val="00C41F17"/>
    <w:rsid w:val="00C5046D"/>
    <w:rsid w:val="00C525F8"/>
    <w:rsid w:val="00C527FA"/>
    <w:rsid w:val="00C5280D"/>
    <w:rsid w:val="00C53EB3"/>
    <w:rsid w:val="00C5791C"/>
    <w:rsid w:val="00C66290"/>
    <w:rsid w:val="00C72B7A"/>
    <w:rsid w:val="00C74B88"/>
    <w:rsid w:val="00C80642"/>
    <w:rsid w:val="00C973F2"/>
    <w:rsid w:val="00CA304C"/>
    <w:rsid w:val="00CA64F7"/>
    <w:rsid w:val="00CA774A"/>
    <w:rsid w:val="00CC11B0"/>
    <w:rsid w:val="00CC2841"/>
    <w:rsid w:val="00CC4ACB"/>
    <w:rsid w:val="00CF1330"/>
    <w:rsid w:val="00CF7E36"/>
    <w:rsid w:val="00D0739B"/>
    <w:rsid w:val="00D11E62"/>
    <w:rsid w:val="00D234E6"/>
    <w:rsid w:val="00D307D1"/>
    <w:rsid w:val="00D36D1E"/>
    <w:rsid w:val="00D3708D"/>
    <w:rsid w:val="00D40426"/>
    <w:rsid w:val="00D57C96"/>
    <w:rsid w:val="00D57D18"/>
    <w:rsid w:val="00D8710A"/>
    <w:rsid w:val="00D90EE3"/>
    <w:rsid w:val="00D91203"/>
    <w:rsid w:val="00D95174"/>
    <w:rsid w:val="00DA05D1"/>
    <w:rsid w:val="00DA4973"/>
    <w:rsid w:val="00DA6F36"/>
    <w:rsid w:val="00DA7EE2"/>
    <w:rsid w:val="00DB596E"/>
    <w:rsid w:val="00DB7773"/>
    <w:rsid w:val="00DC00EA"/>
    <w:rsid w:val="00DC3802"/>
    <w:rsid w:val="00E07D87"/>
    <w:rsid w:val="00E32F7E"/>
    <w:rsid w:val="00E4589D"/>
    <w:rsid w:val="00E5267B"/>
    <w:rsid w:val="00E63C0E"/>
    <w:rsid w:val="00E65AD6"/>
    <w:rsid w:val="00E72D49"/>
    <w:rsid w:val="00E7593C"/>
    <w:rsid w:val="00E7678A"/>
    <w:rsid w:val="00E868D6"/>
    <w:rsid w:val="00E935F1"/>
    <w:rsid w:val="00E93C9E"/>
    <w:rsid w:val="00E94A81"/>
    <w:rsid w:val="00EA04C7"/>
    <w:rsid w:val="00EA1FFB"/>
    <w:rsid w:val="00EB048E"/>
    <w:rsid w:val="00EB4E9C"/>
    <w:rsid w:val="00ED2142"/>
    <w:rsid w:val="00EE1D75"/>
    <w:rsid w:val="00EE34DF"/>
    <w:rsid w:val="00EE3670"/>
    <w:rsid w:val="00EE78D4"/>
    <w:rsid w:val="00EF2F89"/>
    <w:rsid w:val="00F03E98"/>
    <w:rsid w:val="00F1237A"/>
    <w:rsid w:val="00F221E0"/>
    <w:rsid w:val="00F22CBD"/>
    <w:rsid w:val="00F27044"/>
    <w:rsid w:val="00F272F1"/>
    <w:rsid w:val="00F45372"/>
    <w:rsid w:val="00F47FD9"/>
    <w:rsid w:val="00F560F7"/>
    <w:rsid w:val="00F6334D"/>
    <w:rsid w:val="00F63599"/>
    <w:rsid w:val="00F7475A"/>
    <w:rsid w:val="00FA49AB"/>
    <w:rsid w:val="00FB2687"/>
    <w:rsid w:val="00FE39C7"/>
    <w:rsid w:val="00FF409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614F4D69"/>
  <w15:docId w15:val="{4814C92D-8953-4F4E-A2F0-052D2601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uiPriority w:val="20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paragraph">
    <w:name w:val="paragraph"/>
    <w:basedOn w:val="Normal"/>
    <w:uiPriority w:val="99"/>
    <w:rsid w:val="002D0244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2D0244"/>
  </w:style>
  <w:style w:type="character" w:customStyle="1" w:styleId="eop">
    <w:name w:val="eop"/>
    <w:basedOn w:val="DefaultParagraphFont"/>
    <w:rsid w:val="002D0244"/>
  </w:style>
  <w:style w:type="character" w:customStyle="1" w:styleId="FootnoteTextChar">
    <w:name w:val="Footnote Text Char"/>
    <w:basedOn w:val="DefaultParagraphFont"/>
    <w:link w:val="FootnoteText"/>
    <w:rsid w:val="002D591E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edocs/mdocs/upov/en/wg_hrv_3/wg_hrv_3_contribution_eu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edocs/mdocs/upov/en/wg_hrv_3/wg_hrv_3_contribution_kr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pov.int/meetings/es/details.jsp?meeting_id=747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wg_hrv_3/wg_hrv_3_contribution_n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pov.int/edocs/mdocs/upov/en/wg_hrv_3/wg_hrv_3_contribution_breeders_org.pdf" TargetMode="External"/><Relationship Id="rId10" Type="http://schemas.openxmlformats.org/officeDocument/2006/relationships/hyperlink" Target="https://www.upov.int/edocs/mdocs/upov/en/wg_hrv_3/wg_hrv_3_contribution_j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wg_hrv_3/wg_hrv_3_contribution_au.pdf" TargetMode="External"/><Relationship Id="rId14" Type="http://schemas.openxmlformats.org/officeDocument/2006/relationships/hyperlink" Target="https://www.upov.int/edocs/mdocs/upov/en/wg_hrv_3/wg_hrv_3_contribution_aip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8F99-3576-4202-9572-54C7BDCE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498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WG-HRV/3/3 Add.</vt:lpstr>
    </vt:vector>
  </TitlesOfParts>
  <Company>UPOV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WG-HRV/3/3 Add.</dc:title>
  <dc:creator>Author</dc:creator>
  <cp:lastModifiedBy>SANTOS Carla Marina</cp:lastModifiedBy>
  <cp:revision>6</cp:revision>
  <cp:lastPrinted>2016-11-22T15:41:00Z</cp:lastPrinted>
  <dcterms:created xsi:type="dcterms:W3CDTF">2023-03-20T13:10:00Z</dcterms:created>
  <dcterms:modified xsi:type="dcterms:W3CDTF">2023-03-21T11:24:00Z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a9741520-e065-48b2-ab85-891c9872062c</vt:lpwstr>
  </property>
</Properties>
</file>