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D26F8" w14:paraId="595C846B" w14:textId="77777777" w:rsidTr="00EB4E9C">
        <w:tc>
          <w:tcPr>
            <w:tcW w:w="6522" w:type="dxa"/>
          </w:tcPr>
          <w:p w14:paraId="754EDF65" w14:textId="77777777" w:rsidR="00DC3802" w:rsidRPr="000D26F8" w:rsidRDefault="00DC3802" w:rsidP="0065180D">
            <w:pPr>
              <w:rPr>
                <w:dstrike/>
                <w:lang w:val="es-419"/>
              </w:rPr>
            </w:pPr>
            <w:r w:rsidRPr="000D26F8">
              <w:rPr>
                <w:noProof/>
                <w:lang w:val="en-US"/>
              </w:rPr>
              <w:drawing>
                <wp:inline distT="0" distB="0" distL="0" distR="0" wp14:anchorId="36018E90" wp14:editId="74C6F4D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DDD2EE2" w14:textId="77777777" w:rsidR="00DC3802" w:rsidRPr="000D26F8" w:rsidRDefault="002E5944" w:rsidP="00AC2883">
            <w:pPr>
              <w:pStyle w:val="Lettrine"/>
              <w:rPr>
                <w:lang w:val="es-419"/>
              </w:rPr>
            </w:pPr>
            <w:r w:rsidRPr="000D26F8">
              <w:rPr>
                <w:lang w:val="es-419"/>
              </w:rPr>
              <w:t>S</w:t>
            </w:r>
          </w:p>
        </w:tc>
      </w:tr>
      <w:tr w:rsidR="00DC3802" w:rsidRPr="000D26F8" w14:paraId="00371008" w14:textId="77777777" w:rsidTr="00645CA8">
        <w:trPr>
          <w:trHeight w:val="219"/>
        </w:trPr>
        <w:tc>
          <w:tcPr>
            <w:tcW w:w="6522" w:type="dxa"/>
          </w:tcPr>
          <w:p w14:paraId="4D50E180" w14:textId="77777777" w:rsidR="00DC3802" w:rsidRPr="000D26F8" w:rsidRDefault="002E5944" w:rsidP="00BC0BD4">
            <w:pPr>
              <w:pStyle w:val="upove"/>
              <w:rPr>
                <w:dstrike/>
                <w:lang w:val="es-419"/>
              </w:rPr>
            </w:pPr>
            <w:r w:rsidRPr="000D26F8">
              <w:rPr>
                <w:lang w:val="es-419"/>
              </w:rPr>
              <w:t>Unión Internacional para la Protección de las Obtenciones Vegetales</w:t>
            </w:r>
          </w:p>
        </w:tc>
        <w:tc>
          <w:tcPr>
            <w:tcW w:w="3117" w:type="dxa"/>
          </w:tcPr>
          <w:p w14:paraId="32E7C32B" w14:textId="77777777" w:rsidR="00DC3802" w:rsidRPr="000D26F8" w:rsidRDefault="00DC3802" w:rsidP="00DA4973">
            <w:pPr>
              <w:rPr>
                <w:lang w:val="es-419"/>
              </w:rPr>
            </w:pPr>
          </w:p>
        </w:tc>
      </w:tr>
    </w:tbl>
    <w:p w14:paraId="5B6EBA5A" w14:textId="77777777" w:rsidR="00DC3802" w:rsidRPr="000D26F8" w:rsidRDefault="00DC3802" w:rsidP="00DC3802">
      <w:pPr>
        <w:rPr>
          <w:lang w:val="es-419"/>
        </w:rPr>
      </w:pPr>
    </w:p>
    <w:p w14:paraId="41EFF86C" w14:textId="77777777" w:rsidR="00DA4973" w:rsidRPr="000D26F8"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D26F8" w14:paraId="397098F6" w14:textId="77777777" w:rsidTr="00EB4E9C">
        <w:tc>
          <w:tcPr>
            <w:tcW w:w="6512" w:type="dxa"/>
          </w:tcPr>
          <w:p w14:paraId="2E1A1469" w14:textId="77777777" w:rsidR="00EB4E9C" w:rsidRPr="000D26F8" w:rsidRDefault="00CB61A5" w:rsidP="00AC2883">
            <w:pPr>
              <w:pStyle w:val="Sessiontc"/>
              <w:spacing w:line="240" w:lineRule="auto"/>
              <w:rPr>
                <w:lang w:val="es-419"/>
              </w:rPr>
            </w:pPr>
            <w:r w:rsidRPr="000D26F8">
              <w:rPr>
                <w:lang w:val="es-419"/>
              </w:rPr>
              <w:t>Grupo de trabajo sobre el producto de la cosecha y la utilización no autorizada de material de reproducción o de multiplicación</w:t>
            </w:r>
          </w:p>
          <w:p w14:paraId="398DDD6E" w14:textId="77777777" w:rsidR="00CB61A5" w:rsidRPr="000D26F8" w:rsidRDefault="00CB61A5" w:rsidP="00CB61A5">
            <w:pPr>
              <w:pStyle w:val="Sessiontcplacedate"/>
              <w:rPr>
                <w:lang w:val="es-419"/>
              </w:rPr>
            </w:pPr>
            <w:r w:rsidRPr="000D26F8">
              <w:rPr>
                <w:lang w:val="es-419"/>
              </w:rPr>
              <w:t>Tercera reunión</w:t>
            </w:r>
          </w:p>
          <w:p w14:paraId="1274A446" w14:textId="77777777" w:rsidR="00EB4E9C" w:rsidRPr="000D26F8" w:rsidRDefault="00CB61A5" w:rsidP="00CB61A5">
            <w:pPr>
              <w:pStyle w:val="Sessiontcplacedate"/>
              <w:rPr>
                <w:dstrike/>
                <w:sz w:val="22"/>
                <w:lang w:val="es-419"/>
              </w:rPr>
            </w:pPr>
            <w:r w:rsidRPr="000D26F8">
              <w:rPr>
                <w:lang w:val="es-419"/>
              </w:rPr>
              <w:t>Ginebra, 21 de marzo de 2023</w:t>
            </w:r>
          </w:p>
        </w:tc>
        <w:tc>
          <w:tcPr>
            <w:tcW w:w="3127" w:type="dxa"/>
          </w:tcPr>
          <w:p w14:paraId="1FCEC6B5" w14:textId="244B6281" w:rsidR="00EB4E9C" w:rsidRPr="000D26F8" w:rsidRDefault="006219BE" w:rsidP="003C7FBE">
            <w:pPr>
              <w:pStyle w:val="Doccode"/>
              <w:rPr>
                <w:lang w:val="es-419"/>
              </w:rPr>
            </w:pPr>
            <w:r w:rsidRPr="000D26F8">
              <w:rPr>
                <w:lang w:val="es-419"/>
              </w:rPr>
              <w:t>WG-H</w:t>
            </w:r>
            <w:r w:rsidR="00CB61A5" w:rsidRPr="000D26F8">
              <w:rPr>
                <w:lang w:val="es-419"/>
              </w:rPr>
              <w:t>RV</w:t>
            </w:r>
            <w:r w:rsidR="00214C1D" w:rsidRPr="000D26F8">
              <w:rPr>
                <w:lang w:val="es-419"/>
              </w:rPr>
              <w:t>/</w:t>
            </w:r>
            <w:r w:rsidR="00CB61A5" w:rsidRPr="000D26F8">
              <w:rPr>
                <w:lang w:val="es-419"/>
              </w:rPr>
              <w:t>3</w:t>
            </w:r>
            <w:r w:rsidR="00EB4E9C" w:rsidRPr="000D26F8">
              <w:rPr>
                <w:lang w:val="es-419"/>
              </w:rPr>
              <w:t>/</w:t>
            </w:r>
            <w:r w:rsidR="00794DAD" w:rsidRPr="000D26F8">
              <w:rPr>
                <w:lang w:val="es-419"/>
              </w:rPr>
              <w:t>3</w:t>
            </w:r>
          </w:p>
          <w:p w14:paraId="5AA9C6D9" w14:textId="77777777" w:rsidR="00883760" w:rsidRPr="000D26F8" w:rsidRDefault="00883760" w:rsidP="003C7FBE">
            <w:pPr>
              <w:pStyle w:val="Doccode"/>
              <w:rPr>
                <w:lang w:val="es-419"/>
              </w:rPr>
            </w:pPr>
          </w:p>
          <w:p w14:paraId="3E3E5C68" w14:textId="77777777" w:rsidR="00EB4E9C" w:rsidRPr="000D26F8" w:rsidRDefault="00EB4E9C" w:rsidP="003C7FBE">
            <w:pPr>
              <w:pStyle w:val="Docoriginal"/>
              <w:rPr>
                <w:lang w:val="es-419"/>
              </w:rPr>
            </w:pPr>
            <w:r w:rsidRPr="000D26F8">
              <w:rPr>
                <w:lang w:val="es-419"/>
              </w:rPr>
              <w:t>Original:</w:t>
            </w:r>
            <w:r w:rsidRPr="000D26F8">
              <w:rPr>
                <w:b w:val="0"/>
                <w:spacing w:val="0"/>
                <w:lang w:val="es-419"/>
              </w:rPr>
              <w:t xml:space="preserve"> </w:t>
            </w:r>
            <w:r w:rsidR="002E5944" w:rsidRPr="000D26F8">
              <w:rPr>
                <w:b w:val="0"/>
                <w:spacing w:val="0"/>
                <w:lang w:val="es-419"/>
              </w:rPr>
              <w:t>Inglés</w:t>
            </w:r>
          </w:p>
          <w:p w14:paraId="796BD8FF" w14:textId="61C574CF" w:rsidR="00EB4E9C" w:rsidRPr="000D26F8" w:rsidRDefault="002E5944" w:rsidP="00CB7CAB">
            <w:pPr>
              <w:pStyle w:val="Docoriginal"/>
              <w:rPr>
                <w:lang w:val="es-419"/>
              </w:rPr>
            </w:pPr>
            <w:r w:rsidRPr="000D26F8">
              <w:rPr>
                <w:lang w:val="es-419"/>
              </w:rPr>
              <w:t>Fecha</w:t>
            </w:r>
            <w:r w:rsidR="00EB4E9C" w:rsidRPr="000D26F8">
              <w:rPr>
                <w:lang w:val="es-419"/>
              </w:rPr>
              <w:t>:</w:t>
            </w:r>
            <w:r w:rsidR="00EB4E9C" w:rsidRPr="000D26F8">
              <w:rPr>
                <w:b w:val="0"/>
                <w:spacing w:val="0"/>
                <w:lang w:val="es-419"/>
              </w:rPr>
              <w:t xml:space="preserve"> </w:t>
            </w:r>
            <w:r w:rsidR="00794DAD" w:rsidRPr="000D26F8">
              <w:rPr>
                <w:b w:val="0"/>
                <w:spacing w:val="0"/>
                <w:lang w:val="es-419"/>
              </w:rPr>
              <w:t>17 de febrero</w:t>
            </w:r>
            <w:r w:rsidR="00EB4E9C" w:rsidRPr="000D26F8">
              <w:rPr>
                <w:b w:val="0"/>
                <w:spacing w:val="0"/>
                <w:lang w:val="es-419"/>
              </w:rPr>
              <w:t xml:space="preserve"> </w:t>
            </w:r>
            <w:r w:rsidRPr="000D26F8">
              <w:rPr>
                <w:b w:val="0"/>
                <w:spacing w:val="0"/>
                <w:lang w:val="es-419"/>
              </w:rPr>
              <w:t xml:space="preserve">de </w:t>
            </w:r>
            <w:r w:rsidR="00642665" w:rsidRPr="000D26F8">
              <w:rPr>
                <w:b w:val="0"/>
                <w:spacing w:val="0"/>
                <w:lang w:val="es-419"/>
              </w:rPr>
              <w:t>202</w:t>
            </w:r>
            <w:r w:rsidR="00CB61A5" w:rsidRPr="000D26F8">
              <w:rPr>
                <w:b w:val="0"/>
                <w:spacing w:val="0"/>
                <w:lang w:val="es-419"/>
              </w:rPr>
              <w:t>3</w:t>
            </w:r>
          </w:p>
        </w:tc>
      </w:tr>
    </w:tbl>
    <w:p w14:paraId="2FA8E59E" w14:textId="5B2F9262" w:rsidR="000D7780" w:rsidRPr="000D26F8" w:rsidRDefault="00203BD5" w:rsidP="00FB2A2F">
      <w:pPr>
        <w:pStyle w:val="Titleofdoc0"/>
        <w:rPr>
          <w:lang w:val="es-419"/>
        </w:rPr>
      </w:pPr>
      <w:r w:rsidRPr="00203BD5">
        <w:rPr>
          <w:lang w:val="es-419"/>
        </w:rPr>
        <w:t xml:space="preserve">Perspectivas sobre la “utilización no autorizada” </w:t>
      </w:r>
      <w:r w:rsidR="00F52070">
        <w:rPr>
          <w:rFonts w:cs="Arial"/>
          <w:color w:val="000000"/>
          <w:lang w:val="es-419"/>
        </w:rPr>
        <w:t>conforme al</w:t>
      </w:r>
      <w:bookmarkStart w:id="0" w:name="_GoBack"/>
      <w:bookmarkEnd w:id="0"/>
      <w:r w:rsidRPr="00203BD5">
        <w:rPr>
          <w:lang w:val="es-419"/>
        </w:rPr>
        <w:t xml:space="preserve"> Artículo 14.2) del Acta de 1991 del Convenio de la UPOV</w:t>
      </w:r>
    </w:p>
    <w:p w14:paraId="7D7DA67A" w14:textId="77777777" w:rsidR="006A644A" w:rsidRPr="000D26F8" w:rsidRDefault="000638A9" w:rsidP="006A644A">
      <w:pPr>
        <w:pStyle w:val="preparedby1"/>
        <w:jc w:val="left"/>
        <w:rPr>
          <w:lang w:val="es-419"/>
        </w:rPr>
      </w:pPr>
      <w:r w:rsidRPr="000D26F8">
        <w:rPr>
          <w:lang w:val="es-419"/>
        </w:rPr>
        <w:t>Documento preparado por la Oficina de la Unión</w:t>
      </w:r>
    </w:p>
    <w:p w14:paraId="58688C7B" w14:textId="77777777" w:rsidR="00050E16" w:rsidRPr="000D26F8" w:rsidRDefault="000638A9" w:rsidP="006A644A">
      <w:pPr>
        <w:pStyle w:val="Disclaimer"/>
        <w:rPr>
          <w:lang w:val="es-419"/>
        </w:rPr>
      </w:pPr>
      <w:r w:rsidRPr="000D26F8">
        <w:rPr>
          <w:lang w:val="es-419"/>
        </w:rPr>
        <w:t>Descargo de responsabilidad: el presente documento no constituye un documento de política u orientación de la UPOV</w:t>
      </w:r>
    </w:p>
    <w:p w14:paraId="3DE235C2" w14:textId="23A43D4E" w:rsidR="00CB7CAB" w:rsidRPr="00C66DF6" w:rsidRDefault="00933348" w:rsidP="00C66DF6">
      <w:pPr>
        <w:pStyle w:val="Heading1"/>
        <w:rPr>
          <w:snapToGrid w:val="0"/>
          <w:lang w:val="es-ES"/>
        </w:rPr>
      </w:pPr>
      <w:bookmarkStart w:id="1" w:name="_Toc128509171"/>
      <w:r w:rsidRPr="00C66DF6">
        <w:rPr>
          <w:snapToGrid w:val="0"/>
          <w:lang w:val="es-ES"/>
        </w:rPr>
        <w:t>RESUMEN</w:t>
      </w:r>
      <w:bookmarkEnd w:id="1"/>
    </w:p>
    <w:p w14:paraId="2A351C9C" w14:textId="77777777" w:rsidR="00CB7CAB" w:rsidRPr="000D26F8" w:rsidRDefault="00CB7CAB" w:rsidP="00CB7CAB">
      <w:pPr>
        <w:keepNext/>
        <w:outlineLvl w:val="0"/>
        <w:rPr>
          <w:lang w:val="es-419"/>
        </w:rPr>
      </w:pPr>
    </w:p>
    <w:p w14:paraId="52974AF0" w14:textId="42EF4139" w:rsidR="00CB7CAB" w:rsidRPr="000D26F8" w:rsidRDefault="00CB7CAB" w:rsidP="00CB7CAB">
      <w:pPr>
        <w:rPr>
          <w:rFonts w:eastAsiaTheme="minorEastAsia" w:cs="Arial"/>
          <w:snapToGrid w:val="0"/>
          <w:lang w:val="es-419"/>
        </w:rPr>
      </w:pPr>
      <w:r w:rsidRPr="000D26F8">
        <w:rPr>
          <w:lang w:val="es-419"/>
        </w:rPr>
        <w:fldChar w:fldCharType="begin"/>
      </w:r>
      <w:r w:rsidRPr="000D26F8">
        <w:rPr>
          <w:lang w:val="es-419"/>
        </w:rPr>
        <w:instrText xml:space="preserve"> AUTONUM  </w:instrText>
      </w:r>
      <w:r w:rsidRPr="000D26F8">
        <w:rPr>
          <w:lang w:val="es-419"/>
        </w:rPr>
        <w:fldChar w:fldCharType="end"/>
      </w:r>
      <w:r w:rsidRPr="000D26F8">
        <w:rPr>
          <w:lang w:val="es-419"/>
        </w:rPr>
        <w:tab/>
      </w:r>
      <w:r w:rsidR="00933348" w:rsidRPr="000D26F8">
        <w:rPr>
          <w:lang w:val="es-419"/>
        </w:rPr>
        <w:t xml:space="preserve">El presente documento tiene por objeto exponer una propuesta relativa a las distintas </w:t>
      </w:r>
      <w:r w:rsidR="00FB2A2F" w:rsidRPr="000D26F8">
        <w:rPr>
          <w:lang w:val="es-419"/>
        </w:rPr>
        <w:t xml:space="preserve">perspectivas </w:t>
      </w:r>
      <w:r w:rsidR="00FB2A2F" w:rsidRPr="00D24DF6">
        <w:rPr>
          <w:lang w:val="es-419"/>
        </w:rPr>
        <w:t xml:space="preserve">acerca del concepto </w:t>
      </w:r>
      <w:r w:rsidR="00933348" w:rsidRPr="00D24DF6">
        <w:rPr>
          <w:lang w:val="es-419"/>
        </w:rPr>
        <w:t>de “</w:t>
      </w:r>
      <w:r w:rsidR="00933348" w:rsidRPr="000D26F8">
        <w:rPr>
          <w:lang w:val="es-419"/>
        </w:rPr>
        <w:t xml:space="preserve">utilización no autorizada” conforme al </w:t>
      </w:r>
      <w:r w:rsidR="00B47593" w:rsidRPr="000D26F8">
        <w:rPr>
          <w:lang w:val="es-419"/>
        </w:rPr>
        <w:t>Artículo</w:t>
      </w:r>
      <w:r w:rsidR="00122DCE" w:rsidRPr="000D26F8">
        <w:rPr>
          <w:lang w:val="es-419"/>
        </w:rPr>
        <w:t> </w:t>
      </w:r>
      <w:r w:rsidR="00933348" w:rsidRPr="000D26F8">
        <w:rPr>
          <w:lang w:val="es-419"/>
        </w:rPr>
        <w:t xml:space="preserve">14.2) del Acta de 1991 </w:t>
      </w:r>
      <w:r w:rsidR="004F1E7D" w:rsidRPr="000D26F8">
        <w:rPr>
          <w:lang w:val="es-419"/>
        </w:rPr>
        <w:t xml:space="preserve">e </w:t>
      </w:r>
      <w:r w:rsidR="00933348" w:rsidRPr="000D26F8">
        <w:rPr>
          <w:lang w:val="es-419"/>
        </w:rPr>
        <w:t>invit</w:t>
      </w:r>
      <w:r w:rsidR="004F1E7D" w:rsidRPr="000D26F8">
        <w:rPr>
          <w:lang w:val="es-419"/>
        </w:rPr>
        <w:t>ar al</w:t>
      </w:r>
      <w:r w:rsidR="00933348" w:rsidRPr="000D26F8">
        <w:rPr>
          <w:lang w:val="es-419"/>
        </w:rPr>
        <w:t xml:space="preserve"> Grupo de trabajo sobre el producto de la cosecha y la utilización no autorizada de material de reproducción o de multiplicación (WG-HRV) </w:t>
      </w:r>
      <w:r w:rsidR="004F1E7D" w:rsidRPr="000D26F8">
        <w:rPr>
          <w:lang w:val="es-419"/>
        </w:rPr>
        <w:t>a</w:t>
      </w:r>
      <w:r w:rsidR="00933348" w:rsidRPr="000D26F8">
        <w:rPr>
          <w:lang w:val="es-419"/>
        </w:rPr>
        <w:t xml:space="preserve"> </w:t>
      </w:r>
      <w:r w:rsidR="004F1E7D" w:rsidRPr="000D26F8">
        <w:rPr>
          <w:lang w:val="es-419"/>
        </w:rPr>
        <w:t>examinar dicha</w:t>
      </w:r>
      <w:r w:rsidR="00933348" w:rsidRPr="000D26F8">
        <w:rPr>
          <w:lang w:val="es-419"/>
        </w:rPr>
        <w:t xml:space="preserve"> propuesta </w:t>
      </w:r>
      <w:r w:rsidR="004F1E7D" w:rsidRPr="000D26F8">
        <w:rPr>
          <w:lang w:val="es-419"/>
        </w:rPr>
        <w:t>junto</w:t>
      </w:r>
      <w:r w:rsidR="00933348" w:rsidRPr="000D26F8">
        <w:rPr>
          <w:lang w:val="es-419"/>
        </w:rPr>
        <w:t xml:space="preserve"> con </w:t>
      </w:r>
      <w:r w:rsidR="004F1E7D" w:rsidRPr="000D26F8">
        <w:rPr>
          <w:lang w:val="es-419"/>
        </w:rPr>
        <w:t xml:space="preserve">los </w:t>
      </w:r>
      <w:r w:rsidR="00933348" w:rsidRPr="000D26F8">
        <w:rPr>
          <w:lang w:val="es-419"/>
        </w:rPr>
        <w:t xml:space="preserve">ejemplos </w:t>
      </w:r>
      <w:r w:rsidR="004F1E7D" w:rsidRPr="000D26F8">
        <w:rPr>
          <w:lang w:val="es-419"/>
        </w:rPr>
        <w:t xml:space="preserve">que </w:t>
      </w:r>
      <w:r w:rsidR="00933348" w:rsidRPr="000D26F8">
        <w:rPr>
          <w:lang w:val="es-419"/>
        </w:rPr>
        <w:t>pro</w:t>
      </w:r>
      <w:r w:rsidR="004F1E7D" w:rsidRPr="000D26F8">
        <w:rPr>
          <w:lang w:val="es-419"/>
        </w:rPr>
        <w:t xml:space="preserve">porcionen los </w:t>
      </w:r>
      <w:r w:rsidR="00933348" w:rsidRPr="000D26F8">
        <w:rPr>
          <w:lang w:val="es-419"/>
        </w:rPr>
        <w:t>miembros de</w:t>
      </w:r>
      <w:r w:rsidR="004F1E7D" w:rsidRPr="000D26F8">
        <w:rPr>
          <w:lang w:val="es-419"/>
        </w:rPr>
        <w:t xml:space="preserve"> ese</w:t>
      </w:r>
      <w:r w:rsidR="00933348" w:rsidRPr="000D26F8">
        <w:rPr>
          <w:lang w:val="es-419"/>
        </w:rPr>
        <w:t xml:space="preserve"> </w:t>
      </w:r>
      <w:r w:rsidR="00997853" w:rsidRPr="000D26F8">
        <w:rPr>
          <w:lang w:val="es-419"/>
        </w:rPr>
        <w:t xml:space="preserve">Grupo </w:t>
      </w:r>
      <w:r w:rsidR="004F1E7D" w:rsidRPr="000D26F8">
        <w:rPr>
          <w:lang w:val="es-419"/>
        </w:rPr>
        <w:t>de trabajo</w:t>
      </w:r>
      <w:r w:rsidR="00933348" w:rsidRPr="000D26F8">
        <w:rPr>
          <w:lang w:val="es-419"/>
        </w:rPr>
        <w:t>.</w:t>
      </w:r>
    </w:p>
    <w:p w14:paraId="1122B0DB" w14:textId="77777777" w:rsidR="00CB7CAB" w:rsidRPr="000D26F8" w:rsidRDefault="00CB7CAB" w:rsidP="00CB7CAB">
      <w:pPr>
        <w:rPr>
          <w:lang w:val="es-419"/>
        </w:rPr>
      </w:pPr>
    </w:p>
    <w:p w14:paraId="7AE788F6" w14:textId="4AE082D8" w:rsidR="00CB7CAB" w:rsidRPr="000D26F8" w:rsidRDefault="00CB7CAB" w:rsidP="00CB7CAB">
      <w:pPr>
        <w:rPr>
          <w:lang w:val="es-419"/>
        </w:rPr>
      </w:pPr>
      <w:r w:rsidRPr="000D26F8">
        <w:rPr>
          <w:lang w:val="es-419"/>
        </w:rPr>
        <w:fldChar w:fldCharType="begin"/>
      </w:r>
      <w:r w:rsidRPr="000D26F8">
        <w:rPr>
          <w:lang w:val="es-419"/>
        </w:rPr>
        <w:instrText xml:space="preserve"> AUTONUM  </w:instrText>
      </w:r>
      <w:r w:rsidRPr="000D26F8">
        <w:rPr>
          <w:lang w:val="es-419"/>
        </w:rPr>
        <w:fldChar w:fldCharType="end"/>
      </w:r>
      <w:r w:rsidRPr="000D26F8">
        <w:rPr>
          <w:lang w:val="es-419"/>
        </w:rPr>
        <w:tab/>
      </w:r>
      <w:r w:rsidR="004F1E7D" w:rsidRPr="000D26F8">
        <w:rPr>
          <w:lang w:val="es-419"/>
        </w:rPr>
        <w:t>Se invita al WG-HRV a:</w:t>
      </w:r>
    </w:p>
    <w:p w14:paraId="1F7E498B" w14:textId="77777777" w:rsidR="00CB7CAB" w:rsidRPr="000D26F8" w:rsidRDefault="00CB7CAB" w:rsidP="00CB7CAB">
      <w:pPr>
        <w:rPr>
          <w:lang w:val="es-419"/>
        </w:rPr>
      </w:pPr>
    </w:p>
    <w:p w14:paraId="4AD81CDB" w14:textId="7756BD33" w:rsidR="00CB7CAB" w:rsidRPr="000D26F8" w:rsidRDefault="00CB7CAB" w:rsidP="00CB7CAB">
      <w:pPr>
        <w:rPr>
          <w:lang w:val="es-419"/>
        </w:rPr>
      </w:pPr>
      <w:r w:rsidRPr="000D26F8">
        <w:rPr>
          <w:lang w:val="es-419"/>
        </w:rPr>
        <w:tab/>
      </w:r>
      <w:r w:rsidR="00D35CC1" w:rsidRPr="000D26F8">
        <w:rPr>
          <w:lang w:val="es-419"/>
        </w:rPr>
        <w:t>a)</w:t>
      </w:r>
      <w:r w:rsidR="00D35CC1" w:rsidRPr="000D26F8">
        <w:rPr>
          <w:lang w:val="es-419"/>
        </w:rPr>
        <w:tab/>
      </w:r>
      <w:r w:rsidR="004F1E7D" w:rsidRPr="000D26F8">
        <w:rPr>
          <w:lang w:val="es-419"/>
        </w:rPr>
        <w:t xml:space="preserve">tomar nota de que los ejemplos </w:t>
      </w:r>
      <w:r w:rsidR="0045424C" w:rsidRPr="000D26F8">
        <w:rPr>
          <w:lang w:val="es-419"/>
        </w:rPr>
        <w:t>que se proporcionen en respuesta a la circular, según se explica en el párrafo </w:t>
      </w:r>
      <w:r w:rsidR="00FB2A2F" w:rsidRPr="000D26F8">
        <w:rPr>
          <w:lang w:val="es-419"/>
        </w:rPr>
        <w:t xml:space="preserve">9 del presente documento, se recogerán </w:t>
      </w:r>
      <w:r w:rsidR="004F1E7D" w:rsidRPr="000D26F8">
        <w:rPr>
          <w:lang w:val="es-419"/>
        </w:rPr>
        <w:t xml:space="preserve">en una adición </w:t>
      </w:r>
      <w:r w:rsidR="008B1451" w:rsidRPr="000D26F8">
        <w:rPr>
          <w:lang w:val="es-419"/>
        </w:rPr>
        <w:t>a este</w:t>
      </w:r>
      <w:r w:rsidR="004F1E7D" w:rsidRPr="000D26F8">
        <w:rPr>
          <w:lang w:val="es-419"/>
        </w:rPr>
        <w:t xml:space="preserve"> y, asimismo, se publicarán en el sitio web de la UPOV:</w:t>
      </w:r>
      <w:r w:rsidR="00933348" w:rsidRPr="000D26F8">
        <w:rPr>
          <w:lang w:val="es-419"/>
        </w:rPr>
        <w:t xml:space="preserve"> </w:t>
      </w:r>
      <w:hyperlink r:id="rId8" w:history="1">
        <w:r w:rsidR="004F1E7D" w:rsidRPr="000D26F8">
          <w:rPr>
            <w:rStyle w:val="Hyperlink"/>
            <w:lang w:val="es-419"/>
          </w:rPr>
          <w:t>https://www.upov.int/meetings/es/details.jsp?meeting_id=74773</w:t>
        </w:r>
      </w:hyperlink>
      <w:r w:rsidRPr="000D26F8">
        <w:rPr>
          <w:lang w:val="es-419"/>
        </w:rPr>
        <w:t>;</w:t>
      </w:r>
      <w:r w:rsidR="00933348" w:rsidRPr="000D26F8">
        <w:rPr>
          <w:lang w:val="es-419"/>
        </w:rPr>
        <w:t xml:space="preserve"> </w:t>
      </w:r>
      <w:r w:rsidR="004F1E7D" w:rsidRPr="000D26F8">
        <w:rPr>
          <w:lang w:val="es-419"/>
        </w:rPr>
        <w:t>y</w:t>
      </w:r>
    </w:p>
    <w:p w14:paraId="5FD7E2B6" w14:textId="77777777" w:rsidR="00CB7CAB" w:rsidRPr="000D26F8" w:rsidRDefault="00CB7CAB" w:rsidP="00CB7CAB">
      <w:pPr>
        <w:rPr>
          <w:lang w:val="es-419"/>
        </w:rPr>
      </w:pPr>
    </w:p>
    <w:p w14:paraId="78214232" w14:textId="725BCFB9" w:rsidR="00CB7CAB" w:rsidRPr="000D26F8" w:rsidRDefault="00CB7CAB" w:rsidP="00CB7CAB">
      <w:pPr>
        <w:rPr>
          <w:lang w:val="es-419"/>
        </w:rPr>
      </w:pPr>
      <w:r w:rsidRPr="000D26F8">
        <w:rPr>
          <w:lang w:val="es-419"/>
        </w:rPr>
        <w:tab/>
      </w:r>
      <w:r w:rsidR="00D35CC1" w:rsidRPr="000D26F8">
        <w:rPr>
          <w:lang w:val="es-419"/>
        </w:rPr>
        <w:t>b)</w:t>
      </w:r>
      <w:r w:rsidR="00D35CC1" w:rsidRPr="000D26F8">
        <w:rPr>
          <w:lang w:val="es-419"/>
        </w:rPr>
        <w:tab/>
      </w:r>
      <w:r w:rsidR="004F1E7D" w:rsidRPr="000D26F8">
        <w:rPr>
          <w:lang w:val="es-419"/>
        </w:rPr>
        <w:t>examinar la propuesta que figura en el párrafo 8 del presente documento.</w:t>
      </w:r>
    </w:p>
    <w:p w14:paraId="2EF56F74" w14:textId="77777777" w:rsidR="00CB7CAB" w:rsidRPr="000D26F8" w:rsidRDefault="00CB7CAB" w:rsidP="00CB7CAB">
      <w:pPr>
        <w:rPr>
          <w:lang w:val="es-419"/>
        </w:rPr>
      </w:pPr>
    </w:p>
    <w:p w14:paraId="18C16F36" w14:textId="133268A7" w:rsidR="00CB7CAB" w:rsidRPr="000D26F8" w:rsidRDefault="00CB7CAB" w:rsidP="00CB7CAB">
      <w:pPr>
        <w:jc w:val="left"/>
        <w:rPr>
          <w:lang w:val="es-419"/>
        </w:rPr>
      </w:pPr>
      <w:r w:rsidRPr="000D26F8">
        <w:rPr>
          <w:rFonts w:cs="Arial"/>
          <w:lang w:val="es-419"/>
        </w:rPr>
        <w:fldChar w:fldCharType="begin"/>
      </w:r>
      <w:r w:rsidRPr="000D26F8">
        <w:rPr>
          <w:rFonts w:cs="Arial"/>
          <w:lang w:val="es-419"/>
        </w:rPr>
        <w:instrText xml:space="preserve"> AUTONUM  </w:instrText>
      </w:r>
      <w:r w:rsidRPr="000D26F8">
        <w:rPr>
          <w:rFonts w:cs="Arial"/>
          <w:lang w:val="es-419"/>
        </w:rPr>
        <w:fldChar w:fldCharType="end"/>
      </w:r>
      <w:r w:rsidRPr="000D26F8">
        <w:rPr>
          <w:rFonts w:cs="Arial"/>
          <w:lang w:val="es-419"/>
        </w:rPr>
        <w:tab/>
      </w:r>
      <w:r w:rsidR="004F1E7D" w:rsidRPr="000D26F8">
        <w:rPr>
          <w:rFonts w:cs="Arial"/>
          <w:lang w:val="es-419" w:eastAsia="ja-JP"/>
        </w:rPr>
        <w:t>El presente documento se estructura del modo siguiente:</w:t>
      </w:r>
    </w:p>
    <w:p w14:paraId="23EA0FDF" w14:textId="071F5C74" w:rsidR="0065180D" w:rsidRPr="000D26F8" w:rsidRDefault="00CB7CAB" w:rsidP="0065180D">
      <w:pPr>
        <w:pStyle w:val="TOC1"/>
        <w:rPr>
          <w:rFonts w:asciiTheme="minorHAnsi" w:eastAsiaTheme="minorEastAsia" w:hAnsiTheme="minorHAnsi" w:cstheme="minorBidi"/>
          <w:noProof/>
          <w:sz w:val="18"/>
          <w:szCs w:val="18"/>
          <w:lang w:val="es-419" w:eastAsia="es-ES"/>
        </w:rPr>
      </w:pPr>
      <w:r w:rsidRPr="000D26F8">
        <w:rPr>
          <w:bCs/>
          <w:noProof/>
          <w:color w:val="000000"/>
          <w:sz w:val="18"/>
          <w:lang w:val="es-419"/>
        </w:rPr>
        <w:fldChar w:fldCharType="begin"/>
      </w:r>
      <w:r w:rsidRPr="000D26F8">
        <w:rPr>
          <w:color w:val="000000"/>
          <w:lang w:val="es-419"/>
        </w:rPr>
        <w:instrText xml:space="preserve"> TOC \o "1-2" \u </w:instrText>
      </w:r>
      <w:r w:rsidRPr="000D26F8">
        <w:rPr>
          <w:bCs/>
          <w:noProof/>
          <w:color w:val="000000"/>
          <w:sz w:val="18"/>
          <w:lang w:val="es-419"/>
        </w:rPr>
        <w:fldChar w:fldCharType="separate"/>
      </w:r>
      <w:r w:rsidR="0065180D" w:rsidRPr="000D26F8">
        <w:rPr>
          <w:noProof/>
          <w:snapToGrid w:val="0"/>
          <w:sz w:val="18"/>
          <w:szCs w:val="18"/>
          <w:lang w:val="es-419"/>
        </w:rPr>
        <w:t>RESUMEN</w:t>
      </w:r>
      <w:r w:rsidR="0065180D" w:rsidRPr="000D26F8">
        <w:rPr>
          <w:noProof/>
          <w:sz w:val="18"/>
          <w:szCs w:val="18"/>
          <w:lang w:val="es-419"/>
        </w:rPr>
        <w:tab/>
      </w:r>
      <w:r w:rsidR="0065180D" w:rsidRPr="000D26F8">
        <w:rPr>
          <w:noProof/>
          <w:sz w:val="18"/>
          <w:szCs w:val="18"/>
          <w:lang w:val="es-419"/>
        </w:rPr>
        <w:fldChar w:fldCharType="begin"/>
      </w:r>
      <w:r w:rsidR="0065180D" w:rsidRPr="000D26F8">
        <w:rPr>
          <w:noProof/>
          <w:sz w:val="18"/>
          <w:szCs w:val="18"/>
          <w:lang w:val="es-419"/>
        </w:rPr>
        <w:instrText xml:space="preserve"> PAGEREF _Toc128509171 \h </w:instrText>
      </w:r>
      <w:r w:rsidR="0065180D" w:rsidRPr="000D26F8">
        <w:rPr>
          <w:noProof/>
          <w:sz w:val="18"/>
          <w:szCs w:val="18"/>
          <w:lang w:val="es-419"/>
        </w:rPr>
      </w:r>
      <w:r w:rsidR="0065180D" w:rsidRPr="000D26F8">
        <w:rPr>
          <w:noProof/>
          <w:sz w:val="18"/>
          <w:szCs w:val="18"/>
          <w:lang w:val="es-419"/>
        </w:rPr>
        <w:fldChar w:fldCharType="separate"/>
      </w:r>
      <w:r w:rsidR="0065180D" w:rsidRPr="000D26F8">
        <w:rPr>
          <w:noProof/>
          <w:sz w:val="18"/>
          <w:szCs w:val="18"/>
          <w:lang w:val="es-419"/>
        </w:rPr>
        <w:t>1</w:t>
      </w:r>
      <w:r w:rsidR="0065180D" w:rsidRPr="000D26F8">
        <w:rPr>
          <w:noProof/>
          <w:sz w:val="18"/>
          <w:szCs w:val="18"/>
          <w:lang w:val="es-419"/>
        </w:rPr>
        <w:fldChar w:fldCharType="end"/>
      </w:r>
    </w:p>
    <w:p w14:paraId="656F9442" w14:textId="22A59511" w:rsidR="0065180D" w:rsidRPr="000D26F8" w:rsidRDefault="0065180D" w:rsidP="0065180D">
      <w:pPr>
        <w:pStyle w:val="TOC1"/>
        <w:rPr>
          <w:rFonts w:asciiTheme="minorHAnsi" w:eastAsiaTheme="minorEastAsia" w:hAnsiTheme="minorHAnsi" w:cstheme="minorBidi"/>
          <w:noProof/>
          <w:sz w:val="18"/>
          <w:szCs w:val="18"/>
          <w:lang w:val="es-419" w:eastAsia="es-ES"/>
        </w:rPr>
      </w:pPr>
      <w:r w:rsidRPr="000D26F8">
        <w:rPr>
          <w:noProof/>
          <w:sz w:val="18"/>
          <w:szCs w:val="18"/>
          <w:lang w:val="es-419"/>
        </w:rPr>
        <w:t>ANTECEDENTES</w:t>
      </w:r>
      <w:r w:rsidRPr="000D26F8">
        <w:rPr>
          <w:noProof/>
          <w:sz w:val="18"/>
          <w:szCs w:val="18"/>
          <w:lang w:val="es-419"/>
        </w:rPr>
        <w:tab/>
      </w:r>
      <w:r w:rsidRPr="000D26F8">
        <w:rPr>
          <w:noProof/>
          <w:sz w:val="18"/>
          <w:szCs w:val="18"/>
          <w:lang w:val="es-419"/>
        </w:rPr>
        <w:fldChar w:fldCharType="begin"/>
      </w:r>
      <w:r w:rsidRPr="000D26F8">
        <w:rPr>
          <w:noProof/>
          <w:sz w:val="18"/>
          <w:szCs w:val="18"/>
          <w:lang w:val="es-419"/>
        </w:rPr>
        <w:instrText xml:space="preserve"> PAGEREF _Toc128509172 \h </w:instrText>
      </w:r>
      <w:r w:rsidRPr="000D26F8">
        <w:rPr>
          <w:noProof/>
          <w:sz w:val="18"/>
          <w:szCs w:val="18"/>
          <w:lang w:val="es-419"/>
        </w:rPr>
      </w:r>
      <w:r w:rsidRPr="000D26F8">
        <w:rPr>
          <w:noProof/>
          <w:sz w:val="18"/>
          <w:szCs w:val="18"/>
          <w:lang w:val="es-419"/>
        </w:rPr>
        <w:fldChar w:fldCharType="separate"/>
      </w:r>
      <w:r w:rsidRPr="000D26F8">
        <w:rPr>
          <w:noProof/>
          <w:sz w:val="18"/>
          <w:szCs w:val="18"/>
          <w:lang w:val="es-419"/>
        </w:rPr>
        <w:t>1</w:t>
      </w:r>
      <w:r w:rsidRPr="000D26F8">
        <w:rPr>
          <w:noProof/>
          <w:sz w:val="18"/>
          <w:szCs w:val="18"/>
          <w:lang w:val="es-419"/>
        </w:rPr>
        <w:fldChar w:fldCharType="end"/>
      </w:r>
    </w:p>
    <w:p w14:paraId="0497954D" w14:textId="5A623FA6" w:rsidR="0065180D" w:rsidRPr="000D26F8" w:rsidRDefault="0065180D" w:rsidP="0065180D">
      <w:pPr>
        <w:pStyle w:val="TOC1"/>
        <w:rPr>
          <w:rFonts w:asciiTheme="minorHAnsi" w:eastAsiaTheme="minorEastAsia" w:hAnsiTheme="minorHAnsi" w:cstheme="minorBidi"/>
          <w:noProof/>
          <w:sz w:val="18"/>
          <w:szCs w:val="18"/>
          <w:lang w:val="es-419" w:eastAsia="es-ES"/>
        </w:rPr>
      </w:pPr>
      <w:r w:rsidRPr="000D26F8">
        <w:rPr>
          <w:noProof/>
          <w:sz w:val="18"/>
          <w:szCs w:val="18"/>
          <w:lang w:val="es-419"/>
        </w:rPr>
        <w:t>INTRODUCCIÓN a las distintas perspectivas acerca del concepto de “utilización no autorizada” de cara a LA REVISIÓN DE LAS NOTAS EXPLICATIVAS SOBRE EL MATERIAL DE REPRODUCCIÓN O DE MULTIPLICACIÓN, SOBRE LOS ACTOS RESPECTO DEL PRODUCTO DE LA COSECHA Y SOBRE LA PROTECCIÓN PROVISIONAL CON ARREGLO AL CONVENIO DE LA UPOV</w:t>
      </w:r>
      <w:r w:rsidRPr="000D26F8">
        <w:rPr>
          <w:noProof/>
          <w:sz w:val="18"/>
          <w:szCs w:val="18"/>
          <w:lang w:val="es-419"/>
        </w:rPr>
        <w:tab/>
      </w:r>
      <w:r w:rsidRPr="000D26F8">
        <w:rPr>
          <w:noProof/>
          <w:sz w:val="18"/>
          <w:szCs w:val="18"/>
          <w:lang w:val="es-419"/>
        </w:rPr>
        <w:fldChar w:fldCharType="begin"/>
      </w:r>
      <w:r w:rsidRPr="000D26F8">
        <w:rPr>
          <w:noProof/>
          <w:sz w:val="18"/>
          <w:szCs w:val="18"/>
          <w:lang w:val="es-419"/>
        </w:rPr>
        <w:instrText xml:space="preserve"> PAGEREF _Toc128509173 \h </w:instrText>
      </w:r>
      <w:r w:rsidRPr="000D26F8">
        <w:rPr>
          <w:noProof/>
          <w:sz w:val="18"/>
          <w:szCs w:val="18"/>
          <w:lang w:val="es-419"/>
        </w:rPr>
      </w:r>
      <w:r w:rsidRPr="000D26F8">
        <w:rPr>
          <w:noProof/>
          <w:sz w:val="18"/>
          <w:szCs w:val="18"/>
          <w:lang w:val="es-419"/>
        </w:rPr>
        <w:fldChar w:fldCharType="separate"/>
      </w:r>
      <w:r w:rsidRPr="000D26F8">
        <w:rPr>
          <w:noProof/>
          <w:sz w:val="18"/>
          <w:szCs w:val="18"/>
          <w:lang w:val="es-419"/>
        </w:rPr>
        <w:t>2</w:t>
      </w:r>
      <w:r w:rsidRPr="000D26F8">
        <w:rPr>
          <w:noProof/>
          <w:sz w:val="18"/>
          <w:szCs w:val="18"/>
          <w:lang w:val="es-419"/>
        </w:rPr>
        <w:fldChar w:fldCharType="end"/>
      </w:r>
    </w:p>
    <w:p w14:paraId="46475EF9" w14:textId="6990822B" w:rsidR="0065180D" w:rsidRPr="000D26F8" w:rsidRDefault="0065180D" w:rsidP="00F752F7">
      <w:pPr>
        <w:pStyle w:val="TOC2"/>
        <w:spacing w:before="60" w:after="60"/>
        <w:ind w:left="461" w:right="850" w:hanging="288"/>
        <w:contextualSpacing w:val="0"/>
        <w:rPr>
          <w:rFonts w:asciiTheme="minorHAnsi" w:eastAsiaTheme="minorEastAsia" w:hAnsiTheme="minorHAnsi" w:cstheme="minorBidi"/>
          <w:i/>
          <w:smallCaps w:val="0"/>
          <w:noProof/>
          <w:sz w:val="18"/>
          <w:szCs w:val="18"/>
          <w:lang w:val="es-419" w:eastAsia="es-ES"/>
        </w:rPr>
      </w:pPr>
      <w:r w:rsidRPr="000D26F8">
        <w:rPr>
          <w:i/>
          <w:smallCaps w:val="0"/>
          <w:noProof/>
          <w:sz w:val="18"/>
          <w:szCs w:val="18"/>
          <w:lang w:val="es-419"/>
        </w:rPr>
        <w:t>Perspectiva del concepto de “utilización no autorizada” en las actuales notas explicativas</w:t>
      </w:r>
      <w:r w:rsidRPr="000D26F8">
        <w:rPr>
          <w:i/>
          <w:smallCaps w:val="0"/>
          <w:noProof/>
          <w:sz w:val="18"/>
          <w:szCs w:val="18"/>
          <w:lang w:val="es-419"/>
        </w:rPr>
        <w:tab/>
      </w:r>
      <w:r w:rsidRPr="000D26F8">
        <w:rPr>
          <w:i/>
          <w:smallCaps w:val="0"/>
          <w:noProof/>
          <w:sz w:val="18"/>
          <w:szCs w:val="18"/>
          <w:lang w:val="es-419"/>
        </w:rPr>
        <w:fldChar w:fldCharType="begin"/>
      </w:r>
      <w:r w:rsidRPr="000D26F8">
        <w:rPr>
          <w:i/>
          <w:smallCaps w:val="0"/>
          <w:noProof/>
          <w:sz w:val="18"/>
          <w:szCs w:val="18"/>
          <w:lang w:val="es-419"/>
        </w:rPr>
        <w:instrText xml:space="preserve"> PAGEREF _Toc128509174 \h </w:instrText>
      </w:r>
      <w:r w:rsidRPr="000D26F8">
        <w:rPr>
          <w:i/>
          <w:smallCaps w:val="0"/>
          <w:noProof/>
          <w:sz w:val="18"/>
          <w:szCs w:val="18"/>
          <w:lang w:val="es-419"/>
        </w:rPr>
      </w:r>
      <w:r w:rsidRPr="000D26F8">
        <w:rPr>
          <w:i/>
          <w:smallCaps w:val="0"/>
          <w:noProof/>
          <w:sz w:val="18"/>
          <w:szCs w:val="18"/>
          <w:lang w:val="es-419"/>
        </w:rPr>
        <w:fldChar w:fldCharType="separate"/>
      </w:r>
      <w:r w:rsidRPr="000D26F8">
        <w:rPr>
          <w:i/>
          <w:smallCaps w:val="0"/>
          <w:noProof/>
          <w:sz w:val="18"/>
          <w:szCs w:val="18"/>
          <w:lang w:val="es-419"/>
        </w:rPr>
        <w:t>2</w:t>
      </w:r>
      <w:r w:rsidRPr="000D26F8">
        <w:rPr>
          <w:i/>
          <w:smallCaps w:val="0"/>
          <w:noProof/>
          <w:sz w:val="18"/>
          <w:szCs w:val="18"/>
          <w:lang w:val="es-419"/>
        </w:rPr>
        <w:fldChar w:fldCharType="end"/>
      </w:r>
    </w:p>
    <w:p w14:paraId="3B13528B" w14:textId="7A8A12A9" w:rsidR="0065180D" w:rsidRPr="000D26F8" w:rsidRDefault="0065180D" w:rsidP="00F752F7">
      <w:pPr>
        <w:pStyle w:val="TOC2"/>
        <w:spacing w:before="60" w:after="60"/>
        <w:ind w:left="461" w:right="850" w:hanging="288"/>
        <w:contextualSpacing w:val="0"/>
        <w:rPr>
          <w:rFonts w:asciiTheme="minorHAnsi" w:eastAsiaTheme="minorEastAsia" w:hAnsiTheme="minorHAnsi" w:cstheme="minorBidi"/>
          <w:i/>
          <w:smallCaps w:val="0"/>
          <w:noProof/>
          <w:sz w:val="18"/>
          <w:szCs w:val="18"/>
          <w:lang w:val="es-419" w:eastAsia="es-ES"/>
        </w:rPr>
      </w:pPr>
      <w:r w:rsidRPr="000D26F8">
        <w:rPr>
          <w:i/>
          <w:smallCaps w:val="0"/>
          <w:noProof/>
          <w:sz w:val="18"/>
          <w:szCs w:val="18"/>
          <w:lang w:val="es-419"/>
        </w:rPr>
        <w:t>Otras perspectivas acerca de la “utilización no autorizada” que ha de examinar el WG-HRV</w:t>
      </w:r>
      <w:r w:rsidRPr="000D26F8">
        <w:rPr>
          <w:i/>
          <w:smallCaps w:val="0"/>
          <w:noProof/>
          <w:sz w:val="18"/>
          <w:szCs w:val="18"/>
          <w:lang w:val="es-419"/>
        </w:rPr>
        <w:tab/>
      </w:r>
      <w:r w:rsidRPr="000D26F8">
        <w:rPr>
          <w:i/>
          <w:smallCaps w:val="0"/>
          <w:noProof/>
          <w:sz w:val="18"/>
          <w:szCs w:val="18"/>
          <w:lang w:val="es-419"/>
        </w:rPr>
        <w:fldChar w:fldCharType="begin"/>
      </w:r>
      <w:r w:rsidRPr="000D26F8">
        <w:rPr>
          <w:i/>
          <w:smallCaps w:val="0"/>
          <w:noProof/>
          <w:sz w:val="18"/>
          <w:szCs w:val="18"/>
          <w:lang w:val="es-419"/>
        </w:rPr>
        <w:instrText xml:space="preserve"> PAGEREF _Toc128509175 \h </w:instrText>
      </w:r>
      <w:r w:rsidRPr="000D26F8">
        <w:rPr>
          <w:i/>
          <w:smallCaps w:val="0"/>
          <w:noProof/>
          <w:sz w:val="18"/>
          <w:szCs w:val="18"/>
          <w:lang w:val="es-419"/>
        </w:rPr>
      </w:r>
      <w:r w:rsidRPr="000D26F8">
        <w:rPr>
          <w:i/>
          <w:smallCaps w:val="0"/>
          <w:noProof/>
          <w:sz w:val="18"/>
          <w:szCs w:val="18"/>
          <w:lang w:val="es-419"/>
        </w:rPr>
        <w:fldChar w:fldCharType="separate"/>
      </w:r>
      <w:r w:rsidRPr="000D26F8">
        <w:rPr>
          <w:i/>
          <w:smallCaps w:val="0"/>
          <w:noProof/>
          <w:sz w:val="18"/>
          <w:szCs w:val="18"/>
          <w:lang w:val="es-419"/>
        </w:rPr>
        <w:t>2</w:t>
      </w:r>
      <w:r w:rsidRPr="000D26F8">
        <w:rPr>
          <w:i/>
          <w:smallCaps w:val="0"/>
          <w:noProof/>
          <w:sz w:val="18"/>
          <w:szCs w:val="18"/>
          <w:lang w:val="es-419"/>
        </w:rPr>
        <w:fldChar w:fldCharType="end"/>
      </w:r>
    </w:p>
    <w:p w14:paraId="6F528166" w14:textId="12BB5896" w:rsidR="0065180D" w:rsidRPr="000D26F8" w:rsidRDefault="0065180D" w:rsidP="00F752F7">
      <w:pPr>
        <w:pStyle w:val="TOC2"/>
        <w:spacing w:before="60" w:after="60"/>
        <w:ind w:left="461" w:right="850" w:hanging="288"/>
        <w:contextualSpacing w:val="0"/>
        <w:rPr>
          <w:rFonts w:asciiTheme="minorHAnsi" w:eastAsiaTheme="minorEastAsia" w:hAnsiTheme="minorHAnsi" w:cstheme="minorBidi"/>
          <w:smallCaps w:val="0"/>
          <w:noProof/>
          <w:sz w:val="22"/>
          <w:szCs w:val="22"/>
          <w:lang w:val="es-419" w:eastAsia="es-ES"/>
        </w:rPr>
      </w:pPr>
      <w:r w:rsidRPr="000D26F8">
        <w:rPr>
          <w:i/>
          <w:smallCaps w:val="0"/>
          <w:noProof/>
          <w:sz w:val="18"/>
          <w:szCs w:val="18"/>
          <w:lang w:val="es-419"/>
        </w:rPr>
        <w:t>Invitación a aportar ejemplos, según se acordó en la segunda reunión del WG-HRV</w:t>
      </w:r>
      <w:r w:rsidRPr="000D26F8">
        <w:rPr>
          <w:noProof/>
          <w:sz w:val="18"/>
          <w:szCs w:val="18"/>
          <w:lang w:val="es-419"/>
        </w:rPr>
        <w:tab/>
      </w:r>
      <w:r w:rsidRPr="000D26F8">
        <w:rPr>
          <w:noProof/>
          <w:lang w:val="es-419"/>
        </w:rPr>
        <w:fldChar w:fldCharType="begin"/>
      </w:r>
      <w:r w:rsidRPr="000D26F8">
        <w:rPr>
          <w:noProof/>
          <w:lang w:val="es-419"/>
        </w:rPr>
        <w:instrText xml:space="preserve"> PAGEREF _Toc128509176 \h </w:instrText>
      </w:r>
      <w:r w:rsidRPr="000D26F8">
        <w:rPr>
          <w:noProof/>
          <w:lang w:val="es-419"/>
        </w:rPr>
      </w:r>
      <w:r w:rsidRPr="000D26F8">
        <w:rPr>
          <w:noProof/>
          <w:lang w:val="es-419"/>
        </w:rPr>
        <w:fldChar w:fldCharType="separate"/>
      </w:r>
      <w:r w:rsidRPr="000D26F8">
        <w:rPr>
          <w:noProof/>
          <w:lang w:val="es-419"/>
        </w:rPr>
        <w:t>4</w:t>
      </w:r>
      <w:r w:rsidRPr="000D26F8">
        <w:rPr>
          <w:noProof/>
          <w:lang w:val="es-419"/>
        </w:rPr>
        <w:fldChar w:fldCharType="end"/>
      </w:r>
    </w:p>
    <w:p w14:paraId="7B79F5AC" w14:textId="4B3B1D44" w:rsidR="00CB7CAB" w:rsidRPr="000D26F8" w:rsidRDefault="00CB7CAB" w:rsidP="00CB7CAB">
      <w:pPr>
        <w:ind w:left="851" w:hanging="851"/>
        <w:jc w:val="left"/>
        <w:rPr>
          <w:spacing w:val="-2"/>
          <w:lang w:val="es-419"/>
        </w:rPr>
      </w:pPr>
      <w:r w:rsidRPr="000D26F8">
        <w:rPr>
          <w:rFonts w:cs="Arial"/>
          <w:color w:val="000000"/>
          <w:lang w:val="es-419"/>
        </w:rPr>
        <w:fldChar w:fldCharType="end"/>
      </w:r>
    </w:p>
    <w:p w14:paraId="7FCAED8C" w14:textId="3D6C2A86" w:rsidR="00CB7CAB" w:rsidRDefault="00CB7CAB" w:rsidP="00CB7CAB">
      <w:pPr>
        <w:jc w:val="left"/>
        <w:rPr>
          <w:lang w:val="es-419"/>
        </w:rPr>
      </w:pPr>
      <w:bookmarkStart w:id="2" w:name="_Toc14799781"/>
    </w:p>
    <w:p w14:paraId="79A81B16" w14:textId="77777777" w:rsidR="00F752F7" w:rsidRPr="000D26F8" w:rsidRDefault="00F752F7" w:rsidP="00CB7CAB">
      <w:pPr>
        <w:jc w:val="left"/>
        <w:rPr>
          <w:lang w:val="es-419"/>
        </w:rPr>
      </w:pPr>
    </w:p>
    <w:p w14:paraId="27081663" w14:textId="1F4743C0" w:rsidR="00CB7CAB" w:rsidRPr="000D26F8" w:rsidRDefault="004F1E7D" w:rsidP="00CB7CAB">
      <w:pPr>
        <w:pStyle w:val="Heading1"/>
        <w:keepLines/>
        <w:rPr>
          <w:lang w:val="es-419"/>
        </w:rPr>
      </w:pPr>
      <w:bookmarkStart w:id="3" w:name="_Toc128509172"/>
      <w:r w:rsidRPr="000D26F8">
        <w:rPr>
          <w:lang w:val="es-419"/>
        </w:rPr>
        <w:t>ANTECEDENTES</w:t>
      </w:r>
      <w:bookmarkEnd w:id="3"/>
    </w:p>
    <w:p w14:paraId="7C4F979F" w14:textId="77777777" w:rsidR="00CB7CAB" w:rsidRPr="000D26F8" w:rsidRDefault="00CB7CAB" w:rsidP="00CB7CAB">
      <w:pPr>
        <w:keepNext/>
        <w:keepLines/>
        <w:rPr>
          <w:lang w:val="es-419"/>
        </w:rPr>
      </w:pPr>
    </w:p>
    <w:p w14:paraId="1478AFCB" w14:textId="4F5F7CE5" w:rsidR="00CB7CAB" w:rsidRPr="000D26F8" w:rsidRDefault="00CB7CAB" w:rsidP="00CB7CAB">
      <w:pPr>
        <w:keepNext/>
        <w:keepLines/>
        <w:rPr>
          <w:b/>
          <w:bCs/>
          <w:lang w:val="es-419"/>
        </w:rPr>
      </w:pPr>
      <w:r w:rsidRPr="000D26F8">
        <w:rPr>
          <w:spacing w:val="-4"/>
          <w:lang w:val="es-419"/>
        </w:rPr>
        <w:fldChar w:fldCharType="begin"/>
      </w:r>
      <w:r w:rsidRPr="000D26F8">
        <w:rPr>
          <w:spacing w:val="-4"/>
          <w:lang w:val="es-419"/>
        </w:rPr>
        <w:instrText xml:space="preserve"> AUTONUM  </w:instrText>
      </w:r>
      <w:r w:rsidRPr="000D26F8">
        <w:rPr>
          <w:spacing w:val="-4"/>
          <w:lang w:val="es-419"/>
        </w:rPr>
        <w:fldChar w:fldCharType="end"/>
      </w:r>
      <w:r w:rsidRPr="000D26F8">
        <w:rPr>
          <w:spacing w:val="-4"/>
          <w:lang w:val="es-419"/>
        </w:rPr>
        <w:tab/>
      </w:r>
      <w:r w:rsidR="004F1E7D" w:rsidRPr="000D26F8">
        <w:rPr>
          <w:spacing w:val="-2"/>
          <w:lang w:val="es-419"/>
        </w:rPr>
        <w:t xml:space="preserve">En su segunda reunión, celebrada por medios electrónicos el 6 de septiembre de 2022, el WG-HRV </w:t>
      </w:r>
      <w:r w:rsidR="00110B67" w:rsidRPr="000D26F8">
        <w:rPr>
          <w:lang w:val="es-419"/>
        </w:rPr>
        <w:t xml:space="preserve">convino en lo siguiente </w:t>
      </w:r>
      <w:r w:rsidR="004F1E7D" w:rsidRPr="000D26F8">
        <w:rPr>
          <w:lang w:val="es-419"/>
        </w:rPr>
        <w:t>(véanse los párrafos 23, 29, 33 y</w:t>
      </w:r>
      <w:r w:rsidR="00724F61" w:rsidRPr="000D26F8">
        <w:rPr>
          <w:lang w:val="es-419"/>
        </w:rPr>
        <w:t> </w:t>
      </w:r>
      <w:r w:rsidR="004F1E7D" w:rsidRPr="000D26F8">
        <w:rPr>
          <w:lang w:val="es-419"/>
        </w:rPr>
        <w:t>34 del documento WG-HRV/2/6 “</w:t>
      </w:r>
      <w:r w:rsidR="00724F61" w:rsidRPr="000D26F8">
        <w:rPr>
          <w:i/>
          <w:iCs/>
          <w:lang w:val="es-419"/>
        </w:rPr>
        <w:t>Draft Report</w:t>
      </w:r>
      <w:r w:rsidR="004F1E7D" w:rsidRPr="000D26F8">
        <w:rPr>
          <w:lang w:val="es-419"/>
        </w:rPr>
        <w:t>”</w:t>
      </w:r>
      <w:r w:rsidR="00724F61" w:rsidRPr="000D26F8">
        <w:rPr>
          <w:lang w:val="es-419"/>
        </w:rPr>
        <w:t xml:space="preserve"> (Proyecto de informe)</w:t>
      </w:r>
      <w:r w:rsidR="004F1E7D" w:rsidRPr="000D26F8">
        <w:rPr>
          <w:lang w:val="es-419"/>
        </w:rPr>
        <w:t xml:space="preserve">, </w:t>
      </w:r>
      <w:r w:rsidR="004F1E7D" w:rsidRPr="000D26F8">
        <w:rPr>
          <w:spacing w:val="-2"/>
          <w:lang w:val="es-419"/>
        </w:rPr>
        <w:t>que se reproducen a continuación</w:t>
      </w:r>
      <w:r w:rsidR="004F1E7D" w:rsidRPr="000D26F8">
        <w:rPr>
          <w:lang w:val="es-419"/>
        </w:rPr>
        <w:t>):</w:t>
      </w:r>
    </w:p>
    <w:p w14:paraId="74FCAA20" w14:textId="77777777" w:rsidR="00CB7CAB" w:rsidRPr="000D26F8" w:rsidRDefault="00CB7CAB" w:rsidP="00CB7CAB">
      <w:pPr>
        <w:keepNext/>
        <w:keepLines/>
        <w:rPr>
          <w:lang w:val="es-419"/>
        </w:rPr>
      </w:pPr>
    </w:p>
    <w:p w14:paraId="1C179459" w14:textId="4393EC70" w:rsidR="00CB7CAB" w:rsidRPr="000D26F8" w:rsidRDefault="00CB7CAB" w:rsidP="00CB7CAB">
      <w:pPr>
        <w:keepLines/>
        <w:ind w:left="567" w:right="459"/>
        <w:rPr>
          <w:sz w:val="18"/>
          <w:lang w:val="es-419"/>
        </w:rPr>
      </w:pPr>
      <w:r w:rsidRPr="000D26F8">
        <w:rPr>
          <w:sz w:val="18"/>
          <w:lang w:val="es-419"/>
        </w:rPr>
        <w:t>“23.</w:t>
      </w:r>
      <w:r w:rsidRPr="000D26F8">
        <w:rPr>
          <w:sz w:val="18"/>
          <w:lang w:val="es-419"/>
        </w:rPr>
        <w:tab/>
      </w:r>
      <w:r w:rsidR="00AD6B1B" w:rsidRPr="000D26F8">
        <w:rPr>
          <w:sz w:val="18"/>
          <w:lang w:val="es-419"/>
        </w:rPr>
        <w:t>El presidente tomó nota de las distintas perspectivas e interpretaciones del concepto de “utilización no autorizada” y observó que no se reflejan en las actuales notas explicativas.</w:t>
      </w:r>
      <w:r w:rsidR="00933348" w:rsidRPr="000D26F8">
        <w:rPr>
          <w:sz w:val="18"/>
          <w:lang w:val="es-419"/>
        </w:rPr>
        <w:t xml:space="preserve"> </w:t>
      </w:r>
      <w:r w:rsidR="00AD6B1B" w:rsidRPr="000D26F8">
        <w:rPr>
          <w:sz w:val="18"/>
          <w:lang w:val="es-419"/>
        </w:rPr>
        <w:t xml:space="preserve">Sugirió </w:t>
      </w:r>
      <w:r w:rsidR="000D7F00" w:rsidRPr="000D26F8">
        <w:rPr>
          <w:sz w:val="18"/>
          <w:lang w:val="es-419"/>
        </w:rPr>
        <w:t xml:space="preserve">que se considere </w:t>
      </w:r>
      <w:r w:rsidR="00AD6B1B" w:rsidRPr="000D26F8">
        <w:rPr>
          <w:sz w:val="18"/>
          <w:lang w:val="es-419"/>
        </w:rPr>
        <w:t xml:space="preserve">la posibilidad de incluir las diferentes concepciones de manera </w:t>
      </w:r>
      <w:r w:rsidR="007B4B6E" w:rsidRPr="000D26F8">
        <w:rPr>
          <w:sz w:val="18"/>
          <w:lang w:val="es-419"/>
        </w:rPr>
        <w:t>análoga</w:t>
      </w:r>
      <w:r w:rsidR="00AD6B1B" w:rsidRPr="000D26F8">
        <w:rPr>
          <w:sz w:val="18"/>
          <w:lang w:val="es-419"/>
        </w:rPr>
        <w:t xml:space="preserve"> a la lista de factores que consta en las notas explicativas sobre el material de reproducción o de multiplicación.</w:t>
      </w:r>
    </w:p>
    <w:p w14:paraId="4FA2E496" w14:textId="77777777" w:rsidR="00CB7CAB" w:rsidRPr="000D26F8" w:rsidRDefault="00CB7CAB" w:rsidP="00CB7CAB">
      <w:pPr>
        <w:keepLines/>
        <w:ind w:left="567" w:right="459"/>
        <w:rPr>
          <w:sz w:val="18"/>
          <w:lang w:val="es-419"/>
        </w:rPr>
      </w:pPr>
    </w:p>
    <w:p w14:paraId="3728288F" w14:textId="7C8B8601" w:rsidR="00CB7CAB" w:rsidRPr="000D26F8" w:rsidRDefault="00CB7CAB" w:rsidP="00CB7CAB">
      <w:pPr>
        <w:keepLines/>
        <w:ind w:left="567" w:right="459"/>
        <w:rPr>
          <w:sz w:val="18"/>
          <w:lang w:val="es-419"/>
        </w:rPr>
      </w:pPr>
      <w:r w:rsidRPr="000D26F8">
        <w:rPr>
          <w:sz w:val="18"/>
          <w:lang w:val="es-419"/>
        </w:rPr>
        <w:lastRenderedPageBreak/>
        <w:t>29.</w:t>
      </w:r>
      <w:r w:rsidRPr="000D26F8">
        <w:rPr>
          <w:sz w:val="18"/>
          <w:lang w:val="es-419"/>
        </w:rPr>
        <w:tab/>
      </w:r>
      <w:r w:rsidR="00997853" w:rsidRPr="000D26F8">
        <w:rPr>
          <w:sz w:val="18"/>
          <w:lang w:val="es-419"/>
        </w:rPr>
        <w:t xml:space="preserve">El presidente señaló que </w:t>
      </w:r>
      <w:r w:rsidR="00797FAC" w:rsidRPr="000D26F8">
        <w:rPr>
          <w:sz w:val="18"/>
          <w:lang w:val="es-419"/>
        </w:rPr>
        <w:t xml:space="preserve">esa referencia a la Conferencia Diplomática podría resultar útil </w:t>
      </w:r>
      <w:r w:rsidR="00997853" w:rsidRPr="000D26F8">
        <w:rPr>
          <w:sz w:val="18"/>
          <w:lang w:val="es-419"/>
        </w:rPr>
        <w:t xml:space="preserve">para </w:t>
      </w:r>
      <w:r w:rsidR="00797FAC" w:rsidRPr="000D26F8">
        <w:rPr>
          <w:sz w:val="18"/>
          <w:lang w:val="es-419"/>
        </w:rPr>
        <w:t xml:space="preserve">justificar la introducción </w:t>
      </w:r>
      <w:r w:rsidR="00997853" w:rsidRPr="000D26F8">
        <w:rPr>
          <w:sz w:val="18"/>
          <w:lang w:val="es-419"/>
        </w:rPr>
        <w:t>de las nuevas perspectivas presentadas por determinados miembros de la </w:t>
      </w:r>
      <w:r w:rsidR="007B4B6E" w:rsidRPr="000D26F8">
        <w:rPr>
          <w:sz w:val="18"/>
          <w:lang w:val="es-419"/>
        </w:rPr>
        <w:t>Unión, que no están reflejadas en las actuales notas explicativas</w:t>
      </w:r>
      <w:r w:rsidR="00997853" w:rsidRPr="000D26F8">
        <w:rPr>
          <w:sz w:val="18"/>
          <w:lang w:val="es-419"/>
        </w:rPr>
        <w:t>.</w:t>
      </w:r>
    </w:p>
    <w:p w14:paraId="1AA8B62A" w14:textId="77777777" w:rsidR="00CB7CAB" w:rsidRPr="000D26F8" w:rsidRDefault="00CB7CAB" w:rsidP="00CB7CAB">
      <w:pPr>
        <w:keepLines/>
        <w:ind w:left="567" w:right="459"/>
        <w:rPr>
          <w:sz w:val="18"/>
          <w:lang w:val="es-419"/>
        </w:rPr>
      </w:pPr>
    </w:p>
    <w:p w14:paraId="55613648" w14:textId="77777777" w:rsidR="00CB7CAB" w:rsidRPr="000D26F8" w:rsidRDefault="00CB7CAB" w:rsidP="00CB7CAB">
      <w:pPr>
        <w:keepLines/>
        <w:ind w:left="567" w:right="459"/>
        <w:rPr>
          <w:sz w:val="18"/>
          <w:lang w:val="es-419"/>
        </w:rPr>
      </w:pPr>
      <w:r w:rsidRPr="000D26F8">
        <w:rPr>
          <w:sz w:val="18"/>
          <w:lang w:val="es-419"/>
        </w:rPr>
        <w:t>[...]</w:t>
      </w:r>
    </w:p>
    <w:p w14:paraId="0D6C5DDF" w14:textId="431ADC29" w:rsidR="00CB7CAB" w:rsidRPr="000D26F8" w:rsidRDefault="00CB7CAB" w:rsidP="007B4B6E">
      <w:pPr>
        <w:keepLines/>
        <w:spacing w:before="160"/>
        <w:ind w:left="562" w:right="461"/>
        <w:rPr>
          <w:sz w:val="18"/>
          <w:lang w:val="es-419"/>
        </w:rPr>
      </w:pPr>
      <w:r w:rsidRPr="000D26F8">
        <w:rPr>
          <w:sz w:val="18"/>
          <w:lang w:val="es-419"/>
        </w:rPr>
        <w:t>33.</w:t>
      </w:r>
      <w:r w:rsidRPr="000D26F8">
        <w:rPr>
          <w:sz w:val="18"/>
          <w:lang w:val="es-419"/>
        </w:rPr>
        <w:tab/>
      </w:r>
      <w:r w:rsidR="00997853" w:rsidRPr="000D26F8">
        <w:rPr>
          <w:sz w:val="18"/>
          <w:lang w:val="es-419"/>
        </w:rPr>
        <w:t xml:space="preserve">El WG-HRV solicitó a la Oficina de la Unión que elabore un documento en el que se expliquen las distintas </w:t>
      </w:r>
      <w:r w:rsidR="00FB2A2F" w:rsidRPr="000D26F8">
        <w:rPr>
          <w:sz w:val="18"/>
          <w:lang w:val="es-419"/>
        </w:rPr>
        <w:t xml:space="preserve">perspectivas acerca del concepto </w:t>
      </w:r>
      <w:r w:rsidR="00997853" w:rsidRPr="000D26F8">
        <w:rPr>
          <w:sz w:val="18"/>
          <w:lang w:val="es-419"/>
        </w:rPr>
        <w:t>de “utilización no autorizada”.</w:t>
      </w:r>
      <w:r w:rsidR="00933348" w:rsidRPr="000D26F8">
        <w:rPr>
          <w:sz w:val="18"/>
          <w:lang w:val="es-419"/>
        </w:rPr>
        <w:t xml:space="preserve"> </w:t>
      </w:r>
      <w:r w:rsidR="00997853" w:rsidRPr="000D26F8">
        <w:rPr>
          <w:sz w:val="18"/>
          <w:lang w:val="es-419"/>
        </w:rPr>
        <w:t xml:space="preserve">Asimismo, acordó que los miembros del Grupo de trabajo </w:t>
      </w:r>
      <w:r w:rsidR="00D56FAE" w:rsidRPr="000D26F8">
        <w:rPr>
          <w:sz w:val="18"/>
          <w:lang w:val="es-419"/>
        </w:rPr>
        <w:t>proporcionarían ejemplos de su interpretación de esas disposiciones y del modo en que esa interpretación afectaría a la capacidad de los obtentores para ejercer sus derechos en el territorio</w:t>
      </w:r>
      <w:r w:rsidR="00997853" w:rsidRPr="000D26F8">
        <w:rPr>
          <w:sz w:val="18"/>
          <w:lang w:val="es-419"/>
        </w:rPr>
        <w:t>.</w:t>
      </w:r>
      <w:r w:rsidR="008427D4" w:rsidRPr="000D26F8">
        <w:rPr>
          <w:sz w:val="18"/>
          <w:lang w:val="es-419"/>
        </w:rPr>
        <w:t>”</w:t>
      </w:r>
      <w:r w:rsidR="00933348" w:rsidRPr="000D26F8">
        <w:rPr>
          <w:sz w:val="18"/>
          <w:lang w:val="es-419"/>
        </w:rPr>
        <w:t xml:space="preserve"> </w:t>
      </w:r>
    </w:p>
    <w:p w14:paraId="1159F534" w14:textId="77777777" w:rsidR="00CB7CAB" w:rsidRPr="000D26F8" w:rsidRDefault="00CB7CAB" w:rsidP="00CB7CAB">
      <w:pPr>
        <w:rPr>
          <w:lang w:val="es-419"/>
        </w:rPr>
      </w:pPr>
    </w:p>
    <w:p w14:paraId="4320806A" w14:textId="77777777" w:rsidR="00CB7CAB" w:rsidRPr="000D26F8" w:rsidRDefault="00CB7CAB" w:rsidP="00CB7CAB">
      <w:pPr>
        <w:rPr>
          <w:lang w:val="es-419"/>
        </w:rPr>
      </w:pPr>
    </w:p>
    <w:p w14:paraId="50EB4902" w14:textId="77777777" w:rsidR="00CB7CAB" w:rsidRPr="000D26F8" w:rsidRDefault="00CB7CAB" w:rsidP="00CB7CAB">
      <w:pPr>
        <w:rPr>
          <w:lang w:val="es-419"/>
        </w:rPr>
      </w:pPr>
      <w:bookmarkStart w:id="4" w:name="_Toc51936361"/>
      <w:bookmarkEnd w:id="2"/>
    </w:p>
    <w:p w14:paraId="6D5CBE25" w14:textId="415767B8" w:rsidR="00CB7CAB" w:rsidRPr="000D26F8" w:rsidRDefault="002D546C" w:rsidP="00CB7CAB">
      <w:pPr>
        <w:keepNext/>
        <w:keepLines/>
        <w:outlineLvl w:val="0"/>
        <w:rPr>
          <w:caps/>
          <w:lang w:val="es-419"/>
        </w:rPr>
      </w:pPr>
      <w:bookmarkStart w:id="5" w:name="_Toc128509173"/>
      <w:bookmarkEnd w:id="4"/>
      <w:r w:rsidRPr="000D26F8">
        <w:rPr>
          <w:lang w:val="es-419"/>
        </w:rPr>
        <w:t>INTRODUCCIÓN</w:t>
      </w:r>
      <w:r w:rsidRPr="000D26F8">
        <w:rPr>
          <w:caps/>
          <w:lang w:val="es-419"/>
        </w:rPr>
        <w:t xml:space="preserve"> a las distintas </w:t>
      </w:r>
      <w:r w:rsidR="00FB2A2F" w:rsidRPr="000D26F8">
        <w:rPr>
          <w:caps/>
          <w:lang w:val="es-419"/>
        </w:rPr>
        <w:t xml:space="preserve">perspectivas acerca del concepto </w:t>
      </w:r>
      <w:r w:rsidRPr="000D26F8">
        <w:rPr>
          <w:caps/>
          <w:lang w:val="es-419"/>
        </w:rPr>
        <w:t xml:space="preserve">de “utilización no autorizada” </w:t>
      </w:r>
      <w:r w:rsidR="00724F61" w:rsidRPr="000D26F8">
        <w:rPr>
          <w:caps/>
          <w:lang w:val="es-419"/>
        </w:rPr>
        <w:t>de cara a</w:t>
      </w:r>
      <w:r w:rsidRPr="000D26F8">
        <w:rPr>
          <w:caps/>
          <w:lang w:val="es-419"/>
        </w:rPr>
        <w:t xml:space="preserve"> LA REVISIÓN DE LAS NOTAS EXPLICATIVAS SOBRE EL MATERIAL DE REPRODUCCIÓN O DE MULTIPLICACIÓN, SOBRE LOS ACTOS RESPECTO DEL PRODUCTO DE LA COSECHA Y SOBRE LA PROTECCIÓN PROVISIONAL CON ARREGLO AL CONVENIO DE LA UPOV</w:t>
      </w:r>
      <w:bookmarkEnd w:id="5"/>
    </w:p>
    <w:p w14:paraId="19F78B47" w14:textId="77777777" w:rsidR="00CB7CAB" w:rsidRPr="000D26F8" w:rsidRDefault="00CB7CAB" w:rsidP="00CB7CAB">
      <w:pPr>
        <w:keepNext/>
        <w:keepLines/>
        <w:jc w:val="left"/>
        <w:rPr>
          <w:lang w:val="es-419"/>
        </w:rPr>
      </w:pPr>
    </w:p>
    <w:p w14:paraId="48A6E3C1" w14:textId="66BA663B" w:rsidR="00CB7CAB" w:rsidRPr="000D26F8" w:rsidRDefault="00724F61" w:rsidP="00CB7CAB">
      <w:pPr>
        <w:pStyle w:val="Heading2"/>
        <w:rPr>
          <w:lang w:val="es-419"/>
        </w:rPr>
      </w:pPr>
      <w:bookmarkStart w:id="6" w:name="_Toc128509174"/>
      <w:r w:rsidRPr="000D26F8">
        <w:rPr>
          <w:lang w:val="es-419"/>
        </w:rPr>
        <w:t>Perspectiva del concepto de “utilización no autorizada” en las actuales notas explicativas</w:t>
      </w:r>
      <w:bookmarkEnd w:id="6"/>
    </w:p>
    <w:p w14:paraId="457C4F76" w14:textId="77777777" w:rsidR="00CB7CAB" w:rsidRPr="000D26F8" w:rsidRDefault="00CB7CAB" w:rsidP="00CB7CAB">
      <w:pPr>
        <w:keepNext/>
        <w:jc w:val="left"/>
        <w:rPr>
          <w:lang w:val="es-419"/>
        </w:rPr>
      </w:pPr>
    </w:p>
    <w:p w14:paraId="4D012E5E" w14:textId="4B7B1BF1" w:rsidR="00CB7CAB" w:rsidRPr="000D26F8" w:rsidRDefault="00CB7CAB" w:rsidP="00CB7CAB">
      <w:pPr>
        <w:keepNext/>
        <w:keepLines/>
        <w:rPr>
          <w:lang w:val="es-419"/>
        </w:rPr>
      </w:pPr>
      <w:r w:rsidRPr="000D26F8">
        <w:rPr>
          <w:spacing w:val="-4"/>
          <w:lang w:val="es-419"/>
        </w:rPr>
        <w:fldChar w:fldCharType="begin"/>
      </w:r>
      <w:r w:rsidRPr="000D26F8">
        <w:rPr>
          <w:spacing w:val="-4"/>
          <w:lang w:val="es-419"/>
        </w:rPr>
        <w:instrText xml:space="preserve"> AUTONUM  </w:instrText>
      </w:r>
      <w:r w:rsidRPr="000D26F8">
        <w:rPr>
          <w:spacing w:val="-4"/>
          <w:lang w:val="es-419"/>
        </w:rPr>
        <w:fldChar w:fldCharType="end"/>
      </w:r>
      <w:r w:rsidRPr="000D26F8">
        <w:rPr>
          <w:spacing w:val="-4"/>
          <w:lang w:val="es-419"/>
        </w:rPr>
        <w:tab/>
      </w:r>
      <w:r w:rsidR="00724F61" w:rsidRPr="000D26F8">
        <w:rPr>
          <w:lang w:val="es-419"/>
        </w:rPr>
        <w:t>En su segunda reunión, celebrada por medios electrónicos el 6 de septiembre de 2022, el WG-HRV tomó nota de lo siguiente (véanse los párrafos 18 y 19 del documento WG-HRV/2</w:t>
      </w:r>
      <w:r w:rsidR="00724F61" w:rsidRPr="00135C2A">
        <w:rPr>
          <w:lang w:val="es-419"/>
        </w:rPr>
        <w:t>/6 “</w:t>
      </w:r>
      <w:r w:rsidR="00724F61" w:rsidRPr="00135C2A">
        <w:rPr>
          <w:i/>
          <w:iCs/>
          <w:lang w:val="es-419"/>
        </w:rPr>
        <w:t>Draft Report</w:t>
      </w:r>
      <w:r w:rsidR="00724F61" w:rsidRPr="00135C2A">
        <w:rPr>
          <w:lang w:val="es-419"/>
        </w:rPr>
        <w:t>”</w:t>
      </w:r>
      <w:r w:rsidR="00F752F7" w:rsidRPr="00135C2A">
        <w:rPr>
          <w:lang w:val="es-419"/>
        </w:rPr>
        <w:t xml:space="preserve"> </w:t>
      </w:r>
      <w:r w:rsidR="00F752F7" w:rsidRPr="00D24DF6">
        <w:rPr>
          <w:lang w:val="es-419"/>
        </w:rPr>
        <w:t>(Proyecto de informe)</w:t>
      </w:r>
      <w:r w:rsidR="00724F61" w:rsidRPr="00D24DF6">
        <w:rPr>
          <w:lang w:val="es-419"/>
        </w:rPr>
        <w:t>):</w:t>
      </w:r>
    </w:p>
    <w:p w14:paraId="415CB772" w14:textId="77777777" w:rsidR="00CB7CAB" w:rsidRPr="000D26F8" w:rsidRDefault="00CB7CAB" w:rsidP="00CB7CAB">
      <w:pPr>
        <w:keepNext/>
        <w:keepLines/>
        <w:rPr>
          <w:lang w:val="es-419"/>
        </w:rPr>
      </w:pPr>
    </w:p>
    <w:p w14:paraId="1CF66E74" w14:textId="720F0D61" w:rsidR="00CB7CAB" w:rsidRPr="000D26F8" w:rsidRDefault="00CB7CAB" w:rsidP="00CB7CAB">
      <w:pPr>
        <w:keepNext/>
        <w:keepLines/>
        <w:ind w:left="567" w:right="459"/>
        <w:rPr>
          <w:sz w:val="18"/>
          <w:szCs w:val="18"/>
          <w:lang w:val="es-419"/>
        </w:rPr>
      </w:pPr>
      <w:r w:rsidRPr="000D26F8">
        <w:rPr>
          <w:sz w:val="18"/>
          <w:szCs w:val="18"/>
          <w:lang w:val="es-419"/>
        </w:rPr>
        <w:t>“18.</w:t>
      </w:r>
      <w:r w:rsidRPr="000D26F8">
        <w:rPr>
          <w:sz w:val="18"/>
          <w:szCs w:val="18"/>
          <w:lang w:val="es-419"/>
        </w:rPr>
        <w:tab/>
      </w:r>
      <w:r w:rsidR="00270354" w:rsidRPr="000D26F8">
        <w:rPr>
          <w:sz w:val="18"/>
          <w:szCs w:val="18"/>
          <w:lang w:val="es-419"/>
        </w:rPr>
        <w:t xml:space="preserve">El WG-HRV tomó nota de que en el Anexo del documento WG-HRV/2/2 </w:t>
      </w:r>
      <w:r w:rsidR="00E44347" w:rsidRPr="000D26F8">
        <w:rPr>
          <w:sz w:val="18"/>
          <w:szCs w:val="18"/>
          <w:lang w:val="es-419"/>
        </w:rPr>
        <w:t>se recogen</w:t>
      </w:r>
      <w:r w:rsidR="00270354" w:rsidRPr="000D26F8">
        <w:rPr>
          <w:sz w:val="18"/>
          <w:szCs w:val="18"/>
          <w:lang w:val="es-419"/>
        </w:rPr>
        <w:t xml:space="preserve"> l</w:t>
      </w:r>
      <w:r w:rsidR="00E44347" w:rsidRPr="000D26F8">
        <w:rPr>
          <w:sz w:val="18"/>
          <w:szCs w:val="18"/>
          <w:lang w:val="es-419"/>
        </w:rPr>
        <w:t>os</w:t>
      </w:r>
      <w:r w:rsidR="00270354" w:rsidRPr="000D26F8">
        <w:rPr>
          <w:sz w:val="18"/>
          <w:szCs w:val="18"/>
          <w:lang w:val="es-419"/>
        </w:rPr>
        <w:t xml:space="preserve"> </w:t>
      </w:r>
      <w:r w:rsidR="00E44347" w:rsidRPr="000D26F8">
        <w:rPr>
          <w:sz w:val="18"/>
          <w:szCs w:val="18"/>
          <w:lang w:val="es-419"/>
        </w:rPr>
        <w:t xml:space="preserve">antecedentes </w:t>
      </w:r>
      <w:r w:rsidR="00270354" w:rsidRPr="000D26F8">
        <w:rPr>
          <w:sz w:val="18"/>
          <w:szCs w:val="18"/>
          <w:lang w:val="es-419"/>
        </w:rPr>
        <w:t xml:space="preserve">del principio de la protección en cascada </w:t>
      </w:r>
      <w:r w:rsidR="00E44347" w:rsidRPr="000D26F8">
        <w:rPr>
          <w:sz w:val="18"/>
          <w:szCs w:val="18"/>
          <w:lang w:val="es-419"/>
        </w:rPr>
        <w:t>con arreglo al</w:t>
      </w:r>
      <w:r w:rsidR="00270354" w:rsidRPr="000D26F8">
        <w:rPr>
          <w:sz w:val="18"/>
          <w:szCs w:val="18"/>
          <w:lang w:val="es-419"/>
        </w:rPr>
        <w:t xml:space="preserve"> “</w:t>
      </w:r>
      <w:r w:rsidR="00E44347" w:rsidRPr="000D26F8">
        <w:rPr>
          <w:sz w:val="18"/>
          <w:szCs w:val="18"/>
          <w:lang w:val="es-419"/>
        </w:rPr>
        <w:t xml:space="preserve">Alcance </w:t>
      </w:r>
      <w:r w:rsidR="00270354" w:rsidRPr="000D26F8">
        <w:rPr>
          <w:sz w:val="18"/>
          <w:szCs w:val="18"/>
          <w:lang w:val="es-419"/>
        </w:rPr>
        <w:t>del derecho de obtentor”</w:t>
      </w:r>
      <w:r w:rsidR="00E44347" w:rsidRPr="000D26F8">
        <w:rPr>
          <w:sz w:val="18"/>
          <w:szCs w:val="18"/>
          <w:lang w:val="es-419"/>
        </w:rPr>
        <w:t xml:space="preserve"> (</w:t>
      </w:r>
      <w:r w:rsidR="00B47593" w:rsidRPr="000D26F8">
        <w:rPr>
          <w:sz w:val="18"/>
          <w:szCs w:val="18"/>
          <w:lang w:val="es-419"/>
        </w:rPr>
        <w:t>Artículo</w:t>
      </w:r>
      <w:r w:rsidR="00E44347" w:rsidRPr="000D26F8">
        <w:rPr>
          <w:sz w:val="18"/>
          <w:szCs w:val="18"/>
          <w:lang w:val="es-419"/>
        </w:rPr>
        <w:t> </w:t>
      </w:r>
      <w:r w:rsidR="00270354" w:rsidRPr="000D26F8">
        <w:rPr>
          <w:sz w:val="18"/>
          <w:szCs w:val="18"/>
          <w:lang w:val="es-419"/>
        </w:rPr>
        <w:t>14 del Acta de 1991</w:t>
      </w:r>
      <w:r w:rsidR="00E44347" w:rsidRPr="000D26F8">
        <w:rPr>
          <w:sz w:val="18"/>
          <w:szCs w:val="18"/>
          <w:lang w:val="es-419"/>
        </w:rPr>
        <w:t>)</w:t>
      </w:r>
      <w:r w:rsidR="00270354" w:rsidRPr="000D26F8">
        <w:rPr>
          <w:sz w:val="18"/>
          <w:szCs w:val="18"/>
          <w:lang w:val="es-419"/>
        </w:rPr>
        <w:t xml:space="preserve"> y </w:t>
      </w:r>
      <w:r w:rsidR="00E44347" w:rsidRPr="000D26F8">
        <w:rPr>
          <w:sz w:val="18"/>
          <w:szCs w:val="18"/>
          <w:lang w:val="es-419"/>
        </w:rPr>
        <w:t xml:space="preserve">su </w:t>
      </w:r>
      <w:r w:rsidR="00270354" w:rsidRPr="000D26F8">
        <w:rPr>
          <w:sz w:val="18"/>
          <w:szCs w:val="18"/>
          <w:lang w:val="es-419"/>
        </w:rPr>
        <w:t xml:space="preserve">relación con </w:t>
      </w:r>
      <w:r w:rsidR="00E44347" w:rsidRPr="000D26F8">
        <w:rPr>
          <w:sz w:val="18"/>
          <w:szCs w:val="18"/>
          <w:lang w:val="es-419"/>
        </w:rPr>
        <w:t xml:space="preserve">las </w:t>
      </w:r>
      <w:r w:rsidR="00270354" w:rsidRPr="000D26F8">
        <w:rPr>
          <w:sz w:val="18"/>
          <w:szCs w:val="18"/>
          <w:lang w:val="es-419"/>
        </w:rPr>
        <w:t xml:space="preserve">disposiciones </w:t>
      </w:r>
      <w:r w:rsidR="00E44347" w:rsidRPr="000D26F8">
        <w:rPr>
          <w:sz w:val="18"/>
          <w:szCs w:val="18"/>
          <w:lang w:val="es-419"/>
        </w:rPr>
        <w:t xml:space="preserve">acerca del </w:t>
      </w:r>
      <w:r w:rsidR="00270354" w:rsidRPr="000D26F8">
        <w:rPr>
          <w:sz w:val="18"/>
          <w:szCs w:val="18"/>
          <w:lang w:val="es-419"/>
        </w:rPr>
        <w:t>“Agotamiento de</w:t>
      </w:r>
      <w:r w:rsidR="00E44347" w:rsidRPr="000D26F8">
        <w:rPr>
          <w:sz w:val="18"/>
          <w:szCs w:val="18"/>
          <w:lang w:val="es-419"/>
        </w:rPr>
        <w:t>l</w:t>
      </w:r>
      <w:r w:rsidR="00270354" w:rsidRPr="000D26F8">
        <w:rPr>
          <w:sz w:val="18"/>
          <w:szCs w:val="18"/>
          <w:lang w:val="es-419"/>
        </w:rPr>
        <w:t xml:space="preserve"> derecho de obtentor” (</w:t>
      </w:r>
      <w:r w:rsidR="00B47593" w:rsidRPr="000D26F8">
        <w:rPr>
          <w:sz w:val="18"/>
          <w:szCs w:val="18"/>
          <w:lang w:val="es-419"/>
        </w:rPr>
        <w:t>Artículo</w:t>
      </w:r>
      <w:r w:rsidR="00270354" w:rsidRPr="000D26F8">
        <w:rPr>
          <w:sz w:val="18"/>
          <w:szCs w:val="18"/>
          <w:lang w:val="es-419"/>
        </w:rPr>
        <w:t> 16 del Acta de 1991)</w:t>
      </w:r>
      <w:r w:rsidR="00E44347" w:rsidRPr="000D26F8">
        <w:rPr>
          <w:sz w:val="18"/>
          <w:szCs w:val="18"/>
          <w:lang w:val="es-419"/>
        </w:rPr>
        <w:t>.</w:t>
      </w:r>
      <w:r w:rsidR="00933348" w:rsidRPr="000D26F8">
        <w:rPr>
          <w:sz w:val="18"/>
          <w:szCs w:val="18"/>
          <w:lang w:val="es-419"/>
        </w:rPr>
        <w:t xml:space="preserve"> </w:t>
      </w:r>
      <w:r w:rsidR="00E44347" w:rsidRPr="000D26F8">
        <w:rPr>
          <w:sz w:val="18"/>
          <w:szCs w:val="18"/>
          <w:lang w:val="es-419"/>
        </w:rPr>
        <w:t xml:space="preserve">También se recogen los antecedentes del concepto de “utilización no autorizada” conforme al Artículo 14.2) y </w:t>
      </w:r>
      <w:r w:rsidR="00122DCE" w:rsidRPr="000D26F8">
        <w:rPr>
          <w:sz w:val="18"/>
          <w:szCs w:val="18"/>
          <w:lang w:val="es-419"/>
        </w:rPr>
        <w:t>d</w:t>
      </w:r>
      <w:r w:rsidR="00E44347" w:rsidRPr="000D26F8">
        <w:rPr>
          <w:sz w:val="18"/>
          <w:szCs w:val="18"/>
          <w:lang w:val="es-419"/>
        </w:rPr>
        <w:t xml:space="preserve">el concepto de “consentimiento” conforme al </w:t>
      </w:r>
      <w:r w:rsidR="00B47593" w:rsidRPr="000D26F8">
        <w:rPr>
          <w:sz w:val="18"/>
          <w:szCs w:val="18"/>
          <w:lang w:val="es-419"/>
        </w:rPr>
        <w:t>Artículo </w:t>
      </w:r>
      <w:r w:rsidR="00E44347" w:rsidRPr="000D26F8">
        <w:rPr>
          <w:sz w:val="18"/>
          <w:szCs w:val="18"/>
          <w:lang w:val="es-419"/>
        </w:rPr>
        <w:t xml:space="preserve">16, </w:t>
      </w:r>
      <w:r w:rsidR="00122DCE" w:rsidRPr="000D26F8">
        <w:rPr>
          <w:sz w:val="18"/>
          <w:szCs w:val="18"/>
          <w:lang w:val="es-419"/>
        </w:rPr>
        <w:t>incluido</w:t>
      </w:r>
      <w:r w:rsidR="00E44347" w:rsidRPr="000D26F8">
        <w:rPr>
          <w:sz w:val="18"/>
          <w:szCs w:val="18"/>
          <w:lang w:val="es-419"/>
        </w:rPr>
        <w:t xml:space="preserve"> el momento en que </w:t>
      </w:r>
      <w:r w:rsidR="00122DCE" w:rsidRPr="000D26F8">
        <w:rPr>
          <w:sz w:val="18"/>
          <w:szCs w:val="18"/>
          <w:lang w:val="es-419"/>
        </w:rPr>
        <w:t xml:space="preserve">se sustituyó el </w:t>
      </w:r>
      <w:r w:rsidR="00E44347" w:rsidRPr="000D26F8">
        <w:rPr>
          <w:sz w:val="18"/>
          <w:szCs w:val="18"/>
          <w:lang w:val="es-419"/>
        </w:rPr>
        <w:t xml:space="preserve">término “consentimiento” por “autorización” en </w:t>
      </w:r>
      <w:r w:rsidR="00122DCE" w:rsidRPr="000D26F8">
        <w:rPr>
          <w:sz w:val="18"/>
          <w:szCs w:val="18"/>
          <w:lang w:val="es-419"/>
        </w:rPr>
        <w:t>el alcance del derecho</w:t>
      </w:r>
      <w:r w:rsidR="00E44347" w:rsidRPr="000D26F8">
        <w:rPr>
          <w:sz w:val="18"/>
          <w:szCs w:val="18"/>
          <w:lang w:val="es-419"/>
        </w:rPr>
        <w:t>:</w:t>
      </w:r>
    </w:p>
    <w:p w14:paraId="34F80A0B" w14:textId="77777777" w:rsidR="00CB7CAB" w:rsidRPr="000D26F8" w:rsidRDefault="00CB7CAB" w:rsidP="00CB7CAB">
      <w:pPr>
        <w:keepNext/>
        <w:ind w:left="567" w:right="459"/>
        <w:rPr>
          <w:sz w:val="18"/>
          <w:szCs w:val="18"/>
          <w:lang w:val="es-419"/>
        </w:rPr>
      </w:pPr>
    </w:p>
    <w:p w14:paraId="3A96F48F" w14:textId="0949BF14" w:rsidR="00824CD3" w:rsidRPr="000D26F8" w:rsidRDefault="00824CD3" w:rsidP="00824CD3">
      <w:pPr>
        <w:ind w:left="1134" w:right="459"/>
        <w:rPr>
          <w:sz w:val="18"/>
          <w:szCs w:val="18"/>
          <w:lang w:val="es-419"/>
        </w:rPr>
      </w:pPr>
      <w:r w:rsidRPr="000D26F8">
        <w:rPr>
          <w:sz w:val="18"/>
          <w:szCs w:val="18"/>
          <w:lang w:val="es-419"/>
        </w:rPr>
        <w:t xml:space="preserve"> ‘74.</w:t>
      </w:r>
      <w:r w:rsidRPr="000D26F8">
        <w:rPr>
          <w:sz w:val="18"/>
          <w:szCs w:val="18"/>
          <w:lang w:val="es-419"/>
        </w:rPr>
        <w:tab/>
      </w:r>
      <w:r w:rsidRPr="000D26F8">
        <w:rPr>
          <w:sz w:val="18"/>
          <w:szCs w:val="18"/>
          <w:u w:val="single"/>
          <w:lang w:val="es-419"/>
        </w:rPr>
        <w:t>Varias delegaciones</w:t>
      </w:r>
      <w:r w:rsidRPr="000D26F8">
        <w:rPr>
          <w:sz w:val="18"/>
          <w:szCs w:val="18"/>
          <w:lang w:val="es-419"/>
        </w:rPr>
        <w:t xml:space="preserve"> observaron que en el texto propuesto por la Oficina de la Unión se emplea ahora el término “autorización”, mientras que el proyecto se basaba en el concepto de “consentimiento”. Se señaló que no se había pretendido modificar la esencia del texto […]”</w:t>
      </w:r>
    </w:p>
    <w:p w14:paraId="4244A23A" w14:textId="77777777" w:rsidR="00CB7CAB" w:rsidRPr="000D26F8" w:rsidRDefault="00CB7CAB" w:rsidP="00CB7CAB">
      <w:pPr>
        <w:ind w:right="459" w:firstLine="567"/>
        <w:rPr>
          <w:sz w:val="18"/>
          <w:szCs w:val="18"/>
          <w:lang w:val="es-419"/>
        </w:rPr>
      </w:pPr>
    </w:p>
    <w:p w14:paraId="5E10516D" w14:textId="271AF1A8" w:rsidR="00CB7CAB" w:rsidRPr="000D26F8" w:rsidRDefault="00B47593" w:rsidP="00824CD3">
      <w:pPr>
        <w:ind w:left="567" w:right="459" w:firstLine="567"/>
        <w:rPr>
          <w:sz w:val="18"/>
          <w:szCs w:val="18"/>
          <w:lang w:val="es-419"/>
        </w:rPr>
      </w:pPr>
      <w:r w:rsidRPr="000D26F8">
        <w:rPr>
          <w:sz w:val="18"/>
          <w:szCs w:val="18"/>
          <w:lang w:val="es-419"/>
        </w:rPr>
        <w:t>(véase la página 26 del Anexo del documento WG-HRV/</w:t>
      </w:r>
      <w:r w:rsidRPr="00824CD3">
        <w:rPr>
          <w:sz w:val="18"/>
          <w:szCs w:val="18"/>
          <w:lang w:val="es-419"/>
        </w:rPr>
        <w:t>2/2</w:t>
      </w:r>
      <w:r w:rsidR="00580C27" w:rsidRPr="00824CD3">
        <w:rPr>
          <w:sz w:val="18"/>
          <w:szCs w:val="18"/>
          <w:lang w:val="es-419"/>
        </w:rPr>
        <w:t xml:space="preserve"> [</w:t>
      </w:r>
      <w:r w:rsidR="00824CD3" w:rsidRPr="00824CD3">
        <w:rPr>
          <w:sz w:val="18"/>
          <w:szCs w:val="18"/>
          <w:lang w:val="es-419"/>
        </w:rPr>
        <w:t>original</w:t>
      </w:r>
      <w:r w:rsidR="00580C27" w:rsidRPr="00824CD3">
        <w:rPr>
          <w:sz w:val="18"/>
          <w:szCs w:val="18"/>
          <w:lang w:val="es-419"/>
        </w:rPr>
        <w:t xml:space="preserve"> en inglés]</w:t>
      </w:r>
      <w:r w:rsidRPr="00824CD3">
        <w:rPr>
          <w:sz w:val="18"/>
          <w:szCs w:val="18"/>
          <w:lang w:val="es-419"/>
        </w:rPr>
        <w:t>).</w:t>
      </w:r>
    </w:p>
    <w:p w14:paraId="3310B1F1" w14:textId="77777777" w:rsidR="00CB7CAB" w:rsidRPr="000D26F8" w:rsidRDefault="00CB7CAB" w:rsidP="00CB7CAB">
      <w:pPr>
        <w:ind w:left="567" w:right="459"/>
        <w:rPr>
          <w:sz w:val="18"/>
          <w:szCs w:val="18"/>
          <w:lang w:val="es-419"/>
        </w:rPr>
      </w:pPr>
    </w:p>
    <w:p w14:paraId="2287413F" w14:textId="20906E22" w:rsidR="00CB7CAB" w:rsidRPr="000D26F8" w:rsidRDefault="00CB7CAB" w:rsidP="00CB7CAB">
      <w:pPr>
        <w:ind w:left="567" w:right="459"/>
        <w:rPr>
          <w:sz w:val="18"/>
          <w:szCs w:val="18"/>
          <w:lang w:val="es-419"/>
        </w:rPr>
      </w:pPr>
      <w:r w:rsidRPr="000D26F8">
        <w:rPr>
          <w:sz w:val="18"/>
          <w:szCs w:val="18"/>
          <w:lang w:val="es-419"/>
        </w:rPr>
        <w:t>19.</w:t>
      </w:r>
      <w:r w:rsidRPr="000D26F8">
        <w:rPr>
          <w:sz w:val="18"/>
          <w:szCs w:val="18"/>
          <w:lang w:val="es-419"/>
        </w:rPr>
        <w:tab/>
      </w:r>
      <w:r w:rsidR="00B47593" w:rsidRPr="000D26F8">
        <w:rPr>
          <w:sz w:val="18"/>
          <w:szCs w:val="18"/>
          <w:lang w:val="es-419"/>
        </w:rPr>
        <w:t>El presidente observó que el concepto de “consentimiento” y el de “autorización” difieren en las actuales notas explicativas.”</w:t>
      </w:r>
    </w:p>
    <w:p w14:paraId="39DEC76F" w14:textId="77777777" w:rsidR="00CB7CAB" w:rsidRPr="000D26F8" w:rsidRDefault="00CB7CAB" w:rsidP="00CB7CAB">
      <w:pPr>
        <w:ind w:left="567" w:right="459"/>
        <w:rPr>
          <w:sz w:val="18"/>
          <w:szCs w:val="18"/>
          <w:lang w:val="es-419"/>
        </w:rPr>
      </w:pPr>
    </w:p>
    <w:p w14:paraId="3295B3FC" w14:textId="31B78624" w:rsidR="00CB7CAB" w:rsidRPr="000D26F8" w:rsidRDefault="00CB7CAB" w:rsidP="00CB7CAB">
      <w:pPr>
        <w:jc w:val="left"/>
        <w:rPr>
          <w:lang w:val="es-419"/>
        </w:rPr>
      </w:pPr>
      <w:r w:rsidRPr="000D26F8">
        <w:rPr>
          <w:lang w:val="es-419"/>
        </w:rPr>
        <w:fldChar w:fldCharType="begin"/>
      </w:r>
      <w:r w:rsidRPr="000D26F8">
        <w:rPr>
          <w:lang w:val="es-419"/>
        </w:rPr>
        <w:instrText xml:space="preserve"> AUTONUM  </w:instrText>
      </w:r>
      <w:r w:rsidRPr="000D26F8">
        <w:rPr>
          <w:lang w:val="es-419"/>
        </w:rPr>
        <w:fldChar w:fldCharType="end"/>
      </w:r>
      <w:r w:rsidRPr="000D26F8">
        <w:rPr>
          <w:lang w:val="es-419"/>
        </w:rPr>
        <w:tab/>
      </w:r>
      <w:r w:rsidR="00B47593" w:rsidRPr="000D26F8">
        <w:rPr>
          <w:lang w:val="es-419"/>
        </w:rPr>
        <w:t>En las actuales notas explicativas (documento UPOV/EXN/HRV/1) se indica lo siguiente respecto de la expresión “utilización no autorizada” que figura en el Artículo</w:t>
      </w:r>
      <w:r w:rsidR="00BF077C" w:rsidRPr="000D26F8">
        <w:rPr>
          <w:lang w:val="es-419"/>
        </w:rPr>
        <w:t> </w:t>
      </w:r>
      <w:r w:rsidR="00B47593" w:rsidRPr="000D26F8">
        <w:rPr>
          <w:lang w:val="es-419"/>
        </w:rPr>
        <w:t>14.2) del Acta de 1991:</w:t>
      </w:r>
    </w:p>
    <w:p w14:paraId="3426890A" w14:textId="77777777" w:rsidR="00CB7CAB" w:rsidRPr="000D26F8" w:rsidRDefault="00CB7CAB" w:rsidP="00CB7CAB">
      <w:pPr>
        <w:jc w:val="left"/>
        <w:rPr>
          <w:lang w:val="es-419"/>
        </w:rPr>
      </w:pPr>
    </w:p>
    <w:p w14:paraId="45640AD7" w14:textId="4A027EB5" w:rsidR="00CB7CAB" w:rsidRPr="000D26F8" w:rsidRDefault="00CB7CAB" w:rsidP="00CB7CAB">
      <w:pPr>
        <w:ind w:left="567"/>
        <w:rPr>
          <w:sz w:val="18"/>
          <w:szCs w:val="18"/>
          <w:lang w:val="es-419"/>
        </w:rPr>
      </w:pPr>
      <w:r w:rsidRPr="000D26F8">
        <w:rPr>
          <w:sz w:val="18"/>
          <w:szCs w:val="18"/>
          <w:lang w:val="es-419"/>
        </w:rPr>
        <w:t>“4.</w:t>
      </w:r>
      <w:r w:rsidRPr="000D26F8">
        <w:rPr>
          <w:sz w:val="18"/>
          <w:szCs w:val="18"/>
          <w:lang w:val="es-419"/>
        </w:rPr>
        <w:tab/>
      </w:r>
      <w:r w:rsidR="006735FD" w:rsidRPr="000D26F8">
        <w:rPr>
          <w:sz w:val="18"/>
          <w:szCs w:val="18"/>
          <w:lang w:val="es-419"/>
        </w:rPr>
        <w:t>“Utilización no autorizada” se refiere a los actos respecto de material de reproducción o de multiplicación para los que se requiere la autorización del titular del derecho de obtentor en el territorio en cuestión (Artículo 14.1) del Acta de 1991), pero donde dicha autorización no se obtuvo.</w:t>
      </w:r>
      <w:r w:rsidR="00933348" w:rsidRPr="000D26F8">
        <w:rPr>
          <w:sz w:val="18"/>
          <w:szCs w:val="18"/>
          <w:lang w:val="es-419"/>
        </w:rPr>
        <w:t xml:space="preserve"> </w:t>
      </w:r>
      <w:r w:rsidR="006735FD" w:rsidRPr="000D26F8">
        <w:rPr>
          <w:sz w:val="18"/>
          <w:szCs w:val="18"/>
          <w:lang w:val="es-419"/>
        </w:rPr>
        <w:t>En consecuencia, los actos no autorizados solo pueden ocurrir en el territorio del miembro de la Unión en el que se ha concedido y está en vigor un derecho de obtentor.”</w:t>
      </w:r>
    </w:p>
    <w:p w14:paraId="2A00BB84" w14:textId="77777777" w:rsidR="00CB7CAB" w:rsidRPr="000D26F8" w:rsidRDefault="00CB7CAB" w:rsidP="00CB7CAB">
      <w:pPr>
        <w:jc w:val="left"/>
        <w:rPr>
          <w:lang w:val="es-419"/>
        </w:rPr>
      </w:pPr>
    </w:p>
    <w:p w14:paraId="79266F85" w14:textId="77777777" w:rsidR="00CB7CAB" w:rsidRPr="000D26F8" w:rsidRDefault="00CB7CAB" w:rsidP="00CB7CAB">
      <w:pPr>
        <w:jc w:val="left"/>
        <w:rPr>
          <w:lang w:val="es-419"/>
        </w:rPr>
      </w:pPr>
    </w:p>
    <w:p w14:paraId="529146D6" w14:textId="7284AD55" w:rsidR="00CB7CAB" w:rsidRPr="000D26F8" w:rsidRDefault="00D83082" w:rsidP="00CB7CAB">
      <w:pPr>
        <w:pStyle w:val="Heading2"/>
        <w:rPr>
          <w:lang w:val="es-419"/>
        </w:rPr>
      </w:pPr>
      <w:bookmarkStart w:id="7" w:name="_Toc128509175"/>
      <w:r w:rsidRPr="000D26F8">
        <w:rPr>
          <w:lang w:val="es-419"/>
        </w:rPr>
        <w:t xml:space="preserve">Otras </w:t>
      </w:r>
      <w:r w:rsidR="00BF077C" w:rsidRPr="000D26F8">
        <w:rPr>
          <w:lang w:val="es-419"/>
        </w:rPr>
        <w:t xml:space="preserve">perspectivas acerca de la </w:t>
      </w:r>
      <w:r w:rsidRPr="000D26F8">
        <w:rPr>
          <w:lang w:val="es-419"/>
        </w:rPr>
        <w:t>“utilización no autorizada” que ha de examinar el WG-HRV</w:t>
      </w:r>
      <w:bookmarkEnd w:id="7"/>
    </w:p>
    <w:p w14:paraId="2A5773F5" w14:textId="77777777" w:rsidR="00CB7CAB" w:rsidRPr="000D26F8" w:rsidRDefault="00CB7CAB" w:rsidP="00CB7CAB">
      <w:pPr>
        <w:keepNext/>
        <w:jc w:val="left"/>
        <w:rPr>
          <w:i/>
          <w:highlight w:val="yellow"/>
          <w:lang w:val="es-419"/>
        </w:rPr>
      </w:pPr>
    </w:p>
    <w:p w14:paraId="78084D46" w14:textId="38622E50" w:rsidR="00CB7CAB" w:rsidRPr="00D76AA4" w:rsidRDefault="00CB7CAB" w:rsidP="00CB7CAB">
      <w:pPr>
        <w:keepNext/>
        <w:keepLines/>
        <w:rPr>
          <w:b/>
          <w:bCs/>
          <w:lang w:val="es-ES"/>
        </w:rPr>
      </w:pPr>
      <w:r w:rsidRPr="000D26F8">
        <w:rPr>
          <w:spacing w:val="-4"/>
          <w:lang w:val="es-419"/>
        </w:rPr>
        <w:fldChar w:fldCharType="begin"/>
      </w:r>
      <w:r w:rsidRPr="000D26F8">
        <w:rPr>
          <w:spacing w:val="-4"/>
          <w:lang w:val="es-419"/>
        </w:rPr>
        <w:instrText xml:space="preserve"> AUTONUM  </w:instrText>
      </w:r>
      <w:r w:rsidRPr="000D26F8">
        <w:rPr>
          <w:spacing w:val="-4"/>
          <w:lang w:val="es-419"/>
        </w:rPr>
        <w:fldChar w:fldCharType="end"/>
      </w:r>
      <w:r w:rsidRPr="000D26F8">
        <w:rPr>
          <w:spacing w:val="-4"/>
          <w:lang w:val="es-419"/>
        </w:rPr>
        <w:tab/>
      </w:r>
      <w:r w:rsidR="00D83082" w:rsidRPr="00D76AA4">
        <w:rPr>
          <w:spacing w:val="-2"/>
          <w:lang w:val="es-ES"/>
        </w:rPr>
        <w:t>En su segunda reunión, el WG-HRV tomó nota de lo siguiente (véanse los párrafos </w:t>
      </w:r>
      <w:r w:rsidR="00D83082" w:rsidRPr="00D76AA4">
        <w:rPr>
          <w:lang w:val="es-ES"/>
        </w:rPr>
        <w:t>20 a 34 del documento WG-HRV/</w:t>
      </w:r>
      <w:r w:rsidR="00D83082" w:rsidRPr="00135C2A">
        <w:rPr>
          <w:lang w:val="es-ES"/>
        </w:rPr>
        <w:t xml:space="preserve">2/6 </w:t>
      </w:r>
      <w:r w:rsidR="00F752F7" w:rsidRPr="00135C2A">
        <w:rPr>
          <w:lang w:val="es-ES"/>
        </w:rPr>
        <w:t>“</w:t>
      </w:r>
      <w:r w:rsidR="00F752F7" w:rsidRPr="00135C2A">
        <w:rPr>
          <w:i/>
          <w:iCs/>
          <w:lang w:val="es-ES"/>
        </w:rPr>
        <w:t>Draft Report</w:t>
      </w:r>
      <w:r w:rsidR="00F752F7" w:rsidRPr="00135C2A">
        <w:rPr>
          <w:lang w:val="es-ES"/>
        </w:rPr>
        <w:t>” (Proyec</w:t>
      </w:r>
      <w:r w:rsidR="00F752F7" w:rsidRPr="00D76AA4">
        <w:rPr>
          <w:lang w:val="es-ES"/>
        </w:rPr>
        <w:t>to de informe)</w:t>
      </w:r>
      <w:r w:rsidR="00D83082" w:rsidRPr="00D76AA4">
        <w:rPr>
          <w:lang w:val="es-ES"/>
        </w:rPr>
        <w:t xml:space="preserve">, </w:t>
      </w:r>
      <w:r w:rsidR="00D83082" w:rsidRPr="00D76AA4">
        <w:rPr>
          <w:spacing w:val="-2"/>
          <w:lang w:val="es-ES"/>
        </w:rPr>
        <w:t>que se reproducen a continuación):</w:t>
      </w:r>
      <w:r w:rsidR="00D76AA4" w:rsidRPr="00D76AA4">
        <w:rPr>
          <w:spacing w:val="-2"/>
          <w:lang w:val="es-ES"/>
        </w:rPr>
        <w:t xml:space="preserve"> </w:t>
      </w:r>
    </w:p>
    <w:p w14:paraId="71897D5F" w14:textId="77777777" w:rsidR="00CB7CAB" w:rsidRPr="000D26F8" w:rsidRDefault="00CB7CAB" w:rsidP="00CB7CAB">
      <w:pPr>
        <w:ind w:left="567" w:right="459"/>
        <w:rPr>
          <w:sz w:val="18"/>
          <w:szCs w:val="18"/>
          <w:lang w:val="es-419"/>
        </w:rPr>
      </w:pPr>
    </w:p>
    <w:p w14:paraId="429BAAF6" w14:textId="5064E0B8" w:rsidR="00CB7CAB" w:rsidRPr="000D26F8" w:rsidRDefault="00CB7CAB" w:rsidP="00CB7CAB">
      <w:pPr>
        <w:ind w:left="567" w:right="459"/>
        <w:rPr>
          <w:sz w:val="18"/>
          <w:szCs w:val="18"/>
          <w:lang w:val="es-419"/>
        </w:rPr>
      </w:pPr>
      <w:r w:rsidRPr="000D26F8">
        <w:rPr>
          <w:sz w:val="18"/>
          <w:szCs w:val="18"/>
          <w:lang w:val="es-419"/>
        </w:rPr>
        <w:t>“20.</w:t>
      </w:r>
      <w:r w:rsidRPr="000D26F8">
        <w:rPr>
          <w:sz w:val="18"/>
          <w:szCs w:val="18"/>
          <w:lang w:val="es-419"/>
        </w:rPr>
        <w:tab/>
      </w:r>
      <w:r w:rsidR="00F51E9A" w:rsidRPr="000D26F8">
        <w:rPr>
          <w:sz w:val="18"/>
          <w:szCs w:val="18"/>
          <w:lang w:val="es-419"/>
        </w:rPr>
        <w:t xml:space="preserve">Las delegaciones </w:t>
      </w:r>
      <w:r w:rsidR="00D83082" w:rsidRPr="000D26F8">
        <w:rPr>
          <w:sz w:val="18"/>
          <w:szCs w:val="18"/>
          <w:lang w:val="es-419"/>
        </w:rPr>
        <w:t>de la Unión Europea y</w:t>
      </w:r>
      <w:r w:rsidR="00F51E9A" w:rsidRPr="000D26F8">
        <w:rPr>
          <w:sz w:val="18"/>
          <w:szCs w:val="18"/>
          <w:lang w:val="es-419"/>
        </w:rPr>
        <w:t> </w:t>
      </w:r>
      <w:r w:rsidR="00D83082" w:rsidRPr="000D26F8">
        <w:rPr>
          <w:sz w:val="18"/>
          <w:szCs w:val="18"/>
          <w:lang w:val="es-419"/>
        </w:rPr>
        <w:t xml:space="preserve">Australia </w:t>
      </w:r>
      <w:r w:rsidR="00E82F61" w:rsidRPr="000D26F8">
        <w:rPr>
          <w:sz w:val="18"/>
          <w:szCs w:val="18"/>
          <w:lang w:val="es-419"/>
        </w:rPr>
        <w:t>manifest</w:t>
      </w:r>
      <w:r w:rsidR="00F51E9A" w:rsidRPr="000D26F8">
        <w:rPr>
          <w:sz w:val="18"/>
          <w:szCs w:val="18"/>
          <w:lang w:val="es-419"/>
        </w:rPr>
        <w:t xml:space="preserve">aron </w:t>
      </w:r>
      <w:r w:rsidR="00E82F61" w:rsidRPr="000D26F8">
        <w:rPr>
          <w:sz w:val="18"/>
          <w:szCs w:val="18"/>
          <w:lang w:val="es-419"/>
        </w:rPr>
        <w:t>que respaldan</w:t>
      </w:r>
      <w:r w:rsidR="00F51E9A" w:rsidRPr="000D26F8">
        <w:rPr>
          <w:sz w:val="18"/>
          <w:szCs w:val="18"/>
          <w:lang w:val="es-419"/>
        </w:rPr>
        <w:t xml:space="preserve"> la</w:t>
      </w:r>
      <w:r w:rsidR="00D83082" w:rsidRPr="000D26F8">
        <w:rPr>
          <w:sz w:val="18"/>
          <w:szCs w:val="18"/>
          <w:lang w:val="es-419"/>
        </w:rPr>
        <w:t xml:space="preserve"> explicación de</w:t>
      </w:r>
      <w:r w:rsidR="00BF077C" w:rsidRPr="000D26F8">
        <w:rPr>
          <w:sz w:val="18"/>
          <w:szCs w:val="18"/>
          <w:lang w:val="es-419"/>
        </w:rPr>
        <w:t>l concepto de</w:t>
      </w:r>
      <w:r w:rsidR="00D83082" w:rsidRPr="000D26F8">
        <w:rPr>
          <w:sz w:val="18"/>
          <w:szCs w:val="18"/>
          <w:lang w:val="es-419"/>
        </w:rPr>
        <w:t xml:space="preserve"> “utilización no autorizada” </w:t>
      </w:r>
      <w:r w:rsidR="00F51E9A" w:rsidRPr="000D26F8">
        <w:rPr>
          <w:sz w:val="18"/>
          <w:szCs w:val="18"/>
          <w:lang w:val="es-419"/>
        </w:rPr>
        <w:t>ofrec</w:t>
      </w:r>
      <w:r w:rsidR="00E82F61" w:rsidRPr="000D26F8">
        <w:rPr>
          <w:sz w:val="18"/>
          <w:szCs w:val="18"/>
          <w:lang w:val="es-419"/>
        </w:rPr>
        <w:t>ida</w:t>
      </w:r>
      <w:r w:rsidR="00F51E9A" w:rsidRPr="000D26F8">
        <w:rPr>
          <w:sz w:val="18"/>
          <w:szCs w:val="18"/>
          <w:lang w:val="es-419"/>
        </w:rPr>
        <w:t xml:space="preserve"> </w:t>
      </w:r>
      <w:r w:rsidR="00D83082" w:rsidRPr="000D26F8">
        <w:rPr>
          <w:sz w:val="18"/>
          <w:szCs w:val="18"/>
          <w:lang w:val="es-419"/>
        </w:rPr>
        <w:t xml:space="preserve">en </w:t>
      </w:r>
      <w:r w:rsidR="00F51E9A" w:rsidRPr="000D26F8">
        <w:rPr>
          <w:sz w:val="18"/>
          <w:szCs w:val="18"/>
          <w:lang w:val="es-419"/>
        </w:rPr>
        <w:t xml:space="preserve">las </w:t>
      </w:r>
      <w:r w:rsidR="00D83082" w:rsidRPr="000D26F8">
        <w:rPr>
          <w:sz w:val="18"/>
          <w:szCs w:val="18"/>
          <w:lang w:val="es-419"/>
        </w:rPr>
        <w:t>actual</w:t>
      </w:r>
      <w:r w:rsidR="00F51E9A" w:rsidRPr="000D26F8">
        <w:rPr>
          <w:sz w:val="18"/>
          <w:szCs w:val="18"/>
          <w:lang w:val="es-419"/>
        </w:rPr>
        <w:t>es</w:t>
      </w:r>
      <w:r w:rsidR="00D83082" w:rsidRPr="000D26F8">
        <w:rPr>
          <w:sz w:val="18"/>
          <w:szCs w:val="18"/>
          <w:lang w:val="es-419"/>
        </w:rPr>
        <w:t xml:space="preserve"> notas explicativas.</w:t>
      </w:r>
      <w:r w:rsidR="00933348" w:rsidRPr="000D26F8">
        <w:rPr>
          <w:sz w:val="18"/>
          <w:szCs w:val="18"/>
          <w:lang w:val="es-419"/>
        </w:rPr>
        <w:t xml:space="preserve"> </w:t>
      </w:r>
      <w:r w:rsidR="00E82F61" w:rsidRPr="000D26F8">
        <w:rPr>
          <w:sz w:val="18"/>
          <w:szCs w:val="18"/>
          <w:lang w:val="es-419"/>
        </w:rPr>
        <w:t xml:space="preserve">Las delegaciones de España, el Japón y los Países Bajos preferían una interpretación más amplia de </w:t>
      </w:r>
      <w:r w:rsidR="005F3BBE" w:rsidRPr="000D26F8">
        <w:rPr>
          <w:sz w:val="18"/>
          <w:szCs w:val="18"/>
          <w:lang w:val="es-419"/>
        </w:rPr>
        <w:t>dicho concepto</w:t>
      </w:r>
      <w:r w:rsidR="00E82F61" w:rsidRPr="000D26F8">
        <w:rPr>
          <w:sz w:val="18"/>
          <w:szCs w:val="18"/>
          <w:lang w:val="es-419"/>
        </w:rPr>
        <w:t>.</w:t>
      </w:r>
    </w:p>
    <w:p w14:paraId="68FA662C" w14:textId="77777777" w:rsidR="00CB7CAB" w:rsidRPr="000D26F8" w:rsidRDefault="00CB7CAB" w:rsidP="00CB7CAB">
      <w:pPr>
        <w:ind w:left="567" w:right="459"/>
        <w:rPr>
          <w:sz w:val="18"/>
          <w:szCs w:val="18"/>
          <w:lang w:val="es-419"/>
        </w:rPr>
      </w:pPr>
    </w:p>
    <w:p w14:paraId="692E98C6" w14:textId="4A7D07ED" w:rsidR="00CB7CAB" w:rsidRPr="000D26F8" w:rsidRDefault="00CB7CAB" w:rsidP="00CB7CAB">
      <w:pPr>
        <w:ind w:left="567" w:right="459"/>
        <w:rPr>
          <w:sz w:val="18"/>
          <w:szCs w:val="18"/>
          <w:lang w:val="es-419"/>
        </w:rPr>
      </w:pPr>
      <w:r w:rsidRPr="000D26F8">
        <w:rPr>
          <w:sz w:val="18"/>
          <w:szCs w:val="18"/>
          <w:lang w:val="es-419"/>
        </w:rPr>
        <w:t>21.</w:t>
      </w:r>
      <w:r w:rsidRPr="000D26F8">
        <w:rPr>
          <w:sz w:val="18"/>
          <w:szCs w:val="18"/>
          <w:lang w:val="es-419"/>
        </w:rPr>
        <w:tab/>
      </w:r>
      <w:r w:rsidR="00E82F61" w:rsidRPr="000D26F8">
        <w:rPr>
          <w:sz w:val="18"/>
          <w:szCs w:val="18"/>
          <w:lang w:val="es-419"/>
        </w:rPr>
        <w:t xml:space="preserve">La delegación de la Argentina explicó que, en lo que respecta al mercado interno, </w:t>
      </w:r>
      <w:r w:rsidR="003D3136" w:rsidRPr="000D26F8">
        <w:rPr>
          <w:sz w:val="18"/>
          <w:szCs w:val="18"/>
          <w:lang w:val="es-419"/>
        </w:rPr>
        <w:t xml:space="preserve">la adquisición </w:t>
      </w:r>
      <w:r w:rsidR="00E82F61" w:rsidRPr="000D26F8">
        <w:rPr>
          <w:sz w:val="18"/>
          <w:szCs w:val="18"/>
          <w:lang w:val="es-419"/>
        </w:rPr>
        <w:t>legal</w:t>
      </w:r>
      <w:r w:rsidR="003D3136" w:rsidRPr="000D26F8">
        <w:rPr>
          <w:sz w:val="18"/>
          <w:szCs w:val="18"/>
          <w:lang w:val="es-419"/>
        </w:rPr>
        <w:t xml:space="preserve"> de </w:t>
      </w:r>
      <w:r w:rsidR="00E82F61" w:rsidRPr="000D26F8">
        <w:rPr>
          <w:sz w:val="18"/>
          <w:szCs w:val="18"/>
          <w:lang w:val="es-419"/>
        </w:rPr>
        <w:t>una bolsa de semillas</w:t>
      </w:r>
      <w:r w:rsidR="003D3136" w:rsidRPr="000D26F8">
        <w:rPr>
          <w:sz w:val="18"/>
          <w:szCs w:val="18"/>
          <w:lang w:val="es-419"/>
        </w:rPr>
        <w:t xml:space="preserve"> </w:t>
      </w:r>
      <w:r w:rsidR="005F3BBE" w:rsidRPr="000D26F8">
        <w:rPr>
          <w:sz w:val="18"/>
          <w:szCs w:val="18"/>
          <w:lang w:val="es-419"/>
        </w:rPr>
        <w:t xml:space="preserve">supone </w:t>
      </w:r>
      <w:r w:rsidR="00E82F61" w:rsidRPr="000D26F8">
        <w:rPr>
          <w:sz w:val="18"/>
          <w:szCs w:val="18"/>
          <w:lang w:val="es-419"/>
        </w:rPr>
        <w:t xml:space="preserve">el </w:t>
      </w:r>
      <w:r w:rsidR="003D3136" w:rsidRPr="000D26F8">
        <w:rPr>
          <w:sz w:val="18"/>
          <w:szCs w:val="18"/>
          <w:lang w:val="es-419"/>
        </w:rPr>
        <w:t xml:space="preserve">agotamiento del </w:t>
      </w:r>
      <w:r w:rsidR="00E82F61" w:rsidRPr="000D26F8">
        <w:rPr>
          <w:sz w:val="18"/>
          <w:szCs w:val="18"/>
          <w:lang w:val="es-419"/>
        </w:rPr>
        <w:t>derecho de obtentor.</w:t>
      </w:r>
    </w:p>
    <w:p w14:paraId="3BA7C842" w14:textId="77777777" w:rsidR="00CB7CAB" w:rsidRPr="000D26F8" w:rsidRDefault="00CB7CAB" w:rsidP="00CB7CAB">
      <w:pPr>
        <w:ind w:left="567" w:right="459"/>
        <w:rPr>
          <w:sz w:val="18"/>
          <w:szCs w:val="18"/>
          <w:lang w:val="es-419"/>
        </w:rPr>
      </w:pPr>
    </w:p>
    <w:p w14:paraId="2EBA6E22" w14:textId="49DDF18E" w:rsidR="00CB7CAB" w:rsidRPr="000D26F8" w:rsidRDefault="00CB7CAB" w:rsidP="00CB7CAB">
      <w:pPr>
        <w:ind w:left="567" w:right="459"/>
        <w:rPr>
          <w:sz w:val="18"/>
          <w:szCs w:val="18"/>
          <w:lang w:val="es-419"/>
        </w:rPr>
      </w:pPr>
      <w:r w:rsidRPr="000D26F8">
        <w:rPr>
          <w:sz w:val="18"/>
          <w:szCs w:val="18"/>
          <w:lang w:val="es-419"/>
        </w:rPr>
        <w:t>22.</w:t>
      </w:r>
      <w:r w:rsidRPr="000D26F8">
        <w:rPr>
          <w:sz w:val="18"/>
          <w:szCs w:val="18"/>
          <w:lang w:val="es-419"/>
        </w:rPr>
        <w:tab/>
      </w:r>
      <w:r w:rsidR="003D3136" w:rsidRPr="000D26F8">
        <w:rPr>
          <w:sz w:val="18"/>
          <w:szCs w:val="18"/>
          <w:lang w:val="es-419"/>
        </w:rPr>
        <w:t xml:space="preserve">La delegación del Japón </w:t>
      </w:r>
      <w:r w:rsidR="00BB3EFB" w:rsidRPr="000D26F8">
        <w:rPr>
          <w:sz w:val="18"/>
          <w:szCs w:val="18"/>
          <w:lang w:val="es-419"/>
        </w:rPr>
        <w:t xml:space="preserve">aludió a las exportaciones </w:t>
      </w:r>
      <w:r w:rsidR="003D3136" w:rsidRPr="000D26F8">
        <w:rPr>
          <w:sz w:val="18"/>
          <w:szCs w:val="18"/>
          <w:lang w:val="es-419"/>
        </w:rPr>
        <w:t>no autorizada</w:t>
      </w:r>
      <w:r w:rsidR="00BB3EFB" w:rsidRPr="000D26F8">
        <w:rPr>
          <w:sz w:val="18"/>
          <w:szCs w:val="18"/>
          <w:lang w:val="es-419"/>
        </w:rPr>
        <w:t>s</w:t>
      </w:r>
      <w:r w:rsidR="003D3136" w:rsidRPr="000D26F8">
        <w:rPr>
          <w:sz w:val="18"/>
          <w:szCs w:val="18"/>
          <w:lang w:val="es-419"/>
        </w:rPr>
        <w:t xml:space="preserve"> de material de </w:t>
      </w:r>
      <w:r w:rsidR="00BB3EFB" w:rsidRPr="000D26F8">
        <w:rPr>
          <w:sz w:val="18"/>
          <w:szCs w:val="18"/>
          <w:lang w:val="es-419"/>
        </w:rPr>
        <w:t xml:space="preserve">árboles frutales </w:t>
      </w:r>
      <w:r w:rsidR="003D3136" w:rsidRPr="000D26F8">
        <w:rPr>
          <w:sz w:val="18"/>
          <w:szCs w:val="18"/>
          <w:lang w:val="es-419"/>
        </w:rPr>
        <w:t>perenne</w:t>
      </w:r>
      <w:r w:rsidR="00BB3EFB" w:rsidRPr="000D26F8">
        <w:rPr>
          <w:sz w:val="18"/>
          <w:szCs w:val="18"/>
          <w:lang w:val="es-419"/>
        </w:rPr>
        <w:t>s</w:t>
      </w:r>
      <w:r w:rsidR="003D3136" w:rsidRPr="000D26F8">
        <w:rPr>
          <w:sz w:val="18"/>
          <w:szCs w:val="18"/>
          <w:lang w:val="es-419"/>
        </w:rPr>
        <w:t xml:space="preserve"> </w:t>
      </w:r>
      <w:r w:rsidR="002C392C" w:rsidRPr="000D26F8">
        <w:rPr>
          <w:sz w:val="18"/>
          <w:szCs w:val="18"/>
          <w:lang w:val="es-419"/>
        </w:rPr>
        <w:t>que</w:t>
      </w:r>
      <w:r w:rsidR="003D3136" w:rsidRPr="000D26F8">
        <w:rPr>
          <w:sz w:val="18"/>
          <w:szCs w:val="18"/>
          <w:lang w:val="es-419"/>
        </w:rPr>
        <w:t xml:space="preserve">, si </w:t>
      </w:r>
      <w:r w:rsidR="002C392C" w:rsidRPr="000D26F8">
        <w:rPr>
          <w:sz w:val="18"/>
          <w:szCs w:val="18"/>
          <w:lang w:val="es-419"/>
        </w:rPr>
        <w:t>se reproduce o multiplica</w:t>
      </w:r>
      <w:r w:rsidR="003D3136" w:rsidRPr="000D26F8">
        <w:rPr>
          <w:sz w:val="18"/>
          <w:szCs w:val="18"/>
          <w:lang w:val="es-419"/>
        </w:rPr>
        <w:t xml:space="preserve"> </w:t>
      </w:r>
      <w:r w:rsidR="002C392C" w:rsidRPr="000D26F8">
        <w:rPr>
          <w:sz w:val="18"/>
          <w:szCs w:val="18"/>
          <w:lang w:val="es-419"/>
        </w:rPr>
        <w:t>en otro país</w:t>
      </w:r>
      <w:r w:rsidR="003D3136" w:rsidRPr="000D26F8">
        <w:rPr>
          <w:sz w:val="18"/>
          <w:szCs w:val="18"/>
          <w:lang w:val="es-419"/>
        </w:rPr>
        <w:t xml:space="preserve">, </w:t>
      </w:r>
      <w:r w:rsidR="002C392C" w:rsidRPr="000D26F8">
        <w:rPr>
          <w:sz w:val="18"/>
          <w:szCs w:val="18"/>
          <w:lang w:val="es-419"/>
        </w:rPr>
        <w:t>puede cosecharse</w:t>
      </w:r>
      <w:r w:rsidR="003D3136" w:rsidRPr="000D26F8">
        <w:rPr>
          <w:sz w:val="18"/>
          <w:szCs w:val="18"/>
          <w:lang w:val="es-419"/>
        </w:rPr>
        <w:t xml:space="preserve"> </w:t>
      </w:r>
      <w:r w:rsidR="002C392C" w:rsidRPr="000D26F8">
        <w:rPr>
          <w:sz w:val="18"/>
          <w:szCs w:val="18"/>
          <w:lang w:val="es-419"/>
        </w:rPr>
        <w:t xml:space="preserve">durante mucho </w:t>
      </w:r>
      <w:r w:rsidR="003D3136" w:rsidRPr="000D26F8">
        <w:rPr>
          <w:sz w:val="18"/>
          <w:szCs w:val="18"/>
          <w:lang w:val="es-419"/>
        </w:rPr>
        <w:t xml:space="preserve">tiempo sin </w:t>
      </w:r>
      <w:r w:rsidR="002C392C" w:rsidRPr="000D26F8">
        <w:rPr>
          <w:sz w:val="18"/>
          <w:szCs w:val="18"/>
          <w:lang w:val="es-419"/>
        </w:rPr>
        <w:t xml:space="preserve">que los </w:t>
      </w:r>
      <w:r w:rsidR="003D3136" w:rsidRPr="000D26F8">
        <w:rPr>
          <w:sz w:val="18"/>
          <w:szCs w:val="18"/>
          <w:lang w:val="es-419"/>
        </w:rPr>
        <w:t xml:space="preserve">obtentores </w:t>
      </w:r>
      <w:r w:rsidR="002C392C" w:rsidRPr="000D26F8">
        <w:rPr>
          <w:sz w:val="18"/>
          <w:szCs w:val="18"/>
          <w:lang w:val="es-419"/>
        </w:rPr>
        <w:t xml:space="preserve">tengan </w:t>
      </w:r>
      <w:r w:rsidR="003D3136" w:rsidRPr="000D26F8">
        <w:rPr>
          <w:sz w:val="18"/>
          <w:szCs w:val="18"/>
          <w:lang w:val="es-419"/>
        </w:rPr>
        <w:t xml:space="preserve">oportunidad </w:t>
      </w:r>
      <w:r w:rsidR="002C392C" w:rsidRPr="000D26F8">
        <w:rPr>
          <w:sz w:val="18"/>
          <w:szCs w:val="18"/>
          <w:lang w:val="es-419"/>
        </w:rPr>
        <w:t xml:space="preserve">de </w:t>
      </w:r>
      <w:r w:rsidR="000D7F00" w:rsidRPr="000D26F8">
        <w:rPr>
          <w:sz w:val="18"/>
          <w:szCs w:val="18"/>
          <w:lang w:val="es-419"/>
        </w:rPr>
        <w:t>recibir</w:t>
      </w:r>
      <w:r w:rsidR="003D3136" w:rsidRPr="000D26F8">
        <w:rPr>
          <w:sz w:val="18"/>
          <w:szCs w:val="18"/>
          <w:lang w:val="es-419"/>
        </w:rPr>
        <w:t xml:space="preserve"> </w:t>
      </w:r>
      <w:r w:rsidR="002C392C" w:rsidRPr="000D26F8">
        <w:rPr>
          <w:sz w:val="18"/>
          <w:szCs w:val="18"/>
          <w:lang w:val="es-419"/>
        </w:rPr>
        <w:t xml:space="preserve">una </w:t>
      </w:r>
      <w:r w:rsidR="003D3136" w:rsidRPr="000D26F8">
        <w:rPr>
          <w:sz w:val="18"/>
          <w:szCs w:val="18"/>
          <w:lang w:val="es-419"/>
        </w:rPr>
        <w:t>remuneración.</w:t>
      </w:r>
      <w:r w:rsidRPr="000D26F8">
        <w:rPr>
          <w:sz w:val="18"/>
          <w:szCs w:val="18"/>
          <w:lang w:val="es-419"/>
        </w:rPr>
        <w:t xml:space="preserve"> </w:t>
      </w:r>
    </w:p>
    <w:p w14:paraId="411FE63E" w14:textId="77777777" w:rsidR="00CB7CAB" w:rsidRPr="000D26F8" w:rsidRDefault="00CB7CAB" w:rsidP="00CB7CAB">
      <w:pPr>
        <w:ind w:left="567" w:right="459"/>
        <w:rPr>
          <w:sz w:val="18"/>
          <w:szCs w:val="18"/>
          <w:lang w:val="es-419"/>
        </w:rPr>
      </w:pPr>
    </w:p>
    <w:p w14:paraId="7FD0B4D5" w14:textId="27936522" w:rsidR="00CB7CAB" w:rsidRPr="000D26F8" w:rsidRDefault="00CB7CAB" w:rsidP="009E6FFD">
      <w:pPr>
        <w:keepLines/>
        <w:ind w:left="567" w:right="459"/>
        <w:rPr>
          <w:sz w:val="18"/>
          <w:szCs w:val="18"/>
          <w:lang w:val="es-419"/>
        </w:rPr>
      </w:pPr>
      <w:r w:rsidRPr="000D26F8">
        <w:rPr>
          <w:sz w:val="18"/>
          <w:szCs w:val="18"/>
          <w:lang w:val="es-419"/>
        </w:rPr>
        <w:lastRenderedPageBreak/>
        <w:t>23.</w:t>
      </w:r>
      <w:r w:rsidRPr="000D26F8">
        <w:rPr>
          <w:sz w:val="18"/>
          <w:szCs w:val="18"/>
          <w:lang w:val="es-419"/>
        </w:rPr>
        <w:tab/>
      </w:r>
      <w:r w:rsidR="000D7F00" w:rsidRPr="000D26F8">
        <w:rPr>
          <w:sz w:val="18"/>
          <w:szCs w:val="18"/>
          <w:lang w:val="es-419"/>
        </w:rPr>
        <w:t>El presidente tomó nota de las distintas perspectivas e interpretaciones del concepto de “utilización no autorizada” y observó que no se reflejan en las actuales notas explicativas.</w:t>
      </w:r>
      <w:r w:rsidR="00933348" w:rsidRPr="000D26F8">
        <w:rPr>
          <w:sz w:val="18"/>
          <w:szCs w:val="18"/>
          <w:lang w:val="es-419"/>
        </w:rPr>
        <w:t xml:space="preserve"> </w:t>
      </w:r>
      <w:r w:rsidR="005F3BBE" w:rsidRPr="000D26F8">
        <w:rPr>
          <w:sz w:val="18"/>
          <w:szCs w:val="18"/>
          <w:lang w:val="es-419"/>
        </w:rPr>
        <w:t>Sugirió que se considere la posibilidad de incluir las diferentes concepciones de manera análoga a la lista de factores que consta en las notas explicativas sobre el material de reproducción o de multiplicación.</w:t>
      </w:r>
      <w:r w:rsidR="00933348" w:rsidRPr="000D26F8">
        <w:rPr>
          <w:sz w:val="18"/>
          <w:szCs w:val="18"/>
          <w:lang w:val="es-419"/>
        </w:rPr>
        <w:t xml:space="preserve"> </w:t>
      </w:r>
    </w:p>
    <w:p w14:paraId="04B64731" w14:textId="77777777" w:rsidR="00CB7CAB" w:rsidRPr="000D26F8" w:rsidRDefault="00CB7CAB" w:rsidP="00CB7CAB">
      <w:pPr>
        <w:ind w:left="567" w:right="459"/>
        <w:rPr>
          <w:sz w:val="18"/>
          <w:szCs w:val="18"/>
          <w:lang w:val="es-419"/>
        </w:rPr>
      </w:pPr>
    </w:p>
    <w:p w14:paraId="5FD5E75C" w14:textId="0D4C442E" w:rsidR="00CB7CAB" w:rsidRPr="000D26F8" w:rsidRDefault="00CB7CAB" w:rsidP="00CB7CAB">
      <w:pPr>
        <w:ind w:left="567" w:right="459"/>
        <w:rPr>
          <w:sz w:val="18"/>
          <w:szCs w:val="18"/>
          <w:lang w:val="es-419"/>
        </w:rPr>
      </w:pPr>
      <w:r w:rsidRPr="000D26F8">
        <w:rPr>
          <w:sz w:val="18"/>
          <w:szCs w:val="18"/>
          <w:lang w:val="es-419"/>
        </w:rPr>
        <w:t>24.</w:t>
      </w:r>
      <w:r w:rsidRPr="000D26F8">
        <w:rPr>
          <w:sz w:val="18"/>
          <w:szCs w:val="18"/>
          <w:lang w:val="es-419"/>
        </w:rPr>
        <w:tab/>
      </w:r>
      <w:r w:rsidR="000D7F00" w:rsidRPr="000D26F8">
        <w:rPr>
          <w:sz w:val="18"/>
          <w:szCs w:val="18"/>
          <w:lang w:val="es-419"/>
        </w:rPr>
        <w:t>La delegación de los Estados Unidos de América s</w:t>
      </w:r>
      <w:r w:rsidR="009836E9" w:rsidRPr="000D26F8">
        <w:rPr>
          <w:sz w:val="18"/>
          <w:szCs w:val="18"/>
          <w:lang w:val="es-419"/>
        </w:rPr>
        <w:t>ugiri</w:t>
      </w:r>
      <w:r w:rsidR="000D7F00" w:rsidRPr="000D26F8">
        <w:rPr>
          <w:sz w:val="18"/>
          <w:szCs w:val="18"/>
          <w:lang w:val="es-419"/>
        </w:rPr>
        <w:t xml:space="preserve">ó </w:t>
      </w:r>
      <w:r w:rsidR="009836E9" w:rsidRPr="000D26F8">
        <w:rPr>
          <w:sz w:val="18"/>
          <w:szCs w:val="18"/>
          <w:lang w:val="es-419"/>
        </w:rPr>
        <w:t xml:space="preserve">que podría resultar </w:t>
      </w:r>
      <w:r w:rsidR="000D7F00" w:rsidRPr="000D26F8">
        <w:rPr>
          <w:sz w:val="18"/>
          <w:szCs w:val="18"/>
          <w:lang w:val="es-419"/>
        </w:rPr>
        <w:t>útil disponer de ejemplos de la interpretación y la aplicación de esas disposiciones por parte de los miembros del Grupo de trabajo.</w:t>
      </w:r>
    </w:p>
    <w:p w14:paraId="2C1995FB" w14:textId="77777777" w:rsidR="00CB7CAB" w:rsidRPr="000D26F8" w:rsidRDefault="00CB7CAB" w:rsidP="00CB7CAB">
      <w:pPr>
        <w:ind w:left="567" w:right="459"/>
        <w:rPr>
          <w:sz w:val="18"/>
          <w:szCs w:val="18"/>
          <w:lang w:val="es-419"/>
        </w:rPr>
      </w:pPr>
    </w:p>
    <w:p w14:paraId="6C9B84B0" w14:textId="4DD0DDBA" w:rsidR="00CB7CAB" w:rsidRPr="000D26F8" w:rsidRDefault="00CB7CAB" w:rsidP="00CB7CAB">
      <w:pPr>
        <w:ind w:left="567" w:right="459"/>
        <w:rPr>
          <w:sz w:val="18"/>
          <w:szCs w:val="18"/>
          <w:lang w:val="es-419"/>
        </w:rPr>
      </w:pPr>
      <w:r w:rsidRPr="000D26F8">
        <w:rPr>
          <w:sz w:val="18"/>
          <w:szCs w:val="18"/>
          <w:lang w:val="es-419"/>
        </w:rPr>
        <w:t>25.</w:t>
      </w:r>
      <w:r w:rsidRPr="000D26F8">
        <w:rPr>
          <w:sz w:val="18"/>
          <w:szCs w:val="18"/>
          <w:lang w:val="es-419"/>
        </w:rPr>
        <w:tab/>
      </w:r>
      <w:r w:rsidR="000D7F00" w:rsidRPr="000D26F8">
        <w:rPr>
          <w:sz w:val="18"/>
          <w:szCs w:val="18"/>
          <w:lang w:val="es-419"/>
        </w:rPr>
        <w:t>Las delegaciones de Australia, los Países Bajos y la Unión Europea suscribieron la propuesta.</w:t>
      </w:r>
    </w:p>
    <w:p w14:paraId="253E5138" w14:textId="77777777" w:rsidR="00CB7CAB" w:rsidRPr="000D26F8" w:rsidRDefault="00CB7CAB" w:rsidP="00CB7CAB">
      <w:pPr>
        <w:ind w:left="567" w:right="459"/>
        <w:rPr>
          <w:sz w:val="18"/>
          <w:szCs w:val="18"/>
          <w:lang w:val="es-419"/>
        </w:rPr>
      </w:pPr>
    </w:p>
    <w:p w14:paraId="62BE9FCB" w14:textId="51D683EF" w:rsidR="00CB7CAB" w:rsidRPr="000D26F8" w:rsidRDefault="00CB7CAB" w:rsidP="00CB7CAB">
      <w:pPr>
        <w:keepLines/>
        <w:ind w:left="567" w:right="459"/>
        <w:rPr>
          <w:sz w:val="18"/>
          <w:szCs w:val="18"/>
          <w:lang w:val="es-419"/>
        </w:rPr>
      </w:pPr>
      <w:r w:rsidRPr="000D26F8">
        <w:rPr>
          <w:sz w:val="18"/>
          <w:szCs w:val="18"/>
          <w:lang w:val="es-419"/>
        </w:rPr>
        <w:t>26.</w:t>
      </w:r>
      <w:r w:rsidRPr="000D26F8">
        <w:rPr>
          <w:sz w:val="18"/>
          <w:szCs w:val="18"/>
          <w:lang w:val="es-419"/>
        </w:rPr>
        <w:tab/>
      </w:r>
      <w:r w:rsidR="009F43D7" w:rsidRPr="000D26F8">
        <w:rPr>
          <w:sz w:val="18"/>
          <w:szCs w:val="18"/>
          <w:lang w:val="es-419"/>
        </w:rPr>
        <w:t xml:space="preserve">La </w:t>
      </w:r>
      <w:r w:rsidR="009E2D32" w:rsidRPr="000D26F8">
        <w:rPr>
          <w:sz w:val="18"/>
          <w:szCs w:val="18"/>
          <w:lang w:val="es-419"/>
        </w:rPr>
        <w:t xml:space="preserve">delegación </w:t>
      </w:r>
      <w:r w:rsidR="009F43D7" w:rsidRPr="000D26F8">
        <w:rPr>
          <w:sz w:val="18"/>
          <w:szCs w:val="18"/>
          <w:lang w:val="es-419"/>
        </w:rPr>
        <w:t xml:space="preserve">del Japón </w:t>
      </w:r>
      <w:r w:rsidR="009836E9" w:rsidRPr="000D26F8">
        <w:rPr>
          <w:sz w:val="18"/>
          <w:szCs w:val="18"/>
          <w:lang w:val="es-419"/>
        </w:rPr>
        <w:t>señaló que</w:t>
      </w:r>
      <w:r w:rsidR="009F43D7" w:rsidRPr="000D26F8">
        <w:rPr>
          <w:sz w:val="18"/>
          <w:szCs w:val="18"/>
          <w:lang w:val="es-419"/>
        </w:rPr>
        <w:t xml:space="preserve">, </w:t>
      </w:r>
      <w:r w:rsidR="009836E9" w:rsidRPr="000D26F8">
        <w:rPr>
          <w:sz w:val="18"/>
          <w:szCs w:val="18"/>
          <w:lang w:val="es-419"/>
        </w:rPr>
        <w:t xml:space="preserve">en </w:t>
      </w:r>
      <w:r w:rsidR="009E2D32" w:rsidRPr="000D26F8">
        <w:rPr>
          <w:sz w:val="18"/>
          <w:szCs w:val="18"/>
          <w:lang w:val="es-419"/>
        </w:rPr>
        <w:t>la</w:t>
      </w:r>
      <w:r w:rsidR="009F43D7" w:rsidRPr="000D26F8">
        <w:rPr>
          <w:sz w:val="18"/>
          <w:szCs w:val="18"/>
          <w:lang w:val="es-419"/>
        </w:rPr>
        <w:t xml:space="preserve"> Conferencia Diplomática </w:t>
      </w:r>
      <w:r w:rsidR="009E2D32" w:rsidRPr="000D26F8">
        <w:rPr>
          <w:sz w:val="18"/>
          <w:szCs w:val="18"/>
          <w:lang w:val="es-419"/>
        </w:rPr>
        <w:t>de </w:t>
      </w:r>
      <w:r w:rsidR="009F43D7" w:rsidRPr="000D26F8">
        <w:rPr>
          <w:sz w:val="18"/>
          <w:szCs w:val="18"/>
          <w:lang w:val="es-419"/>
        </w:rPr>
        <w:t xml:space="preserve">1991 </w:t>
      </w:r>
      <w:r w:rsidR="009E2D32" w:rsidRPr="000D26F8">
        <w:rPr>
          <w:sz w:val="18"/>
          <w:szCs w:val="18"/>
          <w:lang w:val="es-419"/>
        </w:rPr>
        <w:t>de</w:t>
      </w:r>
      <w:r w:rsidR="009F43D7" w:rsidRPr="000D26F8">
        <w:rPr>
          <w:sz w:val="18"/>
          <w:szCs w:val="18"/>
          <w:lang w:val="es-419"/>
        </w:rPr>
        <w:t xml:space="preserve"> </w:t>
      </w:r>
      <w:r w:rsidR="009E2D32" w:rsidRPr="000D26F8">
        <w:rPr>
          <w:sz w:val="18"/>
          <w:szCs w:val="18"/>
          <w:lang w:val="es-419"/>
        </w:rPr>
        <w:t xml:space="preserve">revisión </w:t>
      </w:r>
      <w:r w:rsidR="009F43D7" w:rsidRPr="000D26F8">
        <w:rPr>
          <w:sz w:val="18"/>
          <w:szCs w:val="18"/>
          <w:lang w:val="es-419"/>
        </w:rPr>
        <w:t>de</w:t>
      </w:r>
      <w:r w:rsidR="009E2D32" w:rsidRPr="000D26F8">
        <w:rPr>
          <w:sz w:val="18"/>
          <w:szCs w:val="18"/>
          <w:lang w:val="es-419"/>
        </w:rPr>
        <w:t>l</w:t>
      </w:r>
      <w:r w:rsidR="009F43D7" w:rsidRPr="000D26F8">
        <w:rPr>
          <w:sz w:val="18"/>
          <w:szCs w:val="18"/>
          <w:lang w:val="es-419"/>
        </w:rPr>
        <w:t xml:space="preserve"> Convenio, </w:t>
      </w:r>
      <w:r w:rsidR="009836E9" w:rsidRPr="000D26F8">
        <w:rPr>
          <w:sz w:val="18"/>
          <w:szCs w:val="18"/>
          <w:lang w:val="es-419"/>
        </w:rPr>
        <w:t>se formuló la</w:t>
      </w:r>
      <w:r w:rsidR="009F43D7" w:rsidRPr="000D26F8">
        <w:rPr>
          <w:sz w:val="18"/>
          <w:szCs w:val="18"/>
          <w:lang w:val="es-419"/>
        </w:rPr>
        <w:t xml:space="preserve"> propuesta </w:t>
      </w:r>
      <w:r w:rsidR="009836E9" w:rsidRPr="000D26F8">
        <w:rPr>
          <w:sz w:val="18"/>
          <w:szCs w:val="18"/>
          <w:lang w:val="es-419"/>
        </w:rPr>
        <w:t>de</w:t>
      </w:r>
      <w:r w:rsidR="00E448CC" w:rsidRPr="000D26F8">
        <w:rPr>
          <w:sz w:val="18"/>
          <w:szCs w:val="18"/>
          <w:lang w:val="es-419"/>
        </w:rPr>
        <w:t xml:space="preserve"> que</w:t>
      </w:r>
      <w:r w:rsidR="009836E9" w:rsidRPr="000D26F8">
        <w:rPr>
          <w:sz w:val="18"/>
          <w:szCs w:val="18"/>
          <w:lang w:val="es-419"/>
        </w:rPr>
        <w:t xml:space="preserve"> </w:t>
      </w:r>
      <w:r w:rsidR="00E448CC" w:rsidRPr="000D26F8">
        <w:rPr>
          <w:sz w:val="18"/>
          <w:szCs w:val="18"/>
          <w:lang w:val="es-419"/>
        </w:rPr>
        <w:t xml:space="preserve">la utilización de material de reproducción o de multiplicación se </w:t>
      </w:r>
      <w:r w:rsidR="009F43D7" w:rsidRPr="000D26F8">
        <w:rPr>
          <w:sz w:val="18"/>
          <w:szCs w:val="18"/>
          <w:lang w:val="es-419"/>
        </w:rPr>
        <w:t>consider</w:t>
      </w:r>
      <w:r w:rsidR="00E448CC" w:rsidRPr="000D26F8">
        <w:rPr>
          <w:sz w:val="18"/>
          <w:szCs w:val="18"/>
          <w:lang w:val="es-419"/>
        </w:rPr>
        <w:t>e</w:t>
      </w:r>
      <w:r w:rsidR="009F43D7" w:rsidRPr="000D26F8">
        <w:rPr>
          <w:sz w:val="18"/>
          <w:szCs w:val="18"/>
          <w:lang w:val="es-419"/>
        </w:rPr>
        <w:t xml:space="preserve"> </w:t>
      </w:r>
      <w:r w:rsidR="00E448CC" w:rsidRPr="000D26F8">
        <w:rPr>
          <w:sz w:val="18"/>
          <w:szCs w:val="18"/>
          <w:lang w:val="es-419"/>
        </w:rPr>
        <w:t xml:space="preserve">no autorizada </w:t>
      </w:r>
      <w:r w:rsidR="009F43D7" w:rsidRPr="000D26F8">
        <w:rPr>
          <w:sz w:val="18"/>
          <w:szCs w:val="18"/>
          <w:lang w:val="es-419"/>
        </w:rPr>
        <w:t xml:space="preserve">cuando </w:t>
      </w:r>
      <w:r w:rsidR="00E448CC" w:rsidRPr="000D26F8">
        <w:rPr>
          <w:sz w:val="18"/>
          <w:szCs w:val="18"/>
          <w:lang w:val="es-419"/>
        </w:rPr>
        <w:t>se lleve a cabo</w:t>
      </w:r>
      <w:r w:rsidR="009836E9" w:rsidRPr="000D26F8">
        <w:rPr>
          <w:sz w:val="18"/>
          <w:szCs w:val="18"/>
          <w:lang w:val="es-419"/>
        </w:rPr>
        <w:t xml:space="preserve"> </w:t>
      </w:r>
      <w:r w:rsidR="00E448CC" w:rsidRPr="000D26F8">
        <w:rPr>
          <w:sz w:val="18"/>
          <w:szCs w:val="18"/>
          <w:lang w:val="es-419"/>
        </w:rPr>
        <w:t>con el fin de obtener producto de la cosecha</w:t>
      </w:r>
      <w:r w:rsidR="009F43D7" w:rsidRPr="000D26F8">
        <w:rPr>
          <w:sz w:val="18"/>
          <w:szCs w:val="18"/>
          <w:lang w:val="es-419"/>
        </w:rPr>
        <w:t>.</w:t>
      </w:r>
      <w:r w:rsidR="00933348" w:rsidRPr="000D26F8">
        <w:rPr>
          <w:sz w:val="18"/>
          <w:szCs w:val="18"/>
          <w:lang w:val="es-419"/>
        </w:rPr>
        <w:t xml:space="preserve"> </w:t>
      </w:r>
      <w:r w:rsidR="009836E9" w:rsidRPr="000D26F8">
        <w:rPr>
          <w:sz w:val="18"/>
          <w:szCs w:val="18"/>
          <w:lang w:val="es-419"/>
        </w:rPr>
        <w:t xml:space="preserve">Añadió que la propuesta se aceptó sin </w:t>
      </w:r>
      <w:r w:rsidR="005F3BBE" w:rsidRPr="000D26F8">
        <w:rPr>
          <w:sz w:val="18"/>
          <w:szCs w:val="18"/>
          <w:lang w:val="es-419"/>
        </w:rPr>
        <w:t>oposición efectiva</w:t>
      </w:r>
      <w:r w:rsidR="009836E9" w:rsidRPr="000D26F8">
        <w:rPr>
          <w:sz w:val="18"/>
          <w:szCs w:val="18"/>
          <w:lang w:val="es-419"/>
        </w:rPr>
        <w:t>, como queda reflejado en el párrafo 1543</w:t>
      </w:r>
      <w:r w:rsidR="00B36B1A">
        <w:rPr>
          <w:sz w:val="18"/>
          <w:szCs w:val="18"/>
          <w:lang w:val="es-419"/>
        </w:rPr>
        <w:t xml:space="preserve"> de las actas de la Conferencia </w:t>
      </w:r>
      <w:r w:rsidR="009836E9" w:rsidRPr="000D26F8">
        <w:rPr>
          <w:sz w:val="18"/>
          <w:szCs w:val="18"/>
          <w:lang w:val="es-419"/>
        </w:rPr>
        <w:t>Diplomática:</w:t>
      </w:r>
    </w:p>
    <w:p w14:paraId="46050F67" w14:textId="77777777" w:rsidR="00CB7CAB" w:rsidRPr="000D26F8" w:rsidRDefault="00CB7CAB" w:rsidP="00CB7CAB">
      <w:pPr>
        <w:ind w:left="567" w:right="459"/>
        <w:rPr>
          <w:sz w:val="18"/>
          <w:szCs w:val="18"/>
          <w:lang w:val="es-419"/>
        </w:rPr>
      </w:pPr>
    </w:p>
    <w:p w14:paraId="2F1071C1" w14:textId="76692D91" w:rsidR="00824CD3" w:rsidRPr="000D26F8" w:rsidRDefault="00824CD3" w:rsidP="00824CD3">
      <w:pPr>
        <w:tabs>
          <w:tab w:val="left" w:pos="1440"/>
        </w:tabs>
        <w:ind w:left="1134" w:right="459"/>
        <w:rPr>
          <w:spacing w:val="-4"/>
          <w:sz w:val="18"/>
          <w:szCs w:val="18"/>
          <w:lang w:val="es-419"/>
        </w:rPr>
      </w:pPr>
      <w:r w:rsidRPr="000D26F8">
        <w:rPr>
          <w:spacing w:val="-4"/>
          <w:sz w:val="18"/>
          <w:szCs w:val="18"/>
          <w:lang w:val="es-419"/>
        </w:rPr>
        <w:t>“1529.4</w:t>
      </w:r>
      <w:r w:rsidRPr="000D26F8">
        <w:rPr>
          <w:spacing w:val="-4"/>
          <w:sz w:val="18"/>
          <w:szCs w:val="18"/>
          <w:lang w:val="es-419"/>
        </w:rPr>
        <w:tab/>
      </w:r>
      <w:r>
        <w:rPr>
          <w:spacing w:val="-4"/>
          <w:sz w:val="18"/>
          <w:szCs w:val="18"/>
          <w:lang w:val="es-419"/>
        </w:rPr>
        <w:t xml:space="preserve">(…) </w:t>
      </w:r>
      <w:r w:rsidRPr="000D26F8">
        <w:rPr>
          <w:spacing w:val="-4"/>
          <w:sz w:val="18"/>
          <w:szCs w:val="18"/>
          <w:lang w:val="es-419"/>
        </w:rPr>
        <w:t>En referencia al Artículo 14.1)b), el Grupo de trabajo es consciente de que se ha decidido suprimir los corchetes de la última cláusula de la Propuesta básica. Por ese motivo, propone un sistema según el cual el producto de la cosecha de la variedad protegida constituya la base de una recaudación de regalías cuando se cumplan dos condiciones: i) que el obtentor no haya autorizado la utilización de material de reproducción o de multiplicación con el fin de obtener ese producto de la cosecha; y ii) que el obtentor no haya podido ejercer razonablemente su derecho respecto del material de reproducción o de multiplicación.”</w:t>
      </w:r>
    </w:p>
    <w:p w14:paraId="24E8CB03" w14:textId="77777777" w:rsidR="00824CD3" w:rsidRPr="000D26F8" w:rsidRDefault="00824CD3" w:rsidP="00824CD3">
      <w:pPr>
        <w:ind w:left="1134" w:right="459"/>
        <w:jc w:val="left"/>
        <w:rPr>
          <w:sz w:val="18"/>
          <w:szCs w:val="18"/>
          <w:lang w:val="es-419"/>
        </w:rPr>
      </w:pPr>
    </w:p>
    <w:p w14:paraId="11C0FA06" w14:textId="77777777" w:rsidR="00824CD3" w:rsidRPr="000D26F8" w:rsidRDefault="00824CD3" w:rsidP="00824CD3">
      <w:pPr>
        <w:ind w:left="1134" w:right="459"/>
        <w:jc w:val="left"/>
        <w:rPr>
          <w:sz w:val="18"/>
          <w:szCs w:val="18"/>
          <w:lang w:val="es-419"/>
        </w:rPr>
      </w:pPr>
      <w:r w:rsidRPr="000D26F8">
        <w:rPr>
          <w:sz w:val="18"/>
          <w:szCs w:val="18"/>
          <w:lang w:val="es-419"/>
        </w:rPr>
        <w:t>[…]</w:t>
      </w:r>
    </w:p>
    <w:p w14:paraId="33447A0B" w14:textId="77777777" w:rsidR="00824CD3" w:rsidRPr="000D26F8" w:rsidRDefault="00824CD3" w:rsidP="00824CD3">
      <w:pPr>
        <w:ind w:left="1134" w:right="459"/>
        <w:jc w:val="left"/>
        <w:rPr>
          <w:sz w:val="18"/>
          <w:szCs w:val="18"/>
          <w:lang w:val="es-419"/>
        </w:rPr>
      </w:pPr>
    </w:p>
    <w:p w14:paraId="650AC4DF" w14:textId="77777777" w:rsidR="00824CD3" w:rsidRPr="000D26F8" w:rsidRDefault="00824CD3" w:rsidP="00824CD3">
      <w:pPr>
        <w:tabs>
          <w:tab w:val="left" w:pos="1440"/>
        </w:tabs>
        <w:ind w:left="1134" w:right="459"/>
        <w:jc w:val="left"/>
        <w:rPr>
          <w:sz w:val="18"/>
          <w:szCs w:val="18"/>
          <w:lang w:val="es-419"/>
        </w:rPr>
      </w:pPr>
      <w:r w:rsidRPr="000D26F8">
        <w:rPr>
          <w:sz w:val="18"/>
          <w:szCs w:val="18"/>
          <w:lang w:val="es-419"/>
        </w:rPr>
        <w:t>1543.</w:t>
      </w:r>
      <w:r w:rsidRPr="000D26F8">
        <w:rPr>
          <w:sz w:val="18"/>
          <w:szCs w:val="18"/>
          <w:lang w:val="es-419"/>
        </w:rPr>
        <w:tab/>
        <w:t>El presidente tomó nota de que no se había manifestado oposición efectiva a la propuesta. Por consiguiente, concluyó que había sido aceptada. Dio las gracias al Grupo de trabajo y a su presidente, el Sr. Harvey (Reino Unido).”</w:t>
      </w:r>
    </w:p>
    <w:p w14:paraId="57990CF3" w14:textId="77777777" w:rsidR="00CB7CAB" w:rsidRPr="000D26F8" w:rsidRDefault="00CB7CAB" w:rsidP="00CB7CAB">
      <w:pPr>
        <w:ind w:left="567" w:right="459"/>
        <w:rPr>
          <w:sz w:val="18"/>
          <w:szCs w:val="18"/>
          <w:lang w:val="es-419"/>
        </w:rPr>
      </w:pPr>
    </w:p>
    <w:p w14:paraId="2592A3B7" w14:textId="7028F757" w:rsidR="00CB7CAB" w:rsidRPr="000D26F8" w:rsidRDefault="007B6A01" w:rsidP="00824CD3">
      <w:pPr>
        <w:ind w:left="567" w:right="459" w:firstLine="567"/>
        <w:rPr>
          <w:sz w:val="18"/>
          <w:szCs w:val="18"/>
          <w:lang w:val="es-419"/>
        </w:rPr>
      </w:pPr>
      <w:r w:rsidRPr="000D26F8">
        <w:rPr>
          <w:sz w:val="18"/>
          <w:szCs w:val="18"/>
          <w:lang w:val="es-419"/>
        </w:rPr>
        <w:t>(páginas 59 y 60 del Anexo del documento WG-HRV/2/2</w:t>
      </w:r>
      <w:r w:rsidR="00824CD3">
        <w:rPr>
          <w:sz w:val="18"/>
          <w:szCs w:val="18"/>
          <w:lang w:val="es-419"/>
        </w:rPr>
        <w:t xml:space="preserve"> </w:t>
      </w:r>
      <w:r w:rsidR="00824CD3" w:rsidRPr="00824CD3">
        <w:rPr>
          <w:sz w:val="18"/>
          <w:szCs w:val="18"/>
          <w:lang w:val="es-419"/>
        </w:rPr>
        <w:t>[original en inglés]</w:t>
      </w:r>
      <w:r w:rsidRPr="000D26F8">
        <w:rPr>
          <w:sz w:val="18"/>
          <w:szCs w:val="18"/>
          <w:lang w:val="es-419"/>
        </w:rPr>
        <w:t>).</w:t>
      </w:r>
    </w:p>
    <w:p w14:paraId="059F6A5E" w14:textId="77777777" w:rsidR="00CB7CAB" w:rsidRPr="000D26F8" w:rsidRDefault="00CB7CAB" w:rsidP="00CB7CAB">
      <w:pPr>
        <w:ind w:left="567" w:right="459"/>
        <w:rPr>
          <w:sz w:val="18"/>
          <w:szCs w:val="18"/>
          <w:lang w:val="es-419"/>
        </w:rPr>
      </w:pPr>
    </w:p>
    <w:p w14:paraId="4FC0452E" w14:textId="464CBDF1" w:rsidR="00CB7CAB" w:rsidRPr="000D26F8" w:rsidRDefault="00CB7CAB" w:rsidP="00CB7CAB">
      <w:pPr>
        <w:ind w:left="567" w:right="459"/>
        <w:rPr>
          <w:sz w:val="18"/>
          <w:szCs w:val="18"/>
          <w:lang w:val="es-419"/>
        </w:rPr>
      </w:pPr>
      <w:r w:rsidRPr="000D26F8">
        <w:rPr>
          <w:sz w:val="18"/>
          <w:szCs w:val="18"/>
          <w:lang w:val="es-419"/>
        </w:rPr>
        <w:t>27.</w:t>
      </w:r>
      <w:r w:rsidRPr="000D26F8">
        <w:rPr>
          <w:sz w:val="18"/>
          <w:szCs w:val="18"/>
          <w:lang w:val="es-419"/>
        </w:rPr>
        <w:tab/>
      </w:r>
      <w:r w:rsidR="00794DAD" w:rsidRPr="000D26F8">
        <w:rPr>
          <w:sz w:val="18"/>
          <w:szCs w:val="18"/>
          <w:lang w:val="es-419"/>
        </w:rPr>
        <w:t xml:space="preserve">Conforme a lo antedicho, la delegación del Japón sugirió que </w:t>
      </w:r>
      <w:r w:rsidR="008001E8" w:rsidRPr="000D26F8">
        <w:rPr>
          <w:sz w:val="18"/>
          <w:szCs w:val="18"/>
          <w:lang w:val="es-419"/>
        </w:rPr>
        <w:t xml:space="preserve">la plantación y el cultivo continuado </w:t>
      </w:r>
      <w:r w:rsidR="00794DAD" w:rsidRPr="000D26F8">
        <w:rPr>
          <w:sz w:val="18"/>
          <w:szCs w:val="18"/>
          <w:lang w:val="es-419"/>
        </w:rPr>
        <w:t>se incluy</w:t>
      </w:r>
      <w:r w:rsidR="008001E8" w:rsidRPr="000D26F8">
        <w:rPr>
          <w:sz w:val="18"/>
          <w:szCs w:val="18"/>
          <w:lang w:val="es-419"/>
        </w:rPr>
        <w:t>a</w:t>
      </w:r>
      <w:r w:rsidR="00794DAD" w:rsidRPr="000D26F8">
        <w:rPr>
          <w:sz w:val="18"/>
          <w:szCs w:val="18"/>
          <w:lang w:val="es-419"/>
        </w:rPr>
        <w:t>n en la interpretación de</w:t>
      </w:r>
      <w:r w:rsidR="005F3BBE" w:rsidRPr="000D26F8">
        <w:rPr>
          <w:sz w:val="18"/>
          <w:szCs w:val="18"/>
          <w:lang w:val="es-419"/>
        </w:rPr>
        <w:t>l</w:t>
      </w:r>
      <w:r w:rsidR="00794DAD" w:rsidRPr="000D26F8">
        <w:rPr>
          <w:sz w:val="18"/>
          <w:szCs w:val="18"/>
          <w:lang w:val="es-419"/>
        </w:rPr>
        <w:t xml:space="preserve"> </w:t>
      </w:r>
      <w:r w:rsidR="005F3BBE" w:rsidRPr="000D26F8">
        <w:rPr>
          <w:sz w:val="18"/>
          <w:szCs w:val="18"/>
          <w:lang w:val="es-419"/>
        </w:rPr>
        <w:t>concepto de</w:t>
      </w:r>
      <w:r w:rsidR="00794DAD" w:rsidRPr="000D26F8">
        <w:rPr>
          <w:sz w:val="18"/>
          <w:szCs w:val="18"/>
          <w:lang w:val="es-419"/>
        </w:rPr>
        <w:t xml:space="preserve"> “utilización no autorizada” en las notas explicativas.</w:t>
      </w:r>
      <w:r w:rsidRPr="000D26F8">
        <w:rPr>
          <w:sz w:val="18"/>
          <w:szCs w:val="18"/>
          <w:lang w:val="es-419"/>
        </w:rPr>
        <w:t xml:space="preserve"> </w:t>
      </w:r>
    </w:p>
    <w:p w14:paraId="1E2AD5EC" w14:textId="77777777" w:rsidR="00CB7CAB" w:rsidRPr="000D26F8" w:rsidRDefault="00CB7CAB" w:rsidP="00CB7CAB">
      <w:pPr>
        <w:ind w:left="567" w:right="459"/>
        <w:rPr>
          <w:sz w:val="18"/>
          <w:szCs w:val="18"/>
          <w:lang w:val="es-419"/>
        </w:rPr>
      </w:pPr>
    </w:p>
    <w:p w14:paraId="6C5D7AE6" w14:textId="4A3D3A6C" w:rsidR="00CB7CAB" w:rsidRPr="000D26F8" w:rsidRDefault="00CB7CAB" w:rsidP="00CB7CAB">
      <w:pPr>
        <w:ind w:left="567" w:right="459"/>
        <w:rPr>
          <w:spacing w:val="2"/>
          <w:sz w:val="18"/>
          <w:szCs w:val="18"/>
          <w:lang w:val="es-419"/>
        </w:rPr>
      </w:pPr>
      <w:r w:rsidRPr="000D26F8">
        <w:rPr>
          <w:spacing w:val="2"/>
          <w:sz w:val="18"/>
          <w:szCs w:val="18"/>
          <w:lang w:val="es-419"/>
        </w:rPr>
        <w:t>28.</w:t>
      </w:r>
      <w:r w:rsidRPr="000D26F8">
        <w:rPr>
          <w:spacing w:val="2"/>
          <w:sz w:val="18"/>
          <w:szCs w:val="18"/>
          <w:lang w:val="es-419"/>
        </w:rPr>
        <w:tab/>
      </w:r>
      <w:r w:rsidR="00794DAD" w:rsidRPr="000D26F8">
        <w:rPr>
          <w:spacing w:val="2"/>
          <w:sz w:val="18"/>
          <w:szCs w:val="18"/>
          <w:lang w:val="es-419"/>
        </w:rPr>
        <w:t xml:space="preserve">El representante de </w:t>
      </w:r>
      <w:r w:rsidR="00794DAD" w:rsidRPr="00B36B1A">
        <w:rPr>
          <w:i/>
          <w:spacing w:val="2"/>
          <w:sz w:val="18"/>
          <w:szCs w:val="18"/>
          <w:lang w:val="es-419"/>
        </w:rPr>
        <w:t>CropLife International</w:t>
      </w:r>
      <w:r w:rsidR="00794DAD" w:rsidRPr="000D26F8">
        <w:rPr>
          <w:spacing w:val="2"/>
          <w:sz w:val="18"/>
          <w:szCs w:val="18"/>
          <w:lang w:val="es-419"/>
        </w:rPr>
        <w:t xml:space="preserve"> </w:t>
      </w:r>
      <w:r w:rsidR="00797FAC" w:rsidRPr="000D26F8">
        <w:rPr>
          <w:spacing w:val="2"/>
          <w:sz w:val="18"/>
          <w:szCs w:val="18"/>
          <w:lang w:val="es-419"/>
        </w:rPr>
        <w:t>manifestó su apoyo</w:t>
      </w:r>
      <w:r w:rsidR="00794DAD" w:rsidRPr="000D26F8">
        <w:rPr>
          <w:spacing w:val="2"/>
          <w:sz w:val="18"/>
          <w:szCs w:val="18"/>
          <w:lang w:val="es-419"/>
        </w:rPr>
        <w:t xml:space="preserve"> </w:t>
      </w:r>
      <w:r w:rsidR="00797FAC" w:rsidRPr="000D26F8">
        <w:rPr>
          <w:spacing w:val="2"/>
          <w:sz w:val="18"/>
          <w:szCs w:val="18"/>
          <w:lang w:val="es-419"/>
        </w:rPr>
        <w:t xml:space="preserve">a la </w:t>
      </w:r>
      <w:r w:rsidR="00794DAD" w:rsidRPr="000D26F8">
        <w:rPr>
          <w:spacing w:val="2"/>
          <w:sz w:val="18"/>
          <w:szCs w:val="18"/>
          <w:lang w:val="es-419"/>
        </w:rPr>
        <w:t xml:space="preserve">intervención </w:t>
      </w:r>
      <w:r w:rsidR="00797FAC" w:rsidRPr="000D26F8">
        <w:rPr>
          <w:spacing w:val="2"/>
          <w:sz w:val="18"/>
          <w:szCs w:val="18"/>
          <w:lang w:val="es-419"/>
        </w:rPr>
        <w:t xml:space="preserve">de </w:t>
      </w:r>
      <w:r w:rsidR="00794DAD" w:rsidRPr="000D26F8">
        <w:rPr>
          <w:spacing w:val="2"/>
          <w:sz w:val="18"/>
          <w:szCs w:val="18"/>
          <w:lang w:val="es-419"/>
        </w:rPr>
        <w:t>la delegación</w:t>
      </w:r>
      <w:r w:rsidR="00797FAC" w:rsidRPr="000D26F8">
        <w:rPr>
          <w:spacing w:val="2"/>
          <w:sz w:val="18"/>
          <w:szCs w:val="18"/>
          <w:lang w:val="es-419"/>
        </w:rPr>
        <w:t xml:space="preserve"> </w:t>
      </w:r>
      <w:r w:rsidR="00794DAD" w:rsidRPr="000D26F8">
        <w:rPr>
          <w:spacing w:val="2"/>
          <w:sz w:val="18"/>
          <w:szCs w:val="18"/>
          <w:lang w:val="es-419"/>
        </w:rPr>
        <w:t>del Japón y consider</w:t>
      </w:r>
      <w:r w:rsidR="00797FAC" w:rsidRPr="000D26F8">
        <w:rPr>
          <w:spacing w:val="2"/>
          <w:sz w:val="18"/>
          <w:szCs w:val="18"/>
          <w:lang w:val="es-419"/>
        </w:rPr>
        <w:t>ó</w:t>
      </w:r>
      <w:r w:rsidR="00794DAD" w:rsidRPr="000D26F8">
        <w:rPr>
          <w:spacing w:val="2"/>
          <w:sz w:val="18"/>
          <w:szCs w:val="18"/>
          <w:lang w:val="es-419"/>
        </w:rPr>
        <w:t xml:space="preserve"> </w:t>
      </w:r>
      <w:r w:rsidR="00797FAC" w:rsidRPr="000D26F8">
        <w:rPr>
          <w:spacing w:val="2"/>
          <w:sz w:val="18"/>
          <w:szCs w:val="18"/>
          <w:lang w:val="es-419"/>
        </w:rPr>
        <w:t xml:space="preserve">que el “cultivo” </w:t>
      </w:r>
      <w:r w:rsidR="00794DAD" w:rsidRPr="000D26F8">
        <w:rPr>
          <w:spacing w:val="2"/>
          <w:sz w:val="18"/>
          <w:szCs w:val="18"/>
          <w:lang w:val="es-419"/>
        </w:rPr>
        <w:t>no autorizad</w:t>
      </w:r>
      <w:r w:rsidR="00797FAC" w:rsidRPr="000D26F8">
        <w:rPr>
          <w:spacing w:val="2"/>
          <w:sz w:val="18"/>
          <w:szCs w:val="18"/>
          <w:lang w:val="es-419"/>
        </w:rPr>
        <w:t>o</w:t>
      </w:r>
      <w:r w:rsidR="00794DAD" w:rsidRPr="000D26F8">
        <w:rPr>
          <w:spacing w:val="2"/>
          <w:sz w:val="18"/>
          <w:szCs w:val="18"/>
          <w:lang w:val="es-419"/>
        </w:rPr>
        <w:t xml:space="preserve"> </w:t>
      </w:r>
      <w:r w:rsidR="00797FAC" w:rsidRPr="000D26F8">
        <w:rPr>
          <w:spacing w:val="2"/>
          <w:sz w:val="18"/>
          <w:szCs w:val="18"/>
          <w:lang w:val="es-419"/>
        </w:rPr>
        <w:t>de</w:t>
      </w:r>
      <w:r w:rsidR="00794DAD" w:rsidRPr="000D26F8">
        <w:rPr>
          <w:spacing w:val="2"/>
          <w:sz w:val="18"/>
          <w:szCs w:val="18"/>
          <w:lang w:val="es-419"/>
        </w:rPr>
        <w:t xml:space="preserve">be </w:t>
      </w:r>
      <w:r w:rsidR="00797FAC" w:rsidRPr="000D26F8">
        <w:rPr>
          <w:spacing w:val="2"/>
          <w:sz w:val="18"/>
          <w:szCs w:val="18"/>
          <w:lang w:val="es-419"/>
        </w:rPr>
        <w:t xml:space="preserve">entenderse como </w:t>
      </w:r>
      <w:r w:rsidR="00794DAD" w:rsidRPr="000D26F8">
        <w:rPr>
          <w:spacing w:val="2"/>
          <w:sz w:val="18"/>
          <w:szCs w:val="18"/>
          <w:lang w:val="es-419"/>
        </w:rPr>
        <w:t xml:space="preserve">utilización no autorizada en </w:t>
      </w:r>
      <w:r w:rsidR="00797FAC" w:rsidRPr="000D26F8">
        <w:rPr>
          <w:spacing w:val="2"/>
          <w:sz w:val="18"/>
          <w:szCs w:val="18"/>
          <w:lang w:val="es-419"/>
        </w:rPr>
        <w:t xml:space="preserve">el </w:t>
      </w:r>
      <w:r w:rsidR="00794DAD" w:rsidRPr="000D26F8">
        <w:rPr>
          <w:spacing w:val="2"/>
          <w:sz w:val="18"/>
          <w:szCs w:val="18"/>
          <w:lang w:val="es-419"/>
        </w:rPr>
        <w:t>Artículo 14</w:t>
      </w:r>
      <w:r w:rsidR="00797FAC" w:rsidRPr="000D26F8">
        <w:rPr>
          <w:spacing w:val="2"/>
          <w:sz w:val="18"/>
          <w:szCs w:val="18"/>
          <w:lang w:val="es-419"/>
        </w:rPr>
        <w:t>.</w:t>
      </w:r>
      <w:r w:rsidR="00794DAD" w:rsidRPr="000D26F8">
        <w:rPr>
          <w:spacing w:val="2"/>
          <w:sz w:val="18"/>
          <w:szCs w:val="18"/>
          <w:lang w:val="es-419"/>
        </w:rPr>
        <w:t xml:space="preserve">2) y parte </w:t>
      </w:r>
      <w:r w:rsidR="00797FAC" w:rsidRPr="000D26F8">
        <w:rPr>
          <w:spacing w:val="2"/>
          <w:sz w:val="18"/>
          <w:szCs w:val="18"/>
          <w:lang w:val="es-419"/>
        </w:rPr>
        <w:t xml:space="preserve">integrante </w:t>
      </w:r>
      <w:r w:rsidR="00794DAD" w:rsidRPr="000D26F8">
        <w:rPr>
          <w:spacing w:val="2"/>
          <w:sz w:val="18"/>
          <w:szCs w:val="18"/>
          <w:lang w:val="es-419"/>
        </w:rPr>
        <w:t>de</w:t>
      </w:r>
      <w:r w:rsidR="00797FAC" w:rsidRPr="000D26F8">
        <w:rPr>
          <w:spacing w:val="2"/>
          <w:sz w:val="18"/>
          <w:szCs w:val="18"/>
          <w:lang w:val="es-419"/>
        </w:rPr>
        <w:t>l</w:t>
      </w:r>
      <w:r w:rsidR="00794DAD" w:rsidRPr="000D26F8">
        <w:rPr>
          <w:spacing w:val="2"/>
          <w:sz w:val="18"/>
          <w:szCs w:val="18"/>
          <w:lang w:val="es-419"/>
        </w:rPr>
        <w:t xml:space="preserve"> concepto de “producción” </w:t>
      </w:r>
      <w:r w:rsidR="00797FAC" w:rsidRPr="000D26F8">
        <w:rPr>
          <w:spacing w:val="2"/>
          <w:sz w:val="18"/>
          <w:szCs w:val="18"/>
          <w:lang w:val="es-419"/>
        </w:rPr>
        <w:t xml:space="preserve">conforme al </w:t>
      </w:r>
      <w:r w:rsidR="00794DAD" w:rsidRPr="000D26F8">
        <w:rPr>
          <w:spacing w:val="2"/>
          <w:sz w:val="18"/>
          <w:szCs w:val="18"/>
          <w:lang w:val="es-419"/>
        </w:rPr>
        <w:t>Artículo</w:t>
      </w:r>
      <w:r w:rsidR="00797FAC" w:rsidRPr="000D26F8">
        <w:rPr>
          <w:spacing w:val="2"/>
          <w:sz w:val="18"/>
          <w:szCs w:val="18"/>
          <w:lang w:val="es-419"/>
        </w:rPr>
        <w:t> </w:t>
      </w:r>
      <w:r w:rsidR="00794DAD" w:rsidRPr="000D26F8">
        <w:rPr>
          <w:spacing w:val="2"/>
          <w:sz w:val="18"/>
          <w:szCs w:val="18"/>
          <w:lang w:val="es-419"/>
        </w:rPr>
        <w:t>14</w:t>
      </w:r>
      <w:r w:rsidR="00797FAC" w:rsidRPr="000D26F8">
        <w:rPr>
          <w:spacing w:val="2"/>
          <w:sz w:val="18"/>
          <w:szCs w:val="18"/>
          <w:lang w:val="es-419"/>
        </w:rPr>
        <w:t>.</w:t>
      </w:r>
      <w:r w:rsidR="00794DAD" w:rsidRPr="000D26F8">
        <w:rPr>
          <w:spacing w:val="2"/>
          <w:sz w:val="18"/>
          <w:szCs w:val="18"/>
          <w:lang w:val="es-419"/>
        </w:rPr>
        <w:t>1) del Acta de 1991.</w:t>
      </w:r>
    </w:p>
    <w:p w14:paraId="5940C449" w14:textId="77777777" w:rsidR="00CB7CAB" w:rsidRPr="000D26F8" w:rsidRDefault="00CB7CAB" w:rsidP="00CB7CAB">
      <w:pPr>
        <w:ind w:left="567" w:right="459"/>
        <w:rPr>
          <w:sz w:val="18"/>
          <w:szCs w:val="18"/>
          <w:lang w:val="es-419"/>
        </w:rPr>
      </w:pPr>
    </w:p>
    <w:p w14:paraId="24B712BE" w14:textId="22264FEA" w:rsidR="00CB7CAB" w:rsidRPr="000D26F8" w:rsidRDefault="00CB7CAB" w:rsidP="005F3BBE">
      <w:pPr>
        <w:spacing w:after="240"/>
        <w:ind w:left="567" w:right="459"/>
        <w:rPr>
          <w:sz w:val="18"/>
          <w:szCs w:val="18"/>
          <w:lang w:val="es-419"/>
        </w:rPr>
      </w:pPr>
      <w:r w:rsidRPr="000D26F8">
        <w:rPr>
          <w:sz w:val="18"/>
          <w:szCs w:val="18"/>
          <w:lang w:val="es-419"/>
        </w:rPr>
        <w:t>29.</w:t>
      </w:r>
      <w:r w:rsidRPr="000D26F8">
        <w:rPr>
          <w:sz w:val="18"/>
          <w:szCs w:val="18"/>
          <w:lang w:val="es-419"/>
        </w:rPr>
        <w:tab/>
      </w:r>
      <w:r w:rsidR="00797FAC" w:rsidRPr="000D26F8">
        <w:rPr>
          <w:sz w:val="18"/>
          <w:szCs w:val="18"/>
          <w:lang w:val="es-419"/>
        </w:rPr>
        <w:t>El presidente señaló que esa referencia a la Conferencia Diplomática podría resultar útil para justificar la introducción de las nuevas perspectivas presentadas por determinados miembros de la </w:t>
      </w:r>
      <w:r w:rsidR="007B4B6E" w:rsidRPr="000D26F8">
        <w:rPr>
          <w:sz w:val="18"/>
          <w:szCs w:val="18"/>
          <w:lang w:val="es-419"/>
        </w:rPr>
        <w:t>Unión, que no están reflejadas en las actuales notas explicativas</w:t>
      </w:r>
      <w:r w:rsidR="00797FAC" w:rsidRPr="000D26F8">
        <w:rPr>
          <w:sz w:val="18"/>
          <w:szCs w:val="18"/>
          <w:lang w:val="es-419"/>
        </w:rPr>
        <w:t>.</w:t>
      </w:r>
    </w:p>
    <w:p w14:paraId="1E56BDEB" w14:textId="06C89EBE" w:rsidR="00CB7CAB" w:rsidRPr="000D26F8" w:rsidRDefault="00CB7CAB" w:rsidP="00CB7CAB">
      <w:pPr>
        <w:ind w:left="567" w:right="459"/>
        <w:rPr>
          <w:sz w:val="18"/>
          <w:szCs w:val="18"/>
          <w:lang w:val="es-419"/>
        </w:rPr>
      </w:pPr>
      <w:r w:rsidRPr="000D26F8">
        <w:rPr>
          <w:sz w:val="18"/>
          <w:szCs w:val="18"/>
          <w:lang w:val="es-419"/>
        </w:rPr>
        <w:t>30.</w:t>
      </w:r>
      <w:r w:rsidRPr="000D26F8">
        <w:rPr>
          <w:sz w:val="18"/>
          <w:szCs w:val="18"/>
          <w:lang w:val="es-419"/>
        </w:rPr>
        <w:tab/>
      </w:r>
      <w:r w:rsidR="00797FAC" w:rsidRPr="000D26F8">
        <w:rPr>
          <w:sz w:val="18"/>
          <w:szCs w:val="18"/>
          <w:lang w:val="es-419"/>
        </w:rPr>
        <w:t xml:space="preserve">La delegación de los Países Bajos se mostró partidaria de que la labor subsiguiente incluya cuestiones pertinentes en relación con el concepto de “consentimiento” </w:t>
      </w:r>
      <w:r w:rsidR="008001E8" w:rsidRPr="000D26F8">
        <w:rPr>
          <w:sz w:val="18"/>
          <w:szCs w:val="18"/>
          <w:lang w:val="es-419"/>
        </w:rPr>
        <w:t>y</w:t>
      </w:r>
      <w:r w:rsidR="003F3D71" w:rsidRPr="000D26F8">
        <w:rPr>
          <w:sz w:val="18"/>
          <w:szCs w:val="18"/>
          <w:lang w:val="es-419"/>
        </w:rPr>
        <w:t xml:space="preserve"> el</w:t>
      </w:r>
      <w:r w:rsidR="00797FAC" w:rsidRPr="000D26F8">
        <w:rPr>
          <w:sz w:val="18"/>
          <w:szCs w:val="18"/>
          <w:lang w:val="es-419"/>
        </w:rPr>
        <w:t xml:space="preserve"> agotamiento de</w:t>
      </w:r>
      <w:r w:rsidR="003F3D71" w:rsidRPr="000D26F8">
        <w:rPr>
          <w:sz w:val="18"/>
          <w:szCs w:val="18"/>
          <w:lang w:val="es-419"/>
        </w:rPr>
        <w:t>l</w:t>
      </w:r>
      <w:r w:rsidR="00797FAC" w:rsidRPr="000D26F8">
        <w:rPr>
          <w:sz w:val="18"/>
          <w:szCs w:val="18"/>
          <w:lang w:val="es-419"/>
        </w:rPr>
        <w:t xml:space="preserve"> derecho de obtentor en </w:t>
      </w:r>
      <w:r w:rsidR="003F3D71" w:rsidRPr="000D26F8">
        <w:rPr>
          <w:sz w:val="18"/>
          <w:szCs w:val="18"/>
          <w:lang w:val="es-419"/>
        </w:rPr>
        <w:t xml:space="preserve">el </w:t>
      </w:r>
      <w:r w:rsidR="00797FAC" w:rsidRPr="000D26F8">
        <w:rPr>
          <w:sz w:val="18"/>
          <w:szCs w:val="18"/>
          <w:lang w:val="es-419"/>
        </w:rPr>
        <w:t>Artículo</w:t>
      </w:r>
      <w:r w:rsidR="003F3D71" w:rsidRPr="000D26F8">
        <w:rPr>
          <w:sz w:val="18"/>
          <w:szCs w:val="18"/>
          <w:lang w:val="es-419"/>
        </w:rPr>
        <w:t> </w:t>
      </w:r>
      <w:r w:rsidR="00797FAC" w:rsidRPr="000D26F8">
        <w:rPr>
          <w:sz w:val="18"/>
          <w:szCs w:val="18"/>
          <w:lang w:val="es-419"/>
        </w:rPr>
        <w:t>16 del Acta de 1991.</w:t>
      </w:r>
    </w:p>
    <w:p w14:paraId="00C0B15F" w14:textId="77777777" w:rsidR="00CB7CAB" w:rsidRPr="000D26F8" w:rsidRDefault="00CB7CAB" w:rsidP="00CB7CAB">
      <w:pPr>
        <w:ind w:left="567" w:right="459"/>
        <w:rPr>
          <w:sz w:val="18"/>
          <w:szCs w:val="18"/>
          <w:lang w:val="es-419"/>
        </w:rPr>
      </w:pPr>
    </w:p>
    <w:p w14:paraId="7B614A8C" w14:textId="4C6EB9D2" w:rsidR="00CB7CAB" w:rsidRPr="000D26F8" w:rsidRDefault="00CB7CAB" w:rsidP="00CB7CAB">
      <w:pPr>
        <w:ind w:left="567" w:right="459"/>
        <w:rPr>
          <w:sz w:val="18"/>
          <w:szCs w:val="18"/>
          <w:lang w:val="es-419"/>
        </w:rPr>
      </w:pPr>
      <w:r w:rsidRPr="000D26F8">
        <w:rPr>
          <w:sz w:val="18"/>
          <w:szCs w:val="18"/>
          <w:lang w:val="es-419"/>
        </w:rPr>
        <w:t>31.</w:t>
      </w:r>
      <w:r w:rsidRPr="000D26F8">
        <w:rPr>
          <w:sz w:val="18"/>
          <w:szCs w:val="18"/>
          <w:lang w:val="es-419"/>
        </w:rPr>
        <w:tab/>
      </w:r>
      <w:r w:rsidR="003F3D71" w:rsidRPr="000D26F8">
        <w:rPr>
          <w:sz w:val="18"/>
          <w:szCs w:val="18"/>
          <w:lang w:val="es-419"/>
        </w:rPr>
        <w:t>La delegación de la República de Corea expres</w:t>
      </w:r>
      <w:r w:rsidR="00C226F4" w:rsidRPr="000D26F8">
        <w:rPr>
          <w:sz w:val="18"/>
          <w:szCs w:val="18"/>
          <w:lang w:val="es-419"/>
        </w:rPr>
        <w:t>ó</w:t>
      </w:r>
      <w:r w:rsidR="003F3D71" w:rsidRPr="000D26F8">
        <w:rPr>
          <w:sz w:val="18"/>
          <w:szCs w:val="18"/>
          <w:lang w:val="es-419"/>
        </w:rPr>
        <w:t xml:space="preserve"> </w:t>
      </w:r>
      <w:r w:rsidR="00C226F4" w:rsidRPr="000D26F8">
        <w:rPr>
          <w:sz w:val="18"/>
          <w:szCs w:val="18"/>
          <w:lang w:val="es-419"/>
        </w:rPr>
        <w:t xml:space="preserve">su preocupación por la ampliación del </w:t>
      </w:r>
      <w:r w:rsidR="003F3D71" w:rsidRPr="000D26F8">
        <w:rPr>
          <w:sz w:val="18"/>
          <w:szCs w:val="18"/>
          <w:lang w:val="es-419"/>
        </w:rPr>
        <w:t xml:space="preserve">término </w:t>
      </w:r>
      <w:r w:rsidR="005F3BBE" w:rsidRPr="000D26F8">
        <w:rPr>
          <w:sz w:val="18"/>
          <w:szCs w:val="18"/>
          <w:lang w:val="es-419"/>
        </w:rPr>
        <w:t>“</w:t>
      </w:r>
      <w:r w:rsidR="003F3D71" w:rsidRPr="000D26F8">
        <w:rPr>
          <w:sz w:val="18"/>
          <w:szCs w:val="18"/>
          <w:lang w:val="es-419"/>
        </w:rPr>
        <w:t>autorización</w:t>
      </w:r>
      <w:r w:rsidR="005F3BBE" w:rsidRPr="000D26F8">
        <w:rPr>
          <w:sz w:val="18"/>
          <w:szCs w:val="18"/>
          <w:lang w:val="es-419"/>
        </w:rPr>
        <w:t>”</w:t>
      </w:r>
      <w:r w:rsidR="003F3D71" w:rsidRPr="000D26F8">
        <w:rPr>
          <w:sz w:val="18"/>
          <w:szCs w:val="18"/>
          <w:lang w:val="es-419"/>
        </w:rPr>
        <w:t xml:space="preserve"> </w:t>
      </w:r>
      <w:r w:rsidR="00C226F4" w:rsidRPr="000D26F8">
        <w:rPr>
          <w:sz w:val="18"/>
          <w:szCs w:val="18"/>
          <w:lang w:val="es-419"/>
        </w:rPr>
        <w:t xml:space="preserve">fuera </w:t>
      </w:r>
      <w:r w:rsidR="003F3D71" w:rsidRPr="000D26F8">
        <w:rPr>
          <w:sz w:val="18"/>
          <w:szCs w:val="18"/>
          <w:lang w:val="es-419"/>
        </w:rPr>
        <w:t>del territorio.</w:t>
      </w:r>
    </w:p>
    <w:p w14:paraId="5E75D02C" w14:textId="77777777" w:rsidR="00CB7CAB" w:rsidRPr="000D26F8" w:rsidRDefault="00CB7CAB" w:rsidP="00CB7CAB">
      <w:pPr>
        <w:ind w:left="567" w:right="459"/>
        <w:rPr>
          <w:sz w:val="18"/>
          <w:szCs w:val="18"/>
          <w:lang w:val="es-419"/>
        </w:rPr>
      </w:pPr>
    </w:p>
    <w:p w14:paraId="68C02257" w14:textId="5B6CB600" w:rsidR="00CB7CAB" w:rsidRPr="000D26F8" w:rsidRDefault="00CB7CAB" w:rsidP="00CB7CAB">
      <w:pPr>
        <w:ind w:left="567" w:right="459"/>
        <w:rPr>
          <w:sz w:val="18"/>
          <w:szCs w:val="18"/>
          <w:lang w:val="es-419"/>
        </w:rPr>
      </w:pPr>
      <w:r w:rsidRPr="000D26F8">
        <w:rPr>
          <w:sz w:val="18"/>
          <w:szCs w:val="18"/>
          <w:lang w:val="es-419"/>
        </w:rPr>
        <w:t>32.</w:t>
      </w:r>
      <w:r w:rsidRPr="000D26F8">
        <w:rPr>
          <w:sz w:val="18"/>
          <w:szCs w:val="18"/>
          <w:lang w:val="es-419"/>
        </w:rPr>
        <w:tab/>
      </w:r>
      <w:r w:rsidR="00C226F4" w:rsidRPr="000D26F8">
        <w:rPr>
          <w:sz w:val="18"/>
          <w:szCs w:val="18"/>
          <w:lang w:val="es-419"/>
        </w:rPr>
        <w:t>La delegación del Japón confirmó la interpretación de que el derecho debe ejercerse en el territorio en el que rija</w:t>
      </w:r>
      <w:r w:rsidR="008001E8" w:rsidRPr="000D26F8">
        <w:rPr>
          <w:sz w:val="18"/>
          <w:szCs w:val="18"/>
          <w:lang w:val="es-419"/>
        </w:rPr>
        <w:t xml:space="preserve"> tal derecho</w:t>
      </w:r>
      <w:r w:rsidR="00C226F4" w:rsidRPr="000D26F8">
        <w:rPr>
          <w:sz w:val="18"/>
          <w:szCs w:val="18"/>
          <w:lang w:val="es-419"/>
        </w:rPr>
        <w:t>.</w:t>
      </w:r>
    </w:p>
    <w:p w14:paraId="2DF25533" w14:textId="77777777" w:rsidR="00CB7CAB" w:rsidRPr="000D26F8" w:rsidRDefault="00CB7CAB" w:rsidP="00CB7CAB">
      <w:pPr>
        <w:ind w:left="567" w:right="459"/>
        <w:rPr>
          <w:sz w:val="18"/>
          <w:szCs w:val="18"/>
          <w:lang w:val="es-419"/>
        </w:rPr>
      </w:pPr>
    </w:p>
    <w:p w14:paraId="44BB4717" w14:textId="74F0A9B9" w:rsidR="00CB7CAB" w:rsidRPr="000D26F8" w:rsidRDefault="00CB7CAB" w:rsidP="00CB7CAB">
      <w:pPr>
        <w:ind w:left="567" w:right="459"/>
        <w:rPr>
          <w:sz w:val="18"/>
          <w:szCs w:val="18"/>
          <w:lang w:val="es-419"/>
        </w:rPr>
      </w:pPr>
      <w:r w:rsidRPr="000D26F8">
        <w:rPr>
          <w:sz w:val="18"/>
          <w:szCs w:val="18"/>
          <w:lang w:val="es-419"/>
        </w:rPr>
        <w:t>33.</w:t>
      </w:r>
      <w:r w:rsidRPr="000D26F8">
        <w:rPr>
          <w:sz w:val="18"/>
          <w:szCs w:val="18"/>
          <w:lang w:val="es-419"/>
        </w:rPr>
        <w:tab/>
      </w:r>
      <w:r w:rsidR="00C226F4" w:rsidRPr="000D26F8">
        <w:rPr>
          <w:sz w:val="18"/>
          <w:szCs w:val="18"/>
          <w:lang w:val="es-419"/>
        </w:rPr>
        <w:t xml:space="preserve">El WG-HRV solicitó a la Oficina de la Unión que elabore un documento en el que se expliquen las distintas </w:t>
      </w:r>
      <w:r w:rsidR="00FB2A2F" w:rsidRPr="000D26F8">
        <w:rPr>
          <w:sz w:val="18"/>
          <w:szCs w:val="18"/>
          <w:lang w:val="es-419"/>
        </w:rPr>
        <w:t xml:space="preserve">perspectivas acerca del concepto </w:t>
      </w:r>
      <w:r w:rsidR="00C226F4" w:rsidRPr="000D26F8">
        <w:rPr>
          <w:sz w:val="18"/>
          <w:szCs w:val="18"/>
          <w:lang w:val="es-419"/>
        </w:rPr>
        <w:t>de “utilización no autorizada”.</w:t>
      </w:r>
      <w:r w:rsidR="00933348" w:rsidRPr="000D26F8">
        <w:rPr>
          <w:sz w:val="18"/>
          <w:szCs w:val="18"/>
          <w:lang w:val="es-419"/>
        </w:rPr>
        <w:t xml:space="preserve"> </w:t>
      </w:r>
      <w:r w:rsidR="00DF4760" w:rsidRPr="000D26F8">
        <w:rPr>
          <w:sz w:val="18"/>
          <w:szCs w:val="18"/>
          <w:lang w:val="es-419"/>
        </w:rPr>
        <w:t>Asimismo, acordó que los miembros del Grupo de trabajo proporcionarían ejemplos de su interpretación de esas disposiciones y del modo en que esa interpretación afectaría a la capacidad de los obtentores para ejercer sus derechos en el territorio.</w:t>
      </w:r>
      <w:r w:rsidR="00933348" w:rsidRPr="000D26F8">
        <w:rPr>
          <w:sz w:val="18"/>
          <w:szCs w:val="18"/>
          <w:lang w:val="es-419"/>
        </w:rPr>
        <w:t xml:space="preserve"> </w:t>
      </w:r>
    </w:p>
    <w:p w14:paraId="5FA314B8" w14:textId="77777777" w:rsidR="00CB7CAB" w:rsidRPr="000D26F8" w:rsidRDefault="00CB7CAB" w:rsidP="00CB7CAB">
      <w:pPr>
        <w:ind w:left="567" w:right="459"/>
        <w:rPr>
          <w:sz w:val="18"/>
          <w:szCs w:val="18"/>
          <w:lang w:val="es-419"/>
        </w:rPr>
      </w:pPr>
    </w:p>
    <w:p w14:paraId="0E5ECF1B" w14:textId="496C4D88" w:rsidR="00CB7CAB" w:rsidRPr="000D26F8" w:rsidRDefault="00CB7CAB" w:rsidP="00CB7CAB">
      <w:pPr>
        <w:ind w:left="567" w:right="459"/>
        <w:rPr>
          <w:sz w:val="18"/>
          <w:szCs w:val="18"/>
          <w:lang w:val="es-419"/>
        </w:rPr>
      </w:pPr>
      <w:r w:rsidRPr="000D26F8">
        <w:rPr>
          <w:sz w:val="18"/>
          <w:szCs w:val="18"/>
          <w:lang w:val="es-419"/>
        </w:rPr>
        <w:t>34.</w:t>
      </w:r>
      <w:r w:rsidRPr="000D26F8">
        <w:rPr>
          <w:sz w:val="18"/>
          <w:szCs w:val="18"/>
          <w:lang w:val="es-419"/>
        </w:rPr>
        <w:tab/>
      </w:r>
      <w:r w:rsidR="00C226F4" w:rsidRPr="000D26F8">
        <w:rPr>
          <w:sz w:val="18"/>
          <w:szCs w:val="18"/>
          <w:lang w:val="es-419"/>
        </w:rPr>
        <w:t>El WG-HRV acordó posponer los debates en torno a</w:t>
      </w:r>
      <w:r w:rsidR="0065230C" w:rsidRPr="000D26F8">
        <w:rPr>
          <w:sz w:val="18"/>
          <w:szCs w:val="18"/>
          <w:lang w:val="es-419"/>
        </w:rPr>
        <w:t xml:space="preserve"> </w:t>
      </w:r>
      <w:r w:rsidR="00C226F4" w:rsidRPr="000D26F8">
        <w:rPr>
          <w:sz w:val="18"/>
          <w:szCs w:val="18"/>
          <w:lang w:val="es-419"/>
        </w:rPr>
        <w:t>l</w:t>
      </w:r>
      <w:r w:rsidR="0065230C" w:rsidRPr="000D26F8">
        <w:rPr>
          <w:sz w:val="18"/>
          <w:szCs w:val="18"/>
          <w:lang w:val="es-419"/>
        </w:rPr>
        <w:t>a</w:t>
      </w:r>
      <w:r w:rsidR="00C226F4" w:rsidRPr="000D26F8">
        <w:rPr>
          <w:sz w:val="18"/>
          <w:szCs w:val="18"/>
          <w:lang w:val="es-419"/>
        </w:rPr>
        <w:t xml:space="preserve"> </w:t>
      </w:r>
      <w:r w:rsidR="0065230C" w:rsidRPr="000D26F8">
        <w:rPr>
          <w:sz w:val="18"/>
          <w:szCs w:val="18"/>
          <w:lang w:val="es-419"/>
        </w:rPr>
        <w:t xml:space="preserve">sección “d) Poder ejercer razonablemente su derecho” del Anexo </w:t>
      </w:r>
      <w:r w:rsidR="00C226F4" w:rsidRPr="000D26F8">
        <w:rPr>
          <w:sz w:val="18"/>
          <w:szCs w:val="18"/>
          <w:lang w:val="es-419"/>
        </w:rPr>
        <w:t>del documento WG-HRV/1/4</w:t>
      </w:r>
      <w:r w:rsidR="0065230C" w:rsidRPr="000D26F8">
        <w:rPr>
          <w:sz w:val="18"/>
          <w:szCs w:val="18"/>
          <w:lang w:val="es-419"/>
        </w:rPr>
        <w:t xml:space="preserve"> </w:t>
      </w:r>
      <w:r w:rsidR="00C226F4" w:rsidRPr="000D26F8">
        <w:rPr>
          <w:sz w:val="18"/>
          <w:szCs w:val="18"/>
          <w:lang w:val="es-419"/>
        </w:rPr>
        <w:t xml:space="preserve">hasta </w:t>
      </w:r>
      <w:r w:rsidR="0065230C" w:rsidRPr="000D26F8">
        <w:rPr>
          <w:sz w:val="18"/>
          <w:szCs w:val="18"/>
          <w:lang w:val="es-419"/>
        </w:rPr>
        <w:t xml:space="preserve">que haya concluido </w:t>
      </w:r>
      <w:r w:rsidR="00C226F4" w:rsidRPr="000D26F8">
        <w:rPr>
          <w:sz w:val="18"/>
          <w:szCs w:val="18"/>
          <w:lang w:val="es-419"/>
        </w:rPr>
        <w:t xml:space="preserve">la labor </w:t>
      </w:r>
      <w:r w:rsidR="0065230C" w:rsidRPr="000D26F8">
        <w:rPr>
          <w:sz w:val="18"/>
          <w:szCs w:val="18"/>
          <w:lang w:val="es-419"/>
        </w:rPr>
        <w:t xml:space="preserve">acerca de la </w:t>
      </w:r>
      <w:r w:rsidR="00C226F4" w:rsidRPr="000D26F8">
        <w:rPr>
          <w:sz w:val="18"/>
          <w:szCs w:val="18"/>
          <w:lang w:val="es-419"/>
        </w:rPr>
        <w:t>sección</w:t>
      </w:r>
      <w:r w:rsidR="0065230C" w:rsidRPr="000D26F8">
        <w:rPr>
          <w:sz w:val="18"/>
          <w:szCs w:val="18"/>
          <w:lang w:val="es-419"/>
        </w:rPr>
        <w:t> </w:t>
      </w:r>
      <w:r w:rsidR="00C226F4" w:rsidRPr="000D26F8">
        <w:rPr>
          <w:sz w:val="18"/>
          <w:szCs w:val="18"/>
          <w:lang w:val="es-419"/>
        </w:rPr>
        <w:t>c) “</w:t>
      </w:r>
      <w:r w:rsidR="0065230C" w:rsidRPr="000D26F8">
        <w:rPr>
          <w:sz w:val="18"/>
          <w:szCs w:val="18"/>
          <w:lang w:val="es-419"/>
        </w:rPr>
        <w:t xml:space="preserve">Utilización </w:t>
      </w:r>
      <w:r w:rsidR="00C226F4" w:rsidRPr="000D26F8">
        <w:rPr>
          <w:sz w:val="18"/>
          <w:szCs w:val="18"/>
          <w:lang w:val="es-419"/>
        </w:rPr>
        <w:t xml:space="preserve">no autorizada de material de reproducción o de multiplicación”, </w:t>
      </w:r>
      <w:r w:rsidR="0065230C" w:rsidRPr="000D26F8">
        <w:rPr>
          <w:sz w:val="18"/>
          <w:szCs w:val="18"/>
          <w:lang w:val="es-419"/>
        </w:rPr>
        <w:t>según se ha expuesto anteriormente</w:t>
      </w:r>
      <w:r w:rsidR="00C226F4" w:rsidRPr="000D26F8">
        <w:rPr>
          <w:sz w:val="18"/>
          <w:szCs w:val="18"/>
          <w:lang w:val="es-419"/>
        </w:rPr>
        <w:t>.</w:t>
      </w:r>
      <w:r w:rsidR="0065230C" w:rsidRPr="000D26F8">
        <w:rPr>
          <w:sz w:val="18"/>
          <w:szCs w:val="18"/>
          <w:lang w:val="es-419"/>
        </w:rPr>
        <w:t>”</w:t>
      </w:r>
    </w:p>
    <w:p w14:paraId="663C06BD" w14:textId="77777777" w:rsidR="00CB7CAB" w:rsidRPr="000D26F8" w:rsidRDefault="00CB7CAB" w:rsidP="00CB7CAB">
      <w:pPr>
        <w:rPr>
          <w:rFonts w:cs="Arial"/>
          <w:lang w:val="es-419"/>
        </w:rPr>
      </w:pPr>
    </w:p>
    <w:p w14:paraId="27DB68E3" w14:textId="136DA106" w:rsidR="00CB7CAB" w:rsidRPr="000D26F8" w:rsidRDefault="00CB7CAB" w:rsidP="00D24DF6">
      <w:pPr>
        <w:keepNext/>
        <w:keepLines/>
        <w:rPr>
          <w:rFonts w:cs="Arial"/>
          <w:lang w:val="es-419"/>
        </w:rPr>
      </w:pPr>
      <w:r w:rsidRPr="000D26F8">
        <w:rPr>
          <w:rFonts w:cs="Arial"/>
          <w:lang w:val="es-419"/>
        </w:rPr>
        <w:lastRenderedPageBreak/>
        <w:fldChar w:fldCharType="begin"/>
      </w:r>
      <w:r w:rsidRPr="000D26F8">
        <w:rPr>
          <w:rFonts w:cs="Arial"/>
          <w:lang w:val="es-419"/>
        </w:rPr>
        <w:instrText xml:space="preserve"> AUTONUM  </w:instrText>
      </w:r>
      <w:r w:rsidRPr="000D26F8">
        <w:rPr>
          <w:rFonts w:cs="Arial"/>
          <w:lang w:val="es-419"/>
        </w:rPr>
        <w:fldChar w:fldCharType="end"/>
      </w:r>
      <w:r w:rsidRPr="000D26F8">
        <w:rPr>
          <w:rFonts w:cs="Arial"/>
          <w:lang w:val="es-419"/>
        </w:rPr>
        <w:tab/>
      </w:r>
      <w:r w:rsidR="00A004D6" w:rsidRPr="000D26F8">
        <w:rPr>
          <w:rFonts w:cs="Arial"/>
          <w:lang w:val="es-419"/>
        </w:rPr>
        <w:t xml:space="preserve">Con arreglo a lo que antecede, </w:t>
      </w:r>
      <w:r w:rsidR="00D243D1" w:rsidRPr="000D26F8">
        <w:rPr>
          <w:rFonts w:cs="Arial"/>
          <w:lang w:val="es-419"/>
        </w:rPr>
        <w:t xml:space="preserve">se sugiere al </w:t>
      </w:r>
      <w:r w:rsidR="00A004D6" w:rsidRPr="000D26F8">
        <w:rPr>
          <w:rFonts w:cs="Arial"/>
          <w:lang w:val="es-419"/>
        </w:rPr>
        <w:t xml:space="preserve">WG-HRV </w:t>
      </w:r>
      <w:r w:rsidR="00D243D1" w:rsidRPr="000D26F8">
        <w:rPr>
          <w:rFonts w:cs="Arial"/>
          <w:lang w:val="es-419"/>
        </w:rPr>
        <w:t xml:space="preserve">que </w:t>
      </w:r>
      <w:r w:rsidR="00A004D6" w:rsidRPr="000D26F8">
        <w:rPr>
          <w:rFonts w:cs="Arial"/>
          <w:lang w:val="es-419"/>
        </w:rPr>
        <w:t>consider</w:t>
      </w:r>
      <w:r w:rsidR="00D243D1" w:rsidRPr="000D26F8">
        <w:rPr>
          <w:rFonts w:cs="Arial"/>
          <w:lang w:val="es-419"/>
        </w:rPr>
        <w:t>e</w:t>
      </w:r>
      <w:r w:rsidR="00A004D6" w:rsidRPr="000D26F8">
        <w:rPr>
          <w:rFonts w:cs="Arial"/>
          <w:lang w:val="es-419"/>
        </w:rPr>
        <w:t xml:space="preserve"> </w:t>
      </w:r>
      <w:r w:rsidR="00D243D1" w:rsidRPr="000D26F8">
        <w:rPr>
          <w:rFonts w:cs="Arial"/>
          <w:lang w:val="es-419"/>
        </w:rPr>
        <w:t xml:space="preserve">el </w:t>
      </w:r>
      <w:r w:rsidR="00A004D6" w:rsidRPr="000D26F8">
        <w:rPr>
          <w:rFonts w:cs="Arial"/>
          <w:lang w:val="es-419"/>
        </w:rPr>
        <w:t>siguiente enfoque</w:t>
      </w:r>
      <w:r w:rsidR="00D243D1" w:rsidRPr="000D26F8">
        <w:rPr>
          <w:rFonts w:cs="Arial"/>
          <w:lang w:val="es-419"/>
        </w:rPr>
        <w:t xml:space="preserve"> </w:t>
      </w:r>
      <w:r w:rsidR="008001E8" w:rsidRPr="000D26F8">
        <w:rPr>
          <w:rFonts w:cs="Arial"/>
          <w:lang w:val="es-419"/>
        </w:rPr>
        <w:t>a fin de</w:t>
      </w:r>
      <w:r w:rsidR="00D243D1" w:rsidRPr="000D26F8">
        <w:rPr>
          <w:rFonts w:cs="Arial"/>
          <w:lang w:val="es-419"/>
        </w:rPr>
        <w:t xml:space="preserve"> abarcar las </w:t>
      </w:r>
      <w:r w:rsidR="00A004D6" w:rsidRPr="000D26F8">
        <w:rPr>
          <w:rFonts w:cs="Arial"/>
          <w:lang w:val="es-419"/>
        </w:rPr>
        <w:t>distint</w:t>
      </w:r>
      <w:r w:rsidR="00D243D1" w:rsidRPr="000D26F8">
        <w:rPr>
          <w:rFonts w:cs="Arial"/>
          <w:lang w:val="es-419"/>
        </w:rPr>
        <w:t>as</w:t>
      </w:r>
      <w:r w:rsidR="00A004D6" w:rsidRPr="000D26F8">
        <w:rPr>
          <w:rFonts w:cs="Arial"/>
          <w:lang w:val="es-419"/>
        </w:rPr>
        <w:t xml:space="preserve"> perspectiv</w:t>
      </w:r>
      <w:r w:rsidR="00D243D1" w:rsidRPr="000D26F8">
        <w:rPr>
          <w:rFonts w:cs="Arial"/>
          <w:lang w:val="es-419"/>
        </w:rPr>
        <w:t>a</w:t>
      </w:r>
      <w:r w:rsidR="00A004D6" w:rsidRPr="000D26F8">
        <w:rPr>
          <w:rFonts w:cs="Arial"/>
          <w:lang w:val="es-419"/>
        </w:rPr>
        <w:t xml:space="preserve">s </w:t>
      </w:r>
      <w:r w:rsidR="00D243D1" w:rsidRPr="000D26F8">
        <w:rPr>
          <w:rFonts w:cs="Arial"/>
          <w:lang w:val="es-419"/>
        </w:rPr>
        <w:t xml:space="preserve">e </w:t>
      </w:r>
      <w:r w:rsidR="00A004D6" w:rsidRPr="000D26F8">
        <w:rPr>
          <w:rFonts w:cs="Arial"/>
          <w:lang w:val="es-419"/>
        </w:rPr>
        <w:t>interpretaciones de</w:t>
      </w:r>
      <w:r w:rsidR="00D243D1" w:rsidRPr="000D26F8">
        <w:rPr>
          <w:rFonts w:cs="Arial"/>
          <w:lang w:val="es-419"/>
        </w:rPr>
        <w:t>l</w:t>
      </w:r>
      <w:r w:rsidR="00A004D6" w:rsidRPr="000D26F8">
        <w:rPr>
          <w:rFonts w:cs="Arial"/>
          <w:lang w:val="es-419"/>
        </w:rPr>
        <w:t xml:space="preserve"> concepto </w:t>
      </w:r>
      <w:r w:rsidR="00D243D1" w:rsidRPr="000D26F8">
        <w:rPr>
          <w:rFonts w:cs="Arial"/>
          <w:lang w:val="es-419"/>
        </w:rPr>
        <w:t xml:space="preserve">de </w:t>
      </w:r>
      <w:r w:rsidR="00A004D6" w:rsidRPr="000D26F8">
        <w:rPr>
          <w:rFonts w:cs="Arial"/>
          <w:lang w:val="es-419"/>
        </w:rPr>
        <w:t xml:space="preserve">“utilización no autorizada” </w:t>
      </w:r>
      <w:r w:rsidR="00D243D1" w:rsidRPr="000D26F8">
        <w:rPr>
          <w:rFonts w:cs="Arial"/>
          <w:lang w:val="es-419"/>
        </w:rPr>
        <w:t>conforme al</w:t>
      </w:r>
      <w:r w:rsidR="00A004D6" w:rsidRPr="000D26F8">
        <w:rPr>
          <w:rFonts w:cs="Arial"/>
          <w:lang w:val="es-419"/>
        </w:rPr>
        <w:t xml:space="preserve"> Artículo</w:t>
      </w:r>
      <w:r w:rsidR="00D243D1" w:rsidRPr="000D26F8">
        <w:rPr>
          <w:rFonts w:cs="Arial"/>
          <w:lang w:val="es-419"/>
        </w:rPr>
        <w:t> </w:t>
      </w:r>
      <w:r w:rsidR="00A004D6" w:rsidRPr="000D26F8">
        <w:rPr>
          <w:rFonts w:cs="Arial"/>
          <w:lang w:val="es-419"/>
        </w:rPr>
        <w:t>14</w:t>
      </w:r>
      <w:r w:rsidR="00D243D1" w:rsidRPr="000D26F8">
        <w:rPr>
          <w:rFonts w:cs="Arial"/>
          <w:lang w:val="es-419"/>
        </w:rPr>
        <w:t>.</w:t>
      </w:r>
      <w:r w:rsidR="00A004D6" w:rsidRPr="000D26F8">
        <w:rPr>
          <w:rFonts w:cs="Arial"/>
          <w:lang w:val="es-419"/>
        </w:rPr>
        <w:t>2) del Acta de 1991:</w:t>
      </w:r>
    </w:p>
    <w:p w14:paraId="27539958" w14:textId="77777777" w:rsidR="00CB7CAB" w:rsidRPr="000D26F8" w:rsidRDefault="00CB7CAB" w:rsidP="00D24DF6">
      <w:pPr>
        <w:keepNext/>
        <w:keepLines/>
        <w:rPr>
          <w:rFonts w:cs="Arial"/>
          <w:lang w:val="es-419"/>
        </w:rPr>
      </w:pPr>
    </w:p>
    <w:p w14:paraId="4D2E8661" w14:textId="57F6F60F" w:rsidR="00CB7CAB" w:rsidRPr="000D26F8" w:rsidRDefault="00CB7CAB" w:rsidP="00727351">
      <w:pPr>
        <w:keepNext/>
        <w:ind w:left="539"/>
        <w:rPr>
          <w:rFonts w:cs="Arial"/>
          <w:u w:val="single"/>
          <w:lang w:val="es-419"/>
        </w:rPr>
      </w:pPr>
      <w:r w:rsidRPr="000D26F8">
        <w:rPr>
          <w:rFonts w:cs="Arial"/>
          <w:lang w:val="es-419"/>
        </w:rPr>
        <w:t xml:space="preserve">c) </w:t>
      </w:r>
      <w:r w:rsidRPr="000D26F8">
        <w:rPr>
          <w:rFonts w:cs="Arial"/>
          <w:lang w:val="es-419"/>
        </w:rPr>
        <w:tab/>
      </w:r>
      <w:r w:rsidR="00D243D1" w:rsidRPr="000D26F8">
        <w:rPr>
          <w:rFonts w:cs="Arial"/>
          <w:u w:val="single"/>
          <w:lang w:val="es-419"/>
        </w:rPr>
        <w:t>Utilización no autorizada de material de reproducción o de multiplicación</w:t>
      </w:r>
    </w:p>
    <w:p w14:paraId="0CE62709" w14:textId="77777777" w:rsidR="00CB7CAB" w:rsidRPr="000D26F8" w:rsidRDefault="00CB7CAB" w:rsidP="00727351">
      <w:pPr>
        <w:keepNext/>
        <w:ind w:left="539"/>
        <w:rPr>
          <w:rFonts w:cs="Arial"/>
          <w:lang w:val="es-419"/>
        </w:rPr>
      </w:pPr>
    </w:p>
    <w:p w14:paraId="7474380B" w14:textId="1F837758" w:rsidR="00CB7CAB" w:rsidRPr="000D26F8" w:rsidRDefault="00D243D1" w:rsidP="00727351">
      <w:pPr>
        <w:keepNext/>
        <w:ind w:left="539"/>
        <w:rPr>
          <w:rFonts w:cs="Arial"/>
          <w:i/>
          <w:strike/>
          <w:highlight w:val="lightGray"/>
          <w:lang w:val="es-419"/>
        </w:rPr>
      </w:pPr>
      <w:r w:rsidRPr="000D26F8">
        <w:rPr>
          <w:rFonts w:cs="Arial"/>
          <w:i/>
          <w:strike/>
          <w:highlight w:val="lightGray"/>
          <w:lang w:val="es-419"/>
        </w:rPr>
        <w:t>Actos respecto del material de reproducción o multiplicación</w:t>
      </w:r>
    </w:p>
    <w:p w14:paraId="2996EB8B" w14:textId="77777777" w:rsidR="00CB7CAB" w:rsidRPr="000D26F8" w:rsidRDefault="00CB7CAB" w:rsidP="00CB7CAB">
      <w:pPr>
        <w:rPr>
          <w:rFonts w:cs="Arial"/>
          <w:highlight w:val="yellow"/>
          <w:lang w:val="es-419"/>
        </w:rPr>
      </w:pPr>
    </w:p>
    <w:p w14:paraId="1DD6FC8E" w14:textId="4B5E0A1D" w:rsidR="00CB7CAB" w:rsidRPr="000D26F8" w:rsidRDefault="00CB7CAB" w:rsidP="00CB7CAB">
      <w:pPr>
        <w:ind w:left="540"/>
        <w:rPr>
          <w:rFonts w:cs="Arial"/>
          <w:strike/>
          <w:lang w:val="es-419"/>
        </w:rPr>
      </w:pPr>
      <w:r w:rsidRPr="000D26F8">
        <w:rPr>
          <w:rFonts w:cs="Arial"/>
          <w:strike/>
          <w:highlight w:val="lightGray"/>
          <w:lang w:val="es-419"/>
        </w:rPr>
        <w:t xml:space="preserve">4. </w:t>
      </w:r>
      <w:r w:rsidRPr="000D26F8">
        <w:rPr>
          <w:rFonts w:cs="Arial"/>
          <w:strike/>
          <w:highlight w:val="lightGray"/>
          <w:lang w:val="es-419"/>
        </w:rPr>
        <w:tab/>
      </w:r>
      <w:r w:rsidR="00D243D1" w:rsidRPr="000D26F8">
        <w:rPr>
          <w:rFonts w:cs="Arial"/>
          <w:strike/>
          <w:highlight w:val="lightGray"/>
          <w:lang w:val="es-419"/>
        </w:rPr>
        <w:t>“Utilización no autorizada” se refiere a los actos respecto de material de reproducción o de multiplicación para los que se requiere la autorización del titular del derecho de obtentor en el territorio en cuestión (Artículo 14.1) del Acta de 1991), pero donde dicha autorización no se obtuvo.</w:t>
      </w:r>
      <w:r w:rsidRPr="000D26F8">
        <w:rPr>
          <w:rFonts w:cs="Arial"/>
          <w:strike/>
          <w:highlight w:val="lightGray"/>
          <w:lang w:val="es-419"/>
        </w:rPr>
        <w:t xml:space="preserve"> </w:t>
      </w:r>
      <w:r w:rsidR="00D243D1" w:rsidRPr="000D26F8">
        <w:rPr>
          <w:rFonts w:cs="Arial"/>
          <w:strike/>
          <w:highlight w:val="lightGray"/>
          <w:lang w:val="es-419"/>
        </w:rPr>
        <w:t>En consecuencia, los actos no autorizados solo pueden ocurrir en el territorio del miembro de la Unión en el que se ha concedido y está en vigor un derecho de obtentor.</w:t>
      </w:r>
    </w:p>
    <w:p w14:paraId="5BA38AE2" w14:textId="77777777" w:rsidR="00CB7CAB" w:rsidRPr="000D26F8" w:rsidRDefault="00CB7CAB" w:rsidP="00CB7CAB">
      <w:pPr>
        <w:ind w:left="540"/>
        <w:rPr>
          <w:rFonts w:cs="Arial"/>
          <w:lang w:val="es-419"/>
        </w:rPr>
      </w:pPr>
    </w:p>
    <w:p w14:paraId="2C13DBE4" w14:textId="06406FB9" w:rsidR="00CB7CAB" w:rsidRPr="000D26F8" w:rsidRDefault="00CB7CAB" w:rsidP="00CB7CAB">
      <w:pPr>
        <w:keepNext/>
        <w:keepLines/>
        <w:ind w:left="540"/>
        <w:rPr>
          <w:highlight w:val="lightGray"/>
          <w:u w:val="single"/>
          <w:lang w:val="es-419"/>
        </w:rPr>
      </w:pPr>
      <w:r w:rsidRPr="000D26F8">
        <w:rPr>
          <w:highlight w:val="lightGray"/>
          <w:u w:val="single"/>
          <w:lang w:val="es-419"/>
        </w:rPr>
        <w:t xml:space="preserve">4. </w:t>
      </w:r>
      <w:r w:rsidRPr="000D26F8">
        <w:rPr>
          <w:highlight w:val="lightGray"/>
          <w:u w:val="single"/>
          <w:lang w:val="es-419"/>
        </w:rPr>
        <w:tab/>
      </w:r>
      <w:r w:rsidR="00DA3441" w:rsidRPr="000D26F8">
        <w:rPr>
          <w:highlight w:val="lightGray"/>
          <w:u w:val="single"/>
          <w:lang w:val="es-419"/>
        </w:rPr>
        <w:t>En el Convenio de la UPOV no se establece una definición de “</w:t>
      </w:r>
      <w:r w:rsidR="00DA3441" w:rsidRPr="000D26F8">
        <w:rPr>
          <w:rFonts w:cs="Arial"/>
          <w:highlight w:val="lightGray"/>
          <w:u w:val="single"/>
          <w:lang w:val="es-419"/>
        </w:rPr>
        <w:t>utilización no autorizada</w:t>
      </w:r>
      <w:r w:rsidR="00DA3441" w:rsidRPr="000D26F8">
        <w:rPr>
          <w:highlight w:val="lightGray"/>
          <w:u w:val="single"/>
          <w:lang w:val="es-419"/>
        </w:rPr>
        <w:t>” conforme al Artículo 14.2) del Acta de 1991 de dicho Convenio.</w:t>
      </w:r>
    </w:p>
    <w:p w14:paraId="10E780DD" w14:textId="77777777" w:rsidR="00CB7CAB" w:rsidRPr="000D26F8" w:rsidRDefault="00CB7CAB" w:rsidP="00CB7CAB">
      <w:pPr>
        <w:keepNext/>
        <w:keepLines/>
        <w:ind w:left="540"/>
        <w:rPr>
          <w:highlight w:val="lightGray"/>
          <w:u w:val="single"/>
          <w:lang w:val="es-419"/>
        </w:rPr>
      </w:pPr>
    </w:p>
    <w:p w14:paraId="1C475942" w14:textId="2FFD74A9" w:rsidR="00CB7CAB" w:rsidRPr="000D26F8" w:rsidRDefault="00CB7CAB" w:rsidP="00CB7CAB">
      <w:pPr>
        <w:keepNext/>
        <w:keepLines/>
        <w:ind w:left="540"/>
        <w:rPr>
          <w:u w:val="single"/>
          <w:lang w:val="es-419"/>
        </w:rPr>
      </w:pPr>
      <w:r w:rsidRPr="000D26F8">
        <w:rPr>
          <w:highlight w:val="lightGray"/>
          <w:u w:val="single"/>
          <w:lang w:val="es-419"/>
        </w:rPr>
        <w:t>5.</w:t>
      </w:r>
      <w:r w:rsidRPr="000D26F8">
        <w:rPr>
          <w:highlight w:val="lightGray"/>
          <w:u w:val="single"/>
          <w:lang w:val="es-419"/>
        </w:rPr>
        <w:tab/>
      </w:r>
      <w:r w:rsidR="00DA3441" w:rsidRPr="000D26F8">
        <w:rPr>
          <w:highlight w:val="lightGray"/>
          <w:u w:val="single"/>
          <w:lang w:val="es-419"/>
        </w:rPr>
        <w:t>A continuación se ofrece una relación no exhaustiva de factores que los miembros de la Unión pueden tener en cuenta en relación con el concepto de “</w:t>
      </w:r>
      <w:r w:rsidR="00DA3441" w:rsidRPr="000D26F8">
        <w:rPr>
          <w:rFonts w:cs="Arial"/>
          <w:highlight w:val="lightGray"/>
          <w:u w:val="single"/>
          <w:lang w:val="es-419"/>
        </w:rPr>
        <w:t>utilización no autorizada</w:t>
      </w:r>
      <w:r w:rsidR="00DA3441" w:rsidRPr="000D26F8">
        <w:rPr>
          <w:highlight w:val="lightGray"/>
          <w:u w:val="single"/>
          <w:lang w:val="es-419"/>
        </w:rPr>
        <w:t>”.</w:t>
      </w:r>
    </w:p>
    <w:p w14:paraId="7837EA93" w14:textId="77777777" w:rsidR="00CB7CAB" w:rsidRPr="000D26F8" w:rsidRDefault="00CB7CAB" w:rsidP="00CB7CAB">
      <w:pPr>
        <w:keepNext/>
        <w:keepLines/>
        <w:ind w:left="540"/>
        <w:rPr>
          <w:rFonts w:cs="Arial"/>
          <w:lang w:val="es-419"/>
        </w:rPr>
      </w:pPr>
    </w:p>
    <w:p w14:paraId="142F130C" w14:textId="2148800F" w:rsidR="00CB7CAB" w:rsidRPr="000D26F8" w:rsidRDefault="00CB7CAB" w:rsidP="00CB7CAB">
      <w:pPr>
        <w:keepLines/>
        <w:ind w:left="540" w:firstLine="567"/>
        <w:rPr>
          <w:rFonts w:cs="Arial"/>
          <w:highlight w:val="lightGray"/>
          <w:u w:val="single"/>
          <w:lang w:val="es-419"/>
        </w:rPr>
      </w:pPr>
      <w:r w:rsidRPr="000D26F8">
        <w:rPr>
          <w:rFonts w:cs="Arial"/>
          <w:highlight w:val="lightGray"/>
          <w:u w:val="single"/>
          <w:lang w:val="es-419"/>
        </w:rPr>
        <w:t>a)</w:t>
      </w:r>
      <w:r w:rsidRPr="000D26F8">
        <w:rPr>
          <w:highlight w:val="lightGray"/>
          <w:u w:val="single"/>
          <w:lang w:val="es-419"/>
        </w:rPr>
        <w:t xml:space="preserve"> </w:t>
      </w:r>
      <w:r w:rsidRPr="000D26F8">
        <w:rPr>
          <w:rFonts w:cs="Arial"/>
          <w:highlight w:val="lightGray"/>
          <w:u w:val="single"/>
          <w:lang w:val="es-419"/>
        </w:rPr>
        <w:tab/>
      </w:r>
      <w:r w:rsidR="00DA3441" w:rsidRPr="000D26F8">
        <w:rPr>
          <w:rFonts w:cs="Arial"/>
          <w:highlight w:val="lightGray"/>
          <w:u w:val="single"/>
          <w:lang w:val="es-419"/>
        </w:rPr>
        <w:t xml:space="preserve">el obtentor no </w:t>
      </w:r>
      <w:r w:rsidR="00D14CC0" w:rsidRPr="000D26F8">
        <w:rPr>
          <w:rFonts w:cs="Arial"/>
          <w:highlight w:val="lightGray"/>
          <w:u w:val="single"/>
          <w:lang w:val="es-419"/>
        </w:rPr>
        <w:t xml:space="preserve">ha </w:t>
      </w:r>
      <w:r w:rsidR="00DA3441" w:rsidRPr="000D26F8">
        <w:rPr>
          <w:rFonts w:cs="Arial"/>
          <w:highlight w:val="lightGray"/>
          <w:u w:val="single"/>
          <w:lang w:val="es-419"/>
        </w:rPr>
        <w:t>aut</w:t>
      </w:r>
      <w:r w:rsidR="00D14CC0" w:rsidRPr="000D26F8">
        <w:rPr>
          <w:rFonts w:cs="Arial"/>
          <w:highlight w:val="lightGray"/>
          <w:u w:val="single"/>
          <w:lang w:val="es-419"/>
        </w:rPr>
        <w:t>orizado los</w:t>
      </w:r>
      <w:r w:rsidR="00DA3441" w:rsidRPr="000D26F8">
        <w:rPr>
          <w:rFonts w:cs="Arial"/>
          <w:highlight w:val="lightGray"/>
          <w:u w:val="single"/>
          <w:lang w:val="es-419"/>
        </w:rPr>
        <w:t xml:space="preserve"> actos mencionados en el Artículo 14.1)a) del Acta de 1991 del Convenio de la </w:t>
      </w:r>
      <w:r w:rsidR="00D14CC0" w:rsidRPr="000D26F8">
        <w:rPr>
          <w:rFonts w:cs="Arial"/>
          <w:highlight w:val="lightGray"/>
          <w:u w:val="single"/>
          <w:lang w:val="es-419"/>
        </w:rPr>
        <w:t>UPOV, realizados</w:t>
      </w:r>
      <w:r w:rsidR="00DA3441" w:rsidRPr="000D26F8">
        <w:rPr>
          <w:rFonts w:cs="Arial"/>
          <w:highlight w:val="lightGray"/>
          <w:u w:val="single"/>
          <w:lang w:val="es-419"/>
        </w:rPr>
        <w:t xml:space="preserve"> respecto de material de reproducción o de multiplicación de la variedad protegida.</w:t>
      </w:r>
      <w:r w:rsidR="00933348" w:rsidRPr="000D26F8">
        <w:rPr>
          <w:highlight w:val="lightGray"/>
          <w:u w:val="single"/>
          <w:lang w:val="es-419"/>
        </w:rPr>
        <w:t xml:space="preserve"> </w:t>
      </w:r>
      <w:r w:rsidR="00D14CC0" w:rsidRPr="000D26F8">
        <w:rPr>
          <w:highlight w:val="lightGray"/>
          <w:u w:val="single"/>
          <w:lang w:val="es-419"/>
        </w:rPr>
        <w:t>En este contexto, la “utilización no autorizada” solo puede tener lugar en el territorio del miembro de la Unión en el que se ha concedido y está en vigor un derecho de obtentor;</w:t>
      </w:r>
    </w:p>
    <w:p w14:paraId="6CFA80C2" w14:textId="77777777" w:rsidR="00CB7CAB" w:rsidRPr="000D26F8" w:rsidRDefault="00CB7CAB" w:rsidP="00CB7CAB">
      <w:pPr>
        <w:ind w:left="540"/>
        <w:rPr>
          <w:rFonts w:cs="Arial"/>
          <w:highlight w:val="lightGray"/>
          <w:u w:val="single"/>
          <w:lang w:val="es-419"/>
        </w:rPr>
      </w:pPr>
    </w:p>
    <w:p w14:paraId="612A84AA" w14:textId="60E156EF" w:rsidR="00CB7CAB" w:rsidRPr="000D26F8" w:rsidRDefault="00D35CC1" w:rsidP="00CB7CAB">
      <w:pPr>
        <w:ind w:left="540" w:firstLine="567"/>
        <w:rPr>
          <w:rFonts w:cs="Arial"/>
          <w:highlight w:val="lightGray"/>
          <w:u w:val="single"/>
          <w:lang w:val="es-419"/>
        </w:rPr>
      </w:pPr>
      <w:r w:rsidRPr="000D26F8">
        <w:rPr>
          <w:rFonts w:cs="Arial"/>
          <w:highlight w:val="lightGray"/>
          <w:u w:val="single"/>
          <w:lang w:val="es-419"/>
        </w:rPr>
        <w:t>b)</w:t>
      </w:r>
      <w:r w:rsidRPr="000D26F8">
        <w:rPr>
          <w:rFonts w:cs="Arial"/>
          <w:highlight w:val="lightGray"/>
          <w:u w:val="single"/>
          <w:lang w:val="es-419"/>
        </w:rPr>
        <w:tab/>
      </w:r>
      <w:r w:rsidR="00D14CC0" w:rsidRPr="000D26F8">
        <w:rPr>
          <w:rFonts w:cs="Arial"/>
          <w:highlight w:val="lightGray"/>
          <w:u w:val="single"/>
          <w:lang w:val="es-419"/>
        </w:rPr>
        <w:t>el obtentor no ha autorizado ni consentido</w:t>
      </w:r>
      <w:r w:rsidR="00D14CC0" w:rsidRPr="000D26F8">
        <w:rPr>
          <w:rStyle w:val="FootnoteReference"/>
          <w:rFonts w:cs="Arial"/>
          <w:b/>
          <w:highlight w:val="lightGray"/>
          <w:u w:val="single"/>
          <w:lang w:val="es-419"/>
        </w:rPr>
        <w:footnoteReference w:id="2"/>
      </w:r>
      <w:r w:rsidR="00D14CC0" w:rsidRPr="000D26F8">
        <w:rPr>
          <w:rFonts w:cs="Arial"/>
          <w:highlight w:val="lightGray"/>
          <w:u w:val="single"/>
          <w:lang w:val="es-419"/>
        </w:rPr>
        <w:t xml:space="preserve"> </w:t>
      </w:r>
      <w:r w:rsidR="00E025F8" w:rsidRPr="000D26F8">
        <w:rPr>
          <w:rFonts w:cs="Arial"/>
          <w:highlight w:val="lightGray"/>
          <w:u w:val="single"/>
          <w:lang w:val="es-419"/>
        </w:rPr>
        <w:t xml:space="preserve">la utilización </w:t>
      </w:r>
      <w:r w:rsidR="00D14CC0" w:rsidRPr="000D26F8">
        <w:rPr>
          <w:rFonts w:cs="Arial"/>
          <w:highlight w:val="lightGray"/>
          <w:u w:val="single"/>
          <w:lang w:val="es-419"/>
        </w:rPr>
        <w:t>de material de reproducción o de multiplicación de la variedad protegida con el fin de obtener producto de la cosecha</w:t>
      </w:r>
      <w:r w:rsidR="00E025F8" w:rsidRPr="000D26F8">
        <w:rPr>
          <w:rFonts w:cs="Arial"/>
          <w:highlight w:val="lightGray"/>
          <w:u w:val="single"/>
          <w:lang w:val="es-419"/>
        </w:rPr>
        <w:t>;</w:t>
      </w:r>
      <w:r w:rsidR="00CB7CAB" w:rsidRPr="000D26F8">
        <w:rPr>
          <w:rFonts w:cs="Arial"/>
          <w:highlight w:val="lightGray"/>
          <w:u w:val="single"/>
          <w:lang w:val="es-419"/>
        </w:rPr>
        <w:t xml:space="preserve"> </w:t>
      </w:r>
    </w:p>
    <w:p w14:paraId="37306711" w14:textId="77777777" w:rsidR="00CB7CAB" w:rsidRPr="000D26F8" w:rsidRDefault="00CB7CAB" w:rsidP="00CB7CAB">
      <w:pPr>
        <w:ind w:left="540" w:firstLine="567"/>
        <w:rPr>
          <w:rFonts w:cs="Arial"/>
          <w:highlight w:val="lightGray"/>
          <w:u w:val="single"/>
          <w:lang w:val="es-419"/>
        </w:rPr>
      </w:pPr>
    </w:p>
    <w:p w14:paraId="56EED3F0" w14:textId="384E5709" w:rsidR="00CB7CAB" w:rsidRPr="000D26F8" w:rsidRDefault="00D35CC1" w:rsidP="00CB7CAB">
      <w:pPr>
        <w:ind w:left="540" w:firstLine="567"/>
        <w:rPr>
          <w:rFonts w:cs="Arial"/>
          <w:highlight w:val="lightGray"/>
          <w:u w:val="single"/>
          <w:lang w:val="es-419"/>
        </w:rPr>
      </w:pPr>
      <w:r w:rsidRPr="000D26F8">
        <w:rPr>
          <w:rFonts w:cs="Arial"/>
          <w:highlight w:val="lightGray"/>
          <w:u w:val="single"/>
          <w:lang w:val="es-419"/>
        </w:rPr>
        <w:t>c)</w:t>
      </w:r>
      <w:r w:rsidRPr="000D26F8">
        <w:rPr>
          <w:rFonts w:cs="Arial"/>
          <w:highlight w:val="lightGray"/>
          <w:u w:val="single"/>
          <w:lang w:val="es-419"/>
        </w:rPr>
        <w:tab/>
      </w:r>
      <w:r w:rsidR="00E025F8" w:rsidRPr="000D26F8">
        <w:rPr>
          <w:rFonts w:cs="Arial"/>
          <w:highlight w:val="lightGray"/>
          <w:u w:val="single"/>
          <w:lang w:val="es-419"/>
        </w:rPr>
        <w:t>el obtentor no ha autorizado ni consentido</w:t>
      </w:r>
      <w:r w:rsidR="00E025F8" w:rsidRPr="000D26F8">
        <w:rPr>
          <w:rFonts w:cs="Arial"/>
          <w:b/>
          <w:highlight w:val="lightGray"/>
          <w:u w:val="single"/>
          <w:vertAlign w:val="superscript"/>
          <w:lang w:val="es-419"/>
        </w:rPr>
        <w:t>1</w:t>
      </w:r>
      <w:r w:rsidR="00E025F8" w:rsidRPr="000D26F8">
        <w:rPr>
          <w:rFonts w:cs="Arial"/>
          <w:highlight w:val="lightGray"/>
          <w:u w:val="single"/>
          <w:lang w:val="es-419"/>
        </w:rPr>
        <w:t xml:space="preserve"> la plantación o el cultivo continuado de material de reproducción o de multiplicación de la variedad protegida con el fin de obtener producto de la cosecha;</w:t>
      </w:r>
    </w:p>
    <w:p w14:paraId="23457315" w14:textId="77777777" w:rsidR="00CB7CAB" w:rsidRPr="000D26F8" w:rsidRDefault="00CB7CAB" w:rsidP="00CB7CAB">
      <w:pPr>
        <w:ind w:left="540"/>
        <w:rPr>
          <w:rFonts w:cs="Arial"/>
          <w:highlight w:val="lightGray"/>
          <w:u w:val="single"/>
          <w:lang w:val="es-419"/>
        </w:rPr>
      </w:pPr>
    </w:p>
    <w:p w14:paraId="3A5CBEC0" w14:textId="03329D2C" w:rsidR="00CB7CAB" w:rsidRPr="000D26F8" w:rsidRDefault="00CB7CAB" w:rsidP="00CB7CAB">
      <w:pPr>
        <w:ind w:left="540" w:firstLine="567"/>
        <w:rPr>
          <w:rFonts w:cs="Arial"/>
          <w:u w:val="single"/>
          <w:lang w:val="es-419"/>
        </w:rPr>
      </w:pPr>
      <w:r w:rsidRPr="000D26F8">
        <w:rPr>
          <w:rFonts w:cs="Arial"/>
          <w:highlight w:val="lightGray"/>
          <w:u w:val="single"/>
          <w:lang w:val="es-419"/>
        </w:rPr>
        <w:t xml:space="preserve">d) </w:t>
      </w:r>
      <w:r w:rsidRPr="000D26F8">
        <w:rPr>
          <w:rFonts w:cs="Arial"/>
          <w:highlight w:val="lightGray"/>
          <w:u w:val="single"/>
          <w:lang w:val="es-419"/>
        </w:rPr>
        <w:tab/>
      </w:r>
      <w:r w:rsidR="00E025F8" w:rsidRPr="000D26F8">
        <w:rPr>
          <w:rFonts w:cs="Arial"/>
          <w:highlight w:val="lightGray"/>
          <w:u w:val="single"/>
          <w:lang w:val="es-419"/>
        </w:rPr>
        <w:t>la obtención, venta o comercialización del producto de la cosecha no cumplía las condiciones o limitaciones establecidas por el obtentor como condición para la autorización o el consentimiento</w:t>
      </w:r>
      <w:r w:rsidR="00E025F8" w:rsidRPr="000D26F8">
        <w:rPr>
          <w:rFonts w:cs="Arial"/>
          <w:b/>
          <w:highlight w:val="lightGray"/>
          <w:u w:val="single"/>
          <w:vertAlign w:val="superscript"/>
          <w:lang w:val="es-419"/>
        </w:rPr>
        <w:t>1</w:t>
      </w:r>
      <w:r w:rsidR="00E025F8" w:rsidRPr="000D26F8">
        <w:rPr>
          <w:rFonts w:cs="Arial"/>
          <w:highlight w:val="lightGray"/>
          <w:u w:val="single"/>
          <w:lang w:val="es-419"/>
        </w:rPr>
        <w:t>.</w:t>
      </w:r>
    </w:p>
    <w:p w14:paraId="130EA897" w14:textId="77777777" w:rsidR="00CB7CAB" w:rsidRPr="000D26F8" w:rsidRDefault="00CB7CAB" w:rsidP="00CB7CAB">
      <w:pPr>
        <w:ind w:left="540"/>
        <w:rPr>
          <w:lang w:val="es-419"/>
        </w:rPr>
      </w:pPr>
    </w:p>
    <w:p w14:paraId="34665E5B" w14:textId="7952F8ED" w:rsidR="00CB7CAB" w:rsidRPr="000D26F8" w:rsidRDefault="00595634" w:rsidP="00CB7CAB">
      <w:pPr>
        <w:ind w:left="540" w:firstLine="540"/>
        <w:rPr>
          <w:lang w:val="es-419"/>
        </w:rPr>
      </w:pPr>
      <w:r w:rsidRPr="000D26F8">
        <w:rPr>
          <w:highlight w:val="lightGray"/>
          <w:u w:val="single"/>
          <w:lang w:val="es-419"/>
        </w:rPr>
        <w:t>Los factores mencionados deben ser considerados en el contexto del miembro de la Unión en cuestión y de las circunstancias específicas.</w:t>
      </w:r>
    </w:p>
    <w:p w14:paraId="563E970F" w14:textId="77777777" w:rsidR="00CB7CAB" w:rsidRPr="000D26F8" w:rsidRDefault="00CB7CAB" w:rsidP="00CB7CAB">
      <w:pPr>
        <w:ind w:left="540"/>
        <w:rPr>
          <w:lang w:val="es-419"/>
        </w:rPr>
      </w:pPr>
    </w:p>
    <w:p w14:paraId="3A35F7A9" w14:textId="77777777" w:rsidR="00CB7CAB" w:rsidRPr="000D26F8" w:rsidRDefault="00CB7CAB" w:rsidP="00CB7CAB">
      <w:pPr>
        <w:ind w:left="540"/>
        <w:rPr>
          <w:lang w:val="es-419"/>
        </w:rPr>
      </w:pPr>
    </w:p>
    <w:p w14:paraId="436AE6BC" w14:textId="16161C81" w:rsidR="00CB7CAB" w:rsidRPr="000D26F8" w:rsidRDefault="00595634" w:rsidP="00CB7CAB">
      <w:pPr>
        <w:pStyle w:val="Heading2"/>
        <w:rPr>
          <w:lang w:val="es-419"/>
        </w:rPr>
      </w:pPr>
      <w:bookmarkStart w:id="8" w:name="_Toc128509176"/>
      <w:r w:rsidRPr="000D26F8">
        <w:rPr>
          <w:lang w:val="es-419"/>
        </w:rPr>
        <w:t>Invitación a aportar ejemplos, según se acordó en la segunda reunión del WG-HRV</w:t>
      </w:r>
      <w:bookmarkEnd w:id="8"/>
    </w:p>
    <w:p w14:paraId="77229A0D" w14:textId="77777777" w:rsidR="00CB7CAB" w:rsidRPr="000D26F8" w:rsidRDefault="00CB7CAB" w:rsidP="00CB7CAB">
      <w:pPr>
        <w:rPr>
          <w:lang w:val="es-419"/>
        </w:rPr>
      </w:pPr>
    </w:p>
    <w:p w14:paraId="057CEA2D" w14:textId="0DF31CA4" w:rsidR="00CB7CAB" w:rsidRPr="000D26F8" w:rsidRDefault="00CB7CAB" w:rsidP="00CB7CAB">
      <w:pPr>
        <w:rPr>
          <w:lang w:val="es-419"/>
        </w:rPr>
      </w:pPr>
      <w:r w:rsidRPr="000D26F8">
        <w:rPr>
          <w:spacing w:val="-4"/>
          <w:lang w:val="es-419"/>
        </w:rPr>
        <w:fldChar w:fldCharType="begin"/>
      </w:r>
      <w:r w:rsidRPr="000D26F8">
        <w:rPr>
          <w:spacing w:val="-4"/>
          <w:lang w:val="es-419"/>
        </w:rPr>
        <w:instrText xml:space="preserve"> AUTONUM  </w:instrText>
      </w:r>
      <w:r w:rsidRPr="000D26F8">
        <w:rPr>
          <w:spacing w:val="-4"/>
          <w:lang w:val="es-419"/>
        </w:rPr>
        <w:fldChar w:fldCharType="end"/>
      </w:r>
      <w:r w:rsidRPr="000D26F8">
        <w:rPr>
          <w:spacing w:val="-4"/>
          <w:lang w:val="es-419"/>
        </w:rPr>
        <w:tab/>
      </w:r>
      <w:r w:rsidR="00595634" w:rsidRPr="000D26F8">
        <w:rPr>
          <w:lang w:val="es-419"/>
        </w:rPr>
        <w:t xml:space="preserve">Con arreglo a los debates mantenidos en su segunda reunión (véase el apartado anterior “Otras </w:t>
      </w:r>
      <w:r w:rsidR="00BF077C" w:rsidRPr="000D26F8">
        <w:rPr>
          <w:lang w:val="es-419"/>
        </w:rPr>
        <w:t xml:space="preserve">perspectivas acerca de la </w:t>
      </w:r>
      <w:r w:rsidR="00595634" w:rsidRPr="000D26F8">
        <w:rPr>
          <w:lang w:val="es-419"/>
        </w:rPr>
        <w:t xml:space="preserve">“utilización no autorizada” que ha de examinar el WG-HRV”), </w:t>
      </w:r>
      <w:r w:rsidR="008258CD" w:rsidRPr="000D26F8">
        <w:rPr>
          <w:lang w:val="es-419"/>
        </w:rPr>
        <w:t xml:space="preserve">el WG-HRV </w:t>
      </w:r>
      <w:r w:rsidR="00595634" w:rsidRPr="000D26F8">
        <w:rPr>
          <w:lang w:val="es-419"/>
        </w:rPr>
        <w:t xml:space="preserve">acordó que sus miembros </w:t>
      </w:r>
      <w:r w:rsidR="00971867" w:rsidRPr="000D26F8">
        <w:rPr>
          <w:lang w:val="es-419"/>
        </w:rPr>
        <w:t xml:space="preserve">proporcionarían </w:t>
      </w:r>
      <w:r w:rsidR="00595634" w:rsidRPr="000D26F8">
        <w:rPr>
          <w:lang w:val="es-419"/>
        </w:rPr>
        <w:t xml:space="preserve">ejemplos de su interpretación de esas disposiciones y del modo en que esa interpretación </w:t>
      </w:r>
      <w:r w:rsidR="00971867" w:rsidRPr="000D26F8">
        <w:rPr>
          <w:lang w:val="es-419"/>
        </w:rPr>
        <w:t>afectaría a</w:t>
      </w:r>
      <w:r w:rsidR="00940305" w:rsidRPr="000D26F8">
        <w:rPr>
          <w:lang w:val="es-419"/>
        </w:rPr>
        <w:t xml:space="preserve"> la capacidad </w:t>
      </w:r>
      <w:r w:rsidR="00595634" w:rsidRPr="000D26F8">
        <w:rPr>
          <w:lang w:val="es-419"/>
        </w:rPr>
        <w:t>de los obtentores para ejercer sus derechos en el territorio (véase el párrafo 33 del documento WG</w:t>
      </w:r>
      <w:r w:rsidR="00595634" w:rsidRPr="000D26F8">
        <w:rPr>
          <w:lang w:val="es-419"/>
        </w:rPr>
        <w:noBreakHyphen/>
        <w:t>HRV/2/6 “</w:t>
      </w:r>
      <w:r w:rsidR="00595634" w:rsidRPr="000D26F8">
        <w:rPr>
          <w:i/>
          <w:iCs/>
          <w:lang w:val="es-419"/>
        </w:rPr>
        <w:t>Draft Report</w:t>
      </w:r>
      <w:r w:rsidR="0068039E">
        <w:rPr>
          <w:i/>
          <w:iCs/>
          <w:lang w:val="es-419"/>
        </w:rPr>
        <w:t xml:space="preserve">” </w:t>
      </w:r>
      <w:r w:rsidR="0068039E" w:rsidRPr="0068039E">
        <w:rPr>
          <w:iCs/>
          <w:lang w:val="es-419"/>
        </w:rPr>
        <w:t>(Proyecto de informe)</w:t>
      </w:r>
      <w:r w:rsidR="00595634" w:rsidRPr="0068039E">
        <w:rPr>
          <w:lang w:val="es-419"/>
        </w:rPr>
        <w:t>).</w:t>
      </w:r>
      <w:r w:rsidR="00933348" w:rsidRPr="000D26F8">
        <w:rPr>
          <w:lang w:val="es-419"/>
        </w:rPr>
        <w:t xml:space="preserve"> </w:t>
      </w:r>
      <w:r w:rsidR="008258CD" w:rsidRPr="000D26F8">
        <w:rPr>
          <w:lang w:val="es-419"/>
        </w:rPr>
        <w:t xml:space="preserve">La circular </w:t>
      </w:r>
      <w:r w:rsidR="00D729F3" w:rsidRPr="000D26F8">
        <w:rPr>
          <w:lang w:val="es-419"/>
        </w:rPr>
        <w:t xml:space="preserve">en la </w:t>
      </w:r>
      <w:r w:rsidR="00CA1C01" w:rsidRPr="000D26F8">
        <w:rPr>
          <w:lang w:val="es-419"/>
        </w:rPr>
        <w:t xml:space="preserve">que </w:t>
      </w:r>
      <w:r w:rsidR="00D729F3" w:rsidRPr="000D26F8">
        <w:rPr>
          <w:lang w:val="es-419"/>
        </w:rPr>
        <w:t xml:space="preserve">se </w:t>
      </w:r>
      <w:r w:rsidR="00CA1C01" w:rsidRPr="000D26F8">
        <w:rPr>
          <w:lang w:val="es-419"/>
        </w:rPr>
        <w:t>anuncia la publicación d</w:t>
      </w:r>
      <w:r w:rsidR="008258CD" w:rsidRPr="000D26F8">
        <w:rPr>
          <w:lang w:val="es-419"/>
        </w:rPr>
        <w:t xml:space="preserve">el presente documento también incluirá una invitación a aportar </w:t>
      </w:r>
      <w:r w:rsidR="00940305" w:rsidRPr="000D26F8">
        <w:rPr>
          <w:lang w:val="es-419"/>
        </w:rPr>
        <w:t>tales</w:t>
      </w:r>
      <w:r w:rsidR="008258CD" w:rsidRPr="000D26F8">
        <w:rPr>
          <w:lang w:val="es-419"/>
        </w:rPr>
        <w:t xml:space="preserve"> ejemplos.</w:t>
      </w:r>
    </w:p>
    <w:p w14:paraId="243060CB" w14:textId="77777777" w:rsidR="00CB7CAB" w:rsidRPr="000D26F8" w:rsidRDefault="00CB7CAB" w:rsidP="00CB7CAB">
      <w:pPr>
        <w:jc w:val="left"/>
        <w:rPr>
          <w:lang w:val="es-419"/>
        </w:rPr>
      </w:pPr>
    </w:p>
    <w:p w14:paraId="6EFE182C" w14:textId="2940FCF0" w:rsidR="00CB7CAB" w:rsidRPr="000D26F8" w:rsidRDefault="00CB7CAB" w:rsidP="00CB7CAB">
      <w:pPr>
        <w:jc w:val="left"/>
        <w:rPr>
          <w:lang w:val="es-419"/>
        </w:rPr>
      </w:pPr>
      <w:r w:rsidRPr="000D26F8">
        <w:rPr>
          <w:spacing w:val="-4"/>
          <w:lang w:val="es-419"/>
        </w:rPr>
        <w:fldChar w:fldCharType="begin"/>
      </w:r>
      <w:r w:rsidRPr="000D26F8">
        <w:rPr>
          <w:spacing w:val="-4"/>
          <w:lang w:val="es-419"/>
        </w:rPr>
        <w:instrText xml:space="preserve"> AUTONUM  </w:instrText>
      </w:r>
      <w:r w:rsidRPr="000D26F8">
        <w:rPr>
          <w:spacing w:val="-4"/>
          <w:lang w:val="es-419"/>
        </w:rPr>
        <w:fldChar w:fldCharType="end"/>
      </w:r>
      <w:r w:rsidRPr="000D26F8">
        <w:rPr>
          <w:spacing w:val="-4"/>
          <w:lang w:val="es-419"/>
        </w:rPr>
        <w:tab/>
      </w:r>
      <w:r w:rsidR="008258CD" w:rsidRPr="000D26F8">
        <w:rPr>
          <w:spacing w:val="-4"/>
          <w:lang w:val="es-419"/>
        </w:rPr>
        <w:t xml:space="preserve">Los ejemplos </w:t>
      </w:r>
      <w:r w:rsidR="0045424C" w:rsidRPr="000D26F8">
        <w:rPr>
          <w:spacing w:val="-4"/>
          <w:lang w:val="es-419"/>
        </w:rPr>
        <w:t>que se proporcionen en respuesta a la circular, según se explica en el párrafo 9</w:t>
      </w:r>
      <w:r w:rsidR="005F3BBE" w:rsidRPr="000D26F8">
        <w:rPr>
          <w:spacing w:val="-4"/>
          <w:lang w:val="es-419"/>
        </w:rPr>
        <w:t xml:space="preserve"> del presente documento</w:t>
      </w:r>
      <w:r w:rsidR="0045424C" w:rsidRPr="000D26F8">
        <w:rPr>
          <w:spacing w:val="-4"/>
          <w:lang w:val="es-419"/>
        </w:rPr>
        <w:t>,</w:t>
      </w:r>
      <w:r w:rsidR="008258CD" w:rsidRPr="000D26F8">
        <w:rPr>
          <w:spacing w:val="-4"/>
          <w:lang w:val="es-419"/>
        </w:rPr>
        <w:t xml:space="preserve"> </w:t>
      </w:r>
      <w:r w:rsidR="008B1451" w:rsidRPr="000D26F8">
        <w:rPr>
          <w:spacing w:val="-4"/>
          <w:lang w:val="es-419"/>
        </w:rPr>
        <w:t>s</w:t>
      </w:r>
      <w:r w:rsidR="008258CD" w:rsidRPr="000D26F8">
        <w:rPr>
          <w:spacing w:val="-4"/>
          <w:lang w:val="es-419"/>
        </w:rPr>
        <w:t>e recogerán en una adición a</w:t>
      </w:r>
      <w:r w:rsidR="00D336BF" w:rsidRPr="000D26F8">
        <w:rPr>
          <w:spacing w:val="-4"/>
          <w:lang w:val="es-419"/>
        </w:rPr>
        <w:t xml:space="preserve"> este</w:t>
      </w:r>
      <w:r w:rsidR="008258CD" w:rsidRPr="000D26F8">
        <w:rPr>
          <w:spacing w:val="-4"/>
          <w:lang w:val="es-419"/>
        </w:rPr>
        <w:t>.</w:t>
      </w:r>
    </w:p>
    <w:p w14:paraId="24F23451" w14:textId="2A28B6FC" w:rsidR="00C66DF6" w:rsidRDefault="00C66DF6">
      <w:pPr>
        <w:jc w:val="left"/>
        <w:rPr>
          <w:lang w:val="es-419"/>
        </w:rPr>
      </w:pPr>
      <w:r>
        <w:rPr>
          <w:lang w:val="es-419"/>
        </w:rPr>
        <w:br w:type="page"/>
      </w:r>
    </w:p>
    <w:p w14:paraId="7ACDC34A" w14:textId="140AFA3F" w:rsidR="00CB7CAB" w:rsidRPr="000D26F8" w:rsidRDefault="00CB7CAB" w:rsidP="00C66DF6">
      <w:pPr>
        <w:pStyle w:val="DecisionParagraphs"/>
        <w:rPr>
          <w:lang w:val="es-419"/>
        </w:rPr>
      </w:pPr>
      <w:r w:rsidRPr="000D26F8">
        <w:rPr>
          <w:lang w:val="es-419"/>
        </w:rPr>
        <w:lastRenderedPageBreak/>
        <w:fldChar w:fldCharType="begin"/>
      </w:r>
      <w:r w:rsidRPr="000D26F8">
        <w:rPr>
          <w:lang w:val="es-419"/>
        </w:rPr>
        <w:instrText xml:space="preserve"> AUTONUM  </w:instrText>
      </w:r>
      <w:r w:rsidRPr="000D26F8">
        <w:rPr>
          <w:lang w:val="es-419"/>
        </w:rPr>
        <w:fldChar w:fldCharType="end"/>
      </w:r>
      <w:r w:rsidRPr="000D26F8">
        <w:rPr>
          <w:lang w:val="es-419"/>
        </w:rPr>
        <w:tab/>
      </w:r>
      <w:r w:rsidR="008258CD" w:rsidRPr="000D26F8">
        <w:rPr>
          <w:lang w:val="es-419"/>
        </w:rPr>
        <w:t>Se invita al WG-HRV a:</w:t>
      </w:r>
    </w:p>
    <w:p w14:paraId="42C9F31B" w14:textId="77777777" w:rsidR="00CB7CAB" w:rsidRPr="000D26F8" w:rsidRDefault="00CB7CAB" w:rsidP="00C66DF6">
      <w:pPr>
        <w:pStyle w:val="DecisionParagraphs"/>
        <w:rPr>
          <w:lang w:val="es-419"/>
        </w:rPr>
      </w:pPr>
    </w:p>
    <w:p w14:paraId="58802B26" w14:textId="70C58C61" w:rsidR="00CB7CAB" w:rsidRPr="000D26F8" w:rsidRDefault="00CB7CAB" w:rsidP="00C66DF6">
      <w:pPr>
        <w:pStyle w:val="DecisionParagraphs"/>
        <w:rPr>
          <w:lang w:val="es-419"/>
        </w:rPr>
      </w:pPr>
      <w:r w:rsidRPr="000D26F8">
        <w:rPr>
          <w:lang w:val="es-419"/>
        </w:rPr>
        <w:tab/>
      </w:r>
      <w:r w:rsidR="00D35CC1" w:rsidRPr="000D26F8">
        <w:rPr>
          <w:lang w:val="es-419"/>
        </w:rPr>
        <w:t>a)</w:t>
      </w:r>
      <w:r w:rsidR="00D35CC1" w:rsidRPr="000D26F8">
        <w:rPr>
          <w:lang w:val="es-419"/>
        </w:rPr>
        <w:tab/>
      </w:r>
      <w:r w:rsidR="008258CD" w:rsidRPr="000D26F8">
        <w:rPr>
          <w:lang w:val="es-419"/>
        </w:rPr>
        <w:t xml:space="preserve">tomar nota de que los ejemplos </w:t>
      </w:r>
      <w:r w:rsidR="0045424C" w:rsidRPr="000D26F8">
        <w:rPr>
          <w:lang w:val="es-419"/>
        </w:rPr>
        <w:t>que se proporcionen en respuesta a la circular, según se explica en el párrafo </w:t>
      </w:r>
      <w:r w:rsidR="00FB2A2F" w:rsidRPr="000D26F8">
        <w:rPr>
          <w:lang w:val="es-419"/>
        </w:rPr>
        <w:t xml:space="preserve">9 del presente documento, se recogerán </w:t>
      </w:r>
      <w:r w:rsidR="008258CD" w:rsidRPr="000D26F8">
        <w:rPr>
          <w:lang w:val="es-419"/>
        </w:rPr>
        <w:t xml:space="preserve">en una adición a </w:t>
      </w:r>
      <w:r w:rsidR="008B1451" w:rsidRPr="000D26F8">
        <w:rPr>
          <w:lang w:val="es-419"/>
        </w:rPr>
        <w:t>este</w:t>
      </w:r>
      <w:r w:rsidR="008258CD" w:rsidRPr="000D26F8">
        <w:rPr>
          <w:lang w:val="es-419"/>
        </w:rPr>
        <w:t xml:space="preserve"> y, asimismo, se publicarán en el sitio web de la UPOV:</w:t>
      </w:r>
      <w:r w:rsidR="00933348" w:rsidRPr="000D26F8">
        <w:rPr>
          <w:lang w:val="es-419"/>
        </w:rPr>
        <w:t xml:space="preserve"> </w:t>
      </w:r>
      <w:hyperlink r:id="rId9" w:history="1">
        <w:r w:rsidR="008258CD" w:rsidRPr="000D26F8">
          <w:rPr>
            <w:rStyle w:val="Hyperlink"/>
            <w:rFonts w:cs="Arial"/>
            <w:lang w:val="es-419"/>
          </w:rPr>
          <w:t>https://www.upov.int/meetings/es/details.jsp?meeting_id=74773</w:t>
        </w:r>
      </w:hyperlink>
      <w:r w:rsidRPr="000D26F8">
        <w:rPr>
          <w:lang w:val="es-419"/>
        </w:rPr>
        <w:t xml:space="preserve">; </w:t>
      </w:r>
      <w:r w:rsidR="008258CD" w:rsidRPr="000D26F8">
        <w:rPr>
          <w:lang w:val="es-419"/>
        </w:rPr>
        <w:t>y</w:t>
      </w:r>
    </w:p>
    <w:p w14:paraId="48043090" w14:textId="77777777" w:rsidR="00CB7CAB" w:rsidRPr="000D26F8" w:rsidRDefault="00CB7CAB" w:rsidP="00C66DF6">
      <w:pPr>
        <w:pStyle w:val="DecisionParagraphs"/>
        <w:rPr>
          <w:lang w:val="es-419"/>
        </w:rPr>
      </w:pPr>
    </w:p>
    <w:p w14:paraId="63C7E365" w14:textId="4FB63B43" w:rsidR="00CB7CAB" w:rsidRPr="000D26F8" w:rsidRDefault="00CB7CAB" w:rsidP="00C66DF6">
      <w:pPr>
        <w:pStyle w:val="DecisionParagraphs"/>
        <w:rPr>
          <w:lang w:val="es-419"/>
        </w:rPr>
      </w:pPr>
      <w:r w:rsidRPr="000D26F8">
        <w:rPr>
          <w:lang w:val="es-419"/>
        </w:rPr>
        <w:tab/>
      </w:r>
      <w:r w:rsidR="00D35CC1" w:rsidRPr="000D26F8">
        <w:rPr>
          <w:lang w:val="es-419"/>
        </w:rPr>
        <w:t>b)</w:t>
      </w:r>
      <w:r w:rsidR="00D35CC1" w:rsidRPr="000D26F8">
        <w:rPr>
          <w:lang w:val="es-419"/>
        </w:rPr>
        <w:tab/>
      </w:r>
      <w:r w:rsidR="008258CD" w:rsidRPr="000D26F8">
        <w:rPr>
          <w:lang w:val="es-419"/>
        </w:rPr>
        <w:t>examinar la propuesta que figura en el párrafo 8 del presente documento.</w:t>
      </w:r>
    </w:p>
    <w:p w14:paraId="066B86CA" w14:textId="77777777" w:rsidR="00CB7CAB" w:rsidRPr="000D26F8" w:rsidRDefault="00CB7CAB" w:rsidP="00CB7CAB">
      <w:pPr>
        <w:rPr>
          <w:snapToGrid w:val="0"/>
          <w:lang w:val="es-419"/>
        </w:rPr>
      </w:pPr>
    </w:p>
    <w:p w14:paraId="661EB8D7" w14:textId="77777777" w:rsidR="00CB7CAB" w:rsidRPr="000D26F8" w:rsidRDefault="00CB7CAB" w:rsidP="00CB7CAB">
      <w:pPr>
        <w:rPr>
          <w:snapToGrid w:val="0"/>
          <w:lang w:val="es-419"/>
        </w:rPr>
      </w:pPr>
    </w:p>
    <w:p w14:paraId="43A5F88E" w14:textId="77777777" w:rsidR="00050E16" w:rsidRPr="000D26F8" w:rsidRDefault="00050E16" w:rsidP="00050E16">
      <w:pPr>
        <w:rPr>
          <w:lang w:val="es-419"/>
        </w:rPr>
      </w:pPr>
    </w:p>
    <w:p w14:paraId="513D415E" w14:textId="77777777" w:rsidR="00050E16" w:rsidRPr="000D26F8" w:rsidRDefault="00050E16" w:rsidP="00CB7CAB">
      <w:pPr>
        <w:jc w:val="right"/>
        <w:rPr>
          <w:lang w:val="es-419"/>
        </w:rPr>
      </w:pPr>
      <w:r w:rsidRPr="000D26F8">
        <w:rPr>
          <w:lang w:val="es-419"/>
        </w:rPr>
        <w:t>[</w:t>
      </w:r>
      <w:r w:rsidR="000638A9" w:rsidRPr="000D26F8">
        <w:rPr>
          <w:lang w:val="es-419"/>
        </w:rPr>
        <w:t>Fin del documento</w:t>
      </w:r>
      <w:r w:rsidRPr="000D26F8">
        <w:rPr>
          <w:lang w:val="es-419"/>
        </w:rPr>
        <w:t>]</w:t>
      </w:r>
    </w:p>
    <w:sectPr w:rsidR="00050E16" w:rsidRPr="000D26F8"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F2E782" w14:textId="77777777" w:rsidR="00451A9B" w:rsidRDefault="00451A9B" w:rsidP="006655D3">
      <w:r>
        <w:separator/>
      </w:r>
    </w:p>
    <w:p w14:paraId="0EA8593F" w14:textId="77777777" w:rsidR="00451A9B" w:rsidRDefault="00451A9B" w:rsidP="006655D3"/>
    <w:p w14:paraId="6B747277" w14:textId="77777777" w:rsidR="00451A9B" w:rsidRDefault="00451A9B" w:rsidP="006655D3"/>
  </w:endnote>
  <w:endnote w:type="continuationSeparator" w:id="0">
    <w:p w14:paraId="6DF6721A" w14:textId="77777777" w:rsidR="00451A9B" w:rsidRDefault="00451A9B" w:rsidP="006655D3">
      <w:r>
        <w:separator/>
      </w:r>
    </w:p>
    <w:p w14:paraId="22842F95" w14:textId="77777777" w:rsidR="00451A9B" w:rsidRPr="00294751" w:rsidRDefault="00451A9B">
      <w:pPr>
        <w:pStyle w:val="Footer"/>
        <w:spacing w:after="60"/>
        <w:rPr>
          <w:sz w:val="18"/>
          <w:lang w:val="fr-FR"/>
        </w:rPr>
      </w:pPr>
      <w:r w:rsidRPr="00294751">
        <w:rPr>
          <w:sz w:val="18"/>
          <w:lang w:val="fr-FR"/>
        </w:rPr>
        <w:t>[Suite de la note de la page précédente]</w:t>
      </w:r>
    </w:p>
    <w:p w14:paraId="44221C67" w14:textId="77777777" w:rsidR="00451A9B" w:rsidRPr="00294751" w:rsidRDefault="00451A9B" w:rsidP="006655D3">
      <w:pPr>
        <w:rPr>
          <w:lang w:val="fr-FR"/>
        </w:rPr>
      </w:pPr>
    </w:p>
    <w:p w14:paraId="6BA87AE0" w14:textId="77777777" w:rsidR="00451A9B" w:rsidRPr="00294751" w:rsidRDefault="00451A9B" w:rsidP="006655D3">
      <w:pPr>
        <w:rPr>
          <w:lang w:val="fr-FR"/>
        </w:rPr>
      </w:pPr>
    </w:p>
  </w:endnote>
  <w:endnote w:type="continuationNotice" w:id="1">
    <w:p w14:paraId="50895D91" w14:textId="77777777" w:rsidR="00451A9B" w:rsidRPr="00294751" w:rsidRDefault="00451A9B" w:rsidP="006655D3">
      <w:pPr>
        <w:rPr>
          <w:lang w:val="fr-FR"/>
        </w:rPr>
      </w:pPr>
      <w:r w:rsidRPr="00294751">
        <w:rPr>
          <w:lang w:val="fr-FR"/>
        </w:rPr>
        <w:t>[Suite de la note page suivante]</w:t>
      </w:r>
    </w:p>
    <w:p w14:paraId="40D774F8" w14:textId="77777777" w:rsidR="00451A9B" w:rsidRPr="00294751" w:rsidRDefault="00451A9B" w:rsidP="006655D3">
      <w:pPr>
        <w:rPr>
          <w:lang w:val="fr-FR"/>
        </w:rPr>
      </w:pPr>
    </w:p>
    <w:p w14:paraId="24AF1A26" w14:textId="77777777" w:rsidR="00451A9B" w:rsidRPr="00294751" w:rsidRDefault="00451A9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CB83A" w14:textId="77777777" w:rsidR="00451A9B" w:rsidRDefault="00451A9B" w:rsidP="006655D3">
      <w:r>
        <w:separator/>
      </w:r>
    </w:p>
  </w:footnote>
  <w:footnote w:type="continuationSeparator" w:id="0">
    <w:p w14:paraId="38A99EBD" w14:textId="77777777" w:rsidR="00451A9B" w:rsidRDefault="00451A9B" w:rsidP="006655D3">
      <w:r>
        <w:separator/>
      </w:r>
    </w:p>
  </w:footnote>
  <w:footnote w:type="continuationNotice" w:id="1">
    <w:p w14:paraId="2F4A8058" w14:textId="77777777" w:rsidR="00451A9B" w:rsidRPr="00AB530F" w:rsidRDefault="00451A9B" w:rsidP="00AB530F">
      <w:pPr>
        <w:pStyle w:val="Footer"/>
      </w:pPr>
    </w:p>
  </w:footnote>
  <w:footnote w:id="2">
    <w:p w14:paraId="7D15802F" w14:textId="55857C60" w:rsidR="00D14CC0" w:rsidRDefault="00D14CC0" w:rsidP="00D14CC0">
      <w:pPr>
        <w:pStyle w:val="FootnoteText"/>
      </w:pPr>
      <w:r>
        <w:rPr>
          <w:rStyle w:val="FootnoteReference"/>
        </w:rPr>
        <w:footnoteRef/>
      </w:r>
      <w:r>
        <w:t xml:space="preserve"> </w:t>
      </w:r>
      <w:r>
        <w:tab/>
      </w:r>
      <w:r w:rsidRPr="005F3BBE">
        <w:t>Durante la labor preparatoria de la Conferencia Diplomática de 1991, se sustituyó el término “consentimiento” por “autorización” en el alcance del derecho:</w:t>
      </w:r>
      <w:r>
        <w:t xml:space="preserve"> “74. </w:t>
      </w:r>
      <w:r w:rsidR="005F3BBE" w:rsidRPr="005F3BBE">
        <w:t>Varias delegaciones observaron que en el texto propuesto por la Oficina de la Unión se emplea ahora el término “autorización”, mientras que el proyecto se basaba en el concepto de “consentimiento”.</w:t>
      </w:r>
      <w:r w:rsidRPr="00D90EE3">
        <w:t xml:space="preserve"> </w:t>
      </w:r>
      <w:r w:rsidRPr="005F3BBE">
        <w:t>Se señaló que no se había pretendido modificar la esencia del texto […]“ (véase el párrafo 74 del documento CAJ/27/8 ”Informe “y el párrafo 18 del documento WG-HRV/2/6 ”</w:t>
      </w:r>
      <w:r w:rsidRPr="005F3BBE">
        <w:rPr>
          <w:i/>
          <w:iCs/>
        </w:rPr>
        <w:t>Draft Report</w:t>
      </w:r>
      <w:r w:rsidRPr="005F3BB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B3EA5" w14:textId="77777777" w:rsidR="00182B99" w:rsidRPr="000A23DC" w:rsidRDefault="006219BE" w:rsidP="000A23DC">
    <w:pPr>
      <w:pStyle w:val="Header"/>
      <w:rPr>
        <w:rStyle w:val="PageNumber"/>
      </w:rPr>
    </w:pPr>
    <w:r>
      <w:rPr>
        <w:rStyle w:val="PageNumber"/>
      </w:rPr>
      <w:t>WG-</w:t>
    </w:r>
    <w:r w:rsidR="00CB7CAB">
      <w:rPr>
        <w:rStyle w:val="PageNumber"/>
      </w:rPr>
      <w:t>HRV</w:t>
    </w:r>
    <w:r w:rsidR="00214C1D">
      <w:rPr>
        <w:rStyle w:val="PageNumber"/>
      </w:rPr>
      <w:t>/</w:t>
    </w:r>
    <w:r w:rsidR="00CB7CAB">
      <w:rPr>
        <w:rStyle w:val="PageNumber"/>
      </w:rPr>
      <w:t>3</w:t>
    </w:r>
    <w:r w:rsidR="00667404" w:rsidRPr="000A23DC">
      <w:rPr>
        <w:rStyle w:val="PageNumber"/>
      </w:rPr>
      <w:t>/</w:t>
    </w:r>
    <w:r w:rsidR="00CB7CAB">
      <w:rPr>
        <w:rStyle w:val="PageNumber"/>
      </w:rPr>
      <w:t>3</w:t>
    </w:r>
  </w:p>
  <w:p w14:paraId="23EF1609" w14:textId="6639F68D" w:rsidR="00182B99" w:rsidRPr="00202E38" w:rsidRDefault="008B3D8D" w:rsidP="008B3D8D">
    <w:pPr>
      <w:pStyle w:val="Header"/>
      <w:rPr>
        <w:lang w:val="de-DE"/>
      </w:rPr>
    </w:pPr>
    <w:r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F52070">
      <w:rPr>
        <w:rStyle w:val="PageNumber"/>
        <w:noProof/>
        <w:lang w:val="de-DE"/>
      </w:rPr>
      <w:t>5</w:t>
    </w:r>
    <w:r w:rsidR="00182B99" w:rsidRPr="00202E38">
      <w:rPr>
        <w:rStyle w:val="PageNumber"/>
        <w:lang w:val="de-DE"/>
      </w:rPr>
      <w:fldChar w:fldCharType="end"/>
    </w:r>
  </w:p>
  <w:p w14:paraId="262D25CC" w14:textId="77777777" w:rsidR="00182B99" w:rsidRPr="00202E38" w:rsidRDefault="00182B99" w:rsidP="006655D3">
    <w:pPr>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s-ES" w:vendorID="64" w:dllVersion="6" w:nlCheck="1" w:checkStyle="0"/>
  <w:activeWritingStyle w:appName="MSWord" w:lang="fr-FR" w:vendorID="64" w:dllVersion="6" w:nlCheck="1" w:checkStyle="0"/>
  <w:activeWritingStyle w:appName="MSWord" w:lang="es-ES_tradnl" w:vendorID="64" w:dllVersion="4096" w:nlCheck="1" w:checkStyle="0"/>
  <w:activeWritingStyle w:appName="MSWord" w:lang="es-419" w:vendorID="64" w:dllVersion="131078" w:nlCheck="1" w:checkStyle="0"/>
  <w:activeWritingStyle w:appName="MSWord" w:lang="es-ES_tradnl"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en-GB"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9"/>
  </w:docVars>
  <w:rsids>
    <w:rsidRoot w:val="00451A9B"/>
    <w:rsid w:val="00010CF3"/>
    <w:rsid w:val="00011E27"/>
    <w:rsid w:val="000148BC"/>
    <w:rsid w:val="00024AB8"/>
    <w:rsid w:val="00030854"/>
    <w:rsid w:val="00036028"/>
    <w:rsid w:val="00044642"/>
    <w:rsid w:val="000446B9"/>
    <w:rsid w:val="00047E21"/>
    <w:rsid w:val="00050E16"/>
    <w:rsid w:val="00053040"/>
    <w:rsid w:val="000638A9"/>
    <w:rsid w:val="00085505"/>
    <w:rsid w:val="000A23DC"/>
    <w:rsid w:val="000C4E25"/>
    <w:rsid w:val="000C7021"/>
    <w:rsid w:val="000D26F8"/>
    <w:rsid w:val="000D6BBC"/>
    <w:rsid w:val="000D7780"/>
    <w:rsid w:val="000D7F00"/>
    <w:rsid w:val="000E364C"/>
    <w:rsid w:val="000E636A"/>
    <w:rsid w:val="000F2F11"/>
    <w:rsid w:val="00105929"/>
    <w:rsid w:val="00110B67"/>
    <w:rsid w:val="00110C36"/>
    <w:rsid w:val="001131D5"/>
    <w:rsid w:val="001160EC"/>
    <w:rsid w:val="00122DCE"/>
    <w:rsid w:val="00135C2A"/>
    <w:rsid w:val="00141DB8"/>
    <w:rsid w:val="00172084"/>
    <w:rsid w:val="0017474A"/>
    <w:rsid w:val="001758C6"/>
    <w:rsid w:val="00175B31"/>
    <w:rsid w:val="00182B99"/>
    <w:rsid w:val="001F64BF"/>
    <w:rsid w:val="00202E38"/>
    <w:rsid w:val="00203BD5"/>
    <w:rsid w:val="0021332C"/>
    <w:rsid w:val="00213982"/>
    <w:rsid w:val="00214C1D"/>
    <w:rsid w:val="0024416D"/>
    <w:rsid w:val="002464A3"/>
    <w:rsid w:val="00267556"/>
    <w:rsid w:val="00270354"/>
    <w:rsid w:val="00271911"/>
    <w:rsid w:val="002800A0"/>
    <w:rsid w:val="002801B3"/>
    <w:rsid w:val="00281060"/>
    <w:rsid w:val="002940E8"/>
    <w:rsid w:val="00294751"/>
    <w:rsid w:val="002A6E50"/>
    <w:rsid w:val="002B4298"/>
    <w:rsid w:val="002C256A"/>
    <w:rsid w:val="002C392C"/>
    <w:rsid w:val="002D546C"/>
    <w:rsid w:val="002E5944"/>
    <w:rsid w:val="002F099E"/>
    <w:rsid w:val="00305A7F"/>
    <w:rsid w:val="003152FE"/>
    <w:rsid w:val="00327436"/>
    <w:rsid w:val="00344BD6"/>
    <w:rsid w:val="0035528D"/>
    <w:rsid w:val="00355E07"/>
    <w:rsid w:val="00361821"/>
    <w:rsid w:val="00361E9E"/>
    <w:rsid w:val="003B031A"/>
    <w:rsid w:val="003C7FBE"/>
    <w:rsid w:val="003D227C"/>
    <w:rsid w:val="003D2B4D"/>
    <w:rsid w:val="003D3136"/>
    <w:rsid w:val="003D5DCC"/>
    <w:rsid w:val="003E669B"/>
    <w:rsid w:val="003F3D71"/>
    <w:rsid w:val="00404329"/>
    <w:rsid w:val="0040557F"/>
    <w:rsid w:val="00444A88"/>
    <w:rsid w:val="00451A9B"/>
    <w:rsid w:val="0045424C"/>
    <w:rsid w:val="00474DA4"/>
    <w:rsid w:val="00476B4D"/>
    <w:rsid w:val="004805FA"/>
    <w:rsid w:val="004935D2"/>
    <w:rsid w:val="004B1215"/>
    <w:rsid w:val="004D047D"/>
    <w:rsid w:val="004D2B1A"/>
    <w:rsid w:val="004F1E7D"/>
    <w:rsid w:val="004F1E9E"/>
    <w:rsid w:val="004F305A"/>
    <w:rsid w:val="00512164"/>
    <w:rsid w:val="00520297"/>
    <w:rsid w:val="005338F9"/>
    <w:rsid w:val="00535AC5"/>
    <w:rsid w:val="0054281C"/>
    <w:rsid w:val="00544581"/>
    <w:rsid w:val="00545E42"/>
    <w:rsid w:val="0055268D"/>
    <w:rsid w:val="00566C7E"/>
    <w:rsid w:val="00576BE4"/>
    <w:rsid w:val="00576DF8"/>
    <w:rsid w:val="00580C27"/>
    <w:rsid w:val="005821E6"/>
    <w:rsid w:val="00595634"/>
    <w:rsid w:val="005A400A"/>
    <w:rsid w:val="005E6C54"/>
    <w:rsid w:val="005E7323"/>
    <w:rsid w:val="005F3BBE"/>
    <w:rsid w:val="005F7B92"/>
    <w:rsid w:val="006055F8"/>
    <w:rsid w:val="00610079"/>
    <w:rsid w:val="00612379"/>
    <w:rsid w:val="006153B6"/>
    <w:rsid w:val="0061555F"/>
    <w:rsid w:val="00616CA6"/>
    <w:rsid w:val="006219BE"/>
    <w:rsid w:val="00636CA6"/>
    <w:rsid w:val="00637EDD"/>
    <w:rsid w:val="00641200"/>
    <w:rsid w:val="00642665"/>
    <w:rsid w:val="00645CA8"/>
    <w:rsid w:val="00647FF9"/>
    <w:rsid w:val="00650C97"/>
    <w:rsid w:val="0065180D"/>
    <w:rsid w:val="0065230C"/>
    <w:rsid w:val="006655D3"/>
    <w:rsid w:val="00667404"/>
    <w:rsid w:val="006735FD"/>
    <w:rsid w:val="0068039E"/>
    <w:rsid w:val="006818F4"/>
    <w:rsid w:val="00687EB4"/>
    <w:rsid w:val="00695C56"/>
    <w:rsid w:val="006A32E5"/>
    <w:rsid w:val="006A5CDE"/>
    <w:rsid w:val="006A644A"/>
    <w:rsid w:val="006B17D2"/>
    <w:rsid w:val="006C224E"/>
    <w:rsid w:val="006D780A"/>
    <w:rsid w:val="0071271E"/>
    <w:rsid w:val="00724F61"/>
    <w:rsid w:val="00727351"/>
    <w:rsid w:val="00732DEC"/>
    <w:rsid w:val="00735BD5"/>
    <w:rsid w:val="00750AA6"/>
    <w:rsid w:val="00751613"/>
    <w:rsid w:val="00752334"/>
    <w:rsid w:val="007556F6"/>
    <w:rsid w:val="00760EEF"/>
    <w:rsid w:val="00777EE5"/>
    <w:rsid w:val="00783722"/>
    <w:rsid w:val="00784836"/>
    <w:rsid w:val="0079023E"/>
    <w:rsid w:val="00794DAD"/>
    <w:rsid w:val="00797FAC"/>
    <w:rsid w:val="007A0A72"/>
    <w:rsid w:val="007A2854"/>
    <w:rsid w:val="007A5C8B"/>
    <w:rsid w:val="007B4B6E"/>
    <w:rsid w:val="007B6A01"/>
    <w:rsid w:val="007C1D92"/>
    <w:rsid w:val="007C4CB9"/>
    <w:rsid w:val="007D0B9D"/>
    <w:rsid w:val="007D19B0"/>
    <w:rsid w:val="007F498F"/>
    <w:rsid w:val="008001E8"/>
    <w:rsid w:val="0080679D"/>
    <w:rsid w:val="008071B6"/>
    <w:rsid w:val="008108B0"/>
    <w:rsid w:val="00811B20"/>
    <w:rsid w:val="008211B5"/>
    <w:rsid w:val="00821A32"/>
    <w:rsid w:val="0082296E"/>
    <w:rsid w:val="00824099"/>
    <w:rsid w:val="00824CD3"/>
    <w:rsid w:val="008258CD"/>
    <w:rsid w:val="008351D8"/>
    <w:rsid w:val="008427D4"/>
    <w:rsid w:val="00846D7C"/>
    <w:rsid w:val="008574A4"/>
    <w:rsid w:val="00864C55"/>
    <w:rsid w:val="00867AC1"/>
    <w:rsid w:val="00883760"/>
    <w:rsid w:val="00890DF8"/>
    <w:rsid w:val="008A743F"/>
    <w:rsid w:val="008B1451"/>
    <w:rsid w:val="008B3D8D"/>
    <w:rsid w:val="008C0970"/>
    <w:rsid w:val="008C6250"/>
    <w:rsid w:val="008D0BC5"/>
    <w:rsid w:val="008D2CF7"/>
    <w:rsid w:val="00900C26"/>
    <w:rsid w:val="0090197F"/>
    <w:rsid w:val="00906DDC"/>
    <w:rsid w:val="00933348"/>
    <w:rsid w:val="00934E09"/>
    <w:rsid w:val="00936253"/>
    <w:rsid w:val="00940305"/>
    <w:rsid w:val="00940D46"/>
    <w:rsid w:val="00943983"/>
    <w:rsid w:val="00952DD4"/>
    <w:rsid w:val="0096175D"/>
    <w:rsid w:val="00965AE7"/>
    <w:rsid w:val="00970FED"/>
    <w:rsid w:val="00971867"/>
    <w:rsid w:val="009836E9"/>
    <w:rsid w:val="00992D82"/>
    <w:rsid w:val="0099349B"/>
    <w:rsid w:val="00997029"/>
    <w:rsid w:val="00997853"/>
    <w:rsid w:val="009A7339"/>
    <w:rsid w:val="009A7ADC"/>
    <w:rsid w:val="009B440E"/>
    <w:rsid w:val="009B7845"/>
    <w:rsid w:val="009D690D"/>
    <w:rsid w:val="009E2D32"/>
    <w:rsid w:val="009E65B6"/>
    <w:rsid w:val="009E6FFD"/>
    <w:rsid w:val="009F43D7"/>
    <w:rsid w:val="00A004D6"/>
    <w:rsid w:val="00A24C10"/>
    <w:rsid w:val="00A42AC3"/>
    <w:rsid w:val="00A430CF"/>
    <w:rsid w:val="00A54309"/>
    <w:rsid w:val="00A67D58"/>
    <w:rsid w:val="00A706D3"/>
    <w:rsid w:val="00AB1555"/>
    <w:rsid w:val="00AB2B93"/>
    <w:rsid w:val="00AB530F"/>
    <w:rsid w:val="00AB7E5B"/>
    <w:rsid w:val="00AC2883"/>
    <w:rsid w:val="00AD6B1B"/>
    <w:rsid w:val="00AE0EF1"/>
    <w:rsid w:val="00AE2937"/>
    <w:rsid w:val="00B07301"/>
    <w:rsid w:val="00B11F3E"/>
    <w:rsid w:val="00B224DE"/>
    <w:rsid w:val="00B324D4"/>
    <w:rsid w:val="00B36B1A"/>
    <w:rsid w:val="00B46575"/>
    <w:rsid w:val="00B47593"/>
    <w:rsid w:val="00B61777"/>
    <w:rsid w:val="00B65A34"/>
    <w:rsid w:val="00B84BBD"/>
    <w:rsid w:val="00BA43FB"/>
    <w:rsid w:val="00BB3EFB"/>
    <w:rsid w:val="00BC0BD4"/>
    <w:rsid w:val="00BC127D"/>
    <w:rsid w:val="00BC1FE6"/>
    <w:rsid w:val="00BF077C"/>
    <w:rsid w:val="00C061B6"/>
    <w:rsid w:val="00C226F4"/>
    <w:rsid w:val="00C2446C"/>
    <w:rsid w:val="00C36AE5"/>
    <w:rsid w:val="00C41F17"/>
    <w:rsid w:val="00C527FA"/>
    <w:rsid w:val="00C5280D"/>
    <w:rsid w:val="00C53EB3"/>
    <w:rsid w:val="00C5791C"/>
    <w:rsid w:val="00C66290"/>
    <w:rsid w:val="00C66DF6"/>
    <w:rsid w:val="00C72B7A"/>
    <w:rsid w:val="00C973F2"/>
    <w:rsid w:val="00CA1C01"/>
    <w:rsid w:val="00CA304C"/>
    <w:rsid w:val="00CA774A"/>
    <w:rsid w:val="00CB61A5"/>
    <w:rsid w:val="00CB7CAB"/>
    <w:rsid w:val="00CC11B0"/>
    <w:rsid w:val="00CC2841"/>
    <w:rsid w:val="00CF1330"/>
    <w:rsid w:val="00CF7E36"/>
    <w:rsid w:val="00D14CC0"/>
    <w:rsid w:val="00D243D1"/>
    <w:rsid w:val="00D24DF6"/>
    <w:rsid w:val="00D336BF"/>
    <w:rsid w:val="00D35CC1"/>
    <w:rsid w:val="00D3708D"/>
    <w:rsid w:val="00D40426"/>
    <w:rsid w:val="00D56FAE"/>
    <w:rsid w:val="00D57C96"/>
    <w:rsid w:val="00D57D18"/>
    <w:rsid w:val="00D729F3"/>
    <w:rsid w:val="00D76AA4"/>
    <w:rsid w:val="00D83082"/>
    <w:rsid w:val="00D91203"/>
    <w:rsid w:val="00D95174"/>
    <w:rsid w:val="00DA3441"/>
    <w:rsid w:val="00DA4973"/>
    <w:rsid w:val="00DA6F36"/>
    <w:rsid w:val="00DB596E"/>
    <w:rsid w:val="00DB7773"/>
    <w:rsid w:val="00DC00EA"/>
    <w:rsid w:val="00DC3802"/>
    <w:rsid w:val="00DE2328"/>
    <w:rsid w:val="00DF4760"/>
    <w:rsid w:val="00E025F8"/>
    <w:rsid w:val="00E07D87"/>
    <w:rsid w:val="00E32F7E"/>
    <w:rsid w:val="00E44347"/>
    <w:rsid w:val="00E448CC"/>
    <w:rsid w:val="00E5267B"/>
    <w:rsid w:val="00E63C0E"/>
    <w:rsid w:val="00E72D49"/>
    <w:rsid w:val="00E7593C"/>
    <w:rsid w:val="00E7678A"/>
    <w:rsid w:val="00E82F61"/>
    <w:rsid w:val="00E935F1"/>
    <w:rsid w:val="00E94A81"/>
    <w:rsid w:val="00EA1FFB"/>
    <w:rsid w:val="00EB048E"/>
    <w:rsid w:val="00EB4E9C"/>
    <w:rsid w:val="00EB7224"/>
    <w:rsid w:val="00EC2265"/>
    <w:rsid w:val="00EE34DF"/>
    <w:rsid w:val="00EF2F89"/>
    <w:rsid w:val="00F03E98"/>
    <w:rsid w:val="00F1237A"/>
    <w:rsid w:val="00F22CBD"/>
    <w:rsid w:val="00F272F1"/>
    <w:rsid w:val="00F45372"/>
    <w:rsid w:val="00F51E9A"/>
    <w:rsid w:val="00F52070"/>
    <w:rsid w:val="00F560F7"/>
    <w:rsid w:val="00F6334D"/>
    <w:rsid w:val="00F752F7"/>
    <w:rsid w:val="00F8660F"/>
    <w:rsid w:val="00FA49AB"/>
    <w:rsid w:val="00FB2A2F"/>
    <w:rsid w:val="00FC2D2C"/>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8723CA8"/>
  <w15:docId w15:val="{7F5F04AE-E1C4-4F15-B35B-C7FD70A6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4D2B1A"/>
    <w:pPr>
      <w:tabs>
        <w:tab w:val="left" w:pos="5387"/>
        <w:tab w:val="left" w:pos="5954"/>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6A32E5"/>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32E5"/>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6818F4"/>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818F4"/>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818F4"/>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65180D"/>
    <w:pPr>
      <w:tabs>
        <w:tab w:val="right" w:leader="dot" w:pos="9639"/>
      </w:tabs>
      <w:spacing w:before="120" w:after="60"/>
    </w:pPr>
    <w:rPr>
      <w:rFonts w:ascii="Arial" w:hAnsi="Arial"/>
      <w:caps/>
    </w:rPr>
  </w:style>
  <w:style w:type="paragraph" w:styleId="TOC5">
    <w:name w:val="toc 5"/>
    <w:next w:val="Normal"/>
    <w:autoRedefine/>
    <w:rsid w:val="006818F4"/>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CB7CAB"/>
    <w:rPr>
      <w:rFonts w:ascii="Arial" w:hAnsi="Arial"/>
      <w:caps/>
    </w:rPr>
  </w:style>
  <w:style w:type="character" w:customStyle="1" w:styleId="Heading2Char">
    <w:name w:val="Heading 2 Char"/>
    <w:basedOn w:val="DefaultParagraphFont"/>
    <w:link w:val="Heading2"/>
    <w:rsid w:val="00CB7CAB"/>
    <w:rPr>
      <w:rFonts w:ascii="Arial" w:hAnsi="Arial"/>
      <w:u w:val="single"/>
    </w:rPr>
  </w:style>
  <w:style w:type="character" w:customStyle="1" w:styleId="FootnoteTextChar">
    <w:name w:val="Footnote Text Char"/>
    <w:basedOn w:val="DefaultParagraphFont"/>
    <w:link w:val="FootnoteText"/>
    <w:rsid w:val="00CB7CAB"/>
    <w:rPr>
      <w:rFonts w:ascii="Arial" w:hAnsi="Arial"/>
      <w:sz w:val="16"/>
      <w:lang w:val="es-ES_tradnl"/>
    </w:rPr>
  </w:style>
  <w:style w:type="character" w:styleId="FollowedHyperlink">
    <w:name w:val="FollowedHyperlink"/>
    <w:basedOn w:val="DefaultParagraphFont"/>
    <w:semiHidden/>
    <w:unhideWhenUsed/>
    <w:rsid w:val="004F1E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352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meetings/es/details.jsp?meeting_id=7477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pov.int/meetings/es/details.jsp?meeting_id=7477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nis\Documents\UPOV\wg_hrv_3_3_179827\upov_wg_hrv_3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73CBD-ADBD-40B8-95F2-7FF5BF3F5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upov_wg_hrv_3_ES.dotx</Template>
  <TotalTime>43</TotalTime>
  <Pages>5</Pages>
  <Words>2325</Words>
  <Characters>12804</Characters>
  <Application>Microsoft Office Word</Application>
  <DocSecurity>0</DocSecurity>
  <Lines>753</Lines>
  <Paragraphs>302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WG-HRV/3/3</vt:lpstr>
      <vt:lpstr>WG-HRV/3/3</vt:lpstr>
    </vt:vector>
  </TitlesOfParts>
  <Company>UPOV</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WG-HRV/3/3</dc:title>
  <dc:creator>CEVALLOS DUQUE Nilo</dc:creator>
  <cp:lastModifiedBy>SANTOS Carla Marina</cp:lastModifiedBy>
  <cp:revision>15</cp:revision>
  <cp:lastPrinted>2016-11-22T15:41:00Z</cp:lastPrinted>
  <dcterms:created xsi:type="dcterms:W3CDTF">2023-03-01T10:10:00Z</dcterms:created>
  <dcterms:modified xsi:type="dcterms:W3CDTF">2023-03-07T14:18:00Z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26ec49c4-1ad2-4a1b-8a24-9f1bac079453</vt:lpwstr>
  </property>
</Properties>
</file>