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F49C3" w:rsidRPr="005F49C3" w14:paraId="516A6C90" w14:textId="77777777" w:rsidTr="003C192B">
        <w:tc>
          <w:tcPr>
            <w:tcW w:w="6522" w:type="dxa"/>
          </w:tcPr>
          <w:p w14:paraId="54C19230" w14:textId="77777777" w:rsidR="005F49C3" w:rsidRPr="005F49C3" w:rsidRDefault="005F49C3" w:rsidP="005F49C3">
            <w:bookmarkStart w:id="0" w:name="TitleOfDoc"/>
            <w:bookmarkStart w:id="1" w:name="_GoBack"/>
            <w:bookmarkEnd w:id="0"/>
            <w:bookmarkEnd w:id="1"/>
            <w:r>
              <w:rPr>
                <w:noProof/>
                <w:lang w:val="en-US"/>
              </w:rPr>
              <w:drawing>
                <wp:inline distT="0" distB="0" distL="0" distR="0" wp14:anchorId="4D3B7E5D" wp14:editId="7E6BA18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1122D8E" w14:textId="77777777" w:rsidR="005F49C3" w:rsidRPr="005F49C3" w:rsidRDefault="005F49C3" w:rsidP="005F49C3">
            <w:pPr>
              <w:spacing w:line="340" w:lineRule="atLeast"/>
              <w:jc w:val="right"/>
              <w:rPr>
                <w:b/>
                <w:bCs/>
                <w:sz w:val="36"/>
              </w:rPr>
            </w:pPr>
            <w:r>
              <w:rPr>
                <w:b/>
                <w:sz w:val="36"/>
              </w:rPr>
              <w:t>S</w:t>
            </w:r>
          </w:p>
        </w:tc>
      </w:tr>
      <w:tr w:rsidR="005F49C3" w:rsidRPr="005F49C3" w14:paraId="3E97D238" w14:textId="77777777" w:rsidTr="003C192B">
        <w:trPr>
          <w:trHeight w:val="219"/>
        </w:trPr>
        <w:tc>
          <w:tcPr>
            <w:tcW w:w="6522" w:type="dxa"/>
          </w:tcPr>
          <w:p w14:paraId="7AD3B131" w14:textId="77777777" w:rsidR="005F49C3" w:rsidRPr="005F49C3" w:rsidRDefault="005F49C3" w:rsidP="005F49C3">
            <w:pPr>
              <w:spacing w:before="120"/>
              <w:rPr>
                <w:sz w:val="16"/>
              </w:rPr>
            </w:pPr>
            <w:r>
              <w:rPr>
                <w:sz w:val="16"/>
              </w:rPr>
              <w:t>Unión Internacional para la Protección de las Obtenciones Vegetales</w:t>
            </w:r>
          </w:p>
        </w:tc>
        <w:tc>
          <w:tcPr>
            <w:tcW w:w="3117" w:type="dxa"/>
          </w:tcPr>
          <w:p w14:paraId="26419FAF" w14:textId="77777777" w:rsidR="005F49C3" w:rsidRPr="005F49C3" w:rsidRDefault="005F49C3" w:rsidP="005F49C3"/>
        </w:tc>
      </w:tr>
    </w:tbl>
    <w:p w14:paraId="6168796C" w14:textId="77777777" w:rsidR="005F49C3" w:rsidRPr="005F49C3" w:rsidRDefault="005F49C3" w:rsidP="005F49C3"/>
    <w:p w14:paraId="0006FE3A" w14:textId="77777777" w:rsidR="005F49C3" w:rsidRPr="005F49C3" w:rsidRDefault="005F49C3" w:rsidP="005F49C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F49C3" w:rsidRPr="005F49C3" w14:paraId="23D8FE68" w14:textId="77777777" w:rsidTr="003C192B">
        <w:tc>
          <w:tcPr>
            <w:tcW w:w="6512" w:type="dxa"/>
          </w:tcPr>
          <w:p w14:paraId="2753B051" w14:textId="77777777" w:rsidR="005F49C3" w:rsidRPr="005F49C3" w:rsidRDefault="005F49C3" w:rsidP="005F49C3">
            <w:pPr>
              <w:jc w:val="left"/>
              <w:rPr>
                <w:b/>
                <w:bCs/>
                <w:kern w:val="28"/>
              </w:rPr>
            </w:pPr>
            <w:r>
              <w:rPr>
                <w:b/>
              </w:rPr>
              <w:t>Grupo de trabajo sobre el producto de la cosecha y la utilización no autorizada de material de reproducción o de multiplicación</w:t>
            </w:r>
          </w:p>
          <w:p w14:paraId="7B08DB5F" w14:textId="77777777" w:rsidR="00937BD9" w:rsidRPr="00937BD9" w:rsidRDefault="00937BD9" w:rsidP="00937BD9">
            <w:pPr>
              <w:spacing w:before="240"/>
              <w:jc w:val="left"/>
              <w:rPr>
                <w:b/>
              </w:rPr>
            </w:pPr>
            <w:r w:rsidRPr="00937BD9">
              <w:rPr>
                <w:b/>
              </w:rPr>
              <w:t>Tercera reunión</w:t>
            </w:r>
          </w:p>
          <w:p w14:paraId="2110B804" w14:textId="1DD4C4D3" w:rsidR="005F49C3" w:rsidRPr="005F49C3" w:rsidRDefault="00937BD9" w:rsidP="00937BD9">
            <w:pPr>
              <w:spacing w:before="240"/>
              <w:contextualSpacing/>
              <w:jc w:val="left"/>
              <w:rPr>
                <w:b/>
                <w:bCs/>
                <w:kern w:val="28"/>
                <w:sz w:val="22"/>
              </w:rPr>
            </w:pPr>
            <w:r w:rsidRPr="00937BD9">
              <w:rPr>
                <w:b/>
              </w:rPr>
              <w:t>Ginebra, 21 de marzo de 2023</w:t>
            </w:r>
          </w:p>
        </w:tc>
        <w:tc>
          <w:tcPr>
            <w:tcW w:w="3127" w:type="dxa"/>
          </w:tcPr>
          <w:p w14:paraId="1970386A" w14:textId="7EDA8C71" w:rsidR="005F49C3" w:rsidRPr="005F49C3" w:rsidRDefault="00937BD9" w:rsidP="005F49C3">
            <w:pPr>
              <w:jc w:val="left"/>
              <w:rPr>
                <w:b/>
                <w:bCs/>
                <w:spacing w:val="10"/>
                <w:sz w:val="18"/>
              </w:rPr>
            </w:pPr>
            <w:r>
              <w:rPr>
                <w:b/>
                <w:sz w:val="18"/>
              </w:rPr>
              <w:t>WG-HRV/3</w:t>
            </w:r>
            <w:r w:rsidR="005F49C3">
              <w:rPr>
                <w:b/>
                <w:sz w:val="18"/>
              </w:rPr>
              <w:t>/</w:t>
            </w:r>
            <w:r>
              <w:rPr>
                <w:b/>
                <w:sz w:val="18"/>
              </w:rPr>
              <w:t>2</w:t>
            </w:r>
          </w:p>
          <w:p w14:paraId="0130EE83" w14:textId="77777777" w:rsidR="005F49C3" w:rsidRPr="005F49C3" w:rsidRDefault="005F49C3" w:rsidP="005F49C3">
            <w:pPr>
              <w:jc w:val="left"/>
              <w:rPr>
                <w:b/>
                <w:bCs/>
                <w:spacing w:val="10"/>
                <w:sz w:val="18"/>
              </w:rPr>
            </w:pPr>
          </w:p>
          <w:p w14:paraId="4D3ACD50" w14:textId="6622EAD9" w:rsidR="005F49C3" w:rsidRPr="005F49C3" w:rsidRDefault="005F49C3" w:rsidP="005F49C3">
            <w:pPr>
              <w:spacing w:before="240" w:line="240" w:lineRule="exact"/>
              <w:jc w:val="left"/>
              <w:rPr>
                <w:b/>
                <w:bCs/>
                <w:sz w:val="18"/>
                <w:szCs w:val="18"/>
              </w:rPr>
            </w:pPr>
            <w:r>
              <w:rPr>
                <w:b/>
                <w:sz w:val="18"/>
              </w:rPr>
              <w:t>Original:</w:t>
            </w:r>
            <w:r w:rsidR="00EE1944">
              <w:rPr>
                <w:sz w:val="18"/>
              </w:rPr>
              <w:t xml:space="preserve"> </w:t>
            </w:r>
            <w:proofErr w:type="gramStart"/>
            <w:r>
              <w:rPr>
                <w:sz w:val="18"/>
              </w:rPr>
              <w:t>Inglés</w:t>
            </w:r>
            <w:proofErr w:type="gramEnd"/>
          </w:p>
          <w:p w14:paraId="63E358F8" w14:textId="43ACC23F" w:rsidR="005F49C3" w:rsidRPr="005F49C3" w:rsidRDefault="005F49C3" w:rsidP="00937BD9">
            <w:pPr>
              <w:spacing w:before="240" w:line="240" w:lineRule="exact"/>
              <w:contextualSpacing/>
              <w:jc w:val="left"/>
              <w:rPr>
                <w:b/>
                <w:bCs/>
                <w:spacing w:val="10"/>
                <w:sz w:val="18"/>
              </w:rPr>
            </w:pPr>
            <w:r>
              <w:rPr>
                <w:b/>
                <w:bCs/>
                <w:sz w:val="18"/>
              </w:rPr>
              <w:t>Fecha</w:t>
            </w:r>
            <w:r>
              <w:rPr>
                <w:sz w:val="18"/>
              </w:rPr>
              <w:t>:</w:t>
            </w:r>
            <w:r w:rsidR="00EE1944">
              <w:rPr>
                <w:sz w:val="18"/>
              </w:rPr>
              <w:t xml:space="preserve"> </w:t>
            </w:r>
            <w:r w:rsidR="00937BD9">
              <w:rPr>
                <w:sz w:val="18"/>
              </w:rPr>
              <w:t>17</w:t>
            </w:r>
            <w:r>
              <w:rPr>
                <w:sz w:val="18"/>
              </w:rPr>
              <w:t xml:space="preserve"> de </w:t>
            </w:r>
            <w:r w:rsidR="00937BD9">
              <w:rPr>
                <w:sz w:val="18"/>
              </w:rPr>
              <w:t>febrero de 2023</w:t>
            </w:r>
          </w:p>
        </w:tc>
      </w:tr>
    </w:tbl>
    <w:p w14:paraId="56A4AD3A" w14:textId="77777777" w:rsidR="005F49C3" w:rsidRPr="005F49C3" w:rsidRDefault="005F49C3" w:rsidP="005F49C3">
      <w:pPr>
        <w:spacing w:before="600" w:after="240"/>
        <w:jc w:val="left"/>
        <w:rPr>
          <w:b/>
          <w:caps/>
        </w:rPr>
      </w:pPr>
      <w:r>
        <w:rPr>
          <w:b/>
          <w:caps/>
        </w:rPr>
        <w:t xml:space="preserve">PROPUESTAS RELATIVAS A LAS NOTAS EXPLICATIVAS SOBRE EL MATERIAL DE REPRODUCCIÓN O DE MULTIPLICACIÓN CON ARREGLO AL CONVENIO DE LA UPOV </w:t>
      </w:r>
    </w:p>
    <w:p w14:paraId="069674EC" w14:textId="58C66964" w:rsidR="005F49C3" w:rsidRPr="005F49C3" w:rsidRDefault="00962A1C" w:rsidP="005F49C3">
      <w:pPr>
        <w:spacing w:after="240"/>
        <w:jc w:val="left"/>
        <w:rPr>
          <w:i/>
          <w:iCs/>
        </w:rPr>
      </w:pPr>
      <w:r>
        <w:rPr>
          <w:i/>
        </w:rPr>
        <w:t>D</w:t>
      </w:r>
      <w:r w:rsidR="005F49C3">
        <w:rPr>
          <w:i/>
        </w:rPr>
        <w:t>ocumento preparado por la Oficina de la Unión</w:t>
      </w:r>
    </w:p>
    <w:p w14:paraId="551035F5" w14:textId="754B2444" w:rsidR="005F49C3" w:rsidRPr="005F49C3" w:rsidRDefault="005F49C3" w:rsidP="005F49C3">
      <w:pPr>
        <w:spacing w:after="600"/>
        <w:jc w:val="left"/>
        <w:rPr>
          <w:i/>
          <w:iCs/>
          <w:color w:val="A6A6A6" w:themeColor="background1" w:themeShade="A6"/>
        </w:rPr>
      </w:pPr>
      <w:r>
        <w:rPr>
          <w:i/>
          <w:color w:val="A6A6A6" w:themeColor="background1" w:themeShade="A6"/>
        </w:rPr>
        <w:t>Descargo de responsabilidad:</w:t>
      </w:r>
      <w:r w:rsidR="00EE1944">
        <w:rPr>
          <w:i/>
          <w:color w:val="A6A6A6" w:themeColor="background1" w:themeShade="A6"/>
        </w:rPr>
        <w:t xml:space="preserve"> </w:t>
      </w:r>
      <w:r>
        <w:rPr>
          <w:i/>
          <w:color w:val="A6A6A6" w:themeColor="background1" w:themeShade="A6"/>
        </w:rPr>
        <w:t>el presente documento no constituye un documento de política u orientación de la UPOV</w:t>
      </w:r>
    </w:p>
    <w:p w14:paraId="1A5B5C0B" w14:textId="7CBD235A" w:rsidR="00937BD9" w:rsidRPr="001351D1" w:rsidRDefault="00937BD9" w:rsidP="001351D1">
      <w:r w:rsidRPr="001351D1">
        <w:fldChar w:fldCharType="begin"/>
      </w:r>
      <w:r w:rsidRPr="001351D1">
        <w:instrText xml:space="preserve"> AUTONUM  </w:instrText>
      </w:r>
      <w:r w:rsidRPr="001351D1">
        <w:fldChar w:fldCharType="end"/>
      </w:r>
      <w:r w:rsidRPr="001351D1">
        <w:tab/>
      </w:r>
      <w:r w:rsidR="001351D1" w:rsidRPr="001351D1">
        <w:t>El Anexo al presente documento incorpora al texto del documento UPOV/EXN/PPM/1 las propuestas aprobadas por el WG</w:t>
      </w:r>
      <w:r w:rsidR="001351D1" w:rsidRPr="001351D1">
        <w:noBreakHyphen/>
        <w:t>HRV, en su segunda reunión, con marcas de revisión con doble subrayado o tachado, para que el WG</w:t>
      </w:r>
      <w:r w:rsidR="001351D1" w:rsidRPr="001351D1">
        <w:noBreakHyphen/>
        <w:t>HRV lo examine.</w:t>
      </w:r>
    </w:p>
    <w:p w14:paraId="3DE6C2DA" w14:textId="77777777" w:rsidR="00937BD9" w:rsidRPr="00937BD9" w:rsidRDefault="00937BD9" w:rsidP="00937BD9">
      <w:pPr>
        <w:rPr>
          <w:spacing w:val="2"/>
          <w:highlight w:val="cyan"/>
        </w:rPr>
      </w:pPr>
    </w:p>
    <w:p w14:paraId="58CDE927" w14:textId="77777777" w:rsidR="00937BD9" w:rsidRPr="00937BD9" w:rsidRDefault="00937BD9" w:rsidP="00937BD9">
      <w:pPr>
        <w:rPr>
          <w:spacing w:val="2"/>
          <w:highlight w:val="cyan"/>
        </w:rPr>
      </w:pPr>
    </w:p>
    <w:p w14:paraId="6E7673B4" w14:textId="77777777" w:rsidR="00937BD9" w:rsidRPr="001351D1" w:rsidRDefault="00937BD9" w:rsidP="00937BD9">
      <w:pPr>
        <w:rPr>
          <w:spacing w:val="2"/>
        </w:rPr>
      </w:pPr>
    </w:p>
    <w:p w14:paraId="37DF0586" w14:textId="77777777" w:rsidR="001351D1" w:rsidRPr="001351D1" w:rsidRDefault="001351D1" w:rsidP="001351D1">
      <w:pPr>
        <w:pStyle w:val="Heading1"/>
        <w:rPr>
          <w:spacing w:val="2"/>
        </w:rPr>
      </w:pPr>
      <w:r w:rsidRPr="001351D1">
        <w:t>ANTECEDENTES</w:t>
      </w:r>
    </w:p>
    <w:p w14:paraId="01E3BD33" w14:textId="77777777" w:rsidR="001351D1" w:rsidRPr="001351D1" w:rsidRDefault="001351D1" w:rsidP="001351D1"/>
    <w:p w14:paraId="18DE0700" w14:textId="77777777" w:rsidR="001351D1" w:rsidRPr="001351D1" w:rsidRDefault="001351D1" w:rsidP="001351D1">
      <w:pPr>
        <w:rPr>
          <w:b/>
          <w:bCs/>
        </w:rPr>
      </w:pPr>
      <w:r w:rsidRPr="001351D1">
        <w:fldChar w:fldCharType="begin"/>
      </w:r>
      <w:r w:rsidRPr="001351D1">
        <w:instrText xml:space="preserve"> AUTONUM  </w:instrText>
      </w:r>
      <w:r w:rsidRPr="001351D1">
        <w:fldChar w:fldCharType="end"/>
      </w:r>
      <w:r w:rsidRPr="001351D1">
        <w:tab/>
        <w:t>En su segunda reunión, celebrada por medios electrónicos el 6 de septiembre de 2022, el Grupo de trabajo sobre el producto de la cosecha y la utilización no autorizada de material de reproducción o de multiplicación (WG</w:t>
      </w:r>
      <w:r w:rsidRPr="001351D1">
        <w:noBreakHyphen/>
        <w:t>HRV) examinó el documento WG</w:t>
      </w:r>
      <w:r w:rsidRPr="001351D1">
        <w:noBreakHyphen/>
        <w:t>HRV/2/3 “Propuestas relativas a las notas explicativas sobre el material de reproducción o de multiplicación con arreglo al Convenio de la UPOV”, y convino en lo siguiente (véanse los párrafos 9 y 14 del documento </w:t>
      </w:r>
      <w:proofErr w:type="spellStart"/>
      <w:r w:rsidRPr="001351D1">
        <w:t>WG</w:t>
      </w:r>
      <w:r w:rsidRPr="001351D1">
        <w:noBreakHyphen/>
        <w:t>HRV</w:t>
      </w:r>
      <w:proofErr w:type="spellEnd"/>
      <w:r w:rsidRPr="001351D1">
        <w:t>/2/6 “</w:t>
      </w:r>
      <w:proofErr w:type="spellStart"/>
      <w:r w:rsidRPr="001351D1">
        <w:t>Draft</w:t>
      </w:r>
      <w:proofErr w:type="spellEnd"/>
      <w:r w:rsidRPr="001351D1">
        <w:t xml:space="preserve"> </w:t>
      </w:r>
      <w:proofErr w:type="spellStart"/>
      <w:r w:rsidRPr="001351D1">
        <w:t>Report</w:t>
      </w:r>
      <w:proofErr w:type="spellEnd"/>
      <w:r w:rsidRPr="001351D1">
        <w:t>” (proyecto de informe), que se reproducen a continuación):</w:t>
      </w:r>
    </w:p>
    <w:p w14:paraId="18BF4AB2" w14:textId="77777777" w:rsidR="001351D1" w:rsidRPr="001351D1" w:rsidRDefault="001351D1" w:rsidP="001351D1"/>
    <w:p w14:paraId="7DA141E9" w14:textId="77777777" w:rsidR="001351D1" w:rsidRPr="001351D1" w:rsidRDefault="001351D1" w:rsidP="001351D1">
      <w:pPr>
        <w:tabs>
          <w:tab w:val="left" w:pos="900"/>
        </w:tabs>
        <w:ind w:left="360" w:right="459"/>
        <w:rPr>
          <w:rFonts w:cs="Arial"/>
          <w:sz w:val="18"/>
          <w:szCs w:val="18"/>
        </w:rPr>
      </w:pPr>
      <w:r w:rsidRPr="001351D1">
        <w:rPr>
          <w:sz w:val="18"/>
          <w:szCs w:val="18"/>
        </w:rPr>
        <w:t>“9.</w:t>
      </w:r>
      <w:r w:rsidRPr="001351D1">
        <w:rPr>
          <w:sz w:val="18"/>
          <w:szCs w:val="18"/>
        </w:rPr>
        <w:tab/>
        <w:t>El WG</w:t>
      </w:r>
      <w:r w:rsidRPr="001351D1">
        <w:rPr>
          <w:sz w:val="18"/>
          <w:szCs w:val="18"/>
        </w:rPr>
        <w:noBreakHyphen/>
        <w:t>HRV convino en que deben aclararse las diferencias entre los factores iii) y vii) y en que debe tenerse en cuenta lo siguiente en la formulación de la próxima versión:</w:t>
      </w:r>
    </w:p>
    <w:p w14:paraId="2E6A9124" w14:textId="77777777" w:rsidR="001351D1" w:rsidRPr="001351D1" w:rsidRDefault="001351D1" w:rsidP="001351D1">
      <w:pPr>
        <w:ind w:left="360" w:right="459"/>
        <w:rPr>
          <w:rFonts w:cs="Arial"/>
          <w:sz w:val="18"/>
          <w:szCs w:val="18"/>
        </w:rPr>
      </w:pPr>
    </w:p>
    <w:p w14:paraId="494ED18B" w14:textId="77777777" w:rsidR="001351D1" w:rsidRPr="001351D1" w:rsidRDefault="001351D1" w:rsidP="001351D1">
      <w:pPr>
        <w:ind w:left="1170" w:right="459" w:hanging="540"/>
        <w:contextualSpacing/>
        <w:rPr>
          <w:rFonts w:cs="Arial"/>
          <w:sz w:val="18"/>
          <w:szCs w:val="18"/>
        </w:rPr>
      </w:pPr>
      <w:r w:rsidRPr="001351D1">
        <w:rPr>
          <w:sz w:val="18"/>
          <w:szCs w:val="18"/>
        </w:rPr>
        <w:t>“a)</w:t>
      </w:r>
      <w:r w:rsidRPr="001351D1">
        <w:rPr>
          <w:sz w:val="18"/>
          <w:szCs w:val="18"/>
        </w:rPr>
        <w:tab/>
        <w:t>con respecto al factor iii) “si el material puede generar plantas enteras de la variedad”, considerar si incluye situaciones en las que el propio material, sin intervención humana, puede producir plantas de la variedad (por ejemplo, un tubérculo);</w:t>
      </w:r>
    </w:p>
    <w:p w14:paraId="6FC99590" w14:textId="77777777" w:rsidR="001351D1" w:rsidRPr="001351D1" w:rsidRDefault="001351D1" w:rsidP="001351D1">
      <w:pPr>
        <w:pStyle w:val="ListParagraph"/>
        <w:ind w:left="630" w:right="459" w:hanging="720"/>
        <w:rPr>
          <w:rFonts w:ascii="Arial" w:hAnsi="Arial" w:cs="Arial"/>
          <w:sz w:val="18"/>
          <w:szCs w:val="18"/>
        </w:rPr>
      </w:pPr>
    </w:p>
    <w:p w14:paraId="237BADE0" w14:textId="77777777" w:rsidR="001351D1" w:rsidRPr="001351D1" w:rsidRDefault="001351D1" w:rsidP="001351D1">
      <w:pPr>
        <w:ind w:left="1130" w:right="459" w:hanging="500"/>
        <w:contextualSpacing/>
        <w:rPr>
          <w:rFonts w:cs="Arial"/>
          <w:sz w:val="18"/>
          <w:szCs w:val="18"/>
        </w:rPr>
      </w:pPr>
      <w:r w:rsidRPr="001351D1">
        <w:rPr>
          <w:sz w:val="18"/>
          <w:szCs w:val="18"/>
        </w:rPr>
        <w:t>“b)</w:t>
      </w:r>
      <w:r w:rsidRPr="001351D1">
        <w:rPr>
          <w:sz w:val="18"/>
          <w:szCs w:val="18"/>
        </w:rPr>
        <w:tab/>
        <w:t>con respecto al factor vii) “si el producto de la cosecha puede utilizarse como material de reproducción o de multiplicación, puede considerarse material de reproducción o de multiplicación”, considerar si incluye situaciones que precisan la intervención humana para reproducir o multiplicar las plantas de la variedad (por ejemplo, el cultivo de tejidos);</w:t>
      </w:r>
    </w:p>
    <w:p w14:paraId="5ACA27E4" w14:textId="77777777" w:rsidR="001351D1" w:rsidRPr="001351D1" w:rsidRDefault="001351D1" w:rsidP="001351D1">
      <w:pPr>
        <w:pStyle w:val="ListParagraph"/>
        <w:ind w:left="630" w:right="459" w:hanging="720"/>
        <w:rPr>
          <w:rFonts w:ascii="Arial" w:hAnsi="Arial" w:cs="Arial"/>
          <w:sz w:val="18"/>
          <w:szCs w:val="18"/>
        </w:rPr>
      </w:pPr>
    </w:p>
    <w:p w14:paraId="1869348A" w14:textId="77777777" w:rsidR="001351D1" w:rsidRPr="001351D1" w:rsidRDefault="001351D1" w:rsidP="001351D1">
      <w:pPr>
        <w:ind w:left="1170" w:right="459" w:hanging="540"/>
        <w:contextualSpacing/>
        <w:rPr>
          <w:rFonts w:cs="Arial"/>
          <w:sz w:val="18"/>
          <w:szCs w:val="18"/>
        </w:rPr>
      </w:pPr>
      <w:r w:rsidRPr="001351D1">
        <w:rPr>
          <w:sz w:val="18"/>
          <w:szCs w:val="18"/>
        </w:rPr>
        <w:t>“c)</w:t>
      </w:r>
      <w:r w:rsidRPr="001351D1">
        <w:rPr>
          <w:sz w:val="18"/>
          <w:szCs w:val="18"/>
        </w:rPr>
        <w:tab/>
        <w:t>con respecto al factor vii) considerar su adaptación al estilo de redacción de los demás factores como se indica a continuación: “</w:t>
      </w:r>
      <w:r w:rsidRPr="00742AC2">
        <w:rPr>
          <w:strike/>
          <w:sz w:val="18"/>
          <w:szCs w:val="18"/>
          <w:highlight w:val="lightGray"/>
        </w:rPr>
        <w:t>si el material producto de la cosecha</w:t>
      </w:r>
      <w:r w:rsidRPr="001351D1">
        <w:rPr>
          <w:sz w:val="18"/>
          <w:szCs w:val="18"/>
        </w:rPr>
        <w:t xml:space="preserve"> </w:t>
      </w:r>
      <w:r w:rsidRPr="00742AC2">
        <w:rPr>
          <w:sz w:val="18"/>
          <w:szCs w:val="18"/>
          <w:highlight w:val="lightGray"/>
          <w:u w:val="single"/>
        </w:rPr>
        <w:t>si el</w:t>
      </w:r>
      <w:r w:rsidRPr="001351D1">
        <w:rPr>
          <w:sz w:val="18"/>
          <w:szCs w:val="18"/>
        </w:rPr>
        <w:t xml:space="preserve"> material</w:t>
      </w:r>
      <w:r w:rsidRPr="001351D1">
        <w:rPr>
          <w:sz w:val="18"/>
          <w:szCs w:val="18"/>
          <w:u w:val="single"/>
        </w:rPr>
        <w:t xml:space="preserve">, </w:t>
      </w:r>
      <w:r w:rsidRPr="00742AC2">
        <w:rPr>
          <w:sz w:val="18"/>
          <w:szCs w:val="18"/>
          <w:highlight w:val="lightGray"/>
          <w:u w:val="single"/>
        </w:rPr>
        <w:t>incluido el material producto de la cosecha</w:t>
      </w:r>
      <w:r w:rsidRPr="001351D1">
        <w:rPr>
          <w:sz w:val="18"/>
          <w:szCs w:val="18"/>
          <w:u w:val="single"/>
        </w:rPr>
        <w:t>,</w:t>
      </w:r>
      <w:r w:rsidRPr="001351D1">
        <w:rPr>
          <w:sz w:val="18"/>
          <w:szCs w:val="18"/>
        </w:rPr>
        <w:t xml:space="preserve"> puede utilizarse…”</w:t>
      </w:r>
    </w:p>
    <w:p w14:paraId="17115C64" w14:textId="77777777" w:rsidR="001351D1" w:rsidRPr="001351D1" w:rsidRDefault="001351D1" w:rsidP="001351D1">
      <w:pPr>
        <w:tabs>
          <w:tab w:val="left" w:pos="990"/>
        </w:tabs>
        <w:ind w:left="360" w:right="459"/>
        <w:rPr>
          <w:rFonts w:cs="Arial"/>
          <w:sz w:val="18"/>
          <w:szCs w:val="18"/>
        </w:rPr>
      </w:pPr>
    </w:p>
    <w:p w14:paraId="10121C08" w14:textId="77777777" w:rsidR="001351D1" w:rsidRPr="001351D1" w:rsidRDefault="001351D1" w:rsidP="001351D1">
      <w:pPr>
        <w:tabs>
          <w:tab w:val="left" w:pos="990"/>
        </w:tabs>
        <w:ind w:left="360" w:right="459"/>
        <w:rPr>
          <w:rFonts w:cs="Arial"/>
          <w:sz w:val="18"/>
          <w:szCs w:val="18"/>
        </w:rPr>
      </w:pPr>
      <w:r w:rsidRPr="001351D1">
        <w:rPr>
          <w:sz w:val="18"/>
          <w:szCs w:val="18"/>
        </w:rPr>
        <w:t>[...]</w:t>
      </w:r>
    </w:p>
    <w:p w14:paraId="21CA1F1F" w14:textId="77777777" w:rsidR="001351D1" w:rsidRPr="001351D1" w:rsidRDefault="001351D1" w:rsidP="001351D1">
      <w:pPr>
        <w:tabs>
          <w:tab w:val="left" w:pos="990"/>
        </w:tabs>
        <w:ind w:left="360" w:right="459"/>
        <w:rPr>
          <w:rFonts w:cs="Arial"/>
          <w:sz w:val="18"/>
          <w:szCs w:val="18"/>
        </w:rPr>
      </w:pPr>
    </w:p>
    <w:p w14:paraId="6218B549" w14:textId="77777777" w:rsidR="001351D1" w:rsidRPr="0046032B" w:rsidRDefault="001351D1" w:rsidP="001351D1">
      <w:pPr>
        <w:tabs>
          <w:tab w:val="left" w:pos="900"/>
        </w:tabs>
        <w:ind w:left="360" w:right="459"/>
        <w:rPr>
          <w:rFonts w:cs="Arial"/>
          <w:sz w:val="18"/>
          <w:szCs w:val="18"/>
        </w:rPr>
      </w:pPr>
      <w:r w:rsidRPr="001351D1">
        <w:rPr>
          <w:sz w:val="18"/>
          <w:szCs w:val="18"/>
        </w:rPr>
        <w:t>“14.</w:t>
      </w:r>
      <w:r w:rsidRPr="001351D1">
        <w:rPr>
          <w:sz w:val="18"/>
          <w:szCs w:val="18"/>
        </w:rPr>
        <w:tab/>
        <w:t>El WG</w:t>
      </w:r>
      <w:r w:rsidRPr="001351D1">
        <w:rPr>
          <w:sz w:val="18"/>
          <w:szCs w:val="18"/>
        </w:rPr>
        <w:noBreakHyphen/>
        <w:t>HRV solicitó a la Oficina de la Unión que prepare un nuevo proyecto del documento con aclaraciones acerca de los factores iii) y vii) para facilitar la revisión del documento UPOV/EXN/PPM/1, a fin de que el WG</w:t>
      </w:r>
      <w:r w:rsidRPr="001351D1">
        <w:rPr>
          <w:sz w:val="18"/>
          <w:szCs w:val="18"/>
        </w:rPr>
        <w:noBreakHyphen/>
        <w:t>HRV, lo examine en su tercera reunión.”</w:t>
      </w:r>
    </w:p>
    <w:p w14:paraId="40C3D635" w14:textId="77777777" w:rsidR="00616C1A" w:rsidRPr="001351D1" w:rsidRDefault="00616C1A" w:rsidP="00F41C29">
      <w:pPr>
        <w:rPr>
          <w:spacing w:val="2"/>
        </w:rPr>
      </w:pPr>
    </w:p>
    <w:p w14:paraId="33FD8B7E" w14:textId="77777777" w:rsidR="00F41C29" w:rsidRPr="001351D1" w:rsidRDefault="00F41C29" w:rsidP="005F49C3">
      <w:pPr>
        <w:spacing w:after="20"/>
        <w:rPr>
          <w:spacing w:val="2"/>
        </w:rPr>
      </w:pPr>
    </w:p>
    <w:p w14:paraId="5FD12538" w14:textId="77777777" w:rsidR="005F49C3" w:rsidRPr="001351D1" w:rsidRDefault="005F49C3" w:rsidP="005F49C3">
      <w:pPr>
        <w:rPr>
          <w:lang w:val="en-US"/>
        </w:rPr>
      </w:pPr>
    </w:p>
    <w:p w14:paraId="758DAF8E" w14:textId="77777777" w:rsidR="005F49C3" w:rsidRPr="001351D1" w:rsidRDefault="005F49C3" w:rsidP="005F49C3">
      <w:pPr>
        <w:jc w:val="right"/>
        <w:rPr>
          <w:lang w:val="en-US"/>
        </w:rPr>
      </w:pPr>
    </w:p>
    <w:p w14:paraId="5794CF19" w14:textId="77777777" w:rsidR="005F49C3" w:rsidRPr="001351D1" w:rsidRDefault="005F49C3" w:rsidP="005F49C3">
      <w:pPr>
        <w:jc w:val="right"/>
        <w:rPr>
          <w:lang w:val="en-US"/>
        </w:rPr>
      </w:pPr>
    </w:p>
    <w:p w14:paraId="02D9DD4F" w14:textId="77777777" w:rsidR="005F49C3" w:rsidRPr="005F49C3" w:rsidRDefault="005F49C3" w:rsidP="005F49C3">
      <w:pPr>
        <w:jc w:val="right"/>
      </w:pPr>
      <w:r>
        <w:t>[Sigue el Anexo]</w:t>
      </w:r>
    </w:p>
    <w:p w14:paraId="7B0BD066" w14:textId="77777777" w:rsidR="00902479" w:rsidRDefault="00902479" w:rsidP="00E62FEB">
      <w:pPr>
        <w:jc w:val="left"/>
      </w:pPr>
    </w:p>
    <w:p w14:paraId="0F46DBCF" w14:textId="77777777" w:rsidR="002D5CDE" w:rsidRDefault="002D5CDE" w:rsidP="00E62FEB">
      <w:pPr>
        <w:jc w:val="left"/>
        <w:sectPr w:rsidR="002D5CDE" w:rsidSect="00BE4EC4">
          <w:headerReference w:type="default" r:id="rId9"/>
          <w:endnotePr>
            <w:numFmt w:val="lowerLetter"/>
          </w:endnotePr>
          <w:pgSz w:w="11907" w:h="16840" w:code="9"/>
          <w:pgMar w:top="510" w:right="1134" w:bottom="1134" w:left="1134" w:header="510" w:footer="624" w:gutter="0"/>
          <w:cols w:space="720"/>
          <w:titlePg/>
        </w:sectPr>
      </w:pPr>
    </w:p>
    <w:p w14:paraId="2C6B5D41" w14:textId="07791AA2" w:rsidR="002D5CDE" w:rsidRPr="00CD0CBC" w:rsidRDefault="00937BD9" w:rsidP="002D5CDE">
      <w:pPr>
        <w:pStyle w:val="Header"/>
        <w:rPr>
          <w:rFonts w:cs="Arial"/>
        </w:rPr>
      </w:pPr>
      <w:r>
        <w:lastRenderedPageBreak/>
        <w:t>WG-HRV/3/2</w:t>
      </w:r>
    </w:p>
    <w:p w14:paraId="2DE56446" w14:textId="77777777" w:rsidR="002D5CDE" w:rsidRPr="007922FF" w:rsidRDefault="002D5CDE" w:rsidP="002D5CDE">
      <w:pPr>
        <w:pStyle w:val="Header"/>
        <w:rPr>
          <w:rFonts w:cs="Arial"/>
        </w:rPr>
      </w:pPr>
    </w:p>
    <w:p w14:paraId="5444AD37" w14:textId="77777777" w:rsidR="002D5CDE" w:rsidRDefault="002D5CDE" w:rsidP="002D5CDE">
      <w:pPr>
        <w:jc w:val="center"/>
      </w:pPr>
      <w:r>
        <w:t>ANEXO</w:t>
      </w:r>
    </w:p>
    <w:p w14:paraId="69B60460" w14:textId="77777777" w:rsidR="002D5CDE" w:rsidRPr="003E2F9B" w:rsidRDefault="002D5CDE" w:rsidP="002D5CDE">
      <w:pPr>
        <w:jc w:val="center"/>
      </w:pPr>
    </w:p>
    <w:p w14:paraId="06D2B836" w14:textId="77777777" w:rsidR="002D5CDE" w:rsidRPr="003E2F9B" w:rsidRDefault="002D5CDE" w:rsidP="002D5CDE">
      <w:pPr>
        <w:jc w:val="center"/>
      </w:pPr>
    </w:p>
    <w:p w14:paraId="5CF1A138" w14:textId="7E32FB0D" w:rsidR="002D5CDE" w:rsidRDefault="002D5CDE" w:rsidP="002D5CDE">
      <w:pPr>
        <w:jc w:val="center"/>
        <w:rPr>
          <w:rFonts w:cs="Arial"/>
        </w:rPr>
      </w:pPr>
      <w:r>
        <w:t xml:space="preserve">PROPUESTAS RELATIVAS A LAS NOTAS EXPLICATIVAS SOBRE EL </w:t>
      </w:r>
      <w:r w:rsidR="00982480">
        <w:br/>
      </w:r>
      <w:r>
        <w:t>MATERIAL DE REPRODUCCIÓN O DE MULTIPLICACIÓN CON ARREGLO AL CONVENIO DE LA UPOV</w:t>
      </w:r>
    </w:p>
    <w:p w14:paraId="3CC2C4A0" w14:textId="77777777" w:rsidR="002D5CDE" w:rsidRDefault="002D5CDE" w:rsidP="002D5CDE">
      <w:pPr>
        <w:spacing w:after="240"/>
        <w:contextualSpacing/>
        <w:jc w:val="center"/>
        <w:rPr>
          <w:i/>
          <w:iCs/>
        </w:rPr>
      </w:pPr>
    </w:p>
    <w:p w14:paraId="16FDFB74" w14:textId="77777777" w:rsidR="002D5CDE" w:rsidRDefault="002D5CDE" w:rsidP="002D5CDE">
      <w:pPr>
        <w:spacing w:after="240"/>
        <w:contextualSpacing/>
        <w:jc w:val="center"/>
        <w:rPr>
          <w:i/>
          <w:iCs/>
        </w:rPr>
      </w:pPr>
    </w:p>
    <w:p w14:paraId="28A45600" w14:textId="77777777" w:rsidR="002D5CDE" w:rsidRPr="00054A3B" w:rsidRDefault="002D5CDE" w:rsidP="002D5CDE">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2D5CDE" w:rsidRPr="001351D1" w14:paraId="254F212A" w14:textId="77777777" w:rsidTr="003C192B">
        <w:trPr>
          <w:cantSplit/>
          <w:trHeight w:val="1690"/>
          <w:jc w:val="center"/>
        </w:trPr>
        <w:tc>
          <w:tcPr>
            <w:tcW w:w="8313" w:type="dxa"/>
            <w:shd w:val="clear" w:color="auto" w:fill="F2F2F2" w:themeFill="background1" w:themeFillShade="F2"/>
          </w:tcPr>
          <w:p w14:paraId="43841511" w14:textId="18FD1FD4" w:rsidR="002D5CDE" w:rsidRPr="00054A3B" w:rsidRDefault="002D5CDE" w:rsidP="003C192B">
            <w:pPr>
              <w:jc w:val="center"/>
              <w:rPr>
                <w:i/>
              </w:rPr>
            </w:pPr>
            <w:r>
              <w:rPr>
                <w:i/>
              </w:rPr>
              <w:t>Descargo de responsabilidad:</w:t>
            </w:r>
            <w:r w:rsidR="00EE1944">
              <w:rPr>
                <w:i/>
              </w:rPr>
              <w:t xml:space="preserve"> </w:t>
            </w:r>
            <w:r>
              <w:rPr>
                <w:i/>
              </w:rPr>
              <w:t xml:space="preserve">el presente documento no constituye un </w:t>
            </w:r>
            <w:r w:rsidR="00512809">
              <w:rPr>
                <w:i/>
              </w:rPr>
              <w:br/>
            </w:r>
            <w:r>
              <w:rPr>
                <w:i/>
              </w:rPr>
              <w:t>documento de política u orientación de la UPOV</w:t>
            </w:r>
          </w:p>
          <w:p w14:paraId="3D290990" w14:textId="77777777" w:rsidR="002D5CDE" w:rsidRPr="00054A3B" w:rsidRDefault="002D5CDE" w:rsidP="003C192B">
            <w:pPr>
              <w:jc w:val="center"/>
            </w:pPr>
          </w:p>
          <w:p w14:paraId="6A60B1BA" w14:textId="77777777" w:rsidR="002D5CDE" w:rsidRPr="001351D1" w:rsidRDefault="002D5CDE" w:rsidP="003C192B">
            <w:pPr>
              <w:jc w:val="center"/>
              <w:rPr>
                <w:rFonts w:cs="Arial"/>
                <w:u w:val="single"/>
                <w:lang w:val="en-US"/>
              </w:rPr>
            </w:pPr>
            <w:r w:rsidRPr="001351D1">
              <w:rPr>
                <w:u w:val="single"/>
                <w:lang w:val="en-US"/>
              </w:rPr>
              <w:t>Nota</w:t>
            </w:r>
          </w:p>
          <w:p w14:paraId="1A8F134D" w14:textId="77777777" w:rsidR="002D5CDE" w:rsidRPr="001351D1" w:rsidRDefault="002D5CDE" w:rsidP="001351D1">
            <w:pPr>
              <w:rPr>
                <w:lang w:val="en-US"/>
              </w:rPr>
            </w:pPr>
          </w:p>
          <w:p w14:paraId="5ED2BFD5" w14:textId="77777777" w:rsidR="001351D1" w:rsidRPr="001351D1" w:rsidRDefault="001351D1" w:rsidP="001351D1">
            <w:pPr>
              <w:rPr>
                <w:highlight w:val="cyan"/>
              </w:rPr>
            </w:pPr>
            <w:r w:rsidRPr="001351D1">
              <w:t>Las propuestas aprobadas por el WG</w:t>
            </w:r>
            <w:r w:rsidRPr="001351D1">
              <w:noBreakHyphen/>
              <w:t>HRV en su segunda reunión se presentan en el texto del documento UPOV/EXN/PPM/1 con marcas de revisión con doble subrayado y tachado</w:t>
            </w:r>
            <w:r w:rsidRPr="001351D1">
              <w:rPr>
                <w:highlight w:val="cyan"/>
              </w:rPr>
              <w:t>.</w:t>
            </w:r>
          </w:p>
          <w:p w14:paraId="2ECA6345" w14:textId="77777777" w:rsidR="002D5CDE" w:rsidRPr="001351D1" w:rsidRDefault="002D5CDE" w:rsidP="003C192B">
            <w:pPr>
              <w:rPr>
                <w:rFonts w:cs="Arial"/>
                <w:sz w:val="18"/>
                <w:szCs w:val="18"/>
                <w:u w:val="dottedHeavy"/>
              </w:rPr>
            </w:pPr>
          </w:p>
        </w:tc>
      </w:tr>
    </w:tbl>
    <w:p w14:paraId="67B80C97" w14:textId="77777777" w:rsidR="002D5CDE" w:rsidRPr="001351D1" w:rsidRDefault="002D5CDE" w:rsidP="002D5CDE">
      <w:pPr>
        <w:jc w:val="left"/>
      </w:pPr>
    </w:p>
    <w:p w14:paraId="1AC7EFDF" w14:textId="77777777" w:rsidR="002D5CDE" w:rsidRPr="001351D1" w:rsidRDefault="002D5CDE" w:rsidP="002D5CDE">
      <w:pPr>
        <w:jc w:val="center"/>
        <w:rPr>
          <w:rFonts w:cs="Arial"/>
        </w:rPr>
      </w:pPr>
    </w:p>
    <w:p w14:paraId="034A10E3" w14:textId="77777777" w:rsidR="00E62FEB" w:rsidRPr="001351D1" w:rsidRDefault="00E62FEB" w:rsidP="00E62FEB">
      <w:pPr>
        <w:jc w:val="left"/>
      </w:pPr>
    </w:p>
    <w:p w14:paraId="4B7683E5" w14:textId="77777777" w:rsidR="004E7EAB" w:rsidRPr="001351D1" w:rsidRDefault="004E7EAB" w:rsidP="004E7EAB"/>
    <w:p w14:paraId="1CAEC136" w14:textId="77777777" w:rsidR="004E7EAB" w:rsidRPr="001351D1" w:rsidRDefault="004E7EAB" w:rsidP="004E7EAB"/>
    <w:p w14:paraId="7736F700" w14:textId="77777777" w:rsidR="004E7EAB" w:rsidRPr="004E7EAB" w:rsidRDefault="004E7EAB" w:rsidP="004E7EAB">
      <w:pPr>
        <w:spacing w:after="240"/>
        <w:rPr>
          <w:u w:val="single"/>
        </w:rPr>
      </w:pPr>
      <w:r>
        <w:rPr>
          <w:u w:val="single"/>
        </w:rPr>
        <w:t>Índice</w:t>
      </w:r>
    </w:p>
    <w:p w14:paraId="72DD03CF" w14:textId="0325AA85" w:rsidR="006A4C12" w:rsidRPr="006A4C12" w:rsidRDefault="006A4C12" w:rsidP="006A4C12">
      <w:pPr>
        <w:pStyle w:val="TOC1"/>
        <w:rPr>
          <w:rFonts w:asciiTheme="minorHAnsi" w:eastAsiaTheme="minorEastAsia" w:hAnsiTheme="minorHAnsi" w:cstheme="minorBidi"/>
          <w:noProof/>
          <w:szCs w:val="22"/>
          <w:lang w:val="en-US"/>
        </w:rPr>
      </w:pPr>
      <w:r w:rsidRPr="004E7EAB">
        <w:rPr>
          <w:rFonts w:cs="Arial"/>
          <w:bCs/>
          <w:noProof/>
          <w:snapToGrid w:val="0"/>
        </w:rPr>
        <w:fldChar w:fldCharType="begin"/>
      </w:r>
      <w:r w:rsidRPr="004E7EAB">
        <w:rPr>
          <w:rFonts w:cs="Arial"/>
          <w:bCs/>
          <w:noProof/>
          <w:snapToGrid w:val="0"/>
        </w:rPr>
        <w:instrText xml:space="preserve"> TOC \o "1-5" \h \z \u </w:instrText>
      </w:r>
      <w:r w:rsidRPr="004E7EAB">
        <w:rPr>
          <w:rFonts w:cs="Arial"/>
          <w:bCs/>
          <w:noProof/>
          <w:snapToGrid w:val="0"/>
        </w:rPr>
        <w:fldChar w:fldCharType="separate"/>
      </w:r>
      <w:hyperlink w:anchor="_Toc112695763" w:history="1">
        <w:r w:rsidRPr="006A4C12">
          <w:rPr>
            <w:rStyle w:val="Hyperlink"/>
            <w:noProof/>
            <w:sz w:val="18"/>
          </w:rPr>
          <w:t>PREÁMBULO</w:t>
        </w:r>
        <w:r w:rsidRPr="006A4C12">
          <w:rPr>
            <w:noProof/>
            <w:webHidden/>
          </w:rPr>
          <w:tab/>
        </w:r>
        <w:r w:rsidRPr="006A4C12">
          <w:rPr>
            <w:noProof/>
            <w:webHidden/>
          </w:rPr>
          <w:fldChar w:fldCharType="begin"/>
        </w:r>
        <w:r w:rsidRPr="006A4C12">
          <w:rPr>
            <w:noProof/>
            <w:webHidden/>
          </w:rPr>
          <w:instrText xml:space="preserve"> PAGEREF _Toc112695763 \h </w:instrText>
        </w:r>
        <w:r w:rsidRPr="006A4C12">
          <w:rPr>
            <w:noProof/>
            <w:webHidden/>
          </w:rPr>
        </w:r>
        <w:r w:rsidRPr="006A4C12">
          <w:rPr>
            <w:noProof/>
            <w:webHidden/>
          </w:rPr>
          <w:fldChar w:fldCharType="separate"/>
        </w:r>
        <w:r w:rsidRPr="006A4C12">
          <w:rPr>
            <w:noProof/>
            <w:webHidden/>
          </w:rPr>
          <w:t>2</w:t>
        </w:r>
        <w:r w:rsidRPr="006A4C12">
          <w:rPr>
            <w:noProof/>
            <w:webHidden/>
          </w:rPr>
          <w:fldChar w:fldCharType="end"/>
        </w:r>
      </w:hyperlink>
    </w:p>
    <w:p w14:paraId="23E803C1" w14:textId="03D8A0BC" w:rsidR="006A4C12" w:rsidRPr="006A4C12" w:rsidRDefault="00BE685F" w:rsidP="006A4C12">
      <w:pPr>
        <w:pStyle w:val="TOC1"/>
        <w:rPr>
          <w:rFonts w:asciiTheme="minorHAnsi" w:eastAsiaTheme="minorEastAsia" w:hAnsiTheme="minorHAnsi" w:cstheme="minorBidi"/>
          <w:noProof/>
          <w:szCs w:val="22"/>
          <w:lang w:val="en-US"/>
        </w:rPr>
      </w:pPr>
      <w:hyperlink w:anchor="_Toc112695764" w:history="1">
        <w:r w:rsidR="006A4C12" w:rsidRPr="006A4C12">
          <w:rPr>
            <w:rStyle w:val="Hyperlink"/>
            <w:noProof/>
            <w:sz w:val="18"/>
          </w:rPr>
          <w:t>FACTORES QUE SE HAN TENIDO EN CUENTA PARA DECIDIR SI UN MATERIAL CONSTITUYE MATERIAL DE REPRODUCCIÓN O DE MULTIPLICACIÓN</w:t>
        </w:r>
        <w:r w:rsidR="006A4C12" w:rsidRPr="006A4C12">
          <w:rPr>
            <w:noProof/>
            <w:webHidden/>
          </w:rPr>
          <w:tab/>
        </w:r>
        <w:r w:rsidR="006A4C12" w:rsidRPr="006A4C12">
          <w:rPr>
            <w:noProof/>
            <w:webHidden/>
          </w:rPr>
          <w:fldChar w:fldCharType="begin"/>
        </w:r>
        <w:r w:rsidR="006A4C12" w:rsidRPr="006A4C12">
          <w:rPr>
            <w:noProof/>
            <w:webHidden/>
          </w:rPr>
          <w:instrText xml:space="preserve"> PAGEREF _Toc112695764 \h </w:instrText>
        </w:r>
        <w:r w:rsidR="006A4C12" w:rsidRPr="006A4C12">
          <w:rPr>
            <w:noProof/>
            <w:webHidden/>
          </w:rPr>
        </w:r>
        <w:r w:rsidR="006A4C12" w:rsidRPr="006A4C12">
          <w:rPr>
            <w:noProof/>
            <w:webHidden/>
          </w:rPr>
          <w:fldChar w:fldCharType="separate"/>
        </w:r>
        <w:r w:rsidR="006A4C12" w:rsidRPr="006A4C12">
          <w:rPr>
            <w:noProof/>
            <w:webHidden/>
          </w:rPr>
          <w:t>2</w:t>
        </w:r>
        <w:r w:rsidR="006A4C12" w:rsidRPr="006A4C12">
          <w:rPr>
            <w:noProof/>
            <w:webHidden/>
          </w:rPr>
          <w:fldChar w:fldCharType="end"/>
        </w:r>
      </w:hyperlink>
    </w:p>
    <w:p w14:paraId="0BAFBC4B" w14:textId="254212EE" w:rsidR="004E7EAB" w:rsidRPr="00512809" w:rsidRDefault="006A4C12" w:rsidP="006A4C12">
      <w:pPr>
        <w:pStyle w:val="TOC1"/>
        <w:rPr>
          <w:rFonts w:cs="Arial"/>
        </w:rPr>
      </w:pPr>
      <w:r w:rsidRPr="004E7EAB">
        <w:rPr>
          <w:snapToGrid w:val="0"/>
        </w:rPr>
        <w:fldChar w:fldCharType="end"/>
      </w:r>
      <w:r w:rsidR="004E7EAB" w:rsidRPr="00512809">
        <w:rPr>
          <w:rFonts w:cs="Arial"/>
          <w:snapToGrid w:val="0"/>
        </w:rPr>
        <w:fldChar w:fldCharType="begin"/>
      </w:r>
      <w:r w:rsidR="004E7EAB" w:rsidRPr="00512809">
        <w:rPr>
          <w:rFonts w:cs="Arial"/>
          <w:snapToGrid w:val="0"/>
        </w:rPr>
        <w:instrText xml:space="preserve"> TOC \o "1-5" \h \z \u </w:instrText>
      </w:r>
      <w:r w:rsidR="004E7EAB" w:rsidRPr="00512809">
        <w:rPr>
          <w:rFonts w:cs="Arial"/>
          <w:snapToGrid w:val="0"/>
        </w:rPr>
        <w:fldChar w:fldCharType="end"/>
      </w:r>
      <w:r w:rsidR="004E7EAB" w:rsidRPr="00512809">
        <w:rPr>
          <w:snapToGrid w:val="0"/>
        </w:rPr>
        <w:t>APÉNDICE:</w:t>
      </w:r>
      <w:r w:rsidR="00EE1944" w:rsidRPr="00512809">
        <w:rPr>
          <w:snapToGrid w:val="0"/>
        </w:rPr>
        <w:t xml:space="preserve"> </w:t>
      </w:r>
      <w:r w:rsidR="004E7EAB" w:rsidRPr="00512809">
        <w:rPr>
          <w:snapToGrid w:val="0"/>
        </w:rPr>
        <w:t>ARTÍCULOS PERTINENTES DEL CONVENIO DE LA UPOV</w:t>
      </w:r>
    </w:p>
    <w:p w14:paraId="6FD7469C" w14:textId="77777777" w:rsidR="004E7EAB" w:rsidRPr="004E7EAB" w:rsidRDefault="004E7EAB" w:rsidP="004E7EAB"/>
    <w:p w14:paraId="30BCC5CF" w14:textId="77777777" w:rsidR="004E7EAB" w:rsidRPr="004E7EAB" w:rsidRDefault="004E7EAB" w:rsidP="004E7EAB"/>
    <w:p w14:paraId="54FD68D8" w14:textId="77777777" w:rsidR="004E7EAB" w:rsidRPr="004E7EAB" w:rsidRDefault="004E7EAB" w:rsidP="004E7EAB"/>
    <w:p w14:paraId="18AC0DB9" w14:textId="77777777" w:rsidR="004E7EAB" w:rsidRPr="004E7EAB" w:rsidRDefault="004E7EAB" w:rsidP="004E7EAB"/>
    <w:p w14:paraId="1B973139" w14:textId="77777777" w:rsidR="004E7EAB" w:rsidRPr="004E7EAB" w:rsidRDefault="004E7EAB" w:rsidP="004E7EAB"/>
    <w:p w14:paraId="12482855" w14:textId="77777777" w:rsidR="004E7EAB" w:rsidRPr="004E7EAB" w:rsidRDefault="004E7EAB" w:rsidP="004E7EAB">
      <w:pPr>
        <w:jc w:val="left"/>
        <w:rPr>
          <w:caps/>
        </w:rPr>
      </w:pPr>
      <w:bookmarkStart w:id="2" w:name="_Toc345407987"/>
      <w:r>
        <w:br w:type="page"/>
      </w:r>
    </w:p>
    <w:p w14:paraId="7540096F" w14:textId="77777777" w:rsidR="004E7EAB" w:rsidRPr="004E7EAB" w:rsidRDefault="004E7EAB" w:rsidP="004E7EAB"/>
    <w:p w14:paraId="34B6EF3F" w14:textId="77777777" w:rsidR="004E7EAB" w:rsidRPr="004E7EAB" w:rsidRDefault="004E7EAB" w:rsidP="004E7EAB">
      <w:pPr>
        <w:keepNext/>
        <w:outlineLvl w:val="0"/>
        <w:rPr>
          <w:caps/>
        </w:rPr>
      </w:pPr>
      <w:bookmarkStart w:id="3" w:name="_Toc112050033"/>
      <w:bookmarkStart w:id="4" w:name="_Toc112695763"/>
      <w:r>
        <w:rPr>
          <w:caps/>
        </w:rPr>
        <w:t>PREÁMBULO</w:t>
      </w:r>
      <w:bookmarkEnd w:id="2"/>
      <w:bookmarkEnd w:id="3"/>
      <w:bookmarkEnd w:id="4"/>
    </w:p>
    <w:p w14:paraId="69050A8B" w14:textId="77777777" w:rsidR="004E7EAB" w:rsidRPr="004E7EAB" w:rsidRDefault="004E7EAB" w:rsidP="004E7EAB"/>
    <w:p w14:paraId="01725B5B" w14:textId="03A14724" w:rsidR="005B488F" w:rsidRPr="004E7EAB" w:rsidRDefault="004E7EAB" w:rsidP="004916AD">
      <w:r>
        <w:t>El objetivo de las presentes notas explicativas es proporcionar algunas orientaciones respecto del material de reproducción o de multiplicación con arreglo al Convenio Internacional para la Protección de las Obtenciones Vegetales (en adelante Convenio de la UPOV).</w:t>
      </w:r>
      <w:r w:rsidR="00EE1944">
        <w:t xml:space="preserve"> </w:t>
      </w:r>
      <w:r>
        <w:t>Las únicas obligaciones vinculantes de los miembros de la</w:t>
      </w:r>
      <w:r w:rsidR="00512809">
        <w:t> </w:t>
      </w:r>
      <w:r>
        <w:t>Unión son las que figuran en el texto del Convenio de la UPOV; estas notas explicativas no deben interpretarse de modo que no sea compatible con el Acta pertinente para el miembro de la Unión en cuestión.</w:t>
      </w:r>
      <w:r w:rsidR="00EE1944">
        <w:t xml:space="preserve"> </w:t>
      </w:r>
    </w:p>
    <w:p w14:paraId="1B2751E8" w14:textId="77777777" w:rsidR="00385EFC" w:rsidRPr="004E7EAB" w:rsidRDefault="00385EFC" w:rsidP="004E7EAB"/>
    <w:p w14:paraId="4E7DEC53" w14:textId="77777777" w:rsidR="004E7EAB" w:rsidRPr="004E7EAB" w:rsidRDefault="004E7EAB" w:rsidP="004E7EAB">
      <w:bookmarkStart w:id="5" w:name="_Toc331410077"/>
    </w:p>
    <w:p w14:paraId="4FE01696" w14:textId="77777777" w:rsidR="004E7EAB" w:rsidRPr="004E7EAB" w:rsidRDefault="004E7EAB" w:rsidP="004E7EAB">
      <w:pPr>
        <w:keepNext/>
        <w:outlineLvl w:val="0"/>
        <w:rPr>
          <w:caps/>
        </w:rPr>
      </w:pPr>
      <w:bookmarkStart w:id="6" w:name="_Toc112050034"/>
      <w:bookmarkStart w:id="7" w:name="_Toc112695764"/>
      <w:bookmarkEnd w:id="5"/>
      <w:r>
        <w:rPr>
          <w:caps/>
        </w:rPr>
        <w:t>FACTORES QUE SE HAN TENIDO EN CUENTA PARA DECIDIR SI UN MATERIAL CONSTITUYE MATERIAL DE REPRODUCCIÓN O DE MULTIPLICACIÓN</w:t>
      </w:r>
      <w:bookmarkEnd w:id="6"/>
      <w:bookmarkEnd w:id="7"/>
    </w:p>
    <w:p w14:paraId="62CF6656" w14:textId="77777777" w:rsidR="004E7EAB" w:rsidRPr="004E7EAB" w:rsidRDefault="004E7EAB" w:rsidP="004E7EAB">
      <w:bookmarkStart w:id="8" w:name="_Toc178579799"/>
      <w:bookmarkStart w:id="9" w:name="_Toc178579820"/>
    </w:p>
    <w:bookmarkEnd w:id="8"/>
    <w:bookmarkEnd w:id="9"/>
    <w:p w14:paraId="4995D605" w14:textId="751A6528" w:rsidR="004E7EAB" w:rsidRPr="004E7EAB" w:rsidRDefault="004E7EAB" w:rsidP="004E7EAB">
      <w:r>
        <w:t>En el Convenio de la UPOV no se establece una definición de “material de reproducción o de multiplicación”.</w:t>
      </w:r>
      <w:r w:rsidR="00EE1944">
        <w:t xml:space="preserve"> </w:t>
      </w:r>
      <w:r>
        <w:t>El concepto “material de reproducción o</w:t>
      </w:r>
      <w:r w:rsidR="00EE1944">
        <w:t xml:space="preserve"> </w:t>
      </w:r>
      <w:r>
        <w:t>multiplicación” incluye el material de reproducción y el material de multiplicación vegetativa.</w:t>
      </w:r>
      <w:r w:rsidR="00EE1944">
        <w:t xml:space="preserve"> </w:t>
      </w:r>
      <w:r>
        <w:t xml:space="preserve">A </w:t>
      </w:r>
      <w:proofErr w:type="gramStart"/>
      <w:r>
        <w:t>continuación</w:t>
      </w:r>
      <w:proofErr w:type="gramEnd"/>
      <w:r>
        <w:t xml:space="preserve"> se ofrece una relación no exhaustiva de ejemplos de factores que los miembros de la Unión han tenido en cuenta para decidir si un material constituye material de reproducción o de multiplicación.</w:t>
      </w:r>
      <w:r w:rsidR="00EE1944">
        <w:t xml:space="preserve"> </w:t>
      </w:r>
      <w:r>
        <w:t>Estos factores deben ser considerados en el contexto de cada miembro de la Unión y de las circunstancias específicas.</w:t>
      </w:r>
    </w:p>
    <w:p w14:paraId="1440636C" w14:textId="77777777" w:rsidR="004916AD" w:rsidRPr="004E7EAB" w:rsidRDefault="004916AD" w:rsidP="004916AD"/>
    <w:p w14:paraId="0532E567" w14:textId="77777777" w:rsidR="004916AD" w:rsidRPr="004E7EAB" w:rsidRDefault="004916AD" w:rsidP="00937BD9">
      <w:pPr>
        <w:tabs>
          <w:tab w:val="left" w:pos="1440"/>
        </w:tabs>
        <w:spacing w:after="120"/>
        <w:ind w:left="1440" w:hanging="900"/>
      </w:pPr>
      <w:r>
        <w:t>i)</w:t>
      </w:r>
      <w:r>
        <w:tab/>
        <w:t>plantas o partes de plantas empleadas para la reproducción de la variedad;</w:t>
      </w:r>
    </w:p>
    <w:p w14:paraId="0C97589E" w14:textId="77777777" w:rsidR="004916AD" w:rsidRPr="004E7EAB" w:rsidRDefault="004916AD" w:rsidP="00937BD9">
      <w:pPr>
        <w:tabs>
          <w:tab w:val="left" w:pos="1440"/>
        </w:tabs>
        <w:spacing w:after="120"/>
        <w:ind w:left="1440" w:hanging="900"/>
      </w:pPr>
      <w:r>
        <w:t>ii)</w:t>
      </w:r>
      <w:r>
        <w:tab/>
        <w:t>si el material se ha utilizado o puede ser utilizado para reproducir o multiplicar la variedad;</w:t>
      </w:r>
    </w:p>
    <w:p w14:paraId="252F61B8" w14:textId="2E57DD5D" w:rsidR="004916AD" w:rsidRPr="001351D1" w:rsidRDefault="004916AD" w:rsidP="00937BD9">
      <w:pPr>
        <w:tabs>
          <w:tab w:val="left" w:pos="1440"/>
        </w:tabs>
        <w:spacing w:after="120"/>
        <w:ind w:left="1440" w:hanging="900"/>
      </w:pPr>
      <w:r w:rsidRPr="001351D1">
        <w:t>iii)</w:t>
      </w:r>
      <w:r w:rsidRPr="001351D1">
        <w:tab/>
      </w:r>
      <w:r w:rsidR="001351D1" w:rsidRPr="001351D1">
        <w:t xml:space="preserve">si el material puede </w:t>
      </w:r>
      <w:r w:rsidR="001351D1" w:rsidRPr="001351D1">
        <w:rPr>
          <w:highlight w:val="lightGray"/>
          <w:u w:val="double"/>
        </w:rPr>
        <w:t>tiene la capacidad innata de</w:t>
      </w:r>
      <w:r w:rsidR="001351D1" w:rsidRPr="001351D1">
        <w:t xml:space="preserve"> generar plantas enteras de la variedad</w:t>
      </w:r>
      <w:r w:rsidR="001351D1" w:rsidRPr="001351D1">
        <w:rPr>
          <w:u w:val="double"/>
        </w:rPr>
        <w:t xml:space="preserve"> </w:t>
      </w:r>
      <w:r w:rsidR="001351D1" w:rsidRPr="001351D1">
        <w:rPr>
          <w:highlight w:val="lightGray"/>
          <w:u w:val="double"/>
        </w:rPr>
        <w:t>(por ejemplo, semillas, tubérculos)</w:t>
      </w:r>
      <w:r w:rsidR="001351D1" w:rsidRPr="001351D1">
        <w:t>;</w:t>
      </w:r>
    </w:p>
    <w:p w14:paraId="4C3A6FFA" w14:textId="12981B9E" w:rsidR="00937BD9" w:rsidRPr="001351D1" w:rsidRDefault="00937BD9" w:rsidP="00937BD9">
      <w:pPr>
        <w:tabs>
          <w:tab w:val="left" w:pos="900"/>
          <w:tab w:val="left" w:pos="1440"/>
        </w:tabs>
        <w:autoSpaceDE w:val="0"/>
        <w:autoSpaceDN w:val="0"/>
        <w:adjustRightInd w:val="0"/>
        <w:spacing w:after="120"/>
        <w:ind w:left="1440" w:hanging="900"/>
      </w:pPr>
      <w:r w:rsidRPr="001351D1">
        <w:t>iv)</w:t>
      </w:r>
      <w:r w:rsidRPr="001351D1">
        <w:tab/>
      </w:r>
      <w:r w:rsidRPr="001351D1">
        <w:rPr>
          <w:rFonts w:cs="Arial"/>
          <w:dstrike/>
          <w:highlight w:val="lightGray"/>
        </w:rPr>
        <w:t>vii)</w:t>
      </w:r>
      <w:r w:rsidRPr="001351D1">
        <w:tab/>
      </w:r>
      <w:r w:rsidR="001351D1" w:rsidRPr="001351D1">
        <w:rPr>
          <w:dstrike/>
          <w:highlight w:val="lightGray"/>
        </w:rPr>
        <w:t>si el material producto de la cosecha</w:t>
      </w:r>
      <w:r w:rsidR="001351D1" w:rsidRPr="001351D1">
        <w:rPr>
          <w:dstrike/>
        </w:rPr>
        <w:t xml:space="preserve"> </w:t>
      </w:r>
      <w:r w:rsidR="001351D1" w:rsidRPr="001351D1">
        <w:rPr>
          <w:highlight w:val="lightGray"/>
          <w:u w:val="double"/>
        </w:rPr>
        <w:t>si el</w:t>
      </w:r>
      <w:r w:rsidR="001351D1" w:rsidRPr="001351D1">
        <w:rPr>
          <w:highlight w:val="lightGray"/>
        </w:rPr>
        <w:t xml:space="preserve"> </w:t>
      </w:r>
      <w:r w:rsidR="001351D1" w:rsidRPr="001351D1">
        <w:rPr>
          <w:highlight w:val="lightGray"/>
          <w:u w:val="single"/>
        </w:rPr>
        <w:t>material</w:t>
      </w:r>
      <w:r w:rsidR="001351D1" w:rsidRPr="001351D1">
        <w:rPr>
          <w:u w:val="double"/>
        </w:rPr>
        <w:t>,</w:t>
      </w:r>
      <w:r w:rsidR="001351D1" w:rsidRPr="001351D1">
        <w:rPr>
          <w:dstrike/>
        </w:rPr>
        <w:t xml:space="preserve"> </w:t>
      </w:r>
      <w:r w:rsidR="001351D1" w:rsidRPr="001351D1">
        <w:rPr>
          <w:dstrike/>
          <w:highlight w:val="lightGray"/>
        </w:rPr>
        <w:t>puede utilizarse</w:t>
      </w:r>
      <w:r w:rsidR="001351D1" w:rsidRPr="001351D1">
        <w:t xml:space="preserve"> </w:t>
      </w:r>
      <w:r w:rsidR="001351D1" w:rsidRPr="001351D1">
        <w:rPr>
          <w:highlight w:val="lightGray"/>
          <w:u w:val="double"/>
        </w:rPr>
        <w:t>incluido el material producto de la cosecha, podría</w:t>
      </w:r>
      <w:r w:rsidR="001351D1" w:rsidRPr="001351D1">
        <w:rPr>
          <w:u w:val="double"/>
        </w:rPr>
        <w:t xml:space="preserve"> </w:t>
      </w:r>
      <w:r w:rsidR="001351D1" w:rsidRPr="00742AC2">
        <w:rPr>
          <w:highlight w:val="lightGray"/>
          <w:u w:val="single"/>
        </w:rPr>
        <w:t>utilizarse como material de reproducción o de multiplicación</w:t>
      </w:r>
      <w:r w:rsidR="001351D1" w:rsidRPr="001351D1">
        <w:rPr>
          <w:dstrike/>
        </w:rPr>
        <w:t xml:space="preserve">, </w:t>
      </w:r>
      <w:r w:rsidR="001351D1" w:rsidRPr="001351D1">
        <w:rPr>
          <w:dstrike/>
          <w:highlight w:val="lightGray"/>
        </w:rPr>
        <w:t>puede considerarse</w:t>
      </w:r>
      <w:r w:rsidR="001351D1" w:rsidRPr="001351D1">
        <w:rPr>
          <w:dstrike/>
        </w:rPr>
        <w:t xml:space="preserve"> </w:t>
      </w:r>
      <w:r w:rsidR="001351D1" w:rsidRPr="001351D1">
        <w:rPr>
          <w:highlight w:val="lightGray"/>
          <w:u w:val="double"/>
        </w:rPr>
        <w:t xml:space="preserve">mediante el uso de técnicas de </w:t>
      </w:r>
      <w:r w:rsidR="001351D1" w:rsidRPr="001351D1">
        <w:rPr>
          <w:highlight w:val="lightGray"/>
          <w:u w:val="single"/>
        </w:rPr>
        <w:t>reproducción o de multiplicación</w:t>
      </w:r>
      <w:r w:rsidR="001351D1" w:rsidRPr="001351D1">
        <w:rPr>
          <w:u w:val="double"/>
        </w:rPr>
        <w:t xml:space="preserve"> </w:t>
      </w:r>
      <w:r w:rsidR="001351D1" w:rsidRPr="001351D1">
        <w:rPr>
          <w:dstrike/>
          <w:highlight w:val="lightGray"/>
        </w:rPr>
        <w:t>material</w:t>
      </w:r>
      <w:r w:rsidR="001351D1" w:rsidRPr="001351D1">
        <w:rPr>
          <w:u w:val="double"/>
        </w:rPr>
        <w:t xml:space="preserve"> </w:t>
      </w:r>
      <w:r w:rsidR="001351D1" w:rsidRPr="001351D1">
        <w:rPr>
          <w:highlight w:val="lightGray"/>
          <w:u w:val="double"/>
        </w:rPr>
        <w:t>(por ejemplo, esquejes, cultivo de tejidos)</w:t>
      </w:r>
      <w:r w:rsidR="001351D1" w:rsidRPr="001351D1">
        <w:t>;</w:t>
      </w:r>
    </w:p>
    <w:p w14:paraId="25C48BCA" w14:textId="56B11FAB" w:rsidR="004916AD" w:rsidRPr="004E7EAB" w:rsidRDefault="00937BD9" w:rsidP="00937BD9">
      <w:pPr>
        <w:tabs>
          <w:tab w:val="left" w:pos="900"/>
          <w:tab w:val="left" w:pos="1440"/>
        </w:tabs>
        <w:autoSpaceDE w:val="0"/>
        <w:autoSpaceDN w:val="0"/>
        <w:adjustRightInd w:val="0"/>
        <w:spacing w:after="120"/>
        <w:ind w:left="1440" w:hanging="900"/>
      </w:pPr>
      <w:r>
        <w:t>v)</w:t>
      </w:r>
      <w:r>
        <w:tab/>
      </w:r>
      <w:r>
        <w:rPr>
          <w:rFonts w:cs="Arial"/>
          <w:dstrike/>
          <w:highlight w:val="lightGray"/>
        </w:rPr>
        <w:t>i</w:t>
      </w:r>
      <w:r w:rsidRPr="00B53041">
        <w:rPr>
          <w:rFonts w:cs="Arial"/>
          <w:dstrike/>
          <w:highlight w:val="lightGray"/>
        </w:rPr>
        <w:t>v)</w:t>
      </w:r>
      <w:r w:rsidRPr="000A4E04">
        <w:tab/>
      </w:r>
      <w:r w:rsidR="004916AD">
        <w:t>si existe la costumbre/práctica de utilizar el material con ese fin o si, como resultado de nuevos avances, hay una nueva costumbre/práctica de utilizar el material con ese fin;</w:t>
      </w:r>
    </w:p>
    <w:p w14:paraId="003383DA" w14:textId="3A1F341D" w:rsidR="004916AD" w:rsidRPr="004E7EAB" w:rsidRDefault="00937BD9" w:rsidP="00937BD9">
      <w:pPr>
        <w:tabs>
          <w:tab w:val="left" w:pos="900"/>
        </w:tabs>
        <w:spacing w:after="120"/>
        <w:ind w:left="1440" w:hanging="900"/>
      </w:pPr>
      <w:r>
        <w:t>vi)</w:t>
      </w:r>
      <w:r>
        <w:tab/>
      </w:r>
      <w:r w:rsidRPr="00B53041">
        <w:rPr>
          <w:rFonts w:cs="Arial"/>
          <w:dstrike/>
          <w:highlight w:val="lightGray"/>
        </w:rPr>
        <w:t>v)</w:t>
      </w:r>
      <w:r>
        <w:tab/>
      </w:r>
      <w:r w:rsidR="004916AD">
        <w:t>la intención de las partes en cuestión (productor, vendedor, suministrador, comprador, receptor, usuario);</w:t>
      </w:r>
    </w:p>
    <w:p w14:paraId="5355EFE7" w14:textId="17BA9BDF" w:rsidR="004916AD" w:rsidRDefault="00937BD9" w:rsidP="00937BD9">
      <w:pPr>
        <w:tabs>
          <w:tab w:val="left" w:pos="900"/>
        </w:tabs>
        <w:spacing w:after="120"/>
        <w:ind w:left="1440" w:hanging="900"/>
      </w:pPr>
      <w:r>
        <w:t>vii)</w:t>
      </w:r>
      <w:r>
        <w:tab/>
      </w:r>
      <w:r w:rsidRPr="00B53041">
        <w:rPr>
          <w:rFonts w:cs="Arial"/>
          <w:dstrike/>
          <w:highlight w:val="lightGray"/>
        </w:rPr>
        <w:t>v</w:t>
      </w:r>
      <w:r>
        <w:rPr>
          <w:rFonts w:cs="Arial"/>
          <w:dstrike/>
          <w:highlight w:val="lightGray"/>
        </w:rPr>
        <w:t>i</w:t>
      </w:r>
      <w:r w:rsidRPr="00B53041">
        <w:rPr>
          <w:rFonts w:cs="Arial"/>
          <w:dstrike/>
          <w:highlight w:val="lightGray"/>
        </w:rPr>
        <w:t>)</w:t>
      </w:r>
      <w:r w:rsidRPr="000A4E04">
        <w:tab/>
      </w:r>
      <w:r w:rsidR="004916AD">
        <w:t xml:space="preserve">si, basándose en la naturaleza y condición del material y/o en su forma de uso, puede determinarse que el material constituye “material de reproducción o multiplicación”; </w:t>
      </w:r>
      <w:r w:rsidR="004916AD" w:rsidRPr="00937BD9">
        <w:rPr>
          <w:highlight w:val="lightGray"/>
          <w:u w:val="double"/>
        </w:rPr>
        <w:t>o</w:t>
      </w:r>
    </w:p>
    <w:p w14:paraId="36D8A1BA" w14:textId="72CB69F5" w:rsidR="004916AD" w:rsidRPr="00F9163C" w:rsidRDefault="004916AD" w:rsidP="00937BD9">
      <w:pPr>
        <w:spacing w:after="120"/>
        <w:ind w:left="1440" w:hanging="900"/>
        <w:rPr>
          <w:u w:val="single"/>
        </w:rPr>
      </w:pPr>
      <w:r>
        <w:rPr>
          <w:highlight w:val="lightGray"/>
          <w:u w:val="single"/>
        </w:rPr>
        <w:t>viii)</w:t>
      </w:r>
      <w:r>
        <w:rPr>
          <w:u w:val="single"/>
        </w:rPr>
        <w:tab/>
      </w:r>
      <w:r>
        <w:t xml:space="preserve">el material de la variedad cuyas condiciones y modo de producción cumplen la finalidad de reproducción de nuevas plantas de la </w:t>
      </w:r>
      <w:proofErr w:type="gramStart"/>
      <w:r>
        <w:t>variedad</w:t>
      </w:r>
      <w:proofErr w:type="gramEnd"/>
      <w:r>
        <w:t xml:space="preserve"> pero no la de consumo.</w:t>
      </w:r>
    </w:p>
    <w:p w14:paraId="2FC12F84" w14:textId="77777777" w:rsidR="004E7EAB" w:rsidRDefault="004E7EAB" w:rsidP="004E7EAB">
      <w:pPr>
        <w:ind w:left="567"/>
      </w:pPr>
      <w:r>
        <w:t>No deberá considerarse que el texto precedente constituye una definición de “material de reproducción o multiplicación”.</w:t>
      </w:r>
    </w:p>
    <w:p w14:paraId="54174BD8" w14:textId="76E80DEC" w:rsidR="004E7EAB" w:rsidRDefault="004E7EAB" w:rsidP="004E7EAB"/>
    <w:p w14:paraId="3F6B0C26" w14:textId="77777777" w:rsidR="00937BD9" w:rsidRPr="004E7EAB" w:rsidRDefault="00937BD9" w:rsidP="004E7EAB"/>
    <w:p w14:paraId="1CC58CF7" w14:textId="15A3E249" w:rsidR="004E7EAB" w:rsidRPr="004E7EAB" w:rsidRDefault="004E7EAB" w:rsidP="004916AD">
      <w:r>
        <w:t>El 24 de octubre de 2016 se celebró en Ginebra el “Seminario sobre el material de reproducción o de multiplicación vegetativa y el producto de la cosecha en el contexto del Convenio de la UPOV”, organizado por la UPOV.</w:t>
      </w:r>
      <w:r w:rsidR="00EE1944">
        <w:t xml:space="preserve"> </w:t>
      </w:r>
      <w:r>
        <w:t xml:space="preserve">Las actas del seminario están disponibles en la siguiente dirección: </w:t>
      </w:r>
      <w:hyperlink r:id="rId10" w:history="1">
        <w:r>
          <w:rPr>
            <w:color w:val="0000FF"/>
            <w:u w:val="single"/>
          </w:rPr>
          <w:t>https://www.upov.int/meetings/en/topic.jsp?group_id=73.</w:t>
        </w:r>
      </w:hyperlink>
      <w:r>
        <w:t xml:space="preserve">. </w:t>
      </w:r>
    </w:p>
    <w:p w14:paraId="61BD9DFF" w14:textId="43B9FA9C" w:rsidR="00616C1A" w:rsidRDefault="00616C1A" w:rsidP="004E7EAB">
      <w:pPr>
        <w:jc w:val="right"/>
      </w:pPr>
    </w:p>
    <w:p w14:paraId="50D01B7F" w14:textId="77777777" w:rsidR="007C0D2C" w:rsidRDefault="007C0D2C" w:rsidP="004E7EAB">
      <w:pPr>
        <w:jc w:val="right"/>
      </w:pPr>
    </w:p>
    <w:p w14:paraId="4263174E" w14:textId="77777777" w:rsidR="004E7EAB" w:rsidRPr="004E7EAB" w:rsidRDefault="004E7EAB" w:rsidP="004E7EAB">
      <w:pPr>
        <w:jc w:val="right"/>
      </w:pPr>
      <w:r>
        <w:t>[Sigue el Apéndice]</w:t>
      </w:r>
    </w:p>
    <w:p w14:paraId="6E81D2BD" w14:textId="77777777" w:rsidR="004E7EAB" w:rsidRPr="004E7EAB" w:rsidRDefault="004E7EAB" w:rsidP="004E7EAB"/>
    <w:p w14:paraId="057EA0D6" w14:textId="77777777" w:rsidR="004E7EAB" w:rsidRPr="004E7EAB" w:rsidRDefault="004E7EAB" w:rsidP="004E7EAB"/>
    <w:p w14:paraId="65ECF51A" w14:textId="77777777" w:rsidR="004E7EAB" w:rsidRPr="004E7EAB" w:rsidRDefault="004E7EAB" w:rsidP="004E7EAB"/>
    <w:p w14:paraId="4E83CB99" w14:textId="77777777" w:rsidR="004E7EAB" w:rsidRPr="004E7EAB" w:rsidRDefault="004E7EAB" w:rsidP="004E7EAB"/>
    <w:p w14:paraId="31268EAA" w14:textId="77777777" w:rsidR="004E7EAB" w:rsidRPr="004E7EAB" w:rsidRDefault="004E7EAB" w:rsidP="004E7EAB">
      <w:pPr>
        <w:sectPr w:rsidR="004E7EAB" w:rsidRPr="004E7EAB" w:rsidSect="00652BB0">
          <w:headerReference w:type="even" r:id="rId11"/>
          <w:headerReference w:type="default" r:id="rId12"/>
          <w:headerReference w:type="first" r:id="rId13"/>
          <w:endnotePr>
            <w:numFmt w:val="lowerLetter"/>
          </w:endnotePr>
          <w:pgSz w:w="11907" w:h="16840" w:code="9"/>
          <w:pgMar w:top="510" w:right="1134" w:bottom="1134" w:left="1134" w:header="510" w:footer="624" w:gutter="0"/>
          <w:pgNumType w:start="1"/>
          <w:cols w:space="720"/>
          <w:titlePg/>
          <w:docGrid w:linePitch="272"/>
        </w:sectPr>
      </w:pPr>
    </w:p>
    <w:p w14:paraId="2F3BE0AF" w14:textId="3D70FF1A" w:rsidR="008422E9" w:rsidRDefault="00937BD9" w:rsidP="008422E9">
      <w:pPr>
        <w:pStyle w:val="Header"/>
        <w:rPr>
          <w:rFonts w:cs="Arial"/>
        </w:rPr>
      </w:pPr>
      <w:r>
        <w:lastRenderedPageBreak/>
        <w:t>WG-HRV/</w:t>
      </w:r>
      <w:r w:rsidR="008422E9">
        <w:t>3</w:t>
      </w:r>
      <w:r>
        <w:t>/2</w:t>
      </w:r>
    </w:p>
    <w:p w14:paraId="272753A5" w14:textId="77777777" w:rsidR="008422E9" w:rsidRPr="007922FF" w:rsidRDefault="008422E9" w:rsidP="008422E9">
      <w:pPr>
        <w:pStyle w:val="Header"/>
        <w:rPr>
          <w:rFonts w:cs="Arial"/>
        </w:rPr>
      </w:pPr>
    </w:p>
    <w:p w14:paraId="2AC0B204" w14:textId="77777777" w:rsidR="008422E9" w:rsidRPr="00922072" w:rsidRDefault="008422E9" w:rsidP="008422E9">
      <w:pPr>
        <w:pStyle w:val="Header"/>
      </w:pPr>
      <w:r>
        <w:rPr>
          <w:rStyle w:val="PageNumber"/>
        </w:rPr>
        <w:t>ANEXO,</w:t>
      </w:r>
      <w:r>
        <w:t xml:space="preserve"> APÉNDICE</w:t>
      </w:r>
    </w:p>
    <w:p w14:paraId="3D7A0B76" w14:textId="77777777" w:rsidR="008422E9" w:rsidRPr="007922FF" w:rsidRDefault="008422E9" w:rsidP="008422E9">
      <w:pPr>
        <w:pStyle w:val="Header"/>
      </w:pPr>
    </w:p>
    <w:p w14:paraId="0E1676B3" w14:textId="77777777" w:rsidR="004E7EAB" w:rsidRPr="004E7EAB" w:rsidRDefault="004E7EAB" w:rsidP="004E7EAB">
      <w:pPr>
        <w:jc w:val="center"/>
      </w:pPr>
    </w:p>
    <w:p w14:paraId="0ED479C9" w14:textId="77777777" w:rsidR="004E7EAB" w:rsidRPr="004E7EAB" w:rsidRDefault="004E7EAB" w:rsidP="004E7EAB">
      <w:pPr>
        <w:jc w:val="center"/>
      </w:pPr>
      <w:r>
        <w:t>ARTÍCULOS PERTINENTES DEL CONVENIO DE LA UPOV</w:t>
      </w:r>
    </w:p>
    <w:p w14:paraId="0850D5CF" w14:textId="77777777" w:rsidR="004E7EAB" w:rsidRPr="004E7EAB" w:rsidRDefault="004E7EAB" w:rsidP="004E7EAB"/>
    <w:p w14:paraId="20272C1C" w14:textId="77777777" w:rsidR="004E7EAB" w:rsidRPr="004E7EAB" w:rsidRDefault="004E7EAB" w:rsidP="004E7EAB"/>
    <w:p w14:paraId="19D3F3B5" w14:textId="77777777" w:rsidR="004E7EAB" w:rsidRPr="004E7EAB" w:rsidRDefault="004E7EAB" w:rsidP="004E7EAB">
      <w:r>
        <w:t>Este Apéndice contiene las disposiciones del Convenio de la UPOV en las que se hace referencia al concepto de material de reproducción o de multiplicación.</w:t>
      </w:r>
    </w:p>
    <w:p w14:paraId="73392FCE" w14:textId="77777777" w:rsidR="004E7EAB" w:rsidRPr="004E7EAB" w:rsidRDefault="004E7EAB" w:rsidP="004E7EAB"/>
    <w:p w14:paraId="73EBF5DB" w14:textId="77777777"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14:paraId="2F80E0FA" w14:textId="77777777" w:rsidTr="00FB48FD">
        <w:trPr>
          <w:cantSplit/>
          <w:jc w:val="center"/>
        </w:trPr>
        <w:tc>
          <w:tcPr>
            <w:tcW w:w="8789" w:type="dxa"/>
          </w:tcPr>
          <w:p w14:paraId="3E43D4DC" w14:textId="77777777" w:rsidR="004E7EAB" w:rsidRPr="004E7EAB" w:rsidRDefault="004E7EAB" w:rsidP="004E7EAB">
            <w:pPr>
              <w:rPr>
                <w:bCs/>
                <w:sz w:val="18"/>
                <w:szCs w:val="18"/>
              </w:rPr>
            </w:pPr>
          </w:p>
          <w:p w14:paraId="4B49D0F7" w14:textId="77777777" w:rsidR="004E7EAB" w:rsidRPr="004E7EAB" w:rsidRDefault="004E7EAB" w:rsidP="004E7EAB">
            <w:pPr>
              <w:jc w:val="center"/>
              <w:rPr>
                <w:u w:val="single"/>
              </w:rPr>
            </w:pPr>
            <w:r>
              <w:rPr>
                <w:u w:val="single"/>
              </w:rPr>
              <w:t>Acta de 1991 del Convenio de la UPOV</w:t>
            </w:r>
          </w:p>
          <w:p w14:paraId="69E273C9" w14:textId="77777777" w:rsidR="004E7EAB" w:rsidRPr="004E7EAB" w:rsidRDefault="004E7EAB" w:rsidP="004E7EAB"/>
        </w:tc>
      </w:tr>
      <w:tr w:rsidR="004E7EAB" w:rsidRPr="004E7EAB" w14:paraId="62795534" w14:textId="77777777" w:rsidTr="00FB48FD">
        <w:trPr>
          <w:cantSplit/>
          <w:jc w:val="center"/>
        </w:trPr>
        <w:tc>
          <w:tcPr>
            <w:tcW w:w="8789" w:type="dxa"/>
          </w:tcPr>
          <w:p w14:paraId="7E43B36E" w14:textId="77777777" w:rsidR="004E7EAB" w:rsidRPr="004E7EAB" w:rsidRDefault="004E7EAB" w:rsidP="004E7EAB">
            <w:pPr>
              <w:jc w:val="center"/>
              <w:rPr>
                <w:b/>
                <w:bCs/>
                <w:sz w:val="18"/>
                <w:szCs w:val="18"/>
              </w:rPr>
            </w:pPr>
          </w:p>
          <w:p w14:paraId="06477049" w14:textId="77777777" w:rsidR="004E7EAB" w:rsidRPr="004E7EAB" w:rsidRDefault="004E7EAB" w:rsidP="004E7EAB">
            <w:pPr>
              <w:jc w:val="center"/>
              <w:rPr>
                <w:b/>
                <w:bCs/>
                <w:sz w:val="18"/>
                <w:szCs w:val="18"/>
              </w:rPr>
            </w:pPr>
            <w:r>
              <w:rPr>
                <w:b/>
                <w:sz w:val="18"/>
              </w:rPr>
              <w:t>Artículo 6</w:t>
            </w:r>
          </w:p>
          <w:p w14:paraId="7DAB5497" w14:textId="77777777" w:rsidR="004E7EAB" w:rsidRPr="004E7EAB" w:rsidRDefault="004E7EAB" w:rsidP="004E7EAB">
            <w:pPr>
              <w:jc w:val="center"/>
              <w:rPr>
                <w:b/>
                <w:bCs/>
                <w:sz w:val="18"/>
                <w:szCs w:val="18"/>
              </w:rPr>
            </w:pPr>
          </w:p>
          <w:p w14:paraId="30D92E46" w14:textId="77777777" w:rsidR="004E7EAB" w:rsidRPr="004E7EAB" w:rsidRDefault="004E7EAB" w:rsidP="004E7EAB">
            <w:pPr>
              <w:jc w:val="center"/>
              <w:rPr>
                <w:b/>
                <w:bCs/>
                <w:sz w:val="18"/>
                <w:szCs w:val="18"/>
              </w:rPr>
            </w:pPr>
            <w:r>
              <w:rPr>
                <w:b/>
                <w:sz w:val="18"/>
              </w:rPr>
              <w:t>Novedad</w:t>
            </w:r>
          </w:p>
          <w:p w14:paraId="16D1125E" w14:textId="77777777" w:rsidR="004E7EAB" w:rsidRPr="004E7EAB" w:rsidRDefault="004E7EAB" w:rsidP="004E7EAB">
            <w:pPr>
              <w:rPr>
                <w:b/>
                <w:bCs/>
                <w:sz w:val="18"/>
                <w:szCs w:val="18"/>
              </w:rPr>
            </w:pPr>
          </w:p>
          <w:p w14:paraId="6DBA58F1" w14:textId="77777777" w:rsidR="004E7EAB" w:rsidRPr="004E7EAB" w:rsidRDefault="004E7EAB" w:rsidP="004E7EAB">
            <w:pPr>
              <w:rPr>
                <w:bCs/>
                <w:sz w:val="18"/>
                <w:szCs w:val="18"/>
              </w:rPr>
            </w:pPr>
            <w:r>
              <w:rPr>
                <w:sz w:val="18"/>
              </w:rPr>
              <w:tab/>
              <w:t>1)</w:t>
            </w:r>
            <w:r>
              <w:rPr>
                <w:sz w:val="18"/>
              </w:rPr>
              <w:tab/>
              <w:t>[</w:t>
            </w:r>
            <w:r>
              <w:rPr>
                <w:i/>
                <w:iCs/>
                <w:sz w:val="18"/>
              </w:rPr>
              <w:t>Criterios</w:t>
            </w:r>
            <w:r>
              <w:rPr>
                <w:sz w:val="18"/>
              </w:rPr>
              <w:t>]</w:t>
            </w:r>
            <w:r>
              <w:rPr>
                <w:sz w:val="18"/>
              </w:rPr>
              <w:tab/>
              <w:t xml:space="preserve">La variedad será considerada nueva si, en la fecha de presentación de la solicitud de derecho de obtentor, el </w:t>
            </w:r>
            <w:r>
              <w:rPr>
                <w:sz w:val="18"/>
                <w:highlight w:val="yellow"/>
              </w:rPr>
              <w:t>material</w:t>
            </w:r>
            <w:r>
              <w:rPr>
                <w:sz w:val="18"/>
              </w:rPr>
              <w:t xml:space="preserve"> </w:t>
            </w:r>
            <w:r>
              <w:rPr>
                <w:sz w:val="18"/>
                <w:highlight w:val="yellow"/>
              </w:rPr>
              <w:t>de reproducción o de multiplicación vegetativa</w:t>
            </w:r>
            <w:r>
              <w:rPr>
                <w:sz w:val="18"/>
              </w:rPr>
              <w:t xml:space="preserve"> o un producto de cosecha de la variedad no ha sido vendido o entregado a terceros de otra manera, por el obtentor o con su consentimiento, a los fines de la explotación de la variedad</w:t>
            </w:r>
          </w:p>
          <w:p w14:paraId="20F3099E" w14:textId="77777777" w:rsidR="004E7EAB" w:rsidRPr="004E7EAB" w:rsidRDefault="004E7EAB" w:rsidP="004E7EAB">
            <w:pPr>
              <w:rPr>
                <w:bCs/>
                <w:sz w:val="18"/>
                <w:szCs w:val="18"/>
              </w:rPr>
            </w:pPr>
          </w:p>
          <w:p w14:paraId="26C4B3D0" w14:textId="77777777" w:rsidR="004E7EAB" w:rsidRPr="004E7EAB" w:rsidRDefault="004E7EAB" w:rsidP="004E7EAB">
            <w:pPr>
              <w:rPr>
                <w:bCs/>
                <w:sz w:val="18"/>
                <w:szCs w:val="18"/>
              </w:rPr>
            </w:pPr>
            <w:r>
              <w:rPr>
                <w:sz w:val="18"/>
              </w:rPr>
              <w:tab/>
              <w:t>i)</w:t>
            </w:r>
            <w:r>
              <w:rPr>
                <w:sz w:val="18"/>
              </w:rPr>
              <w:tab/>
              <w:t>en el territorio de la Parte Contratante en la que se hubiese presentado la solicitud, más de un año antes de esa fecha, y</w:t>
            </w:r>
          </w:p>
          <w:p w14:paraId="6332FBFE" w14:textId="77777777" w:rsidR="004E7EAB" w:rsidRPr="004E7EAB" w:rsidRDefault="004E7EAB" w:rsidP="004E7EAB">
            <w:pPr>
              <w:rPr>
                <w:bCs/>
                <w:sz w:val="18"/>
                <w:szCs w:val="18"/>
              </w:rPr>
            </w:pPr>
          </w:p>
          <w:p w14:paraId="35FA196A" w14:textId="77777777" w:rsidR="004E7EAB" w:rsidRPr="004E7EAB" w:rsidRDefault="004E7EAB" w:rsidP="004E7EAB">
            <w:pPr>
              <w:rPr>
                <w:bCs/>
                <w:sz w:val="18"/>
                <w:szCs w:val="18"/>
              </w:rPr>
            </w:pPr>
            <w:r>
              <w:rPr>
                <w:sz w:val="18"/>
              </w:rPr>
              <w:tab/>
              <w:t>ii)</w:t>
            </w:r>
            <w:r>
              <w:rPr>
                <w:sz w:val="18"/>
              </w:rPr>
              <w:tab/>
              <w:t>en un territorio distinto del de la Parte Contratante en la que se hubiese presentado la solicitud, más de cuatro años o, en el caso de árboles y vides, más de seis años antes de esa fecha.</w:t>
            </w:r>
          </w:p>
          <w:p w14:paraId="56ADBEB0" w14:textId="77777777" w:rsidR="004E7EAB" w:rsidRPr="004E7EAB" w:rsidRDefault="004E7EAB" w:rsidP="004E7EAB">
            <w:pPr>
              <w:rPr>
                <w:bCs/>
                <w:sz w:val="18"/>
                <w:szCs w:val="18"/>
              </w:rPr>
            </w:pPr>
          </w:p>
        </w:tc>
      </w:tr>
      <w:tr w:rsidR="004E7EAB" w:rsidRPr="004E7EAB" w14:paraId="082ADE36" w14:textId="77777777" w:rsidTr="00FB48FD">
        <w:trPr>
          <w:cantSplit/>
          <w:jc w:val="center"/>
        </w:trPr>
        <w:tc>
          <w:tcPr>
            <w:tcW w:w="8789" w:type="dxa"/>
          </w:tcPr>
          <w:p w14:paraId="63C6A1FA" w14:textId="77777777" w:rsidR="004E7EAB" w:rsidRPr="004E7EAB" w:rsidRDefault="004E7EAB" w:rsidP="004E7EAB">
            <w:pPr>
              <w:jc w:val="center"/>
              <w:rPr>
                <w:b/>
                <w:bCs/>
                <w:sz w:val="18"/>
                <w:szCs w:val="18"/>
              </w:rPr>
            </w:pPr>
          </w:p>
          <w:p w14:paraId="5640D7D9" w14:textId="77777777" w:rsidR="004E7EAB" w:rsidRPr="004E7EAB" w:rsidRDefault="004E7EAB" w:rsidP="004E7EAB">
            <w:pPr>
              <w:jc w:val="center"/>
              <w:rPr>
                <w:b/>
                <w:bCs/>
                <w:sz w:val="18"/>
                <w:szCs w:val="18"/>
              </w:rPr>
            </w:pPr>
            <w:r>
              <w:rPr>
                <w:b/>
                <w:sz w:val="18"/>
              </w:rPr>
              <w:t>Artículo 14</w:t>
            </w:r>
          </w:p>
          <w:p w14:paraId="10A58C7B" w14:textId="77777777" w:rsidR="004E7EAB" w:rsidRPr="004E7EAB" w:rsidRDefault="004E7EAB" w:rsidP="004E7EAB">
            <w:pPr>
              <w:jc w:val="center"/>
              <w:rPr>
                <w:b/>
                <w:bCs/>
                <w:sz w:val="18"/>
                <w:szCs w:val="18"/>
              </w:rPr>
            </w:pPr>
          </w:p>
          <w:p w14:paraId="3A0B0CB2" w14:textId="77777777" w:rsidR="004E7EAB" w:rsidRPr="004E7EAB" w:rsidRDefault="004E7EAB" w:rsidP="004E7EAB">
            <w:pPr>
              <w:jc w:val="center"/>
              <w:rPr>
                <w:b/>
                <w:sz w:val="18"/>
                <w:szCs w:val="18"/>
              </w:rPr>
            </w:pPr>
            <w:r>
              <w:rPr>
                <w:b/>
                <w:sz w:val="18"/>
              </w:rPr>
              <w:t>Alcance del derecho de obtentor</w:t>
            </w:r>
          </w:p>
          <w:p w14:paraId="54F2E37A" w14:textId="77777777" w:rsidR="004E7EAB" w:rsidRPr="004E7EAB" w:rsidRDefault="004E7EAB" w:rsidP="004E7EAB">
            <w:pPr>
              <w:jc w:val="center"/>
              <w:rPr>
                <w:b/>
                <w:sz w:val="18"/>
                <w:szCs w:val="18"/>
              </w:rPr>
            </w:pPr>
          </w:p>
          <w:p w14:paraId="050D9EDC" w14:textId="0FCC4270" w:rsidR="004E7EAB" w:rsidRPr="004E7EAB" w:rsidRDefault="004E7EAB" w:rsidP="004E7EAB">
            <w:pPr>
              <w:rPr>
                <w:bCs/>
                <w:sz w:val="18"/>
                <w:szCs w:val="18"/>
              </w:rPr>
            </w:pPr>
            <w:r>
              <w:rPr>
                <w:sz w:val="18"/>
              </w:rPr>
              <w:t>1)</w:t>
            </w:r>
            <w:r>
              <w:rPr>
                <w:sz w:val="18"/>
              </w:rPr>
              <w:tab/>
              <w:t>[</w:t>
            </w:r>
            <w:r>
              <w:rPr>
                <w:i/>
                <w:iCs/>
                <w:sz w:val="18"/>
              </w:rPr>
              <w:t xml:space="preserve">Actos respecto del </w:t>
            </w:r>
            <w:r>
              <w:rPr>
                <w:i/>
                <w:iCs/>
                <w:sz w:val="18"/>
                <w:highlight w:val="yellow"/>
              </w:rPr>
              <w:t>material de reproducción o de multiplicación</w:t>
            </w:r>
            <w:r>
              <w:rPr>
                <w:sz w:val="18"/>
              </w:rPr>
              <w:t>]</w:t>
            </w:r>
            <w:r w:rsidR="00EE1944">
              <w:rPr>
                <w:sz w:val="18"/>
              </w:rPr>
              <w:t xml:space="preserve"> </w:t>
            </w:r>
            <w:r>
              <w:rPr>
                <w:i/>
                <w:iCs/>
                <w:sz w:val="18"/>
              </w:rPr>
              <w:t>a)</w:t>
            </w:r>
            <w:r>
              <w:rPr>
                <w:sz w:val="18"/>
              </w:rPr>
              <w:t xml:space="preserve"> A reserva de lo dispuesto en los Artículos 15 y 16, se requerirá la autorización del obtentor para los actos siguientes realizados respecto de </w:t>
            </w:r>
            <w:r>
              <w:rPr>
                <w:sz w:val="18"/>
                <w:highlight w:val="yellow"/>
              </w:rPr>
              <w:t>material de reproducción o de multiplicación</w:t>
            </w:r>
            <w:r>
              <w:rPr>
                <w:sz w:val="18"/>
              </w:rPr>
              <w:t xml:space="preserve"> de la variedad protegida:</w:t>
            </w:r>
          </w:p>
          <w:p w14:paraId="769401BC" w14:textId="77777777" w:rsidR="004E7EAB" w:rsidRPr="004E7EAB" w:rsidRDefault="004E7EAB" w:rsidP="004E7EAB">
            <w:pPr>
              <w:rPr>
                <w:bCs/>
                <w:sz w:val="18"/>
                <w:szCs w:val="18"/>
              </w:rPr>
            </w:pPr>
          </w:p>
          <w:p w14:paraId="271382C2" w14:textId="77777777" w:rsidR="004E7EAB" w:rsidRPr="004E7EAB" w:rsidRDefault="004E7EAB" w:rsidP="004E7EAB">
            <w:pPr>
              <w:tabs>
                <w:tab w:val="right" w:pos="1418"/>
              </w:tabs>
              <w:rPr>
                <w:bCs/>
                <w:sz w:val="18"/>
                <w:szCs w:val="18"/>
              </w:rPr>
            </w:pPr>
            <w:r>
              <w:rPr>
                <w:sz w:val="18"/>
              </w:rPr>
              <w:tab/>
              <w:t>i)</w:t>
            </w:r>
            <w:r>
              <w:rPr>
                <w:sz w:val="18"/>
              </w:rPr>
              <w:tab/>
              <w:t>la producción o la reproducción (multiplicación),</w:t>
            </w:r>
          </w:p>
          <w:p w14:paraId="328C10E3" w14:textId="77777777" w:rsidR="004E7EAB" w:rsidRPr="004E7EAB" w:rsidRDefault="004E7EAB" w:rsidP="004E7EAB">
            <w:pPr>
              <w:tabs>
                <w:tab w:val="right" w:pos="1418"/>
              </w:tabs>
              <w:rPr>
                <w:bCs/>
                <w:sz w:val="18"/>
                <w:szCs w:val="18"/>
              </w:rPr>
            </w:pPr>
            <w:r>
              <w:rPr>
                <w:sz w:val="18"/>
              </w:rPr>
              <w:tab/>
              <w:t>ii)</w:t>
            </w:r>
            <w:r>
              <w:rPr>
                <w:sz w:val="18"/>
              </w:rPr>
              <w:tab/>
              <w:t>la preparación a los fines de la reproducción o de la multiplicación,</w:t>
            </w:r>
          </w:p>
          <w:p w14:paraId="4270A816" w14:textId="77777777" w:rsidR="004E7EAB" w:rsidRPr="004E7EAB" w:rsidRDefault="004E7EAB" w:rsidP="004E7EAB">
            <w:pPr>
              <w:tabs>
                <w:tab w:val="right" w:pos="1418"/>
              </w:tabs>
              <w:rPr>
                <w:bCs/>
                <w:sz w:val="18"/>
                <w:szCs w:val="18"/>
              </w:rPr>
            </w:pPr>
            <w:r>
              <w:rPr>
                <w:sz w:val="18"/>
              </w:rPr>
              <w:tab/>
              <w:t>iii)</w:t>
            </w:r>
            <w:r>
              <w:rPr>
                <w:sz w:val="18"/>
              </w:rPr>
              <w:tab/>
              <w:t>la oferta en venta,</w:t>
            </w:r>
          </w:p>
          <w:p w14:paraId="76ED22BD" w14:textId="77777777" w:rsidR="004E7EAB" w:rsidRPr="004E7EAB" w:rsidRDefault="004E7EAB" w:rsidP="004E7EAB">
            <w:pPr>
              <w:tabs>
                <w:tab w:val="right" w:pos="1418"/>
              </w:tabs>
              <w:rPr>
                <w:bCs/>
                <w:sz w:val="18"/>
                <w:szCs w:val="18"/>
              </w:rPr>
            </w:pPr>
            <w:r>
              <w:rPr>
                <w:sz w:val="18"/>
              </w:rPr>
              <w:tab/>
              <w:t>iv)</w:t>
            </w:r>
            <w:r>
              <w:rPr>
                <w:sz w:val="18"/>
              </w:rPr>
              <w:tab/>
              <w:t>la venta o cualquier otra forma de comercialización,</w:t>
            </w:r>
          </w:p>
          <w:p w14:paraId="025AA932" w14:textId="77777777" w:rsidR="004E7EAB" w:rsidRPr="004E7EAB" w:rsidRDefault="004E7EAB" w:rsidP="004E7EAB">
            <w:pPr>
              <w:tabs>
                <w:tab w:val="right" w:pos="1418"/>
              </w:tabs>
              <w:rPr>
                <w:bCs/>
                <w:sz w:val="18"/>
                <w:szCs w:val="18"/>
              </w:rPr>
            </w:pPr>
            <w:r>
              <w:rPr>
                <w:sz w:val="18"/>
              </w:rPr>
              <w:tab/>
              <w:t>v)</w:t>
            </w:r>
            <w:r>
              <w:rPr>
                <w:sz w:val="18"/>
              </w:rPr>
              <w:tab/>
              <w:t>la exportación,</w:t>
            </w:r>
          </w:p>
          <w:p w14:paraId="6B199271" w14:textId="77777777" w:rsidR="004E7EAB" w:rsidRPr="004E7EAB" w:rsidRDefault="004E7EAB" w:rsidP="004E7EAB">
            <w:pPr>
              <w:tabs>
                <w:tab w:val="right" w:pos="1418"/>
              </w:tabs>
              <w:rPr>
                <w:bCs/>
                <w:sz w:val="18"/>
                <w:szCs w:val="18"/>
              </w:rPr>
            </w:pPr>
            <w:r>
              <w:rPr>
                <w:sz w:val="18"/>
              </w:rPr>
              <w:tab/>
              <w:t>vi)</w:t>
            </w:r>
            <w:r>
              <w:rPr>
                <w:sz w:val="18"/>
              </w:rPr>
              <w:tab/>
              <w:t>la importación,</w:t>
            </w:r>
          </w:p>
          <w:p w14:paraId="4F13EA7E" w14:textId="77777777" w:rsidR="004E7EAB" w:rsidRPr="004E7EAB" w:rsidRDefault="004E7EAB" w:rsidP="004E7EAB">
            <w:pPr>
              <w:tabs>
                <w:tab w:val="right" w:pos="1418"/>
              </w:tabs>
              <w:rPr>
                <w:bCs/>
                <w:sz w:val="18"/>
                <w:szCs w:val="18"/>
              </w:rPr>
            </w:pPr>
            <w:r>
              <w:rPr>
                <w:sz w:val="18"/>
              </w:rPr>
              <w:tab/>
              <w:t>vii)</w:t>
            </w:r>
            <w:r>
              <w:rPr>
                <w:sz w:val="18"/>
              </w:rPr>
              <w:tab/>
              <w:t xml:space="preserve">la posesión para cualquiera de los fines mencionados en los puntos i) a vi), </w:t>
            </w:r>
            <w:r>
              <w:rPr>
                <w:i/>
                <w:iCs/>
                <w:sz w:val="18"/>
              </w:rPr>
              <w:t>supra</w:t>
            </w:r>
            <w:r>
              <w:rPr>
                <w:sz w:val="18"/>
              </w:rPr>
              <w:t>.</w:t>
            </w:r>
          </w:p>
          <w:p w14:paraId="4A17D4D7" w14:textId="77777777" w:rsidR="004E7EAB" w:rsidRPr="004E7EAB" w:rsidRDefault="004E7EAB" w:rsidP="004E7EAB">
            <w:pPr>
              <w:rPr>
                <w:bCs/>
                <w:sz w:val="18"/>
                <w:szCs w:val="18"/>
              </w:rPr>
            </w:pPr>
          </w:p>
          <w:p w14:paraId="0F4D199F" w14:textId="77777777" w:rsidR="004E7EAB" w:rsidRPr="004E7EAB" w:rsidRDefault="004E7EAB" w:rsidP="004E7EAB">
            <w:pPr>
              <w:rPr>
                <w:bCs/>
                <w:sz w:val="18"/>
                <w:szCs w:val="18"/>
              </w:rPr>
            </w:pPr>
            <w:r>
              <w:rPr>
                <w:sz w:val="18"/>
              </w:rPr>
              <w:t>b)</w:t>
            </w:r>
            <w:r>
              <w:rPr>
                <w:sz w:val="18"/>
              </w:rPr>
              <w:tab/>
              <w:t>El obtentor podrá subordinar su autorización a condiciones y a limitaciones.</w:t>
            </w:r>
          </w:p>
          <w:p w14:paraId="1BDC9040" w14:textId="77777777" w:rsidR="004E7EAB" w:rsidRPr="004E7EAB" w:rsidRDefault="004E7EAB" w:rsidP="004E7EAB">
            <w:pPr>
              <w:rPr>
                <w:bCs/>
                <w:sz w:val="18"/>
                <w:szCs w:val="18"/>
              </w:rPr>
            </w:pPr>
          </w:p>
          <w:p w14:paraId="7796B685" w14:textId="77777777" w:rsidR="004E7EAB" w:rsidRPr="004E7EAB" w:rsidRDefault="004E7EAB" w:rsidP="004E7EAB">
            <w:pPr>
              <w:rPr>
                <w:bCs/>
                <w:sz w:val="18"/>
                <w:szCs w:val="18"/>
              </w:rPr>
            </w:pPr>
            <w:r>
              <w:rPr>
                <w:sz w:val="18"/>
              </w:rPr>
              <w:tab/>
              <w:t>2)</w:t>
            </w:r>
            <w:r>
              <w:rPr>
                <w:sz w:val="18"/>
              </w:rPr>
              <w:tab/>
              <w:t>[</w:t>
            </w:r>
            <w:r>
              <w:rPr>
                <w:i/>
                <w:iCs/>
                <w:sz w:val="18"/>
              </w:rPr>
              <w:t>Actos respecto del producto de la cosecha</w:t>
            </w:r>
            <w:r>
              <w:rPr>
                <w:sz w:val="18"/>
              </w:rPr>
              <w:t>] A reserva de lo dispuesto en los Artículos 15 y 16, se requerirá la autorización del obtentor para los actos mencionados en los puntos i) a vii) del párrafo 1)</w:t>
            </w:r>
            <w:r>
              <w:rPr>
                <w:i/>
                <w:iCs/>
                <w:sz w:val="18"/>
              </w:rPr>
              <w:t>a)</w:t>
            </w:r>
            <w:r>
              <w:rPr>
                <w:sz w:val="18"/>
              </w:rPr>
              <w:t xml:space="preserve"> realizados respecto del producto de la cosecha, incluidas plantas enteras y partes de plantas, obtenido por utilización no autorizada de </w:t>
            </w:r>
            <w:r>
              <w:rPr>
                <w:sz w:val="18"/>
                <w:highlight w:val="yellow"/>
              </w:rPr>
              <w:t>material de reproducción o de multiplicación</w:t>
            </w:r>
            <w:r>
              <w:rPr>
                <w:sz w:val="18"/>
              </w:rPr>
              <w:t xml:space="preserve"> de la variedad protegida, a menos que el obtentor haya podido ejercer razonablemente su derecho en relación con dicho </w:t>
            </w:r>
            <w:r>
              <w:rPr>
                <w:sz w:val="18"/>
                <w:highlight w:val="yellow"/>
              </w:rPr>
              <w:t>material de reproducción o de multiplicación</w:t>
            </w:r>
            <w:r>
              <w:rPr>
                <w:sz w:val="18"/>
              </w:rPr>
              <w:t>.</w:t>
            </w:r>
          </w:p>
          <w:p w14:paraId="6BE51343" w14:textId="77777777" w:rsidR="004E7EAB" w:rsidRPr="004E7EAB" w:rsidRDefault="004E7EAB" w:rsidP="004E7EAB">
            <w:pPr>
              <w:rPr>
                <w:bCs/>
                <w:sz w:val="18"/>
                <w:szCs w:val="18"/>
              </w:rPr>
            </w:pPr>
          </w:p>
          <w:p w14:paraId="4E20D06C" w14:textId="77777777" w:rsidR="004E7EAB" w:rsidRPr="004E7EAB" w:rsidRDefault="004E7EAB" w:rsidP="004E7EAB">
            <w:pPr>
              <w:rPr>
                <w:bCs/>
                <w:sz w:val="18"/>
                <w:szCs w:val="18"/>
              </w:rPr>
            </w:pPr>
            <w:r>
              <w:rPr>
                <w:sz w:val="18"/>
              </w:rPr>
              <w:t>[…]</w:t>
            </w:r>
          </w:p>
          <w:p w14:paraId="5BE8AC67" w14:textId="77777777" w:rsidR="004E7EAB" w:rsidRPr="004E7EAB" w:rsidRDefault="004E7EAB" w:rsidP="004E7EAB">
            <w:pPr>
              <w:rPr>
                <w:bCs/>
                <w:sz w:val="18"/>
                <w:szCs w:val="18"/>
              </w:rPr>
            </w:pPr>
          </w:p>
        </w:tc>
      </w:tr>
      <w:tr w:rsidR="004E7EAB" w:rsidRPr="004E7EAB" w14:paraId="488B3065" w14:textId="77777777" w:rsidTr="00FB48FD">
        <w:trPr>
          <w:cantSplit/>
          <w:jc w:val="center"/>
        </w:trPr>
        <w:tc>
          <w:tcPr>
            <w:tcW w:w="8789" w:type="dxa"/>
          </w:tcPr>
          <w:p w14:paraId="6F9B7B95" w14:textId="77777777" w:rsidR="004E7EAB" w:rsidRPr="004E7EAB" w:rsidRDefault="004E7EAB" w:rsidP="004E7EAB">
            <w:pPr>
              <w:rPr>
                <w:bCs/>
                <w:sz w:val="18"/>
                <w:szCs w:val="18"/>
                <w:u w:val="single"/>
              </w:rPr>
            </w:pPr>
          </w:p>
          <w:p w14:paraId="3AE0E549" w14:textId="77777777" w:rsidR="004E7EAB" w:rsidRPr="004E7EAB" w:rsidRDefault="004E7EAB" w:rsidP="004E7EAB">
            <w:pPr>
              <w:jc w:val="center"/>
              <w:rPr>
                <w:b/>
                <w:bCs/>
                <w:sz w:val="18"/>
                <w:szCs w:val="18"/>
              </w:rPr>
            </w:pPr>
            <w:r>
              <w:rPr>
                <w:b/>
                <w:sz w:val="18"/>
              </w:rPr>
              <w:t>Artículo 15</w:t>
            </w:r>
          </w:p>
          <w:p w14:paraId="60C8F98F" w14:textId="77777777" w:rsidR="004E7EAB" w:rsidRPr="004E7EAB" w:rsidRDefault="004E7EAB" w:rsidP="004E7EAB">
            <w:pPr>
              <w:jc w:val="center"/>
              <w:rPr>
                <w:b/>
                <w:bCs/>
                <w:sz w:val="18"/>
                <w:szCs w:val="18"/>
              </w:rPr>
            </w:pPr>
          </w:p>
          <w:p w14:paraId="191ACD33" w14:textId="77777777" w:rsidR="004E7EAB" w:rsidRPr="004E7EAB" w:rsidRDefault="004E7EAB" w:rsidP="004E7EAB">
            <w:pPr>
              <w:jc w:val="center"/>
              <w:rPr>
                <w:b/>
                <w:bCs/>
                <w:sz w:val="18"/>
                <w:szCs w:val="18"/>
              </w:rPr>
            </w:pPr>
            <w:r>
              <w:rPr>
                <w:b/>
                <w:sz w:val="18"/>
              </w:rPr>
              <w:t>Excepciones al derecho de obtentor</w:t>
            </w:r>
          </w:p>
          <w:p w14:paraId="343EE6BC" w14:textId="77777777" w:rsidR="004E7EAB" w:rsidRPr="004E7EAB" w:rsidRDefault="004E7EAB" w:rsidP="004E7EAB">
            <w:pPr>
              <w:rPr>
                <w:bCs/>
                <w:sz w:val="18"/>
                <w:szCs w:val="18"/>
              </w:rPr>
            </w:pPr>
            <w:r>
              <w:rPr>
                <w:sz w:val="18"/>
              </w:rPr>
              <w:t>[…]</w:t>
            </w:r>
          </w:p>
          <w:p w14:paraId="6C267F87" w14:textId="77777777" w:rsidR="004E7EAB" w:rsidRPr="004E7EAB" w:rsidRDefault="004E7EAB" w:rsidP="004E7EAB">
            <w:pPr>
              <w:jc w:val="center"/>
              <w:rPr>
                <w:b/>
                <w:bCs/>
                <w:sz w:val="18"/>
                <w:szCs w:val="18"/>
              </w:rPr>
            </w:pPr>
          </w:p>
          <w:p w14:paraId="1BF757F4" w14:textId="4AF130E6" w:rsidR="004E7EAB" w:rsidRPr="004E7EAB" w:rsidRDefault="004E7EAB" w:rsidP="004E7EAB">
            <w:pPr>
              <w:rPr>
                <w:bCs/>
                <w:sz w:val="18"/>
                <w:szCs w:val="18"/>
              </w:rPr>
            </w:pPr>
            <w:r>
              <w:rPr>
                <w:sz w:val="18"/>
              </w:rPr>
              <w:tab/>
              <w:t>2)</w:t>
            </w:r>
            <w:r>
              <w:rPr>
                <w:sz w:val="18"/>
              </w:rPr>
              <w:tab/>
              <w:t>[</w:t>
            </w:r>
            <w:r>
              <w:rPr>
                <w:i/>
                <w:iCs/>
                <w:sz w:val="18"/>
              </w:rPr>
              <w:t>Excepción facultativa</w:t>
            </w:r>
            <w:r>
              <w:rPr>
                <w:sz w:val="18"/>
              </w:rPr>
              <w:t>]</w:t>
            </w:r>
            <w:r w:rsidR="00EE1944">
              <w:rPr>
                <w:sz w:val="18"/>
              </w:rPr>
              <w:t xml:space="preserve"> </w:t>
            </w:r>
            <w:r>
              <w:rPr>
                <w:sz w:val="18"/>
              </w:rPr>
              <w:t xml:space="preserve">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w:t>
            </w:r>
            <w:r>
              <w:rPr>
                <w:sz w:val="18"/>
                <w:highlight w:val="yellow"/>
              </w:rPr>
              <w:t>de reproducción o de multiplicación</w:t>
            </w:r>
            <w:r>
              <w:rPr>
                <w:sz w:val="18"/>
              </w:rPr>
              <w:t>, en su propia explotación, el producto de la cosecha que hayan obtenido por el cultivo, en su propia explotación, de la variedad protegida o de una variedad cubierta por el Artículo 14.5.</w:t>
            </w:r>
            <w:r>
              <w:rPr>
                <w:i/>
                <w:iCs/>
                <w:sz w:val="18"/>
              </w:rPr>
              <w:t>a)</w:t>
            </w:r>
            <w:r>
              <w:rPr>
                <w:sz w:val="18"/>
              </w:rPr>
              <w:t>i) o ii).</w:t>
            </w:r>
          </w:p>
          <w:p w14:paraId="7AF5F37E" w14:textId="77777777" w:rsidR="004E7EAB" w:rsidRPr="004E7EAB" w:rsidRDefault="004E7EAB" w:rsidP="004E7EAB">
            <w:pPr>
              <w:rPr>
                <w:bCs/>
                <w:sz w:val="18"/>
                <w:szCs w:val="18"/>
              </w:rPr>
            </w:pPr>
          </w:p>
        </w:tc>
      </w:tr>
      <w:tr w:rsidR="004E7EAB" w:rsidRPr="004E7EAB" w14:paraId="2F59C0A3" w14:textId="77777777" w:rsidTr="00FB48FD">
        <w:trPr>
          <w:cantSplit/>
          <w:jc w:val="center"/>
        </w:trPr>
        <w:tc>
          <w:tcPr>
            <w:tcW w:w="8789" w:type="dxa"/>
          </w:tcPr>
          <w:p w14:paraId="1ECC63D7" w14:textId="77777777" w:rsidR="004E7EAB" w:rsidRPr="004E7EAB" w:rsidRDefault="004E7EAB" w:rsidP="004E7EAB">
            <w:pPr>
              <w:rPr>
                <w:bCs/>
                <w:sz w:val="18"/>
                <w:szCs w:val="18"/>
              </w:rPr>
            </w:pPr>
          </w:p>
          <w:p w14:paraId="221EFE15" w14:textId="77777777" w:rsidR="004E7EAB" w:rsidRPr="004E7EAB" w:rsidRDefault="004E7EAB" w:rsidP="004E7EAB">
            <w:pPr>
              <w:jc w:val="center"/>
              <w:rPr>
                <w:b/>
                <w:bCs/>
                <w:sz w:val="18"/>
                <w:szCs w:val="18"/>
              </w:rPr>
            </w:pPr>
            <w:r>
              <w:rPr>
                <w:b/>
                <w:sz w:val="18"/>
              </w:rPr>
              <w:t>Artículo 16</w:t>
            </w:r>
          </w:p>
          <w:p w14:paraId="1A063057" w14:textId="77777777" w:rsidR="004E7EAB" w:rsidRPr="004E7EAB" w:rsidRDefault="004E7EAB" w:rsidP="004E7EAB">
            <w:pPr>
              <w:jc w:val="center"/>
              <w:rPr>
                <w:b/>
                <w:bCs/>
                <w:sz w:val="18"/>
                <w:szCs w:val="18"/>
              </w:rPr>
            </w:pPr>
          </w:p>
          <w:p w14:paraId="7A7942BB" w14:textId="77777777" w:rsidR="004E7EAB" w:rsidRPr="004E7EAB" w:rsidRDefault="004E7EAB" w:rsidP="004E7EAB">
            <w:pPr>
              <w:jc w:val="center"/>
              <w:rPr>
                <w:b/>
                <w:bCs/>
                <w:sz w:val="18"/>
                <w:szCs w:val="18"/>
              </w:rPr>
            </w:pPr>
            <w:r>
              <w:rPr>
                <w:b/>
                <w:sz w:val="18"/>
              </w:rPr>
              <w:t>Agotamiento del derecho de obtentor</w:t>
            </w:r>
          </w:p>
          <w:p w14:paraId="19020AEE" w14:textId="77777777" w:rsidR="004E7EAB" w:rsidRPr="004E7EAB" w:rsidRDefault="004E7EAB" w:rsidP="004E7EAB">
            <w:pPr>
              <w:rPr>
                <w:b/>
                <w:bCs/>
                <w:sz w:val="18"/>
                <w:szCs w:val="18"/>
              </w:rPr>
            </w:pPr>
          </w:p>
          <w:p w14:paraId="7E69FDD6" w14:textId="3473B7F1" w:rsidR="004E7EAB" w:rsidRPr="004E7EAB" w:rsidRDefault="004E7EAB" w:rsidP="004E7EAB">
            <w:pPr>
              <w:rPr>
                <w:bCs/>
                <w:sz w:val="18"/>
                <w:szCs w:val="18"/>
              </w:rPr>
            </w:pPr>
            <w:r>
              <w:rPr>
                <w:sz w:val="18"/>
              </w:rPr>
              <w:tab/>
              <w:t>1)</w:t>
            </w:r>
            <w:r>
              <w:rPr>
                <w:sz w:val="18"/>
              </w:rPr>
              <w:tab/>
              <w:t>[</w:t>
            </w:r>
            <w:r>
              <w:rPr>
                <w:i/>
                <w:iCs/>
                <w:sz w:val="18"/>
              </w:rPr>
              <w:t>Agotamiento del derecho</w:t>
            </w:r>
            <w:r>
              <w:rPr>
                <w:sz w:val="18"/>
              </w:rPr>
              <w:t>]</w:t>
            </w:r>
            <w:r w:rsidR="00EE1944">
              <w:rPr>
                <w:sz w:val="18"/>
              </w:rPr>
              <w:t xml:space="preserve"> </w:t>
            </w:r>
            <w:r>
              <w:rPr>
                <w:sz w:val="18"/>
              </w:rPr>
              <w:t>El derecho de obtentor no se extenderá a los actos relativos al material de su variedad, o de una variedad cubierta por el Artículo 14.5), que haya sido vendido o comercializado de otra manera en el territorio de la Parte Contratante concernida por el obtentor o con su consentimiento, o material derivado de dicho material, a menos que esos actos</w:t>
            </w:r>
          </w:p>
          <w:p w14:paraId="433BEF7B" w14:textId="77777777" w:rsidR="004E7EAB" w:rsidRPr="004E7EAB" w:rsidRDefault="004E7EAB" w:rsidP="004E7EAB">
            <w:pPr>
              <w:rPr>
                <w:bCs/>
                <w:sz w:val="18"/>
                <w:szCs w:val="18"/>
              </w:rPr>
            </w:pPr>
          </w:p>
          <w:p w14:paraId="6D5F1B85" w14:textId="77777777" w:rsidR="004E7EAB" w:rsidRPr="004E7EAB" w:rsidRDefault="004E7EAB" w:rsidP="004E7EAB">
            <w:pPr>
              <w:rPr>
                <w:bCs/>
                <w:sz w:val="18"/>
                <w:szCs w:val="18"/>
              </w:rPr>
            </w:pPr>
            <w:r>
              <w:rPr>
                <w:sz w:val="18"/>
              </w:rPr>
              <w:tab/>
              <w:t>i)</w:t>
            </w:r>
            <w:r>
              <w:rPr>
                <w:sz w:val="18"/>
              </w:rPr>
              <w:tab/>
              <w:t>impliquen una nueva reproducción o multiplicación de la variedad en cuestión,</w:t>
            </w:r>
          </w:p>
          <w:p w14:paraId="74AFB559" w14:textId="77777777" w:rsidR="004E7EAB" w:rsidRPr="004E7EAB" w:rsidRDefault="004E7EAB" w:rsidP="004E7EAB">
            <w:pPr>
              <w:rPr>
                <w:bCs/>
                <w:sz w:val="18"/>
                <w:szCs w:val="18"/>
              </w:rPr>
            </w:pPr>
            <w:r>
              <w:rPr>
                <w:sz w:val="18"/>
              </w:rPr>
              <w:tab/>
              <w:t>ii)</w:t>
            </w:r>
            <w:r>
              <w:rPr>
                <w:sz w:val="18"/>
              </w:rPr>
              <w:tab/>
              <w:t>impliquen una exportación de material de la variedad, que permita reproducirla, a un país que no proteja las variedades del género o de la especie vegetal a que pertenezca la variedad, salvo si el material exportado está destinado al consumo.</w:t>
            </w:r>
          </w:p>
          <w:p w14:paraId="13CD173D" w14:textId="77777777" w:rsidR="004E7EAB" w:rsidRPr="004E7EAB" w:rsidRDefault="004E7EAB" w:rsidP="004E7EAB">
            <w:pPr>
              <w:rPr>
                <w:bCs/>
                <w:sz w:val="18"/>
                <w:szCs w:val="18"/>
              </w:rPr>
            </w:pPr>
          </w:p>
          <w:p w14:paraId="3E013509" w14:textId="1A1D592D" w:rsidR="004E7EAB" w:rsidRPr="004E7EAB" w:rsidRDefault="004E7EAB" w:rsidP="004E7EAB">
            <w:pPr>
              <w:rPr>
                <w:bCs/>
                <w:sz w:val="18"/>
                <w:szCs w:val="18"/>
              </w:rPr>
            </w:pPr>
            <w:r>
              <w:rPr>
                <w:sz w:val="18"/>
              </w:rPr>
              <w:tab/>
              <w:t>2)</w:t>
            </w:r>
            <w:r>
              <w:rPr>
                <w:sz w:val="18"/>
              </w:rPr>
              <w:tab/>
              <w:t>[</w:t>
            </w:r>
            <w:r>
              <w:rPr>
                <w:i/>
                <w:iCs/>
                <w:sz w:val="18"/>
              </w:rPr>
              <w:t>Sentido de “material”</w:t>
            </w:r>
            <w:r>
              <w:rPr>
                <w:sz w:val="18"/>
              </w:rPr>
              <w:t>]</w:t>
            </w:r>
            <w:r w:rsidR="00883938">
              <w:rPr>
                <w:sz w:val="18"/>
              </w:rPr>
              <w:t xml:space="preserve"> </w:t>
            </w:r>
            <w:r>
              <w:rPr>
                <w:sz w:val="18"/>
              </w:rPr>
              <w:t xml:space="preserve">A los fines de lo dispuesto en el párrafo 1), se entenderá por </w:t>
            </w:r>
            <w:r>
              <w:rPr>
                <w:i/>
                <w:iCs/>
                <w:sz w:val="18"/>
              </w:rPr>
              <w:t>“material”</w:t>
            </w:r>
            <w:r>
              <w:rPr>
                <w:sz w:val="18"/>
              </w:rPr>
              <w:t>, en relación con una variedad,</w:t>
            </w:r>
          </w:p>
          <w:p w14:paraId="4F5C64BF" w14:textId="77777777" w:rsidR="004E7EAB" w:rsidRPr="004E7EAB" w:rsidRDefault="004E7EAB" w:rsidP="004E7EAB">
            <w:pPr>
              <w:rPr>
                <w:bCs/>
                <w:sz w:val="18"/>
                <w:szCs w:val="18"/>
              </w:rPr>
            </w:pPr>
          </w:p>
          <w:p w14:paraId="2691E25B" w14:textId="77777777" w:rsidR="004E7EAB" w:rsidRPr="004E7EAB" w:rsidRDefault="004E7EAB" w:rsidP="004E7EAB">
            <w:pPr>
              <w:rPr>
                <w:bCs/>
                <w:sz w:val="18"/>
                <w:szCs w:val="18"/>
              </w:rPr>
            </w:pPr>
            <w:r>
              <w:rPr>
                <w:sz w:val="18"/>
              </w:rPr>
              <w:tab/>
              <w:t>i)</w:t>
            </w:r>
            <w:r>
              <w:rPr>
                <w:sz w:val="18"/>
              </w:rPr>
              <w:tab/>
              <w:t xml:space="preserve">el </w:t>
            </w:r>
            <w:r>
              <w:rPr>
                <w:sz w:val="18"/>
                <w:highlight w:val="yellow"/>
              </w:rPr>
              <w:t>material de reproducción o de multiplicación vegetativa</w:t>
            </w:r>
            <w:r>
              <w:rPr>
                <w:sz w:val="18"/>
              </w:rPr>
              <w:t xml:space="preserve">, en cualquier forma, </w:t>
            </w:r>
          </w:p>
          <w:p w14:paraId="45A59746" w14:textId="77777777" w:rsidR="004E7EAB" w:rsidRPr="004E7EAB" w:rsidRDefault="004E7EAB" w:rsidP="004E7EAB">
            <w:pPr>
              <w:rPr>
                <w:bCs/>
                <w:sz w:val="18"/>
                <w:szCs w:val="18"/>
              </w:rPr>
            </w:pPr>
            <w:r>
              <w:rPr>
                <w:sz w:val="18"/>
              </w:rPr>
              <w:tab/>
              <w:t>ii)</w:t>
            </w:r>
            <w:r>
              <w:rPr>
                <w:sz w:val="18"/>
              </w:rPr>
              <w:tab/>
              <w:t>el producto de la cosecha, incluidas las plantas enteras y las partes de plantas, y</w:t>
            </w:r>
          </w:p>
          <w:p w14:paraId="7CA92694" w14:textId="77777777" w:rsidR="004E7EAB" w:rsidRPr="004E7EAB" w:rsidRDefault="004E7EAB" w:rsidP="004E7EAB">
            <w:pPr>
              <w:rPr>
                <w:bCs/>
                <w:sz w:val="18"/>
                <w:szCs w:val="18"/>
              </w:rPr>
            </w:pPr>
            <w:r>
              <w:rPr>
                <w:sz w:val="18"/>
              </w:rPr>
              <w:tab/>
              <w:t>iii)</w:t>
            </w:r>
            <w:r>
              <w:rPr>
                <w:sz w:val="18"/>
              </w:rPr>
              <w:tab/>
              <w:t xml:space="preserve">todo producto fabricado directamente a partir del producto de la cosecha. </w:t>
            </w:r>
          </w:p>
          <w:p w14:paraId="0039E6EB" w14:textId="77777777" w:rsidR="004E7EAB" w:rsidRPr="004E7EAB" w:rsidRDefault="004E7EAB" w:rsidP="004E7EAB">
            <w:pPr>
              <w:rPr>
                <w:bCs/>
                <w:sz w:val="18"/>
                <w:szCs w:val="18"/>
              </w:rPr>
            </w:pPr>
          </w:p>
          <w:p w14:paraId="485C6F41" w14:textId="77777777" w:rsidR="004E7EAB" w:rsidRPr="004E7EAB" w:rsidRDefault="004E7EAB" w:rsidP="004E7EAB">
            <w:pPr>
              <w:rPr>
                <w:bCs/>
                <w:sz w:val="18"/>
                <w:szCs w:val="18"/>
              </w:rPr>
            </w:pPr>
            <w:r>
              <w:rPr>
                <w:sz w:val="18"/>
              </w:rPr>
              <w:t>[…]</w:t>
            </w:r>
          </w:p>
          <w:p w14:paraId="1D24FF10" w14:textId="77777777" w:rsidR="004E7EAB" w:rsidRPr="004E7EAB" w:rsidRDefault="004E7EAB" w:rsidP="004E7EAB">
            <w:pPr>
              <w:rPr>
                <w:bCs/>
                <w:sz w:val="18"/>
                <w:szCs w:val="18"/>
              </w:rPr>
            </w:pPr>
          </w:p>
        </w:tc>
      </w:tr>
      <w:tr w:rsidR="004E7EAB" w:rsidRPr="004E7EAB" w14:paraId="49311ABB" w14:textId="77777777" w:rsidTr="00FB48FD">
        <w:trPr>
          <w:cantSplit/>
          <w:jc w:val="center"/>
        </w:trPr>
        <w:tc>
          <w:tcPr>
            <w:tcW w:w="8789" w:type="dxa"/>
          </w:tcPr>
          <w:p w14:paraId="213FED0E" w14:textId="77777777" w:rsidR="004E7EAB" w:rsidRPr="004E7EAB" w:rsidRDefault="004E7EAB" w:rsidP="004E7EAB">
            <w:pPr>
              <w:jc w:val="center"/>
              <w:rPr>
                <w:b/>
                <w:bCs/>
                <w:sz w:val="18"/>
                <w:szCs w:val="18"/>
              </w:rPr>
            </w:pPr>
          </w:p>
          <w:p w14:paraId="2C7602A3" w14:textId="77777777" w:rsidR="004E7EAB" w:rsidRPr="004E7EAB" w:rsidRDefault="004E7EAB" w:rsidP="004E7EAB">
            <w:pPr>
              <w:jc w:val="center"/>
              <w:rPr>
                <w:b/>
                <w:bCs/>
                <w:sz w:val="18"/>
                <w:szCs w:val="18"/>
              </w:rPr>
            </w:pPr>
            <w:r>
              <w:rPr>
                <w:b/>
                <w:sz w:val="18"/>
              </w:rPr>
              <w:t>Artículo 20</w:t>
            </w:r>
          </w:p>
          <w:p w14:paraId="464FE4CE" w14:textId="77777777" w:rsidR="004E7EAB" w:rsidRPr="004E7EAB" w:rsidRDefault="004E7EAB" w:rsidP="004E7EAB">
            <w:pPr>
              <w:jc w:val="center"/>
              <w:rPr>
                <w:b/>
                <w:bCs/>
                <w:sz w:val="18"/>
                <w:szCs w:val="18"/>
              </w:rPr>
            </w:pPr>
          </w:p>
          <w:p w14:paraId="02099885" w14:textId="77777777" w:rsidR="004E7EAB" w:rsidRPr="004E7EAB" w:rsidRDefault="004E7EAB" w:rsidP="004E7EAB">
            <w:pPr>
              <w:jc w:val="center"/>
              <w:rPr>
                <w:b/>
                <w:bCs/>
                <w:sz w:val="18"/>
                <w:szCs w:val="18"/>
              </w:rPr>
            </w:pPr>
            <w:r>
              <w:rPr>
                <w:b/>
                <w:sz w:val="18"/>
              </w:rPr>
              <w:t>Denominación de la variedad</w:t>
            </w:r>
          </w:p>
          <w:p w14:paraId="452CC616" w14:textId="77777777" w:rsidR="004E7EAB" w:rsidRPr="004E7EAB" w:rsidRDefault="004E7EAB" w:rsidP="004E7EAB">
            <w:pPr>
              <w:rPr>
                <w:bCs/>
                <w:sz w:val="18"/>
                <w:szCs w:val="18"/>
              </w:rPr>
            </w:pPr>
            <w:r>
              <w:rPr>
                <w:sz w:val="18"/>
              </w:rPr>
              <w:t>[…]</w:t>
            </w:r>
            <w:r>
              <w:rPr>
                <w:sz w:val="18"/>
              </w:rPr>
              <w:tab/>
            </w:r>
          </w:p>
          <w:p w14:paraId="61B8146E" w14:textId="77777777" w:rsidR="004E7EAB" w:rsidRPr="004E7EAB" w:rsidRDefault="004E7EAB" w:rsidP="004E7EAB">
            <w:pPr>
              <w:rPr>
                <w:bCs/>
                <w:sz w:val="18"/>
                <w:szCs w:val="18"/>
              </w:rPr>
            </w:pPr>
          </w:p>
          <w:p w14:paraId="6DF4BA04" w14:textId="77777777" w:rsidR="004E7EAB" w:rsidRPr="004E7EAB" w:rsidRDefault="004E7EAB" w:rsidP="004E7EAB">
            <w:pPr>
              <w:rPr>
                <w:bCs/>
                <w:sz w:val="18"/>
                <w:szCs w:val="18"/>
              </w:rPr>
            </w:pPr>
            <w:r>
              <w:rPr>
                <w:sz w:val="18"/>
              </w:rPr>
              <w:tab/>
              <w:t>7)</w:t>
            </w:r>
            <w:r>
              <w:rPr>
                <w:sz w:val="18"/>
              </w:rPr>
              <w:tab/>
              <w:t>[</w:t>
            </w:r>
            <w:r>
              <w:rPr>
                <w:i/>
                <w:iCs/>
                <w:sz w:val="18"/>
              </w:rPr>
              <w:t>Obligación de utilizar la denominación</w:t>
            </w:r>
            <w:r>
              <w:rPr>
                <w:sz w:val="18"/>
              </w:rPr>
              <w:t>]</w:t>
            </w:r>
            <w:r>
              <w:rPr>
                <w:sz w:val="18"/>
              </w:rPr>
              <w:tab/>
              <w:t xml:space="preserve">Quien, en el territorio de una Parte Contratante, proceda a la puesta en venta o a la comercialización del </w:t>
            </w:r>
            <w:r>
              <w:rPr>
                <w:sz w:val="18"/>
                <w:highlight w:val="yellow"/>
              </w:rPr>
              <w:t>material de reproducción o de multiplicación vegetativa</w:t>
            </w:r>
            <w:r>
              <w:rPr>
                <w:sz w:val="18"/>
              </w:rPr>
              <w:t xml:space="preserve">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14:paraId="60912788" w14:textId="77777777" w:rsidR="004E7EAB" w:rsidRPr="004E7EAB" w:rsidRDefault="004E7EAB" w:rsidP="004E7EAB">
            <w:pPr>
              <w:rPr>
                <w:bCs/>
                <w:sz w:val="18"/>
                <w:szCs w:val="18"/>
              </w:rPr>
            </w:pPr>
          </w:p>
          <w:p w14:paraId="3BA684D1" w14:textId="77777777" w:rsidR="004E7EAB" w:rsidRPr="004E7EAB" w:rsidRDefault="004E7EAB" w:rsidP="004E7EAB">
            <w:pPr>
              <w:rPr>
                <w:bCs/>
                <w:sz w:val="18"/>
                <w:szCs w:val="18"/>
              </w:rPr>
            </w:pPr>
            <w:r>
              <w:rPr>
                <w:sz w:val="18"/>
              </w:rPr>
              <w:t>[…]</w:t>
            </w:r>
          </w:p>
          <w:p w14:paraId="7E421BCA" w14:textId="77777777" w:rsidR="004E7EAB" w:rsidRPr="004E7EAB" w:rsidRDefault="004E7EAB" w:rsidP="004E7EAB">
            <w:pPr>
              <w:rPr>
                <w:bCs/>
                <w:sz w:val="18"/>
                <w:szCs w:val="18"/>
              </w:rPr>
            </w:pPr>
          </w:p>
        </w:tc>
      </w:tr>
    </w:tbl>
    <w:p w14:paraId="7BDB45A2" w14:textId="77777777" w:rsidR="004E7EAB" w:rsidRPr="004E7EAB" w:rsidRDefault="004E7EAB" w:rsidP="004E7EAB"/>
    <w:p w14:paraId="260B3F8E" w14:textId="77777777"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14:paraId="267BC708" w14:textId="77777777" w:rsidTr="00FB48FD">
        <w:trPr>
          <w:cantSplit/>
          <w:jc w:val="center"/>
        </w:trPr>
        <w:tc>
          <w:tcPr>
            <w:tcW w:w="8789" w:type="dxa"/>
          </w:tcPr>
          <w:p w14:paraId="1891ED0D" w14:textId="77777777" w:rsidR="004E7EAB" w:rsidRPr="004E7EAB" w:rsidRDefault="004E7EAB" w:rsidP="004E7EAB">
            <w:pPr>
              <w:rPr>
                <w:rFonts w:cs="Arial"/>
                <w:bCs/>
                <w:sz w:val="18"/>
                <w:szCs w:val="18"/>
              </w:rPr>
            </w:pPr>
          </w:p>
          <w:p w14:paraId="313FC39F" w14:textId="77777777" w:rsidR="004E7EAB" w:rsidRPr="004E7EAB" w:rsidRDefault="004E7EAB" w:rsidP="004E7EAB">
            <w:pPr>
              <w:keepNext/>
              <w:keepLines/>
              <w:jc w:val="center"/>
              <w:rPr>
                <w:rFonts w:cs="Arial"/>
                <w:u w:val="single"/>
              </w:rPr>
            </w:pPr>
            <w:r>
              <w:rPr>
                <w:u w:val="single"/>
              </w:rPr>
              <w:t>Acta de 1978 del Convenio de la UPOV</w:t>
            </w:r>
          </w:p>
          <w:p w14:paraId="76407191" w14:textId="77777777" w:rsidR="004E7EAB" w:rsidRPr="004E7EAB" w:rsidRDefault="004E7EAB" w:rsidP="004E7EAB">
            <w:pPr>
              <w:keepNext/>
              <w:keepLines/>
              <w:rPr>
                <w:rFonts w:cs="Arial"/>
                <w:bCs/>
                <w:sz w:val="18"/>
                <w:szCs w:val="18"/>
              </w:rPr>
            </w:pPr>
          </w:p>
          <w:p w14:paraId="2151BA78" w14:textId="77777777" w:rsidR="004E7EAB" w:rsidRPr="004E7EAB" w:rsidRDefault="004E7EAB" w:rsidP="004E7EAB">
            <w:pPr>
              <w:keepNext/>
              <w:keepLines/>
              <w:rPr>
                <w:rFonts w:cs="Arial"/>
                <w:bCs/>
                <w:sz w:val="18"/>
                <w:szCs w:val="18"/>
              </w:rPr>
            </w:pPr>
          </w:p>
          <w:p w14:paraId="576B4B8F"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Artículo 5</w:t>
            </w:r>
          </w:p>
          <w:p w14:paraId="4A3E8F1B" w14:textId="77777777" w:rsidR="004E7EAB" w:rsidRPr="004E7EAB" w:rsidRDefault="004E7EAB" w:rsidP="004E7EAB">
            <w:pPr>
              <w:keepNext/>
              <w:rPr>
                <w:rFonts w:cs="Arial"/>
                <w:sz w:val="18"/>
                <w:szCs w:val="18"/>
              </w:rPr>
            </w:pPr>
          </w:p>
          <w:p w14:paraId="5D04D6B3"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Derechos protegidos; ámbito de la protección</w:t>
            </w:r>
          </w:p>
          <w:p w14:paraId="1DAD6D57" w14:textId="77777777" w:rsidR="004E7EAB" w:rsidRPr="004E7EAB" w:rsidRDefault="004E7EAB" w:rsidP="004E7EAB">
            <w:pPr>
              <w:keepNext/>
              <w:rPr>
                <w:rFonts w:cs="Arial"/>
                <w:sz w:val="18"/>
                <w:szCs w:val="18"/>
              </w:rPr>
            </w:pPr>
          </w:p>
          <w:p w14:paraId="2148740E" w14:textId="77777777" w:rsidR="004E7EAB" w:rsidRPr="004E7EAB" w:rsidRDefault="004E7EAB" w:rsidP="004E7EAB">
            <w:pPr>
              <w:rPr>
                <w:rFonts w:cs="Arial"/>
                <w:sz w:val="18"/>
                <w:szCs w:val="18"/>
              </w:rPr>
            </w:pPr>
            <w:r>
              <w:rPr>
                <w:sz w:val="18"/>
              </w:rPr>
              <w:tab/>
              <w:t>1)</w:t>
            </w:r>
            <w:r>
              <w:rPr>
                <w:sz w:val="18"/>
              </w:rPr>
              <w:tab/>
              <w:t>El derecho concedido al obtentor tendrá como efecto someter a su autorización previa</w:t>
            </w:r>
          </w:p>
          <w:p w14:paraId="73990191" w14:textId="77777777" w:rsidR="004E7EAB" w:rsidRPr="004E7EAB" w:rsidRDefault="004E7EAB" w:rsidP="004E7EAB">
            <w:pPr>
              <w:rPr>
                <w:rFonts w:cs="Arial"/>
                <w:sz w:val="18"/>
                <w:szCs w:val="18"/>
              </w:rPr>
            </w:pPr>
          </w:p>
          <w:p w14:paraId="4FDE18A0" w14:textId="77777777" w:rsidR="004E7EAB" w:rsidRPr="004E7EAB" w:rsidRDefault="004E7EAB" w:rsidP="004E7EAB">
            <w:pPr>
              <w:rPr>
                <w:rFonts w:cs="Arial"/>
                <w:sz w:val="18"/>
                <w:szCs w:val="18"/>
              </w:rPr>
            </w:pPr>
            <w:r>
              <w:rPr>
                <w:sz w:val="18"/>
              </w:rPr>
              <w:tab/>
              <w:t>-</w:t>
            </w:r>
            <w:r>
              <w:rPr>
                <w:sz w:val="18"/>
              </w:rPr>
              <w:tab/>
              <w:t>la producción con fines comerciales,</w:t>
            </w:r>
          </w:p>
          <w:p w14:paraId="1663A332" w14:textId="77777777" w:rsidR="004E7EAB" w:rsidRPr="004E7EAB" w:rsidRDefault="004E7EAB" w:rsidP="004E7EAB">
            <w:pPr>
              <w:rPr>
                <w:rFonts w:cs="Arial"/>
                <w:sz w:val="18"/>
                <w:szCs w:val="18"/>
              </w:rPr>
            </w:pPr>
            <w:r>
              <w:rPr>
                <w:sz w:val="18"/>
              </w:rPr>
              <w:tab/>
              <w:t>-</w:t>
            </w:r>
            <w:r>
              <w:rPr>
                <w:sz w:val="18"/>
              </w:rPr>
              <w:tab/>
              <w:t>la puesta a la venta,</w:t>
            </w:r>
          </w:p>
          <w:p w14:paraId="07786C51" w14:textId="77777777" w:rsidR="004E7EAB" w:rsidRPr="004E7EAB" w:rsidRDefault="004E7EAB" w:rsidP="004E7EAB">
            <w:pPr>
              <w:rPr>
                <w:rFonts w:cs="Arial"/>
                <w:sz w:val="18"/>
                <w:szCs w:val="18"/>
              </w:rPr>
            </w:pPr>
            <w:r>
              <w:rPr>
                <w:sz w:val="18"/>
              </w:rPr>
              <w:tab/>
              <w:t>-</w:t>
            </w:r>
            <w:r>
              <w:rPr>
                <w:sz w:val="18"/>
              </w:rPr>
              <w:tab/>
              <w:t>la comercialización</w:t>
            </w:r>
          </w:p>
          <w:p w14:paraId="31E006EA" w14:textId="77777777" w:rsidR="004E7EAB" w:rsidRPr="004E7EAB" w:rsidRDefault="004E7EAB" w:rsidP="004E7EAB">
            <w:pPr>
              <w:rPr>
                <w:rFonts w:cs="Arial"/>
                <w:sz w:val="18"/>
                <w:szCs w:val="18"/>
              </w:rPr>
            </w:pPr>
          </w:p>
          <w:p w14:paraId="7A760E47" w14:textId="77777777" w:rsidR="004E7EAB" w:rsidRPr="004E7EAB" w:rsidRDefault="004E7EAB" w:rsidP="004E7EAB">
            <w:pPr>
              <w:tabs>
                <w:tab w:val="left" w:pos="1134"/>
              </w:tabs>
              <w:rPr>
                <w:rFonts w:cs="Arial"/>
                <w:sz w:val="18"/>
                <w:szCs w:val="18"/>
              </w:rPr>
            </w:pPr>
            <w:r>
              <w:rPr>
                <w:sz w:val="18"/>
              </w:rPr>
              <w:t xml:space="preserve">del </w:t>
            </w:r>
            <w:r>
              <w:rPr>
                <w:sz w:val="18"/>
                <w:highlight w:val="yellow"/>
              </w:rPr>
              <w:t>material</w:t>
            </w:r>
            <w:r>
              <w:rPr>
                <w:sz w:val="18"/>
              </w:rPr>
              <w:t xml:space="preserve"> de reproducción o </w:t>
            </w:r>
            <w:r>
              <w:rPr>
                <w:sz w:val="18"/>
                <w:highlight w:val="yellow"/>
              </w:rPr>
              <w:t>de multiplicación</w:t>
            </w:r>
            <w:r>
              <w:rPr>
                <w:sz w:val="18"/>
              </w:rPr>
              <w:t xml:space="preserve"> vegetativa, en su calidad de tal, de la variedad.</w:t>
            </w:r>
          </w:p>
          <w:p w14:paraId="1E0EC0BE" w14:textId="77777777" w:rsidR="004E7EAB" w:rsidRPr="004E7EAB" w:rsidRDefault="004E7EAB" w:rsidP="004E7EAB">
            <w:pPr>
              <w:rPr>
                <w:rFonts w:cs="Arial"/>
                <w:sz w:val="18"/>
                <w:szCs w:val="18"/>
              </w:rPr>
            </w:pPr>
          </w:p>
          <w:p w14:paraId="3704F1BF" w14:textId="033D252F" w:rsidR="004E7EAB" w:rsidRPr="004E7EAB" w:rsidRDefault="004E7EAB" w:rsidP="004E7EAB">
            <w:pPr>
              <w:rPr>
                <w:rFonts w:cs="Arial"/>
                <w:sz w:val="18"/>
                <w:szCs w:val="18"/>
              </w:rPr>
            </w:pPr>
            <w:r>
              <w:rPr>
                <w:sz w:val="18"/>
              </w:rPr>
              <w:tab/>
              <w:t xml:space="preserve">El </w:t>
            </w:r>
            <w:r>
              <w:rPr>
                <w:sz w:val="18"/>
                <w:highlight w:val="yellow"/>
              </w:rPr>
              <w:t>material de multiplicación</w:t>
            </w:r>
            <w:r>
              <w:rPr>
                <w:sz w:val="18"/>
              </w:rPr>
              <w:t xml:space="preserve"> vegetativa abarca las plantas enteras.</w:t>
            </w:r>
            <w:r w:rsidR="00EE1944">
              <w:rPr>
                <w:sz w:val="18"/>
              </w:rPr>
              <w:t xml:space="preserve"> </w:t>
            </w:r>
            <w:r>
              <w:rPr>
                <w:sz w:val="18"/>
              </w:rPr>
              <w:t xml:space="preserve">El derecho del obtentor se extiende a las plantas ornamentales o a las partes de dichas plantas que normalmente son comercializadas para fines distintos de la multiplicación, en el caso de que se utilicen comercialmente como </w:t>
            </w:r>
            <w:r>
              <w:rPr>
                <w:sz w:val="18"/>
                <w:highlight w:val="yellow"/>
              </w:rPr>
              <w:t>material de multiplicación</w:t>
            </w:r>
            <w:r>
              <w:rPr>
                <w:sz w:val="18"/>
              </w:rPr>
              <w:t xml:space="preserve"> con vistas a la producción de plantas ornamentales o de flores cortadas.</w:t>
            </w:r>
          </w:p>
          <w:p w14:paraId="53BAF31E" w14:textId="77777777" w:rsidR="004E7EAB" w:rsidRPr="004E7EAB" w:rsidRDefault="004E7EAB" w:rsidP="004E7EAB">
            <w:pPr>
              <w:rPr>
                <w:rFonts w:cs="Arial"/>
                <w:sz w:val="18"/>
                <w:szCs w:val="18"/>
              </w:rPr>
            </w:pPr>
          </w:p>
          <w:p w14:paraId="460DB1B8" w14:textId="77777777" w:rsidR="004E7EAB" w:rsidRPr="004E7EAB" w:rsidRDefault="004E7EAB" w:rsidP="004E7EAB">
            <w:pPr>
              <w:rPr>
                <w:rFonts w:cs="Arial"/>
                <w:sz w:val="18"/>
                <w:szCs w:val="18"/>
              </w:rPr>
            </w:pPr>
            <w:r>
              <w:rPr>
                <w:sz w:val="18"/>
              </w:rPr>
              <w:t>[…]</w:t>
            </w:r>
          </w:p>
          <w:p w14:paraId="1667C84C" w14:textId="77777777" w:rsidR="004E7EAB" w:rsidRPr="004E7EAB" w:rsidRDefault="004E7EAB" w:rsidP="004E7EAB">
            <w:pPr>
              <w:keepNext/>
              <w:keepLines/>
              <w:rPr>
                <w:rFonts w:cs="Arial"/>
                <w:bCs/>
                <w:sz w:val="18"/>
                <w:szCs w:val="18"/>
              </w:rPr>
            </w:pPr>
          </w:p>
        </w:tc>
      </w:tr>
      <w:tr w:rsidR="004E7EAB" w:rsidRPr="004E7EAB" w14:paraId="52604CF3" w14:textId="77777777" w:rsidTr="00FB48FD">
        <w:trPr>
          <w:cantSplit/>
          <w:jc w:val="center"/>
        </w:trPr>
        <w:tc>
          <w:tcPr>
            <w:tcW w:w="8789" w:type="dxa"/>
          </w:tcPr>
          <w:p w14:paraId="758F32F4" w14:textId="77777777" w:rsidR="004E7EAB" w:rsidRPr="004E7EAB" w:rsidRDefault="004E7EAB" w:rsidP="004E7EAB">
            <w:pPr>
              <w:jc w:val="left"/>
              <w:rPr>
                <w:rFonts w:cs="Arial"/>
                <w:b/>
                <w:bCs/>
                <w:sz w:val="18"/>
                <w:szCs w:val="18"/>
              </w:rPr>
            </w:pPr>
          </w:p>
          <w:p w14:paraId="11A2AB90" w14:textId="77777777" w:rsidR="004E7EAB" w:rsidRPr="004E7EAB" w:rsidRDefault="004E7EAB" w:rsidP="004E7EAB">
            <w:pPr>
              <w:keepNext/>
              <w:keepLines/>
              <w:jc w:val="center"/>
              <w:rPr>
                <w:rFonts w:cs="Arial"/>
                <w:b/>
                <w:bCs/>
                <w:sz w:val="18"/>
                <w:szCs w:val="18"/>
              </w:rPr>
            </w:pPr>
            <w:r>
              <w:rPr>
                <w:b/>
                <w:sz w:val="18"/>
              </w:rPr>
              <w:t>Artículo 7</w:t>
            </w:r>
          </w:p>
          <w:p w14:paraId="289C5C9A" w14:textId="77777777" w:rsidR="004E7EAB" w:rsidRPr="004E7EAB" w:rsidRDefault="004E7EAB" w:rsidP="004E7EAB">
            <w:pPr>
              <w:keepNext/>
              <w:keepLines/>
              <w:jc w:val="center"/>
              <w:rPr>
                <w:rFonts w:cs="Arial"/>
                <w:b/>
                <w:bCs/>
                <w:sz w:val="18"/>
                <w:szCs w:val="18"/>
              </w:rPr>
            </w:pPr>
          </w:p>
          <w:p w14:paraId="119936A5" w14:textId="29032F57" w:rsidR="004E7EAB" w:rsidRPr="004E7EAB" w:rsidRDefault="004E7EAB" w:rsidP="004E7EAB">
            <w:pPr>
              <w:keepNext/>
              <w:keepLines/>
              <w:jc w:val="center"/>
              <w:rPr>
                <w:rFonts w:cs="Arial"/>
                <w:b/>
                <w:bCs/>
                <w:sz w:val="18"/>
                <w:szCs w:val="18"/>
              </w:rPr>
            </w:pPr>
            <w:r>
              <w:rPr>
                <w:b/>
                <w:sz w:val="18"/>
              </w:rPr>
              <w:t>Examen oficial de variedades;</w:t>
            </w:r>
            <w:r w:rsidR="00EE1944">
              <w:rPr>
                <w:b/>
                <w:sz w:val="18"/>
              </w:rPr>
              <w:t xml:space="preserve"> </w:t>
            </w:r>
            <w:r>
              <w:rPr>
                <w:b/>
                <w:sz w:val="18"/>
              </w:rPr>
              <w:t>protección provisional</w:t>
            </w:r>
          </w:p>
          <w:p w14:paraId="3DD22258" w14:textId="77777777" w:rsidR="004E7EAB" w:rsidRPr="004E7EAB" w:rsidRDefault="004E7EAB" w:rsidP="004E7EAB">
            <w:pPr>
              <w:keepNext/>
              <w:keepLines/>
              <w:rPr>
                <w:rFonts w:cs="Arial"/>
                <w:bCs/>
                <w:sz w:val="18"/>
                <w:szCs w:val="18"/>
              </w:rPr>
            </w:pPr>
          </w:p>
          <w:p w14:paraId="417C71F8" w14:textId="77777777" w:rsidR="004E7EAB" w:rsidRPr="004E7EAB" w:rsidRDefault="004E7EAB" w:rsidP="004E7EAB">
            <w:pPr>
              <w:keepNext/>
              <w:keepLines/>
              <w:rPr>
                <w:rFonts w:cs="Arial"/>
                <w:bCs/>
                <w:sz w:val="18"/>
                <w:szCs w:val="18"/>
              </w:rPr>
            </w:pPr>
            <w:r>
              <w:rPr>
                <w:sz w:val="18"/>
              </w:rPr>
              <w:t>[…]</w:t>
            </w:r>
          </w:p>
          <w:p w14:paraId="5E2D156D" w14:textId="77777777" w:rsidR="004E7EAB" w:rsidRPr="004E7EAB" w:rsidRDefault="004E7EAB" w:rsidP="004E7EAB">
            <w:pPr>
              <w:keepNext/>
              <w:keepLines/>
              <w:rPr>
                <w:rFonts w:cs="Arial"/>
                <w:bCs/>
                <w:sz w:val="18"/>
                <w:szCs w:val="18"/>
              </w:rPr>
            </w:pPr>
          </w:p>
          <w:p w14:paraId="029BEABE" w14:textId="77777777" w:rsidR="004E7EAB" w:rsidRPr="004E7EAB" w:rsidRDefault="004E7EAB" w:rsidP="004E7EAB">
            <w:pPr>
              <w:keepNext/>
              <w:keepLines/>
              <w:rPr>
                <w:rFonts w:cs="Arial"/>
                <w:bCs/>
                <w:sz w:val="18"/>
                <w:szCs w:val="18"/>
              </w:rPr>
            </w:pPr>
            <w:r>
              <w:rPr>
                <w:sz w:val="18"/>
              </w:rPr>
              <w:tab/>
              <w:t>2)</w:t>
            </w:r>
            <w:r>
              <w:rPr>
                <w:sz w:val="18"/>
              </w:rPr>
              <w:tab/>
              <w:t xml:space="preserve">A la vista de dicho examen, los servicios competentes de cada Estado de la Unión podrán exigir del obtentor todos los documentos, informaciones, </w:t>
            </w:r>
            <w:r>
              <w:rPr>
                <w:sz w:val="18"/>
                <w:highlight w:val="yellow"/>
              </w:rPr>
              <w:t>plantones</w:t>
            </w:r>
            <w:r>
              <w:rPr>
                <w:sz w:val="18"/>
              </w:rPr>
              <w:t xml:space="preserve"> o semillas necesarios.</w:t>
            </w:r>
          </w:p>
          <w:p w14:paraId="32891CF8" w14:textId="77777777" w:rsidR="004E7EAB" w:rsidRPr="004E7EAB" w:rsidRDefault="004E7EAB" w:rsidP="004E7EAB">
            <w:pPr>
              <w:keepNext/>
              <w:keepLines/>
              <w:rPr>
                <w:rFonts w:cs="Arial"/>
                <w:bCs/>
                <w:sz w:val="18"/>
                <w:szCs w:val="18"/>
              </w:rPr>
            </w:pPr>
          </w:p>
          <w:p w14:paraId="51291470" w14:textId="77777777" w:rsidR="004E7EAB" w:rsidRPr="004E7EAB" w:rsidRDefault="004E7EAB" w:rsidP="004E7EAB">
            <w:pPr>
              <w:keepNext/>
              <w:keepLines/>
              <w:rPr>
                <w:rFonts w:cs="Arial"/>
                <w:bCs/>
                <w:sz w:val="18"/>
                <w:szCs w:val="18"/>
              </w:rPr>
            </w:pPr>
            <w:r>
              <w:rPr>
                <w:sz w:val="18"/>
              </w:rPr>
              <w:t>[…]</w:t>
            </w:r>
          </w:p>
          <w:p w14:paraId="3001DBF7" w14:textId="77777777" w:rsidR="004E7EAB" w:rsidRPr="004E7EAB" w:rsidRDefault="004E7EAB" w:rsidP="004E7EAB">
            <w:pPr>
              <w:rPr>
                <w:rFonts w:cs="Arial"/>
                <w:bCs/>
                <w:sz w:val="18"/>
                <w:szCs w:val="18"/>
              </w:rPr>
            </w:pPr>
          </w:p>
        </w:tc>
      </w:tr>
      <w:tr w:rsidR="004E7EAB" w:rsidRPr="004E7EAB" w14:paraId="0B53F81B" w14:textId="77777777" w:rsidTr="00FB48FD">
        <w:trPr>
          <w:cantSplit/>
          <w:jc w:val="center"/>
        </w:trPr>
        <w:tc>
          <w:tcPr>
            <w:tcW w:w="8789" w:type="dxa"/>
          </w:tcPr>
          <w:p w14:paraId="5374E549"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468D07A6"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Artículo 10</w:t>
            </w:r>
          </w:p>
          <w:p w14:paraId="2B6B34E3"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4AD8AA2D"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Nulidad y caducidad de los derechos protegidos</w:t>
            </w:r>
          </w:p>
          <w:p w14:paraId="750565A6" w14:textId="77777777" w:rsidR="004E7EAB" w:rsidRPr="004E7EAB" w:rsidRDefault="004E7EAB" w:rsidP="004E7EAB">
            <w:pPr>
              <w:rPr>
                <w:rFonts w:cs="Arial"/>
                <w:sz w:val="18"/>
                <w:szCs w:val="18"/>
              </w:rPr>
            </w:pPr>
          </w:p>
          <w:p w14:paraId="6B198152" w14:textId="77777777" w:rsidR="004E7EAB" w:rsidRPr="004E7EAB" w:rsidRDefault="004E7EAB" w:rsidP="004E7EAB">
            <w:pPr>
              <w:rPr>
                <w:rFonts w:cs="Arial"/>
                <w:sz w:val="18"/>
                <w:szCs w:val="18"/>
              </w:rPr>
            </w:pPr>
            <w:r>
              <w:rPr>
                <w:sz w:val="18"/>
              </w:rPr>
              <w:t>[…]</w:t>
            </w:r>
          </w:p>
          <w:p w14:paraId="4C8315E8" w14:textId="77777777" w:rsidR="004E7EAB" w:rsidRPr="004E7EAB" w:rsidRDefault="004E7EAB" w:rsidP="004E7EAB">
            <w:pPr>
              <w:rPr>
                <w:rFonts w:cs="Arial"/>
                <w:sz w:val="18"/>
                <w:szCs w:val="18"/>
              </w:rPr>
            </w:pPr>
          </w:p>
          <w:p w14:paraId="5BEC4D81" w14:textId="77777777" w:rsidR="004E7EAB" w:rsidRPr="004E7EAB" w:rsidRDefault="004E7EAB" w:rsidP="004E7EAB">
            <w:pPr>
              <w:rPr>
                <w:rFonts w:cs="Arial"/>
                <w:sz w:val="18"/>
                <w:szCs w:val="18"/>
              </w:rPr>
            </w:pPr>
            <w:r>
              <w:rPr>
                <w:sz w:val="18"/>
              </w:rPr>
              <w:tab/>
              <w:t>2)</w:t>
            </w:r>
            <w:r>
              <w:rPr>
                <w:sz w:val="18"/>
              </w:rPr>
              <w:tab/>
              <w:t xml:space="preserve">Será privado de su derecho el obtentor que no está en condiciones de presentar a la autoridad competente el </w:t>
            </w:r>
            <w:r>
              <w:rPr>
                <w:sz w:val="18"/>
                <w:highlight w:val="yellow"/>
              </w:rPr>
              <w:t>material</w:t>
            </w:r>
            <w:r>
              <w:rPr>
                <w:sz w:val="18"/>
              </w:rPr>
              <w:t xml:space="preserve"> de reproducción o </w:t>
            </w:r>
            <w:r>
              <w:rPr>
                <w:sz w:val="18"/>
                <w:highlight w:val="yellow"/>
              </w:rPr>
              <w:t>de multiplicación</w:t>
            </w:r>
            <w:r>
              <w:rPr>
                <w:sz w:val="18"/>
              </w:rPr>
              <w:t xml:space="preserve"> que permita obtener la variedad con sus caracteres, tal como hayan sido definidos en el momento en el que se concedió la protección</w:t>
            </w:r>
          </w:p>
          <w:p w14:paraId="1366411B" w14:textId="77777777" w:rsidR="004E7EAB" w:rsidRPr="004E7EAB" w:rsidRDefault="004E7EAB" w:rsidP="004E7EAB">
            <w:pPr>
              <w:rPr>
                <w:rFonts w:cs="Arial"/>
                <w:sz w:val="18"/>
                <w:szCs w:val="18"/>
              </w:rPr>
            </w:pPr>
          </w:p>
          <w:p w14:paraId="54DC6A38" w14:textId="77777777" w:rsidR="004E7EAB" w:rsidRPr="004E7EAB" w:rsidRDefault="004E7EAB" w:rsidP="004E7EAB">
            <w:pPr>
              <w:rPr>
                <w:rFonts w:cs="Arial"/>
                <w:sz w:val="18"/>
                <w:szCs w:val="18"/>
              </w:rPr>
            </w:pPr>
            <w:r>
              <w:rPr>
                <w:sz w:val="18"/>
              </w:rPr>
              <w:tab/>
              <w:t>3)</w:t>
            </w:r>
            <w:r>
              <w:rPr>
                <w:sz w:val="18"/>
              </w:rPr>
              <w:tab/>
              <w:t>Podrá ser privado de su derecho el obtentor:</w:t>
            </w:r>
          </w:p>
          <w:p w14:paraId="26E3D623" w14:textId="77777777" w:rsidR="004E7EAB" w:rsidRPr="004E7EAB" w:rsidRDefault="004E7EAB" w:rsidP="004E7EAB">
            <w:pPr>
              <w:rPr>
                <w:rFonts w:cs="Arial"/>
                <w:sz w:val="18"/>
                <w:szCs w:val="18"/>
              </w:rPr>
            </w:pPr>
          </w:p>
          <w:p w14:paraId="0D9AD6DB" w14:textId="77777777" w:rsidR="004E7EAB" w:rsidRPr="004E7EAB" w:rsidRDefault="004E7EAB" w:rsidP="004E7EAB">
            <w:pPr>
              <w:rPr>
                <w:rFonts w:cs="Arial"/>
                <w:sz w:val="18"/>
                <w:szCs w:val="18"/>
              </w:rPr>
            </w:pPr>
            <w:r>
              <w:rPr>
                <w:sz w:val="18"/>
              </w:rPr>
              <w:tab/>
            </w:r>
            <w:r>
              <w:rPr>
                <w:sz w:val="18"/>
              </w:rPr>
              <w:tab/>
            </w:r>
            <w:r>
              <w:rPr>
                <w:i/>
                <w:iCs/>
                <w:sz w:val="18"/>
              </w:rPr>
              <w:t>a)</w:t>
            </w:r>
            <w:r>
              <w:rPr>
                <w:sz w:val="18"/>
              </w:rPr>
              <w:tab/>
              <w:t xml:space="preserve">que no presente a la autoridad competente, en un plazo determinado y tras haber sido requerido para ello, el </w:t>
            </w:r>
            <w:r>
              <w:rPr>
                <w:sz w:val="18"/>
                <w:highlight w:val="yellow"/>
              </w:rPr>
              <w:t xml:space="preserve">material </w:t>
            </w:r>
            <w:r>
              <w:rPr>
                <w:sz w:val="18"/>
              </w:rPr>
              <w:t>de reproducción o</w:t>
            </w:r>
            <w:r>
              <w:rPr>
                <w:sz w:val="18"/>
                <w:highlight w:val="yellow"/>
              </w:rPr>
              <w:t xml:space="preserve"> de multiplicación</w:t>
            </w:r>
            <w:r>
              <w:rPr>
                <w:sz w:val="18"/>
              </w:rPr>
              <w:t>, los documentos e informaciones estimados necesarios para el control de la variedad, o que no permita la inspección de las medidas adoptadas para la conservación de la variedad; o</w:t>
            </w:r>
          </w:p>
          <w:p w14:paraId="083156BF" w14:textId="77777777" w:rsidR="004E7EAB" w:rsidRPr="004E7EAB" w:rsidRDefault="004E7EAB" w:rsidP="004E7EAB">
            <w:pPr>
              <w:rPr>
                <w:rFonts w:cs="Arial"/>
                <w:sz w:val="18"/>
                <w:szCs w:val="18"/>
              </w:rPr>
            </w:pPr>
          </w:p>
          <w:p w14:paraId="67D97FED" w14:textId="77777777" w:rsidR="004E7EAB" w:rsidRPr="004E7EAB" w:rsidRDefault="004E7EAB" w:rsidP="004E7EAB">
            <w:pPr>
              <w:rPr>
                <w:rFonts w:cs="Arial"/>
                <w:sz w:val="18"/>
                <w:szCs w:val="18"/>
              </w:rPr>
            </w:pPr>
            <w:r>
              <w:rPr>
                <w:sz w:val="18"/>
              </w:rPr>
              <w:t>[…]</w:t>
            </w:r>
          </w:p>
          <w:p w14:paraId="1E0D9D30" w14:textId="77777777" w:rsidR="004E7EAB" w:rsidRPr="004E7EAB" w:rsidRDefault="004E7EAB" w:rsidP="004E7EAB">
            <w:pPr>
              <w:jc w:val="center"/>
              <w:rPr>
                <w:rFonts w:cs="Arial"/>
                <w:b/>
                <w:bCs/>
                <w:sz w:val="18"/>
                <w:szCs w:val="18"/>
              </w:rPr>
            </w:pPr>
          </w:p>
        </w:tc>
      </w:tr>
      <w:tr w:rsidR="004E7EAB" w:rsidRPr="004E7EAB" w14:paraId="27211B08" w14:textId="77777777" w:rsidTr="00FB48FD">
        <w:trPr>
          <w:cantSplit/>
          <w:jc w:val="center"/>
        </w:trPr>
        <w:tc>
          <w:tcPr>
            <w:tcW w:w="8789" w:type="dxa"/>
          </w:tcPr>
          <w:p w14:paraId="2F61EA18"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5A5E5CBB"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Artículo 13</w:t>
            </w:r>
          </w:p>
          <w:p w14:paraId="71184CBE"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4C451AEB" w14:textId="77777777" w:rsidR="004E7EAB" w:rsidRPr="004E7EAB" w:rsidRDefault="004E7EAB" w:rsidP="004E7EAB">
            <w:pPr>
              <w:overflowPunct w:val="0"/>
              <w:autoSpaceDE w:val="0"/>
              <w:autoSpaceDN w:val="0"/>
              <w:adjustRightInd w:val="0"/>
              <w:jc w:val="center"/>
              <w:textAlignment w:val="baseline"/>
              <w:rPr>
                <w:rFonts w:cs="Arial"/>
                <w:b/>
                <w:sz w:val="18"/>
                <w:szCs w:val="18"/>
              </w:rPr>
            </w:pPr>
            <w:r>
              <w:rPr>
                <w:b/>
                <w:sz w:val="18"/>
              </w:rPr>
              <w:t>Denominación de la variedad</w:t>
            </w:r>
          </w:p>
          <w:p w14:paraId="122699FE"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6DEE58F9" w14:textId="77777777" w:rsidR="004E7EAB" w:rsidRPr="004E7EAB" w:rsidRDefault="004E7EAB" w:rsidP="004E7EAB">
            <w:pPr>
              <w:overflowPunct w:val="0"/>
              <w:autoSpaceDE w:val="0"/>
              <w:autoSpaceDN w:val="0"/>
              <w:adjustRightInd w:val="0"/>
              <w:textAlignment w:val="baseline"/>
              <w:rPr>
                <w:rFonts w:cs="Arial"/>
                <w:sz w:val="18"/>
                <w:szCs w:val="18"/>
              </w:rPr>
            </w:pPr>
            <w:r>
              <w:rPr>
                <w:sz w:val="18"/>
              </w:rPr>
              <w:t>[…]</w:t>
            </w:r>
          </w:p>
          <w:p w14:paraId="6BD82F08" w14:textId="77777777" w:rsidR="004E7EAB" w:rsidRPr="004E7EAB" w:rsidRDefault="004E7EAB" w:rsidP="004E7EAB">
            <w:pPr>
              <w:overflowPunct w:val="0"/>
              <w:autoSpaceDE w:val="0"/>
              <w:autoSpaceDN w:val="0"/>
              <w:adjustRightInd w:val="0"/>
              <w:textAlignment w:val="baseline"/>
              <w:rPr>
                <w:rFonts w:cs="Arial"/>
                <w:sz w:val="18"/>
                <w:szCs w:val="18"/>
              </w:rPr>
            </w:pPr>
          </w:p>
          <w:p w14:paraId="5F91395F" w14:textId="77777777" w:rsidR="004E7EAB" w:rsidRPr="004E7EAB" w:rsidRDefault="004E7EAB" w:rsidP="004E7EAB">
            <w:pPr>
              <w:rPr>
                <w:rFonts w:cs="Arial"/>
                <w:sz w:val="18"/>
                <w:szCs w:val="18"/>
              </w:rPr>
            </w:pPr>
            <w:r>
              <w:rPr>
                <w:sz w:val="18"/>
              </w:rPr>
              <w:tab/>
              <w:t>7)</w:t>
            </w:r>
            <w:r>
              <w:rPr>
                <w:sz w:val="18"/>
              </w:rPr>
              <w:tab/>
              <w:t xml:space="preserve">El que, en uno de los Estados de la Unión, proceda a la puesta en venta o a la comercialización del </w:t>
            </w:r>
            <w:r>
              <w:rPr>
                <w:sz w:val="18"/>
                <w:highlight w:val="yellow"/>
              </w:rPr>
              <w:t xml:space="preserve">material </w:t>
            </w:r>
            <w:r>
              <w:rPr>
                <w:sz w:val="18"/>
              </w:rPr>
              <w:t xml:space="preserve">de reproducción o </w:t>
            </w:r>
            <w:r>
              <w:rPr>
                <w:sz w:val="18"/>
                <w:highlight w:val="yellow"/>
              </w:rPr>
              <w:t>de multiplicación</w:t>
            </w:r>
            <w:r>
              <w:rPr>
                <w:sz w:val="18"/>
              </w:rPr>
              <w:t xml:space="preserve"> vegetativa de una variedad protegida en ese Estado, estará obligado a utilizar la denominación de esa variedad, incluso después de la expiración de la protección de esa variedad, siempre que, de conformidad con lo dispuesto en el párrafo 4), no se opongan a esa utilización derechos anteriores.</w:t>
            </w:r>
          </w:p>
          <w:p w14:paraId="6152C7E7" w14:textId="77777777" w:rsidR="004E7EAB" w:rsidRPr="004E7EAB" w:rsidRDefault="004E7EAB" w:rsidP="004E7EAB">
            <w:pPr>
              <w:overflowPunct w:val="0"/>
              <w:autoSpaceDE w:val="0"/>
              <w:autoSpaceDN w:val="0"/>
              <w:adjustRightInd w:val="0"/>
              <w:textAlignment w:val="baseline"/>
              <w:rPr>
                <w:rFonts w:cs="Arial"/>
                <w:sz w:val="18"/>
                <w:szCs w:val="18"/>
              </w:rPr>
            </w:pPr>
          </w:p>
          <w:p w14:paraId="3FCBD351" w14:textId="77777777" w:rsidR="004E7EAB" w:rsidRPr="004E7EAB" w:rsidRDefault="004E7EAB" w:rsidP="004E7EAB">
            <w:pPr>
              <w:overflowPunct w:val="0"/>
              <w:autoSpaceDE w:val="0"/>
              <w:autoSpaceDN w:val="0"/>
              <w:adjustRightInd w:val="0"/>
              <w:textAlignment w:val="baseline"/>
              <w:rPr>
                <w:rFonts w:cs="Arial"/>
                <w:sz w:val="18"/>
                <w:szCs w:val="18"/>
              </w:rPr>
            </w:pPr>
            <w:r>
              <w:rPr>
                <w:sz w:val="18"/>
              </w:rPr>
              <w:t>[…]</w:t>
            </w:r>
          </w:p>
          <w:p w14:paraId="0976A192" w14:textId="77777777" w:rsidR="004E7EAB" w:rsidRPr="004E7EAB" w:rsidRDefault="004E7EAB" w:rsidP="004E7EAB">
            <w:pPr>
              <w:overflowPunct w:val="0"/>
              <w:autoSpaceDE w:val="0"/>
              <w:autoSpaceDN w:val="0"/>
              <w:adjustRightInd w:val="0"/>
              <w:textAlignment w:val="baseline"/>
              <w:rPr>
                <w:rFonts w:cs="Arial"/>
                <w:sz w:val="18"/>
                <w:szCs w:val="18"/>
              </w:rPr>
            </w:pPr>
          </w:p>
        </w:tc>
      </w:tr>
      <w:tr w:rsidR="004E7EAB" w:rsidRPr="004E7EAB" w14:paraId="2A9041A2" w14:textId="77777777" w:rsidTr="00FB48FD">
        <w:trPr>
          <w:cantSplit/>
          <w:jc w:val="center"/>
        </w:trPr>
        <w:tc>
          <w:tcPr>
            <w:tcW w:w="8789" w:type="dxa"/>
          </w:tcPr>
          <w:p w14:paraId="3C16D633"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p w14:paraId="532449A1"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Artículo 14</w:t>
            </w:r>
          </w:p>
          <w:p w14:paraId="32297CEE" w14:textId="77777777" w:rsidR="004E7EAB" w:rsidRPr="004E7EAB" w:rsidRDefault="004E7EAB" w:rsidP="004E7EAB">
            <w:pPr>
              <w:keepNext/>
              <w:rPr>
                <w:rFonts w:cs="Arial"/>
                <w:sz w:val="18"/>
                <w:szCs w:val="18"/>
              </w:rPr>
            </w:pPr>
          </w:p>
          <w:p w14:paraId="7CAA8F53" w14:textId="14010771" w:rsidR="004E7EAB" w:rsidRPr="004E7EAB" w:rsidRDefault="004E7EAB" w:rsidP="004E7EAB">
            <w:pPr>
              <w:keepNext/>
              <w:overflowPunct w:val="0"/>
              <w:autoSpaceDE w:val="0"/>
              <w:autoSpaceDN w:val="0"/>
              <w:adjustRightInd w:val="0"/>
              <w:jc w:val="center"/>
              <w:textAlignment w:val="baseline"/>
              <w:rPr>
                <w:rFonts w:cs="Arial"/>
                <w:b/>
                <w:sz w:val="18"/>
                <w:szCs w:val="18"/>
              </w:rPr>
            </w:pPr>
            <w:r>
              <w:rPr>
                <w:b/>
                <w:sz w:val="18"/>
              </w:rPr>
              <w:t>Protección independiente de las medidas reguladoras de la producción, la certificación y la</w:t>
            </w:r>
            <w:r w:rsidR="00652BB0">
              <w:rPr>
                <w:b/>
                <w:sz w:val="18"/>
              </w:rPr>
              <w:t> </w:t>
            </w:r>
            <w:r>
              <w:rPr>
                <w:b/>
                <w:sz w:val="18"/>
              </w:rPr>
              <w:t xml:space="preserve">comercialización </w:t>
            </w:r>
          </w:p>
          <w:p w14:paraId="36494D54" w14:textId="77777777" w:rsidR="004E7EAB" w:rsidRPr="004E7EAB" w:rsidRDefault="004E7EAB" w:rsidP="004E7EAB">
            <w:pPr>
              <w:keepNext/>
              <w:overflowPunct w:val="0"/>
              <w:autoSpaceDE w:val="0"/>
              <w:autoSpaceDN w:val="0"/>
              <w:adjustRightInd w:val="0"/>
              <w:jc w:val="center"/>
              <w:textAlignment w:val="baseline"/>
              <w:rPr>
                <w:rFonts w:cs="Arial"/>
                <w:b/>
                <w:sz w:val="18"/>
                <w:szCs w:val="18"/>
              </w:rPr>
            </w:pPr>
          </w:p>
          <w:p w14:paraId="352851D4" w14:textId="77777777" w:rsidR="004E7EAB" w:rsidRPr="004E7EAB" w:rsidRDefault="004E7EAB" w:rsidP="004E7EAB">
            <w:pPr>
              <w:keepNext/>
              <w:rPr>
                <w:rFonts w:cs="Arial"/>
                <w:sz w:val="18"/>
                <w:szCs w:val="18"/>
              </w:rPr>
            </w:pPr>
          </w:p>
          <w:p w14:paraId="66D80256" w14:textId="77777777" w:rsidR="004E7EAB" w:rsidRPr="004E7EAB" w:rsidRDefault="004E7EAB" w:rsidP="004E7EAB">
            <w:pPr>
              <w:rPr>
                <w:rFonts w:cs="Arial"/>
                <w:sz w:val="18"/>
                <w:szCs w:val="18"/>
              </w:rPr>
            </w:pPr>
            <w:r>
              <w:rPr>
                <w:sz w:val="18"/>
              </w:rPr>
              <w:tab/>
              <w:t>1)</w:t>
            </w:r>
            <w:r>
              <w:rPr>
                <w:sz w:val="18"/>
              </w:rPr>
              <w:tab/>
              <w:t xml:space="preserve">El derecho reconocido al obtentor en virtud de las disposiciones del presente Convenio es independiente de las medidas adoptadas en cada Estado de la Unión para reglamentar la producción, certificación y comercialización de las semillas y </w:t>
            </w:r>
            <w:r>
              <w:rPr>
                <w:sz w:val="18"/>
                <w:highlight w:val="yellow"/>
              </w:rPr>
              <w:t>plantones</w:t>
            </w:r>
            <w:r>
              <w:rPr>
                <w:sz w:val="18"/>
              </w:rPr>
              <w:t>.</w:t>
            </w:r>
          </w:p>
          <w:p w14:paraId="07DE92A9" w14:textId="77777777" w:rsidR="004E7EAB" w:rsidRPr="004E7EAB" w:rsidRDefault="004E7EAB" w:rsidP="004E7EAB">
            <w:pPr>
              <w:rPr>
                <w:rFonts w:cs="Arial"/>
                <w:sz w:val="18"/>
                <w:szCs w:val="18"/>
              </w:rPr>
            </w:pPr>
          </w:p>
          <w:p w14:paraId="00AD02B7" w14:textId="77777777" w:rsidR="004E7EAB" w:rsidRPr="004E7EAB" w:rsidRDefault="004E7EAB" w:rsidP="004E7EAB">
            <w:pPr>
              <w:rPr>
                <w:rFonts w:cs="Arial"/>
                <w:sz w:val="18"/>
                <w:szCs w:val="18"/>
              </w:rPr>
            </w:pPr>
            <w:r>
              <w:rPr>
                <w:sz w:val="18"/>
              </w:rPr>
              <w:t>[…]</w:t>
            </w:r>
          </w:p>
          <w:p w14:paraId="084DC521" w14:textId="77777777" w:rsidR="004E7EAB" w:rsidRPr="004E7EAB" w:rsidRDefault="004E7EAB" w:rsidP="004E7EAB">
            <w:pPr>
              <w:overflowPunct w:val="0"/>
              <w:autoSpaceDE w:val="0"/>
              <w:autoSpaceDN w:val="0"/>
              <w:adjustRightInd w:val="0"/>
              <w:jc w:val="center"/>
              <w:textAlignment w:val="baseline"/>
              <w:rPr>
                <w:rFonts w:cs="Arial"/>
                <w:b/>
                <w:sz w:val="18"/>
                <w:szCs w:val="18"/>
              </w:rPr>
            </w:pPr>
          </w:p>
        </w:tc>
      </w:tr>
    </w:tbl>
    <w:p w14:paraId="7B329D22" w14:textId="77777777" w:rsidR="004E7EAB" w:rsidRPr="004E7EAB" w:rsidRDefault="004E7EAB" w:rsidP="004E7EAB"/>
    <w:p w14:paraId="5FC3092A" w14:textId="77777777" w:rsidR="004E7EAB" w:rsidRPr="004E7EAB" w:rsidRDefault="004E7EAB" w:rsidP="004E7EAB"/>
    <w:p w14:paraId="58437064" w14:textId="77777777" w:rsidR="004E7EAB" w:rsidRPr="004E7EAB" w:rsidRDefault="004E7EAB" w:rsidP="004E7EAB"/>
    <w:p w14:paraId="2E3B87E4" w14:textId="77777777" w:rsidR="004E7EAB" w:rsidRDefault="004E7EAB" w:rsidP="004E7EAB">
      <w:pPr>
        <w:jc w:val="right"/>
      </w:pPr>
      <w:r>
        <w:t>[Fin del Anexo y del documento]</w:t>
      </w:r>
    </w:p>
    <w:p w14:paraId="2374A71B" w14:textId="77777777" w:rsidR="004E7EAB" w:rsidRPr="004E7EAB" w:rsidRDefault="004E7EAB" w:rsidP="004E7EAB">
      <w:pPr>
        <w:jc w:val="right"/>
      </w:pPr>
    </w:p>
    <w:sectPr w:rsidR="004E7EAB" w:rsidRPr="004E7EAB" w:rsidSect="00E46A30">
      <w:headerReference w:type="even" r:id="rId14"/>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6A626" w14:textId="77777777" w:rsidR="007448DC" w:rsidRDefault="007448DC" w:rsidP="006655D3">
      <w:r>
        <w:separator/>
      </w:r>
    </w:p>
    <w:p w14:paraId="61610626" w14:textId="77777777" w:rsidR="007448DC" w:rsidRDefault="007448DC" w:rsidP="006655D3"/>
  </w:endnote>
  <w:endnote w:type="continuationSeparator" w:id="0">
    <w:p w14:paraId="460DD359" w14:textId="77777777" w:rsidR="007448DC" w:rsidRDefault="007448DC" w:rsidP="006655D3">
      <w:r>
        <w:separator/>
      </w:r>
    </w:p>
    <w:p w14:paraId="1B71E629" w14:textId="77777777" w:rsidR="007448DC" w:rsidRPr="00294751" w:rsidRDefault="007448DC">
      <w:pPr>
        <w:pStyle w:val="Footer"/>
        <w:spacing w:after="60"/>
        <w:rPr>
          <w:sz w:val="18"/>
          <w:lang w:val="fr-FR"/>
        </w:rPr>
      </w:pPr>
      <w:r w:rsidRPr="00294751">
        <w:rPr>
          <w:sz w:val="18"/>
          <w:lang w:val="fr-FR"/>
        </w:rPr>
        <w:t>[Suite de la note de la page précédente]</w:t>
      </w:r>
    </w:p>
    <w:p w14:paraId="7B976ACA" w14:textId="77777777" w:rsidR="007448DC" w:rsidRPr="00294751" w:rsidRDefault="007448DC" w:rsidP="006655D3">
      <w:pPr>
        <w:rPr>
          <w:lang w:val="fr-FR"/>
        </w:rPr>
      </w:pPr>
    </w:p>
    <w:p w14:paraId="7AE8B48D" w14:textId="77777777" w:rsidR="007448DC" w:rsidRPr="00294751" w:rsidRDefault="007448DC" w:rsidP="006655D3">
      <w:pPr>
        <w:rPr>
          <w:lang w:val="fr-FR"/>
        </w:rPr>
      </w:pPr>
    </w:p>
  </w:endnote>
  <w:endnote w:type="continuationNotice" w:id="1">
    <w:p w14:paraId="1F02CF5E" w14:textId="77777777" w:rsidR="007448DC" w:rsidRPr="00294751" w:rsidRDefault="007448DC" w:rsidP="006655D3">
      <w:pPr>
        <w:rPr>
          <w:lang w:val="fr-FR"/>
        </w:rPr>
      </w:pPr>
      <w:r w:rsidRPr="00294751">
        <w:rPr>
          <w:lang w:val="fr-FR"/>
        </w:rPr>
        <w:t>[Suite de la note page suivante]</w:t>
      </w:r>
    </w:p>
    <w:p w14:paraId="49DA07CA" w14:textId="77777777" w:rsidR="007448DC" w:rsidRPr="00294751" w:rsidRDefault="007448DC" w:rsidP="006655D3">
      <w:pPr>
        <w:rPr>
          <w:lang w:val="fr-FR"/>
        </w:rPr>
      </w:pPr>
    </w:p>
    <w:p w14:paraId="4C69A487" w14:textId="77777777" w:rsidR="007448DC" w:rsidRPr="00294751" w:rsidRDefault="007448D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337A4" w14:textId="77777777" w:rsidR="007448DC" w:rsidRDefault="007448DC" w:rsidP="006655D3">
      <w:r>
        <w:separator/>
      </w:r>
    </w:p>
  </w:footnote>
  <w:footnote w:type="continuationSeparator" w:id="0">
    <w:p w14:paraId="1F71AC0B" w14:textId="77777777" w:rsidR="007448DC" w:rsidRDefault="007448DC" w:rsidP="006655D3">
      <w:r>
        <w:separator/>
      </w:r>
    </w:p>
  </w:footnote>
  <w:footnote w:type="continuationNotice" w:id="1">
    <w:p w14:paraId="059B5D06" w14:textId="77777777" w:rsidR="007448DC" w:rsidRPr="00AB530F" w:rsidRDefault="007448D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B739D" w14:textId="77777777" w:rsidR="004E7EAB" w:rsidRDefault="004E7EAB" w:rsidP="00BE4EC4">
    <w:pPr>
      <w:pStyle w:val="Header"/>
      <w:rPr>
        <w:rFonts w:cs="Arial"/>
      </w:rPr>
    </w:pPr>
    <w:r>
      <w:t xml:space="preserve">UPOV/EXN/PPM/1 </w:t>
    </w:r>
    <w:r>
      <w:rPr>
        <w:highlight w:val="lightGray"/>
      </w:rPr>
      <w:t>con comentarios</w:t>
    </w:r>
  </w:p>
  <w:p w14:paraId="120F48D9" w14:textId="77777777" w:rsidR="004E7EAB" w:rsidRPr="00E95FD9" w:rsidRDefault="004E7EAB" w:rsidP="00BE4EC4">
    <w:pPr>
      <w:pStyle w:val="Header"/>
      <w:rPr>
        <w:rStyle w:val="PageNumber"/>
        <w:rFonts w:cs="Arial"/>
      </w:rPr>
    </w:pPr>
    <w:r>
      <w:t>página </w:t>
    </w:r>
    <w:r w:rsidRPr="009929A5">
      <w:rPr>
        <w:rStyle w:val="PageNumber"/>
        <w:rFonts w:cs="Arial"/>
      </w:rPr>
      <w:fldChar w:fldCharType="begin"/>
    </w:r>
    <w:r w:rsidRPr="00E95FD9">
      <w:rPr>
        <w:rStyle w:val="PageNumber"/>
        <w:rFonts w:cs="Arial"/>
      </w:rPr>
      <w:instrText xml:space="preserve"> PAGE </w:instrText>
    </w:r>
    <w:r w:rsidRPr="009929A5">
      <w:rPr>
        <w:rStyle w:val="PageNumber"/>
        <w:rFonts w:cs="Arial"/>
      </w:rPr>
      <w:fldChar w:fldCharType="separate"/>
    </w:r>
    <w:r w:rsidR="00F41C29">
      <w:rPr>
        <w:rStyle w:val="PageNumber"/>
        <w:rFonts w:cs="Arial"/>
      </w:rPr>
      <w:t>3</w:t>
    </w:r>
    <w:r w:rsidRPr="009929A5">
      <w:rPr>
        <w:rStyle w:val="PageNumber"/>
        <w:rFonts w:cs="Arial"/>
      </w:rPr>
      <w:fldChar w:fldCharType="end"/>
    </w:r>
  </w:p>
  <w:p w14:paraId="6F6A5524" w14:textId="77777777" w:rsidR="004E7EAB" w:rsidRPr="007922FF" w:rsidRDefault="004E7EAB" w:rsidP="00BE4EC4">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C6ED4" w14:textId="770E6EF0" w:rsidR="00652BB0" w:rsidRPr="00CD0CBC" w:rsidRDefault="009E199D" w:rsidP="00652BB0">
    <w:pPr>
      <w:pStyle w:val="Header"/>
      <w:rPr>
        <w:rFonts w:cs="Arial"/>
      </w:rPr>
    </w:pPr>
    <w:r>
      <w:t>WG-HRV</w:t>
    </w:r>
    <w:r w:rsidR="00652BB0">
      <w:t>/3</w:t>
    </w:r>
    <w:r>
      <w:t>/2</w:t>
    </w:r>
  </w:p>
  <w:p w14:paraId="33D4A9E9" w14:textId="2996072A" w:rsidR="00652BB0" w:rsidRPr="00922072" w:rsidRDefault="00652BB0" w:rsidP="00652BB0">
    <w:pPr>
      <w:pStyle w:val="Header"/>
    </w:pPr>
    <w:r>
      <w:rPr>
        <w:rStyle w:val="PageNumber"/>
      </w:rPr>
      <w:t>Anexo,</w:t>
    </w:r>
    <w:r>
      <w:t xml:space="preserve"> página </w:t>
    </w:r>
    <w:r>
      <w:fldChar w:fldCharType="begin"/>
    </w:r>
    <w:r>
      <w:instrText>PAGE   \* MERGEFORMAT</w:instrText>
    </w:r>
    <w:r>
      <w:fldChar w:fldCharType="separate"/>
    </w:r>
    <w:r w:rsidR="00BE685F">
      <w:rPr>
        <w:noProof/>
      </w:rPr>
      <w:t>2</w:t>
    </w:r>
    <w:r>
      <w:fldChar w:fldCharType="end"/>
    </w:r>
  </w:p>
  <w:p w14:paraId="1069DC45" w14:textId="77777777" w:rsidR="0051302B" w:rsidRPr="00EC61CB" w:rsidRDefault="0051302B" w:rsidP="00EC6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5C81C" w14:textId="77777777" w:rsidR="002D5CDE" w:rsidRPr="00CD0CBC" w:rsidRDefault="002D5CDE" w:rsidP="002D5CDE">
    <w:pPr>
      <w:pStyle w:val="Header"/>
      <w:rPr>
        <w:rFonts w:cs="Arial"/>
      </w:rPr>
    </w:pPr>
    <w:r>
      <w:t>WG-HRV/2/3</w:t>
    </w:r>
  </w:p>
  <w:p w14:paraId="060A814A" w14:textId="07ED1761" w:rsidR="002D5CDE" w:rsidRPr="00922072" w:rsidRDefault="00EC61CB" w:rsidP="002D5CDE">
    <w:pPr>
      <w:pStyle w:val="Header"/>
    </w:pPr>
    <w:r>
      <w:rPr>
        <w:rStyle w:val="PageNumber"/>
      </w:rPr>
      <w:t>Anexo,</w:t>
    </w:r>
    <w:r>
      <w:t xml:space="preserve"> página </w:t>
    </w:r>
    <w:r w:rsidR="00652BB0">
      <w:fldChar w:fldCharType="begin"/>
    </w:r>
    <w:r w:rsidR="00652BB0">
      <w:instrText>PAGE   \* MERGEFORMAT</w:instrText>
    </w:r>
    <w:r w:rsidR="00652BB0">
      <w:fldChar w:fldCharType="separate"/>
    </w:r>
    <w:r w:rsidR="00937BD9">
      <w:rPr>
        <w:noProof/>
      </w:rPr>
      <w:t>3</w:t>
    </w:r>
    <w:r w:rsidR="00652BB0">
      <w:fldChar w:fldCharType="end"/>
    </w:r>
  </w:p>
  <w:p w14:paraId="5C0EA050" w14:textId="77777777" w:rsidR="002D5CDE" w:rsidRPr="00E95FD9" w:rsidRDefault="002D5CDE" w:rsidP="00BE4EC4">
    <w:pPr>
      <w:pStyle w:val="Header"/>
      <w:rPr>
        <w:rFonts w:cs="Arial"/>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DFE63" w14:textId="77777777" w:rsidR="002D5CDE" w:rsidRDefault="002D5CD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E0DF" w14:textId="0E705437" w:rsidR="00937BD9" w:rsidRDefault="009E199D" w:rsidP="00937BD9">
    <w:pPr>
      <w:pStyle w:val="Enttepair"/>
      <w:pBdr>
        <w:bottom w:val="single" w:sz="4" w:space="9" w:color="auto"/>
      </w:pBdr>
      <w:jc w:val="center"/>
    </w:pPr>
    <w:r>
      <w:t>WG-HRV/3/2</w:t>
    </w:r>
    <w:r>
      <w:br/>
      <w:t xml:space="preserve">Anexo, Apéndice, página </w:t>
    </w:r>
    <w:r>
      <w:fldChar w:fldCharType="begin"/>
    </w:r>
    <w:r>
      <w:instrText>PAGE   \* MERGEFORMAT</w:instrText>
    </w:r>
    <w:r>
      <w:fldChar w:fldCharType="separate"/>
    </w:r>
    <w:r w:rsidR="00BE685F">
      <w:rPr>
        <w:noProof/>
      </w:rPr>
      <w:t>4</w:t>
    </w:r>
    <w:r>
      <w:fldChar w:fldCharType="end"/>
    </w:r>
  </w:p>
  <w:p w14:paraId="0F622A12" w14:textId="77777777" w:rsidR="00937BD9" w:rsidRPr="00EC61CB" w:rsidRDefault="00937BD9" w:rsidP="00EC61C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90216" w14:textId="20DB5F6C" w:rsidR="00937BD9" w:rsidRPr="00922072" w:rsidRDefault="009E199D" w:rsidP="002D5CDE">
    <w:pPr>
      <w:pStyle w:val="Header"/>
    </w:pPr>
    <w:r>
      <w:t>WG-HRV/3/2</w:t>
    </w:r>
    <w:r>
      <w:br/>
      <w:t>Anexo, Apéndice</w:t>
    </w:r>
    <w:r w:rsidR="00937BD9">
      <w:rPr>
        <w:rStyle w:val="PageNumber"/>
      </w:rPr>
      <w:t>,</w:t>
    </w:r>
    <w:r w:rsidR="00937BD9">
      <w:t xml:space="preserve"> página </w:t>
    </w:r>
    <w:r w:rsidR="00937BD9">
      <w:fldChar w:fldCharType="begin"/>
    </w:r>
    <w:r w:rsidR="00937BD9">
      <w:instrText>PAGE   \* MERGEFORMAT</w:instrText>
    </w:r>
    <w:r w:rsidR="00937BD9">
      <w:fldChar w:fldCharType="separate"/>
    </w:r>
    <w:r w:rsidR="00BE685F">
      <w:rPr>
        <w:noProof/>
      </w:rPr>
      <w:t>3</w:t>
    </w:r>
    <w:r w:rsidR="00937BD9">
      <w:fldChar w:fldCharType="end"/>
    </w:r>
  </w:p>
  <w:p w14:paraId="5331F782" w14:textId="77777777" w:rsidR="00937BD9" w:rsidRPr="001351D1" w:rsidRDefault="00937BD9" w:rsidP="00BE4EC4">
    <w:pPr>
      <w:pStyle w:val="Header"/>
      <w:rPr>
        <w:rFonts w:cs="Arial"/>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29F46" w14:textId="3C3EF1F0" w:rsidR="00772B1F" w:rsidRPr="00937BD9" w:rsidRDefault="00772B1F" w:rsidP="00937B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5F"/>
    <w:multiLevelType w:val="hybridMultilevel"/>
    <w:tmpl w:val="E3F4B852"/>
    <w:lvl w:ilvl="0" w:tplc="A442F17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6A450D0"/>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n-NZ" w:vendorID="64" w:dllVersion="6" w:nlCheck="1" w:checkStyle="1"/>
  <w:activeWritingStyle w:appName="MSWord" w:lang="en-GB"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fr-FR"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BAC"/>
    <w:rsid w:val="00010CF3"/>
    <w:rsid w:val="00011E27"/>
    <w:rsid w:val="000148BC"/>
    <w:rsid w:val="00024AB8"/>
    <w:rsid w:val="00030854"/>
    <w:rsid w:val="00036028"/>
    <w:rsid w:val="0004198B"/>
    <w:rsid w:val="00044642"/>
    <w:rsid w:val="000446B9"/>
    <w:rsid w:val="00047E21"/>
    <w:rsid w:val="00050E16"/>
    <w:rsid w:val="000641B1"/>
    <w:rsid w:val="0008100A"/>
    <w:rsid w:val="00085505"/>
    <w:rsid w:val="000928BB"/>
    <w:rsid w:val="000C4302"/>
    <w:rsid w:val="000C4E25"/>
    <w:rsid w:val="000C6002"/>
    <w:rsid w:val="000C7021"/>
    <w:rsid w:val="000D6BBC"/>
    <w:rsid w:val="000D7780"/>
    <w:rsid w:val="000E636A"/>
    <w:rsid w:val="000F2F11"/>
    <w:rsid w:val="00100A5F"/>
    <w:rsid w:val="00105929"/>
    <w:rsid w:val="00107974"/>
    <w:rsid w:val="00110BED"/>
    <w:rsid w:val="00110C36"/>
    <w:rsid w:val="001131D5"/>
    <w:rsid w:val="00114547"/>
    <w:rsid w:val="001351D1"/>
    <w:rsid w:val="00141DB8"/>
    <w:rsid w:val="00145A5E"/>
    <w:rsid w:val="00172084"/>
    <w:rsid w:val="0017474A"/>
    <w:rsid w:val="001758C6"/>
    <w:rsid w:val="00182B99"/>
    <w:rsid w:val="00185795"/>
    <w:rsid w:val="00191BC6"/>
    <w:rsid w:val="001B0440"/>
    <w:rsid w:val="001C1525"/>
    <w:rsid w:val="00205177"/>
    <w:rsid w:val="00206DDB"/>
    <w:rsid w:val="0021332C"/>
    <w:rsid w:val="00213982"/>
    <w:rsid w:val="00223A64"/>
    <w:rsid w:val="0024416D"/>
    <w:rsid w:val="00271335"/>
    <w:rsid w:val="00271911"/>
    <w:rsid w:val="00273187"/>
    <w:rsid w:val="002800A0"/>
    <w:rsid w:val="002801B3"/>
    <w:rsid w:val="00281060"/>
    <w:rsid w:val="00284050"/>
    <w:rsid w:val="00285BD0"/>
    <w:rsid w:val="002904B1"/>
    <w:rsid w:val="002940E8"/>
    <w:rsid w:val="00294751"/>
    <w:rsid w:val="002A6E50"/>
    <w:rsid w:val="002A77B2"/>
    <w:rsid w:val="002B3077"/>
    <w:rsid w:val="002B4298"/>
    <w:rsid w:val="002B7A36"/>
    <w:rsid w:val="002C256A"/>
    <w:rsid w:val="002D5226"/>
    <w:rsid w:val="002D5CDE"/>
    <w:rsid w:val="002E2DB4"/>
    <w:rsid w:val="0030432D"/>
    <w:rsid w:val="00305A7F"/>
    <w:rsid w:val="003152FE"/>
    <w:rsid w:val="00327436"/>
    <w:rsid w:val="00334BA9"/>
    <w:rsid w:val="00344BD6"/>
    <w:rsid w:val="0035528D"/>
    <w:rsid w:val="00361821"/>
    <w:rsid w:val="00361E9E"/>
    <w:rsid w:val="003753EE"/>
    <w:rsid w:val="00385EFC"/>
    <w:rsid w:val="003A0835"/>
    <w:rsid w:val="003A5AAF"/>
    <w:rsid w:val="003B237A"/>
    <w:rsid w:val="003B700A"/>
    <w:rsid w:val="003C7FBE"/>
    <w:rsid w:val="003D227C"/>
    <w:rsid w:val="003D2B4D"/>
    <w:rsid w:val="003E0B7F"/>
    <w:rsid w:val="003F37F5"/>
    <w:rsid w:val="004236E2"/>
    <w:rsid w:val="00444A88"/>
    <w:rsid w:val="00474DA4"/>
    <w:rsid w:val="00476B4D"/>
    <w:rsid w:val="004805FA"/>
    <w:rsid w:val="00480FE7"/>
    <w:rsid w:val="004916AD"/>
    <w:rsid w:val="004935D2"/>
    <w:rsid w:val="004B1215"/>
    <w:rsid w:val="004B644E"/>
    <w:rsid w:val="004D047D"/>
    <w:rsid w:val="004E7EAB"/>
    <w:rsid w:val="004F1E9E"/>
    <w:rsid w:val="004F305A"/>
    <w:rsid w:val="00512164"/>
    <w:rsid w:val="00512809"/>
    <w:rsid w:val="0051302B"/>
    <w:rsid w:val="00520297"/>
    <w:rsid w:val="00532395"/>
    <w:rsid w:val="0053357E"/>
    <w:rsid w:val="005338F9"/>
    <w:rsid w:val="0054281C"/>
    <w:rsid w:val="00544581"/>
    <w:rsid w:val="00550508"/>
    <w:rsid w:val="0055268D"/>
    <w:rsid w:val="005600FF"/>
    <w:rsid w:val="00575DE2"/>
    <w:rsid w:val="00576BE4"/>
    <w:rsid w:val="005779DB"/>
    <w:rsid w:val="00593BAC"/>
    <w:rsid w:val="005A2A67"/>
    <w:rsid w:val="005A400A"/>
    <w:rsid w:val="005A5C3E"/>
    <w:rsid w:val="005B269D"/>
    <w:rsid w:val="005B488F"/>
    <w:rsid w:val="005F49C3"/>
    <w:rsid w:val="005F7B92"/>
    <w:rsid w:val="006066D5"/>
    <w:rsid w:val="00612379"/>
    <w:rsid w:val="006153B6"/>
    <w:rsid w:val="0061555F"/>
    <w:rsid w:val="00616C1A"/>
    <w:rsid w:val="006245ED"/>
    <w:rsid w:val="00636CA6"/>
    <w:rsid w:val="00641200"/>
    <w:rsid w:val="00645CA8"/>
    <w:rsid w:val="00652BB0"/>
    <w:rsid w:val="006655D3"/>
    <w:rsid w:val="00667404"/>
    <w:rsid w:val="00687EB4"/>
    <w:rsid w:val="00695C56"/>
    <w:rsid w:val="006A4C12"/>
    <w:rsid w:val="006A5CDE"/>
    <w:rsid w:val="006A644A"/>
    <w:rsid w:val="006B17D2"/>
    <w:rsid w:val="006C224E"/>
    <w:rsid w:val="006D780A"/>
    <w:rsid w:val="006F3FDF"/>
    <w:rsid w:val="0071271E"/>
    <w:rsid w:val="00732DEC"/>
    <w:rsid w:val="0073565F"/>
    <w:rsid w:val="00735BD5"/>
    <w:rsid w:val="00742AC2"/>
    <w:rsid w:val="007448DC"/>
    <w:rsid w:val="007451EC"/>
    <w:rsid w:val="00751613"/>
    <w:rsid w:val="00753EE9"/>
    <w:rsid w:val="00755342"/>
    <w:rsid w:val="007556F6"/>
    <w:rsid w:val="00760EEF"/>
    <w:rsid w:val="00772B1F"/>
    <w:rsid w:val="00777EE5"/>
    <w:rsid w:val="00784836"/>
    <w:rsid w:val="0079023E"/>
    <w:rsid w:val="00792137"/>
    <w:rsid w:val="007922FF"/>
    <w:rsid w:val="007A2854"/>
    <w:rsid w:val="007C0D2C"/>
    <w:rsid w:val="007C1D92"/>
    <w:rsid w:val="007C4CB9"/>
    <w:rsid w:val="007C6EB2"/>
    <w:rsid w:val="007D0B9D"/>
    <w:rsid w:val="007D19B0"/>
    <w:rsid w:val="007E0882"/>
    <w:rsid w:val="007F498F"/>
    <w:rsid w:val="00801178"/>
    <w:rsid w:val="0080679D"/>
    <w:rsid w:val="008108B0"/>
    <w:rsid w:val="00811B20"/>
    <w:rsid w:val="00812609"/>
    <w:rsid w:val="008211B5"/>
    <w:rsid w:val="0082296E"/>
    <w:rsid w:val="00824099"/>
    <w:rsid w:val="008422E9"/>
    <w:rsid w:val="00846D7C"/>
    <w:rsid w:val="00867AC1"/>
    <w:rsid w:val="008751DE"/>
    <w:rsid w:val="00881B06"/>
    <w:rsid w:val="00883938"/>
    <w:rsid w:val="00890DF8"/>
    <w:rsid w:val="008A0ADE"/>
    <w:rsid w:val="008A3811"/>
    <w:rsid w:val="008A743F"/>
    <w:rsid w:val="008C0970"/>
    <w:rsid w:val="008C3B58"/>
    <w:rsid w:val="008D0BC5"/>
    <w:rsid w:val="008D0F14"/>
    <w:rsid w:val="008D2CF7"/>
    <w:rsid w:val="008E104B"/>
    <w:rsid w:val="008E4B3B"/>
    <w:rsid w:val="00900C26"/>
    <w:rsid w:val="0090197F"/>
    <w:rsid w:val="00902479"/>
    <w:rsid w:val="00903264"/>
    <w:rsid w:val="00906DDC"/>
    <w:rsid w:val="0093046A"/>
    <w:rsid w:val="00934E09"/>
    <w:rsid w:val="00936253"/>
    <w:rsid w:val="00937BD9"/>
    <w:rsid w:val="00940132"/>
    <w:rsid w:val="00940D46"/>
    <w:rsid w:val="009413F1"/>
    <w:rsid w:val="00952DD4"/>
    <w:rsid w:val="009561F4"/>
    <w:rsid w:val="00962A1C"/>
    <w:rsid w:val="00965AE7"/>
    <w:rsid w:val="00967A68"/>
    <w:rsid w:val="00970665"/>
    <w:rsid w:val="00970FED"/>
    <w:rsid w:val="00982480"/>
    <w:rsid w:val="0098765A"/>
    <w:rsid w:val="00990991"/>
    <w:rsid w:val="00992D82"/>
    <w:rsid w:val="00997029"/>
    <w:rsid w:val="009A12FE"/>
    <w:rsid w:val="009A7339"/>
    <w:rsid w:val="009B440E"/>
    <w:rsid w:val="009D690D"/>
    <w:rsid w:val="009E199D"/>
    <w:rsid w:val="009E65B6"/>
    <w:rsid w:val="009F0A51"/>
    <w:rsid w:val="009F4FDD"/>
    <w:rsid w:val="009F77CF"/>
    <w:rsid w:val="00A24C10"/>
    <w:rsid w:val="00A26E23"/>
    <w:rsid w:val="00A42AC3"/>
    <w:rsid w:val="00A430CF"/>
    <w:rsid w:val="00A54309"/>
    <w:rsid w:val="00A610A9"/>
    <w:rsid w:val="00A776C2"/>
    <w:rsid w:val="00A80F2A"/>
    <w:rsid w:val="00A96C33"/>
    <w:rsid w:val="00AA7D4C"/>
    <w:rsid w:val="00AB2B93"/>
    <w:rsid w:val="00AB530F"/>
    <w:rsid w:val="00AB7E5B"/>
    <w:rsid w:val="00AC2883"/>
    <w:rsid w:val="00AE0EF1"/>
    <w:rsid w:val="00AE2937"/>
    <w:rsid w:val="00B07301"/>
    <w:rsid w:val="00B11F3E"/>
    <w:rsid w:val="00B13141"/>
    <w:rsid w:val="00B224DE"/>
    <w:rsid w:val="00B324D4"/>
    <w:rsid w:val="00B438A7"/>
    <w:rsid w:val="00B46575"/>
    <w:rsid w:val="00B61777"/>
    <w:rsid w:val="00B622E6"/>
    <w:rsid w:val="00B62EA3"/>
    <w:rsid w:val="00B75F4F"/>
    <w:rsid w:val="00B83E82"/>
    <w:rsid w:val="00B84BBD"/>
    <w:rsid w:val="00B867B9"/>
    <w:rsid w:val="00BA43FB"/>
    <w:rsid w:val="00BC127D"/>
    <w:rsid w:val="00BC1FE6"/>
    <w:rsid w:val="00BE001A"/>
    <w:rsid w:val="00BE685F"/>
    <w:rsid w:val="00C061B6"/>
    <w:rsid w:val="00C2446C"/>
    <w:rsid w:val="00C36AE5"/>
    <w:rsid w:val="00C41F17"/>
    <w:rsid w:val="00C453AA"/>
    <w:rsid w:val="00C527FA"/>
    <w:rsid w:val="00C5280D"/>
    <w:rsid w:val="00C53EB3"/>
    <w:rsid w:val="00C5791C"/>
    <w:rsid w:val="00C66290"/>
    <w:rsid w:val="00C72B7A"/>
    <w:rsid w:val="00C92CD0"/>
    <w:rsid w:val="00C973F2"/>
    <w:rsid w:val="00CA304C"/>
    <w:rsid w:val="00CA774A"/>
    <w:rsid w:val="00CA7DC3"/>
    <w:rsid w:val="00CB4921"/>
    <w:rsid w:val="00CC11B0"/>
    <w:rsid w:val="00CC2841"/>
    <w:rsid w:val="00CC7F22"/>
    <w:rsid w:val="00CF1330"/>
    <w:rsid w:val="00CF3EA4"/>
    <w:rsid w:val="00CF7E36"/>
    <w:rsid w:val="00D029FC"/>
    <w:rsid w:val="00D23328"/>
    <w:rsid w:val="00D3708D"/>
    <w:rsid w:val="00D378DA"/>
    <w:rsid w:val="00D40426"/>
    <w:rsid w:val="00D57C96"/>
    <w:rsid w:val="00D57D18"/>
    <w:rsid w:val="00D665E1"/>
    <w:rsid w:val="00D70E65"/>
    <w:rsid w:val="00D82A5F"/>
    <w:rsid w:val="00D91203"/>
    <w:rsid w:val="00D95174"/>
    <w:rsid w:val="00DA4973"/>
    <w:rsid w:val="00DA6F36"/>
    <w:rsid w:val="00DB596E"/>
    <w:rsid w:val="00DB7773"/>
    <w:rsid w:val="00DC00EA"/>
    <w:rsid w:val="00DC3802"/>
    <w:rsid w:val="00DC3E81"/>
    <w:rsid w:val="00DD6208"/>
    <w:rsid w:val="00DF3C76"/>
    <w:rsid w:val="00DF7E99"/>
    <w:rsid w:val="00E07D87"/>
    <w:rsid w:val="00E249C8"/>
    <w:rsid w:val="00E32F7E"/>
    <w:rsid w:val="00E419CD"/>
    <w:rsid w:val="00E5267B"/>
    <w:rsid w:val="00E559F0"/>
    <w:rsid w:val="00E62FEB"/>
    <w:rsid w:val="00E63C0E"/>
    <w:rsid w:val="00E72D49"/>
    <w:rsid w:val="00E7593C"/>
    <w:rsid w:val="00E7678A"/>
    <w:rsid w:val="00E935F1"/>
    <w:rsid w:val="00E94A81"/>
    <w:rsid w:val="00EA1FFB"/>
    <w:rsid w:val="00EB048E"/>
    <w:rsid w:val="00EB4E9C"/>
    <w:rsid w:val="00EC61CB"/>
    <w:rsid w:val="00EE1944"/>
    <w:rsid w:val="00EE34DF"/>
    <w:rsid w:val="00EF2F89"/>
    <w:rsid w:val="00EF30A7"/>
    <w:rsid w:val="00F001BE"/>
    <w:rsid w:val="00F03E98"/>
    <w:rsid w:val="00F1237A"/>
    <w:rsid w:val="00F22CBD"/>
    <w:rsid w:val="00F272F1"/>
    <w:rsid w:val="00F31412"/>
    <w:rsid w:val="00F41C29"/>
    <w:rsid w:val="00F45372"/>
    <w:rsid w:val="00F50379"/>
    <w:rsid w:val="00F560F7"/>
    <w:rsid w:val="00F56D1F"/>
    <w:rsid w:val="00F6334D"/>
    <w:rsid w:val="00F63599"/>
    <w:rsid w:val="00F71781"/>
    <w:rsid w:val="00F72EB4"/>
    <w:rsid w:val="00FA49AB"/>
    <w:rsid w:val="00FC5FD0"/>
    <w:rsid w:val="00FC79E0"/>
    <w:rsid w:val="00FE39C7"/>
    <w:rsid w:val="00FE42FE"/>
    <w:rsid w:val="00FF4D07"/>
    <w:rsid w:val="00FF4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51579"/>
  <w15:docId w15:val="{2B3194DC-2659-42A1-9712-637F87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940132"/>
    <w:pPr>
      <w:ind w:left="284" w:hanging="284"/>
      <w:jc w:val="left"/>
    </w:pPr>
    <w:rPr>
      <w:sz w:val="16"/>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6A4C12"/>
    <w:pPr>
      <w:tabs>
        <w:tab w:val="right" w:leader="dot" w:pos="9639"/>
      </w:tabs>
      <w:spacing w:after="120"/>
      <w:ind w:right="284"/>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A7D4C"/>
    <w:pPr>
      <w:ind w:left="720"/>
      <w:jc w:val="left"/>
    </w:pPr>
    <w:rPr>
      <w:rFonts w:ascii="Calibri" w:eastAsia="Calibri" w:hAnsi="Calibri"/>
      <w:sz w:val="22"/>
      <w:szCs w:val="22"/>
      <w:lang w:eastAsia="fr-FR"/>
    </w:rPr>
  </w:style>
  <w:style w:type="table" w:styleId="TableGrid">
    <w:name w:val="Table Grid"/>
    <w:basedOn w:val="TableNormal"/>
    <w:rsid w:val="004E7E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E7EAB"/>
    <w:pPr>
      <w:pBdr>
        <w:bottom w:val="single" w:sz="4" w:space="1" w:color="auto"/>
      </w:pBdr>
      <w:jc w:val="left"/>
    </w:pPr>
    <w:rPr>
      <w:szCs w:val="24"/>
    </w:rPr>
  </w:style>
  <w:style w:type="character" w:customStyle="1" w:styleId="EndnoteTextChar">
    <w:name w:val="Endnote Text Char"/>
    <w:basedOn w:val="DefaultParagraphFont"/>
    <w:link w:val="EndnoteText"/>
    <w:rsid w:val="00940132"/>
    <w:rPr>
      <w:rFonts w:ascii="Arial" w:hAnsi="Arial"/>
      <w:sz w:val="16"/>
    </w:rPr>
  </w:style>
  <w:style w:type="paragraph" w:styleId="NormalWeb">
    <w:name w:val="Normal (Web)"/>
    <w:basedOn w:val="Normal"/>
    <w:uiPriority w:val="99"/>
    <w:unhideWhenUsed/>
    <w:rsid w:val="000641B1"/>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2D5CDE"/>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390208">
      <w:bodyDiv w:val="1"/>
      <w:marLeft w:val="0"/>
      <w:marRight w:val="0"/>
      <w:marTop w:val="0"/>
      <w:marBottom w:val="0"/>
      <w:divBdr>
        <w:top w:val="none" w:sz="0" w:space="0" w:color="auto"/>
        <w:left w:val="none" w:sz="0" w:space="0" w:color="auto"/>
        <w:bottom w:val="none" w:sz="0" w:space="0" w:color="auto"/>
        <w:right w:val="none" w:sz="0" w:space="0" w:color="auto"/>
      </w:divBdr>
    </w:div>
    <w:div w:id="137719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upov.int/meetings/en/topic.jsp?group_id=7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5371-19AB-45AD-976E-65BD596F8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2181</Words>
  <Characters>11889</Characters>
  <Application>Microsoft Office Word</Application>
  <DocSecurity>0</DocSecurity>
  <Lines>699</Lines>
  <Paragraphs>281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WG-HRV/2/3</vt:lpstr>
      <vt:lpstr>WG-HRV/2/3</vt:lpstr>
    </vt:vector>
  </TitlesOfParts>
  <Company>UPOV</Company>
  <LinksUpToDate>false</LinksUpToDate>
  <CharactersWithSpaces>13789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WG-HRV/3/2</dc:title>
  <dc:creator>SANTOS Carla Marina</dc:creator>
  <cp:lastModifiedBy>SANTOS Carla Marina</cp:lastModifiedBy>
  <cp:revision>10</cp:revision>
  <cp:lastPrinted>2016-11-22T15:41:00Z</cp:lastPrinted>
  <dcterms:created xsi:type="dcterms:W3CDTF">2022-08-29T17:58:00Z</dcterms:created>
  <dcterms:modified xsi:type="dcterms:W3CDTF">2023-03-07T14:10:00Z</dcterms:modified>
</cp:coreProperties>
</file>