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C6F4C" w:rsidRPr="00675AE1" w14:paraId="662CC79C" w14:textId="77777777" w:rsidTr="003C192B">
        <w:tc>
          <w:tcPr>
            <w:tcW w:w="6522" w:type="dxa"/>
          </w:tcPr>
          <w:p w14:paraId="7ED2E381" w14:textId="77777777" w:rsidR="005C6F4C" w:rsidRPr="00675AE1" w:rsidRDefault="005C6F4C" w:rsidP="003C192B">
            <w:pPr>
              <w:rPr>
                <w:lang w:val="es-419"/>
              </w:rPr>
            </w:pPr>
            <w:bookmarkStart w:id="0" w:name="TitleOfDoc"/>
            <w:bookmarkStart w:id="1" w:name="_GoBack"/>
            <w:bookmarkEnd w:id="0"/>
            <w:bookmarkEnd w:id="1"/>
            <w:r w:rsidRPr="00675AE1">
              <w:rPr>
                <w:noProof/>
                <w:lang w:val="en-US"/>
              </w:rPr>
              <w:drawing>
                <wp:inline distT="0" distB="0" distL="0" distR="0" wp14:anchorId="24562C1C" wp14:editId="18E6E10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B6ED6A1" w14:textId="77777777" w:rsidR="005C6F4C" w:rsidRPr="00675AE1" w:rsidRDefault="005C6F4C" w:rsidP="003C192B">
            <w:pPr>
              <w:spacing w:line="340" w:lineRule="atLeast"/>
              <w:jc w:val="right"/>
              <w:rPr>
                <w:b/>
                <w:bCs/>
                <w:sz w:val="36"/>
                <w:lang w:val="es-419"/>
              </w:rPr>
            </w:pPr>
            <w:r w:rsidRPr="00675AE1">
              <w:rPr>
                <w:b/>
                <w:sz w:val="36"/>
                <w:lang w:val="es-419"/>
              </w:rPr>
              <w:t>S</w:t>
            </w:r>
          </w:p>
        </w:tc>
      </w:tr>
      <w:tr w:rsidR="005C6F4C" w:rsidRPr="00675AE1" w14:paraId="3160C87F" w14:textId="77777777" w:rsidTr="003C192B">
        <w:trPr>
          <w:trHeight w:val="219"/>
        </w:trPr>
        <w:tc>
          <w:tcPr>
            <w:tcW w:w="6522" w:type="dxa"/>
          </w:tcPr>
          <w:p w14:paraId="5EF2A5E1" w14:textId="77777777" w:rsidR="005C6F4C" w:rsidRPr="00675AE1" w:rsidRDefault="005C6F4C" w:rsidP="003C192B">
            <w:pPr>
              <w:spacing w:before="120"/>
              <w:rPr>
                <w:sz w:val="16"/>
                <w:lang w:val="es-419"/>
              </w:rPr>
            </w:pPr>
            <w:r w:rsidRPr="00675AE1">
              <w:rPr>
                <w:sz w:val="16"/>
                <w:lang w:val="es-419"/>
              </w:rPr>
              <w:t>Unión Internacional para la Protección de las Obtenciones Vegetales</w:t>
            </w:r>
          </w:p>
        </w:tc>
        <w:tc>
          <w:tcPr>
            <w:tcW w:w="3117" w:type="dxa"/>
          </w:tcPr>
          <w:p w14:paraId="1DD28C65" w14:textId="77777777" w:rsidR="005C6F4C" w:rsidRPr="00675AE1" w:rsidRDefault="005C6F4C" w:rsidP="003C192B">
            <w:pPr>
              <w:rPr>
                <w:lang w:val="es-419"/>
              </w:rPr>
            </w:pPr>
          </w:p>
        </w:tc>
      </w:tr>
    </w:tbl>
    <w:p w14:paraId="68F886C0" w14:textId="77777777" w:rsidR="005C6F4C" w:rsidRPr="00675AE1" w:rsidRDefault="005C6F4C" w:rsidP="005C6F4C">
      <w:pPr>
        <w:rPr>
          <w:lang w:val="es-419"/>
        </w:rPr>
      </w:pPr>
    </w:p>
    <w:p w14:paraId="2156730E" w14:textId="77777777" w:rsidR="005C6F4C" w:rsidRPr="00675AE1" w:rsidRDefault="005C6F4C" w:rsidP="005C6F4C">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C6F4C" w:rsidRPr="00675AE1" w14:paraId="0EB8CB4F" w14:textId="77777777" w:rsidTr="003C192B">
        <w:tc>
          <w:tcPr>
            <w:tcW w:w="6512" w:type="dxa"/>
          </w:tcPr>
          <w:p w14:paraId="0C88AADE" w14:textId="77777777" w:rsidR="005C6F4C" w:rsidRPr="00675AE1" w:rsidRDefault="005C6F4C" w:rsidP="003C192B">
            <w:pPr>
              <w:pStyle w:val="Sessiontc"/>
              <w:spacing w:line="240" w:lineRule="auto"/>
              <w:rPr>
                <w:lang w:val="es-419"/>
              </w:rPr>
            </w:pPr>
            <w:r w:rsidRPr="00675AE1">
              <w:rPr>
                <w:lang w:val="es-419"/>
              </w:rPr>
              <w:t>Grupo de trabajo sobre el producto de la cosecha y la utilización no autorizada de material de reproducción o de multiplicación</w:t>
            </w:r>
          </w:p>
          <w:p w14:paraId="720FC4C3" w14:textId="77777777" w:rsidR="005C6F4C" w:rsidRPr="00675AE1" w:rsidRDefault="009E13FA" w:rsidP="003C192B">
            <w:pPr>
              <w:spacing w:before="240"/>
              <w:contextualSpacing/>
              <w:jc w:val="left"/>
              <w:rPr>
                <w:b/>
                <w:bCs/>
                <w:kern w:val="28"/>
                <w:lang w:val="es-419"/>
              </w:rPr>
            </w:pPr>
            <w:r w:rsidRPr="00675AE1">
              <w:rPr>
                <w:b/>
                <w:lang w:val="es-419"/>
              </w:rPr>
              <w:t>Segunda reunión</w:t>
            </w:r>
          </w:p>
          <w:p w14:paraId="61FC5CEE" w14:textId="77777777" w:rsidR="005C6F4C" w:rsidRPr="00675AE1" w:rsidRDefault="005C6F4C" w:rsidP="009E13FA">
            <w:pPr>
              <w:spacing w:before="240"/>
              <w:contextualSpacing/>
              <w:jc w:val="left"/>
              <w:rPr>
                <w:b/>
                <w:bCs/>
                <w:kern w:val="28"/>
                <w:sz w:val="22"/>
                <w:lang w:val="es-419"/>
              </w:rPr>
            </w:pPr>
            <w:r w:rsidRPr="00675AE1">
              <w:rPr>
                <w:b/>
                <w:lang w:val="es-419"/>
              </w:rPr>
              <w:t>Ginebra, 6 de septiembre de 2022</w:t>
            </w:r>
          </w:p>
        </w:tc>
        <w:tc>
          <w:tcPr>
            <w:tcW w:w="3127" w:type="dxa"/>
          </w:tcPr>
          <w:p w14:paraId="29860C7A" w14:textId="1C7EF7FA" w:rsidR="005C6F4C" w:rsidRPr="00675AE1" w:rsidRDefault="005C6F4C" w:rsidP="003C192B">
            <w:pPr>
              <w:jc w:val="left"/>
              <w:rPr>
                <w:b/>
                <w:bCs/>
                <w:spacing w:val="10"/>
                <w:sz w:val="18"/>
                <w:lang w:val="es-419"/>
              </w:rPr>
            </w:pPr>
            <w:r w:rsidRPr="00675AE1">
              <w:rPr>
                <w:b/>
                <w:sz w:val="18"/>
                <w:lang w:val="es-419"/>
              </w:rPr>
              <w:t>WG-HRV/2/</w:t>
            </w:r>
            <w:r w:rsidR="00DE4238" w:rsidRPr="00675AE1">
              <w:rPr>
                <w:b/>
                <w:sz w:val="18"/>
                <w:lang w:val="es-419"/>
              </w:rPr>
              <w:t>6</w:t>
            </w:r>
          </w:p>
          <w:p w14:paraId="16995B05" w14:textId="77777777" w:rsidR="005C6F4C" w:rsidRPr="00675AE1" w:rsidRDefault="005C6F4C" w:rsidP="003C192B">
            <w:pPr>
              <w:jc w:val="left"/>
              <w:rPr>
                <w:b/>
                <w:bCs/>
                <w:spacing w:val="10"/>
                <w:sz w:val="18"/>
                <w:lang w:val="es-419"/>
              </w:rPr>
            </w:pPr>
          </w:p>
          <w:p w14:paraId="14459939" w14:textId="50BCFEEB" w:rsidR="005C6F4C" w:rsidRPr="00675AE1" w:rsidRDefault="005C6F4C" w:rsidP="003C192B">
            <w:pPr>
              <w:spacing w:before="240" w:line="240" w:lineRule="exact"/>
              <w:jc w:val="left"/>
              <w:rPr>
                <w:b/>
                <w:bCs/>
                <w:sz w:val="18"/>
                <w:szCs w:val="18"/>
                <w:lang w:val="es-419"/>
              </w:rPr>
            </w:pPr>
            <w:r w:rsidRPr="00675AE1">
              <w:rPr>
                <w:b/>
                <w:sz w:val="18"/>
                <w:lang w:val="es-419"/>
              </w:rPr>
              <w:t>Original:</w:t>
            </w:r>
            <w:r w:rsidR="009C2C26" w:rsidRPr="00675AE1">
              <w:rPr>
                <w:sz w:val="18"/>
                <w:lang w:val="es-419"/>
              </w:rPr>
              <w:t xml:space="preserve"> </w:t>
            </w:r>
            <w:r w:rsidRPr="00675AE1">
              <w:rPr>
                <w:sz w:val="18"/>
                <w:lang w:val="es-419"/>
              </w:rPr>
              <w:t>Inglés</w:t>
            </w:r>
          </w:p>
          <w:p w14:paraId="4D13E158" w14:textId="7F6A2714" w:rsidR="005C6F4C" w:rsidRPr="00675AE1" w:rsidRDefault="005C6F4C" w:rsidP="00DE4238">
            <w:pPr>
              <w:spacing w:before="240" w:line="240" w:lineRule="exact"/>
              <w:contextualSpacing/>
              <w:jc w:val="left"/>
              <w:rPr>
                <w:b/>
                <w:bCs/>
                <w:spacing w:val="10"/>
                <w:sz w:val="18"/>
                <w:lang w:val="es-419"/>
              </w:rPr>
            </w:pPr>
            <w:r w:rsidRPr="00675AE1">
              <w:rPr>
                <w:b/>
                <w:bCs/>
                <w:sz w:val="18"/>
                <w:lang w:val="es-419"/>
              </w:rPr>
              <w:t>Fecha</w:t>
            </w:r>
            <w:r w:rsidRPr="00675AE1">
              <w:rPr>
                <w:sz w:val="18"/>
                <w:lang w:val="es-419"/>
              </w:rPr>
              <w:t>:</w:t>
            </w:r>
            <w:r w:rsidR="009C2C26" w:rsidRPr="00675AE1">
              <w:rPr>
                <w:sz w:val="18"/>
                <w:lang w:val="es-419"/>
              </w:rPr>
              <w:t xml:space="preserve"> </w:t>
            </w:r>
            <w:r w:rsidR="00DE4238" w:rsidRPr="00675AE1">
              <w:rPr>
                <w:sz w:val="18"/>
                <w:lang w:val="es-419"/>
              </w:rPr>
              <w:t>26 de febrero</w:t>
            </w:r>
            <w:r w:rsidRPr="00675AE1">
              <w:rPr>
                <w:sz w:val="18"/>
                <w:lang w:val="es-419"/>
              </w:rPr>
              <w:t xml:space="preserve"> de 202</w:t>
            </w:r>
            <w:r w:rsidR="00DE4238" w:rsidRPr="00675AE1">
              <w:rPr>
                <w:sz w:val="18"/>
                <w:lang w:val="es-419"/>
              </w:rPr>
              <w:t>3</w:t>
            </w:r>
          </w:p>
        </w:tc>
      </w:tr>
    </w:tbl>
    <w:p w14:paraId="625C3D1C" w14:textId="74377387" w:rsidR="005C6F4C" w:rsidRPr="00675AE1" w:rsidRDefault="00DE4238" w:rsidP="005C6F4C">
      <w:pPr>
        <w:pStyle w:val="Titleofdoc0"/>
        <w:rPr>
          <w:lang w:val="es-419"/>
        </w:rPr>
      </w:pPr>
      <w:r w:rsidRPr="00675AE1">
        <w:rPr>
          <w:lang w:val="es-419"/>
        </w:rPr>
        <w:t>informe</w:t>
      </w:r>
    </w:p>
    <w:p w14:paraId="07A149D8" w14:textId="37C0C8D7" w:rsidR="005C6F4C" w:rsidRPr="00675AE1" w:rsidRDefault="00DE4238" w:rsidP="005C6F4C">
      <w:pPr>
        <w:spacing w:after="240"/>
        <w:jc w:val="left"/>
        <w:rPr>
          <w:i/>
          <w:iCs/>
          <w:lang w:val="es-419"/>
        </w:rPr>
      </w:pPr>
      <w:r w:rsidRPr="00675AE1">
        <w:rPr>
          <w:i/>
          <w:lang w:val="es-419"/>
        </w:rPr>
        <w:t>aprobado por el Grupo de trabajo sobre el producto de la cosecha y la utilización no autorizada de material de reproducción o de multiplicación</w:t>
      </w:r>
    </w:p>
    <w:p w14:paraId="519AA1CF" w14:textId="07CA42C1" w:rsidR="00F21611" w:rsidRPr="00675AE1" w:rsidRDefault="005C6F4C" w:rsidP="00F21611">
      <w:pPr>
        <w:spacing w:after="600"/>
        <w:jc w:val="left"/>
        <w:rPr>
          <w:i/>
          <w:iCs/>
          <w:color w:val="A6A6A6" w:themeColor="background1" w:themeShade="A6"/>
          <w:lang w:val="es-419"/>
        </w:rPr>
      </w:pPr>
      <w:r w:rsidRPr="00675AE1">
        <w:rPr>
          <w:i/>
          <w:color w:val="A6A6A6" w:themeColor="background1" w:themeShade="A6"/>
          <w:lang w:val="es-419"/>
        </w:rPr>
        <w:t>Descargo de responsabilidad:</w:t>
      </w:r>
      <w:r w:rsidR="009C2C26" w:rsidRPr="00675AE1">
        <w:rPr>
          <w:i/>
          <w:color w:val="A6A6A6" w:themeColor="background1" w:themeShade="A6"/>
          <w:lang w:val="es-419"/>
        </w:rPr>
        <w:t xml:space="preserve"> </w:t>
      </w:r>
      <w:r w:rsidRPr="00675AE1">
        <w:rPr>
          <w:i/>
          <w:color w:val="A6A6A6" w:themeColor="background1" w:themeShade="A6"/>
          <w:lang w:val="es-419"/>
        </w:rPr>
        <w:t>el presente documento no constituye un documento de política u orientación de la UPOV</w:t>
      </w:r>
    </w:p>
    <w:p w14:paraId="510A2C30" w14:textId="77777777" w:rsidR="00DE4238" w:rsidRPr="00675AE1" w:rsidRDefault="00DE4238" w:rsidP="00DE4238">
      <w:pPr>
        <w:pStyle w:val="Heading1"/>
        <w:rPr>
          <w:lang w:val="es-419"/>
        </w:rPr>
      </w:pPr>
      <w:r w:rsidRPr="00675AE1">
        <w:rPr>
          <w:lang w:val="es-419"/>
        </w:rPr>
        <w:t>APERTURA DE LA REUNIÓN</w:t>
      </w:r>
    </w:p>
    <w:p w14:paraId="0E4DFC44" w14:textId="77777777" w:rsidR="00DE4238" w:rsidRPr="00675AE1" w:rsidRDefault="00DE4238" w:rsidP="00DE4238">
      <w:pPr>
        <w:rPr>
          <w:lang w:val="es-419"/>
        </w:rPr>
      </w:pPr>
    </w:p>
    <w:p w14:paraId="55EBA1B2" w14:textId="77777777" w:rsidR="006D1008" w:rsidRPr="00675AE1" w:rsidRDefault="00DE4238" w:rsidP="00DE4238">
      <w:pPr>
        <w:rPr>
          <w:spacing w:val="-2"/>
          <w:lang w:val="es-419"/>
        </w:rPr>
      </w:pPr>
      <w:r w:rsidRPr="00675AE1">
        <w:rPr>
          <w:spacing w:val="-2"/>
          <w:lang w:val="es-419"/>
        </w:rPr>
        <w:fldChar w:fldCharType="begin"/>
      </w:r>
      <w:r w:rsidRPr="00675AE1">
        <w:rPr>
          <w:spacing w:val="-2"/>
          <w:lang w:val="es-419"/>
        </w:rPr>
        <w:instrText xml:space="preserve"> AUTONUM  </w:instrText>
      </w:r>
      <w:r w:rsidRPr="00675AE1">
        <w:rPr>
          <w:spacing w:val="-2"/>
          <w:lang w:val="es-419"/>
        </w:rPr>
        <w:fldChar w:fldCharType="end"/>
      </w:r>
      <w:r w:rsidRPr="00675AE1">
        <w:rPr>
          <w:spacing w:val="-2"/>
          <w:lang w:val="es-419"/>
        </w:rPr>
        <w:tab/>
        <w:t>El Grupo de trabajo sobre el producto de la cosecha y la utilización no autorizada de material de reproducción o de multiplicación (WG-HRV) celebró su segunda reunión por vía telemática el 6 de septiembre de 2022 bajo la presidencia del Sr. Peter Button, secretario general adjunto de la UPOV</w:t>
      </w:r>
      <w:r w:rsidR="006D1008" w:rsidRPr="00675AE1">
        <w:rPr>
          <w:spacing w:val="-2"/>
          <w:lang w:val="es-419"/>
        </w:rPr>
        <w:t>.</w:t>
      </w:r>
    </w:p>
    <w:p w14:paraId="2B01E0B2" w14:textId="31C461E0" w:rsidR="00DE4238" w:rsidRPr="00675AE1" w:rsidRDefault="00DE4238" w:rsidP="00DE4238">
      <w:pPr>
        <w:rPr>
          <w:lang w:val="es-419"/>
        </w:rPr>
      </w:pPr>
    </w:p>
    <w:p w14:paraId="3C76D58F"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Inauguró la reunión el presidente, quien dio la bienvenida a los participantes</w:t>
      </w:r>
      <w:r w:rsidR="006D1008" w:rsidRPr="00675AE1">
        <w:rPr>
          <w:lang w:val="es-419"/>
        </w:rPr>
        <w:t>.</w:t>
      </w:r>
    </w:p>
    <w:p w14:paraId="18FA256C" w14:textId="281EB0F1" w:rsidR="00DE4238" w:rsidRPr="00675AE1" w:rsidRDefault="00DE4238" w:rsidP="00DE4238">
      <w:pPr>
        <w:rPr>
          <w:lang w:val="es-419"/>
        </w:rPr>
      </w:pPr>
    </w:p>
    <w:p w14:paraId="29783985"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lista de participantes figura en el Anexo del presente informe</w:t>
      </w:r>
      <w:r w:rsidR="006D1008" w:rsidRPr="00675AE1">
        <w:rPr>
          <w:lang w:val="es-419"/>
        </w:rPr>
        <w:t>.</w:t>
      </w:r>
    </w:p>
    <w:p w14:paraId="26542E7B" w14:textId="3FBF504C" w:rsidR="00DE4238" w:rsidRPr="00675AE1" w:rsidRDefault="00DE4238" w:rsidP="00DE4238">
      <w:pPr>
        <w:rPr>
          <w:lang w:val="es-419"/>
        </w:rPr>
      </w:pPr>
    </w:p>
    <w:p w14:paraId="0687DBD6" w14:textId="77777777" w:rsidR="00DE4238" w:rsidRPr="00675AE1" w:rsidRDefault="00DE4238" w:rsidP="00DE4238">
      <w:pPr>
        <w:rPr>
          <w:lang w:val="es-419"/>
        </w:rPr>
      </w:pPr>
    </w:p>
    <w:p w14:paraId="2509483B" w14:textId="77777777" w:rsidR="00DE4238" w:rsidRPr="00675AE1" w:rsidRDefault="00DE4238" w:rsidP="00DE4238">
      <w:pPr>
        <w:rPr>
          <w:lang w:val="es-419"/>
        </w:rPr>
      </w:pPr>
    </w:p>
    <w:p w14:paraId="7024CEB5" w14:textId="77777777" w:rsidR="00DE4238" w:rsidRPr="00675AE1" w:rsidRDefault="00DE4238" w:rsidP="00DE4238">
      <w:pPr>
        <w:pStyle w:val="Heading1"/>
        <w:rPr>
          <w:lang w:val="es-419"/>
        </w:rPr>
      </w:pPr>
      <w:r w:rsidRPr="00675AE1">
        <w:rPr>
          <w:lang w:val="es-419"/>
        </w:rPr>
        <w:t>APROBACIÓN DEL ORDEN DEL DÍA</w:t>
      </w:r>
    </w:p>
    <w:p w14:paraId="4F1AD656" w14:textId="77777777" w:rsidR="00DE4238" w:rsidRPr="00675AE1" w:rsidRDefault="00DE4238" w:rsidP="00DE4238">
      <w:pPr>
        <w:keepNext/>
        <w:outlineLvl w:val="0"/>
        <w:rPr>
          <w:b/>
          <w:caps/>
          <w:snapToGrid w:val="0"/>
          <w:lang w:val="es-419"/>
        </w:rPr>
      </w:pPr>
    </w:p>
    <w:p w14:paraId="539D8053" w14:textId="77777777" w:rsidR="00DE4238" w:rsidRPr="00675AE1" w:rsidRDefault="00DE4238" w:rsidP="00DE4238">
      <w:pPr>
        <w:rPr>
          <w:rFonts w:cs="Arial"/>
          <w:lang w:val="es-419"/>
        </w:rPr>
      </w:pPr>
      <w:r w:rsidRPr="00675AE1">
        <w:rPr>
          <w:rFonts w:cs="Arial"/>
          <w:lang w:val="es-419"/>
        </w:rPr>
        <w:fldChar w:fldCharType="begin"/>
      </w:r>
      <w:r w:rsidRPr="00675AE1">
        <w:rPr>
          <w:rFonts w:cs="Arial"/>
          <w:lang w:val="es-419"/>
        </w:rPr>
        <w:instrText xml:space="preserve"> AUTONUM  </w:instrText>
      </w:r>
      <w:r w:rsidRPr="00675AE1">
        <w:rPr>
          <w:rFonts w:cs="Arial"/>
          <w:lang w:val="es-419"/>
        </w:rPr>
        <w:fldChar w:fldCharType="end"/>
      </w:r>
      <w:r w:rsidRPr="00675AE1">
        <w:rPr>
          <w:rFonts w:cs="Arial"/>
          <w:lang w:val="es-419"/>
        </w:rPr>
        <w:tab/>
        <w:t>El WG-HRV aprobó el proyecto de orden del día propuesto en el documento WG-HRV/2/1.</w:t>
      </w:r>
    </w:p>
    <w:p w14:paraId="5C50DD3F" w14:textId="77777777" w:rsidR="00DE4238" w:rsidRPr="00675AE1" w:rsidRDefault="00DE4238" w:rsidP="00DE4238">
      <w:pPr>
        <w:rPr>
          <w:lang w:val="es-419"/>
        </w:rPr>
      </w:pPr>
    </w:p>
    <w:p w14:paraId="2544A5B6" w14:textId="77777777" w:rsidR="00DE4238" w:rsidRPr="00675AE1" w:rsidRDefault="00DE4238" w:rsidP="00DE4238">
      <w:pPr>
        <w:rPr>
          <w:lang w:val="es-419"/>
        </w:rPr>
      </w:pPr>
    </w:p>
    <w:p w14:paraId="5595F934" w14:textId="77777777" w:rsidR="00DE4238" w:rsidRPr="00675AE1" w:rsidRDefault="00DE4238" w:rsidP="00DE4238">
      <w:pPr>
        <w:jc w:val="left"/>
        <w:rPr>
          <w:lang w:val="es-419"/>
        </w:rPr>
      </w:pPr>
    </w:p>
    <w:p w14:paraId="758621AB" w14:textId="77777777" w:rsidR="00DE4238" w:rsidRPr="00675AE1" w:rsidRDefault="00DE4238" w:rsidP="00DE4238">
      <w:pPr>
        <w:pStyle w:val="Heading1"/>
        <w:rPr>
          <w:lang w:val="es-419"/>
        </w:rPr>
      </w:pPr>
      <w:r w:rsidRPr="00675AE1">
        <w:rPr>
          <w:lang w:val="es-419"/>
        </w:rPr>
        <w:t>INFORMACIÓN SOBRE EL MATERIAL DE REPRODUCCIÓN O DE MULTIPLICACIÓN, LOS ACTOS RESPECTO DEL PRODUCTO DE LA COSECHA Y LA PROTECCIÓN PROVISIONAL CON ARREGLO AL CONVENIO DE LA UPOV</w:t>
      </w:r>
    </w:p>
    <w:p w14:paraId="35C69EE6" w14:textId="77777777" w:rsidR="00DE4238" w:rsidRPr="00675AE1" w:rsidRDefault="00DE4238" w:rsidP="00DE4238">
      <w:pPr>
        <w:jc w:val="left"/>
        <w:rPr>
          <w:lang w:val="es-419"/>
        </w:rPr>
      </w:pPr>
    </w:p>
    <w:p w14:paraId="1FCAA81C" w14:textId="77777777" w:rsidR="00DE4238" w:rsidRPr="00675AE1" w:rsidRDefault="00DE4238" w:rsidP="00DE4238">
      <w:pPr>
        <w:jc w:val="left"/>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examinó el documento WG-HRV/2/2 y señaló que se presentarán las secciones del documento en los puntos del orden del día correspondientes.</w:t>
      </w:r>
    </w:p>
    <w:p w14:paraId="3CA009BF" w14:textId="77777777" w:rsidR="00DE4238" w:rsidRPr="00675AE1" w:rsidRDefault="00DE4238" w:rsidP="00DE4238">
      <w:pPr>
        <w:jc w:val="left"/>
        <w:rPr>
          <w:lang w:val="es-419"/>
        </w:rPr>
      </w:pPr>
    </w:p>
    <w:p w14:paraId="3BFBDC19" w14:textId="7D406D1F"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tomó nota de que las propuestas y los comentarios recibid</w:t>
      </w:r>
      <w:r w:rsidR="00550941" w:rsidRPr="00675AE1">
        <w:rPr>
          <w:lang w:val="es-419"/>
        </w:rPr>
        <w:t>os en respuesta a la circular E</w:t>
      </w:r>
      <w:r w:rsidR="00550941" w:rsidRPr="00675AE1">
        <w:rPr>
          <w:lang w:val="es-419"/>
        </w:rPr>
        <w:noBreakHyphen/>
      </w:r>
      <w:r w:rsidRPr="00675AE1">
        <w:rPr>
          <w:lang w:val="es-419"/>
        </w:rPr>
        <w:t>21/228 y la circular E-22/058 se presentan introducidas en recuadros en los documentos WG-HRV/2/3 (propuestas relativas al documento UPOV/EXN/PPM/2), WG-HRV/2/4 (propuestas relativas al documento UPOV/EXN/HRV/1) y WG-HRV/1/5 (propuestas relativas al documento UPOV/EXN/PRP/2)</w:t>
      </w:r>
      <w:r w:rsidR="006D1008" w:rsidRPr="00675AE1">
        <w:rPr>
          <w:lang w:val="es-419"/>
        </w:rPr>
        <w:t>.</w:t>
      </w:r>
    </w:p>
    <w:p w14:paraId="17D8CF36" w14:textId="1E3A41D2" w:rsidR="00DE4238" w:rsidRPr="00675AE1" w:rsidRDefault="00DE4238" w:rsidP="00DE4238">
      <w:pPr>
        <w:rPr>
          <w:highlight w:val="yellow"/>
          <w:lang w:val="es-419"/>
        </w:rPr>
      </w:pPr>
    </w:p>
    <w:p w14:paraId="73920BE0" w14:textId="77777777" w:rsidR="00DE4238" w:rsidRPr="00675AE1" w:rsidRDefault="00DE4238" w:rsidP="00DE4238">
      <w:pPr>
        <w:jc w:val="left"/>
        <w:rPr>
          <w:highlight w:val="yellow"/>
          <w:lang w:val="es-419"/>
        </w:rPr>
      </w:pPr>
    </w:p>
    <w:p w14:paraId="44DE9898" w14:textId="77777777" w:rsidR="00DE4238" w:rsidRPr="00675AE1" w:rsidRDefault="00DE4238" w:rsidP="00DE4238">
      <w:pPr>
        <w:jc w:val="left"/>
        <w:rPr>
          <w:lang w:val="es-419"/>
        </w:rPr>
      </w:pPr>
    </w:p>
    <w:p w14:paraId="2A90E1C0" w14:textId="77777777" w:rsidR="00DE4238" w:rsidRPr="00675AE1" w:rsidRDefault="00DE4238" w:rsidP="00DE4238">
      <w:pPr>
        <w:pStyle w:val="Heading1"/>
        <w:rPr>
          <w:lang w:val="es-419"/>
        </w:rPr>
      </w:pPr>
      <w:r w:rsidRPr="00675AE1">
        <w:rPr>
          <w:lang w:val="es-419"/>
        </w:rPr>
        <w:lastRenderedPageBreak/>
        <w:t xml:space="preserve">PROPUESTAS RELATIVAS A LAS NOTAS EXPLICATIVAS SOBRE EL MATERIAL DE REPRODUCCIÓN O DE MULTIPLICACIÓN CON ARREGLO AL CONVENIO DE LA UPOV </w:t>
      </w:r>
    </w:p>
    <w:p w14:paraId="1331571F" w14:textId="77777777" w:rsidR="00DE4238" w:rsidRPr="00675AE1" w:rsidRDefault="00DE4238" w:rsidP="00DE4238">
      <w:pPr>
        <w:keepNext/>
        <w:jc w:val="left"/>
        <w:rPr>
          <w:lang w:val="es-419"/>
        </w:rPr>
      </w:pPr>
    </w:p>
    <w:p w14:paraId="7379FBAD" w14:textId="77777777" w:rsidR="006D1008" w:rsidRPr="00675AE1" w:rsidRDefault="00DE4238" w:rsidP="00DE4238">
      <w:pPr>
        <w:keepNext/>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examinó los documentos WG-HRV/2/2 y WG-HRV/2/3</w:t>
      </w:r>
      <w:r w:rsidR="006D1008" w:rsidRPr="00675AE1">
        <w:rPr>
          <w:lang w:val="es-419"/>
        </w:rPr>
        <w:t>.</w:t>
      </w:r>
    </w:p>
    <w:p w14:paraId="6E868869" w14:textId="57D07734" w:rsidR="00DE4238" w:rsidRPr="00675AE1" w:rsidRDefault="00DE4238" w:rsidP="00DE4238">
      <w:pPr>
        <w:keepNext/>
        <w:rPr>
          <w:lang w:val="es-419"/>
        </w:rPr>
      </w:pPr>
    </w:p>
    <w:p w14:paraId="3A2C23C0" w14:textId="5045B974" w:rsidR="00DE4238" w:rsidRPr="00675AE1" w:rsidRDefault="00DE4238" w:rsidP="00DE4238">
      <w:pPr>
        <w:keepNext/>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observó algunas similitudes entre los factores iii) y vii) en el Anexo</w:t>
      </w:r>
      <w:r w:rsidR="00550941" w:rsidRPr="00675AE1">
        <w:rPr>
          <w:lang w:val="es-419"/>
        </w:rPr>
        <w:t xml:space="preserve"> del documento WG</w:t>
      </w:r>
      <w:r w:rsidR="00550941" w:rsidRPr="00675AE1">
        <w:rPr>
          <w:lang w:val="es-419"/>
        </w:rPr>
        <w:noBreakHyphen/>
      </w:r>
      <w:r w:rsidRPr="00675AE1">
        <w:rPr>
          <w:lang w:val="es-419"/>
        </w:rPr>
        <w:t>HRV/2/3:</w:t>
      </w:r>
    </w:p>
    <w:p w14:paraId="4A643D1D" w14:textId="77777777" w:rsidR="00DE4238" w:rsidRPr="00675AE1" w:rsidRDefault="00DE4238" w:rsidP="00DE4238">
      <w:pPr>
        <w:keepNext/>
        <w:rPr>
          <w:lang w:val="es-419"/>
        </w:rPr>
      </w:pPr>
    </w:p>
    <w:p w14:paraId="02895C81" w14:textId="77777777" w:rsidR="00DE4238" w:rsidRPr="00675AE1" w:rsidRDefault="00DE4238" w:rsidP="00DE4238">
      <w:pPr>
        <w:keepNext/>
        <w:spacing w:after="120"/>
        <w:ind w:left="360"/>
        <w:rPr>
          <w:lang w:val="es-419"/>
        </w:rPr>
      </w:pPr>
      <w:r w:rsidRPr="00675AE1">
        <w:rPr>
          <w:lang w:val="es-419"/>
        </w:rPr>
        <w:t>“iii)</w:t>
      </w:r>
      <w:r w:rsidRPr="00675AE1">
        <w:rPr>
          <w:lang w:val="es-419"/>
        </w:rPr>
        <w:tab/>
        <w:t>si el material puede generar plantas enteras de la variedad;</w:t>
      </w:r>
    </w:p>
    <w:p w14:paraId="6AAE619B" w14:textId="77777777" w:rsidR="00DE4238" w:rsidRPr="00675AE1" w:rsidRDefault="00DE4238" w:rsidP="00DE4238">
      <w:pPr>
        <w:keepNext/>
        <w:spacing w:after="120"/>
        <w:ind w:firstLine="360"/>
        <w:rPr>
          <w:lang w:val="es-419"/>
        </w:rPr>
      </w:pPr>
      <w:r w:rsidRPr="00675AE1">
        <w:rPr>
          <w:lang w:val="es-419"/>
        </w:rPr>
        <w:t>[…]</w:t>
      </w:r>
    </w:p>
    <w:p w14:paraId="3EE35F9D" w14:textId="77777777" w:rsidR="00DE4238" w:rsidRPr="00675AE1" w:rsidRDefault="00DE4238" w:rsidP="00DE4238">
      <w:pPr>
        <w:ind w:firstLine="360"/>
        <w:rPr>
          <w:lang w:val="es-419"/>
        </w:rPr>
      </w:pPr>
      <w:r w:rsidRPr="00675AE1">
        <w:rPr>
          <w:lang w:val="es-419"/>
        </w:rPr>
        <w:t>“vii)</w:t>
      </w:r>
      <w:r w:rsidRPr="00675AE1">
        <w:rPr>
          <w:lang w:val="es-419"/>
        </w:rPr>
        <w:tab/>
        <w:t>si el producto de la cosecha puede utilizarse como material de reproducción o de multiplicación, puede considerarse material de reproducción o de multiplicación; o”</w:t>
      </w:r>
    </w:p>
    <w:p w14:paraId="33D7CE85" w14:textId="77777777" w:rsidR="00DE4238" w:rsidRPr="00675AE1" w:rsidRDefault="00DE4238" w:rsidP="00DE4238">
      <w:pPr>
        <w:rPr>
          <w:lang w:val="es-419"/>
        </w:rPr>
      </w:pPr>
    </w:p>
    <w:p w14:paraId="791A9EE7" w14:textId="77777777" w:rsidR="00DE4238" w:rsidRPr="00675AE1" w:rsidRDefault="00DE4238" w:rsidP="00DE4238">
      <w:pPr>
        <w:rPr>
          <w:lang w:val="es-419"/>
        </w:rPr>
      </w:pPr>
      <w:r w:rsidRPr="00675AE1">
        <w:rPr>
          <w:rFonts w:cs="Arial"/>
          <w:lang w:val="es-419"/>
        </w:rPr>
        <w:fldChar w:fldCharType="begin"/>
      </w:r>
      <w:r w:rsidRPr="00675AE1">
        <w:rPr>
          <w:rFonts w:cs="Arial"/>
          <w:lang w:val="es-419"/>
        </w:rPr>
        <w:instrText xml:space="preserve"> AUTONUM  </w:instrText>
      </w:r>
      <w:r w:rsidRPr="00675AE1">
        <w:rPr>
          <w:rFonts w:cs="Arial"/>
          <w:lang w:val="es-419"/>
        </w:rPr>
        <w:fldChar w:fldCharType="end"/>
      </w:r>
      <w:r w:rsidRPr="00675AE1">
        <w:rPr>
          <w:rFonts w:cs="Arial"/>
          <w:lang w:val="es-419"/>
        </w:rPr>
        <w:tab/>
        <w:t>El WG-HRV convino en que deben aclararse las diferencias entre los factores iii) y vii) y en que debe tenerse en cuenta lo siguiente en la formulación de la próxima versión:</w:t>
      </w:r>
    </w:p>
    <w:p w14:paraId="0D4EF4EA" w14:textId="77777777" w:rsidR="00DE4238" w:rsidRPr="00675AE1" w:rsidRDefault="00DE4238" w:rsidP="00DE4238">
      <w:pPr>
        <w:rPr>
          <w:lang w:val="es-419"/>
        </w:rPr>
      </w:pPr>
    </w:p>
    <w:p w14:paraId="29166530" w14:textId="77777777" w:rsidR="00DE4238" w:rsidRPr="00675AE1" w:rsidRDefault="00DE4238" w:rsidP="00DE4238">
      <w:pPr>
        <w:pStyle w:val="ListParagraph"/>
        <w:numPr>
          <w:ilvl w:val="0"/>
          <w:numId w:val="49"/>
        </w:numPr>
        <w:ind w:left="1080" w:hanging="720"/>
        <w:rPr>
          <w:lang w:val="es-419"/>
        </w:rPr>
      </w:pPr>
      <w:r w:rsidRPr="00675AE1">
        <w:rPr>
          <w:lang w:val="es-419"/>
        </w:rPr>
        <w:t>con respecto al factor iii) “si el material puede generar plantas enteras de la variedad”, considerar si incluye situaciones en las que el propio material, sin intervención humana, puede producir plantas de la variedad (por ejemplo, un tubérculo);</w:t>
      </w:r>
    </w:p>
    <w:p w14:paraId="5B34B468" w14:textId="77777777" w:rsidR="00DE4238" w:rsidRPr="00675AE1" w:rsidRDefault="00DE4238" w:rsidP="00DE4238">
      <w:pPr>
        <w:pStyle w:val="ListParagraph"/>
        <w:ind w:left="1080" w:hanging="720"/>
        <w:rPr>
          <w:lang w:val="es-419"/>
        </w:rPr>
      </w:pPr>
    </w:p>
    <w:p w14:paraId="0FF9EF0C" w14:textId="77777777" w:rsidR="00DE4238" w:rsidRPr="00675AE1" w:rsidRDefault="00DE4238" w:rsidP="00DE4238">
      <w:pPr>
        <w:pStyle w:val="ListParagraph"/>
        <w:numPr>
          <w:ilvl w:val="0"/>
          <w:numId w:val="49"/>
        </w:numPr>
        <w:ind w:left="1080" w:hanging="720"/>
        <w:rPr>
          <w:lang w:val="es-419"/>
        </w:rPr>
      </w:pPr>
      <w:r w:rsidRPr="00675AE1">
        <w:rPr>
          <w:lang w:val="es-419"/>
        </w:rPr>
        <w:t>con respecto al factor vii) “si el producto de la cosecha puede utilizarse como material de reproducción o de multiplicación, puede considerarse material de reproducción o de multiplicación”, considerar si incluye situaciones que precisan la intervención humana para reproducir o multiplicar las plantas de la variedad (por ejemplo, el cultivo de tejidos);</w:t>
      </w:r>
    </w:p>
    <w:p w14:paraId="02545D1B" w14:textId="77777777" w:rsidR="00DE4238" w:rsidRPr="00675AE1" w:rsidRDefault="00DE4238" w:rsidP="00DE4238">
      <w:pPr>
        <w:pStyle w:val="ListParagraph"/>
        <w:ind w:left="1080" w:hanging="720"/>
        <w:rPr>
          <w:lang w:val="es-419"/>
        </w:rPr>
      </w:pPr>
    </w:p>
    <w:p w14:paraId="79847BB1" w14:textId="77777777" w:rsidR="00DE4238" w:rsidRPr="00675AE1" w:rsidRDefault="00DE4238" w:rsidP="00DE4238">
      <w:pPr>
        <w:pStyle w:val="ListParagraph"/>
        <w:numPr>
          <w:ilvl w:val="0"/>
          <w:numId w:val="49"/>
        </w:numPr>
        <w:ind w:left="1080" w:hanging="720"/>
        <w:rPr>
          <w:lang w:val="es-419"/>
        </w:rPr>
      </w:pPr>
      <w:r w:rsidRPr="00675AE1">
        <w:rPr>
          <w:lang w:val="es-419"/>
        </w:rPr>
        <w:t>con respecto al factor vii) considerar su adaptación al estilo de redacción de los demás factores como se indica a continuación: “</w:t>
      </w:r>
      <w:r w:rsidRPr="00675AE1">
        <w:rPr>
          <w:strike/>
          <w:highlight w:val="lightGray"/>
          <w:lang w:val="es-419"/>
        </w:rPr>
        <w:t>si el material producto de la cosecha</w:t>
      </w:r>
      <w:r w:rsidRPr="00675AE1">
        <w:rPr>
          <w:lang w:val="es-419"/>
        </w:rPr>
        <w:t xml:space="preserve"> </w:t>
      </w:r>
      <w:r w:rsidRPr="00675AE1">
        <w:rPr>
          <w:highlight w:val="lightGray"/>
          <w:u w:val="single"/>
          <w:lang w:val="es-419"/>
        </w:rPr>
        <w:t>si el</w:t>
      </w:r>
      <w:r w:rsidRPr="00675AE1">
        <w:rPr>
          <w:lang w:val="es-419"/>
        </w:rPr>
        <w:t xml:space="preserve"> material</w:t>
      </w:r>
      <w:r w:rsidRPr="00675AE1">
        <w:rPr>
          <w:u w:val="single"/>
          <w:lang w:val="es-419"/>
        </w:rPr>
        <w:t xml:space="preserve">, </w:t>
      </w:r>
      <w:r w:rsidRPr="00675AE1">
        <w:rPr>
          <w:highlight w:val="lightGray"/>
          <w:u w:val="single"/>
          <w:lang w:val="es-419"/>
        </w:rPr>
        <w:t>incluido el material producto de la cosecha</w:t>
      </w:r>
      <w:r w:rsidRPr="00675AE1">
        <w:rPr>
          <w:u w:val="single"/>
          <w:lang w:val="es-419"/>
        </w:rPr>
        <w:t>,</w:t>
      </w:r>
      <w:r w:rsidRPr="00675AE1">
        <w:rPr>
          <w:lang w:val="es-419"/>
        </w:rPr>
        <w:t xml:space="preserve"> puede utilizarse…”</w:t>
      </w:r>
    </w:p>
    <w:p w14:paraId="6A8A3FEB" w14:textId="77777777" w:rsidR="00DE4238" w:rsidRPr="00675AE1" w:rsidRDefault="00DE4238" w:rsidP="00DE4238">
      <w:pPr>
        <w:rPr>
          <w:lang w:val="es-419"/>
        </w:rPr>
      </w:pPr>
    </w:p>
    <w:p w14:paraId="54C30CA3" w14:textId="5A3920EF"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Respecto de los comentarios sobre el uso de la denominación registrada para el producto de la cosecha, el WG-HRV observó que dicho uso no está especificado en el Convenio de la UPOV.</w:t>
      </w:r>
      <w:r w:rsidR="006D1008" w:rsidRPr="00675AE1">
        <w:rPr>
          <w:lang w:val="es-419"/>
        </w:rPr>
        <w:t xml:space="preserve"> </w:t>
      </w:r>
      <w:r w:rsidRPr="00675AE1">
        <w:rPr>
          <w:lang w:val="es-419"/>
        </w:rPr>
        <w:t>En virtud del Convenio de la UPOV, la obligación de utilizar la denominación registrada se aplica al material de reproducción o de multiplicación.</w:t>
      </w:r>
    </w:p>
    <w:p w14:paraId="59C8A321" w14:textId="77777777" w:rsidR="00DE4238" w:rsidRPr="00675AE1" w:rsidRDefault="00DE4238" w:rsidP="00DE4238">
      <w:pPr>
        <w:rPr>
          <w:lang w:val="es-419"/>
        </w:rPr>
      </w:pPr>
    </w:p>
    <w:p w14:paraId="012701A2" w14:textId="319EEE14" w:rsidR="00DE4238" w:rsidRPr="00675AE1" w:rsidRDefault="00DE4238" w:rsidP="00DE4238">
      <w:pPr>
        <w:rPr>
          <w:rFonts w:cs="Arial"/>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 xml:space="preserve">El representante de la </w:t>
      </w:r>
      <w:r w:rsidR="00550941" w:rsidRPr="00675AE1">
        <w:rPr>
          <w:lang w:val="es-419"/>
        </w:rPr>
        <w:t xml:space="preserve">Comunidad Internacional de Fitomejoradores de Plantas Hortícolas de Reproducción Asexuada </w:t>
      </w:r>
      <w:r w:rsidRPr="00675AE1">
        <w:rPr>
          <w:lang w:val="es-419"/>
        </w:rPr>
        <w:t xml:space="preserve">(CIOPORA) señaló, en nombre de la </w:t>
      </w:r>
      <w:r w:rsidRPr="00675AE1">
        <w:rPr>
          <w:i/>
          <w:lang w:val="es-419"/>
        </w:rPr>
        <w:t>African Seed Trade Association</w:t>
      </w:r>
      <w:r w:rsidRPr="00675AE1">
        <w:rPr>
          <w:lang w:val="es-419"/>
        </w:rPr>
        <w:t xml:space="preserve"> (AFSTA), la </w:t>
      </w:r>
      <w:r w:rsidRPr="00675AE1">
        <w:rPr>
          <w:i/>
          <w:lang w:val="es-419"/>
        </w:rPr>
        <w:t>Asia and Pacific Seed Association</w:t>
      </w:r>
      <w:r w:rsidR="00A91241" w:rsidRPr="00675AE1">
        <w:rPr>
          <w:lang w:val="es-419"/>
        </w:rPr>
        <w:t xml:space="preserve"> (APSA)</w:t>
      </w:r>
      <w:r w:rsidRPr="00675AE1">
        <w:rPr>
          <w:lang w:val="es-419"/>
        </w:rPr>
        <w:t xml:space="preserve">, CIOPORA, </w:t>
      </w:r>
      <w:r w:rsidRPr="00675AE1">
        <w:rPr>
          <w:i/>
          <w:lang w:val="es-419"/>
        </w:rPr>
        <w:t>CropLife International</w:t>
      </w:r>
      <w:r w:rsidRPr="00675AE1">
        <w:rPr>
          <w:lang w:val="es-419"/>
        </w:rPr>
        <w:t xml:space="preserve">, </w:t>
      </w:r>
      <w:r w:rsidRPr="00CE10F7">
        <w:rPr>
          <w:lang w:val="es-419"/>
        </w:rPr>
        <w:t>Euroseeds</w:t>
      </w:r>
      <w:r w:rsidRPr="00675AE1">
        <w:rPr>
          <w:lang w:val="es-419"/>
        </w:rPr>
        <w:t xml:space="preserve">, la </w:t>
      </w:r>
      <w:r w:rsidRPr="00675AE1">
        <w:rPr>
          <w:i/>
          <w:lang w:val="es-419"/>
        </w:rPr>
        <w:t>International Seed Federation</w:t>
      </w:r>
      <w:r w:rsidRPr="00675AE1">
        <w:rPr>
          <w:lang w:val="es-419"/>
        </w:rPr>
        <w:t xml:space="preserve"> (ISF) y la</w:t>
      </w:r>
      <w:r w:rsidRPr="00675AE1">
        <w:rPr>
          <w:i/>
          <w:lang w:val="es-419"/>
        </w:rPr>
        <w:t xml:space="preserve"> </w:t>
      </w:r>
      <w:r w:rsidRPr="00675AE1">
        <w:rPr>
          <w:lang w:val="es-419"/>
        </w:rPr>
        <w:t>Asociación de Semillas de las Américas</w:t>
      </w:r>
      <w:r w:rsidR="00A91241" w:rsidRPr="00675AE1">
        <w:rPr>
          <w:lang w:val="es-419"/>
        </w:rPr>
        <w:t xml:space="preserve"> (SAA)</w:t>
      </w:r>
      <w:r w:rsidRPr="00675AE1">
        <w:rPr>
          <w:lang w:val="es-419"/>
        </w:rPr>
        <w:t xml:space="preserve">, que están a favor de desarrollar una definición única de </w:t>
      </w:r>
      <w:r w:rsidR="00A91241" w:rsidRPr="00675AE1">
        <w:rPr>
          <w:lang w:val="es-419"/>
        </w:rPr>
        <w:t>“</w:t>
      </w:r>
      <w:r w:rsidRPr="00675AE1">
        <w:rPr>
          <w:lang w:val="es-419"/>
        </w:rPr>
        <w:t xml:space="preserve">material de reproducción o </w:t>
      </w:r>
      <w:r w:rsidR="00A91241" w:rsidRPr="00675AE1">
        <w:rPr>
          <w:lang w:val="es-419"/>
        </w:rPr>
        <w:t>multiplicación”</w:t>
      </w:r>
      <w:r w:rsidRPr="00675AE1">
        <w:rPr>
          <w:lang w:val="es-419"/>
        </w:rPr>
        <w:t xml:space="preserve"> en lugar de la lista de factores que han de tenerse en cuenta en relación con el material de reproducción o de multiplicación.</w:t>
      </w:r>
    </w:p>
    <w:p w14:paraId="507652C2" w14:textId="77777777" w:rsidR="00DE4238" w:rsidRPr="00675AE1" w:rsidRDefault="00DE4238" w:rsidP="00DE4238">
      <w:pPr>
        <w:rPr>
          <w:lang w:val="es-419"/>
        </w:rPr>
      </w:pPr>
    </w:p>
    <w:p w14:paraId="6643BFAC"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presidente recordó los debates anteriores sobre ese enfoque e indicó que sería muy difícil para los miembros de la Unión llegar a un acuerdo sobre una definición única de material de reproducción o de multiplicación</w:t>
      </w:r>
      <w:r w:rsidR="006D1008" w:rsidRPr="00675AE1">
        <w:rPr>
          <w:lang w:val="es-419"/>
        </w:rPr>
        <w:t>.</w:t>
      </w:r>
    </w:p>
    <w:p w14:paraId="661CF1F5" w14:textId="0ACFF056" w:rsidR="00DE4238" w:rsidRPr="00675AE1" w:rsidRDefault="00DE4238" w:rsidP="00DE4238">
      <w:pPr>
        <w:rPr>
          <w:lang w:val="es-419"/>
        </w:rPr>
      </w:pPr>
    </w:p>
    <w:p w14:paraId="7F7B4015"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llegó a la conclusión de que existe cierta preocupación en lo que respecta a la vinculación de las cuestiones sobre el material de reproducción o de multiplicación y el producto de la cosecha en las notas explicativas sobre el material de reproducción o de multiplicación.</w:t>
      </w:r>
    </w:p>
    <w:p w14:paraId="36565E0A" w14:textId="77777777" w:rsidR="00DE4238" w:rsidRPr="00675AE1" w:rsidRDefault="00DE4238" w:rsidP="00DE4238">
      <w:pPr>
        <w:rPr>
          <w:lang w:val="es-419"/>
        </w:rPr>
      </w:pPr>
    </w:p>
    <w:p w14:paraId="2A627B94" w14:textId="189B312A" w:rsidR="00DE4238" w:rsidRPr="00675AE1" w:rsidRDefault="00DE4238" w:rsidP="00DE4238">
      <w:pPr>
        <w:rPr>
          <w:snapToGrid w:val="0"/>
          <w:spacing w:val="-2"/>
          <w:lang w:val="es-419"/>
        </w:rPr>
      </w:pPr>
      <w:r w:rsidRPr="00675AE1">
        <w:rPr>
          <w:snapToGrid w:val="0"/>
          <w:lang w:val="es-419"/>
        </w:rPr>
        <w:fldChar w:fldCharType="begin"/>
      </w:r>
      <w:r w:rsidRPr="00675AE1">
        <w:rPr>
          <w:snapToGrid w:val="0"/>
          <w:lang w:val="es-419"/>
        </w:rPr>
        <w:instrText xml:space="preserve"> AUTONUM  </w:instrText>
      </w:r>
      <w:r w:rsidRPr="00675AE1">
        <w:rPr>
          <w:snapToGrid w:val="0"/>
          <w:lang w:val="es-419"/>
        </w:rPr>
        <w:fldChar w:fldCharType="end"/>
      </w:r>
      <w:r w:rsidRPr="00675AE1">
        <w:rPr>
          <w:snapToGrid w:val="0"/>
          <w:lang w:val="es-419"/>
        </w:rPr>
        <w:tab/>
      </w:r>
      <w:r w:rsidRPr="00675AE1">
        <w:rPr>
          <w:lang w:val="es-419"/>
        </w:rPr>
        <w:t>El WG</w:t>
      </w:r>
      <w:r w:rsidR="00A91241" w:rsidRPr="00675AE1">
        <w:rPr>
          <w:sz w:val="18"/>
          <w:szCs w:val="18"/>
          <w:lang w:val="es-419"/>
        </w:rPr>
        <w:noBreakHyphen/>
      </w:r>
      <w:r w:rsidRPr="00675AE1">
        <w:rPr>
          <w:lang w:val="es-419"/>
        </w:rPr>
        <w:t>HRV solicitó a la Oficina de la Unión que prepare un nuevo proyecto del documento con aclaraciones acerca de los factores iii) y vii) para facilitar la revisión del documento UPOV/EXN/PPM/1, a fin de que el WG</w:t>
      </w:r>
      <w:r w:rsidR="00A91241" w:rsidRPr="00675AE1">
        <w:rPr>
          <w:sz w:val="18"/>
          <w:szCs w:val="18"/>
          <w:lang w:val="es-419"/>
        </w:rPr>
        <w:noBreakHyphen/>
      </w:r>
      <w:r w:rsidR="00ED203F" w:rsidRPr="00675AE1">
        <w:rPr>
          <w:lang w:val="es-419"/>
        </w:rPr>
        <w:t>HRV</w:t>
      </w:r>
      <w:r w:rsidRPr="00675AE1">
        <w:rPr>
          <w:lang w:val="es-419"/>
        </w:rPr>
        <w:t xml:space="preserve"> lo examine</w:t>
      </w:r>
      <w:r w:rsidR="00ED203F" w:rsidRPr="00675AE1">
        <w:rPr>
          <w:lang w:val="es-419"/>
        </w:rPr>
        <w:t>,</w:t>
      </w:r>
      <w:r w:rsidRPr="00675AE1">
        <w:rPr>
          <w:lang w:val="es-419"/>
        </w:rPr>
        <w:t xml:space="preserve"> en su tercera reunión.</w:t>
      </w:r>
    </w:p>
    <w:p w14:paraId="1F2B9D5B" w14:textId="77777777" w:rsidR="00DE4238" w:rsidRPr="00675AE1" w:rsidRDefault="00DE4238" w:rsidP="00DE4238">
      <w:pPr>
        <w:rPr>
          <w:snapToGrid w:val="0"/>
          <w:spacing w:val="-2"/>
          <w:lang w:val="es-419"/>
        </w:rPr>
      </w:pPr>
    </w:p>
    <w:p w14:paraId="67407590" w14:textId="77777777" w:rsidR="00DE4238" w:rsidRPr="00675AE1" w:rsidRDefault="00DE4238" w:rsidP="00DE4238">
      <w:pPr>
        <w:rPr>
          <w:highlight w:val="yellow"/>
          <w:lang w:val="es-419"/>
        </w:rPr>
      </w:pPr>
    </w:p>
    <w:p w14:paraId="2EEAF66C" w14:textId="77777777" w:rsidR="00DE4238" w:rsidRPr="00675AE1" w:rsidRDefault="00DE4238" w:rsidP="00DE4238">
      <w:pPr>
        <w:rPr>
          <w:highlight w:val="yellow"/>
          <w:lang w:val="es-419"/>
        </w:rPr>
      </w:pPr>
    </w:p>
    <w:p w14:paraId="06FC504D" w14:textId="6B779431" w:rsidR="00DE4238" w:rsidRPr="00675AE1" w:rsidRDefault="00DE4238" w:rsidP="00DE4238">
      <w:pPr>
        <w:pStyle w:val="Heading1"/>
        <w:rPr>
          <w:lang w:val="es-419"/>
        </w:rPr>
      </w:pPr>
      <w:r w:rsidRPr="00675AE1">
        <w:rPr>
          <w:lang w:val="es-419"/>
        </w:rPr>
        <w:t xml:space="preserve">PROPUESTAS </w:t>
      </w:r>
      <w:r w:rsidR="002F0505" w:rsidRPr="00675AE1">
        <w:rPr>
          <w:lang w:val="es-419"/>
        </w:rPr>
        <w:t>RELATIVAS A</w:t>
      </w:r>
      <w:r w:rsidRPr="00675AE1">
        <w:rPr>
          <w:lang w:val="es-419"/>
        </w:rPr>
        <w:t xml:space="preserve"> LAS NOTAS EXPLICATIVAS SOBRE LOS ACTOS RESPECTO DEL PRODUCTO DE LA COSECHA CON ARREGLO AL ACTA </w:t>
      </w:r>
      <w:r w:rsidR="00A91241" w:rsidRPr="00675AE1">
        <w:rPr>
          <w:lang w:val="es-419"/>
        </w:rPr>
        <w:t>DE 1991 DEL CONVENIO DE LA UPOV</w:t>
      </w:r>
    </w:p>
    <w:p w14:paraId="18A13CE4" w14:textId="77777777" w:rsidR="00DE4238" w:rsidRPr="00675AE1" w:rsidRDefault="00DE4238" w:rsidP="00DE4238">
      <w:pPr>
        <w:jc w:val="left"/>
        <w:rPr>
          <w:highlight w:val="yellow"/>
          <w:lang w:val="es-419"/>
        </w:rPr>
      </w:pPr>
    </w:p>
    <w:p w14:paraId="4DF2938A" w14:textId="77777777" w:rsidR="006D1008" w:rsidRPr="00675AE1" w:rsidRDefault="00DE4238" w:rsidP="00DE4238">
      <w:pPr>
        <w:jc w:val="left"/>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examinó los documentos WG-HRV/2/2 y WG-HRV/2/4</w:t>
      </w:r>
      <w:r w:rsidR="006D1008" w:rsidRPr="00675AE1">
        <w:rPr>
          <w:lang w:val="es-419"/>
        </w:rPr>
        <w:t>.</w:t>
      </w:r>
    </w:p>
    <w:p w14:paraId="17ABD955" w14:textId="420ED448" w:rsidR="00DE4238" w:rsidRPr="00675AE1" w:rsidRDefault="00DE4238" w:rsidP="00DE4238">
      <w:pPr>
        <w:jc w:val="left"/>
        <w:rPr>
          <w:lang w:val="es-419"/>
        </w:rPr>
      </w:pPr>
    </w:p>
    <w:p w14:paraId="36BD5A09" w14:textId="31E6823E" w:rsidR="00DE4238" w:rsidRPr="00675AE1" w:rsidRDefault="00DE4238" w:rsidP="00DE4238">
      <w:pPr>
        <w:jc w:val="left"/>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examinó el nuevo texto del</w:t>
      </w:r>
      <w:r w:rsidR="00A91241" w:rsidRPr="00675AE1">
        <w:rPr>
          <w:lang w:val="es-419"/>
        </w:rPr>
        <w:t xml:space="preserve"> párrafo 3 del Anexo del</w:t>
      </w:r>
      <w:r w:rsidRPr="00675AE1">
        <w:rPr>
          <w:lang w:val="es-419"/>
        </w:rPr>
        <w:t xml:space="preserve"> documento WG-HRV/2/4:</w:t>
      </w:r>
    </w:p>
    <w:p w14:paraId="1933E20A" w14:textId="77777777" w:rsidR="00DE4238" w:rsidRPr="00675AE1" w:rsidRDefault="00DE4238" w:rsidP="00DE4238">
      <w:pPr>
        <w:ind w:left="567"/>
        <w:jc w:val="left"/>
        <w:rPr>
          <w:sz w:val="18"/>
          <w:szCs w:val="18"/>
          <w:lang w:val="es-419"/>
        </w:rPr>
      </w:pPr>
    </w:p>
    <w:p w14:paraId="76735A25" w14:textId="77777777" w:rsidR="00DE4238" w:rsidRPr="00675AE1" w:rsidRDefault="00DE4238" w:rsidP="00DE4238">
      <w:pPr>
        <w:ind w:left="567" w:right="459"/>
        <w:rPr>
          <w:sz w:val="18"/>
          <w:szCs w:val="18"/>
          <w:lang w:val="es-419"/>
        </w:rPr>
      </w:pPr>
      <w:r w:rsidRPr="00675AE1">
        <w:rPr>
          <w:sz w:val="18"/>
          <w:szCs w:val="18"/>
          <w:lang w:val="es-419"/>
        </w:rPr>
        <w:lastRenderedPageBreak/>
        <w:t>“3.</w:t>
      </w:r>
      <w:r w:rsidRPr="00675AE1">
        <w:rPr>
          <w:sz w:val="18"/>
          <w:szCs w:val="18"/>
          <w:lang w:val="es-419"/>
        </w:rPr>
        <w:tab/>
        <w:t xml:space="preserve">La precisión de que el producto de la cosecha incluye las plantas enteras y las partes de plantas, que es un material que potencialmente puede utilizarse a los fines de reproducción o de multiplicación, indica que, como mínimo algunas formas del producto de la cosecha pueden utilizarse como material de reproducción o de multiplicación. </w:t>
      </w:r>
      <w:r w:rsidRPr="00675AE1">
        <w:rPr>
          <w:sz w:val="18"/>
          <w:szCs w:val="18"/>
          <w:highlight w:val="lightGray"/>
          <w:u w:val="single"/>
          <w:lang w:val="es-419"/>
        </w:rPr>
        <w:t>Si el producto de la cosecha puede utilizarse como material de reproducción o de multiplicación, puede considerarse material de reproducción o de multiplicación.</w:t>
      </w:r>
      <w:r w:rsidRPr="00675AE1">
        <w:rPr>
          <w:sz w:val="18"/>
          <w:szCs w:val="18"/>
          <w:lang w:val="es-419"/>
        </w:rPr>
        <w:t>”</w:t>
      </w:r>
    </w:p>
    <w:p w14:paraId="42562657" w14:textId="77777777" w:rsidR="00DE4238" w:rsidRPr="00675AE1" w:rsidRDefault="00DE4238" w:rsidP="00DE4238">
      <w:pPr>
        <w:jc w:val="left"/>
        <w:rPr>
          <w:sz w:val="18"/>
          <w:lang w:val="es-419"/>
        </w:rPr>
      </w:pPr>
    </w:p>
    <w:p w14:paraId="1D2C6007" w14:textId="7940B907" w:rsidR="006D1008" w:rsidRPr="00675AE1" w:rsidRDefault="00DE4238" w:rsidP="00DE4238">
      <w:pPr>
        <w:spacing w:after="240"/>
        <w:rPr>
          <w:rFonts w:cs="Arial"/>
          <w:lang w:val="es-419"/>
        </w:rPr>
      </w:pPr>
      <w:r w:rsidRPr="00675AE1">
        <w:rPr>
          <w:rFonts w:cs="Arial"/>
          <w:lang w:val="es-419"/>
        </w:rPr>
        <w:fldChar w:fldCharType="begin"/>
      </w:r>
      <w:r w:rsidRPr="00675AE1">
        <w:rPr>
          <w:rFonts w:cs="Arial"/>
          <w:lang w:val="es-419"/>
        </w:rPr>
        <w:instrText xml:space="preserve"> AUTONUM  </w:instrText>
      </w:r>
      <w:r w:rsidRPr="00675AE1">
        <w:rPr>
          <w:rFonts w:cs="Arial"/>
          <w:lang w:val="es-419"/>
        </w:rPr>
        <w:fldChar w:fldCharType="end"/>
      </w:r>
      <w:r w:rsidRPr="00675AE1">
        <w:rPr>
          <w:rFonts w:cs="Arial"/>
          <w:lang w:val="es-419"/>
        </w:rPr>
        <w:tab/>
        <w:t xml:space="preserve">El WG-HRV acordó que el nuevo texto del </w:t>
      </w:r>
      <w:r w:rsidR="00A91241" w:rsidRPr="00675AE1">
        <w:rPr>
          <w:rFonts w:cs="Arial"/>
          <w:lang w:val="es-419"/>
        </w:rPr>
        <w:t xml:space="preserve">párrafo 3 del Anexo del </w:t>
      </w:r>
      <w:r w:rsidRPr="00675AE1">
        <w:rPr>
          <w:rFonts w:cs="Arial"/>
          <w:lang w:val="es-419"/>
        </w:rPr>
        <w:t>documento WG-HRV/2/4 se redacte de nuevo para explicar que el material no debe excluirse de la consideración como material de reproducción o de multiplicación por el hecho de ser el producto de la cosecha</w:t>
      </w:r>
      <w:r w:rsidR="006D1008" w:rsidRPr="00675AE1">
        <w:rPr>
          <w:rFonts w:cs="Arial"/>
          <w:lang w:val="es-419"/>
        </w:rPr>
        <w:t>.</w:t>
      </w:r>
    </w:p>
    <w:p w14:paraId="569E206D" w14:textId="6B39A2ED"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tomó nota de que en el Anexo del documento WG-HRV/2/2 se recogen los antecedentes del principio de la protección en cascada con arreglo al “Alcance del derecho de obtentor” (Artículo 14 del Acta de 1991) y su relación con las disposiciones acerca del “Agotamiento del derecho de obtentor” (Artículo 16 del Acta de 1991). También se recogen los antecedentes del concepto de “utilización no autorizada” conforme al Artículo 14.2) y del concepto de “consentimiento” conforme al Artículo 16, incluido el momento en que se sustituyó el término “consentimiento” por “autorización” en el alcance del derecho:</w:t>
      </w:r>
    </w:p>
    <w:p w14:paraId="0B4EE8EA" w14:textId="77777777" w:rsidR="00DE4238" w:rsidRPr="00675AE1" w:rsidRDefault="00DE4238" w:rsidP="00DE4238">
      <w:pPr>
        <w:rPr>
          <w:lang w:val="es-419"/>
        </w:rPr>
      </w:pPr>
    </w:p>
    <w:p w14:paraId="6D4A2163" w14:textId="27522350" w:rsidR="00DE4238" w:rsidRPr="00675AE1" w:rsidRDefault="00DE4238" w:rsidP="00DE4238">
      <w:pPr>
        <w:ind w:left="567" w:right="459"/>
        <w:rPr>
          <w:lang w:val="es-419"/>
        </w:rPr>
      </w:pPr>
      <w:r w:rsidRPr="00675AE1">
        <w:rPr>
          <w:sz w:val="18"/>
          <w:szCs w:val="18"/>
          <w:lang w:val="es-419"/>
        </w:rPr>
        <w:t>“74.</w:t>
      </w:r>
      <w:r w:rsidRPr="00675AE1">
        <w:rPr>
          <w:sz w:val="18"/>
          <w:szCs w:val="18"/>
          <w:lang w:val="es-419"/>
        </w:rPr>
        <w:tab/>
      </w:r>
      <w:r w:rsidRPr="00675AE1">
        <w:rPr>
          <w:sz w:val="18"/>
          <w:szCs w:val="18"/>
          <w:u w:val="single"/>
          <w:lang w:val="es-419"/>
        </w:rPr>
        <w:t>Varias delegaciones</w:t>
      </w:r>
      <w:r w:rsidRPr="00675AE1">
        <w:rPr>
          <w:sz w:val="18"/>
          <w:szCs w:val="18"/>
          <w:lang w:val="es-419"/>
        </w:rPr>
        <w:t xml:space="preserve"> observaron que en el texto propuesto por la Oficina de la Unión se emplea ahora el término “autorización”, mientras que el proyecto se basaba en el concepto de “consentimiento”. Se señaló que no se había pretendido modificar la esencia del texto […]”</w:t>
      </w:r>
    </w:p>
    <w:p w14:paraId="4FEFBEA3" w14:textId="77777777" w:rsidR="00DE4238" w:rsidRPr="00675AE1" w:rsidRDefault="00DE4238" w:rsidP="00DE4238">
      <w:pPr>
        <w:ind w:left="567"/>
        <w:rPr>
          <w:lang w:val="es-419"/>
        </w:rPr>
      </w:pPr>
      <w:r w:rsidRPr="00675AE1">
        <w:rPr>
          <w:lang w:val="es-419"/>
        </w:rPr>
        <w:t>(véase la página 26 del Anexo del documento WG-HRV/2/2 [original en inglés])</w:t>
      </w:r>
    </w:p>
    <w:p w14:paraId="3B714DCE" w14:textId="77777777" w:rsidR="00DE4238" w:rsidRPr="00675AE1" w:rsidRDefault="00DE4238" w:rsidP="00DE4238">
      <w:pPr>
        <w:rPr>
          <w:lang w:val="es-419"/>
        </w:rPr>
      </w:pPr>
    </w:p>
    <w:p w14:paraId="04E44BB2"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presidente observó que el concepto de “consentimiento” y el de “autorización” difieren en las actuales notas explicativas</w:t>
      </w:r>
      <w:r w:rsidR="006D1008" w:rsidRPr="00675AE1">
        <w:rPr>
          <w:lang w:val="es-419"/>
        </w:rPr>
        <w:t>.</w:t>
      </w:r>
    </w:p>
    <w:p w14:paraId="39DF85C6" w14:textId="6C68A08E" w:rsidR="00DE4238" w:rsidRPr="00675AE1" w:rsidRDefault="00DE4238" w:rsidP="00DE4238">
      <w:pPr>
        <w:rPr>
          <w:lang w:val="es-419"/>
        </w:rPr>
      </w:pPr>
    </w:p>
    <w:p w14:paraId="4F1BCEE7"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Las delegaciones de la Unión Europea y Australia manifestaron que respaldan la explicación del concepto de “utilización no autorizada” ofrecida en las actuales notas explicativas. Las delegaciones de España, el Japón y los Países Bajos preferían una interpretación más amplia de dicho concepto.</w:t>
      </w:r>
    </w:p>
    <w:p w14:paraId="78DD42D0" w14:textId="77777777" w:rsidR="00DE4238" w:rsidRPr="00675AE1" w:rsidRDefault="00DE4238" w:rsidP="00DE4238">
      <w:pPr>
        <w:rPr>
          <w:lang w:val="es-419"/>
        </w:rPr>
      </w:pPr>
    </w:p>
    <w:p w14:paraId="5B593007"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 la Argentina explicó que, en lo que respecta al mercado interno, la adquisición legal de una bolsa de semillas supone el agotamiento del derecho de obtentor.</w:t>
      </w:r>
    </w:p>
    <w:p w14:paraId="07947029" w14:textId="77777777" w:rsidR="00DE4238" w:rsidRPr="00675AE1" w:rsidRDefault="00DE4238" w:rsidP="00DE4238">
      <w:pPr>
        <w:rPr>
          <w:lang w:val="es-419"/>
        </w:rPr>
      </w:pPr>
    </w:p>
    <w:p w14:paraId="426855E4"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del Japón aludió a las exportaciones no autorizadas de material de árboles frutales perennes que, si se reproduce o multiplica en otro país, puede cosecharse durante mucho tiempo sin que los obtentores tengan oportunidad de recibir una remuneración</w:t>
      </w:r>
      <w:r w:rsidR="006D1008" w:rsidRPr="00675AE1">
        <w:rPr>
          <w:lang w:val="es-419"/>
        </w:rPr>
        <w:t>.</w:t>
      </w:r>
    </w:p>
    <w:p w14:paraId="58CF0435" w14:textId="04C987B8" w:rsidR="00DE4238" w:rsidRPr="00675AE1" w:rsidRDefault="00DE4238" w:rsidP="00DE4238">
      <w:pPr>
        <w:rPr>
          <w:lang w:val="es-419"/>
        </w:rPr>
      </w:pPr>
    </w:p>
    <w:p w14:paraId="0E84C563"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presidente tomó nota de las distintas perspectivas e interpretaciones del concepto de “utilización no autorizada” y observó que no se reflejan en las actuales notas explicativas. Sugirió que se considere la posibilidad de incluir las diferentes concepciones de manera análoga a la lista de factores que consta en las notas explicativas sobre el material de reproducción o de multiplicación</w:t>
      </w:r>
      <w:r w:rsidR="006D1008" w:rsidRPr="00675AE1">
        <w:rPr>
          <w:lang w:val="es-419"/>
        </w:rPr>
        <w:t>.</w:t>
      </w:r>
    </w:p>
    <w:p w14:paraId="1491A9A5" w14:textId="0936987E" w:rsidR="00DE4238" w:rsidRPr="00675AE1" w:rsidRDefault="00DE4238" w:rsidP="00DE4238">
      <w:pPr>
        <w:rPr>
          <w:lang w:val="es-419"/>
        </w:rPr>
      </w:pPr>
    </w:p>
    <w:p w14:paraId="3325CD8C"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 los Estados Unidos de América sugirió que podría resultar útil disponer de ejemplos de la interpretación y la aplicación de esas disposiciones por parte de los miembros del Grupo de trabajo.</w:t>
      </w:r>
    </w:p>
    <w:p w14:paraId="4C4B4CF3" w14:textId="77777777" w:rsidR="00DE4238" w:rsidRPr="00675AE1" w:rsidRDefault="00DE4238" w:rsidP="00DE4238">
      <w:pPr>
        <w:rPr>
          <w:lang w:val="es-419"/>
        </w:rPr>
      </w:pPr>
    </w:p>
    <w:p w14:paraId="7FD3DEFD"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Las delegaciones de Australia, los Países Bajos y la Unión Europea suscribieron la propuesta.</w:t>
      </w:r>
    </w:p>
    <w:p w14:paraId="7E1E9282" w14:textId="77777777" w:rsidR="00DE4238" w:rsidRPr="00675AE1" w:rsidRDefault="00DE4238" w:rsidP="00DE4238">
      <w:pPr>
        <w:rPr>
          <w:lang w:val="es-419"/>
        </w:rPr>
      </w:pPr>
    </w:p>
    <w:p w14:paraId="75E77624"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del Japón señaló que, en la Conferencia Diplomática de 1991 de revisión del Convenio, se formuló la propuesta de que la utilización de material de reproducción o de multiplicación se considere no autorizada cuando se lleve a cabo con el fin de obtener producto de la cosecha. Añadió que la propuesta se aceptó sin oposición efectiva, como queda reflejado en el párrafo 1543 de las actas de la Conferencia Diplomática:</w:t>
      </w:r>
    </w:p>
    <w:p w14:paraId="4BAC3917" w14:textId="77777777" w:rsidR="00DE4238" w:rsidRPr="00675AE1" w:rsidRDefault="00DE4238" w:rsidP="00DE4238">
      <w:pPr>
        <w:rPr>
          <w:lang w:val="es-419"/>
        </w:rPr>
      </w:pPr>
    </w:p>
    <w:p w14:paraId="2917047E" w14:textId="16AB8896" w:rsidR="00DE4238" w:rsidRPr="00675AE1" w:rsidRDefault="00DE4238" w:rsidP="00DE4238">
      <w:pPr>
        <w:tabs>
          <w:tab w:val="left" w:pos="1440"/>
        </w:tabs>
        <w:ind w:left="567" w:right="459"/>
        <w:rPr>
          <w:sz w:val="18"/>
          <w:szCs w:val="18"/>
          <w:lang w:val="es-419"/>
        </w:rPr>
      </w:pPr>
      <w:r w:rsidRPr="00675AE1">
        <w:rPr>
          <w:sz w:val="18"/>
          <w:szCs w:val="18"/>
          <w:lang w:val="es-419"/>
        </w:rPr>
        <w:t>“1529.4</w:t>
      </w:r>
      <w:r w:rsidRPr="00675AE1">
        <w:rPr>
          <w:sz w:val="18"/>
          <w:szCs w:val="18"/>
          <w:lang w:val="es-419"/>
        </w:rPr>
        <w:tab/>
        <w:t>(…) En referencia al Artículo 14.1)b), el Grupo de trabajo es consciente de que se ha decidido suprimir los corchetes de la última cláusula de la Propuesta básica. Por ese motivo, propone un sistema según el cual el producto de la cosecha de la variedad protegida constituya la base de una recaudación de regalías cuando se cumplan dos condiciones: i) que el obtentor no haya autorizado la utilización de material de reproducción o de multiplicación con el fin de obtener ese producto de la cosecha; y ii) que el obtentor no haya podido ejercer razonablemente su derecho respecto del material de reproducción o de multiplicación.”</w:t>
      </w:r>
    </w:p>
    <w:p w14:paraId="73142725" w14:textId="77777777" w:rsidR="00DE4238" w:rsidRPr="00675AE1" w:rsidRDefault="00DE4238" w:rsidP="00DE4238">
      <w:pPr>
        <w:ind w:left="567" w:right="459"/>
        <w:jc w:val="left"/>
        <w:rPr>
          <w:sz w:val="18"/>
          <w:szCs w:val="18"/>
          <w:lang w:val="es-419"/>
        </w:rPr>
      </w:pPr>
    </w:p>
    <w:p w14:paraId="672E9A52" w14:textId="77777777" w:rsidR="00DE4238" w:rsidRPr="00675AE1" w:rsidRDefault="00DE4238" w:rsidP="00DE4238">
      <w:pPr>
        <w:ind w:left="567" w:right="459"/>
        <w:jc w:val="left"/>
        <w:rPr>
          <w:sz w:val="18"/>
          <w:szCs w:val="18"/>
          <w:lang w:val="es-419"/>
        </w:rPr>
      </w:pPr>
      <w:r w:rsidRPr="00675AE1">
        <w:rPr>
          <w:sz w:val="18"/>
          <w:szCs w:val="18"/>
          <w:lang w:val="es-419"/>
        </w:rPr>
        <w:t>[…]</w:t>
      </w:r>
    </w:p>
    <w:p w14:paraId="01E31A94" w14:textId="77777777" w:rsidR="00DE4238" w:rsidRPr="00675AE1" w:rsidRDefault="00DE4238" w:rsidP="00DE4238">
      <w:pPr>
        <w:ind w:left="567" w:right="459"/>
        <w:jc w:val="left"/>
        <w:rPr>
          <w:sz w:val="18"/>
          <w:szCs w:val="18"/>
          <w:lang w:val="es-419"/>
        </w:rPr>
      </w:pPr>
    </w:p>
    <w:p w14:paraId="007F4AA1" w14:textId="3593FAB9" w:rsidR="00DE4238" w:rsidRPr="00675AE1" w:rsidRDefault="00A77CE1" w:rsidP="00DE4238">
      <w:pPr>
        <w:tabs>
          <w:tab w:val="left" w:pos="1440"/>
        </w:tabs>
        <w:ind w:left="567" w:right="459"/>
        <w:jc w:val="left"/>
        <w:rPr>
          <w:sz w:val="18"/>
          <w:szCs w:val="18"/>
          <w:lang w:val="es-419"/>
        </w:rPr>
      </w:pPr>
      <w:r w:rsidRPr="00675AE1">
        <w:rPr>
          <w:sz w:val="18"/>
          <w:szCs w:val="18"/>
          <w:lang w:val="es-419"/>
        </w:rPr>
        <w:t>“</w:t>
      </w:r>
      <w:r w:rsidR="00DE4238" w:rsidRPr="00675AE1">
        <w:rPr>
          <w:sz w:val="18"/>
          <w:szCs w:val="18"/>
          <w:lang w:val="es-419"/>
        </w:rPr>
        <w:t>1543.</w:t>
      </w:r>
      <w:r w:rsidR="00DE4238" w:rsidRPr="00675AE1">
        <w:rPr>
          <w:sz w:val="18"/>
          <w:szCs w:val="18"/>
          <w:lang w:val="es-419"/>
        </w:rPr>
        <w:tab/>
        <w:t>El presidente tomó nota de que no se había manifestado oposición efectiva a la propuesta. Por consiguiente, concluyó que había sido aceptada. Dio las gracias al Grupo de trabajo y a su presidente, el Sr. Harvey (Reino Unido).”</w:t>
      </w:r>
    </w:p>
    <w:p w14:paraId="2E5EB212" w14:textId="77777777" w:rsidR="00DE4238" w:rsidRPr="00675AE1" w:rsidRDefault="00DE4238" w:rsidP="00DE4238">
      <w:pPr>
        <w:rPr>
          <w:lang w:val="es-419"/>
        </w:rPr>
      </w:pPr>
    </w:p>
    <w:p w14:paraId="01E23421" w14:textId="7868DC4A" w:rsidR="00DE4238" w:rsidRPr="00675AE1" w:rsidRDefault="00DE4238" w:rsidP="00DE4238">
      <w:pPr>
        <w:rPr>
          <w:lang w:val="es-419"/>
        </w:rPr>
      </w:pPr>
      <w:r w:rsidRPr="00675AE1">
        <w:rPr>
          <w:lang w:val="es-419"/>
        </w:rPr>
        <w:lastRenderedPageBreak/>
        <w:t>(páginas 59 y 60 del Anexo del documento WG-HRV/2/2 [original en inglés])</w:t>
      </w:r>
      <w:r w:rsidR="00370069" w:rsidRPr="00675AE1">
        <w:rPr>
          <w:lang w:val="es-419"/>
        </w:rPr>
        <w:t>.</w:t>
      </w:r>
    </w:p>
    <w:p w14:paraId="5DF68348" w14:textId="77777777" w:rsidR="00DE4238" w:rsidRPr="00675AE1" w:rsidRDefault="00DE4238" w:rsidP="00DE4238">
      <w:pPr>
        <w:rPr>
          <w:lang w:val="es-419"/>
        </w:rPr>
      </w:pPr>
    </w:p>
    <w:p w14:paraId="23A25C09"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Conforme a lo antedicho, la delegación del Japón sugirió que la plantación y el cultivo continuado se incluyan en la interpretación del concepto de “utilización no autorizada” en las notas explicativas</w:t>
      </w:r>
      <w:r w:rsidR="006D1008" w:rsidRPr="00675AE1">
        <w:rPr>
          <w:lang w:val="es-419"/>
        </w:rPr>
        <w:t>.</w:t>
      </w:r>
    </w:p>
    <w:p w14:paraId="78FB4D4A" w14:textId="1DC82E3B" w:rsidR="00DE4238" w:rsidRPr="00675AE1" w:rsidRDefault="00DE4238" w:rsidP="00DE4238">
      <w:pPr>
        <w:rPr>
          <w:lang w:val="es-419"/>
        </w:rPr>
      </w:pPr>
    </w:p>
    <w:p w14:paraId="5BD1128E" w14:textId="77777777" w:rsidR="00DE4238" w:rsidRPr="00675AE1" w:rsidRDefault="00DE4238" w:rsidP="00DE4238">
      <w:pPr>
        <w:rPr>
          <w:spacing w:val="2"/>
          <w:lang w:val="es-419"/>
        </w:rPr>
      </w:pPr>
      <w:r w:rsidRPr="00675AE1">
        <w:rPr>
          <w:spacing w:val="2"/>
          <w:lang w:val="es-419"/>
        </w:rPr>
        <w:fldChar w:fldCharType="begin"/>
      </w:r>
      <w:r w:rsidRPr="00675AE1">
        <w:rPr>
          <w:spacing w:val="2"/>
          <w:lang w:val="es-419"/>
        </w:rPr>
        <w:instrText xml:space="preserve"> AUTONUM  </w:instrText>
      </w:r>
      <w:r w:rsidRPr="00675AE1">
        <w:rPr>
          <w:spacing w:val="2"/>
          <w:lang w:val="es-419"/>
        </w:rPr>
        <w:fldChar w:fldCharType="end"/>
      </w:r>
      <w:r w:rsidRPr="00675AE1">
        <w:rPr>
          <w:spacing w:val="2"/>
          <w:lang w:val="es-419"/>
        </w:rPr>
        <w:tab/>
        <w:t xml:space="preserve">El representante de </w:t>
      </w:r>
      <w:r w:rsidRPr="00675AE1">
        <w:rPr>
          <w:i/>
          <w:spacing w:val="2"/>
          <w:lang w:val="es-419"/>
        </w:rPr>
        <w:t>CropLife International</w:t>
      </w:r>
      <w:r w:rsidRPr="00675AE1">
        <w:rPr>
          <w:spacing w:val="2"/>
          <w:lang w:val="es-419"/>
        </w:rPr>
        <w:t xml:space="preserve"> manifestó su apoyo a la intervención de la delegación del Japón y consideró que el “cultivo” no autorizado debe entenderse como utilización no autorizada en el Artículo 14.2) y parte integrante del concepto de “producción” conforme al Artículo 14.1) del Acta de 1991.</w:t>
      </w:r>
    </w:p>
    <w:p w14:paraId="7EC1C965" w14:textId="77777777" w:rsidR="00DE4238" w:rsidRPr="00675AE1" w:rsidRDefault="00DE4238" w:rsidP="00DE4238">
      <w:pPr>
        <w:spacing w:before="240" w:after="160"/>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presidente señaló que esa referencia a la Conferencia Diplomática podría resultar útil para justificar la introducción de las nuevas perspectivas presentadas por determinados miembros de la Unión, que no están reflejadas en las actuales notas explicativas.</w:t>
      </w:r>
    </w:p>
    <w:p w14:paraId="6B581289"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 los Países Bajos se mostró partidaria de que la labor subsiguiente incluya cuestiones pertinentes en relación con el concepto de “consentimiento” y el agotamiento del derecho de obtentor en el Artículo 16 del Acta de 1991.</w:t>
      </w:r>
    </w:p>
    <w:p w14:paraId="2CCC12DF" w14:textId="77777777" w:rsidR="00DE4238" w:rsidRPr="00675AE1" w:rsidRDefault="00DE4238" w:rsidP="00DE4238">
      <w:pPr>
        <w:rPr>
          <w:sz w:val="18"/>
          <w:lang w:val="es-419"/>
        </w:rPr>
      </w:pPr>
    </w:p>
    <w:p w14:paraId="2BFCCDA7"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 la República de Corea expresó su preocupación por la ampliación del término “autorización” fuera del territorio.</w:t>
      </w:r>
    </w:p>
    <w:p w14:paraId="1C6A54F0" w14:textId="77777777" w:rsidR="00DE4238" w:rsidRPr="00675AE1" w:rsidRDefault="00DE4238" w:rsidP="00DE4238">
      <w:pPr>
        <w:rPr>
          <w:sz w:val="18"/>
          <w:lang w:val="es-419"/>
        </w:rPr>
      </w:pPr>
    </w:p>
    <w:p w14:paraId="364949CA"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La delegación del Japón confirmó la interpretación de que el derecho debe ejercerse en el territorio en el que rija tal derecho.</w:t>
      </w:r>
    </w:p>
    <w:p w14:paraId="34A0929D" w14:textId="77777777" w:rsidR="00DE4238" w:rsidRPr="00675AE1" w:rsidRDefault="00DE4238" w:rsidP="00DE4238">
      <w:pPr>
        <w:rPr>
          <w:sz w:val="18"/>
          <w:lang w:val="es-419"/>
        </w:rPr>
      </w:pPr>
    </w:p>
    <w:p w14:paraId="52B06F43" w14:textId="77777777" w:rsidR="006D100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solicitó a la Oficina de la Unión que elabore un documento en el que se expliquen las distintas perspectivas acerca del concepto de “utilización no autorizada”. Asimismo, acordó que los miembros del Grupo de trabajo proporcionarían ejemplos de su interpretación de esas disposiciones y del modo en que esa interpretación afectaría a la capacidad de los obtentores para ejercer sus derechos en el territorio</w:t>
      </w:r>
      <w:r w:rsidR="006D1008" w:rsidRPr="00675AE1">
        <w:rPr>
          <w:lang w:val="es-419"/>
        </w:rPr>
        <w:t>.</w:t>
      </w:r>
    </w:p>
    <w:p w14:paraId="2A175E53" w14:textId="35B3EDA4" w:rsidR="00DE4238" w:rsidRPr="00675AE1" w:rsidRDefault="00DE4238" w:rsidP="00DE4238">
      <w:pPr>
        <w:rPr>
          <w:sz w:val="18"/>
          <w:lang w:val="es-419"/>
        </w:rPr>
      </w:pPr>
    </w:p>
    <w:p w14:paraId="5D8A5910"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acordó posponer los debates en torno a la sección “d) Poder ejercer razonablemente su derecho” del Anexo del documento WG-HRV/1/4 hasta que haya concluido la labor acerca de la sección c) “Utilización no autorizada de material de reproducción o de multiplicación”, según se ha expuesto anteriormente.”</w:t>
      </w:r>
    </w:p>
    <w:p w14:paraId="1F879C85" w14:textId="77777777" w:rsidR="00DE4238" w:rsidRPr="00675AE1" w:rsidRDefault="00DE4238" w:rsidP="00DE4238">
      <w:pPr>
        <w:jc w:val="left"/>
        <w:rPr>
          <w:sz w:val="16"/>
          <w:lang w:val="es-419"/>
        </w:rPr>
      </w:pPr>
    </w:p>
    <w:p w14:paraId="308C6EC3" w14:textId="77777777" w:rsidR="00DE4238" w:rsidRPr="00675AE1" w:rsidRDefault="00DE4238" w:rsidP="00DE4238">
      <w:pPr>
        <w:jc w:val="left"/>
        <w:rPr>
          <w:sz w:val="16"/>
          <w:highlight w:val="yellow"/>
          <w:lang w:val="es-419"/>
        </w:rPr>
      </w:pPr>
    </w:p>
    <w:p w14:paraId="1681FD84" w14:textId="77777777" w:rsidR="00DE4238" w:rsidRPr="00675AE1" w:rsidRDefault="00DE4238" w:rsidP="00DE4238">
      <w:pPr>
        <w:jc w:val="left"/>
        <w:rPr>
          <w:sz w:val="18"/>
          <w:highlight w:val="yellow"/>
          <w:lang w:val="es-419"/>
        </w:rPr>
      </w:pPr>
    </w:p>
    <w:p w14:paraId="13E78028" w14:textId="45E6EEDC" w:rsidR="00DE4238" w:rsidRPr="00675AE1" w:rsidRDefault="00DE4238" w:rsidP="00DE4238">
      <w:pPr>
        <w:pStyle w:val="Heading1"/>
        <w:rPr>
          <w:lang w:val="es-419"/>
        </w:rPr>
      </w:pPr>
      <w:r w:rsidRPr="00675AE1">
        <w:rPr>
          <w:lang w:val="es-419"/>
        </w:rPr>
        <w:t>PROPUESTAS RELATIVAS A LAS NOTAS EXPLICATIVAS SOBRE LA PROTECCIÓN PROVISIONAL CON</w:t>
      </w:r>
      <w:r w:rsidR="00370069" w:rsidRPr="00675AE1">
        <w:rPr>
          <w:lang w:val="es-419"/>
        </w:rPr>
        <w:t xml:space="preserve"> ARREGLO AL CONVENIO DE LA UPOV</w:t>
      </w:r>
    </w:p>
    <w:p w14:paraId="332C31C9" w14:textId="77777777" w:rsidR="00DE4238" w:rsidRPr="00675AE1" w:rsidRDefault="00DE4238" w:rsidP="00DE4238">
      <w:pPr>
        <w:rPr>
          <w:lang w:val="es-419"/>
        </w:rPr>
      </w:pPr>
    </w:p>
    <w:p w14:paraId="417EA8C9" w14:textId="7DFA4A92"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 xml:space="preserve">El WG-HRV tomó nota de las propuestas de la ISF, CIOPORA, </w:t>
      </w:r>
      <w:r w:rsidRPr="00675AE1">
        <w:rPr>
          <w:i/>
          <w:lang w:val="es-419"/>
        </w:rPr>
        <w:t>CropLife International</w:t>
      </w:r>
      <w:r w:rsidRPr="00675AE1">
        <w:rPr>
          <w:lang w:val="es-419"/>
        </w:rPr>
        <w:t xml:space="preserve">, </w:t>
      </w:r>
      <w:r w:rsidRPr="00CE10F7">
        <w:rPr>
          <w:lang w:val="es-419"/>
        </w:rPr>
        <w:t>Euroseeds</w:t>
      </w:r>
      <w:r w:rsidRPr="00675AE1">
        <w:rPr>
          <w:lang w:val="es-419"/>
        </w:rPr>
        <w:t>, APSA, AFSTA y SAA presentadas en el documento WG</w:t>
      </w:r>
      <w:r w:rsidRPr="00675AE1">
        <w:rPr>
          <w:lang w:val="es-419"/>
        </w:rPr>
        <w:noBreakHyphen/>
        <w:t>HRV/2/5, pero no dispuso de tiempo para examinar dicho documento.</w:t>
      </w:r>
    </w:p>
    <w:p w14:paraId="331E0CC6" w14:textId="77777777" w:rsidR="00DE4238" w:rsidRPr="00675AE1" w:rsidRDefault="00DE4238" w:rsidP="00DE4238">
      <w:pPr>
        <w:rPr>
          <w:lang w:val="es-419"/>
        </w:rPr>
      </w:pPr>
    </w:p>
    <w:p w14:paraId="22DCD508" w14:textId="77777777" w:rsidR="00DE4238" w:rsidRPr="00675AE1" w:rsidRDefault="00DE4238" w:rsidP="00DE4238">
      <w:pPr>
        <w:rPr>
          <w:lang w:val="es-419"/>
        </w:rPr>
      </w:pPr>
      <w:r w:rsidRPr="00675AE1">
        <w:rPr>
          <w:rFonts w:cs="Arial"/>
          <w:spacing w:val="-2"/>
          <w:lang w:val="es-419"/>
        </w:rPr>
        <w:fldChar w:fldCharType="begin"/>
      </w:r>
      <w:r w:rsidRPr="00675AE1">
        <w:rPr>
          <w:rFonts w:cs="Arial"/>
          <w:spacing w:val="-2"/>
          <w:lang w:val="es-419"/>
        </w:rPr>
        <w:instrText xml:space="preserve"> AUTONUM  </w:instrText>
      </w:r>
      <w:r w:rsidRPr="00675AE1">
        <w:rPr>
          <w:rFonts w:cs="Arial"/>
          <w:spacing w:val="-2"/>
          <w:lang w:val="es-419"/>
        </w:rPr>
        <w:fldChar w:fldCharType="end"/>
      </w:r>
      <w:r w:rsidRPr="00675AE1">
        <w:rPr>
          <w:rFonts w:cs="Arial"/>
          <w:spacing w:val="-2"/>
          <w:lang w:val="es-419"/>
        </w:rPr>
        <w:tab/>
        <w:t xml:space="preserve">El </w:t>
      </w:r>
      <w:r w:rsidRPr="00675AE1">
        <w:rPr>
          <w:lang w:val="es-419"/>
        </w:rPr>
        <w:t>WG-HRV acordó examinar el documento WG-HRV/2/5 en su tercera reunión.</w:t>
      </w:r>
    </w:p>
    <w:p w14:paraId="0CE56A3A" w14:textId="77777777" w:rsidR="00DE4238" w:rsidRPr="00675AE1" w:rsidRDefault="00DE4238" w:rsidP="00DE4238">
      <w:pPr>
        <w:rPr>
          <w:rFonts w:cs="Arial"/>
          <w:spacing w:val="-2"/>
          <w:sz w:val="16"/>
          <w:lang w:val="es-419"/>
        </w:rPr>
      </w:pPr>
    </w:p>
    <w:p w14:paraId="5828F023" w14:textId="77777777" w:rsidR="00DE4238" w:rsidRPr="00675AE1" w:rsidRDefault="00DE4238" w:rsidP="00DE4238">
      <w:pPr>
        <w:rPr>
          <w:rFonts w:cs="Arial"/>
          <w:spacing w:val="-2"/>
          <w:sz w:val="16"/>
          <w:lang w:val="es-419"/>
        </w:rPr>
      </w:pPr>
    </w:p>
    <w:p w14:paraId="359149FA" w14:textId="77777777" w:rsidR="00DE4238" w:rsidRPr="00675AE1" w:rsidRDefault="00DE4238" w:rsidP="00DE4238">
      <w:pPr>
        <w:rPr>
          <w:rFonts w:cs="Arial"/>
          <w:spacing w:val="-2"/>
          <w:sz w:val="18"/>
          <w:highlight w:val="yellow"/>
          <w:lang w:val="es-419"/>
        </w:rPr>
      </w:pPr>
    </w:p>
    <w:p w14:paraId="21CFDECE" w14:textId="28CEB660" w:rsidR="00DE4238" w:rsidRPr="00675AE1" w:rsidRDefault="00DE4238" w:rsidP="00DE4238">
      <w:pPr>
        <w:pStyle w:val="Heading1"/>
        <w:rPr>
          <w:lang w:val="es-419"/>
        </w:rPr>
      </w:pPr>
      <w:r w:rsidRPr="00675AE1">
        <w:rPr>
          <w:lang w:val="es-419"/>
        </w:rPr>
        <w:t>FECHA Y</w:t>
      </w:r>
      <w:r w:rsidR="00370069" w:rsidRPr="00675AE1">
        <w:rPr>
          <w:lang w:val="es-419"/>
        </w:rPr>
        <w:t xml:space="preserve"> PROGRAMA DE LA TERCERA REUNIÓN</w:t>
      </w:r>
    </w:p>
    <w:p w14:paraId="3EA3364A" w14:textId="77777777" w:rsidR="00DE4238" w:rsidRPr="00675AE1" w:rsidRDefault="00DE4238" w:rsidP="00DE4238">
      <w:pPr>
        <w:rPr>
          <w:rFonts w:cs="Arial"/>
          <w:spacing w:val="-2"/>
          <w:sz w:val="18"/>
          <w:lang w:val="es-419"/>
        </w:rPr>
      </w:pPr>
    </w:p>
    <w:p w14:paraId="16668A3B" w14:textId="73C0AACA" w:rsidR="00DE4238" w:rsidRPr="00675AE1" w:rsidRDefault="00DE4238" w:rsidP="00DE4238">
      <w:pPr>
        <w:rPr>
          <w:color w:val="000000" w:themeColor="text1"/>
          <w:lang w:val="es-419" w:eastAsia="ja-JP"/>
        </w:rPr>
      </w:pPr>
      <w:r w:rsidRPr="00675AE1">
        <w:rPr>
          <w:rFonts w:cs="Arial"/>
          <w:lang w:val="es-419" w:eastAsia="ja-JP"/>
        </w:rPr>
        <w:fldChar w:fldCharType="begin"/>
      </w:r>
      <w:r w:rsidRPr="00675AE1">
        <w:rPr>
          <w:rFonts w:cs="Arial"/>
          <w:lang w:val="es-419" w:eastAsia="ja-JP"/>
        </w:rPr>
        <w:instrText xml:space="preserve"> AUTONUM  </w:instrText>
      </w:r>
      <w:r w:rsidRPr="00675AE1">
        <w:rPr>
          <w:rFonts w:cs="Arial"/>
          <w:lang w:val="es-419" w:eastAsia="ja-JP"/>
        </w:rPr>
        <w:fldChar w:fldCharType="end"/>
      </w:r>
      <w:r w:rsidRPr="00675AE1">
        <w:rPr>
          <w:rFonts w:cs="Arial"/>
          <w:lang w:val="es-419" w:eastAsia="ja-JP"/>
        </w:rPr>
        <w:tab/>
        <w:t>El WG-HRV acordó la siguiente fecha provisional para su tercera reunión: 15 de marzo de 2023.</w:t>
      </w:r>
      <w:r w:rsidR="006D1008" w:rsidRPr="00675AE1">
        <w:rPr>
          <w:color w:val="000000" w:themeColor="text1"/>
          <w:lang w:val="es-419" w:eastAsia="ja-JP"/>
        </w:rPr>
        <w:t xml:space="preserve"> </w:t>
      </w:r>
      <w:r w:rsidRPr="00675AE1">
        <w:rPr>
          <w:color w:val="000000" w:themeColor="text1"/>
          <w:lang w:val="es-419" w:eastAsia="ja-JP"/>
        </w:rPr>
        <w:t>Se señaló que la fecha se confirmará de acuerdo con los programas de trabajo que aprobará el Consejo el 28 de octubre de 2022.</w:t>
      </w:r>
      <w:r w:rsidRPr="00675AE1">
        <w:rPr>
          <w:rStyle w:val="FootnoteReference"/>
          <w:color w:val="000000" w:themeColor="text1"/>
          <w:lang w:val="es-419" w:eastAsia="ja-JP"/>
        </w:rPr>
        <w:footnoteReference w:id="1"/>
      </w:r>
    </w:p>
    <w:p w14:paraId="76D1A8A3" w14:textId="77777777" w:rsidR="00DE4238" w:rsidRPr="00675AE1" w:rsidRDefault="00DE4238" w:rsidP="00DE4238">
      <w:pPr>
        <w:rPr>
          <w:color w:val="000000" w:themeColor="text1"/>
          <w:lang w:val="es-419" w:eastAsia="ja-JP"/>
        </w:rPr>
      </w:pPr>
    </w:p>
    <w:p w14:paraId="643F5FB0" w14:textId="5BB2D94F"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El WG-HRV acordó que la Oficina de la Unión debe presentar los documentos para su tercera reunión a finales de enero.</w:t>
      </w:r>
      <w:r w:rsidR="006D1008" w:rsidRPr="00675AE1">
        <w:rPr>
          <w:lang w:val="es-419"/>
        </w:rPr>
        <w:t xml:space="preserve"> </w:t>
      </w:r>
      <w:r w:rsidRPr="00675AE1">
        <w:rPr>
          <w:lang w:val="es-419"/>
        </w:rPr>
        <w:t>Se invitará al WG-HRV a enviar comentarios y ejemplos antes de que finalice febrero, a fin de distribuirlos al WG-HRV antes de la tercera reunión.</w:t>
      </w:r>
    </w:p>
    <w:p w14:paraId="6E46C11F" w14:textId="047B3068" w:rsidR="0034797C" w:rsidRDefault="0034797C">
      <w:pPr>
        <w:jc w:val="left"/>
        <w:rPr>
          <w:sz w:val="18"/>
          <w:lang w:val="es-419"/>
        </w:rPr>
      </w:pPr>
      <w:r>
        <w:rPr>
          <w:sz w:val="18"/>
          <w:lang w:val="es-419"/>
        </w:rPr>
        <w:br w:type="page"/>
      </w:r>
    </w:p>
    <w:p w14:paraId="04FCAF85" w14:textId="77777777" w:rsidR="00DE4238" w:rsidRPr="00675AE1" w:rsidRDefault="00DE4238" w:rsidP="00DE4238">
      <w:pPr>
        <w:rPr>
          <w:sz w:val="18"/>
          <w:lang w:val="es-419"/>
        </w:rPr>
      </w:pPr>
    </w:p>
    <w:p w14:paraId="2B6BA877" w14:textId="77777777" w:rsidR="00DE4238" w:rsidRPr="00675AE1" w:rsidRDefault="00DE4238" w:rsidP="00DE4238">
      <w:pPr>
        <w:rPr>
          <w:lang w:val="es-419"/>
        </w:rPr>
      </w:pPr>
      <w:r w:rsidRPr="00675AE1">
        <w:rPr>
          <w:lang w:val="es-419"/>
        </w:rPr>
        <w:fldChar w:fldCharType="begin"/>
      </w:r>
      <w:r w:rsidRPr="00675AE1">
        <w:rPr>
          <w:lang w:val="es-419"/>
        </w:rPr>
        <w:instrText xml:space="preserve"> AUTONUM  </w:instrText>
      </w:r>
      <w:r w:rsidRPr="00675AE1">
        <w:rPr>
          <w:lang w:val="es-419"/>
        </w:rPr>
        <w:fldChar w:fldCharType="end"/>
      </w:r>
      <w:r w:rsidRPr="00675AE1">
        <w:rPr>
          <w:lang w:val="es-419"/>
        </w:rPr>
        <w:tab/>
        <w:t>Se acordó el siguiente programa para la tercera reunión del WG-HRV:</w:t>
      </w:r>
    </w:p>
    <w:p w14:paraId="5C2AADC7" w14:textId="77777777" w:rsidR="00DE4238" w:rsidRPr="00675AE1" w:rsidRDefault="00DE4238" w:rsidP="00DE4238">
      <w:pPr>
        <w:pStyle w:val="ListParagraph"/>
        <w:ind w:left="360"/>
        <w:rPr>
          <w:sz w:val="18"/>
          <w:lang w:val="es-419"/>
        </w:rPr>
      </w:pPr>
    </w:p>
    <w:p w14:paraId="6C598F3F" w14:textId="77777777" w:rsidR="00DE4238" w:rsidRPr="00675AE1" w:rsidRDefault="00DE4238" w:rsidP="00DE4238">
      <w:pPr>
        <w:pStyle w:val="ListParagraph"/>
        <w:numPr>
          <w:ilvl w:val="1"/>
          <w:numId w:val="48"/>
        </w:numPr>
        <w:autoSpaceDE w:val="0"/>
        <w:autoSpaceDN w:val="0"/>
        <w:adjustRightInd w:val="0"/>
        <w:contextualSpacing w:val="0"/>
        <w:jc w:val="left"/>
        <w:rPr>
          <w:szCs w:val="24"/>
          <w:lang w:val="es-419"/>
        </w:rPr>
      </w:pPr>
      <w:r w:rsidRPr="00675AE1">
        <w:rPr>
          <w:szCs w:val="24"/>
          <w:lang w:val="es-419"/>
        </w:rPr>
        <w:t xml:space="preserve">Apertura de la reunión </w:t>
      </w:r>
    </w:p>
    <w:p w14:paraId="42D94991" w14:textId="77777777" w:rsidR="00DE4238" w:rsidRPr="00675AE1" w:rsidRDefault="00DE4238" w:rsidP="00DE4238">
      <w:pPr>
        <w:pStyle w:val="ListParagraph"/>
        <w:autoSpaceDE w:val="0"/>
        <w:autoSpaceDN w:val="0"/>
        <w:adjustRightInd w:val="0"/>
        <w:ind w:left="774" w:hanging="594"/>
        <w:contextualSpacing w:val="0"/>
        <w:jc w:val="left"/>
        <w:rPr>
          <w:sz w:val="18"/>
          <w:szCs w:val="24"/>
          <w:lang w:val="es-419"/>
        </w:rPr>
      </w:pPr>
    </w:p>
    <w:p w14:paraId="24E805E3" w14:textId="77777777" w:rsidR="00DE4238" w:rsidRPr="00675AE1" w:rsidRDefault="00DE4238" w:rsidP="00DE4238">
      <w:pPr>
        <w:pStyle w:val="ListParagraph"/>
        <w:numPr>
          <w:ilvl w:val="1"/>
          <w:numId w:val="48"/>
        </w:numPr>
        <w:autoSpaceDE w:val="0"/>
        <w:autoSpaceDN w:val="0"/>
        <w:adjustRightInd w:val="0"/>
        <w:contextualSpacing w:val="0"/>
        <w:jc w:val="left"/>
        <w:rPr>
          <w:szCs w:val="24"/>
          <w:lang w:val="es-419"/>
        </w:rPr>
      </w:pPr>
      <w:r w:rsidRPr="00675AE1">
        <w:rPr>
          <w:szCs w:val="24"/>
          <w:lang w:val="es-419"/>
        </w:rPr>
        <w:t>Aprobación del orden del día</w:t>
      </w:r>
    </w:p>
    <w:p w14:paraId="74369081" w14:textId="77777777" w:rsidR="00DE4238" w:rsidRPr="00675AE1" w:rsidRDefault="00DE4238" w:rsidP="00DE4238">
      <w:pPr>
        <w:rPr>
          <w:sz w:val="18"/>
          <w:szCs w:val="24"/>
          <w:lang w:val="es-419"/>
        </w:rPr>
      </w:pPr>
    </w:p>
    <w:p w14:paraId="6C52AA29" w14:textId="77777777" w:rsidR="00DE4238" w:rsidRPr="00675AE1" w:rsidRDefault="00DE4238" w:rsidP="00DE4238">
      <w:pPr>
        <w:pStyle w:val="ListParagraph"/>
        <w:numPr>
          <w:ilvl w:val="1"/>
          <w:numId w:val="48"/>
        </w:numPr>
        <w:rPr>
          <w:rFonts w:cs="Arial"/>
          <w:lang w:val="es-419"/>
        </w:rPr>
      </w:pPr>
      <w:r w:rsidRPr="00675AE1">
        <w:rPr>
          <w:rFonts w:cs="Arial"/>
          <w:lang w:val="es-419"/>
        </w:rPr>
        <w:t xml:space="preserve">Propuestas relativas a las Notas explicativas sobre el material de reproducción o de multiplicación con arreglo al Convenio de la UPOV </w:t>
      </w:r>
    </w:p>
    <w:p w14:paraId="3A56C621" w14:textId="77777777" w:rsidR="00DE4238" w:rsidRPr="00675AE1" w:rsidRDefault="00DE4238" w:rsidP="00DE4238">
      <w:pPr>
        <w:rPr>
          <w:rFonts w:cs="Arial"/>
          <w:sz w:val="18"/>
          <w:lang w:val="es-419"/>
        </w:rPr>
      </w:pPr>
    </w:p>
    <w:p w14:paraId="2DFBB4BC" w14:textId="2EDFD754" w:rsidR="00DE4238" w:rsidRPr="00675AE1" w:rsidRDefault="00370069" w:rsidP="00DE4238">
      <w:pPr>
        <w:pStyle w:val="ListParagraph"/>
        <w:numPr>
          <w:ilvl w:val="1"/>
          <w:numId w:val="48"/>
        </w:numPr>
        <w:rPr>
          <w:rFonts w:cs="Arial"/>
          <w:lang w:val="es-419"/>
        </w:rPr>
      </w:pPr>
      <w:r w:rsidRPr="00675AE1">
        <w:rPr>
          <w:rFonts w:cs="Arial"/>
          <w:lang w:val="es-419"/>
        </w:rPr>
        <w:t>Perspectivas sobre la “</w:t>
      </w:r>
      <w:r w:rsidR="00DE4238" w:rsidRPr="00675AE1">
        <w:rPr>
          <w:rFonts w:cs="Arial"/>
          <w:lang w:val="es-419"/>
        </w:rPr>
        <w:t>utilización no autorizada</w:t>
      </w:r>
      <w:r w:rsidRPr="00675AE1">
        <w:rPr>
          <w:rFonts w:cs="Arial"/>
          <w:lang w:val="es-419"/>
        </w:rPr>
        <w:t>”</w:t>
      </w:r>
      <w:r w:rsidR="00DE4238" w:rsidRPr="00675AE1">
        <w:rPr>
          <w:rFonts w:cs="Arial"/>
          <w:lang w:val="es-419"/>
        </w:rPr>
        <w:t xml:space="preserve"> conforme al Artículo 14.2) del Acta de 1991 del Convenio de la UPOV </w:t>
      </w:r>
    </w:p>
    <w:p w14:paraId="2C51547C" w14:textId="77777777" w:rsidR="00DE4238" w:rsidRPr="00675AE1" w:rsidRDefault="00DE4238" w:rsidP="00DE4238">
      <w:pPr>
        <w:rPr>
          <w:rFonts w:cs="Arial"/>
          <w:sz w:val="18"/>
          <w:lang w:val="es-419"/>
        </w:rPr>
      </w:pPr>
    </w:p>
    <w:p w14:paraId="4722D7C3" w14:textId="77777777" w:rsidR="00DE4238" w:rsidRPr="00675AE1" w:rsidRDefault="00DE4238" w:rsidP="00DE4238">
      <w:pPr>
        <w:pStyle w:val="ListParagraph"/>
        <w:numPr>
          <w:ilvl w:val="1"/>
          <w:numId w:val="48"/>
        </w:numPr>
        <w:rPr>
          <w:rFonts w:cs="Arial"/>
          <w:lang w:val="es-419"/>
        </w:rPr>
      </w:pPr>
      <w:r w:rsidRPr="00675AE1">
        <w:rPr>
          <w:rFonts w:cs="Arial"/>
          <w:lang w:val="es-419"/>
        </w:rPr>
        <w:t>Propuestas relativas a las Notas explicativas sobre la protección provisional con arreglo al Convenio de la UPOV</w:t>
      </w:r>
    </w:p>
    <w:p w14:paraId="1EBC2EF4" w14:textId="77777777" w:rsidR="00DE4238" w:rsidRPr="00675AE1" w:rsidRDefault="00DE4238" w:rsidP="00DE4238">
      <w:pPr>
        <w:autoSpaceDE w:val="0"/>
        <w:autoSpaceDN w:val="0"/>
        <w:adjustRightInd w:val="0"/>
        <w:jc w:val="left"/>
        <w:rPr>
          <w:sz w:val="18"/>
          <w:szCs w:val="24"/>
          <w:lang w:val="es-419"/>
        </w:rPr>
      </w:pPr>
    </w:p>
    <w:p w14:paraId="34621BAF" w14:textId="77777777" w:rsidR="00DE4238" w:rsidRPr="00675AE1" w:rsidRDefault="00DE4238" w:rsidP="00DE4238">
      <w:pPr>
        <w:pStyle w:val="ListParagraph"/>
        <w:numPr>
          <w:ilvl w:val="1"/>
          <w:numId w:val="48"/>
        </w:numPr>
        <w:autoSpaceDE w:val="0"/>
        <w:autoSpaceDN w:val="0"/>
        <w:adjustRightInd w:val="0"/>
        <w:contextualSpacing w:val="0"/>
        <w:jc w:val="left"/>
        <w:rPr>
          <w:szCs w:val="24"/>
          <w:lang w:val="es-419" w:eastAsia="ja-JP"/>
        </w:rPr>
      </w:pPr>
      <w:r w:rsidRPr="00675AE1">
        <w:rPr>
          <w:szCs w:val="24"/>
          <w:lang w:val="es-419" w:eastAsia="ja-JP"/>
        </w:rPr>
        <w:t>Fecha y programa de la cuarta reunión</w:t>
      </w:r>
    </w:p>
    <w:p w14:paraId="32CCE8A2" w14:textId="77777777" w:rsidR="00DE4238" w:rsidRPr="00675AE1" w:rsidRDefault="00DE4238" w:rsidP="00DE4238">
      <w:pPr>
        <w:rPr>
          <w:sz w:val="18"/>
          <w:lang w:val="es-419"/>
        </w:rPr>
      </w:pPr>
    </w:p>
    <w:p w14:paraId="3BC4E907" w14:textId="59F006C7" w:rsidR="00DE4238" w:rsidRPr="00675AE1" w:rsidRDefault="00DE4238" w:rsidP="00DE4238">
      <w:pPr>
        <w:tabs>
          <w:tab w:val="left" w:pos="5387"/>
          <w:tab w:val="left" w:pos="5954"/>
        </w:tabs>
        <w:ind w:left="4820"/>
        <w:rPr>
          <w:rFonts w:cs="Arial"/>
          <w:i/>
          <w:lang w:val="es-419"/>
        </w:rPr>
      </w:pPr>
      <w:r w:rsidRPr="00675AE1">
        <w:rPr>
          <w:rFonts w:cs="Arial"/>
          <w:i/>
          <w:lang w:val="es-419"/>
        </w:rPr>
        <w:fldChar w:fldCharType="begin"/>
      </w:r>
      <w:r w:rsidRPr="00675AE1">
        <w:rPr>
          <w:rFonts w:cs="Arial"/>
          <w:i/>
          <w:lang w:val="es-419"/>
        </w:rPr>
        <w:instrText xml:space="preserve"> AUTONUM  </w:instrText>
      </w:r>
      <w:r w:rsidRPr="00675AE1">
        <w:rPr>
          <w:rFonts w:cs="Arial"/>
          <w:i/>
          <w:lang w:val="es-419"/>
        </w:rPr>
        <w:fldChar w:fldCharType="end"/>
      </w:r>
      <w:r w:rsidRPr="00675AE1">
        <w:rPr>
          <w:rFonts w:cs="Arial"/>
          <w:i/>
          <w:lang w:val="es-419"/>
        </w:rPr>
        <w:tab/>
        <w:t>El presente informe se aprobó por correspondencia.</w:t>
      </w:r>
    </w:p>
    <w:p w14:paraId="5026472F" w14:textId="77777777" w:rsidR="00DE4238" w:rsidRPr="00675AE1" w:rsidRDefault="00DE4238" w:rsidP="00DE4238">
      <w:pPr>
        <w:jc w:val="right"/>
        <w:rPr>
          <w:lang w:val="es-419"/>
        </w:rPr>
      </w:pPr>
    </w:p>
    <w:p w14:paraId="41B4425A" w14:textId="180B6CC8" w:rsidR="00DE4238" w:rsidRPr="00675AE1" w:rsidRDefault="00DE4238" w:rsidP="00DE4238">
      <w:pPr>
        <w:jc w:val="right"/>
        <w:rPr>
          <w:lang w:val="es-419"/>
        </w:rPr>
      </w:pPr>
    </w:p>
    <w:p w14:paraId="0958F121" w14:textId="77777777" w:rsidR="00DE4238" w:rsidRPr="00675AE1" w:rsidRDefault="00DE4238" w:rsidP="00DE4238">
      <w:pPr>
        <w:jc w:val="right"/>
        <w:rPr>
          <w:lang w:val="es-419"/>
        </w:rPr>
      </w:pPr>
    </w:p>
    <w:p w14:paraId="0C2C7881" w14:textId="16EFF667" w:rsidR="00DE4238" w:rsidRPr="00675AE1" w:rsidRDefault="00DE4238" w:rsidP="00DE4238">
      <w:pPr>
        <w:jc w:val="right"/>
        <w:rPr>
          <w:lang w:val="es-419"/>
        </w:rPr>
      </w:pPr>
      <w:r w:rsidRPr="00675AE1">
        <w:rPr>
          <w:lang w:val="es-419"/>
        </w:rPr>
        <w:t>[Sigue el Anexo]</w:t>
      </w:r>
    </w:p>
    <w:p w14:paraId="2117A0DE" w14:textId="16EFF667" w:rsidR="00DE4238" w:rsidRPr="006D1008" w:rsidRDefault="00DE4238" w:rsidP="00DE4238">
      <w:pPr>
        <w:jc w:val="left"/>
        <w:sectPr w:rsidR="00DE4238" w:rsidRPr="006D1008" w:rsidSect="00F515AB">
          <w:headerReference w:type="even" r:id="rId9"/>
          <w:headerReference w:type="default" r:id="rId10"/>
          <w:pgSz w:w="11907" w:h="16840" w:code="9"/>
          <w:pgMar w:top="510" w:right="1134" w:bottom="1134" w:left="1134" w:header="510" w:footer="680" w:gutter="0"/>
          <w:cols w:space="720"/>
          <w:titlePg/>
          <w:docGrid w:linePitch="272"/>
        </w:sectPr>
      </w:pPr>
    </w:p>
    <w:p w14:paraId="6D877353" w14:textId="77777777" w:rsidR="00E165BF" w:rsidRPr="004F0D03" w:rsidRDefault="00E165BF" w:rsidP="00E165BF">
      <w:pPr>
        <w:jc w:val="center"/>
      </w:pPr>
      <w:r w:rsidRPr="004F0D03">
        <w:lastRenderedPageBreak/>
        <w:t>(dans l’ordre alphabétique des noms français des membres /</w:t>
      </w:r>
      <w:r w:rsidRPr="004F0D03">
        <w:br/>
        <w:t>in the alphabetical order of the French names of the members /</w:t>
      </w:r>
      <w:r w:rsidRPr="004F0D03">
        <w:br/>
        <w:t>por orden alfabético de los nombres en francés de los miembros)</w:t>
      </w:r>
    </w:p>
    <w:p w14:paraId="00601C16" w14:textId="77777777" w:rsidR="00E165BF" w:rsidRPr="00C46895" w:rsidRDefault="00E165BF" w:rsidP="00E165BF">
      <w:pPr>
        <w:pStyle w:val="plheading"/>
        <w:rPr>
          <w:lang w:val="fr-CH"/>
        </w:rPr>
      </w:pPr>
      <w:r w:rsidRPr="00C46895">
        <w:rPr>
          <w:lang w:val="fr-CH"/>
        </w:rPr>
        <w:t>I. MEMBRES / MEMBERS / MIEMBROS</w:t>
      </w:r>
    </w:p>
    <w:p w14:paraId="02221EE2" w14:textId="77777777" w:rsidR="00E165BF" w:rsidRPr="003C1E7D" w:rsidRDefault="00E165BF" w:rsidP="00E165BF">
      <w:pPr>
        <w:pStyle w:val="plcountry"/>
        <w:rPr>
          <w:sz w:val="24"/>
          <w:szCs w:val="30"/>
          <w:lang w:val="fr-CH"/>
        </w:rPr>
      </w:pPr>
      <w:r w:rsidRPr="003C1E7D">
        <w:rPr>
          <w:lang w:val="fr-CH"/>
        </w:rPr>
        <w:t>AFRIQUE DU SUD / SOUTH AFRICA / SUDÁFRICA</w:t>
      </w:r>
    </w:p>
    <w:p w14:paraId="720781FE" w14:textId="77777777" w:rsidR="00E165BF" w:rsidRPr="00CC148A" w:rsidRDefault="00E165BF" w:rsidP="00E165BF">
      <w:pPr>
        <w:pStyle w:val="pldetails"/>
        <w:rPr>
          <w:szCs w:val="27"/>
          <w:lang w:val="en-US"/>
        </w:rPr>
      </w:pPr>
      <w:r w:rsidRPr="00CC148A">
        <w:rPr>
          <w:lang w:val="en-US"/>
        </w:rPr>
        <w:t xml:space="preserve">Noluthando NETNOU-NKOANA (Ms.), Director, Genetic Resources, Department of Agriculture, Rural development and Land Reform, Pretoria </w:t>
      </w:r>
      <w:r w:rsidRPr="00CC148A">
        <w:rPr>
          <w:lang w:val="en-US"/>
        </w:rPr>
        <w:br/>
        <w:t>(e-mail: NoluthandoN@dalrrd.gov.za)</w:t>
      </w:r>
    </w:p>
    <w:p w14:paraId="2512D6D6" w14:textId="77777777" w:rsidR="00E165BF" w:rsidRPr="00D05C79" w:rsidRDefault="00E165BF" w:rsidP="00E165BF">
      <w:pPr>
        <w:pStyle w:val="plcountry"/>
        <w:rPr>
          <w:lang w:val="es-ES"/>
        </w:rPr>
      </w:pPr>
      <w:r w:rsidRPr="00D05C79">
        <w:rPr>
          <w:lang w:val="es-ES"/>
        </w:rPr>
        <w:t>ARGENTINE / ARGENTINA</w:t>
      </w:r>
      <w:r>
        <w:rPr>
          <w:lang w:val="es-ES"/>
        </w:rPr>
        <w:t xml:space="preserve"> / ARGENTINA</w:t>
      </w:r>
    </w:p>
    <w:p w14:paraId="5EC8A72F" w14:textId="77777777" w:rsidR="00E165BF" w:rsidRDefault="00E165BF" w:rsidP="00E165BF">
      <w:pPr>
        <w:pStyle w:val="pldetails"/>
      </w:pPr>
      <w:r w:rsidRPr="0066481F">
        <w:t>María Laura VILLAMAYOR (Sra.), Coordinadora de Relaciones Institucionales e Interjurisdiccionales, Instituto Nacional de Semillas (INASE), Secretaría de Agricultura, Ganaderí</w:t>
      </w:r>
      <w:r>
        <w:t xml:space="preserve">a, Pesca y Alimentación, </w:t>
      </w:r>
      <w:r>
        <w:br/>
        <w:t xml:space="preserve">Buenos </w:t>
      </w:r>
      <w:r w:rsidRPr="0066481F">
        <w:t xml:space="preserve">Aires </w:t>
      </w:r>
      <w:r>
        <w:br/>
      </w:r>
      <w:r w:rsidRPr="0066481F">
        <w:t xml:space="preserve">(e-mail: </w:t>
      </w:r>
      <w:r w:rsidRPr="003C1E7D">
        <w:t>mlvillamayor@inase.gob.ar</w:t>
      </w:r>
      <w:r w:rsidRPr="0066481F">
        <w:t>)</w:t>
      </w:r>
    </w:p>
    <w:p w14:paraId="52C28EF0" w14:textId="77777777" w:rsidR="00E165BF" w:rsidRPr="004417BE" w:rsidRDefault="00E165BF" w:rsidP="00E165BF">
      <w:pPr>
        <w:pStyle w:val="plcountry"/>
      </w:pPr>
      <w:r w:rsidRPr="00275157">
        <w:t>A</w:t>
      </w:r>
      <w:r w:rsidRPr="004417BE">
        <w:t>USTRALIE / AUSTRALIA / AUSTRALIA</w:t>
      </w:r>
    </w:p>
    <w:p w14:paraId="0CF2775D" w14:textId="77777777" w:rsidR="00E165BF" w:rsidRPr="00CC148A" w:rsidRDefault="00E165BF" w:rsidP="00E165BF">
      <w:pPr>
        <w:pStyle w:val="pldetails"/>
        <w:rPr>
          <w:lang w:val="en-US"/>
        </w:rPr>
      </w:pPr>
      <w:r w:rsidRPr="00CC148A">
        <w:rPr>
          <w:lang w:val="en-US"/>
        </w:rPr>
        <w:t>Edwina VANDINE (Ms.), Chief of Plant Breeders' Rights, IP Australia, Woden</w:t>
      </w:r>
      <w:r w:rsidRPr="00CC148A">
        <w:rPr>
          <w:lang w:val="en-US"/>
        </w:rPr>
        <w:br/>
        <w:t>(e-mail: Edwina.Vandine@ipaustralia.gov.au)</w:t>
      </w:r>
    </w:p>
    <w:p w14:paraId="4CD9ED05" w14:textId="77777777" w:rsidR="00E165BF" w:rsidRPr="00CC148A" w:rsidRDefault="00E165BF" w:rsidP="00E165BF">
      <w:pPr>
        <w:pStyle w:val="pldetails"/>
        <w:rPr>
          <w:lang w:val="en-US"/>
        </w:rPr>
      </w:pPr>
      <w:r w:rsidRPr="00CC148A">
        <w:rPr>
          <w:lang w:val="en-US"/>
        </w:rPr>
        <w:t>Paul GARDNER (Mr.), Director, Policy and International Affairs, IP Australia, Phillip</w:t>
      </w:r>
      <w:r w:rsidRPr="00CC148A">
        <w:rPr>
          <w:lang w:val="en-US"/>
        </w:rPr>
        <w:br/>
        <w:t>(e-mail: Paul.Gardner@ipaustralia.gov.au)</w:t>
      </w:r>
    </w:p>
    <w:p w14:paraId="5F66C888" w14:textId="77777777" w:rsidR="00E165BF" w:rsidRPr="00CC148A" w:rsidRDefault="00E165BF" w:rsidP="00E165BF">
      <w:pPr>
        <w:pStyle w:val="pldetails"/>
        <w:rPr>
          <w:lang w:val="en-US"/>
        </w:rPr>
      </w:pPr>
      <w:r w:rsidRPr="00CC148A">
        <w:rPr>
          <w:lang w:val="en-US"/>
        </w:rPr>
        <w:t>Isabel Louise WARD (Ms.), Assistant Director, IP Australia, Woden</w:t>
      </w:r>
      <w:r w:rsidRPr="00CC148A">
        <w:rPr>
          <w:lang w:val="en-US"/>
        </w:rPr>
        <w:br/>
        <w:t>(e-mail: Isabel.Ward@ipaustralia.gov.au)</w:t>
      </w:r>
    </w:p>
    <w:p w14:paraId="052802F2" w14:textId="77777777" w:rsidR="00E165BF" w:rsidRPr="00CC148A" w:rsidRDefault="00E165BF" w:rsidP="00E165BF">
      <w:pPr>
        <w:pStyle w:val="pldetails"/>
        <w:rPr>
          <w:lang w:val="en-US"/>
        </w:rPr>
      </w:pPr>
      <w:r w:rsidRPr="00CC148A">
        <w:rPr>
          <w:lang w:val="en-US"/>
        </w:rPr>
        <w:t>Daniel DESNOUSSE (Mr.), IP Policy Officer, IP Australia, Phillip</w:t>
      </w:r>
      <w:r w:rsidRPr="00CC148A">
        <w:rPr>
          <w:lang w:val="en-US"/>
        </w:rPr>
        <w:br/>
        <w:t>(e-mail: Daniel.Desnousse@ipaustralia.gov.au)</w:t>
      </w:r>
    </w:p>
    <w:p w14:paraId="6B05A2DA" w14:textId="77777777" w:rsidR="00E165BF" w:rsidRPr="00CC148A" w:rsidRDefault="00E165BF" w:rsidP="00E165BF">
      <w:pPr>
        <w:pStyle w:val="pldetails"/>
        <w:rPr>
          <w:lang w:val="en-US"/>
        </w:rPr>
      </w:pPr>
      <w:r w:rsidRPr="00CC148A">
        <w:rPr>
          <w:lang w:val="en-US"/>
        </w:rPr>
        <w:t xml:space="preserve">Charles LAWSON (Mr.), Associate Professor, Griffith Law School, Intellectual Property Branch, Attorney-General’s Department, Brisbane </w:t>
      </w:r>
      <w:r w:rsidRPr="00CC148A">
        <w:rPr>
          <w:lang w:val="en-US"/>
        </w:rPr>
        <w:br/>
        <w:t>(e-mail: c.lawson@griffith.edu.au)</w:t>
      </w:r>
    </w:p>
    <w:p w14:paraId="52457417" w14:textId="77777777" w:rsidR="00E165BF" w:rsidRPr="003C1E7D" w:rsidRDefault="00E165BF" w:rsidP="00E165BF">
      <w:pPr>
        <w:pStyle w:val="plcountry"/>
        <w:rPr>
          <w:lang w:val="pt-PT"/>
        </w:rPr>
      </w:pPr>
      <w:r w:rsidRPr="003C1E7D">
        <w:rPr>
          <w:lang w:val="pt-PT"/>
        </w:rPr>
        <w:t xml:space="preserve">CANADA / </w:t>
      </w:r>
      <w:r>
        <w:rPr>
          <w:lang w:val="pt-PT"/>
        </w:rPr>
        <w:t xml:space="preserve">canada / </w:t>
      </w:r>
      <w:r w:rsidRPr="003C1E7D">
        <w:rPr>
          <w:lang w:val="pt-PT"/>
        </w:rPr>
        <w:t>CANADÁ</w:t>
      </w:r>
    </w:p>
    <w:p w14:paraId="4D83699A" w14:textId="77777777" w:rsidR="00E165BF" w:rsidRDefault="00E165BF" w:rsidP="00E165BF">
      <w:pPr>
        <w:pStyle w:val="pldetails"/>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D401C9">
        <w:rPr>
          <w:lang w:val="pt-PT"/>
        </w:rPr>
        <w:t>Marc.deWit@Inspection.gc.ca</w:t>
      </w:r>
      <w:r>
        <w:rPr>
          <w:lang w:val="pt-PT"/>
        </w:rPr>
        <w:t>)</w:t>
      </w:r>
    </w:p>
    <w:p w14:paraId="45770B37" w14:textId="77777777" w:rsidR="00E165BF" w:rsidRPr="007E668E" w:rsidRDefault="00E165BF" w:rsidP="00E165BF">
      <w:pPr>
        <w:pStyle w:val="plcountry"/>
        <w:rPr>
          <w:lang w:val="pt-PT"/>
        </w:rPr>
      </w:pPr>
      <w:r w:rsidRPr="007E668E">
        <w:rPr>
          <w:lang w:val="pt-PT"/>
        </w:rPr>
        <w:t>CHILI / CHILE / chile</w:t>
      </w:r>
    </w:p>
    <w:p w14:paraId="02F627C2" w14:textId="77777777" w:rsidR="00E165BF" w:rsidRPr="0098789C" w:rsidRDefault="00E165BF" w:rsidP="00E165BF">
      <w:pPr>
        <w:pStyle w:val="pldetails"/>
      </w:pPr>
      <w:r w:rsidRPr="007E668E">
        <w:t xml:space="preserve">Manuel Antonio TORO UGALDE (Sr.), Jefe Sección, Registro de Variedades Protegidas, Departamento de Semillas y Plantas, Servicio Agrícola y Ganadero (SAG), Santiago de Chile </w:t>
      </w:r>
      <w:r w:rsidRPr="007E668E">
        <w:br/>
        <w:t>(e-mail: manuel.toro@sag.gob.cl)</w:t>
      </w:r>
      <w:r w:rsidRPr="0098789C">
        <w:t xml:space="preserve"> </w:t>
      </w:r>
    </w:p>
    <w:p w14:paraId="385FEABC" w14:textId="77777777" w:rsidR="00E165BF" w:rsidRDefault="00E165BF" w:rsidP="00E165BF">
      <w:pPr>
        <w:pStyle w:val="plcountry"/>
      </w:pPr>
      <w:r w:rsidRPr="0066481F">
        <w:t>CHINE / CHINA / CHINA</w:t>
      </w:r>
    </w:p>
    <w:p w14:paraId="52BCFD0C" w14:textId="77777777" w:rsidR="00E165BF" w:rsidRPr="004417BE" w:rsidRDefault="00E165BF" w:rsidP="00E165BF">
      <w:pPr>
        <w:pStyle w:val="pldetails"/>
        <w:rPr>
          <w:lang w:val="pt-PT"/>
        </w:rPr>
      </w:pPr>
      <w:r w:rsidRPr="004417BE">
        <w:rPr>
          <w:lang w:val="pt-PT"/>
        </w:rPr>
        <w:t>CUI Yehan</w:t>
      </w:r>
      <w:r>
        <w:rPr>
          <w:lang w:val="pt-PT"/>
        </w:rPr>
        <w:t xml:space="preserve"> (Mr.)</w:t>
      </w:r>
      <w:r w:rsidRPr="004417BE">
        <w:rPr>
          <w:lang w:val="pt-PT"/>
        </w:rPr>
        <w:t>, Principal Consultant, Division of Plant Variety Protection, Development Center of Science and Technology (DCST), Ministry of Agriculture and Rural Affairs (MARA), Beijing</w:t>
      </w:r>
      <w:r w:rsidRPr="004417BE">
        <w:rPr>
          <w:lang w:val="pt-PT"/>
        </w:rPr>
        <w:br/>
        <w:t>(e-mail:</w:t>
      </w:r>
      <w:r>
        <w:rPr>
          <w:lang w:val="pt-PT"/>
        </w:rPr>
        <w:t xml:space="preserve"> </w:t>
      </w:r>
      <w:r w:rsidRPr="004417BE">
        <w:rPr>
          <w:lang w:val="pt-PT"/>
        </w:rPr>
        <w:t>cuiyehan@agri.gov.cn</w:t>
      </w:r>
      <w:r>
        <w:rPr>
          <w:lang w:val="pt-PT"/>
        </w:rPr>
        <w:t>)</w:t>
      </w:r>
    </w:p>
    <w:p w14:paraId="3744A288" w14:textId="77777777" w:rsidR="00E165BF" w:rsidRPr="00CC148A" w:rsidRDefault="00E165BF" w:rsidP="00E165BF">
      <w:pPr>
        <w:pStyle w:val="pldetails"/>
        <w:rPr>
          <w:lang w:val="en-US"/>
        </w:rPr>
      </w:pPr>
      <w:r w:rsidRPr="00CC148A">
        <w:rPr>
          <w:lang w:val="en-US"/>
        </w:rPr>
        <w:t>ZHANG Chuanhong (Ms.), Associate Research Professor, Research Institute of Forestry, Chinese Academy of Forestry, Beijing</w:t>
      </w:r>
      <w:r w:rsidRPr="00CC148A">
        <w:rPr>
          <w:lang w:val="en-US"/>
        </w:rPr>
        <w:br/>
        <w:t>(e-mail: zhangch@caf.ac.cn)</w:t>
      </w:r>
    </w:p>
    <w:p w14:paraId="5F1C07D5" w14:textId="77777777" w:rsidR="00E165BF" w:rsidRPr="00CC148A" w:rsidRDefault="00E165BF" w:rsidP="00E165BF">
      <w:pPr>
        <w:pStyle w:val="pldetails"/>
        <w:rPr>
          <w:lang w:val="en-US"/>
        </w:rPr>
      </w:pPr>
      <w:r w:rsidRPr="00CC148A">
        <w:rPr>
          <w:lang w:val="en-US"/>
        </w:rPr>
        <w:t>HOU Yilei (Ms.), Lecturer, Beijing Forestry University, Beijing</w:t>
      </w:r>
      <w:r w:rsidRPr="00CC148A">
        <w:rPr>
          <w:lang w:val="en-US"/>
        </w:rPr>
        <w:br/>
        <w:t xml:space="preserve">(e-mail: houyilei427@163.com) </w:t>
      </w:r>
    </w:p>
    <w:p w14:paraId="51655AB5" w14:textId="77777777" w:rsidR="00E165BF" w:rsidRPr="00CC148A" w:rsidRDefault="00E165BF" w:rsidP="00E165BF">
      <w:pPr>
        <w:pStyle w:val="pldetails"/>
        <w:rPr>
          <w:rFonts w:cs="Arial"/>
          <w:color w:val="000000"/>
          <w:szCs w:val="27"/>
          <w:lang w:val="en-US"/>
        </w:rPr>
      </w:pPr>
      <w:r w:rsidRPr="00CC148A">
        <w:rPr>
          <w:rFonts w:cs="Arial"/>
          <w:color w:val="000000"/>
          <w:lang w:val="en-US"/>
        </w:rPr>
        <w:t xml:space="preserve">DU Yuanyuan (Ms.), Deputy Division Director, Division of Plant Variety Protection, Development Center of Science and Technology (DCST), Ministry of Agriculture and Rural Affairs (MARA), Beijing </w:t>
      </w:r>
      <w:r w:rsidRPr="00CC148A">
        <w:rPr>
          <w:rFonts w:cs="Arial"/>
          <w:color w:val="000000"/>
          <w:lang w:val="en-US"/>
        </w:rPr>
        <w:br/>
        <w:t>(e-mail:</w:t>
      </w:r>
      <w:r w:rsidRPr="00CC148A">
        <w:rPr>
          <w:lang w:val="en-US"/>
        </w:rPr>
        <w:t xml:space="preserve"> </w:t>
      </w:r>
      <w:r w:rsidRPr="00CC148A">
        <w:rPr>
          <w:rFonts w:cs="Arial"/>
          <w:color w:val="000000"/>
          <w:lang w:val="en-US"/>
        </w:rPr>
        <w:t>13501269171@163.com)</w:t>
      </w:r>
    </w:p>
    <w:p w14:paraId="3855B3E9" w14:textId="77777777" w:rsidR="00E165BF" w:rsidRPr="00CC148A" w:rsidRDefault="00E165BF" w:rsidP="00E165BF">
      <w:pPr>
        <w:pStyle w:val="pldetails"/>
        <w:rPr>
          <w:rFonts w:cs="Arial"/>
          <w:color w:val="000000"/>
          <w:sz w:val="24"/>
          <w:szCs w:val="30"/>
          <w:lang w:val="en-US"/>
        </w:rPr>
      </w:pPr>
      <w:r w:rsidRPr="00CC148A">
        <w:rPr>
          <w:rFonts w:cs="Arial"/>
          <w:color w:val="000000"/>
          <w:lang w:val="en-US"/>
        </w:rPr>
        <w:t>LI Judan (Mrs.), Associate Professor, PhD, Institute of Law, Chinese Academy of Social Sciences, Beijing</w:t>
      </w:r>
      <w:r w:rsidRPr="00CC148A">
        <w:rPr>
          <w:rFonts w:cs="Arial"/>
          <w:color w:val="000000"/>
          <w:lang w:val="en-US"/>
        </w:rPr>
        <w:br/>
        <w:t>(e-mail:</w:t>
      </w:r>
      <w:r w:rsidRPr="00CC148A">
        <w:rPr>
          <w:lang w:val="en-US"/>
        </w:rPr>
        <w:t xml:space="preserve"> </w:t>
      </w:r>
      <w:r w:rsidRPr="00CC148A">
        <w:rPr>
          <w:rFonts w:cs="Arial"/>
          <w:color w:val="000000"/>
          <w:lang w:val="en-US"/>
        </w:rPr>
        <w:t>lijudan@cass.org.cn)</w:t>
      </w:r>
    </w:p>
    <w:p w14:paraId="4AE3C989" w14:textId="77777777" w:rsidR="00E165BF" w:rsidRPr="00CC148A" w:rsidRDefault="00E165BF" w:rsidP="00E165BF">
      <w:pPr>
        <w:pStyle w:val="pldetails"/>
        <w:rPr>
          <w:lang w:val="en-US"/>
        </w:rPr>
      </w:pPr>
      <w:r w:rsidRPr="00CC148A">
        <w:rPr>
          <w:lang w:val="en-US"/>
        </w:rPr>
        <w:lastRenderedPageBreak/>
        <w:t xml:space="preserve">YANG Yang (Ms.), Senior Examiner, Division of Plant Variety Protection, Development Center of </w:t>
      </w:r>
      <w:r w:rsidRPr="00CC148A">
        <w:rPr>
          <w:lang w:val="en-US"/>
        </w:rPr>
        <w:br/>
        <w:t xml:space="preserve">Science and Technology (DCST), Ministry of Agriculture and Rural Affairs (MARA), Beijing </w:t>
      </w:r>
      <w:r w:rsidRPr="00CC148A">
        <w:rPr>
          <w:lang w:val="en-US"/>
        </w:rPr>
        <w:br/>
        <w:t>(e-mail: yangyang@agri.gov.cn)</w:t>
      </w:r>
    </w:p>
    <w:p w14:paraId="1FB76915" w14:textId="77777777" w:rsidR="00E165BF" w:rsidRPr="00CC148A" w:rsidRDefault="00E165BF" w:rsidP="00E165BF">
      <w:pPr>
        <w:pStyle w:val="pldetails"/>
        <w:rPr>
          <w:rFonts w:cs="Arial"/>
          <w:color w:val="000000"/>
          <w:sz w:val="24"/>
          <w:szCs w:val="30"/>
          <w:lang w:val="en-US"/>
        </w:rPr>
      </w:pPr>
      <w:r w:rsidRPr="00CC148A">
        <w:rPr>
          <w:rFonts w:cs="Arial"/>
          <w:color w:val="000000"/>
          <w:lang w:val="en-US"/>
        </w:rPr>
        <w:t xml:space="preserve">ZHENG Yongqi (Mr.), Director, Laboratory of Molecular Identification of Plant Varieties, Office of </w:t>
      </w:r>
      <w:r w:rsidRPr="00CC148A">
        <w:rPr>
          <w:rFonts w:cs="Arial"/>
          <w:color w:val="000000"/>
          <w:sz w:val="24"/>
          <w:szCs w:val="30"/>
          <w:lang w:val="en-US"/>
        </w:rPr>
        <w:t xml:space="preserve"> </w:t>
      </w:r>
      <w:r w:rsidRPr="00CC148A">
        <w:rPr>
          <w:rFonts w:cs="Arial"/>
          <w:color w:val="000000"/>
          <w:lang w:val="en-US"/>
        </w:rPr>
        <w:t>Protection of New Varieties of Plants, National Forestry and Grassland Administration of China (NFGA), Beijing</w:t>
      </w:r>
      <w:r w:rsidRPr="00CC148A">
        <w:rPr>
          <w:rFonts w:cs="Arial"/>
          <w:color w:val="000000"/>
          <w:lang w:val="en-US"/>
        </w:rPr>
        <w:br/>
        <w:t>(e-mail:</w:t>
      </w:r>
      <w:r w:rsidRPr="00CC148A">
        <w:rPr>
          <w:lang w:val="en-US"/>
        </w:rPr>
        <w:t xml:space="preserve"> </w:t>
      </w:r>
      <w:r w:rsidRPr="00CC148A">
        <w:rPr>
          <w:rFonts w:cs="Arial"/>
          <w:color w:val="000000"/>
          <w:lang w:val="en-US"/>
        </w:rPr>
        <w:t>zyq8565@126.com)</w:t>
      </w:r>
    </w:p>
    <w:p w14:paraId="5A471C13" w14:textId="77777777" w:rsidR="00E165BF" w:rsidRPr="00CC148A" w:rsidRDefault="00E165BF" w:rsidP="00E165BF">
      <w:pPr>
        <w:pStyle w:val="pldetails"/>
        <w:rPr>
          <w:rFonts w:cs="Arial"/>
          <w:color w:val="000000"/>
          <w:sz w:val="24"/>
          <w:szCs w:val="30"/>
          <w:lang w:val="en-US"/>
        </w:rPr>
      </w:pPr>
      <w:r w:rsidRPr="00CC148A">
        <w:rPr>
          <w:rFonts w:cs="Arial"/>
          <w:color w:val="000000"/>
          <w:lang w:val="en-US"/>
        </w:rPr>
        <w:t>HAN Ruixi (Mr.), Deputy Director, Division of DUS Tests, Development Center of Science and Technology (DCST), Ministry of Agriculture and Rural Affairs (MARA), Beijing</w:t>
      </w:r>
      <w:r w:rsidRPr="00CC148A">
        <w:rPr>
          <w:rFonts w:cs="Arial"/>
          <w:color w:val="000000"/>
          <w:lang w:val="en-US"/>
        </w:rPr>
        <w:br/>
        <w:t>(e-mail:</w:t>
      </w:r>
      <w:r w:rsidRPr="00CC148A">
        <w:rPr>
          <w:lang w:val="en-US"/>
        </w:rPr>
        <w:t xml:space="preserve"> </w:t>
      </w:r>
      <w:r w:rsidRPr="00CC148A">
        <w:rPr>
          <w:rFonts w:cs="Arial"/>
          <w:color w:val="000000"/>
          <w:lang w:val="en-US"/>
        </w:rPr>
        <w:t>wudifeixue007@163.com)</w:t>
      </w:r>
    </w:p>
    <w:p w14:paraId="750CEFBF" w14:textId="77777777" w:rsidR="00E165BF" w:rsidRPr="0066481F" w:rsidRDefault="00E165BF" w:rsidP="00E165BF">
      <w:pPr>
        <w:pStyle w:val="plcountry"/>
        <w:rPr>
          <w:lang w:val="es-ES"/>
        </w:rPr>
      </w:pPr>
      <w:r w:rsidRPr="0066481F">
        <w:rPr>
          <w:lang w:val="es-ES"/>
        </w:rPr>
        <w:t>ESPAGNE / SPAIN / ESPAÑA</w:t>
      </w:r>
    </w:p>
    <w:p w14:paraId="0C567357" w14:textId="77777777" w:rsidR="00E165BF" w:rsidRPr="0066481F" w:rsidRDefault="00E165BF" w:rsidP="00E165BF">
      <w:pPr>
        <w:pStyle w:val="pldetails"/>
      </w:pPr>
      <w:r w:rsidRPr="0066481F">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br/>
        <w:t>(e-mail: nurquia@mapa.es)</w:t>
      </w:r>
    </w:p>
    <w:p w14:paraId="6B939B4F" w14:textId="77777777" w:rsidR="00E165BF" w:rsidRPr="004F0D03" w:rsidRDefault="00E165BF" w:rsidP="00E165BF">
      <w:pPr>
        <w:pStyle w:val="plcountry"/>
      </w:pPr>
      <w:r w:rsidRPr="004F0D03">
        <w:t>ÉTATS-UNIS D'AMÉRIQUE / UNITED STATES OF AMERICA / ESTADOS UNIDOS DE AMÉRICA</w:t>
      </w:r>
    </w:p>
    <w:p w14:paraId="18BA0336" w14:textId="77777777" w:rsidR="00E165BF" w:rsidRPr="00CC148A" w:rsidRDefault="00E165BF" w:rsidP="00E165BF">
      <w:pPr>
        <w:pStyle w:val="pldetails"/>
        <w:rPr>
          <w:lang w:val="en-US"/>
        </w:rPr>
      </w:pPr>
      <w:r w:rsidRPr="00CC148A">
        <w:rPr>
          <w:lang w:val="en-US"/>
        </w:rPr>
        <w:t xml:space="preserve">Kitisri SUKHAPINDA (Ms.), Patent Attorney, Office of Policy and International Affairs (OPIA), U.S. Department of Commerce, Alexandria </w:t>
      </w:r>
      <w:r w:rsidRPr="00CC148A">
        <w:rPr>
          <w:lang w:val="en-US"/>
        </w:rPr>
        <w:br/>
        <w:t>(e-mail: kitisri.sukhapinda@uspto.gov)</w:t>
      </w:r>
    </w:p>
    <w:p w14:paraId="3319FC78" w14:textId="77777777" w:rsidR="00E165BF" w:rsidRPr="00CC148A" w:rsidRDefault="00E165BF" w:rsidP="00E165BF">
      <w:pPr>
        <w:pStyle w:val="pldetails"/>
        <w:rPr>
          <w:lang w:val="en-US"/>
        </w:rPr>
      </w:pPr>
      <w:r w:rsidRPr="00CC148A">
        <w:rPr>
          <w:lang w:val="en-US"/>
        </w:rPr>
        <w:t xml:space="preserve">Nyeemah GRAZIER (Ms.), Patent Attorney, Office of Policy and International Affairs (OPIA), U.S. Department of Commerce, Alexandria </w:t>
      </w:r>
      <w:r w:rsidRPr="00CC148A">
        <w:rPr>
          <w:lang w:val="en-US"/>
        </w:rPr>
        <w:br/>
        <w:t xml:space="preserve">(e-mail: nyeemah.grazier@uspto.gov) </w:t>
      </w:r>
    </w:p>
    <w:p w14:paraId="06F756DF" w14:textId="77777777" w:rsidR="00E165BF" w:rsidRPr="00DF48D9" w:rsidRDefault="00E165BF" w:rsidP="00E165BF">
      <w:pPr>
        <w:pStyle w:val="plcountry"/>
        <w:rPr>
          <w:lang w:val="fr-CH"/>
        </w:rPr>
      </w:pPr>
      <w:r w:rsidRPr="00DF48D9">
        <w:rPr>
          <w:lang w:val="fr-CH"/>
        </w:rPr>
        <w:t>FRANCE / France / FRANCIA</w:t>
      </w:r>
    </w:p>
    <w:p w14:paraId="59CC633B" w14:textId="77777777" w:rsidR="00E165BF" w:rsidRPr="00826F9B" w:rsidRDefault="00E165BF" w:rsidP="00E165BF">
      <w:pPr>
        <w:pStyle w:val="pldetails"/>
        <w:rPr>
          <w:lang w:val="fr-CH"/>
        </w:rPr>
      </w:pPr>
      <w:r w:rsidRPr="0066481F">
        <w:rPr>
          <w:lang w:val="fr-CH"/>
        </w:rPr>
        <w:t xml:space="preserve">Yvane MERESSE (Mme), Responsable INOV, Groupe d’Étude et de Contrôle des Variétés et des Semences (GEVES), Beaucouzé cedex </w:t>
      </w:r>
      <w:r w:rsidRPr="0066481F">
        <w:rPr>
          <w:lang w:val="fr-CH"/>
        </w:rPr>
        <w:br/>
        <w:t>(e-mail: yvane.meresse@geves.fr)</w:t>
      </w:r>
      <w:r w:rsidRPr="00826F9B">
        <w:rPr>
          <w:lang w:val="fr-CH"/>
        </w:rPr>
        <w:t xml:space="preserve"> </w:t>
      </w:r>
    </w:p>
    <w:p w14:paraId="1107AD72" w14:textId="77777777" w:rsidR="00E165BF" w:rsidRPr="003C1E7D" w:rsidRDefault="00E165BF" w:rsidP="00E165BF">
      <w:pPr>
        <w:pStyle w:val="pldetails"/>
        <w:rPr>
          <w:lang w:val="fr-CH"/>
        </w:rPr>
      </w:pPr>
      <w:r w:rsidRPr="003C1E7D">
        <w:rPr>
          <w:lang w:val="fr-CH"/>
        </w:rPr>
        <w:t>Catherine MALATIER (Mme), Assistante INOV, Groupe d’étude et de contrôle des variétés et des semences (GEVES), Beaucouzé cedex</w:t>
      </w:r>
      <w:r>
        <w:rPr>
          <w:lang w:val="fr-CH"/>
        </w:rPr>
        <w:br/>
        <w:t>(e-mail: catherine.malatier@geves.fr)</w:t>
      </w:r>
      <w:r w:rsidRPr="003C1E7D">
        <w:rPr>
          <w:lang w:val="fr-CH"/>
        </w:rPr>
        <w:t xml:space="preserve">  </w:t>
      </w:r>
    </w:p>
    <w:p w14:paraId="6E95AE2D" w14:textId="77777777" w:rsidR="00E165BF" w:rsidRPr="00490653" w:rsidRDefault="00E165BF" w:rsidP="00E165BF">
      <w:pPr>
        <w:pStyle w:val="plcountry"/>
      </w:pPr>
      <w:r w:rsidRPr="00490653">
        <w:t>JAPON / JAPAN / JAPÓN</w:t>
      </w:r>
    </w:p>
    <w:p w14:paraId="7F47E449" w14:textId="77777777" w:rsidR="00E165BF" w:rsidRPr="00CC148A" w:rsidRDefault="00E165BF" w:rsidP="00E165BF">
      <w:pPr>
        <w:pStyle w:val="pldetails"/>
        <w:rPr>
          <w:lang w:val="en-US"/>
        </w:rPr>
      </w:pPr>
      <w:r w:rsidRPr="00CC148A">
        <w:rPr>
          <w:lang w:val="en-US"/>
        </w:rPr>
        <w:t>HAGIWARA Minori (Ms.), Deputy Director, Intellectual Property Division, Export and International Affairs Bureau, Ministry of Agriculture, Forestry and Fisheries (MAFF), Tokyo</w:t>
      </w:r>
      <w:r w:rsidRPr="00CC148A">
        <w:rPr>
          <w:lang w:val="en-US"/>
        </w:rPr>
        <w:br/>
        <w:t xml:space="preserve">(e-mail: minori_hagiwara110@maff.go.jp) </w:t>
      </w:r>
    </w:p>
    <w:p w14:paraId="040DD31D" w14:textId="77777777" w:rsidR="00E165BF" w:rsidRPr="00CC148A" w:rsidRDefault="00E165BF" w:rsidP="00E165BF">
      <w:pPr>
        <w:pStyle w:val="pldetails"/>
        <w:rPr>
          <w:lang w:val="en-US"/>
        </w:rPr>
      </w:pPr>
      <w:r w:rsidRPr="00CC148A">
        <w:rPr>
          <w:lang w:val="en-US"/>
        </w:rPr>
        <w:t>FUJITSUKA Daisuke (Mr.), Technical Official, Intellectual Property Division, Export and International Affairs Bureau, Ministry of Agriculture, Forestry and Fisheries (MAFF), Tokyo</w:t>
      </w:r>
      <w:r w:rsidRPr="00CC148A">
        <w:rPr>
          <w:lang w:val="en-US"/>
        </w:rPr>
        <w:br/>
        <w:t xml:space="preserve">(e-mail: daisuke_fujitsuka080@maff.go.jp) </w:t>
      </w:r>
    </w:p>
    <w:p w14:paraId="2168A620" w14:textId="77777777" w:rsidR="00E165BF" w:rsidRPr="00CC148A" w:rsidRDefault="00E165BF" w:rsidP="00E165BF">
      <w:pPr>
        <w:pStyle w:val="pldetails"/>
        <w:rPr>
          <w:lang w:val="en-US"/>
        </w:rPr>
      </w:pPr>
      <w:r w:rsidRPr="00CC148A">
        <w:rPr>
          <w:lang w:val="en-US"/>
        </w:rPr>
        <w:t>KASHIWAGI Ryusaku (Mr.), Chief Examiner, Plant Variety Protection Office, Intellectual Property Division, Export and International Affairs Bureau, Ministry of Agriculture, Forestry and Fisheries (MAFF), Tokyo</w:t>
      </w:r>
      <w:r w:rsidRPr="00CC148A">
        <w:rPr>
          <w:lang w:val="en-US"/>
        </w:rPr>
        <w:br/>
        <w:t xml:space="preserve">(e-mail: ryusaku_kashiwagi840@maff.go.jp) </w:t>
      </w:r>
    </w:p>
    <w:p w14:paraId="46B9E201" w14:textId="77777777" w:rsidR="00E165BF" w:rsidRPr="00CC148A" w:rsidRDefault="00E165BF" w:rsidP="00E165BF">
      <w:pPr>
        <w:pStyle w:val="pldetails"/>
        <w:rPr>
          <w:lang w:val="en-US"/>
        </w:rPr>
      </w:pPr>
      <w:r w:rsidRPr="00CC148A">
        <w:rPr>
          <w:lang w:val="en-US"/>
        </w:rPr>
        <w:t xml:space="preserve">KOSAKADA Takashi (Mr.), Director, Intellectual Property Division, Export and International Bureau, Ministry of Agriculture, Forestry and Fisheries (MAFF), Tokyo </w:t>
      </w:r>
      <w:r w:rsidRPr="00CC148A">
        <w:rPr>
          <w:lang w:val="en-US"/>
        </w:rPr>
        <w:br/>
        <w:t>(e-mail: takashi_kosakada040@maff.go.jp)</w:t>
      </w:r>
    </w:p>
    <w:p w14:paraId="64202C09" w14:textId="77777777" w:rsidR="00E165BF" w:rsidRPr="00CC148A" w:rsidRDefault="00E165BF" w:rsidP="00E165BF">
      <w:pPr>
        <w:pStyle w:val="pldetails"/>
        <w:rPr>
          <w:lang w:val="en-US"/>
        </w:rPr>
      </w:pPr>
      <w:r w:rsidRPr="00CC148A">
        <w:rPr>
          <w:lang w:val="en-US"/>
        </w:rPr>
        <w:t>MIURA Aya (Ms.), Principal Examiner, Plant Variety Protection Office, Intellectual Property Division, Food Industry Affairs Bureau, Ministry of Agriculture, Forestry and Fisheries, Tokyo</w:t>
      </w:r>
      <w:r w:rsidRPr="00CC148A">
        <w:rPr>
          <w:lang w:val="en-US"/>
        </w:rPr>
        <w:br/>
        <w:t xml:space="preserve">(e-mail: aya_miura660@maff.go.jp) </w:t>
      </w:r>
    </w:p>
    <w:p w14:paraId="41462FC8" w14:textId="77777777" w:rsidR="00E165BF" w:rsidRPr="00CC148A" w:rsidRDefault="00E165BF" w:rsidP="00E165BF">
      <w:pPr>
        <w:pStyle w:val="pldetails"/>
        <w:rPr>
          <w:lang w:val="en-US"/>
        </w:rPr>
      </w:pPr>
      <w:r w:rsidRPr="00CC148A">
        <w:rPr>
          <w:lang w:val="en-US"/>
        </w:rPr>
        <w:t>OHNO Yoshiyuki (Mr.), Examiner, Intellectual Property Division , Export and International Affairs Bureau, Ministry of Agriculture, Forestry and Fisheries (MAFF), Tokyo</w:t>
      </w:r>
      <w:r w:rsidRPr="00CC148A">
        <w:rPr>
          <w:lang w:val="en-US"/>
        </w:rPr>
        <w:br/>
        <w:t>(e-mail: yoshiyuki_ono300@maff.go.jp)</w:t>
      </w:r>
    </w:p>
    <w:p w14:paraId="3CA3F5AE" w14:textId="77777777" w:rsidR="00E165BF" w:rsidRPr="00CC148A" w:rsidRDefault="00E165BF" w:rsidP="00E165BF">
      <w:pPr>
        <w:pStyle w:val="pldetails"/>
        <w:rPr>
          <w:lang w:val="en-US"/>
        </w:rPr>
      </w:pPr>
      <w:r w:rsidRPr="00CC148A">
        <w:rPr>
          <w:lang w:val="en-US"/>
        </w:rPr>
        <w:t>SHIOTA Haruka (Mr.), Deputy Director for International Affairs, Intellectual Property Division, Export and International Affairs Bureau, Ministry of Agriculture, Forestry and Fisheries (MAFF), Tokyo</w:t>
      </w:r>
      <w:r w:rsidRPr="00CC148A">
        <w:rPr>
          <w:lang w:val="en-US"/>
        </w:rPr>
        <w:br/>
        <w:t>(e-mail: haruka_shiota160@maff.go.jp)</w:t>
      </w:r>
    </w:p>
    <w:p w14:paraId="7914EEDF" w14:textId="77777777" w:rsidR="00E165BF" w:rsidRPr="003C1E7D" w:rsidRDefault="00E165BF" w:rsidP="00E165BF">
      <w:pPr>
        <w:pStyle w:val="plcountry"/>
      </w:pPr>
      <w:r w:rsidRPr="003C1E7D">
        <w:lastRenderedPageBreak/>
        <w:t>KENYA / KENYA</w:t>
      </w:r>
      <w:r>
        <w:t xml:space="preserve"> / kenia</w:t>
      </w:r>
    </w:p>
    <w:p w14:paraId="331CD8F9" w14:textId="77777777" w:rsidR="00E165BF" w:rsidRPr="00CC148A" w:rsidRDefault="00E165BF" w:rsidP="00E165BF">
      <w:pPr>
        <w:pStyle w:val="pldetails"/>
        <w:rPr>
          <w:lang w:val="en-US"/>
        </w:rPr>
      </w:pPr>
      <w:r w:rsidRPr="00CC148A">
        <w:rPr>
          <w:lang w:val="en-US"/>
        </w:rPr>
        <w:t xml:space="preserve">Simon Mucheru MAINA (Mr.), Head, Seed Certification and Plant Variety Protection, Kenya Plant Health Inspectorate Service (KEPHIS), Nairobi </w:t>
      </w:r>
      <w:r w:rsidRPr="00CC148A">
        <w:rPr>
          <w:lang w:val="en-US"/>
        </w:rPr>
        <w:br/>
        <w:t>(e-mail: smaina@kephis.org)</w:t>
      </w:r>
    </w:p>
    <w:p w14:paraId="74BC9AF3" w14:textId="77777777" w:rsidR="00E165BF" w:rsidRPr="00CC148A" w:rsidRDefault="00E165BF" w:rsidP="00E165BF">
      <w:pPr>
        <w:pStyle w:val="pldetails"/>
        <w:rPr>
          <w:lang w:val="en-US"/>
        </w:rPr>
      </w:pPr>
      <w:r w:rsidRPr="00CC148A">
        <w:rPr>
          <w:lang w:val="en-US"/>
        </w:rPr>
        <w:t xml:space="preserve">Gentrix Nasimiyu JUMA (Ms.), Chief Plant Examiner, Kenya Plant Health Inspectorate Service (KEPHIS), Nairobi </w:t>
      </w:r>
      <w:r w:rsidRPr="00CC148A">
        <w:rPr>
          <w:lang w:val="en-US"/>
        </w:rPr>
        <w:br/>
        <w:t>(e-mail: gjuma@kephis.org)</w:t>
      </w:r>
    </w:p>
    <w:p w14:paraId="02915BF6" w14:textId="77777777" w:rsidR="00E165BF" w:rsidRPr="00CC148A" w:rsidRDefault="00E165BF" w:rsidP="00E165BF">
      <w:pPr>
        <w:pStyle w:val="pldetails"/>
        <w:rPr>
          <w:lang w:val="en-US"/>
        </w:rPr>
      </w:pPr>
      <w:r w:rsidRPr="00CC148A">
        <w:rPr>
          <w:lang w:val="en-US"/>
        </w:rPr>
        <w:t>Luca's SUVA (Mr.), Senior Plant Examiner, Ministry of Agriculture, Nairobi</w:t>
      </w:r>
      <w:r w:rsidRPr="00CC148A">
        <w:rPr>
          <w:lang w:val="en-US"/>
        </w:rPr>
        <w:br/>
        <w:t>(e-mail: lsuva@kephis.org)</w:t>
      </w:r>
    </w:p>
    <w:p w14:paraId="1D818D43" w14:textId="77777777" w:rsidR="00E165BF" w:rsidRPr="00CC148A" w:rsidRDefault="00E165BF" w:rsidP="00E165BF">
      <w:pPr>
        <w:pStyle w:val="plcountry"/>
      </w:pPr>
      <w:r w:rsidRPr="00CC148A">
        <w:t>NOUVELLE-ZÉLANDE / NEW ZEALAND / NUEVA ZELANDIA</w:t>
      </w:r>
    </w:p>
    <w:p w14:paraId="0E151338" w14:textId="77777777" w:rsidR="00E165BF" w:rsidRPr="00CC148A" w:rsidRDefault="00E165BF" w:rsidP="00E165BF">
      <w:pPr>
        <w:pStyle w:val="pldetails"/>
        <w:rPr>
          <w:lang w:val="en-US"/>
        </w:rPr>
      </w:pPr>
      <w:r w:rsidRPr="00CC148A">
        <w:rPr>
          <w:lang w:val="en-US"/>
        </w:rPr>
        <w:t>Christopher James BARNABY (Mr.), PVR Manager / Assistant Commissioner, Plant Variety Rights Office,</w:t>
      </w:r>
      <w:r w:rsidRPr="00CC148A">
        <w:rPr>
          <w:lang w:val="en-US"/>
        </w:rPr>
        <w:br/>
        <w:t>Intellectual Property Office of New Zealand, Ministry of Business, Innovation and Employment, Christchurch</w:t>
      </w:r>
      <w:r w:rsidRPr="00CC148A">
        <w:rPr>
          <w:lang w:val="en-US"/>
        </w:rPr>
        <w:br/>
        <w:t>(e-mail: Chris.Barnaby@pvr.govt.nz)</w:t>
      </w:r>
    </w:p>
    <w:p w14:paraId="598F0796" w14:textId="77777777" w:rsidR="00E165BF" w:rsidRPr="00CC148A" w:rsidRDefault="00E165BF" w:rsidP="00E165BF">
      <w:pPr>
        <w:pStyle w:val="pldetails"/>
        <w:rPr>
          <w:lang w:val="en-US"/>
        </w:rPr>
      </w:pPr>
      <w:r w:rsidRPr="00CC148A">
        <w:rPr>
          <w:lang w:val="en-US"/>
        </w:rPr>
        <w:t>Cecilia REQUEJO-JACKMAN (Ms.), Senior Plant Variety Rights Examiner, Plant Variety Rights Office, Intellectual Property Office of New Zealand, Intellectual Property Office of New Zealand, Plant Variety Rights, Ministry of Economic Development, Wellington</w:t>
      </w:r>
      <w:r w:rsidRPr="00CC148A">
        <w:rPr>
          <w:lang w:val="en-US"/>
        </w:rPr>
        <w:br/>
        <w:t xml:space="preserve">(e-mail: cecilia.r-jackman@pvr.govt.nz) </w:t>
      </w:r>
    </w:p>
    <w:p w14:paraId="5F22E0D4" w14:textId="77777777" w:rsidR="00E165BF" w:rsidRPr="00261AAE" w:rsidRDefault="00E165BF" w:rsidP="00E165BF">
      <w:pPr>
        <w:pStyle w:val="plcountry"/>
      </w:pPr>
      <w:r w:rsidRPr="00261AAE">
        <w:t>PAYS-BAS / NETHERLANDS / PAÍSES BAJOS</w:t>
      </w:r>
    </w:p>
    <w:p w14:paraId="58180EF7" w14:textId="77777777" w:rsidR="00E165BF" w:rsidRPr="00CC148A" w:rsidRDefault="00E165BF" w:rsidP="00E165BF">
      <w:pPr>
        <w:pStyle w:val="pldetails"/>
        <w:rPr>
          <w:lang w:val="en-US"/>
        </w:rPr>
      </w:pPr>
      <w:r w:rsidRPr="00CC148A">
        <w:rPr>
          <w:lang w:val="en-US"/>
        </w:rPr>
        <w:t xml:space="preserve">Marien VALSTAR (Mr.), Senior Policy Officer, Seeds and Plant Propagation Material, DG Agro, Ministry of Agriculture, Nature and Food Quality, The Hague </w:t>
      </w:r>
      <w:r w:rsidRPr="00CC148A">
        <w:rPr>
          <w:lang w:val="en-US"/>
        </w:rPr>
        <w:br/>
        <w:t xml:space="preserve">(e-mail: m.valstar@minlnv.nl) </w:t>
      </w:r>
    </w:p>
    <w:p w14:paraId="2E02ED6D" w14:textId="77777777" w:rsidR="00E165BF" w:rsidRPr="00CC148A" w:rsidRDefault="00E165BF" w:rsidP="00E165BF">
      <w:pPr>
        <w:pStyle w:val="pldetails"/>
        <w:rPr>
          <w:lang w:val="en-US"/>
        </w:rPr>
      </w:pPr>
      <w:r w:rsidRPr="00CC148A">
        <w:rPr>
          <w:lang w:val="en-US"/>
        </w:rPr>
        <w:t xml:space="preserve">Kees Jan GROENEWOUD (Mr.), Secretary, Dutch Board for Plant Varieties (Raad voor Plantenrassen), Roelofarendsveen </w:t>
      </w:r>
      <w:r w:rsidRPr="00CC148A">
        <w:rPr>
          <w:lang w:val="en-US"/>
        </w:rPr>
        <w:br/>
        <w:t>(e-mail: c.j.a.groenewoud@raadvoorplantenrassen.nl)</w:t>
      </w:r>
    </w:p>
    <w:p w14:paraId="415B4451" w14:textId="77777777" w:rsidR="00E165BF" w:rsidRPr="004F0D03" w:rsidRDefault="00E165BF" w:rsidP="00E165BF">
      <w:pPr>
        <w:pStyle w:val="plcountry"/>
      </w:pPr>
      <w:r w:rsidRPr="004F0D03">
        <w:t>RÉPUBLIQUE DE CORÉE / REPUBLIC of korea / REPÚBLICA de corea</w:t>
      </w:r>
    </w:p>
    <w:p w14:paraId="6558A978" w14:textId="77777777" w:rsidR="00E165BF" w:rsidRPr="00275157" w:rsidRDefault="00E165BF" w:rsidP="00E165BF">
      <w:pPr>
        <w:pStyle w:val="pldetails"/>
      </w:pPr>
      <w:r w:rsidRPr="00275157">
        <w:t xml:space="preserve">ChanWoong PARK (Mr.), Deputy Director/Examiner, International Cooperation Division, Korea Seed and Variety Service (KSVS), Gimcheon City </w:t>
      </w:r>
      <w:r w:rsidRPr="00275157">
        <w:br/>
        <w:t>(e-mail: chwopark@korea.kr)</w:t>
      </w:r>
    </w:p>
    <w:p w14:paraId="156A5CD4" w14:textId="77777777" w:rsidR="00E165BF" w:rsidRPr="00275157" w:rsidRDefault="00E165BF" w:rsidP="00E165BF">
      <w:pPr>
        <w:pStyle w:val="pldetails"/>
      </w:pPr>
      <w:r w:rsidRPr="00275157">
        <w:t xml:space="preserve">Kwanghong LEE (Mr.), DUS Examiner, Korea Seed and Variety Service (KSVS), Gyeongsangbuk-do </w:t>
      </w:r>
      <w:r w:rsidRPr="00275157">
        <w:br/>
        <w:t xml:space="preserve">(e-mail: grin@korea.kr) </w:t>
      </w:r>
    </w:p>
    <w:p w14:paraId="2C77EAA3" w14:textId="77777777" w:rsidR="00E165BF" w:rsidRPr="001C465D" w:rsidRDefault="00E165BF" w:rsidP="00E165BF">
      <w:pPr>
        <w:pStyle w:val="pldetails"/>
      </w:pPr>
      <w:r w:rsidRPr="003C1E7D">
        <w:t>Eun Hee JEON (Ms.), DUS Examiner, Gyeongnam Branch Office, Korea Seed &amp; Variety Service (KSVS), Jeju-do</w:t>
      </w:r>
      <w:r>
        <w:br/>
        <w:t xml:space="preserve">(e-mail: </w:t>
      </w:r>
      <w:r w:rsidRPr="001C465D">
        <w:t>ehjeon@korea.kr</w:t>
      </w:r>
      <w:r>
        <w:t>)</w:t>
      </w:r>
      <w:r w:rsidRPr="003C1E7D">
        <w:t xml:space="preserve"> </w:t>
      </w:r>
    </w:p>
    <w:p w14:paraId="0F713CD8" w14:textId="77777777" w:rsidR="00E165BF" w:rsidRPr="008A1C59" w:rsidRDefault="00E165BF" w:rsidP="00E165BF">
      <w:pPr>
        <w:pStyle w:val="plcountry"/>
        <w:rPr>
          <w:lang w:val="fr-CH"/>
        </w:rPr>
      </w:pPr>
      <w:r w:rsidRPr="008A1C59">
        <w:rPr>
          <w:lang w:val="fr-CH"/>
        </w:rPr>
        <w:t>RÉPUBLIQUE TCHÈQUE / CZECH REPUBLIC / REPÚBLICA CHECA</w:t>
      </w:r>
    </w:p>
    <w:p w14:paraId="0637E4D7" w14:textId="77777777" w:rsidR="00E165BF" w:rsidRPr="008A1C59" w:rsidRDefault="00E165BF" w:rsidP="00E165BF">
      <w:pPr>
        <w:pStyle w:val="pldetails"/>
      </w:pPr>
      <w:r w:rsidRPr="008A1C59">
        <w:t>Pavla BÍMOVÁ (Ms.), DUS Expert and Metheodology Specialist, National Plant Variety Office, Central Institute for Supervising and Testing in Agriculture (UKZUZ), Brno</w:t>
      </w:r>
      <w:r w:rsidRPr="008A1C59">
        <w:br/>
        <w:t>(e-mail: pavla.bimova@ukzuz.cz)</w:t>
      </w:r>
    </w:p>
    <w:p w14:paraId="2952D2B1" w14:textId="77777777" w:rsidR="00E165BF" w:rsidRPr="008A1C59" w:rsidRDefault="00E165BF" w:rsidP="00E165BF">
      <w:pPr>
        <w:pStyle w:val="pldetails"/>
      </w:pPr>
      <w:r w:rsidRPr="008A1C59">
        <w:t xml:space="preserve">Lenka CLOWEZOVÁ (Ms.), Agricultural Commodities Departement, Ministry of Agriculture, Praha </w:t>
      </w:r>
      <w:r w:rsidRPr="008A1C59">
        <w:br/>
        <w:t xml:space="preserve">(e-mail: lenka.clowezova@mze.cz) </w:t>
      </w:r>
    </w:p>
    <w:p w14:paraId="696987D2" w14:textId="77777777" w:rsidR="00E165BF" w:rsidRDefault="00E165BF" w:rsidP="00E165BF">
      <w:pPr>
        <w:pStyle w:val="pldetails"/>
      </w:pPr>
      <w:r w:rsidRPr="008A1C59">
        <w:t xml:space="preserve">Andrea POVOLNÁ (Ms.), Head of DUS Department, National Plant Variety Office, Central Institute for Supervising and Testing in Agriculture (UKZUZ), Brno </w:t>
      </w:r>
      <w:r w:rsidRPr="008A1C59">
        <w:br/>
        <w:t>(e-mail: andrea.povolna@ukzuz.cz)</w:t>
      </w:r>
      <w:r>
        <w:t xml:space="preserve"> </w:t>
      </w:r>
    </w:p>
    <w:p w14:paraId="108C73FC" w14:textId="77777777" w:rsidR="00E165BF" w:rsidRDefault="00E165BF" w:rsidP="00E165BF">
      <w:pPr>
        <w:pStyle w:val="pldetails"/>
      </w:pPr>
      <w:r w:rsidRPr="00B81F31">
        <w:rPr>
          <w:rFonts w:ascii="Helvetica" w:hAnsi="Helvetica" w:cs="Helvetica"/>
          <w:sz w:val="21"/>
          <w:szCs w:val="21"/>
          <w:shd w:val="clear" w:color="auto" w:fill="FFFFFF"/>
        </w:rPr>
        <w:t>Lenka LEFNEROVÁ</w:t>
      </w:r>
      <w:r>
        <w:rPr>
          <w:rFonts w:ascii="Helvetica" w:hAnsi="Helvetica" w:cs="Helvetica"/>
          <w:sz w:val="21"/>
          <w:szCs w:val="21"/>
          <w:shd w:val="clear" w:color="auto" w:fill="FFFFFF"/>
        </w:rPr>
        <w:t xml:space="preserve"> (Ms.)</w:t>
      </w:r>
      <w:r>
        <w:t xml:space="preserve">, Head of </w:t>
      </w:r>
      <w:r>
        <w:rPr>
          <w:rFonts w:ascii="Helvetica" w:hAnsi="Helvetica" w:cs="Helvetica"/>
          <w:color w:val="232333"/>
          <w:sz w:val="21"/>
          <w:szCs w:val="21"/>
          <w:shd w:val="clear" w:color="auto" w:fill="FFFFFF"/>
        </w:rPr>
        <w:t>DUS Department, National Plant Variety Office, Central Institute for Supervising and Testing Agriculture (UKZUZ),</w:t>
      </w:r>
      <w:r>
        <w:t xml:space="preserve"> Brno</w:t>
      </w:r>
      <w:r>
        <w:br/>
        <w:t xml:space="preserve">(e-mail: </w:t>
      </w:r>
      <w:r w:rsidRPr="00F754DF">
        <w:t>lenka.lefnerova@ukzuz.cz</w:t>
      </w:r>
      <w:r>
        <w:t xml:space="preserve">) </w:t>
      </w:r>
    </w:p>
    <w:p w14:paraId="774A4536" w14:textId="77777777" w:rsidR="00E165BF" w:rsidRPr="008A1C59" w:rsidRDefault="00E165BF" w:rsidP="00E165BF">
      <w:pPr>
        <w:pStyle w:val="plcountry"/>
        <w:ind w:right="-284"/>
        <w:rPr>
          <w:lang w:val="es-ES"/>
        </w:rPr>
      </w:pPr>
      <w:r w:rsidRPr="008A1C59">
        <w:rPr>
          <w:lang w:val="es-ES"/>
        </w:rPr>
        <w:t>RÉPUBLIQUE-UNIE DE TANZANIE / UNITED REPUBLIC OF TANZANIA / REPÚBLICA UNIDA DE TANZANÍA</w:t>
      </w:r>
    </w:p>
    <w:p w14:paraId="774E316F" w14:textId="77777777" w:rsidR="00E165BF" w:rsidRPr="001C465D" w:rsidRDefault="00E165BF" w:rsidP="00E165BF">
      <w:pPr>
        <w:pStyle w:val="pldetails"/>
      </w:pPr>
      <w:r w:rsidRPr="008A1C59">
        <w:t xml:space="preserve">Twalib Mustafa NJOHOLE (Mr.), Registrar of Plant Breeders' Rights, Ministry of Agriculture (MoA), Dodoma </w:t>
      </w:r>
      <w:r w:rsidRPr="001C465D">
        <w:br/>
        <w:t>(e-mail: twalibnjohole8@gmail.com)</w:t>
      </w:r>
    </w:p>
    <w:p w14:paraId="0DCB633E" w14:textId="77777777" w:rsidR="00E165BF" w:rsidRPr="00490653" w:rsidRDefault="00E165BF" w:rsidP="00E165BF">
      <w:pPr>
        <w:pStyle w:val="plcountry"/>
      </w:pPr>
      <w:r w:rsidRPr="00490653">
        <w:t>ROUMANIE / ROMANIA / RUMANIA</w:t>
      </w:r>
    </w:p>
    <w:p w14:paraId="4EAAF500" w14:textId="77777777" w:rsidR="00E165BF" w:rsidRPr="008A1C59" w:rsidRDefault="00E165BF" w:rsidP="00E165BF">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14:paraId="0F85D2AD" w14:textId="77777777" w:rsidR="00E165BF" w:rsidRPr="00120E85" w:rsidRDefault="00E165BF" w:rsidP="00E165BF">
      <w:pPr>
        <w:pStyle w:val="plcountry"/>
      </w:pPr>
      <w:r>
        <w:lastRenderedPageBreak/>
        <w:t>ROYAUME-UNI / UNITED KINGDOM / reino unido</w:t>
      </w:r>
    </w:p>
    <w:p w14:paraId="1BEFE9E0" w14:textId="77777777" w:rsidR="00E165BF" w:rsidRPr="0066481F" w:rsidRDefault="00E165BF" w:rsidP="00E165BF">
      <w:pPr>
        <w:pStyle w:val="pldetails"/>
      </w:pPr>
      <w:r w:rsidRPr="0066481F">
        <w:t xml:space="preserve">Sigurd RAMANS-HARBOROUGH (Mr.), Department for Environment, Food and Rural Affairs (DEFRA), Cambridge </w:t>
      </w:r>
      <w:r w:rsidRPr="0066481F">
        <w:br/>
        <w:t xml:space="preserve">(e-mail: Sigurd.Ramans-Harborough@defra.gov.uk) </w:t>
      </w:r>
    </w:p>
    <w:p w14:paraId="5DEC0499" w14:textId="77777777" w:rsidR="00E165BF" w:rsidRPr="00F34159" w:rsidRDefault="00E165BF" w:rsidP="00E165BF">
      <w:pPr>
        <w:pStyle w:val="plcountry"/>
      </w:pPr>
      <w:r w:rsidRPr="00F34159">
        <w:t>UNION EUROPÉENNE / EUROPEAN UNION / UNIÓN EUROPEA</w:t>
      </w:r>
    </w:p>
    <w:p w14:paraId="427953B3" w14:textId="77777777" w:rsidR="00E165BF" w:rsidRPr="0066481F" w:rsidRDefault="00E165BF" w:rsidP="00E165BF">
      <w:pPr>
        <w:pStyle w:val="pldetails"/>
      </w:pPr>
      <w:r w:rsidRPr="0066481F">
        <w:t xml:space="preserve">Päivi MANNERKORPI (Ms.), Team Leader - Plant Reproductive Material, Unit G1 Plant Health, Directorate General for Health and Food Safety (DG SANTE), European Commission, Brussels </w:t>
      </w:r>
      <w:r w:rsidRPr="0066481F">
        <w:br/>
        <w:t xml:space="preserve">(e-mail: paivi.mannerkorpi@ec.europa.eu) </w:t>
      </w:r>
    </w:p>
    <w:p w14:paraId="438CC601" w14:textId="77777777" w:rsidR="00E165BF" w:rsidRPr="0066481F" w:rsidRDefault="00E165BF" w:rsidP="00E165BF">
      <w:pPr>
        <w:pStyle w:val="pldetails"/>
      </w:pPr>
      <w:r w:rsidRPr="0066481F">
        <w:t xml:space="preserve">Dirk THEOBALD (Mr.), Senior Adviser, Community Plant Variety Office (CPVO), Angers </w:t>
      </w:r>
      <w:r w:rsidRPr="0066481F">
        <w:br/>
        <w:t xml:space="preserve">(e-mail: theobald@cpvo.europa.eu) </w:t>
      </w:r>
    </w:p>
    <w:p w14:paraId="0A94F540" w14:textId="77777777" w:rsidR="00E165BF" w:rsidRPr="00120E85" w:rsidRDefault="00E165BF" w:rsidP="00E165BF">
      <w:pPr>
        <w:pStyle w:val="pldetails"/>
      </w:pPr>
      <w:r w:rsidRPr="0066481F">
        <w:t>Ángela MARTÍNEZ LÓPEZ (Ms.), Legal Office</w:t>
      </w:r>
      <w:r>
        <w:t>r</w:t>
      </w:r>
      <w:r w:rsidRPr="0066481F">
        <w:t xml:space="preserve">, Community Plant Variety Office (CPVO), Angers </w:t>
      </w:r>
      <w:r w:rsidRPr="0066481F">
        <w:br/>
        <w:t>(e-mail: martinez-lopez@cpvo.europa.eu)</w:t>
      </w:r>
      <w:r>
        <w:t xml:space="preserve"> </w:t>
      </w:r>
    </w:p>
    <w:p w14:paraId="0F914669" w14:textId="77777777" w:rsidR="00E165BF" w:rsidRPr="00490653" w:rsidRDefault="00E165BF" w:rsidP="00E165BF">
      <w:pPr>
        <w:pStyle w:val="plheading"/>
      </w:pPr>
      <w:r w:rsidRPr="00490653">
        <w:t>II. ORGANISATIONS / ORGANIZATIONS / ORGANIZACIONES</w:t>
      </w:r>
    </w:p>
    <w:p w14:paraId="5346D96C" w14:textId="77777777" w:rsidR="00E165BF" w:rsidRPr="008A1C59" w:rsidRDefault="00E165BF" w:rsidP="00E165BF">
      <w:pPr>
        <w:pStyle w:val="plcountry"/>
      </w:pPr>
      <w:r w:rsidRPr="008A1C59">
        <w:t>AFRICAN SEED TRADE ASSOCIATION</w:t>
      </w:r>
      <w:r>
        <w:t xml:space="preserve"> (afsta)</w:t>
      </w:r>
    </w:p>
    <w:p w14:paraId="600FF5AD" w14:textId="77777777" w:rsidR="00E165BF" w:rsidRDefault="00E165BF" w:rsidP="00E165BF">
      <w:pPr>
        <w:pStyle w:val="pldetails"/>
      </w:pPr>
      <w:r w:rsidRPr="00CC2C8B">
        <w:t>Justin J. RAKOTOARISAONA</w:t>
      </w:r>
      <w:r>
        <w:t xml:space="preserve"> (Mr.)</w:t>
      </w:r>
      <w:r w:rsidRPr="00CC2C8B">
        <w:t xml:space="preserve">, Secretary General, African Seed Trade Association (AFSTA), Nairobi, Kenya </w:t>
      </w:r>
      <w:r>
        <w:br/>
        <w:t xml:space="preserve">(e-mail: </w:t>
      </w:r>
      <w:r w:rsidRPr="00490653">
        <w:t>justin@afsta.org</w:t>
      </w:r>
      <w:r>
        <w:t>)</w:t>
      </w:r>
    </w:p>
    <w:p w14:paraId="5F50C7D6" w14:textId="77777777" w:rsidR="00E165BF" w:rsidRPr="00CB61E9" w:rsidRDefault="00E165BF" w:rsidP="00E165BF">
      <w:pPr>
        <w:pStyle w:val="plcountry"/>
      </w:pPr>
      <w:r w:rsidRPr="00CB61E9">
        <w:t>ASSOCIATION FOR PLANT BREEDING FOR THE BENEFIT OF SOCIETY</w:t>
      </w:r>
      <w:r>
        <w:t xml:space="preserve"> (APBREBES)</w:t>
      </w:r>
    </w:p>
    <w:p w14:paraId="390F3C5A" w14:textId="77777777" w:rsidR="00E165BF" w:rsidRPr="00490653" w:rsidRDefault="00E165BF" w:rsidP="00E165BF">
      <w:pPr>
        <w:pStyle w:val="pldetails"/>
      </w:pPr>
      <w:r w:rsidRPr="0066481F">
        <w:t>François MEIENBERG (Mr.), Coordinator, Association for Plant Breeding for the Benefit of Society (APBREBES), Zürich, Switzerland</w:t>
      </w:r>
      <w:r>
        <w:br/>
        <w:t>(e-mail: contact@apbrebes.org)</w:t>
      </w:r>
    </w:p>
    <w:p w14:paraId="188B19D8" w14:textId="77777777" w:rsidR="00E165BF" w:rsidRPr="00490653" w:rsidRDefault="00E165BF" w:rsidP="00E165BF">
      <w:pPr>
        <w:pStyle w:val="plcountry"/>
      </w:pPr>
      <w:r w:rsidRPr="00490653">
        <w:t xml:space="preserve">ASSOCIATION INTERNATIONALE DES PRODUCTEURS HORTICOLES (AIPH) / </w:t>
      </w:r>
      <w:r w:rsidRPr="00490653">
        <w:br/>
        <w:t xml:space="preserve">INTERNATIONAL ASSOCIATION OF HORTICULTURAL PRODUCERS (AIPH) / </w:t>
      </w:r>
      <w:r w:rsidRPr="00490653">
        <w:br/>
        <w:t>Asociación Internacional de Productores Hortícolas (AIPH)</w:t>
      </w:r>
    </w:p>
    <w:p w14:paraId="2B6B4272" w14:textId="77777777" w:rsidR="00E165BF" w:rsidRPr="00CB61E9" w:rsidRDefault="00E165BF" w:rsidP="00E165BF">
      <w:pPr>
        <w:pStyle w:val="pldetails"/>
      </w:pPr>
      <w:r w:rsidRPr="0066481F">
        <w:t>Mia HOPPERUS BUMA (Ms.), Secretary, Committee for Novelty Protection, International Association of Horticultural Producers (AIPH), Oxfordshire, United Kingdom</w:t>
      </w:r>
      <w:r w:rsidRPr="0066481F">
        <w:br/>
        <w:t>(e-mail: info@miabuma.nl)</w:t>
      </w:r>
      <w:r w:rsidRPr="00CB61E9">
        <w:t xml:space="preserve"> </w:t>
      </w:r>
    </w:p>
    <w:p w14:paraId="4CE0D41F" w14:textId="77777777" w:rsidR="00E165BF" w:rsidRPr="004F0D03" w:rsidRDefault="00E165BF" w:rsidP="00E165BF">
      <w:pPr>
        <w:pStyle w:val="plcountry"/>
        <w:ind w:right="-284"/>
      </w:pPr>
      <w:r w:rsidRPr="004F0D03">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683698C1" w14:textId="77777777" w:rsidR="00E165BF" w:rsidRPr="0066481F" w:rsidRDefault="00E165BF" w:rsidP="00E165BF">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14:paraId="118F08BF" w14:textId="77777777" w:rsidR="00E165BF" w:rsidRDefault="00E165BF" w:rsidP="00E165BF">
      <w:pPr>
        <w:pStyle w:val="pldetails"/>
      </w:pPr>
      <w:r w:rsidRPr="00D40BEB">
        <w:t>Judith DE ROOS-BLOKLAND (Ms.), Legal Counsel, Regulatory and Legal Affairs, Plantum NL, Gouda, Pays-Bas</w:t>
      </w:r>
      <w:r>
        <w:br/>
        <w:t>(e-mail:</w:t>
      </w:r>
      <w:r w:rsidRPr="001C465D">
        <w:t xml:space="preserve"> J.deRoos@aomb.nl</w:t>
      </w:r>
      <w:r>
        <w:t>)</w:t>
      </w:r>
      <w:r w:rsidRPr="00D40BEB">
        <w:t xml:space="preserve"> </w:t>
      </w:r>
    </w:p>
    <w:p w14:paraId="374F38B1" w14:textId="77777777" w:rsidR="00E165BF" w:rsidRPr="00D401C9" w:rsidRDefault="00E165BF" w:rsidP="00E165BF">
      <w:pPr>
        <w:pStyle w:val="pldetails"/>
        <w:rPr>
          <w:lang w:val="de-DE"/>
        </w:rPr>
      </w:pPr>
      <w:r w:rsidRPr="007E668E">
        <w:rPr>
          <w:lang w:val="de-DE"/>
        </w:rPr>
        <w:t>Thomas LEIDEREITER (Mr.), Rechtsanwalt, Green Rights, Rechtsanwaltskanzlei Leidereiter, Hamburg,  Allemagne</w:t>
      </w:r>
      <w:r w:rsidRPr="007E668E">
        <w:rPr>
          <w:lang w:val="de-DE"/>
        </w:rPr>
        <w:br/>
        <w:t>(e-mail: mail@green-rights.com)</w:t>
      </w:r>
    </w:p>
    <w:p w14:paraId="753EA5B4" w14:textId="77777777" w:rsidR="00E165BF" w:rsidRPr="00D401C9" w:rsidRDefault="00E165BF" w:rsidP="00E165BF">
      <w:pPr>
        <w:pStyle w:val="plcountry"/>
        <w:rPr>
          <w:lang w:val="de-DE"/>
        </w:rPr>
      </w:pPr>
      <w:r w:rsidRPr="00D401C9">
        <w:rPr>
          <w:lang w:val="de-DE"/>
        </w:rPr>
        <w:t>CROPLIFE INTERNATIONAL</w:t>
      </w:r>
    </w:p>
    <w:p w14:paraId="7F67EE90" w14:textId="77777777" w:rsidR="00E165BF" w:rsidRPr="00D401C9" w:rsidRDefault="00E165BF" w:rsidP="00E165BF">
      <w:pPr>
        <w:pStyle w:val="pldetails"/>
        <w:rPr>
          <w:lang w:val="de-DE"/>
        </w:rPr>
      </w:pPr>
      <w:r w:rsidRPr="00D401C9">
        <w:rPr>
          <w:lang w:val="de-DE"/>
        </w:rPr>
        <w:t xml:space="preserve">Marcel BRUINS (Mr.), Consultant, CropLife International, Bruxelles, Belgium </w:t>
      </w:r>
      <w:r w:rsidRPr="00D401C9">
        <w:rPr>
          <w:lang w:val="de-DE"/>
        </w:rPr>
        <w:br/>
        <w:t xml:space="preserve">(e-mail: marcel@bruinsseedconsultancy.com) </w:t>
      </w:r>
    </w:p>
    <w:p w14:paraId="5137F409" w14:textId="77777777" w:rsidR="00E165BF" w:rsidRPr="00D401C9" w:rsidRDefault="00E165BF" w:rsidP="00E165BF">
      <w:pPr>
        <w:pStyle w:val="plcountry"/>
        <w:rPr>
          <w:lang w:val="de-DE"/>
        </w:rPr>
      </w:pPr>
      <w:r w:rsidRPr="00D401C9">
        <w:rPr>
          <w:lang w:val="de-DE"/>
        </w:rPr>
        <w:t>EUROSEEDS</w:t>
      </w:r>
    </w:p>
    <w:p w14:paraId="6A99E27F" w14:textId="77777777" w:rsidR="00E165BF" w:rsidRDefault="00E165BF" w:rsidP="00E165BF">
      <w:pPr>
        <w:pStyle w:val="pldetails"/>
        <w:rPr>
          <w:lang w:val="de-DE"/>
        </w:rPr>
      </w:pPr>
      <w:r w:rsidRPr="00D401C9">
        <w:rPr>
          <w:lang w:val="de-DE"/>
        </w:rPr>
        <w:t xml:space="preserve">Szonja CSÖRGÖ (Ms.), Director, Intellectual Property &amp; Legal Affairs, Euroseeds, Bruxelles, Belgium </w:t>
      </w:r>
      <w:r w:rsidRPr="00D401C9">
        <w:rPr>
          <w:lang w:val="de-DE"/>
        </w:rPr>
        <w:br/>
        <w:t xml:space="preserve">(e-mail: szonjacsorgo@euroseeds.eu) </w:t>
      </w:r>
    </w:p>
    <w:p w14:paraId="2C930B30" w14:textId="77777777" w:rsidR="00E165BF" w:rsidRPr="006979F4" w:rsidRDefault="00E165BF" w:rsidP="00E165BF">
      <w:pPr>
        <w:pStyle w:val="pldetails"/>
      </w:pPr>
      <w:r w:rsidRPr="006979F4">
        <w:t xml:space="preserve">Antonio VILLARROEL (Mr.), </w:t>
      </w:r>
      <w:r w:rsidRPr="00275157">
        <w:rPr>
          <w:lang w:val="es-AR"/>
        </w:rPr>
        <w:t xml:space="preserve">Secretary General, Asociación Nacional de Obtentores Vegetales (ANOVE), Madrid, Spain </w:t>
      </w:r>
      <w:r w:rsidRPr="00275157">
        <w:rPr>
          <w:lang w:val="es-AR"/>
        </w:rPr>
        <w:br/>
        <w:t>(e-mail: administracion@anove.es)</w:t>
      </w:r>
    </w:p>
    <w:p w14:paraId="2020FD3E" w14:textId="77777777" w:rsidR="00E165BF" w:rsidRPr="007A0514" w:rsidRDefault="00E165BF" w:rsidP="00E165BF">
      <w:pPr>
        <w:pStyle w:val="plcountry"/>
      </w:pPr>
      <w:r w:rsidRPr="007A0514">
        <w:lastRenderedPageBreak/>
        <w:t>SEED ASSOCIATION OF THE AMERICAS (SAA)</w:t>
      </w:r>
    </w:p>
    <w:p w14:paraId="2C9FEDF8" w14:textId="77777777" w:rsidR="00E165BF" w:rsidRPr="0098789C" w:rsidRDefault="00E165BF" w:rsidP="00E165BF">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14:paraId="0E7910A6" w14:textId="77777777" w:rsidR="00E165BF" w:rsidRPr="006979F4" w:rsidRDefault="00E165BF" w:rsidP="00E165BF">
      <w:pPr>
        <w:pStyle w:val="plheading"/>
        <w:rPr>
          <w:rFonts w:cs="Arial"/>
        </w:rPr>
      </w:pPr>
      <w:r w:rsidRPr="006979F4">
        <w:rPr>
          <w:rFonts w:cs="Arial"/>
        </w:rPr>
        <w:t>III. BUREAU / OFFICER / OFICINA</w:t>
      </w:r>
    </w:p>
    <w:p w14:paraId="558063B4" w14:textId="77777777" w:rsidR="00E165BF" w:rsidRDefault="00E165BF" w:rsidP="00E165BF">
      <w:pPr>
        <w:pStyle w:val="pldetails"/>
      </w:pPr>
      <w:r w:rsidRPr="00E338CA">
        <w:t>Peter BUTTON (Mr.)</w:t>
      </w:r>
      <w:r w:rsidRPr="004071DD">
        <w:t xml:space="preserve">, </w:t>
      </w:r>
      <w:r>
        <w:t>Chair</w:t>
      </w:r>
    </w:p>
    <w:p w14:paraId="397DE175" w14:textId="77777777" w:rsidR="00E165BF" w:rsidRPr="004F0D03" w:rsidRDefault="00E165BF" w:rsidP="00E165BF">
      <w:pPr>
        <w:pStyle w:val="plheading"/>
        <w:keepLines/>
        <w:rPr>
          <w:rFonts w:cs="Arial"/>
        </w:rPr>
      </w:pPr>
      <w:r w:rsidRPr="004F0D03">
        <w:rPr>
          <w:rFonts w:cs="Arial"/>
        </w:rPr>
        <w:t>IV. BUREAU DE L’UPOV / OFFICE OF UPOV / OFICINA DE LA UPOV</w:t>
      </w:r>
    </w:p>
    <w:p w14:paraId="2D3F2304" w14:textId="77777777" w:rsidR="00E165BF" w:rsidRPr="00841411" w:rsidRDefault="00E165BF" w:rsidP="00E165BF">
      <w:pPr>
        <w:pStyle w:val="pldetails"/>
      </w:pPr>
      <w:r w:rsidRPr="00841411">
        <w:t>Peter BUTTON</w:t>
      </w:r>
      <w:r>
        <w:t xml:space="preserve"> (Mr.)</w:t>
      </w:r>
      <w:r w:rsidRPr="00841411">
        <w:t>, Vice Secretary-General</w:t>
      </w:r>
    </w:p>
    <w:p w14:paraId="6A2F1E4D" w14:textId="77777777" w:rsidR="00E165BF" w:rsidRPr="00841411" w:rsidRDefault="00E165BF" w:rsidP="00E165BF">
      <w:pPr>
        <w:pStyle w:val="pldetails"/>
      </w:pPr>
      <w:r w:rsidRPr="00841411">
        <w:t xml:space="preserve">Yolanda HUERTA (Ms.), </w:t>
      </w:r>
      <w:r w:rsidRPr="00115E79">
        <w:t>Legal Counsel and Director of Training and Assistance</w:t>
      </w:r>
    </w:p>
    <w:p w14:paraId="2CAA659D" w14:textId="77777777" w:rsidR="00E165BF" w:rsidRPr="00187D8A" w:rsidRDefault="00E165BF" w:rsidP="00E165BF">
      <w:pPr>
        <w:pStyle w:val="pldetails"/>
      </w:pPr>
      <w:r w:rsidRPr="00187D8A">
        <w:t>Leontino TAVEIRA (Mr.), Head of Technical Affairs and Regional Development (Latin America, Caribbean)</w:t>
      </w:r>
    </w:p>
    <w:p w14:paraId="2008F242" w14:textId="77777777" w:rsidR="00E165BF" w:rsidRDefault="00E165BF" w:rsidP="00E165BF">
      <w:pPr>
        <w:pStyle w:val="pldetails"/>
      </w:pPr>
      <w:r w:rsidRPr="00187D8A">
        <w:t>Manabu SUZUKI (Mr.), Technical/Regional Officer (Asia)</w:t>
      </w:r>
    </w:p>
    <w:p w14:paraId="124286A0" w14:textId="77777777" w:rsidR="00E165BF" w:rsidRPr="0066481F" w:rsidRDefault="00E165BF" w:rsidP="00E165BF"/>
    <w:p w14:paraId="1D3367E4" w14:textId="77777777" w:rsidR="00E165BF" w:rsidRPr="0066481F" w:rsidRDefault="00E165BF" w:rsidP="00E165BF"/>
    <w:p w14:paraId="58255F68" w14:textId="77777777" w:rsidR="00E165BF" w:rsidRPr="0066481F" w:rsidRDefault="00E165BF" w:rsidP="00E165BF"/>
    <w:p w14:paraId="2CCA00DC" w14:textId="77777777" w:rsidR="00E165BF" w:rsidRDefault="00E165BF" w:rsidP="00E165BF">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Fin del Anexo y del documento]</w:t>
      </w:r>
    </w:p>
    <w:p w14:paraId="5C8FB6DC" w14:textId="77777777" w:rsidR="00E165BF" w:rsidRDefault="00E165BF" w:rsidP="00E165BF">
      <w:pPr>
        <w:keepNext/>
        <w:jc w:val="right"/>
        <w:rPr>
          <w:rFonts w:cs="Arial"/>
          <w:lang w:val="fr-CH"/>
        </w:rPr>
      </w:pPr>
    </w:p>
    <w:p w14:paraId="106705F1" w14:textId="77777777" w:rsidR="00E165BF" w:rsidRPr="00BC0819" w:rsidRDefault="00E165BF" w:rsidP="00E165BF">
      <w:pPr>
        <w:jc w:val="left"/>
        <w:rPr>
          <w:lang w:val="fr-CH"/>
        </w:rPr>
      </w:pPr>
    </w:p>
    <w:p w14:paraId="5B5BB73B" w14:textId="77777777" w:rsidR="00E165BF" w:rsidRPr="00BC0819" w:rsidRDefault="00E165BF" w:rsidP="00E165BF">
      <w:pPr>
        <w:jc w:val="left"/>
        <w:rPr>
          <w:lang w:val="fr-CH"/>
        </w:rPr>
      </w:pPr>
    </w:p>
    <w:p w14:paraId="2CEBD37F" w14:textId="4A835F4C" w:rsidR="00DE4238" w:rsidRPr="006D1008" w:rsidRDefault="00DE4238" w:rsidP="00E165BF">
      <w:pPr>
        <w:jc w:val="center"/>
        <w:rPr>
          <w:rFonts w:cs="Arial"/>
        </w:rPr>
      </w:pPr>
    </w:p>
    <w:sectPr w:rsidR="00DE4238" w:rsidRPr="006D1008"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0694" w14:textId="77777777" w:rsidR="00D46EC3" w:rsidRDefault="00D46EC3">
      <w:r>
        <w:separator/>
      </w:r>
    </w:p>
    <w:p w14:paraId="6DDE2DCF" w14:textId="77777777" w:rsidR="00D46EC3" w:rsidRDefault="00D46EC3"/>
  </w:endnote>
  <w:endnote w:type="continuationSeparator" w:id="0">
    <w:p w14:paraId="5FEA0E18" w14:textId="77777777" w:rsidR="00D46EC3" w:rsidRDefault="00D46EC3">
      <w:r>
        <w:continuationSeparator/>
      </w:r>
    </w:p>
  </w:endnote>
  <w:endnote w:type="continuationNotice" w:id="1">
    <w:p w14:paraId="6E67A484" w14:textId="77777777" w:rsidR="00D46EC3" w:rsidRDefault="00D46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F826" w14:textId="77777777" w:rsidR="00784911" w:rsidRDefault="00CC148A"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D338" w14:textId="77777777" w:rsidR="00784911" w:rsidRDefault="00CC1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BBC5" w14:textId="77777777" w:rsidR="00784911" w:rsidRDefault="00CC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FB4A" w14:textId="77777777" w:rsidR="00D46EC3" w:rsidRDefault="00D46EC3">
      <w:r>
        <w:separator/>
      </w:r>
    </w:p>
  </w:footnote>
  <w:footnote w:type="continuationSeparator" w:id="0">
    <w:p w14:paraId="0309FFD8" w14:textId="77777777" w:rsidR="00D46EC3" w:rsidRDefault="00D46EC3">
      <w:r>
        <w:continuationSeparator/>
      </w:r>
    </w:p>
  </w:footnote>
  <w:footnote w:id="1">
    <w:p w14:paraId="36C1AD0B" w14:textId="7AD3DA72" w:rsidR="00DE4238" w:rsidRPr="00522790" w:rsidRDefault="00DE4238" w:rsidP="00DE4238">
      <w:pPr>
        <w:pStyle w:val="FootnoteText"/>
        <w:jc w:val="left"/>
      </w:pPr>
      <w:r>
        <w:rPr>
          <w:rStyle w:val="FootnoteReference"/>
        </w:rPr>
        <w:footnoteRef/>
      </w:r>
      <w:r w:rsidRPr="00522790">
        <w:tab/>
      </w:r>
      <w:r w:rsidRPr="00361790">
        <w:rPr>
          <w:lang w:val="es-ES_tradnl"/>
        </w:rPr>
        <w:t xml:space="preserve">El Consejo aprobó la siguiente fecha para la tercera reunión del WG-HRV (WG-HRV/3): 21 de marzo de 2023 (13.00-16.00) (reunión híbrida) (véase el documento C/56/8 Rev., disponible en </w:t>
      </w:r>
      <w:hyperlink r:id="rId1" w:history="1">
        <w:r w:rsidRPr="00DE51D2">
          <w:rPr>
            <w:rStyle w:val="Hyperlink"/>
            <w:noProof w:val="0"/>
            <w:lang w:val="es-ES_tradnl"/>
          </w:rPr>
          <w:t>https://www.upov.int/edocs/mdocs/upov/es/c_56/c_56_8_rev.pdf</w:t>
        </w:r>
      </w:hyperlink>
      <w:r w:rsidRPr="00361790">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5FCE" w14:textId="77777777" w:rsidR="00DE4238" w:rsidRPr="00C5280D" w:rsidRDefault="00DE4238" w:rsidP="00F515AB">
    <w:pPr>
      <w:pStyle w:val="Header"/>
      <w:rPr>
        <w:rStyle w:val="PageNumber"/>
        <w:lang w:val="en-US"/>
      </w:rPr>
    </w:pPr>
    <w:r w:rsidRPr="00A655E8">
      <w:rPr>
        <w:rStyle w:val="PageNumber"/>
        <w:lang w:val="en-US"/>
      </w:rPr>
      <w:t>WG-HRV/</w:t>
    </w:r>
    <w:r>
      <w:rPr>
        <w:rStyle w:val="PageNumber"/>
        <w:lang w:val="en-US"/>
      </w:rPr>
      <w:t>2/6</w:t>
    </w:r>
  </w:p>
  <w:p w14:paraId="25202F64" w14:textId="69E3A5F1" w:rsidR="00DE4238" w:rsidRPr="00C5280D" w:rsidRDefault="00DE4238" w:rsidP="00F515AB">
    <w:pPr>
      <w:pStyle w:val="Header"/>
      <w:rPr>
        <w:lang w:val="en-US"/>
      </w:rPr>
    </w:pPr>
    <w:r w:rsidRPr="00C5280D">
      <w:rPr>
        <w:lang w:val="en-US"/>
      </w:rPr>
      <w:t>p</w:t>
    </w:r>
    <w:r w:rsidR="00370069">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069">
      <w:rPr>
        <w:rStyle w:val="PageNumber"/>
        <w:noProof/>
        <w:lang w:val="en-US"/>
      </w:rPr>
      <w:t>-1946106624</w:t>
    </w:r>
    <w:r w:rsidRPr="00C5280D">
      <w:rPr>
        <w:rStyle w:val="PageNumber"/>
        <w:lang w:val="en-US"/>
      </w:rPr>
      <w:fldChar w:fldCharType="end"/>
    </w:r>
  </w:p>
  <w:p w14:paraId="5EC6C2BA" w14:textId="77777777" w:rsidR="00DE4238" w:rsidRPr="00C5280D" w:rsidRDefault="00DE4238" w:rsidP="00F515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BC81" w14:textId="2D900291" w:rsidR="00F12034" w:rsidRPr="00C5280D" w:rsidRDefault="00DE4238" w:rsidP="00F12034">
    <w:pPr>
      <w:pStyle w:val="Header"/>
      <w:rPr>
        <w:rStyle w:val="PageNumber"/>
        <w:lang w:val="en-US"/>
      </w:rPr>
    </w:pPr>
    <w:r w:rsidRPr="00A655E8">
      <w:rPr>
        <w:rStyle w:val="PageNumber"/>
        <w:lang w:val="en-US"/>
      </w:rPr>
      <w:t>WG-HRV/</w:t>
    </w:r>
    <w:r>
      <w:rPr>
        <w:rStyle w:val="PageNumber"/>
        <w:lang w:val="en-US"/>
      </w:rPr>
      <w:t>2/6</w:t>
    </w:r>
  </w:p>
  <w:p w14:paraId="2CBDA96C" w14:textId="1F7DC168" w:rsidR="00DE4238" w:rsidRPr="00C5280D" w:rsidRDefault="00DE4238" w:rsidP="00361790">
    <w:pPr>
      <w:pStyle w:val="Header"/>
      <w:rPr>
        <w:lang w:val="en-US"/>
      </w:rPr>
    </w:pPr>
    <w:r w:rsidRPr="00361790">
      <w:rPr>
        <w:lang w:val="es-ES_tradnl"/>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148A">
      <w:rPr>
        <w:rStyle w:val="PageNumber"/>
        <w:noProof/>
        <w:lang w:val="en-US"/>
      </w:rPr>
      <w:t>5</w:t>
    </w:r>
    <w:r w:rsidRPr="00C5280D">
      <w:rPr>
        <w:rStyle w:val="PageNumber"/>
        <w:lang w:val="en-US"/>
      </w:rPr>
      <w:fldChar w:fldCharType="end"/>
    </w:r>
  </w:p>
  <w:p w14:paraId="03196396" w14:textId="77777777" w:rsidR="00DE4238" w:rsidRPr="00C5280D" w:rsidRDefault="00DE423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339D" w14:textId="77777777" w:rsidR="00784911" w:rsidRPr="004A5F2E" w:rsidRDefault="00E165BF" w:rsidP="00F515AB">
    <w:pPr>
      <w:pStyle w:val="Header"/>
      <w:rPr>
        <w:rStyle w:val="PageNumber"/>
        <w:lang w:val="pt-PT"/>
      </w:rPr>
    </w:pPr>
    <w:r>
      <w:rPr>
        <w:rStyle w:val="PageNumber"/>
        <w:lang w:val="pt-PT"/>
      </w:rPr>
      <w:t>WG-</w:t>
    </w:r>
    <w:r>
      <w:rPr>
        <w:rFonts w:cs="Arial"/>
        <w:lang w:val="pt-PT"/>
      </w:rPr>
      <w:t>HRV/2/6</w:t>
    </w:r>
  </w:p>
  <w:p w14:paraId="2575FE6E" w14:textId="77777777" w:rsidR="00784911" w:rsidRPr="00DB67FC" w:rsidRDefault="00E165BF" w:rsidP="00F515AB">
    <w:pPr>
      <w:jc w:val="center"/>
      <w:rPr>
        <w:lang w:val="pt-PT"/>
      </w:rPr>
    </w:pPr>
    <w:r>
      <w:rPr>
        <w:lang w:val="pt-PT"/>
      </w:rPr>
      <w:t>Annexe / Annex / Anexo</w:t>
    </w:r>
  </w:p>
  <w:p w14:paraId="3AAE871F" w14:textId="77777777" w:rsidR="00784911" w:rsidRPr="00DB67FC" w:rsidRDefault="00E165BF"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Pr>
        <w:rFonts w:cs="Arial"/>
        <w:noProof/>
        <w:lang w:val="pt-PT"/>
      </w:rPr>
      <w:t>4</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Pr>
        <w:rFonts w:cs="Arial"/>
        <w:noProof/>
        <w:lang w:val="pt-PT"/>
      </w:rPr>
      <w:t>4</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Pr>
        <w:rFonts w:cs="Arial"/>
        <w:noProof/>
        <w:lang w:val="pt-PT"/>
      </w:rPr>
      <w:t>4</w:t>
    </w:r>
    <w:r w:rsidRPr="00DB67FC">
      <w:rPr>
        <w:rFonts w:cs="Arial"/>
      </w:rPr>
      <w:fldChar w:fldCharType="end"/>
    </w:r>
  </w:p>
  <w:p w14:paraId="54827CD6" w14:textId="77777777" w:rsidR="00784911" w:rsidRPr="00BC0819" w:rsidRDefault="00CC148A"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F6A4" w14:textId="77777777" w:rsidR="00784911" w:rsidRPr="004A5F2E" w:rsidRDefault="00E165BF" w:rsidP="0030260E">
    <w:pPr>
      <w:pStyle w:val="Header"/>
      <w:rPr>
        <w:rStyle w:val="PageNumber"/>
        <w:lang w:val="pt-PT"/>
      </w:rPr>
    </w:pPr>
    <w:r>
      <w:rPr>
        <w:rStyle w:val="PageNumber"/>
        <w:lang w:val="pt-PT"/>
      </w:rPr>
      <w:t>WG-</w:t>
    </w:r>
    <w:r>
      <w:rPr>
        <w:rFonts w:cs="Arial"/>
        <w:lang w:val="pt-PT"/>
      </w:rPr>
      <w:t>HRV/2/6</w:t>
    </w:r>
  </w:p>
  <w:p w14:paraId="3C48CA38" w14:textId="77777777" w:rsidR="00784911" w:rsidRPr="00DB67FC" w:rsidRDefault="00E165BF" w:rsidP="0030260E">
    <w:pPr>
      <w:jc w:val="center"/>
      <w:rPr>
        <w:lang w:val="pt-PT"/>
      </w:rPr>
    </w:pPr>
    <w:r>
      <w:rPr>
        <w:lang w:val="pt-PT"/>
      </w:rPr>
      <w:t>Annexe / Annex / Anexo</w:t>
    </w:r>
  </w:p>
  <w:p w14:paraId="4F829B9D" w14:textId="511EFFC4" w:rsidR="00784911" w:rsidRPr="00DB67FC" w:rsidRDefault="00E165BF"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CC148A">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CC148A">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CC148A">
      <w:rPr>
        <w:rFonts w:cs="Arial"/>
        <w:noProof/>
        <w:lang w:val="pt-PT"/>
      </w:rPr>
      <w:t>5</w:t>
    </w:r>
    <w:r w:rsidRPr="00DB67FC">
      <w:rPr>
        <w:rFonts w:cs="Arial"/>
      </w:rPr>
      <w:fldChar w:fldCharType="end"/>
    </w:r>
  </w:p>
  <w:p w14:paraId="6098A4A2" w14:textId="77777777" w:rsidR="00784911" w:rsidRPr="00BC0819" w:rsidRDefault="00CC148A"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9DF3" w14:textId="77777777" w:rsidR="00784911" w:rsidRPr="00DB67FC" w:rsidRDefault="00E165BF" w:rsidP="0030260E">
    <w:pPr>
      <w:jc w:val="center"/>
      <w:rPr>
        <w:rFonts w:cs="Arial"/>
        <w:lang w:val="pt-PT"/>
      </w:rPr>
    </w:pPr>
    <w:r>
      <w:rPr>
        <w:rFonts w:cs="Arial"/>
        <w:lang w:val="pt-PT"/>
      </w:rPr>
      <w:t>WG-HRV/2/6</w:t>
    </w:r>
  </w:p>
  <w:p w14:paraId="398D6851" w14:textId="77777777" w:rsidR="00784911" w:rsidRDefault="00CC148A" w:rsidP="0030260E">
    <w:pPr>
      <w:jc w:val="center"/>
      <w:rPr>
        <w:lang w:val="pt-PT"/>
      </w:rPr>
    </w:pPr>
  </w:p>
  <w:p w14:paraId="00E7BAC7" w14:textId="77777777" w:rsidR="00784911" w:rsidRPr="00DB67FC" w:rsidRDefault="00E165BF" w:rsidP="0030260E">
    <w:pPr>
      <w:jc w:val="center"/>
      <w:rPr>
        <w:lang w:val="pt-PT"/>
      </w:rPr>
    </w:pPr>
    <w:r>
      <w:rPr>
        <w:lang w:val="pt-PT"/>
      </w:rPr>
      <w:t xml:space="preserve">ANNEXE / ANNEX / ANEXO </w:t>
    </w:r>
  </w:p>
  <w:p w14:paraId="54F5257B" w14:textId="77777777" w:rsidR="00784911" w:rsidRDefault="00CC148A" w:rsidP="0030260E">
    <w:pPr>
      <w:pStyle w:val="Header"/>
      <w:rPr>
        <w:lang w:val="en-US"/>
      </w:rPr>
    </w:pPr>
  </w:p>
  <w:p w14:paraId="5BABBA92" w14:textId="77777777" w:rsidR="00784911" w:rsidRDefault="00CC148A"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D227CD2"/>
    <w:multiLevelType w:val="hybridMultilevel"/>
    <w:tmpl w:val="ACDE3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n-US" w:vendorID="64" w:dllVersion="131078" w:nlCheck="1" w:checkStyle="1"/>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C2"/>
    <w:rsid w:val="00000531"/>
    <w:rsid w:val="00004E4E"/>
    <w:rsid w:val="00005853"/>
    <w:rsid w:val="00005D41"/>
    <w:rsid w:val="0000682E"/>
    <w:rsid w:val="00006D0B"/>
    <w:rsid w:val="00010D9E"/>
    <w:rsid w:val="000126EB"/>
    <w:rsid w:val="0001310E"/>
    <w:rsid w:val="000134B6"/>
    <w:rsid w:val="00013A8F"/>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4A1C"/>
    <w:rsid w:val="00054A3B"/>
    <w:rsid w:val="00056D03"/>
    <w:rsid w:val="00056D63"/>
    <w:rsid w:val="0005784D"/>
    <w:rsid w:val="00057B0D"/>
    <w:rsid w:val="000619A4"/>
    <w:rsid w:val="000620CD"/>
    <w:rsid w:val="000625BE"/>
    <w:rsid w:val="000644E6"/>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60E"/>
    <w:rsid w:val="000A0D14"/>
    <w:rsid w:val="000A16C8"/>
    <w:rsid w:val="000A2039"/>
    <w:rsid w:val="000A242A"/>
    <w:rsid w:val="000A2F5D"/>
    <w:rsid w:val="000A4E01"/>
    <w:rsid w:val="000A4F2B"/>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14A"/>
    <w:rsid w:val="000D19BA"/>
    <w:rsid w:val="000D21CC"/>
    <w:rsid w:val="000D376A"/>
    <w:rsid w:val="000D39F0"/>
    <w:rsid w:val="000D46C6"/>
    <w:rsid w:val="000D53B7"/>
    <w:rsid w:val="000D625B"/>
    <w:rsid w:val="000E0AA8"/>
    <w:rsid w:val="000E2062"/>
    <w:rsid w:val="000E24C5"/>
    <w:rsid w:val="000E2537"/>
    <w:rsid w:val="000E33CF"/>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267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85D"/>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6EC8"/>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9D9"/>
    <w:rsid w:val="00262D64"/>
    <w:rsid w:val="00264253"/>
    <w:rsid w:val="002668EC"/>
    <w:rsid w:val="00266AE7"/>
    <w:rsid w:val="00267280"/>
    <w:rsid w:val="00270479"/>
    <w:rsid w:val="00270CF1"/>
    <w:rsid w:val="0027174A"/>
    <w:rsid w:val="002730CC"/>
    <w:rsid w:val="00275D7F"/>
    <w:rsid w:val="00275EF2"/>
    <w:rsid w:val="00276166"/>
    <w:rsid w:val="002770BE"/>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206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505"/>
    <w:rsid w:val="002F0E0E"/>
    <w:rsid w:val="002F1D59"/>
    <w:rsid w:val="002F1E5B"/>
    <w:rsid w:val="002F5834"/>
    <w:rsid w:val="002F7C69"/>
    <w:rsid w:val="002F7F8A"/>
    <w:rsid w:val="003007D6"/>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97C"/>
    <w:rsid w:val="00347FC6"/>
    <w:rsid w:val="00350C7F"/>
    <w:rsid w:val="003510E5"/>
    <w:rsid w:val="00351280"/>
    <w:rsid w:val="00352499"/>
    <w:rsid w:val="003526C7"/>
    <w:rsid w:val="003526EA"/>
    <w:rsid w:val="00354B79"/>
    <w:rsid w:val="0035533A"/>
    <w:rsid w:val="003624A3"/>
    <w:rsid w:val="00364D90"/>
    <w:rsid w:val="00366C85"/>
    <w:rsid w:val="0036717D"/>
    <w:rsid w:val="00370069"/>
    <w:rsid w:val="003709D6"/>
    <w:rsid w:val="00371545"/>
    <w:rsid w:val="00371FFE"/>
    <w:rsid w:val="00372C60"/>
    <w:rsid w:val="00372EAA"/>
    <w:rsid w:val="00372F0B"/>
    <w:rsid w:val="003730E9"/>
    <w:rsid w:val="00373663"/>
    <w:rsid w:val="003772B8"/>
    <w:rsid w:val="003774DA"/>
    <w:rsid w:val="00380AE4"/>
    <w:rsid w:val="00382B96"/>
    <w:rsid w:val="003839BE"/>
    <w:rsid w:val="003868E4"/>
    <w:rsid w:val="003911C4"/>
    <w:rsid w:val="00391411"/>
    <w:rsid w:val="00391A76"/>
    <w:rsid w:val="00394208"/>
    <w:rsid w:val="003944CC"/>
    <w:rsid w:val="00396AC0"/>
    <w:rsid w:val="00397742"/>
    <w:rsid w:val="003A002F"/>
    <w:rsid w:val="003A1164"/>
    <w:rsid w:val="003A128B"/>
    <w:rsid w:val="003A16CD"/>
    <w:rsid w:val="003A2018"/>
    <w:rsid w:val="003A2A19"/>
    <w:rsid w:val="003A2E06"/>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8F2"/>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5E9E"/>
    <w:rsid w:val="004663DB"/>
    <w:rsid w:val="00466F95"/>
    <w:rsid w:val="00467278"/>
    <w:rsid w:val="00470205"/>
    <w:rsid w:val="00472A58"/>
    <w:rsid w:val="00473812"/>
    <w:rsid w:val="004757E7"/>
    <w:rsid w:val="0047691A"/>
    <w:rsid w:val="00477F73"/>
    <w:rsid w:val="00480B41"/>
    <w:rsid w:val="00480D6B"/>
    <w:rsid w:val="0048167C"/>
    <w:rsid w:val="00481D6D"/>
    <w:rsid w:val="0048404E"/>
    <w:rsid w:val="00484AF6"/>
    <w:rsid w:val="004861E2"/>
    <w:rsid w:val="004866B1"/>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3B33"/>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0F82"/>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5E43"/>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941"/>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573A"/>
    <w:rsid w:val="005B1117"/>
    <w:rsid w:val="005B3BE9"/>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C6F4C"/>
    <w:rsid w:val="005D2170"/>
    <w:rsid w:val="005D2384"/>
    <w:rsid w:val="005D249C"/>
    <w:rsid w:val="005D7065"/>
    <w:rsid w:val="005D7952"/>
    <w:rsid w:val="005D7FD2"/>
    <w:rsid w:val="005E0696"/>
    <w:rsid w:val="005E0A80"/>
    <w:rsid w:val="005E20A2"/>
    <w:rsid w:val="005E233F"/>
    <w:rsid w:val="005E3ECF"/>
    <w:rsid w:val="005E40F4"/>
    <w:rsid w:val="005E532E"/>
    <w:rsid w:val="005E6790"/>
    <w:rsid w:val="005F0328"/>
    <w:rsid w:val="005F03EB"/>
    <w:rsid w:val="005F0417"/>
    <w:rsid w:val="005F16FB"/>
    <w:rsid w:val="005F4D73"/>
    <w:rsid w:val="005F6641"/>
    <w:rsid w:val="005F69DD"/>
    <w:rsid w:val="005F6A20"/>
    <w:rsid w:val="005F6B6F"/>
    <w:rsid w:val="005F703B"/>
    <w:rsid w:val="005F75EC"/>
    <w:rsid w:val="00600FF7"/>
    <w:rsid w:val="00602000"/>
    <w:rsid w:val="0060205C"/>
    <w:rsid w:val="0060461A"/>
    <w:rsid w:val="006052F7"/>
    <w:rsid w:val="006065E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58F"/>
    <w:rsid w:val="006237B6"/>
    <w:rsid w:val="00624DE9"/>
    <w:rsid w:val="00626B9D"/>
    <w:rsid w:val="00627F3C"/>
    <w:rsid w:val="006319D6"/>
    <w:rsid w:val="00631DB2"/>
    <w:rsid w:val="006333EC"/>
    <w:rsid w:val="00633E4A"/>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E54"/>
    <w:rsid w:val="00674F8F"/>
    <w:rsid w:val="00675224"/>
    <w:rsid w:val="00675314"/>
    <w:rsid w:val="00675AE1"/>
    <w:rsid w:val="00675B4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2A2"/>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1008"/>
    <w:rsid w:val="006D2359"/>
    <w:rsid w:val="006D265A"/>
    <w:rsid w:val="006D313F"/>
    <w:rsid w:val="006D6469"/>
    <w:rsid w:val="006D6A67"/>
    <w:rsid w:val="006E1474"/>
    <w:rsid w:val="006E193B"/>
    <w:rsid w:val="006E2B83"/>
    <w:rsid w:val="006E2C68"/>
    <w:rsid w:val="006E3A5F"/>
    <w:rsid w:val="006E3A8E"/>
    <w:rsid w:val="006E4E4E"/>
    <w:rsid w:val="006E5537"/>
    <w:rsid w:val="006E5D43"/>
    <w:rsid w:val="006E752D"/>
    <w:rsid w:val="006E757B"/>
    <w:rsid w:val="006F1060"/>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A8"/>
    <w:rsid w:val="00740108"/>
    <w:rsid w:val="00740E84"/>
    <w:rsid w:val="00744A8F"/>
    <w:rsid w:val="00744F57"/>
    <w:rsid w:val="007465E7"/>
    <w:rsid w:val="00746A78"/>
    <w:rsid w:val="007474C0"/>
    <w:rsid w:val="00747C42"/>
    <w:rsid w:val="00751D55"/>
    <w:rsid w:val="0075406E"/>
    <w:rsid w:val="0075571A"/>
    <w:rsid w:val="00757526"/>
    <w:rsid w:val="0076189A"/>
    <w:rsid w:val="00766AAD"/>
    <w:rsid w:val="00766F6F"/>
    <w:rsid w:val="00767D20"/>
    <w:rsid w:val="00773385"/>
    <w:rsid w:val="00776C41"/>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1FFB"/>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5793"/>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BEE"/>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593F"/>
    <w:rsid w:val="00906363"/>
    <w:rsid w:val="009067A6"/>
    <w:rsid w:val="00911402"/>
    <w:rsid w:val="00913A3A"/>
    <w:rsid w:val="00917FDC"/>
    <w:rsid w:val="00920F12"/>
    <w:rsid w:val="00921632"/>
    <w:rsid w:val="00921ED7"/>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0A80"/>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55B"/>
    <w:rsid w:val="009B7D8E"/>
    <w:rsid w:val="009C0402"/>
    <w:rsid w:val="009C13F5"/>
    <w:rsid w:val="009C19D5"/>
    <w:rsid w:val="009C2C26"/>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3F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65"/>
    <w:rsid w:val="00A021A8"/>
    <w:rsid w:val="00A02B7A"/>
    <w:rsid w:val="00A037D3"/>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0ED"/>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08F"/>
    <w:rsid w:val="00A76972"/>
    <w:rsid w:val="00A76D35"/>
    <w:rsid w:val="00A77CE1"/>
    <w:rsid w:val="00A803FE"/>
    <w:rsid w:val="00A80569"/>
    <w:rsid w:val="00A80775"/>
    <w:rsid w:val="00A80B62"/>
    <w:rsid w:val="00A8140D"/>
    <w:rsid w:val="00A823A0"/>
    <w:rsid w:val="00A82EE3"/>
    <w:rsid w:val="00A8417F"/>
    <w:rsid w:val="00A867C5"/>
    <w:rsid w:val="00A870D7"/>
    <w:rsid w:val="00A872F7"/>
    <w:rsid w:val="00A91152"/>
    <w:rsid w:val="00A91241"/>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BD3"/>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761B"/>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4C0"/>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2F40"/>
    <w:rsid w:val="00B93F7B"/>
    <w:rsid w:val="00B94E37"/>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C74D2"/>
    <w:rsid w:val="00BD13E2"/>
    <w:rsid w:val="00BD191B"/>
    <w:rsid w:val="00BD3C21"/>
    <w:rsid w:val="00BD473E"/>
    <w:rsid w:val="00BD4765"/>
    <w:rsid w:val="00BD50C5"/>
    <w:rsid w:val="00BD5203"/>
    <w:rsid w:val="00BD52A4"/>
    <w:rsid w:val="00BD54D4"/>
    <w:rsid w:val="00BD5754"/>
    <w:rsid w:val="00BD62C9"/>
    <w:rsid w:val="00BD676A"/>
    <w:rsid w:val="00BD7455"/>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825"/>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F5E"/>
    <w:rsid w:val="00CB03B3"/>
    <w:rsid w:val="00CB0ED3"/>
    <w:rsid w:val="00CB24CE"/>
    <w:rsid w:val="00CB38C8"/>
    <w:rsid w:val="00CB44BE"/>
    <w:rsid w:val="00CB5C6B"/>
    <w:rsid w:val="00CB5DC7"/>
    <w:rsid w:val="00CB708E"/>
    <w:rsid w:val="00CC13C4"/>
    <w:rsid w:val="00CC148A"/>
    <w:rsid w:val="00CC1D2F"/>
    <w:rsid w:val="00CC30A7"/>
    <w:rsid w:val="00CC3C0E"/>
    <w:rsid w:val="00CC3E64"/>
    <w:rsid w:val="00CC6D28"/>
    <w:rsid w:val="00CD4C21"/>
    <w:rsid w:val="00CD5C79"/>
    <w:rsid w:val="00CD6470"/>
    <w:rsid w:val="00CD7696"/>
    <w:rsid w:val="00CE0DC1"/>
    <w:rsid w:val="00CE0E08"/>
    <w:rsid w:val="00CE10F7"/>
    <w:rsid w:val="00CE48FA"/>
    <w:rsid w:val="00CE5818"/>
    <w:rsid w:val="00CE585B"/>
    <w:rsid w:val="00CE62C2"/>
    <w:rsid w:val="00CE63E8"/>
    <w:rsid w:val="00CE713F"/>
    <w:rsid w:val="00CE7EDA"/>
    <w:rsid w:val="00CF0C04"/>
    <w:rsid w:val="00CF1735"/>
    <w:rsid w:val="00CF2454"/>
    <w:rsid w:val="00CF2E0A"/>
    <w:rsid w:val="00D01CF6"/>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46EC3"/>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2F82"/>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2C7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238"/>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3857"/>
    <w:rsid w:val="00E15AE3"/>
    <w:rsid w:val="00E160EB"/>
    <w:rsid w:val="00E162C5"/>
    <w:rsid w:val="00E165BF"/>
    <w:rsid w:val="00E16B14"/>
    <w:rsid w:val="00E1764D"/>
    <w:rsid w:val="00E17919"/>
    <w:rsid w:val="00E208C7"/>
    <w:rsid w:val="00E21B5C"/>
    <w:rsid w:val="00E24B06"/>
    <w:rsid w:val="00E24BCC"/>
    <w:rsid w:val="00E25E0E"/>
    <w:rsid w:val="00E306E0"/>
    <w:rsid w:val="00E31E68"/>
    <w:rsid w:val="00E323AF"/>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1DC2"/>
    <w:rsid w:val="00E6227D"/>
    <w:rsid w:val="00E625C2"/>
    <w:rsid w:val="00E63BA7"/>
    <w:rsid w:val="00E650C6"/>
    <w:rsid w:val="00E71981"/>
    <w:rsid w:val="00E721D9"/>
    <w:rsid w:val="00E7359C"/>
    <w:rsid w:val="00E73B3D"/>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3E82"/>
    <w:rsid w:val="00EA4817"/>
    <w:rsid w:val="00EA54D5"/>
    <w:rsid w:val="00EA6590"/>
    <w:rsid w:val="00EA7BC3"/>
    <w:rsid w:val="00EB01AC"/>
    <w:rsid w:val="00EB06C5"/>
    <w:rsid w:val="00EB1C72"/>
    <w:rsid w:val="00EB2520"/>
    <w:rsid w:val="00EB2752"/>
    <w:rsid w:val="00EB2A16"/>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203F"/>
    <w:rsid w:val="00ED4482"/>
    <w:rsid w:val="00ED4B87"/>
    <w:rsid w:val="00ED4FB1"/>
    <w:rsid w:val="00ED5452"/>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034"/>
    <w:rsid w:val="00F12202"/>
    <w:rsid w:val="00F12230"/>
    <w:rsid w:val="00F12EA9"/>
    <w:rsid w:val="00F12EB7"/>
    <w:rsid w:val="00F1381B"/>
    <w:rsid w:val="00F13B58"/>
    <w:rsid w:val="00F13DA9"/>
    <w:rsid w:val="00F15E56"/>
    <w:rsid w:val="00F16166"/>
    <w:rsid w:val="00F2055A"/>
    <w:rsid w:val="00F20EE0"/>
    <w:rsid w:val="00F215AD"/>
    <w:rsid w:val="00F21611"/>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509"/>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4BEC"/>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2CF319"/>
  <w15:docId w15:val="{335CB1EA-2C8D-4567-8058-150E3CDF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DE4238"/>
    <w:pPr>
      <w:keepNext/>
      <w:outlineLvl w:val="0"/>
    </w:pPr>
    <w:rPr>
      <w:rFonts w:ascii="Arial" w:hAnsi="Arial"/>
      <w:caps/>
    </w:rPr>
  </w:style>
  <w:style w:type="paragraph" w:styleId="Heading2">
    <w:name w:val="heading 2"/>
    <w:next w:val="Normal"/>
    <w:link w:val="Heading2Char"/>
    <w:autoRedefine/>
    <w:qFormat/>
    <w:rsid w:val="00BC74D2"/>
    <w:pPr>
      <w:keepNext/>
      <w:jc w:val="center"/>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rPr>
      <w:caps/>
    </w:rPr>
  </w:style>
  <w:style w:type="paragraph" w:customStyle="1" w:styleId="Fecha1">
    <w:name w:val="Fecha1"/>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link w:val="pldetailsChar"/>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s-ES" w:eastAsia="en-US" w:bidi="ar-SA"/>
    </w:rPr>
  </w:style>
  <w:style w:type="character" w:customStyle="1" w:styleId="StyleDocoriginalNotBold1">
    <w:name w:val="Style Doc_original + Not Bold1"/>
    <w:rsid w:val="004E5CD5"/>
    <w:rPr>
      <w:rFonts w:ascii="Arial" w:hAnsi="Arial"/>
      <w:b/>
      <w:bCs/>
      <w:spacing w:val="10"/>
      <w:lang w:val="es-ES" w:eastAsia="en-US" w:bidi="ar-SA"/>
    </w:rPr>
  </w:style>
  <w:style w:type="character" w:customStyle="1" w:styleId="StyleDoclangBold">
    <w:name w:val="Style Doc_lang + Bold"/>
    <w:rsid w:val="004E5CD5"/>
    <w:rPr>
      <w:rFonts w:ascii="Arial" w:hAnsi="Arial"/>
      <w:b/>
      <w:bCs/>
      <w:sz w:val="20"/>
      <w:lang w:val="es-ES"/>
    </w:rPr>
  </w:style>
  <w:style w:type="character" w:customStyle="1" w:styleId="Heading1Char">
    <w:name w:val="Heading 1 Char"/>
    <w:basedOn w:val="DefaultParagraphFont"/>
    <w:link w:val="Heading1"/>
    <w:rsid w:val="00DE4238"/>
    <w:rPr>
      <w:rFonts w:ascii="Arial" w:hAnsi="Arial"/>
      <w:caps/>
    </w:rPr>
  </w:style>
  <w:style w:type="character" w:customStyle="1" w:styleId="Heading2Char">
    <w:name w:val="Heading 2 Char"/>
    <w:basedOn w:val="DefaultParagraphFont"/>
    <w:link w:val="Heading2"/>
    <w:rsid w:val="00BC74D2"/>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
    </w:rPr>
  </w:style>
  <w:style w:type="character" w:customStyle="1" w:styleId="CommentTextChar">
    <w:name w:val="Comment Text Char"/>
    <w:basedOn w:val="DefaultParagraphFont"/>
    <w:link w:val="CommentText"/>
    <w:semiHidden/>
    <w:rsid w:val="00366C85"/>
    <w:rPr>
      <w:rFonts w:ascii="Arial" w:hAnsi="Arial"/>
      <w:sz w:val="22"/>
      <w:lang w:val="es-ES"/>
    </w:rPr>
  </w:style>
  <w:style w:type="paragraph" w:customStyle="1" w:styleId="Titleofdoc0">
    <w:name w:val="Title_of_doc"/>
    <w:basedOn w:val="TitleofDoc"/>
    <w:rsid w:val="00054A3B"/>
    <w:pPr>
      <w:spacing w:before="600" w:after="240"/>
      <w:jc w:val="left"/>
    </w:pPr>
    <w:rPr>
      <w:b/>
    </w:rPr>
  </w:style>
  <w:style w:type="paragraph" w:customStyle="1" w:styleId="preparedby1">
    <w:name w:val="prepared_by"/>
    <w:basedOn w:val="preparedby0"/>
    <w:rsid w:val="00054A3B"/>
    <w:pPr>
      <w:spacing w:before="0" w:after="240"/>
    </w:pPr>
    <w:rPr>
      <w:iCs/>
    </w:rPr>
  </w:style>
  <w:style w:type="paragraph" w:customStyle="1" w:styleId="Doccode">
    <w:name w:val="Doc_code"/>
    <w:qFormat/>
    <w:rsid w:val="00054A3B"/>
    <w:rPr>
      <w:rFonts w:ascii="Arial" w:hAnsi="Arial"/>
      <w:b/>
      <w:bCs/>
      <w:spacing w:val="10"/>
      <w:sz w:val="18"/>
    </w:rPr>
  </w:style>
  <w:style w:type="character" w:customStyle="1" w:styleId="EndnoteTextChar">
    <w:name w:val="Endnote Text Char"/>
    <w:basedOn w:val="DefaultParagraphFont"/>
    <w:link w:val="EndnoteText"/>
    <w:rsid w:val="00054A3B"/>
    <w:rPr>
      <w:rFonts w:ascii="Arial" w:hAnsi="Arial"/>
      <w:sz w:val="16"/>
    </w:rPr>
  </w:style>
  <w:style w:type="paragraph" w:styleId="ListParagraph">
    <w:name w:val="List Paragraph"/>
    <w:basedOn w:val="Normal"/>
    <w:uiPriority w:val="34"/>
    <w:qFormat/>
    <w:rsid w:val="005C6F4C"/>
    <w:pPr>
      <w:ind w:left="720"/>
      <w:contextualSpacing/>
    </w:pPr>
  </w:style>
  <w:style w:type="paragraph" w:customStyle="1" w:styleId="Sessiontc">
    <w:name w:val="Session_tc"/>
    <w:basedOn w:val="Normal"/>
    <w:rsid w:val="005C6F4C"/>
    <w:pPr>
      <w:spacing w:line="280" w:lineRule="exact"/>
      <w:jc w:val="left"/>
    </w:pPr>
    <w:rPr>
      <w:b/>
      <w:bCs/>
      <w:kern w:val="28"/>
    </w:rPr>
  </w:style>
  <w:style w:type="character" w:customStyle="1" w:styleId="HeaderChar">
    <w:name w:val="Header Char"/>
    <w:basedOn w:val="DefaultParagraphFont"/>
    <w:link w:val="Header"/>
    <w:rsid w:val="005C6F4C"/>
    <w:rPr>
      <w:rFonts w:ascii="Arial" w:hAnsi="Arial"/>
      <w:lang w:val="es-ES"/>
    </w:rPr>
  </w:style>
  <w:style w:type="paragraph" w:customStyle="1" w:styleId="plcountry">
    <w:name w:val="plcountry"/>
    <w:basedOn w:val="Normal"/>
    <w:link w:val="plcountryChar"/>
    <w:rsid w:val="00DE4238"/>
    <w:pPr>
      <w:keepNext/>
      <w:keepLines/>
      <w:spacing w:before="180" w:after="120"/>
      <w:jc w:val="left"/>
    </w:pPr>
    <w:rPr>
      <w:caps/>
      <w:noProof/>
      <w:snapToGrid w:val="0"/>
      <w:u w:val="single"/>
      <w:lang w:val="en-US"/>
    </w:rPr>
  </w:style>
  <w:style w:type="paragraph" w:customStyle="1" w:styleId="plheading">
    <w:name w:val="plheading"/>
    <w:basedOn w:val="Normal"/>
    <w:rsid w:val="00DE4238"/>
    <w:pPr>
      <w:keepNext/>
      <w:spacing w:before="480" w:after="120"/>
      <w:jc w:val="center"/>
    </w:pPr>
    <w:rPr>
      <w:caps/>
      <w:snapToGrid w:val="0"/>
      <w:u w:val="single"/>
      <w:lang w:val="en-US"/>
    </w:rPr>
  </w:style>
  <w:style w:type="character" w:customStyle="1" w:styleId="pldetailsChar">
    <w:name w:val="pldetails Char"/>
    <w:link w:val="pldetails"/>
    <w:locked/>
    <w:rsid w:val="00DE4238"/>
    <w:rPr>
      <w:rFonts w:ascii="Arial" w:hAnsi="Arial"/>
      <w:noProof/>
      <w:snapToGrid w:val="0"/>
      <w:szCs w:val="24"/>
    </w:rPr>
  </w:style>
  <w:style w:type="character" w:customStyle="1" w:styleId="plcountryChar">
    <w:name w:val="plcountry Char"/>
    <w:basedOn w:val="DefaultParagraphFont"/>
    <w:link w:val="plcountry"/>
    <w:rsid w:val="00DE4238"/>
    <w:rPr>
      <w:rFonts w:ascii="Arial" w:hAnsi="Arial"/>
      <w:caps/>
      <w:noProof/>
      <w:snapToGrid w:val="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es/c_56/c_56_8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7139-322A-4D9A-BEC6-482AD325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3678</Words>
  <Characters>22882</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WG-HVR/2/5</vt:lpstr>
      <vt:lpstr>WG-HVR/2/5</vt:lpstr>
    </vt:vector>
  </TitlesOfParts>
  <Company>WIPO</Company>
  <LinksUpToDate>false</LinksUpToDate>
  <CharactersWithSpaces>26507</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WG-HRV/2/6</dc:title>
  <dc:creator>BESSE Ariane</dc:creator>
  <cp:lastModifiedBy>NICOLO Laurianne</cp:lastModifiedBy>
  <cp:revision>7</cp:revision>
  <cp:lastPrinted>2015-11-09T10:11:00Z</cp:lastPrinted>
  <dcterms:created xsi:type="dcterms:W3CDTF">2023-03-21T07:32:00Z</dcterms:created>
  <dcterms:modified xsi:type="dcterms:W3CDTF">2023-03-21T12:33:00Z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48167c22-a5de-4d93-81b3-5237b731fb17</vt:lpwstr>
  </property>
</Properties>
</file>