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3063A" w:rsidRPr="0043063A" w14:paraId="119BD125" w14:textId="77777777" w:rsidTr="00560BEC">
        <w:tc>
          <w:tcPr>
            <w:tcW w:w="6522" w:type="dxa"/>
          </w:tcPr>
          <w:p w14:paraId="16A18BB2" w14:textId="77777777" w:rsidR="0043063A" w:rsidRPr="0043063A" w:rsidRDefault="0043063A" w:rsidP="0043063A">
            <w:r>
              <w:rPr>
                <w:noProof/>
                <w:lang w:val="en-US"/>
              </w:rPr>
              <w:drawing>
                <wp:inline distT="0" distB="0" distL="0" distR="0" wp14:anchorId="40DFCAC2" wp14:editId="647243F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E78F6AB" w14:textId="77777777" w:rsidR="0043063A" w:rsidRPr="0043063A" w:rsidRDefault="0043063A" w:rsidP="0043063A">
            <w:pPr>
              <w:spacing w:line="340" w:lineRule="atLeast"/>
              <w:jc w:val="right"/>
              <w:rPr>
                <w:b/>
                <w:bCs/>
                <w:sz w:val="36"/>
              </w:rPr>
            </w:pPr>
            <w:r>
              <w:rPr>
                <w:b/>
                <w:sz w:val="36"/>
              </w:rPr>
              <w:t>S</w:t>
            </w:r>
          </w:p>
        </w:tc>
      </w:tr>
      <w:tr w:rsidR="0043063A" w:rsidRPr="0043063A" w14:paraId="4A9220F4" w14:textId="77777777" w:rsidTr="00560BEC">
        <w:trPr>
          <w:trHeight w:val="219"/>
        </w:trPr>
        <w:tc>
          <w:tcPr>
            <w:tcW w:w="6522" w:type="dxa"/>
          </w:tcPr>
          <w:p w14:paraId="21B335CF" w14:textId="77777777" w:rsidR="0043063A" w:rsidRPr="0043063A" w:rsidRDefault="0043063A" w:rsidP="0043063A">
            <w:pPr>
              <w:spacing w:before="120"/>
              <w:rPr>
                <w:sz w:val="16"/>
              </w:rPr>
            </w:pPr>
            <w:r>
              <w:rPr>
                <w:sz w:val="16"/>
              </w:rPr>
              <w:t>Unión Internacional para la Protección de las Obtenciones Vegetales</w:t>
            </w:r>
          </w:p>
        </w:tc>
        <w:tc>
          <w:tcPr>
            <w:tcW w:w="3117" w:type="dxa"/>
          </w:tcPr>
          <w:p w14:paraId="732416F8" w14:textId="77777777" w:rsidR="0043063A" w:rsidRPr="0043063A" w:rsidRDefault="0043063A" w:rsidP="0043063A"/>
        </w:tc>
      </w:tr>
    </w:tbl>
    <w:p w14:paraId="63070A07" w14:textId="77777777" w:rsidR="0043063A" w:rsidRPr="0043063A" w:rsidRDefault="0043063A" w:rsidP="0043063A"/>
    <w:p w14:paraId="2018A322" w14:textId="77777777" w:rsidR="0043063A" w:rsidRPr="0043063A" w:rsidRDefault="0043063A" w:rsidP="0043063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3063A" w:rsidRPr="0043063A" w14:paraId="22F635B2" w14:textId="77777777" w:rsidTr="00560BEC">
        <w:tc>
          <w:tcPr>
            <w:tcW w:w="6512" w:type="dxa"/>
          </w:tcPr>
          <w:p w14:paraId="6C371B1A" w14:textId="77777777" w:rsidR="0043063A" w:rsidRPr="0043063A" w:rsidRDefault="0043063A" w:rsidP="0043063A">
            <w:pPr>
              <w:pStyle w:val="Sessiontc"/>
              <w:spacing w:line="240" w:lineRule="auto"/>
            </w:pPr>
            <w:r>
              <w:t>Grupo de trabajo sobre el producto de la cosecha y la utilización no autorizada de material de reproducción o de multiplicación</w:t>
            </w:r>
          </w:p>
          <w:p w14:paraId="1917A6CA" w14:textId="77777777" w:rsidR="0043063A" w:rsidRPr="0043063A" w:rsidRDefault="0016075A" w:rsidP="0043063A">
            <w:pPr>
              <w:spacing w:before="240"/>
              <w:contextualSpacing/>
              <w:jc w:val="left"/>
              <w:rPr>
                <w:b/>
                <w:bCs/>
                <w:kern w:val="28"/>
              </w:rPr>
            </w:pPr>
            <w:r>
              <w:rPr>
                <w:b/>
              </w:rPr>
              <w:t>Segunda reunión</w:t>
            </w:r>
          </w:p>
          <w:p w14:paraId="3B664E0D" w14:textId="77777777" w:rsidR="0043063A" w:rsidRPr="0043063A" w:rsidRDefault="0043063A" w:rsidP="0016075A">
            <w:pPr>
              <w:spacing w:before="240"/>
              <w:contextualSpacing/>
              <w:jc w:val="left"/>
              <w:rPr>
                <w:b/>
                <w:bCs/>
                <w:kern w:val="28"/>
                <w:sz w:val="22"/>
              </w:rPr>
            </w:pPr>
            <w:r>
              <w:rPr>
                <w:b/>
              </w:rPr>
              <w:t>Ginebra, 6 de septiembre de 2022</w:t>
            </w:r>
          </w:p>
        </w:tc>
        <w:tc>
          <w:tcPr>
            <w:tcW w:w="3127" w:type="dxa"/>
          </w:tcPr>
          <w:p w14:paraId="5ECD2B2D" w14:textId="77777777" w:rsidR="0043063A" w:rsidRDefault="0043063A" w:rsidP="0043063A">
            <w:pPr>
              <w:jc w:val="left"/>
              <w:rPr>
                <w:b/>
                <w:bCs/>
                <w:spacing w:val="10"/>
                <w:sz w:val="18"/>
              </w:rPr>
            </w:pPr>
            <w:r>
              <w:rPr>
                <w:b/>
                <w:sz w:val="18"/>
              </w:rPr>
              <w:t>WG-HRV/2/4</w:t>
            </w:r>
          </w:p>
          <w:p w14:paraId="7FFE511C" w14:textId="77777777" w:rsidR="0043063A" w:rsidRDefault="0043063A" w:rsidP="0043063A">
            <w:pPr>
              <w:jc w:val="left"/>
              <w:rPr>
                <w:b/>
                <w:bCs/>
                <w:spacing w:val="10"/>
                <w:sz w:val="18"/>
              </w:rPr>
            </w:pPr>
          </w:p>
          <w:p w14:paraId="5A7A915C" w14:textId="11C95AF7" w:rsidR="0043063A" w:rsidRPr="0043063A" w:rsidRDefault="0043063A" w:rsidP="0043063A">
            <w:pPr>
              <w:spacing w:before="240" w:line="240" w:lineRule="exact"/>
              <w:jc w:val="left"/>
              <w:rPr>
                <w:b/>
                <w:bCs/>
                <w:sz w:val="18"/>
                <w:szCs w:val="18"/>
              </w:rPr>
            </w:pPr>
            <w:r>
              <w:rPr>
                <w:b/>
                <w:sz w:val="18"/>
              </w:rPr>
              <w:t>Original:</w:t>
            </w:r>
            <w:r w:rsidR="008A35F6">
              <w:rPr>
                <w:sz w:val="18"/>
              </w:rPr>
              <w:t xml:space="preserve"> </w:t>
            </w:r>
            <w:r>
              <w:rPr>
                <w:sz w:val="18"/>
              </w:rPr>
              <w:t>Inglés</w:t>
            </w:r>
          </w:p>
          <w:p w14:paraId="2B276FBB" w14:textId="2430ACE6" w:rsidR="0043063A" w:rsidRPr="0043063A" w:rsidRDefault="0043063A" w:rsidP="00DF25EB">
            <w:pPr>
              <w:spacing w:before="240" w:line="240" w:lineRule="exact"/>
              <w:contextualSpacing/>
              <w:jc w:val="left"/>
              <w:rPr>
                <w:b/>
                <w:bCs/>
                <w:spacing w:val="10"/>
                <w:sz w:val="18"/>
              </w:rPr>
            </w:pPr>
            <w:r>
              <w:rPr>
                <w:b/>
                <w:bCs/>
                <w:sz w:val="18"/>
              </w:rPr>
              <w:t>Fecha</w:t>
            </w:r>
            <w:r>
              <w:rPr>
                <w:sz w:val="18"/>
              </w:rPr>
              <w:t>:</w:t>
            </w:r>
            <w:r w:rsidR="008A35F6">
              <w:rPr>
                <w:sz w:val="18"/>
              </w:rPr>
              <w:t xml:space="preserve"> </w:t>
            </w:r>
            <w:r>
              <w:rPr>
                <w:sz w:val="18"/>
              </w:rPr>
              <w:t>10 de agosto de 2022</w:t>
            </w:r>
          </w:p>
        </w:tc>
      </w:tr>
    </w:tbl>
    <w:p w14:paraId="5A76C28E" w14:textId="77777777" w:rsidR="0043063A" w:rsidRPr="0043063A" w:rsidRDefault="005F5D55" w:rsidP="0043063A">
      <w:pPr>
        <w:pStyle w:val="Titleofdoc0"/>
      </w:pPr>
      <w:r>
        <w:t xml:space="preserve">PROPUESTAS ACERCA DE LAS NOTAS EXPLICATIVAS SOBRE LOS ACTOS RESPECTO DEL PRODUCTO DE LA COSECHA CON ARREGLO AL ACTA DE 1991 DEL CONVENIO DE LA UPOV </w:t>
      </w:r>
    </w:p>
    <w:p w14:paraId="1912BA13" w14:textId="77777777" w:rsidR="0043063A" w:rsidRPr="0043063A" w:rsidRDefault="0043063A" w:rsidP="0043063A">
      <w:pPr>
        <w:spacing w:after="240"/>
        <w:jc w:val="left"/>
        <w:rPr>
          <w:i/>
          <w:iCs/>
        </w:rPr>
      </w:pPr>
      <w:r>
        <w:rPr>
          <w:i/>
        </w:rPr>
        <w:t>Documento preparado por la Oficina de la Unión</w:t>
      </w:r>
    </w:p>
    <w:p w14:paraId="7E79215F" w14:textId="2BDF0BE3" w:rsidR="0016075A" w:rsidRPr="00F07094" w:rsidRDefault="0043063A" w:rsidP="00F07094">
      <w:pPr>
        <w:spacing w:after="600"/>
        <w:jc w:val="left"/>
        <w:rPr>
          <w:i/>
          <w:iCs/>
          <w:color w:val="A6A6A6" w:themeColor="background1" w:themeShade="A6"/>
        </w:rPr>
      </w:pPr>
      <w:r>
        <w:rPr>
          <w:i/>
          <w:color w:val="A6A6A6" w:themeColor="background1" w:themeShade="A6"/>
        </w:rPr>
        <w:t>Descargo de responsabilidad:</w:t>
      </w:r>
      <w:r w:rsidR="008A35F6">
        <w:rPr>
          <w:i/>
          <w:color w:val="A6A6A6" w:themeColor="background1" w:themeShade="A6"/>
        </w:rPr>
        <w:t xml:space="preserve"> </w:t>
      </w:r>
      <w:r>
        <w:rPr>
          <w:i/>
          <w:color w:val="A6A6A6" w:themeColor="background1" w:themeShade="A6"/>
        </w:rPr>
        <w:t>el presente documento no constituye un documento de política u orientación de la UPOV</w:t>
      </w:r>
    </w:p>
    <w:p w14:paraId="08023BBE" w14:textId="0DA8C609" w:rsidR="0016075A" w:rsidRPr="00121F03" w:rsidRDefault="0016075A" w:rsidP="00121F03">
      <w:pPr>
        <w:rPr>
          <w:b/>
        </w:rPr>
      </w:pPr>
      <w:r>
        <w:fldChar w:fldCharType="begin"/>
      </w:r>
      <w:r>
        <w:instrText xml:space="preserve"> AUTONUM  </w:instrText>
      </w:r>
      <w:r>
        <w:fldChar w:fldCharType="end"/>
      </w:r>
      <w:r>
        <w:tab/>
        <w:t xml:space="preserve">En </w:t>
      </w:r>
      <w:r w:rsidRPr="0017491A">
        <w:t>su primera reunión, celebrada por medios electrónicos el 15 de marzo de 2022, el Grupo de trabajo sobre el producto de la cosecha y la utilización no autorizada de material de reproducción o de multiplicación (WG-HRV) examinó el documento</w:t>
      </w:r>
      <w:r w:rsidR="008A35F6" w:rsidRPr="0017491A">
        <w:t> </w:t>
      </w:r>
      <w:r w:rsidRPr="0017491A">
        <w:t>WG-HRV/1/4 “Propuestas acerca de las notas explicativas sobre los actos respecto del producto de la cosecha con arreglo al Acta de 1991 del Convenio de la UPOV</w:t>
      </w:r>
      <w:r>
        <w:t>” y convino en lo siguiente (véanse los párrafos 11 a 13 del documento WG-HRV/1/6 “Informe" reproducidos a continuación):</w:t>
      </w:r>
    </w:p>
    <w:p w14:paraId="58BA8FCF" w14:textId="77777777" w:rsidR="00BE0D57" w:rsidRDefault="00BE0D57" w:rsidP="0016075A">
      <w:pPr>
        <w:jc w:val="left"/>
      </w:pPr>
    </w:p>
    <w:p w14:paraId="16BD9D6F" w14:textId="7438E1BD" w:rsidR="0016075A" w:rsidRPr="00DF68B3" w:rsidRDefault="0016075A" w:rsidP="00DF68B3">
      <w:pPr>
        <w:ind w:left="567" w:right="567"/>
        <w:jc w:val="left"/>
        <w:rPr>
          <w:sz w:val="18"/>
          <w:szCs w:val="18"/>
        </w:rPr>
      </w:pPr>
      <w:r>
        <w:rPr>
          <w:sz w:val="18"/>
        </w:rPr>
        <w:t xml:space="preserve">“11. </w:t>
      </w:r>
      <w:r>
        <w:rPr>
          <w:sz w:val="18"/>
        </w:rPr>
        <w:tab/>
        <w:t>El WG-HRV convino en que se examinen los siguientes asuntos en relación con la revisión de las Notas explicativas sobre los actos respecto del producto de la cosecha con arreglo al Acta de 1991 del Convenio de la UPOV:</w:t>
      </w:r>
    </w:p>
    <w:p w14:paraId="034D6579" w14:textId="77777777" w:rsidR="0016075A" w:rsidRDefault="0016075A" w:rsidP="0016075A">
      <w:pPr>
        <w:jc w:val="left"/>
      </w:pPr>
    </w:p>
    <w:tbl>
      <w:tblPr>
        <w:tblStyle w:val="TableGrid"/>
        <w:tblW w:w="8505" w:type="dxa"/>
        <w:tblInd w:w="421" w:type="dxa"/>
        <w:tblLook w:val="04A0" w:firstRow="1" w:lastRow="0" w:firstColumn="1" w:lastColumn="0" w:noHBand="0" w:noVBand="1"/>
      </w:tblPr>
      <w:tblGrid>
        <w:gridCol w:w="1387"/>
        <w:gridCol w:w="7118"/>
      </w:tblGrid>
      <w:tr w:rsidR="0016075A" w14:paraId="3D3F36A7" w14:textId="77777777" w:rsidTr="0016075A">
        <w:tc>
          <w:tcPr>
            <w:tcW w:w="1271" w:type="dxa"/>
          </w:tcPr>
          <w:p w14:paraId="4B3A84A2" w14:textId="77777777" w:rsidR="0016075A" w:rsidRPr="0088342F" w:rsidRDefault="0016075A" w:rsidP="00B348FD">
            <w:pPr>
              <w:jc w:val="left"/>
              <w:rPr>
                <w:sz w:val="18"/>
                <w:szCs w:val="18"/>
              </w:rPr>
            </w:pPr>
            <w:r>
              <w:rPr>
                <w:sz w:val="18"/>
              </w:rPr>
              <w:t xml:space="preserve">Generalidades </w:t>
            </w:r>
          </w:p>
        </w:tc>
        <w:tc>
          <w:tcPr>
            <w:tcW w:w="7234" w:type="dxa"/>
          </w:tcPr>
          <w:p w14:paraId="6588A256" w14:textId="77777777" w:rsidR="0016075A" w:rsidRDefault="000C72D9" w:rsidP="00B348FD">
            <w:pPr>
              <w:jc w:val="left"/>
              <w:rPr>
                <w:sz w:val="18"/>
              </w:rPr>
            </w:pPr>
            <w:r>
              <w:rPr>
                <w:sz w:val="18"/>
              </w:rPr>
              <w:t>E</w:t>
            </w:r>
            <w:r w:rsidR="0016075A">
              <w:rPr>
                <w:sz w:val="18"/>
              </w:rPr>
              <w:t xml:space="preserve">n la versión en inglés, sustituir </w:t>
            </w:r>
            <w:r w:rsidR="00DF68B3">
              <w:rPr>
                <w:rFonts w:cs="Arial"/>
                <w:sz w:val="18"/>
              </w:rPr>
              <w:t>‘</w:t>
            </w:r>
            <w:r w:rsidR="0016075A">
              <w:rPr>
                <w:i/>
                <w:iCs/>
                <w:sz w:val="18"/>
                <w:highlight w:val="lightGray"/>
              </w:rPr>
              <w:t>his</w:t>
            </w:r>
            <w:r w:rsidR="0016075A">
              <w:rPr>
                <w:i/>
                <w:iCs/>
                <w:sz w:val="18"/>
              </w:rPr>
              <w:t xml:space="preserve"> right</w:t>
            </w:r>
            <w:r w:rsidR="00DF68B3">
              <w:rPr>
                <w:sz w:val="18"/>
              </w:rPr>
              <w:t>’</w:t>
            </w:r>
            <w:r w:rsidR="0016075A">
              <w:rPr>
                <w:sz w:val="18"/>
              </w:rPr>
              <w:t xml:space="preserve"> por </w:t>
            </w:r>
            <w:r w:rsidR="00DF68B3">
              <w:rPr>
                <w:sz w:val="18"/>
              </w:rPr>
              <w:t>‘</w:t>
            </w:r>
            <w:r w:rsidR="0016075A">
              <w:rPr>
                <w:i/>
                <w:iCs/>
                <w:sz w:val="18"/>
                <w:highlight w:val="lightGray"/>
              </w:rPr>
              <w:t>their</w:t>
            </w:r>
            <w:r w:rsidR="0016075A">
              <w:rPr>
                <w:i/>
                <w:iCs/>
                <w:sz w:val="18"/>
              </w:rPr>
              <w:t xml:space="preserve"> right</w:t>
            </w:r>
            <w:r w:rsidR="00DF68B3">
              <w:rPr>
                <w:sz w:val="18"/>
              </w:rPr>
              <w:t>’</w:t>
            </w:r>
            <w:r w:rsidR="0016075A">
              <w:rPr>
                <w:sz w:val="18"/>
              </w:rPr>
              <w:t xml:space="preserve"> en las partes pertinentes del documento, salvo que se trate de una cita del Artículo 14.2) del Acta de 1991 del Convenio de la UPOV.</w:t>
            </w:r>
          </w:p>
          <w:p w14:paraId="1EFF251B" w14:textId="521E0A94" w:rsidR="000C72D9" w:rsidRPr="000C72D9" w:rsidRDefault="000C72D9" w:rsidP="00B348FD">
            <w:pPr>
              <w:jc w:val="left"/>
              <w:rPr>
                <w:sz w:val="12"/>
                <w:szCs w:val="12"/>
              </w:rPr>
            </w:pPr>
          </w:p>
        </w:tc>
      </w:tr>
      <w:tr w:rsidR="0016075A" w14:paraId="465F9BA9" w14:textId="77777777" w:rsidTr="0016075A">
        <w:tc>
          <w:tcPr>
            <w:tcW w:w="1271" w:type="dxa"/>
          </w:tcPr>
          <w:p w14:paraId="3D208733" w14:textId="77777777" w:rsidR="0016075A" w:rsidRPr="0088342F" w:rsidRDefault="0016075A" w:rsidP="00B348FD">
            <w:pPr>
              <w:jc w:val="left"/>
              <w:rPr>
                <w:sz w:val="18"/>
                <w:szCs w:val="18"/>
              </w:rPr>
            </w:pPr>
            <w:r>
              <w:rPr>
                <w:sz w:val="18"/>
              </w:rPr>
              <w:t xml:space="preserve">Párrafo 1 </w:t>
            </w:r>
          </w:p>
        </w:tc>
        <w:tc>
          <w:tcPr>
            <w:tcW w:w="7234" w:type="dxa"/>
          </w:tcPr>
          <w:p w14:paraId="23EF83E6" w14:textId="3F3E98C8" w:rsidR="0016075A" w:rsidRPr="0088342F" w:rsidRDefault="0016075A" w:rsidP="00B348FD">
            <w:pPr>
              <w:rPr>
                <w:sz w:val="18"/>
                <w:szCs w:val="18"/>
                <w:u w:val="single"/>
              </w:rPr>
            </w:pPr>
            <w:r>
              <w:rPr>
                <w:sz w:val="18"/>
              </w:rPr>
              <w:t xml:space="preserve">Añadir la nota al pie 1 a continuación de </w:t>
            </w:r>
            <w:r w:rsidR="00DF68B3">
              <w:rPr>
                <w:sz w:val="18"/>
              </w:rPr>
              <w:t>‘</w:t>
            </w:r>
            <w:r>
              <w:rPr>
                <w:sz w:val="18"/>
              </w:rPr>
              <w:t>obtentor</w:t>
            </w:r>
            <w:r w:rsidR="00DF68B3">
              <w:rPr>
                <w:sz w:val="18"/>
              </w:rPr>
              <w:t>’</w:t>
            </w:r>
            <w:r>
              <w:rPr>
                <w:sz w:val="18"/>
              </w:rPr>
              <w:t xml:space="preserve">, sobre la base del texto siguiente: </w:t>
            </w:r>
            <w:r w:rsidR="00DF68B3">
              <w:rPr>
                <w:sz w:val="18"/>
                <w:highlight w:val="lightGray"/>
              </w:rPr>
              <w:t>‘</w:t>
            </w:r>
            <w:r>
              <w:rPr>
                <w:sz w:val="18"/>
                <w:highlight w:val="lightGray"/>
                <w:u w:val="single"/>
              </w:rPr>
              <w:t>A los efectos de la presente nota explicativa, el término ’obtentor’ incluye tanto al obtentor conforme al Artículo 1)iv) del Acta de 1991 del Convenio de la UPOV como al titular del derecho, según el caso.</w:t>
            </w:r>
            <w:r w:rsidR="00DF68B3">
              <w:rPr>
                <w:sz w:val="18"/>
              </w:rPr>
              <w:t>’</w:t>
            </w:r>
            <w:r>
              <w:rPr>
                <w:sz w:val="18"/>
              </w:rPr>
              <w:t xml:space="preserve"> y de conformidad con el texto empleado en los documentos de orientación de la UPOV. </w:t>
            </w:r>
          </w:p>
          <w:p w14:paraId="36A3D643" w14:textId="77777777" w:rsidR="0016075A" w:rsidRPr="000C72D9" w:rsidRDefault="0016075A" w:rsidP="00B348FD">
            <w:pPr>
              <w:jc w:val="left"/>
              <w:rPr>
                <w:sz w:val="12"/>
                <w:szCs w:val="12"/>
              </w:rPr>
            </w:pPr>
          </w:p>
        </w:tc>
      </w:tr>
      <w:tr w:rsidR="0016075A" w14:paraId="7ABF0726" w14:textId="77777777" w:rsidTr="0016075A">
        <w:tc>
          <w:tcPr>
            <w:tcW w:w="1271" w:type="dxa"/>
          </w:tcPr>
          <w:p w14:paraId="5CE37BA2" w14:textId="77777777" w:rsidR="0016075A" w:rsidRPr="0088342F" w:rsidRDefault="0016075A" w:rsidP="00B348FD">
            <w:pPr>
              <w:jc w:val="left"/>
              <w:rPr>
                <w:sz w:val="18"/>
                <w:szCs w:val="18"/>
              </w:rPr>
            </w:pPr>
            <w:r>
              <w:rPr>
                <w:sz w:val="18"/>
              </w:rPr>
              <w:t>Párrafo 3</w:t>
            </w:r>
          </w:p>
        </w:tc>
        <w:tc>
          <w:tcPr>
            <w:tcW w:w="7234" w:type="dxa"/>
          </w:tcPr>
          <w:p w14:paraId="1E0ADC81" w14:textId="0C557ED0" w:rsidR="0016075A" w:rsidRDefault="0016075A" w:rsidP="00B348FD">
            <w:pPr>
              <w:keepNext/>
              <w:keepLines/>
              <w:rPr>
                <w:sz w:val="18"/>
              </w:rPr>
            </w:pPr>
            <w:r>
              <w:rPr>
                <w:sz w:val="18"/>
              </w:rPr>
              <w:t>Modificar el texto como se indica a continuación:</w:t>
            </w:r>
            <w:r w:rsidR="008A35F6">
              <w:rPr>
                <w:sz w:val="18"/>
              </w:rPr>
              <w:t xml:space="preserve"> </w:t>
            </w:r>
            <w:r w:rsidR="00DF68B3">
              <w:rPr>
                <w:sz w:val="18"/>
              </w:rPr>
              <w:t>‘</w:t>
            </w:r>
            <w:r>
              <w:rPr>
                <w:sz w:val="18"/>
              </w:rPr>
              <w:t>La precisión de que el producto de la cosecha incluye las plantas enteras y las partes de plantas, que es un material que potencialmente puede utilizarse a los fines de reproducción o de multiplicación, indica que, como mínimo algunas formas del producto de la cosecha pueden utilizarse como material de reproducción o de multiplicación.</w:t>
            </w:r>
            <w:r w:rsidR="008A35F6">
              <w:t xml:space="preserve"> </w:t>
            </w:r>
            <w:r w:rsidRPr="00D85B1E">
              <w:rPr>
                <w:sz w:val="18"/>
                <w:highlight w:val="lightGray"/>
                <w:u w:val="single"/>
              </w:rPr>
              <w:t>Si el producto de la cosecha puede utilizarse como material de reproducción o de multiplicación, puede considerarse material de reproducción o de multiplicación</w:t>
            </w:r>
            <w:r>
              <w:rPr>
                <w:sz w:val="18"/>
                <w:highlight w:val="lightGray"/>
              </w:rPr>
              <w:t>.</w:t>
            </w:r>
            <w:r w:rsidR="00DF68B3">
              <w:rPr>
                <w:sz w:val="18"/>
                <w:highlight w:val="lightGray"/>
              </w:rPr>
              <w:t>’</w:t>
            </w:r>
          </w:p>
          <w:p w14:paraId="21BA14DC" w14:textId="77777777" w:rsidR="0016075A" w:rsidRPr="000C72D9" w:rsidRDefault="0016075A" w:rsidP="00B348FD">
            <w:pPr>
              <w:jc w:val="left"/>
              <w:rPr>
                <w:sz w:val="14"/>
                <w:szCs w:val="14"/>
              </w:rPr>
            </w:pPr>
          </w:p>
        </w:tc>
      </w:tr>
    </w:tbl>
    <w:p w14:paraId="0D8224BC" w14:textId="77777777" w:rsidR="0016075A" w:rsidRDefault="0016075A" w:rsidP="0016075A">
      <w:pPr>
        <w:jc w:val="left"/>
      </w:pPr>
    </w:p>
    <w:p w14:paraId="1583C8BE" w14:textId="77777777" w:rsidR="00F07094" w:rsidRDefault="00F07094" w:rsidP="0016075A"/>
    <w:p w14:paraId="7BB8E4D5" w14:textId="70722D49" w:rsidR="0016075A" w:rsidRPr="00F07094" w:rsidRDefault="00F07094" w:rsidP="000C1E42">
      <w:pPr>
        <w:ind w:left="567"/>
        <w:rPr>
          <w:sz w:val="18"/>
          <w:szCs w:val="18"/>
        </w:rPr>
      </w:pPr>
      <w:r>
        <w:rPr>
          <w:sz w:val="18"/>
        </w:rPr>
        <w:t xml:space="preserve">12. </w:t>
      </w:r>
      <w:r>
        <w:rPr>
          <w:sz w:val="18"/>
        </w:rPr>
        <w:tab/>
        <w:t xml:space="preserve">El WG-HRV examinó las propuestas y observaciones relativas al apartado </w:t>
      </w:r>
      <w:r w:rsidR="00DF68B3">
        <w:rPr>
          <w:sz w:val="18"/>
        </w:rPr>
        <w:t>‘</w:t>
      </w:r>
      <w:r>
        <w:rPr>
          <w:sz w:val="18"/>
        </w:rPr>
        <w:t>c) Utilización no autorizada de material de reproducción o de multiplicación</w:t>
      </w:r>
      <w:r w:rsidR="00DF68B3">
        <w:rPr>
          <w:sz w:val="18"/>
        </w:rPr>
        <w:t>’</w:t>
      </w:r>
      <w:r>
        <w:rPr>
          <w:sz w:val="18"/>
        </w:rPr>
        <w:t xml:space="preserve"> del Anexo del documento WG-HRV/1/4 y convino en que se debatan las cuestiones siguientes en su próxima reunión:</w:t>
      </w:r>
      <w:r w:rsidR="008A35F6">
        <w:rPr>
          <w:sz w:val="18"/>
        </w:rPr>
        <w:t xml:space="preserve"> </w:t>
      </w:r>
    </w:p>
    <w:p w14:paraId="7F2FA7FA" w14:textId="77777777" w:rsidR="0016075A" w:rsidRPr="00F07094" w:rsidRDefault="0016075A" w:rsidP="0016075A">
      <w:pPr>
        <w:rPr>
          <w:sz w:val="18"/>
          <w:szCs w:val="18"/>
        </w:rPr>
      </w:pPr>
    </w:p>
    <w:p w14:paraId="624C1189" w14:textId="33F3C72C" w:rsidR="0016075A" w:rsidRPr="00F07094" w:rsidRDefault="0016075A" w:rsidP="00DF1CE0">
      <w:pPr>
        <w:tabs>
          <w:tab w:val="left" w:pos="1418"/>
        </w:tabs>
        <w:ind w:left="567" w:firstLine="567"/>
        <w:rPr>
          <w:sz w:val="18"/>
          <w:szCs w:val="18"/>
        </w:rPr>
      </w:pPr>
      <w:r>
        <w:rPr>
          <w:sz w:val="18"/>
        </w:rPr>
        <w:t>a)</w:t>
      </w:r>
      <w:r w:rsidR="00DF1CE0">
        <w:rPr>
          <w:sz w:val="18"/>
        </w:rPr>
        <w:tab/>
      </w:r>
      <w:r>
        <w:rPr>
          <w:sz w:val="18"/>
        </w:rPr>
        <w:t xml:space="preserve">el principio de la protección en cascada con arreglo al </w:t>
      </w:r>
      <w:r w:rsidR="00DF68B3">
        <w:rPr>
          <w:sz w:val="18"/>
        </w:rPr>
        <w:t>‘</w:t>
      </w:r>
      <w:r>
        <w:rPr>
          <w:sz w:val="18"/>
        </w:rPr>
        <w:t>Alcance del derecho de obtentor</w:t>
      </w:r>
      <w:r w:rsidR="00DF68B3">
        <w:rPr>
          <w:sz w:val="18"/>
        </w:rPr>
        <w:t>’</w:t>
      </w:r>
      <w:r>
        <w:rPr>
          <w:sz w:val="18"/>
        </w:rPr>
        <w:t xml:space="preserve"> (Artículo 14 del Acta de 1991) y su relación con las disposiciones acerca del </w:t>
      </w:r>
      <w:r w:rsidR="00DF68B3">
        <w:rPr>
          <w:sz w:val="18"/>
        </w:rPr>
        <w:t>‘</w:t>
      </w:r>
      <w:r>
        <w:rPr>
          <w:sz w:val="18"/>
        </w:rPr>
        <w:t>Agotamiento del derecho de obtentor</w:t>
      </w:r>
      <w:r w:rsidR="00DF68B3">
        <w:rPr>
          <w:sz w:val="18"/>
        </w:rPr>
        <w:t>’</w:t>
      </w:r>
      <w:r>
        <w:rPr>
          <w:sz w:val="18"/>
        </w:rPr>
        <w:t xml:space="preserve"> (Artículo 16 del Acta de 1991);</w:t>
      </w:r>
      <w:r w:rsidR="008A35F6">
        <w:rPr>
          <w:sz w:val="18"/>
        </w:rPr>
        <w:t xml:space="preserve"> </w:t>
      </w:r>
    </w:p>
    <w:p w14:paraId="1B49AE61" w14:textId="77777777" w:rsidR="0016075A" w:rsidRPr="00F07094" w:rsidRDefault="0016075A" w:rsidP="00DF1CE0">
      <w:pPr>
        <w:tabs>
          <w:tab w:val="left" w:pos="1418"/>
        </w:tabs>
        <w:ind w:firstLine="567"/>
        <w:rPr>
          <w:sz w:val="18"/>
          <w:szCs w:val="18"/>
        </w:rPr>
      </w:pPr>
    </w:p>
    <w:p w14:paraId="74B39182" w14:textId="5FDDF29D" w:rsidR="0016075A" w:rsidRPr="00F07094" w:rsidRDefault="0016075A" w:rsidP="00DF1CE0">
      <w:pPr>
        <w:tabs>
          <w:tab w:val="left" w:pos="1418"/>
        </w:tabs>
        <w:ind w:left="567" w:firstLine="567"/>
        <w:rPr>
          <w:sz w:val="18"/>
          <w:szCs w:val="18"/>
        </w:rPr>
      </w:pPr>
      <w:r>
        <w:rPr>
          <w:sz w:val="18"/>
        </w:rPr>
        <w:t>b)</w:t>
      </w:r>
      <w:r w:rsidR="00DF1CE0">
        <w:rPr>
          <w:sz w:val="18"/>
        </w:rPr>
        <w:tab/>
      </w:r>
      <w:r>
        <w:rPr>
          <w:sz w:val="18"/>
        </w:rPr>
        <w:t xml:space="preserve">los antecedentes de dichas disposiciones, en particular el concepto de </w:t>
      </w:r>
      <w:r w:rsidR="00DF68B3">
        <w:rPr>
          <w:sz w:val="18"/>
        </w:rPr>
        <w:t>‘</w:t>
      </w:r>
      <w:r>
        <w:rPr>
          <w:sz w:val="18"/>
        </w:rPr>
        <w:t>utilización no autorizada</w:t>
      </w:r>
      <w:r w:rsidR="00DF68B3">
        <w:rPr>
          <w:sz w:val="18"/>
        </w:rPr>
        <w:t>’</w:t>
      </w:r>
      <w:r>
        <w:rPr>
          <w:sz w:val="18"/>
        </w:rPr>
        <w:t xml:space="preserve"> conforme al Artículo 14.2) y el concepto de </w:t>
      </w:r>
      <w:r w:rsidR="00DF68B3">
        <w:rPr>
          <w:sz w:val="18"/>
        </w:rPr>
        <w:t>‘</w:t>
      </w:r>
      <w:r>
        <w:rPr>
          <w:sz w:val="18"/>
        </w:rPr>
        <w:t>consentimiento</w:t>
      </w:r>
      <w:r w:rsidR="00DF68B3">
        <w:rPr>
          <w:sz w:val="18"/>
        </w:rPr>
        <w:t>’</w:t>
      </w:r>
      <w:r>
        <w:rPr>
          <w:sz w:val="18"/>
        </w:rPr>
        <w:t xml:space="preserve"> conforme al Artículo 16; y </w:t>
      </w:r>
    </w:p>
    <w:p w14:paraId="27E21300" w14:textId="77777777" w:rsidR="0016075A" w:rsidRPr="00F07094" w:rsidRDefault="0016075A" w:rsidP="00DF1CE0">
      <w:pPr>
        <w:tabs>
          <w:tab w:val="left" w:pos="1418"/>
        </w:tabs>
        <w:ind w:firstLine="567"/>
        <w:rPr>
          <w:sz w:val="18"/>
          <w:szCs w:val="18"/>
        </w:rPr>
      </w:pPr>
    </w:p>
    <w:p w14:paraId="26FFBAB2" w14:textId="0F2A472D" w:rsidR="0016075A" w:rsidRPr="00F07094" w:rsidRDefault="0016075A" w:rsidP="00DF1CE0">
      <w:pPr>
        <w:tabs>
          <w:tab w:val="left" w:pos="1418"/>
        </w:tabs>
        <w:ind w:left="567" w:firstLine="567"/>
        <w:rPr>
          <w:sz w:val="18"/>
          <w:szCs w:val="18"/>
        </w:rPr>
      </w:pPr>
      <w:r>
        <w:rPr>
          <w:sz w:val="18"/>
        </w:rPr>
        <w:t>c)</w:t>
      </w:r>
      <w:r w:rsidR="00DF1CE0">
        <w:rPr>
          <w:sz w:val="18"/>
        </w:rPr>
        <w:tab/>
      </w:r>
      <w:r>
        <w:rPr>
          <w:sz w:val="18"/>
        </w:rPr>
        <w:t>aclaraciones sobre dónde ha tenido lugar la utilización y dónde se puede ejercer el derecho.</w:t>
      </w:r>
      <w:r w:rsidR="008A35F6">
        <w:rPr>
          <w:sz w:val="18"/>
        </w:rPr>
        <w:t xml:space="preserve"> </w:t>
      </w:r>
    </w:p>
    <w:p w14:paraId="3BAA1462" w14:textId="77777777" w:rsidR="0016075A" w:rsidRPr="00F07094" w:rsidRDefault="0016075A" w:rsidP="00DF1CE0">
      <w:pPr>
        <w:tabs>
          <w:tab w:val="left" w:pos="1418"/>
        </w:tabs>
        <w:rPr>
          <w:sz w:val="18"/>
          <w:szCs w:val="18"/>
        </w:rPr>
      </w:pPr>
    </w:p>
    <w:p w14:paraId="06DCC5A7" w14:textId="77777777" w:rsidR="0016075A" w:rsidRPr="00F07094" w:rsidRDefault="00F07094" w:rsidP="00DF1CE0">
      <w:pPr>
        <w:tabs>
          <w:tab w:val="left" w:pos="1418"/>
        </w:tabs>
        <w:ind w:left="567"/>
        <w:rPr>
          <w:sz w:val="18"/>
          <w:szCs w:val="18"/>
        </w:rPr>
      </w:pPr>
      <w:r>
        <w:rPr>
          <w:sz w:val="18"/>
        </w:rPr>
        <w:t>Se decidió que la Oficina de la Unión recopile información que los miembros del WG-HRV deseen poner en común acerca de las cuestiones mencionadas y facilite información de referencia sobre las disposiciones indicadas que sirva de base a las deliberaciones de la segunda reunión del Grupo de trabajo.</w:t>
      </w:r>
    </w:p>
    <w:p w14:paraId="5E97472C" w14:textId="77777777" w:rsidR="0016075A" w:rsidRPr="00F07094" w:rsidRDefault="0016075A" w:rsidP="0016075A">
      <w:pPr>
        <w:rPr>
          <w:sz w:val="18"/>
          <w:szCs w:val="18"/>
        </w:rPr>
      </w:pPr>
    </w:p>
    <w:p w14:paraId="6C9242F7" w14:textId="6476AE42" w:rsidR="00F07094" w:rsidRPr="00F07094" w:rsidRDefault="00F07094" w:rsidP="00F07094">
      <w:pPr>
        <w:ind w:left="567"/>
        <w:rPr>
          <w:sz w:val="18"/>
          <w:szCs w:val="18"/>
        </w:rPr>
      </w:pPr>
      <w:r>
        <w:rPr>
          <w:sz w:val="18"/>
        </w:rPr>
        <w:lastRenderedPageBreak/>
        <w:t xml:space="preserve">13. </w:t>
      </w:r>
      <w:r>
        <w:rPr>
          <w:sz w:val="18"/>
        </w:rPr>
        <w:tab/>
        <w:t xml:space="preserve">El WG-HRV examinó las propuestas y observaciones relativas al apartado </w:t>
      </w:r>
      <w:r w:rsidR="00DF68B3">
        <w:rPr>
          <w:sz w:val="18"/>
        </w:rPr>
        <w:t>‘</w:t>
      </w:r>
      <w:r>
        <w:rPr>
          <w:sz w:val="18"/>
        </w:rPr>
        <w:t>d) Poder ejercer razonablemente su derecho</w:t>
      </w:r>
      <w:r w:rsidR="00DF68B3">
        <w:rPr>
          <w:sz w:val="18"/>
        </w:rPr>
        <w:t>’</w:t>
      </w:r>
      <w:r>
        <w:rPr>
          <w:sz w:val="18"/>
        </w:rPr>
        <w:t xml:space="preserve"> del Anexo del documento WG-HRV/1/4 y acordó estudiar más a fondo esa cuestión en la segunda reunión del Grupo de trabajo.</w:t>
      </w:r>
      <w:r w:rsidR="008A35F6">
        <w:rPr>
          <w:sz w:val="18"/>
        </w:rPr>
        <w:t xml:space="preserve"> </w:t>
      </w:r>
      <w:r>
        <w:rPr>
          <w:sz w:val="18"/>
        </w:rPr>
        <w:t>Se convino en que facilitarían las deliberaciones unos ejemplos ilustrativos del funcionamiento en la práctica del suministro de información.”</w:t>
      </w:r>
    </w:p>
    <w:p w14:paraId="421FF1B8" w14:textId="77777777" w:rsidR="00F07094" w:rsidRDefault="00F07094" w:rsidP="00F07094">
      <w:pPr>
        <w:ind w:left="567"/>
      </w:pPr>
    </w:p>
    <w:p w14:paraId="5E890093" w14:textId="6C9F10D0" w:rsidR="00F07094" w:rsidRDefault="00F07094" w:rsidP="00F07094">
      <w:r>
        <w:fldChar w:fldCharType="begin"/>
      </w:r>
      <w:r>
        <w:instrText xml:space="preserve"> AUTONUM  </w:instrText>
      </w:r>
      <w:r>
        <w:fldChar w:fldCharType="end"/>
      </w:r>
      <w:r>
        <w:tab/>
        <w:t>El WG-HRV acordó invitar a que se formulen más observaciones acerca de los documentos</w:t>
      </w:r>
      <w:r w:rsidR="00DF1CE0">
        <w:t> </w:t>
      </w:r>
      <w:r>
        <w:t>WG</w:t>
      </w:r>
      <w:r w:rsidR="00DF68B3">
        <w:noBreakHyphen/>
      </w:r>
      <w:r>
        <w:t>HRV/1/3, WG-HRV/1/4 y WG-HRV/1/5 en un plazo de seis semanas desde su primera reunión (véanse el párrafo 15 del documento WG-HRV/1/6 “Informe” y la circular E-22/058 de la UPOV de 12 de abril de 2022).</w:t>
      </w:r>
    </w:p>
    <w:p w14:paraId="48E7F459" w14:textId="77777777" w:rsidR="00F07094" w:rsidRDefault="00F07094" w:rsidP="00F07094">
      <w:pPr>
        <w:ind w:left="567"/>
      </w:pPr>
      <w:r>
        <w:tab/>
      </w:r>
    </w:p>
    <w:p w14:paraId="0595D839" w14:textId="77777777" w:rsidR="00F07094" w:rsidRDefault="00F07094" w:rsidP="00F07094">
      <w:r>
        <w:fldChar w:fldCharType="begin"/>
      </w:r>
      <w:r>
        <w:instrText xml:space="preserve"> AUTONUM  </w:instrText>
      </w:r>
      <w:r>
        <w:fldChar w:fldCharType="end"/>
      </w:r>
      <w:r>
        <w:tab/>
        <w:t>En respuesta a la circular E-22/058 de la UPOV, se recibieron propuestas de Nueva Zelandia y la Asociación Internacional de Productores Hortícolas (AIPH) para la revisión del documento UPOV/EXN/HRV/1.</w:t>
      </w:r>
    </w:p>
    <w:p w14:paraId="6094A6AC" w14:textId="77777777" w:rsidR="00F07094" w:rsidRDefault="00F07094" w:rsidP="00F07094">
      <w:pPr>
        <w:ind w:left="567"/>
      </w:pPr>
    </w:p>
    <w:p w14:paraId="41CAF584" w14:textId="1437734B" w:rsidR="00F07094" w:rsidRDefault="00F07094" w:rsidP="00F07094">
      <w:r>
        <w:fldChar w:fldCharType="begin"/>
      </w:r>
      <w:r>
        <w:instrText xml:space="preserve"> AUTONUM  </w:instrText>
      </w:r>
      <w:r>
        <w:fldChar w:fldCharType="end"/>
      </w:r>
      <w:r>
        <w:tab/>
        <w:t>En el Anexo del presente documento, las propuestas acordadas en la primera reunión y las propuestas recibidas en respuesta a la circular E-22/058 se han incorporado al texto del documento UPOV/EXN/HRV/1 introducidas en recuadros, con notas finales en que se facilita información de referencia.</w:t>
      </w:r>
      <w:r w:rsidR="008A35F6">
        <w:t xml:space="preserve"> </w:t>
      </w:r>
      <w:r>
        <w:t xml:space="preserve">Cuando las nuevas propuestas se refieren a propuestas anteriores formuladas en respuesta a la circular E-21/228 de 18 </w:t>
      </w:r>
      <w:r w:rsidR="0017491A">
        <w:br/>
      </w:r>
      <w:r>
        <w:t>de noviembre de 2021, las propuestas anteriores se han mantenido en cursiva para facilitar su consulta.</w:t>
      </w:r>
    </w:p>
    <w:p w14:paraId="2239AB69" w14:textId="77777777" w:rsidR="00F07094" w:rsidRDefault="00F07094" w:rsidP="00F07094">
      <w:pPr>
        <w:ind w:left="567"/>
      </w:pPr>
    </w:p>
    <w:p w14:paraId="1971A88C" w14:textId="77777777" w:rsidR="00F07094" w:rsidRDefault="00F07094" w:rsidP="000C1E42">
      <w:pPr>
        <w:ind w:left="567"/>
      </w:pPr>
    </w:p>
    <w:p w14:paraId="385BCEB0" w14:textId="77777777" w:rsidR="0016075A" w:rsidRDefault="0016075A" w:rsidP="0016075A">
      <w:pPr>
        <w:jc w:val="left"/>
      </w:pPr>
    </w:p>
    <w:p w14:paraId="351508E2" w14:textId="77777777" w:rsidR="00E51AAD" w:rsidRDefault="00E51AAD" w:rsidP="0043063A">
      <w:pPr>
        <w:jc w:val="right"/>
      </w:pPr>
    </w:p>
    <w:p w14:paraId="0302A2DE" w14:textId="77777777" w:rsidR="0043063A" w:rsidRDefault="00E51AAD" w:rsidP="0043063A">
      <w:pPr>
        <w:jc w:val="right"/>
      </w:pPr>
      <w:r>
        <w:t>[Sigue el Anexo]</w:t>
      </w:r>
    </w:p>
    <w:p w14:paraId="172ECD2F" w14:textId="77777777" w:rsidR="00597823" w:rsidRDefault="00597823" w:rsidP="00D30ABA">
      <w:pPr>
        <w:jc w:val="left"/>
      </w:pPr>
    </w:p>
    <w:p w14:paraId="79822FD5" w14:textId="77777777" w:rsidR="0019030C" w:rsidRDefault="0019030C" w:rsidP="000C1E42"/>
    <w:p w14:paraId="1271F239" w14:textId="77777777" w:rsidR="00121F03" w:rsidRDefault="00121F03" w:rsidP="000C1E42">
      <w:pPr>
        <w:sectPr w:rsidR="00121F03" w:rsidSect="00BE4EC4">
          <w:headerReference w:type="even" r:id="rId9"/>
          <w:headerReference w:type="default" r:id="rId10"/>
          <w:endnotePr>
            <w:numFmt w:val="lowerLetter"/>
          </w:endnotePr>
          <w:pgSz w:w="11907" w:h="16840" w:code="9"/>
          <w:pgMar w:top="510" w:right="1134" w:bottom="1134" w:left="1134" w:header="510" w:footer="624" w:gutter="0"/>
          <w:cols w:space="720"/>
          <w:titlePg/>
        </w:sectPr>
      </w:pPr>
    </w:p>
    <w:p w14:paraId="3866214A" w14:textId="77777777" w:rsidR="00121F03" w:rsidRPr="00CD0CBC" w:rsidRDefault="00121F03" w:rsidP="00121F03">
      <w:pPr>
        <w:pStyle w:val="Header"/>
        <w:rPr>
          <w:rFonts w:cs="Arial"/>
        </w:rPr>
      </w:pPr>
      <w:r>
        <w:lastRenderedPageBreak/>
        <w:t>WG-HRV/2/4</w:t>
      </w:r>
    </w:p>
    <w:p w14:paraId="4117F0A5" w14:textId="77777777" w:rsidR="00121F03" w:rsidRPr="008A35F6" w:rsidRDefault="00121F03" w:rsidP="00121F03">
      <w:pPr>
        <w:pStyle w:val="Header"/>
        <w:rPr>
          <w:rFonts w:cs="Arial"/>
        </w:rPr>
      </w:pPr>
    </w:p>
    <w:p w14:paraId="4E77BED6" w14:textId="77777777" w:rsidR="00121F03" w:rsidRDefault="00121F03" w:rsidP="00121F03">
      <w:pPr>
        <w:jc w:val="center"/>
      </w:pPr>
      <w:r>
        <w:t>ANEXO</w:t>
      </w:r>
    </w:p>
    <w:p w14:paraId="62E0E9DD" w14:textId="77777777" w:rsidR="00121F03" w:rsidRPr="003E2F9B" w:rsidRDefault="00121F03" w:rsidP="00121F03">
      <w:pPr>
        <w:jc w:val="center"/>
      </w:pPr>
    </w:p>
    <w:p w14:paraId="6978A01E" w14:textId="77777777" w:rsidR="00121F03" w:rsidRPr="003E2F9B" w:rsidRDefault="00121F03" w:rsidP="00121F03">
      <w:pPr>
        <w:jc w:val="center"/>
      </w:pPr>
    </w:p>
    <w:p w14:paraId="53A3A11F" w14:textId="77777777" w:rsidR="00121F03" w:rsidRDefault="00121F03" w:rsidP="00121F03">
      <w:pPr>
        <w:jc w:val="center"/>
        <w:rPr>
          <w:rFonts w:cs="Arial"/>
        </w:rPr>
      </w:pPr>
      <w:r>
        <w:t>PROPUESTAS ACERCA DE LAS NOTAS EXPLICATIVAS SOBRE LOS ACTOS RESPECTO DEL PRODUCTO DE LA COSECHA CON ARREGLO AL ACTA DE 1991 DEL CONVENIO DE LA UPOV</w:t>
      </w:r>
    </w:p>
    <w:p w14:paraId="476916A0" w14:textId="77777777" w:rsidR="00121F03" w:rsidRDefault="00121F03" w:rsidP="00121F03">
      <w:pPr>
        <w:jc w:val="center"/>
        <w:rPr>
          <w:rFonts w:cs="Arial"/>
        </w:rPr>
      </w:pPr>
    </w:p>
    <w:p w14:paraId="2595D556" w14:textId="77777777" w:rsidR="00121F03" w:rsidRDefault="00121F03" w:rsidP="00121F03">
      <w:pPr>
        <w:jc w:val="center"/>
        <w:rPr>
          <w:rFonts w:cs="Arial"/>
        </w:rPr>
      </w:pPr>
    </w:p>
    <w:p w14:paraId="00261C96" w14:textId="77777777" w:rsidR="00121F03" w:rsidRPr="00054A3B" w:rsidRDefault="00121F03" w:rsidP="00121F03">
      <w:pPr>
        <w:spacing w:after="240"/>
        <w:contextualSpacing/>
        <w:jc w:val="center"/>
        <w:rPr>
          <w:i/>
          <w:iCs/>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121F03" w:rsidRPr="00054A3B" w14:paraId="444E6A4C" w14:textId="77777777" w:rsidTr="00B348FD">
        <w:trPr>
          <w:cantSplit/>
          <w:trHeight w:val="1690"/>
          <w:jc w:val="center"/>
        </w:trPr>
        <w:tc>
          <w:tcPr>
            <w:tcW w:w="8313" w:type="dxa"/>
            <w:shd w:val="clear" w:color="auto" w:fill="F2F2F2" w:themeFill="background1" w:themeFillShade="F2"/>
          </w:tcPr>
          <w:p w14:paraId="51235FE3" w14:textId="2D54E5D0" w:rsidR="00121F03" w:rsidRPr="00054A3B" w:rsidRDefault="00121F03" w:rsidP="00B348FD">
            <w:pPr>
              <w:jc w:val="center"/>
              <w:rPr>
                <w:i/>
              </w:rPr>
            </w:pPr>
            <w:r>
              <w:rPr>
                <w:i/>
              </w:rPr>
              <w:t>Descargo de responsabilidad:</w:t>
            </w:r>
            <w:r w:rsidR="008A35F6">
              <w:rPr>
                <w:i/>
              </w:rPr>
              <w:t xml:space="preserve"> </w:t>
            </w:r>
            <w:r>
              <w:rPr>
                <w:i/>
              </w:rPr>
              <w:t xml:space="preserve">el presente documento no constituye un </w:t>
            </w:r>
            <w:r w:rsidR="00DF1CE0">
              <w:rPr>
                <w:i/>
              </w:rPr>
              <w:br/>
            </w:r>
            <w:r>
              <w:rPr>
                <w:i/>
              </w:rPr>
              <w:t>documento de política u orientación de la UPOV</w:t>
            </w:r>
          </w:p>
          <w:p w14:paraId="5522668D" w14:textId="77777777" w:rsidR="00121F03" w:rsidRPr="00054A3B" w:rsidRDefault="00121F03" w:rsidP="00B348FD">
            <w:pPr>
              <w:jc w:val="center"/>
            </w:pPr>
          </w:p>
          <w:p w14:paraId="23C50458" w14:textId="77777777" w:rsidR="00121F03" w:rsidRPr="00054A3B" w:rsidRDefault="00121F03" w:rsidP="00B348FD">
            <w:pPr>
              <w:jc w:val="center"/>
              <w:rPr>
                <w:rFonts w:cs="Arial"/>
                <w:u w:val="single"/>
              </w:rPr>
            </w:pPr>
            <w:r>
              <w:rPr>
                <w:u w:val="single"/>
              </w:rPr>
              <w:t>Nota</w:t>
            </w:r>
          </w:p>
          <w:p w14:paraId="584464A1" w14:textId="77777777" w:rsidR="00121F03" w:rsidRPr="00054A3B" w:rsidRDefault="00121F03" w:rsidP="00B348FD">
            <w:pPr>
              <w:rPr>
                <w:rFonts w:cs="Arial"/>
              </w:rPr>
            </w:pPr>
          </w:p>
          <w:p w14:paraId="52D56B53" w14:textId="77777777" w:rsidR="00044632" w:rsidRDefault="00044632" w:rsidP="00044632">
            <w:pPr>
              <w:rPr>
                <w:rFonts w:cs="Arial"/>
              </w:rPr>
            </w:pPr>
            <w:r>
              <w:t>Las propuestas acordadas por el WG-HRV en su primera reunión se incluyen en el texto documento UPOV/EXN/HRV/1 con marcas de revisión.</w:t>
            </w:r>
          </w:p>
          <w:p w14:paraId="60832C23" w14:textId="77777777" w:rsidR="00044632" w:rsidRDefault="00044632" w:rsidP="00044632">
            <w:pPr>
              <w:rPr>
                <w:rFonts w:cs="Arial"/>
              </w:rPr>
            </w:pPr>
          </w:p>
          <w:p w14:paraId="23412484" w14:textId="77777777" w:rsidR="00044632" w:rsidRDefault="00044632" w:rsidP="00044632">
            <w:pPr>
              <w:rPr>
                <w:rFonts w:cs="Arial"/>
                <w:i/>
              </w:rPr>
            </w:pPr>
            <w:r>
              <w:t xml:space="preserve">Las propuestas recibidas en respuesta a circular E-22/058 de la UPOV de 12 de abril de 2022, sobre el documento UPOV/EXN/HRV/1 se presentan en recuadros. </w:t>
            </w:r>
            <w:r>
              <w:rPr>
                <w:i/>
              </w:rPr>
              <w:t>Cuando estas nuevas propuestas se refieren a propuestas anteriores formuladas en respuesta a la circular E-21/228 de 18 de noviembre de 2021, las propuestas anteriores se han mantenido en cursiva para facilitar su consulta.</w:t>
            </w:r>
          </w:p>
          <w:p w14:paraId="1522A1B7" w14:textId="77777777" w:rsidR="00044632" w:rsidRPr="00E14531" w:rsidRDefault="00044632" w:rsidP="00044632">
            <w:pPr>
              <w:rPr>
                <w:rFonts w:cs="Arial"/>
                <w:i/>
              </w:rPr>
            </w:pPr>
          </w:p>
          <w:p w14:paraId="6CA2A113" w14:textId="77777777" w:rsidR="00044632" w:rsidRPr="00054A3B" w:rsidRDefault="00044632" w:rsidP="00044632">
            <w:pPr>
              <w:rPr>
                <w:rFonts w:cs="Arial"/>
              </w:rPr>
            </w:pPr>
            <w:r>
              <w:t xml:space="preserve">Las notas finales se facilitan a título informativo. </w:t>
            </w:r>
          </w:p>
          <w:p w14:paraId="360A4D90" w14:textId="77777777" w:rsidR="00121F03" w:rsidRPr="00054A3B" w:rsidRDefault="00121F03" w:rsidP="00B348FD">
            <w:pPr>
              <w:rPr>
                <w:rFonts w:cs="Arial"/>
                <w:sz w:val="18"/>
                <w:szCs w:val="18"/>
                <w:u w:val="dottedHeavy"/>
              </w:rPr>
            </w:pPr>
          </w:p>
        </w:tc>
      </w:tr>
    </w:tbl>
    <w:p w14:paraId="0F50CF69" w14:textId="77777777" w:rsidR="00121F03" w:rsidRPr="00054A3B" w:rsidRDefault="00121F03" w:rsidP="00121F03">
      <w:pPr>
        <w:jc w:val="left"/>
      </w:pPr>
    </w:p>
    <w:p w14:paraId="2A31B4E8" w14:textId="77777777" w:rsidR="00121F03" w:rsidRDefault="00121F03" w:rsidP="00121F03">
      <w:pPr>
        <w:jc w:val="center"/>
        <w:rPr>
          <w:rFonts w:cs="Arial"/>
        </w:rPr>
      </w:pPr>
    </w:p>
    <w:p w14:paraId="4FF5DFE1" w14:textId="77777777" w:rsidR="00121F03" w:rsidRDefault="00121F03" w:rsidP="00121F03">
      <w:pPr>
        <w:jc w:val="center"/>
        <w:rPr>
          <w:rFonts w:cs="Arial"/>
        </w:rPr>
      </w:pPr>
    </w:p>
    <w:p w14:paraId="269A8C0A" w14:textId="77777777" w:rsidR="00121F03" w:rsidRPr="0019030C" w:rsidRDefault="00121F03" w:rsidP="00121F03">
      <w:pPr>
        <w:jc w:val="center"/>
        <w:rPr>
          <w:rFonts w:cs="Arial"/>
        </w:rPr>
      </w:pPr>
      <w:r>
        <w:t>ÍNDICE</w:t>
      </w:r>
    </w:p>
    <w:p w14:paraId="11FB122F" w14:textId="77777777" w:rsidR="00121F03" w:rsidRPr="0019030C" w:rsidRDefault="00121F03" w:rsidP="00121F03">
      <w:pPr>
        <w:jc w:val="center"/>
        <w:rPr>
          <w:rFonts w:cs="Arial"/>
        </w:rPr>
      </w:pPr>
    </w:p>
    <w:p w14:paraId="67F5699E" w14:textId="6C8106A3" w:rsidR="008508F6" w:rsidRDefault="00121F03">
      <w:pPr>
        <w:pStyle w:val="TOC1"/>
        <w:rPr>
          <w:rFonts w:asciiTheme="minorHAnsi" w:eastAsiaTheme="minorEastAsia" w:hAnsiTheme="minorHAnsi" w:cstheme="minorBidi"/>
          <w:bCs w:val="0"/>
          <w:caps w:val="0"/>
          <w:noProof/>
          <w:sz w:val="22"/>
          <w:szCs w:val="22"/>
          <w:lang w:eastAsia="es-ES"/>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112166077" w:history="1">
        <w:r w:rsidR="008508F6" w:rsidRPr="00B82D48">
          <w:rPr>
            <w:rStyle w:val="Hyperlink"/>
          </w:rPr>
          <w:t>PREÁMBULO</w:t>
        </w:r>
        <w:r w:rsidR="008508F6">
          <w:rPr>
            <w:noProof/>
            <w:webHidden/>
          </w:rPr>
          <w:tab/>
        </w:r>
        <w:r w:rsidR="008508F6">
          <w:rPr>
            <w:noProof/>
            <w:webHidden/>
          </w:rPr>
          <w:fldChar w:fldCharType="begin"/>
        </w:r>
        <w:r w:rsidR="008508F6">
          <w:rPr>
            <w:noProof/>
            <w:webHidden/>
          </w:rPr>
          <w:instrText xml:space="preserve"> PAGEREF _Toc112166077 \h </w:instrText>
        </w:r>
        <w:r w:rsidR="008508F6">
          <w:rPr>
            <w:noProof/>
            <w:webHidden/>
          </w:rPr>
        </w:r>
        <w:r w:rsidR="008508F6">
          <w:rPr>
            <w:noProof/>
            <w:webHidden/>
          </w:rPr>
          <w:fldChar w:fldCharType="separate"/>
        </w:r>
        <w:r w:rsidR="00BA268D">
          <w:rPr>
            <w:noProof/>
            <w:webHidden/>
          </w:rPr>
          <w:t>2</w:t>
        </w:r>
        <w:r w:rsidR="008508F6">
          <w:rPr>
            <w:noProof/>
            <w:webHidden/>
          </w:rPr>
          <w:fldChar w:fldCharType="end"/>
        </w:r>
      </w:hyperlink>
    </w:p>
    <w:p w14:paraId="4CE1B587" w14:textId="78BEF070" w:rsidR="008508F6" w:rsidRDefault="00EE5F63">
      <w:pPr>
        <w:pStyle w:val="TOC1"/>
        <w:rPr>
          <w:rFonts w:asciiTheme="minorHAnsi" w:eastAsiaTheme="minorEastAsia" w:hAnsiTheme="minorHAnsi" w:cstheme="minorBidi"/>
          <w:bCs w:val="0"/>
          <w:caps w:val="0"/>
          <w:noProof/>
          <w:sz w:val="22"/>
          <w:szCs w:val="22"/>
          <w:lang w:eastAsia="es-ES"/>
        </w:rPr>
      </w:pPr>
      <w:hyperlink w:anchor="_Toc112166078" w:history="1">
        <w:r w:rsidR="008508F6" w:rsidRPr="00B82D48">
          <w:rPr>
            <w:rStyle w:val="Hyperlink"/>
          </w:rPr>
          <w:t>ACTOS RESPECTO DEL PRODUCTO DE LA COSECHA</w:t>
        </w:r>
        <w:r w:rsidR="008508F6">
          <w:rPr>
            <w:noProof/>
            <w:webHidden/>
          </w:rPr>
          <w:tab/>
        </w:r>
        <w:r w:rsidR="008508F6">
          <w:rPr>
            <w:noProof/>
            <w:webHidden/>
          </w:rPr>
          <w:fldChar w:fldCharType="begin"/>
        </w:r>
        <w:r w:rsidR="008508F6">
          <w:rPr>
            <w:noProof/>
            <w:webHidden/>
          </w:rPr>
          <w:instrText xml:space="preserve"> PAGEREF _Toc112166078 \h </w:instrText>
        </w:r>
        <w:r w:rsidR="008508F6">
          <w:rPr>
            <w:noProof/>
            <w:webHidden/>
          </w:rPr>
        </w:r>
        <w:r w:rsidR="008508F6">
          <w:rPr>
            <w:noProof/>
            <w:webHidden/>
          </w:rPr>
          <w:fldChar w:fldCharType="separate"/>
        </w:r>
        <w:r w:rsidR="00BA268D">
          <w:rPr>
            <w:noProof/>
            <w:webHidden/>
          </w:rPr>
          <w:t>3</w:t>
        </w:r>
        <w:r w:rsidR="008508F6">
          <w:rPr>
            <w:noProof/>
            <w:webHidden/>
          </w:rPr>
          <w:fldChar w:fldCharType="end"/>
        </w:r>
      </w:hyperlink>
    </w:p>
    <w:p w14:paraId="09FDE1CD" w14:textId="3EFB5EF3" w:rsidR="008508F6" w:rsidRDefault="00EE5F63">
      <w:pPr>
        <w:pStyle w:val="TOC2"/>
        <w:rPr>
          <w:rFonts w:asciiTheme="minorHAnsi" w:eastAsiaTheme="minorEastAsia" w:hAnsiTheme="minorHAnsi" w:cstheme="minorBidi"/>
          <w:i w:val="0"/>
          <w:noProof/>
          <w:sz w:val="22"/>
          <w:szCs w:val="22"/>
          <w:lang w:eastAsia="es-ES"/>
        </w:rPr>
      </w:pPr>
      <w:hyperlink w:anchor="_Toc112166079" w:history="1">
        <w:r w:rsidR="008508F6" w:rsidRPr="00B82D48">
          <w:rPr>
            <w:rStyle w:val="Hyperlink"/>
          </w:rPr>
          <w:t>a)</w:t>
        </w:r>
        <w:r w:rsidR="008508F6">
          <w:rPr>
            <w:rFonts w:asciiTheme="minorHAnsi" w:eastAsiaTheme="minorEastAsia" w:hAnsiTheme="minorHAnsi" w:cstheme="minorBidi"/>
            <w:i w:val="0"/>
            <w:noProof/>
            <w:sz w:val="22"/>
            <w:szCs w:val="22"/>
            <w:lang w:eastAsia="es-ES"/>
          </w:rPr>
          <w:tab/>
        </w:r>
        <w:r w:rsidR="008508F6" w:rsidRPr="00B82D48">
          <w:rPr>
            <w:rStyle w:val="Hyperlink"/>
          </w:rPr>
          <w:t>Artículo pertinente</w:t>
        </w:r>
        <w:r w:rsidR="008508F6">
          <w:rPr>
            <w:noProof/>
            <w:webHidden/>
          </w:rPr>
          <w:tab/>
        </w:r>
        <w:r w:rsidR="008508F6">
          <w:rPr>
            <w:noProof/>
            <w:webHidden/>
          </w:rPr>
          <w:fldChar w:fldCharType="begin"/>
        </w:r>
        <w:r w:rsidR="008508F6">
          <w:rPr>
            <w:noProof/>
            <w:webHidden/>
          </w:rPr>
          <w:instrText xml:space="preserve"> PAGEREF _Toc112166079 \h </w:instrText>
        </w:r>
        <w:r w:rsidR="008508F6">
          <w:rPr>
            <w:noProof/>
            <w:webHidden/>
          </w:rPr>
        </w:r>
        <w:r w:rsidR="008508F6">
          <w:rPr>
            <w:noProof/>
            <w:webHidden/>
          </w:rPr>
          <w:fldChar w:fldCharType="separate"/>
        </w:r>
        <w:r w:rsidR="00BA268D">
          <w:rPr>
            <w:noProof/>
            <w:webHidden/>
          </w:rPr>
          <w:t>3</w:t>
        </w:r>
        <w:r w:rsidR="008508F6">
          <w:rPr>
            <w:noProof/>
            <w:webHidden/>
          </w:rPr>
          <w:fldChar w:fldCharType="end"/>
        </w:r>
      </w:hyperlink>
    </w:p>
    <w:p w14:paraId="6BCC1C35" w14:textId="5C482755" w:rsidR="008508F6" w:rsidRDefault="00EE5F63">
      <w:pPr>
        <w:pStyle w:val="TOC2"/>
        <w:rPr>
          <w:rFonts w:asciiTheme="minorHAnsi" w:eastAsiaTheme="minorEastAsia" w:hAnsiTheme="minorHAnsi" w:cstheme="minorBidi"/>
          <w:i w:val="0"/>
          <w:noProof/>
          <w:sz w:val="22"/>
          <w:szCs w:val="22"/>
          <w:lang w:eastAsia="es-ES"/>
        </w:rPr>
      </w:pPr>
      <w:hyperlink w:anchor="_Toc112166080" w:history="1">
        <w:r w:rsidR="008508F6" w:rsidRPr="00B82D48">
          <w:rPr>
            <w:rStyle w:val="Hyperlink"/>
          </w:rPr>
          <w:t>b)</w:t>
        </w:r>
        <w:r w:rsidR="008508F6">
          <w:rPr>
            <w:rFonts w:asciiTheme="minorHAnsi" w:eastAsiaTheme="minorEastAsia" w:hAnsiTheme="minorHAnsi" w:cstheme="minorBidi"/>
            <w:i w:val="0"/>
            <w:noProof/>
            <w:sz w:val="22"/>
            <w:szCs w:val="22"/>
            <w:lang w:eastAsia="es-ES"/>
          </w:rPr>
          <w:tab/>
        </w:r>
        <w:r w:rsidR="008508F6" w:rsidRPr="00B82D48">
          <w:rPr>
            <w:rStyle w:val="Hyperlink"/>
          </w:rPr>
          <w:t>Producto de la cosecha</w:t>
        </w:r>
        <w:r w:rsidR="008508F6">
          <w:rPr>
            <w:noProof/>
            <w:webHidden/>
          </w:rPr>
          <w:tab/>
        </w:r>
        <w:r w:rsidR="008508F6">
          <w:rPr>
            <w:noProof/>
            <w:webHidden/>
          </w:rPr>
          <w:fldChar w:fldCharType="begin"/>
        </w:r>
        <w:r w:rsidR="008508F6">
          <w:rPr>
            <w:noProof/>
            <w:webHidden/>
          </w:rPr>
          <w:instrText xml:space="preserve"> PAGEREF _Toc112166080 \h </w:instrText>
        </w:r>
        <w:r w:rsidR="008508F6">
          <w:rPr>
            <w:noProof/>
            <w:webHidden/>
          </w:rPr>
        </w:r>
        <w:r w:rsidR="008508F6">
          <w:rPr>
            <w:noProof/>
            <w:webHidden/>
          </w:rPr>
          <w:fldChar w:fldCharType="separate"/>
        </w:r>
        <w:r w:rsidR="00BA268D">
          <w:rPr>
            <w:noProof/>
            <w:webHidden/>
          </w:rPr>
          <w:t>3</w:t>
        </w:r>
        <w:r w:rsidR="008508F6">
          <w:rPr>
            <w:noProof/>
            <w:webHidden/>
          </w:rPr>
          <w:fldChar w:fldCharType="end"/>
        </w:r>
      </w:hyperlink>
    </w:p>
    <w:p w14:paraId="106319F0" w14:textId="1D9341BC" w:rsidR="008508F6" w:rsidRDefault="00EE5F63">
      <w:pPr>
        <w:pStyle w:val="TOC2"/>
        <w:rPr>
          <w:rFonts w:asciiTheme="minorHAnsi" w:eastAsiaTheme="minorEastAsia" w:hAnsiTheme="minorHAnsi" w:cstheme="minorBidi"/>
          <w:i w:val="0"/>
          <w:noProof/>
          <w:sz w:val="22"/>
          <w:szCs w:val="22"/>
          <w:lang w:eastAsia="es-ES"/>
        </w:rPr>
      </w:pPr>
      <w:hyperlink w:anchor="_Toc112166081" w:history="1">
        <w:r w:rsidR="008508F6" w:rsidRPr="00B82D48">
          <w:rPr>
            <w:rStyle w:val="Hyperlink"/>
          </w:rPr>
          <w:t>c)</w:t>
        </w:r>
        <w:r w:rsidR="008508F6">
          <w:rPr>
            <w:rFonts w:asciiTheme="minorHAnsi" w:eastAsiaTheme="minorEastAsia" w:hAnsiTheme="minorHAnsi" w:cstheme="minorBidi"/>
            <w:i w:val="0"/>
            <w:noProof/>
            <w:sz w:val="22"/>
            <w:szCs w:val="22"/>
            <w:lang w:eastAsia="es-ES"/>
          </w:rPr>
          <w:tab/>
        </w:r>
        <w:r w:rsidR="008508F6" w:rsidRPr="00B82D48">
          <w:rPr>
            <w:rStyle w:val="Hyperlink"/>
          </w:rPr>
          <w:t>Utilización no autorizada de material de reproducción o de multiplicación</w:t>
        </w:r>
        <w:r w:rsidR="008508F6">
          <w:rPr>
            <w:noProof/>
            <w:webHidden/>
          </w:rPr>
          <w:tab/>
        </w:r>
        <w:r w:rsidR="008508F6">
          <w:rPr>
            <w:noProof/>
            <w:webHidden/>
          </w:rPr>
          <w:fldChar w:fldCharType="begin"/>
        </w:r>
        <w:r w:rsidR="008508F6">
          <w:rPr>
            <w:noProof/>
            <w:webHidden/>
          </w:rPr>
          <w:instrText xml:space="preserve"> PAGEREF _Toc112166081 \h </w:instrText>
        </w:r>
        <w:r w:rsidR="008508F6">
          <w:rPr>
            <w:noProof/>
            <w:webHidden/>
          </w:rPr>
        </w:r>
        <w:r w:rsidR="008508F6">
          <w:rPr>
            <w:noProof/>
            <w:webHidden/>
          </w:rPr>
          <w:fldChar w:fldCharType="separate"/>
        </w:r>
        <w:r w:rsidR="00BA268D">
          <w:rPr>
            <w:noProof/>
            <w:webHidden/>
          </w:rPr>
          <w:t>4</w:t>
        </w:r>
        <w:r w:rsidR="008508F6">
          <w:rPr>
            <w:noProof/>
            <w:webHidden/>
          </w:rPr>
          <w:fldChar w:fldCharType="end"/>
        </w:r>
      </w:hyperlink>
    </w:p>
    <w:p w14:paraId="44E6C941" w14:textId="30820E2D" w:rsidR="008508F6" w:rsidRDefault="00EE5F63">
      <w:pPr>
        <w:pStyle w:val="TOC3"/>
        <w:rPr>
          <w:rFonts w:asciiTheme="minorHAnsi" w:eastAsiaTheme="minorEastAsia" w:hAnsiTheme="minorHAnsi" w:cstheme="minorBidi"/>
          <w:noProof/>
          <w:sz w:val="22"/>
          <w:szCs w:val="22"/>
          <w:lang w:eastAsia="es-ES"/>
        </w:rPr>
      </w:pPr>
      <w:hyperlink w:anchor="_Toc112166082" w:history="1">
        <w:r w:rsidR="008508F6" w:rsidRPr="00B82D48">
          <w:rPr>
            <w:rStyle w:val="Hyperlink"/>
          </w:rPr>
          <w:t>Actos respecto del material de reproducción o multiplicación</w:t>
        </w:r>
        <w:r w:rsidR="008508F6">
          <w:rPr>
            <w:noProof/>
            <w:webHidden/>
          </w:rPr>
          <w:tab/>
        </w:r>
        <w:r w:rsidR="008508F6">
          <w:rPr>
            <w:noProof/>
            <w:webHidden/>
          </w:rPr>
          <w:fldChar w:fldCharType="begin"/>
        </w:r>
        <w:r w:rsidR="008508F6">
          <w:rPr>
            <w:noProof/>
            <w:webHidden/>
          </w:rPr>
          <w:instrText xml:space="preserve"> PAGEREF _Toc112166082 \h </w:instrText>
        </w:r>
        <w:r w:rsidR="008508F6">
          <w:rPr>
            <w:noProof/>
            <w:webHidden/>
          </w:rPr>
        </w:r>
        <w:r w:rsidR="008508F6">
          <w:rPr>
            <w:noProof/>
            <w:webHidden/>
          </w:rPr>
          <w:fldChar w:fldCharType="separate"/>
        </w:r>
        <w:r w:rsidR="00BA268D">
          <w:rPr>
            <w:noProof/>
            <w:webHidden/>
          </w:rPr>
          <w:t>4</w:t>
        </w:r>
        <w:r w:rsidR="008508F6">
          <w:rPr>
            <w:noProof/>
            <w:webHidden/>
          </w:rPr>
          <w:fldChar w:fldCharType="end"/>
        </w:r>
      </w:hyperlink>
    </w:p>
    <w:p w14:paraId="64C39DE0" w14:textId="4243EA70" w:rsidR="008508F6" w:rsidRDefault="00EE5F63">
      <w:pPr>
        <w:pStyle w:val="TOC3"/>
        <w:rPr>
          <w:rFonts w:asciiTheme="minorHAnsi" w:eastAsiaTheme="minorEastAsia" w:hAnsiTheme="minorHAnsi" w:cstheme="minorBidi"/>
          <w:noProof/>
          <w:sz w:val="22"/>
          <w:szCs w:val="22"/>
          <w:lang w:eastAsia="es-ES"/>
        </w:rPr>
      </w:pPr>
      <w:hyperlink w:anchor="_Toc112166083" w:history="1">
        <w:r w:rsidR="008508F6" w:rsidRPr="00B82D48">
          <w:rPr>
            <w:rStyle w:val="Hyperlink"/>
          </w:rPr>
          <w:t>Condiciones y limitaciones</w:t>
        </w:r>
        <w:r w:rsidR="008508F6">
          <w:rPr>
            <w:noProof/>
            <w:webHidden/>
          </w:rPr>
          <w:tab/>
        </w:r>
        <w:r w:rsidR="008508F6">
          <w:rPr>
            <w:noProof/>
            <w:webHidden/>
          </w:rPr>
          <w:fldChar w:fldCharType="begin"/>
        </w:r>
        <w:r w:rsidR="008508F6">
          <w:rPr>
            <w:noProof/>
            <w:webHidden/>
          </w:rPr>
          <w:instrText xml:space="preserve"> PAGEREF _Toc112166083 \h </w:instrText>
        </w:r>
        <w:r w:rsidR="008508F6">
          <w:rPr>
            <w:noProof/>
            <w:webHidden/>
          </w:rPr>
        </w:r>
        <w:r w:rsidR="008508F6">
          <w:rPr>
            <w:noProof/>
            <w:webHidden/>
          </w:rPr>
          <w:fldChar w:fldCharType="separate"/>
        </w:r>
        <w:r w:rsidR="00BA268D">
          <w:rPr>
            <w:noProof/>
            <w:webHidden/>
          </w:rPr>
          <w:t>7</w:t>
        </w:r>
        <w:r w:rsidR="008508F6">
          <w:rPr>
            <w:noProof/>
            <w:webHidden/>
          </w:rPr>
          <w:fldChar w:fldCharType="end"/>
        </w:r>
      </w:hyperlink>
    </w:p>
    <w:p w14:paraId="3F8C7D5B" w14:textId="77551A33" w:rsidR="008508F6" w:rsidRDefault="00EE5F63">
      <w:pPr>
        <w:pStyle w:val="TOC3"/>
        <w:rPr>
          <w:rFonts w:asciiTheme="minorHAnsi" w:eastAsiaTheme="minorEastAsia" w:hAnsiTheme="minorHAnsi" w:cstheme="minorBidi"/>
          <w:noProof/>
          <w:sz w:val="22"/>
          <w:szCs w:val="22"/>
          <w:lang w:eastAsia="es-ES"/>
        </w:rPr>
      </w:pPr>
      <w:hyperlink w:anchor="_Toc112166084" w:history="1">
        <w:r w:rsidR="008508F6" w:rsidRPr="00B82D48">
          <w:rPr>
            <w:rStyle w:val="Hyperlink"/>
          </w:rPr>
          <w:t>Excepciones obligatorias al derecho de obtentor</w:t>
        </w:r>
        <w:r w:rsidR="008508F6">
          <w:rPr>
            <w:noProof/>
            <w:webHidden/>
          </w:rPr>
          <w:tab/>
        </w:r>
        <w:r w:rsidR="008508F6">
          <w:rPr>
            <w:noProof/>
            <w:webHidden/>
          </w:rPr>
          <w:fldChar w:fldCharType="begin"/>
        </w:r>
        <w:r w:rsidR="008508F6">
          <w:rPr>
            <w:noProof/>
            <w:webHidden/>
          </w:rPr>
          <w:instrText xml:space="preserve"> PAGEREF _Toc112166084 \h </w:instrText>
        </w:r>
        <w:r w:rsidR="008508F6">
          <w:rPr>
            <w:noProof/>
            <w:webHidden/>
          </w:rPr>
        </w:r>
        <w:r w:rsidR="008508F6">
          <w:rPr>
            <w:noProof/>
            <w:webHidden/>
          </w:rPr>
          <w:fldChar w:fldCharType="separate"/>
        </w:r>
        <w:r w:rsidR="00BA268D">
          <w:rPr>
            <w:noProof/>
            <w:webHidden/>
          </w:rPr>
          <w:t>8</w:t>
        </w:r>
        <w:r w:rsidR="008508F6">
          <w:rPr>
            <w:noProof/>
            <w:webHidden/>
          </w:rPr>
          <w:fldChar w:fldCharType="end"/>
        </w:r>
      </w:hyperlink>
    </w:p>
    <w:p w14:paraId="0BB1E3E1" w14:textId="0C9BF52A" w:rsidR="008508F6" w:rsidRDefault="00EE5F63">
      <w:pPr>
        <w:pStyle w:val="TOC3"/>
        <w:rPr>
          <w:rFonts w:asciiTheme="minorHAnsi" w:eastAsiaTheme="minorEastAsia" w:hAnsiTheme="minorHAnsi" w:cstheme="minorBidi"/>
          <w:noProof/>
          <w:sz w:val="22"/>
          <w:szCs w:val="22"/>
          <w:lang w:eastAsia="es-ES"/>
        </w:rPr>
      </w:pPr>
      <w:hyperlink w:anchor="_Toc112166085" w:history="1">
        <w:r w:rsidR="008508F6" w:rsidRPr="00B82D48">
          <w:rPr>
            <w:rStyle w:val="Hyperlink"/>
          </w:rPr>
          <w:t>Excepción facultativa al derecho de obtentor</w:t>
        </w:r>
        <w:r w:rsidR="008508F6">
          <w:rPr>
            <w:noProof/>
            <w:webHidden/>
          </w:rPr>
          <w:tab/>
        </w:r>
        <w:r w:rsidR="008508F6">
          <w:rPr>
            <w:noProof/>
            <w:webHidden/>
          </w:rPr>
          <w:fldChar w:fldCharType="begin"/>
        </w:r>
        <w:r w:rsidR="008508F6">
          <w:rPr>
            <w:noProof/>
            <w:webHidden/>
          </w:rPr>
          <w:instrText xml:space="preserve"> PAGEREF _Toc112166085 \h </w:instrText>
        </w:r>
        <w:r w:rsidR="008508F6">
          <w:rPr>
            <w:noProof/>
            <w:webHidden/>
          </w:rPr>
        </w:r>
        <w:r w:rsidR="008508F6">
          <w:rPr>
            <w:noProof/>
            <w:webHidden/>
          </w:rPr>
          <w:fldChar w:fldCharType="separate"/>
        </w:r>
        <w:r w:rsidR="00BA268D">
          <w:rPr>
            <w:noProof/>
            <w:webHidden/>
          </w:rPr>
          <w:t>9</w:t>
        </w:r>
        <w:r w:rsidR="008508F6">
          <w:rPr>
            <w:noProof/>
            <w:webHidden/>
          </w:rPr>
          <w:fldChar w:fldCharType="end"/>
        </w:r>
      </w:hyperlink>
    </w:p>
    <w:p w14:paraId="427FDDB8" w14:textId="7ED5316C" w:rsidR="008508F6" w:rsidRDefault="00EE5F63">
      <w:pPr>
        <w:pStyle w:val="TOC2"/>
        <w:rPr>
          <w:rFonts w:asciiTheme="minorHAnsi" w:eastAsiaTheme="minorEastAsia" w:hAnsiTheme="minorHAnsi" w:cstheme="minorBidi"/>
          <w:i w:val="0"/>
          <w:noProof/>
          <w:sz w:val="22"/>
          <w:szCs w:val="22"/>
          <w:lang w:eastAsia="es-ES"/>
        </w:rPr>
      </w:pPr>
      <w:hyperlink w:anchor="_Toc112166086" w:history="1">
        <w:r w:rsidR="008508F6" w:rsidRPr="00B82D48">
          <w:rPr>
            <w:rStyle w:val="Hyperlink"/>
          </w:rPr>
          <w:t>d)</w:t>
        </w:r>
        <w:r w:rsidR="008508F6">
          <w:rPr>
            <w:rFonts w:asciiTheme="minorHAnsi" w:eastAsiaTheme="minorEastAsia" w:hAnsiTheme="minorHAnsi" w:cstheme="minorBidi"/>
            <w:i w:val="0"/>
            <w:noProof/>
            <w:sz w:val="22"/>
            <w:szCs w:val="22"/>
            <w:lang w:eastAsia="es-ES"/>
          </w:rPr>
          <w:tab/>
        </w:r>
        <w:r w:rsidR="008508F6" w:rsidRPr="00B82D48">
          <w:rPr>
            <w:rStyle w:val="Hyperlink"/>
          </w:rPr>
          <w:t>Poder ejercer razonablemente su derecho</w:t>
        </w:r>
        <w:r w:rsidR="008508F6">
          <w:rPr>
            <w:noProof/>
            <w:webHidden/>
          </w:rPr>
          <w:tab/>
        </w:r>
        <w:r w:rsidR="008508F6">
          <w:rPr>
            <w:noProof/>
            <w:webHidden/>
          </w:rPr>
          <w:fldChar w:fldCharType="begin"/>
        </w:r>
        <w:r w:rsidR="008508F6">
          <w:rPr>
            <w:noProof/>
            <w:webHidden/>
          </w:rPr>
          <w:instrText xml:space="preserve"> PAGEREF _Toc112166086 \h </w:instrText>
        </w:r>
        <w:r w:rsidR="008508F6">
          <w:rPr>
            <w:noProof/>
            <w:webHidden/>
          </w:rPr>
        </w:r>
        <w:r w:rsidR="008508F6">
          <w:rPr>
            <w:noProof/>
            <w:webHidden/>
          </w:rPr>
          <w:fldChar w:fldCharType="separate"/>
        </w:r>
        <w:r w:rsidR="00BA268D">
          <w:rPr>
            <w:noProof/>
            <w:webHidden/>
          </w:rPr>
          <w:t>9</w:t>
        </w:r>
        <w:r w:rsidR="008508F6">
          <w:rPr>
            <w:noProof/>
            <w:webHidden/>
          </w:rPr>
          <w:fldChar w:fldCharType="end"/>
        </w:r>
      </w:hyperlink>
    </w:p>
    <w:p w14:paraId="08C5B4D5" w14:textId="3E69B16A" w:rsidR="00121F03" w:rsidRPr="0019030C" w:rsidRDefault="00121F03" w:rsidP="00121F03">
      <w:pPr>
        <w:jc w:val="center"/>
        <w:rPr>
          <w:rFonts w:cs="Arial"/>
        </w:rPr>
      </w:pPr>
      <w:r w:rsidRPr="0019030C">
        <w:rPr>
          <w:caps/>
          <w:snapToGrid w:val="0"/>
        </w:rPr>
        <w:fldChar w:fldCharType="end"/>
      </w:r>
    </w:p>
    <w:p w14:paraId="23B6F705" w14:textId="77777777" w:rsidR="00121F03" w:rsidRPr="0019030C" w:rsidRDefault="00121F03" w:rsidP="00121F03">
      <w:pPr>
        <w:jc w:val="center"/>
        <w:rPr>
          <w:rFonts w:cs="Arial"/>
        </w:rPr>
      </w:pPr>
    </w:p>
    <w:p w14:paraId="3D2F31AA" w14:textId="77777777" w:rsidR="00121F03" w:rsidRPr="0019030C" w:rsidRDefault="00121F03" w:rsidP="00121F03">
      <w:pPr>
        <w:jc w:val="center"/>
        <w:rPr>
          <w:rFonts w:cs="Arial"/>
        </w:rPr>
      </w:pPr>
    </w:p>
    <w:p w14:paraId="56911F19" w14:textId="77777777" w:rsidR="00121F03" w:rsidRPr="0019030C" w:rsidRDefault="00121F03" w:rsidP="00121F03">
      <w:r>
        <w:br w:type="page"/>
      </w:r>
    </w:p>
    <w:p w14:paraId="1862E1D8" w14:textId="77777777" w:rsidR="00A14575" w:rsidRPr="00C5280D" w:rsidRDefault="00A14575" w:rsidP="00A14575">
      <w:pPr>
        <w:pStyle w:val="Header"/>
        <w:rPr>
          <w:rStyle w:val="PageNumber"/>
        </w:rPr>
      </w:pPr>
      <w:bookmarkStart w:id="0" w:name="_Toc331410075"/>
      <w:r>
        <w:rPr>
          <w:rStyle w:val="PageNumber"/>
        </w:rPr>
        <w:lastRenderedPageBreak/>
        <w:t>WG-HRV/2/4</w:t>
      </w:r>
    </w:p>
    <w:p w14:paraId="247ED431" w14:textId="77777777" w:rsidR="00A14575" w:rsidRPr="00C5280D" w:rsidRDefault="00A52821" w:rsidP="00A14575">
      <w:pPr>
        <w:pStyle w:val="Header"/>
      </w:pPr>
      <w:r>
        <w:t>Anexo, página 2</w:t>
      </w:r>
    </w:p>
    <w:p w14:paraId="309F2289" w14:textId="77777777" w:rsidR="00A14575" w:rsidRDefault="00A14575" w:rsidP="00121F03">
      <w:pPr>
        <w:jc w:val="center"/>
      </w:pPr>
    </w:p>
    <w:p w14:paraId="63FCA73A" w14:textId="77777777" w:rsidR="00A14575" w:rsidRDefault="00A14575" w:rsidP="00121F03">
      <w:pPr>
        <w:jc w:val="center"/>
      </w:pPr>
    </w:p>
    <w:p w14:paraId="6EA84485" w14:textId="77777777" w:rsidR="00A14575" w:rsidRDefault="00A14575" w:rsidP="00121F03">
      <w:pPr>
        <w:jc w:val="center"/>
      </w:pPr>
    </w:p>
    <w:p w14:paraId="48598419" w14:textId="2E1D8DB7" w:rsidR="00121F03" w:rsidRPr="0019030C" w:rsidRDefault="00121F03" w:rsidP="00121F03">
      <w:pPr>
        <w:jc w:val="center"/>
      </w:pPr>
      <w:r>
        <w:t xml:space="preserve">NOTAS EXPLICATIVAS SOBRE LOS ACTOS RESPECTO DEL PRODUCTO DE LA COSECHA </w:t>
      </w:r>
      <w:r w:rsidR="00AB55AA">
        <w:br/>
      </w:r>
      <w:r>
        <w:t>CON ARREGLO AL ACTA DE 1991 DEL CONVENIO DE LA UPOV</w:t>
      </w:r>
      <w:bookmarkEnd w:id="0"/>
    </w:p>
    <w:p w14:paraId="2D2D8E92" w14:textId="77777777" w:rsidR="00121F03" w:rsidRPr="0019030C" w:rsidRDefault="00121F03" w:rsidP="00121F03">
      <w:pPr>
        <w:jc w:val="center"/>
      </w:pPr>
    </w:p>
    <w:p w14:paraId="47C34890" w14:textId="77777777" w:rsidR="00121F03" w:rsidRDefault="00121F03" w:rsidP="00121F03">
      <w:pPr>
        <w:jc w:val="center"/>
        <w:rPr>
          <w:rFonts w:cs="Arial"/>
        </w:rPr>
      </w:pPr>
    </w:p>
    <w:p w14:paraId="29C387C4" w14:textId="77777777" w:rsidR="00121F03" w:rsidRPr="00C140D4" w:rsidRDefault="00121F03" w:rsidP="00121F03">
      <w:pPr>
        <w:jc w:val="center"/>
        <w:rPr>
          <w:rFonts w:cs="Arial"/>
        </w:rPr>
      </w:pPr>
    </w:p>
    <w:p w14:paraId="4D3C40AB" w14:textId="77777777" w:rsidR="00121F03" w:rsidRPr="00C140D4" w:rsidRDefault="00121F03" w:rsidP="00F30CA6">
      <w:pPr>
        <w:pStyle w:val="Heading1"/>
      </w:pPr>
      <w:bookmarkStart w:id="1" w:name="_Toc345407987"/>
      <w:bookmarkStart w:id="2" w:name="_Toc112166077"/>
      <w:r>
        <w:t>PREÁMBULO</w:t>
      </w:r>
      <w:bookmarkEnd w:id="1"/>
      <w:bookmarkEnd w:id="2"/>
    </w:p>
    <w:p w14:paraId="1B89D17D" w14:textId="77777777" w:rsidR="00121F03" w:rsidRPr="00C140D4" w:rsidRDefault="00121F03" w:rsidP="00121F03">
      <w:pPr>
        <w:jc w:val="center"/>
        <w:rPr>
          <w:rFonts w:cs="Arial"/>
        </w:rPr>
      </w:pPr>
    </w:p>
    <w:p w14:paraId="11367B6F" w14:textId="77777777" w:rsidR="00121F03" w:rsidRPr="0019030C" w:rsidRDefault="00121F03" w:rsidP="00121F03">
      <w:pPr>
        <w:jc w:val="center"/>
      </w:pPr>
    </w:p>
    <w:p w14:paraId="722A0EB0" w14:textId="30F8C8D1" w:rsidR="00121F03" w:rsidRDefault="00121F03" w:rsidP="00121F03">
      <w:r>
        <w:t>Las presentes notas explicativas tienen por objeto brindar orientación sobre el alcance del derecho de obtentor en lo referente a los actos respecto del producto de la cosecha (Artículo 14.2) del Acta de 1991) con arreglo al Convenio Internacional para la Protección de las Obtenciones Vegetales (Convenio de la UPOV).</w:t>
      </w:r>
      <w:r w:rsidR="008A35F6">
        <w:t xml:space="preserve"> </w:t>
      </w:r>
      <w:r>
        <w:t>Las únicas obligaciones que vinculan a los miembros de la Unión son las recogidas en el propio texto del Convenio de la UPOV, por cuya razón estas notas deberán interpretarse en consonancia con el Acta respectiva a la que esté adherido el correspondiente miembro de la Unión.</w:t>
      </w:r>
      <w:r w:rsidR="008A35F6">
        <w:t xml:space="preserve"> </w:t>
      </w:r>
    </w:p>
    <w:p w14:paraId="52826D13" w14:textId="77777777" w:rsidR="00121F03" w:rsidRDefault="00121F03" w:rsidP="00121F03"/>
    <w:p w14:paraId="709F448C" w14:textId="77777777" w:rsidR="00121F03" w:rsidRPr="0019030C" w:rsidRDefault="00121F03" w:rsidP="00121F03"/>
    <w:p w14:paraId="2915961D" w14:textId="77777777" w:rsidR="00121F03" w:rsidRPr="0019030C" w:rsidRDefault="00121F03" w:rsidP="00121F03"/>
    <w:p w14:paraId="3C2C95B3" w14:textId="77777777" w:rsidR="00121F03" w:rsidRPr="0019030C" w:rsidRDefault="00121F03" w:rsidP="00F30CA6">
      <w:pPr>
        <w:pStyle w:val="Heading1"/>
      </w:pPr>
      <w:r>
        <w:br w:type="page"/>
      </w:r>
      <w:bookmarkStart w:id="3" w:name="_Toc331410077"/>
    </w:p>
    <w:p w14:paraId="1577D297" w14:textId="77777777" w:rsidR="00A14575" w:rsidRPr="00C5280D" w:rsidRDefault="00A14575" w:rsidP="00A14575">
      <w:pPr>
        <w:pStyle w:val="Header"/>
        <w:rPr>
          <w:rStyle w:val="PageNumber"/>
        </w:rPr>
      </w:pPr>
      <w:r>
        <w:rPr>
          <w:rStyle w:val="PageNumber"/>
        </w:rPr>
        <w:lastRenderedPageBreak/>
        <w:t>WG-HRV/2/4</w:t>
      </w:r>
    </w:p>
    <w:p w14:paraId="30D6A72D" w14:textId="77777777" w:rsidR="00A14575" w:rsidRPr="00A14575" w:rsidRDefault="00A52821" w:rsidP="00A14575">
      <w:pPr>
        <w:pStyle w:val="Header"/>
      </w:pPr>
      <w:r>
        <w:t>Anexo, página 3</w:t>
      </w:r>
    </w:p>
    <w:p w14:paraId="35D8254B" w14:textId="77777777" w:rsidR="00A14575" w:rsidRDefault="00A14575" w:rsidP="00F30CA6">
      <w:pPr>
        <w:pStyle w:val="Heading1"/>
      </w:pPr>
    </w:p>
    <w:p w14:paraId="401B6DB6" w14:textId="77777777" w:rsidR="00A14575" w:rsidRDefault="00A14575" w:rsidP="00F30CA6">
      <w:pPr>
        <w:pStyle w:val="Heading1"/>
        <w:jc w:val="both"/>
      </w:pPr>
    </w:p>
    <w:p w14:paraId="774CB32F" w14:textId="77777777" w:rsidR="00121F03" w:rsidRPr="0019030C" w:rsidRDefault="00121F03" w:rsidP="00F30CA6">
      <w:pPr>
        <w:pStyle w:val="Heading1"/>
      </w:pPr>
      <w:bookmarkStart w:id="4" w:name="_Toc112166078"/>
      <w:r>
        <w:t>ACTOS RESPECTO DEL PRODUCTO DE LA COSECHA</w:t>
      </w:r>
      <w:bookmarkEnd w:id="3"/>
      <w:bookmarkEnd w:id="4"/>
    </w:p>
    <w:p w14:paraId="54830AA2" w14:textId="77777777" w:rsidR="00121F03" w:rsidRPr="00175D54" w:rsidRDefault="00121F03" w:rsidP="00121F03">
      <w:pPr>
        <w:pStyle w:val="Heading2"/>
        <w:rPr>
          <w:sz w:val="16"/>
        </w:rPr>
      </w:pPr>
      <w:bookmarkStart w:id="5" w:name="_Toc178579799"/>
      <w:bookmarkStart w:id="6" w:name="_Toc178579820"/>
    </w:p>
    <w:p w14:paraId="423BCCBB" w14:textId="77777777" w:rsidR="00121F03" w:rsidRPr="00175D54" w:rsidRDefault="00121F03" w:rsidP="00121F03">
      <w:pPr>
        <w:rPr>
          <w:sz w:val="16"/>
        </w:rPr>
      </w:pPr>
    </w:p>
    <w:p w14:paraId="0B2A00A6" w14:textId="77777777" w:rsidR="00121F03" w:rsidRPr="0019030C" w:rsidRDefault="00121F03" w:rsidP="00121F03">
      <w:pPr>
        <w:pStyle w:val="Heading2"/>
      </w:pPr>
      <w:bookmarkStart w:id="7" w:name="_Toc331410078"/>
      <w:bookmarkStart w:id="8" w:name="_Toc112166079"/>
      <w:r>
        <w:t>a)</w:t>
      </w:r>
      <w:r>
        <w:tab/>
        <w:t>Artículo pertinente</w:t>
      </w:r>
      <w:bookmarkEnd w:id="5"/>
      <w:bookmarkEnd w:id="6"/>
      <w:bookmarkEnd w:id="7"/>
      <w:bookmarkEnd w:id="8"/>
    </w:p>
    <w:p w14:paraId="65678432" w14:textId="77777777" w:rsidR="00121F03" w:rsidRPr="00175D54" w:rsidRDefault="00121F03" w:rsidP="00121F03">
      <w:pPr>
        <w:rPr>
          <w:sz w:val="18"/>
        </w:rPr>
      </w:pPr>
    </w:p>
    <w:p w14:paraId="4F474C3A" w14:textId="77777777" w:rsidR="00121F03" w:rsidRPr="00175D54" w:rsidRDefault="00121F03" w:rsidP="00121F03">
      <w:pPr>
        <w:keepNext/>
        <w:keepLines/>
        <w:pBdr>
          <w:top w:val="single" w:sz="4" w:space="1" w:color="auto"/>
          <w:left w:val="single" w:sz="4" w:space="4" w:color="auto"/>
          <w:bottom w:val="single" w:sz="4" w:space="1" w:color="auto"/>
          <w:right w:val="single" w:sz="4" w:space="4" w:color="auto"/>
        </w:pBdr>
        <w:ind w:left="567" w:right="571"/>
        <w:jc w:val="center"/>
        <w:rPr>
          <w:b/>
          <w:bCs/>
          <w:sz w:val="16"/>
          <w:szCs w:val="18"/>
        </w:rPr>
      </w:pPr>
    </w:p>
    <w:p w14:paraId="7D4433A5" w14:textId="77777777" w:rsidR="00121F03" w:rsidRPr="0019030C" w:rsidRDefault="00121F03" w:rsidP="00121F03">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Pr>
          <w:b/>
          <w:sz w:val="18"/>
        </w:rPr>
        <w:t xml:space="preserve">Artículo 14 </w:t>
      </w:r>
      <w:r>
        <w:rPr>
          <w:sz w:val="18"/>
        </w:rPr>
        <w:t xml:space="preserve">del </w:t>
      </w:r>
      <w:r>
        <w:rPr>
          <w:b/>
          <w:sz w:val="18"/>
        </w:rPr>
        <w:t xml:space="preserve">Acta de 1991 </w:t>
      </w:r>
      <w:r>
        <w:rPr>
          <w:sz w:val="18"/>
        </w:rPr>
        <w:t xml:space="preserve">del Convenio de la UPOV </w:t>
      </w:r>
    </w:p>
    <w:p w14:paraId="3C7E3455" w14:textId="77777777" w:rsidR="00121F03" w:rsidRPr="0019030C" w:rsidRDefault="00121F03" w:rsidP="00121F03">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14:paraId="50AA703A" w14:textId="77777777" w:rsidR="00121F03" w:rsidRPr="0019030C" w:rsidRDefault="00121F03" w:rsidP="00121F03">
      <w:pPr>
        <w:pBdr>
          <w:top w:val="single" w:sz="4" w:space="1" w:color="auto"/>
          <w:left w:val="single" w:sz="4" w:space="4" w:color="auto"/>
          <w:bottom w:val="single" w:sz="4" w:space="1" w:color="auto"/>
          <w:right w:val="single" w:sz="4" w:space="4" w:color="auto"/>
        </w:pBdr>
        <w:ind w:left="567" w:right="571" w:firstLine="567"/>
        <w:rPr>
          <w:bCs/>
          <w:sz w:val="18"/>
          <w:szCs w:val="18"/>
        </w:rPr>
      </w:pPr>
      <w:r>
        <w:rPr>
          <w:sz w:val="18"/>
        </w:rPr>
        <w:t>1)</w:t>
      </w:r>
      <w:r>
        <w:rPr>
          <w:sz w:val="18"/>
        </w:rPr>
        <w:tab/>
        <w:t>[</w:t>
      </w:r>
      <w:r>
        <w:rPr>
          <w:i/>
          <w:iCs/>
          <w:sz w:val="18"/>
        </w:rPr>
        <w:t>Actos respecto del material de reproducción o de multiplicación</w:t>
      </w:r>
      <w:r>
        <w:rPr>
          <w:sz w:val="18"/>
        </w:rPr>
        <w:t xml:space="preserve">] </w:t>
      </w:r>
      <w:r>
        <w:rPr>
          <w:i/>
          <w:iCs/>
          <w:sz w:val="18"/>
        </w:rPr>
        <w:t>a)</w:t>
      </w:r>
      <w:r>
        <w:rPr>
          <w:sz w:val="18"/>
        </w:rPr>
        <w:t xml:space="preserve"> A reserva de lo dispuesto en los Artículos 15 y 16, se requerirá la autorización del obtentor para los actos siguientes realizados respecto de material de reproducción o de multiplicación de la variedad protegida:</w:t>
      </w:r>
    </w:p>
    <w:p w14:paraId="35A0489F" w14:textId="77777777" w:rsidR="00121F03" w:rsidRPr="00175D54" w:rsidRDefault="00121F03" w:rsidP="00121F03">
      <w:pPr>
        <w:pBdr>
          <w:top w:val="single" w:sz="4" w:space="1" w:color="auto"/>
          <w:left w:val="single" w:sz="4" w:space="4" w:color="auto"/>
          <w:bottom w:val="single" w:sz="4" w:space="1" w:color="auto"/>
          <w:right w:val="single" w:sz="4" w:space="4" w:color="auto"/>
        </w:pBdr>
        <w:ind w:left="567" w:right="571"/>
        <w:rPr>
          <w:bCs/>
          <w:sz w:val="16"/>
          <w:szCs w:val="18"/>
        </w:rPr>
      </w:pPr>
    </w:p>
    <w:p w14:paraId="610ED6A6" w14:textId="77777777"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Pr>
          <w:sz w:val="18"/>
        </w:rPr>
        <w:tab/>
        <w:t>i)</w:t>
      </w:r>
      <w:r>
        <w:rPr>
          <w:sz w:val="18"/>
        </w:rPr>
        <w:tab/>
        <w:t>la producción o la reproducción (multiplicación),</w:t>
      </w:r>
    </w:p>
    <w:p w14:paraId="114D84CF" w14:textId="77777777"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Pr>
          <w:sz w:val="18"/>
        </w:rPr>
        <w:tab/>
        <w:t>ii)</w:t>
      </w:r>
      <w:r>
        <w:rPr>
          <w:sz w:val="18"/>
        </w:rPr>
        <w:tab/>
        <w:t>la preparación a los fines de la reproducción o de la multiplicación,</w:t>
      </w:r>
    </w:p>
    <w:p w14:paraId="65ECBF41" w14:textId="77777777"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Pr>
          <w:sz w:val="18"/>
        </w:rPr>
        <w:tab/>
        <w:t>iii)</w:t>
      </w:r>
      <w:r>
        <w:rPr>
          <w:sz w:val="18"/>
        </w:rPr>
        <w:tab/>
        <w:t>la oferta en venta,</w:t>
      </w:r>
    </w:p>
    <w:p w14:paraId="46721A72" w14:textId="77777777"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Pr>
          <w:sz w:val="18"/>
        </w:rPr>
        <w:tab/>
        <w:t>iv)</w:t>
      </w:r>
      <w:r>
        <w:rPr>
          <w:sz w:val="18"/>
        </w:rPr>
        <w:tab/>
        <w:t>la venta o cualquier otra forma de comercialización,</w:t>
      </w:r>
    </w:p>
    <w:p w14:paraId="226D6E98" w14:textId="77777777"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Pr>
          <w:sz w:val="18"/>
        </w:rPr>
        <w:tab/>
        <w:t>v)</w:t>
      </w:r>
      <w:r>
        <w:rPr>
          <w:sz w:val="18"/>
        </w:rPr>
        <w:tab/>
        <w:t>la exportación,</w:t>
      </w:r>
    </w:p>
    <w:p w14:paraId="5B387544" w14:textId="77777777"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Pr>
          <w:sz w:val="18"/>
        </w:rPr>
        <w:tab/>
        <w:t>vi)</w:t>
      </w:r>
      <w:r>
        <w:rPr>
          <w:sz w:val="18"/>
        </w:rPr>
        <w:tab/>
        <w:t>la importación,</w:t>
      </w:r>
    </w:p>
    <w:p w14:paraId="1FF78673" w14:textId="77777777" w:rsidR="00121F03" w:rsidRPr="0019030C" w:rsidRDefault="00121F03" w:rsidP="00121F03">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Pr>
          <w:sz w:val="18"/>
        </w:rPr>
        <w:tab/>
        <w:t>vii)</w:t>
      </w:r>
      <w:r>
        <w:rPr>
          <w:sz w:val="18"/>
        </w:rPr>
        <w:tab/>
        <w:t xml:space="preserve">la posesión para cualquiera de los fines mencionados en los puntos i) a vi), </w:t>
      </w:r>
      <w:r>
        <w:rPr>
          <w:i/>
          <w:iCs/>
          <w:sz w:val="18"/>
        </w:rPr>
        <w:t>supra</w:t>
      </w:r>
      <w:r>
        <w:rPr>
          <w:sz w:val="18"/>
        </w:rPr>
        <w:t>.</w:t>
      </w:r>
    </w:p>
    <w:p w14:paraId="75EDADF6" w14:textId="77777777" w:rsidR="00121F03" w:rsidRPr="0019030C" w:rsidRDefault="00121F03" w:rsidP="00121F03">
      <w:pPr>
        <w:pBdr>
          <w:top w:val="single" w:sz="4" w:space="1" w:color="auto"/>
          <w:left w:val="single" w:sz="4" w:space="4" w:color="auto"/>
          <w:bottom w:val="single" w:sz="4" w:space="1" w:color="auto"/>
          <w:right w:val="single" w:sz="4" w:space="4" w:color="auto"/>
        </w:pBdr>
        <w:ind w:left="567" w:right="571"/>
        <w:rPr>
          <w:bCs/>
          <w:sz w:val="18"/>
          <w:szCs w:val="18"/>
        </w:rPr>
      </w:pPr>
    </w:p>
    <w:p w14:paraId="3A379B72" w14:textId="09A0F286" w:rsidR="00121F03" w:rsidRPr="0019030C" w:rsidRDefault="00121F03" w:rsidP="00121F03">
      <w:pPr>
        <w:pBdr>
          <w:top w:val="single" w:sz="4" w:space="1" w:color="auto"/>
          <w:left w:val="single" w:sz="4" w:space="4" w:color="auto"/>
          <w:bottom w:val="single" w:sz="4" w:space="1" w:color="auto"/>
          <w:right w:val="single" w:sz="4" w:space="4" w:color="auto"/>
        </w:pBdr>
        <w:ind w:left="567" w:right="571" w:firstLine="567"/>
        <w:rPr>
          <w:bCs/>
          <w:sz w:val="18"/>
          <w:szCs w:val="18"/>
        </w:rPr>
      </w:pPr>
      <w:r>
        <w:rPr>
          <w:i/>
          <w:iCs/>
          <w:sz w:val="18"/>
        </w:rPr>
        <w:t>b)</w:t>
      </w:r>
      <w:r w:rsidR="00AB55AA" w:rsidRPr="00AB55AA">
        <w:rPr>
          <w:bCs/>
          <w:sz w:val="18"/>
          <w:szCs w:val="18"/>
        </w:rPr>
        <w:t xml:space="preserve"> </w:t>
      </w:r>
      <w:r w:rsidR="00AB55AA" w:rsidRPr="0019030C">
        <w:rPr>
          <w:bCs/>
          <w:sz w:val="18"/>
          <w:szCs w:val="18"/>
        </w:rPr>
        <w:tab/>
      </w:r>
      <w:r>
        <w:rPr>
          <w:sz w:val="18"/>
        </w:rPr>
        <w:t>El obtentor podrá subordinar su autorización a condiciones y a limitaciones.</w:t>
      </w:r>
    </w:p>
    <w:p w14:paraId="02533F9B" w14:textId="77777777" w:rsidR="00121F03" w:rsidRPr="0019030C" w:rsidRDefault="00121F03" w:rsidP="00121F03">
      <w:pPr>
        <w:pBdr>
          <w:top w:val="single" w:sz="4" w:space="1" w:color="auto"/>
          <w:left w:val="single" w:sz="4" w:space="4" w:color="auto"/>
          <w:bottom w:val="single" w:sz="4" w:space="1" w:color="auto"/>
          <w:right w:val="single" w:sz="4" w:space="4" w:color="auto"/>
        </w:pBdr>
        <w:ind w:left="567" w:right="571"/>
        <w:rPr>
          <w:bCs/>
          <w:sz w:val="18"/>
          <w:szCs w:val="18"/>
        </w:rPr>
      </w:pPr>
    </w:p>
    <w:p w14:paraId="4EBBD2F5" w14:textId="77777777" w:rsidR="00121F03" w:rsidRPr="0019030C" w:rsidRDefault="00121F03" w:rsidP="00121F03">
      <w:pPr>
        <w:pBdr>
          <w:top w:val="single" w:sz="4" w:space="1" w:color="auto"/>
          <w:left w:val="single" w:sz="4" w:space="4" w:color="auto"/>
          <w:bottom w:val="single" w:sz="4" w:space="1" w:color="auto"/>
          <w:right w:val="single" w:sz="4" w:space="4" w:color="auto"/>
        </w:pBdr>
        <w:ind w:left="567" w:right="571"/>
        <w:rPr>
          <w:bCs/>
          <w:sz w:val="18"/>
          <w:szCs w:val="18"/>
        </w:rPr>
      </w:pPr>
      <w:r>
        <w:rPr>
          <w:sz w:val="18"/>
        </w:rPr>
        <w:tab/>
        <w:t>2)</w:t>
      </w:r>
      <w:r>
        <w:rPr>
          <w:sz w:val="18"/>
        </w:rPr>
        <w:tab/>
        <w:t>[</w:t>
      </w:r>
      <w:r>
        <w:rPr>
          <w:i/>
          <w:iCs/>
          <w:sz w:val="18"/>
        </w:rPr>
        <w:t>Actos respecto del producto de la cosecha</w:t>
      </w:r>
      <w:r>
        <w:rPr>
          <w:sz w:val="18"/>
        </w:rPr>
        <w:t>] A reserva de lo dispuesto los Artículos 15 y 16, se requerirá la autorización del obtentor para los actos mencionados en los puntos i) a vii) del párrafo 1)</w:t>
      </w:r>
      <w:r>
        <w:rPr>
          <w:i/>
          <w:iCs/>
          <w:sz w:val="18"/>
        </w:rPr>
        <w:t>a)</w:t>
      </w:r>
      <w:r>
        <w:rPr>
          <w:sz w:val="18"/>
        </w:rPr>
        <w:t xml:space="preserve"> realizados respecto del producto de la cosecha, incluidas plantas enteras y partes de plantas, obtenido por utilización no autorizada de material de reproducción o de multiplicación de la variedad protegida, a menos que el obtentor haya podido ejercer razonablemente su derecho en relación con dicho material de reproducción o de multiplicación.</w:t>
      </w:r>
    </w:p>
    <w:p w14:paraId="1698DCF2" w14:textId="77777777" w:rsidR="00121F03" w:rsidRPr="0019030C" w:rsidRDefault="00121F03" w:rsidP="00121F03">
      <w:pPr>
        <w:pBdr>
          <w:top w:val="single" w:sz="4" w:space="1" w:color="auto"/>
          <w:left w:val="single" w:sz="4" w:space="4" w:color="auto"/>
          <w:bottom w:val="single" w:sz="4" w:space="1" w:color="auto"/>
          <w:right w:val="single" w:sz="4" w:space="4" w:color="auto"/>
        </w:pBdr>
        <w:ind w:left="567" w:right="571"/>
        <w:rPr>
          <w:bCs/>
          <w:sz w:val="18"/>
          <w:szCs w:val="18"/>
        </w:rPr>
      </w:pPr>
    </w:p>
    <w:p w14:paraId="0160F587" w14:textId="77777777" w:rsidR="00121F03" w:rsidRPr="0019030C" w:rsidRDefault="00121F03" w:rsidP="00121F03">
      <w:pPr>
        <w:pBdr>
          <w:top w:val="single" w:sz="4" w:space="1" w:color="auto"/>
          <w:left w:val="single" w:sz="4" w:space="4" w:color="auto"/>
          <w:bottom w:val="single" w:sz="4" w:space="1" w:color="auto"/>
          <w:right w:val="single" w:sz="4" w:space="4" w:color="auto"/>
        </w:pBdr>
        <w:ind w:left="567" w:right="571"/>
        <w:rPr>
          <w:bCs/>
          <w:sz w:val="18"/>
          <w:szCs w:val="18"/>
        </w:rPr>
      </w:pPr>
      <w:r>
        <w:rPr>
          <w:sz w:val="18"/>
        </w:rPr>
        <w:t>[…]</w:t>
      </w:r>
    </w:p>
    <w:p w14:paraId="7FB7E5B3" w14:textId="77777777" w:rsidR="00121F03" w:rsidRPr="00175D54" w:rsidRDefault="00121F03" w:rsidP="00121F03">
      <w:pPr>
        <w:pBdr>
          <w:top w:val="single" w:sz="4" w:space="1" w:color="auto"/>
          <w:left w:val="single" w:sz="4" w:space="4" w:color="auto"/>
          <w:bottom w:val="single" w:sz="4" w:space="1" w:color="auto"/>
          <w:right w:val="single" w:sz="4" w:space="4" w:color="auto"/>
        </w:pBdr>
        <w:ind w:left="567" w:right="571"/>
        <w:rPr>
          <w:bCs/>
          <w:sz w:val="16"/>
          <w:szCs w:val="18"/>
          <w:u w:val="single"/>
        </w:rPr>
      </w:pPr>
    </w:p>
    <w:p w14:paraId="4CF403EE" w14:textId="77777777" w:rsidR="00121F03" w:rsidRPr="00B84CEF" w:rsidRDefault="00121F03" w:rsidP="00121F03">
      <w:pPr>
        <w:rPr>
          <w:sz w:val="12"/>
          <w:szCs w:val="16"/>
        </w:rPr>
      </w:pPr>
    </w:p>
    <w:p w14:paraId="4847A93D" w14:textId="77777777" w:rsidR="00121F03" w:rsidRPr="00B84CEF" w:rsidRDefault="00121F03" w:rsidP="00121F03">
      <w:pPr>
        <w:rPr>
          <w:sz w:val="14"/>
          <w:szCs w:val="18"/>
        </w:rPr>
      </w:pPr>
    </w:p>
    <w:p w14:paraId="00345298" w14:textId="50333288" w:rsidR="00121F03" w:rsidRPr="0019030C" w:rsidRDefault="00B348FD" w:rsidP="00121F03">
      <w:pPr>
        <w:rPr>
          <w:szCs w:val="24"/>
        </w:rPr>
      </w:pPr>
      <w:r>
        <w:t>1.</w:t>
      </w:r>
      <w:r>
        <w:tab/>
        <w:t xml:space="preserve">El Artículo 14.2) del Acta de 1991 prevé que, para que el derecho de obtentor se extienda a los actos respecto del producto de la cosecha, el producto de la cosecha debe haber sido obtenido por </w:t>
      </w:r>
      <w:r>
        <w:rPr>
          <w:b/>
        </w:rPr>
        <w:t>utilización no autorizada</w:t>
      </w:r>
      <w:r>
        <w:t xml:space="preserve"> de material de reproducción o de multiplicación </w:t>
      </w:r>
      <w:r>
        <w:rPr>
          <w:b/>
          <w:u w:val="single"/>
        </w:rPr>
        <w:t>y</w:t>
      </w:r>
      <w:r>
        <w:t xml:space="preserve"> el obtentor</w:t>
      </w:r>
      <w:r w:rsidR="00AF712D" w:rsidRPr="00AF712D">
        <w:rPr>
          <w:rStyle w:val="FootnoteReference"/>
          <w:b/>
          <w:szCs w:val="24"/>
        </w:rPr>
        <w:footnoteReference w:id="1"/>
      </w:r>
      <w:r w:rsidR="00AF712D" w:rsidRPr="00A52821">
        <w:rPr>
          <w:rStyle w:val="EndnoteReference"/>
          <w:b/>
          <w:szCs w:val="24"/>
        </w:rPr>
        <w:endnoteReference w:id="1"/>
      </w:r>
      <w:r w:rsidR="00AB55AA">
        <w:t xml:space="preserve"> </w:t>
      </w:r>
      <w:r>
        <w:t xml:space="preserve">no debe </w:t>
      </w:r>
      <w:r>
        <w:rPr>
          <w:b/>
          <w:bCs/>
        </w:rPr>
        <w:t>haber podido ejercer</w:t>
      </w:r>
      <w:r>
        <w:t xml:space="preserve"> </w:t>
      </w:r>
      <w:r>
        <w:rPr>
          <w:b/>
        </w:rPr>
        <w:t xml:space="preserve">razonablemente </w:t>
      </w:r>
      <w:r>
        <w:t>su</w:t>
      </w:r>
      <w:r w:rsidR="00160D79" w:rsidRPr="004916AD">
        <w:rPr>
          <w:rStyle w:val="EndnoteReference"/>
          <w:b/>
        </w:rPr>
        <w:endnoteReference w:id="2"/>
      </w:r>
      <w:r>
        <w:t xml:space="preserve"> derecho en relación con dicho material de reproducción o de multiplicación.</w:t>
      </w:r>
      <w:r w:rsidR="008A35F6">
        <w:t xml:space="preserve"> </w:t>
      </w:r>
      <w:r>
        <w:t>Los párrafos siguientes ofrecen orientación en relación con las expresiones “utilización no autorizada” y “podido ejercer razonablemente”.</w:t>
      </w:r>
    </w:p>
    <w:p w14:paraId="725144FE" w14:textId="77777777" w:rsidR="00121F03" w:rsidRPr="00B84CEF" w:rsidRDefault="00121F03" w:rsidP="00121F03">
      <w:pPr>
        <w:rPr>
          <w:sz w:val="12"/>
          <w:szCs w:val="14"/>
        </w:rPr>
      </w:pPr>
    </w:p>
    <w:p w14:paraId="32D0B1D2" w14:textId="77777777" w:rsidR="00121F03" w:rsidRPr="00175D54" w:rsidRDefault="00121F03" w:rsidP="00121F03">
      <w:pPr>
        <w:rPr>
          <w:sz w:val="18"/>
          <w:szCs w:val="24"/>
        </w:rPr>
      </w:pPr>
    </w:p>
    <w:p w14:paraId="0B429C96" w14:textId="77777777" w:rsidR="00121F03" w:rsidRPr="0019030C" w:rsidRDefault="00121F03" w:rsidP="00121F03">
      <w:pPr>
        <w:pStyle w:val="Heading2"/>
        <w:rPr>
          <w:iCs/>
        </w:rPr>
      </w:pPr>
      <w:bookmarkStart w:id="9" w:name="_Toc331410079"/>
      <w:bookmarkStart w:id="10" w:name="_Toc112166080"/>
      <w:r>
        <w:rPr>
          <w:u w:val="none"/>
        </w:rPr>
        <w:t>b)</w:t>
      </w:r>
      <w:r>
        <w:rPr>
          <w:u w:val="none"/>
        </w:rPr>
        <w:tab/>
      </w:r>
      <w:r>
        <w:t>Producto de la cosecha</w:t>
      </w:r>
      <w:bookmarkEnd w:id="9"/>
      <w:bookmarkEnd w:id="10"/>
    </w:p>
    <w:p w14:paraId="157DCB0F" w14:textId="77777777" w:rsidR="00121F03" w:rsidRPr="00175D54" w:rsidRDefault="00121F03" w:rsidP="00121F03">
      <w:pPr>
        <w:rPr>
          <w:sz w:val="18"/>
          <w:szCs w:val="24"/>
        </w:rPr>
      </w:pPr>
    </w:p>
    <w:p w14:paraId="15E3CA81" w14:textId="36130020" w:rsidR="00A52821" w:rsidRDefault="00B348FD" w:rsidP="00F30CA6">
      <w:pPr>
        <w:rPr>
          <w:rStyle w:val="PageNumber"/>
        </w:rPr>
      </w:pPr>
      <w:r>
        <w:t>2.</w:t>
      </w:r>
      <w:r>
        <w:tab/>
        <w:t>El Convenio de la UPOV no establece una definición de producto de la cosecha.</w:t>
      </w:r>
      <w:r w:rsidR="008A35F6">
        <w:t xml:space="preserve"> </w:t>
      </w:r>
      <w:r>
        <w:t xml:space="preserve">Sin embargo, en el Artículo 14.2) del Acta de 1991 se hace referencia a “[…] producto de la cosecha, </w:t>
      </w:r>
      <w:r>
        <w:rPr>
          <w:i/>
        </w:rPr>
        <w:t>incluidas plantas enteras y partes de plantas</w:t>
      </w:r>
      <w:r>
        <w:t>, obtenido por utilización no autorizada de material de reproducción o de multiplicación de la variedad protegida […]”, y con ello se indica que el producto de la cosecha incluye las plantas enteras y las partes de plantas obtenidas por utilización de material de reproducción o de multiplicación.</w:t>
      </w:r>
    </w:p>
    <w:p w14:paraId="5EDC7859" w14:textId="77777777" w:rsidR="00A52821" w:rsidRPr="008A35F6" w:rsidRDefault="00A52821" w:rsidP="00A14575">
      <w:pPr>
        <w:pStyle w:val="Header"/>
        <w:rPr>
          <w:rStyle w:val="PageNumber"/>
        </w:rPr>
      </w:pPr>
    </w:p>
    <w:p w14:paraId="4B01E518" w14:textId="77777777" w:rsidR="00A52821" w:rsidRPr="008A35F6" w:rsidRDefault="00A52821" w:rsidP="00A14575">
      <w:pPr>
        <w:pStyle w:val="Header"/>
        <w:rPr>
          <w:rStyle w:val="PageNumber"/>
        </w:rPr>
      </w:pPr>
    </w:p>
    <w:p w14:paraId="22BE9FBD" w14:textId="77777777" w:rsidR="00A52821" w:rsidRPr="008A35F6" w:rsidRDefault="00A52821" w:rsidP="00A14575">
      <w:pPr>
        <w:pStyle w:val="Header"/>
        <w:rPr>
          <w:rStyle w:val="PageNumber"/>
        </w:rPr>
      </w:pPr>
    </w:p>
    <w:p w14:paraId="0602DD38" w14:textId="77777777" w:rsidR="00A52821" w:rsidRPr="008A35F6" w:rsidRDefault="00A52821" w:rsidP="00A14575">
      <w:pPr>
        <w:pStyle w:val="Header"/>
        <w:rPr>
          <w:rStyle w:val="PageNumber"/>
        </w:rPr>
      </w:pPr>
    </w:p>
    <w:p w14:paraId="36ED72BA" w14:textId="77777777" w:rsidR="00A52821" w:rsidRPr="008A35F6" w:rsidRDefault="00A52821" w:rsidP="00A14575">
      <w:pPr>
        <w:pStyle w:val="Header"/>
        <w:rPr>
          <w:rStyle w:val="PageNumber"/>
        </w:rPr>
      </w:pPr>
    </w:p>
    <w:p w14:paraId="4E572B0D" w14:textId="77777777" w:rsidR="00A52821" w:rsidRPr="008A35F6" w:rsidRDefault="00A52821" w:rsidP="00A14575">
      <w:pPr>
        <w:pStyle w:val="Header"/>
        <w:rPr>
          <w:rStyle w:val="PageNumber"/>
        </w:rPr>
      </w:pPr>
    </w:p>
    <w:p w14:paraId="011B77A1" w14:textId="77777777" w:rsidR="00A52821" w:rsidRPr="008A35F6" w:rsidRDefault="00A52821" w:rsidP="00A14575">
      <w:pPr>
        <w:pStyle w:val="Header"/>
        <w:rPr>
          <w:rStyle w:val="PageNumber"/>
        </w:rPr>
      </w:pPr>
    </w:p>
    <w:p w14:paraId="15C9102A" w14:textId="77777777" w:rsidR="00A52821" w:rsidRPr="008A35F6" w:rsidRDefault="00A52821" w:rsidP="00A14575">
      <w:pPr>
        <w:pStyle w:val="Header"/>
        <w:rPr>
          <w:rStyle w:val="PageNumber"/>
        </w:rPr>
      </w:pPr>
    </w:p>
    <w:p w14:paraId="5D7DE955" w14:textId="77777777" w:rsidR="00A52821" w:rsidRPr="008A35F6" w:rsidRDefault="00A52821" w:rsidP="00A14575">
      <w:pPr>
        <w:pStyle w:val="Header"/>
        <w:rPr>
          <w:rStyle w:val="PageNumber"/>
        </w:rPr>
      </w:pPr>
    </w:p>
    <w:p w14:paraId="5A264B68" w14:textId="77777777" w:rsidR="00A52821" w:rsidRPr="008A35F6" w:rsidRDefault="00A52821" w:rsidP="00A14575">
      <w:pPr>
        <w:pStyle w:val="Header"/>
        <w:rPr>
          <w:rStyle w:val="PageNumber"/>
        </w:rPr>
      </w:pPr>
    </w:p>
    <w:p w14:paraId="0A27AE53" w14:textId="77777777" w:rsidR="00A14575" w:rsidRPr="00C5280D" w:rsidRDefault="00A14575" w:rsidP="00A14575">
      <w:pPr>
        <w:pStyle w:val="Header"/>
        <w:rPr>
          <w:rStyle w:val="PageNumber"/>
        </w:rPr>
      </w:pPr>
      <w:r>
        <w:rPr>
          <w:rStyle w:val="PageNumber"/>
        </w:rPr>
        <w:lastRenderedPageBreak/>
        <w:t>WG-HRV/2/4</w:t>
      </w:r>
    </w:p>
    <w:p w14:paraId="2F575BF4" w14:textId="77777777" w:rsidR="00121F03" w:rsidRDefault="00A52821" w:rsidP="00A14575">
      <w:pPr>
        <w:jc w:val="center"/>
      </w:pPr>
      <w:r>
        <w:t>Anexo, página 4</w:t>
      </w:r>
    </w:p>
    <w:p w14:paraId="456F6327" w14:textId="2B764A08" w:rsidR="00A14575" w:rsidRDefault="00A14575" w:rsidP="00121F03"/>
    <w:p w14:paraId="7402D784" w14:textId="77777777" w:rsidR="008508F6" w:rsidRDefault="008508F6" w:rsidP="00121F03"/>
    <w:p w14:paraId="5D3B9BE5" w14:textId="138872BA" w:rsidR="00121F03" w:rsidRPr="0019030C" w:rsidRDefault="00B348FD" w:rsidP="00121F03">
      <w:pPr>
        <w:keepNext/>
      </w:pPr>
      <w:r>
        <w:t>3.</w:t>
      </w:r>
      <w:r>
        <w:tab/>
        <w:t>La precisión de que el producto de la cosecha incluye las plantas enteras y las partes de plantas, que es un material que potencialmente pued</w:t>
      </w:r>
      <w:r w:rsidR="00216BB0">
        <w:t>e</w:t>
      </w:r>
      <w:r>
        <w:t xml:space="preserve"> utilizarse a los fines de reproducción o de multiplicación, indica que, como mínimo algunas formas del producto de la cosecha pueden utilizarse como material de reproducción o de multiplicación.</w:t>
      </w:r>
      <w:r w:rsidR="008A35F6">
        <w:t xml:space="preserve"> </w:t>
      </w:r>
      <w:r w:rsidRPr="00D85B1E">
        <w:rPr>
          <w:highlight w:val="lightGray"/>
          <w:u w:val="single"/>
        </w:rPr>
        <w:t>Si el producto de la cosecha puede utilizarse como material de reproducción o de multiplicación, puede considerarse material de reproducción o de multiplicación</w:t>
      </w:r>
      <w:r>
        <w:rPr>
          <w:highlight w:val="lightGray"/>
        </w:rPr>
        <w:t>.</w:t>
      </w:r>
      <w:r w:rsidR="00160D79" w:rsidRPr="004916AD">
        <w:rPr>
          <w:rStyle w:val="EndnoteReference"/>
          <w:b/>
        </w:rPr>
        <w:endnoteReference w:id="3"/>
      </w:r>
    </w:p>
    <w:p w14:paraId="55CE5694" w14:textId="77777777" w:rsidR="00C010B9" w:rsidRPr="00CB675A" w:rsidRDefault="00C010B9" w:rsidP="00C010B9">
      <w:pPr>
        <w:keepNext/>
        <w:keepLines/>
        <w:rPr>
          <w:sz w:val="18"/>
        </w:rPr>
      </w:pPr>
    </w:p>
    <w:tbl>
      <w:tblPr>
        <w:tblStyle w:val="TableGrid"/>
        <w:tblW w:w="0" w:type="auto"/>
        <w:tblLook w:val="04A0" w:firstRow="1" w:lastRow="0" w:firstColumn="1" w:lastColumn="0" w:noHBand="0" w:noVBand="1"/>
      </w:tblPr>
      <w:tblGrid>
        <w:gridCol w:w="9629"/>
      </w:tblGrid>
      <w:tr w:rsidR="00C010B9" w:rsidRPr="00FD7B58" w14:paraId="3B650006" w14:textId="77777777" w:rsidTr="00160D79">
        <w:tc>
          <w:tcPr>
            <w:tcW w:w="9629" w:type="dxa"/>
            <w:shd w:val="clear" w:color="auto" w:fill="F2F2F2" w:themeFill="background1" w:themeFillShade="F2"/>
          </w:tcPr>
          <w:p w14:paraId="67DC4527" w14:textId="77777777" w:rsidR="00C010B9" w:rsidRPr="003B1AC3" w:rsidRDefault="00C010B9" w:rsidP="00160D79">
            <w:pPr>
              <w:keepNext/>
              <w:keepLines/>
              <w:rPr>
                <w:sz w:val="10"/>
                <w:szCs w:val="10"/>
              </w:rPr>
            </w:pPr>
          </w:p>
          <w:p w14:paraId="0855DDC3" w14:textId="77777777" w:rsidR="00C010B9" w:rsidRPr="00426126" w:rsidRDefault="00C010B9" w:rsidP="00160D79">
            <w:pPr>
              <w:keepNext/>
              <w:keepLines/>
              <w:rPr>
                <w:sz w:val="18"/>
                <w:szCs w:val="18"/>
              </w:rPr>
            </w:pPr>
            <w:r>
              <w:rPr>
                <w:sz w:val="18"/>
                <w:u w:val="single"/>
              </w:rPr>
              <w:t>Propuesta de Nueva Zelandia</w:t>
            </w:r>
            <w:r w:rsidRPr="00426126">
              <w:rPr>
                <w:rStyle w:val="EndnoteReference"/>
                <w:b/>
                <w:sz w:val="18"/>
                <w:szCs w:val="18"/>
              </w:rPr>
              <w:endnoteReference w:id="4"/>
            </w:r>
          </w:p>
          <w:p w14:paraId="6129273A" w14:textId="77777777" w:rsidR="00C010B9" w:rsidRDefault="00C010B9" w:rsidP="00160D79">
            <w:pPr>
              <w:keepNext/>
              <w:keepLines/>
              <w:rPr>
                <w:sz w:val="16"/>
                <w:szCs w:val="16"/>
              </w:rPr>
            </w:pPr>
          </w:p>
          <w:p w14:paraId="02D2CE6A" w14:textId="77777777" w:rsidR="00C010B9" w:rsidRDefault="00C010B9" w:rsidP="00160D79">
            <w:pPr>
              <w:keepNext/>
              <w:keepLines/>
              <w:rPr>
                <w:sz w:val="18"/>
                <w:szCs w:val="16"/>
              </w:rPr>
            </w:pPr>
            <w:r>
              <w:rPr>
                <w:sz w:val="18"/>
              </w:rPr>
              <w:t>En relación con la citada modificación del párrafo 3, propuesta en el párrafo 11 del documento WG-HRV/1/6 “Informe”, Nueva Zelandia formuló el siguiente comentario:</w:t>
            </w:r>
          </w:p>
          <w:p w14:paraId="3F5AA811" w14:textId="77777777" w:rsidR="00C010B9" w:rsidRPr="00C010B9" w:rsidRDefault="00C010B9" w:rsidP="00160D79">
            <w:pPr>
              <w:keepNext/>
              <w:keepLines/>
              <w:rPr>
                <w:sz w:val="16"/>
                <w:szCs w:val="16"/>
              </w:rPr>
            </w:pPr>
          </w:p>
          <w:p w14:paraId="13EE5A89" w14:textId="77777777" w:rsidR="00C010B9" w:rsidRPr="00C010B9" w:rsidRDefault="00A52821" w:rsidP="00C010B9">
            <w:pPr>
              <w:rPr>
                <w:sz w:val="18"/>
              </w:rPr>
            </w:pPr>
            <w:r>
              <w:rPr>
                <w:sz w:val="18"/>
              </w:rPr>
              <w:t xml:space="preserve">“El segmento sombreado es un añadido; sin embargo, si el elemento fundamental propuesto comenzara señalando que todo material vegetal constituye un material de reproducción o de multiplicación, esa frase sería innecesaria. </w:t>
            </w:r>
          </w:p>
          <w:p w14:paraId="3A1402C0" w14:textId="29265C62" w:rsidR="00C010B9" w:rsidRDefault="00C010B9" w:rsidP="00C010B9">
            <w:pPr>
              <w:rPr>
                <w:sz w:val="18"/>
              </w:rPr>
            </w:pPr>
            <w:r>
              <w:rPr>
                <w:sz w:val="18"/>
              </w:rPr>
              <w:t>Aceptar el punto de partida de que todo material vegetal constituye un material de reproducción o de multiplicación, a no ser que se demuestre lo contrario, y reorientar la revisión para que ofrezca orientaciones sobre cuándo el material adquiere la condición de producto de la cosecha cambia un poco el enfoque, pero no por completo en lo esencial. Un enfoque de este tipo es coherente con el Artículo 14.2) y el Artículo 16.2), los cuales aluden a que el producto de la cosecha incluye las plantas enteras y las partes de plantas. Orientar la revisión en esta dirección puede plantear a los Estados miembros dificultades con las definiciones de “material de reproducción o de multiplicación” o de “producto de la cosecha” en sus respectivas legislaciones nacionales, dado que es posible que estas no puedan armonizar con este enfoque de la nota explicativa.</w:t>
            </w:r>
            <w:r w:rsidR="008A35F6">
              <w:rPr>
                <w:sz w:val="18"/>
              </w:rPr>
              <w:t xml:space="preserve"> </w:t>
            </w:r>
          </w:p>
          <w:p w14:paraId="2CBA5672" w14:textId="77777777" w:rsidR="00C010B9" w:rsidRPr="00C010B9" w:rsidRDefault="00C010B9" w:rsidP="00C010B9">
            <w:pPr>
              <w:rPr>
                <w:sz w:val="18"/>
              </w:rPr>
            </w:pPr>
            <w:r>
              <w:rPr>
                <w:sz w:val="18"/>
              </w:rPr>
              <w:t>El Convenio se formuló en un momento en que existía una distinción mucho más clara entre el producto de la cosecha y el material de reproducción o de multiplicación. Treinta años después, la situación ha cambiado y las notas explicativas no deben ser un reflejo únicamente del Convenio sino también de la práctica y el comercio actuales.”</w:t>
            </w:r>
          </w:p>
          <w:p w14:paraId="03930CF7" w14:textId="77777777" w:rsidR="00C010B9" w:rsidRPr="00385EFC" w:rsidRDefault="00C010B9" w:rsidP="00C010B9">
            <w:pPr>
              <w:keepNext/>
              <w:keepLines/>
              <w:rPr>
                <w:sz w:val="8"/>
              </w:rPr>
            </w:pPr>
          </w:p>
        </w:tc>
      </w:tr>
    </w:tbl>
    <w:p w14:paraId="2CBECB09" w14:textId="77777777" w:rsidR="00C010B9" w:rsidRDefault="00C010B9" w:rsidP="00121F03">
      <w:pPr>
        <w:rPr>
          <w:sz w:val="18"/>
        </w:rPr>
      </w:pPr>
    </w:p>
    <w:p w14:paraId="2E7FDE7B" w14:textId="77777777" w:rsidR="00121F03" w:rsidRPr="00CB675A" w:rsidRDefault="00121F03" w:rsidP="00121F03">
      <w:pPr>
        <w:rPr>
          <w:sz w:val="18"/>
        </w:rPr>
      </w:pPr>
    </w:p>
    <w:p w14:paraId="7A86CFB9" w14:textId="77777777" w:rsidR="00121F03" w:rsidRPr="0019030C" w:rsidRDefault="00121F03" w:rsidP="00121F03">
      <w:pPr>
        <w:pStyle w:val="Heading2"/>
      </w:pPr>
      <w:bookmarkStart w:id="11" w:name="_Toc178579800"/>
      <w:bookmarkStart w:id="12" w:name="_Toc178579821"/>
      <w:bookmarkStart w:id="13" w:name="_Toc331410080"/>
      <w:bookmarkStart w:id="14" w:name="_Toc112166081"/>
      <w:r>
        <w:rPr>
          <w:u w:val="none"/>
        </w:rPr>
        <w:t>c)</w:t>
      </w:r>
      <w:r>
        <w:rPr>
          <w:u w:val="none"/>
        </w:rPr>
        <w:tab/>
      </w:r>
      <w:r>
        <w:t>Utilización no autorizada</w:t>
      </w:r>
      <w:bookmarkEnd w:id="11"/>
      <w:bookmarkEnd w:id="12"/>
      <w:r>
        <w:t xml:space="preserve"> de material de reproducción o de multiplicación</w:t>
      </w:r>
      <w:bookmarkEnd w:id="13"/>
      <w:bookmarkEnd w:id="14"/>
    </w:p>
    <w:p w14:paraId="20DBF182" w14:textId="77777777" w:rsidR="00121F03" w:rsidRPr="0019030C" w:rsidRDefault="00121F03" w:rsidP="00121F03">
      <w:pPr>
        <w:keepNext/>
        <w:rPr>
          <w:szCs w:val="24"/>
        </w:rPr>
      </w:pPr>
    </w:p>
    <w:p w14:paraId="30CCC119" w14:textId="77777777" w:rsidR="00121F03" w:rsidRPr="0019030C" w:rsidRDefault="00121F03" w:rsidP="00121F03">
      <w:pPr>
        <w:pStyle w:val="Heading3"/>
      </w:pPr>
      <w:bookmarkStart w:id="15" w:name="_Toc331410081"/>
      <w:bookmarkStart w:id="16" w:name="_Toc112166082"/>
      <w:r>
        <w:t>Actos respecto del material de reproducción o multiplicación</w:t>
      </w:r>
      <w:bookmarkEnd w:id="15"/>
      <w:bookmarkEnd w:id="16"/>
    </w:p>
    <w:p w14:paraId="3A18B0C0" w14:textId="77777777" w:rsidR="00121F03" w:rsidRPr="0019030C" w:rsidRDefault="00121F03" w:rsidP="00121F03">
      <w:pPr>
        <w:keepNext/>
        <w:rPr>
          <w:szCs w:val="24"/>
        </w:rPr>
      </w:pPr>
    </w:p>
    <w:p w14:paraId="4FA414B7" w14:textId="2879E025" w:rsidR="00810894" w:rsidRPr="00B84CEF" w:rsidRDefault="00B348FD" w:rsidP="00F30CA6">
      <w:pPr>
        <w:rPr>
          <w:szCs w:val="24"/>
        </w:rPr>
      </w:pPr>
      <w:r>
        <w:t>4.</w:t>
      </w:r>
      <w:r>
        <w:tab/>
        <w:t>“Utilización no autorizada” se refiere a los actos respecto de material de reproducción o de multiplicación para los que se requiere la autorización del titular del derecho de obtentor en el territorio en cuestión (Artículo 14.1) del Acta de 1991), pero donde dicha autorización no se obtuvo.</w:t>
      </w:r>
      <w:r w:rsidR="008A35F6">
        <w:t xml:space="preserve"> </w:t>
      </w:r>
      <w:r>
        <w:t>En consecuencia, los actos no autorizados solo pueden ocurrir en el territorio del miembro de la Unión en el que se ha concedido y está en vigor un derecho de obtentor.</w:t>
      </w:r>
    </w:p>
    <w:p w14:paraId="64BB8B37" w14:textId="77777777" w:rsidR="00F30CA6" w:rsidRPr="00CB675A" w:rsidRDefault="00F30CA6" w:rsidP="00F30CA6">
      <w:pPr>
        <w:rPr>
          <w:sz w:val="18"/>
        </w:rPr>
      </w:pPr>
    </w:p>
    <w:tbl>
      <w:tblPr>
        <w:tblStyle w:val="TableGrid"/>
        <w:tblW w:w="0" w:type="auto"/>
        <w:tblLook w:val="04A0" w:firstRow="1" w:lastRow="0" w:firstColumn="1" w:lastColumn="0" w:noHBand="0" w:noVBand="1"/>
      </w:tblPr>
      <w:tblGrid>
        <w:gridCol w:w="9629"/>
      </w:tblGrid>
      <w:tr w:rsidR="00121F03" w:rsidRPr="00FD7B58" w14:paraId="393E0CFA" w14:textId="77777777" w:rsidTr="00B348FD">
        <w:tc>
          <w:tcPr>
            <w:tcW w:w="9629" w:type="dxa"/>
            <w:shd w:val="clear" w:color="auto" w:fill="F2F2F2" w:themeFill="background1" w:themeFillShade="F2"/>
          </w:tcPr>
          <w:p w14:paraId="09D8BBEA" w14:textId="77777777" w:rsidR="00121F03" w:rsidRPr="003B1AC3" w:rsidRDefault="00121F03" w:rsidP="00B348FD">
            <w:pPr>
              <w:rPr>
                <w:sz w:val="10"/>
                <w:szCs w:val="10"/>
              </w:rPr>
            </w:pPr>
          </w:p>
          <w:p w14:paraId="5AADA7F1" w14:textId="77777777" w:rsidR="00121F03" w:rsidRPr="00E14531" w:rsidRDefault="00121F03" w:rsidP="00B348FD">
            <w:pPr>
              <w:rPr>
                <w:i/>
                <w:sz w:val="18"/>
                <w:szCs w:val="18"/>
              </w:rPr>
            </w:pPr>
            <w:r>
              <w:rPr>
                <w:i/>
                <w:sz w:val="18"/>
                <w:u w:val="single"/>
              </w:rPr>
              <w:t xml:space="preserve">Propuestas de la ISF, la CIOPORA, </w:t>
            </w:r>
            <w:r w:rsidRPr="003A453E">
              <w:rPr>
                <w:iCs/>
                <w:sz w:val="18"/>
                <w:u w:val="single"/>
              </w:rPr>
              <w:t>CropLife International, Euroseeds</w:t>
            </w:r>
            <w:r>
              <w:rPr>
                <w:i/>
                <w:sz w:val="18"/>
                <w:u w:val="single"/>
              </w:rPr>
              <w:t>, la APSA, la AFSTA y la SAA</w:t>
            </w:r>
            <w:r w:rsidRPr="00E14531">
              <w:rPr>
                <w:rStyle w:val="EndnoteReference"/>
                <w:b/>
                <w:i/>
                <w:sz w:val="18"/>
                <w:szCs w:val="18"/>
              </w:rPr>
              <w:endnoteReference w:id="5"/>
            </w:r>
          </w:p>
          <w:p w14:paraId="5310C1A2" w14:textId="77777777" w:rsidR="00121F03" w:rsidRPr="00B84CEF" w:rsidRDefault="00121F03" w:rsidP="00B348FD">
            <w:pPr>
              <w:rPr>
                <w:i/>
                <w:sz w:val="14"/>
                <w:szCs w:val="16"/>
              </w:rPr>
            </w:pPr>
          </w:p>
          <w:p w14:paraId="44E15212" w14:textId="2FC8415F" w:rsidR="00121F03" w:rsidRPr="00E14531" w:rsidRDefault="00121F03" w:rsidP="00B348FD">
            <w:pPr>
              <w:rPr>
                <w:i/>
                <w:sz w:val="18"/>
                <w:szCs w:val="18"/>
              </w:rPr>
            </w:pPr>
            <w:r>
              <w:rPr>
                <w:i/>
                <w:sz w:val="18"/>
              </w:rPr>
              <w:t>El párrafo 4 debe modificarse de la siguiente manera:</w:t>
            </w:r>
            <w:r w:rsidR="008A35F6">
              <w:rPr>
                <w:i/>
                <w:sz w:val="18"/>
              </w:rPr>
              <w:t xml:space="preserve"> </w:t>
            </w:r>
            <w:r>
              <w:rPr>
                <w:i/>
                <w:sz w:val="18"/>
              </w:rPr>
              <w:t>“</w:t>
            </w:r>
            <w:r>
              <w:rPr>
                <w:i/>
                <w:sz w:val="18"/>
                <w:highlight w:val="lightGray"/>
              </w:rPr>
              <w:t>La autorización es la manifestación inequívoca de un acto de voluntad por parte del obtentor.</w:t>
            </w:r>
            <w:r w:rsidR="008A35F6">
              <w:rPr>
                <w:i/>
                <w:sz w:val="18"/>
                <w:highlight w:val="lightGray"/>
                <w:u w:val="single"/>
              </w:rPr>
              <w:t xml:space="preserve"> </w:t>
            </w:r>
            <w:r>
              <w:rPr>
                <w:i/>
                <w:sz w:val="18"/>
                <w:highlight w:val="lightGray"/>
                <w:u w:val="single"/>
              </w:rPr>
              <w:t>Por consiguiente,</w:t>
            </w:r>
            <w:r>
              <w:rPr>
                <w:i/>
                <w:sz w:val="18"/>
              </w:rPr>
              <w:t xml:space="preserve"> ’utilización no autorizada’ se refiere a los actos respecto de material de reproducción o de multiplicación para los que </w:t>
            </w:r>
            <w:r>
              <w:rPr>
                <w:i/>
                <w:sz w:val="18"/>
                <w:highlight w:val="lightGray"/>
                <w:u w:val="single"/>
              </w:rPr>
              <w:t>no se ha obtenido</w:t>
            </w:r>
            <w:r w:rsidRPr="00527FFD">
              <w:rPr>
                <w:i/>
                <w:sz w:val="18"/>
                <w:highlight w:val="lightGray"/>
              </w:rPr>
              <w:t xml:space="preserve"> </w:t>
            </w:r>
            <w:r>
              <w:rPr>
                <w:i/>
                <w:strike/>
                <w:sz w:val="18"/>
                <w:highlight w:val="lightGray"/>
              </w:rPr>
              <w:t>se requiere</w:t>
            </w:r>
            <w:r w:rsidR="008A35F6" w:rsidRPr="00527FFD">
              <w:rPr>
                <w:i/>
                <w:sz w:val="18"/>
              </w:rPr>
              <w:t xml:space="preserve"> </w:t>
            </w:r>
            <w:r>
              <w:rPr>
                <w:i/>
                <w:sz w:val="18"/>
              </w:rPr>
              <w:t xml:space="preserve">la autorización </w:t>
            </w:r>
            <w:r>
              <w:rPr>
                <w:i/>
                <w:sz w:val="18"/>
                <w:highlight w:val="lightGray"/>
                <w:u w:val="single"/>
              </w:rPr>
              <w:t>explícita del</w:t>
            </w:r>
            <w:r>
              <w:rPr>
                <w:i/>
                <w:sz w:val="18"/>
              </w:rPr>
              <w:t xml:space="preserve"> </w:t>
            </w:r>
            <w:r>
              <w:rPr>
                <w:i/>
                <w:strike/>
                <w:sz w:val="18"/>
                <w:highlight w:val="lightGray"/>
              </w:rPr>
              <w:t xml:space="preserve">titular del derecho de </w:t>
            </w:r>
            <w:r>
              <w:rPr>
                <w:i/>
                <w:sz w:val="18"/>
                <w:highlight w:val="lightGray"/>
                <w:u w:val="single"/>
              </w:rPr>
              <w:t>obtentor</w:t>
            </w:r>
            <w:r>
              <w:rPr>
                <w:i/>
                <w:strike/>
                <w:sz w:val="18"/>
              </w:rPr>
              <w:t xml:space="preserve"> </w:t>
            </w:r>
            <w:r>
              <w:rPr>
                <w:i/>
                <w:strike/>
                <w:sz w:val="18"/>
                <w:highlight w:val="lightGray"/>
              </w:rPr>
              <w:t>en el territorio en cuestión (Artículo 14.1) del Acta de 1991), pero donde dicha autorización no se obtuvo</w:t>
            </w:r>
            <w:r>
              <w:rPr>
                <w:i/>
                <w:sz w:val="18"/>
              </w:rPr>
              <w:t>.</w:t>
            </w:r>
            <w:r w:rsidR="008A35F6">
              <w:rPr>
                <w:i/>
                <w:strike/>
                <w:sz w:val="18"/>
                <w:highlight w:val="lightGray"/>
              </w:rPr>
              <w:t xml:space="preserve"> </w:t>
            </w:r>
            <w:r>
              <w:rPr>
                <w:i/>
                <w:strike/>
                <w:sz w:val="18"/>
                <w:highlight w:val="lightGray"/>
              </w:rPr>
              <w:t>En consecuencia, los actos no autorizados solo pueden ocurrir en el territorio del miembro de la Unión en el que se ha concedido y está en vigor un derecho de obtentor</w:t>
            </w:r>
            <w:r>
              <w:rPr>
                <w:i/>
                <w:sz w:val="18"/>
              </w:rPr>
              <w:t>.</w:t>
            </w:r>
          </w:p>
          <w:p w14:paraId="13165DCD" w14:textId="77777777" w:rsidR="00121F03" w:rsidRPr="00E14531" w:rsidRDefault="00121F03" w:rsidP="00B348FD">
            <w:pPr>
              <w:rPr>
                <w:i/>
                <w:sz w:val="16"/>
                <w:szCs w:val="18"/>
              </w:rPr>
            </w:pPr>
          </w:p>
          <w:p w14:paraId="5C192C1B" w14:textId="77777777" w:rsidR="00121F03" w:rsidRPr="00E14531" w:rsidRDefault="00121F03" w:rsidP="00B348FD">
            <w:pPr>
              <w:rPr>
                <w:i/>
                <w:sz w:val="18"/>
                <w:szCs w:val="18"/>
                <w:highlight w:val="lightGray"/>
                <w:u w:val="single"/>
              </w:rPr>
            </w:pPr>
            <w:r>
              <w:rPr>
                <w:i/>
                <w:sz w:val="18"/>
                <w:highlight w:val="lightGray"/>
                <w:u w:val="single"/>
              </w:rPr>
              <w:t>La condición de ’utilización no autorizada’ ha de entenderse en el sentido de que el material de reproducción o de multiplicación se ha utilizado sin previo consentimiento expreso del obtentor.</w:t>
            </w:r>
          </w:p>
          <w:p w14:paraId="4CBDEF36" w14:textId="77777777" w:rsidR="00121F03" w:rsidRPr="00B84CEF" w:rsidRDefault="00121F03" w:rsidP="00B348FD">
            <w:pPr>
              <w:rPr>
                <w:i/>
                <w:sz w:val="14"/>
                <w:szCs w:val="16"/>
                <w:highlight w:val="lightGray"/>
                <w:u w:val="single"/>
              </w:rPr>
            </w:pPr>
          </w:p>
          <w:p w14:paraId="2D8EB792" w14:textId="77777777" w:rsidR="00121F03" w:rsidRPr="00E14531" w:rsidRDefault="00121F03" w:rsidP="00B348FD">
            <w:pPr>
              <w:rPr>
                <w:i/>
                <w:sz w:val="18"/>
                <w:szCs w:val="18"/>
                <w:highlight w:val="lightGray"/>
                <w:u w:val="single"/>
              </w:rPr>
            </w:pPr>
            <w:r>
              <w:rPr>
                <w:i/>
                <w:sz w:val="18"/>
                <w:highlight w:val="lightGray"/>
                <w:u w:val="single"/>
              </w:rPr>
              <w:t>Por lo general, el obtentor no tiene ninguna posibilidad de rastrear el origen del producto de la cosecha para verificar si se ha obtenido a partir de material de reproducción o de multiplicación no autorizado en un momento y un territorio determinados.</w:t>
            </w:r>
          </w:p>
          <w:p w14:paraId="5725246B" w14:textId="77777777" w:rsidR="00121F03" w:rsidRPr="00B84CEF" w:rsidRDefault="00121F03" w:rsidP="00B348FD">
            <w:pPr>
              <w:rPr>
                <w:i/>
                <w:sz w:val="14"/>
                <w:szCs w:val="16"/>
                <w:highlight w:val="lightGray"/>
                <w:u w:val="single"/>
              </w:rPr>
            </w:pPr>
          </w:p>
          <w:p w14:paraId="46F3088B" w14:textId="77777777" w:rsidR="00121F03" w:rsidRPr="00E14531" w:rsidRDefault="00121F03" w:rsidP="00B348FD">
            <w:pPr>
              <w:rPr>
                <w:i/>
                <w:sz w:val="18"/>
                <w:szCs w:val="18"/>
                <w:highlight w:val="lightGray"/>
                <w:u w:val="single"/>
              </w:rPr>
            </w:pPr>
            <w:r>
              <w:rPr>
                <w:i/>
                <w:sz w:val="18"/>
                <w:highlight w:val="lightGray"/>
                <w:u w:val="single"/>
              </w:rPr>
              <w:t>Por ello, quienes comercien, exporten o importen producto de la cosecha deberán aportar, si así lo piden el obtentor u otras partes interesadas (por ejemplo, tribunales, autoridades judiciales u oficinas de protección de las obtenciones vegetales), las pruebas que obren en su poder para demostrar que el producto de la cosecha se ha obtenido por utilización autorizada de material de reproducción o de multiplicación de la variedad protegida o de una variedad para la cual se ha solicitado protección.</w:t>
            </w:r>
          </w:p>
          <w:p w14:paraId="749B9702" w14:textId="77777777" w:rsidR="00121F03" w:rsidRPr="00B84CEF" w:rsidRDefault="00121F03" w:rsidP="00B348FD">
            <w:pPr>
              <w:rPr>
                <w:i/>
                <w:sz w:val="14"/>
                <w:szCs w:val="16"/>
                <w:highlight w:val="lightGray"/>
                <w:u w:val="single"/>
              </w:rPr>
            </w:pPr>
          </w:p>
          <w:p w14:paraId="601656E1" w14:textId="77777777" w:rsidR="00121F03" w:rsidRDefault="00121F03" w:rsidP="00B84CEF">
            <w:pPr>
              <w:rPr>
                <w:i/>
                <w:sz w:val="18"/>
              </w:rPr>
            </w:pPr>
            <w:r>
              <w:rPr>
                <w:i/>
                <w:sz w:val="18"/>
                <w:highlight w:val="lightGray"/>
                <w:u w:val="single"/>
              </w:rPr>
              <w:t>En consecuencia, todo aquel que utilice producto de la cosecha de una variedad vegetal protegida está obligado a verificar o haber verificado la cadena de suministro y a demostrar que se ha obtenido por utilización autorizada de material de reproducción o de multiplicación de esa variedad.</w:t>
            </w:r>
            <w:r w:rsidR="008A35F6">
              <w:rPr>
                <w:i/>
                <w:sz w:val="18"/>
                <w:highlight w:val="lightGray"/>
                <w:u w:val="single"/>
              </w:rPr>
              <w:t xml:space="preserve"> </w:t>
            </w:r>
            <w:r>
              <w:rPr>
                <w:i/>
                <w:sz w:val="18"/>
                <w:highlight w:val="lightGray"/>
                <w:u w:val="single"/>
              </w:rPr>
              <w:t>No es obligación del (de la) obtentor(a) demostrar que no ha concedido autorización (no se puede demostrar que un acto no ha tenido lugar, pero es fácil demostrar que se posee autorización para realizar un acto)</w:t>
            </w:r>
            <w:r>
              <w:rPr>
                <w:i/>
                <w:sz w:val="18"/>
              </w:rPr>
              <w:t>.”</w:t>
            </w:r>
          </w:p>
          <w:p w14:paraId="7A9ECD7C" w14:textId="02BE7836" w:rsidR="00B84CEF" w:rsidRPr="00385EFC" w:rsidRDefault="00B84CEF" w:rsidP="00B84CEF">
            <w:pPr>
              <w:rPr>
                <w:sz w:val="8"/>
              </w:rPr>
            </w:pPr>
          </w:p>
        </w:tc>
      </w:tr>
    </w:tbl>
    <w:p w14:paraId="272BB4BA" w14:textId="540FD679" w:rsidR="00C010B9" w:rsidRDefault="00C010B9">
      <w:pPr>
        <w:jc w:val="left"/>
        <w:rPr>
          <w:sz w:val="18"/>
        </w:rPr>
      </w:pPr>
    </w:p>
    <w:p w14:paraId="7ED06ADE" w14:textId="77777777" w:rsidR="00651989" w:rsidRDefault="00651989">
      <w:pPr>
        <w:jc w:val="left"/>
        <w:rPr>
          <w:rStyle w:val="PageNumber"/>
        </w:rPr>
      </w:pPr>
      <w:r>
        <w:rPr>
          <w:rStyle w:val="PageNumber"/>
        </w:rPr>
        <w:br w:type="page"/>
      </w:r>
    </w:p>
    <w:p w14:paraId="52C1032F" w14:textId="610458D2" w:rsidR="00C010B9" w:rsidRPr="00C5280D" w:rsidRDefault="00C010B9" w:rsidP="00C010B9">
      <w:pPr>
        <w:pStyle w:val="Header"/>
        <w:rPr>
          <w:rStyle w:val="PageNumber"/>
        </w:rPr>
      </w:pPr>
      <w:r>
        <w:rPr>
          <w:rStyle w:val="PageNumber"/>
        </w:rPr>
        <w:lastRenderedPageBreak/>
        <w:t>WG-HRV/2/4</w:t>
      </w:r>
    </w:p>
    <w:p w14:paraId="51A40414" w14:textId="77777777" w:rsidR="00B348FD" w:rsidRDefault="00A52821" w:rsidP="00C010B9">
      <w:pPr>
        <w:jc w:val="center"/>
        <w:rPr>
          <w:sz w:val="18"/>
        </w:rPr>
      </w:pPr>
      <w:r>
        <w:t>Anexo, página 5</w:t>
      </w:r>
    </w:p>
    <w:p w14:paraId="1C3D6396" w14:textId="77777777" w:rsidR="00C010B9" w:rsidRDefault="00C010B9" w:rsidP="00B348FD">
      <w:pPr>
        <w:rPr>
          <w:sz w:val="18"/>
        </w:rPr>
      </w:pPr>
    </w:p>
    <w:p w14:paraId="7A222FAE" w14:textId="77777777" w:rsidR="00C010B9" w:rsidRPr="00CB675A" w:rsidRDefault="00C010B9" w:rsidP="00B348FD">
      <w:pPr>
        <w:rPr>
          <w:sz w:val="18"/>
        </w:rPr>
      </w:pPr>
    </w:p>
    <w:tbl>
      <w:tblPr>
        <w:tblStyle w:val="TableGrid"/>
        <w:tblW w:w="0" w:type="auto"/>
        <w:tblLook w:val="04A0" w:firstRow="1" w:lastRow="0" w:firstColumn="1" w:lastColumn="0" w:noHBand="0" w:noVBand="1"/>
      </w:tblPr>
      <w:tblGrid>
        <w:gridCol w:w="9629"/>
      </w:tblGrid>
      <w:tr w:rsidR="00B348FD" w:rsidRPr="00FD7B58" w14:paraId="21B87B74" w14:textId="77777777" w:rsidTr="00B348FD">
        <w:tc>
          <w:tcPr>
            <w:tcW w:w="9629" w:type="dxa"/>
            <w:shd w:val="clear" w:color="auto" w:fill="F2F2F2" w:themeFill="background1" w:themeFillShade="F2"/>
          </w:tcPr>
          <w:p w14:paraId="0C8C1D47" w14:textId="77777777" w:rsidR="00B348FD" w:rsidRPr="003B1AC3" w:rsidRDefault="00B348FD" w:rsidP="00B348FD">
            <w:pPr>
              <w:rPr>
                <w:sz w:val="10"/>
                <w:szCs w:val="10"/>
              </w:rPr>
            </w:pPr>
          </w:p>
          <w:p w14:paraId="764BD208" w14:textId="77777777" w:rsidR="00B348FD" w:rsidRPr="00426126" w:rsidRDefault="00B348FD" w:rsidP="00B348FD">
            <w:pPr>
              <w:rPr>
                <w:sz w:val="18"/>
                <w:szCs w:val="18"/>
              </w:rPr>
            </w:pPr>
            <w:r>
              <w:rPr>
                <w:sz w:val="18"/>
                <w:u w:val="single"/>
              </w:rPr>
              <w:t>Propuestas de la AIPH</w:t>
            </w:r>
            <w:r w:rsidRPr="00426126">
              <w:rPr>
                <w:rStyle w:val="EndnoteReference"/>
                <w:b/>
                <w:sz w:val="18"/>
                <w:szCs w:val="18"/>
              </w:rPr>
              <w:endnoteReference w:id="6"/>
            </w:r>
          </w:p>
          <w:p w14:paraId="55C5614F" w14:textId="77777777" w:rsidR="00B348FD" w:rsidRPr="00B348FD" w:rsidRDefault="00B348FD" w:rsidP="00B348FD">
            <w:pPr>
              <w:rPr>
                <w:sz w:val="18"/>
              </w:rPr>
            </w:pPr>
          </w:p>
          <w:p w14:paraId="1032FCD4" w14:textId="77777777" w:rsidR="00B348FD" w:rsidRDefault="00B348FD" w:rsidP="00B348FD">
            <w:pPr>
              <w:rPr>
                <w:sz w:val="18"/>
              </w:rPr>
            </w:pPr>
            <w:r>
              <w:rPr>
                <w:sz w:val="18"/>
              </w:rPr>
              <w:t>En relación con el párrafo 4, la AIPH hizo el siguiente comentario general:</w:t>
            </w:r>
          </w:p>
          <w:p w14:paraId="0F19FE6D" w14:textId="77777777" w:rsidR="004B0354" w:rsidRPr="00B348FD" w:rsidRDefault="004B0354" w:rsidP="00B348FD">
            <w:pPr>
              <w:rPr>
                <w:sz w:val="18"/>
              </w:rPr>
            </w:pPr>
          </w:p>
          <w:p w14:paraId="734251EB" w14:textId="3F950131" w:rsidR="004B0354" w:rsidRPr="001B4478" w:rsidRDefault="004B0354" w:rsidP="004B0354">
            <w:pPr>
              <w:rPr>
                <w:sz w:val="18"/>
                <w:szCs w:val="18"/>
              </w:rPr>
            </w:pPr>
            <w:r>
              <w:rPr>
                <w:sz w:val="18"/>
              </w:rPr>
              <w:t>“La AIPH pone de relieve que en la nota explicativa también se debe aclarar el denominado principio de protección en cascada del apartado 2 del Artículo 14. De manera que es importante volver a la historia de la protección del producto de la cosecha en el Acta de 1991 del Convenio de la UPOV. Huib Ghijsen (antiguo representante de la ISF en la UPOV) ha escrito un valioso artículo sobre esta historia y la AIPH lo ha presentado en la reunión virtual del WG-HRV el 15 de marzo de 2022. Este artículo deja claro que la intención no fue que el término “autorización” se utilizara únicamente como un permiso exclusivo basado en un derecho formal como el derecho de obtentor. La única intención fue obligar al obtentor a ejercer, en primer lugar, sus derechos sobre el material de reproducción o de multiplicación y, solo si no podía hacerlo, optar por ejercer sus derechos sobre el producto de la cosecha. No es necesario abundar en el razonamiento de que esta es una condición para que la cadena de producción y comercio funcionen sin dificultad. En las conferencias diplomáticas de la UPOV de 1991, fue la delegación de Alemania la que propuso una modificación (informe CAJ/XXV/2 de octubre de 1989) que contenía esta obligación del obtentor de ejercer su derecho sobre el material de reproducción o de multiplicación antes de ejercerlo sobre el producto de la cosecha. En la sesión de 1990 del CAJ, tuvo lugar un debate fundamental acerca de la posición del producto de la cosecha, basándose en el cual la Oficina de la Unión envió una propuesta adicional, que ahora conocemos por el actual texto del apartado 2 del Artículo 14 (Actos respecto del</w:t>
            </w:r>
            <w:r w:rsidR="008A35F6">
              <w:rPr>
                <w:sz w:val="18"/>
              </w:rPr>
              <w:t xml:space="preserve"> </w:t>
            </w:r>
            <w:r>
              <w:rPr>
                <w:sz w:val="18"/>
              </w:rPr>
              <w:t xml:space="preserve">producto de la cosecha), en la </w:t>
            </w:r>
            <w:r w:rsidR="00EE2976">
              <w:rPr>
                <w:sz w:val="18"/>
              </w:rPr>
              <w:t>que</w:t>
            </w:r>
            <w:r>
              <w:rPr>
                <w:sz w:val="18"/>
              </w:rPr>
              <w:t xml:space="preserve"> se alude a la </w:t>
            </w:r>
            <w:r>
              <w:rPr>
                <w:i/>
                <w:iCs/>
                <w:sz w:val="18"/>
              </w:rPr>
              <w:t>autorización</w:t>
            </w:r>
            <w:r>
              <w:rPr>
                <w:sz w:val="18"/>
              </w:rPr>
              <w:t xml:space="preserve">, mientras que el texto original se basaba en el concepto de </w:t>
            </w:r>
            <w:r>
              <w:rPr>
                <w:i/>
                <w:iCs/>
                <w:sz w:val="18"/>
              </w:rPr>
              <w:t>consentimiento</w:t>
            </w:r>
            <w:r>
              <w:rPr>
                <w:sz w:val="18"/>
              </w:rPr>
              <w:t>.</w:t>
            </w:r>
            <w:r w:rsidR="008A35F6">
              <w:rPr>
                <w:sz w:val="18"/>
              </w:rPr>
              <w:t xml:space="preserve"> </w:t>
            </w:r>
          </w:p>
          <w:p w14:paraId="524D98A9" w14:textId="77777777" w:rsidR="004B0354" w:rsidRPr="001B4478" w:rsidRDefault="004B0354" w:rsidP="004B0354">
            <w:pPr>
              <w:rPr>
                <w:sz w:val="18"/>
                <w:szCs w:val="18"/>
              </w:rPr>
            </w:pPr>
          </w:p>
          <w:p w14:paraId="05E661A4" w14:textId="77777777" w:rsidR="004B0354" w:rsidRPr="001B4478" w:rsidRDefault="004B0354" w:rsidP="004B0354">
            <w:pPr>
              <w:rPr>
                <w:sz w:val="18"/>
                <w:szCs w:val="18"/>
              </w:rPr>
            </w:pPr>
            <w:r>
              <w:rPr>
                <w:sz w:val="18"/>
              </w:rPr>
              <w:t>La historia y la evolución del Acta de 1991 del Convenio de la UPOV demuestran el gran deseo de fortalecer y mejorar el derecho de obtentor al ampliar la protección a todo material comercial de variedades vegetales y, al mismo tiempo, formular el alcance de la protección de manera tal que obliga al obtentor a ejercer primero su derecho sobre el material de reproducción o de multiplicación y, en caso de que no pueda hacerlo, por ejemplo si no tiene derecho en un determinado territorio, tenga la posibilidad de ejercer su derecho sobre el producto de la cosecha. Por ello, el apartado 2 del Artículo 14 debe interpretarse de manera que el uso 'no autorizado' de material de reproducción o de multiplicación incluya también este uso 'sin el consentimiento' del titular de la variedad.</w:t>
            </w:r>
          </w:p>
          <w:p w14:paraId="723C86AC" w14:textId="77777777" w:rsidR="004B0354" w:rsidRPr="001B4478" w:rsidRDefault="004B0354" w:rsidP="004B0354">
            <w:pPr>
              <w:rPr>
                <w:sz w:val="18"/>
                <w:szCs w:val="18"/>
              </w:rPr>
            </w:pPr>
          </w:p>
          <w:p w14:paraId="17077A3C" w14:textId="77777777" w:rsidR="004B0354" w:rsidRPr="001B4478" w:rsidRDefault="004B0354" w:rsidP="004B0354">
            <w:pPr>
              <w:rPr>
                <w:sz w:val="18"/>
                <w:szCs w:val="18"/>
              </w:rPr>
            </w:pPr>
            <w:r>
              <w:rPr>
                <w:sz w:val="18"/>
              </w:rPr>
              <w:t>En otras palabras: la cascada aludida en el apartado 2 del Artículo 14 es también una norma del tipo de agotamiento: primero el obtentor debe tratar de ejercer su derecho sobre el material de reproducción o de multiplicación. En segundo lugar, en los casos en que no pueda ejercerlo razonablemente, intentará hacerlo sobre el producto de la cosecha. Ejercer su derecho sobre el producto de la cosecha implicará en la práctica hacer cumplir su derecho.</w:t>
            </w:r>
          </w:p>
          <w:p w14:paraId="14E90C1E" w14:textId="77777777" w:rsidR="004B0354" w:rsidRPr="001B4478" w:rsidRDefault="004B0354" w:rsidP="004B0354">
            <w:pPr>
              <w:rPr>
                <w:sz w:val="18"/>
                <w:szCs w:val="18"/>
              </w:rPr>
            </w:pPr>
          </w:p>
          <w:p w14:paraId="6BE19BEE" w14:textId="6EACB560" w:rsidR="00B348FD" w:rsidRPr="00EE2976" w:rsidRDefault="004B0354" w:rsidP="00B348FD">
            <w:pPr>
              <w:rPr>
                <w:sz w:val="18"/>
                <w:szCs w:val="18"/>
              </w:rPr>
            </w:pPr>
            <w:r>
              <w:rPr>
                <w:sz w:val="18"/>
              </w:rPr>
              <w:t>Con esta interpretación, también se evitan los denominados sistemas en U (en los que se reproduce la variedad en un país vecino, donde no es o no fue posible protegerla, se cosechan los frutos o las flores del material reproducido y se importan estos productos al país donde solo está protegido el material de reproducción de la variedad).”</w:t>
            </w:r>
          </w:p>
          <w:p w14:paraId="4927F3E5" w14:textId="77777777" w:rsidR="00C97963" w:rsidRDefault="00C97963" w:rsidP="00B348FD">
            <w:pPr>
              <w:rPr>
                <w:sz w:val="16"/>
                <w:szCs w:val="18"/>
              </w:rPr>
            </w:pPr>
          </w:p>
          <w:p w14:paraId="1CC46A8A" w14:textId="77777777" w:rsidR="00B348FD" w:rsidRDefault="004B0354" w:rsidP="00B348FD">
            <w:pPr>
              <w:rPr>
                <w:sz w:val="18"/>
              </w:rPr>
            </w:pPr>
            <w:r>
              <w:rPr>
                <w:sz w:val="18"/>
              </w:rPr>
              <w:t xml:space="preserve">Después del citado comentario general, la AIPH formuló las siguientes propuestas específicas en relación con los últimos dos párrafos del recuadro anterior [véanse en el recuadro anterior las propuestas sobre el párrafo 4 formuladas por la ISF, la CIOPORA, </w:t>
            </w:r>
            <w:r>
              <w:rPr>
                <w:i/>
                <w:iCs/>
                <w:sz w:val="18"/>
              </w:rPr>
              <w:t>CropLife International</w:t>
            </w:r>
            <w:r>
              <w:rPr>
                <w:sz w:val="18"/>
              </w:rPr>
              <w:t xml:space="preserve">, </w:t>
            </w:r>
            <w:r>
              <w:rPr>
                <w:i/>
                <w:iCs/>
                <w:sz w:val="18"/>
              </w:rPr>
              <w:t>Euroseeds</w:t>
            </w:r>
            <w:r>
              <w:rPr>
                <w:sz w:val="18"/>
              </w:rPr>
              <w:t>, la APSA, la AFSTA y la SAA]:</w:t>
            </w:r>
          </w:p>
          <w:p w14:paraId="3637FB83" w14:textId="77777777" w:rsidR="00B348FD" w:rsidRDefault="00B348FD" w:rsidP="00B348FD">
            <w:pPr>
              <w:rPr>
                <w:sz w:val="16"/>
                <w:szCs w:val="18"/>
              </w:rPr>
            </w:pPr>
          </w:p>
          <w:p w14:paraId="1CB8A017" w14:textId="5E025D0A" w:rsidR="00B348FD" w:rsidRPr="00B348FD" w:rsidRDefault="00B348FD" w:rsidP="00B348FD">
            <w:pPr>
              <w:rPr>
                <w:sz w:val="18"/>
              </w:rPr>
            </w:pPr>
            <w:r>
              <w:rPr>
                <w:sz w:val="18"/>
              </w:rPr>
              <w:t xml:space="preserve">“Por ello, quienes comercien, exporten o importen producto de la cosecha deberán aportar, si así lo piden el obtentor u otras partes interesadas (por ejemplo, tribunales, autoridades judiciales u oficinas de protección de las obtenciones vegetales), las pruebas que obren en su poder para demostrar que el producto de la cosecha se ha obtenido por utilización </w:t>
            </w:r>
            <w:r>
              <w:rPr>
                <w:strike/>
                <w:sz w:val="18"/>
                <w:highlight w:val="lightGray"/>
              </w:rPr>
              <w:t>autorizada</w:t>
            </w:r>
            <w:r>
              <w:rPr>
                <w:sz w:val="18"/>
              </w:rPr>
              <w:t xml:space="preserve"> de material de reproducción o de multiplicación de la variedad protegida</w:t>
            </w:r>
            <w:r w:rsidR="008A35F6">
              <w:rPr>
                <w:sz w:val="18"/>
              </w:rPr>
              <w:t xml:space="preserve"> </w:t>
            </w:r>
            <w:r w:rsidR="00B54A9B">
              <w:rPr>
                <w:sz w:val="18"/>
                <w:highlight w:val="lightGray"/>
                <w:u w:val="single"/>
              </w:rPr>
              <w:t>basada</w:t>
            </w:r>
            <w:r>
              <w:rPr>
                <w:sz w:val="18"/>
                <w:highlight w:val="lightGray"/>
                <w:u w:val="single"/>
              </w:rPr>
              <w:t xml:space="preserve"> en un consentimiento específico y explícito otorgado por el obtentor.</w:t>
            </w:r>
            <w:r w:rsidR="008A35F6">
              <w:rPr>
                <w:sz w:val="18"/>
                <w:highlight w:val="lightGray"/>
                <w:u w:val="single"/>
              </w:rPr>
              <w:t xml:space="preserve"> </w:t>
            </w:r>
            <w:r>
              <w:rPr>
                <w:sz w:val="18"/>
                <w:highlight w:val="lightGray"/>
                <w:u w:val="single"/>
              </w:rPr>
              <w:t>Lo mismo se debe aplicar a</w:t>
            </w:r>
            <w:r>
              <w:rPr>
                <w:sz w:val="18"/>
              </w:rPr>
              <w:t xml:space="preserve"> </w:t>
            </w:r>
            <w:r>
              <w:rPr>
                <w:strike/>
                <w:sz w:val="18"/>
                <w:highlight w:val="lightGray"/>
              </w:rPr>
              <w:t>o de</w:t>
            </w:r>
            <w:r>
              <w:rPr>
                <w:sz w:val="18"/>
              </w:rPr>
              <w:t xml:space="preserve"> una variedad protegida para la cual se ha solicitado protección.”</w:t>
            </w:r>
          </w:p>
          <w:p w14:paraId="71E2617A" w14:textId="77777777" w:rsidR="00B348FD" w:rsidRPr="00B348FD" w:rsidRDefault="00B348FD" w:rsidP="00B348FD">
            <w:pPr>
              <w:rPr>
                <w:sz w:val="18"/>
              </w:rPr>
            </w:pPr>
          </w:p>
          <w:p w14:paraId="14C27E55" w14:textId="3B4C7CFD" w:rsidR="00B348FD" w:rsidRPr="00B348FD" w:rsidRDefault="00B348FD" w:rsidP="00B348FD">
            <w:pPr>
              <w:rPr>
                <w:sz w:val="18"/>
              </w:rPr>
            </w:pPr>
            <w:r>
              <w:rPr>
                <w:sz w:val="18"/>
              </w:rPr>
              <w:t xml:space="preserve">En consecuencia, todo aquel que utilice producto de la cosecha de una variedad vegetal protegida está obligado a verificar o haber verificado la cadena de suministro y a demostrar que se ha obtenido por utilización </w:t>
            </w:r>
            <w:r>
              <w:rPr>
                <w:strike/>
                <w:sz w:val="18"/>
                <w:highlight w:val="lightGray"/>
              </w:rPr>
              <w:t>autorizada</w:t>
            </w:r>
            <w:r>
              <w:rPr>
                <w:sz w:val="18"/>
              </w:rPr>
              <w:t xml:space="preserve"> de material de reproducción o de multiplicación de esa variedad </w:t>
            </w:r>
            <w:r>
              <w:rPr>
                <w:sz w:val="18"/>
                <w:highlight w:val="lightGray"/>
                <w:u w:val="single"/>
              </w:rPr>
              <w:t>basada en un consentimiento específico y explícito de ese uso otorgado por el obtentor</w:t>
            </w:r>
            <w:r>
              <w:rPr>
                <w:sz w:val="18"/>
                <w:highlight w:val="lightGray"/>
              </w:rPr>
              <w:t>.</w:t>
            </w:r>
            <w:r>
              <w:rPr>
                <w:sz w:val="18"/>
              </w:rPr>
              <w:t xml:space="preserve"> No es obligación del (de la) obtentor(a) demostrar que no ha </w:t>
            </w:r>
            <w:r w:rsidR="00B81B9D">
              <w:rPr>
                <w:sz w:val="18"/>
              </w:rPr>
              <w:t>dado</w:t>
            </w:r>
            <w:r>
              <w:rPr>
                <w:sz w:val="18"/>
              </w:rPr>
              <w:t xml:space="preserve"> el </w:t>
            </w:r>
            <w:r w:rsidRPr="00B81B9D">
              <w:rPr>
                <w:sz w:val="18"/>
                <w:highlight w:val="lightGray"/>
                <w:u w:val="single"/>
              </w:rPr>
              <w:t>consentimiento</w:t>
            </w:r>
            <w:r>
              <w:rPr>
                <w:sz w:val="18"/>
              </w:rPr>
              <w:t xml:space="preserve"> </w:t>
            </w:r>
            <w:r w:rsidRPr="00B81B9D">
              <w:rPr>
                <w:strike/>
                <w:sz w:val="18"/>
                <w:highlight w:val="lightGray"/>
              </w:rPr>
              <w:t>autorización</w:t>
            </w:r>
            <w:r>
              <w:rPr>
                <w:sz w:val="18"/>
              </w:rPr>
              <w:t xml:space="preserve"> (no es posible demostrar que un acto no ha tenido lugar, pero es fácil demostrar que se </w:t>
            </w:r>
            <w:r w:rsidR="00B81B9D" w:rsidRPr="00B81B9D">
              <w:rPr>
                <w:strike/>
                <w:sz w:val="18"/>
                <w:highlight w:val="lightGray"/>
              </w:rPr>
              <w:t>autoriza</w:t>
            </w:r>
            <w:r>
              <w:rPr>
                <w:sz w:val="18"/>
              </w:rPr>
              <w:t xml:space="preserve"> </w:t>
            </w:r>
            <w:r w:rsidR="00B81B9D" w:rsidRPr="00B81B9D">
              <w:rPr>
                <w:sz w:val="18"/>
                <w:highlight w:val="lightGray"/>
                <w:u w:val="single"/>
              </w:rPr>
              <w:t xml:space="preserve">ha </w:t>
            </w:r>
            <w:r w:rsidRPr="00B81B9D">
              <w:rPr>
                <w:sz w:val="18"/>
                <w:highlight w:val="lightGray"/>
                <w:u w:val="single"/>
              </w:rPr>
              <w:t>permit</w:t>
            </w:r>
            <w:r w:rsidR="00B81B9D" w:rsidRPr="00B81B9D">
              <w:rPr>
                <w:sz w:val="18"/>
                <w:highlight w:val="lightGray"/>
                <w:u w:val="single"/>
              </w:rPr>
              <w:t>ido</w:t>
            </w:r>
            <w:r>
              <w:rPr>
                <w:sz w:val="18"/>
              </w:rPr>
              <w:t xml:space="preserve"> realizar un acto)”</w:t>
            </w:r>
          </w:p>
          <w:p w14:paraId="047543D8" w14:textId="77777777" w:rsidR="00B348FD" w:rsidRPr="00385EFC" w:rsidRDefault="00B348FD" w:rsidP="00B348FD">
            <w:pPr>
              <w:rPr>
                <w:sz w:val="8"/>
              </w:rPr>
            </w:pPr>
          </w:p>
        </w:tc>
      </w:tr>
    </w:tbl>
    <w:p w14:paraId="6197C7E0" w14:textId="6674D20B" w:rsidR="00B17A30" w:rsidRDefault="00B17A30" w:rsidP="00121F03">
      <w:pPr>
        <w:keepNext/>
        <w:rPr>
          <w:szCs w:val="24"/>
        </w:rPr>
      </w:pPr>
    </w:p>
    <w:p w14:paraId="2AAAF05A" w14:textId="77777777" w:rsidR="00B17A30" w:rsidRDefault="00B17A30">
      <w:pPr>
        <w:jc w:val="left"/>
        <w:rPr>
          <w:szCs w:val="24"/>
        </w:rPr>
      </w:pPr>
      <w:r>
        <w:rPr>
          <w:szCs w:val="24"/>
        </w:rPr>
        <w:br w:type="page"/>
      </w:r>
    </w:p>
    <w:p w14:paraId="7AD37167" w14:textId="77777777" w:rsidR="00B17A30" w:rsidRPr="00C5280D" w:rsidRDefault="00B17A30" w:rsidP="00B17A30">
      <w:pPr>
        <w:pStyle w:val="Header"/>
        <w:rPr>
          <w:rStyle w:val="PageNumber"/>
        </w:rPr>
      </w:pPr>
      <w:r>
        <w:rPr>
          <w:rStyle w:val="PageNumber"/>
        </w:rPr>
        <w:lastRenderedPageBreak/>
        <w:t>WG-HRV/2/4</w:t>
      </w:r>
    </w:p>
    <w:p w14:paraId="1CB26BEA" w14:textId="77777777" w:rsidR="00B17A30" w:rsidRDefault="00B17A30" w:rsidP="00B17A30">
      <w:pPr>
        <w:jc w:val="center"/>
      </w:pPr>
      <w:r>
        <w:t>Anexo, página 6</w:t>
      </w:r>
    </w:p>
    <w:p w14:paraId="008AC359" w14:textId="77777777" w:rsidR="00A14575" w:rsidRDefault="00A14575" w:rsidP="00121F03">
      <w:pPr>
        <w:keepNext/>
        <w:rPr>
          <w:szCs w:val="24"/>
        </w:rPr>
      </w:pPr>
    </w:p>
    <w:p w14:paraId="16DBBA6A" w14:textId="77777777" w:rsidR="00121F03" w:rsidRPr="0019030C" w:rsidRDefault="00F30CA6" w:rsidP="00121F03">
      <w:pPr>
        <w:keepNext/>
        <w:rPr>
          <w:szCs w:val="24"/>
        </w:rPr>
      </w:pPr>
      <w:r>
        <w:fldChar w:fldCharType="begin"/>
      </w:r>
      <w:r>
        <w:instrText xml:space="preserve"> AUTONUM  </w:instrText>
      </w:r>
      <w:r>
        <w:fldChar w:fldCharType="end"/>
      </w:r>
      <w:r>
        <w:tab/>
        <w:t>Con respecto a la “utilización no autorizada”, el Artículo 14.1)a) del Acta de 1991 del Convenio de la UPOV establece que “[a] reserva de lo dispuesto en los Artículos 15 [Excepciones al derecho de obtentor] y 16 [Agotamiento del derecho de obtentor], se requerirá la autorización del obtentor para los actos siguientes realizados respecto de material de reproducción o de multiplicación de la variedad protegida:</w:t>
      </w:r>
    </w:p>
    <w:p w14:paraId="068B266A" w14:textId="77777777" w:rsidR="00121F03" w:rsidRPr="0019030C" w:rsidRDefault="00121F03" w:rsidP="00121F03">
      <w:pPr>
        <w:keepNext/>
        <w:rPr>
          <w:szCs w:val="24"/>
          <w:u w:val="single"/>
        </w:rPr>
      </w:pPr>
    </w:p>
    <w:p w14:paraId="234D62F0" w14:textId="77777777" w:rsidR="00121F03" w:rsidRPr="0019030C" w:rsidRDefault="00121F03" w:rsidP="00121F03">
      <w:pPr>
        <w:keepNext/>
        <w:tabs>
          <w:tab w:val="right" w:pos="851"/>
        </w:tabs>
        <w:rPr>
          <w:szCs w:val="24"/>
        </w:rPr>
      </w:pPr>
      <w:r>
        <w:tab/>
        <w:t>i)</w:t>
      </w:r>
      <w:r>
        <w:tab/>
        <w:t>la producción o la reproducción (multiplicación),</w:t>
      </w:r>
    </w:p>
    <w:p w14:paraId="6AD94E07" w14:textId="77777777" w:rsidR="00121F03" w:rsidRPr="0019030C" w:rsidRDefault="00121F03" w:rsidP="00121F03">
      <w:pPr>
        <w:keepNext/>
        <w:tabs>
          <w:tab w:val="right" w:pos="851"/>
        </w:tabs>
        <w:rPr>
          <w:szCs w:val="24"/>
        </w:rPr>
      </w:pPr>
      <w:r>
        <w:tab/>
        <w:t>ii)</w:t>
      </w:r>
      <w:r>
        <w:tab/>
        <w:t>la preparación a los fines de la reproducción o de la multiplicación,</w:t>
      </w:r>
    </w:p>
    <w:p w14:paraId="2D934F44" w14:textId="77777777" w:rsidR="00121F03" w:rsidRPr="0019030C" w:rsidRDefault="00121F03" w:rsidP="00121F03">
      <w:pPr>
        <w:keepNext/>
        <w:tabs>
          <w:tab w:val="right" w:pos="851"/>
        </w:tabs>
        <w:rPr>
          <w:szCs w:val="24"/>
        </w:rPr>
      </w:pPr>
      <w:r>
        <w:tab/>
        <w:t>iii)</w:t>
      </w:r>
      <w:r>
        <w:tab/>
        <w:t>la oferta en venta,</w:t>
      </w:r>
    </w:p>
    <w:p w14:paraId="0754ACC3" w14:textId="77777777" w:rsidR="00121F03" w:rsidRPr="0019030C" w:rsidRDefault="00121F03" w:rsidP="00121F03">
      <w:pPr>
        <w:keepNext/>
        <w:tabs>
          <w:tab w:val="right" w:pos="851"/>
        </w:tabs>
        <w:rPr>
          <w:szCs w:val="24"/>
        </w:rPr>
      </w:pPr>
      <w:r>
        <w:tab/>
        <w:t>iv)</w:t>
      </w:r>
      <w:r>
        <w:tab/>
        <w:t>la venta o cualquier otra forma de comercialización,</w:t>
      </w:r>
    </w:p>
    <w:p w14:paraId="56746C23" w14:textId="77777777" w:rsidR="00121F03" w:rsidRPr="0019030C" w:rsidRDefault="00121F03" w:rsidP="00121F03">
      <w:pPr>
        <w:keepNext/>
        <w:tabs>
          <w:tab w:val="right" w:pos="851"/>
        </w:tabs>
        <w:rPr>
          <w:szCs w:val="24"/>
        </w:rPr>
      </w:pPr>
      <w:r>
        <w:tab/>
        <w:t>v)</w:t>
      </w:r>
      <w:r>
        <w:tab/>
        <w:t>la exportación,</w:t>
      </w:r>
    </w:p>
    <w:p w14:paraId="4B655680" w14:textId="77777777" w:rsidR="00121F03" w:rsidRPr="0019030C" w:rsidRDefault="00121F03" w:rsidP="00121F03">
      <w:pPr>
        <w:keepNext/>
        <w:tabs>
          <w:tab w:val="right" w:pos="851"/>
        </w:tabs>
        <w:rPr>
          <w:szCs w:val="24"/>
        </w:rPr>
      </w:pPr>
      <w:r>
        <w:tab/>
        <w:t>vi)</w:t>
      </w:r>
      <w:r>
        <w:tab/>
        <w:t>la importación,</w:t>
      </w:r>
    </w:p>
    <w:p w14:paraId="09B459E6" w14:textId="77777777" w:rsidR="00121F03" w:rsidRPr="0019030C" w:rsidRDefault="00121F03" w:rsidP="00121F03">
      <w:pPr>
        <w:keepNext/>
        <w:tabs>
          <w:tab w:val="right" w:pos="851"/>
        </w:tabs>
        <w:rPr>
          <w:szCs w:val="24"/>
        </w:rPr>
      </w:pPr>
      <w:r>
        <w:tab/>
        <w:t>vii)</w:t>
      </w:r>
      <w:r>
        <w:tab/>
        <w:t xml:space="preserve">la posesión para cualquiera de los fines mencionados en los puntos i) a vi), </w:t>
      </w:r>
      <w:r>
        <w:rPr>
          <w:i/>
          <w:iCs/>
        </w:rPr>
        <w:t>supra</w:t>
      </w:r>
      <w:r>
        <w:t>.</w:t>
      </w:r>
    </w:p>
    <w:p w14:paraId="66E98785" w14:textId="77777777" w:rsidR="00121F03" w:rsidRDefault="00121F03" w:rsidP="00121F03">
      <w:pPr>
        <w:rPr>
          <w:szCs w:val="24"/>
        </w:rPr>
      </w:pPr>
    </w:p>
    <w:p w14:paraId="68ECF86A" w14:textId="77777777" w:rsidR="00121F03" w:rsidRPr="0019030C" w:rsidRDefault="00121F03" w:rsidP="00121F03">
      <w:pPr>
        <w:rPr>
          <w:szCs w:val="24"/>
        </w:rPr>
      </w:pPr>
      <w:r>
        <w:t xml:space="preserve">Así pues, a reserva de lo dispuesto en los Artículos 15 y 16, “utilización no autorizada” se refiere a los actos enumerados en los incisos i) a vii), </w:t>
      </w:r>
      <w:r w:rsidRPr="00B54A9B">
        <w:rPr>
          <w:i/>
          <w:iCs/>
        </w:rPr>
        <w:t>supra</w:t>
      </w:r>
      <w:r>
        <w:t>, respecto del material de reproducción o de multiplicación en el territorio de que se trate, cuando esa autorización no ha sido obtenida.</w:t>
      </w:r>
    </w:p>
    <w:p w14:paraId="6602FC35" w14:textId="77777777" w:rsidR="00121F03" w:rsidRDefault="00121F03" w:rsidP="00121F03">
      <w:pPr>
        <w:keepNext/>
        <w:keepLines/>
      </w:pPr>
    </w:p>
    <w:tbl>
      <w:tblPr>
        <w:tblStyle w:val="TableGrid"/>
        <w:tblW w:w="0" w:type="auto"/>
        <w:tblLook w:val="04A0" w:firstRow="1" w:lastRow="0" w:firstColumn="1" w:lastColumn="0" w:noHBand="0" w:noVBand="1"/>
      </w:tblPr>
      <w:tblGrid>
        <w:gridCol w:w="9629"/>
      </w:tblGrid>
      <w:tr w:rsidR="00121F03" w:rsidRPr="00E14531" w14:paraId="0DE9EC9D" w14:textId="77777777" w:rsidTr="00B348FD">
        <w:tc>
          <w:tcPr>
            <w:tcW w:w="9629" w:type="dxa"/>
            <w:shd w:val="clear" w:color="auto" w:fill="F2F2F2" w:themeFill="background1" w:themeFillShade="F2"/>
          </w:tcPr>
          <w:p w14:paraId="1B926734" w14:textId="77777777" w:rsidR="00121F03" w:rsidRPr="00E14531" w:rsidRDefault="00121F03" w:rsidP="00B348FD">
            <w:pPr>
              <w:keepNext/>
              <w:keepLines/>
              <w:rPr>
                <w:i/>
                <w:sz w:val="8"/>
                <w:szCs w:val="10"/>
              </w:rPr>
            </w:pPr>
          </w:p>
          <w:p w14:paraId="5A8E0996" w14:textId="77777777" w:rsidR="00121F03" w:rsidRPr="00E14531" w:rsidRDefault="00121F03" w:rsidP="00B348FD">
            <w:pPr>
              <w:keepNext/>
              <w:keepLines/>
              <w:rPr>
                <w:i/>
                <w:sz w:val="18"/>
                <w:szCs w:val="18"/>
              </w:rPr>
            </w:pPr>
            <w:r>
              <w:rPr>
                <w:i/>
                <w:sz w:val="18"/>
                <w:u w:val="single"/>
              </w:rPr>
              <w:t>Propuestas del Japón</w:t>
            </w:r>
            <w:r w:rsidRPr="00E14531">
              <w:rPr>
                <w:rStyle w:val="EndnoteReference"/>
                <w:b/>
                <w:i/>
                <w:sz w:val="18"/>
                <w:szCs w:val="18"/>
              </w:rPr>
              <w:endnoteReference w:id="7"/>
            </w:r>
          </w:p>
          <w:p w14:paraId="16129537" w14:textId="77777777" w:rsidR="00121F03" w:rsidRPr="00E14531" w:rsidRDefault="00121F03" w:rsidP="00B348FD">
            <w:pPr>
              <w:keepNext/>
              <w:keepLines/>
              <w:rPr>
                <w:i/>
                <w:sz w:val="16"/>
                <w:szCs w:val="18"/>
              </w:rPr>
            </w:pPr>
          </w:p>
          <w:p w14:paraId="61F30AA9" w14:textId="77777777" w:rsidR="00121F03" w:rsidRPr="00E14531" w:rsidRDefault="00121F03" w:rsidP="00B348FD">
            <w:pPr>
              <w:keepNext/>
              <w:keepLines/>
              <w:rPr>
                <w:i/>
                <w:sz w:val="18"/>
                <w:szCs w:val="18"/>
              </w:rPr>
            </w:pPr>
            <w:r>
              <w:rPr>
                <w:i/>
                <w:sz w:val="18"/>
              </w:rPr>
              <w:t>El párrafo 5 debe modificarse de la siguiente manera: “(…)</w:t>
            </w:r>
          </w:p>
          <w:p w14:paraId="43ECF1A0" w14:textId="77777777" w:rsidR="00121F03" w:rsidRPr="00E14531" w:rsidRDefault="00121F03" w:rsidP="00B348FD">
            <w:pPr>
              <w:keepNext/>
              <w:keepLines/>
              <w:rPr>
                <w:i/>
                <w:sz w:val="18"/>
                <w:szCs w:val="18"/>
              </w:rPr>
            </w:pPr>
          </w:p>
          <w:p w14:paraId="73FE671B" w14:textId="77777777" w:rsidR="00121F03" w:rsidRPr="00E14531" w:rsidRDefault="00121F03" w:rsidP="00B348FD">
            <w:pPr>
              <w:keepNext/>
              <w:keepLines/>
              <w:rPr>
                <w:i/>
                <w:sz w:val="18"/>
                <w:szCs w:val="18"/>
                <w:u w:val="single"/>
              </w:rPr>
            </w:pPr>
            <w:r>
              <w:rPr>
                <w:i/>
                <w:sz w:val="18"/>
                <w:highlight w:val="lightGray"/>
                <w:u w:val="single"/>
              </w:rPr>
              <w:t>En relación con la ’utilización no autorizada’ del material de reproducción o de multiplicación, también se requerirá la autorización del obtentor para actos tales como la plantación y el crecimiento (el cultivo) de material de reproducción o de multiplicación de la variedad protegida con el fin de obtener producto de la cosecha.</w:t>
            </w:r>
          </w:p>
          <w:p w14:paraId="01C66ACD" w14:textId="77777777" w:rsidR="00121F03" w:rsidRPr="00E14531" w:rsidRDefault="00121F03" w:rsidP="00B348FD">
            <w:pPr>
              <w:keepNext/>
              <w:keepLines/>
              <w:rPr>
                <w:i/>
                <w:sz w:val="18"/>
                <w:szCs w:val="18"/>
              </w:rPr>
            </w:pPr>
          </w:p>
          <w:p w14:paraId="33FBF4D8" w14:textId="77777777" w:rsidR="00121F03" w:rsidRPr="00E14531" w:rsidRDefault="00121F03" w:rsidP="00B348FD">
            <w:pPr>
              <w:keepNext/>
              <w:keepLines/>
              <w:rPr>
                <w:i/>
                <w:sz w:val="18"/>
                <w:szCs w:val="18"/>
                <w:u w:val="single"/>
              </w:rPr>
            </w:pPr>
            <w:r>
              <w:rPr>
                <w:i/>
                <w:sz w:val="18"/>
              </w:rPr>
              <w:t xml:space="preserve">Así pues, a reserva de lo dispuesto en los Artículos 15 y 16, ’utilización no autorizada’ se refiere a los actos enumerados en los incisos i) a vii), supra, respecto del material de reproducción o de multiplicación </w:t>
            </w:r>
            <w:r>
              <w:rPr>
                <w:i/>
                <w:sz w:val="18"/>
                <w:highlight w:val="lightGray"/>
                <w:u w:val="single"/>
              </w:rPr>
              <w:t>y a los actos pertinentes, tales como la plantación y el crecimiento (el cultivo) de material de reproducción o de multiplicación con el fin de obtener producto de la cosecha</w:t>
            </w:r>
            <w:r>
              <w:rPr>
                <w:i/>
                <w:sz w:val="18"/>
              </w:rPr>
              <w:t xml:space="preserve"> en el territorio de que se trate, cuando esa autorización no ha sido obtenida.”</w:t>
            </w:r>
          </w:p>
          <w:p w14:paraId="63ECC90D" w14:textId="77777777" w:rsidR="00121F03" w:rsidRPr="00E14531" w:rsidRDefault="00121F03" w:rsidP="00B348FD">
            <w:pPr>
              <w:keepNext/>
              <w:keepLines/>
              <w:rPr>
                <w:i/>
                <w:sz w:val="8"/>
              </w:rPr>
            </w:pPr>
            <w:r>
              <w:rPr>
                <w:i/>
                <w:sz w:val="18"/>
              </w:rPr>
              <w:t xml:space="preserve"> </w:t>
            </w:r>
          </w:p>
        </w:tc>
      </w:tr>
    </w:tbl>
    <w:p w14:paraId="6227044C" w14:textId="77777777" w:rsidR="004B0354" w:rsidRPr="00DE4092" w:rsidRDefault="004B0354" w:rsidP="004B0354">
      <w:pPr>
        <w:rPr>
          <w:sz w:val="18"/>
        </w:rPr>
      </w:pPr>
    </w:p>
    <w:tbl>
      <w:tblPr>
        <w:tblStyle w:val="TableGrid"/>
        <w:tblW w:w="0" w:type="auto"/>
        <w:tblLook w:val="04A0" w:firstRow="1" w:lastRow="0" w:firstColumn="1" w:lastColumn="0" w:noHBand="0" w:noVBand="1"/>
      </w:tblPr>
      <w:tblGrid>
        <w:gridCol w:w="9629"/>
      </w:tblGrid>
      <w:tr w:rsidR="004B0354" w:rsidRPr="00FD7B58" w14:paraId="285E721E" w14:textId="77777777" w:rsidTr="00160D79">
        <w:tc>
          <w:tcPr>
            <w:tcW w:w="9629" w:type="dxa"/>
            <w:shd w:val="clear" w:color="auto" w:fill="F2F2F2" w:themeFill="background1" w:themeFillShade="F2"/>
          </w:tcPr>
          <w:p w14:paraId="0DDCB978" w14:textId="77777777" w:rsidR="004B0354" w:rsidRPr="00DE4092" w:rsidRDefault="004B0354" w:rsidP="00160D79">
            <w:pPr>
              <w:rPr>
                <w:sz w:val="8"/>
                <w:szCs w:val="10"/>
              </w:rPr>
            </w:pPr>
          </w:p>
          <w:p w14:paraId="67C3EC9C" w14:textId="77777777" w:rsidR="004B0354" w:rsidRPr="00426126" w:rsidRDefault="004B0354" w:rsidP="00160D79">
            <w:pPr>
              <w:rPr>
                <w:sz w:val="18"/>
                <w:szCs w:val="18"/>
              </w:rPr>
            </w:pPr>
            <w:r>
              <w:rPr>
                <w:sz w:val="18"/>
                <w:u w:val="single"/>
              </w:rPr>
              <w:t>Propuesta de la AIPH</w:t>
            </w:r>
            <w:r w:rsidRPr="00426126">
              <w:rPr>
                <w:rStyle w:val="EndnoteReference"/>
                <w:b/>
                <w:sz w:val="18"/>
                <w:szCs w:val="18"/>
              </w:rPr>
              <w:endnoteReference w:id="8"/>
            </w:r>
          </w:p>
          <w:p w14:paraId="62590977" w14:textId="77777777" w:rsidR="004B0354" w:rsidRPr="00426126" w:rsidRDefault="004B0354" w:rsidP="00160D79">
            <w:pPr>
              <w:rPr>
                <w:sz w:val="16"/>
                <w:szCs w:val="18"/>
              </w:rPr>
            </w:pPr>
          </w:p>
          <w:p w14:paraId="0CCD108C" w14:textId="54803A2A" w:rsidR="004B0354" w:rsidRDefault="004B0354" w:rsidP="00160D79">
            <w:pPr>
              <w:rPr>
                <w:sz w:val="18"/>
                <w:szCs w:val="18"/>
              </w:rPr>
            </w:pPr>
            <w:r>
              <w:rPr>
                <w:sz w:val="18"/>
              </w:rPr>
              <w:t xml:space="preserve">En relación con el párrafo 5, la AIPH hizo el siguiente comentario acerca de la propuesta del Japón </w:t>
            </w:r>
            <w:r w:rsidR="00B54A9B">
              <w:rPr>
                <w:sz w:val="18"/>
              </w:rPr>
              <w:t xml:space="preserve">reproducida en </w:t>
            </w:r>
            <w:r>
              <w:rPr>
                <w:sz w:val="18"/>
              </w:rPr>
              <w:t>el recuadro anterior:</w:t>
            </w:r>
          </w:p>
          <w:p w14:paraId="32007711" w14:textId="77777777" w:rsidR="004B0354" w:rsidRDefault="004B0354" w:rsidP="00160D79">
            <w:pPr>
              <w:rPr>
                <w:sz w:val="18"/>
                <w:szCs w:val="18"/>
              </w:rPr>
            </w:pPr>
          </w:p>
          <w:p w14:paraId="56E4A775" w14:textId="5AE3B78B" w:rsidR="004B0354" w:rsidRPr="004B0354" w:rsidRDefault="004B0354" w:rsidP="004B0354">
            <w:pPr>
              <w:rPr>
                <w:sz w:val="18"/>
                <w:szCs w:val="18"/>
              </w:rPr>
            </w:pPr>
            <w:r>
              <w:rPr>
                <w:sz w:val="18"/>
              </w:rPr>
              <w:t xml:space="preserve">“La propuesta del Japón puede definirse como un deseo de ampliar el alcance de los derechos de obtentor, esto es añadir los actos de </w:t>
            </w:r>
            <w:r>
              <w:rPr>
                <w:i/>
                <w:sz w:val="18"/>
              </w:rPr>
              <w:t xml:space="preserve">plantación y crecimiento (cultivo) </w:t>
            </w:r>
            <w:r>
              <w:rPr>
                <w:sz w:val="18"/>
              </w:rPr>
              <w:t>a los actos para los que se necesita</w:t>
            </w:r>
            <w:r w:rsidR="008A35F6">
              <w:rPr>
                <w:sz w:val="18"/>
              </w:rPr>
              <w:t xml:space="preserve"> </w:t>
            </w:r>
            <w:r>
              <w:rPr>
                <w:sz w:val="18"/>
              </w:rPr>
              <w:t>autorización del titular, formulados en el Artículo 14.1)</w:t>
            </w:r>
            <w:r>
              <w:rPr>
                <w:i/>
                <w:iCs/>
                <w:sz w:val="18"/>
              </w:rPr>
              <w:t>a)</w:t>
            </w:r>
            <w:r>
              <w:rPr>
                <w:sz w:val="18"/>
              </w:rPr>
              <w:t xml:space="preserve"> i) a vii).</w:t>
            </w:r>
          </w:p>
          <w:p w14:paraId="1CF91D01" w14:textId="12C99E29" w:rsidR="004B0354" w:rsidRPr="00426126" w:rsidRDefault="004B0354" w:rsidP="00160D79">
            <w:pPr>
              <w:rPr>
                <w:sz w:val="18"/>
                <w:szCs w:val="18"/>
              </w:rPr>
            </w:pPr>
            <w:r>
              <w:rPr>
                <w:sz w:val="18"/>
              </w:rPr>
              <w:t>La AIPH admite la ausencia de un fundamento jurídico para una ampliación por los siguientes motivos: 1) No encuentra un fundamento para hacerlo en las actas de la Conferencia Diplomática para la Revisión del Convenio de la UPOV de marzo de 1991; y 2) considera que la revisión de dichas notas explicativas no son el lugar ni el momento jurídicamente correcto para ampliar el alcance del derecho de obtentor</w:t>
            </w:r>
            <w:r w:rsidR="00B54A9B">
              <w:rPr>
                <w:sz w:val="18"/>
              </w:rPr>
              <w:t>(a)</w:t>
            </w:r>
            <w:r>
              <w:rPr>
                <w:sz w:val="18"/>
              </w:rPr>
              <w:t>.”</w:t>
            </w:r>
          </w:p>
          <w:p w14:paraId="1BDA7F9D" w14:textId="77777777" w:rsidR="004B0354" w:rsidRPr="00385EFC" w:rsidRDefault="004B0354" w:rsidP="00160D79">
            <w:pPr>
              <w:jc w:val="left"/>
              <w:rPr>
                <w:sz w:val="8"/>
              </w:rPr>
            </w:pPr>
          </w:p>
        </w:tc>
      </w:tr>
    </w:tbl>
    <w:p w14:paraId="4A4CB8B2" w14:textId="77777777" w:rsidR="00E14531" w:rsidRPr="00355F00" w:rsidRDefault="00E14531" w:rsidP="00E14531">
      <w:pPr>
        <w:rPr>
          <w:i/>
          <w:sz w:val="18"/>
        </w:rPr>
      </w:pPr>
    </w:p>
    <w:tbl>
      <w:tblPr>
        <w:tblStyle w:val="TableGrid"/>
        <w:tblW w:w="0" w:type="auto"/>
        <w:tblLook w:val="04A0" w:firstRow="1" w:lastRow="0" w:firstColumn="1" w:lastColumn="0" w:noHBand="0" w:noVBand="1"/>
      </w:tblPr>
      <w:tblGrid>
        <w:gridCol w:w="9629"/>
      </w:tblGrid>
      <w:tr w:rsidR="00E14531" w:rsidRPr="00355F00" w14:paraId="2A2C5836" w14:textId="77777777" w:rsidTr="00F810B7">
        <w:tc>
          <w:tcPr>
            <w:tcW w:w="9629" w:type="dxa"/>
            <w:shd w:val="clear" w:color="auto" w:fill="F2F2F2" w:themeFill="background1" w:themeFillShade="F2"/>
          </w:tcPr>
          <w:p w14:paraId="7C566FA9" w14:textId="77777777" w:rsidR="00E14531" w:rsidRPr="00355F00" w:rsidRDefault="00E14531" w:rsidP="00F810B7">
            <w:pPr>
              <w:rPr>
                <w:i/>
                <w:sz w:val="8"/>
                <w:szCs w:val="10"/>
              </w:rPr>
            </w:pPr>
          </w:p>
          <w:p w14:paraId="1B068EEC" w14:textId="77777777" w:rsidR="00E14531" w:rsidRPr="00355F00" w:rsidRDefault="00E14531" w:rsidP="00F810B7">
            <w:pPr>
              <w:rPr>
                <w:i/>
                <w:sz w:val="18"/>
                <w:szCs w:val="18"/>
              </w:rPr>
            </w:pPr>
            <w:r>
              <w:rPr>
                <w:i/>
                <w:sz w:val="18"/>
                <w:u w:val="single"/>
              </w:rPr>
              <w:t xml:space="preserve">Propuestas de la ISF, la CIOPORA, </w:t>
            </w:r>
            <w:r w:rsidRPr="003A453E">
              <w:rPr>
                <w:iCs/>
                <w:sz w:val="18"/>
                <w:u w:val="single"/>
              </w:rPr>
              <w:t>CropLife International, Euroseeds</w:t>
            </w:r>
            <w:r>
              <w:rPr>
                <w:i/>
                <w:sz w:val="18"/>
                <w:u w:val="single"/>
              </w:rPr>
              <w:t>, la APSA, la AFSTA y la SAA</w:t>
            </w:r>
            <w:r w:rsidRPr="00355F00">
              <w:rPr>
                <w:rStyle w:val="EndnoteReference"/>
                <w:b/>
                <w:i/>
                <w:sz w:val="18"/>
                <w:szCs w:val="18"/>
              </w:rPr>
              <w:endnoteReference w:id="9"/>
            </w:r>
          </w:p>
          <w:p w14:paraId="65A5B632" w14:textId="77777777" w:rsidR="00E14531" w:rsidRPr="00355F00" w:rsidRDefault="00E14531" w:rsidP="00F810B7">
            <w:pPr>
              <w:rPr>
                <w:i/>
                <w:sz w:val="16"/>
                <w:szCs w:val="18"/>
              </w:rPr>
            </w:pPr>
          </w:p>
          <w:p w14:paraId="214B7A6D" w14:textId="7A7FB4DE" w:rsidR="00E14531" w:rsidRPr="00355F00" w:rsidRDefault="00E14531" w:rsidP="00F810B7">
            <w:pPr>
              <w:rPr>
                <w:i/>
                <w:sz w:val="18"/>
                <w:szCs w:val="18"/>
              </w:rPr>
            </w:pPr>
            <w:r>
              <w:rPr>
                <w:i/>
                <w:sz w:val="18"/>
              </w:rPr>
              <w:t>El párrafo 5 debe modificarse de la siguiente manera:</w:t>
            </w:r>
            <w:r w:rsidR="008A35F6">
              <w:rPr>
                <w:i/>
                <w:sz w:val="18"/>
              </w:rPr>
              <w:t xml:space="preserve"> </w:t>
            </w:r>
            <w:r>
              <w:rPr>
                <w:i/>
                <w:sz w:val="18"/>
              </w:rPr>
              <w:t>“</w:t>
            </w:r>
            <w:r>
              <w:rPr>
                <w:i/>
                <w:strike/>
                <w:sz w:val="18"/>
                <w:highlight w:val="lightGray"/>
              </w:rPr>
              <w:t>Así pues, a reserva de lo dispuesto en los Artículos 15 y 16, “utilización no autorizada” se refiere a los actos enumerados en los incisos i) a vii), supra, respecto del material de reproducción o de multiplicación en el territorio de que se trate, cuando esa autorización no ha sido obtenida.</w:t>
            </w:r>
            <w:r>
              <w:rPr>
                <w:i/>
                <w:sz w:val="18"/>
              </w:rPr>
              <w:t>”</w:t>
            </w:r>
          </w:p>
          <w:p w14:paraId="67A46E67" w14:textId="77777777" w:rsidR="00E14531" w:rsidRPr="00355F00" w:rsidRDefault="00E14531" w:rsidP="00F810B7">
            <w:pPr>
              <w:jc w:val="left"/>
              <w:rPr>
                <w:i/>
                <w:sz w:val="8"/>
              </w:rPr>
            </w:pPr>
          </w:p>
        </w:tc>
      </w:tr>
    </w:tbl>
    <w:p w14:paraId="18365D52" w14:textId="77777777" w:rsidR="00B17A30" w:rsidRPr="00B620D5" w:rsidRDefault="00B17A30" w:rsidP="00B17A30">
      <w:pPr>
        <w:pStyle w:val="Header"/>
        <w:rPr>
          <w:rStyle w:val="PageNumber"/>
        </w:rPr>
      </w:pPr>
    </w:p>
    <w:p w14:paraId="30FCD148" w14:textId="77777777" w:rsidR="00B17A30" w:rsidRPr="00B620D5" w:rsidRDefault="00B17A30">
      <w:pPr>
        <w:jc w:val="left"/>
        <w:rPr>
          <w:rStyle w:val="PageNumber"/>
        </w:rPr>
      </w:pPr>
      <w:r w:rsidRPr="00B620D5">
        <w:rPr>
          <w:rStyle w:val="PageNumber"/>
        </w:rPr>
        <w:br w:type="page"/>
      </w:r>
    </w:p>
    <w:p w14:paraId="2299057E" w14:textId="78A6C5BD" w:rsidR="00B17A30" w:rsidRPr="00B620D5" w:rsidRDefault="00B17A30" w:rsidP="00B17A30">
      <w:pPr>
        <w:pStyle w:val="Header"/>
        <w:rPr>
          <w:rStyle w:val="PageNumber"/>
        </w:rPr>
      </w:pPr>
      <w:r w:rsidRPr="00B620D5">
        <w:rPr>
          <w:rStyle w:val="PageNumber"/>
        </w:rPr>
        <w:lastRenderedPageBreak/>
        <w:t>WG-HRV/2/4</w:t>
      </w:r>
    </w:p>
    <w:p w14:paraId="63746A38" w14:textId="3FA579F2" w:rsidR="00B17A30" w:rsidRDefault="00B17A30" w:rsidP="00B17A30">
      <w:pPr>
        <w:jc w:val="center"/>
      </w:pPr>
      <w:r>
        <w:t>Anexo, página 7</w:t>
      </w:r>
    </w:p>
    <w:p w14:paraId="0B1BAF4A" w14:textId="77777777" w:rsidR="00F30CA6" w:rsidRDefault="00F30CA6" w:rsidP="00121F03">
      <w:pPr>
        <w:keepNext/>
        <w:rPr>
          <w:szCs w:val="24"/>
        </w:rPr>
      </w:pPr>
    </w:p>
    <w:p w14:paraId="40205B6A" w14:textId="77777777" w:rsidR="00121F03" w:rsidRPr="0019030C" w:rsidRDefault="00F30CA6" w:rsidP="00121F03">
      <w:pPr>
        <w:keepNext/>
        <w:rPr>
          <w:szCs w:val="24"/>
        </w:rPr>
      </w:pPr>
      <w:r>
        <w:fldChar w:fldCharType="begin"/>
      </w:r>
      <w:r>
        <w:instrText xml:space="preserve"> AUTONUM  </w:instrText>
      </w:r>
      <w:r>
        <w:fldChar w:fldCharType="end"/>
      </w:r>
      <w:r>
        <w:tab/>
        <w:t>Por ejemplo, en el territorio de un miembro de la Unión en el que se ha concedido y está en vigor un derecho de obtentor, la exportación no autorizada de material de reproducción o de multiplicación constituiría un acto no autorizado.</w:t>
      </w:r>
    </w:p>
    <w:p w14:paraId="345FBE73" w14:textId="77777777" w:rsidR="00121F03" w:rsidRDefault="00121F03" w:rsidP="00121F03">
      <w:pPr>
        <w:keepNext/>
        <w:keepLines/>
      </w:pPr>
    </w:p>
    <w:tbl>
      <w:tblPr>
        <w:tblStyle w:val="TableGrid"/>
        <w:tblW w:w="0" w:type="auto"/>
        <w:tblLook w:val="04A0" w:firstRow="1" w:lastRow="0" w:firstColumn="1" w:lastColumn="0" w:noHBand="0" w:noVBand="1"/>
      </w:tblPr>
      <w:tblGrid>
        <w:gridCol w:w="9629"/>
      </w:tblGrid>
      <w:tr w:rsidR="00121F03" w:rsidRPr="00E23974" w14:paraId="48F2887B" w14:textId="77777777" w:rsidTr="00B348FD">
        <w:tc>
          <w:tcPr>
            <w:tcW w:w="9629" w:type="dxa"/>
            <w:shd w:val="clear" w:color="auto" w:fill="F2F2F2" w:themeFill="background1" w:themeFillShade="F2"/>
          </w:tcPr>
          <w:p w14:paraId="581A213C" w14:textId="77777777" w:rsidR="00121F03" w:rsidRPr="00E23974" w:rsidRDefault="00121F03" w:rsidP="00B348FD">
            <w:pPr>
              <w:keepNext/>
              <w:keepLines/>
              <w:rPr>
                <w:i/>
                <w:sz w:val="8"/>
                <w:szCs w:val="10"/>
              </w:rPr>
            </w:pPr>
          </w:p>
          <w:p w14:paraId="7D79E45E" w14:textId="77777777" w:rsidR="00121F03" w:rsidRPr="00E23974" w:rsidRDefault="00121F03" w:rsidP="00B348FD">
            <w:pPr>
              <w:rPr>
                <w:i/>
                <w:sz w:val="18"/>
                <w:szCs w:val="18"/>
              </w:rPr>
            </w:pPr>
            <w:r>
              <w:rPr>
                <w:i/>
                <w:sz w:val="18"/>
                <w:u w:val="single"/>
              </w:rPr>
              <w:t>Propuestas de los Países Bajos</w:t>
            </w:r>
            <w:r w:rsidRPr="00E23974">
              <w:rPr>
                <w:rStyle w:val="EndnoteReference"/>
                <w:b/>
                <w:i/>
                <w:sz w:val="18"/>
                <w:szCs w:val="18"/>
              </w:rPr>
              <w:endnoteReference w:id="10"/>
            </w:r>
            <w:r>
              <w:rPr>
                <w:i/>
                <w:sz w:val="18"/>
                <w:u w:val="single"/>
              </w:rPr>
              <w:t xml:space="preserve"> y la AIPH</w:t>
            </w:r>
            <w:r w:rsidRPr="00E23974">
              <w:rPr>
                <w:rStyle w:val="EndnoteReference"/>
                <w:b/>
                <w:i/>
                <w:sz w:val="18"/>
                <w:szCs w:val="18"/>
              </w:rPr>
              <w:endnoteReference w:id="11"/>
            </w:r>
          </w:p>
          <w:p w14:paraId="483AE7BA" w14:textId="77777777" w:rsidR="00121F03" w:rsidRPr="00E23974" w:rsidRDefault="00121F03" w:rsidP="00B348FD">
            <w:pPr>
              <w:keepNext/>
              <w:keepLines/>
              <w:rPr>
                <w:i/>
                <w:sz w:val="16"/>
                <w:szCs w:val="18"/>
              </w:rPr>
            </w:pPr>
          </w:p>
          <w:p w14:paraId="16D8B4E5" w14:textId="1A175223" w:rsidR="00121F03" w:rsidRPr="00E23974" w:rsidRDefault="00121F03" w:rsidP="00B348FD">
            <w:pPr>
              <w:keepNext/>
              <w:keepLines/>
              <w:rPr>
                <w:i/>
                <w:sz w:val="18"/>
                <w:szCs w:val="18"/>
              </w:rPr>
            </w:pPr>
            <w:r>
              <w:rPr>
                <w:i/>
                <w:sz w:val="18"/>
              </w:rPr>
              <w:t>El párrafo 6 debe modificarse de la siguiente manera:</w:t>
            </w:r>
            <w:r w:rsidR="008A35F6">
              <w:rPr>
                <w:i/>
                <w:sz w:val="18"/>
              </w:rPr>
              <w:t xml:space="preserve"> </w:t>
            </w:r>
            <w:r>
              <w:rPr>
                <w:i/>
                <w:sz w:val="18"/>
              </w:rPr>
              <w:t xml:space="preserve">“Por ejemplo, en el territorio de un miembro de la Unión en el que se ha concedido y está en vigor un derecho de obtentor, la exportación </w:t>
            </w:r>
            <w:r>
              <w:rPr>
                <w:i/>
                <w:sz w:val="18"/>
                <w:highlight w:val="lightGray"/>
                <w:u w:val="single"/>
              </w:rPr>
              <w:t>o la importación</w:t>
            </w:r>
            <w:r>
              <w:rPr>
                <w:i/>
                <w:sz w:val="18"/>
              </w:rPr>
              <w:t xml:space="preserve"> no autorizada de material de reproducción o de multiplicación constituiría un acto no autorizado.</w:t>
            </w:r>
          </w:p>
          <w:p w14:paraId="12A0855E" w14:textId="77777777" w:rsidR="00121F03" w:rsidRPr="00E23974" w:rsidRDefault="00121F03" w:rsidP="00B348FD">
            <w:pPr>
              <w:keepNext/>
              <w:keepLines/>
              <w:rPr>
                <w:i/>
                <w:sz w:val="18"/>
                <w:szCs w:val="18"/>
                <w:u w:val="single"/>
              </w:rPr>
            </w:pPr>
          </w:p>
          <w:p w14:paraId="33292843" w14:textId="62B33874" w:rsidR="00121F03" w:rsidRPr="00E23974" w:rsidRDefault="00121F03" w:rsidP="00B348FD">
            <w:pPr>
              <w:keepNext/>
              <w:keepLines/>
              <w:rPr>
                <w:i/>
                <w:sz w:val="18"/>
                <w:szCs w:val="18"/>
                <w:highlight w:val="lightGray"/>
                <w:u w:val="single"/>
              </w:rPr>
            </w:pPr>
            <w:r>
              <w:rPr>
                <w:i/>
                <w:sz w:val="18"/>
                <w:highlight w:val="lightGray"/>
                <w:u w:val="single"/>
              </w:rPr>
              <w:t>En cuanto el material de la variedad protegida haya sido vendido o comercializado de otra manera por el</w:t>
            </w:r>
            <w:r w:rsidR="00DA0C0A">
              <w:rPr>
                <w:i/>
                <w:sz w:val="18"/>
                <w:highlight w:val="lightGray"/>
                <w:u w:val="single"/>
              </w:rPr>
              <w:t xml:space="preserve"> </w:t>
            </w:r>
            <w:r>
              <w:rPr>
                <w:i/>
                <w:sz w:val="18"/>
                <w:highlight w:val="lightGray"/>
                <w:u w:val="single"/>
              </w:rPr>
              <w:t>obtentor o con su consentimiento, se agotará el derecho respecto del material en cuestión.</w:t>
            </w:r>
          </w:p>
          <w:p w14:paraId="4CFA6642" w14:textId="77777777" w:rsidR="00121F03" w:rsidRPr="00E23974" w:rsidRDefault="00121F03" w:rsidP="00B348FD">
            <w:pPr>
              <w:keepNext/>
              <w:keepLines/>
              <w:rPr>
                <w:i/>
                <w:sz w:val="18"/>
                <w:szCs w:val="18"/>
                <w:highlight w:val="lightGray"/>
                <w:u w:val="single"/>
              </w:rPr>
            </w:pPr>
          </w:p>
          <w:p w14:paraId="3D31DC9A" w14:textId="77777777" w:rsidR="00121F03" w:rsidRPr="00E23974" w:rsidRDefault="00121F03" w:rsidP="00B348FD">
            <w:pPr>
              <w:keepNext/>
              <w:keepLines/>
              <w:rPr>
                <w:i/>
                <w:sz w:val="18"/>
                <w:szCs w:val="18"/>
                <w:u w:val="single"/>
              </w:rPr>
            </w:pPr>
            <w:r>
              <w:rPr>
                <w:i/>
                <w:sz w:val="18"/>
                <w:highlight w:val="lightGray"/>
                <w:u w:val="single"/>
              </w:rPr>
              <w:t>Si el producto de la cosecha se importa a un territorio, por lo que tanto la utilización de material de reproducción o de multiplicación como la obtención de producto de la cosecha han tenido lugar fuera del territorio de la importación, y el titular del derecho no ha concedido autorización en el territorio de la importación, la utilización de material de reproducción o de multiplicación puede considerarse no autorizada.</w:t>
            </w:r>
            <w:r>
              <w:rPr>
                <w:i/>
                <w:sz w:val="18"/>
              </w:rPr>
              <w:t>”</w:t>
            </w:r>
          </w:p>
          <w:p w14:paraId="3CE8C5A1" w14:textId="77777777" w:rsidR="00121F03" w:rsidRPr="00E23974" w:rsidRDefault="00121F03" w:rsidP="00B348FD">
            <w:pPr>
              <w:keepNext/>
              <w:keepLines/>
              <w:rPr>
                <w:i/>
                <w:sz w:val="8"/>
              </w:rPr>
            </w:pPr>
            <w:r>
              <w:rPr>
                <w:i/>
                <w:sz w:val="18"/>
              </w:rPr>
              <w:t xml:space="preserve"> </w:t>
            </w:r>
          </w:p>
        </w:tc>
      </w:tr>
    </w:tbl>
    <w:p w14:paraId="1B6AAC1B" w14:textId="77777777" w:rsidR="00121F03" w:rsidRPr="00E23974" w:rsidRDefault="00121F03" w:rsidP="00121F03">
      <w:pPr>
        <w:rPr>
          <w:i/>
        </w:rPr>
      </w:pPr>
    </w:p>
    <w:tbl>
      <w:tblPr>
        <w:tblStyle w:val="TableGrid"/>
        <w:tblW w:w="0" w:type="auto"/>
        <w:tblLook w:val="04A0" w:firstRow="1" w:lastRow="0" w:firstColumn="1" w:lastColumn="0" w:noHBand="0" w:noVBand="1"/>
      </w:tblPr>
      <w:tblGrid>
        <w:gridCol w:w="9629"/>
      </w:tblGrid>
      <w:tr w:rsidR="00121F03" w:rsidRPr="00E23974" w14:paraId="2880DC38" w14:textId="77777777" w:rsidTr="00B348FD">
        <w:tc>
          <w:tcPr>
            <w:tcW w:w="9629" w:type="dxa"/>
            <w:shd w:val="clear" w:color="auto" w:fill="F2F2F2" w:themeFill="background1" w:themeFillShade="F2"/>
          </w:tcPr>
          <w:p w14:paraId="66593DFB" w14:textId="77777777" w:rsidR="00121F03" w:rsidRPr="00E23974" w:rsidRDefault="00121F03" w:rsidP="00B348FD">
            <w:pPr>
              <w:rPr>
                <w:i/>
                <w:sz w:val="8"/>
                <w:szCs w:val="10"/>
              </w:rPr>
            </w:pPr>
          </w:p>
          <w:p w14:paraId="08ABAC8A" w14:textId="77777777" w:rsidR="00121F03" w:rsidRPr="00E23974" w:rsidRDefault="00121F03" w:rsidP="00B348FD">
            <w:pPr>
              <w:rPr>
                <w:i/>
                <w:sz w:val="18"/>
                <w:szCs w:val="18"/>
              </w:rPr>
            </w:pPr>
            <w:r>
              <w:rPr>
                <w:i/>
                <w:sz w:val="18"/>
                <w:u w:val="single"/>
              </w:rPr>
              <w:t xml:space="preserve">Propuestas de la ISF, la CIOPORA, </w:t>
            </w:r>
            <w:r w:rsidRPr="003A453E">
              <w:rPr>
                <w:iCs/>
                <w:sz w:val="18"/>
                <w:u w:val="single"/>
              </w:rPr>
              <w:t>CropLife International, Euroseeds</w:t>
            </w:r>
            <w:r>
              <w:rPr>
                <w:i/>
                <w:sz w:val="18"/>
                <w:u w:val="single"/>
              </w:rPr>
              <w:t>, la APSA, la AFSTA y la SAA</w:t>
            </w:r>
            <w:r w:rsidRPr="00E23974">
              <w:rPr>
                <w:rStyle w:val="EndnoteReference"/>
                <w:b/>
                <w:i/>
                <w:sz w:val="18"/>
                <w:szCs w:val="18"/>
              </w:rPr>
              <w:endnoteReference w:id="12"/>
            </w:r>
          </w:p>
          <w:p w14:paraId="3D06E241" w14:textId="77777777" w:rsidR="00121F03" w:rsidRPr="00E23974" w:rsidRDefault="00121F03" w:rsidP="00B348FD">
            <w:pPr>
              <w:rPr>
                <w:i/>
                <w:sz w:val="18"/>
                <w:szCs w:val="18"/>
              </w:rPr>
            </w:pPr>
          </w:p>
          <w:p w14:paraId="4C22B353" w14:textId="008DFB12" w:rsidR="00121F03" w:rsidRPr="00E23974" w:rsidRDefault="00121F03" w:rsidP="00B348FD">
            <w:pPr>
              <w:rPr>
                <w:i/>
                <w:sz w:val="18"/>
                <w:szCs w:val="18"/>
              </w:rPr>
            </w:pPr>
            <w:r>
              <w:rPr>
                <w:i/>
                <w:sz w:val="18"/>
              </w:rPr>
              <w:t>El párrafo 6 debe modificarse de la siguiente manera:</w:t>
            </w:r>
            <w:r w:rsidR="008A35F6">
              <w:rPr>
                <w:i/>
                <w:sz w:val="18"/>
              </w:rPr>
              <w:t xml:space="preserve"> </w:t>
            </w:r>
            <w:r>
              <w:rPr>
                <w:i/>
                <w:sz w:val="18"/>
              </w:rPr>
              <w:t xml:space="preserve">“Por ejemplo, en el territorio de un miembro de la Unión en el que se ha concedido y está en vigor un derecho de obtentor </w:t>
            </w:r>
            <w:r>
              <w:rPr>
                <w:i/>
                <w:sz w:val="18"/>
                <w:highlight w:val="lightGray"/>
                <w:u w:val="single"/>
              </w:rPr>
              <w:t>(país A)</w:t>
            </w:r>
            <w:r>
              <w:rPr>
                <w:i/>
                <w:sz w:val="18"/>
              </w:rPr>
              <w:t>, la exportación no autorizada de material de reproducción o de multiplicación constituiría un acto no autorizado.</w:t>
            </w:r>
            <w:r w:rsidR="008A35F6">
              <w:rPr>
                <w:i/>
                <w:sz w:val="18"/>
              </w:rPr>
              <w:t xml:space="preserve"> </w:t>
            </w:r>
            <w:r>
              <w:rPr>
                <w:i/>
                <w:sz w:val="18"/>
                <w:highlight w:val="lightGray"/>
                <w:u w:val="single"/>
              </w:rPr>
              <w:t>Del mismo modo, si se ha importado material de reproducción o de multiplicación de una variedad a un territorio determinado sin autorización del obtentor y se multiplica o se vende en ese territorio (país B), en el que la variedad no está protegida, toda actividad enumerada en el Artículo 14.1)a) del Acta de 1991 del Convenio de la UPOV se considerará no autorizada.</w:t>
            </w:r>
            <w:r w:rsidR="008A35F6">
              <w:rPr>
                <w:i/>
                <w:sz w:val="18"/>
                <w:highlight w:val="lightGray"/>
                <w:u w:val="single"/>
              </w:rPr>
              <w:t xml:space="preserve"> </w:t>
            </w:r>
            <w:r>
              <w:rPr>
                <w:i/>
                <w:sz w:val="18"/>
                <w:highlight w:val="lightGray"/>
                <w:u w:val="single"/>
              </w:rPr>
              <w:t xml:space="preserve">Lo antedicho no implica que el titular del derecho en el país A pueda invocar el derecho concedido en el país A respecto de la utilización de material de reproducción o de multiplicación o de producto de la cosecha de la variedad en el país B. No obstante, a efectos de determinar si se cumple la condición estipulada en el Artículo 14.2 del Convenio —’obtenido por utilización no autorizada de material de reproducción o de multiplicación’— en el caso de importación del país B al país A, la exportación inicial del país A mencionado </w:t>
            </w:r>
            <w:r w:rsidRPr="003A453E">
              <w:rPr>
                <w:iCs/>
                <w:sz w:val="18"/>
                <w:highlight w:val="lightGray"/>
                <w:u w:val="single"/>
              </w:rPr>
              <w:t>supra</w:t>
            </w:r>
            <w:r>
              <w:rPr>
                <w:i/>
                <w:sz w:val="18"/>
                <w:highlight w:val="lightGray"/>
                <w:u w:val="single"/>
              </w:rPr>
              <w:t xml:space="preserve"> se considerará no autorizada.</w:t>
            </w:r>
            <w:r>
              <w:rPr>
                <w:i/>
                <w:sz w:val="18"/>
              </w:rPr>
              <w:t>”</w:t>
            </w:r>
          </w:p>
          <w:p w14:paraId="6A465D94" w14:textId="77777777" w:rsidR="00121F03" w:rsidRPr="00E23974" w:rsidRDefault="00121F03" w:rsidP="00B348FD">
            <w:pPr>
              <w:jc w:val="left"/>
              <w:rPr>
                <w:i/>
                <w:sz w:val="8"/>
              </w:rPr>
            </w:pPr>
          </w:p>
        </w:tc>
      </w:tr>
    </w:tbl>
    <w:p w14:paraId="769FF60E" w14:textId="77777777" w:rsidR="00F30CA6" w:rsidRDefault="00F30CA6" w:rsidP="004B0354"/>
    <w:p w14:paraId="71AF606F" w14:textId="77777777" w:rsidR="00F30CA6" w:rsidRDefault="00F30CA6" w:rsidP="004B0354"/>
    <w:tbl>
      <w:tblPr>
        <w:tblStyle w:val="TableGrid"/>
        <w:tblW w:w="0" w:type="auto"/>
        <w:tblLook w:val="04A0" w:firstRow="1" w:lastRow="0" w:firstColumn="1" w:lastColumn="0" w:noHBand="0" w:noVBand="1"/>
      </w:tblPr>
      <w:tblGrid>
        <w:gridCol w:w="9629"/>
      </w:tblGrid>
      <w:tr w:rsidR="004B0354" w:rsidRPr="00DE4092" w14:paraId="3BB1CE89" w14:textId="77777777" w:rsidTr="00160D79">
        <w:tc>
          <w:tcPr>
            <w:tcW w:w="9629" w:type="dxa"/>
            <w:shd w:val="clear" w:color="auto" w:fill="F2F2F2" w:themeFill="background1" w:themeFillShade="F2"/>
          </w:tcPr>
          <w:p w14:paraId="70136B25" w14:textId="77777777" w:rsidR="004B0354" w:rsidRPr="00DE4092" w:rsidRDefault="004B0354" w:rsidP="00160D79">
            <w:pPr>
              <w:rPr>
                <w:sz w:val="8"/>
                <w:szCs w:val="10"/>
              </w:rPr>
            </w:pPr>
          </w:p>
          <w:p w14:paraId="34026F24" w14:textId="77777777" w:rsidR="004B0354" w:rsidRPr="00426126" w:rsidRDefault="004B0354" w:rsidP="00160D79">
            <w:pPr>
              <w:rPr>
                <w:sz w:val="18"/>
                <w:szCs w:val="18"/>
              </w:rPr>
            </w:pPr>
            <w:r>
              <w:rPr>
                <w:sz w:val="18"/>
                <w:u w:val="single"/>
              </w:rPr>
              <w:t>Propuesta de la AIPH</w:t>
            </w:r>
            <w:r w:rsidRPr="00426126">
              <w:rPr>
                <w:rStyle w:val="EndnoteReference"/>
                <w:b/>
                <w:sz w:val="18"/>
                <w:szCs w:val="18"/>
              </w:rPr>
              <w:endnoteReference w:id="13"/>
            </w:r>
          </w:p>
          <w:p w14:paraId="5C6E85ED" w14:textId="77777777" w:rsidR="004B0354" w:rsidRDefault="004B0354" w:rsidP="00160D79">
            <w:pPr>
              <w:rPr>
                <w:sz w:val="18"/>
                <w:szCs w:val="18"/>
              </w:rPr>
            </w:pPr>
          </w:p>
          <w:p w14:paraId="1714CABD" w14:textId="77777777" w:rsidR="004B0354" w:rsidRDefault="004B0354" w:rsidP="00160D79">
            <w:pPr>
              <w:rPr>
                <w:sz w:val="18"/>
                <w:szCs w:val="18"/>
              </w:rPr>
            </w:pPr>
            <w:r>
              <w:rPr>
                <w:sz w:val="18"/>
              </w:rPr>
              <w:t>En lo que se refiere al párrafo 6 y las propuestas recogidas en los recuadros anteriores, la AIPH hizo el siguiente comentario:</w:t>
            </w:r>
          </w:p>
          <w:p w14:paraId="13B26EE2" w14:textId="77777777" w:rsidR="004B0354" w:rsidRDefault="004B0354" w:rsidP="00160D79">
            <w:pPr>
              <w:rPr>
                <w:sz w:val="18"/>
                <w:szCs w:val="18"/>
              </w:rPr>
            </w:pPr>
          </w:p>
          <w:p w14:paraId="3F548CBF" w14:textId="77777777" w:rsidR="004B0354" w:rsidRPr="00426126" w:rsidRDefault="004B0354" w:rsidP="00160D79">
            <w:pPr>
              <w:rPr>
                <w:sz w:val="18"/>
                <w:szCs w:val="18"/>
              </w:rPr>
            </w:pPr>
            <w:r>
              <w:rPr>
                <w:sz w:val="18"/>
              </w:rPr>
              <w:t>“para facilitar los debates: los textos de los dos recuadros anteriores tienen el mismo objetivo.”</w:t>
            </w:r>
          </w:p>
          <w:p w14:paraId="29A86184" w14:textId="77777777" w:rsidR="004B0354" w:rsidRPr="00DE4092" w:rsidRDefault="004B0354" w:rsidP="004B0354">
            <w:pPr>
              <w:rPr>
                <w:sz w:val="8"/>
              </w:rPr>
            </w:pPr>
          </w:p>
        </w:tc>
      </w:tr>
    </w:tbl>
    <w:p w14:paraId="2F4D1F7C" w14:textId="2330C6EC" w:rsidR="00121F03" w:rsidRDefault="00121F03" w:rsidP="00121F03">
      <w:pPr>
        <w:jc w:val="left"/>
        <w:rPr>
          <w:sz w:val="18"/>
        </w:rPr>
      </w:pPr>
    </w:p>
    <w:p w14:paraId="214C15FE" w14:textId="77777777" w:rsidR="005C284F" w:rsidRDefault="005C284F" w:rsidP="00121F03">
      <w:pPr>
        <w:jc w:val="left"/>
        <w:rPr>
          <w:sz w:val="18"/>
        </w:rPr>
      </w:pPr>
    </w:p>
    <w:p w14:paraId="50563190" w14:textId="77777777" w:rsidR="00121F03" w:rsidRPr="0019030C" w:rsidRDefault="00121F03" w:rsidP="00121F03">
      <w:pPr>
        <w:pStyle w:val="Heading3"/>
        <w:keepLines/>
        <w:rPr>
          <w:szCs w:val="24"/>
        </w:rPr>
      </w:pPr>
      <w:bookmarkStart w:id="17" w:name="_Toc112166083"/>
      <w:r>
        <w:t>Condiciones y limitaciones</w:t>
      </w:r>
      <w:bookmarkEnd w:id="17"/>
    </w:p>
    <w:p w14:paraId="15B8505C" w14:textId="77777777" w:rsidR="00121F03" w:rsidRPr="0019030C" w:rsidRDefault="00121F03" w:rsidP="00121F03">
      <w:pPr>
        <w:keepNext/>
        <w:keepLines/>
        <w:rPr>
          <w:szCs w:val="24"/>
        </w:rPr>
      </w:pPr>
    </w:p>
    <w:p w14:paraId="5AEF943D" w14:textId="41BD532B" w:rsidR="00121F03" w:rsidRPr="00E23974" w:rsidRDefault="00121F03" w:rsidP="00121F03">
      <w:pPr>
        <w:keepNext/>
        <w:keepLines/>
        <w:rPr>
          <w:i/>
          <w:szCs w:val="24"/>
        </w:rPr>
      </w:pPr>
      <w:r w:rsidRPr="0019030C">
        <w:fldChar w:fldCharType="begin"/>
      </w:r>
      <w:r w:rsidRPr="0019030C">
        <w:instrText xml:space="preserve"> AUTONUM  </w:instrText>
      </w:r>
      <w:r w:rsidRPr="0019030C">
        <w:fldChar w:fldCharType="end"/>
      </w:r>
      <w:r>
        <w:tab/>
        <w:t>Por otra parte, el Artículo 14.1)</w:t>
      </w:r>
      <w:r w:rsidRPr="001E24BE">
        <w:rPr>
          <w:i/>
          <w:iCs/>
        </w:rPr>
        <w:t>b)</w:t>
      </w:r>
      <w:r>
        <w:t xml:space="preserve"> del Acta de 1991 del Convenio de la UPOV establece que “[e]l obtentor podrá subordinar su autorización a condiciones y a limitaciones”. Así pues, a reserva de lo dispuesto en los Artículos 15 y 16, “utilización no autorizada” se refiere también a los actos enumerados en el Artículo 14.1)</w:t>
      </w:r>
      <w:r w:rsidRPr="001E24BE">
        <w:rPr>
          <w:i/>
          <w:iCs/>
        </w:rPr>
        <w:t>a)</w:t>
      </w:r>
      <w:r>
        <w:t> i) a vii) que no se realizan de conformidad con las condiciones y limitaciones establecidas por el obtentor.</w:t>
      </w:r>
      <w:r w:rsidR="008A35F6">
        <w:t xml:space="preserve"> </w:t>
      </w:r>
    </w:p>
    <w:p w14:paraId="3416D88E" w14:textId="77777777" w:rsidR="00121F03" w:rsidRPr="00E23974" w:rsidRDefault="00121F03" w:rsidP="00121F03">
      <w:pPr>
        <w:keepNext/>
        <w:keepLines/>
        <w:rPr>
          <w:i/>
        </w:rPr>
      </w:pPr>
    </w:p>
    <w:tbl>
      <w:tblPr>
        <w:tblStyle w:val="TableGrid"/>
        <w:tblW w:w="0" w:type="auto"/>
        <w:tblLook w:val="04A0" w:firstRow="1" w:lastRow="0" w:firstColumn="1" w:lastColumn="0" w:noHBand="0" w:noVBand="1"/>
      </w:tblPr>
      <w:tblGrid>
        <w:gridCol w:w="9629"/>
      </w:tblGrid>
      <w:tr w:rsidR="00121F03" w:rsidRPr="00E23974" w14:paraId="12B254C1" w14:textId="77777777" w:rsidTr="00B348FD">
        <w:tc>
          <w:tcPr>
            <w:tcW w:w="9629" w:type="dxa"/>
            <w:shd w:val="clear" w:color="auto" w:fill="F2F2F2" w:themeFill="background1" w:themeFillShade="F2"/>
          </w:tcPr>
          <w:p w14:paraId="6B7E84BE" w14:textId="77777777" w:rsidR="00121F03" w:rsidRPr="00E23974" w:rsidRDefault="00121F03" w:rsidP="00B348FD">
            <w:pPr>
              <w:keepNext/>
              <w:keepLines/>
              <w:rPr>
                <w:i/>
                <w:sz w:val="10"/>
                <w:szCs w:val="10"/>
              </w:rPr>
            </w:pPr>
          </w:p>
          <w:p w14:paraId="6FB75FF6" w14:textId="77777777" w:rsidR="00121F03" w:rsidRPr="00E23974" w:rsidRDefault="00121F03" w:rsidP="00B348FD">
            <w:pPr>
              <w:keepNext/>
              <w:keepLines/>
              <w:rPr>
                <w:i/>
                <w:sz w:val="18"/>
                <w:szCs w:val="18"/>
              </w:rPr>
            </w:pPr>
            <w:r>
              <w:rPr>
                <w:i/>
                <w:sz w:val="18"/>
                <w:u w:val="single"/>
              </w:rPr>
              <w:t>Propuestas del Japón</w:t>
            </w:r>
            <w:r w:rsidRPr="00E23974">
              <w:rPr>
                <w:rStyle w:val="EndnoteReference"/>
                <w:b/>
                <w:i/>
                <w:sz w:val="18"/>
                <w:szCs w:val="18"/>
              </w:rPr>
              <w:endnoteReference w:id="14"/>
            </w:r>
          </w:p>
          <w:p w14:paraId="68E952C8" w14:textId="77777777" w:rsidR="00121F03" w:rsidRPr="00E23974" w:rsidRDefault="00121F03" w:rsidP="00B348FD">
            <w:pPr>
              <w:keepNext/>
              <w:keepLines/>
              <w:rPr>
                <w:i/>
                <w:sz w:val="18"/>
                <w:szCs w:val="18"/>
              </w:rPr>
            </w:pPr>
          </w:p>
          <w:p w14:paraId="5A19AA95" w14:textId="1CA08807" w:rsidR="00121F03" w:rsidRPr="00E23974" w:rsidRDefault="00121F03" w:rsidP="00B348FD">
            <w:pPr>
              <w:keepNext/>
              <w:rPr>
                <w:i/>
                <w:sz w:val="18"/>
                <w:szCs w:val="18"/>
              </w:rPr>
            </w:pPr>
            <w:r>
              <w:rPr>
                <w:i/>
                <w:sz w:val="18"/>
              </w:rPr>
              <w:t>El párrafo 7 debe modificarse de la siguiente manera:</w:t>
            </w:r>
            <w:r w:rsidR="008A35F6">
              <w:rPr>
                <w:i/>
                <w:sz w:val="18"/>
              </w:rPr>
              <w:t xml:space="preserve"> </w:t>
            </w:r>
            <w:r>
              <w:rPr>
                <w:i/>
                <w:sz w:val="18"/>
              </w:rPr>
              <w:t>“Por otra parte, el Artículo 14.1)</w:t>
            </w:r>
            <w:r w:rsidRPr="001E24BE">
              <w:rPr>
                <w:iCs/>
                <w:sz w:val="18"/>
              </w:rPr>
              <w:t>b)</w:t>
            </w:r>
            <w:r>
              <w:rPr>
                <w:i/>
                <w:sz w:val="18"/>
              </w:rPr>
              <w:t xml:space="preserve"> del Acta de 1991 del Convenio de la UPOV establece que ‘[e]l obtentor podrá subordinar su autorización a condiciones y a limitaciones’. Así pues, a reserva de lo dispuesto en los Artículos 15 y 16, ’utilización no autorizada’ se refiere también a los actos enumerados en el Artículo 14.1)</w:t>
            </w:r>
            <w:r w:rsidRPr="001E24BE">
              <w:rPr>
                <w:iCs/>
                <w:sz w:val="18"/>
              </w:rPr>
              <w:t>a)</w:t>
            </w:r>
            <w:r>
              <w:rPr>
                <w:i/>
                <w:sz w:val="18"/>
              </w:rPr>
              <w:t xml:space="preserve"> i) a vii) </w:t>
            </w:r>
            <w:r>
              <w:rPr>
                <w:i/>
                <w:sz w:val="18"/>
                <w:highlight w:val="lightGray"/>
                <w:u w:val="single"/>
              </w:rPr>
              <w:t>y los actos pertinentes</w:t>
            </w:r>
            <w:r>
              <w:rPr>
                <w:i/>
                <w:sz w:val="18"/>
              </w:rPr>
              <w:t xml:space="preserve"> que no se realizan de conformidad con las condiciones y limitaciones establecidas por el obtentor.</w:t>
            </w:r>
          </w:p>
          <w:p w14:paraId="25B1ED7F" w14:textId="77777777" w:rsidR="00121F03" w:rsidRPr="00E23974" w:rsidRDefault="00121F03" w:rsidP="00B348FD">
            <w:pPr>
              <w:keepNext/>
              <w:rPr>
                <w:i/>
                <w:sz w:val="18"/>
                <w:szCs w:val="18"/>
              </w:rPr>
            </w:pPr>
          </w:p>
          <w:p w14:paraId="35F0F309" w14:textId="77777777" w:rsidR="00121F03" w:rsidRPr="00E23974" w:rsidRDefault="00121F03" w:rsidP="00B348FD">
            <w:pPr>
              <w:keepNext/>
              <w:rPr>
                <w:i/>
                <w:sz w:val="18"/>
                <w:szCs w:val="18"/>
              </w:rPr>
            </w:pPr>
            <w:r>
              <w:rPr>
                <w:i/>
                <w:sz w:val="18"/>
                <w:highlight w:val="lightGray"/>
                <w:u w:val="single"/>
              </w:rPr>
              <w:t>Por ejemplo, si el obtentor establece condiciones y limitaciones para obtener producto de la cosecha al conceder autorización respecto del material de reproducción o de multiplicación, la obtención de producto de la cosecha constituiría una utilización no autorizada.</w:t>
            </w:r>
            <w:r>
              <w:rPr>
                <w:i/>
                <w:sz w:val="18"/>
              </w:rPr>
              <w:t>”</w:t>
            </w:r>
          </w:p>
          <w:p w14:paraId="77A86833" w14:textId="77777777" w:rsidR="00121F03" w:rsidRPr="00E23974" w:rsidRDefault="00121F03" w:rsidP="00B348FD">
            <w:pPr>
              <w:keepNext/>
              <w:keepLines/>
              <w:rPr>
                <w:i/>
                <w:sz w:val="8"/>
              </w:rPr>
            </w:pPr>
            <w:r>
              <w:rPr>
                <w:i/>
                <w:sz w:val="18"/>
              </w:rPr>
              <w:t xml:space="preserve"> </w:t>
            </w:r>
          </w:p>
        </w:tc>
      </w:tr>
    </w:tbl>
    <w:p w14:paraId="29A7B9EC" w14:textId="77777777" w:rsidR="00B17A30" w:rsidRDefault="00B17A30" w:rsidP="00B17A30">
      <w:pPr>
        <w:pStyle w:val="Header"/>
        <w:rPr>
          <w:rStyle w:val="PageNumber"/>
        </w:rPr>
      </w:pPr>
    </w:p>
    <w:p w14:paraId="2DE8F0B2" w14:textId="77777777" w:rsidR="00B17A30" w:rsidRDefault="00B17A30" w:rsidP="00B17A30">
      <w:pPr>
        <w:pStyle w:val="Header"/>
        <w:rPr>
          <w:rStyle w:val="PageNumber"/>
        </w:rPr>
      </w:pPr>
    </w:p>
    <w:p w14:paraId="68A2C4FE" w14:textId="77777777" w:rsidR="00B17A30" w:rsidRDefault="00B17A30" w:rsidP="00B17A30">
      <w:pPr>
        <w:pStyle w:val="Header"/>
        <w:rPr>
          <w:rStyle w:val="PageNumber"/>
        </w:rPr>
      </w:pPr>
    </w:p>
    <w:p w14:paraId="61AEDE3A" w14:textId="5C66A3B2" w:rsidR="00B17A30" w:rsidRPr="00C5280D" w:rsidRDefault="00B17A30" w:rsidP="00B17A30">
      <w:pPr>
        <w:pStyle w:val="Header"/>
        <w:rPr>
          <w:rStyle w:val="PageNumber"/>
        </w:rPr>
      </w:pPr>
      <w:r>
        <w:rPr>
          <w:rStyle w:val="PageNumber"/>
        </w:rPr>
        <w:lastRenderedPageBreak/>
        <w:t>WG-HRV/2/4</w:t>
      </w:r>
    </w:p>
    <w:p w14:paraId="0C904358" w14:textId="1F43F13A" w:rsidR="00B17A30" w:rsidRDefault="00B17A30" w:rsidP="00B17A30">
      <w:pPr>
        <w:jc w:val="center"/>
      </w:pPr>
      <w:r>
        <w:t>Anexo, página 8</w:t>
      </w:r>
    </w:p>
    <w:p w14:paraId="5E6A3D10" w14:textId="77777777" w:rsidR="00F30CA6" w:rsidRDefault="00F30CA6" w:rsidP="00121F03"/>
    <w:tbl>
      <w:tblPr>
        <w:tblStyle w:val="TableGrid"/>
        <w:tblW w:w="0" w:type="auto"/>
        <w:tblLook w:val="04A0" w:firstRow="1" w:lastRow="0" w:firstColumn="1" w:lastColumn="0" w:noHBand="0" w:noVBand="1"/>
      </w:tblPr>
      <w:tblGrid>
        <w:gridCol w:w="9629"/>
      </w:tblGrid>
      <w:tr w:rsidR="00D54FFB" w:rsidRPr="00385EFC" w14:paraId="48D4AD6A" w14:textId="77777777" w:rsidTr="00D54FFB">
        <w:tc>
          <w:tcPr>
            <w:tcW w:w="9629" w:type="dxa"/>
            <w:tcBorders>
              <w:bottom w:val="single" w:sz="4" w:space="0" w:color="auto"/>
            </w:tcBorders>
            <w:shd w:val="clear" w:color="auto" w:fill="F2F2F2" w:themeFill="background1" w:themeFillShade="F2"/>
          </w:tcPr>
          <w:p w14:paraId="2CB57D8F" w14:textId="77777777" w:rsidR="00D54FFB" w:rsidRPr="003B1AC3" w:rsidRDefault="00D54FFB" w:rsidP="00160D79">
            <w:pPr>
              <w:keepNext/>
              <w:keepLines/>
              <w:rPr>
                <w:sz w:val="10"/>
                <w:szCs w:val="10"/>
              </w:rPr>
            </w:pPr>
          </w:p>
          <w:p w14:paraId="499E9C42" w14:textId="77777777" w:rsidR="00D54FFB" w:rsidRPr="00F802A0" w:rsidRDefault="00D54FFB" w:rsidP="00160D79">
            <w:pPr>
              <w:keepNext/>
              <w:keepLines/>
              <w:rPr>
                <w:sz w:val="18"/>
                <w:szCs w:val="18"/>
              </w:rPr>
            </w:pPr>
            <w:r>
              <w:rPr>
                <w:sz w:val="18"/>
                <w:u w:val="single"/>
              </w:rPr>
              <w:t>Propuestas de la AIPH</w:t>
            </w:r>
            <w:r w:rsidRPr="00F802A0">
              <w:rPr>
                <w:rStyle w:val="EndnoteReference"/>
                <w:b/>
                <w:sz w:val="18"/>
                <w:szCs w:val="18"/>
              </w:rPr>
              <w:endnoteReference w:id="15"/>
            </w:r>
          </w:p>
          <w:p w14:paraId="64DD6A7D" w14:textId="77777777" w:rsidR="00D54FFB" w:rsidRDefault="00D54FFB" w:rsidP="00160D79">
            <w:pPr>
              <w:keepNext/>
              <w:keepLines/>
              <w:rPr>
                <w:sz w:val="18"/>
                <w:szCs w:val="18"/>
              </w:rPr>
            </w:pPr>
          </w:p>
          <w:p w14:paraId="1D4B2770" w14:textId="77777777" w:rsidR="00D54FFB" w:rsidRDefault="00D54FFB" w:rsidP="00D54FFB">
            <w:pPr>
              <w:keepNext/>
              <w:keepLines/>
              <w:rPr>
                <w:sz w:val="18"/>
                <w:szCs w:val="18"/>
              </w:rPr>
            </w:pPr>
            <w:r>
              <w:rPr>
                <w:sz w:val="18"/>
              </w:rPr>
              <w:t>En relación con el párrafo 7, la AIPH hizo el siguiente comentario general:</w:t>
            </w:r>
          </w:p>
          <w:p w14:paraId="6734A7FC" w14:textId="77777777" w:rsidR="00D54FFB" w:rsidRDefault="00D54FFB" w:rsidP="00D54FFB">
            <w:pPr>
              <w:keepNext/>
              <w:keepLines/>
              <w:rPr>
                <w:sz w:val="18"/>
                <w:szCs w:val="18"/>
              </w:rPr>
            </w:pPr>
          </w:p>
          <w:p w14:paraId="6A1D6681" w14:textId="77777777" w:rsidR="00D54FFB" w:rsidRPr="00D54FFB" w:rsidRDefault="00D54FFB" w:rsidP="00D54FFB">
            <w:pPr>
              <w:keepNext/>
              <w:keepLines/>
              <w:rPr>
                <w:sz w:val="18"/>
                <w:szCs w:val="18"/>
              </w:rPr>
            </w:pPr>
            <w:r>
              <w:rPr>
                <w:sz w:val="18"/>
              </w:rPr>
              <w:t>“para facilitar los debates:</w:t>
            </w:r>
          </w:p>
          <w:p w14:paraId="04F25BA7" w14:textId="77777777" w:rsidR="00D54FFB" w:rsidRDefault="00D54FFB" w:rsidP="00D54FFB">
            <w:pPr>
              <w:keepNext/>
              <w:keepLines/>
              <w:rPr>
                <w:sz w:val="18"/>
                <w:szCs w:val="18"/>
              </w:rPr>
            </w:pPr>
            <w:r>
              <w:rPr>
                <w:sz w:val="18"/>
              </w:rPr>
              <w:t>¿Qué quiere decir exactamente el Japón con “los actos pertinentes”? ¿Se refiere al apartado </w:t>
            </w:r>
            <w:r>
              <w:rPr>
                <w:i/>
                <w:iCs/>
                <w:sz w:val="18"/>
              </w:rPr>
              <w:t>b)</w:t>
            </w:r>
            <w:r>
              <w:rPr>
                <w:sz w:val="18"/>
              </w:rPr>
              <w:t xml:space="preserve"> del Artículo 14.1) del Convenio de la UPOV (El obtentor podrá subordinar su autorización a condiciones y a limitaciones)? Si es así, se puede aclarar con una referencia explícita al apartado </w:t>
            </w:r>
            <w:r>
              <w:rPr>
                <w:i/>
                <w:iCs/>
                <w:sz w:val="18"/>
              </w:rPr>
              <w:t>b)</w:t>
            </w:r>
            <w:r>
              <w:rPr>
                <w:sz w:val="18"/>
              </w:rPr>
              <w:t xml:space="preserve"> del Artículo 14.</w:t>
            </w:r>
          </w:p>
          <w:p w14:paraId="60B2C1A6" w14:textId="77777777" w:rsidR="00D54FFB" w:rsidRPr="00D54FFB" w:rsidRDefault="00D54FFB" w:rsidP="00D54FFB">
            <w:pPr>
              <w:keepNext/>
              <w:keepLines/>
              <w:rPr>
                <w:sz w:val="18"/>
                <w:szCs w:val="18"/>
              </w:rPr>
            </w:pPr>
          </w:p>
          <w:p w14:paraId="44BBEF0C" w14:textId="77777777" w:rsidR="00D54FFB" w:rsidRPr="00D54FFB" w:rsidRDefault="00D54FFB" w:rsidP="00D54FFB">
            <w:pPr>
              <w:keepNext/>
              <w:keepLines/>
              <w:rPr>
                <w:sz w:val="18"/>
                <w:szCs w:val="18"/>
              </w:rPr>
            </w:pPr>
            <w:r>
              <w:rPr>
                <w:sz w:val="18"/>
              </w:rPr>
              <w:t xml:space="preserve">Ejemplos: </w:t>
            </w:r>
          </w:p>
          <w:p w14:paraId="78CE6EDB" w14:textId="77777777" w:rsidR="00D54FFB" w:rsidRPr="00D54FFB" w:rsidRDefault="00D54FFB" w:rsidP="00D54FFB">
            <w:pPr>
              <w:keepNext/>
              <w:keepLines/>
              <w:rPr>
                <w:sz w:val="18"/>
                <w:szCs w:val="18"/>
              </w:rPr>
            </w:pPr>
            <w:r>
              <w:rPr>
                <w:sz w:val="18"/>
              </w:rPr>
              <w:t>- incumplimiento de un contrato (de licencia) en un país sin sistema de protección de obtenciones vegetales</w:t>
            </w:r>
          </w:p>
          <w:p w14:paraId="227FBD0C" w14:textId="07001DD9" w:rsidR="00D54FFB" w:rsidRPr="00D54FFB" w:rsidRDefault="00D54FFB" w:rsidP="00D54FFB">
            <w:pPr>
              <w:keepNext/>
              <w:keepLines/>
              <w:rPr>
                <w:sz w:val="18"/>
                <w:szCs w:val="18"/>
              </w:rPr>
            </w:pPr>
            <w:r>
              <w:rPr>
                <w:sz w:val="18"/>
              </w:rPr>
              <w:t>- infracción de derechos de obtentor</w:t>
            </w:r>
            <w:r w:rsidR="001E24BE">
              <w:rPr>
                <w:sz w:val="18"/>
              </w:rPr>
              <w:t>(a)</w:t>
            </w:r>
            <w:r>
              <w:rPr>
                <w:sz w:val="18"/>
              </w:rPr>
              <w:t xml:space="preserve"> en la situación en que no exista ningún contrato (de licencia). </w:t>
            </w:r>
          </w:p>
          <w:p w14:paraId="19844802" w14:textId="77777777" w:rsidR="00D54FFB" w:rsidRPr="00D54FFB" w:rsidRDefault="00D54FFB" w:rsidP="00160D79">
            <w:pPr>
              <w:keepNext/>
              <w:keepLines/>
              <w:rPr>
                <w:sz w:val="18"/>
                <w:szCs w:val="18"/>
              </w:rPr>
            </w:pPr>
            <w:r>
              <w:rPr>
                <w:sz w:val="18"/>
              </w:rPr>
              <w:t>Estos casos también son ‘no autorizados’.”</w:t>
            </w:r>
          </w:p>
          <w:p w14:paraId="02CB359E" w14:textId="77777777" w:rsidR="00D54FFB" w:rsidRPr="00385EFC" w:rsidRDefault="00D54FFB" w:rsidP="00160D79">
            <w:pPr>
              <w:keepNext/>
              <w:keepLines/>
              <w:rPr>
                <w:sz w:val="8"/>
              </w:rPr>
            </w:pPr>
          </w:p>
        </w:tc>
      </w:tr>
      <w:tr w:rsidR="00D54FFB" w:rsidRPr="00385EFC" w14:paraId="7CC5CFE9" w14:textId="77777777" w:rsidTr="00D54FFB">
        <w:tc>
          <w:tcPr>
            <w:tcW w:w="9629" w:type="dxa"/>
            <w:tcBorders>
              <w:top w:val="single" w:sz="4" w:space="0" w:color="auto"/>
              <w:left w:val="nil"/>
              <w:bottom w:val="single" w:sz="4" w:space="0" w:color="auto"/>
              <w:right w:val="nil"/>
            </w:tcBorders>
          </w:tcPr>
          <w:p w14:paraId="220D8C23" w14:textId="77777777" w:rsidR="00E23974" w:rsidRPr="00D54FFB" w:rsidRDefault="00E23974" w:rsidP="00160D79">
            <w:pPr>
              <w:keepNext/>
              <w:keepLines/>
              <w:rPr>
                <w:szCs w:val="10"/>
              </w:rPr>
            </w:pPr>
          </w:p>
        </w:tc>
      </w:tr>
      <w:tr w:rsidR="00121F03" w:rsidRPr="00FD7B58" w14:paraId="15E12EC0" w14:textId="77777777" w:rsidTr="00D54FFB">
        <w:tc>
          <w:tcPr>
            <w:tcW w:w="9629" w:type="dxa"/>
            <w:tcBorders>
              <w:top w:val="single" w:sz="4" w:space="0" w:color="auto"/>
            </w:tcBorders>
            <w:shd w:val="clear" w:color="auto" w:fill="F2F2F2" w:themeFill="background1" w:themeFillShade="F2"/>
          </w:tcPr>
          <w:p w14:paraId="4BC61C7F" w14:textId="77777777" w:rsidR="00121F03" w:rsidRPr="003B1AC3" w:rsidRDefault="00121F03" w:rsidP="00B348FD">
            <w:pPr>
              <w:keepNext/>
              <w:rPr>
                <w:sz w:val="10"/>
                <w:szCs w:val="10"/>
              </w:rPr>
            </w:pPr>
          </w:p>
          <w:p w14:paraId="0A4021E9" w14:textId="77777777" w:rsidR="00121F03" w:rsidRPr="00E23974" w:rsidRDefault="00121F03" w:rsidP="00B348FD">
            <w:pPr>
              <w:keepNext/>
              <w:rPr>
                <w:i/>
                <w:sz w:val="18"/>
                <w:szCs w:val="18"/>
              </w:rPr>
            </w:pPr>
            <w:r>
              <w:rPr>
                <w:i/>
                <w:sz w:val="18"/>
                <w:u w:val="single"/>
              </w:rPr>
              <w:t xml:space="preserve">Propuestas de la ISF, la CIOPORA, </w:t>
            </w:r>
            <w:r w:rsidRPr="003A453E">
              <w:rPr>
                <w:iCs/>
                <w:sz w:val="18"/>
                <w:u w:val="single"/>
              </w:rPr>
              <w:t>CropLife International, Euroseeds</w:t>
            </w:r>
            <w:r>
              <w:rPr>
                <w:i/>
                <w:sz w:val="18"/>
                <w:u w:val="single"/>
              </w:rPr>
              <w:t>, la APSA, la AFSTA y la SAA</w:t>
            </w:r>
            <w:r w:rsidRPr="00E23974">
              <w:rPr>
                <w:rStyle w:val="EndnoteReference"/>
                <w:b/>
                <w:i/>
                <w:sz w:val="18"/>
                <w:szCs w:val="18"/>
              </w:rPr>
              <w:endnoteReference w:id="16"/>
            </w:r>
          </w:p>
          <w:p w14:paraId="59619F17" w14:textId="77777777" w:rsidR="00121F03" w:rsidRPr="00E23974" w:rsidRDefault="00121F03" w:rsidP="00B348FD">
            <w:pPr>
              <w:keepNext/>
              <w:rPr>
                <w:i/>
                <w:sz w:val="18"/>
                <w:szCs w:val="18"/>
              </w:rPr>
            </w:pPr>
          </w:p>
          <w:p w14:paraId="11211F15" w14:textId="72C239AC" w:rsidR="00121F03" w:rsidRPr="00E23974" w:rsidRDefault="00121F03" w:rsidP="00B348FD">
            <w:pPr>
              <w:keepNext/>
              <w:rPr>
                <w:i/>
                <w:sz w:val="18"/>
                <w:szCs w:val="18"/>
              </w:rPr>
            </w:pPr>
            <w:r>
              <w:rPr>
                <w:i/>
                <w:sz w:val="18"/>
              </w:rPr>
              <w:t>El párrafo 7 debe modificarse de la siguiente manera:</w:t>
            </w:r>
            <w:r w:rsidR="008A35F6">
              <w:rPr>
                <w:i/>
                <w:sz w:val="18"/>
              </w:rPr>
              <w:t xml:space="preserve"> </w:t>
            </w:r>
            <w:r>
              <w:rPr>
                <w:i/>
                <w:sz w:val="18"/>
              </w:rPr>
              <w:t>“Por otra parte, el Artículo 14.1)</w:t>
            </w:r>
            <w:r w:rsidRPr="001E24BE">
              <w:rPr>
                <w:iCs/>
                <w:sz w:val="18"/>
              </w:rPr>
              <w:t>b)</w:t>
            </w:r>
            <w:r>
              <w:rPr>
                <w:i/>
                <w:sz w:val="18"/>
              </w:rPr>
              <w:t xml:space="preserve"> del Acta de 1991 del Convenio de la UPOV establece que ‘[e]l obtentor podrá subordinar su autorización a condiciones y a limitaciones’. Así pues, a reserva de lo dispuesto en los Artículos 15 y 16, ’utilización no autorizada’ se refiere también a los actos enumerados en el Artículo 14.1)</w:t>
            </w:r>
            <w:r w:rsidRPr="001E24BE">
              <w:rPr>
                <w:iCs/>
                <w:sz w:val="18"/>
              </w:rPr>
              <w:t>a)</w:t>
            </w:r>
            <w:r>
              <w:rPr>
                <w:i/>
                <w:sz w:val="18"/>
              </w:rPr>
              <w:t xml:space="preserve"> i) a vii) </w:t>
            </w:r>
            <w:r>
              <w:rPr>
                <w:i/>
                <w:sz w:val="18"/>
                <w:highlight w:val="lightGray"/>
                <w:u w:val="single"/>
              </w:rPr>
              <w:t>y los actos pertinentes</w:t>
            </w:r>
            <w:r>
              <w:rPr>
                <w:i/>
                <w:sz w:val="18"/>
              </w:rPr>
              <w:t xml:space="preserve"> que no se realizan de conformidad con las condiciones y limitaciones establecidas por el obtentor.</w:t>
            </w:r>
          </w:p>
          <w:p w14:paraId="3EB2276B" w14:textId="77777777" w:rsidR="00121F03" w:rsidRPr="00E23974" w:rsidRDefault="00121F03" w:rsidP="00B348FD">
            <w:pPr>
              <w:keepNext/>
              <w:rPr>
                <w:i/>
                <w:sz w:val="18"/>
                <w:szCs w:val="18"/>
              </w:rPr>
            </w:pPr>
          </w:p>
          <w:p w14:paraId="539F15F4" w14:textId="104F8296" w:rsidR="00121F03" w:rsidRPr="00F802A0" w:rsidRDefault="00121F03" w:rsidP="00B348FD">
            <w:pPr>
              <w:keepNext/>
              <w:rPr>
                <w:sz w:val="18"/>
                <w:szCs w:val="18"/>
              </w:rPr>
            </w:pPr>
            <w:r>
              <w:rPr>
                <w:i/>
                <w:iCs/>
                <w:sz w:val="18"/>
                <w:highlight w:val="lightGray"/>
                <w:u w:val="single"/>
              </w:rPr>
              <w:t>Por ejemplo, si el</w:t>
            </w:r>
            <w:r w:rsidR="001E24BE">
              <w:rPr>
                <w:i/>
                <w:iCs/>
                <w:sz w:val="18"/>
                <w:highlight w:val="lightGray"/>
                <w:u w:val="single"/>
              </w:rPr>
              <w:t xml:space="preserve"> (la)</w:t>
            </w:r>
            <w:r>
              <w:rPr>
                <w:i/>
                <w:iCs/>
                <w:sz w:val="18"/>
                <w:highlight w:val="lightGray"/>
                <w:u w:val="single"/>
              </w:rPr>
              <w:t xml:space="preserve"> obtentor</w:t>
            </w:r>
            <w:r w:rsidR="001E24BE">
              <w:rPr>
                <w:i/>
                <w:iCs/>
                <w:sz w:val="18"/>
                <w:highlight w:val="lightGray"/>
                <w:u w:val="single"/>
              </w:rPr>
              <w:t>(a)</w:t>
            </w:r>
            <w:r>
              <w:rPr>
                <w:i/>
                <w:iCs/>
                <w:sz w:val="18"/>
                <w:highlight w:val="lightGray"/>
                <w:u w:val="single"/>
              </w:rPr>
              <w:t xml:space="preserve"> establece condiciones y limitaciones para obtener producto de la cosecha al conceder autorización respecto del material de reproducción o de multiplicación, la obtención de producto de la cosecha que no cumpla esas condiciones y limitaciones deberá considerarse una utilización no autorizada</w:t>
            </w:r>
            <w:r>
              <w:rPr>
                <w:sz w:val="18"/>
                <w:highlight w:val="lightGray"/>
                <w:u w:val="single"/>
              </w:rPr>
              <w:t>.</w:t>
            </w:r>
            <w:r>
              <w:rPr>
                <w:sz w:val="18"/>
              </w:rPr>
              <w:t>”</w:t>
            </w:r>
          </w:p>
          <w:p w14:paraId="191A0291" w14:textId="77777777" w:rsidR="00121F03" w:rsidRPr="00385EFC" w:rsidRDefault="00121F03" w:rsidP="00B348FD">
            <w:pPr>
              <w:keepNext/>
              <w:jc w:val="left"/>
              <w:rPr>
                <w:sz w:val="8"/>
              </w:rPr>
            </w:pPr>
          </w:p>
        </w:tc>
      </w:tr>
    </w:tbl>
    <w:p w14:paraId="7ACB2675" w14:textId="77777777" w:rsidR="00121F03" w:rsidRPr="00175D54" w:rsidRDefault="00121F03" w:rsidP="00121F03">
      <w:pPr>
        <w:rPr>
          <w:sz w:val="18"/>
          <w:szCs w:val="24"/>
        </w:rPr>
      </w:pPr>
    </w:p>
    <w:p w14:paraId="5E8F44DF" w14:textId="77777777" w:rsidR="00121F03" w:rsidRPr="0019030C" w:rsidRDefault="00121F03" w:rsidP="00121F03">
      <w:pPr>
        <w:rPr>
          <w:szCs w:val="24"/>
        </w:rPr>
      </w:pPr>
    </w:p>
    <w:p w14:paraId="39520E48" w14:textId="1A896737" w:rsidR="00121F03" w:rsidRDefault="00121F03" w:rsidP="00121F03">
      <w:pPr>
        <w:rPr>
          <w:szCs w:val="24"/>
        </w:rPr>
      </w:pPr>
      <w:r w:rsidRPr="0019030C">
        <w:fldChar w:fldCharType="begin"/>
      </w:r>
      <w:r w:rsidRPr="0019030C">
        <w:instrText xml:space="preserve"> AUTONUM  </w:instrText>
      </w:r>
      <w:r w:rsidRPr="0019030C">
        <w:fldChar w:fldCharType="end"/>
      </w:r>
      <w:r>
        <w:tab/>
        <w:t xml:space="preserve">En el documento UPOV/EXN/CAL, “Notas explicativas sobre las condiciones y limitaciones relativas a la autorización del obtentor respecto del material de reproducción o de multiplicación con arreglo al Convenio de la UPOV”, se ofrece orientación sobre las condiciones y limitaciones a las que el </w:t>
      </w:r>
      <w:r w:rsidR="001E24BE">
        <w:t xml:space="preserve">(la) </w:t>
      </w:r>
      <w:r>
        <w:t>obtentor</w:t>
      </w:r>
      <w:r w:rsidR="001E24BE">
        <w:t>(a)</w:t>
      </w:r>
      <w:r>
        <w:t xml:space="preserve"> puede supeditar su autorización en relación con los actos respecto del material de reproducción o de multiplicación con arreglo al Convenio de la UPOV.</w:t>
      </w:r>
    </w:p>
    <w:p w14:paraId="3E030C7E" w14:textId="77777777" w:rsidR="00F30CA6" w:rsidRDefault="00F30CA6" w:rsidP="00121F03">
      <w:pPr>
        <w:pStyle w:val="Heading3"/>
      </w:pPr>
      <w:bookmarkStart w:id="18" w:name="_Toc331410082"/>
    </w:p>
    <w:p w14:paraId="16032601" w14:textId="77777777" w:rsidR="00F30CA6" w:rsidRDefault="00F30CA6" w:rsidP="00121F03">
      <w:pPr>
        <w:pStyle w:val="Heading3"/>
      </w:pPr>
    </w:p>
    <w:p w14:paraId="11D5A658" w14:textId="77777777" w:rsidR="00121F03" w:rsidRPr="0019030C" w:rsidRDefault="00121F03" w:rsidP="00121F03">
      <w:pPr>
        <w:pStyle w:val="Heading3"/>
      </w:pPr>
      <w:bookmarkStart w:id="19" w:name="_Toc112166084"/>
      <w:r>
        <w:t>Excepciones obligatorias al derecho de obtentor</w:t>
      </w:r>
      <w:bookmarkEnd w:id="18"/>
      <w:bookmarkEnd w:id="19"/>
    </w:p>
    <w:p w14:paraId="4C5B375D" w14:textId="77777777" w:rsidR="00121F03" w:rsidRPr="0019030C" w:rsidRDefault="00121F03" w:rsidP="00121F03">
      <w:pPr>
        <w:keepNext/>
        <w:rPr>
          <w:szCs w:val="24"/>
        </w:rPr>
      </w:pPr>
    </w:p>
    <w:p w14:paraId="6267C9DE" w14:textId="3CB0FDA7" w:rsidR="00121F03" w:rsidRDefault="00121F03" w:rsidP="00121F03">
      <w:pPr>
        <w:rPr>
          <w:szCs w:val="24"/>
        </w:rPr>
      </w:pPr>
      <w:r w:rsidRPr="0019030C">
        <w:fldChar w:fldCharType="begin"/>
      </w:r>
      <w:r w:rsidRPr="0019030C">
        <w:instrText xml:space="preserve"> AUTONUM  </w:instrText>
      </w:r>
      <w:r w:rsidRPr="0019030C">
        <w:fldChar w:fldCharType="end"/>
      </w:r>
      <w:r>
        <w:tab/>
        <w:t>En el documento UPOV/EXN/EXC “Notas explicativas sobre las excepciones al derecho de obtentor con arreglo al Acta de 1991 del Convenio de la UPOV”, Sección I, “Excepciones obligatorias al derecho de obtentor”, se ofrece orientación sobre las disposiciones relativas a las excepciones obligatorias al derecho de obtentor previstas en Artículo 15.1) del Acta de 1991 del Convenio de la UPOV. “Utilización no autorizada” no se referiría a los actos que abarca el Artículo 15.1) del Acta de 1991 del Convenio de la UPOV.</w:t>
      </w:r>
      <w:r w:rsidR="008A35F6">
        <w:t xml:space="preserve"> </w:t>
      </w:r>
    </w:p>
    <w:p w14:paraId="42B836BF" w14:textId="77777777" w:rsidR="00FC39B2" w:rsidRDefault="00FC39B2" w:rsidP="00121F03">
      <w:pPr>
        <w:rPr>
          <w:szCs w:val="24"/>
        </w:rPr>
      </w:pPr>
    </w:p>
    <w:p w14:paraId="301902D9" w14:textId="77777777" w:rsidR="00FC39B2" w:rsidRPr="00E23974" w:rsidRDefault="00FC39B2" w:rsidP="00FC39B2">
      <w:pPr>
        <w:keepNext/>
        <w:keepLines/>
        <w:rPr>
          <w:i/>
        </w:rPr>
      </w:pPr>
    </w:p>
    <w:tbl>
      <w:tblPr>
        <w:tblStyle w:val="TableGrid"/>
        <w:tblW w:w="0" w:type="auto"/>
        <w:tblLook w:val="04A0" w:firstRow="1" w:lastRow="0" w:firstColumn="1" w:lastColumn="0" w:noHBand="0" w:noVBand="1"/>
      </w:tblPr>
      <w:tblGrid>
        <w:gridCol w:w="9629"/>
      </w:tblGrid>
      <w:tr w:rsidR="00FC39B2" w:rsidRPr="00E23974" w14:paraId="0FE126E5" w14:textId="77777777" w:rsidTr="00F30CA6">
        <w:tc>
          <w:tcPr>
            <w:tcW w:w="9629" w:type="dxa"/>
            <w:shd w:val="clear" w:color="auto" w:fill="F2F2F2" w:themeFill="background1" w:themeFillShade="F2"/>
          </w:tcPr>
          <w:p w14:paraId="4A8F00EB" w14:textId="77777777" w:rsidR="00FC39B2" w:rsidRPr="00E23974" w:rsidRDefault="00FC39B2" w:rsidP="00F30CA6">
            <w:pPr>
              <w:keepNext/>
              <w:keepLines/>
              <w:rPr>
                <w:i/>
                <w:sz w:val="10"/>
                <w:szCs w:val="10"/>
              </w:rPr>
            </w:pPr>
          </w:p>
          <w:p w14:paraId="6B231926" w14:textId="6A68D907" w:rsidR="00FC39B2" w:rsidRPr="00E23974" w:rsidRDefault="00FC39B2" w:rsidP="00F30CA6">
            <w:pPr>
              <w:keepNext/>
              <w:keepLines/>
              <w:rPr>
                <w:i/>
                <w:sz w:val="18"/>
                <w:szCs w:val="18"/>
              </w:rPr>
            </w:pPr>
            <w:r>
              <w:rPr>
                <w:i/>
                <w:sz w:val="18"/>
                <w:u w:val="single"/>
              </w:rPr>
              <w:t>Propuestas de los Países Bajos</w:t>
            </w:r>
            <w:r w:rsidRPr="00E23974">
              <w:rPr>
                <w:rStyle w:val="EndnoteReference"/>
                <w:b/>
                <w:i/>
                <w:sz w:val="18"/>
                <w:szCs w:val="18"/>
              </w:rPr>
              <w:endnoteReference w:id="17"/>
            </w:r>
            <w:r>
              <w:rPr>
                <w:i/>
                <w:sz w:val="18"/>
                <w:u w:val="single"/>
              </w:rPr>
              <w:t xml:space="preserve"> y la AIPH</w:t>
            </w:r>
            <w:r w:rsidRPr="00E23974">
              <w:rPr>
                <w:rStyle w:val="EndnoteReference"/>
                <w:b/>
                <w:i/>
                <w:sz w:val="18"/>
                <w:szCs w:val="18"/>
              </w:rPr>
              <w:endnoteReference w:id="18"/>
            </w:r>
          </w:p>
          <w:p w14:paraId="3C88C895" w14:textId="77777777" w:rsidR="00FC39B2" w:rsidRPr="00E23974" w:rsidRDefault="00FC39B2" w:rsidP="00F30CA6">
            <w:pPr>
              <w:keepNext/>
              <w:keepLines/>
              <w:rPr>
                <w:i/>
                <w:sz w:val="18"/>
                <w:szCs w:val="18"/>
              </w:rPr>
            </w:pPr>
          </w:p>
          <w:p w14:paraId="6683C6AE" w14:textId="2D386283" w:rsidR="00FC39B2" w:rsidRPr="00E23974" w:rsidRDefault="00FC39B2" w:rsidP="00F30CA6">
            <w:pPr>
              <w:keepNext/>
              <w:keepLines/>
              <w:rPr>
                <w:i/>
                <w:sz w:val="18"/>
                <w:szCs w:val="18"/>
              </w:rPr>
            </w:pPr>
            <w:r>
              <w:rPr>
                <w:i/>
                <w:sz w:val="18"/>
              </w:rPr>
              <w:t>El párrafo 8 debe modificarse de la siguiente manera:</w:t>
            </w:r>
            <w:r w:rsidR="008A35F6">
              <w:rPr>
                <w:i/>
                <w:sz w:val="18"/>
              </w:rPr>
              <w:t xml:space="preserve"> </w:t>
            </w:r>
            <w:r>
              <w:rPr>
                <w:i/>
                <w:sz w:val="18"/>
              </w:rPr>
              <w:t>“En el documento UPOV/EXN/CAL, “Notas explicativas sobre las condiciones y limitaciones relativas a la autorización del obtentor respecto del material de reproducción o de multiplicación con arreglo al Convenio de la UPOV”, se ofrece orientación sobre las condiciones y limitaciones a las que el obtentor puede supeditar su autorización en relación con los actos respecto del material de reproducción o de multiplicación con arreglo al Convenio de la UPOV.</w:t>
            </w:r>
          </w:p>
          <w:p w14:paraId="6869F725" w14:textId="77777777" w:rsidR="00FC39B2" w:rsidRPr="00E23974" w:rsidRDefault="00FC39B2" w:rsidP="00F30CA6">
            <w:pPr>
              <w:keepNext/>
              <w:keepLines/>
              <w:rPr>
                <w:i/>
                <w:sz w:val="18"/>
                <w:szCs w:val="18"/>
                <w:u w:val="single"/>
              </w:rPr>
            </w:pPr>
          </w:p>
          <w:p w14:paraId="443B42E6" w14:textId="033BE325" w:rsidR="00FC39B2" w:rsidRPr="00E23974" w:rsidRDefault="00FC39B2" w:rsidP="00F30CA6">
            <w:pPr>
              <w:keepNext/>
              <w:keepLines/>
              <w:rPr>
                <w:i/>
                <w:sz w:val="18"/>
                <w:szCs w:val="18"/>
                <w:u w:val="single"/>
              </w:rPr>
            </w:pPr>
            <w:r>
              <w:rPr>
                <w:i/>
                <w:sz w:val="18"/>
                <w:highlight w:val="lightGray"/>
                <w:u w:val="single"/>
              </w:rPr>
              <w:t>Incumbe al obtentor decidir las condiciones y limitaciones a las que puede supeditar su autorización de los actos (Artículo 14.1 del Convenio de la UPOV) respecto del material de reproducción o de multiplicación.</w:t>
            </w:r>
            <w:r w:rsidR="008A35F6">
              <w:rPr>
                <w:i/>
                <w:sz w:val="18"/>
                <w:highlight w:val="lightGray"/>
                <w:u w:val="single"/>
              </w:rPr>
              <w:t xml:space="preserve"> </w:t>
            </w:r>
            <w:r>
              <w:rPr>
                <w:i/>
                <w:sz w:val="18"/>
                <w:highlight w:val="lightGray"/>
                <w:u w:val="single"/>
              </w:rPr>
              <w:t>Todo acto del licenciatario que no cumpla las antedichas condiciones y limitaciones se considerará una utilización no autorizada</w:t>
            </w:r>
            <w:r>
              <w:rPr>
                <w:i/>
                <w:sz w:val="18"/>
                <w:u w:val="single"/>
              </w:rPr>
              <w:t>.</w:t>
            </w:r>
            <w:r>
              <w:rPr>
                <w:i/>
                <w:sz w:val="18"/>
              </w:rPr>
              <w:t>”</w:t>
            </w:r>
          </w:p>
          <w:p w14:paraId="30824015" w14:textId="77777777" w:rsidR="00FC39B2" w:rsidRPr="00E23974" w:rsidRDefault="00FC39B2" w:rsidP="00F30CA6">
            <w:pPr>
              <w:keepNext/>
              <w:keepLines/>
              <w:rPr>
                <w:i/>
                <w:sz w:val="8"/>
              </w:rPr>
            </w:pPr>
            <w:r>
              <w:rPr>
                <w:i/>
                <w:sz w:val="18"/>
              </w:rPr>
              <w:t xml:space="preserve"> </w:t>
            </w:r>
          </w:p>
        </w:tc>
      </w:tr>
    </w:tbl>
    <w:p w14:paraId="4B9DDAAF" w14:textId="2534625A" w:rsidR="00B17A30" w:rsidRDefault="00B17A30" w:rsidP="00F30CA6">
      <w:pPr>
        <w:jc w:val="left"/>
      </w:pPr>
      <w:bookmarkStart w:id="20" w:name="_Toc331410083"/>
    </w:p>
    <w:p w14:paraId="65ADD8EE" w14:textId="77777777" w:rsidR="00B17A30" w:rsidRDefault="00B17A30">
      <w:pPr>
        <w:jc w:val="left"/>
      </w:pPr>
      <w:r>
        <w:br w:type="page"/>
      </w:r>
    </w:p>
    <w:p w14:paraId="0111DC12" w14:textId="77777777" w:rsidR="004D5480" w:rsidRDefault="004D5480" w:rsidP="00F30CA6">
      <w:pPr>
        <w:jc w:val="left"/>
      </w:pPr>
    </w:p>
    <w:p w14:paraId="7AA4D16A" w14:textId="77777777" w:rsidR="00B17A30" w:rsidRPr="00C5280D" w:rsidRDefault="00B17A30" w:rsidP="00B17A30">
      <w:pPr>
        <w:pStyle w:val="Header"/>
        <w:rPr>
          <w:rStyle w:val="PageNumber"/>
        </w:rPr>
      </w:pPr>
      <w:r>
        <w:rPr>
          <w:rStyle w:val="PageNumber"/>
        </w:rPr>
        <w:t>WG-HRV/2/4</w:t>
      </w:r>
    </w:p>
    <w:p w14:paraId="2002B770" w14:textId="535AD24F" w:rsidR="00B17A30" w:rsidRDefault="00B17A30" w:rsidP="00B17A30">
      <w:pPr>
        <w:jc w:val="center"/>
      </w:pPr>
      <w:r>
        <w:t>Anexo, página 9</w:t>
      </w:r>
    </w:p>
    <w:p w14:paraId="5E4308B3" w14:textId="77777777" w:rsidR="00863884" w:rsidRDefault="00863884" w:rsidP="00B17A30">
      <w:pPr>
        <w:jc w:val="center"/>
      </w:pPr>
    </w:p>
    <w:p w14:paraId="01DB4DF6" w14:textId="77777777" w:rsidR="004D5480" w:rsidRDefault="004D5480" w:rsidP="00121F03">
      <w:pPr>
        <w:pStyle w:val="Heading3"/>
      </w:pPr>
    </w:p>
    <w:p w14:paraId="554A766F" w14:textId="77777777" w:rsidR="00121F03" w:rsidRPr="0019030C" w:rsidRDefault="00121F03" w:rsidP="00121F03">
      <w:pPr>
        <w:pStyle w:val="Heading3"/>
      </w:pPr>
      <w:bookmarkStart w:id="21" w:name="_Toc112166085"/>
      <w:r>
        <w:t>Excepción facultativa al derecho de obtentor</w:t>
      </w:r>
      <w:bookmarkEnd w:id="20"/>
      <w:bookmarkEnd w:id="21"/>
    </w:p>
    <w:p w14:paraId="24AE76A4" w14:textId="77777777" w:rsidR="00121F03" w:rsidRPr="0019030C" w:rsidRDefault="00121F03" w:rsidP="00121F03">
      <w:pPr>
        <w:keepNext/>
        <w:rPr>
          <w:szCs w:val="24"/>
        </w:rPr>
      </w:pPr>
    </w:p>
    <w:p w14:paraId="540A34CA" w14:textId="6D7ED10C" w:rsidR="00121F03" w:rsidRPr="0019030C" w:rsidRDefault="00121F03" w:rsidP="00121F03">
      <w:pPr>
        <w:keepLines/>
        <w:rPr>
          <w:szCs w:val="24"/>
        </w:rPr>
      </w:pPr>
      <w:r w:rsidRPr="0019030C">
        <w:fldChar w:fldCharType="begin"/>
      </w:r>
      <w:r w:rsidRPr="0019030C">
        <w:instrText xml:space="preserve"> AUTONUM  </w:instrText>
      </w:r>
      <w:r w:rsidRPr="0019030C">
        <w:fldChar w:fldCharType="end"/>
      </w:r>
      <w:r>
        <w:tab/>
        <w:t>El Artículo 15.2) del Acta de 1991 del Convenio de la UPOV [Excepción facultativa] establece que “[n]o obstante lo dispuesto en el Artículo 14, cada Parte Contratante podrá restringir el derecho de obtentor respecto de toda variedad, dentro de límites razonables y a reserva de la salvaguardia de los intereses legítimos del obtentor, con el fin de permitir a los agricultores utilizar a fines de reproducción o de multiplicación, en su propia explotación, el producto de la cosecha que hayan obtenido por el cultivo, en su propia explotación, de la variedad protegida o de una variedad cubierta por el Artículo</w:t>
      </w:r>
      <w:r w:rsidR="008A35F6">
        <w:t xml:space="preserve"> </w:t>
      </w:r>
      <w:r>
        <w:t>14.5)</w:t>
      </w:r>
      <w:r w:rsidRPr="00863884">
        <w:rPr>
          <w:i/>
          <w:iCs/>
        </w:rPr>
        <w:t>a)</w:t>
      </w:r>
      <w:r>
        <w:t>i) o ii).”</w:t>
      </w:r>
      <w:r w:rsidR="008A35F6">
        <w:t xml:space="preserve"> </w:t>
      </w:r>
      <w:r>
        <w:t>En el documento UPOV/EXN/EXC “Notas explicativas sobre las excepciones al derecho de obtentor con arreglo al Acta de 1991 del Convenio de la UPOV”, Sección II, “La excepción facultativa al derecho de obtentor”, se ofrece orientación sobre la excepción facultativa prevista en el Artículo 15.2) del Acta de 1991 del Convenio de la UPOV.</w:t>
      </w:r>
      <w:r w:rsidR="008A35F6">
        <w:t xml:space="preserve"> </w:t>
      </w:r>
    </w:p>
    <w:p w14:paraId="2698009A" w14:textId="77777777" w:rsidR="00121F03" w:rsidRPr="0019030C" w:rsidRDefault="00121F03" w:rsidP="00121F03">
      <w:pPr>
        <w:rPr>
          <w:szCs w:val="24"/>
        </w:rPr>
      </w:pPr>
    </w:p>
    <w:p w14:paraId="305BD7E8" w14:textId="4138A15A" w:rsidR="00E23974" w:rsidRPr="00A97D11" w:rsidRDefault="00121F03" w:rsidP="00121F03">
      <w:pPr>
        <w:keepNext/>
        <w:keepLines/>
      </w:pPr>
      <w:r w:rsidRPr="0019030C">
        <w:fldChar w:fldCharType="begin"/>
      </w:r>
      <w:r w:rsidRPr="0019030C">
        <w:instrText xml:space="preserve"> AUTONUM  </w:instrText>
      </w:r>
      <w:r w:rsidRPr="0019030C">
        <w:fldChar w:fldCharType="end"/>
      </w:r>
      <w:r>
        <w:tab/>
        <w:t>Cuando un miembro de la Unión decide incorporar en su legislación esta excepción facultativa, “utilización no autorizada” no se referirá a los actos que abarca la excepción facultativa.</w:t>
      </w:r>
      <w:r w:rsidR="008A35F6">
        <w:t xml:space="preserve"> </w:t>
      </w:r>
      <w:r>
        <w:t>Sin embargo, a reserva de lo dispuesto en los Artículos 15.1) y 16, “utilización no autorizada” se referirá a los actos incluidos en el alcance del derecho de obtentor y que no abarca la excepción facultativa en la legislación del miembro de la Unión de que se trate.</w:t>
      </w:r>
      <w:r w:rsidR="008A35F6">
        <w:t xml:space="preserve"> </w:t>
      </w:r>
      <w:r>
        <w:t>En particular, “utilización no autorizada” se referirá a los actos que no se ajustan a los límites razonables y la salvaguardia de los intereses legítimos del obtentor previstos en la excepción facultativa.</w:t>
      </w:r>
    </w:p>
    <w:p w14:paraId="4E76AF74" w14:textId="77777777" w:rsidR="00121F03" w:rsidRDefault="00121F03" w:rsidP="00121F03">
      <w:pPr>
        <w:keepNext/>
      </w:pPr>
    </w:p>
    <w:tbl>
      <w:tblPr>
        <w:tblStyle w:val="TableGrid"/>
        <w:tblW w:w="0" w:type="auto"/>
        <w:tblLook w:val="04A0" w:firstRow="1" w:lastRow="0" w:firstColumn="1" w:lastColumn="0" w:noHBand="0" w:noVBand="1"/>
      </w:tblPr>
      <w:tblGrid>
        <w:gridCol w:w="9629"/>
      </w:tblGrid>
      <w:tr w:rsidR="00121F03" w:rsidRPr="00E23974" w14:paraId="27803817" w14:textId="77777777" w:rsidTr="00B348FD">
        <w:tc>
          <w:tcPr>
            <w:tcW w:w="9629" w:type="dxa"/>
            <w:shd w:val="clear" w:color="auto" w:fill="F2F2F2" w:themeFill="background1" w:themeFillShade="F2"/>
          </w:tcPr>
          <w:p w14:paraId="3A35DC9E" w14:textId="77777777" w:rsidR="00121F03" w:rsidRPr="00E23974" w:rsidRDefault="00121F03" w:rsidP="00B348FD">
            <w:pPr>
              <w:keepNext/>
              <w:rPr>
                <w:i/>
                <w:sz w:val="10"/>
                <w:szCs w:val="10"/>
              </w:rPr>
            </w:pPr>
          </w:p>
          <w:p w14:paraId="3F5D6D52" w14:textId="77777777" w:rsidR="00121F03" w:rsidRPr="00E23974" w:rsidRDefault="00121F03" w:rsidP="00B348FD">
            <w:pPr>
              <w:keepNext/>
              <w:rPr>
                <w:i/>
                <w:sz w:val="18"/>
                <w:szCs w:val="18"/>
              </w:rPr>
            </w:pPr>
            <w:r>
              <w:rPr>
                <w:i/>
                <w:sz w:val="18"/>
                <w:u w:val="single"/>
              </w:rPr>
              <w:t xml:space="preserve">Propuestas de la ISF, la CIOPORA, </w:t>
            </w:r>
            <w:r w:rsidRPr="003A453E">
              <w:rPr>
                <w:iCs/>
                <w:sz w:val="18"/>
                <w:u w:val="single"/>
              </w:rPr>
              <w:t>CropLife International, Euroseeds</w:t>
            </w:r>
            <w:r>
              <w:rPr>
                <w:i/>
                <w:sz w:val="18"/>
                <w:u w:val="single"/>
              </w:rPr>
              <w:t>, la APSA, la AFSTA y la SAA</w:t>
            </w:r>
            <w:r w:rsidRPr="00E23974">
              <w:rPr>
                <w:rStyle w:val="EndnoteReference"/>
                <w:b/>
                <w:i/>
                <w:sz w:val="18"/>
                <w:szCs w:val="18"/>
              </w:rPr>
              <w:endnoteReference w:id="19"/>
            </w:r>
          </w:p>
          <w:p w14:paraId="7E37A70C" w14:textId="77777777" w:rsidR="00121F03" w:rsidRPr="00E23974" w:rsidRDefault="00121F03" w:rsidP="00B348FD">
            <w:pPr>
              <w:keepNext/>
              <w:rPr>
                <w:i/>
                <w:sz w:val="18"/>
                <w:szCs w:val="18"/>
              </w:rPr>
            </w:pPr>
          </w:p>
          <w:p w14:paraId="38106368" w14:textId="29CC725E" w:rsidR="00121F03" w:rsidRPr="00E23974" w:rsidRDefault="00121F03" w:rsidP="00B348FD">
            <w:pPr>
              <w:keepNext/>
              <w:rPr>
                <w:i/>
                <w:sz w:val="18"/>
                <w:szCs w:val="18"/>
              </w:rPr>
            </w:pPr>
            <w:r>
              <w:rPr>
                <w:i/>
                <w:sz w:val="18"/>
              </w:rPr>
              <w:t>El párrafo 11 debe modificarse de la siguiente manera:</w:t>
            </w:r>
            <w:r w:rsidR="008A35F6">
              <w:rPr>
                <w:i/>
                <w:sz w:val="18"/>
              </w:rPr>
              <w:t xml:space="preserve"> </w:t>
            </w:r>
            <w:r>
              <w:rPr>
                <w:i/>
                <w:sz w:val="18"/>
              </w:rPr>
              <w:t xml:space="preserve">“Cuando un miembro de la Unión </w:t>
            </w:r>
            <w:r>
              <w:rPr>
                <w:i/>
                <w:strike/>
                <w:sz w:val="18"/>
                <w:highlight w:val="lightGray"/>
              </w:rPr>
              <w:t>decide incorporar en su legislación esta</w:t>
            </w:r>
            <w:r>
              <w:rPr>
                <w:i/>
                <w:sz w:val="18"/>
              </w:rPr>
              <w:t xml:space="preserve"> </w:t>
            </w:r>
            <w:r>
              <w:rPr>
                <w:i/>
                <w:sz w:val="18"/>
                <w:highlight w:val="lightGray"/>
                <w:u w:val="single"/>
              </w:rPr>
              <w:t>permite de jure o de facto tal</w:t>
            </w:r>
            <w:r>
              <w:rPr>
                <w:i/>
                <w:sz w:val="18"/>
              </w:rPr>
              <w:t xml:space="preserve"> excepción facultativa </w:t>
            </w:r>
            <w:r>
              <w:rPr>
                <w:i/>
                <w:sz w:val="18"/>
                <w:highlight w:val="lightGray"/>
                <w:u w:val="single"/>
              </w:rPr>
              <w:t>en su legislación de protección de las obtenciones vegetales</w:t>
            </w:r>
            <w:r>
              <w:rPr>
                <w:i/>
                <w:sz w:val="18"/>
              </w:rPr>
              <w:t xml:space="preserve">, ‘utilización no autorizada’ no se referirá a los actos que abarca la excepción facultativa </w:t>
            </w:r>
            <w:r>
              <w:rPr>
                <w:i/>
                <w:sz w:val="18"/>
                <w:highlight w:val="lightGray"/>
                <w:u w:val="single"/>
              </w:rPr>
              <w:t>siempre y cuando se hayan establecido condiciones para definir los límites razonables y salvaguardar los legítimos intereses del obtentor y las cumpla el material de reproducción o de multiplicación utilizado para obtener producto de la cosecha</w:t>
            </w:r>
            <w:r>
              <w:rPr>
                <w:i/>
                <w:sz w:val="18"/>
              </w:rPr>
              <w:t>.</w:t>
            </w:r>
            <w:r w:rsidR="008A35F6">
              <w:rPr>
                <w:i/>
                <w:sz w:val="18"/>
              </w:rPr>
              <w:t xml:space="preserve"> </w:t>
            </w:r>
            <w:r>
              <w:rPr>
                <w:i/>
                <w:strike/>
                <w:sz w:val="18"/>
                <w:highlight w:val="lightGray"/>
              </w:rPr>
              <w:t>Sin embargo, a reserva de lo dispuesto en los Artículos 15.1) y 16, “utilización no autorizada” se referirá a los actos incluidos en el alcance del derecho de obtentor y que no abarca la excepción facultativa en la legislación del miembro de la Unión de que se trate.</w:t>
            </w:r>
            <w:r w:rsidR="008A35F6">
              <w:rPr>
                <w:i/>
                <w:strike/>
                <w:sz w:val="18"/>
                <w:highlight w:val="lightGray"/>
              </w:rPr>
              <w:t xml:space="preserve"> </w:t>
            </w:r>
            <w:r>
              <w:rPr>
                <w:i/>
                <w:strike/>
                <w:sz w:val="18"/>
                <w:highlight w:val="lightGray"/>
              </w:rPr>
              <w:t>En particular, “utilización no autorizada” se referirá a los actos que no se ajustan a los límites razonables y la salvaguardia de los intereses legítimos del obtentor previstos en la excepción facultativa.</w:t>
            </w:r>
            <w:r>
              <w:rPr>
                <w:i/>
                <w:sz w:val="18"/>
              </w:rPr>
              <w:t>”</w:t>
            </w:r>
          </w:p>
          <w:p w14:paraId="67C263EC" w14:textId="77777777" w:rsidR="00121F03" w:rsidRPr="00E23974" w:rsidRDefault="00121F03" w:rsidP="00B348FD">
            <w:pPr>
              <w:keepNext/>
              <w:jc w:val="left"/>
              <w:rPr>
                <w:i/>
                <w:sz w:val="8"/>
              </w:rPr>
            </w:pPr>
          </w:p>
        </w:tc>
      </w:tr>
    </w:tbl>
    <w:p w14:paraId="7CF49EA5" w14:textId="77777777" w:rsidR="00121F03" w:rsidRPr="00E23974" w:rsidRDefault="00121F03" w:rsidP="00121F03">
      <w:pPr>
        <w:rPr>
          <w:i/>
        </w:rPr>
      </w:pPr>
    </w:p>
    <w:p w14:paraId="4F772D68" w14:textId="77777777" w:rsidR="00121F03" w:rsidRPr="00FA7BC3" w:rsidRDefault="00121F03" w:rsidP="00121F03"/>
    <w:p w14:paraId="2A15C639" w14:textId="77777777" w:rsidR="00121F03" w:rsidRPr="0019030C" w:rsidRDefault="00121F03" w:rsidP="00121F03">
      <w:pPr>
        <w:pStyle w:val="Heading2"/>
      </w:pPr>
      <w:bookmarkStart w:id="22" w:name="_Toc178579801"/>
      <w:bookmarkStart w:id="23" w:name="_Toc178579822"/>
      <w:bookmarkStart w:id="24" w:name="_Toc331410084"/>
      <w:bookmarkStart w:id="25" w:name="_Toc112166086"/>
      <w:r>
        <w:rPr>
          <w:u w:val="none"/>
        </w:rPr>
        <w:t>d)</w:t>
      </w:r>
      <w:r>
        <w:rPr>
          <w:u w:val="none"/>
        </w:rPr>
        <w:tab/>
      </w:r>
      <w:bookmarkEnd w:id="22"/>
      <w:bookmarkEnd w:id="23"/>
      <w:bookmarkEnd w:id="24"/>
      <w:r>
        <w:t>Poder ejercer razonablemente su</w:t>
      </w:r>
      <w:r w:rsidR="00160D79" w:rsidRPr="004916AD">
        <w:rPr>
          <w:rStyle w:val="EndnoteReference"/>
          <w:b/>
        </w:rPr>
        <w:endnoteReference w:id="20"/>
      </w:r>
      <w:r>
        <w:t xml:space="preserve"> derecho</w:t>
      </w:r>
      <w:bookmarkEnd w:id="25"/>
    </w:p>
    <w:p w14:paraId="20625193" w14:textId="77777777" w:rsidR="00121F03" w:rsidRPr="0019030C" w:rsidRDefault="00121F03" w:rsidP="00121F03">
      <w:pPr>
        <w:keepNext/>
      </w:pPr>
    </w:p>
    <w:p w14:paraId="76E03836" w14:textId="77777777" w:rsidR="00121F03" w:rsidRDefault="00121F03" w:rsidP="00E14531">
      <w:pPr>
        <w:rPr>
          <w:sz w:val="18"/>
        </w:rPr>
      </w:pPr>
      <w:r w:rsidRPr="0019030C">
        <w:fldChar w:fldCharType="begin"/>
      </w:r>
      <w:r w:rsidRPr="0019030C">
        <w:instrText xml:space="preserve"> AUTONUM  </w:instrText>
      </w:r>
      <w:r w:rsidRPr="0019030C">
        <w:fldChar w:fldCharType="end"/>
      </w:r>
      <w:r>
        <w:t xml:space="preserve"> </w:t>
      </w:r>
      <w:r>
        <w:tab/>
        <w:t>Las disposiciones previstas en el Artículo 14.2) del Acta de 1991 indican que los obtentores solo pueden ejercer su derecho en relación con el producto de la cosecha si no han “podido ejercer razonablemente” su derecho en relación con el material de reproducción o de multiplicación.</w:t>
      </w:r>
      <w:r>
        <w:rPr>
          <w:sz w:val="18"/>
        </w:rPr>
        <w:t xml:space="preserve"> </w:t>
      </w:r>
    </w:p>
    <w:p w14:paraId="12D95838" w14:textId="77777777" w:rsidR="00E23974" w:rsidRDefault="00E23974" w:rsidP="00E14531">
      <w:pPr>
        <w:rPr>
          <w:sz w:val="18"/>
        </w:rPr>
      </w:pPr>
    </w:p>
    <w:tbl>
      <w:tblPr>
        <w:tblStyle w:val="TableGrid"/>
        <w:tblW w:w="0" w:type="auto"/>
        <w:tblLook w:val="04A0" w:firstRow="1" w:lastRow="0" w:firstColumn="1" w:lastColumn="0" w:noHBand="0" w:noVBand="1"/>
      </w:tblPr>
      <w:tblGrid>
        <w:gridCol w:w="9629"/>
      </w:tblGrid>
      <w:tr w:rsidR="00121F03" w:rsidRPr="00FD7B58" w14:paraId="763990FC" w14:textId="77777777" w:rsidTr="00B348FD">
        <w:tc>
          <w:tcPr>
            <w:tcW w:w="9629" w:type="dxa"/>
            <w:shd w:val="clear" w:color="auto" w:fill="F2F2F2" w:themeFill="background1" w:themeFillShade="F2"/>
          </w:tcPr>
          <w:p w14:paraId="09239FE9" w14:textId="77777777" w:rsidR="00121F03" w:rsidRPr="003B1AC3" w:rsidRDefault="00121F03" w:rsidP="00B348FD">
            <w:pPr>
              <w:keepNext/>
              <w:rPr>
                <w:sz w:val="10"/>
                <w:szCs w:val="10"/>
              </w:rPr>
            </w:pPr>
          </w:p>
          <w:p w14:paraId="36BA5A3A" w14:textId="77777777" w:rsidR="00121F03" w:rsidRPr="00E23974" w:rsidRDefault="00121F03" w:rsidP="00B348FD">
            <w:pPr>
              <w:keepNext/>
              <w:rPr>
                <w:i/>
                <w:sz w:val="18"/>
                <w:szCs w:val="18"/>
              </w:rPr>
            </w:pPr>
            <w:r>
              <w:rPr>
                <w:i/>
                <w:sz w:val="18"/>
                <w:u w:val="single"/>
              </w:rPr>
              <w:t xml:space="preserve">Propuestas de la ISF, la CIOPORA, </w:t>
            </w:r>
            <w:r w:rsidRPr="003A453E">
              <w:rPr>
                <w:iCs/>
                <w:sz w:val="18"/>
                <w:u w:val="single"/>
              </w:rPr>
              <w:t>CropLife International, Euroseeds</w:t>
            </w:r>
            <w:r>
              <w:rPr>
                <w:i/>
                <w:sz w:val="18"/>
                <w:u w:val="single"/>
              </w:rPr>
              <w:t>, la APSA, la AFSTA y la SAA</w:t>
            </w:r>
            <w:r w:rsidRPr="00E23974">
              <w:rPr>
                <w:rStyle w:val="EndnoteReference"/>
                <w:b/>
                <w:i/>
                <w:sz w:val="18"/>
                <w:szCs w:val="18"/>
              </w:rPr>
              <w:endnoteReference w:id="21"/>
            </w:r>
          </w:p>
          <w:p w14:paraId="26243FD5" w14:textId="77777777" w:rsidR="00121F03" w:rsidRPr="00E23974" w:rsidRDefault="00121F03" w:rsidP="00B348FD">
            <w:pPr>
              <w:keepNext/>
              <w:rPr>
                <w:i/>
                <w:sz w:val="18"/>
                <w:szCs w:val="18"/>
              </w:rPr>
            </w:pPr>
          </w:p>
          <w:p w14:paraId="57B1A346" w14:textId="77777777" w:rsidR="00121F03" w:rsidRPr="00E23974" w:rsidRDefault="00121F03" w:rsidP="00B348FD">
            <w:pPr>
              <w:keepNext/>
              <w:rPr>
                <w:i/>
                <w:sz w:val="18"/>
                <w:szCs w:val="18"/>
              </w:rPr>
            </w:pPr>
            <w:r>
              <w:rPr>
                <w:i/>
                <w:sz w:val="18"/>
              </w:rPr>
              <w:t xml:space="preserve">El subtítulo d) ha de modificarse como se indica a continuación: “Poder ejercer razonablemente </w:t>
            </w:r>
            <w:r>
              <w:rPr>
                <w:i/>
                <w:strike/>
                <w:sz w:val="18"/>
                <w:highlight w:val="lightGray"/>
              </w:rPr>
              <w:t>su</w:t>
            </w:r>
            <w:r>
              <w:rPr>
                <w:i/>
                <w:sz w:val="18"/>
              </w:rPr>
              <w:t xml:space="preserve"> </w:t>
            </w:r>
            <w:r>
              <w:rPr>
                <w:i/>
                <w:sz w:val="18"/>
                <w:highlight w:val="lightGray"/>
                <w:u w:val="single"/>
              </w:rPr>
              <w:t>el</w:t>
            </w:r>
            <w:r>
              <w:rPr>
                <w:i/>
                <w:sz w:val="18"/>
              </w:rPr>
              <w:t xml:space="preserve"> derecho”</w:t>
            </w:r>
          </w:p>
          <w:p w14:paraId="54D1868D" w14:textId="77777777" w:rsidR="00121F03" w:rsidRPr="00E23974" w:rsidRDefault="00121F03" w:rsidP="00B348FD">
            <w:pPr>
              <w:keepNext/>
              <w:rPr>
                <w:i/>
                <w:sz w:val="18"/>
                <w:szCs w:val="18"/>
              </w:rPr>
            </w:pPr>
          </w:p>
          <w:p w14:paraId="0523AC10" w14:textId="3E3D30F5" w:rsidR="00121F03" w:rsidRPr="00E23974" w:rsidRDefault="00121F03" w:rsidP="00B348FD">
            <w:pPr>
              <w:keepNext/>
              <w:rPr>
                <w:i/>
                <w:sz w:val="18"/>
                <w:szCs w:val="18"/>
                <w:highlight w:val="lightGray"/>
                <w:u w:val="single"/>
              </w:rPr>
            </w:pPr>
            <w:r>
              <w:rPr>
                <w:i/>
                <w:sz w:val="18"/>
              </w:rPr>
              <w:t>Nota al pie 2 del párrafo 12:</w:t>
            </w:r>
            <w:r w:rsidR="008A35F6">
              <w:rPr>
                <w:i/>
                <w:sz w:val="18"/>
              </w:rPr>
              <w:t xml:space="preserve"> </w:t>
            </w:r>
            <w:r>
              <w:rPr>
                <w:i/>
                <w:sz w:val="18"/>
              </w:rPr>
              <w:t>“</w:t>
            </w:r>
            <w:r>
              <w:rPr>
                <w:i/>
                <w:sz w:val="18"/>
                <w:highlight w:val="lightGray"/>
                <w:u w:val="single"/>
              </w:rPr>
              <w:t>El artículo 14.2) se basa en el supuesto de que el producto de la cosecha obtenido por utilización no autorizada de material de reproducción o de multiplicación es ilícito salvo que se demuestre lo contrario (es decir, si se pudo ejercer razonablemente el derecho).</w:t>
            </w:r>
            <w:r w:rsidR="008A35F6">
              <w:rPr>
                <w:i/>
                <w:sz w:val="18"/>
                <w:highlight w:val="lightGray"/>
                <w:u w:val="single"/>
              </w:rPr>
              <w:t xml:space="preserve"> </w:t>
            </w:r>
            <w:r>
              <w:rPr>
                <w:i/>
                <w:sz w:val="18"/>
                <w:highlight w:val="lightGray"/>
                <w:u w:val="single"/>
              </w:rPr>
              <w:t>Para el obtentor es imposible establecer que no se ha ‘podido ejercer razonablemente’ el derecho —lo cual constituye una prueba negativa (es decir, no se ha podido ejercer razonablemente...)—, ya que solo se puede demostrar la existencia de lo que existe.</w:t>
            </w:r>
            <w:r w:rsidR="008A35F6">
              <w:rPr>
                <w:i/>
                <w:sz w:val="18"/>
                <w:highlight w:val="lightGray"/>
                <w:u w:val="single"/>
              </w:rPr>
              <w:t xml:space="preserve"> </w:t>
            </w:r>
            <w:r>
              <w:rPr>
                <w:i/>
                <w:sz w:val="18"/>
                <w:highlight w:val="lightGray"/>
                <w:u w:val="single"/>
              </w:rPr>
              <w:t>Para formular una afirmación negativa hay que demostrar la inexistencia, lo cual es imposible desde el punto de vista lógico e injustificable desde el punto de vista jurídico.</w:t>
            </w:r>
          </w:p>
          <w:p w14:paraId="448C9750" w14:textId="77777777" w:rsidR="00121F03" w:rsidRPr="00E23974" w:rsidRDefault="00121F03" w:rsidP="00B348FD">
            <w:pPr>
              <w:keepNext/>
              <w:rPr>
                <w:i/>
                <w:sz w:val="18"/>
                <w:szCs w:val="18"/>
                <w:highlight w:val="lightGray"/>
                <w:u w:val="single"/>
              </w:rPr>
            </w:pPr>
          </w:p>
          <w:p w14:paraId="6095A610" w14:textId="4CB1995D" w:rsidR="00121F03" w:rsidRPr="00E23974" w:rsidRDefault="00121F03" w:rsidP="00B348FD">
            <w:pPr>
              <w:keepNext/>
              <w:rPr>
                <w:i/>
                <w:sz w:val="18"/>
                <w:szCs w:val="18"/>
                <w:highlight w:val="lightGray"/>
                <w:u w:val="single"/>
              </w:rPr>
            </w:pPr>
            <w:r>
              <w:rPr>
                <w:i/>
                <w:sz w:val="18"/>
                <w:highlight w:val="lightGray"/>
                <w:u w:val="single"/>
              </w:rPr>
              <w:t>Habida cuenta de lo que antecede, el obtentor solo puede probar que no ha “podido ejercer razonablemente su derecho en relación con dicho material de reproducción o de multiplicación” de dos maneras:</w:t>
            </w:r>
            <w:r w:rsidR="008A35F6">
              <w:rPr>
                <w:i/>
                <w:sz w:val="18"/>
                <w:highlight w:val="lightGray"/>
                <w:u w:val="single"/>
              </w:rPr>
              <w:t xml:space="preserve"> </w:t>
            </w:r>
            <w:r>
              <w:rPr>
                <w:i/>
                <w:sz w:val="18"/>
                <w:highlight w:val="lightGray"/>
                <w:u w:val="single"/>
              </w:rPr>
              <w:t xml:space="preserve">bien mediante una declaración jurada en la que afirme que no ha ‘podido ejercer razonablemente’ el derecho o bien señalando la falta de fundamento jurídico o de medidas para hacer valer su derecho de obtentor. </w:t>
            </w:r>
          </w:p>
          <w:p w14:paraId="68109105" w14:textId="77777777" w:rsidR="00121F03" w:rsidRPr="00E23974" w:rsidRDefault="00121F03" w:rsidP="00B348FD">
            <w:pPr>
              <w:keepNext/>
              <w:rPr>
                <w:i/>
                <w:sz w:val="18"/>
                <w:szCs w:val="18"/>
                <w:highlight w:val="lightGray"/>
                <w:u w:val="single"/>
              </w:rPr>
            </w:pPr>
          </w:p>
          <w:p w14:paraId="5E986B85" w14:textId="77777777" w:rsidR="00121F03" w:rsidRPr="00E23974" w:rsidRDefault="00121F03" w:rsidP="00B348FD">
            <w:pPr>
              <w:keepNext/>
              <w:rPr>
                <w:i/>
                <w:sz w:val="18"/>
                <w:szCs w:val="18"/>
              </w:rPr>
            </w:pPr>
            <w:r>
              <w:rPr>
                <w:i/>
                <w:sz w:val="18"/>
                <w:highlight w:val="lightGray"/>
                <w:u w:val="single"/>
              </w:rPr>
              <w:t>Por consiguiente, se puede presuponer que no se ha podido ejercer razonablemente el derecho, y será el presunto infractor quien deba demostrar lo contrario, es decir, que el obtentor sí pudo ejercerlo razonablemente.</w:t>
            </w:r>
            <w:r>
              <w:rPr>
                <w:i/>
                <w:sz w:val="18"/>
              </w:rPr>
              <w:t>”</w:t>
            </w:r>
          </w:p>
          <w:p w14:paraId="1861AD14" w14:textId="77777777" w:rsidR="00121F03" w:rsidRPr="00385EFC" w:rsidRDefault="00121F03" w:rsidP="00B348FD">
            <w:pPr>
              <w:keepNext/>
              <w:jc w:val="left"/>
              <w:rPr>
                <w:sz w:val="8"/>
              </w:rPr>
            </w:pPr>
          </w:p>
        </w:tc>
      </w:tr>
    </w:tbl>
    <w:p w14:paraId="197C00A5" w14:textId="77777777" w:rsidR="00121F03" w:rsidRPr="006A53DC" w:rsidRDefault="00121F03" w:rsidP="00121F03">
      <w:pPr>
        <w:rPr>
          <w:sz w:val="18"/>
        </w:rPr>
      </w:pPr>
    </w:p>
    <w:p w14:paraId="45317F66" w14:textId="1F4827E5" w:rsidR="004D5480" w:rsidRDefault="004D5480" w:rsidP="00121F03">
      <w:pPr>
        <w:rPr>
          <w:sz w:val="18"/>
        </w:rPr>
      </w:pPr>
    </w:p>
    <w:p w14:paraId="2E2F40E7" w14:textId="65D9A70C" w:rsidR="00477CEF" w:rsidRDefault="00477CEF" w:rsidP="00121F03">
      <w:pPr>
        <w:rPr>
          <w:sz w:val="18"/>
        </w:rPr>
      </w:pPr>
    </w:p>
    <w:p w14:paraId="1869852D" w14:textId="77777777" w:rsidR="00477CEF" w:rsidRPr="00C5280D" w:rsidRDefault="00477CEF" w:rsidP="00477CEF">
      <w:pPr>
        <w:pStyle w:val="Header"/>
        <w:rPr>
          <w:rStyle w:val="PageNumber"/>
        </w:rPr>
      </w:pPr>
      <w:r>
        <w:rPr>
          <w:rStyle w:val="PageNumber"/>
        </w:rPr>
        <w:t>WG-HRV/2/4</w:t>
      </w:r>
    </w:p>
    <w:p w14:paraId="2326C6CC" w14:textId="77777777" w:rsidR="00477CEF" w:rsidRDefault="00477CEF" w:rsidP="00477CEF">
      <w:pPr>
        <w:jc w:val="center"/>
      </w:pPr>
      <w:r>
        <w:t>Anexo, página 10</w:t>
      </w:r>
    </w:p>
    <w:p w14:paraId="21A54379" w14:textId="77777777" w:rsidR="00477CEF" w:rsidRDefault="00477CEF" w:rsidP="00477CEF"/>
    <w:p w14:paraId="69EA5BFC" w14:textId="77777777" w:rsidR="00477CEF" w:rsidRPr="006A53DC" w:rsidRDefault="00477CEF" w:rsidP="00121F03">
      <w:pPr>
        <w:rPr>
          <w:sz w:val="18"/>
        </w:rPr>
      </w:pPr>
    </w:p>
    <w:p w14:paraId="16F15482" w14:textId="12996921" w:rsidR="00121F03" w:rsidRPr="0019030C" w:rsidRDefault="00121F03" w:rsidP="00121F03">
      <w:pPr>
        <w:rPr>
          <w:szCs w:val="24"/>
        </w:rPr>
      </w:pPr>
      <w:r w:rsidRPr="0019030C">
        <w:fldChar w:fldCharType="begin"/>
      </w:r>
      <w:r w:rsidRPr="0019030C">
        <w:instrText xml:space="preserve"> AUTONUM  </w:instrText>
      </w:r>
      <w:r w:rsidRPr="0019030C">
        <w:fldChar w:fldCharType="end"/>
      </w:r>
      <w:r>
        <w:tab/>
        <w:t>El término “su derecho”, contenido en el Artículo 14.2) del Acta de 1991, se refiere al derecho del obtentor en el territorio en cuestión (véase el párrafo 4 del presente documento):</w:t>
      </w:r>
      <w:r w:rsidR="008A35F6">
        <w:t xml:space="preserve"> </w:t>
      </w:r>
      <w:r>
        <w:t xml:space="preserve">un obtentor solo puede ejercer </w:t>
      </w:r>
      <w:r>
        <w:rPr>
          <w:highlight w:val="lightGray"/>
          <w:u w:val="single"/>
        </w:rPr>
        <w:t>su</w:t>
      </w:r>
      <w:r w:rsidR="00160D79" w:rsidRPr="004916AD">
        <w:rPr>
          <w:rStyle w:val="EndnoteReference"/>
          <w:b/>
        </w:rPr>
        <w:endnoteReference w:id="22"/>
      </w:r>
      <w:r>
        <w:t xml:space="preserve"> derecho en ese territorio.</w:t>
      </w:r>
      <w:r w:rsidR="008A35F6">
        <w:t xml:space="preserve"> </w:t>
      </w:r>
      <w:r>
        <w:t xml:space="preserve">En consecuencia, por “ejercer su derecho” en relación con el material de reproducción o de multiplicación se entiende el </w:t>
      </w:r>
      <w:r>
        <w:rPr>
          <w:highlight w:val="lightGray"/>
          <w:u w:val="single"/>
        </w:rPr>
        <w:t>de su</w:t>
      </w:r>
      <w:r w:rsidR="00160D79" w:rsidRPr="004916AD">
        <w:rPr>
          <w:rStyle w:val="EndnoteReference"/>
          <w:b/>
        </w:rPr>
        <w:endnoteReference w:id="23"/>
      </w:r>
      <w:r>
        <w:t xml:space="preserve"> derecho en el </w:t>
      </w:r>
      <w:r>
        <w:rPr>
          <w:i/>
          <w:iCs/>
        </w:rPr>
        <w:t>territorio</w:t>
      </w:r>
      <w:r>
        <w:t xml:space="preserve"> </w:t>
      </w:r>
      <w:r>
        <w:rPr>
          <w:i/>
        </w:rPr>
        <w:t>en cuestión</w:t>
      </w:r>
      <w:r>
        <w:t xml:space="preserve"> en relación con el material de reproducción o de multiplicación.”</w:t>
      </w:r>
    </w:p>
    <w:p w14:paraId="4343BAA5" w14:textId="77777777" w:rsidR="00042465" w:rsidRPr="00175D54" w:rsidRDefault="00042465" w:rsidP="00042465">
      <w:pPr>
        <w:rPr>
          <w:sz w:val="18"/>
        </w:rPr>
      </w:pPr>
    </w:p>
    <w:tbl>
      <w:tblPr>
        <w:tblStyle w:val="TableGrid"/>
        <w:tblW w:w="0" w:type="auto"/>
        <w:tblLook w:val="04A0" w:firstRow="1" w:lastRow="0" w:firstColumn="1" w:lastColumn="0" w:noHBand="0" w:noVBand="1"/>
      </w:tblPr>
      <w:tblGrid>
        <w:gridCol w:w="9629"/>
      </w:tblGrid>
      <w:tr w:rsidR="00042465" w:rsidRPr="00FD7B58" w14:paraId="7CBD4C31" w14:textId="77777777" w:rsidTr="00160D79">
        <w:tc>
          <w:tcPr>
            <w:tcW w:w="9629" w:type="dxa"/>
            <w:shd w:val="clear" w:color="auto" w:fill="F2F2F2" w:themeFill="background1" w:themeFillShade="F2"/>
          </w:tcPr>
          <w:p w14:paraId="185C275B" w14:textId="77777777" w:rsidR="00042465" w:rsidRPr="003B1AC3" w:rsidRDefault="00042465" w:rsidP="00160D79">
            <w:pPr>
              <w:keepNext/>
              <w:rPr>
                <w:sz w:val="10"/>
                <w:szCs w:val="10"/>
              </w:rPr>
            </w:pPr>
          </w:p>
          <w:p w14:paraId="225E989D" w14:textId="77777777" w:rsidR="00042465" w:rsidRPr="00FC710F" w:rsidRDefault="00042465" w:rsidP="00160D79">
            <w:pPr>
              <w:keepNext/>
              <w:rPr>
                <w:sz w:val="18"/>
                <w:szCs w:val="18"/>
              </w:rPr>
            </w:pPr>
            <w:r>
              <w:rPr>
                <w:sz w:val="18"/>
                <w:u w:val="single"/>
              </w:rPr>
              <w:t>Propuestas del Japón</w:t>
            </w:r>
            <w:r w:rsidRPr="00FC710F">
              <w:rPr>
                <w:rStyle w:val="EndnoteReference"/>
                <w:b/>
                <w:sz w:val="18"/>
                <w:szCs w:val="18"/>
              </w:rPr>
              <w:endnoteReference w:id="24"/>
            </w:r>
          </w:p>
          <w:p w14:paraId="22118E9C" w14:textId="77777777" w:rsidR="00042465" w:rsidRDefault="00042465" w:rsidP="00042465">
            <w:pPr>
              <w:keepNext/>
              <w:rPr>
                <w:sz w:val="18"/>
                <w:szCs w:val="18"/>
              </w:rPr>
            </w:pPr>
          </w:p>
          <w:p w14:paraId="1698CCC4" w14:textId="77777777" w:rsidR="00042465" w:rsidRPr="00042465" w:rsidRDefault="00042465" w:rsidP="00042465">
            <w:pPr>
              <w:keepNext/>
              <w:rPr>
                <w:sz w:val="18"/>
                <w:szCs w:val="18"/>
              </w:rPr>
            </w:pPr>
            <w:r>
              <w:rPr>
                <w:sz w:val="18"/>
              </w:rPr>
              <w:t xml:space="preserve">“Con respecto a la propuesta de la ISF, la CIOPORA, </w:t>
            </w:r>
            <w:r>
              <w:rPr>
                <w:i/>
                <w:iCs/>
                <w:sz w:val="18"/>
              </w:rPr>
              <w:t>CropLife International, Euroseeds</w:t>
            </w:r>
            <w:r>
              <w:rPr>
                <w:sz w:val="18"/>
              </w:rPr>
              <w:t xml:space="preserve">, la APSA, la AFSTA y la SAA, preocupa al Japón “la expresión ‘su derecho’, en el Artículo 14.2) del Acta de 1991 del Convenio de la UPOV referido al derecho de obtentor en el territorio en cuestión </w:t>
            </w:r>
            <w:r>
              <w:rPr>
                <w:sz w:val="18"/>
                <w:u w:val="single"/>
              </w:rPr>
              <w:t>donde se utiliza el material de reproducción o de multiplicación</w:t>
            </w:r>
            <w:r>
              <w:rPr>
                <w:sz w:val="18"/>
              </w:rPr>
              <w:t>”.</w:t>
            </w:r>
          </w:p>
          <w:p w14:paraId="7EF449B9" w14:textId="77777777" w:rsidR="00042465" w:rsidRPr="00385EFC" w:rsidRDefault="00042465" w:rsidP="00042465">
            <w:pPr>
              <w:keepNext/>
              <w:rPr>
                <w:sz w:val="8"/>
              </w:rPr>
            </w:pPr>
            <w:r>
              <w:rPr>
                <w:sz w:val="18"/>
              </w:rPr>
              <w:t>Se considera que, esta propuesta no siempre se aplica a todos los Estados miembros, sino solo a los países que integran organizaciones intergubernamentales tales como la Unión Europea. De manera que debe mantenerse el texto original. El nuevo texto debe escribirse por separado, si fuera necesario.”</w:t>
            </w:r>
          </w:p>
        </w:tc>
      </w:tr>
    </w:tbl>
    <w:p w14:paraId="0520FC19" w14:textId="77777777" w:rsidR="00042465" w:rsidRPr="00E23974" w:rsidRDefault="00042465" w:rsidP="00121F03">
      <w:pPr>
        <w:rPr>
          <w:i/>
        </w:rPr>
      </w:pPr>
    </w:p>
    <w:tbl>
      <w:tblPr>
        <w:tblStyle w:val="TableGrid"/>
        <w:tblW w:w="0" w:type="auto"/>
        <w:tblLook w:val="04A0" w:firstRow="1" w:lastRow="0" w:firstColumn="1" w:lastColumn="0" w:noHBand="0" w:noVBand="1"/>
      </w:tblPr>
      <w:tblGrid>
        <w:gridCol w:w="9629"/>
      </w:tblGrid>
      <w:tr w:rsidR="00121F03" w:rsidRPr="00E23974" w14:paraId="4FCCB17D" w14:textId="77777777" w:rsidTr="00B348FD">
        <w:tc>
          <w:tcPr>
            <w:tcW w:w="9629" w:type="dxa"/>
            <w:shd w:val="clear" w:color="auto" w:fill="F2F2F2" w:themeFill="background1" w:themeFillShade="F2"/>
          </w:tcPr>
          <w:p w14:paraId="5D740E24" w14:textId="77777777" w:rsidR="00121F03" w:rsidRPr="00E23974" w:rsidRDefault="00121F03" w:rsidP="00B348FD">
            <w:pPr>
              <w:keepLines/>
              <w:rPr>
                <w:i/>
                <w:sz w:val="10"/>
                <w:szCs w:val="10"/>
              </w:rPr>
            </w:pPr>
          </w:p>
          <w:p w14:paraId="484F6AB9" w14:textId="77777777" w:rsidR="00121F03" w:rsidRPr="00E23974" w:rsidRDefault="00121F03" w:rsidP="00B348FD">
            <w:pPr>
              <w:keepLines/>
              <w:rPr>
                <w:i/>
                <w:sz w:val="18"/>
                <w:szCs w:val="18"/>
              </w:rPr>
            </w:pPr>
            <w:r>
              <w:rPr>
                <w:i/>
                <w:sz w:val="18"/>
                <w:u w:val="single"/>
              </w:rPr>
              <w:t>Propuestas de los Países Bajos</w:t>
            </w:r>
            <w:r w:rsidRPr="00E23974">
              <w:rPr>
                <w:rStyle w:val="EndnoteReference"/>
                <w:b/>
                <w:i/>
                <w:sz w:val="18"/>
                <w:szCs w:val="18"/>
              </w:rPr>
              <w:endnoteReference w:id="25"/>
            </w:r>
            <w:r>
              <w:rPr>
                <w:i/>
                <w:sz w:val="18"/>
                <w:u w:val="single"/>
              </w:rPr>
              <w:t xml:space="preserve"> y la AIPH</w:t>
            </w:r>
            <w:r w:rsidRPr="00E23974">
              <w:rPr>
                <w:rStyle w:val="EndnoteReference"/>
                <w:b/>
                <w:i/>
                <w:sz w:val="18"/>
                <w:szCs w:val="18"/>
              </w:rPr>
              <w:endnoteReference w:id="26"/>
            </w:r>
          </w:p>
          <w:p w14:paraId="29BE0769" w14:textId="77777777" w:rsidR="00121F03" w:rsidRPr="00E23974" w:rsidRDefault="00121F03" w:rsidP="00B348FD">
            <w:pPr>
              <w:keepLines/>
              <w:rPr>
                <w:i/>
                <w:sz w:val="18"/>
                <w:szCs w:val="18"/>
              </w:rPr>
            </w:pPr>
          </w:p>
          <w:p w14:paraId="7A2F1691" w14:textId="42740F1C" w:rsidR="00121F03" w:rsidRPr="00E23974" w:rsidRDefault="00121F03" w:rsidP="00B348FD">
            <w:pPr>
              <w:keepLines/>
              <w:rPr>
                <w:i/>
                <w:sz w:val="18"/>
                <w:szCs w:val="18"/>
              </w:rPr>
            </w:pPr>
            <w:r>
              <w:rPr>
                <w:i/>
                <w:sz w:val="18"/>
              </w:rPr>
              <w:t>La subsección d) “Poder ejercer razonablemente su derecho” ha de modificarse como se indica a continuación:</w:t>
            </w:r>
            <w:r w:rsidR="008A35F6">
              <w:rPr>
                <w:i/>
                <w:sz w:val="18"/>
              </w:rPr>
              <w:t xml:space="preserve"> </w:t>
            </w:r>
          </w:p>
          <w:p w14:paraId="7B81A731" w14:textId="77777777" w:rsidR="00121F03" w:rsidRPr="00E23974" w:rsidRDefault="00121F03" w:rsidP="00B348FD">
            <w:pPr>
              <w:keepLines/>
              <w:rPr>
                <w:i/>
                <w:sz w:val="18"/>
                <w:szCs w:val="18"/>
              </w:rPr>
            </w:pPr>
          </w:p>
          <w:p w14:paraId="37F80002" w14:textId="77777777" w:rsidR="00121F03" w:rsidRPr="00E23974" w:rsidRDefault="00121F03" w:rsidP="00B348FD">
            <w:pPr>
              <w:keepLines/>
              <w:rPr>
                <w:i/>
                <w:sz w:val="18"/>
                <w:szCs w:val="18"/>
                <w:u w:val="single"/>
              </w:rPr>
            </w:pPr>
            <w:r>
              <w:rPr>
                <w:i/>
                <w:sz w:val="18"/>
              </w:rPr>
              <w:t>“</w:t>
            </w:r>
            <w:r>
              <w:rPr>
                <w:i/>
                <w:sz w:val="18"/>
                <w:highlight w:val="lightGray"/>
                <w:u w:val="single"/>
              </w:rPr>
              <w:t>Su derecho</w:t>
            </w:r>
          </w:p>
          <w:p w14:paraId="40251449" w14:textId="77777777" w:rsidR="00121F03" w:rsidRPr="00E23974" w:rsidRDefault="00121F03" w:rsidP="00B348FD">
            <w:pPr>
              <w:keepLines/>
              <w:rPr>
                <w:i/>
                <w:sz w:val="18"/>
                <w:szCs w:val="18"/>
                <w:u w:val="single"/>
              </w:rPr>
            </w:pPr>
          </w:p>
          <w:p w14:paraId="6987F9E7" w14:textId="77777777" w:rsidR="00121F03" w:rsidRPr="00E23974" w:rsidRDefault="00121F03" w:rsidP="00B348FD">
            <w:pPr>
              <w:keepLines/>
              <w:rPr>
                <w:i/>
                <w:sz w:val="18"/>
                <w:szCs w:val="18"/>
              </w:rPr>
            </w:pPr>
          </w:p>
          <w:p w14:paraId="208AF467" w14:textId="601515DC" w:rsidR="00121F03" w:rsidRPr="00E23974" w:rsidRDefault="00121F03" w:rsidP="00B348FD">
            <w:pPr>
              <w:keepLines/>
              <w:rPr>
                <w:i/>
                <w:sz w:val="18"/>
                <w:szCs w:val="18"/>
              </w:rPr>
            </w:pPr>
            <w:r>
              <w:rPr>
                <w:i/>
                <w:strike/>
                <w:sz w:val="18"/>
                <w:highlight w:val="lightGray"/>
              </w:rPr>
              <w:t>13.</w:t>
            </w:r>
            <w:r>
              <w:rPr>
                <w:i/>
                <w:sz w:val="18"/>
              </w:rPr>
              <w:t xml:space="preserve"> </w:t>
            </w:r>
            <w:r>
              <w:rPr>
                <w:i/>
                <w:sz w:val="18"/>
                <w:highlight w:val="lightGray"/>
                <w:u w:val="single"/>
              </w:rPr>
              <w:t>12.</w:t>
            </w:r>
            <w:r w:rsidR="008A35F6">
              <w:rPr>
                <w:i/>
                <w:sz w:val="18"/>
                <w:highlight w:val="lightGray"/>
                <w:u w:val="single"/>
              </w:rPr>
              <w:t xml:space="preserve"> </w:t>
            </w:r>
            <w:r>
              <w:rPr>
                <w:i/>
                <w:sz w:val="18"/>
              </w:rPr>
              <w:t>El término ‘su derecho’, contenido en el Artículo 14.2) del Acta de 1991, se refiere al derecho del obtentor en el territorio en cuestión (véase el párrafo 4 del presente documento):</w:t>
            </w:r>
            <w:r w:rsidR="008A35F6">
              <w:rPr>
                <w:i/>
                <w:sz w:val="18"/>
              </w:rPr>
              <w:t xml:space="preserve"> </w:t>
            </w:r>
            <w:r>
              <w:rPr>
                <w:i/>
                <w:sz w:val="18"/>
              </w:rPr>
              <w:t>un obtentor solo puede ejercer su derecho en ese territorio.</w:t>
            </w:r>
            <w:r w:rsidR="008A35F6">
              <w:rPr>
                <w:i/>
                <w:sz w:val="18"/>
              </w:rPr>
              <w:t xml:space="preserve"> </w:t>
            </w:r>
            <w:r>
              <w:rPr>
                <w:i/>
                <w:sz w:val="18"/>
              </w:rPr>
              <w:t>En consecuencia, por ‘ejercer su derecho’ en relación con el material de reproducción o de multiplicación se entiende el ejercicio de su derecho en el territorio en cuestión en relación con el material de reproducción o de multiplicación.</w:t>
            </w:r>
          </w:p>
          <w:p w14:paraId="0DCED2F6" w14:textId="77777777" w:rsidR="00121F03" w:rsidRPr="00E23974" w:rsidRDefault="00121F03" w:rsidP="00B348FD">
            <w:pPr>
              <w:keepLines/>
              <w:rPr>
                <w:i/>
                <w:sz w:val="18"/>
                <w:szCs w:val="18"/>
              </w:rPr>
            </w:pPr>
          </w:p>
          <w:p w14:paraId="527FDC0A" w14:textId="039BF152" w:rsidR="00121F03" w:rsidRPr="00E23974" w:rsidRDefault="00121F03" w:rsidP="00B348FD">
            <w:pPr>
              <w:keepLines/>
              <w:rPr>
                <w:i/>
                <w:sz w:val="18"/>
                <w:szCs w:val="18"/>
              </w:rPr>
            </w:pPr>
            <w:r>
              <w:rPr>
                <w:i/>
                <w:strike/>
                <w:sz w:val="18"/>
                <w:highlight w:val="lightGray"/>
              </w:rPr>
              <w:t>12.</w:t>
            </w:r>
            <w:r>
              <w:rPr>
                <w:i/>
                <w:sz w:val="18"/>
              </w:rPr>
              <w:t xml:space="preserve"> </w:t>
            </w:r>
            <w:r>
              <w:rPr>
                <w:i/>
                <w:sz w:val="18"/>
                <w:highlight w:val="lightGray"/>
                <w:u w:val="single"/>
              </w:rPr>
              <w:t>13.</w:t>
            </w:r>
            <w:r w:rsidR="008A35F6">
              <w:rPr>
                <w:i/>
                <w:sz w:val="18"/>
                <w:highlight w:val="lightGray"/>
                <w:u w:val="single"/>
              </w:rPr>
              <w:t xml:space="preserve"> </w:t>
            </w:r>
            <w:r>
              <w:rPr>
                <w:i/>
                <w:sz w:val="18"/>
              </w:rPr>
              <w:t>Las disposiciones previstas en el Artículo 14.2) del Acta de 1991 indican que los obtentores s</w:t>
            </w:r>
            <w:r w:rsidR="00F00A54">
              <w:rPr>
                <w:i/>
                <w:sz w:val="18"/>
              </w:rPr>
              <w:t>o</w:t>
            </w:r>
            <w:r>
              <w:rPr>
                <w:i/>
                <w:sz w:val="18"/>
              </w:rPr>
              <w:t>lo pueden ejercer su derecho en relación con el producto de la cosecha si no han ‘podido ejercer razonablemente’ su derecho en relación con el material de reproducción o de multiplicación.</w:t>
            </w:r>
          </w:p>
          <w:p w14:paraId="0E296013" w14:textId="77777777" w:rsidR="00121F03" w:rsidRPr="00E23974" w:rsidRDefault="00121F03" w:rsidP="00B348FD">
            <w:pPr>
              <w:keepLines/>
              <w:rPr>
                <w:i/>
                <w:sz w:val="18"/>
                <w:szCs w:val="18"/>
              </w:rPr>
            </w:pPr>
          </w:p>
          <w:p w14:paraId="645776B7" w14:textId="77777777" w:rsidR="00121F03" w:rsidRPr="00E23974" w:rsidRDefault="00121F03" w:rsidP="00B348FD">
            <w:pPr>
              <w:keepLines/>
              <w:rPr>
                <w:i/>
                <w:sz w:val="18"/>
                <w:szCs w:val="18"/>
                <w:u w:val="single"/>
              </w:rPr>
            </w:pPr>
            <w:r>
              <w:rPr>
                <w:i/>
                <w:sz w:val="18"/>
                <w:highlight w:val="lightGray"/>
                <w:u w:val="single"/>
              </w:rPr>
              <w:t>Poder ejercer razonablemente</w:t>
            </w:r>
          </w:p>
          <w:p w14:paraId="0A724511" w14:textId="77777777" w:rsidR="00121F03" w:rsidRPr="00E23974" w:rsidRDefault="00121F03" w:rsidP="00B348FD">
            <w:pPr>
              <w:keepLines/>
              <w:rPr>
                <w:i/>
                <w:sz w:val="16"/>
                <w:szCs w:val="18"/>
              </w:rPr>
            </w:pPr>
          </w:p>
          <w:p w14:paraId="5CD056F2" w14:textId="60906353" w:rsidR="00121F03" w:rsidRPr="00E23974" w:rsidRDefault="00121F03" w:rsidP="00B348FD">
            <w:pPr>
              <w:keepLines/>
              <w:rPr>
                <w:i/>
                <w:sz w:val="18"/>
                <w:szCs w:val="18"/>
                <w:highlight w:val="lightGray"/>
                <w:u w:val="single"/>
              </w:rPr>
            </w:pPr>
            <w:r>
              <w:rPr>
                <w:i/>
                <w:sz w:val="18"/>
                <w:highlight w:val="lightGray"/>
                <w:u w:val="single"/>
              </w:rPr>
              <w:t>14.</w:t>
            </w:r>
            <w:r w:rsidR="008A35F6">
              <w:rPr>
                <w:i/>
                <w:sz w:val="18"/>
                <w:highlight w:val="lightGray"/>
                <w:u w:val="single"/>
              </w:rPr>
              <w:t xml:space="preserve"> </w:t>
            </w:r>
            <w:r>
              <w:rPr>
                <w:i/>
                <w:sz w:val="18"/>
                <w:highlight w:val="lightGray"/>
                <w:u w:val="single"/>
              </w:rPr>
              <w:t xml:space="preserve">No se puede considerar que el titular del derecho haya podido ejercer razonablemente su derecho (territorial) contra un producto de la cosecha importado cuando este se haya importado al territorio en cuestión y la utilización de material de reproducción o de multiplicación y, consiguientemente, la obtención de producto de la cosecha hayan tenido lugar fuera de ese territorio. Con arreglo al Artículo 16.1)i) del Acta de 1991, el alcance del derecho —y de los actos enumerados en el Artículo 14.1— no se extiende a otros territorios distintos del territorio en cuestión. </w:t>
            </w:r>
          </w:p>
          <w:p w14:paraId="3FA45D7A" w14:textId="77777777" w:rsidR="00121F03" w:rsidRPr="00E23974" w:rsidRDefault="00121F03" w:rsidP="00B348FD">
            <w:pPr>
              <w:keepLines/>
              <w:rPr>
                <w:i/>
                <w:sz w:val="18"/>
                <w:szCs w:val="18"/>
                <w:highlight w:val="lightGray"/>
                <w:u w:val="single"/>
              </w:rPr>
            </w:pPr>
          </w:p>
          <w:p w14:paraId="1FA2E9D0" w14:textId="10859163" w:rsidR="00121F03" w:rsidRPr="00E23974" w:rsidRDefault="00121F03" w:rsidP="00B348FD">
            <w:pPr>
              <w:keepLines/>
              <w:rPr>
                <w:i/>
                <w:sz w:val="18"/>
                <w:szCs w:val="18"/>
                <w:highlight w:val="lightGray"/>
                <w:u w:val="single"/>
              </w:rPr>
            </w:pPr>
            <w:r>
              <w:rPr>
                <w:i/>
                <w:sz w:val="18"/>
                <w:highlight w:val="lightGray"/>
                <w:u w:val="single"/>
              </w:rPr>
              <w:t>15.</w:t>
            </w:r>
            <w:r w:rsidR="008A35F6">
              <w:rPr>
                <w:i/>
                <w:sz w:val="18"/>
                <w:highlight w:val="lightGray"/>
                <w:u w:val="single"/>
              </w:rPr>
              <w:t xml:space="preserve"> </w:t>
            </w:r>
            <w:r>
              <w:rPr>
                <w:i/>
                <w:sz w:val="18"/>
                <w:highlight w:val="lightGray"/>
                <w:u w:val="single"/>
              </w:rPr>
              <w:t xml:space="preserve">Los párrafos 1 y 2 del Artículo 14 del Convenio de la UPOV no imponen al titular del derecho la obligación de solicitar protección del derecho de obtentor en todo el mundo. No sería ese un requisito razonable ni, por consiguiente, se podría ejercer razonablemente el derecho. </w:t>
            </w:r>
          </w:p>
          <w:p w14:paraId="47F097E5" w14:textId="77777777" w:rsidR="00121F03" w:rsidRPr="00E23974" w:rsidRDefault="00121F03" w:rsidP="00B348FD">
            <w:pPr>
              <w:keepLines/>
              <w:rPr>
                <w:i/>
                <w:sz w:val="18"/>
                <w:szCs w:val="18"/>
                <w:highlight w:val="lightGray"/>
                <w:u w:val="single"/>
              </w:rPr>
            </w:pPr>
          </w:p>
          <w:p w14:paraId="74000308" w14:textId="2CEC0D28" w:rsidR="00121F03" w:rsidRPr="00E23974" w:rsidRDefault="00121F03" w:rsidP="00B348FD">
            <w:pPr>
              <w:keepLines/>
              <w:rPr>
                <w:i/>
                <w:sz w:val="18"/>
                <w:szCs w:val="18"/>
                <w:highlight w:val="lightGray"/>
                <w:u w:val="single"/>
              </w:rPr>
            </w:pPr>
            <w:r>
              <w:rPr>
                <w:i/>
                <w:sz w:val="18"/>
                <w:highlight w:val="lightGray"/>
                <w:u w:val="single"/>
              </w:rPr>
              <w:t>16.</w:t>
            </w:r>
            <w:r w:rsidR="008A35F6">
              <w:rPr>
                <w:i/>
                <w:sz w:val="18"/>
                <w:highlight w:val="lightGray"/>
                <w:u w:val="single"/>
              </w:rPr>
              <w:t xml:space="preserve"> </w:t>
            </w:r>
            <w:r>
              <w:rPr>
                <w:i/>
                <w:sz w:val="18"/>
                <w:highlight w:val="lightGray"/>
                <w:u w:val="single"/>
              </w:rPr>
              <w:t>Para poder ejercer razonablemente el derecho, su titular: a) ha de tener conocimiento de la presunta utilización no autorizada de material de reproducción o de multiplicación; y b) ha de disponer de medios para ejercerlo.</w:t>
            </w:r>
          </w:p>
          <w:p w14:paraId="3F8137C0" w14:textId="77777777" w:rsidR="00121F03" w:rsidRPr="00E23974" w:rsidRDefault="00121F03" w:rsidP="00B348FD">
            <w:pPr>
              <w:keepLines/>
              <w:rPr>
                <w:i/>
                <w:sz w:val="18"/>
                <w:szCs w:val="18"/>
                <w:highlight w:val="lightGray"/>
                <w:u w:val="single"/>
              </w:rPr>
            </w:pPr>
          </w:p>
          <w:p w14:paraId="5B44A5AD" w14:textId="1E891AF0" w:rsidR="00121F03" w:rsidRPr="00E23974" w:rsidRDefault="00121F03" w:rsidP="00B348FD">
            <w:pPr>
              <w:keepLines/>
              <w:rPr>
                <w:i/>
                <w:sz w:val="18"/>
                <w:szCs w:val="18"/>
                <w:highlight w:val="lightGray"/>
                <w:u w:val="single"/>
              </w:rPr>
            </w:pPr>
            <w:r>
              <w:rPr>
                <w:i/>
                <w:sz w:val="18"/>
                <w:highlight w:val="lightGray"/>
                <w:u w:val="single"/>
              </w:rPr>
              <w:t>17.</w:t>
            </w:r>
            <w:r w:rsidR="008A35F6">
              <w:rPr>
                <w:i/>
                <w:sz w:val="18"/>
                <w:highlight w:val="lightGray"/>
                <w:u w:val="single"/>
              </w:rPr>
              <w:t xml:space="preserve"> </w:t>
            </w:r>
            <w:r>
              <w:rPr>
                <w:i/>
                <w:sz w:val="18"/>
                <w:highlight w:val="lightGray"/>
                <w:u w:val="single"/>
              </w:rPr>
              <w:t>Ejercer su derecho implica que se le ha concedido un derecho.</w:t>
            </w:r>
            <w:r w:rsidR="008A35F6">
              <w:rPr>
                <w:i/>
                <w:sz w:val="18"/>
                <w:highlight w:val="lightGray"/>
                <w:u w:val="single"/>
              </w:rPr>
              <w:t xml:space="preserve"> </w:t>
            </w:r>
            <w:r>
              <w:rPr>
                <w:i/>
                <w:sz w:val="18"/>
                <w:highlight w:val="lightGray"/>
                <w:u w:val="single"/>
              </w:rPr>
              <w:t xml:space="preserve">Solo en ese caso puede hacerlo valer. </w:t>
            </w:r>
          </w:p>
          <w:p w14:paraId="140A0A5D" w14:textId="77777777" w:rsidR="0044572C" w:rsidRPr="00E23974" w:rsidRDefault="0044572C" w:rsidP="00B348FD">
            <w:pPr>
              <w:keepLines/>
              <w:rPr>
                <w:i/>
                <w:sz w:val="18"/>
                <w:szCs w:val="18"/>
                <w:highlight w:val="lightGray"/>
                <w:u w:val="single"/>
              </w:rPr>
            </w:pPr>
          </w:p>
          <w:p w14:paraId="2F31A040" w14:textId="465668BF" w:rsidR="00121F03" w:rsidRPr="00E23974" w:rsidRDefault="00121F03" w:rsidP="00B348FD">
            <w:pPr>
              <w:keepLines/>
              <w:rPr>
                <w:i/>
                <w:sz w:val="18"/>
                <w:szCs w:val="18"/>
                <w:u w:val="single"/>
              </w:rPr>
            </w:pPr>
            <w:r>
              <w:rPr>
                <w:i/>
                <w:sz w:val="18"/>
                <w:highlight w:val="lightGray"/>
                <w:u w:val="single"/>
              </w:rPr>
              <w:t>18.</w:t>
            </w:r>
            <w:r w:rsidR="008A35F6">
              <w:rPr>
                <w:i/>
                <w:sz w:val="18"/>
                <w:highlight w:val="lightGray"/>
                <w:u w:val="single"/>
              </w:rPr>
              <w:t xml:space="preserve"> </w:t>
            </w:r>
            <w:r>
              <w:rPr>
                <w:i/>
                <w:sz w:val="18"/>
                <w:highlight w:val="lightGray"/>
                <w:u w:val="single"/>
              </w:rPr>
              <w:t>El derecho se puede ejercer en cuanto sea concedido.</w:t>
            </w:r>
            <w:r w:rsidR="008A35F6">
              <w:rPr>
                <w:i/>
                <w:sz w:val="18"/>
                <w:highlight w:val="lightGray"/>
                <w:u w:val="single"/>
              </w:rPr>
              <w:t xml:space="preserve"> </w:t>
            </w:r>
            <w:r>
              <w:rPr>
                <w:i/>
                <w:sz w:val="18"/>
                <w:highlight w:val="lightGray"/>
                <w:u w:val="single"/>
              </w:rPr>
              <w:t>La posibilidad de ejercer el derecho respecto del producto de la cosecha dependerá de si la utilización de material de reproducción o de multiplicación —que haya derivado en la obtención de producto de la cosecha— puede considerarse no autorizada.</w:t>
            </w:r>
          </w:p>
          <w:p w14:paraId="1DDD96A3" w14:textId="7916D01A" w:rsidR="00121F03" w:rsidRPr="00E23974" w:rsidRDefault="00B620D5" w:rsidP="00B620D5">
            <w:pPr>
              <w:keepLines/>
              <w:jc w:val="center"/>
              <w:rPr>
                <w:i/>
                <w:sz w:val="18"/>
                <w:szCs w:val="18"/>
              </w:rPr>
            </w:pPr>
            <w:r w:rsidRPr="004C1EBD">
              <w:rPr>
                <w:rFonts w:cs="Arial"/>
                <w:noProof/>
                <w:snapToGrid w:val="0"/>
                <w:sz w:val="16"/>
                <w:szCs w:val="18"/>
                <w:u w:val="single"/>
                <w:lang w:val="en-US"/>
              </w:rPr>
              <w:lastRenderedPageBreak/>
              <w:drawing>
                <wp:inline distT="0" distB="0" distL="0" distR="0" wp14:anchorId="7B3A5FC4" wp14:editId="0978D8D1">
                  <wp:extent cx="3957288" cy="301625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67196" cy="3023802"/>
                          </a:xfrm>
                          <a:prstGeom prst="rect">
                            <a:avLst/>
                          </a:prstGeom>
                          <a:noFill/>
                          <a:ln>
                            <a:noFill/>
                          </a:ln>
                        </pic:spPr>
                      </pic:pic>
                    </a:graphicData>
                  </a:graphic>
                </wp:inline>
              </w:drawing>
            </w:r>
          </w:p>
          <w:p w14:paraId="58E8A775" w14:textId="41DDAF75" w:rsidR="00121F03" w:rsidRPr="00E23974" w:rsidRDefault="00121F03" w:rsidP="00B348FD">
            <w:pPr>
              <w:keepLines/>
              <w:jc w:val="center"/>
              <w:rPr>
                <w:i/>
                <w:sz w:val="18"/>
                <w:szCs w:val="18"/>
              </w:rPr>
            </w:pPr>
          </w:p>
          <w:p w14:paraId="706D0ED7" w14:textId="77777777" w:rsidR="00121F03" w:rsidRPr="00E23974" w:rsidRDefault="00121F03" w:rsidP="00B348FD">
            <w:pPr>
              <w:keepLines/>
              <w:rPr>
                <w:rFonts w:cs="Arial"/>
                <w:i/>
                <w:snapToGrid w:val="0"/>
                <w:sz w:val="16"/>
                <w:szCs w:val="18"/>
                <w:u w:val="single"/>
              </w:rPr>
            </w:pPr>
            <w:bookmarkStart w:id="26" w:name="_Hlk90042096"/>
          </w:p>
          <w:p w14:paraId="22DF380E" w14:textId="77777777" w:rsidR="00121F03" w:rsidRPr="00E23974" w:rsidRDefault="00121F03" w:rsidP="00B348FD">
            <w:pPr>
              <w:keepLines/>
              <w:rPr>
                <w:rFonts w:cs="Arial"/>
                <w:i/>
                <w:snapToGrid w:val="0"/>
                <w:sz w:val="16"/>
                <w:szCs w:val="18"/>
                <w:u w:val="single"/>
              </w:rPr>
            </w:pPr>
          </w:p>
          <w:p w14:paraId="687644EE" w14:textId="77777777" w:rsidR="00121F03" w:rsidRPr="00E23974" w:rsidRDefault="00121F03" w:rsidP="00B348FD">
            <w:pPr>
              <w:keepNext/>
              <w:keepLines/>
              <w:rPr>
                <w:rFonts w:cs="Arial"/>
                <w:b/>
                <w:i/>
                <w:snapToGrid w:val="0"/>
                <w:sz w:val="18"/>
                <w:szCs w:val="18"/>
                <w:highlight w:val="lightGray"/>
                <w:u w:val="single"/>
              </w:rPr>
            </w:pPr>
            <w:r>
              <w:rPr>
                <w:b/>
                <w:i/>
                <w:snapToGrid w:val="0"/>
                <w:sz w:val="18"/>
                <w:highlight w:val="lightGray"/>
                <w:u w:val="single"/>
              </w:rPr>
              <w:t>Ejemplo 1</w:t>
            </w:r>
          </w:p>
          <w:p w14:paraId="1C3F421E" w14:textId="77777777" w:rsidR="00121F03" w:rsidRPr="00E23974" w:rsidRDefault="00121F03" w:rsidP="00B348FD">
            <w:pPr>
              <w:keepNext/>
              <w:keepLines/>
              <w:rPr>
                <w:rFonts w:cs="Arial"/>
                <w:i/>
                <w:snapToGrid w:val="0"/>
                <w:sz w:val="18"/>
                <w:szCs w:val="18"/>
                <w:highlight w:val="lightGray"/>
                <w:u w:val="single"/>
              </w:rPr>
            </w:pPr>
          </w:p>
          <w:p w14:paraId="41D842B4" w14:textId="77777777" w:rsidR="00121F03" w:rsidRPr="00E23974" w:rsidRDefault="00121F03" w:rsidP="00B348FD">
            <w:pPr>
              <w:keepNext/>
              <w:keepLines/>
              <w:rPr>
                <w:rFonts w:cs="Arial"/>
                <w:i/>
                <w:strike/>
                <w:snapToGrid w:val="0"/>
                <w:sz w:val="18"/>
                <w:szCs w:val="18"/>
                <w:highlight w:val="lightGray"/>
                <w:u w:val="single"/>
              </w:rPr>
            </w:pPr>
            <w:r>
              <w:rPr>
                <w:i/>
                <w:snapToGrid w:val="0"/>
                <w:sz w:val="18"/>
                <w:highlight w:val="lightGray"/>
                <w:u w:val="single"/>
              </w:rPr>
              <w:t xml:space="preserve">Importación no autorizada de producto de la cosecha del país B al país A </w:t>
            </w:r>
          </w:p>
          <w:p w14:paraId="2083CA03" w14:textId="77777777" w:rsidR="00121F03" w:rsidRPr="00E23974" w:rsidRDefault="00121F03" w:rsidP="00B348FD">
            <w:pPr>
              <w:keepNext/>
              <w:keepLines/>
              <w:rPr>
                <w:rFonts w:cs="Arial"/>
                <w:i/>
                <w:snapToGrid w:val="0"/>
                <w:sz w:val="18"/>
                <w:szCs w:val="18"/>
                <w:highlight w:val="lightGray"/>
                <w:u w:val="single"/>
              </w:rPr>
            </w:pPr>
          </w:p>
          <w:bookmarkEnd w:id="26"/>
          <w:p w14:paraId="7AE987AA" w14:textId="3D15673E" w:rsidR="00121F03" w:rsidRPr="00E23974" w:rsidRDefault="00121F03" w:rsidP="00B348FD">
            <w:pPr>
              <w:keepNext/>
              <w:keepLines/>
              <w:rPr>
                <w:rFonts w:cs="Arial"/>
                <w:i/>
                <w:snapToGrid w:val="0"/>
                <w:sz w:val="18"/>
                <w:szCs w:val="18"/>
                <w:highlight w:val="lightGray"/>
                <w:u w:val="single"/>
              </w:rPr>
            </w:pPr>
            <w:r>
              <w:rPr>
                <w:i/>
                <w:snapToGrid w:val="0"/>
                <w:sz w:val="18"/>
                <w:highlight w:val="lightGray"/>
                <w:u w:val="single"/>
              </w:rPr>
              <w:t>El titular del derecho de la variedad 1 puede ejercer su derecho sobre el producto de la cosecha importado si el material de reproducción o de multiplicación se comercializó en el territorio en cuestión (país A) por primera vez</w:t>
            </w:r>
            <w:r>
              <w:rPr>
                <w:i/>
                <w:sz w:val="18"/>
              </w:rPr>
              <w:t>.</w:t>
            </w:r>
            <w:r w:rsidR="008A35F6">
              <w:rPr>
                <w:i/>
                <w:snapToGrid w:val="0"/>
                <w:sz w:val="18"/>
                <w:highlight w:val="lightGray"/>
                <w:u w:val="single"/>
              </w:rPr>
              <w:t xml:space="preserve"> </w:t>
            </w:r>
            <w:r>
              <w:rPr>
                <w:i/>
                <w:snapToGrid w:val="0"/>
                <w:sz w:val="18"/>
                <w:highlight w:val="lightGray"/>
                <w:u w:val="single"/>
              </w:rPr>
              <w:t>No cabe el agotamiento del derecho en virtud del Artículo 16 del Convenio de la UPOV si el titular del derecho no otorgó su consentimiento para el ‘acto’ de importación de producto de la cosecha.</w:t>
            </w:r>
          </w:p>
          <w:p w14:paraId="6C0675E6" w14:textId="77777777" w:rsidR="00121F03" w:rsidRPr="00E23974" w:rsidRDefault="00121F03" w:rsidP="00B348FD">
            <w:pPr>
              <w:keepNext/>
              <w:keepLines/>
              <w:rPr>
                <w:i/>
                <w:sz w:val="16"/>
                <w:highlight w:val="lightGray"/>
              </w:rPr>
            </w:pPr>
          </w:p>
          <w:p w14:paraId="4EE5DD2F" w14:textId="77777777" w:rsidR="00121F03" w:rsidRPr="00E23974" w:rsidRDefault="00121F03" w:rsidP="00B348FD">
            <w:pPr>
              <w:pStyle w:val="BasistekstNaktuinbouw"/>
              <w:keepNext/>
              <w:keepLines/>
              <w:spacing w:line="240" w:lineRule="auto"/>
              <w:rPr>
                <w:i/>
                <w:sz w:val="18"/>
              </w:rPr>
            </w:pPr>
          </w:p>
          <w:p w14:paraId="63632BD0" w14:textId="77777777" w:rsidR="00121F03" w:rsidRPr="00E23974" w:rsidRDefault="00121F03" w:rsidP="00B348FD">
            <w:pPr>
              <w:pStyle w:val="BasistekstNaktuinbouw"/>
              <w:keepNext/>
              <w:keepLines/>
              <w:spacing w:line="240" w:lineRule="auto"/>
              <w:rPr>
                <w:rFonts w:cs="Arial"/>
                <w:b/>
                <w:bCs/>
                <w:i/>
                <w:sz w:val="18"/>
                <w:highlight w:val="lightGray"/>
                <w:u w:val="single"/>
              </w:rPr>
            </w:pPr>
            <w:r>
              <w:rPr>
                <w:b/>
                <w:i/>
                <w:sz w:val="18"/>
                <w:highlight w:val="lightGray"/>
                <w:u w:val="single"/>
              </w:rPr>
              <w:t>Ejemplo 2</w:t>
            </w:r>
          </w:p>
          <w:p w14:paraId="6E94BF4C" w14:textId="77777777" w:rsidR="00121F03" w:rsidRPr="008A35F6" w:rsidRDefault="00121F03" w:rsidP="00B348FD">
            <w:pPr>
              <w:pStyle w:val="BasistekstNaktuinbouw"/>
              <w:keepNext/>
              <w:keepLines/>
              <w:spacing w:line="240" w:lineRule="auto"/>
              <w:rPr>
                <w:rFonts w:cs="Arial"/>
                <w:i/>
                <w:sz w:val="18"/>
                <w:highlight w:val="lightGray"/>
                <w:u w:val="single"/>
              </w:rPr>
            </w:pPr>
          </w:p>
          <w:p w14:paraId="5B7BC6A9" w14:textId="77777777" w:rsidR="00121F03" w:rsidRPr="00E23974" w:rsidRDefault="00121F03" w:rsidP="00B348FD">
            <w:pPr>
              <w:keepNext/>
              <w:keepLines/>
              <w:rPr>
                <w:rFonts w:cs="Arial"/>
                <w:i/>
                <w:strike/>
                <w:snapToGrid w:val="0"/>
                <w:sz w:val="18"/>
                <w:szCs w:val="18"/>
                <w:highlight w:val="lightGray"/>
                <w:u w:val="single"/>
              </w:rPr>
            </w:pPr>
            <w:r>
              <w:rPr>
                <w:i/>
                <w:snapToGrid w:val="0"/>
                <w:sz w:val="18"/>
                <w:highlight w:val="lightGray"/>
                <w:u w:val="single"/>
              </w:rPr>
              <w:t>Uno de los actos enumerados en el Artículo 14.1 del Convenio de la UPOV se refiere al producto de la cosecha (dentro del mismo territorio o de la misma región)</w:t>
            </w:r>
          </w:p>
          <w:p w14:paraId="36812B92" w14:textId="77777777" w:rsidR="00121F03" w:rsidRPr="008A35F6" w:rsidRDefault="00121F03" w:rsidP="00B348FD">
            <w:pPr>
              <w:pStyle w:val="BasistekstNaktuinbouw"/>
              <w:keepNext/>
              <w:keepLines/>
              <w:spacing w:line="240" w:lineRule="auto"/>
              <w:rPr>
                <w:rFonts w:cs="Arial"/>
                <w:i/>
                <w:sz w:val="18"/>
                <w:highlight w:val="lightGray"/>
                <w:u w:val="single"/>
              </w:rPr>
            </w:pPr>
          </w:p>
          <w:p w14:paraId="14714247" w14:textId="77777777" w:rsidR="00121F03" w:rsidRPr="00E23974" w:rsidRDefault="00121F03" w:rsidP="00B348FD">
            <w:pPr>
              <w:pStyle w:val="BasistekstNaktuinbouw"/>
              <w:keepNext/>
              <w:keepLines/>
              <w:spacing w:line="240" w:lineRule="auto"/>
              <w:rPr>
                <w:rFonts w:cs="Arial"/>
                <w:i/>
                <w:sz w:val="18"/>
                <w:highlight w:val="lightGray"/>
                <w:u w:val="single"/>
              </w:rPr>
            </w:pPr>
            <w:r>
              <w:rPr>
                <w:i/>
                <w:sz w:val="18"/>
                <w:highlight w:val="lightGray"/>
                <w:u w:val="single"/>
              </w:rPr>
              <w:t>La misma situación, excepto por el hecho de que:</w:t>
            </w:r>
          </w:p>
          <w:p w14:paraId="58086726" w14:textId="77777777" w:rsidR="00121F03" w:rsidRPr="008A35F6" w:rsidRDefault="00121F03" w:rsidP="00B348FD">
            <w:pPr>
              <w:pStyle w:val="BasistekstNaktuinbouw"/>
              <w:keepNext/>
              <w:keepLines/>
              <w:spacing w:line="240" w:lineRule="auto"/>
              <w:rPr>
                <w:rFonts w:cs="Arial"/>
                <w:i/>
                <w:sz w:val="18"/>
                <w:highlight w:val="lightGray"/>
                <w:u w:val="single"/>
              </w:rPr>
            </w:pPr>
          </w:p>
          <w:p w14:paraId="5569EFF9" w14:textId="77777777" w:rsidR="00121F03" w:rsidRPr="00E23974" w:rsidRDefault="00121F03" w:rsidP="00B348FD">
            <w:pPr>
              <w:pStyle w:val="BasistekstNaktuinbouw"/>
              <w:keepNext/>
              <w:keepLines/>
              <w:spacing w:line="240" w:lineRule="auto"/>
              <w:ind w:firstLine="562"/>
              <w:rPr>
                <w:rFonts w:cs="Arial"/>
                <w:i/>
                <w:color w:val="auto"/>
                <w:sz w:val="18"/>
                <w:highlight w:val="lightGray"/>
                <w:u w:val="single"/>
              </w:rPr>
            </w:pPr>
            <w:r>
              <w:rPr>
                <w:i/>
                <w:sz w:val="18"/>
                <w:highlight w:val="lightGray"/>
                <w:u w:val="single"/>
              </w:rPr>
              <w:t>a) la persona jurídica A y la persona jurídica B están establecidas en la misma región</w:t>
            </w:r>
            <w:r>
              <w:rPr>
                <w:i/>
                <w:color w:val="auto"/>
                <w:sz w:val="18"/>
                <w:highlight w:val="lightGray"/>
                <w:u w:val="single"/>
              </w:rPr>
              <w:t xml:space="preserve"> o el </w:t>
            </w:r>
            <w:r>
              <w:rPr>
                <w:i/>
                <w:sz w:val="18"/>
                <w:highlight w:val="lightGray"/>
                <w:u w:val="single"/>
              </w:rPr>
              <w:t>mismo territorio (Artículo 16.3 del Convenio de la UPOV), por ejemplo la Unión Europea.</w:t>
            </w:r>
            <w:r>
              <w:rPr>
                <w:i/>
                <w:color w:val="auto"/>
                <w:sz w:val="18"/>
                <w:highlight w:val="lightGray"/>
                <w:u w:val="single"/>
              </w:rPr>
              <w:t xml:space="preserve"> Es comparable a la situación en la que uno de los actos enumerados en el Artículo 14.1 del Convenio de la UPOV respecto del material de reproducción o de multiplicación y del producto de la cosecha tiene lugar en un territorio (un país). </w:t>
            </w:r>
          </w:p>
          <w:p w14:paraId="5C28151F" w14:textId="77777777" w:rsidR="00121F03" w:rsidRPr="008A35F6" w:rsidRDefault="00121F03" w:rsidP="00B348FD">
            <w:pPr>
              <w:pStyle w:val="BasistekstNaktuinbouw"/>
              <w:keepNext/>
              <w:keepLines/>
              <w:spacing w:line="240" w:lineRule="auto"/>
              <w:rPr>
                <w:rFonts w:cs="Arial"/>
                <w:i/>
                <w:color w:val="auto"/>
                <w:sz w:val="18"/>
                <w:highlight w:val="lightGray"/>
                <w:u w:val="single"/>
              </w:rPr>
            </w:pPr>
          </w:p>
          <w:p w14:paraId="08BF3529" w14:textId="77777777" w:rsidR="00121F03" w:rsidRPr="00E23974" w:rsidRDefault="00121F03" w:rsidP="00B348FD">
            <w:pPr>
              <w:pStyle w:val="BasistekstNaktuinbouw"/>
              <w:keepNext/>
              <w:keepLines/>
              <w:spacing w:line="240" w:lineRule="auto"/>
              <w:ind w:firstLine="562"/>
              <w:rPr>
                <w:rFonts w:cs="Arial"/>
                <w:i/>
                <w:color w:val="auto"/>
                <w:sz w:val="18"/>
                <w:highlight w:val="lightGray"/>
                <w:u w:val="single"/>
              </w:rPr>
            </w:pPr>
            <w:r>
              <w:rPr>
                <w:i/>
                <w:color w:val="auto"/>
                <w:sz w:val="18"/>
                <w:highlight w:val="lightGray"/>
                <w:u w:val="single"/>
              </w:rPr>
              <w:t xml:space="preserve">b) la persona jurídica B utiliza material de reproducción o de multiplicación para producir una cosecha de la variedad 1, de la persona jurídica A, sin el consentimiento de esta y vende o comercializa producto de la cosecha a otra persona jurídica en el mismo territorio. </w:t>
            </w:r>
          </w:p>
          <w:p w14:paraId="2A6712C7" w14:textId="77777777" w:rsidR="00121F03" w:rsidRPr="008A35F6" w:rsidRDefault="00121F03" w:rsidP="00B348FD">
            <w:pPr>
              <w:pStyle w:val="BasistekstNaktuinbouw"/>
              <w:keepNext/>
              <w:keepLines/>
              <w:spacing w:line="240" w:lineRule="auto"/>
              <w:rPr>
                <w:rFonts w:cs="Arial"/>
                <w:i/>
                <w:color w:val="auto"/>
                <w:sz w:val="18"/>
                <w:highlight w:val="lightGray"/>
                <w:u w:val="single"/>
              </w:rPr>
            </w:pPr>
          </w:p>
          <w:p w14:paraId="4F482E90" w14:textId="77777777" w:rsidR="00121F03" w:rsidRPr="00E23974" w:rsidRDefault="00121F03" w:rsidP="00B348FD">
            <w:pPr>
              <w:pStyle w:val="BasistekstNaktuinbouw"/>
              <w:keepNext/>
              <w:keepLines/>
              <w:spacing w:line="240" w:lineRule="auto"/>
              <w:rPr>
                <w:rFonts w:cs="Arial"/>
                <w:i/>
                <w:color w:val="auto"/>
                <w:sz w:val="18"/>
                <w:highlight w:val="lightGray"/>
                <w:u w:val="single"/>
              </w:rPr>
            </w:pPr>
            <w:r>
              <w:rPr>
                <w:i/>
                <w:color w:val="auto"/>
                <w:sz w:val="18"/>
                <w:highlight w:val="lightGray"/>
                <w:u w:val="single"/>
              </w:rPr>
              <w:t xml:space="preserve">En ese caso, la persona jurídica B comete una infracción del derecho de la persona jurídica A si: </w:t>
            </w:r>
          </w:p>
          <w:p w14:paraId="1F2F3516" w14:textId="77777777" w:rsidR="00121F03" w:rsidRPr="008A35F6" w:rsidRDefault="00121F03" w:rsidP="00B348FD">
            <w:pPr>
              <w:pStyle w:val="BasistekstNaktuinbouw"/>
              <w:keepNext/>
              <w:keepLines/>
              <w:spacing w:line="240" w:lineRule="auto"/>
              <w:rPr>
                <w:rFonts w:cs="Arial"/>
                <w:i/>
                <w:color w:val="auto"/>
                <w:sz w:val="18"/>
                <w:highlight w:val="lightGray"/>
                <w:u w:val="single"/>
              </w:rPr>
            </w:pPr>
          </w:p>
          <w:p w14:paraId="7114609C" w14:textId="77777777" w:rsidR="00121F03" w:rsidRPr="00E23974" w:rsidRDefault="00121F03" w:rsidP="00B348FD">
            <w:pPr>
              <w:pStyle w:val="BasistekstNaktuinbouw"/>
              <w:keepNext/>
              <w:keepLines/>
              <w:spacing w:line="240" w:lineRule="auto"/>
              <w:ind w:firstLine="562"/>
              <w:rPr>
                <w:rFonts w:cs="Arial"/>
                <w:i/>
                <w:color w:val="auto"/>
                <w:sz w:val="18"/>
                <w:highlight w:val="lightGray"/>
                <w:u w:val="single"/>
              </w:rPr>
            </w:pPr>
            <w:r>
              <w:rPr>
                <w:i/>
                <w:color w:val="auto"/>
                <w:sz w:val="18"/>
                <w:highlight w:val="lightGray"/>
                <w:u w:val="single"/>
              </w:rPr>
              <w:t>a) la cosecha se obtiene por utilización de material de reproducción o de multiplicación de A sin su autorización;</w:t>
            </w:r>
          </w:p>
          <w:p w14:paraId="35CB35C9" w14:textId="77777777" w:rsidR="00121F03" w:rsidRPr="008A35F6" w:rsidRDefault="00121F03" w:rsidP="00B348FD">
            <w:pPr>
              <w:pStyle w:val="BasistekstNaktuinbouw"/>
              <w:keepNext/>
              <w:keepLines/>
              <w:spacing w:line="240" w:lineRule="auto"/>
              <w:ind w:firstLine="562"/>
              <w:rPr>
                <w:rFonts w:cs="Arial"/>
                <w:i/>
                <w:color w:val="auto"/>
                <w:sz w:val="18"/>
                <w:highlight w:val="lightGray"/>
                <w:u w:val="single"/>
              </w:rPr>
            </w:pPr>
          </w:p>
          <w:p w14:paraId="4FDB3643" w14:textId="77777777" w:rsidR="00121F03" w:rsidRPr="00E23974" w:rsidRDefault="00121F03" w:rsidP="00B348FD">
            <w:pPr>
              <w:pStyle w:val="BasistekstNaktuinbouw"/>
              <w:keepNext/>
              <w:keepLines/>
              <w:spacing w:line="240" w:lineRule="auto"/>
              <w:ind w:firstLine="562"/>
              <w:rPr>
                <w:rFonts w:cs="Arial"/>
                <w:i/>
                <w:color w:val="auto"/>
                <w:sz w:val="18"/>
                <w:highlight w:val="lightGray"/>
                <w:u w:val="single"/>
              </w:rPr>
            </w:pPr>
            <w:r>
              <w:rPr>
                <w:i/>
                <w:color w:val="auto"/>
                <w:sz w:val="18"/>
                <w:highlight w:val="lightGray"/>
                <w:u w:val="single"/>
              </w:rPr>
              <w:t xml:space="preserve">b) y A no ha podido ejercer razonablemente su derecho en relación con el material de reproducción o de multiplicación en cuestión. </w:t>
            </w:r>
          </w:p>
          <w:p w14:paraId="27BD84CE" w14:textId="77777777" w:rsidR="00121F03" w:rsidRPr="008A35F6" w:rsidRDefault="00121F03" w:rsidP="00B348FD">
            <w:pPr>
              <w:pStyle w:val="BasistekstNaktuinbouw"/>
              <w:keepNext/>
              <w:keepLines/>
              <w:spacing w:line="240" w:lineRule="auto"/>
              <w:rPr>
                <w:rFonts w:cs="Arial"/>
                <w:i/>
                <w:color w:val="auto"/>
                <w:sz w:val="18"/>
                <w:highlight w:val="lightGray"/>
                <w:u w:val="single"/>
              </w:rPr>
            </w:pPr>
          </w:p>
          <w:p w14:paraId="2C9C8BDC" w14:textId="77777777" w:rsidR="00121F03" w:rsidRPr="00E23974" w:rsidRDefault="00121F03" w:rsidP="00B348FD">
            <w:pPr>
              <w:pStyle w:val="BasistekstNaktuinbouw"/>
              <w:keepNext/>
              <w:keepLines/>
              <w:spacing w:line="240" w:lineRule="auto"/>
              <w:rPr>
                <w:rFonts w:cs="Arial"/>
                <w:i/>
                <w:color w:val="auto"/>
                <w:sz w:val="18"/>
                <w:highlight w:val="lightGray"/>
                <w:u w:val="single"/>
              </w:rPr>
            </w:pPr>
            <w:r>
              <w:rPr>
                <w:i/>
                <w:color w:val="auto"/>
                <w:sz w:val="18"/>
                <w:highlight w:val="lightGray"/>
                <w:u w:val="single"/>
              </w:rPr>
              <w:t>Fundamento jurídico del ejemplo 2:</w:t>
            </w:r>
          </w:p>
          <w:p w14:paraId="0CAE332B" w14:textId="77777777" w:rsidR="00121F03" w:rsidRPr="008A35F6" w:rsidRDefault="00121F03" w:rsidP="00B348FD">
            <w:pPr>
              <w:pStyle w:val="BasistekstNaktuinbouw"/>
              <w:keepNext/>
              <w:keepLines/>
              <w:spacing w:line="240" w:lineRule="auto"/>
              <w:rPr>
                <w:rFonts w:cs="Arial"/>
                <w:i/>
                <w:color w:val="auto"/>
                <w:sz w:val="18"/>
                <w:highlight w:val="lightGray"/>
                <w:u w:val="single"/>
              </w:rPr>
            </w:pPr>
          </w:p>
          <w:p w14:paraId="11EDAD99" w14:textId="77777777" w:rsidR="00121F03" w:rsidRPr="00E23974" w:rsidRDefault="00121F03" w:rsidP="00B348FD">
            <w:pPr>
              <w:pStyle w:val="BasistekstNaktuinbouw"/>
              <w:keepNext/>
              <w:keepLines/>
              <w:spacing w:line="240" w:lineRule="auto"/>
              <w:ind w:firstLine="562"/>
              <w:rPr>
                <w:rFonts w:cs="Arial"/>
                <w:i/>
                <w:color w:val="auto"/>
                <w:sz w:val="18"/>
                <w:highlight w:val="lightGray"/>
                <w:u w:val="single"/>
              </w:rPr>
            </w:pPr>
            <w:r>
              <w:rPr>
                <w:i/>
                <w:color w:val="auto"/>
                <w:sz w:val="18"/>
                <w:highlight w:val="lightGray"/>
                <w:u w:val="single"/>
              </w:rPr>
              <w:t>a) No cabe el agotamiento del derecho porque el producto de la cosecha se ha comercializado sin consentimiento (Artículo 16.1)ii) del Convenio de la UPOV</w:t>
            </w:r>
            <w:r>
              <w:rPr>
                <w:i/>
                <w:sz w:val="18"/>
              </w:rPr>
              <w:t>.</w:t>
            </w:r>
          </w:p>
          <w:p w14:paraId="66298A2A" w14:textId="77777777" w:rsidR="00121F03" w:rsidRPr="008A35F6" w:rsidRDefault="00121F03" w:rsidP="00B348FD">
            <w:pPr>
              <w:pStyle w:val="BasistekstNaktuinbouw"/>
              <w:keepNext/>
              <w:keepLines/>
              <w:spacing w:line="240" w:lineRule="auto"/>
              <w:ind w:firstLine="562"/>
              <w:rPr>
                <w:rFonts w:cs="Arial"/>
                <w:i/>
                <w:color w:val="auto"/>
                <w:sz w:val="18"/>
                <w:highlight w:val="lightGray"/>
                <w:u w:val="single"/>
              </w:rPr>
            </w:pPr>
          </w:p>
          <w:p w14:paraId="62A66750" w14:textId="77777777" w:rsidR="00121F03" w:rsidRPr="00E23974" w:rsidRDefault="00121F03" w:rsidP="00B348FD">
            <w:pPr>
              <w:pStyle w:val="BasistekstNaktuinbouw"/>
              <w:keepNext/>
              <w:keepLines/>
              <w:spacing w:line="240" w:lineRule="auto"/>
              <w:ind w:firstLine="562"/>
              <w:rPr>
                <w:rFonts w:cs="Arial"/>
                <w:i/>
                <w:sz w:val="18"/>
                <w:u w:val="single"/>
              </w:rPr>
            </w:pPr>
            <w:r>
              <w:rPr>
                <w:i/>
                <w:sz w:val="18"/>
                <w:highlight w:val="lightGray"/>
                <w:u w:val="single"/>
              </w:rPr>
              <w:t>b) Es de aplicación el Artículo 14.2 del Convenio de la UPOV respecto de la venta o comercialización del producto de la cosecha.</w:t>
            </w:r>
            <w:r>
              <w:rPr>
                <w:i/>
                <w:sz w:val="18"/>
              </w:rPr>
              <w:t>”</w:t>
            </w:r>
          </w:p>
          <w:p w14:paraId="24D66425" w14:textId="77777777" w:rsidR="00121F03" w:rsidRPr="00E23974" w:rsidRDefault="00121F03" w:rsidP="00B348FD">
            <w:pPr>
              <w:keepNext/>
              <w:keepLines/>
              <w:rPr>
                <w:i/>
                <w:sz w:val="8"/>
              </w:rPr>
            </w:pPr>
          </w:p>
        </w:tc>
      </w:tr>
    </w:tbl>
    <w:p w14:paraId="7AC1DE46" w14:textId="77777777" w:rsidR="00121F03" w:rsidRPr="00E23974" w:rsidRDefault="00121F03" w:rsidP="00121F03">
      <w:pPr>
        <w:rPr>
          <w:i/>
        </w:rPr>
      </w:pPr>
    </w:p>
    <w:tbl>
      <w:tblPr>
        <w:tblStyle w:val="TableGrid"/>
        <w:tblW w:w="0" w:type="auto"/>
        <w:tblLook w:val="04A0" w:firstRow="1" w:lastRow="0" w:firstColumn="1" w:lastColumn="0" w:noHBand="0" w:noVBand="1"/>
      </w:tblPr>
      <w:tblGrid>
        <w:gridCol w:w="9629"/>
      </w:tblGrid>
      <w:tr w:rsidR="00121F03" w:rsidRPr="00E23974" w14:paraId="4A778B58" w14:textId="77777777" w:rsidTr="00B348FD">
        <w:tc>
          <w:tcPr>
            <w:tcW w:w="9629" w:type="dxa"/>
            <w:shd w:val="clear" w:color="auto" w:fill="F2F2F2" w:themeFill="background1" w:themeFillShade="F2"/>
          </w:tcPr>
          <w:p w14:paraId="7A7929C6" w14:textId="77777777" w:rsidR="00121F03" w:rsidRPr="00E23974" w:rsidRDefault="00121F03" w:rsidP="00B348FD">
            <w:pPr>
              <w:keepNext/>
              <w:rPr>
                <w:i/>
                <w:sz w:val="10"/>
                <w:szCs w:val="10"/>
              </w:rPr>
            </w:pPr>
          </w:p>
          <w:p w14:paraId="154484FF" w14:textId="77777777" w:rsidR="00121F03" w:rsidRPr="00E23974" w:rsidRDefault="00121F03" w:rsidP="00B348FD">
            <w:pPr>
              <w:keepNext/>
              <w:rPr>
                <w:i/>
                <w:sz w:val="18"/>
                <w:szCs w:val="18"/>
              </w:rPr>
            </w:pPr>
            <w:r>
              <w:rPr>
                <w:i/>
                <w:sz w:val="18"/>
                <w:u w:val="single"/>
              </w:rPr>
              <w:t xml:space="preserve">Propuestas de la ISF, la CIOPORA, </w:t>
            </w:r>
            <w:r w:rsidRPr="003A453E">
              <w:rPr>
                <w:iCs/>
                <w:sz w:val="18"/>
                <w:u w:val="single"/>
              </w:rPr>
              <w:t>CropLife International, Euroseeds</w:t>
            </w:r>
            <w:r>
              <w:rPr>
                <w:i/>
                <w:sz w:val="18"/>
                <w:u w:val="single"/>
              </w:rPr>
              <w:t>, la APSA, la AFSTA y la SAA</w:t>
            </w:r>
            <w:r w:rsidRPr="00E23974">
              <w:rPr>
                <w:rStyle w:val="EndnoteReference"/>
                <w:b/>
                <w:i/>
                <w:sz w:val="18"/>
                <w:szCs w:val="18"/>
              </w:rPr>
              <w:endnoteReference w:id="27"/>
            </w:r>
          </w:p>
          <w:p w14:paraId="00AEEC0E" w14:textId="77777777" w:rsidR="00121F03" w:rsidRPr="00E23974" w:rsidRDefault="00121F03" w:rsidP="00B348FD">
            <w:pPr>
              <w:keepNext/>
              <w:rPr>
                <w:i/>
                <w:sz w:val="18"/>
                <w:szCs w:val="18"/>
              </w:rPr>
            </w:pPr>
          </w:p>
          <w:p w14:paraId="51A27827" w14:textId="18E89FC6" w:rsidR="00121F03" w:rsidRPr="00E23974" w:rsidRDefault="00121F03" w:rsidP="00B348FD">
            <w:pPr>
              <w:keepNext/>
              <w:rPr>
                <w:i/>
                <w:sz w:val="18"/>
                <w:szCs w:val="18"/>
              </w:rPr>
            </w:pPr>
            <w:r>
              <w:rPr>
                <w:i/>
                <w:sz w:val="18"/>
              </w:rPr>
              <w:t>El párrafo 13 debe modificarse de la siguiente manera:</w:t>
            </w:r>
            <w:r w:rsidR="008A35F6">
              <w:rPr>
                <w:i/>
                <w:sz w:val="18"/>
              </w:rPr>
              <w:t xml:space="preserve"> </w:t>
            </w:r>
            <w:r>
              <w:rPr>
                <w:i/>
                <w:sz w:val="18"/>
              </w:rPr>
              <w:t xml:space="preserve">El término ‘su derecho’, contenido en el Artículo 14.2) del Acta de 1991, se refiere al derecho del obtentor en el territorio </w:t>
            </w:r>
            <w:r>
              <w:rPr>
                <w:i/>
                <w:strike/>
                <w:sz w:val="18"/>
                <w:highlight w:val="lightGray"/>
              </w:rPr>
              <w:t>en cuestión</w:t>
            </w:r>
            <w:r>
              <w:rPr>
                <w:i/>
                <w:sz w:val="18"/>
              </w:rPr>
              <w:t xml:space="preserve"> </w:t>
            </w:r>
            <w:r>
              <w:rPr>
                <w:i/>
                <w:sz w:val="18"/>
                <w:highlight w:val="lightGray"/>
                <w:u w:val="single"/>
              </w:rPr>
              <w:t>en que se utilice el material de reproducción o de multiplicación</w:t>
            </w:r>
            <w:r>
              <w:rPr>
                <w:i/>
                <w:sz w:val="18"/>
              </w:rPr>
              <w:t xml:space="preserve"> (véase el párrafo 4 del presente documento):</w:t>
            </w:r>
            <w:r w:rsidR="008A35F6">
              <w:rPr>
                <w:i/>
                <w:sz w:val="18"/>
              </w:rPr>
              <w:t xml:space="preserve"> </w:t>
            </w:r>
            <w:r>
              <w:rPr>
                <w:i/>
                <w:sz w:val="18"/>
              </w:rPr>
              <w:t xml:space="preserve">un obtentor solo puede ejercer </w:t>
            </w:r>
            <w:r>
              <w:rPr>
                <w:i/>
                <w:strike/>
                <w:sz w:val="18"/>
                <w:highlight w:val="lightGray"/>
              </w:rPr>
              <w:t>su</w:t>
            </w:r>
            <w:r>
              <w:rPr>
                <w:i/>
                <w:sz w:val="18"/>
              </w:rPr>
              <w:t xml:space="preserve"> </w:t>
            </w:r>
            <w:r>
              <w:rPr>
                <w:i/>
                <w:sz w:val="18"/>
                <w:highlight w:val="lightGray"/>
                <w:u w:val="single"/>
              </w:rPr>
              <w:t>el</w:t>
            </w:r>
            <w:r>
              <w:rPr>
                <w:i/>
                <w:sz w:val="18"/>
              </w:rPr>
              <w:t xml:space="preserve"> derecho en ese territorio.</w:t>
            </w:r>
            <w:r w:rsidR="008A35F6">
              <w:rPr>
                <w:i/>
                <w:sz w:val="18"/>
              </w:rPr>
              <w:t xml:space="preserve"> </w:t>
            </w:r>
            <w:r>
              <w:rPr>
                <w:i/>
                <w:sz w:val="18"/>
              </w:rPr>
              <w:t xml:space="preserve">En consecuencia, por “ejercer su derecho” en relación con el material de reproducción o de multiplicación se entiende el ejercicio </w:t>
            </w:r>
            <w:r>
              <w:rPr>
                <w:i/>
                <w:strike/>
                <w:sz w:val="18"/>
                <w:highlight w:val="lightGray"/>
              </w:rPr>
              <w:t>de su</w:t>
            </w:r>
            <w:r>
              <w:rPr>
                <w:i/>
                <w:sz w:val="18"/>
              </w:rPr>
              <w:t xml:space="preserve"> </w:t>
            </w:r>
            <w:r>
              <w:rPr>
                <w:i/>
                <w:sz w:val="18"/>
                <w:highlight w:val="lightGray"/>
                <w:u w:val="single"/>
              </w:rPr>
              <w:t>del</w:t>
            </w:r>
            <w:r>
              <w:rPr>
                <w:i/>
                <w:sz w:val="18"/>
              </w:rPr>
              <w:t xml:space="preserve"> derecho en el territorio en cuestión en relación con el material de reproducción o de multiplicación.”</w:t>
            </w:r>
          </w:p>
          <w:p w14:paraId="60E84A4E" w14:textId="77777777" w:rsidR="00121F03" w:rsidRPr="00E23974" w:rsidRDefault="00121F03" w:rsidP="00B348FD">
            <w:pPr>
              <w:keepNext/>
              <w:jc w:val="left"/>
              <w:rPr>
                <w:i/>
                <w:sz w:val="8"/>
              </w:rPr>
            </w:pPr>
          </w:p>
        </w:tc>
      </w:tr>
    </w:tbl>
    <w:p w14:paraId="67299638" w14:textId="77777777" w:rsidR="00121F03" w:rsidRDefault="00121F03" w:rsidP="00121F03"/>
    <w:p w14:paraId="1516F01C" w14:textId="77777777" w:rsidR="00C010B9" w:rsidRPr="00FA7BC3" w:rsidRDefault="00C010B9" w:rsidP="00121F03"/>
    <w:tbl>
      <w:tblPr>
        <w:tblStyle w:val="TableGrid"/>
        <w:tblW w:w="0" w:type="auto"/>
        <w:tblLook w:val="04A0" w:firstRow="1" w:lastRow="0" w:firstColumn="1" w:lastColumn="0" w:noHBand="0" w:noVBand="1"/>
      </w:tblPr>
      <w:tblGrid>
        <w:gridCol w:w="9629"/>
      </w:tblGrid>
      <w:tr w:rsidR="00121F03" w:rsidRPr="00FD7B58" w14:paraId="4869D402" w14:textId="77777777" w:rsidTr="00B348FD">
        <w:tc>
          <w:tcPr>
            <w:tcW w:w="9629" w:type="dxa"/>
            <w:shd w:val="clear" w:color="auto" w:fill="F2F2F2" w:themeFill="background1" w:themeFillShade="F2"/>
          </w:tcPr>
          <w:p w14:paraId="2C0630A0" w14:textId="77777777" w:rsidR="00121F03" w:rsidRPr="00E23974" w:rsidRDefault="00121F03" w:rsidP="00B348FD">
            <w:pPr>
              <w:keepNext/>
              <w:rPr>
                <w:i/>
                <w:sz w:val="10"/>
                <w:szCs w:val="10"/>
              </w:rPr>
            </w:pPr>
          </w:p>
          <w:p w14:paraId="0484246C" w14:textId="77777777" w:rsidR="00121F03" w:rsidRPr="00E23974" w:rsidRDefault="00121F03" w:rsidP="00B348FD">
            <w:pPr>
              <w:keepNext/>
              <w:rPr>
                <w:i/>
                <w:sz w:val="18"/>
                <w:szCs w:val="18"/>
              </w:rPr>
            </w:pPr>
            <w:r>
              <w:rPr>
                <w:i/>
                <w:sz w:val="18"/>
                <w:u w:val="single"/>
              </w:rPr>
              <w:t xml:space="preserve">Propuestas de la ISF, la CIOPORA, </w:t>
            </w:r>
            <w:r w:rsidRPr="003A453E">
              <w:rPr>
                <w:iCs/>
                <w:sz w:val="18"/>
                <w:u w:val="single"/>
              </w:rPr>
              <w:t>CropLife International, Euroseeds</w:t>
            </w:r>
            <w:r>
              <w:rPr>
                <w:i/>
                <w:sz w:val="18"/>
                <w:u w:val="single"/>
              </w:rPr>
              <w:t>, la APSA, la AFSTA y la SAA</w:t>
            </w:r>
            <w:r w:rsidRPr="00E23974">
              <w:rPr>
                <w:rStyle w:val="EndnoteReference"/>
                <w:b/>
                <w:i/>
                <w:sz w:val="18"/>
                <w:szCs w:val="18"/>
              </w:rPr>
              <w:endnoteReference w:id="28"/>
            </w:r>
          </w:p>
          <w:p w14:paraId="5C7602D9" w14:textId="77777777" w:rsidR="00121F03" w:rsidRPr="00E23974" w:rsidRDefault="00121F03" w:rsidP="00B348FD">
            <w:pPr>
              <w:keepNext/>
              <w:rPr>
                <w:i/>
                <w:sz w:val="18"/>
                <w:szCs w:val="18"/>
              </w:rPr>
            </w:pPr>
          </w:p>
          <w:p w14:paraId="365820D7" w14:textId="321870A4" w:rsidR="00121F03" w:rsidRPr="00E23974" w:rsidRDefault="00121F03" w:rsidP="00B348FD">
            <w:pPr>
              <w:keepNext/>
              <w:rPr>
                <w:i/>
                <w:sz w:val="18"/>
                <w:szCs w:val="18"/>
                <w:highlight w:val="lightGray"/>
                <w:u w:val="single"/>
              </w:rPr>
            </w:pPr>
            <w:r>
              <w:rPr>
                <w:i/>
                <w:sz w:val="18"/>
              </w:rPr>
              <w:t>Ha de añadirse el siguiente párrafo después del 13:</w:t>
            </w:r>
            <w:r w:rsidR="008A35F6">
              <w:rPr>
                <w:i/>
                <w:sz w:val="18"/>
              </w:rPr>
              <w:t xml:space="preserve"> </w:t>
            </w:r>
            <w:r>
              <w:rPr>
                <w:i/>
                <w:sz w:val="18"/>
              </w:rPr>
              <w:t>“</w:t>
            </w:r>
            <w:r>
              <w:rPr>
                <w:i/>
                <w:sz w:val="18"/>
                <w:highlight w:val="lightGray"/>
                <w:u w:val="single"/>
              </w:rPr>
              <w:t>Para decidir si el obtentor ha podido ejercer razonablemente el derecho en el territorio en que ha tenido lugar la utilización no autorizada de material de reproducción o de multiplicación de la variedad protegida, ha de tenerse en cuenta lo siguiente:</w:t>
            </w:r>
          </w:p>
          <w:p w14:paraId="6DF0A20F" w14:textId="77777777" w:rsidR="00121F03" w:rsidRPr="00E23974" w:rsidRDefault="00121F03" w:rsidP="00B348FD">
            <w:pPr>
              <w:rPr>
                <w:i/>
                <w:color w:val="000000" w:themeColor="text1"/>
                <w:sz w:val="18"/>
                <w:szCs w:val="18"/>
                <w:highlight w:val="lightGray"/>
                <w:u w:val="single"/>
              </w:rPr>
            </w:pPr>
          </w:p>
          <w:p w14:paraId="4385FE01" w14:textId="75E5E1FD" w:rsidR="00121F03" w:rsidRPr="00E23974" w:rsidRDefault="00121F03" w:rsidP="00B348FD">
            <w:pPr>
              <w:pStyle w:val="ListParagraph"/>
              <w:numPr>
                <w:ilvl w:val="0"/>
                <w:numId w:val="48"/>
              </w:numPr>
              <w:rPr>
                <w:i/>
                <w:color w:val="000000" w:themeColor="text1"/>
                <w:sz w:val="18"/>
                <w:szCs w:val="18"/>
                <w:highlight w:val="lightGray"/>
                <w:u w:val="single"/>
              </w:rPr>
            </w:pPr>
            <w:r>
              <w:rPr>
                <w:i/>
                <w:color w:val="000000" w:themeColor="text1"/>
                <w:sz w:val="18"/>
                <w:highlight w:val="lightGray"/>
                <w:u w:val="single"/>
              </w:rPr>
              <w:t>Es importante el orden en que se suceden los hechos.</w:t>
            </w:r>
            <w:r w:rsidR="008A35F6">
              <w:rPr>
                <w:i/>
                <w:color w:val="000000" w:themeColor="text1"/>
                <w:sz w:val="18"/>
                <w:highlight w:val="lightGray"/>
                <w:u w:val="single"/>
              </w:rPr>
              <w:t xml:space="preserve"> </w:t>
            </w:r>
            <w:r>
              <w:rPr>
                <w:i/>
                <w:color w:val="000000" w:themeColor="text1"/>
                <w:sz w:val="18"/>
                <w:highlight w:val="lightGray"/>
                <w:u w:val="single"/>
              </w:rPr>
              <w:t xml:space="preserve">Ha de determinarse si, cuando el obtentor hizo valer el derecho respecto del producto de la cosecha, tenía conocimiento de la utilización no autorizada de material de reproducción o de multiplicación de la variedad y si pudo oponerse razonablemente a la utilización no autorizada, conforme a la ley y la jurisprudencia que sean de aplicación en el territorio. </w:t>
            </w:r>
          </w:p>
          <w:p w14:paraId="066E3D37" w14:textId="77777777" w:rsidR="00121F03" w:rsidRPr="00E23974" w:rsidRDefault="00121F03" w:rsidP="00B348FD">
            <w:pPr>
              <w:pStyle w:val="ListParagraph"/>
              <w:ind w:left="777"/>
              <w:rPr>
                <w:i/>
                <w:color w:val="000000" w:themeColor="text1"/>
                <w:sz w:val="18"/>
                <w:szCs w:val="18"/>
                <w:highlight w:val="lightGray"/>
                <w:u w:val="single"/>
              </w:rPr>
            </w:pPr>
          </w:p>
          <w:p w14:paraId="4E2F1A15" w14:textId="4E23F23C" w:rsidR="00121F03" w:rsidRPr="00E23974" w:rsidRDefault="00121F03" w:rsidP="00B348FD">
            <w:pPr>
              <w:pStyle w:val="ListParagraph"/>
              <w:numPr>
                <w:ilvl w:val="0"/>
                <w:numId w:val="49"/>
              </w:numPr>
              <w:rPr>
                <w:i/>
                <w:color w:val="000000" w:themeColor="text1"/>
                <w:sz w:val="18"/>
                <w:szCs w:val="18"/>
                <w:highlight w:val="lightGray"/>
                <w:u w:val="single"/>
              </w:rPr>
            </w:pPr>
            <w:r>
              <w:rPr>
                <w:i/>
                <w:color w:val="000000" w:themeColor="text1"/>
                <w:sz w:val="18"/>
                <w:highlight w:val="lightGray"/>
                <w:u w:val="single"/>
              </w:rPr>
              <w:t>El territorio en que se produjeron los hechos puede ser pertinente.</w:t>
            </w:r>
            <w:r w:rsidR="008A35F6">
              <w:rPr>
                <w:i/>
                <w:color w:val="000000" w:themeColor="text1"/>
                <w:sz w:val="18"/>
                <w:highlight w:val="lightGray"/>
                <w:u w:val="single"/>
              </w:rPr>
              <w:t xml:space="preserve"> </w:t>
            </w:r>
            <w:r>
              <w:rPr>
                <w:i/>
                <w:color w:val="000000" w:themeColor="text1"/>
                <w:sz w:val="18"/>
                <w:highlight w:val="lightGray"/>
                <w:u w:val="single"/>
              </w:rPr>
              <w:t>En el caso de que la utilización de material de reproducción o de multiplicación haya tenido lugar en un territorio distinto de aquel en que se está utilizando producto de la cosecha sin autorización del obtentor, este puede optar por hacer valer el derecho en el territorio en que se está utilizando producto de la cosecha.</w:t>
            </w:r>
            <w:r w:rsidR="008A35F6">
              <w:rPr>
                <w:i/>
                <w:color w:val="000000" w:themeColor="text1"/>
                <w:sz w:val="18"/>
                <w:highlight w:val="lightGray"/>
                <w:u w:val="single"/>
              </w:rPr>
              <w:t xml:space="preserve"> </w:t>
            </w:r>
            <w:r>
              <w:rPr>
                <w:i/>
                <w:color w:val="000000" w:themeColor="text1"/>
                <w:sz w:val="18"/>
                <w:highlight w:val="lightGray"/>
                <w:u w:val="single"/>
              </w:rPr>
              <w:t>Puesto que las medidas que se adopten contra el usuario del producto de la cosecha se decidirán en virtud de las leyes del país en el que se ha utilizado este, debe considerarse establecida la incapacidad de ejercer razonablemente en ese territorio el derecho respecto del material de reproducción o de multiplicación.</w:t>
            </w:r>
          </w:p>
          <w:p w14:paraId="00086CD4" w14:textId="77777777" w:rsidR="00121F03" w:rsidRPr="00E23974" w:rsidRDefault="00121F03" w:rsidP="00B348FD">
            <w:pPr>
              <w:rPr>
                <w:i/>
                <w:color w:val="000000" w:themeColor="text1"/>
                <w:sz w:val="18"/>
                <w:szCs w:val="18"/>
                <w:highlight w:val="lightGray"/>
                <w:u w:val="single"/>
              </w:rPr>
            </w:pPr>
          </w:p>
          <w:p w14:paraId="5E43A248" w14:textId="77777777" w:rsidR="00121F03" w:rsidRPr="00E23974" w:rsidRDefault="00121F03" w:rsidP="00B348FD">
            <w:pPr>
              <w:rPr>
                <w:i/>
                <w:sz w:val="18"/>
                <w:szCs w:val="18"/>
              </w:rPr>
            </w:pPr>
            <w:r>
              <w:rPr>
                <w:i/>
                <w:sz w:val="18"/>
                <w:highlight w:val="lightGray"/>
                <w:u w:val="single"/>
              </w:rPr>
              <w:t>Las propuestas formuladas se entienden sin perjuicio del alcance de las excepciones estipuladas en el Convenio de la UPOV y del principio del agotamiento del derecho.</w:t>
            </w:r>
            <w:r>
              <w:rPr>
                <w:i/>
                <w:sz w:val="18"/>
              </w:rPr>
              <w:t>”</w:t>
            </w:r>
          </w:p>
          <w:p w14:paraId="63B596DF" w14:textId="77777777" w:rsidR="00121F03" w:rsidRPr="00E23974" w:rsidRDefault="00121F03" w:rsidP="00B348FD">
            <w:pPr>
              <w:keepNext/>
              <w:jc w:val="left"/>
              <w:rPr>
                <w:i/>
                <w:sz w:val="8"/>
              </w:rPr>
            </w:pPr>
          </w:p>
        </w:tc>
      </w:tr>
    </w:tbl>
    <w:p w14:paraId="1EF73941" w14:textId="77777777" w:rsidR="004D5480" w:rsidRDefault="004D5480" w:rsidP="00D54FFB">
      <w:pPr>
        <w:rPr>
          <w:sz w:val="18"/>
        </w:rPr>
      </w:pPr>
    </w:p>
    <w:p w14:paraId="0D5C3501" w14:textId="77777777" w:rsidR="004D5480" w:rsidRPr="00175D54" w:rsidRDefault="004D5480" w:rsidP="00D54FFB">
      <w:pPr>
        <w:rPr>
          <w:sz w:val="18"/>
        </w:rPr>
      </w:pPr>
    </w:p>
    <w:tbl>
      <w:tblPr>
        <w:tblStyle w:val="TableGrid"/>
        <w:tblW w:w="0" w:type="auto"/>
        <w:tblLook w:val="04A0" w:firstRow="1" w:lastRow="0" w:firstColumn="1" w:lastColumn="0" w:noHBand="0" w:noVBand="1"/>
      </w:tblPr>
      <w:tblGrid>
        <w:gridCol w:w="9629"/>
      </w:tblGrid>
      <w:tr w:rsidR="00D54FFB" w:rsidRPr="00FD7B58" w14:paraId="52408F84" w14:textId="77777777" w:rsidTr="00160D79">
        <w:tc>
          <w:tcPr>
            <w:tcW w:w="9629" w:type="dxa"/>
            <w:shd w:val="clear" w:color="auto" w:fill="F2F2F2" w:themeFill="background1" w:themeFillShade="F2"/>
          </w:tcPr>
          <w:p w14:paraId="256A184B" w14:textId="77777777" w:rsidR="00D54FFB" w:rsidRPr="003B1AC3" w:rsidRDefault="00D54FFB" w:rsidP="00160D79">
            <w:pPr>
              <w:keepNext/>
              <w:rPr>
                <w:sz w:val="10"/>
                <w:szCs w:val="10"/>
              </w:rPr>
            </w:pPr>
          </w:p>
          <w:p w14:paraId="7232C02C" w14:textId="77777777" w:rsidR="00D54FFB" w:rsidRPr="00FC710F" w:rsidRDefault="00D54FFB" w:rsidP="00160D79">
            <w:pPr>
              <w:keepNext/>
              <w:rPr>
                <w:sz w:val="18"/>
                <w:szCs w:val="18"/>
              </w:rPr>
            </w:pPr>
            <w:r>
              <w:rPr>
                <w:sz w:val="18"/>
                <w:u w:val="single"/>
              </w:rPr>
              <w:t>Propuestas de la AIPH</w:t>
            </w:r>
            <w:r w:rsidRPr="00FC710F">
              <w:rPr>
                <w:rStyle w:val="EndnoteReference"/>
                <w:b/>
                <w:sz w:val="18"/>
                <w:szCs w:val="18"/>
              </w:rPr>
              <w:endnoteReference w:id="29"/>
            </w:r>
          </w:p>
          <w:p w14:paraId="20034A67" w14:textId="77777777" w:rsidR="00D54FFB" w:rsidRDefault="00D54FFB" w:rsidP="00160D79">
            <w:pPr>
              <w:keepNext/>
              <w:rPr>
                <w:sz w:val="18"/>
                <w:szCs w:val="18"/>
              </w:rPr>
            </w:pPr>
          </w:p>
          <w:p w14:paraId="394A12FB" w14:textId="10F06300" w:rsidR="00D54FFB" w:rsidRDefault="00D54FFB" w:rsidP="00160D79">
            <w:pPr>
              <w:keepNext/>
              <w:rPr>
                <w:sz w:val="18"/>
                <w:szCs w:val="18"/>
              </w:rPr>
            </w:pPr>
            <w:r>
              <w:rPr>
                <w:sz w:val="18"/>
              </w:rPr>
              <w:t>En relación co</w:t>
            </w:r>
            <w:r w:rsidR="004548FC">
              <w:rPr>
                <w:sz w:val="18"/>
              </w:rPr>
              <w:t>n el párrafo 13, la AIPH hizo los</w:t>
            </w:r>
            <w:r>
              <w:rPr>
                <w:sz w:val="18"/>
              </w:rPr>
              <w:t xml:space="preserve"> siguiente</w:t>
            </w:r>
            <w:r w:rsidR="004548FC">
              <w:rPr>
                <w:sz w:val="18"/>
              </w:rPr>
              <w:t>s</w:t>
            </w:r>
            <w:r>
              <w:rPr>
                <w:sz w:val="18"/>
              </w:rPr>
              <w:t xml:space="preserve"> comentario</w:t>
            </w:r>
            <w:r w:rsidR="004548FC">
              <w:rPr>
                <w:sz w:val="18"/>
              </w:rPr>
              <w:t>s</w:t>
            </w:r>
            <w:r>
              <w:rPr>
                <w:sz w:val="18"/>
              </w:rPr>
              <w:t>:</w:t>
            </w:r>
          </w:p>
          <w:p w14:paraId="69C6FE8C" w14:textId="77777777" w:rsidR="00D54FFB" w:rsidRPr="00FC710F" w:rsidRDefault="00D54FFB" w:rsidP="00160D79">
            <w:pPr>
              <w:keepNext/>
              <w:rPr>
                <w:sz w:val="18"/>
                <w:szCs w:val="18"/>
              </w:rPr>
            </w:pPr>
          </w:p>
          <w:p w14:paraId="1220391F" w14:textId="77777777" w:rsidR="00D54FFB" w:rsidRPr="00D54FFB" w:rsidRDefault="00D54FFB" w:rsidP="00D54FFB">
            <w:pPr>
              <w:keepNext/>
              <w:rPr>
                <w:sz w:val="18"/>
                <w:szCs w:val="18"/>
              </w:rPr>
            </w:pPr>
            <w:r>
              <w:rPr>
                <w:sz w:val="18"/>
              </w:rPr>
              <w:t>“Comentario general de la AIPH para facilitar los debates:</w:t>
            </w:r>
          </w:p>
          <w:p w14:paraId="793C2231" w14:textId="485BBFB3" w:rsidR="00D54FFB" w:rsidRPr="00D54FFB" w:rsidRDefault="00D54FFB" w:rsidP="00D54FFB">
            <w:pPr>
              <w:keepNext/>
              <w:rPr>
                <w:sz w:val="18"/>
                <w:szCs w:val="18"/>
              </w:rPr>
            </w:pPr>
            <w:r>
              <w:rPr>
                <w:sz w:val="18"/>
              </w:rPr>
              <w:t>Es posible concluir que el texto del bloque de</w:t>
            </w:r>
            <w:r w:rsidR="003C4DDB">
              <w:rPr>
                <w:sz w:val="18"/>
              </w:rPr>
              <w:t>l colectivo de</w:t>
            </w:r>
            <w:r>
              <w:rPr>
                <w:sz w:val="18"/>
              </w:rPr>
              <w:t xml:space="preserve"> los obtentores y el texto (incluidos los ejemplos esquemáticos) del bloque de los Países Bajos y la AIPH tienen el mismo significado y propósito. Sin embargo, la AIPH prefiere la propuesta y los ejemplos de los Países Bajos y la AIPH, dado que en opinión de esta última logran una mayor aclaración práctica.”</w:t>
            </w:r>
          </w:p>
          <w:p w14:paraId="12F89A07" w14:textId="48D9C506" w:rsidR="00D54FFB" w:rsidRDefault="00D54FFB" w:rsidP="00D54FFB">
            <w:pPr>
              <w:keepNext/>
              <w:rPr>
                <w:sz w:val="18"/>
                <w:szCs w:val="18"/>
              </w:rPr>
            </w:pPr>
          </w:p>
          <w:p w14:paraId="65685B95" w14:textId="69C51DB0" w:rsidR="004548FC" w:rsidRDefault="004548FC" w:rsidP="00D54FFB">
            <w:pPr>
              <w:keepNext/>
              <w:rPr>
                <w:sz w:val="18"/>
                <w:szCs w:val="18"/>
              </w:rPr>
            </w:pPr>
            <w:r w:rsidRPr="004548FC">
              <w:rPr>
                <w:sz w:val="18"/>
                <w:szCs w:val="18"/>
              </w:rPr>
              <w:t>En relación con el comentario anterior de la AIPH (véase el párrafo 16 reproducido a continuación):</w:t>
            </w:r>
          </w:p>
          <w:p w14:paraId="24A9E571" w14:textId="3458FB76" w:rsidR="004548FC" w:rsidRPr="00E23974" w:rsidRDefault="004548FC" w:rsidP="004548FC">
            <w:pPr>
              <w:keepLines/>
              <w:rPr>
                <w:i/>
                <w:sz w:val="18"/>
                <w:szCs w:val="18"/>
                <w:highlight w:val="lightGray"/>
                <w:u w:val="single"/>
              </w:rPr>
            </w:pPr>
            <w:r>
              <w:rPr>
                <w:i/>
                <w:sz w:val="18"/>
                <w:highlight w:val="lightGray"/>
                <w:u w:val="single"/>
              </w:rPr>
              <w:t>“16. Para poder ejercer razonablemente el derecho, su titular: a) ha de tener conocimiento de la presunta utilización no autorizada de material de reproducción o de multiplicación; y b) ha de disponer de medios para ejercerlo.”</w:t>
            </w:r>
          </w:p>
          <w:p w14:paraId="41102D62" w14:textId="32E436CB" w:rsidR="004548FC" w:rsidRDefault="004548FC" w:rsidP="00D54FFB">
            <w:pPr>
              <w:keepNext/>
              <w:rPr>
                <w:sz w:val="18"/>
                <w:szCs w:val="18"/>
              </w:rPr>
            </w:pPr>
          </w:p>
          <w:p w14:paraId="7816D280" w14:textId="2AA1EDCB" w:rsidR="004548FC" w:rsidRDefault="00B81B9D" w:rsidP="00D54FFB">
            <w:pPr>
              <w:keepNext/>
              <w:rPr>
                <w:sz w:val="18"/>
                <w:szCs w:val="18"/>
              </w:rPr>
            </w:pPr>
            <w:r>
              <w:rPr>
                <w:sz w:val="18"/>
                <w:szCs w:val="18"/>
              </w:rPr>
              <w:t>“</w:t>
            </w:r>
            <w:r w:rsidR="004548FC" w:rsidRPr="00B81B9D">
              <w:rPr>
                <w:sz w:val="18"/>
                <w:szCs w:val="18"/>
              </w:rPr>
              <w:t>La AIPH propone sustituir la frase anterior por la siguiente: Oportunidad razonable significa que el titular del derecho tuvo o debería haber tenido la posibilidad de ejercer este derecho sobre el material de reproducción</w:t>
            </w:r>
            <w:r w:rsidR="00EE5F63">
              <w:rPr>
                <w:sz w:val="18"/>
                <w:szCs w:val="18"/>
              </w:rPr>
              <w:t xml:space="preserve"> </w:t>
            </w:r>
            <w:r w:rsidR="00EE5F63" w:rsidRPr="00B81B9D">
              <w:rPr>
                <w:sz w:val="18"/>
                <w:szCs w:val="18"/>
              </w:rPr>
              <w:t>o multiplicación</w:t>
            </w:r>
            <w:r w:rsidR="004548FC" w:rsidRPr="00B81B9D">
              <w:rPr>
                <w:sz w:val="18"/>
                <w:szCs w:val="18"/>
              </w:rPr>
              <w:t>. Si el derecho no se concedió (todavía) o el material de rep</w:t>
            </w:r>
            <w:bookmarkStart w:id="29" w:name="_GoBack"/>
            <w:bookmarkEnd w:id="29"/>
            <w:r w:rsidR="004548FC" w:rsidRPr="00B81B9D">
              <w:rPr>
                <w:sz w:val="18"/>
                <w:szCs w:val="18"/>
              </w:rPr>
              <w:t xml:space="preserve">roducción </w:t>
            </w:r>
            <w:r w:rsidRPr="00B81B9D">
              <w:rPr>
                <w:sz w:val="18"/>
                <w:szCs w:val="18"/>
              </w:rPr>
              <w:t xml:space="preserve">o multiplicación </w:t>
            </w:r>
            <w:r w:rsidR="004548FC" w:rsidRPr="00B81B9D">
              <w:rPr>
                <w:sz w:val="18"/>
                <w:szCs w:val="18"/>
              </w:rPr>
              <w:t>se utilizó sin su consentimiento, no tuvo esa oportunidad".</w:t>
            </w:r>
          </w:p>
          <w:p w14:paraId="6639CB7E" w14:textId="77777777" w:rsidR="00D54FFB" w:rsidRPr="00385EFC" w:rsidRDefault="00D54FFB" w:rsidP="00D54FFB">
            <w:pPr>
              <w:keepNext/>
              <w:rPr>
                <w:sz w:val="8"/>
              </w:rPr>
            </w:pPr>
          </w:p>
        </w:tc>
      </w:tr>
    </w:tbl>
    <w:p w14:paraId="11CEA6A1" w14:textId="77777777" w:rsidR="00D54FFB" w:rsidRPr="0019030C" w:rsidRDefault="00D54FFB" w:rsidP="00121F03"/>
    <w:p w14:paraId="3FDB22A4" w14:textId="77777777" w:rsidR="00D54FFB" w:rsidRDefault="00D54FFB" w:rsidP="00121F03">
      <w:pPr>
        <w:jc w:val="right"/>
      </w:pPr>
    </w:p>
    <w:p w14:paraId="54CCB13D" w14:textId="77777777" w:rsidR="00D54FFB" w:rsidRDefault="00D54FFB" w:rsidP="00121F03">
      <w:pPr>
        <w:jc w:val="right"/>
      </w:pPr>
    </w:p>
    <w:p w14:paraId="4BB84BD3" w14:textId="77777777" w:rsidR="00121F03" w:rsidRDefault="00121F03" w:rsidP="00121F03">
      <w:pPr>
        <w:jc w:val="right"/>
      </w:pPr>
      <w:r>
        <w:t>[Siguen las notas finales]</w:t>
      </w:r>
    </w:p>
    <w:p w14:paraId="7841AF3F" w14:textId="77777777" w:rsidR="00121F03" w:rsidRDefault="00121F03" w:rsidP="00121F03">
      <w:pPr>
        <w:jc w:val="left"/>
        <w:sectPr w:rsidR="00121F03" w:rsidSect="00351D25">
          <w:headerReference w:type="even" r:id="rId12"/>
          <w:headerReference w:type="default" r:id="rId13"/>
          <w:endnotePr>
            <w:numFmt w:val="lowerLetter"/>
          </w:endnotePr>
          <w:pgSz w:w="11907" w:h="16840" w:code="9"/>
          <w:pgMar w:top="510" w:right="1134" w:bottom="1134" w:left="1134" w:header="510" w:footer="624" w:gutter="0"/>
          <w:pgNumType w:start="1"/>
          <w:cols w:space="720"/>
          <w:titlePg/>
          <w:docGrid w:linePitch="272"/>
        </w:sectPr>
      </w:pPr>
    </w:p>
    <w:p w14:paraId="0AECFCAD" w14:textId="77777777" w:rsidR="00121F03" w:rsidRPr="00BE4EC4" w:rsidRDefault="00121F03" w:rsidP="00121F03">
      <w:pPr>
        <w:jc w:val="right"/>
      </w:pPr>
    </w:p>
    <w:p w14:paraId="40A624D5" w14:textId="77777777" w:rsidR="00121F03" w:rsidRPr="00BE4EC4" w:rsidRDefault="00121F03" w:rsidP="000C1E42"/>
    <w:sectPr w:rsidR="00121F03" w:rsidRPr="00BE4EC4" w:rsidSect="00BE4EC4">
      <w:headerReference w:type="first" r:id="rId14"/>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9C4F7" w14:textId="77777777" w:rsidR="00AE2CB1" w:rsidRDefault="00AE2CB1">
      <w:r>
        <w:separator/>
      </w:r>
    </w:p>
    <w:p w14:paraId="72961BFB" w14:textId="77777777" w:rsidR="00AE2CB1" w:rsidRDefault="00AE2CB1"/>
  </w:endnote>
  <w:endnote w:type="continuationSeparator" w:id="0">
    <w:p w14:paraId="6ECAA162" w14:textId="77777777" w:rsidR="00AE2CB1" w:rsidRDefault="00AE2CB1">
      <w:r>
        <w:continuationSeparator/>
      </w:r>
    </w:p>
  </w:endnote>
  <w:endnote w:id="1">
    <w:p w14:paraId="652CDEBF" w14:textId="77777777" w:rsidR="00F30CA6" w:rsidRDefault="00F30CA6">
      <w:pPr>
        <w:pStyle w:val="EndnoteText"/>
      </w:pPr>
      <w:r>
        <w:rPr>
          <w:rStyle w:val="EndnoteReference"/>
        </w:rPr>
        <w:endnoteRef/>
      </w:r>
      <w:r>
        <w:t xml:space="preserve"> Véase párrafo 11 del documento WG-HRV/1/6 “Informe”.</w:t>
      </w:r>
    </w:p>
  </w:endnote>
  <w:endnote w:id="2">
    <w:p w14:paraId="056A2782" w14:textId="77777777" w:rsidR="00F30CA6" w:rsidRDefault="00F30CA6" w:rsidP="00160D79">
      <w:pPr>
        <w:pStyle w:val="EndnoteText"/>
      </w:pPr>
      <w:r>
        <w:rPr>
          <w:rStyle w:val="EndnoteReference"/>
        </w:rPr>
        <w:endnoteRef/>
      </w:r>
      <w:r>
        <w:t xml:space="preserve"> Véase párrafo 11 del documento WG-HRV/1/6 “Informe”.</w:t>
      </w:r>
    </w:p>
  </w:endnote>
  <w:endnote w:id="3">
    <w:p w14:paraId="547A676A" w14:textId="77777777" w:rsidR="00F30CA6" w:rsidRDefault="00F30CA6" w:rsidP="00160D79">
      <w:pPr>
        <w:pStyle w:val="EndnoteText"/>
      </w:pPr>
      <w:r>
        <w:rPr>
          <w:rStyle w:val="EndnoteReference"/>
        </w:rPr>
        <w:endnoteRef/>
      </w:r>
      <w:r>
        <w:t xml:space="preserve"> Véase párrafo 11 del documento WG-HRV/1/6 “Informe”.</w:t>
      </w:r>
    </w:p>
  </w:endnote>
  <w:endnote w:id="4">
    <w:p w14:paraId="76DE2865" w14:textId="092D4CC0" w:rsidR="00F30CA6" w:rsidRPr="00FC39B2" w:rsidRDefault="00F30CA6" w:rsidP="00C010B9">
      <w:pPr>
        <w:pStyle w:val="EndnoteText"/>
        <w:ind w:left="0" w:firstLine="0"/>
        <w:jc w:val="left"/>
        <w:rPr>
          <w:noProof/>
          <w:szCs w:val="16"/>
        </w:rPr>
      </w:pPr>
      <w:r>
        <w:rPr>
          <w:rStyle w:val="EndnoteReference"/>
          <w:szCs w:val="16"/>
        </w:rPr>
        <w:endnoteRef/>
      </w:r>
      <w:r w:rsidR="00EE3679">
        <w:t xml:space="preserve"> </w:t>
      </w:r>
      <w:r>
        <w:t xml:space="preserve">La propuesta formulada por Nueva Zelandia en respuesta a la circular E-22/058 puede consultarse en la dirección </w:t>
      </w:r>
      <w:r>
        <w:br/>
        <w:t>https://www.upov.int/meetings/en/details.jsp?meeting_id=70188</w:t>
      </w:r>
      <w:r w:rsidR="008A35F6">
        <w:t xml:space="preserve"> </w:t>
      </w:r>
    </w:p>
  </w:endnote>
  <w:endnote w:id="5">
    <w:p w14:paraId="43C09132" w14:textId="29E61B39" w:rsidR="00F30CA6" w:rsidRPr="00FC39B2" w:rsidRDefault="00F30CA6" w:rsidP="00121F03">
      <w:pPr>
        <w:pStyle w:val="EndnoteText"/>
        <w:ind w:left="0" w:firstLine="0"/>
        <w:jc w:val="left"/>
        <w:rPr>
          <w:szCs w:val="16"/>
        </w:rPr>
      </w:pPr>
      <w:r>
        <w:rPr>
          <w:rStyle w:val="EndnoteReference"/>
        </w:rPr>
        <w:endnoteRef/>
      </w:r>
      <w:r w:rsidR="00EE3679">
        <w:t xml:space="preserve"> </w:t>
      </w:r>
      <w:r>
        <w:t xml:space="preserve">Las propuestas de la ISF, la CIOPORA, </w:t>
      </w:r>
      <w:r>
        <w:rPr>
          <w:i/>
          <w:iCs/>
        </w:rPr>
        <w:t>CropLife International, Euroseeds</w:t>
      </w:r>
      <w:r>
        <w:t xml:space="preserve">, la APSA, la AFSTA y la SAA pueden consultarse en la siguiente dirección: </w:t>
      </w:r>
      <w:hyperlink r:id="rId1" w:history="1">
        <w:r>
          <w:rPr>
            <w:rStyle w:val="Hyperlink"/>
          </w:rPr>
          <w:t>https://www.upov.int/meetings/en/doc_details.jsp?meeting_id=67773&amp;doc_id=563726</w:t>
        </w:r>
      </w:hyperlink>
      <w:r w:rsidR="008A35F6">
        <w:t xml:space="preserve"> </w:t>
      </w:r>
    </w:p>
  </w:endnote>
  <w:endnote w:id="6">
    <w:p w14:paraId="4D8EF139" w14:textId="77777777" w:rsidR="00F30CA6" w:rsidRPr="00FC39B2" w:rsidRDefault="00F30CA6" w:rsidP="00B348FD">
      <w:pPr>
        <w:pStyle w:val="EndnoteText"/>
        <w:ind w:left="0" w:firstLine="0"/>
        <w:jc w:val="left"/>
        <w:rPr>
          <w:szCs w:val="16"/>
        </w:rPr>
      </w:pPr>
      <w:r>
        <w:rPr>
          <w:rStyle w:val="EndnoteReference"/>
        </w:rPr>
        <w:endnoteRef/>
      </w:r>
      <w:r>
        <w:t xml:space="preserve"> Las propuestas formuladas por la AIPH en respuesta a la circular E-22/058 pueden consultarse en la dirección:. https://www.upov.int/meetings/en/details.jsp?meeting_id=70188</w:t>
      </w:r>
    </w:p>
  </w:endnote>
  <w:endnote w:id="7">
    <w:p w14:paraId="7FC8EB2C" w14:textId="77777777" w:rsidR="00F30CA6" w:rsidRPr="00FC39B2" w:rsidRDefault="00F30CA6" w:rsidP="00121F03">
      <w:pPr>
        <w:pStyle w:val="EndnoteText"/>
        <w:ind w:left="0" w:firstLine="0"/>
        <w:jc w:val="left"/>
        <w:rPr>
          <w:szCs w:val="16"/>
        </w:rPr>
      </w:pPr>
      <w:r>
        <w:rPr>
          <w:rStyle w:val="EndnoteReference"/>
          <w:szCs w:val="16"/>
        </w:rPr>
        <w:endnoteRef/>
      </w:r>
      <w:r>
        <w:t xml:space="preserve"> Las propuestas del Japón pueden consultarse en la siguiente dirección: </w:t>
      </w:r>
      <w:hyperlink r:id="rId2" w:history="1">
        <w:r>
          <w:rPr>
            <w:rStyle w:val="Hyperlink"/>
          </w:rPr>
          <w:t>https://www.upov.int/meetings/en/doc_details.jsp?meeting_id=67773&amp;doc_id=563724</w:t>
        </w:r>
      </w:hyperlink>
      <w:r>
        <w:t xml:space="preserve"> </w:t>
      </w:r>
    </w:p>
  </w:endnote>
  <w:endnote w:id="8">
    <w:p w14:paraId="59F30486" w14:textId="77777777" w:rsidR="00F30CA6" w:rsidRPr="00FC39B2" w:rsidRDefault="00F30CA6" w:rsidP="004B0354">
      <w:pPr>
        <w:pStyle w:val="EndnoteText"/>
        <w:ind w:left="0" w:firstLine="0"/>
        <w:jc w:val="left"/>
        <w:rPr>
          <w:szCs w:val="16"/>
        </w:rPr>
      </w:pPr>
      <w:r>
        <w:rPr>
          <w:rStyle w:val="EndnoteReference"/>
        </w:rPr>
        <w:endnoteRef/>
      </w:r>
      <w:r>
        <w:t xml:space="preserve"> Las propuestas formuladas por la AIPH en respuesta a la circular E-22/058 pueden consultarse en la dirección:. https://www.upov.int/meetings/en/details.jsp?meeting_id=70188</w:t>
      </w:r>
    </w:p>
  </w:endnote>
  <w:endnote w:id="9">
    <w:p w14:paraId="5B01672A" w14:textId="62540609" w:rsidR="00F30CA6" w:rsidRPr="00FC39B2" w:rsidRDefault="00F30CA6" w:rsidP="00E14531">
      <w:pPr>
        <w:pStyle w:val="EndnoteText"/>
        <w:ind w:left="0" w:firstLine="0"/>
        <w:jc w:val="left"/>
        <w:rPr>
          <w:szCs w:val="16"/>
        </w:rPr>
      </w:pPr>
      <w:r>
        <w:rPr>
          <w:rStyle w:val="EndnoteReference"/>
        </w:rPr>
        <w:endnoteRef/>
      </w:r>
      <w:r w:rsidR="002132D4">
        <w:t xml:space="preserve"> </w:t>
      </w:r>
      <w:r>
        <w:t xml:space="preserve">Las propuestas de la ISF, la CIOPORA, </w:t>
      </w:r>
      <w:r>
        <w:rPr>
          <w:i/>
          <w:iCs/>
        </w:rPr>
        <w:t>CropLife International, Euroseeds</w:t>
      </w:r>
      <w:r>
        <w:t xml:space="preserve">, la APSA, la AFSTA y la SAA pueden consultarse en la siguiente dirección: </w:t>
      </w:r>
      <w:hyperlink r:id="rId3" w:history="1">
        <w:r>
          <w:rPr>
            <w:rStyle w:val="Hyperlink"/>
          </w:rPr>
          <w:t>https://www.upov.int/meetings/en/doc_details.jsp?meeting_id=67773&amp;doc_id=563726</w:t>
        </w:r>
      </w:hyperlink>
      <w:r>
        <w:t xml:space="preserve">. </w:t>
      </w:r>
    </w:p>
  </w:endnote>
  <w:endnote w:id="10">
    <w:p w14:paraId="5FDF91F8" w14:textId="77777777" w:rsidR="00F30CA6" w:rsidRPr="00FC39B2" w:rsidRDefault="00F30CA6" w:rsidP="00121F03">
      <w:pPr>
        <w:pStyle w:val="EndnoteText"/>
        <w:ind w:left="0" w:firstLine="0"/>
        <w:jc w:val="left"/>
        <w:rPr>
          <w:szCs w:val="16"/>
        </w:rPr>
      </w:pPr>
      <w:r>
        <w:rPr>
          <w:rStyle w:val="EndnoteReference"/>
          <w:szCs w:val="16"/>
        </w:rPr>
        <w:endnoteRef/>
      </w:r>
      <w:r>
        <w:t xml:space="preserve"> Las propuestas de los Países Bajos pueden consultarse en la siguiente dirección: </w:t>
      </w:r>
      <w:hyperlink r:id="rId4" w:history="1">
        <w:r>
          <w:rPr>
            <w:rStyle w:val="Hyperlink"/>
          </w:rPr>
          <w:t>https://www.upov.int/meetings/en/doc_details.jsp?meeting_id=67773&amp;doc_id=563737</w:t>
        </w:r>
      </w:hyperlink>
      <w:r>
        <w:t xml:space="preserve"> </w:t>
      </w:r>
    </w:p>
  </w:endnote>
  <w:endnote w:id="11">
    <w:p w14:paraId="1EEFBD86" w14:textId="77777777" w:rsidR="00F30CA6" w:rsidRPr="00FC39B2" w:rsidRDefault="00F30CA6" w:rsidP="00121F03">
      <w:pPr>
        <w:pStyle w:val="EndnoteText"/>
        <w:ind w:left="0" w:firstLine="0"/>
        <w:jc w:val="left"/>
        <w:rPr>
          <w:szCs w:val="16"/>
        </w:rPr>
      </w:pPr>
      <w:r>
        <w:rPr>
          <w:rStyle w:val="EndnoteReference"/>
          <w:szCs w:val="16"/>
        </w:rPr>
        <w:endnoteRef/>
      </w:r>
      <w:r>
        <w:t xml:space="preserve"> Las propuestas de la AIPH pueden consultarse en la siguiente dirección: </w:t>
      </w:r>
      <w:hyperlink r:id="rId5" w:history="1">
        <w:r>
          <w:rPr>
            <w:rStyle w:val="Hyperlink"/>
          </w:rPr>
          <w:t>https://www.upov.int/meetings/en/doc_details.jsp?meeting_id=67773&amp;doc_id=563725</w:t>
        </w:r>
      </w:hyperlink>
      <w:r>
        <w:t xml:space="preserve"> </w:t>
      </w:r>
    </w:p>
  </w:endnote>
  <w:endnote w:id="12">
    <w:p w14:paraId="6E467CC4" w14:textId="77777777" w:rsidR="00F30CA6" w:rsidRPr="00FC39B2" w:rsidRDefault="00F30CA6" w:rsidP="00121F03">
      <w:pPr>
        <w:pStyle w:val="EndnoteText"/>
        <w:ind w:left="0" w:firstLine="0"/>
        <w:jc w:val="left"/>
        <w:rPr>
          <w:szCs w:val="16"/>
        </w:rPr>
      </w:pPr>
      <w:r>
        <w:rPr>
          <w:rStyle w:val="EndnoteReference"/>
        </w:rPr>
        <w:endnoteRef/>
      </w:r>
      <w:r>
        <w:t xml:space="preserve"> Las propuestas de la ISF, la CIOPORA, </w:t>
      </w:r>
      <w:r>
        <w:rPr>
          <w:i/>
          <w:iCs/>
        </w:rPr>
        <w:t>CropLife International, Euroseeds,</w:t>
      </w:r>
      <w:r>
        <w:t xml:space="preserve"> la APSA, la AFSTA y la SAA pueden consultarse en la siguiente dirección: </w:t>
      </w:r>
      <w:hyperlink r:id="rId6" w:history="1">
        <w:r>
          <w:rPr>
            <w:rStyle w:val="Hyperlink"/>
          </w:rPr>
          <w:t>https://www.upov.int/meetings/en/doc_details.jsp?meeting_id=67773&amp;doc_id=563726</w:t>
        </w:r>
      </w:hyperlink>
      <w:r>
        <w:t xml:space="preserve"> </w:t>
      </w:r>
    </w:p>
  </w:endnote>
  <w:endnote w:id="13">
    <w:p w14:paraId="212D6929" w14:textId="77777777" w:rsidR="00F30CA6" w:rsidRPr="00FC39B2" w:rsidRDefault="00F30CA6" w:rsidP="004B0354">
      <w:pPr>
        <w:pStyle w:val="EndnoteText"/>
        <w:ind w:left="0" w:firstLine="0"/>
        <w:jc w:val="left"/>
        <w:rPr>
          <w:szCs w:val="16"/>
        </w:rPr>
      </w:pPr>
      <w:r>
        <w:rPr>
          <w:rStyle w:val="EndnoteReference"/>
        </w:rPr>
        <w:endnoteRef/>
      </w:r>
      <w:r>
        <w:t xml:space="preserve"> Las propuestas formuladas por la AIPH en respuesta a la circular E-22/058 pueden consultarse en la dirección:. https://www.upov.int/meetings/en/details.jsp?meeting_id=70188 </w:t>
      </w:r>
    </w:p>
  </w:endnote>
  <w:endnote w:id="14">
    <w:p w14:paraId="66280A68" w14:textId="77777777" w:rsidR="00F30CA6" w:rsidRPr="00FC39B2" w:rsidRDefault="00F30CA6" w:rsidP="00121F03">
      <w:pPr>
        <w:pStyle w:val="EndnoteText"/>
        <w:ind w:left="0" w:firstLine="0"/>
        <w:jc w:val="left"/>
        <w:rPr>
          <w:szCs w:val="16"/>
        </w:rPr>
      </w:pPr>
      <w:r>
        <w:rPr>
          <w:rStyle w:val="EndnoteReference"/>
          <w:szCs w:val="16"/>
        </w:rPr>
        <w:endnoteRef/>
      </w:r>
      <w:r>
        <w:t xml:space="preserve"> Las propuestas del Japón pueden consultarse en la siguiente dirección: </w:t>
      </w:r>
      <w:hyperlink r:id="rId7" w:history="1">
        <w:r>
          <w:rPr>
            <w:rStyle w:val="Hyperlink"/>
          </w:rPr>
          <w:t>https://www.upov.int/meetings/en/doc_details.jsp?meeting_id=67773&amp;doc_id=563724</w:t>
        </w:r>
      </w:hyperlink>
      <w:r>
        <w:t xml:space="preserve"> </w:t>
      </w:r>
    </w:p>
  </w:endnote>
  <w:endnote w:id="15">
    <w:p w14:paraId="292420AF" w14:textId="40B2A35F" w:rsidR="00F30CA6" w:rsidRPr="00FC39B2" w:rsidRDefault="00F30CA6" w:rsidP="00D54FFB">
      <w:pPr>
        <w:pStyle w:val="EndnoteText"/>
        <w:ind w:left="0" w:firstLine="0"/>
        <w:jc w:val="left"/>
        <w:rPr>
          <w:szCs w:val="16"/>
        </w:rPr>
      </w:pPr>
      <w:r>
        <w:rPr>
          <w:rStyle w:val="EndnoteReference"/>
          <w:szCs w:val="16"/>
        </w:rPr>
        <w:endnoteRef/>
      </w:r>
      <w:r>
        <w:t xml:space="preserve"> Las propuestas formuladas por la AIPH en respuesta a la circular E-22/058 pueden consultarse en la dirección:. https://www.upov.int/meetings/en/details.jsp?meeting_id=70188</w:t>
      </w:r>
      <w:r w:rsidR="008A35F6">
        <w:t xml:space="preserve"> </w:t>
      </w:r>
    </w:p>
  </w:endnote>
  <w:endnote w:id="16">
    <w:p w14:paraId="6A069870" w14:textId="77777777" w:rsidR="00F30CA6" w:rsidRPr="00FC39B2" w:rsidRDefault="00F30CA6" w:rsidP="00121F03">
      <w:pPr>
        <w:pStyle w:val="EndnoteText"/>
        <w:ind w:left="0" w:firstLine="0"/>
        <w:jc w:val="left"/>
        <w:rPr>
          <w:szCs w:val="16"/>
        </w:rPr>
      </w:pPr>
      <w:r>
        <w:rPr>
          <w:rStyle w:val="EndnoteReference"/>
        </w:rPr>
        <w:endnoteRef/>
      </w:r>
      <w:r>
        <w:t xml:space="preserve"> Las propuestas de la ISF, la CIOPORA, </w:t>
      </w:r>
      <w:r>
        <w:rPr>
          <w:i/>
          <w:iCs/>
        </w:rPr>
        <w:t>CropLife International, Euroseeds,</w:t>
      </w:r>
      <w:r>
        <w:t xml:space="preserve"> la APSA, la AFSTA y la SAA pueden consultarse en la siguiente dirección: </w:t>
      </w:r>
      <w:hyperlink r:id="rId8" w:history="1">
        <w:r>
          <w:rPr>
            <w:rStyle w:val="Hyperlink"/>
          </w:rPr>
          <w:t>https://www.upov.int/meetings/en/doc_details.jsp?meeting_id=67773&amp;doc_id=563726</w:t>
        </w:r>
      </w:hyperlink>
      <w:r>
        <w:t xml:space="preserve"> </w:t>
      </w:r>
    </w:p>
  </w:endnote>
  <w:endnote w:id="17">
    <w:p w14:paraId="1A12E9BD" w14:textId="77777777" w:rsidR="00F30CA6" w:rsidRPr="00FC39B2" w:rsidRDefault="00F30CA6" w:rsidP="00FC39B2">
      <w:pPr>
        <w:pStyle w:val="EndnoteText"/>
        <w:ind w:left="0" w:firstLine="0"/>
        <w:jc w:val="left"/>
        <w:rPr>
          <w:szCs w:val="16"/>
        </w:rPr>
      </w:pPr>
      <w:r>
        <w:rPr>
          <w:rStyle w:val="EndnoteReference"/>
          <w:szCs w:val="16"/>
        </w:rPr>
        <w:endnoteRef/>
      </w:r>
      <w:r>
        <w:t xml:space="preserve"> Las propuestas de los Países Bajos pueden consultarse en la siguiente dirección: </w:t>
      </w:r>
      <w:hyperlink r:id="rId9" w:history="1">
        <w:r>
          <w:rPr>
            <w:rStyle w:val="Hyperlink"/>
          </w:rPr>
          <w:t>https://www.upov.int/meetings/en/doc_details.jsp?meeting_id=67773&amp;doc_id=563737</w:t>
        </w:r>
      </w:hyperlink>
      <w:r>
        <w:t xml:space="preserve"> </w:t>
      </w:r>
    </w:p>
  </w:endnote>
  <w:endnote w:id="18">
    <w:p w14:paraId="629DC476" w14:textId="0938457B" w:rsidR="00F30CA6" w:rsidRPr="00FC39B2" w:rsidRDefault="00F30CA6" w:rsidP="00FC39B2">
      <w:pPr>
        <w:pStyle w:val="EndnoteText"/>
        <w:ind w:left="0" w:firstLine="0"/>
        <w:jc w:val="left"/>
        <w:rPr>
          <w:szCs w:val="16"/>
        </w:rPr>
      </w:pPr>
      <w:r>
        <w:rPr>
          <w:rStyle w:val="EndnoteReference"/>
          <w:szCs w:val="16"/>
        </w:rPr>
        <w:endnoteRef/>
      </w:r>
      <w:r>
        <w:t xml:space="preserve"> Las propuestas formuladas por la AIPH en respuesta a la circular E-22/058 pueden consultarse en la dirección:. https://www.upov.int/meetings/en/details.jsp?meeting_id=70188</w:t>
      </w:r>
      <w:r w:rsidR="005D779D">
        <w:t xml:space="preserve"> </w:t>
      </w:r>
    </w:p>
  </w:endnote>
  <w:endnote w:id="19">
    <w:p w14:paraId="5986C3AC" w14:textId="77777777" w:rsidR="00F30CA6" w:rsidRPr="00755342" w:rsidRDefault="00F30CA6" w:rsidP="00121F03">
      <w:pPr>
        <w:pStyle w:val="EndnoteText"/>
        <w:ind w:left="0" w:firstLine="0"/>
        <w:jc w:val="left"/>
        <w:rPr>
          <w:szCs w:val="16"/>
        </w:rPr>
      </w:pPr>
      <w:r>
        <w:rPr>
          <w:rStyle w:val="EndnoteReference"/>
        </w:rPr>
        <w:endnoteRef/>
      </w:r>
      <w:r>
        <w:t xml:space="preserve"> Las propuestas de la ISF, la CIOPORA, </w:t>
      </w:r>
      <w:r>
        <w:rPr>
          <w:i/>
          <w:iCs/>
        </w:rPr>
        <w:t>CropLife International, Euroseeds,</w:t>
      </w:r>
      <w:r>
        <w:t xml:space="preserve"> la APSA, la AFSTA y la SAA pueden consultarse en la siguiente dirección: </w:t>
      </w:r>
      <w:hyperlink r:id="rId10" w:history="1">
        <w:r>
          <w:rPr>
            <w:rStyle w:val="Hyperlink"/>
          </w:rPr>
          <w:t>https://www.upov.int/meetings/en/doc_details.jsp?meeting_id=67773&amp;doc_id=563726</w:t>
        </w:r>
      </w:hyperlink>
      <w:r>
        <w:t xml:space="preserve"> </w:t>
      </w:r>
    </w:p>
  </w:endnote>
  <w:endnote w:id="20">
    <w:p w14:paraId="220D9167" w14:textId="77777777" w:rsidR="00F30CA6" w:rsidRDefault="00F30CA6" w:rsidP="00160D79">
      <w:pPr>
        <w:pStyle w:val="EndnoteText"/>
      </w:pPr>
      <w:r>
        <w:rPr>
          <w:rStyle w:val="EndnoteReference"/>
        </w:rPr>
        <w:endnoteRef/>
      </w:r>
      <w:r>
        <w:t xml:space="preserve"> Véase párrafo 11 del documento WG-HRV/1/6 “Informe”.</w:t>
      </w:r>
    </w:p>
  </w:endnote>
  <w:endnote w:id="21">
    <w:p w14:paraId="7D8FCFD1" w14:textId="77777777" w:rsidR="00F30CA6" w:rsidRPr="00755342" w:rsidRDefault="00F30CA6" w:rsidP="00121F03">
      <w:pPr>
        <w:pStyle w:val="EndnoteText"/>
        <w:ind w:left="0" w:firstLine="0"/>
        <w:jc w:val="left"/>
        <w:rPr>
          <w:szCs w:val="16"/>
        </w:rPr>
      </w:pPr>
      <w:r>
        <w:rPr>
          <w:rStyle w:val="EndnoteReference"/>
        </w:rPr>
        <w:endnoteRef/>
      </w:r>
      <w:r>
        <w:t xml:space="preserve"> Las propuestas de la ISF, la CIOPORA, </w:t>
      </w:r>
      <w:r>
        <w:rPr>
          <w:i/>
          <w:iCs/>
        </w:rPr>
        <w:t>CropLife International, Euroseeds,</w:t>
      </w:r>
      <w:r>
        <w:t xml:space="preserve"> la APSA, la AFSTA y la SAA pueden consultarse en la siguiente dirección: </w:t>
      </w:r>
      <w:hyperlink r:id="rId11" w:history="1">
        <w:r>
          <w:rPr>
            <w:rStyle w:val="Hyperlink"/>
          </w:rPr>
          <w:t>https://www.upov.int/meetings/en/doc_details.jsp?meeting_id=67773&amp;doc_id=563726</w:t>
        </w:r>
      </w:hyperlink>
      <w:r>
        <w:t xml:space="preserve"> </w:t>
      </w:r>
    </w:p>
  </w:endnote>
  <w:endnote w:id="22">
    <w:p w14:paraId="112475FF" w14:textId="77777777" w:rsidR="00F30CA6" w:rsidRDefault="00F30CA6" w:rsidP="00160D79">
      <w:pPr>
        <w:pStyle w:val="EndnoteText"/>
      </w:pPr>
      <w:r>
        <w:rPr>
          <w:rStyle w:val="EndnoteReference"/>
        </w:rPr>
        <w:endnoteRef/>
      </w:r>
      <w:r>
        <w:t xml:space="preserve"> Véase párrafo 11 del documento WG-HRV/1/6 “Informe”.</w:t>
      </w:r>
    </w:p>
  </w:endnote>
  <w:endnote w:id="23">
    <w:p w14:paraId="3ECF6EDC" w14:textId="77777777" w:rsidR="00F30CA6" w:rsidRDefault="00F30CA6" w:rsidP="00160D79">
      <w:pPr>
        <w:pStyle w:val="EndnoteText"/>
      </w:pPr>
      <w:r>
        <w:rPr>
          <w:rStyle w:val="EndnoteReference"/>
        </w:rPr>
        <w:endnoteRef/>
      </w:r>
      <w:r>
        <w:t xml:space="preserve"> Véase párrafo 11 del documento WG-HRV/1/6 “Informe”.</w:t>
      </w:r>
    </w:p>
  </w:endnote>
  <w:endnote w:id="24">
    <w:p w14:paraId="36DCC2BE" w14:textId="77777777" w:rsidR="00F30CA6" w:rsidRPr="00755342" w:rsidRDefault="00F30CA6" w:rsidP="00042465">
      <w:pPr>
        <w:pStyle w:val="EndnoteText"/>
        <w:ind w:left="0" w:firstLine="0"/>
        <w:jc w:val="left"/>
        <w:rPr>
          <w:szCs w:val="16"/>
        </w:rPr>
      </w:pPr>
      <w:r>
        <w:rPr>
          <w:rStyle w:val="EndnoteReference"/>
        </w:rPr>
        <w:endnoteRef/>
      </w:r>
      <w:r>
        <w:t xml:space="preserve"> La propuesta formulada por el Japón en respuesta a la circular E-22/058 puede consultarse en la dirección </w:t>
      </w:r>
      <w:r>
        <w:br/>
        <w:t>https://www.upov.int/meetings/en/details.jsp?meeting_id=70188</w:t>
      </w:r>
    </w:p>
  </w:endnote>
  <w:endnote w:id="25">
    <w:p w14:paraId="4E27BE2D" w14:textId="77777777" w:rsidR="00F30CA6" w:rsidRPr="00755342" w:rsidRDefault="00F30CA6" w:rsidP="00121F03">
      <w:pPr>
        <w:pStyle w:val="EndnoteText"/>
        <w:ind w:left="0" w:firstLine="0"/>
        <w:jc w:val="left"/>
        <w:rPr>
          <w:szCs w:val="16"/>
        </w:rPr>
      </w:pPr>
      <w:r>
        <w:rPr>
          <w:rStyle w:val="EndnoteReference"/>
          <w:szCs w:val="16"/>
        </w:rPr>
        <w:endnoteRef/>
      </w:r>
      <w:r>
        <w:t xml:space="preserve"> Las propuestas de los Países Bajos pueden consultarse en la siguiente dirección: </w:t>
      </w:r>
      <w:hyperlink r:id="rId12" w:history="1">
        <w:r>
          <w:rPr>
            <w:rStyle w:val="Hyperlink"/>
          </w:rPr>
          <w:t>https://www.upov.int/meetings/en/doc_details.jsp?meeting_id=67773&amp;doc_id=563737</w:t>
        </w:r>
      </w:hyperlink>
      <w:r>
        <w:t xml:space="preserve"> </w:t>
      </w:r>
    </w:p>
  </w:endnote>
  <w:endnote w:id="26">
    <w:p w14:paraId="65B7A54E" w14:textId="77777777" w:rsidR="00F30CA6" w:rsidRPr="00755342" w:rsidRDefault="00F30CA6" w:rsidP="00121F03">
      <w:pPr>
        <w:pStyle w:val="EndnoteText"/>
        <w:ind w:left="0" w:firstLine="0"/>
        <w:jc w:val="left"/>
        <w:rPr>
          <w:szCs w:val="16"/>
        </w:rPr>
      </w:pPr>
      <w:r>
        <w:rPr>
          <w:rStyle w:val="EndnoteReference"/>
          <w:szCs w:val="16"/>
        </w:rPr>
        <w:endnoteRef/>
      </w:r>
      <w:r>
        <w:t xml:space="preserve"> Las propuestas de la AIPH pueden consultarse en la siguiente dirección: </w:t>
      </w:r>
      <w:hyperlink r:id="rId13" w:history="1">
        <w:r>
          <w:rPr>
            <w:rStyle w:val="Hyperlink"/>
          </w:rPr>
          <w:t>https://www.upov.int/meetings/en/doc_details.jsp?meeting_id=67773&amp;doc_id=563725</w:t>
        </w:r>
      </w:hyperlink>
      <w:r>
        <w:t xml:space="preserve"> </w:t>
      </w:r>
    </w:p>
  </w:endnote>
  <w:endnote w:id="27">
    <w:p w14:paraId="514D7CD3" w14:textId="77777777" w:rsidR="00F30CA6" w:rsidRPr="00755342" w:rsidRDefault="00F30CA6" w:rsidP="00121F03">
      <w:pPr>
        <w:pStyle w:val="EndnoteText"/>
        <w:ind w:left="0" w:firstLine="0"/>
        <w:jc w:val="left"/>
        <w:rPr>
          <w:szCs w:val="16"/>
        </w:rPr>
      </w:pPr>
      <w:r>
        <w:rPr>
          <w:rStyle w:val="EndnoteReference"/>
        </w:rPr>
        <w:endnoteRef/>
      </w:r>
      <w:r>
        <w:t xml:space="preserve"> Las propuestas de la ISF, la CIOPORA, </w:t>
      </w:r>
      <w:r>
        <w:rPr>
          <w:i/>
          <w:iCs/>
        </w:rPr>
        <w:t>CropLife International, Euroseeds,</w:t>
      </w:r>
      <w:r>
        <w:t xml:space="preserve"> la APSA, la AFSTA y la SAA pueden consultarse en la siguiente dirección: </w:t>
      </w:r>
      <w:hyperlink r:id="rId14" w:history="1">
        <w:r>
          <w:rPr>
            <w:rStyle w:val="Hyperlink"/>
          </w:rPr>
          <w:t>https://www.upov.int/meetings/en/doc_details.jsp?meeting_id=67773&amp;doc_id=563726</w:t>
        </w:r>
      </w:hyperlink>
      <w:r>
        <w:t xml:space="preserve"> </w:t>
      </w:r>
    </w:p>
  </w:endnote>
  <w:endnote w:id="28">
    <w:p w14:paraId="24BA7C2D" w14:textId="77777777" w:rsidR="00F30CA6" w:rsidRPr="00D54FFB" w:rsidRDefault="00F30CA6" w:rsidP="00D54FFB">
      <w:pPr>
        <w:pStyle w:val="EndnoteText"/>
        <w:ind w:left="0" w:firstLine="0"/>
        <w:jc w:val="left"/>
        <w:rPr>
          <w:szCs w:val="16"/>
        </w:rPr>
      </w:pPr>
      <w:r>
        <w:rPr>
          <w:rStyle w:val="EndnoteReference"/>
        </w:rPr>
        <w:endnoteRef/>
      </w:r>
      <w:r>
        <w:t xml:space="preserve"> Las propuestas de la ISF, la CIOPORA, </w:t>
      </w:r>
      <w:r>
        <w:rPr>
          <w:i/>
          <w:iCs/>
        </w:rPr>
        <w:t>CropLife International, Euroseeds,</w:t>
      </w:r>
      <w:r>
        <w:t xml:space="preserve"> la APSA, la AFSTA y la SAA pueden consultarse en la siguiente dirección: </w:t>
      </w:r>
      <w:hyperlink r:id="rId15" w:history="1">
        <w:r>
          <w:rPr>
            <w:rStyle w:val="Hyperlink"/>
          </w:rPr>
          <w:t>https://www.upov.int/meetings/en/doc_details.jsp?meeting_id=67773&amp;doc_id=563726</w:t>
        </w:r>
      </w:hyperlink>
      <w:r>
        <w:t xml:space="preserve"> </w:t>
      </w:r>
    </w:p>
  </w:endnote>
  <w:endnote w:id="29">
    <w:p w14:paraId="213A95CD" w14:textId="568DA913" w:rsidR="00F30CA6" w:rsidRDefault="00F30CA6" w:rsidP="00D54FFB">
      <w:pPr>
        <w:pStyle w:val="EndnoteText"/>
        <w:ind w:left="0" w:firstLine="0"/>
        <w:jc w:val="left"/>
        <w:rPr>
          <w:szCs w:val="16"/>
        </w:rPr>
      </w:pPr>
      <w:r>
        <w:rPr>
          <w:rStyle w:val="EndnoteReference"/>
        </w:rPr>
        <w:endnoteRef/>
      </w:r>
      <w:r>
        <w:t xml:space="preserve"> Las propuestas formuladas por la AIPH en respuesta a la circular E-22/058 pueden consultarse en la dirección:. https://www.upov.int/meetings/en/details.jsp?meeting_id=70188</w:t>
      </w:r>
      <w:r w:rsidR="005D779D">
        <w:t xml:space="preserve"> </w:t>
      </w:r>
    </w:p>
    <w:p w14:paraId="5F91AFF0" w14:textId="77777777" w:rsidR="00F30CA6" w:rsidRDefault="00F30CA6" w:rsidP="00D54FFB">
      <w:pPr>
        <w:pStyle w:val="EndnoteText"/>
        <w:ind w:left="0" w:firstLine="0"/>
        <w:jc w:val="left"/>
        <w:rPr>
          <w:szCs w:val="16"/>
        </w:rPr>
      </w:pPr>
    </w:p>
    <w:p w14:paraId="73177B8D" w14:textId="77777777" w:rsidR="00F30CA6" w:rsidRDefault="00F30CA6" w:rsidP="00D54FFB">
      <w:pPr>
        <w:pStyle w:val="EndnoteText"/>
        <w:ind w:left="0" w:firstLine="0"/>
        <w:jc w:val="left"/>
        <w:rPr>
          <w:szCs w:val="16"/>
        </w:rPr>
      </w:pPr>
    </w:p>
    <w:p w14:paraId="66EBC99B" w14:textId="77777777" w:rsidR="00F30CA6" w:rsidRDefault="00F30CA6" w:rsidP="00D54FFB">
      <w:pPr>
        <w:pStyle w:val="EndnoteText"/>
        <w:ind w:left="0" w:firstLine="0"/>
        <w:jc w:val="left"/>
        <w:rPr>
          <w:szCs w:val="16"/>
        </w:rPr>
      </w:pPr>
    </w:p>
    <w:p w14:paraId="7EA22309" w14:textId="77777777" w:rsidR="00F30CA6" w:rsidRPr="00755342" w:rsidRDefault="00F30CA6" w:rsidP="00D54FFB">
      <w:pPr>
        <w:pStyle w:val="EndnoteText"/>
        <w:ind w:left="0" w:firstLine="0"/>
        <w:jc w:val="right"/>
        <w:rPr>
          <w:szCs w:val="16"/>
        </w:rPr>
      </w:pPr>
      <w:bookmarkStart w:id="27" w:name="_Toc178579803"/>
      <w:bookmarkStart w:id="28" w:name="_Toc178579824"/>
      <w:r>
        <w:rPr>
          <w:sz w:val="20"/>
        </w:rPr>
        <w:t>[Final del Anexo y del documento]</w:t>
      </w:r>
      <w:bookmarkEnd w:id="27"/>
      <w:bookmarkEnd w:id="28"/>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91F82" w14:textId="77777777" w:rsidR="00AE2CB1" w:rsidRDefault="00AE2CB1">
      <w:r>
        <w:separator/>
      </w:r>
    </w:p>
  </w:footnote>
  <w:footnote w:type="continuationSeparator" w:id="0">
    <w:p w14:paraId="6F1D3BB9" w14:textId="77777777" w:rsidR="00AE2CB1" w:rsidRDefault="00AE2CB1">
      <w:r>
        <w:continuationSeparator/>
      </w:r>
    </w:p>
  </w:footnote>
  <w:footnote w:id="1">
    <w:p w14:paraId="62339E5B" w14:textId="77777777" w:rsidR="00F30CA6" w:rsidRPr="00AF712D" w:rsidRDefault="00F30CA6" w:rsidP="00216BB0">
      <w:pPr>
        <w:pStyle w:val="FootnoteText"/>
        <w:ind w:left="284" w:hanging="284"/>
        <w:rPr>
          <w:highlight w:val="lightGray"/>
          <w:u w:val="single"/>
        </w:rPr>
      </w:pPr>
      <w:r>
        <w:rPr>
          <w:rStyle w:val="FootnoteReference"/>
        </w:rPr>
        <w:footnoteRef/>
      </w:r>
      <w:r>
        <w:t xml:space="preserve"> </w:t>
      </w:r>
      <w:r>
        <w:tab/>
      </w:r>
      <w:r>
        <w:rPr>
          <w:highlight w:val="lightGray"/>
          <w:u w:val="single"/>
        </w:rPr>
        <w:t>El término “obtentor”, incluye el concepto de solicitante y titular del derecho de obtentor, conforme a la definición de “obtentor” del Artículo 1.iv) del Acta de 1991 del Convenio de la UPOV que es:</w:t>
      </w:r>
    </w:p>
    <w:p w14:paraId="714EE8E4" w14:textId="77777777" w:rsidR="00F30CA6" w:rsidRPr="00AF712D" w:rsidRDefault="00F30CA6" w:rsidP="00216BB0">
      <w:pPr>
        <w:pStyle w:val="FootnoteText"/>
        <w:ind w:left="284" w:hanging="284"/>
        <w:rPr>
          <w:highlight w:val="lightGray"/>
          <w:u w:val="single"/>
        </w:rPr>
      </w:pPr>
      <w:r>
        <w:rPr>
          <w:highlight w:val="lightGray"/>
          <w:u w:val="single"/>
        </w:rPr>
        <w:t>“– la persona que haya creado o descubierto y puesto a punto una variedad,</w:t>
      </w:r>
    </w:p>
    <w:p w14:paraId="47E398DD" w14:textId="7FAEBC62" w:rsidR="00F30CA6" w:rsidRPr="00AF712D" w:rsidRDefault="00F30CA6" w:rsidP="00216BB0">
      <w:pPr>
        <w:pStyle w:val="FootnoteText"/>
        <w:ind w:left="284" w:hanging="284"/>
        <w:rPr>
          <w:highlight w:val="lightGray"/>
          <w:u w:val="single"/>
        </w:rPr>
      </w:pPr>
      <w:r>
        <w:rPr>
          <w:highlight w:val="lightGray"/>
          <w:u w:val="single"/>
        </w:rPr>
        <w:t xml:space="preserve"> – la persona que sea el empleador de la persona antes mencionada o que haya encargado su trabajo, cuando la legislación de la Parte Contratante en cuestión así lo disponga, o</w:t>
      </w:r>
    </w:p>
    <w:p w14:paraId="016C2A22" w14:textId="77777777" w:rsidR="00F30CA6" w:rsidRDefault="00F30CA6" w:rsidP="00216BB0">
      <w:pPr>
        <w:pStyle w:val="FootnoteText"/>
        <w:ind w:left="284" w:hanging="284"/>
      </w:pPr>
      <w:r>
        <w:rPr>
          <w:highlight w:val="lightGray"/>
          <w:u w:val="single"/>
        </w:rPr>
        <w:t xml:space="preserve"> – el causahabiente de la primera o de la segunda persona mencionadas, según el caso“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5DD69" w14:textId="77777777" w:rsidR="00F30CA6" w:rsidRPr="00351D25" w:rsidRDefault="00F30CA6" w:rsidP="00351D25">
    <w:pPr>
      <w:pStyle w:val="Header"/>
      <w:jc w:val="both"/>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FCF57" w14:textId="77777777" w:rsidR="00F30CA6" w:rsidRPr="00C5280D" w:rsidRDefault="00F30CA6" w:rsidP="008156EB">
    <w:pPr>
      <w:pStyle w:val="Header"/>
      <w:rPr>
        <w:rStyle w:val="PageNumber"/>
      </w:rPr>
    </w:pPr>
    <w:r>
      <w:rPr>
        <w:rStyle w:val="PageNumber"/>
      </w:rPr>
      <w:t>WG-HRV/2/4</w:t>
    </w:r>
  </w:p>
  <w:p w14:paraId="3831FACC" w14:textId="77777777" w:rsidR="00F30CA6" w:rsidRPr="00C5280D" w:rsidRDefault="00F30CA6" w:rsidP="008156EB">
    <w:pPr>
      <w:pStyle w:val="Header"/>
    </w:pPr>
    <w:r>
      <w:t xml:space="preserve">página </w:t>
    </w:r>
    <w:r>
      <w:rPr>
        <w:rStyle w:val="PageNumber"/>
      </w:rPr>
      <w:t>2</w:t>
    </w:r>
  </w:p>
  <w:p w14:paraId="706F34CE" w14:textId="77777777" w:rsidR="00F30CA6" w:rsidRPr="00C5280D" w:rsidRDefault="00F30CA6" w:rsidP="008156E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72102" w14:textId="77777777" w:rsidR="00F30CA6" w:rsidRDefault="00F30CA6" w:rsidP="00351D25">
    <w:pPr>
      <w:pStyle w:val="Header"/>
    </w:pPr>
    <w:r>
      <w:t>WG-HRV/2/4</w:t>
    </w:r>
  </w:p>
  <w:p w14:paraId="51AA10AF" w14:textId="77777777" w:rsidR="00F30CA6" w:rsidRPr="00351D25" w:rsidRDefault="00F30CA6" w:rsidP="00351D25">
    <w:pPr>
      <w:pStyle w:val="Header"/>
    </w:pPr>
    <w:r>
      <w:t>Anexo, página 12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B4A46" w14:textId="77777777" w:rsidR="00F30CA6" w:rsidRPr="00DD5B21" w:rsidRDefault="00F30CA6" w:rsidP="00DD5B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6AE18" w14:textId="77777777" w:rsidR="00F30CA6" w:rsidRPr="00CD0CBC" w:rsidRDefault="00F30CA6" w:rsidP="0043063A">
    <w:pPr>
      <w:pStyle w:val="Header"/>
      <w:rPr>
        <w:rFonts w:cs="Arial"/>
      </w:rPr>
    </w:pPr>
    <w:r>
      <w:t>WG-HRV/2/4</w:t>
    </w:r>
  </w:p>
  <w:p w14:paraId="22E181D2" w14:textId="77777777" w:rsidR="00F30CA6" w:rsidRPr="00CD0CBC" w:rsidRDefault="00F30CA6">
    <w:pPr>
      <w:pStyle w:val="Header"/>
      <w:rPr>
        <w:lang w:val="en-US"/>
      </w:rPr>
    </w:pPr>
  </w:p>
  <w:p w14:paraId="403E2A7C" w14:textId="77777777" w:rsidR="00F30CA6" w:rsidRPr="00CD0CBC" w:rsidRDefault="00F30CA6">
    <w:pPr>
      <w:pStyle w:val="Header"/>
    </w:pPr>
    <w:r>
      <w:t>NOTAS FINALES</w:t>
    </w:r>
  </w:p>
  <w:p w14:paraId="2BF09EAE" w14:textId="77777777" w:rsidR="00F30CA6" w:rsidRPr="00CD0CBC" w:rsidRDefault="00F30CA6">
    <w:pPr>
      <w:pStyle w:val="Header"/>
      <w:rPr>
        <w:lang w:val="en-US"/>
      </w:rPr>
    </w:pPr>
  </w:p>
  <w:p w14:paraId="49044590" w14:textId="77777777" w:rsidR="00F30CA6" w:rsidRPr="00CD0CBC" w:rsidRDefault="00F30CA6">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29E126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508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AAFF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3231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10D57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F573060"/>
    <w:multiLevelType w:val="hybridMultilevel"/>
    <w:tmpl w:val="970C4710"/>
    <w:lvl w:ilvl="0" w:tplc="B108EDA0">
      <w:start w:val="1"/>
      <w:numFmt w:val="lowerLetter"/>
      <w:lvlText w:val="(%1)"/>
      <w:lvlJc w:val="left"/>
      <w:pPr>
        <w:ind w:left="6090" w:hanging="420"/>
      </w:pPr>
      <w:rPr>
        <w:rFonts w:hint="default"/>
      </w:rPr>
    </w:lvl>
    <w:lvl w:ilvl="1" w:tplc="04090019" w:tentative="1">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15" w15:restartNumberingAfterBreak="0">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B43659D"/>
    <w:multiLevelType w:val="hybridMultilevel"/>
    <w:tmpl w:val="7F485268"/>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15:restartNumberingAfterBreak="0">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A48673C"/>
    <w:multiLevelType w:val="hybridMultilevel"/>
    <w:tmpl w:val="53F0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5"/>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5"/>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1"/>
  </w:num>
  <w:num w:numId="28">
    <w:abstractNumId w:val="15"/>
  </w:num>
  <w:num w:numId="29">
    <w:abstractNumId w:val="18"/>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9"/>
  </w:num>
  <w:num w:numId="43">
    <w:abstractNumId w:val="10"/>
  </w:num>
  <w:num w:numId="44">
    <w:abstractNumId w:val="16"/>
  </w:num>
  <w:num w:numId="45">
    <w:abstractNumId w:val="11"/>
  </w:num>
  <w:num w:numId="46">
    <w:abstractNumId w:val="20"/>
  </w:num>
  <w:num w:numId="47">
    <w:abstractNumId w:val="16"/>
  </w:num>
  <w:num w:numId="48">
    <w:abstractNumId w:val="17"/>
  </w:num>
  <w:num w:numId="49">
    <w:abstractNumId w:val="22"/>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6" w:nlCheck="1" w:checkStyle="1"/>
  <w:activeWritingStyle w:appName="MSWord" w:lang="fr-FR"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EC4"/>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63E0"/>
    <w:rsid w:val="0003732E"/>
    <w:rsid w:val="0004179D"/>
    <w:rsid w:val="00042465"/>
    <w:rsid w:val="00042C4C"/>
    <w:rsid w:val="00044035"/>
    <w:rsid w:val="00044632"/>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0FBB"/>
    <w:rsid w:val="00082605"/>
    <w:rsid w:val="000842F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B7C79"/>
    <w:rsid w:val="000C1E42"/>
    <w:rsid w:val="000C280F"/>
    <w:rsid w:val="000C2BB7"/>
    <w:rsid w:val="000C3824"/>
    <w:rsid w:val="000C4CE7"/>
    <w:rsid w:val="000C4FCF"/>
    <w:rsid w:val="000C5B2E"/>
    <w:rsid w:val="000C72D9"/>
    <w:rsid w:val="000D05CF"/>
    <w:rsid w:val="000D19BA"/>
    <w:rsid w:val="000D21CC"/>
    <w:rsid w:val="000D2529"/>
    <w:rsid w:val="000D341C"/>
    <w:rsid w:val="000D376A"/>
    <w:rsid w:val="000D39F0"/>
    <w:rsid w:val="000D46C6"/>
    <w:rsid w:val="000D47C5"/>
    <w:rsid w:val="000D53B7"/>
    <w:rsid w:val="000D625B"/>
    <w:rsid w:val="000D6A46"/>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5BDB"/>
    <w:rsid w:val="00106091"/>
    <w:rsid w:val="00111C96"/>
    <w:rsid w:val="001166FC"/>
    <w:rsid w:val="00121F03"/>
    <w:rsid w:val="00122F6C"/>
    <w:rsid w:val="0013000A"/>
    <w:rsid w:val="00130571"/>
    <w:rsid w:val="00131413"/>
    <w:rsid w:val="00131973"/>
    <w:rsid w:val="00133122"/>
    <w:rsid w:val="00133B50"/>
    <w:rsid w:val="00133DEF"/>
    <w:rsid w:val="001350AE"/>
    <w:rsid w:val="00135676"/>
    <w:rsid w:val="0013633B"/>
    <w:rsid w:val="001401B9"/>
    <w:rsid w:val="00150252"/>
    <w:rsid w:val="001503D6"/>
    <w:rsid w:val="00150A66"/>
    <w:rsid w:val="00151207"/>
    <w:rsid w:val="00151E6C"/>
    <w:rsid w:val="00152C1F"/>
    <w:rsid w:val="00153DB6"/>
    <w:rsid w:val="00154CD6"/>
    <w:rsid w:val="0015629B"/>
    <w:rsid w:val="00157840"/>
    <w:rsid w:val="0016075A"/>
    <w:rsid w:val="00160D79"/>
    <w:rsid w:val="001619D7"/>
    <w:rsid w:val="00161C39"/>
    <w:rsid w:val="001623A0"/>
    <w:rsid w:val="001641C6"/>
    <w:rsid w:val="00164E09"/>
    <w:rsid w:val="00165579"/>
    <w:rsid w:val="00167EC8"/>
    <w:rsid w:val="001703F3"/>
    <w:rsid w:val="001706B9"/>
    <w:rsid w:val="0017491A"/>
    <w:rsid w:val="00175D54"/>
    <w:rsid w:val="00176502"/>
    <w:rsid w:val="00177001"/>
    <w:rsid w:val="00177708"/>
    <w:rsid w:val="00180802"/>
    <w:rsid w:val="001811B0"/>
    <w:rsid w:val="001814FC"/>
    <w:rsid w:val="001815F2"/>
    <w:rsid w:val="001827B9"/>
    <w:rsid w:val="00183457"/>
    <w:rsid w:val="00185DEA"/>
    <w:rsid w:val="00187D87"/>
    <w:rsid w:val="0019030C"/>
    <w:rsid w:val="00190569"/>
    <w:rsid w:val="001915D4"/>
    <w:rsid w:val="00191F38"/>
    <w:rsid w:val="0019247A"/>
    <w:rsid w:val="0019350E"/>
    <w:rsid w:val="00193803"/>
    <w:rsid w:val="00193CA6"/>
    <w:rsid w:val="00194374"/>
    <w:rsid w:val="00195503"/>
    <w:rsid w:val="001956F6"/>
    <w:rsid w:val="00195CE5"/>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4478"/>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4BE"/>
    <w:rsid w:val="001E276E"/>
    <w:rsid w:val="001E4948"/>
    <w:rsid w:val="001E525D"/>
    <w:rsid w:val="001E5BE4"/>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2D67"/>
    <w:rsid w:val="002130C0"/>
    <w:rsid w:val="002132D4"/>
    <w:rsid w:val="00213453"/>
    <w:rsid w:val="00213545"/>
    <w:rsid w:val="0021382C"/>
    <w:rsid w:val="0021466A"/>
    <w:rsid w:val="00214C02"/>
    <w:rsid w:val="00215431"/>
    <w:rsid w:val="0021579C"/>
    <w:rsid w:val="00216B4E"/>
    <w:rsid w:val="00216B72"/>
    <w:rsid w:val="00216BB0"/>
    <w:rsid w:val="00216D65"/>
    <w:rsid w:val="00217404"/>
    <w:rsid w:val="00220AFA"/>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2AC"/>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5F1"/>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1D25"/>
    <w:rsid w:val="00352499"/>
    <w:rsid w:val="003526C7"/>
    <w:rsid w:val="003526EA"/>
    <w:rsid w:val="00354B79"/>
    <w:rsid w:val="0035533A"/>
    <w:rsid w:val="00355F00"/>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53E"/>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4DDB"/>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3F7C84"/>
    <w:rsid w:val="004003DA"/>
    <w:rsid w:val="004017C9"/>
    <w:rsid w:val="004021C1"/>
    <w:rsid w:val="004043BA"/>
    <w:rsid w:val="00406878"/>
    <w:rsid w:val="004074EA"/>
    <w:rsid w:val="00407739"/>
    <w:rsid w:val="0041053C"/>
    <w:rsid w:val="00411203"/>
    <w:rsid w:val="00411802"/>
    <w:rsid w:val="004126B6"/>
    <w:rsid w:val="00412E09"/>
    <w:rsid w:val="00414E05"/>
    <w:rsid w:val="00415150"/>
    <w:rsid w:val="004174EA"/>
    <w:rsid w:val="00417703"/>
    <w:rsid w:val="00420A31"/>
    <w:rsid w:val="004229F3"/>
    <w:rsid w:val="00422D17"/>
    <w:rsid w:val="004241E7"/>
    <w:rsid w:val="00425EA8"/>
    <w:rsid w:val="00426126"/>
    <w:rsid w:val="00430280"/>
    <w:rsid w:val="0043063A"/>
    <w:rsid w:val="00431391"/>
    <w:rsid w:val="00431CE0"/>
    <w:rsid w:val="00434FEF"/>
    <w:rsid w:val="004401FC"/>
    <w:rsid w:val="00442098"/>
    <w:rsid w:val="00443537"/>
    <w:rsid w:val="00443CED"/>
    <w:rsid w:val="00445492"/>
    <w:rsid w:val="004454BC"/>
    <w:rsid w:val="0044572C"/>
    <w:rsid w:val="00445ACB"/>
    <w:rsid w:val="00450C7C"/>
    <w:rsid w:val="00450EA5"/>
    <w:rsid w:val="00450F56"/>
    <w:rsid w:val="0045152B"/>
    <w:rsid w:val="00453467"/>
    <w:rsid w:val="004548FC"/>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CEF"/>
    <w:rsid w:val="00477F73"/>
    <w:rsid w:val="00480B41"/>
    <w:rsid w:val="00480D6B"/>
    <w:rsid w:val="0048167C"/>
    <w:rsid w:val="00481D6D"/>
    <w:rsid w:val="0048404E"/>
    <w:rsid w:val="00484AF6"/>
    <w:rsid w:val="004861E2"/>
    <w:rsid w:val="004869FF"/>
    <w:rsid w:val="00486C46"/>
    <w:rsid w:val="00491AAB"/>
    <w:rsid w:val="004935D7"/>
    <w:rsid w:val="004969E0"/>
    <w:rsid w:val="0049701E"/>
    <w:rsid w:val="004A1CBD"/>
    <w:rsid w:val="004A3C70"/>
    <w:rsid w:val="004A42D1"/>
    <w:rsid w:val="004A42F5"/>
    <w:rsid w:val="004A47F9"/>
    <w:rsid w:val="004A6843"/>
    <w:rsid w:val="004A6ADF"/>
    <w:rsid w:val="004A70A6"/>
    <w:rsid w:val="004A7E7C"/>
    <w:rsid w:val="004B0354"/>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480"/>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27FFD"/>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572"/>
    <w:rsid w:val="00546DB4"/>
    <w:rsid w:val="00546F4D"/>
    <w:rsid w:val="00547816"/>
    <w:rsid w:val="00547E3C"/>
    <w:rsid w:val="00552A3B"/>
    <w:rsid w:val="005576D1"/>
    <w:rsid w:val="00560BEC"/>
    <w:rsid w:val="005620FD"/>
    <w:rsid w:val="0056302B"/>
    <w:rsid w:val="00566214"/>
    <w:rsid w:val="0056728C"/>
    <w:rsid w:val="0056735A"/>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823"/>
    <w:rsid w:val="00597AD5"/>
    <w:rsid w:val="00597E91"/>
    <w:rsid w:val="005A2310"/>
    <w:rsid w:val="005A291D"/>
    <w:rsid w:val="005A2C11"/>
    <w:rsid w:val="005A368F"/>
    <w:rsid w:val="005A4776"/>
    <w:rsid w:val="005B1117"/>
    <w:rsid w:val="005B3F9D"/>
    <w:rsid w:val="005B4488"/>
    <w:rsid w:val="005B6087"/>
    <w:rsid w:val="005B631C"/>
    <w:rsid w:val="005B6E11"/>
    <w:rsid w:val="005C2509"/>
    <w:rsid w:val="005C284F"/>
    <w:rsid w:val="005C3A59"/>
    <w:rsid w:val="005C3B4C"/>
    <w:rsid w:val="005C4263"/>
    <w:rsid w:val="005C47AD"/>
    <w:rsid w:val="005C55C8"/>
    <w:rsid w:val="005C5894"/>
    <w:rsid w:val="005C590F"/>
    <w:rsid w:val="005C62FA"/>
    <w:rsid w:val="005C6593"/>
    <w:rsid w:val="005C65C4"/>
    <w:rsid w:val="005D07CE"/>
    <w:rsid w:val="005D2170"/>
    <w:rsid w:val="005D2384"/>
    <w:rsid w:val="005D249C"/>
    <w:rsid w:val="005D7065"/>
    <w:rsid w:val="005D779D"/>
    <w:rsid w:val="005D7FD2"/>
    <w:rsid w:val="005E0696"/>
    <w:rsid w:val="005E0A80"/>
    <w:rsid w:val="005E20A2"/>
    <w:rsid w:val="005E233F"/>
    <w:rsid w:val="005E3ECF"/>
    <w:rsid w:val="005E40F4"/>
    <w:rsid w:val="005E532E"/>
    <w:rsid w:val="005E6790"/>
    <w:rsid w:val="005F0328"/>
    <w:rsid w:val="005F03EB"/>
    <w:rsid w:val="005F16FB"/>
    <w:rsid w:val="005F4D73"/>
    <w:rsid w:val="005F5D55"/>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57A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1BAB"/>
    <w:rsid w:val="0064223D"/>
    <w:rsid w:val="00642B0B"/>
    <w:rsid w:val="006443ED"/>
    <w:rsid w:val="00645F6B"/>
    <w:rsid w:val="006468BC"/>
    <w:rsid w:val="00646EBF"/>
    <w:rsid w:val="00647286"/>
    <w:rsid w:val="006477D2"/>
    <w:rsid w:val="006502C7"/>
    <w:rsid w:val="00650370"/>
    <w:rsid w:val="00651989"/>
    <w:rsid w:val="00654E36"/>
    <w:rsid w:val="00655B84"/>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53DC"/>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0C73"/>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6F7E4B"/>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1CF"/>
    <w:rsid w:val="00747C42"/>
    <w:rsid w:val="00751D55"/>
    <w:rsid w:val="0075406E"/>
    <w:rsid w:val="0075571A"/>
    <w:rsid w:val="00757526"/>
    <w:rsid w:val="0076189A"/>
    <w:rsid w:val="00766AAD"/>
    <w:rsid w:val="00766F6F"/>
    <w:rsid w:val="00767D20"/>
    <w:rsid w:val="00767EA5"/>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CDE"/>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894"/>
    <w:rsid w:val="00810ACE"/>
    <w:rsid w:val="00811135"/>
    <w:rsid w:val="00812C42"/>
    <w:rsid w:val="00813114"/>
    <w:rsid w:val="00813E1B"/>
    <w:rsid w:val="00814F3A"/>
    <w:rsid w:val="008156EB"/>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8F6"/>
    <w:rsid w:val="00850DA2"/>
    <w:rsid w:val="0085247D"/>
    <w:rsid w:val="00852E53"/>
    <w:rsid w:val="0085422B"/>
    <w:rsid w:val="00854CB9"/>
    <w:rsid w:val="00854CD1"/>
    <w:rsid w:val="00855E67"/>
    <w:rsid w:val="00857E82"/>
    <w:rsid w:val="00861D61"/>
    <w:rsid w:val="00862B0D"/>
    <w:rsid w:val="00862E91"/>
    <w:rsid w:val="00863884"/>
    <w:rsid w:val="0086389C"/>
    <w:rsid w:val="0086421C"/>
    <w:rsid w:val="00864ABB"/>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5F6"/>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3BDF"/>
    <w:rsid w:val="00924180"/>
    <w:rsid w:val="0092431D"/>
    <w:rsid w:val="00924CB7"/>
    <w:rsid w:val="0092588D"/>
    <w:rsid w:val="0092698E"/>
    <w:rsid w:val="00926AB1"/>
    <w:rsid w:val="00927687"/>
    <w:rsid w:val="00930C2D"/>
    <w:rsid w:val="009320D7"/>
    <w:rsid w:val="00932824"/>
    <w:rsid w:val="009331B8"/>
    <w:rsid w:val="00933585"/>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3D9C"/>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C5E28"/>
    <w:rsid w:val="009D0795"/>
    <w:rsid w:val="009D08E6"/>
    <w:rsid w:val="009D2F63"/>
    <w:rsid w:val="009D489B"/>
    <w:rsid w:val="009D51E6"/>
    <w:rsid w:val="009D558F"/>
    <w:rsid w:val="009D7962"/>
    <w:rsid w:val="009E055F"/>
    <w:rsid w:val="009E0576"/>
    <w:rsid w:val="009E1034"/>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41D"/>
    <w:rsid w:val="00A02B7A"/>
    <w:rsid w:val="00A03C1E"/>
    <w:rsid w:val="00A0417F"/>
    <w:rsid w:val="00A0452D"/>
    <w:rsid w:val="00A04A85"/>
    <w:rsid w:val="00A05F5D"/>
    <w:rsid w:val="00A06E5C"/>
    <w:rsid w:val="00A06F53"/>
    <w:rsid w:val="00A07554"/>
    <w:rsid w:val="00A1452B"/>
    <w:rsid w:val="00A14575"/>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2821"/>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97D11"/>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5A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2CB1"/>
    <w:rsid w:val="00AE3A6D"/>
    <w:rsid w:val="00AE3B1A"/>
    <w:rsid w:val="00AE4476"/>
    <w:rsid w:val="00AE4B3A"/>
    <w:rsid w:val="00AE6010"/>
    <w:rsid w:val="00AE7C29"/>
    <w:rsid w:val="00AE7E99"/>
    <w:rsid w:val="00AF03BB"/>
    <w:rsid w:val="00AF0EB3"/>
    <w:rsid w:val="00AF17BA"/>
    <w:rsid w:val="00AF20F9"/>
    <w:rsid w:val="00AF2159"/>
    <w:rsid w:val="00AF28B1"/>
    <w:rsid w:val="00AF30E2"/>
    <w:rsid w:val="00AF41EB"/>
    <w:rsid w:val="00AF51D4"/>
    <w:rsid w:val="00AF7060"/>
    <w:rsid w:val="00AF712D"/>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A30"/>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48FD"/>
    <w:rsid w:val="00B3636D"/>
    <w:rsid w:val="00B37C2B"/>
    <w:rsid w:val="00B426C8"/>
    <w:rsid w:val="00B4518D"/>
    <w:rsid w:val="00B451EF"/>
    <w:rsid w:val="00B473E7"/>
    <w:rsid w:val="00B50EF0"/>
    <w:rsid w:val="00B511B9"/>
    <w:rsid w:val="00B52158"/>
    <w:rsid w:val="00B5225B"/>
    <w:rsid w:val="00B52687"/>
    <w:rsid w:val="00B5336B"/>
    <w:rsid w:val="00B536B5"/>
    <w:rsid w:val="00B54A9B"/>
    <w:rsid w:val="00B56C0C"/>
    <w:rsid w:val="00B56CC7"/>
    <w:rsid w:val="00B5731A"/>
    <w:rsid w:val="00B60A3C"/>
    <w:rsid w:val="00B620D5"/>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1B9D"/>
    <w:rsid w:val="00B829C1"/>
    <w:rsid w:val="00B82F2F"/>
    <w:rsid w:val="00B84CEF"/>
    <w:rsid w:val="00B86C64"/>
    <w:rsid w:val="00B87546"/>
    <w:rsid w:val="00B87757"/>
    <w:rsid w:val="00B878BF"/>
    <w:rsid w:val="00B90C15"/>
    <w:rsid w:val="00B91610"/>
    <w:rsid w:val="00B92748"/>
    <w:rsid w:val="00B93F7B"/>
    <w:rsid w:val="00B95D55"/>
    <w:rsid w:val="00B96A14"/>
    <w:rsid w:val="00B96EC5"/>
    <w:rsid w:val="00BA15C6"/>
    <w:rsid w:val="00BA2625"/>
    <w:rsid w:val="00BA268D"/>
    <w:rsid w:val="00BA2B2D"/>
    <w:rsid w:val="00BA4641"/>
    <w:rsid w:val="00BA567B"/>
    <w:rsid w:val="00BA5798"/>
    <w:rsid w:val="00BA7FCD"/>
    <w:rsid w:val="00BB0AE4"/>
    <w:rsid w:val="00BB1516"/>
    <w:rsid w:val="00BB236C"/>
    <w:rsid w:val="00BB384B"/>
    <w:rsid w:val="00BB4031"/>
    <w:rsid w:val="00BB626D"/>
    <w:rsid w:val="00BB69BC"/>
    <w:rsid w:val="00BB7037"/>
    <w:rsid w:val="00BB785B"/>
    <w:rsid w:val="00BB7DC6"/>
    <w:rsid w:val="00BC1988"/>
    <w:rsid w:val="00BC2003"/>
    <w:rsid w:val="00BC269C"/>
    <w:rsid w:val="00BC3EFF"/>
    <w:rsid w:val="00BC4811"/>
    <w:rsid w:val="00BC4A1B"/>
    <w:rsid w:val="00BC4F6F"/>
    <w:rsid w:val="00BC53F7"/>
    <w:rsid w:val="00BC5512"/>
    <w:rsid w:val="00BC626E"/>
    <w:rsid w:val="00BC62B3"/>
    <w:rsid w:val="00BC6C64"/>
    <w:rsid w:val="00BC6EB2"/>
    <w:rsid w:val="00BD13E2"/>
    <w:rsid w:val="00BD191B"/>
    <w:rsid w:val="00BD3C21"/>
    <w:rsid w:val="00BD473E"/>
    <w:rsid w:val="00BD4765"/>
    <w:rsid w:val="00BD4CB3"/>
    <w:rsid w:val="00BD50C5"/>
    <w:rsid w:val="00BD5203"/>
    <w:rsid w:val="00BD52A4"/>
    <w:rsid w:val="00BD54D4"/>
    <w:rsid w:val="00BD5754"/>
    <w:rsid w:val="00BD62C9"/>
    <w:rsid w:val="00BD676A"/>
    <w:rsid w:val="00BE06A5"/>
    <w:rsid w:val="00BE0D57"/>
    <w:rsid w:val="00BE4EC4"/>
    <w:rsid w:val="00BE6025"/>
    <w:rsid w:val="00BE7AA6"/>
    <w:rsid w:val="00BE7BB8"/>
    <w:rsid w:val="00BF114F"/>
    <w:rsid w:val="00BF1AB0"/>
    <w:rsid w:val="00BF234A"/>
    <w:rsid w:val="00BF3062"/>
    <w:rsid w:val="00BF38E5"/>
    <w:rsid w:val="00BF4A5D"/>
    <w:rsid w:val="00BF5036"/>
    <w:rsid w:val="00BF53AE"/>
    <w:rsid w:val="00BF6032"/>
    <w:rsid w:val="00BF610F"/>
    <w:rsid w:val="00BF6698"/>
    <w:rsid w:val="00BF7681"/>
    <w:rsid w:val="00C00AB1"/>
    <w:rsid w:val="00C010B9"/>
    <w:rsid w:val="00C03163"/>
    <w:rsid w:val="00C0391B"/>
    <w:rsid w:val="00C07581"/>
    <w:rsid w:val="00C100E1"/>
    <w:rsid w:val="00C10495"/>
    <w:rsid w:val="00C11710"/>
    <w:rsid w:val="00C11AE4"/>
    <w:rsid w:val="00C12B58"/>
    <w:rsid w:val="00C15EDC"/>
    <w:rsid w:val="00C17C5E"/>
    <w:rsid w:val="00C209C7"/>
    <w:rsid w:val="00C217A9"/>
    <w:rsid w:val="00C24935"/>
    <w:rsid w:val="00C26A76"/>
    <w:rsid w:val="00C26BDF"/>
    <w:rsid w:val="00C30D3E"/>
    <w:rsid w:val="00C31D02"/>
    <w:rsid w:val="00C32075"/>
    <w:rsid w:val="00C35BFF"/>
    <w:rsid w:val="00C35EB6"/>
    <w:rsid w:val="00C36121"/>
    <w:rsid w:val="00C36F0D"/>
    <w:rsid w:val="00C37F76"/>
    <w:rsid w:val="00C4099E"/>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11A"/>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97963"/>
    <w:rsid w:val="00CA1047"/>
    <w:rsid w:val="00CA1F73"/>
    <w:rsid w:val="00CA2398"/>
    <w:rsid w:val="00CA28E2"/>
    <w:rsid w:val="00CA2A84"/>
    <w:rsid w:val="00CA2E85"/>
    <w:rsid w:val="00CA3113"/>
    <w:rsid w:val="00CA3469"/>
    <w:rsid w:val="00CA4100"/>
    <w:rsid w:val="00CB03B3"/>
    <w:rsid w:val="00CB0ED3"/>
    <w:rsid w:val="00CB24CE"/>
    <w:rsid w:val="00CB38C8"/>
    <w:rsid w:val="00CB44BE"/>
    <w:rsid w:val="00CB5C6B"/>
    <w:rsid w:val="00CB5DC7"/>
    <w:rsid w:val="00CB605A"/>
    <w:rsid w:val="00CB675A"/>
    <w:rsid w:val="00CB708E"/>
    <w:rsid w:val="00CC13C4"/>
    <w:rsid w:val="00CC1D2F"/>
    <w:rsid w:val="00CC3C0E"/>
    <w:rsid w:val="00CC3E64"/>
    <w:rsid w:val="00CC6D28"/>
    <w:rsid w:val="00CD0CBC"/>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ABA"/>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4FFB"/>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1E"/>
    <w:rsid w:val="00D85BEA"/>
    <w:rsid w:val="00D86873"/>
    <w:rsid w:val="00D871BF"/>
    <w:rsid w:val="00D90E1A"/>
    <w:rsid w:val="00D910C3"/>
    <w:rsid w:val="00D9184F"/>
    <w:rsid w:val="00D94636"/>
    <w:rsid w:val="00D9463E"/>
    <w:rsid w:val="00D957E8"/>
    <w:rsid w:val="00D95B0C"/>
    <w:rsid w:val="00D962A5"/>
    <w:rsid w:val="00D96B33"/>
    <w:rsid w:val="00DA0254"/>
    <w:rsid w:val="00DA0C0A"/>
    <w:rsid w:val="00DA26AF"/>
    <w:rsid w:val="00DA3AFC"/>
    <w:rsid w:val="00DA4B0B"/>
    <w:rsid w:val="00DA5583"/>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C7C82"/>
    <w:rsid w:val="00DD0AEB"/>
    <w:rsid w:val="00DD1527"/>
    <w:rsid w:val="00DD2324"/>
    <w:rsid w:val="00DD51BA"/>
    <w:rsid w:val="00DD5826"/>
    <w:rsid w:val="00DD59C0"/>
    <w:rsid w:val="00DD5B21"/>
    <w:rsid w:val="00DD5C73"/>
    <w:rsid w:val="00DD7EA8"/>
    <w:rsid w:val="00DE072A"/>
    <w:rsid w:val="00DE0F23"/>
    <w:rsid w:val="00DE16D0"/>
    <w:rsid w:val="00DE23CF"/>
    <w:rsid w:val="00DE242C"/>
    <w:rsid w:val="00DE2D50"/>
    <w:rsid w:val="00DE32E2"/>
    <w:rsid w:val="00DE3327"/>
    <w:rsid w:val="00DE4092"/>
    <w:rsid w:val="00DE4565"/>
    <w:rsid w:val="00DE4E74"/>
    <w:rsid w:val="00DE5076"/>
    <w:rsid w:val="00DE55CA"/>
    <w:rsid w:val="00DE601B"/>
    <w:rsid w:val="00DE6A85"/>
    <w:rsid w:val="00DE6E48"/>
    <w:rsid w:val="00DF09EA"/>
    <w:rsid w:val="00DF0BAC"/>
    <w:rsid w:val="00DF1CE0"/>
    <w:rsid w:val="00DF222E"/>
    <w:rsid w:val="00DF25EB"/>
    <w:rsid w:val="00DF4C84"/>
    <w:rsid w:val="00DF5916"/>
    <w:rsid w:val="00DF6361"/>
    <w:rsid w:val="00DF68B3"/>
    <w:rsid w:val="00DF70A3"/>
    <w:rsid w:val="00DF741A"/>
    <w:rsid w:val="00E00032"/>
    <w:rsid w:val="00E0074A"/>
    <w:rsid w:val="00E02C96"/>
    <w:rsid w:val="00E044EF"/>
    <w:rsid w:val="00E06103"/>
    <w:rsid w:val="00E074AB"/>
    <w:rsid w:val="00E07AE8"/>
    <w:rsid w:val="00E109B6"/>
    <w:rsid w:val="00E12684"/>
    <w:rsid w:val="00E13395"/>
    <w:rsid w:val="00E14531"/>
    <w:rsid w:val="00E15AE3"/>
    <w:rsid w:val="00E160EB"/>
    <w:rsid w:val="00E162C5"/>
    <w:rsid w:val="00E16B14"/>
    <w:rsid w:val="00E1764D"/>
    <w:rsid w:val="00E17919"/>
    <w:rsid w:val="00E208C7"/>
    <w:rsid w:val="00E21B5C"/>
    <w:rsid w:val="00E23974"/>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AAD"/>
    <w:rsid w:val="00E51D02"/>
    <w:rsid w:val="00E523E3"/>
    <w:rsid w:val="00E523F7"/>
    <w:rsid w:val="00E5347E"/>
    <w:rsid w:val="00E534F0"/>
    <w:rsid w:val="00E54FBC"/>
    <w:rsid w:val="00E56516"/>
    <w:rsid w:val="00E56666"/>
    <w:rsid w:val="00E601E6"/>
    <w:rsid w:val="00E60994"/>
    <w:rsid w:val="00E6148D"/>
    <w:rsid w:val="00E6227D"/>
    <w:rsid w:val="00E625C2"/>
    <w:rsid w:val="00E63BA7"/>
    <w:rsid w:val="00E650C6"/>
    <w:rsid w:val="00E67CD5"/>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BDC"/>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2976"/>
    <w:rsid w:val="00EE34BF"/>
    <w:rsid w:val="00EE3679"/>
    <w:rsid w:val="00EE3922"/>
    <w:rsid w:val="00EE5F63"/>
    <w:rsid w:val="00EE6837"/>
    <w:rsid w:val="00EF0E3E"/>
    <w:rsid w:val="00EF1BC6"/>
    <w:rsid w:val="00EF5516"/>
    <w:rsid w:val="00EF5988"/>
    <w:rsid w:val="00EF6BD4"/>
    <w:rsid w:val="00EF7982"/>
    <w:rsid w:val="00F00A54"/>
    <w:rsid w:val="00F014B0"/>
    <w:rsid w:val="00F01745"/>
    <w:rsid w:val="00F03092"/>
    <w:rsid w:val="00F03996"/>
    <w:rsid w:val="00F04EF0"/>
    <w:rsid w:val="00F05351"/>
    <w:rsid w:val="00F05F2E"/>
    <w:rsid w:val="00F06650"/>
    <w:rsid w:val="00F06FBF"/>
    <w:rsid w:val="00F07094"/>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0CA6"/>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5260"/>
    <w:rsid w:val="00F66A4D"/>
    <w:rsid w:val="00F71CC6"/>
    <w:rsid w:val="00F752B1"/>
    <w:rsid w:val="00F75575"/>
    <w:rsid w:val="00F75711"/>
    <w:rsid w:val="00F758E4"/>
    <w:rsid w:val="00F75E6E"/>
    <w:rsid w:val="00F768B2"/>
    <w:rsid w:val="00F779E6"/>
    <w:rsid w:val="00F802A0"/>
    <w:rsid w:val="00F810B7"/>
    <w:rsid w:val="00F8121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A7BC3"/>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39B2"/>
    <w:rsid w:val="00FC4A02"/>
    <w:rsid w:val="00FC4E77"/>
    <w:rsid w:val="00FC710F"/>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313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E83DA"/>
  <w15:docId w15:val="{41E46B94-0660-4B2C-8AA3-A57181356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F30CA6"/>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link w:val="EndnoteTextChar"/>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rPr>
  </w:style>
  <w:style w:type="paragraph" w:customStyle="1" w:styleId="Endofdocument">
    <w:name w:val="End of document"/>
    <w:basedOn w:val="Normal"/>
    <w:rsid w:val="004A6ADF"/>
    <w:pPr>
      <w:ind w:left="4536"/>
      <w:jc w:val="center"/>
    </w:pPr>
  </w:style>
  <w:style w:type="paragraph" w:customStyle="1" w:styleId="Heading1Infdoc">
    <w:name w:val="Heading 1_Inf_doc"/>
    <w:basedOn w:val="Heading2"/>
    <w:rsid w:val="00B5731A"/>
    <w:pPr>
      <w:jc w:val="center"/>
    </w:pPr>
    <w:rPr>
      <w:caps/>
    </w:rPr>
  </w:style>
  <w:style w:type="paragraph" w:customStyle="1" w:styleId="Fecha1">
    <w:name w:val="Fecha1"/>
    <w:basedOn w:val="Normal"/>
    <w:rsid w:val="004A6ADF"/>
    <w:pPr>
      <w:spacing w:before="60"/>
      <w:ind w:left="1276"/>
    </w:pPr>
    <w:rPr>
      <w:b/>
      <w:sz w:val="22"/>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autoRedefine/>
    <w:rsid w:val="00BF1AB0"/>
    <w:pPr>
      <w:tabs>
        <w:tab w:val="center" w:pos="4536"/>
        <w:tab w:val="right" w:pos="9072"/>
      </w:tabs>
      <w:jc w:val="center"/>
    </w:pPr>
    <w:rPr>
      <w:rFonts w:ascii="Arial" w:hAnsi="Arial"/>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s-ES" w:eastAsia="en-US" w:bidi="ar-SA"/>
    </w:rPr>
  </w:style>
  <w:style w:type="character" w:customStyle="1" w:styleId="StyleDocoriginalNotBold1">
    <w:name w:val="Style Doc_original + Not Bold1"/>
    <w:rsid w:val="004E5CD5"/>
    <w:rPr>
      <w:rFonts w:ascii="Arial" w:hAnsi="Arial"/>
      <w:b/>
      <w:bCs/>
      <w:spacing w:val="10"/>
      <w:lang w:val="es-ES" w:eastAsia="en-US" w:bidi="ar-SA"/>
    </w:rPr>
  </w:style>
  <w:style w:type="character" w:customStyle="1" w:styleId="StyleDoclangBold">
    <w:name w:val="Style Doc_lang + Bold"/>
    <w:rsid w:val="004E5CD5"/>
    <w:rPr>
      <w:rFonts w:ascii="Arial" w:hAnsi="Arial"/>
      <w:b/>
      <w:bCs/>
      <w:sz w:val="20"/>
      <w:lang w:val="es-ES"/>
    </w:rPr>
  </w:style>
  <w:style w:type="paragraph" w:customStyle="1" w:styleId="Titleofdoc0">
    <w:name w:val="Title_of_doc"/>
    <w:basedOn w:val="TitleofDoc"/>
    <w:rsid w:val="00DF0BAC"/>
    <w:pPr>
      <w:spacing w:before="600" w:after="240"/>
      <w:jc w:val="left"/>
    </w:pPr>
    <w:rPr>
      <w:b/>
    </w:rPr>
  </w:style>
  <w:style w:type="character" w:customStyle="1" w:styleId="EndnoteTextChar">
    <w:name w:val="Endnote Text Char"/>
    <w:basedOn w:val="DefaultParagraphFont"/>
    <w:link w:val="EndnoteText"/>
    <w:rsid w:val="00DC7C82"/>
    <w:rPr>
      <w:rFonts w:ascii="Arial" w:hAnsi="Arial"/>
      <w:sz w:val="16"/>
    </w:rPr>
  </w:style>
  <w:style w:type="paragraph" w:styleId="ListParagraph">
    <w:name w:val="List Paragraph"/>
    <w:basedOn w:val="Normal"/>
    <w:uiPriority w:val="34"/>
    <w:qFormat/>
    <w:rsid w:val="00655B84"/>
    <w:pPr>
      <w:ind w:left="720"/>
      <w:contextualSpacing/>
    </w:pPr>
  </w:style>
  <w:style w:type="paragraph" w:customStyle="1" w:styleId="BasistekstNaktuinbouw">
    <w:name w:val="Basistekst Naktuinbouw"/>
    <w:basedOn w:val="Normal"/>
    <w:qFormat/>
    <w:rsid w:val="00EB4BDC"/>
    <w:pPr>
      <w:spacing w:line="240" w:lineRule="atLeast"/>
      <w:jc w:val="left"/>
    </w:pPr>
    <w:rPr>
      <w:rFonts w:cs="Maiandra GD"/>
      <w:color w:val="000000" w:themeColor="text1"/>
      <w:szCs w:val="18"/>
      <w:lang w:eastAsia="nl-NL"/>
    </w:rPr>
  </w:style>
  <w:style w:type="paragraph" w:customStyle="1" w:styleId="Sessiontc">
    <w:name w:val="Session_tc"/>
    <w:basedOn w:val="Normal"/>
    <w:rsid w:val="0043063A"/>
    <w:pPr>
      <w:spacing w:line="280" w:lineRule="exact"/>
      <w:jc w:val="left"/>
    </w:pPr>
    <w:rPr>
      <w:b/>
      <w:bCs/>
      <w:kern w:val="28"/>
    </w:rPr>
  </w:style>
  <w:style w:type="character" w:customStyle="1" w:styleId="HeaderChar">
    <w:name w:val="Header Char"/>
    <w:basedOn w:val="DefaultParagraphFont"/>
    <w:link w:val="Header"/>
    <w:rsid w:val="0043063A"/>
    <w:rPr>
      <w:rFonts w:ascii="Arial" w:hAnsi="Arial"/>
      <w:lang w:val="es-ES"/>
    </w:rPr>
  </w:style>
  <w:style w:type="character" w:customStyle="1" w:styleId="BodyTextChar">
    <w:name w:val="Body Text Char"/>
    <w:basedOn w:val="DefaultParagraphFont"/>
    <w:link w:val="BodyText"/>
    <w:rsid w:val="000B7C79"/>
    <w:rPr>
      <w:rFonts w:ascii="Arial" w:hAnsi="Arial"/>
    </w:rPr>
  </w:style>
  <w:style w:type="character" w:customStyle="1" w:styleId="BodyTextIndentChar">
    <w:name w:val="Body Text Indent Char"/>
    <w:basedOn w:val="DefaultParagraphFont"/>
    <w:link w:val="BodyTextIndent"/>
    <w:rsid w:val="000B7C79"/>
    <w:rPr>
      <w:rFonts w:ascii="Arial" w:hAnsi="Arial"/>
      <w:lang w:val="es-ES"/>
    </w:rPr>
  </w:style>
  <w:style w:type="character" w:customStyle="1" w:styleId="CommentTextChar">
    <w:name w:val="Comment Text Char"/>
    <w:basedOn w:val="DefaultParagraphFont"/>
    <w:link w:val="CommentText"/>
    <w:semiHidden/>
    <w:rsid w:val="000B7C79"/>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endnotes.xml.rels><?xml version="1.0" encoding="UTF-8" standalone="yes"?>
<Relationships xmlns="http://schemas.openxmlformats.org/package/2006/relationships"><Relationship Id="rId8" Type="http://schemas.openxmlformats.org/officeDocument/2006/relationships/hyperlink" Target="https://www.upov.int/meetings/en/doc_details.jsp?meeting_id=67773&amp;doc_id=563726" TargetMode="External"/><Relationship Id="rId13" Type="http://schemas.openxmlformats.org/officeDocument/2006/relationships/hyperlink" Target="https://www.upov.int/meetings/en/doc_details.jsp?meeting_id=67773&amp;doc_id=563725" TargetMode="External"/><Relationship Id="rId3" Type="http://schemas.openxmlformats.org/officeDocument/2006/relationships/hyperlink" Target="https://www.upov.int/meetings/en/doc_details.jsp?meeting_id=67773&amp;doc_id=563726" TargetMode="External"/><Relationship Id="rId7" Type="http://schemas.openxmlformats.org/officeDocument/2006/relationships/hyperlink" Target="https://www.upov.int/meetings/en/doc_details.jsp?meeting_id=67773&amp;doc_id=563724" TargetMode="External"/><Relationship Id="rId12" Type="http://schemas.openxmlformats.org/officeDocument/2006/relationships/hyperlink" Target="https://www.upov.int/meetings/en/doc_details.jsp?meeting_id=67773&amp;doc_id=563737" TargetMode="External"/><Relationship Id="rId2" Type="http://schemas.openxmlformats.org/officeDocument/2006/relationships/hyperlink" Target="https://www.upov.int/meetings/en/doc_details.jsp?meeting_id=67773&amp;doc_id=563724" TargetMode="External"/><Relationship Id="rId1" Type="http://schemas.openxmlformats.org/officeDocument/2006/relationships/hyperlink" Target="https://www.upov.int/meetings/en/doc_details.jsp?meeting_id=67773&amp;doc_id=563726" TargetMode="External"/><Relationship Id="rId6" Type="http://schemas.openxmlformats.org/officeDocument/2006/relationships/hyperlink" Target="https://www.upov.int/meetings/en/doc_details.jsp?meeting_id=67773&amp;doc_id=563726" TargetMode="External"/><Relationship Id="rId11" Type="http://schemas.openxmlformats.org/officeDocument/2006/relationships/hyperlink" Target="https://www.upov.int/meetings/en/doc_details.jsp?meeting_id=67773&amp;doc_id=563726" TargetMode="External"/><Relationship Id="rId5" Type="http://schemas.openxmlformats.org/officeDocument/2006/relationships/hyperlink" Target="https://www.upov.int/meetings/en/doc_details.jsp?meeting_id=67773&amp;doc_id=563725" TargetMode="External"/><Relationship Id="rId15" Type="http://schemas.openxmlformats.org/officeDocument/2006/relationships/hyperlink" Target="https://www.upov.int/meetings/en/doc_details.jsp?meeting_id=67773&amp;doc_id=563726" TargetMode="External"/><Relationship Id="rId10" Type="http://schemas.openxmlformats.org/officeDocument/2006/relationships/hyperlink" Target="https://www.upov.int/meetings/en/doc_details.jsp?meeting_id=67773&amp;doc_id=563726" TargetMode="External"/><Relationship Id="rId4" Type="http://schemas.openxmlformats.org/officeDocument/2006/relationships/hyperlink" Target="https://www.upov.int/meetings/en/doc_details.jsp?meeting_id=67773&amp;doc_id=563737" TargetMode="External"/><Relationship Id="rId9" Type="http://schemas.openxmlformats.org/officeDocument/2006/relationships/hyperlink" Target="https://www.upov.int/meetings/en/doc_details.jsp?meeting_id=67773&amp;doc_id=563737" TargetMode="External"/><Relationship Id="rId14" Type="http://schemas.openxmlformats.org/officeDocument/2006/relationships/hyperlink" Target="https://www.upov.int/meetings/en/doc_details.jsp?meeting_id=67773&amp;doc_id=5637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AD02F-3D8A-4F62-89AE-A4C810F2A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7292</Words>
  <Characters>38541</Characters>
  <Application>Microsoft Office Word</Application>
  <DocSecurity>0</DocSecurity>
  <Lines>321</Lines>
  <Paragraphs>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WG-HRV/2/4</vt:lpstr>
      <vt:lpstr>WG-HRV/2/4</vt:lpstr>
    </vt:vector>
  </TitlesOfParts>
  <Company>UPOV</Company>
  <LinksUpToDate>false</LinksUpToDate>
  <CharactersWithSpaces>45742</CharactersWithSpaces>
  <SharedDoc>false</SharedDoc>
  <HLinks>
    <vt:vector size="60" baseType="variant">
      <vt:variant>
        <vt:i4>1441850</vt:i4>
      </vt:variant>
      <vt:variant>
        <vt:i4>56</vt:i4>
      </vt:variant>
      <vt:variant>
        <vt:i4>0</vt:i4>
      </vt:variant>
      <vt:variant>
        <vt:i4>5</vt:i4>
      </vt:variant>
      <vt:variant>
        <vt:lpwstr/>
      </vt:variant>
      <vt:variant>
        <vt:lpwstr>_Toc368330245</vt:lpwstr>
      </vt:variant>
      <vt:variant>
        <vt:i4>1441850</vt:i4>
      </vt:variant>
      <vt:variant>
        <vt:i4>50</vt:i4>
      </vt:variant>
      <vt:variant>
        <vt:i4>0</vt:i4>
      </vt:variant>
      <vt:variant>
        <vt:i4>5</vt:i4>
      </vt:variant>
      <vt:variant>
        <vt:lpwstr/>
      </vt:variant>
      <vt:variant>
        <vt:lpwstr>_Toc368330244</vt:lpwstr>
      </vt:variant>
      <vt:variant>
        <vt:i4>1441850</vt:i4>
      </vt:variant>
      <vt:variant>
        <vt:i4>44</vt:i4>
      </vt:variant>
      <vt:variant>
        <vt:i4>0</vt:i4>
      </vt:variant>
      <vt:variant>
        <vt:i4>5</vt:i4>
      </vt:variant>
      <vt:variant>
        <vt:lpwstr/>
      </vt:variant>
      <vt:variant>
        <vt:lpwstr>_Toc368330243</vt:lpwstr>
      </vt:variant>
      <vt:variant>
        <vt:i4>1441850</vt:i4>
      </vt:variant>
      <vt:variant>
        <vt:i4>38</vt:i4>
      </vt:variant>
      <vt:variant>
        <vt:i4>0</vt:i4>
      </vt:variant>
      <vt:variant>
        <vt:i4>5</vt:i4>
      </vt:variant>
      <vt:variant>
        <vt:lpwstr/>
      </vt:variant>
      <vt:variant>
        <vt:lpwstr>_Toc368330242</vt:lpwstr>
      </vt:variant>
      <vt:variant>
        <vt:i4>1441850</vt:i4>
      </vt:variant>
      <vt:variant>
        <vt:i4>32</vt:i4>
      </vt:variant>
      <vt:variant>
        <vt:i4>0</vt:i4>
      </vt:variant>
      <vt:variant>
        <vt:i4>5</vt:i4>
      </vt:variant>
      <vt:variant>
        <vt:lpwstr/>
      </vt:variant>
      <vt:variant>
        <vt:lpwstr>_Toc368330241</vt:lpwstr>
      </vt:variant>
      <vt:variant>
        <vt:i4>1441850</vt:i4>
      </vt:variant>
      <vt:variant>
        <vt:i4>26</vt:i4>
      </vt:variant>
      <vt:variant>
        <vt:i4>0</vt:i4>
      </vt:variant>
      <vt:variant>
        <vt:i4>5</vt:i4>
      </vt:variant>
      <vt:variant>
        <vt:lpwstr/>
      </vt:variant>
      <vt:variant>
        <vt:lpwstr>_Toc368330240</vt:lpwstr>
      </vt:variant>
      <vt:variant>
        <vt:i4>1114170</vt:i4>
      </vt:variant>
      <vt:variant>
        <vt:i4>20</vt:i4>
      </vt:variant>
      <vt:variant>
        <vt:i4>0</vt:i4>
      </vt:variant>
      <vt:variant>
        <vt:i4>5</vt:i4>
      </vt:variant>
      <vt:variant>
        <vt:lpwstr/>
      </vt:variant>
      <vt:variant>
        <vt:lpwstr>_Toc368330239</vt:lpwstr>
      </vt:variant>
      <vt:variant>
        <vt:i4>1114170</vt:i4>
      </vt:variant>
      <vt:variant>
        <vt:i4>14</vt:i4>
      </vt:variant>
      <vt:variant>
        <vt:i4>0</vt:i4>
      </vt:variant>
      <vt:variant>
        <vt:i4>5</vt:i4>
      </vt:variant>
      <vt:variant>
        <vt:lpwstr/>
      </vt:variant>
      <vt:variant>
        <vt:lpwstr>_Toc368330238</vt:lpwstr>
      </vt:variant>
      <vt:variant>
        <vt:i4>1114170</vt:i4>
      </vt:variant>
      <vt:variant>
        <vt:i4>8</vt:i4>
      </vt:variant>
      <vt:variant>
        <vt:i4>0</vt:i4>
      </vt:variant>
      <vt:variant>
        <vt:i4>5</vt:i4>
      </vt:variant>
      <vt:variant>
        <vt:lpwstr/>
      </vt:variant>
      <vt:variant>
        <vt:lpwstr>_Toc368330237</vt:lpwstr>
      </vt:variant>
      <vt:variant>
        <vt:i4>1114170</vt:i4>
      </vt:variant>
      <vt:variant>
        <vt:i4>2</vt:i4>
      </vt:variant>
      <vt:variant>
        <vt:i4>0</vt:i4>
      </vt:variant>
      <vt:variant>
        <vt:i4>5</vt:i4>
      </vt:variant>
      <vt:variant>
        <vt:lpwstr/>
      </vt:variant>
      <vt:variant>
        <vt:lpwstr>_Toc368330236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WG-HRV/2/4</dc:title>
  <dc:creator>BUTTON Peter</dc:creator>
  <cp:lastModifiedBy>HUERTA-CASADO Yolanda</cp:lastModifiedBy>
  <cp:revision>8</cp:revision>
  <cp:lastPrinted>2013-11-08T15:44:00Z</cp:lastPrinted>
  <dcterms:created xsi:type="dcterms:W3CDTF">2022-08-24T06:18:00Z</dcterms:created>
  <dcterms:modified xsi:type="dcterms:W3CDTF">2022-09-01T19:14:00Z</dcterms:modified>
</cp:coreProperties>
</file>