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B5E33" w14:paraId="76142C0A" w14:textId="77777777" w:rsidTr="00EB4E9C">
        <w:tc>
          <w:tcPr>
            <w:tcW w:w="6522" w:type="dxa"/>
          </w:tcPr>
          <w:p w14:paraId="23005BF5" w14:textId="77777777" w:rsidR="00DC3802" w:rsidRPr="005B5E33" w:rsidRDefault="00DC3802" w:rsidP="00AC2883">
            <w:r>
              <w:rPr>
                <w:noProof/>
                <w:lang w:val="en-US"/>
              </w:rPr>
              <w:drawing>
                <wp:inline distT="0" distB="0" distL="0" distR="0" wp14:anchorId="669F6366" wp14:editId="0BB5300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FD47EDF" w14:textId="77777777" w:rsidR="00DC3802" w:rsidRPr="005B5E33" w:rsidRDefault="002E5944" w:rsidP="00AC2883">
            <w:pPr>
              <w:pStyle w:val="Lettrine"/>
            </w:pPr>
            <w:r>
              <w:t>S</w:t>
            </w:r>
          </w:p>
        </w:tc>
      </w:tr>
      <w:tr w:rsidR="00DC3802" w:rsidRPr="005B5E33" w14:paraId="2BCB6BA1" w14:textId="77777777" w:rsidTr="00645CA8">
        <w:trPr>
          <w:trHeight w:val="219"/>
        </w:trPr>
        <w:tc>
          <w:tcPr>
            <w:tcW w:w="6522" w:type="dxa"/>
          </w:tcPr>
          <w:p w14:paraId="7EEA8593" w14:textId="77777777" w:rsidR="00DC3802" w:rsidRPr="005B5E33" w:rsidRDefault="002E5944" w:rsidP="00BC0BD4">
            <w:pPr>
              <w:pStyle w:val="upove"/>
            </w:pPr>
            <w:r>
              <w:t>Unión Internacional para la Protección de las Obtenciones Vegetales</w:t>
            </w:r>
          </w:p>
        </w:tc>
        <w:tc>
          <w:tcPr>
            <w:tcW w:w="3117" w:type="dxa"/>
          </w:tcPr>
          <w:p w14:paraId="061341AE" w14:textId="77777777" w:rsidR="00DC3802" w:rsidRPr="005B5E33" w:rsidRDefault="00DC3802" w:rsidP="00DA4973"/>
        </w:tc>
      </w:tr>
    </w:tbl>
    <w:p w14:paraId="35ECDAE7" w14:textId="77777777" w:rsidR="00DC3802" w:rsidRPr="005B5E33" w:rsidRDefault="00DC3802" w:rsidP="00DC3802"/>
    <w:p w14:paraId="5A969A78" w14:textId="77777777" w:rsidR="00DA4973" w:rsidRPr="005B5E3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5B5E33" w14:paraId="1E7218AD" w14:textId="77777777" w:rsidTr="00EB4E9C">
        <w:tc>
          <w:tcPr>
            <w:tcW w:w="6512" w:type="dxa"/>
          </w:tcPr>
          <w:p w14:paraId="5EB0E388" w14:textId="0ED51AD0" w:rsidR="00EB4E9C" w:rsidRPr="005B5E33" w:rsidRDefault="00214C1D" w:rsidP="00AC2883">
            <w:pPr>
              <w:pStyle w:val="Sessiontc"/>
              <w:spacing w:line="240" w:lineRule="auto"/>
            </w:pPr>
            <w:r>
              <w:t xml:space="preserve">Grupo de trabajo sobre el producto de la cosecha y la utilización </w:t>
            </w:r>
            <w:r w:rsidR="00700C50">
              <w:t xml:space="preserve"> no </w:t>
            </w:r>
            <w:r>
              <w:t>autorizada de material de reproducción o de multiplicación</w:t>
            </w:r>
          </w:p>
          <w:p w14:paraId="4315AE80" w14:textId="77777777" w:rsidR="00821A32" w:rsidRPr="005B5E33" w:rsidRDefault="00214C1D" w:rsidP="00821A32">
            <w:pPr>
              <w:pStyle w:val="Sessiontcplacedate"/>
            </w:pPr>
            <w:r>
              <w:t>Primera reunión</w:t>
            </w:r>
          </w:p>
          <w:p w14:paraId="31D43307" w14:textId="77777777" w:rsidR="00EB4E9C" w:rsidRPr="005B5E33" w:rsidRDefault="002E5944" w:rsidP="00214C1D">
            <w:pPr>
              <w:pStyle w:val="Sessiontcplacedate"/>
              <w:rPr>
                <w:sz w:val="22"/>
              </w:rPr>
            </w:pPr>
            <w:r>
              <w:t>Ginebra, 15 de marzo de 2022</w:t>
            </w:r>
          </w:p>
        </w:tc>
        <w:tc>
          <w:tcPr>
            <w:tcW w:w="3127" w:type="dxa"/>
          </w:tcPr>
          <w:p w14:paraId="34B654CE" w14:textId="77777777" w:rsidR="00EB4E9C" w:rsidRPr="005B5E33" w:rsidRDefault="00214C1D" w:rsidP="003C7FBE">
            <w:pPr>
              <w:pStyle w:val="Doccode"/>
            </w:pPr>
            <w:r>
              <w:t>WG-HRV/1/5</w:t>
            </w:r>
          </w:p>
          <w:p w14:paraId="51E044B1" w14:textId="77777777" w:rsidR="00214C1D" w:rsidRPr="005B5E33" w:rsidRDefault="00214C1D" w:rsidP="003C7FBE">
            <w:pPr>
              <w:pStyle w:val="Doccode"/>
              <w:rPr>
                <w:lang w:val="es-ES_tradnl"/>
              </w:rPr>
            </w:pPr>
          </w:p>
          <w:p w14:paraId="23B81CAF" w14:textId="77777777" w:rsidR="00EB4E9C" w:rsidRPr="005B5E33" w:rsidRDefault="00EB4E9C" w:rsidP="003C7FBE">
            <w:pPr>
              <w:pStyle w:val="Docoriginal"/>
            </w:pPr>
            <w:r>
              <w:t>Original:</w:t>
            </w:r>
            <w:r>
              <w:rPr>
                <w:b w:val="0"/>
              </w:rPr>
              <w:t xml:space="preserve"> Inglés</w:t>
            </w:r>
          </w:p>
          <w:p w14:paraId="69312C01" w14:textId="77777777" w:rsidR="00EB4E9C" w:rsidRPr="005B5E33" w:rsidRDefault="002E5944" w:rsidP="005B5E33">
            <w:pPr>
              <w:pStyle w:val="Docoriginal"/>
            </w:pPr>
            <w:r>
              <w:t>Fecha:</w:t>
            </w:r>
            <w:r>
              <w:rPr>
                <w:b w:val="0"/>
              </w:rPr>
              <w:t xml:space="preserve"> </w:t>
            </w:r>
            <w:r w:rsidRPr="00C979BB">
              <w:rPr>
                <w:b w:val="0"/>
                <w:spacing w:val="0"/>
              </w:rPr>
              <w:t>11 de febrero de 2022</w:t>
            </w:r>
          </w:p>
        </w:tc>
      </w:tr>
    </w:tbl>
    <w:p w14:paraId="1A29776C" w14:textId="77777777" w:rsidR="000D7780" w:rsidRPr="005B5E33" w:rsidRDefault="005B5E33" w:rsidP="006A644A">
      <w:pPr>
        <w:pStyle w:val="Titleofdoc0"/>
      </w:pPr>
      <w:r>
        <w:t>PROPUESTAS RELATIVAS A LAS NOTAS EXPLICATIVAS SOBRE LA PROTECCIÓN PROVISIONAL CON ARREGLO AL CONVENIO DE LA UPOV</w:t>
      </w:r>
    </w:p>
    <w:p w14:paraId="43D72427" w14:textId="77777777" w:rsidR="006A644A" w:rsidRPr="005B5E33" w:rsidRDefault="000638A9" w:rsidP="006A644A">
      <w:pPr>
        <w:pStyle w:val="preparedby1"/>
        <w:jc w:val="left"/>
      </w:pPr>
      <w:r>
        <w:t>Documento preparado por la Oficina de la Unión</w:t>
      </w:r>
    </w:p>
    <w:p w14:paraId="2F92D5AB" w14:textId="77777777" w:rsidR="00050E16" w:rsidRPr="005B5E33" w:rsidRDefault="000638A9" w:rsidP="006A644A">
      <w:pPr>
        <w:pStyle w:val="Disclaimer"/>
      </w:pPr>
      <w:r>
        <w:t>Descargo de responsabilidad: el presente documento no constituye un documento de política u orientación de la UPOV</w:t>
      </w:r>
    </w:p>
    <w:p w14:paraId="2F1BD15F" w14:textId="2C2DD7CB" w:rsidR="005B5E33" w:rsidRPr="005B5E33" w:rsidRDefault="005B5E33" w:rsidP="005B5E33">
      <w:r>
        <w:t>1.</w:t>
      </w:r>
      <w:r>
        <w:tab/>
        <w:t>El presente documento tiene por objeto exponer las propuestas recibidas en respuesta a la circular</w:t>
      </w:r>
      <w:r w:rsidR="00DE3B1C">
        <w:t xml:space="preserve"> </w:t>
      </w:r>
      <w:r>
        <w:t>E</w:t>
      </w:r>
      <w:r w:rsidR="004A5423">
        <w:noBreakHyphen/>
      </w:r>
      <w:r>
        <w:t>21/228 para la revisión del documento “Notas explicativas sobre la protección provisional con arreglo al Convenio de la</w:t>
      </w:r>
      <w:r w:rsidR="00DE3B1C">
        <w:t xml:space="preserve"> </w:t>
      </w:r>
      <w:r>
        <w:t>UPOV” (documento</w:t>
      </w:r>
      <w:r w:rsidR="00DE3B1C">
        <w:t xml:space="preserve"> </w:t>
      </w:r>
      <w:r>
        <w:t>UPOV/EXN/PRP/2).</w:t>
      </w:r>
    </w:p>
    <w:p w14:paraId="593BF197" w14:textId="77777777" w:rsidR="005B5E33" w:rsidRPr="005B5E33" w:rsidRDefault="005B5E33" w:rsidP="005B5E33"/>
    <w:p w14:paraId="6BB02404" w14:textId="5178E4D7" w:rsidR="005B5E33" w:rsidRPr="005B5E33" w:rsidRDefault="005B5E33" w:rsidP="005B5E33">
      <w:r>
        <w:t>2.</w:t>
      </w:r>
      <w:r>
        <w:tab/>
      </w:r>
      <w:r w:rsidR="004A5423">
        <w:t>En respuesta a la circular E-21/228 de la</w:t>
      </w:r>
      <w:r w:rsidR="00DE3B1C">
        <w:t xml:space="preserve"> </w:t>
      </w:r>
      <w:r w:rsidR="004A5423">
        <w:t>UPOV, l</w:t>
      </w:r>
      <w:r>
        <w:t>as propuestas para la revisión del documento</w:t>
      </w:r>
      <w:r w:rsidR="00DE3B1C">
        <w:t xml:space="preserve"> </w:t>
      </w:r>
      <w:r>
        <w:t xml:space="preserve">UPOV/EXN/PRP/2 se recibieron como una aportación conjunta de la </w:t>
      </w:r>
      <w:proofErr w:type="spellStart"/>
      <w:r>
        <w:rPr>
          <w:i/>
          <w:iCs/>
        </w:rPr>
        <w:t>African</w:t>
      </w:r>
      <w:proofErr w:type="spellEnd"/>
      <w:r>
        <w:rPr>
          <w:i/>
          <w:iCs/>
        </w:rPr>
        <w:t xml:space="preserve"> </w:t>
      </w:r>
      <w:proofErr w:type="spellStart"/>
      <w:r>
        <w:rPr>
          <w:i/>
          <w:iCs/>
        </w:rPr>
        <w:t>Seed</w:t>
      </w:r>
      <w:proofErr w:type="spellEnd"/>
      <w:r>
        <w:rPr>
          <w:i/>
          <w:iCs/>
        </w:rPr>
        <w:t xml:space="preserve"> </w:t>
      </w:r>
      <w:proofErr w:type="spellStart"/>
      <w:r>
        <w:rPr>
          <w:i/>
          <w:iCs/>
        </w:rPr>
        <w:t>Trade</w:t>
      </w:r>
      <w:proofErr w:type="spellEnd"/>
      <w:r>
        <w:rPr>
          <w:i/>
          <w:iCs/>
        </w:rPr>
        <w:t xml:space="preserve"> </w:t>
      </w:r>
      <w:proofErr w:type="spellStart"/>
      <w:r>
        <w:rPr>
          <w:i/>
          <w:iCs/>
        </w:rPr>
        <w:t>Association</w:t>
      </w:r>
      <w:proofErr w:type="spellEnd"/>
      <w:r>
        <w:t xml:space="preserve"> (AFSTA, Asociación de Semillas de Asia y el Pacífico), la </w:t>
      </w:r>
      <w:r>
        <w:rPr>
          <w:i/>
          <w:iCs/>
        </w:rPr>
        <w:t xml:space="preserve">Asia and </w:t>
      </w:r>
      <w:proofErr w:type="spellStart"/>
      <w:r>
        <w:rPr>
          <w:i/>
          <w:iCs/>
        </w:rPr>
        <w:t>Pacific</w:t>
      </w:r>
      <w:proofErr w:type="spellEnd"/>
      <w:r>
        <w:rPr>
          <w:i/>
          <w:iCs/>
        </w:rPr>
        <w:t xml:space="preserve"> </w:t>
      </w:r>
      <w:proofErr w:type="spellStart"/>
      <w:r>
        <w:rPr>
          <w:i/>
          <w:iCs/>
        </w:rPr>
        <w:t>Seed</w:t>
      </w:r>
      <w:proofErr w:type="spellEnd"/>
      <w:r>
        <w:rPr>
          <w:i/>
          <w:iCs/>
        </w:rPr>
        <w:t xml:space="preserve"> </w:t>
      </w:r>
      <w:proofErr w:type="spellStart"/>
      <w:r>
        <w:rPr>
          <w:i/>
          <w:iCs/>
        </w:rPr>
        <w:t>Association</w:t>
      </w:r>
      <w:proofErr w:type="spellEnd"/>
      <w:r>
        <w:t xml:space="preserve"> (APSA, Asociación de Semillas de Asia y el Pacífico), la Comunidad Internacional de </w:t>
      </w:r>
      <w:proofErr w:type="spellStart"/>
      <w:r>
        <w:t>Fitomejoradores</w:t>
      </w:r>
      <w:proofErr w:type="spellEnd"/>
      <w:r>
        <w:t xml:space="preserve"> de Plantas Hortícolas de Reproducción Asexuada (CIOPORA), </w:t>
      </w:r>
      <w:proofErr w:type="spellStart"/>
      <w:r>
        <w:rPr>
          <w:i/>
          <w:iCs/>
        </w:rPr>
        <w:t>CropLife</w:t>
      </w:r>
      <w:proofErr w:type="spellEnd"/>
      <w:r>
        <w:rPr>
          <w:i/>
          <w:iCs/>
        </w:rPr>
        <w:t xml:space="preserve"> International</w:t>
      </w:r>
      <w:r>
        <w:t xml:space="preserve">, </w:t>
      </w:r>
      <w:proofErr w:type="spellStart"/>
      <w:r w:rsidRPr="00C979BB">
        <w:rPr>
          <w:i/>
        </w:rPr>
        <w:t>Euroseeds</w:t>
      </w:r>
      <w:proofErr w:type="spellEnd"/>
      <w:r>
        <w:t xml:space="preserve">, la </w:t>
      </w:r>
      <w:r>
        <w:rPr>
          <w:i/>
          <w:iCs/>
        </w:rPr>
        <w:t xml:space="preserve">International </w:t>
      </w:r>
      <w:proofErr w:type="spellStart"/>
      <w:r>
        <w:rPr>
          <w:i/>
          <w:iCs/>
        </w:rPr>
        <w:t>Seed</w:t>
      </w:r>
      <w:proofErr w:type="spellEnd"/>
      <w:r>
        <w:rPr>
          <w:i/>
          <w:iCs/>
        </w:rPr>
        <w:t xml:space="preserve"> </w:t>
      </w:r>
      <w:proofErr w:type="spellStart"/>
      <w:r>
        <w:rPr>
          <w:i/>
          <w:iCs/>
        </w:rPr>
        <w:t>Federation</w:t>
      </w:r>
      <w:proofErr w:type="spellEnd"/>
      <w:r>
        <w:t xml:space="preserve"> (ISF) y la Asociación de Semillas de las Américas (SAA).</w:t>
      </w:r>
    </w:p>
    <w:p w14:paraId="5F629873" w14:textId="77777777" w:rsidR="005B5E33" w:rsidRPr="005B5E33" w:rsidRDefault="005B5E33" w:rsidP="005B5E33">
      <w:pPr>
        <w:keepNext/>
        <w:outlineLvl w:val="0"/>
      </w:pPr>
    </w:p>
    <w:p w14:paraId="647F5C4D" w14:textId="0A438498" w:rsidR="005B5E33" w:rsidRPr="005B5E33" w:rsidRDefault="005B5E33" w:rsidP="005B5E33">
      <w:pPr>
        <w:spacing w:after="20"/>
        <w:rPr>
          <w:spacing w:val="2"/>
        </w:rPr>
      </w:pPr>
      <w:r>
        <w:t>3.</w:t>
      </w:r>
      <w:r>
        <w:tab/>
        <w:t xml:space="preserve">Las propuestas recibidas se han introducido en </w:t>
      </w:r>
      <w:r w:rsidRPr="00A95AA3">
        <w:t>recuadros</w:t>
      </w:r>
      <w:r>
        <w:t xml:space="preserve"> en el documento</w:t>
      </w:r>
      <w:r w:rsidR="00DE3B1C">
        <w:t xml:space="preserve"> </w:t>
      </w:r>
      <w:r>
        <w:t>UPOV/EXN/PRP/2, para que el</w:t>
      </w:r>
      <w:r w:rsidR="00DE3B1C">
        <w:t xml:space="preserve"> </w:t>
      </w:r>
      <w:r>
        <w:t>WG-HRV las examine y, a título informativo, se ofrecen las notas finales incluidas en el Anexo del presente documento.</w:t>
      </w:r>
    </w:p>
    <w:p w14:paraId="0504DEBA" w14:textId="77777777" w:rsidR="005B5E33" w:rsidRPr="005B5E33" w:rsidRDefault="005B5E33" w:rsidP="005B5E33"/>
    <w:p w14:paraId="26E13680" w14:textId="77777777" w:rsidR="005B5E33" w:rsidRPr="005B5E33" w:rsidRDefault="005B5E33" w:rsidP="005B5E33">
      <w:pPr>
        <w:jc w:val="right"/>
      </w:pPr>
    </w:p>
    <w:p w14:paraId="28F4976E" w14:textId="77777777" w:rsidR="005B5E33" w:rsidRPr="005B5E33" w:rsidRDefault="005B5E33" w:rsidP="005B5E33">
      <w:pPr>
        <w:jc w:val="right"/>
      </w:pPr>
    </w:p>
    <w:p w14:paraId="4A622303" w14:textId="77777777" w:rsidR="005B5E33" w:rsidRPr="005B5E33" w:rsidRDefault="005B5E33" w:rsidP="005B5E33">
      <w:pPr>
        <w:jc w:val="right"/>
      </w:pPr>
      <w:r>
        <w:t>[Sigue el Anexo]</w:t>
      </w:r>
    </w:p>
    <w:p w14:paraId="31E611F1" w14:textId="77777777" w:rsidR="005B5E33" w:rsidRPr="005B5E33" w:rsidRDefault="005B5E33" w:rsidP="005B5E33">
      <w:pPr>
        <w:jc w:val="left"/>
      </w:pPr>
    </w:p>
    <w:p w14:paraId="624B1AF2" w14:textId="77777777" w:rsidR="005B5E33" w:rsidRPr="005B5E33" w:rsidRDefault="005B5E33" w:rsidP="005B5E33">
      <w:pPr>
        <w:sectPr w:rsidR="005B5E33" w:rsidRPr="005B5E33" w:rsidSect="00BE4EC4">
          <w:headerReference w:type="even" r:id="rId8"/>
          <w:headerReference w:type="default" r:id="rId9"/>
          <w:endnotePr>
            <w:numFmt w:val="lowerLetter"/>
          </w:endnotePr>
          <w:pgSz w:w="11907" w:h="16840" w:code="9"/>
          <w:pgMar w:top="510" w:right="1134" w:bottom="1134" w:left="1134" w:header="510" w:footer="624" w:gutter="0"/>
          <w:cols w:space="720"/>
          <w:titlePg/>
        </w:sectPr>
      </w:pPr>
    </w:p>
    <w:p w14:paraId="7655B24B" w14:textId="77777777" w:rsidR="005B5E33" w:rsidRPr="005B5E33" w:rsidRDefault="005B5E33" w:rsidP="005B5E33">
      <w:pPr>
        <w:pStyle w:val="Header"/>
        <w:rPr>
          <w:rFonts w:cs="Arial"/>
        </w:rPr>
      </w:pPr>
      <w:r>
        <w:lastRenderedPageBreak/>
        <w:t>WG-HRV/1/5</w:t>
      </w:r>
    </w:p>
    <w:p w14:paraId="50A5D52A" w14:textId="77777777" w:rsidR="005B5E33" w:rsidRPr="005B5E33" w:rsidRDefault="005B5E33" w:rsidP="005B5E33">
      <w:pPr>
        <w:pStyle w:val="Header"/>
        <w:rPr>
          <w:rFonts w:cs="Arial"/>
        </w:rPr>
      </w:pPr>
    </w:p>
    <w:p w14:paraId="04EF9815" w14:textId="77777777" w:rsidR="005B5E33" w:rsidRPr="005B5E33" w:rsidRDefault="005B5E33" w:rsidP="005B5E33">
      <w:pPr>
        <w:jc w:val="center"/>
      </w:pPr>
      <w:r>
        <w:t>ANEXO</w:t>
      </w:r>
    </w:p>
    <w:p w14:paraId="76AA1FB6" w14:textId="77777777" w:rsidR="005B5E33" w:rsidRPr="005B5E33" w:rsidRDefault="005B5E33" w:rsidP="005B5E33">
      <w:pPr>
        <w:jc w:val="center"/>
      </w:pPr>
    </w:p>
    <w:p w14:paraId="778F9142" w14:textId="77777777" w:rsidR="005B5E33" w:rsidRPr="005B5E33" w:rsidRDefault="005B5E33" w:rsidP="005B5E33">
      <w:pPr>
        <w:jc w:val="center"/>
      </w:pPr>
    </w:p>
    <w:p w14:paraId="59C492D3" w14:textId="2C66B7B3" w:rsidR="005B5E33" w:rsidRPr="005B5E33" w:rsidRDefault="005B5E33" w:rsidP="005B5E33">
      <w:pPr>
        <w:jc w:val="center"/>
        <w:rPr>
          <w:rFonts w:cs="Arial"/>
        </w:rPr>
      </w:pPr>
      <w:r>
        <w:t xml:space="preserve">PROPUESTAS RELATIVAS A LAS NOTAS EXPLICATIVAS SOBRE </w:t>
      </w:r>
      <w:r w:rsidR="003E20B4">
        <w:br/>
      </w:r>
      <w:r>
        <w:t>LA PROTECCIÓN PROVISIONAL CON ARREGLO AL CONVENIO DE LA UPOV</w:t>
      </w:r>
    </w:p>
    <w:p w14:paraId="6541A09C" w14:textId="77777777" w:rsidR="005B5E33" w:rsidRPr="005B5E33" w:rsidRDefault="005B5E33" w:rsidP="005B5E33">
      <w:pPr>
        <w:jc w:val="center"/>
        <w:rPr>
          <w:rFonts w:cs="Arial"/>
        </w:rPr>
      </w:pPr>
    </w:p>
    <w:p w14:paraId="21BB7975" w14:textId="77777777" w:rsidR="005B5E33" w:rsidRPr="005B5E33" w:rsidRDefault="005B5E33" w:rsidP="005B5E33">
      <w:pPr>
        <w:jc w:val="center"/>
        <w:rPr>
          <w:rFonts w:cs="Arial"/>
        </w:rPr>
      </w:pPr>
    </w:p>
    <w:p w14:paraId="302F4FDA" w14:textId="77777777" w:rsidR="005B5E33" w:rsidRPr="005B5E33" w:rsidRDefault="005B5E33" w:rsidP="005B5E33">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5B5E33" w:rsidRPr="005B5E33" w14:paraId="2A045B1B" w14:textId="77777777" w:rsidTr="002913B2">
        <w:trPr>
          <w:cantSplit/>
          <w:trHeight w:val="1690"/>
          <w:jc w:val="center"/>
        </w:trPr>
        <w:tc>
          <w:tcPr>
            <w:tcW w:w="8313" w:type="dxa"/>
            <w:shd w:val="clear" w:color="auto" w:fill="F2F2F2" w:themeFill="background1" w:themeFillShade="F2"/>
          </w:tcPr>
          <w:p w14:paraId="22172993" w14:textId="63BC2AA5" w:rsidR="005B5E33" w:rsidRPr="005B5E33" w:rsidRDefault="005B5E33" w:rsidP="003E20B4">
            <w:pPr>
              <w:ind w:left="2828" w:hanging="2828"/>
              <w:jc w:val="left"/>
              <w:rPr>
                <w:i/>
              </w:rPr>
            </w:pPr>
            <w:r>
              <w:rPr>
                <w:i/>
              </w:rPr>
              <w:t>Descargo de responsabilidad:</w:t>
            </w:r>
            <w:r w:rsidR="003E20B4">
              <w:t xml:space="preserve"> </w:t>
            </w:r>
            <w:r w:rsidR="003E20B4">
              <w:tab/>
            </w:r>
            <w:r>
              <w:rPr>
                <w:i/>
              </w:rPr>
              <w:t>el presente documento no constituye un documento de política u orientación de la UPOV</w:t>
            </w:r>
          </w:p>
          <w:p w14:paraId="6DA2BBE6" w14:textId="77777777" w:rsidR="005B5E33" w:rsidRPr="005B5E33" w:rsidRDefault="005B5E33" w:rsidP="002913B2">
            <w:pPr>
              <w:jc w:val="center"/>
            </w:pPr>
          </w:p>
          <w:p w14:paraId="170F5C0C" w14:textId="77777777" w:rsidR="005B5E33" w:rsidRPr="005B5E33" w:rsidRDefault="005B5E33" w:rsidP="002913B2">
            <w:pPr>
              <w:jc w:val="center"/>
              <w:rPr>
                <w:rFonts w:cs="Arial"/>
                <w:u w:val="single"/>
              </w:rPr>
            </w:pPr>
            <w:r>
              <w:rPr>
                <w:u w:val="single"/>
              </w:rPr>
              <w:t>Nota</w:t>
            </w:r>
          </w:p>
          <w:p w14:paraId="434AE4A4" w14:textId="77777777" w:rsidR="005B5E33" w:rsidRPr="005B5E33" w:rsidRDefault="005B5E33" w:rsidP="002913B2">
            <w:pPr>
              <w:rPr>
                <w:rFonts w:cs="Arial"/>
              </w:rPr>
            </w:pPr>
          </w:p>
          <w:p w14:paraId="2B324ED5" w14:textId="65EDEDBE" w:rsidR="005B5E33" w:rsidRPr="005B5E33" w:rsidRDefault="005B5E33" w:rsidP="002913B2">
            <w:pPr>
              <w:rPr>
                <w:rFonts w:cs="Arial"/>
              </w:rPr>
            </w:pPr>
            <w:r>
              <w:t>Las propuestas recibidas en respuesta a la circular</w:t>
            </w:r>
            <w:r w:rsidR="00DE3B1C">
              <w:t xml:space="preserve"> </w:t>
            </w:r>
            <w:r>
              <w:t>E-21/228 de</w:t>
            </w:r>
            <w:r w:rsidR="00DE3B1C">
              <w:t xml:space="preserve"> </w:t>
            </w:r>
            <w:r>
              <w:t>18 de noviembre de</w:t>
            </w:r>
            <w:r w:rsidR="00DE3B1C">
              <w:t xml:space="preserve"> </w:t>
            </w:r>
            <w:r>
              <w:t>2021, sobre el documento</w:t>
            </w:r>
            <w:r w:rsidR="00DE3B1C">
              <w:t xml:space="preserve"> </w:t>
            </w:r>
            <w:r>
              <w:t>UPOV/EXN/PRP/2 se presentan en recuadros.</w:t>
            </w:r>
          </w:p>
          <w:p w14:paraId="44070065" w14:textId="77777777" w:rsidR="005B5E33" w:rsidRPr="005B5E33" w:rsidRDefault="005B5E33" w:rsidP="002913B2">
            <w:pPr>
              <w:rPr>
                <w:rFonts w:cs="Arial"/>
              </w:rPr>
            </w:pPr>
          </w:p>
          <w:p w14:paraId="5BA6F350" w14:textId="77777777" w:rsidR="005B5E33" w:rsidRPr="005B5E33" w:rsidRDefault="005B5E33" w:rsidP="002913B2">
            <w:pPr>
              <w:rPr>
                <w:rFonts w:cs="Arial"/>
              </w:rPr>
            </w:pPr>
            <w:r>
              <w:t xml:space="preserve">Las notas finales se facilitan a título informativo. </w:t>
            </w:r>
          </w:p>
          <w:p w14:paraId="2ED12EFD" w14:textId="77777777" w:rsidR="005B5E33" w:rsidRPr="005B5E33" w:rsidRDefault="005B5E33" w:rsidP="002913B2">
            <w:pPr>
              <w:rPr>
                <w:rFonts w:cs="Arial"/>
                <w:sz w:val="18"/>
                <w:szCs w:val="18"/>
                <w:u w:val="dottedHeavy"/>
              </w:rPr>
            </w:pPr>
          </w:p>
        </w:tc>
      </w:tr>
    </w:tbl>
    <w:p w14:paraId="0427E152" w14:textId="77777777" w:rsidR="005B5E33" w:rsidRPr="005B5E33" w:rsidRDefault="005B5E33" w:rsidP="005B5E33">
      <w:pPr>
        <w:jc w:val="left"/>
      </w:pPr>
    </w:p>
    <w:p w14:paraId="08FBB759" w14:textId="77777777" w:rsidR="005B5E33" w:rsidRPr="005B5E33" w:rsidRDefault="005B5E33" w:rsidP="005B5E33">
      <w:pPr>
        <w:jc w:val="center"/>
        <w:rPr>
          <w:rFonts w:cs="Arial"/>
        </w:rPr>
      </w:pPr>
    </w:p>
    <w:p w14:paraId="3BB5796B" w14:textId="77777777" w:rsidR="005B5E33" w:rsidRPr="005B5E33" w:rsidRDefault="005B5E33" w:rsidP="005B5E33">
      <w:pPr>
        <w:jc w:val="center"/>
        <w:rPr>
          <w:rFonts w:cs="Arial"/>
        </w:rPr>
      </w:pPr>
    </w:p>
    <w:p w14:paraId="3BFFDE87" w14:textId="77777777" w:rsidR="005B5E33" w:rsidRPr="005B5E33" w:rsidRDefault="005B5E33" w:rsidP="005B5E33">
      <w:pPr>
        <w:jc w:val="center"/>
      </w:pPr>
    </w:p>
    <w:p w14:paraId="6208C705" w14:textId="77777777" w:rsidR="005B5E33" w:rsidRPr="005B5E33" w:rsidRDefault="005B5E33" w:rsidP="005B5E33">
      <w:pPr>
        <w:jc w:val="center"/>
        <w:rPr>
          <w:u w:val="single"/>
        </w:rPr>
      </w:pPr>
      <w:r>
        <w:rPr>
          <w:u w:val="single"/>
        </w:rPr>
        <w:t>ÍNDICE</w:t>
      </w:r>
    </w:p>
    <w:p w14:paraId="05C7ECD4" w14:textId="77777777" w:rsidR="005B5E33" w:rsidRPr="005B5E33" w:rsidRDefault="005B5E33" w:rsidP="005B5E33">
      <w:pPr>
        <w:tabs>
          <w:tab w:val="left" w:pos="7930"/>
        </w:tabs>
        <w:jc w:val="left"/>
      </w:pPr>
      <w:r>
        <w:tab/>
      </w:r>
    </w:p>
    <w:p w14:paraId="61D5249B" w14:textId="77777777" w:rsidR="005B5E33" w:rsidRPr="005B5E33" w:rsidRDefault="005B5E33" w:rsidP="005B5E33">
      <w:pPr>
        <w:rPr>
          <w:i/>
          <w:sz w:val="18"/>
          <w:szCs w:val="18"/>
        </w:rPr>
      </w:pPr>
    </w:p>
    <w:p w14:paraId="7DA93399" w14:textId="68AA7AFD" w:rsidR="00DE3B1C" w:rsidRPr="00700C50" w:rsidRDefault="005B5E33">
      <w:pPr>
        <w:pStyle w:val="TOC2"/>
        <w:rPr>
          <w:rFonts w:asciiTheme="minorHAnsi" w:eastAsiaTheme="minorEastAsia" w:hAnsiTheme="minorHAnsi" w:cstheme="minorBidi"/>
          <w:smallCaps w:val="0"/>
          <w:sz w:val="22"/>
          <w:szCs w:val="22"/>
          <w:lang w:val="es-AR"/>
        </w:rPr>
      </w:pPr>
      <w:r w:rsidRPr="005B5E33">
        <w:fldChar w:fldCharType="begin"/>
      </w:r>
      <w:r w:rsidRPr="005B5E33">
        <w:instrText xml:space="preserve"> TOC \o "1-3" \u </w:instrText>
      </w:r>
      <w:r w:rsidRPr="005B5E33">
        <w:fldChar w:fldCharType="separate"/>
      </w:r>
      <w:r w:rsidR="00DE3B1C">
        <w:t>PREÁMBULO</w:t>
      </w:r>
      <w:r w:rsidR="00DE3B1C">
        <w:tab/>
      </w:r>
      <w:r w:rsidR="00DE3B1C">
        <w:fldChar w:fldCharType="begin"/>
      </w:r>
      <w:r w:rsidR="00DE3B1C">
        <w:instrText xml:space="preserve"> PAGEREF _Toc96707947 \h </w:instrText>
      </w:r>
      <w:r w:rsidR="00DE3B1C">
        <w:fldChar w:fldCharType="separate"/>
      </w:r>
      <w:r w:rsidR="00DE3B1C">
        <w:t>2</w:t>
      </w:r>
      <w:r w:rsidR="00DE3B1C">
        <w:fldChar w:fldCharType="end"/>
      </w:r>
    </w:p>
    <w:p w14:paraId="5F2D657F" w14:textId="5AD8F6B3" w:rsidR="00DE3B1C" w:rsidRPr="00700C50" w:rsidRDefault="00DE3B1C">
      <w:pPr>
        <w:pStyle w:val="TOC2"/>
        <w:rPr>
          <w:rFonts w:asciiTheme="minorHAnsi" w:eastAsiaTheme="minorEastAsia" w:hAnsiTheme="minorHAnsi" w:cstheme="minorBidi"/>
          <w:smallCaps w:val="0"/>
          <w:sz w:val="22"/>
          <w:szCs w:val="22"/>
          <w:lang w:val="es-AR"/>
        </w:rPr>
      </w:pPr>
      <w:r>
        <w:t>SECCIÓN I:  DISPOSICIONES SOBRE LA PROTECCIÓN PROVISIONAL</w:t>
      </w:r>
      <w:r>
        <w:tab/>
      </w:r>
      <w:r>
        <w:fldChar w:fldCharType="begin"/>
      </w:r>
      <w:r>
        <w:instrText xml:space="preserve"> PAGEREF _Toc96707948 \h </w:instrText>
      </w:r>
      <w:r>
        <w:fldChar w:fldCharType="separate"/>
      </w:r>
      <w:r>
        <w:t>3</w:t>
      </w:r>
      <w:r>
        <w:fldChar w:fldCharType="end"/>
      </w:r>
    </w:p>
    <w:p w14:paraId="6B9BAF25" w14:textId="680B23E2" w:rsidR="00DE3B1C" w:rsidRPr="00700C50" w:rsidRDefault="00DE3B1C">
      <w:pPr>
        <w:pStyle w:val="TOC2"/>
        <w:rPr>
          <w:rFonts w:asciiTheme="minorHAnsi" w:eastAsiaTheme="minorEastAsia" w:hAnsiTheme="minorHAnsi" w:cstheme="minorBidi"/>
          <w:smallCaps w:val="0"/>
          <w:sz w:val="22"/>
          <w:szCs w:val="22"/>
          <w:lang w:val="es-AR"/>
        </w:rPr>
      </w:pPr>
      <w:r>
        <w:t>SECCIÓN II:  CIERTOS ASPECTOS DE LAS DISPOSICIONES SOBRE LA PROTECCIÓN PROVISIONAL</w:t>
      </w:r>
      <w:r>
        <w:tab/>
      </w:r>
      <w:r>
        <w:fldChar w:fldCharType="begin"/>
      </w:r>
      <w:r>
        <w:instrText xml:space="preserve"> PAGEREF _Toc96707949 \h </w:instrText>
      </w:r>
      <w:r>
        <w:fldChar w:fldCharType="separate"/>
      </w:r>
      <w:r>
        <w:t>4</w:t>
      </w:r>
      <w:r>
        <w:fldChar w:fldCharType="end"/>
      </w:r>
    </w:p>
    <w:p w14:paraId="69108156" w14:textId="69F1D5EF" w:rsidR="005B5E33" w:rsidRPr="005B5E33" w:rsidRDefault="005B5E33" w:rsidP="005B5E33">
      <w:pPr>
        <w:jc w:val="center"/>
      </w:pPr>
      <w:r w:rsidRPr="005B5E33">
        <w:rPr>
          <w:caps/>
          <w:sz w:val="18"/>
        </w:rPr>
        <w:fldChar w:fldCharType="end"/>
      </w:r>
      <w:r>
        <w:br w:type="page"/>
      </w:r>
      <w:r>
        <w:lastRenderedPageBreak/>
        <w:t xml:space="preserve">NOTAS EXPLICATIVAS SOBRE LA PROTECCIÓN PROVISIONAL </w:t>
      </w:r>
      <w:r w:rsidR="003E20B4">
        <w:br/>
      </w:r>
      <w:r>
        <w:t>CON ARREGLO AL</w:t>
      </w:r>
      <w:r w:rsidR="003E20B4">
        <w:t xml:space="preserve"> </w:t>
      </w:r>
      <w:r>
        <w:t>CONVENIO DE LA</w:t>
      </w:r>
      <w:r w:rsidR="00DE3B1C">
        <w:t xml:space="preserve"> </w:t>
      </w:r>
      <w:r>
        <w:t>UPOV</w:t>
      </w:r>
    </w:p>
    <w:p w14:paraId="393EAD7D" w14:textId="77777777" w:rsidR="005B5E33" w:rsidRPr="005B5E33" w:rsidRDefault="005B5E33" w:rsidP="005B5E33"/>
    <w:p w14:paraId="349267CE" w14:textId="77777777" w:rsidR="005B5E33" w:rsidRPr="005B5E33" w:rsidRDefault="005B5E33" w:rsidP="005B5E33">
      <w:pPr>
        <w:pStyle w:val="Heading2"/>
      </w:pPr>
      <w:bookmarkStart w:id="0" w:name="_Toc96707947"/>
      <w:r>
        <w:t>PREÁMBULO</w:t>
      </w:r>
      <w:bookmarkEnd w:id="0"/>
    </w:p>
    <w:p w14:paraId="6FA52A0B" w14:textId="77777777" w:rsidR="005B5E33" w:rsidRPr="005B5E33" w:rsidRDefault="005B5E33" w:rsidP="005B5E33">
      <w:pPr>
        <w:rPr>
          <w:b/>
        </w:rPr>
      </w:pPr>
    </w:p>
    <w:p w14:paraId="2E4ACA87" w14:textId="43385D72" w:rsidR="005B5E33" w:rsidRPr="005B5E33" w:rsidRDefault="005B5E33" w:rsidP="005B5E33">
      <w:r w:rsidRPr="005B5E33">
        <w:fldChar w:fldCharType="begin"/>
      </w:r>
      <w:r w:rsidRPr="005B5E33">
        <w:instrText xml:space="preserve"> AUTONUM  </w:instrText>
      </w:r>
      <w:r w:rsidRPr="005B5E33">
        <w:fldChar w:fldCharType="end"/>
      </w:r>
      <w:r>
        <w:tab/>
        <w:t>El objetivo de las presentes notas explicativas es proporcionar algunas orientaciones sobre la “protección provisional” con arreglo al Convenio Internacional para la Protección de las Obtenciones Vegetales (en adelante Convenio de la UPOV).</w:t>
      </w:r>
      <w:r w:rsidR="003E20B4">
        <w:t xml:space="preserve"> </w:t>
      </w:r>
      <w:r>
        <w:t>Las únicas obligaciones vinculantes de los miembros de la Unión son las que figuran en el texto del Convenio de la UPOV; estas notas explicativas no deben interpretarse de un modo que no sea compatible con el Acta pertinente para el miembro de la Unión en cuestión.</w:t>
      </w:r>
      <w:r w:rsidR="003E20B4">
        <w:t xml:space="preserve"> </w:t>
      </w:r>
    </w:p>
    <w:p w14:paraId="0648717E" w14:textId="77777777" w:rsidR="005B5E33" w:rsidRPr="005B5E33" w:rsidRDefault="005B5E33" w:rsidP="005B5E33"/>
    <w:p w14:paraId="24369716" w14:textId="01F4E753" w:rsidR="005B5E33" w:rsidRPr="005B5E33" w:rsidRDefault="005B5E33" w:rsidP="005B5E33">
      <w:r w:rsidRPr="005B5E33">
        <w:fldChar w:fldCharType="begin"/>
      </w:r>
      <w:r w:rsidRPr="005B5E33">
        <w:instrText xml:space="preserve"> AUTONUM  </w:instrText>
      </w:r>
      <w:r w:rsidRPr="005B5E33">
        <w:fldChar w:fldCharType="end"/>
      </w:r>
      <w:r>
        <w:tab/>
        <w:t>Las presentes notas explicativas contienen orientaciones respecto de algunos aspectos de las disposiciones sobre la protección provisional previstas en el Artículo 13 del Acta de 1991 del Convenio de la</w:t>
      </w:r>
      <w:r w:rsidR="00DE3B1C">
        <w:t> </w:t>
      </w:r>
      <w:r>
        <w:t>UPOV y en el Artículo 7.3) del Acta de 1978 del Convenio de la</w:t>
      </w:r>
      <w:r w:rsidR="00DE3B1C">
        <w:t xml:space="preserve"> </w:t>
      </w:r>
      <w:r>
        <w:t>UPOV.</w:t>
      </w:r>
      <w:r w:rsidR="003E20B4">
        <w:t xml:space="preserve"> </w:t>
      </w:r>
    </w:p>
    <w:p w14:paraId="5D4EF631" w14:textId="77777777" w:rsidR="005B5E33" w:rsidRPr="005B5E33" w:rsidRDefault="005B5E33" w:rsidP="005B5E33"/>
    <w:tbl>
      <w:tblPr>
        <w:tblStyle w:val="TableGrid"/>
        <w:tblW w:w="0" w:type="auto"/>
        <w:tblLook w:val="04A0" w:firstRow="1" w:lastRow="0" w:firstColumn="1" w:lastColumn="0" w:noHBand="0" w:noVBand="1"/>
      </w:tblPr>
      <w:tblGrid>
        <w:gridCol w:w="9629"/>
      </w:tblGrid>
      <w:tr w:rsidR="005B5E33" w:rsidRPr="005B5E33" w14:paraId="5E5D971D" w14:textId="77777777" w:rsidTr="002913B2">
        <w:tc>
          <w:tcPr>
            <w:tcW w:w="9629" w:type="dxa"/>
            <w:shd w:val="clear" w:color="auto" w:fill="F2F2F2" w:themeFill="background1" w:themeFillShade="F2"/>
          </w:tcPr>
          <w:p w14:paraId="39478F6A" w14:textId="77777777" w:rsidR="005B5E33" w:rsidRPr="005B5E33" w:rsidRDefault="005B5E33" w:rsidP="002913B2">
            <w:pPr>
              <w:rPr>
                <w:sz w:val="10"/>
                <w:szCs w:val="10"/>
              </w:rPr>
            </w:pPr>
          </w:p>
          <w:p w14:paraId="0955B8A4" w14:textId="3447858B" w:rsidR="005B5E33" w:rsidRPr="005B5E33" w:rsidRDefault="005B5E33" w:rsidP="002913B2">
            <w:pPr>
              <w:rPr>
                <w:sz w:val="18"/>
                <w:szCs w:val="18"/>
              </w:rPr>
            </w:pPr>
            <w:r>
              <w:rPr>
                <w:sz w:val="18"/>
                <w:u w:val="single"/>
              </w:rPr>
              <w:t>Propuestas de la</w:t>
            </w:r>
            <w:r w:rsidR="00DE3B1C">
              <w:rPr>
                <w:sz w:val="18"/>
                <w:u w:val="single"/>
              </w:rPr>
              <w:t xml:space="preserve"> </w:t>
            </w:r>
            <w:r>
              <w:rPr>
                <w:sz w:val="18"/>
                <w:u w:val="single"/>
              </w:rPr>
              <w:t xml:space="preserve">ISF, la CIOPORA, </w:t>
            </w:r>
            <w:proofErr w:type="spellStart"/>
            <w:r>
              <w:rPr>
                <w:i/>
                <w:iCs/>
                <w:sz w:val="18"/>
                <w:u w:val="single"/>
              </w:rPr>
              <w:t>CropLife</w:t>
            </w:r>
            <w:proofErr w:type="spellEnd"/>
            <w:r>
              <w:rPr>
                <w:i/>
                <w:iCs/>
                <w:sz w:val="18"/>
                <w:u w:val="single"/>
              </w:rPr>
              <w:t xml:space="preserve"> International</w:t>
            </w:r>
            <w:r>
              <w:rPr>
                <w:sz w:val="18"/>
                <w:u w:val="single"/>
              </w:rPr>
              <w:t xml:space="preserve">, </w:t>
            </w:r>
            <w:proofErr w:type="spellStart"/>
            <w:r w:rsidRPr="00C979BB">
              <w:rPr>
                <w:i/>
                <w:sz w:val="18"/>
                <w:u w:val="single"/>
              </w:rPr>
              <w:t>Euroseeds</w:t>
            </w:r>
            <w:proofErr w:type="spellEnd"/>
            <w:r>
              <w:rPr>
                <w:sz w:val="18"/>
                <w:u w:val="single"/>
              </w:rPr>
              <w:t>, la APSA, la AFSTA y la</w:t>
            </w:r>
            <w:r w:rsidR="00DE3B1C">
              <w:rPr>
                <w:sz w:val="18"/>
                <w:u w:val="single"/>
              </w:rPr>
              <w:t xml:space="preserve"> </w:t>
            </w:r>
            <w:r>
              <w:rPr>
                <w:sz w:val="18"/>
                <w:u w:val="single"/>
              </w:rPr>
              <w:t>SAA</w:t>
            </w:r>
            <w:r w:rsidRPr="005B5E33">
              <w:rPr>
                <w:rStyle w:val="EndnoteReference"/>
                <w:b/>
              </w:rPr>
              <w:endnoteReference w:id="2"/>
            </w:r>
          </w:p>
          <w:p w14:paraId="38992AF8" w14:textId="77777777" w:rsidR="005B5E33" w:rsidRPr="005B5E33" w:rsidRDefault="005B5E33" w:rsidP="002913B2">
            <w:pPr>
              <w:rPr>
                <w:sz w:val="16"/>
                <w:szCs w:val="16"/>
              </w:rPr>
            </w:pPr>
          </w:p>
          <w:p w14:paraId="67123931" w14:textId="020BA894" w:rsidR="005B5E33" w:rsidRPr="005B5E33" w:rsidRDefault="005B5E33" w:rsidP="002913B2">
            <w:pPr>
              <w:rPr>
                <w:sz w:val="18"/>
                <w:szCs w:val="18"/>
              </w:rPr>
            </w:pPr>
            <w:r>
              <w:rPr>
                <w:sz w:val="18"/>
              </w:rPr>
              <w:t>El párrafo 2 debe modificarse de la siguiente manera:</w:t>
            </w:r>
            <w:r w:rsidR="003E20B4">
              <w:rPr>
                <w:sz w:val="18"/>
              </w:rPr>
              <w:t xml:space="preserve"> </w:t>
            </w:r>
            <w:r>
              <w:rPr>
                <w:sz w:val="18"/>
              </w:rPr>
              <w:t xml:space="preserve">“Las presentes notas explicativas contienen orientaciones respecto de algunos aspectos de las disposiciones sobre la protección provisional previstas en el Artículo 13 del </w:t>
            </w:r>
            <w:r w:rsidR="00DE3B1C">
              <w:rPr>
                <w:sz w:val="18"/>
              </w:rPr>
              <w:t>Acta de 1991</w:t>
            </w:r>
            <w:r>
              <w:rPr>
                <w:sz w:val="18"/>
              </w:rPr>
              <w:t xml:space="preserve"> del Convenio de la</w:t>
            </w:r>
            <w:r w:rsidR="00DE3B1C">
              <w:rPr>
                <w:sz w:val="18"/>
              </w:rPr>
              <w:t xml:space="preserve"> </w:t>
            </w:r>
            <w:r>
              <w:rPr>
                <w:sz w:val="18"/>
              </w:rPr>
              <w:t>UPOV y en el Artículo 7.3) del Acta de 1978 del Convenio de la</w:t>
            </w:r>
            <w:r w:rsidR="00DE3B1C">
              <w:rPr>
                <w:sz w:val="18"/>
              </w:rPr>
              <w:t xml:space="preserve"> </w:t>
            </w:r>
            <w:r>
              <w:rPr>
                <w:sz w:val="18"/>
              </w:rPr>
              <w:t>UPOV</w:t>
            </w:r>
            <w:r>
              <w:rPr>
                <w:sz w:val="18"/>
                <w:highlight w:val="lightGray"/>
                <w:u w:val="single"/>
              </w:rPr>
              <w:t>, con miras a asegurar que el grado mínimo de protección dispuesto en estos Convenios se aplique de manera uniforme en los miembros de la Unión</w:t>
            </w:r>
            <w:r>
              <w:rPr>
                <w:sz w:val="18"/>
              </w:rPr>
              <w:t>.”</w:t>
            </w:r>
          </w:p>
          <w:p w14:paraId="4129097B" w14:textId="77777777" w:rsidR="005B5E33" w:rsidRPr="005B5E33" w:rsidRDefault="005B5E33" w:rsidP="002913B2">
            <w:pPr>
              <w:ind w:left="1148" w:hanging="630"/>
              <w:rPr>
                <w:sz w:val="8"/>
              </w:rPr>
            </w:pPr>
          </w:p>
        </w:tc>
      </w:tr>
    </w:tbl>
    <w:p w14:paraId="477B0ECC" w14:textId="77777777" w:rsidR="005B5E33" w:rsidRPr="005B5E33" w:rsidRDefault="005B5E33" w:rsidP="005B5E33"/>
    <w:p w14:paraId="56F38B17" w14:textId="77777777" w:rsidR="005B5E33" w:rsidRPr="005B5E33" w:rsidRDefault="005B5E33" w:rsidP="005B5E33"/>
    <w:p w14:paraId="582BC92C" w14:textId="1D19E9E3" w:rsidR="005B5E33" w:rsidRPr="005B5E33" w:rsidRDefault="005B5E33" w:rsidP="005B5E33">
      <w:pPr>
        <w:pStyle w:val="Heading2"/>
      </w:pPr>
      <w:r>
        <w:br w:type="page"/>
      </w:r>
      <w:bookmarkStart w:id="1" w:name="_Toc96707948"/>
      <w:r>
        <w:lastRenderedPageBreak/>
        <w:t>SECCIÓN I:</w:t>
      </w:r>
      <w:r w:rsidR="003E20B4">
        <w:t xml:space="preserve"> </w:t>
      </w:r>
      <w:r w:rsidR="00DE3B1C">
        <w:t xml:space="preserve"> </w:t>
      </w:r>
      <w:r>
        <w:t>DISPOSICIONES SOBRE LA PROTECCIÓN PROVISIONAL</w:t>
      </w:r>
      <w:bookmarkEnd w:id="1"/>
    </w:p>
    <w:p w14:paraId="22D17254" w14:textId="77777777" w:rsidR="005B5E33" w:rsidRPr="005B5E33" w:rsidRDefault="005B5E33" w:rsidP="005B5E33"/>
    <w:p w14:paraId="581BD615" w14:textId="4C9E442F" w:rsidR="005B5E33" w:rsidRPr="005B5E33" w:rsidRDefault="005B5E33" w:rsidP="005B5E33">
      <w:r w:rsidRPr="005B5E33">
        <w:fldChar w:fldCharType="begin"/>
      </w:r>
      <w:r w:rsidRPr="005B5E33">
        <w:instrText xml:space="preserve"> AUTONUM  </w:instrText>
      </w:r>
      <w:r w:rsidRPr="005B5E33">
        <w:fldChar w:fldCharType="end"/>
      </w:r>
      <w:r>
        <w:tab/>
        <w:t>Las disposiciones relativas a la protección provisional que figuran en el Artículo 13 del Acta</w:t>
      </w:r>
      <w:r w:rsidR="00DE3B1C">
        <w:t xml:space="preserve"> </w:t>
      </w:r>
      <w:r>
        <w:t>de</w:t>
      </w:r>
      <w:r w:rsidR="00DE3B1C">
        <w:t xml:space="preserve"> </w:t>
      </w:r>
      <w:r>
        <w:t>1991 del Convenio de la UPOV y en el</w:t>
      </w:r>
      <w:r w:rsidR="00DE3B1C">
        <w:t xml:space="preserve"> </w:t>
      </w:r>
      <w:r>
        <w:t>Artículo 7.3) del Acta de 1978 del Convenio de la</w:t>
      </w:r>
      <w:r w:rsidR="00DE3B1C">
        <w:t xml:space="preserve"> </w:t>
      </w:r>
      <w:r>
        <w:t>UPOV se reproducen a continuación:</w:t>
      </w:r>
    </w:p>
    <w:p w14:paraId="3EF0CE1A" w14:textId="77777777" w:rsidR="005B5E33" w:rsidRPr="005B5E33" w:rsidRDefault="005B5E33" w:rsidP="005B5E33"/>
    <w:p w14:paraId="371F998E" w14:textId="77777777" w:rsidR="005B5E33" w:rsidRPr="005B5E33" w:rsidRDefault="005B5E33" w:rsidP="005B5E33"/>
    <w:p w14:paraId="5252BBD2" w14:textId="77777777" w:rsidR="005B5E33" w:rsidRPr="005B5E33" w:rsidRDefault="005B5E33" w:rsidP="005B5E3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4AFC3BF5" w14:textId="77777777" w:rsidR="005B5E33" w:rsidRPr="005B5E33" w:rsidRDefault="005B5E33" w:rsidP="005B5E3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 xml:space="preserve">Acta de 1991 </w:t>
      </w:r>
      <w:r>
        <w:rPr>
          <w:sz w:val="18"/>
        </w:rPr>
        <w:t>del Convenio de la UPOV</w:t>
      </w:r>
    </w:p>
    <w:p w14:paraId="49950995" w14:textId="77777777" w:rsidR="005B5E33" w:rsidRPr="005B5E33" w:rsidRDefault="005B5E33" w:rsidP="005B5E3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759D8253" w14:textId="77777777" w:rsidR="005B5E33" w:rsidRPr="005B5E33" w:rsidRDefault="005B5E33" w:rsidP="005B5E3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Artículo 13</w:t>
      </w:r>
    </w:p>
    <w:p w14:paraId="369DAB41" w14:textId="77777777" w:rsidR="005B5E33" w:rsidRPr="005B5E33" w:rsidRDefault="005B5E33" w:rsidP="005B5E3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59BFB541" w14:textId="77777777" w:rsidR="005B5E33" w:rsidRPr="005B5E33" w:rsidRDefault="005B5E33" w:rsidP="005B5E3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Pr>
          <w:b/>
          <w:sz w:val="18"/>
        </w:rPr>
        <w:t>Protección provisional</w:t>
      </w:r>
    </w:p>
    <w:p w14:paraId="2A9953E2" w14:textId="77777777" w:rsidR="005B5E33" w:rsidRPr="005B5E33" w:rsidRDefault="005B5E33" w:rsidP="005B5E3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5733D3B3" w14:textId="217F9D45" w:rsidR="005B5E33" w:rsidRPr="005B5E33" w:rsidRDefault="005B5E33" w:rsidP="005B5E33">
      <w:pPr>
        <w:pBdr>
          <w:top w:val="single" w:sz="4" w:space="1" w:color="auto"/>
          <w:left w:val="single" w:sz="4" w:space="4" w:color="auto"/>
          <w:bottom w:val="single" w:sz="4" w:space="1" w:color="auto"/>
          <w:right w:val="single" w:sz="4" w:space="4" w:color="auto"/>
        </w:pBdr>
        <w:ind w:left="567" w:right="571"/>
        <w:rPr>
          <w:sz w:val="18"/>
          <w:szCs w:val="18"/>
        </w:rPr>
      </w:pPr>
      <w:r>
        <w:rPr>
          <w:sz w:val="18"/>
        </w:rPr>
        <w:t>Cada Parte Contratante adoptará medidas destinadas a salvaguardar los intereses del obtentor durante el período comprendido entre la presentación de la solicitud de concesión de un derecho de obtentor o su publicación y la concesión del derecho. 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w:t>
      </w:r>
      <w:r w:rsidR="00DE3B1C">
        <w:rPr>
          <w:sz w:val="18"/>
        </w:rPr>
        <w:t xml:space="preserve"> </w:t>
      </w:r>
      <w:r>
        <w:rPr>
          <w:sz w:val="18"/>
        </w:rPr>
        <w:t>14. Una Parte Contratante podrá prever que dichas medidas solo surtirán efecto respecto de las personas a las que el obtentor haya notificado la presentación de la solicitud.</w:t>
      </w:r>
    </w:p>
    <w:p w14:paraId="7A4D689E" w14:textId="77777777" w:rsidR="005B5E33" w:rsidRPr="005B5E33" w:rsidRDefault="005B5E33" w:rsidP="005B5E33">
      <w:pPr>
        <w:pBdr>
          <w:top w:val="single" w:sz="4" w:space="1" w:color="auto"/>
          <w:left w:val="single" w:sz="4" w:space="4" w:color="auto"/>
          <w:bottom w:val="single" w:sz="4" w:space="1" w:color="auto"/>
          <w:right w:val="single" w:sz="4" w:space="4" w:color="auto"/>
        </w:pBdr>
        <w:ind w:left="567" w:right="571"/>
        <w:rPr>
          <w:sz w:val="18"/>
          <w:szCs w:val="18"/>
        </w:rPr>
      </w:pPr>
    </w:p>
    <w:p w14:paraId="06B37980" w14:textId="77777777" w:rsidR="005B5E33" w:rsidRPr="005B5E33" w:rsidRDefault="005B5E33" w:rsidP="005B5E33">
      <w:pPr>
        <w:rPr>
          <w:rFonts w:cs="Arial"/>
          <w:sz w:val="18"/>
          <w:szCs w:val="18"/>
        </w:rPr>
      </w:pPr>
    </w:p>
    <w:p w14:paraId="2E48DFF8" w14:textId="77777777" w:rsidR="005B5E33" w:rsidRPr="005B5E33" w:rsidRDefault="005B5E33" w:rsidP="005B5E33">
      <w:pPr>
        <w:rPr>
          <w:rFonts w:cs="Arial"/>
          <w:sz w:val="18"/>
          <w:szCs w:val="18"/>
        </w:rPr>
      </w:pPr>
    </w:p>
    <w:p w14:paraId="3CC4F6F9" w14:textId="77777777" w:rsidR="005B5E33" w:rsidRPr="005B5E33" w:rsidRDefault="005B5E33" w:rsidP="005B5E33">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es-ES_tradnl"/>
        </w:rPr>
      </w:pPr>
    </w:p>
    <w:p w14:paraId="6B438C0A" w14:textId="77777777" w:rsidR="005B5E33" w:rsidRPr="005B5E33" w:rsidRDefault="005B5E33" w:rsidP="005B5E33">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Pr>
          <w:rFonts w:ascii="Arial" w:hAnsi="Arial"/>
          <w:sz w:val="18"/>
        </w:rPr>
        <w:t>Acta de 1978 del Convenio de la UPOV</w:t>
      </w:r>
      <w:r>
        <w:rPr>
          <w:rFonts w:ascii="Arial" w:hAnsi="Arial"/>
          <w:b w:val="0"/>
          <w:sz w:val="18"/>
        </w:rPr>
        <w:t xml:space="preserve"> </w:t>
      </w:r>
    </w:p>
    <w:p w14:paraId="196056D1" w14:textId="77777777" w:rsidR="005B5E33" w:rsidRPr="005B5E33" w:rsidRDefault="005B5E33" w:rsidP="005B5E33">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es-ES_tradnl"/>
        </w:rPr>
      </w:pPr>
    </w:p>
    <w:p w14:paraId="1FEF5B15" w14:textId="77777777" w:rsidR="005B5E33" w:rsidRPr="005B5E33" w:rsidRDefault="005B5E33" w:rsidP="005B5E33">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Pr>
          <w:rFonts w:ascii="Arial" w:hAnsi="Arial"/>
          <w:sz w:val="18"/>
        </w:rPr>
        <w:t>Artículo 7.3)</w:t>
      </w:r>
    </w:p>
    <w:p w14:paraId="3C85EF39" w14:textId="77777777" w:rsidR="005B5E33" w:rsidRPr="005B5E33" w:rsidRDefault="005B5E33" w:rsidP="005B5E33">
      <w:pPr>
        <w:pBdr>
          <w:top w:val="single" w:sz="4" w:space="1" w:color="auto"/>
          <w:left w:val="single" w:sz="4" w:space="4" w:color="auto"/>
          <w:bottom w:val="single" w:sz="4" w:space="1" w:color="auto"/>
          <w:right w:val="single" w:sz="4" w:space="4" w:color="auto"/>
        </w:pBdr>
        <w:ind w:left="567" w:right="566"/>
        <w:rPr>
          <w:rFonts w:cs="Arial"/>
          <w:sz w:val="18"/>
          <w:szCs w:val="18"/>
        </w:rPr>
      </w:pPr>
    </w:p>
    <w:p w14:paraId="79373931" w14:textId="77777777" w:rsidR="005B5E33" w:rsidRPr="005B5E33" w:rsidRDefault="005B5E33" w:rsidP="005B5E33">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rPr>
      </w:pPr>
      <w:r>
        <w:rPr>
          <w:rFonts w:ascii="Arial" w:hAnsi="Arial"/>
          <w:sz w:val="18"/>
        </w:rPr>
        <w:t>Protección provisional</w:t>
      </w:r>
    </w:p>
    <w:p w14:paraId="569A04AF" w14:textId="77777777" w:rsidR="005B5E33" w:rsidRPr="005B5E33" w:rsidRDefault="005B5E33" w:rsidP="005B5E33">
      <w:pPr>
        <w:pBdr>
          <w:top w:val="single" w:sz="4" w:space="1" w:color="auto"/>
          <w:left w:val="single" w:sz="4" w:space="4" w:color="auto"/>
          <w:bottom w:val="single" w:sz="4" w:space="1" w:color="auto"/>
          <w:right w:val="single" w:sz="4" w:space="4" w:color="auto"/>
        </w:pBdr>
        <w:ind w:left="567" w:right="566"/>
        <w:rPr>
          <w:rFonts w:cs="Arial"/>
          <w:sz w:val="18"/>
          <w:szCs w:val="18"/>
        </w:rPr>
      </w:pPr>
      <w:r>
        <w:rPr>
          <w:sz w:val="18"/>
        </w:rPr>
        <w:t>[…]</w:t>
      </w:r>
    </w:p>
    <w:p w14:paraId="6DB29F63" w14:textId="77777777" w:rsidR="005B5E33" w:rsidRPr="005B5E33" w:rsidRDefault="005B5E33" w:rsidP="005B5E33">
      <w:pPr>
        <w:pBdr>
          <w:top w:val="single" w:sz="4" w:space="1" w:color="auto"/>
          <w:left w:val="single" w:sz="4" w:space="4" w:color="auto"/>
          <w:bottom w:val="single" w:sz="4" w:space="1" w:color="auto"/>
          <w:right w:val="single" w:sz="4" w:space="4" w:color="auto"/>
        </w:pBdr>
        <w:ind w:left="567" w:right="566"/>
        <w:rPr>
          <w:rFonts w:cs="Arial"/>
          <w:sz w:val="18"/>
          <w:szCs w:val="18"/>
        </w:rPr>
      </w:pPr>
      <w:r>
        <w:rPr>
          <w:sz w:val="18"/>
        </w:rPr>
        <w:tab/>
        <w:t>3)</w:t>
      </w:r>
      <w:r>
        <w:rPr>
          <w:sz w:val="18"/>
        </w:rPr>
        <w:tab/>
        <w:t>Cualquier Estado de la Unión podrá adoptar medidas destinadas a defender al obtentor contra maniobras abusivas de terceros, que pudieran producirse durante el periodo comprendido entre la presentación de la solicitud de protección y la decisión correspondiente.</w:t>
      </w:r>
    </w:p>
    <w:p w14:paraId="789995CB" w14:textId="77777777" w:rsidR="005B5E33" w:rsidRPr="005B5E33" w:rsidRDefault="005B5E33" w:rsidP="005B5E33">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lang w:val="es-ES_tradnl"/>
        </w:rPr>
      </w:pPr>
    </w:p>
    <w:p w14:paraId="37147E43" w14:textId="77777777" w:rsidR="005B5E33" w:rsidRPr="005B5E33" w:rsidRDefault="005B5E33" w:rsidP="005B5E33">
      <w:pPr>
        <w:pStyle w:val="Style1"/>
        <w:tabs>
          <w:tab w:val="clear" w:pos="907"/>
          <w:tab w:val="clear" w:pos="1077"/>
        </w:tabs>
        <w:suppressAutoHyphens/>
        <w:jc w:val="left"/>
        <w:rPr>
          <w:rFonts w:cs="Arial"/>
          <w:szCs w:val="20"/>
          <w:lang w:val="es-ES_tradnl"/>
        </w:rPr>
      </w:pPr>
    </w:p>
    <w:p w14:paraId="283CB160" w14:textId="77777777" w:rsidR="005B5E33" w:rsidRPr="005B5E33" w:rsidRDefault="005B5E33" w:rsidP="005B5E33">
      <w:pPr>
        <w:pStyle w:val="Style1"/>
        <w:tabs>
          <w:tab w:val="clear" w:pos="907"/>
          <w:tab w:val="clear" w:pos="1077"/>
        </w:tabs>
        <w:suppressAutoHyphens/>
        <w:jc w:val="left"/>
        <w:outlineLvl w:val="1"/>
      </w:pPr>
      <w:r>
        <w:br w:type="page"/>
      </w:r>
    </w:p>
    <w:p w14:paraId="3B6D6BF8" w14:textId="11E99B15" w:rsidR="005B5E33" w:rsidRPr="005B5E33" w:rsidRDefault="005B5E33" w:rsidP="005B5E33">
      <w:pPr>
        <w:pStyle w:val="Heading2"/>
      </w:pPr>
      <w:bookmarkStart w:id="2" w:name="_Toc202089146"/>
      <w:bookmarkStart w:id="3" w:name="_Toc96707949"/>
      <w:r>
        <w:lastRenderedPageBreak/>
        <w:t>SECCIÓN II:</w:t>
      </w:r>
      <w:r w:rsidR="003E20B4">
        <w:t xml:space="preserve"> </w:t>
      </w:r>
      <w:r w:rsidR="00DE3B1C">
        <w:t xml:space="preserve"> </w:t>
      </w:r>
      <w:r>
        <w:t>CIERTOS ASPECTOS DE LAS DISPOSICIONES SOBRE LA</w:t>
      </w:r>
      <w:bookmarkEnd w:id="2"/>
      <w:r w:rsidR="00DE3B1C">
        <w:t xml:space="preserve"> </w:t>
      </w:r>
      <w:r>
        <w:t>PROTECCIÓN PROVISIONAL</w:t>
      </w:r>
      <w:bookmarkEnd w:id="3"/>
    </w:p>
    <w:p w14:paraId="6FD3D67E" w14:textId="77777777" w:rsidR="005B5E33" w:rsidRPr="005B5E33" w:rsidRDefault="005B5E33" w:rsidP="005B5E33">
      <w:pPr>
        <w:pStyle w:val="Style1"/>
        <w:rPr>
          <w:lang w:val="es-ES_tradnl"/>
        </w:rPr>
      </w:pPr>
    </w:p>
    <w:p w14:paraId="2CD891F7" w14:textId="1E4BE753" w:rsidR="005B5E33" w:rsidRPr="005B5E33" w:rsidRDefault="005B5E33" w:rsidP="005B5E33">
      <w:pPr>
        <w:pStyle w:val="Style1"/>
        <w:tabs>
          <w:tab w:val="clear" w:pos="907"/>
          <w:tab w:val="clear" w:pos="1077"/>
          <w:tab w:val="left" w:pos="567"/>
        </w:tabs>
      </w:pPr>
      <w:r w:rsidRPr="005B5E33">
        <w:fldChar w:fldCharType="begin"/>
      </w:r>
      <w:r w:rsidRPr="005B5E33">
        <w:instrText xml:space="preserve"> AUTONUM  </w:instrText>
      </w:r>
      <w:r w:rsidRPr="005B5E33">
        <w:fldChar w:fldCharType="end"/>
      </w:r>
      <w:r>
        <w:tab/>
        <w:t>Esta sección contiene orientaciones respecto de algunos aspectos de las disposiciones sobre la protección provisional previstas en el Artículo 13 del Acta de 1991 del Convenio de la</w:t>
      </w:r>
      <w:r w:rsidR="00DE3B1C">
        <w:t xml:space="preserve"> </w:t>
      </w:r>
      <w:r>
        <w:t>UPOV y en el Artículo</w:t>
      </w:r>
      <w:r w:rsidR="00DE3B1C">
        <w:t xml:space="preserve"> </w:t>
      </w:r>
      <w:r>
        <w:t>7.3) del Acta de 1978 del Convenio de la</w:t>
      </w:r>
      <w:r w:rsidR="00DE3B1C">
        <w:t xml:space="preserve"> </w:t>
      </w:r>
      <w:r>
        <w:t>UPOV.</w:t>
      </w:r>
    </w:p>
    <w:p w14:paraId="0B6483AE" w14:textId="77777777" w:rsidR="005B5E33" w:rsidRPr="005B5E33" w:rsidRDefault="005B5E33" w:rsidP="005B5E33">
      <w:pPr>
        <w:pStyle w:val="Style1"/>
        <w:rPr>
          <w:lang w:val="es-ES_tradnl"/>
        </w:rPr>
      </w:pPr>
    </w:p>
    <w:p w14:paraId="2A1C609C" w14:textId="77777777" w:rsidR="005B5E33" w:rsidRPr="005B5E33" w:rsidRDefault="005B5E33" w:rsidP="005B5E33">
      <w:pPr>
        <w:pStyle w:val="Style1"/>
        <w:rPr>
          <w:lang w:val="es-ES_tradnl"/>
        </w:rPr>
      </w:pPr>
    </w:p>
    <w:p w14:paraId="1DB31591" w14:textId="77777777" w:rsidR="005B5E33" w:rsidRPr="005B5E33" w:rsidRDefault="005B5E33" w:rsidP="005B5E33">
      <w:pPr>
        <w:pStyle w:val="Style1"/>
        <w:rPr>
          <w:i/>
        </w:rPr>
      </w:pPr>
      <w:r>
        <w:rPr>
          <w:i/>
        </w:rPr>
        <w:t>Plazo de protección y notificación</w:t>
      </w:r>
    </w:p>
    <w:p w14:paraId="7A4F2DCB" w14:textId="77777777" w:rsidR="005B5E33" w:rsidRPr="005B5E33" w:rsidRDefault="005B5E33" w:rsidP="005B5E33">
      <w:pPr>
        <w:pStyle w:val="Style1"/>
        <w:rPr>
          <w:lang w:val="es-ES_tradnl"/>
        </w:rPr>
      </w:pPr>
    </w:p>
    <w:p w14:paraId="4A9CC7F2" w14:textId="6A4E27EF" w:rsidR="005B5E33" w:rsidRPr="005B5E33" w:rsidRDefault="005B5E33" w:rsidP="005B5E33">
      <w:pPr>
        <w:pBdr>
          <w:top w:val="single" w:sz="4" w:space="6" w:color="auto"/>
          <w:left w:val="single" w:sz="4" w:space="4" w:color="auto"/>
          <w:bottom w:val="single" w:sz="4" w:space="6" w:color="auto"/>
          <w:right w:val="single" w:sz="4" w:space="4" w:color="auto"/>
        </w:pBdr>
        <w:shd w:val="clear" w:color="auto" w:fill="E6E6E6"/>
        <w:rPr>
          <w:b/>
        </w:rPr>
      </w:pPr>
      <w:r>
        <w:rPr>
          <w:b/>
        </w:rPr>
        <w:t xml:space="preserve">Cada Parte Contratante adoptará medidas destinadas a salvaguardar los intereses del obtentor durante el período comprendido entre [la presentación de la solicitud de concesión de un derecho de obtentor] </w:t>
      </w:r>
      <w:r>
        <w:rPr>
          <w:b/>
          <w:i/>
          <w:iCs/>
        </w:rPr>
        <w:t>[o]</w:t>
      </w:r>
      <w:r>
        <w:rPr>
          <w:b/>
        </w:rPr>
        <w:t xml:space="preserve"> [su publicación] y la concesión del derecho.</w:t>
      </w:r>
      <w:r w:rsidR="003E20B4">
        <w:rPr>
          <w:b/>
        </w:rPr>
        <w:t xml:space="preserve"> </w:t>
      </w:r>
      <w:r>
        <w:rPr>
          <w:b/>
        </w:rPr>
        <w:t>[….] Una Parte Contratante podrá prever que dichas medidas solo surtirán efecto respecto de las personas a las que el obtentor haya notificado la presentación de la solicitud.</w:t>
      </w:r>
    </w:p>
    <w:p w14:paraId="7BAF6AD9" w14:textId="77777777" w:rsidR="005B5E33" w:rsidRPr="005B5E33" w:rsidRDefault="005B5E33" w:rsidP="005B5E33"/>
    <w:p w14:paraId="13A3022B" w14:textId="77777777" w:rsidR="005B5E33" w:rsidRPr="005B5E33" w:rsidRDefault="005B5E33" w:rsidP="005B5E33"/>
    <w:p w14:paraId="6F96DE7F" w14:textId="3A607062" w:rsidR="005B5E33" w:rsidRPr="005B5E33" w:rsidRDefault="005B5E33" w:rsidP="005B5E33">
      <w:pPr>
        <w:pStyle w:val="Style1"/>
        <w:tabs>
          <w:tab w:val="clear" w:pos="907"/>
          <w:tab w:val="clear" w:pos="1077"/>
          <w:tab w:val="decimal" w:pos="0"/>
        </w:tabs>
      </w:pPr>
      <w:r w:rsidRPr="005B5E33">
        <w:fldChar w:fldCharType="begin"/>
      </w:r>
      <w:r w:rsidRPr="005B5E33">
        <w:instrText xml:space="preserve"> AUTONUM  </w:instrText>
      </w:r>
      <w:r w:rsidRPr="005B5E33">
        <w:fldChar w:fldCharType="end"/>
      </w:r>
      <w:r>
        <w:tab/>
        <w:t>En el Convenio de la UPOV se estipula que el plazo de protección (Artículo</w:t>
      </w:r>
      <w:r w:rsidR="00DE3B1C">
        <w:t xml:space="preserve"> </w:t>
      </w:r>
      <w:r>
        <w:t>19 del Acta</w:t>
      </w:r>
      <w:r w:rsidR="00DE3B1C">
        <w:t xml:space="preserve"> </w:t>
      </w:r>
      <w:r>
        <w:t>de</w:t>
      </w:r>
      <w:r w:rsidR="00DE3B1C">
        <w:t xml:space="preserve"> </w:t>
      </w:r>
      <w:r>
        <w:t>1991 y Artículo</w:t>
      </w:r>
      <w:r w:rsidR="00DE3B1C">
        <w:t xml:space="preserve"> </w:t>
      </w:r>
      <w:r>
        <w:t>8 del Acta de</w:t>
      </w:r>
      <w:r w:rsidR="00DE3B1C">
        <w:t xml:space="preserve"> </w:t>
      </w:r>
      <w:r>
        <w:t>1978) se calcula a partir de la fecha de concesión del derecho de obtentor.</w:t>
      </w:r>
      <w:r w:rsidR="003E20B4">
        <w:t xml:space="preserve"> </w:t>
      </w:r>
      <w:r>
        <w:t xml:space="preserve">En el </w:t>
      </w:r>
      <w:r w:rsidR="00DE3B1C">
        <w:t>Acta de 1991</w:t>
      </w:r>
      <w:r>
        <w:t xml:space="preserve"> del Convenio de la UPOV se estipula que el obtentor gozará de protección provisional en el período comprendido entre la presentación</w:t>
      </w:r>
      <w:r w:rsidRPr="005B5E33">
        <w:rPr>
          <w:rStyle w:val="FootnoteReference"/>
          <w:lang w:val="es-ES_tradnl"/>
        </w:rPr>
        <w:footnoteReference w:id="2"/>
      </w:r>
      <w:r>
        <w:t xml:space="preserve"> de la solicitud de concesión de un derecho de obtentor o su publicación y la concesión del derecho.</w:t>
      </w:r>
      <w:r w:rsidRPr="005B5E33">
        <w:rPr>
          <w:rStyle w:val="FootnoteReference"/>
          <w:lang w:val="es-ES_tradnl"/>
        </w:rPr>
        <w:footnoteReference w:id="3"/>
      </w:r>
      <w:r w:rsidR="003E20B4">
        <w:t xml:space="preserve"> </w:t>
      </w:r>
    </w:p>
    <w:p w14:paraId="09E294CB" w14:textId="77777777" w:rsidR="005B5E33" w:rsidRPr="005B5E33" w:rsidRDefault="005B5E33" w:rsidP="005B5E33"/>
    <w:tbl>
      <w:tblPr>
        <w:tblStyle w:val="TableGrid"/>
        <w:tblW w:w="0" w:type="auto"/>
        <w:tblLook w:val="04A0" w:firstRow="1" w:lastRow="0" w:firstColumn="1" w:lastColumn="0" w:noHBand="0" w:noVBand="1"/>
      </w:tblPr>
      <w:tblGrid>
        <w:gridCol w:w="9629"/>
      </w:tblGrid>
      <w:tr w:rsidR="005B5E33" w:rsidRPr="005B5E33" w14:paraId="305411ED" w14:textId="77777777" w:rsidTr="002913B2">
        <w:tc>
          <w:tcPr>
            <w:tcW w:w="9629" w:type="dxa"/>
            <w:shd w:val="clear" w:color="auto" w:fill="F2F2F2" w:themeFill="background1" w:themeFillShade="F2"/>
          </w:tcPr>
          <w:p w14:paraId="5472DD87" w14:textId="77777777" w:rsidR="005B5E33" w:rsidRPr="005B5E33" w:rsidRDefault="005B5E33" w:rsidP="002913B2">
            <w:pPr>
              <w:rPr>
                <w:sz w:val="10"/>
                <w:szCs w:val="10"/>
              </w:rPr>
            </w:pPr>
          </w:p>
          <w:p w14:paraId="55A95D35" w14:textId="1451D63D" w:rsidR="005B5E33" w:rsidRPr="005B5E33" w:rsidRDefault="005B5E33" w:rsidP="002913B2">
            <w:pPr>
              <w:rPr>
                <w:sz w:val="18"/>
                <w:szCs w:val="18"/>
              </w:rPr>
            </w:pPr>
            <w:r>
              <w:rPr>
                <w:sz w:val="18"/>
                <w:u w:val="single"/>
              </w:rPr>
              <w:t>Propuestas de la</w:t>
            </w:r>
            <w:r w:rsidR="00DE3B1C">
              <w:rPr>
                <w:sz w:val="18"/>
                <w:u w:val="single"/>
              </w:rPr>
              <w:t xml:space="preserve"> </w:t>
            </w:r>
            <w:r>
              <w:rPr>
                <w:sz w:val="18"/>
                <w:u w:val="single"/>
              </w:rPr>
              <w:t xml:space="preserve">ISF, la CIOPORA, </w:t>
            </w:r>
            <w:proofErr w:type="spellStart"/>
            <w:r>
              <w:rPr>
                <w:i/>
                <w:iCs/>
                <w:sz w:val="18"/>
                <w:u w:val="single"/>
              </w:rPr>
              <w:t>CropLife</w:t>
            </w:r>
            <w:proofErr w:type="spellEnd"/>
            <w:r>
              <w:rPr>
                <w:i/>
                <w:iCs/>
                <w:sz w:val="18"/>
                <w:u w:val="single"/>
              </w:rPr>
              <w:t xml:space="preserve"> International</w:t>
            </w:r>
            <w:r>
              <w:rPr>
                <w:sz w:val="18"/>
                <w:u w:val="single"/>
              </w:rPr>
              <w:t xml:space="preserve">, </w:t>
            </w:r>
            <w:proofErr w:type="spellStart"/>
            <w:r w:rsidRPr="00C979BB">
              <w:rPr>
                <w:i/>
                <w:sz w:val="18"/>
                <w:u w:val="single"/>
              </w:rPr>
              <w:t>Euroseeds</w:t>
            </w:r>
            <w:proofErr w:type="spellEnd"/>
            <w:r>
              <w:rPr>
                <w:sz w:val="18"/>
                <w:u w:val="single"/>
              </w:rPr>
              <w:t>, la APSA, la AFSTA y la</w:t>
            </w:r>
            <w:r w:rsidR="00DE3B1C">
              <w:rPr>
                <w:sz w:val="18"/>
                <w:u w:val="single"/>
              </w:rPr>
              <w:t xml:space="preserve"> </w:t>
            </w:r>
            <w:r>
              <w:rPr>
                <w:sz w:val="18"/>
                <w:u w:val="single"/>
              </w:rPr>
              <w:t>SAA</w:t>
            </w:r>
            <w:r w:rsidRPr="005B5E33">
              <w:rPr>
                <w:rStyle w:val="EndnoteReference"/>
                <w:b/>
              </w:rPr>
              <w:endnoteReference w:id="3"/>
            </w:r>
          </w:p>
          <w:p w14:paraId="5D6999F0" w14:textId="77777777" w:rsidR="005B5E33" w:rsidRPr="005B5E33" w:rsidRDefault="005B5E33" w:rsidP="002913B2">
            <w:pPr>
              <w:rPr>
                <w:sz w:val="16"/>
                <w:szCs w:val="16"/>
              </w:rPr>
            </w:pPr>
          </w:p>
          <w:p w14:paraId="3743644E" w14:textId="4E57D41F" w:rsidR="005B5E33" w:rsidRPr="005B5E33" w:rsidRDefault="005B5E33" w:rsidP="002913B2">
            <w:pPr>
              <w:rPr>
                <w:sz w:val="18"/>
              </w:rPr>
            </w:pPr>
            <w:r>
              <w:rPr>
                <w:sz w:val="18"/>
              </w:rPr>
              <w:t>El párrafo 5 debe modificarse de la siguiente manera:</w:t>
            </w:r>
            <w:r w:rsidR="003E20B4">
              <w:rPr>
                <w:sz w:val="18"/>
              </w:rPr>
              <w:t xml:space="preserve"> </w:t>
            </w:r>
            <w:r>
              <w:rPr>
                <w:sz w:val="18"/>
              </w:rPr>
              <w:t>“En el Convenio de la UPOV se estipula que el plazo de protección (Artículo</w:t>
            </w:r>
            <w:r w:rsidR="00DE3B1C">
              <w:rPr>
                <w:sz w:val="18"/>
              </w:rPr>
              <w:t xml:space="preserve"> </w:t>
            </w:r>
            <w:r>
              <w:rPr>
                <w:sz w:val="18"/>
              </w:rPr>
              <w:t>19 del Acta</w:t>
            </w:r>
            <w:r w:rsidR="00DE3B1C">
              <w:rPr>
                <w:sz w:val="18"/>
              </w:rPr>
              <w:t xml:space="preserve"> </w:t>
            </w:r>
            <w:r>
              <w:rPr>
                <w:sz w:val="18"/>
              </w:rPr>
              <w:t>de</w:t>
            </w:r>
            <w:r w:rsidR="00DE3B1C">
              <w:rPr>
                <w:sz w:val="18"/>
              </w:rPr>
              <w:t xml:space="preserve"> </w:t>
            </w:r>
            <w:r>
              <w:rPr>
                <w:sz w:val="18"/>
              </w:rPr>
              <w:t>1991 y Artículo</w:t>
            </w:r>
            <w:r w:rsidR="00DE3B1C">
              <w:rPr>
                <w:sz w:val="18"/>
              </w:rPr>
              <w:t xml:space="preserve"> </w:t>
            </w:r>
            <w:r>
              <w:rPr>
                <w:sz w:val="18"/>
              </w:rPr>
              <w:t>8 del Acta de</w:t>
            </w:r>
            <w:r w:rsidR="00DE3B1C">
              <w:rPr>
                <w:sz w:val="18"/>
              </w:rPr>
              <w:t xml:space="preserve"> </w:t>
            </w:r>
            <w:r>
              <w:rPr>
                <w:sz w:val="18"/>
              </w:rPr>
              <w:t xml:space="preserve">1978) </w:t>
            </w:r>
            <w:r>
              <w:rPr>
                <w:strike/>
                <w:sz w:val="18"/>
                <w:highlight w:val="lightGray"/>
              </w:rPr>
              <w:t>se calcula</w:t>
            </w:r>
            <w:r>
              <w:rPr>
                <w:sz w:val="18"/>
              </w:rPr>
              <w:t xml:space="preserve"> </w:t>
            </w:r>
            <w:r>
              <w:rPr>
                <w:sz w:val="18"/>
                <w:highlight w:val="lightGray"/>
                <w:u w:val="single"/>
              </w:rPr>
              <w:t>comienza</w:t>
            </w:r>
            <w:r>
              <w:rPr>
                <w:sz w:val="18"/>
              </w:rPr>
              <w:t xml:space="preserve"> </w:t>
            </w:r>
            <w:r w:rsidRPr="00A95AA3">
              <w:rPr>
                <w:sz w:val="18"/>
              </w:rPr>
              <w:t>a partir de</w:t>
            </w:r>
            <w:r>
              <w:rPr>
                <w:sz w:val="18"/>
              </w:rPr>
              <w:t xml:space="preserve"> la fecha de concesión del derecho de obtentor.</w:t>
            </w:r>
            <w:r w:rsidR="003E20B4">
              <w:rPr>
                <w:sz w:val="18"/>
              </w:rPr>
              <w:t xml:space="preserve"> </w:t>
            </w:r>
            <w:r>
              <w:rPr>
                <w:sz w:val="18"/>
              </w:rPr>
              <w:t>En el Acta de</w:t>
            </w:r>
            <w:r w:rsidR="00DE3B1C">
              <w:rPr>
                <w:sz w:val="18"/>
              </w:rPr>
              <w:t xml:space="preserve"> </w:t>
            </w:r>
            <w:r>
              <w:rPr>
                <w:sz w:val="18"/>
              </w:rPr>
              <w:t>1991 del Convenio de la UPOV se estipula que el obtentor gozará de protección provisional en el período comprendido entre la presentación</w:t>
            </w:r>
            <w:r>
              <w:rPr>
                <w:sz w:val="18"/>
                <w:vertAlign w:val="superscript"/>
              </w:rPr>
              <w:t>1</w:t>
            </w:r>
            <w:r>
              <w:rPr>
                <w:sz w:val="18"/>
              </w:rPr>
              <w:t xml:space="preserve"> de la solicitud de concesión de un derecho de obtentor o su publicación y la concesión del derecho.</w:t>
            </w:r>
            <w:r>
              <w:rPr>
                <w:sz w:val="18"/>
                <w:vertAlign w:val="superscript"/>
              </w:rPr>
              <w:t>2</w:t>
            </w:r>
            <w:r>
              <w:rPr>
                <w:sz w:val="18"/>
              </w:rPr>
              <w:t xml:space="preserve"> </w:t>
            </w:r>
          </w:p>
          <w:p w14:paraId="2F6BCF31" w14:textId="77777777" w:rsidR="005B5E33" w:rsidRPr="005B5E33" w:rsidRDefault="005B5E33" w:rsidP="002913B2">
            <w:pPr>
              <w:rPr>
                <w:sz w:val="18"/>
              </w:rPr>
            </w:pPr>
          </w:p>
          <w:p w14:paraId="55F84FE2" w14:textId="1D4D9879" w:rsidR="005B5E33" w:rsidRPr="005B5E33" w:rsidRDefault="005B5E33" w:rsidP="002913B2">
            <w:pPr>
              <w:rPr>
                <w:sz w:val="18"/>
                <w:szCs w:val="18"/>
              </w:rPr>
            </w:pPr>
            <w:r>
              <w:rPr>
                <w:sz w:val="18"/>
                <w:highlight w:val="lightGray"/>
                <w:u w:val="single"/>
              </w:rPr>
              <w:t>“Conforme a este principio, el solicitante de protección para una obtención vegetal en una Parte Contratante gozará de protección provisional de</w:t>
            </w:r>
            <w:r w:rsidR="004B2544">
              <w:rPr>
                <w:sz w:val="18"/>
                <w:highlight w:val="lightGray"/>
                <w:u w:val="single"/>
              </w:rPr>
              <w:t>sde</w:t>
            </w:r>
            <w:r>
              <w:rPr>
                <w:sz w:val="18"/>
                <w:highlight w:val="lightGray"/>
                <w:u w:val="single"/>
              </w:rPr>
              <w:t xml:space="preserve"> la fecha en que presenta la solicitud o la ‘primera solicitud’ en caso de una reivindicación de prioridad en virtud de los respectivos artículos.</w:t>
            </w:r>
            <w:r w:rsidR="003E20B4">
              <w:rPr>
                <w:sz w:val="18"/>
                <w:highlight w:val="lightGray"/>
                <w:u w:val="single"/>
              </w:rPr>
              <w:t xml:space="preserve"> </w:t>
            </w:r>
            <w:r>
              <w:rPr>
                <w:sz w:val="18"/>
                <w:highlight w:val="lightGray"/>
                <w:u w:val="single"/>
              </w:rPr>
              <w:t>La protección provisional y la responsabilidad, incluida la compensación y los daños y perjuicios, por la utilización no autorizada se consideran a partir de la fecha de presentación o la fecha de prioridad, en su caso, de la solicitud de protección de la obtención vegetal”.</w:t>
            </w:r>
          </w:p>
          <w:p w14:paraId="321D7D13" w14:textId="77777777" w:rsidR="005B5E33" w:rsidRPr="005B5E33" w:rsidRDefault="005B5E33" w:rsidP="002913B2">
            <w:pPr>
              <w:ind w:left="1148" w:hanging="630"/>
              <w:rPr>
                <w:sz w:val="8"/>
              </w:rPr>
            </w:pPr>
          </w:p>
        </w:tc>
      </w:tr>
    </w:tbl>
    <w:p w14:paraId="24408AA4" w14:textId="77777777" w:rsidR="005B5E33" w:rsidRPr="005B5E33" w:rsidRDefault="005B5E33" w:rsidP="005B5E33"/>
    <w:p w14:paraId="5B136B60" w14:textId="77777777" w:rsidR="005B5E33" w:rsidRPr="005B5E33" w:rsidRDefault="005B5E33" w:rsidP="005B5E33">
      <w:pPr>
        <w:pStyle w:val="Style1"/>
        <w:tabs>
          <w:tab w:val="clear" w:pos="907"/>
          <w:tab w:val="clear" w:pos="1077"/>
          <w:tab w:val="left" w:pos="0"/>
        </w:tabs>
        <w:rPr>
          <w:lang w:val="es-ES_tradnl"/>
        </w:rPr>
      </w:pPr>
    </w:p>
    <w:p w14:paraId="130B2BC0" w14:textId="1D1A50B0" w:rsidR="005B5E33" w:rsidRPr="005B5E33" w:rsidRDefault="005B5E33" w:rsidP="005B5E33">
      <w:pPr>
        <w:pStyle w:val="Style1"/>
        <w:tabs>
          <w:tab w:val="clear" w:pos="907"/>
          <w:tab w:val="clear" w:pos="1077"/>
          <w:tab w:val="decimal" w:pos="0"/>
        </w:tabs>
      </w:pPr>
      <w:r w:rsidRPr="005B5E33">
        <w:fldChar w:fldCharType="begin"/>
      </w:r>
      <w:r w:rsidRPr="005B5E33">
        <w:instrText xml:space="preserve"> AUTONUM  </w:instrText>
      </w:r>
      <w:r w:rsidRPr="005B5E33">
        <w:fldChar w:fldCharType="end"/>
      </w:r>
      <w:r>
        <w:tab/>
        <w:t>Los miembros de la Unión tienen la facultad de estipular en su legislación que las medidas de protección provisional (véa</w:t>
      </w:r>
      <w:r w:rsidR="0039461E">
        <w:t>n</w:t>
      </w:r>
      <w:r>
        <w:t xml:space="preserve">se, </w:t>
      </w:r>
      <w:r>
        <w:rPr>
          <w:i/>
          <w:iCs/>
        </w:rPr>
        <w:t>infra</w:t>
      </w:r>
      <w:r>
        <w:t>, las notas en materia de “medidas”) solo surtan efecto respecto de las personas a las que el obtentor haya notificado la presentación de la solicitud.</w:t>
      </w:r>
      <w:r w:rsidR="003E20B4">
        <w:t xml:space="preserve"> </w:t>
      </w:r>
      <w:r>
        <w:t>Cabe considerar que el requisito de notificación ha sido cumplido en relación con todas las personas en los casos en los que en la legislación se estipule que la fecha de protección provisional comenzará en el momento de la publicación, por cuanto por lo general se considera que la publicación equivale a notificación de terceros.</w:t>
      </w:r>
    </w:p>
    <w:p w14:paraId="2E9A317A" w14:textId="77777777" w:rsidR="005B5E33" w:rsidRPr="005B5E33" w:rsidRDefault="005B5E33" w:rsidP="005B5E33"/>
    <w:tbl>
      <w:tblPr>
        <w:tblStyle w:val="TableGrid"/>
        <w:tblW w:w="0" w:type="auto"/>
        <w:tblLook w:val="04A0" w:firstRow="1" w:lastRow="0" w:firstColumn="1" w:lastColumn="0" w:noHBand="0" w:noVBand="1"/>
      </w:tblPr>
      <w:tblGrid>
        <w:gridCol w:w="9629"/>
      </w:tblGrid>
      <w:tr w:rsidR="005B5E33" w:rsidRPr="005B5E33" w14:paraId="44EC6279" w14:textId="77777777" w:rsidTr="002913B2">
        <w:tc>
          <w:tcPr>
            <w:tcW w:w="9629" w:type="dxa"/>
            <w:shd w:val="clear" w:color="auto" w:fill="F2F2F2" w:themeFill="background1" w:themeFillShade="F2"/>
          </w:tcPr>
          <w:p w14:paraId="6C68EF28" w14:textId="77777777" w:rsidR="005B5E33" w:rsidRPr="005B5E33" w:rsidRDefault="005B5E33" w:rsidP="002913B2">
            <w:pPr>
              <w:rPr>
                <w:sz w:val="10"/>
                <w:szCs w:val="10"/>
              </w:rPr>
            </w:pPr>
          </w:p>
          <w:p w14:paraId="10ABC992" w14:textId="61285499" w:rsidR="005B5E33" w:rsidRPr="005B5E33" w:rsidRDefault="005B5E33" w:rsidP="002913B2">
            <w:pPr>
              <w:rPr>
                <w:sz w:val="18"/>
                <w:szCs w:val="18"/>
              </w:rPr>
            </w:pPr>
            <w:r>
              <w:rPr>
                <w:sz w:val="18"/>
                <w:u w:val="single"/>
              </w:rPr>
              <w:t>Propuestas de la</w:t>
            </w:r>
            <w:r w:rsidR="00DE3B1C">
              <w:rPr>
                <w:sz w:val="18"/>
                <w:u w:val="single"/>
              </w:rPr>
              <w:t xml:space="preserve"> </w:t>
            </w:r>
            <w:r>
              <w:rPr>
                <w:sz w:val="18"/>
                <w:u w:val="single"/>
              </w:rPr>
              <w:t xml:space="preserve">ISF, la CIOPORA, </w:t>
            </w:r>
            <w:proofErr w:type="spellStart"/>
            <w:r>
              <w:rPr>
                <w:i/>
                <w:iCs/>
                <w:sz w:val="18"/>
                <w:u w:val="single"/>
              </w:rPr>
              <w:t>CropLife</w:t>
            </w:r>
            <w:proofErr w:type="spellEnd"/>
            <w:r>
              <w:rPr>
                <w:i/>
                <w:iCs/>
                <w:sz w:val="18"/>
                <w:u w:val="single"/>
              </w:rPr>
              <w:t xml:space="preserve"> International</w:t>
            </w:r>
            <w:r>
              <w:rPr>
                <w:sz w:val="18"/>
                <w:u w:val="single"/>
              </w:rPr>
              <w:t xml:space="preserve">, </w:t>
            </w:r>
            <w:proofErr w:type="spellStart"/>
            <w:r w:rsidRPr="00C979BB">
              <w:rPr>
                <w:i/>
                <w:sz w:val="18"/>
                <w:u w:val="single"/>
              </w:rPr>
              <w:t>Euroseeds</w:t>
            </w:r>
            <w:proofErr w:type="spellEnd"/>
            <w:r>
              <w:rPr>
                <w:sz w:val="18"/>
                <w:u w:val="single"/>
              </w:rPr>
              <w:t>, la APSA, la AFSTA y la</w:t>
            </w:r>
            <w:r w:rsidR="00DE3B1C">
              <w:rPr>
                <w:sz w:val="18"/>
                <w:u w:val="single"/>
              </w:rPr>
              <w:t xml:space="preserve"> </w:t>
            </w:r>
            <w:r>
              <w:rPr>
                <w:sz w:val="18"/>
                <w:u w:val="single"/>
              </w:rPr>
              <w:t>SAA</w:t>
            </w:r>
            <w:r w:rsidRPr="005B5E33">
              <w:rPr>
                <w:rStyle w:val="EndnoteReference"/>
                <w:b/>
              </w:rPr>
              <w:endnoteReference w:id="4"/>
            </w:r>
          </w:p>
          <w:p w14:paraId="29609937" w14:textId="77777777" w:rsidR="005B5E33" w:rsidRPr="005B5E33" w:rsidRDefault="005B5E33" w:rsidP="002913B2">
            <w:pPr>
              <w:rPr>
                <w:sz w:val="16"/>
                <w:szCs w:val="16"/>
              </w:rPr>
            </w:pPr>
          </w:p>
          <w:p w14:paraId="79E2AF24" w14:textId="060E6977" w:rsidR="005B5E33" w:rsidRPr="005B5E33" w:rsidRDefault="005B5E33" w:rsidP="002913B2">
            <w:pPr>
              <w:rPr>
                <w:sz w:val="18"/>
              </w:rPr>
            </w:pPr>
            <w:r>
              <w:rPr>
                <w:sz w:val="18"/>
              </w:rPr>
              <w:t>En el párrafo</w:t>
            </w:r>
            <w:r w:rsidR="00DE3B1C">
              <w:rPr>
                <w:sz w:val="18"/>
              </w:rPr>
              <w:t xml:space="preserve"> </w:t>
            </w:r>
            <w:r>
              <w:rPr>
                <w:sz w:val="18"/>
              </w:rPr>
              <w:t>6 debe añadirse una frase, según se indica a continuación:</w:t>
            </w:r>
            <w:r w:rsidR="003E20B4">
              <w:rPr>
                <w:sz w:val="18"/>
              </w:rPr>
              <w:t xml:space="preserve"> </w:t>
            </w:r>
            <w:r>
              <w:rPr>
                <w:sz w:val="18"/>
              </w:rPr>
              <w:t>“Los miembros de la Unión tienen la facultad de (…).</w:t>
            </w:r>
          </w:p>
          <w:p w14:paraId="0865E1F5" w14:textId="77777777" w:rsidR="005B5E33" w:rsidRPr="005B5E33" w:rsidRDefault="005B5E33" w:rsidP="002913B2">
            <w:pPr>
              <w:rPr>
                <w:sz w:val="18"/>
              </w:rPr>
            </w:pPr>
          </w:p>
          <w:p w14:paraId="479A1A71" w14:textId="3D6BD913" w:rsidR="005B5E33" w:rsidRPr="005B5E33" w:rsidRDefault="005B5E33" w:rsidP="002913B2">
            <w:pPr>
              <w:rPr>
                <w:sz w:val="18"/>
                <w:szCs w:val="18"/>
              </w:rPr>
            </w:pPr>
            <w:r>
              <w:rPr>
                <w:sz w:val="18"/>
                <w:highlight w:val="lightGray"/>
                <w:u w:val="single"/>
              </w:rPr>
              <w:t>Se considera publicación de una protección de obtención vegetal la realizada de una solicitud de obtención vegetal en un boletín o gaceta oficial, ya sea en soporte material o electrónico.</w:t>
            </w:r>
            <w:r>
              <w:rPr>
                <w:sz w:val="18"/>
              </w:rPr>
              <w:t>”</w:t>
            </w:r>
          </w:p>
          <w:p w14:paraId="7DF541DB" w14:textId="77777777" w:rsidR="005B5E33" w:rsidRPr="005B5E33" w:rsidRDefault="005B5E33" w:rsidP="002913B2">
            <w:pPr>
              <w:ind w:left="1148" w:hanging="630"/>
              <w:rPr>
                <w:sz w:val="8"/>
              </w:rPr>
            </w:pPr>
          </w:p>
        </w:tc>
      </w:tr>
    </w:tbl>
    <w:p w14:paraId="3B8A95CC" w14:textId="77777777" w:rsidR="005B5E33" w:rsidRPr="005B5E33" w:rsidRDefault="005B5E33" w:rsidP="005B5E33"/>
    <w:p w14:paraId="4EA184C8" w14:textId="77777777" w:rsidR="005B5E33" w:rsidRPr="005B5E33" w:rsidRDefault="005B5E33" w:rsidP="005B5E33"/>
    <w:p w14:paraId="03E09910" w14:textId="77777777" w:rsidR="0039461E" w:rsidRDefault="0039461E">
      <w:pPr>
        <w:jc w:val="left"/>
        <w:rPr>
          <w:i/>
          <w:szCs w:val="24"/>
          <w:lang w:eastAsia="ja-JP"/>
        </w:rPr>
      </w:pPr>
      <w:r>
        <w:rPr>
          <w:i/>
        </w:rPr>
        <w:br w:type="page"/>
      </w:r>
    </w:p>
    <w:p w14:paraId="256FC60C" w14:textId="6D7385CA" w:rsidR="005B5E33" w:rsidRPr="005B5E33" w:rsidRDefault="005B5E33" w:rsidP="005B5E33">
      <w:pPr>
        <w:pStyle w:val="Style1"/>
        <w:keepNext/>
        <w:rPr>
          <w:i/>
        </w:rPr>
      </w:pPr>
      <w:r>
        <w:rPr>
          <w:i/>
        </w:rPr>
        <w:lastRenderedPageBreak/>
        <w:t>Medidas</w:t>
      </w:r>
    </w:p>
    <w:p w14:paraId="4C0D8896" w14:textId="77777777" w:rsidR="005B5E33" w:rsidRPr="005B5E33" w:rsidRDefault="005B5E33" w:rsidP="005B5E33">
      <w:pPr>
        <w:pStyle w:val="Style1"/>
        <w:keepNext/>
        <w:rPr>
          <w:i/>
          <w:lang w:val="es-ES_tradnl"/>
        </w:rPr>
      </w:pPr>
    </w:p>
    <w:p w14:paraId="3E3DAE3F" w14:textId="37E8FA13" w:rsidR="005B5E33" w:rsidRPr="005B5E33" w:rsidRDefault="005B5E33" w:rsidP="005B5E33">
      <w:pPr>
        <w:pStyle w:val="Style1"/>
        <w:keepNext/>
        <w:pBdr>
          <w:top w:val="single" w:sz="4" w:space="6" w:color="auto"/>
          <w:left w:val="single" w:sz="4" w:space="4" w:color="auto"/>
          <w:bottom w:val="single" w:sz="4" w:space="6" w:color="auto"/>
          <w:right w:val="single" w:sz="4" w:space="4" w:color="auto"/>
        </w:pBdr>
        <w:shd w:val="clear" w:color="auto" w:fill="E6E6E6"/>
        <w:rPr>
          <w:b/>
        </w:rPr>
      </w:pPr>
      <w:r>
        <w:rPr>
          <w:b/>
        </w:rPr>
        <w:t>Como mínimo, esas medidas tendrán por efecto que el titular de un derecho de obtentor tenga derecho a una remuneración equitativa percibida de quien, en el intervalo mencionado, haya realizado actos que, después de la concesión del derecho, requieran la autorización del obtentor de conformidad con lo dispuesto en el Artículo</w:t>
      </w:r>
      <w:r w:rsidR="00DE3B1C">
        <w:rPr>
          <w:b/>
        </w:rPr>
        <w:t xml:space="preserve"> </w:t>
      </w:r>
      <w:r>
        <w:rPr>
          <w:b/>
        </w:rPr>
        <w:t>14.</w:t>
      </w:r>
      <w:r w:rsidR="003E20B4">
        <w:rPr>
          <w:b/>
        </w:rPr>
        <w:t xml:space="preserve"> </w:t>
      </w:r>
    </w:p>
    <w:p w14:paraId="5F5272DD" w14:textId="77777777" w:rsidR="005B5E33" w:rsidRPr="005B5E33" w:rsidRDefault="005B5E33" w:rsidP="005B5E33">
      <w:pPr>
        <w:pStyle w:val="Style1"/>
        <w:keepNext/>
        <w:rPr>
          <w:lang w:val="es-ES_tradnl"/>
        </w:rPr>
      </w:pPr>
    </w:p>
    <w:p w14:paraId="790D692A" w14:textId="3D657564" w:rsidR="005B5E33" w:rsidRPr="005B5E33" w:rsidRDefault="005B5E33" w:rsidP="005B5E33">
      <w:pPr>
        <w:keepLines/>
        <w:tabs>
          <w:tab w:val="decimal" w:pos="0"/>
        </w:tabs>
      </w:pPr>
      <w:r w:rsidRPr="005B5E33">
        <w:fldChar w:fldCharType="begin"/>
      </w:r>
      <w:r w:rsidRPr="005B5E33">
        <w:instrText xml:space="preserve"> AUTONUM  </w:instrText>
      </w:r>
      <w:r w:rsidRPr="005B5E33">
        <w:fldChar w:fldCharType="end"/>
      </w:r>
      <w:r>
        <w:tab/>
        <w:t>En el Artículo</w:t>
      </w:r>
      <w:r w:rsidR="00DE3B1C">
        <w:t xml:space="preserve"> </w:t>
      </w:r>
      <w:r>
        <w:t>13 del Acta de</w:t>
      </w:r>
      <w:r w:rsidR="00DE3B1C">
        <w:t xml:space="preserve"> </w:t>
      </w:r>
      <w:r>
        <w:t>1991 del Convenio de la UPOV se estipula que los miembros de la Unión vinculados por el Acta de</w:t>
      </w:r>
      <w:r w:rsidR="00DE3B1C">
        <w:t xml:space="preserve"> </w:t>
      </w:r>
      <w:r>
        <w:t>1991 adoptarán medidas destinadas a salvaguardar los intereses del obtentor durante el período comprendido entre la presentación de la solicitud de concesión de un derecho de obtentor o su publicación y la concesión del derecho.</w:t>
      </w:r>
      <w:r w:rsidR="003E20B4">
        <w:t xml:space="preserve"> </w:t>
      </w:r>
      <w:r>
        <w:t>“Como mínimo” esas medidas tienen por efecto que el titular del derecho de obtentor tenga derecho a una remuneración equitativa percibida de quien, durante el intervalo mencionado, realice actos que, después de la concesión del derecho, requieran la autorización del obtentor de conformidad con lo dispuesto en el Artículo</w:t>
      </w:r>
      <w:r w:rsidR="00DE3B1C">
        <w:t xml:space="preserve"> </w:t>
      </w:r>
      <w:r>
        <w:t>14 del Acta de</w:t>
      </w:r>
      <w:r w:rsidR="00DE3B1C">
        <w:t xml:space="preserve"> </w:t>
      </w:r>
      <w:r>
        <w:t>1991 del Convenio de la</w:t>
      </w:r>
      <w:r w:rsidR="00DE3B1C">
        <w:t xml:space="preserve"> </w:t>
      </w:r>
      <w:r>
        <w:t>UPOV.</w:t>
      </w:r>
    </w:p>
    <w:p w14:paraId="12886B25" w14:textId="77777777" w:rsidR="005B5E33" w:rsidRPr="005B5E33" w:rsidRDefault="005B5E33" w:rsidP="005B5E33"/>
    <w:p w14:paraId="168319B9" w14:textId="77777777" w:rsidR="005B5E33" w:rsidRPr="005B5E33" w:rsidRDefault="005B5E33" w:rsidP="005B5E33">
      <w:pPr>
        <w:tabs>
          <w:tab w:val="left" w:pos="0"/>
        </w:tabs>
      </w:pPr>
      <w:r w:rsidRPr="005B5E33">
        <w:fldChar w:fldCharType="begin"/>
      </w:r>
      <w:r w:rsidRPr="005B5E33">
        <w:instrText xml:space="preserve"> AUTONUM  </w:instrText>
      </w:r>
      <w:r w:rsidRPr="005B5E33">
        <w:fldChar w:fldCharType="end"/>
      </w:r>
      <w:r>
        <w:tab/>
        <w:t>Con la utilización de la locución “como mínimo” se aclara que es posible, por ejemplo, que en las disposiciones sobre protección provisional de la ley sobre el derecho de obtentor se otorgue al titular del derecho de obtentor todo el alcance del derecho de obtentor.</w:t>
      </w:r>
    </w:p>
    <w:p w14:paraId="3E7E9949" w14:textId="77777777" w:rsidR="005B5E33" w:rsidRPr="005B5E33" w:rsidRDefault="005B5E33" w:rsidP="005B5E33"/>
    <w:tbl>
      <w:tblPr>
        <w:tblStyle w:val="TableGrid"/>
        <w:tblW w:w="0" w:type="auto"/>
        <w:tblLook w:val="04A0" w:firstRow="1" w:lastRow="0" w:firstColumn="1" w:lastColumn="0" w:noHBand="0" w:noVBand="1"/>
      </w:tblPr>
      <w:tblGrid>
        <w:gridCol w:w="9629"/>
      </w:tblGrid>
      <w:tr w:rsidR="005B5E33" w:rsidRPr="005B5E33" w14:paraId="68B61D8C" w14:textId="77777777" w:rsidTr="002913B2">
        <w:tc>
          <w:tcPr>
            <w:tcW w:w="9629" w:type="dxa"/>
            <w:shd w:val="clear" w:color="auto" w:fill="F2F2F2" w:themeFill="background1" w:themeFillShade="F2"/>
          </w:tcPr>
          <w:p w14:paraId="19CB5F83" w14:textId="77777777" w:rsidR="005B5E33" w:rsidRPr="005B5E33" w:rsidRDefault="005B5E33" w:rsidP="002913B2">
            <w:pPr>
              <w:rPr>
                <w:sz w:val="10"/>
                <w:szCs w:val="10"/>
              </w:rPr>
            </w:pPr>
          </w:p>
          <w:p w14:paraId="2A1BDDD6" w14:textId="1308BE01" w:rsidR="005B5E33" w:rsidRPr="005B5E33" w:rsidRDefault="005B5E33" w:rsidP="002913B2">
            <w:pPr>
              <w:rPr>
                <w:sz w:val="18"/>
                <w:szCs w:val="18"/>
              </w:rPr>
            </w:pPr>
            <w:r>
              <w:rPr>
                <w:sz w:val="18"/>
                <w:u w:val="single"/>
              </w:rPr>
              <w:t>Propuestas de la</w:t>
            </w:r>
            <w:r w:rsidR="00DE3B1C">
              <w:rPr>
                <w:sz w:val="18"/>
                <w:u w:val="single"/>
              </w:rPr>
              <w:t xml:space="preserve"> </w:t>
            </w:r>
            <w:r>
              <w:rPr>
                <w:sz w:val="18"/>
                <w:u w:val="single"/>
              </w:rPr>
              <w:t xml:space="preserve">ISF, la CIOPORA, </w:t>
            </w:r>
            <w:proofErr w:type="spellStart"/>
            <w:r>
              <w:rPr>
                <w:i/>
                <w:iCs/>
                <w:sz w:val="18"/>
                <w:u w:val="single"/>
              </w:rPr>
              <w:t>CropLife</w:t>
            </w:r>
            <w:proofErr w:type="spellEnd"/>
            <w:r>
              <w:rPr>
                <w:i/>
                <w:iCs/>
                <w:sz w:val="18"/>
                <w:u w:val="single"/>
              </w:rPr>
              <w:t xml:space="preserve"> International</w:t>
            </w:r>
            <w:r>
              <w:rPr>
                <w:sz w:val="18"/>
                <w:u w:val="single"/>
              </w:rPr>
              <w:t xml:space="preserve">, </w:t>
            </w:r>
            <w:proofErr w:type="spellStart"/>
            <w:r w:rsidRPr="00C979BB">
              <w:rPr>
                <w:i/>
                <w:sz w:val="18"/>
                <w:u w:val="single"/>
              </w:rPr>
              <w:t>Euroseeds</w:t>
            </w:r>
            <w:proofErr w:type="spellEnd"/>
            <w:r>
              <w:rPr>
                <w:sz w:val="18"/>
                <w:u w:val="single"/>
              </w:rPr>
              <w:t>, la APSA, la AFSTA y la</w:t>
            </w:r>
            <w:r w:rsidR="00DE3B1C">
              <w:rPr>
                <w:sz w:val="18"/>
                <w:u w:val="single"/>
              </w:rPr>
              <w:t xml:space="preserve"> </w:t>
            </w:r>
            <w:r>
              <w:rPr>
                <w:sz w:val="18"/>
                <w:u w:val="single"/>
              </w:rPr>
              <w:t>SAA</w:t>
            </w:r>
            <w:r w:rsidRPr="005B5E33">
              <w:rPr>
                <w:rStyle w:val="EndnoteReference"/>
                <w:b/>
              </w:rPr>
              <w:endnoteReference w:id="5"/>
            </w:r>
          </w:p>
          <w:p w14:paraId="0A1A2BE5" w14:textId="77777777" w:rsidR="005B5E33" w:rsidRPr="005B5E33" w:rsidRDefault="005B5E33" w:rsidP="002913B2">
            <w:pPr>
              <w:rPr>
                <w:sz w:val="16"/>
                <w:szCs w:val="16"/>
              </w:rPr>
            </w:pPr>
          </w:p>
          <w:p w14:paraId="291298CE" w14:textId="0348F692" w:rsidR="005B5E33" w:rsidRPr="005B5E33" w:rsidRDefault="005B5E33" w:rsidP="002913B2">
            <w:pPr>
              <w:rPr>
                <w:sz w:val="18"/>
                <w:u w:val="single"/>
              </w:rPr>
            </w:pPr>
            <w:r>
              <w:rPr>
                <w:sz w:val="18"/>
              </w:rPr>
              <w:t>El párrafo 8 debe modificarse de la siguiente manera:</w:t>
            </w:r>
            <w:r w:rsidR="003E20B4">
              <w:rPr>
                <w:sz w:val="18"/>
              </w:rPr>
              <w:t xml:space="preserve"> </w:t>
            </w:r>
            <w:r>
              <w:rPr>
                <w:sz w:val="18"/>
              </w:rPr>
              <w:t xml:space="preserve">“Con la utilización de la </w:t>
            </w:r>
            <w:r>
              <w:rPr>
                <w:strike/>
                <w:sz w:val="18"/>
                <w:highlight w:val="lightGray"/>
              </w:rPr>
              <w:t>locución “como mínimo” se aclara que es posible, por ejemplo, que en las disposiciones</w:t>
            </w:r>
            <w:r>
              <w:rPr>
                <w:sz w:val="18"/>
              </w:rPr>
              <w:t xml:space="preserve"> </w:t>
            </w:r>
            <w:r>
              <w:rPr>
                <w:sz w:val="18"/>
                <w:highlight w:val="lightGray"/>
                <w:u w:val="single"/>
              </w:rPr>
              <w:t>expresión ‘</w:t>
            </w:r>
            <w:r>
              <w:rPr>
                <w:sz w:val="18"/>
              </w:rPr>
              <w:t>sobre protección provisional</w:t>
            </w:r>
            <w:r>
              <w:rPr>
                <w:sz w:val="18"/>
                <w:highlight w:val="lightGray"/>
                <w:u w:val="single"/>
              </w:rPr>
              <w:t>’ se pretende otorgar al obtentor protección durante</w:t>
            </w:r>
            <w:r>
              <w:rPr>
                <w:sz w:val="18"/>
              </w:rPr>
              <w:t xml:space="preserve"> </w:t>
            </w:r>
            <w:r>
              <w:rPr>
                <w:strike/>
                <w:sz w:val="18"/>
                <w:highlight w:val="lightGray"/>
              </w:rPr>
              <w:t>de la ley sobre el derecho de obtentor se otorgue al titular</w:t>
            </w:r>
            <w:r w:rsidR="003E20B4" w:rsidRPr="0039461E">
              <w:rPr>
                <w:sz w:val="18"/>
              </w:rPr>
              <w:t xml:space="preserve"> </w:t>
            </w:r>
            <w:r>
              <w:rPr>
                <w:sz w:val="18"/>
                <w:highlight w:val="lightGray"/>
                <w:u w:val="single"/>
              </w:rPr>
              <w:t xml:space="preserve">el período comprendido entre la </w:t>
            </w:r>
            <w:r w:rsidR="00700C50" w:rsidRPr="00700C50">
              <w:rPr>
                <w:sz w:val="18"/>
                <w:highlight w:val="lightGray"/>
                <w:u w:val="single"/>
              </w:rPr>
              <w:t xml:space="preserve">presentación </w:t>
            </w:r>
            <w:r w:rsidR="00700C50" w:rsidRPr="00700C50">
              <w:rPr>
                <w:sz w:val="18"/>
                <w:highlight w:val="lightGray"/>
                <w:u w:val="single"/>
              </w:rPr>
              <w:t xml:space="preserve">de la solicitud o </w:t>
            </w:r>
            <w:r w:rsidR="00700C50">
              <w:rPr>
                <w:sz w:val="18"/>
                <w:highlight w:val="lightGray"/>
                <w:u w:val="single"/>
              </w:rPr>
              <w:t>su</w:t>
            </w:r>
            <w:r w:rsidR="00700C50">
              <w:rPr>
                <w:sz w:val="18"/>
                <w:highlight w:val="lightGray"/>
                <w:u w:val="single"/>
              </w:rPr>
              <w:t xml:space="preserve"> </w:t>
            </w:r>
            <w:r w:rsidR="00700C50" w:rsidRPr="00700C50">
              <w:rPr>
                <w:sz w:val="18"/>
                <w:highlight w:val="lightGray"/>
                <w:u w:val="single"/>
              </w:rPr>
              <w:t xml:space="preserve">publicación </w:t>
            </w:r>
            <w:r>
              <w:rPr>
                <w:sz w:val="18"/>
                <w:highlight w:val="lightGray"/>
                <w:u w:val="single"/>
              </w:rPr>
              <w:t>y la concesión</w:t>
            </w:r>
            <w:r>
              <w:rPr>
                <w:sz w:val="18"/>
              </w:rPr>
              <w:t xml:space="preserve"> del derecho de obtentor. </w:t>
            </w:r>
            <w:r>
              <w:rPr>
                <w:strike/>
                <w:sz w:val="18"/>
                <w:highlight w:val="lightGray"/>
              </w:rPr>
              <w:t>todo el alcance del derecho de obtentor.</w:t>
            </w:r>
            <w:r w:rsidR="003E20B4">
              <w:rPr>
                <w:sz w:val="18"/>
              </w:rPr>
              <w:t xml:space="preserve"> </w:t>
            </w:r>
            <w:r>
              <w:rPr>
                <w:sz w:val="18"/>
                <w:highlight w:val="lightGray"/>
                <w:u w:val="single"/>
              </w:rPr>
              <w:t>El empleo de la expresión ‘como mínimo’ deja claro que los miembros de la Unión pueden otorgar protección plena ya durante dicho período.</w:t>
            </w:r>
            <w:r>
              <w:rPr>
                <w:sz w:val="18"/>
                <w:u w:val="single"/>
              </w:rPr>
              <w:t xml:space="preserve"> </w:t>
            </w:r>
          </w:p>
          <w:p w14:paraId="497CDB8C" w14:textId="77777777" w:rsidR="005B5E33" w:rsidRPr="005B5E33" w:rsidRDefault="005B5E33" w:rsidP="002913B2">
            <w:pPr>
              <w:rPr>
                <w:sz w:val="18"/>
                <w:u w:val="single"/>
              </w:rPr>
            </w:pPr>
          </w:p>
          <w:p w14:paraId="55FF52FD" w14:textId="6A32A2F9" w:rsidR="005B5E33" w:rsidRPr="005B5E33" w:rsidRDefault="005B5E33" w:rsidP="002913B2">
            <w:pPr>
              <w:rPr>
                <w:sz w:val="18"/>
                <w:highlight w:val="lightGray"/>
                <w:u w:val="single"/>
              </w:rPr>
            </w:pPr>
            <w:r>
              <w:rPr>
                <w:sz w:val="18"/>
                <w:highlight w:val="lightGray"/>
                <w:u w:val="single"/>
              </w:rPr>
              <w:t>La protección plena durante el período de ‘protección provisional’ es un incentivo fundamental para que los obtentores pongan rápidamente sus variedades más recientes a disposición del mercado.</w:t>
            </w:r>
            <w:r w:rsidR="003E20B4">
              <w:rPr>
                <w:sz w:val="18"/>
                <w:highlight w:val="lightGray"/>
                <w:u w:val="single"/>
              </w:rPr>
              <w:t xml:space="preserve"> </w:t>
            </w:r>
            <w:r>
              <w:rPr>
                <w:sz w:val="18"/>
                <w:highlight w:val="lightGray"/>
                <w:u w:val="single"/>
              </w:rPr>
              <w:t xml:space="preserve">La puesta a disposición de las nuevas variedades </w:t>
            </w:r>
            <w:r w:rsidR="007551E5">
              <w:rPr>
                <w:sz w:val="18"/>
                <w:highlight w:val="lightGray"/>
                <w:u w:val="single"/>
              </w:rPr>
              <w:t>a</w:t>
            </w:r>
            <w:r w:rsidR="00E463F1">
              <w:rPr>
                <w:sz w:val="18"/>
                <w:highlight w:val="lightGray"/>
                <w:u w:val="single"/>
              </w:rPr>
              <w:t>daptada</w:t>
            </w:r>
            <w:r w:rsidR="007551E5">
              <w:rPr>
                <w:sz w:val="18"/>
                <w:highlight w:val="lightGray"/>
                <w:u w:val="single"/>
              </w:rPr>
              <w:t>s para</w:t>
            </w:r>
            <w:r>
              <w:rPr>
                <w:sz w:val="18"/>
                <w:highlight w:val="lightGray"/>
                <w:u w:val="single"/>
              </w:rPr>
              <w:t xml:space="preserve"> hacer frente a exigencias muy diversas, entre ellas la sostenibilidad, también beneficia a los productores, los consumidores y la sociedad en su conjunto.</w:t>
            </w:r>
          </w:p>
          <w:p w14:paraId="3F1F988A" w14:textId="77777777" w:rsidR="005B5E33" w:rsidRPr="005B5E33" w:rsidRDefault="005B5E33" w:rsidP="002913B2">
            <w:pPr>
              <w:rPr>
                <w:sz w:val="18"/>
                <w:highlight w:val="lightGray"/>
                <w:u w:val="single"/>
              </w:rPr>
            </w:pPr>
          </w:p>
          <w:p w14:paraId="3A2BBDCD" w14:textId="3C33408D" w:rsidR="005B5E33" w:rsidRPr="005B5E33" w:rsidRDefault="005B5E33" w:rsidP="002913B2">
            <w:pPr>
              <w:rPr>
                <w:sz w:val="18"/>
                <w:szCs w:val="18"/>
              </w:rPr>
            </w:pPr>
            <w:r>
              <w:rPr>
                <w:sz w:val="18"/>
                <w:highlight w:val="lightGray"/>
                <w:u w:val="single"/>
              </w:rPr>
              <w:t>Es</w:t>
            </w:r>
            <w:r w:rsidR="007551E5">
              <w:rPr>
                <w:sz w:val="18"/>
                <w:highlight w:val="lightGray"/>
                <w:u w:val="single"/>
              </w:rPr>
              <w:t>ta cuestión es</w:t>
            </w:r>
            <w:r>
              <w:rPr>
                <w:sz w:val="18"/>
                <w:highlight w:val="lightGray"/>
                <w:u w:val="single"/>
              </w:rPr>
              <w:t xml:space="preserve"> de especial importancia para las plantas plurianuales (como por ej</w:t>
            </w:r>
            <w:r w:rsidR="00255724">
              <w:rPr>
                <w:sz w:val="18"/>
                <w:highlight w:val="lightGray"/>
                <w:u w:val="single"/>
              </w:rPr>
              <w:t>e</w:t>
            </w:r>
            <w:r>
              <w:rPr>
                <w:sz w:val="18"/>
                <w:highlight w:val="lightGray"/>
                <w:u w:val="single"/>
              </w:rPr>
              <w:t>mplo los árboles frutales) dado que el material de reproducción o de multiplicación vegetativa obtenido durante el período de protección provisional se sigue cultivando y dando un producto de la cosecha (frutos) durante muchos años en el transcurso del período de protección.</w:t>
            </w:r>
            <w:r w:rsidR="003E20B4">
              <w:rPr>
                <w:sz w:val="18"/>
                <w:highlight w:val="lightGray"/>
                <w:u w:val="single"/>
              </w:rPr>
              <w:t xml:space="preserve"> </w:t>
            </w:r>
            <w:r>
              <w:rPr>
                <w:sz w:val="18"/>
                <w:highlight w:val="lightGray"/>
                <w:u w:val="single"/>
              </w:rPr>
              <w:t>En el caso de las plantas anuales, una vez concedida la protección, el obtentor puede ejercer su derecho cada vez que un tercero obtiene o reproduce material de reproducción o de multiplicación.</w:t>
            </w:r>
            <w:r w:rsidR="003E20B4">
              <w:rPr>
                <w:sz w:val="18"/>
                <w:highlight w:val="lightGray"/>
                <w:u w:val="single"/>
              </w:rPr>
              <w:t xml:space="preserve"> </w:t>
            </w:r>
            <w:r>
              <w:rPr>
                <w:sz w:val="18"/>
                <w:highlight w:val="lightGray"/>
                <w:u w:val="single"/>
              </w:rPr>
              <w:t>En cambio, en el caso de las plantas perennes, tales como los árboles frutales, el obtentor no tiene ninguna posibilidad de ejercer su derecho respecto del material de reproducción o de multiplicación (ni del producto de la cosecha) si el agricultor planta o siembra y cultiva un material de reproducción o de multiplicación que se ha obtenido antes de concederse la protección (</w:t>
            </w:r>
            <w:r w:rsidR="009F4B0C">
              <w:rPr>
                <w:sz w:val="18"/>
                <w:highlight w:val="lightGray"/>
                <w:u w:val="single"/>
              </w:rPr>
              <w:t>durante el plazo</w:t>
            </w:r>
            <w:bookmarkStart w:id="4" w:name="_GoBack"/>
            <w:bookmarkEnd w:id="4"/>
            <w:r w:rsidR="009F4B0C">
              <w:rPr>
                <w:sz w:val="18"/>
                <w:highlight w:val="lightGray"/>
                <w:u w:val="single"/>
              </w:rPr>
              <w:t xml:space="preserve"> de protección provisional</w:t>
            </w:r>
            <w:r>
              <w:rPr>
                <w:sz w:val="18"/>
                <w:highlight w:val="lightGray"/>
                <w:u w:val="single"/>
              </w:rPr>
              <w:t>)</w:t>
            </w:r>
            <w:r>
              <w:rPr>
                <w:sz w:val="18"/>
                <w:highlight w:val="lightGray"/>
              </w:rPr>
              <w:t>.”</w:t>
            </w:r>
          </w:p>
          <w:p w14:paraId="3B1D28E1" w14:textId="77777777" w:rsidR="005B5E33" w:rsidRPr="005B5E33" w:rsidRDefault="005B5E33" w:rsidP="002913B2">
            <w:pPr>
              <w:ind w:left="1148" w:hanging="630"/>
              <w:rPr>
                <w:sz w:val="8"/>
              </w:rPr>
            </w:pPr>
          </w:p>
        </w:tc>
      </w:tr>
    </w:tbl>
    <w:p w14:paraId="2D986D96" w14:textId="77777777" w:rsidR="005B5E33" w:rsidRPr="005B5E33" w:rsidRDefault="005B5E33" w:rsidP="005B5E33"/>
    <w:p w14:paraId="4BB0D248" w14:textId="77777777" w:rsidR="005B5E33" w:rsidRPr="005B5E33" w:rsidRDefault="005B5E33" w:rsidP="005B5E33"/>
    <w:p w14:paraId="597FF63C" w14:textId="6D5112B7" w:rsidR="005B5E33" w:rsidRPr="005B5E33" w:rsidRDefault="005B5E33" w:rsidP="005B5E33">
      <w:r w:rsidRPr="005B5E33">
        <w:fldChar w:fldCharType="begin"/>
      </w:r>
      <w:r w:rsidRPr="005B5E33">
        <w:instrText xml:space="preserve"> AUTONUM  </w:instrText>
      </w:r>
      <w:r w:rsidRPr="005B5E33">
        <w:fldChar w:fldCharType="end"/>
      </w:r>
      <w:r>
        <w:tab/>
        <w:t>La protección provisional solo es válida en relación con los actos que exigirían autorización del obtentor “después de la concesión del derecho”.</w:t>
      </w:r>
      <w:r w:rsidR="003E20B4">
        <w:t xml:space="preserve"> </w:t>
      </w:r>
      <w:r>
        <w:t>El Convenio de la UPOV exige (véanse el Artículo</w:t>
      </w:r>
      <w:r w:rsidR="00DE3B1C">
        <w:t xml:space="preserve"> </w:t>
      </w:r>
      <w:r>
        <w:t xml:space="preserve">30.1)iii)) del </w:t>
      </w:r>
      <w:r w:rsidR="00DE3B1C">
        <w:t>Acta de 1991</w:t>
      </w:r>
      <w:r>
        <w:t xml:space="preserve"> y el Artículo 30.1)c) del Acta de 1978) que se informe al público por medio de la publicación regular de información relativa a las solicitudes de derechos de obtentor y a la concesión de dichos derechos, lo que comprende las retiradas y rechazos de solicitudes.</w:t>
      </w:r>
    </w:p>
    <w:p w14:paraId="1D165316" w14:textId="77777777" w:rsidR="005B5E33" w:rsidRPr="005B5E33" w:rsidRDefault="005B5E33" w:rsidP="005B5E33">
      <w:pPr>
        <w:rPr>
          <w:spacing w:val="-3"/>
        </w:rPr>
      </w:pPr>
    </w:p>
    <w:p w14:paraId="7C7E2D0F" w14:textId="617BB679" w:rsidR="005B5E33" w:rsidRPr="005B5E33" w:rsidRDefault="005B5E33" w:rsidP="005B5E33">
      <w:pPr>
        <w:spacing w:after="240"/>
        <w:rPr>
          <w:spacing w:val="-3"/>
        </w:rPr>
      </w:pPr>
      <w:r w:rsidRPr="005B5E33">
        <w:fldChar w:fldCharType="begin"/>
      </w:r>
      <w:r w:rsidRPr="005B5E33">
        <w:instrText xml:space="preserve"> AUTONUM  </w:instrText>
      </w:r>
      <w:r w:rsidRPr="005B5E33">
        <w:fldChar w:fldCharType="end"/>
      </w:r>
      <w:r>
        <w:tab/>
        <w:t xml:space="preserve">La posibilidad de suscribir acuerdos de licencia </w:t>
      </w:r>
      <w:r w:rsidRPr="00E463F1">
        <w:t>teniendo como fundamento</w:t>
      </w:r>
      <w:r>
        <w:t xml:space="preserve"> las solicitudes de derechos de obtentor o la de emprender acciones judiciales antes de la concesión de derechos de obtentor estará determinada por la legislación pertinente del miembro de la Unión en cuestión.</w:t>
      </w:r>
      <w:r w:rsidR="003E20B4">
        <w:t xml:space="preserve"> </w:t>
      </w:r>
      <w:r>
        <w:t xml:space="preserve">La legislación pertinente podrá contener, además de la legislación que rige los derechos de obtentor, otra legislación sobre asuntos sustantivos y de procedimiento (por ejemplo, la legislación civil, la legislación penal). </w:t>
      </w:r>
    </w:p>
    <w:p w14:paraId="0F938FE3" w14:textId="77777777" w:rsidR="005B5E33" w:rsidRPr="005B5E33" w:rsidRDefault="005B5E33" w:rsidP="005B5E33">
      <w:pPr>
        <w:rPr>
          <w:b/>
          <w:spacing w:val="-3"/>
        </w:rPr>
      </w:pPr>
      <w:r w:rsidRPr="005B5E33">
        <w:fldChar w:fldCharType="begin"/>
      </w:r>
      <w:r w:rsidRPr="005B5E33">
        <w:instrText xml:space="preserve"> AUTONUM  </w:instrText>
      </w:r>
      <w:r w:rsidRPr="005B5E33">
        <w:fldChar w:fldCharType="end"/>
      </w:r>
      <w:r>
        <w:tab/>
        <w:t>En los casos en que sea posible suscribir un acuerdo de licencia antes de la concesión de derechos de obtentor, los efectos que se producirán en las regalías abonadas si no se concede el derecho (por ejemplo, si el licenciatario ha de reembolsar o no las regalías pagadas anteriormente) podrán estar previstos en la legislación pertinente o ser acordados entre las partes de conformidad con el sistema legislativo.</w:t>
      </w:r>
    </w:p>
    <w:p w14:paraId="2B03BF9F" w14:textId="77777777" w:rsidR="005B5E33" w:rsidRPr="005B5E33" w:rsidRDefault="005B5E33" w:rsidP="005B5E33">
      <w:pPr>
        <w:rPr>
          <w:spacing w:val="-3"/>
        </w:rPr>
      </w:pPr>
    </w:p>
    <w:p w14:paraId="49DB0D87" w14:textId="3BFFCCD0" w:rsidR="005B5E33" w:rsidRPr="005B5E33" w:rsidRDefault="005B5E33" w:rsidP="005B5E33">
      <w:pPr>
        <w:rPr>
          <w:rFonts w:cs="Arial"/>
        </w:rPr>
      </w:pPr>
      <w:r w:rsidRPr="005B5E33">
        <w:fldChar w:fldCharType="begin"/>
      </w:r>
      <w:r w:rsidRPr="005B5E33">
        <w:instrText xml:space="preserve"> AUTONUM  </w:instrText>
      </w:r>
      <w:r w:rsidRPr="005B5E33">
        <w:fldChar w:fldCharType="end"/>
      </w:r>
      <w:r>
        <w:tab/>
        <w:t xml:space="preserve">En algunos miembros de la Unión, solo podrá entablarse una acción judicial respecto de la protección provisional después de que se haya concedido el derecho. En otros miembros de la Unión, es posible entablar </w:t>
      </w:r>
      <w:r>
        <w:lastRenderedPageBreak/>
        <w:t>acciones judiciales antes de la concesión del derecho de obtentor. En esos casos, la autoridad judicial competente podrá decidir que la compensación por daños y perjuicios durante el período de protección provisional solo podrá hacerse valer una vez que se haya concedido el derecho.</w:t>
      </w:r>
      <w:r w:rsidR="003E20B4">
        <w:t xml:space="preserve"> </w:t>
      </w:r>
      <w:r>
        <w:t>En dichos casos, la autoridad judicial podrá, por ejemplo, pedir a un tercero que transfiera el importe de la compensación por daños y perjuicios a una cuenta de depósito en custodia para efectuar el pago al obtentor cuando se conceda el derecho.</w:t>
      </w:r>
    </w:p>
    <w:p w14:paraId="73A2DAEB" w14:textId="77777777" w:rsidR="005B5E33" w:rsidRPr="005B5E33" w:rsidRDefault="005B5E33" w:rsidP="005B5E33">
      <w:pPr>
        <w:spacing w:line="360" w:lineRule="auto"/>
        <w:rPr>
          <w:rFonts w:cs="Arial"/>
        </w:rPr>
      </w:pPr>
    </w:p>
    <w:p w14:paraId="49B55245" w14:textId="77777777" w:rsidR="005B5E33" w:rsidRPr="005B5E33" w:rsidRDefault="005B5E33" w:rsidP="005B5E33">
      <w:pPr>
        <w:keepNext/>
        <w:rPr>
          <w:rFonts w:cs="Arial"/>
          <w:i/>
        </w:rPr>
      </w:pPr>
      <w:r>
        <w:rPr>
          <w:i/>
        </w:rPr>
        <w:t>Ejemplo de texto de disposición</w:t>
      </w:r>
    </w:p>
    <w:p w14:paraId="4C22064B" w14:textId="77777777" w:rsidR="005B5E33" w:rsidRPr="005B5E33" w:rsidRDefault="005B5E33" w:rsidP="005B5E33">
      <w:pPr>
        <w:keepNext/>
        <w:rPr>
          <w:rFonts w:cs="Arial"/>
        </w:rPr>
      </w:pPr>
    </w:p>
    <w:p w14:paraId="5058544B" w14:textId="77777777" w:rsidR="005B5E33" w:rsidRPr="005B5E33" w:rsidRDefault="005B5E33" w:rsidP="005B5E33">
      <w:pPr>
        <w:pStyle w:val="Style1"/>
        <w:tabs>
          <w:tab w:val="clear" w:pos="907"/>
          <w:tab w:val="clear" w:pos="1077"/>
          <w:tab w:val="left" w:pos="0"/>
        </w:tabs>
      </w:pPr>
      <w:r w:rsidRPr="005B5E33">
        <w:fldChar w:fldCharType="begin"/>
      </w:r>
      <w:r w:rsidRPr="005B5E33">
        <w:instrText xml:space="preserve"> AUTONUM  </w:instrText>
      </w:r>
      <w:r w:rsidRPr="005B5E33">
        <w:fldChar w:fldCharType="end"/>
      </w:r>
      <w:r>
        <w:tab/>
      </w:r>
      <w:r>
        <w:rPr>
          <w:snapToGrid w:val="0"/>
        </w:rPr>
        <w:t>El siguiente ejemplo de texto de disposición</w:t>
      </w:r>
      <w:r>
        <w:t xml:space="preserve"> tiene por finalidad prestar asistencia a los Estados/las organizaciones intergubernamentales que deseen incorporar a la respectiva legislación la disposición relativa a la protección provisional en sintonía con el Acta de 1991 del Convenio de la UPOV.</w:t>
      </w:r>
    </w:p>
    <w:p w14:paraId="67A6B469" w14:textId="77777777" w:rsidR="005B5E33" w:rsidRPr="005B5E33" w:rsidRDefault="005B5E33" w:rsidP="005B5E33">
      <w:pPr>
        <w:pStyle w:val="Style1"/>
        <w:tabs>
          <w:tab w:val="clear" w:pos="907"/>
          <w:tab w:val="clear" w:pos="1077"/>
          <w:tab w:val="left" w:pos="0"/>
        </w:tabs>
        <w:rPr>
          <w:lang w:val="es-ES_tradnl"/>
        </w:rPr>
      </w:pPr>
    </w:p>
    <w:p w14:paraId="016400F5" w14:textId="77777777" w:rsidR="005B5E33" w:rsidRPr="005B5E33" w:rsidRDefault="005B5E33" w:rsidP="005B5E33">
      <w:pPr>
        <w:pStyle w:val="Style1"/>
        <w:tabs>
          <w:tab w:val="clear" w:pos="907"/>
          <w:tab w:val="clear" w:pos="1077"/>
          <w:tab w:val="left" w:pos="0"/>
        </w:tabs>
        <w:rPr>
          <w:lang w:val="es-ES_tradnl"/>
        </w:rPr>
      </w:pPr>
    </w:p>
    <w:p w14:paraId="74855E30" w14:textId="77777777" w:rsidR="005B5E33" w:rsidRPr="005B5E33" w:rsidRDefault="005B5E33" w:rsidP="005B5E33">
      <w:pPr>
        <w:pStyle w:val="Inf61normalBold"/>
        <w:keepNext/>
        <w:jc w:val="center"/>
        <w:rPr>
          <w:rFonts w:ascii="Arial" w:hAnsi="Arial" w:cs="Arial"/>
          <w:sz w:val="18"/>
          <w:szCs w:val="18"/>
        </w:rPr>
      </w:pPr>
      <w:bookmarkStart w:id="5" w:name="_Toc225138767"/>
      <w:r>
        <w:rPr>
          <w:rFonts w:ascii="Arial" w:hAnsi="Arial"/>
          <w:sz w:val="18"/>
        </w:rPr>
        <w:t xml:space="preserve">Artículo </w:t>
      </w:r>
      <w:r>
        <w:rPr>
          <w:rFonts w:ascii="Arial" w:hAnsi="Arial"/>
          <w:sz w:val="18"/>
          <w:highlight w:val="yellow"/>
        </w:rPr>
        <w:t>[13]</w:t>
      </w:r>
      <w:r w:rsidRPr="005B5E33">
        <w:rPr>
          <w:rStyle w:val="FootnoteReference"/>
          <w:rFonts w:ascii="Arial" w:hAnsi="Arial" w:cs="Arial"/>
          <w:b w:val="0"/>
          <w:sz w:val="18"/>
          <w:szCs w:val="18"/>
          <w:highlight w:val="yellow"/>
          <w:lang w:val="es-ES_tradnl"/>
        </w:rPr>
        <w:footnoteReference w:id="4"/>
      </w:r>
    </w:p>
    <w:p w14:paraId="3B7B5791" w14:textId="77777777" w:rsidR="005B5E33" w:rsidRPr="005B5E33" w:rsidRDefault="005B5E33" w:rsidP="005B5E33">
      <w:pPr>
        <w:pStyle w:val="Inf61normalBold"/>
        <w:keepNext/>
        <w:jc w:val="center"/>
        <w:rPr>
          <w:rFonts w:ascii="Arial" w:hAnsi="Arial" w:cs="Arial"/>
          <w:sz w:val="18"/>
          <w:szCs w:val="18"/>
        </w:rPr>
      </w:pPr>
      <w:r>
        <w:rPr>
          <w:rFonts w:ascii="Arial" w:hAnsi="Arial"/>
          <w:sz w:val="18"/>
        </w:rPr>
        <w:t>Protección provisional</w:t>
      </w:r>
      <w:bookmarkEnd w:id="5"/>
    </w:p>
    <w:p w14:paraId="05DB2BEC" w14:textId="77777777" w:rsidR="005B5E33" w:rsidRPr="005B5E33" w:rsidRDefault="005B5E33" w:rsidP="005B5E33">
      <w:pPr>
        <w:pStyle w:val="Inf61normalBold"/>
        <w:keepNext/>
        <w:jc w:val="center"/>
        <w:rPr>
          <w:rFonts w:ascii="Arial" w:hAnsi="Arial" w:cs="Arial"/>
          <w:sz w:val="18"/>
          <w:szCs w:val="18"/>
          <w:lang w:val="es-ES_tradnl"/>
        </w:rPr>
      </w:pPr>
    </w:p>
    <w:p w14:paraId="4430B2D5" w14:textId="77777777" w:rsidR="005B5E33" w:rsidRPr="005B5E33" w:rsidRDefault="005B5E33" w:rsidP="005B5E33">
      <w:pPr>
        <w:pStyle w:val="inf61normal"/>
        <w:tabs>
          <w:tab w:val="clear" w:pos="426"/>
          <w:tab w:val="clear" w:pos="992"/>
        </w:tabs>
        <w:ind w:left="567" w:right="566"/>
        <w:rPr>
          <w:rFonts w:ascii="Arial" w:hAnsi="Arial" w:cs="Arial"/>
          <w:sz w:val="18"/>
          <w:szCs w:val="18"/>
        </w:rPr>
      </w:pPr>
      <w:r>
        <w:rPr>
          <w:rFonts w:ascii="Arial" w:hAnsi="Arial"/>
          <w:sz w:val="18"/>
        </w:rPr>
        <w:tab/>
      </w:r>
      <w:r>
        <w:rPr>
          <w:rFonts w:ascii="Arial" w:hAnsi="Arial"/>
          <w:sz w:val="18"/>
          <w:highlight w:val="yellow"/>
        </w:rPr>
        <w:t>[1)]</w:t>
      </w:r>
      <w:r>
        <w:rPr>
          <w:rFonts w:ascii="Arial" w:hAnsi="Arial"/>
          <w:sz w:val="18"/>
        </w:rPr>
        <w:tab/>
        <w:t xml:space="preserve">La protección provisional se otorga con objeto de salvaguardar los intereses del obtentor durante el período comprendido entre </w:t>
      </w:r>
      <w:r>
        <w:rPr>
          <w:rFonts w:ascii="Arial" w:hAnsi="Arial"/>
          <w:sz w:val="18"/>
          <w:highlight w:val="yellow"/>
        </w:rPr>
        <w:t>[la presentación]</w:t>
      </w:r>
      <w:r>
        <w:rPr>
          <w:rFonts w:ascii="Arial" w:hAnsi="Arial"/>
          <w:sz w:val="18"/>
        </w:rPr>
        <w:t xml:space="preserve"> / </w:t>
      </w:r>
      <w:r>
        <w:rPr>
          <w:rFonts w:ascii="Arial" w:hAnsi="Arial"/>
          <w:sz w:val="18"/>
          <w:highlight w:val="yellow"/>
        </w:rPr>
        <w:t>[la publicación]</w:t>
      </w:r>
      <w:r>
        <w:rPr>
          <w:rFonts w:ascii="Arial" w:hAnsi="Arial"/>
          <w:sz w:val="18"/>
        </w:rPr>
        <w:t xml:space="preserve"> de la solicitud de concesión de un derecho de obtentor y la concesión del derecho.</w:t>
      </w:r>
    </w:p>
    <w:p w14:paraId="1B4974C4" w14:textId="77777777" w:rsidR="005B5E33" w:rsidRPr="005B5E33" w:rsidRDefault="005B5E33" w:rsidP="005B5E33">
      <w:pPr>
        <w:pStyle w:val="inf61normal"/>
        <w:tabs>
          <w:tab w:val="clear" w:pos="426"/>
          <w:tab w:val="clear" w:pos="992"/>
        </w:tabs>
        <w:ind w:left="567" w:right="566"/>
        <w:rPr>
          <w:rFonts w:ascii="Arial" w:hAnsi="Arial" w:cs="Arial"/>
          <w:i/>
          <w:sz w:val="18"/>
          <w:szCs w:val="18"/>
          <w:lang w:val="es-ES_tradnl"/>
        </w:rPr>
      </w:pPr>
    </w:p>
    <w:p w14:paraId="6C113F71" w14:textId="77777777" w:rsidR="005B5E33" w:rsidRPr="005B5E33" w:rsidRDefault="005B5E33" w:rsidP="005B5E33">
      <w:pPr>
        <w:pStyle w:val="inf61normal"/>
        <w:tabs>
          <w:tab w:val="clear" w:pos="426"/>
          <w:tab w:val="clear" w:pos="992"/>
          <w:tab w:val="right" w:leader="hyphen" w:pos="2268"/>
        </w:tabs>
        <w:ind w:left="567" w:right="566"/>
        <w:rPr>
          <w:rFonts w:ascii="Arial" w:hAnsi="Arial" w:cs="Arial"/>
          <w:i/>
          <w:sz w:val="18"/>
          <w:szCs w:val="18"/>
        </w:rPr>
      </w:pPr>
      <w:r>
        <w:rPr>
          <w:rFonts w:ascii="Arial" w:hAnsi="Arial"/>
          <w:i/>
          <w:sz w:val="18"/>
        </w:rPr>
        <w:tab/>
      </w:r>
    </w:p>
    <w:p w14:paraId="6CBBD3C0" w14:textId="77777777" w:rsidR="005B5E33" w:rsidRPr="005B5E33" w:rsidRDefault="005B5E33" w:rsidP="005B5E33">
      <w:pPr>
        <w:pStyle w:val="inf61normal"/>
        <w:tabs>
          <w:tab w:val="clear" w:pos="426"/>
          <w:tab w:val="clear" w:pos="992"/>
        </w:tabs>
        <w:ind w:left="567" w:right="566"/>
        <w:rPr>
          <w:rFonts w:ascii="Arial" w:hAnsi="Arial" w:cs="Arial"/>
          <w:i/>
          <w:sz w:val="18"/>
          <w:szCs w:val="18"/>
        </w:rPr>
      </w:pPr>
      <w:r>
        <w:rPr>
          <w:rFonts w:ascii="Arial" w:hAnsi="Arial"/>
          <w:i/>
          <w:sz w:val="18"/>
        </w:rPr>
        <w:t>Ejemplo A</w:t>
      </w:r>
    </w:p>
    <w:p w14:paraId="7CB756C5" w14:textId="77777777" w:rsidR="005B5E33" w:rsidRPr="005B5E33" w:rsidRDefault="005B5E33" w:rsidP="005B5E33">
      <w:pPr>
        <w:pStyle w:val="inf61normal"/>
        <w:tabs>
          <w:tab w:val="clear" w:pos="426"/>
          <w:tab w:val="clear" w:pos="992"/>
        </w:tabs>
        <w:ind w:left="567" w:right="566"/>
        <w:rPr>
          <w:rFonts w:ascii="Arial" w:hAnsi="Arial" w:cs="Arial"/>
          <w:i/>
          <w:sz w:val="18"/>
          <w:szCs w:val="18"/>
          <w:highlight w:val="yellow"/>
          <w:lang w:val="es-ES_tradnl"/>
        </w:rPr>
      </w:pPr>
    </w:p>
    <w:p w14:paraId="2088C4AC" w14:textId="5C0989F9" w:rsidR="005B5E33" w:rsidRPr="005B5E33" w:rsidRDefault="005B5E33" w:rsidP="005B5E33">
      <w:pPr>
        <w:pStyle w:val="inf61normal"/>
        <w:tabs>
          <w:tab w:val="clear" w:pos="426"/>
          <w:tab w:val="clear" w:pos="992"/>
        </w:tabs>
        <w:ind w:left="567" w:right="566"/>
        <w:rPr>
          <w:rFonts w:ascii="Arial" w:hAnsi="Arial" w:cs="Arial"/>
          <w:sz w:val="18"/>
          <w:szCs w:val="18"/>
        </w:rPr>
      </w:pPr>
      <w:r>
        <w:rPr>
          <w:rFonts w:ascii="Arial" w:hAnsi="Arial"/>
          <w:sz w:val="18"/>
        </w:rPr>
        <w:tab/>
      </w:r>
      <w:r>
        <w:rPr>
          <w:rFonts w:ascii="Arial" w:hAnsi="Arial"/>
          <w:sz w:val="18"/>
          <w:highlight w:val="yellow"/>
        </w:rPr>
        <w:t>[2)]</w:t>
      </w:r>
      <w:r>
        <w:rPr>
          <w:rFonts w:ascii="Arial" w:hAnsi="Arial"/>
          <w:sz w:val="18"/>
        </w:rPr>
        <w:tab/>
        <w:t xml:space="preserve">El titular de un derecho de obtentor </w:t>
      </w:r>
      <w:r>
        <w:rPr>
          <w:rFonts w:ascii="Arial" w:hAnsi="Arial"/>
          <w:sz w:val="18"/>
          <w:highlight w:val="yellow"/>
        </w:rPr>
        <w:t>[tendrá derecho como mínimo a una remuneración equitativa]</w:t>
      </w:r>
      <w:r>
        <w:rPr>
          <w:rFonts w:ascii="Arial" w:hAnsi="Arial"/>
          <w:sz w:val="18"/>
        </w:rPr>
        <w:t xml:space="preserve"> percibida de quien, en el intervalo previsto en el </w:t>
      </w:r>
      <w:r w:rsidRPr="00E15FD3">
        <w:rPr>
          <w:rFonts w:ascii="Arial" w:hAnsi="Arial"/>
          <w:sz w:val="18"/>
        </w:rPr>
        <w:t xml:space="preserve">párrafo </w:t>
      </w:r>
      <w:r w:rsidRPr="00C979BB">
        <w:rPr>
          <w:rFonts w:ascii="Arial" w:hAnsi="Arial"/>
          <w:sz w:val="18"/>
          <w:highlight w:val="yellow"/>
        </w:rPr>
        <w:t>[1)]</w:t>
      </w:r>
      <w:r w:rsidRPr="00E15FD3">
        <w:rPr>
          <w:rFonts w:ascii="Arial" w:hAnsi="Arial"/>
          <w:sz w:val="18"/>
        </w:rPr>
        <w:t>,</w:t>
      </w:r>
      <w:r>
        <w:rPr>
          <w:rFonts w:ascii="Arial" w:hAnsi="Arial"/>
          <w:sz w:val="18"/>
        </w:rPr>
        <w:t xml:space="preserve"> haya realizado actos que, después de la concesión del derecho, requieran la autorización del obtentor de conformidad con lo dispuesto en el Artículo</w:t>
      </w:r>
      <w:r w:rsidR="00DE3B1C">
        <w:rPr>
          <w:rFonts w:ascii="Arial" w:hAnsi="Arial"/>
          <w:sz w:val="18"/>
        </w:rPr>
        <w:t xml:space="preserve"> </w:t>
      </w:r>
      <w:r>
        <w:rPr>
          <w:rFonts w:ascii="Arial" w:hAnsi="Arial"/>
          <w:sz w:val="18"/>
          <w:highlight w:val="yellow"/>
        </w:rPr>
        <w:t>[14]</w:t>
      </w:r>
      <w:r>
        <w:rPr>
          <w:rFonts w:ascii="Arial" w:hAnsi="Arial"/>
          <w:sz w:val="18"/>
        </w:rPr>
        <w:t>.</w:t>
      </w:r>
      <w:r w:rsidR="003E20B4">
        <w:rPr>
          <w:rFonts w:ascii="Arial" w:hAnsi="Arial"/>
          <w:sz w:val="18"/>
        </w:rPr>
        <w:t xml:space="preserve"> </w:t>
      </w:r>
    </w:p>
    <w:p w14:paraId="39EDACC3" w14:textId="77777777" w:rsidR="005B5E33" w:rsidRPr="005B5E33" w:rsidRDefault="005B5E33" w:rsidP="005B5E33">
      <w:pPr>
        <w:autoSpaceDE w:val="0"/>
        <w:autoSpaceDN w:val="0"/>
        <w:adjustRightInd w:val="0"/>
        <w:ind w:left="567" w:right="566"/>
        <w:jc w:val="left"/>
        <w:rPr>
          <w:rFonts w:cs="Arial"/>
          <w:sz w:val="18"/>
          <w:szCs w:val="18"/>
        </w:rPr>
      </w:pPr>
    </w:p>
    <w:p w14:paraId="6E098A1B" w14:textId="77777777" w:rsidR="005B5E33" w:rsidRPr="005B5E33" w:rsidRDefault="005B5E33" w:rsidP="005B5E33">
      <w:pPr>
        <w:autoSpaceDE w:val="0"/>
        <w:autoSpaceDN w:val="0"/>
        <w:adjustRightInd w:val="0"/>
        <w:ind w:left="567" w:right="566"/>
        <w:jc w:val="left"/>
        <w:rPr>
          <w:rFonts w:cs="Arial"/>
          <w:i/>
          <w:sz w:val="18"/>
          <w:szCs w:val="18"/>
        </w:rPr>
      </w:pPr>
      <w:r>
        <w:rPr>
          <w:i/>
          <w:sz w:val="18"/>
        </w:rPr>
        <w:t>Ejemplo B</w:t>
      </w:r>
    </w:p>
    <w:p w14:paraId="7F0422C5" w14:textId="77777777" w:rsidR="005B5E33" w:rsidRPr="005B5E33" w:rsidRDefault="005B5E33" w:rsidP="005B5E33">
      <w:pPr>
        <w:autoSpaceDE w:val="0"/>
        <w:autoSpaceDN w:val="0"/>
        <w:adjustRightInd w:val="0"/>
        <w:ind w:left="567" w:right="566"/>
        <w:jc w:val="left"/>
        <w:rPr>
          <w:rFonts w:cs="Arial"/>
          <w:sz w:val="18"/>
          <w:szCs w:val="18"/>
        </w:rPr>
      </w:pPr>
    </w:p>
    <w:p w14:paraId="5CB6CE3C" w14:textId="01EFB5EF" w:rsidR="005B5E33" w:rsidRPr="005B5E33" w:rsidRDefault="005B5E33" w:rsidP="005B5E33">
      <w:pPr>
        <w:autoSpaceDE w:val="0"/>
        <w:autoSpaceDN w:val="0"/>
        <w:adjustRightInd w:val="0"/>
        <w:ind w:left="567" w:right="566"/>
        <w:rPr>
          <w:rFonts w:cs="Arial"/>
          <w:sz w:val="18"/>
          <w:szCs w:val="18"/>
          <w:highlight w:val="lightGray"/>
        </w:rPr>
      </w:pPr>
      <w:r>
        <w:rPr>
          <w:sz w:val="18"/>
        </w:rPr>
        <w:tab/>
      </w:r>
      <w:r>
        <w:rPr>
          <w:sz w:val="18"/>
          <w:highlight w:val="yellow"/>
        </w:rPr>
        <w:t>[2)]</w:t>
      </w:r>
      <w:r>
        <w:rPr>
          <w:sz w:val="18"/>
        </w:rPr>
        <w:tab/>
        <w:t xml:space="preserve">Se considerará que el solicitante es el titular del derecho de obtentor respecto de cualquier persona que, en el intervalo previsto en el párrafo </w:t>
      </w:r>
      <w:r>
        <w:rPr>
          <w:sz w:val="18"/>
          <w:highlight w:val="yellow"/>
        </w:rPr>
        <w:t>[1)]</w:t>
      </w:r>
      <w:r>
        <w:rPr>
          <w:sz w:val="18"/>
        </w:rPr>
        <w:t>, haya realizado actos que, después de la concesión del derecho, requieran la autorización del obtentor de conformidad con lo dispuesto en el Artículo</w:t>
      </w:r>
      <w:r w:rsidR="003E20B4">
        <w:rPr>
          <w:sz w:val="18"/>
        </w:rPr>
        <w:t xml:space="preserve"> </w:t>
      </w:r>
      <w:r>
        <w:rPr>
          <w:sz w:val="18"/>
          <w:highlight w:val="yellow"/>
        </w:rPr>
        <w:t>[14]</w:t>
      </w:r>
      <w:r>
        <w:rPr>
          <w:sz w:val="18"/>
        </w:rPr>
        <w:t>.</w:t>
      </w:r>
      <w:r w:rsidR="003E20B4">
        <w:rPr>
          <w:sz w:val="18"/>
        </w:rPr>
        <w:t xml:space="preserve"> </w:t>
      </w:r>
      <w:r>
        <w:rPr>
          <w:sz w:val="18"/>
        </w:rPr>
        <w:t xml:space="preserve">El solicitante tendrá los mismos derechos para suscribir acuerdos de licencia y emprender acciones judiciales que los que tendría si en la fecha de </w:t>
      </w:r>
      <w:r>
        <w:rPr>
          <w:sz w:val="18"/>
          <w:highlight w:val="yellow"/>
        </w:rPr>
        <w:t>[presentación] / [publicación</w:t>
      </w:r>
      <w:r>
        <w:rPr>
          <w:sz w:val="18"/>
        </w:rPr>
        <w:t>] se le hubiera concedido el derecho de obtentor con respecto a la variedad en cuestión.</w:t>
      </w:r>
      <w:r w:rsidR="003E20B4">
        <w:rPr>
          <w:sz w:val="18"/>
        </w:rPr>
        <w:t xml:space="preserve"> </w:t>
      </w:r>
      <w:r>
        <w:rPr>
          <w:sz w:val="18"/>
        </w:rPr>
        <w:t xml:space="preserve">Si no se concede el derecho, se considerará que nunca se han otorgado los derechos conferidos en virtud del presente párrafo. </w:t>
      </w:r>
    </w:p>
    <w:p w14:paraId="6C12B893" w14:textId="77777777" w:rsidR="005B5E33" w:rsidRPr="005B5E33" w:rsidRDefault="005B5E33" w:rsidP="005B5E33">
      <w:pPr>
        <w:autoSpaceDE w:val="0"/>
        <w:autoSpaceDN w:val="0"/>
        <w:adjustRightInd w:val="0"/>
        <w:ind w:left="567" w:right="566"/>
        <w:rPr>
          <w:rFonts w:cs="Arial"/>
          <w:sz w:val="18"/>
          <w:szCs w:val="18"/>
        </w:rPr>
      </w:pPr>
    </w:p>
    <w:p w14:paraId="253FC502" w14:textId="77777777" w:rsidR="005B5E33" w:rsidRPr="005B5E33" w:rsidRDefault="005B5E33" w:rsidP="005B5E33">
      <w:pPr>
        <w:pStyle w:val="inf61normal"/>
        <w:tabs>
          <w:tab w:val="clear" w:pos="426"/>
          <w:tab w:val="clear" w:pos="992"/>
          <w:tab w:val="right" w:leader="hyphen" w:pos="2268"/>
        </w:tabs>
        <w:ind w:left="567" w:right="566"/>
        <w:rPr>
          <w:rFonts w:ascii="Arial" w:hAnsi="Arial" w:cs="Arial"/>
          <w:i/>
          <w:sz w:val="18"/>
          <w:szCs w:val="18"/>
        </w:rPr>
      </w:pPr>
      <w:r>
        <w:rPr>
          <w:rFonts w:ascii="Arial" w:hAnsi="Arial"/>
          <w:sz w:val="18"/>
        </w:rPr>
        <w:tab/>
      </w:r>
    </w:p>
    <w:p w14:paraId="1A759CE5" w14:textId="77777777" w:rsidR="005B5E33" w:rsidRPr="005B5E33" w:rsidRDefault="005B5E33" w:rsidP="005B5E33">
      <w:pPr>
        <w:autoSpaceDE w:val="0"/>
        <w:autoSpaceDN w:val="0"/>
        <w:adjustRightInd w:val="0"/>
        <w:ind w:left="567" w:right="566"/>
        <w:rPr>
          <w:rFonts w:cs="Arial"/>
          <w:sz w:val="18"/>
          <w:szCs w:val="18"/>
          <w:highlight w:val="yellow"/>
        </w:rPr>
      </w:pPr>
    </w:p>
    <w:p w14:paraId="2D10B564" w14:textId="77777777" w:rsidR="005B5E33" w:rsidRPr="005B5E33" w:rsidRDefault="005B5E33" w:rsidP="005B5E33">
      <w:pPr>
        <w:autoSpaceDE w:val="0"/>
        <w:autoSpaceDN w:val="0"/>
        <w:adjustRightInd w:val="0"/>
        <w:ind w:left="567" w:right="566"/>
        <w:rPr>
          <w:rFonts w:cs="Arial"/>
          <w:sz w:val="18"/>
          <w:szCs w:val="18"/>
        </w:rPr>
      </w:pPr>
      <w:r>
        <w:rPr>
          <w:sz w:val="18"/>
        </w:rPr>
        <w:tab/>
      </w:r>
      <w:r>
        <w:rPr>
          <w:sz w:val="18"/>
          <w:highlight w:val="yellow"/>
        </w:rPr>
        <w:t>[3)]</w:t>
      </w:r>
      <w:r>
        <w:rPr>
          <w:sz w:val="18"/>
          <w:highlight w:val="yellow"/>
        </w:rPr>
        <w:tab/>
        <w:t>[La protección provisional solo surtirá efecto respecto de las personas a las que el obtentor haya notificado la presentación de la solicitud.]</w:t>
      </w:r>
      <w:r>
        <w:rPr>
          <w:sz w:val="18"/>
        </w:rPr>
        <w:t xml:space="preserve"> </w:t>
      </w:r>
    </w:p>
    <w:p w14:paraId="750B79A4" w14:textId="77777777" w:rsidR="005B5E33" w:rsidRPr="005B5E33" w:rsidRDefault="005B5E33" w:rsidP="005B5E33">
      <w:pPr>
        <w:autoSpaceDE w:val="0"/>
        <w:autoSpaceDN w:val="0"/>
        <w:adjustRightInd w:val="0"/>
      </w:pPr>
    </w:p>
    <w:p w14:paraId="5446913F" w14:textId="77777777" w:rsidR="005B5E33" w:rsidRPr="005B5E33" w:rsidRDefault="005B5E33" w:rsidP="005B5E33">
      <w:pPr>
        <w:autoSpaceDE w:val="0"/>
        <w:autoSpaceDN w:val="0"/>
        <w:adjustRightInd w:val="0"/>
        <w:jc w:val="left"/>
      </w:pPr>
    </w:p>
    <w:p w14:paraId="323F03B7" w14:textId="73404781" w:rsidR="005B5E33" w:rsidRPr="005B5E33" w:rsidRDefault="005B5E33" w:rsidP="005B5E33">
      <w:pPr>
        <w:rPr>
          <w:strike/>
          <w:spacing w:val="-3"/>
        </w:rPr>
      </w:pPr>
      <w:r>
        <w:t xml:space="preserve">El párrafo 3) del ejemplo de texto de disposición </w:t>
      </w:r>
      <w:r>
        <w:rPr>
          <w:i/>
          <w:iCs/>
        </w:rPr>
        <w:t>supra</w:t>
      </w:r>
      <w:r>
        <w:t xml:space="preserve"> no será necesario cuando, en el párrafo</w:t>
      </w:r>
      <w:r w:rsidR="00DE3B1C">
        <w:t xml:space="preserve"> </w:t>
      </w:r>
      <w:r>
        <w:t>1), se estipule que la fecha para el inicio de la protección provisional será la fecha de publicación (véase el párrafo 6 del presente documento).</w:t>
      </w:r>
      <w:r>
        <w:rPr>
          <w:b/>
        </w:rPr>
        <w:t xml:space="preserve"> </w:t>
      </w:r>
    </w:p>
    <w:p w14:paraId="367E578D" w14:textId="77777777" w:rsidR="005B5E33" w:rsidRPr="005B5E33" w:rsidRDefault="005B5E33" w:rsidP="005B5E33">
      <w:pPr>
        <w:rPr>
          <w:rFonts w:cs="Arial"/>
        </w:rPr>
      </w:pPr>
    </w:p>
    <w:p w14:paraId="27F18E6C" w14:textId="77777777" w:rsidR="005B5E33" w:rsidRPr="005B5E33" w:rsidRDefault="005B5E33" w:rsidP="005B5E33">
      <w:pPr>
        <w:rPr>
          <w:rFonts w:cs="Arial"/>
        </w:rPr>
      </w:pPr>
    </w:p>
    <w:p w14:paraId="78F182AC" w14:textId="77777777" w:rsidR="005B5E33" w:rsidRPr="005B5E33" w:rsidRDefault="005B5E33" w:rsidP="005B5E33">
      <w:pPr>
        <w:jc w:val="left"/>
        <w:rPr>
          <w:rFonts w:cs="Arial"/>
        </w:rPr>
      </w:pPr>
    </w:p>
    <w:p w14:paraId="642EFE96" w14:textId="77777777" w:rsidR="005B5E33" w:rsidRPr="005B5E33" w:rsidRDefault="005B5E33" w:rsidP="005B5E33">
      <w:pPr>
        <w:jc w:val="right"/>
        <w:rPr>
          <w:rFonts w:cs="Arial"/>
        </w:rPr>
      </w:pPr>
      <w:r>
        <w:t>[Siguen las notas finales]</w:t>
      </w:r>
    </w:p>
    <w:p w14:paraId="79E9B54D" w14:textId="77777777" w:rsidR="005B5E33" w:rsidRPr="005B5E33" w:rsidRDefault="005B5E33" w:rsidP="005B5E33">
      <w:pPr>
        <w:jc w:val="left"/>
        <w:rPr>
          <w:rFonts w:cs="Arial"/>
        </w:rPr>
        <w:sectPr w:rsidR="005B5E33" w:rsidRPr="005B5E33" w:rsidSect="009D6E89">
          <w:endnotePr>
            <w:numFmt w:val="lowerLetter"/>
          </w:endnotePr>
          <w:pgSz w:w="11907" w:h="16840" w:code="9"/>
          <w:pgMar w:top="510" w:right="1134" w:bottom="1134" w:left="1134" w:header="510" w:footer="624" w:gutter="0"/>
          <w:pgNumType w:start="1"/>
          <w:cols w:space="720"/>
          <w:titlePg/>
        </w:sectPr>
      </w:pPr>
    </w:p>
    <w:p w14:paraId="15DD51FF" w14:textId="77777777" w:rsidR="00050E16" w:rsidRPr="005B5E33" w:rsidRDefault="00050E16" w:rsidP="005B5E33"/>
    <w:sectPr w:rsidR="00050E16" w:rsidRPr="005B5E33"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80172" w14:textId="77777777" w:rsidR="001C7A06" w:rsidRDefault="001C7A06" w:rsidP="006655D3">
      <w:r>
        <w:separator/>
      </w:r>
    </w:p>
    <w:p w14:paraId="3190D772" w14:textId="77777777" w:rsidR="001C7A06" w:rsidRDefault="001C7A06" w:rsidP="006655D3"/>
  </w:endnote>
  <w:endnote w:type="continuationSeparator" w:id="0">
    <w:p w14:paraId="26BF29FD" w14:textId="77777777" w:rsidR="001C7A06" w:rsidRDefault="001C7A06" w:rsidP="006655D3">
      <w:r>
        <w:separator/>
      </w:r>
    </w:p>
    <w:p w14:paraId="0EBA95CC" w14:textId="77777777" w:rsidR="001C7A06" w:rsidRPr="00294751" w:rsidRDefault="001C7A06">
      <w:pPr>
        <w:pStyle w:val="Footer"/>
        <w:spacing w:after="60"/>
        <w:rPr>
          <w:sz w:val="18"/>
          <w:lang w:val="fr-FR"/>
        </w:rPr>
      </w:pPr>
      <w:r w:rsidRPr="00294751">
        <w:rPr>
          <w:sz w:val="18"/>
          <w:lang w:val="fr-FR"/>
        </w:rPr>
        <w:t>[Suite de la note de la page précédente]</w:t>
      </w:r>
    </w:p>
    <w:p w14:paraId="27116025" w14:textId="77777777" w:rsidR="001C7A06" w:rsidRPr="00294751" w:rsidRDefault="001C7A06" w:rsidP="006655D3">
      <w:pPr>
        <w:rPr>
          <w:lang w:val="fr-FR"/>
        </w:rPr>
      </w:pPr>
    </w:p>
    <w:p w14:paraId="60A22549" w14:textId="77777777" w:rsidR="001C7A06" w:rsidRPr="00294751" w:rsidRDefault="001C7A06" w:rsidP="006655D3">
      <w:pPr>
        <w:rPr>
          <w:lang w:val="fr-FR"/>
        </w:rPr>
      </w:pPr>
    </w:p>
  </w:endnote>
  <w:endnote w:type="continuationNotice" w:id="1">
    <w:p w14:paraId="2BA87B18" w14:textId="77777777" w:rsidR="001C7A06" w:rsidRPr="00294751" w:rsidRDefault="001C7A06" w:rsidP="006655D3">
      <w:pPr>
        <w:rPr>
          <w:lang w:val="fr-FR"/>
        </w:rPr>
      </w:pPr>
      <w:r w:rsidRPr="00294751">
        <w:rPr>
          <w:lang w:val="fr-FR"/>
        </w:rPr>
        <w:t>[Suite de la note page suivante]</w:t>
      </w:r>
    </w:p>
    <w:p w14:paraId="79870F6C" w14:textId="77777777" w:rsidR="001C7A06" w:rsidRPr="00294751" w:rsidRDefault="001C7A06" w:rsidP="006655D3">
      <w:pPr>
        <w:rPr>
          <w:lang w:val="fr-FR"/>
        </w:rPr>
      </w:pPr>
    </w:p>
    <w:p w14:paraId="4D679BEB" w14:textId="77777777" w:rsidR="001C7A06" w:rsidRPr="00294751" w:rsidRDefault="001C7A06" w:rsidP="006655D3">
      <w:pPr>
        <w:rPr>
          <w:lang w:val="fr-FR"/>
        </w:rPr>
      </w:pPr>
    </w:p>
  </w:endnote>
  <w:endnote w:id="2">
    <w:p w14:paraId="509CD203" w14:textId="379BFA13" w:rsidR="005B5E33" w:rsidRPr="005B5E33" w:rsidRDefault="005B5E33" w:rsidP="005B5E33">
      <w:pPr>
        <w:pStyle w:val="EndnoteText"/>
        <w:jc w:val="left"/>
        <w:rPr>
          <w:szCs w:val="16"/>
        </w:rPr>
      </w:pPr>
      <w:r>
        <w:rPr>
          <w:rStyle w:val="EndnoteReference"/>
        </w:rPr>
        <w:endnoteRef/>
      </w:r>
      <w:r w:rsidR="00C979BB">
        <w:t xml:space="preserve">  </w:t>
      </w:r>
      <w:r>
        <w:t>Las propuestas de la</w:t>
      </w:r>
      <w:r w:rsidR="00DE3B1C">
        <w:t xml:space="preserve"> </w:t>
      </w:r>
      <w:r>
        <w:t xml:space="preserve">ISF, la CIOPORA, </w:t>
      </w:r>
      <w:proofErr w:type="spellStart"/>
      <w:r>
        <w:rPr>
          <w:i/>
          <w:iCs/>
        </w:rPr>
        <w:t>CropLife</w:t>
      </w:r>
      <w:proofErr w:type="spellEnd"/>
      <w:r>
        <w:rPr>
          <w:i/>
          <w:iCs/>
        </w:rPr>
        <w:t xml:space="preserve"> International</w:t>
      </w:r>
      <w:r>
        <w:t xml:space="preserve">, </w:t>
      </w:r>
      <w:proofErr w:type="spellStart"/>
      <w:r>
        <w:t>Euroseeds</w:t>
      </w:r>
      <w:proofErr w:type="spellEnd"/>
      <w:r>
        <w:t>, la APSA, la AFSTA y la</w:t>
      </w:r>
      <w:r w:rsidR="00DE3B1C">
        <w:t xml:space="preserve"> </w:t>
      </w:r>
      <w:r>
        <w:t xml:space="preserve">SAA pueden consultarse en la dirección: </w:t>
      </w:r>
      <w:hyperlink r:id="rId1" w:history="1">
        <w:r>
          <w:rPr>
            <w:rStyle w:val="Hyperlink"/>
          </w:rPr>
          <w:t>https://www.upov.int/meetings/es/doc_details.jsp?meeting_id=67773&amp;doc_id=563728</w:t>
        </w:r>
      </w:hyperlink>
      <w:r>
        <w:t xml:space="preserve"> </w:t>
      </w:r>
    </w:p>
  </w:endnote>
  <w:endnote w:id="3">
    <w:p w14:paraId="2B318BEA" w14:textId="64050D4D" w:rsidR="005B5E33" w:rsidRPr="00755342" w:rsidRDefault="005B5E33" w:rsidP="005B5E33">
      <w:pPr>
        <w:pStyle w:val="EndnoteText"/>
        <w:jc w:val="left"/>
        <w:rPr>
          <w:szCs w:val="16"/>
        </w:rPr>
      </w:pPr>
      <w:r>
        <w:rPr>
          <w:rStyle w:val="EndnoteReference"/>
        </w:rPr>
        <w:endnoteRef/>
      </w:r>
      <w:r w:rsidR="00C979BB">
        <w:t xml:space="preserve">  </w:t>
      </w:r>
      <w:r>
        <w:t>Las propuestas de la</w:t>
      </w:r>
      <w:r w:rsidR="00DE3B1C">
        <w:t xml:space="preserve"> </w:t>
      </w:r>
      <w:r>
        <w:t xml:space="preserve">ISF, la CIOPORA, </w:t>
      </w:r>
      <w:proofErr w:type="spellStart"/>
      <w:r>
        <w:rPr>
          <w:i/>
          <w:iCs/>
        </w:rPr>
        <w:t>CropLife</w:t>
      </w:r>
      <w:proofErr w:type="spellEnd"/>
      <w:r>
        <w:rPr>
          <w:i/>
          <w:iCs/>
        </w:rPr>
        <w:t xml:space="preserve"> International</w:t>
      </w:r>
      <w:r>
        <w:t xml:space="preserve">, </w:t>
      </w:r>
      <w:proofErr w:type="spellStart"/>
      <w:r>
        <w:t>Euroseeds</w:t>
      </w:r>
      <w:proofErr w:type="spellEnd"/>
      <w:r>
        <w:t>, la APSA, la AFSTA y la</w:t>
      </w:r>
      <w:r w:rsidR="00DE3B1C">
        <w:t xml:space="preserve"> </w:t>
      </w:r>
      <w:r>
        <w:t xml:space="preserve">SAA pueden consultarse en la dirección </w:t>
      </w:r>
      <w:hyperlink r:id="rId2" w:history="1">
        <w:r>
          <w:rPr>
            <w:rStyle w:val="Hyperlink"/>
          </w:rPr>
          <w:t>https://www.upov.int/meetings/es/doc_details.jsp?meeting_id=67773&amp;doc_id=563728</w:t>
        </w:r>
      </w:hyperlink>
      <w:r>
        <w:t xml:space="preserve"> </w:t>
      </w:r>
    </w:p>
  </w:endnote>
  <w:endnote w:id="4">
    <w:p w14:paraId="26D16D25" w14:textId="7D0A5F20" w:rsidR="005B5E33" w:rsidRPr="005B5E33" w:rsidRDefault="005B5E33" w:rsidP="005B5E33">
      <w:pPr>
        <w:pStyle w:val="EndnoteText"/>
        <w:jc w:val="left"/>
        <w:rPr>
          <w:szCs w:val="16"/>
        </w:rPr>
      </w:pPr>
      <w:r>
        <w:rPr>
          <w:rStyle w:val="EndnoteReference"/>
        </w:rPr>
        <w:endnoteRef/>
      </w:r>
      <w:r w:rsidR="00C979BB">
        <w:t xml:space="preserve">  </w:t>
      </w:r>
      <w:r>
        <w:t>Las propuestas de la</w:t>
      </w:r>
      <w:r w:rsidR="00DE3B1C">
        <w:t xml:space="preserve"> </w:t>
      </w:r>
      <w:r>
        <w:t xml:space="preserve">ISF, la CIOPORA, </w:t>
      </w:r>
      <w:proofErr w:type="spellStart"/>
      <w:r>
        <w:rPr>
          <w:i/>
          <w:iCs/>
        </w:rPr>
        <w:t>CropLife</w:t>
      </w:r>
      <w:proofErr w:type="spellEnd"/>
      <w:r>
        <w:rPr>
          <w:i/>
          <w:iCs/>
        </w:rPr>
        <w:t xml:space="preserve"> International</w:t>
      </w:r>
      <w:r>
        <w:t xml:space="preserve">, </w:t>
      </w:r>
      <w:proofErr w:type="spellStart"/>
      <w:r>
        <w:t>Euroseeds</w:t>
      </w:r>
      <w:proofErr w:type="spellEnd"/>
      <w:r>
        <w:t>, la APSA, la AFSTA y la</w:t>
      </w:r>
      <w:r w:rsidR="00DE3B1C">
        <w:t xml:space="preserve"> </w:t>
      </w:r>
      <w:r>
        <w:t xml:space="preserve">SAA pueden consultarse en la dirección: </w:t>
      </w:r>
      <w:hyperlink r:id="rId3" w:history="1">
        <w:r>
          <w:rPr>
            <w:rStyle w:val="Hyperlink"/>
          </w:rPr>
          <w:t>https://www.upov.int/meetings/es/doc_details.jsp?meeting_id=67773&amp;doc_id=563728</w:t>
        </w:r>
      </w:hyperlink>
      <w:r>
        <w:t xml:space="preserve"> </w:t>
      </w:r>
    </w:p>
  </w:endnote>
  <w:endnote w:id="5">
    <w:p w14:paraId="4B54F5D0" w14:textId="1509FCFB" w:rsidR="005B5E33" w:rsidRPr="005B5E33" w:rsidRDefault="005B5E33" w:rsidP="005B5E33">
      <w:pPr>
        <w:pStyle w:val="EndnoteText"/>
        <w:jc w:val="left"/>
        <w:rPr>
          <w:szCs w:val="16"/>
        </w:rPr>
      </w:pPr>
      <w:r>
        <w:rPr>
          <w:rStyle w:val="EndnoteReference"/>
        </w:rPr>
        <w:endnoteRef/>
      </w:r>
      <w:r w:rsidR="00C979BB">
        <w:t xml:space="preserve">  </w:t>
      </w:r>
      <w:r>
        <w:t>Las propuestas de la</w:t>
      </w:r>
      <w:r w:rsidR="00DE3B1C">
        <w:t xml:space="preserve"> </w:t>
      </w:r>
      <w:r>
        <w:t xml:space="preserve">ISF, la CIOPORA, </w:t>
      </w:r>
      <w:proofErr w:type="spellStart"/>
      <w:r>
        <w:rPr>
          <w:i/>
          <w:iCs/>
        </w:rPr>
        <w:t>CropLife</w:t>
      </w:r>
      <w:proofErr w:type="spellEnd"/>
      <w:r>
        <w:rPr>
          <w:i/>
          <w:iCs/>
        </w:rPr>
        <w:t xml:space="preserve"> International</w:t>
      </w:r>
      <w:r>
        <w:t xml:space="preserve">, </w:t>
      </w:r>
      <w:proofErr w:type="spellStart"/>
      <w:r>
        <w:t>Euroseeds</w:t>
      </w:r>
      <w:proofErr w:type="spellEnd"/>
      <w:r>
        <w:t>, la APSA, la AFSTA y la</w:t>
      </w:r>
      <w:r w:rsidR="00DE3B1C">
        <w:t xml:space="preserve"> </w:t>
      </w:r>
      <w:r>
        <w:t xml:space="preserve">SAA pueden consultarse en la dirección: </w:t>
      </w:r>
      <w:hyperlink r:id="rId4" w:history="1">
        <w:r w:rsidR="00E15FD3" w:rsidRPr="00E15FD3">
          <w:rPr>
            <w:rStyle w:val="Hyperlink"/>
          </w:rPr>
          <w:t>https://www.upov.int/meetings/</w:t>
        </w:r>
        <w:r w:rsidR="00E15FD3" w:rsidRPr="0067231B">
          <w:rPr>
            <w:rStyle w:val="Hyperlink"/>
          </w:rPr>
          <w:t>es/doc_details.jsp?meeting_id=67773&amp;doc_id=563728</w:t>
        </w:r>
      </w:hyperlink>
      <w:r>
        <w:t xml:space="preserve"> </w:t>
      </w:r>
    </w:p>
    <w:p w14:paraId="15671072" w14:textId="77777777" w:rsidR="005B5E33" w:rsidRPr="00255724" w:rsidRDefault="005B5E33" w:rsidP="005B5E33">
      <w:pPr>
        <w:pStyle w:val="EndnoteText"/>
        <w:jc w:val="left"/>
        <w:rPr>
          <w:szCs w:val="16"/>
        </w:rPr>
      </w:pPr>
    </w:p>
    <w:p w14:paraId="2DEE9DC3" w14:textId="77777777" w:rsidR="005B5E33" w:rsidRPr="00255724" w:rsidRDefault="005B5E33" w:rsidP="005B5E33">
      <w:pPr>
        <w:pStyle w:val="EndnoteText"/>
        <w:jc w:val="left"/>
        <w:rPr>
          <w:szCs w:val="16"/>
        </w:rPr>
      </w:pPr>
    </w:p>
    <w:p w14:paraId="36270C18" w14:textId="77777777" w:rsidR="005B5E33" w:rsidRPr="00255724" w:rsidRDefault="005B5E33" w:rsidP="005B5E33">
      <w:pPr>
        <w:pStyle w:val="EndnoteText"/>
        <w:jc w:val="left"/>
        <w:rPr>
          <w:szCs w:val="16"/>
        </w:rPr>
      </w:pPr>
    </w:p>
    <w:p w14:paraId="1307CEC9" w14:textId="6CD9EA4E" w:rsidR="005B5E33" w:rsidRPr="00DD08D8" w:rsidRDefault="00DD08D8" w:rsidP="005B5E33">
      <w:pPr>
        <w:pStyle w:val="EndnoteText"/>
        <w:jc w:val="right"/>
        <w:rPr>
          <w:sz w:val="20"/>
          <w:szCs w:val="16"/>
        </w:rPr>
      </w:pPr>
      <w:r>
        <w:rPr>
          <w:sz w:val="20"/>
        </w:rPr>
        <w:t>[Fin</w:t>
      </w:r>
      <w:r w:rsidR="005B5E33" w:rsidRPr="00DD08D8">
        <w:rPr>
          <w:sz w:val="20"/>
        </w:rPr>
        <w:t xml:space="preserve"> del Anexo y del documento]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8B9A" w14:textId="77777777" w:rsidR="001C7A06" w:rsidRDefault="001C7A06" w:rsidP="006655D3">
      <w:r>
        <w:separator/>
      </w:r>
    </w:p>
  </w:footnote>
  <w:footnote w:type="continuationSeparator" w:id="0">
    <w:p w14:paraId="510CDBC4" w14:textId="77777777" w:rsidR="001C7A06" w:rsidRDefault="001C7A06" w:rsidP="006655D3">
      <w:r>
        <w:separator/>
      </w:r>
    </w:p>
  </w:footnote>
  <w:footnote w:type="continuationNotice" w:id="1">
    <w:p w14:paraId="442670B9" w14:textId="77777777" w:rsidR="001C7A06" w:rsidRPr="00AB530F" w:rsidRDefault="001C7A06" w:rsidP="00AB530F">
      <w:pPr>
        <w:pStyle w:val="Footer"/>
      </w:pPr>
    </w:p>
  </w:footnote>
  <w:footnote w:id="2">
    <w:p w14:paraId="0063F3CF" w14:textId="76AD2714" w:rsidR="005B5E33" w:rsidRPr="005B5E33" w:rsidRDefault="005B5E33" w:rsidP="00DD08D8">
      <w:pPr>
        <w:pStyle w:val="FootnoteText"/>
      </w:pPr>
      <w:r>
        <w:rPr>
          <w:rStyle w:val="FootnoteReference"/>
        </w:rPr>
        <w:footnoteRef/>
      </w:r>
      <w:r>
        <w:tab/>
        <w:t>El Artículo</w:t>
      </w:r>
      <w:r w:rsidR="00DE3B1C">
        <w:t xml:space="preserve"> </w:t>
      </w:r>
      <w:r>
        <w:t>7.3) del Acta de</w:t>
      </w:r>
      <w:r w:rsidR="00DE3B1C">
        <w:t xml:space="preserve"> </w:t>
      </w:r>
      <w:r>
        <w:t>1978 solo se refiere al “periodo comprendido entre la presentación de la solicitud de protección y la decisión correspondiente”.</w:t>
      </w:r>
    </w:p>
  </w:footnote>
  <w:footnote w:id="3">
    <w:p w14:paraId="158CFFFA" w14:textId="73D7424B" w:rsidR="005B5E33" w:rsidRPr="005B5E33" w:rsidRDefault="005B5E33" w:rsidP="00DD08D8">
      <w:pPr>
        <w:pStyle w:val="FootnoteText"/>
      </w:pPr>
      <w:r>
        <w:rPr>
          <w:rStyle w:val="FootnoteReference"/>
        </w:rPr>
        <w:footnoteRef/>
      </w:r>
      <w:r>
        <w:tab/>
        <w:t>En el Artículo</w:t>
      </w:r>
      <w:r w:rsidR="00DE3B1C">
        <w:t xml:space="preserve"> </w:t>
      </w:r>
      <w:r>
        <w:t>7.3) del Acta de</w:t>
      </w:r>
      <w:r w:rsidR="00DE3B1C">
        <w:t xml:space="preserve"> </w:t>
      </w:r>
      <w:r>
        <w:t>1978, la protección provisional es una disposición facultativa.</w:t>
      </w:r>
    </w:p>
  </w:footnote>
  <w:footnote w:id="4">
    <w:p w14:paraId="5D44E101" w14:textId="64818E89" w:rsidR="005B5E33" w:rsidRPr="005B5E33" w:rsidRDefault="005B5E33" w:rsidP="00DD08D8">
      <w:pPr>
        <w:pStyle w:val="FootnoteText"/>
      </w:pPr>
      <w:r>
        <w:rPr>
          <w:rStyle w:val="FootnoteReference"/>
        </w:rPr>
        <w:footnoteRef/>
      </w:r>
      <w:r>
        <w:tab/>
        <w:t xml:space="preserve">El texto destacado entre corchetes está destinado a los encargados de la redacción de las leyes y constituye una indicación de, según proceda, texto que ha de completarse, numeración de disposiciones que puede ser necesario modificar, o disposiciones del </w:t>
      </w:r>
      <w:r w:rsidR="00DE3B1C">
        <w:t>Acta de 1991</w:t>
      </w:r>
      <w:r>
        <w:t xml:space="preserve"> del Convenio de la</w:t>
      </w:r>
      <w:r w:rsidR="00DE3B1C">
        <w:t xml:space="preserve"> </w:t>
      </w:r>
      <w:r>
        <w:t>UPOV en las que se estipula una</w:t>
      </w:r>
      <w:r w:rsidR="00DE3B1C">
        <w:t xml:space="preserve"> </w:t>
      </w:r>
      <w:r>
        <w:t>opción.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F46F" w14:textId="5CB16B3F" w:rsidR="005B5E33" w:rsidRPr="00F106BE" w:rsidRDefault="005B5E33" w:rsidP="00BE4EC4">
    <w:pPr>
      <w:pStyle w:val="Enttepair"/>
    </w:pPr>
    <w:r>
      <w:t>NOTAS — ARTÍCULO</w:t>
    </w:r>
    <w:r w:rsidR="00DE3B1C">
      <w:t xml:space="preserve"> </w:t>
    </w:r>
    <w:r>
      <w:t>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BACE" w14:textId="77777777" w:rsidR="005B5E33" w:rsidRPr="005B5E33" w:rsidRDefault="005B5E33" w:rsidP="005C6F4C">
    <w:pPr>
      <w:pStyle w:val="Header"/>
      <w:rPr>
        <w:rFonts w:cs="Arial"/>
      </w:rPr>
    </w:pPr>
    <w:r>
      <w:t>WG-HRV/1/5</w:t>
    </w:r>
  </w:p>
  <w:p w14:paraId="4B2D431B" w14:textId="5E7238C6" w:rsidR="005B5E33" w:rsidRPr="005B5E33" w:rsidRDefault="005B5E33" w:rsidP="005C6F4C">
    <w:pPr>
      <w:pStyle w:val="Header"/>
    </w:pPr>
    <w:r>
      <w:rPr>
        <w:rStyle w:val="PageNumber"/>
      </w:rPr>
      <w:t>Anexo,</w:t>
    </w:r>
    <w:r>
      <w:t xml:space="preserve"> página </w:t>
    </w:r>
    <w:r w:rsidRPr="005B5E33">
      <w:rPr>
        <w:rStyle w:val="PageNumber"/>
      </w:rPr>
      <w:fldChar w:fldCharType="begin"/>
    </w:r>
    <w:r w:rsidRPr="005B5E33">
      <w:rPr>
        <w:rStyle w:val="PageNumber"/>
      </w:rPr>
      <w:instrText xml:space="preserve"> PAGE </w:instrText>
    </w:r>
    <w:r w:rsidRPr="005B5E33">
      <w:rPr>
        <w:rStyle w:val="PageNumber"/>
      </w:rPr>
      <w:fldChar w:fldCharType="separate"/>
    </w:r>
    <w:r w:rsidR="009F4B0C">
      <w:rPr>
        <w:rStyle w:val="PageNumber"/>
        <w:noProof/>
      </w:rPr>
      <w:t>6</w:t>
    </w:r>
    <w:r w:rsidRPr="005B5E33">
      <w:rPr>
        <w:rStyle w:val="PageNumber"/>
      </w:rPr>
      <w:fldChar w:fldCharType="end"/>
    </w:r>
  </w:p>
  <w:p w14:paraId="22744D95" w14:textId="77777777" w:rsidR="005B5E33" w:rsidRPr="005B5E33" w:rsidRDefault="005B5E33" w:rsidP="005C6F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3481" w14:textId="77777777" w:rsidR="00182B99" w:rsidRPr="000A23DC" w:rsidRDefault="00214C1D" w:rsidP="000A23DC">
    <w:pPr>
      <w:pStyle w:val="Header"/>
      <w:rPr>
        <w:rStyle w:val="PageNumber"/>
      </w:rPr>
    </w:pPr>
    <w:r>
      <w:rPr>
        <w:rStyle w:val="PageNumber"/>
      </w:rPr>
      <w:t>WG-HRV/1/</w:t>
    </w:r>
  </w:p>
  <w:p w14:paraId="0004E8AC" w14:textId="77777777"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D5DCC">
      <w:rPr>
        <w:rStyle w:val="PageNumber"/>
      </w:rPr>
      <w:t>2</w:t>
    </w:r>
    <w:r w:rsidR="00182B99" w:rsidRPr="00202E38">
      <w:rPr>
        <w:rStyle w:val="PageNumber"/>
      </w:rPr>
      <w:fldChar w:fldCharType="end"/>
    </w:r>
  </w:p>
  <w:p w14:paraId="575EBD9D" w14:textId="77777777" w:rsidR="00182B99" w:rsidRPr="00202E38" w:rsidRDefault="00182B99" w:rsidP="006655D3">
    <w:pP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8539" w14:textId="77777777" w:rsidR="005B5E33" w:rsidRPr="005B5E33" w:rsidRDefault="005B5E33" w:rsidP="005B5E33">
    <w:pPr>
      <w:pStyle w:val="Header"/>
      <w:rPr>
        <w:rFonts w:cs="Arial"/>
      </w:rPr>
    </w:pPr>
    <w:r>
      <w:t>WG-HRV/1/5</w:t>
    </w:r>
  </w:p>
  <w:p w14:paraId="3B1AD1B8" w14:textId="77777777" w:rsidR="005B5E33" w:rsidRDefault="005B5E33">
    <w:pPr>
      <w:pStyle w:val="Header"/>
    </w:pPr>
  </w:p>
  <w:p w14:paraId="0EEC5CFC" w14:textId="77777777" w:rsidR="005B5E33" w:rsidRDefault="005B5E33">
    <w:pPr>
      <w:pStyle w:val="Header"/>
    </w:pPr>
    <w:r>
      <w:t>NOTAS FINALES</w:t>
    </w:r>
  </w:p>
  <w:p w14:paraId="1CB7DA8F" w14:textId="77777777" w:rsidR="005B5E33" w:rsidRDefault="005B5E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fr-FR" w:vendorID="64" w:dllVersion="131078"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33"/>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4160"/>
    <w:rsid w:val="000E636A"/>
    <w:rsid w:val="000F2F11"/>
    <w:rsid w:val="00105929"/>
    <w:rsid w:val="00110C36"/>
    <w:rsid w:val="001131D5"/>
    <w:rsid w:val="0013484D"/>
    <w:rsid w:val="00141DB8"/>
    <w:rsid w:val="00172084"/>
    <w:rsid w:val="0017474A"/>
    <w:rsid w:val="001758C6"/>
    <w:rsid w:val="00182B99"/>
    <w:rsid w:val="001C7A06"/>
    <w:rsid w:val="001F64BF"/>
    <w:rsid w:val="00202E38"/>
    <w:rsid w:val="0021332C"/>
    <w:rsid w:val="00213982"/>
    <w:rsid w:val="00214C1D"/>
    <w:rsid w:val="0024416D"/>
    <w:rsid w:val="002464A3"/>
    <w:rsid w:val="00255724"/>
    <w:rsid w:val="00271911"/>
    <w:rsid w:val="002800A0"/>
    <w:rsid w:val="002801B3"/>
    <w:rsid w:val="00281060"/>
    <w:rsid w:val="002940E8"/>
    <w:rsid w:val="00294751"/>
    <w:rsid w:val="002A6E50"/>
    <w:rsid w:val="002B4298"/>
    <w:rsid w:val="002C256A"/>
    <w:rsid w:val="002E5944"/>
    <w:rsid w:val="002F099E"/>
    <w:rsid w:val="00305A7F"/>
    <w:rsid w:val="003152FE"/>
    <w:rsid w:val="003246EE"/>
    <w:rsid w:val="00327436"/>
    <w:rsid w:val="00344BD6"/>
    <w:rsid w:val="0035528D"/>
    <w:rsid w:val="00361821"/>
    <w:rsid w:val="00361E9E"/>
    <w:rsid w:val="0039461E"/>
    <w:rsid w:val="003B031A"/>
    <w:rsid w:val="003C7FBE"/>
    <w:rsid w:val="003D227C"/>
    <w:rsid w:val="003D2B4D"/>
    <w:rsid w:val="003D5DCC"/>
    <w:rsid w:val="003E20B4"/>
    <w:rsid w:val="003E257B"/>
    <w:rsid w:val="00404329"/>
    <w:rsid w:val="0040557F"/>
    <w:rsid w:val="00444A88"/>
    <w:rsid w:val="00460886"/>
    <w:rsid w:val="00474DA4"/>
    <w:rsid w:val="00476B4D"/>
    <w:rsid w:val="004805FA"/>
    <w:rsid w:val="004935D2"/>
    <w:rsid w:val="004A5423"/>
    <w:rsid w:val="004B1215"/>
    <w:rsid w:val="004B2544"/>
    <w:rsid w:val="004D047D"/>
    <w:rsid w:val="004D2B1A"/>
    <w:rsid w:val="004D68C6"/>
    <w:rsid w:val="004F1E9E"/>
    <w:rsid w:val="004F305A"/>
    <w:rsid w:val="00512164"/>
    <w:rsid w:val="00520297"/>
    <w:rsid w:val="005338F9"/>
    <w:rsid w:val="0054281C"/>
    <w:rsid w:val="00544581"/>
    <w:rsid w:val="00545E42"/>
    <w:rsid w:val="0055268D"/>
    <w:rsid w:val="00566C7E"/>
    <w:rsid w:val="00576BE4"/>
    <w:rsid w:val="00576DF8"/>
    <w:rsid w:val="005A400A"/>
    <w:rsid w:val="005B5E33"/>
    <w:rsid w:val="005F7B92"/>
    <w:rsid w:val="00612379"/>
    <w:rsid w:val="006153B6"/>
    <w:rsid w:val="0061555F"/>
    <w:rsid w:val="00636483"/>
    <w:rsid w:val="00636CA6"/>
    <w:rsid w:val="00637EDD"/>
    <w:rsid w:val="00641200"/>
    <w:rsid w:val="00642665"/>
    <w:rsid w:val="00645CA8"/>
    <w:rsid w:val="006655D3"/>
    <w:rsid w:val="00667404"/>
    <w:rsid w:val="006818F4"/>
    <w:rsid w:val="00687EB4"/>
    <w:rsid w:val="00695C56"/>
    <w:rsid w:val="006A32E5"/>
    <w:rsid w:val="006A5CDE"/>
    <w:rsid w:val="006A644A"/>
    <w:rsid w:val="006B17D2"/>
    <w:rsid w:val="006C224E"/>
    <w:rsid w:val="006D780A"/>
    <w:rsid w:val="00700C50"/>
    <w:rsid w:val="0071271E"/>
    <w:rsid w:val="00732DEC"/>
    <w:rsid w:val="00735BD5"/>
    <w:rsid w:val="00750AA6"/>
    <w:rsid w:val="00751613"/>
    <w:rsid w:val="00752334"/>
    <w:rsid w:val="007551E5"/>
    <w:rsid w:val="007556F6"/>
    <w:rsid w:val="00760EEF"/>
    <w:rsid w:val="007619CF"/>
    <w:rsid w:val="00777EE5"/>
    <w:rsid w:val="00783722"/>
    <w:rsid w:val="00784836"/>
    <w:rsid w:val="0079023E"/>
    <w:rsid w:val="007A0A72"/>
    <w:rsid w:val="007A2854"/>
    <w:rsid w:val="007C1D92"/>
    <w:rsid w:val="007C4CB9"/>
    <w:rsid w:val="007D0B9D"/>
    <w:rsid w:val="007D19B0"/>
    <w:rsid w:val="007D72CE"/>
    <w:rsid w:val="007F498F"/>
    <w:rsid w:val="0080679D"/>
    <w:rsid w:val="008108B0"/>
    <w:rsid w:val="00811B20"/>
    <w:rsid w:val="008211B5"/>
    <w:rsid w:val="00821A32"/>
    <w:rsid w:val="0082296E"/>
    <w:rsid w:val="00824099"/>
    <w:rsid w:val="00846D7C"/>
    <w:rsid w:val="008574A4"/>
    <w:rsid w:val="00864C55"/>
    <w:rsid w:val="00867AC1"/>
    <w:rsid w:val="00890DF8"/>
    <w:rsid w:val="008A743F"/>
    <w:rsid w:val="008B3D8D"/>
    <w:rsid w:val="008C0970"/>
    <w:rsid w:val="008C6250"/>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D690D"/>
    <w:rsid w:val="009E65B6"/>
    <w:rsid w:val="009F4B0C"/>
    <w:rsid w:val="00A24C10"/>
    <w:rsid w:val="00A42AC3"/>
    <w:rsid w:val="00A430CF"/>
    <w:rsid w:val="00A451F9"/>
    <w:rsid w:val="00A54309"/>
    <w:rsid w:val="00A706D3"/>
    <w:rsid w:val="00A95AA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979BB"/>
    <w:rsid w:val="00CA304C"/>
    <w:rsid w:val="00CA774A"/>
    <w:rsid w:val="00CC11B0"/>
    <w:rsid w:val="00CC2841"/>
    <w:rsid w:val="00CF1330"/>
    <w:rsid w:val="00CF289E"/>
    <w:rsid w:val="00CF7E36"/>
    <w:rsid w:val="00D3708D"/>
    <w:rsid w:val="00D40426"/>
    <w:rsid w:val="00D57C96"/>
    <w:rsid w:val="00D57D18"/>
    <w:rsid w:val="00D80351"/>
    <w:rsid w:val="00D91203"/>
    <w:rsid w:val="00D95174"/>
    <w:rsid w:val="00DA4973"/>
    <w:rsid w:val="00DA6F36"/>
    <w:rsid w:val="00DB596E"/>
    <w:rsid w:val="00DB7773"/>
    <w:rsid w:val="00DC00EA"/>
    <w:rsid w:val="00DC3802"/>
    <w:rsid w:val="00DD08D8"/>
    <w:rsid w:val="00DE3B1C"/>
    <w:rsid w:val="00E07D87"/>
    <w:rsid w:val="00E15FD3"/>
    <w:rsid w:val="00E27DDC"/>
    <w:rsid w:val="00E32F7E"/>
    <w:rsid w:val="00E463F1"/>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60F7"/>
    <w:rsid w:val="00F6334D"/>
    <w:rsid w:val="00F81F4C"/>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75ED00"/>
  <w15:docId w15:val="{9CAF3BA3-1585-43A4-96C3-85EA5BC9B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DD08D8"/>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979BB"/>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DE3B1C"/>
    <w:pPr>
      <w:tabs>
        <w:tab w:val="right" w:leader="dot" w:pos="9639"/>
      </w:tabs>
      <w:spacing w:after="120"/>
      <w:ind w:right="851"/>
    </w:pPr>
    <w:rPr>
      <w:rFonts w:ascii="Arial" w:hAnsi="Arial"/>
      <w:smallCaps/>
      <w:noProof/>
      <w:sz w:val="18"/>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1">
    <w:name w:val="Style1"/>
    <w:basedOn w:val="Normal"/>
    <w:rsid w:val="005B5E33"/>
    <w:pPr>
      <w:tabs>
        <w:tab w:val="decimal" w:pos="907"/>
        <w:tab w:val="left" w:pos="1077"/>
      </w:tabs>
    </w:pPr>
    <w:rPr>
      <w:szCs w:val="24"/>
      <w:lang w:eastAsia="ja-JP"/>
    </w:rPr>
  </w:style>
  <w:style w:type="paragraph" w:customStyle="1" w:styleId="Enttepair">
    <w:name w:val="Entête_pair"/>
    <w:basedOn w:val="Normal"/>
    <w:next w:val="Normal"/>
    <w:rsid w:val="005B5E33"/>
    <w:pPr>
      <w:pBdr>
        <w:bottom w:val="single" w:sz="4" w:space="1" w:color="auto"/>
      </w:pBdr>
      <w:jc w:val="left"/>
    </w:pPr>
    <w:rPr>
      <w:szCs w:val="24"/>
    </w:rPr>
  </w:style>
  <w:style w:type="table" w:styleId="TableGrid">
    <w:name w:val="Table Grid"/>
    <w:basedOn w:val="TableNormal"/>
    <w:rsid w:val="005B5E3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B5E33"/>
    <w:rPr>
      <w:rFonts w:ascii="Arial" w:hAnsi="Arial"/>
      <w:u w:val="single"/>
    </w:rPr>
  </w:style>
  <w:style w:type="character" w:customStyle="1" w:styleId="FootnoteTextChar">
    <w:name w:val="Footnote Text Char"/>
    <w:basedOn w:val="DefaultParagraphFont"/>
    <w:link w:val="FootnoteText"/>
    <w:rsid w:val="00DD08D8"/>
    <w:rPr>
      <w:rFonts w:ascii="Arial" w:hAnsi="Arial"/>
      <w:sz w:val="16"/>
    </w:rPr>
  </w:style>
  <w:style w:type="paragraph" w:customStyle="1" w:styleId="a">
    <w:name w:val="a"/>
    <w:basedOn w:val="Normal"/>
    <w:rsid w:val="005B5E33"/>
    <w:pPr>
      <w:overflowPunct w:val="0"/>
      <w:autoSpaceDE w:val="0"/>
      <w:autoSpaceDN w:val="0"/>
      <w:adjustRightInd w:val="0"/>
      <w:jc w:val="center"/>
      <w:textAlignment w:val="baseline"/>
    </w:pPr>
    <w:rPr>
      <w:rFonts w:ascii="Times New Roman" w:hAnsi="Times New Roman"/>
      <w:b/>
      <w:sz w:val="24"/>
    </w:rPr>
  </w:style>
  <w:style w:type="paragraph" w:customStyle="1" w:styleId="inf61normal">
    <w:name w:val="inf_6_1_normal"/>
    <w:basedOn w:val="Normal"/>
    <w:link w:val="inf61normalChar"/>
    <w:rsid w:val="005B5E33"/>
    <w:pPr>
      <w:tabs>
        <w:tab w:val="left" w:pos="426"/>
        <w:tab w:val="left" w:pos="992"/>
      </w:tabs>
    </w:pPr>
    <w:rPr>
      <w:rFonts w:ascii="Times New Roman" w:hAnsi="Times New Roman"/>
      <w:sz w:val="24"/>
    </w:rPr>
  </w:style>
  <w:style w:type="paragraph" w:customStyle="1" w:styleId="Inf61normalBold">
    <w:name w:val="Inf_6_1_normal + Bold"/>
    <w:basedOn w:val="inf61normal"/>
    <w:link w:val="Inf61normalBoldChar"/>
    <w:rsid w:val="005B5E33"/>
    <w:rPr>
      <w:b/>
      <w:bCs/>
    </w:rPr>
  </w:style>
  <w:style w:type="character" w:customStyle="1" w:styleId="inf61normalChar">
    <w:name w:val="inf_6_1_normal Char"/>
    <w:basedOn w:val="DefaultParagraphFont"/>
    <w:link w:val="inf61normal"/>
    <w:rsid w:val="005B5E33"/>
    <w:rPr>
      <w:sz w:val="24"/>
    </w:rPr>
  </w:style>
  <w:style w:type="character" w:customStyle="1" w:styleId="Inf61normalBoldChar">
    <w:name w:val="Inf_6_1_normal + Bold Char"/>
    <w:basedOn w:val="inf61normalChar"/>
    <w:link w:val="Inf61normalBold"/>
    <w:rsid w:val="005B5E33"/>
    <w:rPr>
      <w:b/>
      <w:bCs/>
      <w:sz w:val="24"/>
    </w:rPr>
  </w:style>
  <w:style w:type="character" w:customStyle="1" w:styleId="EndnoteTextChar">
    <w:name w:val="Endnote Text Char"/>
    <w:basedOn w:val="DefaultParagraphFont"/>
    <w:link w:val="EndnoteText"/>
    <w:rsid w:val="00C979BB"/>
    <w:rPr>
      <w:rFonts w:ascii="Arial" w:hAnsi="Arial"/>
      <w:sz w:val="16"/>
    </w:rPr>
  </w:style>
  <w:style w:type="character" w:customStyle="1" w:styleId="HeaderChar">
    <w:name w:val="Header Char"/>
    <w:basedOn w:val="DefaultParagraphFont"/>
    <w:link w:val="Header"/>
    <w:rsid w:val="005B5E33"/>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upov.int/meetings/es/doc_details.jsp?meeting_id=67773&amp;doc_id=563728" TargetMode="External"/><Relationship Id="rId2" Type="http://schemas.openxmlformats.org/officeDocument/2006/relationships/hyperlink" Target="https://www.upov.int/meetings/es/doc_details.jsp?meeting_id=67773&amp;doc_id=563728" TargetMode="External"/><Relationship Id="rId1" Type="http://schemas.openxmlformats.org/officeDocument/2006/relationships/hyperlink" Target="https://www.upov.int/meetings/es/doc_details.jsp?meeting_id=67773&amp;doc_id=563728" TargetMode="External"/><Relationship Id="rId4" Type="http://schemas.openxmlformats.org/officeDocument/2006/relationships/hyperlink" Target="https://www.upov.int/meetings/es/doc_details.jsp?meeting_id=67773&amp;doc_id=563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B22D-DAD4-4BEE-B16B-1E0C3CD9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2607</Words>
  <Characters>14078</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WG-HRV/1</vt:lpstr>
      <vt:lpstr>WG-HRV/1</vt:lpstr>
    </vt:vector>
  </TitlesOfParts>
  <Company>UPOV</Company>
  <LinksUpToDate>false</LinksUpToDate>
  <CharactersWithSpaces>16652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dc:title>
  <dc:creator>BOU LLORET Amparo</dc:creator>
  <cp:lastModifiedBy>HUERTA-CASADO Yolanda</cp:lastModifiedBy>
  <cp:revision>7</cp:revision>
  <cp:lastPrinted>2016-11-22T15:41:00Z</cp:lastPrinted>
  <dcterms:created xsi:type="dcterms:W3CDTF">2022-02-25T10:08:00Z</dcterms:created>
  <dcterms:modified xsi:type="dcterms:W3CDTF">2022-02-28T17:55:00Z</dcterms:modified>
</cp:coreProperties>
</file>