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62F66" w:rsidRPr="00106617" w14:paraId="647275D8" w14:textId="77777777" w:rsidTr="0087149F">
        <w:tc>
          <w:tcPr>
            <w:tcW w:w="6522" w:type="dxa"/>
          </w:tcPr>
          <w:p w14:paraId="06258594" w14:textId="77777777" w:rsidR="00062F66" w:rsidRPr="00106617" w:rsidRDefault="00062F66" w:rsidP="0087149F">
            <w:bookmarkStart w:id="0" w:name="_Toc522523019"/>
            <w:bookmarkStart w:id="1" w:name="_Toc522523121"/>
            <w:bookmarkStart w:id="2" w:name="_Toc14799780"/>
            <w:bookmarkStart w:id="3" w:name="_Toc57304245"/>
            <w:r>
              <w:rPr>
                <w:noProof/>
                <w:lang w:val="en-US"/>
              </w:rPr>
              <w:drawing>
                <wp:inline distT="0" distB="0" distL="0" distR="0" wp14:anchorId="642302E6" wp14:editId="2E3323D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882292C" w14:textId="77777777" w:rsidR="00062F66" w:rsidRPr="00106617" w:rsidRDefault="00062F66" w:rsidP="0087149F">
            <w:pPr>
              <w:spacing w:line="340" w:lineRule="atLeast"/>
              <w:jc w:val="right"/>
              <w:rPr>
                <w:b/>
                <w:bCs/>
                <w:sz w:val="36"/>
              </w:rPr>
            </w:pPr>
            <w:r>
              <w:rPr>
                <w:b/>
                <w:sz w:val="36"/>
              </w:rPr>
              <w:t>S</w:t>
            </w:r>
          </w:p>
        </w:tc>
      </w:tr>
      <w:tr w:rsidR="00062F66" w:rsidRPr="00106617" w14:paraId="699079AA" w14:textId="77777777" w:rsidTr="0087149F">
        <w:trPr>
          <w:trHeight w:val="219"/>
        </w:trPr>
        <w:tc>
          <w:tcPr>
            <w:tcW w:w="6522" w:type="dxa"/>
          </w:tcPr>
          <w:p w14:paraId="161FB8C9" w14:textId="77777777" w:rsidR="00062F66" w:rsidRPr="00106617" w:rsidRDefault="00062F66" w:rsidP="0087149F">
            <w:pPr>
              <w:spacing w:before="120"/>
              <w:rPr>
                <w:sz w:val="16"/>
              </w:rPr>
            </w:pPr>
            <w:r>
              <w:rPr>
                <w:sz w:val="16"/>
              </w:rPr>
              <w:t>Convenio Internacional para la Protección de las Obtenciones Vegetales</w:t>
            </w:r>
          </w:p>
        </w:tc>
        <w:tc>
          <w:tcPr>
            <w:tcW w:w="3117" w:type="dxa"/>
          </w:tcPr>
          <w:p w14:paraId="5A00BE46" w14:textId="77777777" w:rsidR="00062F66" w:rsidRPr="00106617" w:rsidRDefault="00062F66" w:rsidP="0087149F"/>
        </w:tc>
      </w:tr>
    </w:tbl>
    <w:p w14:paraId="669860B9" w14:textId="77777777" w:rsidR="00062F66" w:rsidRPr="00106617" w:rsidRDefault="00062F66" w:rsidP="00062F66"/>
    <w:p w14:paraId="7EC37D9C" w14:textId="77777777" w:rsidR="00062F66" w:rsidRPr="00106617" w:rsidRDefault="00062F66" w:rsidP="00062F6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62F66" w:rsidRPr="00106617" w14:paraId="5D3A8558" w14:textId="77777777" w:rsidTr="0087149F">
        <w:tc>
          <w:tcPr>
            <w:tcW w:w="6512" w:type="dxa"/>
          </w:tcPr>
          <w:p w14:paraId="2CB6B2CC" w14:textId="67E1CE95" w:rsidR="00062F66" w:rsidRPr="00106617" w:rsidRDefault="00062F66" w:rsidP="0087149F">
            <w:pPr>
              <w:jc w:val="left"/>
              <w:rPr>
                <w:b/>
                <w:bCs/>
                <w:kern w:val="28"/>
              </w:rPr>
            </w:pPr>
            <w:r>
              <w:rPr>
                <w:b/>
              </w:rPr>
              <w:t xml:space="preserve">Grupo de trabajo sobre variedades esencialmente derivadas </w:t>
            </w:r>
          </w:p>
          <w:p w14:paraId="77F60FF3" w14:textId="77777777" w:rsidR="00062F66" w:rsidRPr="00106617" w:rsidRDefault="00062F66" w:rsidP="0087149F">
            <w:pPr>
              <w:spacing w:before="240"/>
              <w:jc w:val="left"/>
              <w:rPr>
                <w:b/>
                <w:bCs/>
                <w:kern w:val="28"/>
              </w:rPr>
            </w:pPr>
            <w:r>
              <w:rPr>
                <w:b/>
              </w:rPr>
              <w:t>Tercera reunión</w:t>
            </w:r>
            <w:r>
              <w:rPr>
                <w:b/>
              </w:rPr>
              <w:br/>
              <w:t>Ginebra, 27 de abril de 2021</w:t>
            </w:r>
          </w:p>
        </w:tc>
        <w:tc>
          <w:tcPr>
            <w:tcW w:w="3127" w:type="dxa"/>
          </w:tcPr>
          <w:p w14:paraId="35CEE74C" w14:textId="1CAD4EFB" w:rsidR="00062F66" w:rsidRPr="00106617" w:rsidRDefault="00DD655E" w:rsidP="0087149F">
            <w:pPr>
              <w:spacing w:line="240" w:lineRule="exact"/>
              <w:jc w:val="left"/>
              <w:rPr>
                <w:b/>
                <w:bCs/>
                <w:spacing w:val="10"/>
                <w:sz w:val="18"/>
              </w:rPr>
            </w:pPr>
            <w:r>
              <w:rPr>
                <w:b/>
                <w:sz w:val="18"/>
              </w:rPr>
              <w:t>UPOV/WG-EDV/3/3</w:t>
            </w:r>
          </w:p>
          <w:p w14:paraId="5D8C1890" w14:textId="5B5C4B87" w:rsidR="00062F66" w:rsidRPr="00254261" w:rsidRDefault="00062F66" w:rsidP="0087149F">
            <w:pPr>
              <w:spacing w:before="240" w:line="240" w:lineRule="exact"/>
              <w:jc w:val="left"/>
              <w:rPr>
                <w:b/>
                <w:bCs/>
                <w:spacing w:val="10"/>
                <w:sz w:val="18"/>
                <w:szCs w:val="18"/>
              </w:rPr>
            </w:pPr>
            <w:r>
              <w:rPr>
                <w:b/>
                <w:sz w:val="18"/>
              </w:rPr>
              <w:t>Original:</w:t>
            </w:r>
            <w:r w:rsidR="00F876C3">
              <w:rPr>
                <w:sz w:val="18"/>
              </w:rPr>
              <w:t xml:space="preserve"> </w:t>
            </w:r>
            <w:proofErr w:type="gramStart"/>
            <w:r>
              <w:rPr>
                <w:sz w:val="18"/>
              </w:rPr>
              <w:t>Inglés</w:t>
            </w:r>
            <w:proofErr w:type="gramEnd"/>
          </w:p>
          <w:p w14:paraId="629730DD" w14:textId="56C2C61C" w:rsidR="00062F66" w:rsidRPr="00106617" w:rsidRDefault="00062F66" w:rsidP="00DD655E">
            <w:pPr>
              <w:spacing w:line="240" w:lineRule="exact"/>
              <w:jc w:val="left"/>
              <w:rPr>
                <w:b/>
                <w:bCs/>
                <w:spacing w:val="10"/>
                <w:sz w:val="18"/>
              </w:rPr>
            </w:pPr>
            <w:r>
              <w:rPr>
                <w:b/>
                <w:sz w:val="18"/>
              </w:rPr>
              <w:t>Fecha:</w:t>
            </w:r>
            <w:r w:rsidR="00F876C3">
              <w:rPr>
                <w:sz w:val="18"/>
              </w:rPr>
              <w:t xml:space="preserve"> </w:t>
            </w:r>
            <w:r>
              <w:rPr>
                <w:sz w:val="18"/>
              </w:rPr>
              <w:t xml:space="preserve">21 de </w:t>
            </w:r>
            <w:r w:rsidR="00DD655E">
              <w:rPr>
                <w:sz w:val="18"/>
              </w:rPr>
              <w:t>agosto</w:t>
            </w:r>
            <w:r>
              <w:rPr>
                <w:sz w:val="18"/>
              </w:rPr>
              <w:t xml:space="preserve"> de 2021</w:t>
            </w:r>
          </w:p>
        </w:tc>
      </w:tr>
    </w:tbl>
    <w:p w14:paraId="291A72DD" w14:textId="4C1D7948" w:rsidR="00F0001A" w:rsidRPr="006A644A" w:rsidRDefault="00F0001A" w:rsidP="00F0001A">
      <w:pPr>
        <w:pStyle w:val="Titleofdoc0"/>
      </w:pPr>
      <w:r>
        <w:t>informe</w:t>
      </w:r>
    </w:p>
    <w:p w14:paraId="76B53F5B" w14:textId="378F76E1" w:rsidR="00F0001A" w:rsidRPr="006A644A" w:rsidRDefault="00DD655E" w:rsidP="00F0001A">
      <w:pPr>
        <w:pStyle w:val="preparedby1"/>
        <w:jc w:val="left"/>
      </w:pPr>
      <w:bookmarkStart w:id="4" w:name="Prepared"/>
      <w:bookmarkEnd w:id="4"/>
      <w:r w:rsidRPr="00DD655E">
        <w:t>aprobado por el Grupo de trabajo sobre variedades esencialmente derivadas</w:t>
      </w:r>
    </w:p>
    <w:p w14:paraId="224C734E" w14:textId="071C8D49" w:rsidR="00F0001A" w:rsidRPr="006A644A" w:rsidRDefault="00F0001A" w:rsidP="00F0001A">
      <w:pPr>
        <w:pStyle w:val="Disclaimer"/>
      </w:pPr>
      <w:r>
        <w:t>Descargo de responsabilidad:</w:t>
      </w:r>
      <w:r w:rsidR="00F876C3">
        <w:t xml:space="preserve"> </w:t>
      </w:r>
      <w:r>
        <w:t>el presente documento no constituye un documento de política u orientación de la UPOV</w:t>
      </w:r>
    </w:p>
    <w:bookmarkEnd w:id="0"/>
    <w:bookmarkEnd w:id="1"/>
    <w:bookmarkEnd w:id="2"/>
    <w:bookmarkEnd w:id="3"/>
    <w:p w14:paraId="69F04AE1" w14:textId="77777777" w:rsidR="00581F72" w:rsidRPr="007C7E53" w:rsidRDefault="00581F72" w:rsidP="00581F72">
      <w:pPr>
        <w:pStyle w:val="Heading1"/>
      </w:pPr>
      <w:r>
        <w:t>Apertura de la reunión</w:t>
      </w:r>
    </w:p>
    <w:p w14:paraId="427587E2" w14:textId="77777777" w:rsidR="00581F72" w:rsidRPr="007C7E53" w:rsidRDefault="00581F72" w:rsidP="00581F72"/>
    <w:p w14:paraId="31EAC364" w14:textId="13A6C886" w:rsidR="00581F72" w:rsidRDefault="00581F72" w:rsidP="00581F72">
      <w:r w:rsidRPr="00751F3B">
        <w:fldChar w:fldCharType="begin"/>
      </w:r>
      <w:r w:rsidRPr="00751F3B">
        <w:instrText xml:space="preserve"> AUTONUM  </w:instrText>
      </w:r>
      <w:r w:rsidRPr="00751F3B">
        <w:fldChar w:fldCharType="end"/>
      </w:r>
      <w:r>
        <w:tab/>
        <w:t xml:space="preserve">El Grupo de Trabajo sobre Variedades Esencialmente Derivadas (WG-EDV) celebró su tercera reunión por medios electrónicos el 27 de abril de 2021, presidida por el Sr. Peter </w:t>
      </w:r>
      <w:proofErr w:type="spellStart"/>
      <w:r>
        <w:t>Button</w:t>
      </w:r>
      <w:proofErr w:type="spellEnd"/>
      <w:r>
        <w:t xml:space="preserve">, </w:t>
      </w:r>
      <w:r w:rsidR="00DD655E">
        <w:t xml:space="preserve">Secretario General Adjunto </w:t>
      </w:r>
      <w:r>
        <w:t xml:space="preserve">de la UPOV. </w:t>
      </w:r>
    </w:p>
    <w:p w14:paraId="1656A873" w14:textId="77777777" w:rsidR="00581F72" w:rsidRDefault="00581F72" w:rsidP="00581F72"/>
    <w:p w14:paraId="15890472" w14:textId="77777777" w:rsidR="00581F72" w:rsidRPr="009256B8" w:rsidRDefault="00581F72" w:rsidP="00581F72">
      <w:r w:rsidRPr="007C7E53">
        <w:fldChar w:fldCharType="begin"/>
      </w:r>
      <w:r w:rsidRPr="007C7E53">
        <w:instrText xml:space="preserve"> AUTONUM  </w:instrText>
      </w:r>
      <w:r w:rsidRPr="007C7E53">
        <w:fldChar w:fldCharType="end"/>
      </w:r>
      <w:r>
        <w:tab/>
        <w:t xml:space="preserve">El presidente declaró abierta la reunión y dio la bienvenida a los participantes. </w:t>
      </w:r>
    </w:p>
    <w:p w14:paraId="447C3386" w14:textId="77777777" w:rsidR="00581F72" w:rsidRDefault="00581F72" w:rsidP="00581F72"/>
    <w:p w14:paraId="6BD178AA" w14:textId="77777777" w:rsidR="00581F72" w:rsidRDefault="00581F72" w:rsidP="00581F72">
      <w:r w:rsidRPr="007C7E53">
        <w:fldChar w:fldCharType="begin"/>
      </w:r>
      <w:r w:rsidRPr="007C7E53">
        <w:instrText xml:space="preserve"> AUTONUM  </w:instrText>
      </w:r>
      <w:r w:rsidRPr="007C7E53">
        <w:fldChar w:fldCharType="end"/>
      </w:r>
      <w:r>
        <w:tab/>
        <w:t xml:space="preserve">La lista de participantes figura en el Anexo del presente informe. </w:t>
      </w:r>
    </w:p>
    <w:p w14:paraId="5E0EFB8E" w14:textId="77777777" w:rsidR="00581F72" w:rsidRDefault="00581F72" w:rsidP="00581F72"/>
    <w:p w14:paraId="7FD562B4" w14:textId="77777777" w:rsidR="005D7E99" w:rsidRDefault="005D7E99" w:rsidP="00581F72"/>
    <w:p w14:paraId="383897B7" w14:textId="77777777" w:rsidR="00960D52" w:rsidRPr="007C7E53" w:rsidRDefault="00960D52" w:rsidP="00581F72"/>
    <w:p w14:paraId="6E2118ED" w14:textId="77777777" w:rsidR="00581F72" w:rsidRPr="007C7E53" w:rsidRDefault="00581F72" w:rsidP="00581F72">
      <w:pPr>
        <w:pStyle w:val="Heading1"/>
      </w:pPr>
      <w:r>
        <w:t>Aprobación del orden del día</w:t>
      </w:r>
    </w:p>
    <w:p w14:paraId="06C626F3" w14:textId="77777777" w:rsidR="00581F72" w:rsidRDefault="00581F72" w:rsidP="00581F72">
      <w:pPr>
        <w:keepNext/>
        <w:outlineLvl w:val="0"/>
        <w:rPr>
          <w:b/>
          <w:caps/>
          <w:snapToGrid w:val="0"/>
        </w:rPr>
      </w:pPr>
    </w:p>
    <w:p w14:paraId="7AD0ECA6" w14:textId="77777777" w:rsidR="00581F72" w:rsidRPr="00BD5244" w:rsidRDefault="00581F72" w:rsidP="00581F72">
      <w:pPr>
        <w:rPr>
          <w:rFonts w:cs="Arial"/>
        </w:rPr>
      </w:pPr>
      <w:r w:rsidRPr="00F9023A">
        <w:fldChar w:fldCharType="begin"/>
      </w:r>
      <w:r w:rsidRPr="00F9023A">
        <w:instrText xml:space="preserve"> AUTONUM  </w:instrText>
      </w:r>
      <w:r w:rsidRPr="00F9023A">
        <w:fldChar w:fldCharType="end"/>
      </w:r>
      <w:r>
        <w:tab/>
        <w:t>El WG-EDV aprobó el orden del día propuesto en el documento UPOV/WG-EDV/3/1.</w:t>
      </w:r>
    </w:p>
    <w:p w14:paraId="3C139B3C" w14:textId="77777777" w:rsidR="005D7E99" w:rsidRDefault="005D7E99" w:rsidP="00581F72"/>
    <w:p w14:paraId="57371B3F" w14:textId="77777777" w:rsidR="00960D52" w:rsidRPr="002362D4" w:rsidRDefault="00960D52" w:rsidP="00581F72"/>
    <w:p w14:paraId="781D208B" w14:textId="77777777" w:rsidR="00581F72" w:rsidRDefault="00581F72" w:rsidP="00581F72">
      <w:pPr>
        <w:jc w:val="left"/>
      </w:pPr>
    </w:p>
    <w:p w14:paraId="10765A7A" w14:textId="3608AFE3" w:rsidR="00581F72" w:rsidRDefault="00062F66" w:rsidP="00581F72">
      <w:pPr>
        <w:keepNext/>
        <w:rPr>
          <w:caps/>
        </w:rPr>
      </w:pPr>
      <w:bookmarkStart w:id="5" w:name="_Toc57304247"/>
      <w:r>
        <w:rPr>
          <w:caps/>
        </w:rPr>
        <w:t xml:space="preserve">ANTEPROYECTO </w:t>
      </w:r>
      <w:r w:rsidR="003E5AB9">
        <w:rPr>
          <w:caps/>
        </w:rPr>
        <w:t>PARA LA</w:t>
      </w:r>
      <w:r>
        <w:rPr>
          <w:caps/>
        </w:rPr>
        <w:t xml:space="preserve"> REVISIÓN DE LAS NOTAS EXPLICATIVAS SOBRE LAS VARIEDADES ESENCIALMENTE DERIVADAS CON ARREGLO AL ACTA DE 1991 DEL CONVENIO DE LA UPOV</w:t>
      </w:r>
    </w:p>
    <w:p w14:paraId="2779B60A" w14:textId="77777777" w:rsidR="00C6492B" w:rsidRPr="00C6492B" w:rsidRDefault="00C6492B" w:rsidP="00C6492B">
      <w:pPr>
        <w:keepNext/>
      </w:pPr>
    </w:p>
    <w:p w14:paraId="03496E8F" w14:textId="77777777" w:rsidR="00581F72" w:rsidRDefault="00581F72" w:rsidP="00581F72">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tab/>
        <w:t xml:space="preserve">El WG-EDV examinó el documento UPOV/WG-EDV/3/2. </w:t>
      </w:r>
    </w:p>
    <w:p w14:paraId="33231E05" w14:textId="77777777" w:rsidR="00062F66" w:rsidRDefault="00062F66" w:rsidP="00581F72">
      <w:pPr>
        <w:rPr>
          <w:rFonts w:cs="Arial"/>
        </w:rPr>
      </w:pPr>
    </w:p>
    <w:p w14:paraId="654376E4" w14:textId="0421B9AB" w:rsidR="008A5E0F" w:rsidRDefault="00D22230" w:rsidP="00D22230">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tab/>
        <w:t>El WG-EDV tomó nota de que la Oficina de la Unión ha solicitado que los comentarios o las preguntas sobre el “Anteproyecto para la revisión de las notas explicativas sobre las variedades esencialmente derivadas con arreglo al Acta de 1991 del Convenio de la UPOV”, reproducido en el Anexo I del documento UPOV/WG</w:t>
      </w:r>
      <w:r w:rsidR="00EA63C7">
        <w:noBreakHyphen/>
      </w:r>
      <w:r>
        <w:t xml:space="preserve">EDV/3/2, se faciliten antes de la reunión, a más tardar el 22 de abril de 2021. </w:t>
      </w:r>
    </w:p>
    <w:p w14:paraId="6834E7D6" w14:textId="77777777" w:rsidR="008A5E0F" w:rsidRDefault="008A5E0F" w:rsidP="00D22230">
      <w:pPr>
        <w:rPr>
          <w:rFonts w:cs="Arial"/>
        </w:rPr>
      </w:pPr>
    </w:p>
    <w:p w14:paraId="50AEE2DE" w14:textId="41CF1F23" w:rsidR="00D22230" w:rsidRPr="00960D52" w:rsidRDefault="008A5E0F" w:rsidP="00D22230">
      <w:pPr>
        <w:rPr>
          <w:rFonts w:cs="Arial"/>
          <w:spacing w:val="-2"/>
        </w:rPr>
      </w:pPr>
      <w:r w:rsidRPr="00960D52">
        <w:rPr>
          <w:rFonts w:cs="Arial"/>
        </w:rPr>
        <w:fldChar w:fldCharType="begin"/>
      </w:r>
      <w:r w:rsidRPr="00960D52">
        <w:rPr>
          <w:rFonts w:cs="Arial"/>
        </w:rPr>
        <w:instrText xml:space="preserve"> AUTONUM  </w:instrText>
      </w:r>
      <w:r w:rsidRPr="00960D52">
        <w:rPr>
          <w:rFonts w:cs="Arial"/>
        </w:rPr>
        <w:fldChar w:fldCharType="end"/>
      </w:r>
      <w:r>
        <w:tab/>
        <w:t xml:space="preserve">El WG-EDV tomó nota de que, antes de la reunión, se recibieron comentarios del Brasil, Chile, México, Noruega y conjuntamente de la </w:t>
      </w:r>
      <w:r>
        <w:rPr>
          <w:i/>
          <w:iCs/>
        </w:rPr>
        <w:t>International Seed Federation</w:t>
      </w:r>
      <w:r>
        <w:t xml:space="preserve"> (ISF), la Comunidad Internacional de Fitomejoradores de Plantas Hortícolas de Reproducción Asexuada (CIOPORA), </w:t>
      </w:r>
      <w:r w:rsidRPr="00DD655E">
        <w:rPr>
          <w:i/>
        </w:rPr>
        <w:t>CropLife International</w:t>
      </w:r>
      <w:r>
        <w:t xml:space="preserve">, la </w:t>
      </w:r>
      <w:r>
        <w:rPr>
          <w:i/>
          <w:iCs/>
        </w:rPr>
        <w:t xml:space="preserve">Asia and </w:t>
      </w:r>
      <w:proofErr w:type="spellStart"/>
      <w:r>
        <w:rPr>
          <w:i/>
          <w:iCs/>
        </w:rPr>
        <w:t>Pacific</w:t>
      </w:r>
      <w:proofErr w:type="spellEnd"/>
      <w:r>
        <w:rPr>
          <w:i/>
          <w:iCs/>
        </w:rPr>
        <w:t xml:space="preserve"> </w:t>
      </w:r>
      <w:proofErr w:type="spellStart"/>
      <w:r>
        <w:rPr>
          <w:i/>
          <w:iCs/>
        </w:rPr>
        <w:t>Seed</w:t>
      </w:r>
      <w:proofErr w:type="spellEnd"/>
      <w:r>
        <w:rPr>
          <w:i/>
          <w:iCs/>
        </w:rPr>
        <w:t xml:space="preserve"> </w:t>
      </w:r>
      <w:proofErr w:type="spellStart"/>
      <w:r>
        <w:rPr>
          <w:i/>
          <w:iCs/>
        </w:rPr>
        <w:t>Association</w:t>
      </w:r>
      <w:proofErr w:type="spellEnd"/>
      <w:r>
        <w:t xml:space="preserve"> (APSA)</w:t>
      </w:r>
      <w:r w:rsidR="00DD655E" w:rsidRPr="00DD655E">
        <w:t xml:space="preserve"> (Asociación de Semillas de Asia y el Pacífico)</w:t>
      </w:r>
      <w:r>
        <w:t xml:space="preserve">, la Asociación de Semillas de las Américas (SAA), la </w:t>
      </w:r>
      <w:proofErr w:type="spellStart"/>
      <w:r>
        <w:rPr>
          <w:i/>
          <w:iCs/>
        </w:rPr>
        <w:t>African</w:t>
      </w:r>
      <w:proofErr w:type="spellEnd"/>
      <w:r>
        <w:rPr>
          <w:i/>
          <w:iCs/>
        </w:rPr>
        <w:t xml:space="preserve"> </w:t>
      </w:r>
      <w:proofErr w:type="spellStart"/>
      <w:r>
        <w:rPr>
          <w:i/>
          <w:iCs/>
        </w:rPr>
        <w:t>Seed</w:t>
      </w:r>
      <w:proofErr w:type="spellEnd"/>
      <w:r>
        <w:rPr>
          <w:i/>
          <w:iCs/>
        </w:rPr>
        <w:t xml:space="preserve"> </w:t>
      </w:r>
      <w:proofErr w:type="spellStart"/>
      <w:r>
        <w:rPr>
          <w:i/>
          <w:iCs/>
        </w:rPr>
        <w:t>Trade</w:t>
      </w:r>
      <w:proofErr w:type="spellEnd"/>
      <w:r>
        <w:rPr>
          <w:i/>
          <w:iCs/>
        </w:rPr>
        <w:t xml:space="preserve"> </w:t>
      </w:r>
      <w:proofErr w:type="spellStart"/>
      <w:r>
        <w:rPr>
          <w:i/>
          <w:iCs/>
        </w:rPr>
        <w:t>Association</w:t>
      </w:r>
      <w:proofErr w:type="spellEnd"/>
      <w:r>
        <w:t xml:space="preserve"> (AFSTA) </w:t>
      </w:r>
      <w:r w:rsidR="00DD655E" w:rsidRPr="00DD655E">
        <w:t>(Asociación Africana de Comercio de Semillas)</w:t>
      </w:r>
      <w:r w:rsidR="00DD655E">
        <w:t xml:space="preserve"> </w:t>
      </w:r>
      <w:r>
        <w:t xml:space="preserve">y </w:t>
      </w:r>
      <w:proofErr w:type="spellStart"/>
      <w:r>
        <w:t>Euroseeds</w:t>
      </w:r>
      <w:proofErr w:type="spellEnd"/>
      <w:r>
        <w:t xml:space="preserve"> y que estos comentarios se presentarán durante la introducción del Anexo I del documento UPOV/WG</w:t>
      </w:r>
      <w:r>
        <w:noBreakHyphen/>
        <w:t>EDV/3/2.</w:t>
      </w:r>
      <w:r w:rsidR="00F876C3">
        <w:t xml:space="preserve"> </w:t>
      </w:r>
    </w:p>
    <w:p w14:paraId="60424E97" w14:textId="77777777" w:rsidR="00D22230" w:rsidRDefault="00D22230" w:rsidP="00D22230">
      <w:pPr>
        <w:rPr>
          <w:spacing w:val="-4"/>
          <w:szCs w:val="24"/>
          <w:lang w:eastAsia="ja-JP"/>
        </w:rPr>
      </w:pPr>
    </w:p>
    <w:p w14:paraId="6ACDDEEE" w14:textId="6D30C521" w:rsidR="00D22230" w:rsidRPr="00EB66A9" w:rsidRDefault="00D22230" w:rsidP="00EB66A9">
      <w:pPr>
        <w:rPr>
          <w:spacing w:val="-4"/>
          <w:szCs w:val="24"/>
        </w:rPr>
      </w:pPr>
      <w:r w:rsidRPr="00751F3B">
        <w:fldChar w:fldCharType="begin"/>
      </w:r>
      <w:r w:rsidRPr="00751F3B">
        <w:instrText xml:space="preserve"> AUTONUM  </w:instrText>
      </w:r>
      <w:r w:rsidRPr="00751F3B">
        <w:fldChar w:fldCharType="end"/>
      </w:r>
      <w:r>
        <w:tab/>
        <w:t>El representante de la CIOPORA, en nombre de las organizaciones de obtentores, expresó su pleno apoyo al anteproyecto expuesto en el Anexo I del documento UPOV/WG</w:t>
      </w:r>
      <w:r>
        <w:noBreakHyphen/>
        <w:t>EDV/3/2. Tomó nota de que el texto de las actuales notas explicativas que figuran en el documento UPOV/EXN/EDV/2 da a entender un alcance muy estrecho del concepto de variedad esencialmente derivada, que pone en peligro el incentivo para el fitomejoramiento.</w:t>
      </w:r>
      <w:r w:rsidR="00F876C3">
        <w:t xml:space="preserve"> </w:t>
      </w:r>
      <w:r>
        <w:t>En su opinión, el texto propuesto del anteproyecto de revisión es la base del progreso y la innovación continuos en fitomejoramiento, en beneficio de la sociedad.</w:t>
      </w:r>
      <w:r>
        <w:rPr>
          <w:sz w:val="18"/>
        </w:rPr>
        <w:t xml:space="preserve"> </w:t>
      </w:r>
    </w:p>
    <w:p w14:paraId="76EE35C3" w14:textId="77777777" w:rsidR="00D22230" w:rsidRPr="00493D3F" w:rsidRDefault="00D22230" w:rsidP="00D22230">
      <w:pPr>
        <w:ind w:left="562" w:right="1008"/>
        <w:rPr>
          <w:sz w:val="18"/>
        </w:rPr>
      </w:pPr>
    </w:p>
    <w:p w14:paraId="0496E5AE" w14:textId="02763EC3" w:rsidR="008412B4" w:rsidRPr="00BC106F" w:rsidRDefault="008412B4" w:rsidP="007812DB">
      <w:pPr>
        <w:keepNext/>
        <w:rPr>
          <w:spacing w:val="-4"/>
          <w:sz w:val="18"/>
          <w:szCs w:val="18"/>
          <w:lang w:eastAsia="ja-JP"/>
        </w:rPr>
      </w:pPr>
      <w:r>
        <w:rPr>
          <w:rFonts w:eastAsia="Arial" w:cs="Arial"/>
          <w:color w:val="000000" w:themeColor="text1"/>
        </w:rPr>
        <w:lastRenderedPageBreak/>
        <w:fldChar w:fldCharType="begin"/>
      </w:r>
      <w:r>
        <w:rPr>
          <w:rFonts w:eastAsia="Arial" w:cs="Arial"/>
          <w:color w:val="000000" w:themeColor="text1"/>
        </w:rPr>
        <w:instrText xml:space="preserve"> AUTONUM  </w:instrText>
      </w:r>
      <w:r>
        <w:rPr>
          <w:rFonts w:eastAsia="Arial" w:cs="Arial"/>
          <w:color w:val="000000" w:themeColor="text1"/>
        </w:rPr>
        <w:fldChar w:fldCharType="end"/>
      </w:r>
      <w:r>
        <w:tab/>
        <w:t>El WG-EDV convino en modificar el párrafo 4 del Anexo I del documento UPOV/WG-EDV/3/2 de la siguiente manera:</w:t>
      </w:r>
      <w:r w:rsidR="0002029D">
        <w:rPr>
          <w:color w:val="000000" w:themeColor="text1"/>
        </w:rPr>
        <w:t xml:space="preserve"> </w:t>
      </w:r>
    </w:p>
    <w:p w14:paraId="58FA2565" w14:textId="77777777" w:rsidR="00BC106F" w:rsidRPr="00BC106F" w:rsidRDefault="00BC106F" w:rsidP="007812DB">
      <w:pPr>
        <w:keepNext/>
        <w:rPr>
          <w:rFonts w:eastAsia="Arial" w:cs="Arial"/>
          <w:iCs/>
          <w:color w:val="000000" w:themeColor="text1"/>
          <w:kern w:val="24"/>
          <w:sz w:val="18"/>
        </w:rPr>
      </w:pPr>
    </w:p>
    <w:p w14:paraId="2BF60600" w14:textId="62FC7F71" w:rsidR="00D22468" w:rsidRPr="008A5E0F" w:rsidRDefault="00262D30" w:rsidP="007812DB">
      <w:pPr>
        <w:keepLines/>
        <w:ind w:left="562" w:right="562"/>
        <w:rPr>
          <w:rFonts w:eastAsia="Calibri" w:cs="Arial"/>
          <w:color w:val="000000" w:themeColor="text1"/>
          <w:kern w:val="24"/>
          <w:sz w:val="18"/>
          <w:szCs w:val="18"/>
        </w:rPr>
      </w:pPr>
      <w:r>
        <w:rPr>
          <w:color w:val="000000" w:themeColor="text1"/>
          <w:sz w:val="18"/>
        </w:rPr>
        <w:t>“La derivación principal concierne a la fuente genética de la variedad esencialmente derivada.</w:t>
      </w:r>
      <w:r w:rsidR="00F876C3">
        <w:rPr>
          <w:color w:val="000000" w:themeColor="text1"/>
          <w:sz w:val="18"/>
        </w:rPr>
        <w:t xml:space="preserve"> </w:t>
      </w:r>
      <w:r>
        <w:rPr>
          <w:color w:val="000000" w:themeColor="text1"/>
          <w:sz w:val="18"/>
        </w:rPr>
        <w:t>La derivación principal a partir de una variedad inicial o a partir de una variedad que, a su vez, deriva principalmente de la variedad inicial es el requisito fundamental para que una variedad se considere esencialmente derivada.</w:t>
      </w:r>
      <w:r w:rsidR="00F876C3">
        <w:rPr>
          <w:color w:val="000000" w:themeColor="text1"/>
          <w:sz w:val="18"/>
        </w:rPr>
        <w:t xml:space="preserve"> </w:t>
      </w:r>
      <w:r>
        <w:rPr>
          <w:color w:val="000000" w:themeColor="text1"/>
          <w:sz w:val="18"/>
        </w:rPr>
        <w:t xml:space="preserve">La derivación principal </w:t>
      </w:r>
      <w:r w:rsidRPr="00CA47EF">
        <w:rPr>
          <w:color w:val="000000" w:themeColor="text1"/>
          <w:sz w:val="18"/>
          <w:highlight w:val="lightGray"/>
        </w:rPr>
        <w:t>implica</w:t>
      </w:r>
      <w:r>
        <w:rPr>
          <w:color w:val="000000" w:themeColor="text1"/>
          <w:sz w:val="18"/>
        </w:rPr>
        <w:t xml:space="preserve"> que una variedad solo puede derivar de una variedad inicial.”</w:t>
      </w:r>
      <w:r w:rsidR="001B554D">
        <w:rPr>
          <w:rStyle w:val="FootnoteReference"/>
          <w:color w:val="000000" w:themeColor="text1"/>
          <w:sz w:val="18"/>
        </w:rPr>
        <w:footnoteReference w:id="2"/>
      </w:r>
    </w:p>
    <w:p w14:paraId="65EC9791" w14:textId="77777777" w:rsidR="00CA47EF" w:rsidRPr="00BC7B70" w:rsidRDefault="00CA47EF" w:rsidP="008A5E0F">
      <w:pPr>
        <w:rPr>
          <w:spacing w:val="-4"/>
          <w:sz w:val="18"/>
          <w:szCs w:val="18"/>
          <w:lang w:eastAsia="ja-JP"/>
        </w:rPr>
      </w:pPr>
    </w:p>
    <w:p w14:paraId="74A9F72D" w14:textId="77777777" w:rsidR="00B4170B" w:rsidRDefault="008A5E0F" w:rsidP="008A5E0F">
      <w:pPr>
        <w:rPr>
          <w:spacing w:val="-4"/>
          <w:szCs w:val="24"/>
        </w:rPr>
      </w:pPr>
      <w:r>
        <w:fldChar w:fldCharType="begin"/>
      </w:r>
      <w:r>
        <w:instrText xml:space="preserve"> AUTONUM  </w:instrText>
      </w:r>
      <w:r>
        <w:fldChar w:fldCharType="end"/>
      </w:r>
      <w:r>
        <w:tab/>
        <w:t>El WG-EDV convino en que se debe revisar la versión española del párrafo </w:t>
      </w:r>
      <w:r>
        <w:rPr>
          <w:color w:val="000000" w:themeColor="text1"/>
        </w:rPr>
        <w:t>4 del Anexo I d</w:t>
      </w:r>
      <w:r>
        <w:t xml:space="preserve">el documento UPOV/WG-EDV/3/2, </w:t>
      </w:r>
      <w:r>
        <w:rPr>
          <w:color w:val="000000" w:themeColor="text1"/>
        </w:rPr>
        <w:t>para asegurar que sea clara</w:t>
      </w:r>
      <w:r>
        <w:t xml:space="preserve"> y coherente con el texto en inglés. </w:t>
      </w:r>
    </w:p>
    <w:p w14:paraId="3ACC04F0" w14:textId="77777777" w:rsidR="00AD198B" w:rsidRPr="00DD655E" w:rsidRDefault="00AD198B" w:rsidP="00DD655E"/>
    <w:p w14:paraId="3FE64DF1" w14:textId="77777777" w:rsidR="008412B4" w:rsidRDefault="006E56F0" w:rsidP="008412B4">
      <w:pPr>
        <w:rPr>
          <w:rFonts w:eastAsia="Arial" w:cs="Arial"/>
          <w:iCs/>
          <w:color w:val="000000" w:themeColor="text1"/>
          <w:kern w:val="24"/>
        </w:rPr>
      </w:pPr>
      <w:r w:rsidRPr="00FD06CF">
        <w:rPr>
          <w:rFonts w:cs="Arial"/>
        </w:rPr>
        <w:fldChar w:fldCharType="begin"/>
      </w:r>
      <w:r w:rsidRPr="00FD06CF">
        <w:rPr>
          <w:rFonts w:cs="Arial"/>
        </w:rPr>
        <w:instrText xml:space="preserve"> AUTONUM  </w:instrText>
      </w:r>
      <w:r w:rsidRPr="00FD06CF">
        <w:rPr>
          <w:rFonts w:cs="Arial"/>
        </w:rPr>
        <w:fldChar w:fldCharType="end"/>
      </w:r>
      <w:r>
        <w:tab/>
        <w:t>El WG-EDV convino en modificar el párrafo 5 del Anexo I del documento UPOV/WG-EDV/3/2, añadiendo las dos siguientes notas al pie:</w:t>
      </w:r>
      <w:r>
        <w:rPr>
          <w:color w:val="000000" w:themeColor="text1"/>
        </w:rPr>
        <w:t xml:space="preserve"> </w:t>
      </w:r>
    </w:p>
    <w:p w14:paraId="0148FFD4" w14:textId="77777777" w:rsidR="00FD06CF" w:rsidRPr="00A91607" w:rsidRDefault="00FD06CF" w:rsidP="008412B4">
      <w:pPr>
        <w:rPr>
          <w:rFonts w:eastAsia="Arial" w:cs="Arial"/>
          <w:iCs/>
          <w:color w:val="000000" w:themeColor="text1"/>
          <w:spacing w:val="-2"/>
          <w:kern w:val="24"/>
          <w:sz w:val="18"/>
        </w:rPr>
      </w:pPr>
    </w:p>
    <w:p w14:paraId="688B235B" w14:textId="2CD59EC6" w:rsidR="00FD06CF" w:rsidRPr="006970BB" w:rsidRDefault="007C367E" w:rsidP="007C367E">
      <w:pPr>
        <w:ind w:left="567"/>
        <w:rPr>
          <w:spacing w:val="-2"/>
          <w:sz w:val="18"/>
          <w:szCs w:val="18"/>
        </w:rPr>
      </w:pPr>
      <w:r>
        <w:rPr>
          <w:spacing w:val="-2"/>
          <w:sz w:val="18"/>
        </w:rPr>
        <w:t>“Derivación ‘principal’</w:t>
      </w:r>
      <w:r w:rsidR="00BC106F" w:rsidRPr="00BC106F">
        <w:rPr>
          <w:spacing w:val="-2"/>
          <w:sz w:val="18"/>
        </w:rPr>
        <w:t xml:space="preserve"> significa que se conserva más del genoma de la variedad inicial de lo que se</w:t>
      </w:r>
      <w:r w:rsidR="00BC106F">
        <w:rPr>
          <w:spacing w:val="-2"/>
          <w:sz w:val="18"/>
        </w:rPr>
        <w:t xml:space="preserve"> </w:t>
      </w:r>
      <w:r w:rsidR="00BC106F" w:rsidRPr="00BC106F">
        <w:rPr>
          <w:spacing w:val="-2"/>
          <w:sz w:val="18"/>
        </w:rPr>
        <w:t>conservaría como consecuencia de un cruzamiento y selección normal con diferentes variedades</w:t>
      </w:r>
      <w:r w:rsidR="00BC106F">
        <w:rPr>
          <w:spacing w:val="-2"/>
          <w:sz w:val="18"/>
        </w:rPr>
        <w:t xml:space="preserve"> progenitoras</w:t>
      </w:r>
      <w:r w:rsidR="00BC106F" w:rsidRPr="00BC106F">
        <w:rPr>
          <w:b/>
          <w:spacing w:val="-2"/>
          <w:sz w:val="18"/>
          <w:highlight w:val="lightGray"/>
          <w:u w:val="single"/>
          <w:vertAlign w:val="superscript"/>
        </w:rPr>
        <w:t>2</w:t>
      </w:r>
      <w:r w:rsidR="00BC106F">
        <w:rPr>
          <w:spacing w:val="-2"/>
          <w:sz w:val="18"/>
        </w:rPr>
        <w:t>.</w:t>
      </w:r>
      <w:r w:rsidR="00BC106F" w:rsidRPr="00BC106F">
        <w:rPr>
          <w:spacing w:val="-2"/>
          <w:sz w:val="18"/>
        </w:rPr>
        <w:t xml:space="preserve"> Una variedad solo debe considerarse derivada principalmente de la variedad inicial si conserva</w:t>
      </w:r>
      <w:r w:rsidR="00BC106F">
        <w:rPr>
          <w:spacing w:val="-2"/>
          <w:sz w:val="18"/>
        </w:rPr>
        <w:t xml:space="preserve"> </w:t>
      </w:r>
      <w:r w:rsidR="00BC106F" w:rsidRPr="00BC106F">
        <w:rPr>
          <w:spacing w:val="-2"/>
          <w:sz w:val="18"/>
        </w:rPr>
        <w:t>casi todo el gen</w:t>
      </w:r>
      <w:r w:rsidR="00BC106F">
        <w:rPr>
          <w:spacing w:val="-2"/>
          <w:sz w:val="18"/>
        </w:rPr>
        <w:t>oma de la variedad inicial. Sin </w:t>
      </w:r>
      <w:r w:rsidR="00BC106F" w:rsidRPr="00BC106F">
        <w:rPr>
          <w:spacing w:val="-2"/>
          <w:sz w:val="18"/>
        </w:rPr>
        <w:t>embargo, por sí solo un alto grado de conformidad genética no</w:t>
      </w:r>
      <w:r w:rsidR="00BC106F">
        <w:rPr>
          <w:spacing w:val="-2"/>
          <w:sz w:val="18"/>
        </w:rPr>
        <w:t xml:space="preserve"> </w:t>
      </w:r>
      <w:r w:rsidR="00BC106F" w:rsidRPr="00BC106F">
        <w:rPr>
          <w:spacing w:val="-2"/>
          <w:sz w:val="18"/>
        </w:rPr>
        <w:t>significa necesariamente que una variedad se haya obtenido por derivación principal.</w:t>
      </w:r>
      <w:r w:rsidR="00F876C3" w:rsidRPr="006970BB">
        <w:rPr>
          <w:color w:val="000000" w:themeColor="text1"/>
          <w:spacing w:val="-2"/>
          <w:sz w:val="18"/>
        </w:rPr>
        <w:t xml:space="preserve"> </w:t>
      </w:r>
      <w:r w:rsidR="00FD06CF" w:rsidRPr="006970BB">
        <w:rPr>
          <w:spacing w:val="-2"/>
          <w:sz w:val="18"/>
        </w:rPr>
        <w:t xml:space="preserve">Por ejemplo, las </w:t>
      </w:r>
      <w:r w:rsidR="00FD06CF" w:rsidRPr="006970BB">
        <w:rPr>
          <w:strike/>
          <w:spacing w:val="-2"/>
          <w:sz w:val="18"/>
          <w:highlight w:val="lightGray"/>
        </w:rPr>
        <w:t>líneas hermanas</w:t>
      </w:r>
      <w:r w:rsidR="00FD06CF" w:rsidRPr="006970BB">
        <w:rPr>
          <w:spacing w:val="-2"/>
          <w:sz w:val="18"/>
        </w:rPr>
        <w:t xml:space="preserve"> </w:t>
      </w:r>
      <w:r w:rsidR="00FD06CF" w:rsidRPr="006970BB">
        <w:rPr>
          <w:spacing w:val="-2"/>
          <w:sz w:val="18"/>
          <w:highlight w:val="lightGray"/>
          <w:u w:val="single"/>
        </w:rPr>
        <w:t>progenies</w:t>
      </w:r>
      <w:r w:rsidR="00FD06CF" w:rsidRPr="006970BB">
        <w:rPr>
          <w:spacing w:val="-2"/>
          <w:sz w:val="18"/>
        </w:rPr>
        <w:t xml:space="preserve"> obtenidas a partir de un mismo cruzamiento pueden tener un alto grado de </w:t>
      </w:r>
      <w:r w:rsidRPr="007C367E">
        <w:rPr>
          <w:spacing w:val="-2"/>
          <w:sz w:val="18"/>
        </w:rPr>
        <w:t>conformidad</w:t>
      </w:r>
      <w:r>
        <w:rPr>
          <w:spacing w:val="-2"/>
          <w:sz w:val="18"/>
        </w:rPr>
        <w:t xml:space="preserve"> </w:t>
      </w:r>
      <w:r w:rsidR="00FD06CF" w:rsidRPr="006970BB">
        <w:rPr>
          <w:spacing w:val="-2"/>
          <w:sz w:val="18"/>
        </w:rPr>
        <w:t xml:space="preserve">genética, </w:t>
      </w:r>
      <w:r w:rsidRPr="007C367E">
        <w:rPr>
          <w:spacing w:val="-2"/>
          <w:sz w:val="18"/>
        </w:rPr>
        <w:t>pero ninguna de ellas se debe considerar la variedad inicial de la otra ni que deriva principalmente de la otra.</w:t>
      </w:r>
      <w:r>
        <w:rPr>
          <w:spacing w:val="-2"/>
          <w:sz w:val="18"/>
        </w:rPr>
        <w:t xml:space="preserve"> </w:t>
      </w:r>
      <w:r w:rsidRPr="007C367E">
        <w:rPr>
          <w:spacing w:val="-2"/>
          <w:sz w:val="18"/>
        </w:rPr>
        <w:t>El fitomejoramiento</w:t>
      </w:r>
      <w:r>
        <w:rPr>
          <w:spacing w:val="-2"/>
          <w:sz w:val="18"/>
        </w:rPr>
        <w:t xml:space="preserve"> </w:t>
      </w:r>
      <w:r w:rsidR="00FD06CF" w:rsidRPr="006970BB">
        <w:rPr>
          <w:spacing w:val="-2"/>
          <w:sz w:val="18"/>
        </w:rPr>
        <w:t>convergente</w:t>
      </w:r>
      <w:r w:rsidR="00FD06CF" w:rsidRPr="006970BB">
        <w:rPr>
          <w:b/>
          <w:spacing w:val="-2"/>
          <w:sz w:val="18"/>
          <w:highlight w:val="lightGray"/>
          <w:u w:val="single"/>
          <w:vertAlign w:val="superscript"/>
        </w:rPr>
        <w:t>3</w:t>
      </w:r>
      <w:r w:rsidR="00FD06CF" w:rsidRPr="006970BB">
        <w:rPr>
          <w:spacing w:val="-2"/>
          <w:sz w:val="18"/>
        </w:rPr>
        <w:t xml:space="preserve"> también </w:t>
      </w:r>
      <w:r w:rsidRPr="007C367E">
        <w:rPr>
          <w:spacing w:val="-2"/>
          <w:sz w:val="18"/>
        </w:rPr>
        <w:t>puede dar lugar a un alto grado de conformidad genética entre dos</w:t>
      </w:r>
      <w:r>
        <w:rPr>
          <w:spacing w:val="-2"/>
          <w:sz w:val="18"/>
        </w:rPr>
        <w:t xml:space="preserve"> </w:t>
      </w:r>
      <w:r w:rsidRPr="007C367E">
        <w:rPr>
          <w:spacing w:val="-2"/>
          <w:sz w:val="18"/>
        </w:rPr>
        <w:t>variedades obtenidas a partir de progenitores diferentes, sin que ninguna de ellas sea la variedad inicial de la</w:t>
      </w:r>
      <w:r>
        <w:rPr>
          <w:spacing w:val="-2"/>
          <w:sz w:val="18"/>
        </w:rPr>
        <w:t xml:space="preserve"> </w:t>
      </w:r>
      <w:r w:rsidRPr="007C367E">
        <w:rPr>
          <w:spacing w:val="-2"/>
          <w:sz w:val="18"/>
        </w:rPr>
        <w:t>que se ha derivado principalmente la otra</w:t>
      </w:r>
      <w:r w:rsidR="00FD06CF" w:rsidRPr="006970BB">
        <w:rPr>
          <w:spacing w:val="-2"/>
          <w:sz w:val="18"/>
        </w:rPr>
        <w:t>.”</w:t>
      </w:r>
    </w:p>
    <w:p w14:paraId="3CD854DE" w14:textId="77777777" w:rsidR="008412B4" w:rsidRPr="008A5E0F" w:rsidRDefault="008412B4" w:rsidP="008412B4">
      <w:pPr>
        <w:rPr>
          <w:sz w:val="18"/>
          <w:szCs w:val="18"/>
        </w:rPr>
      </w:pPr>
    </w:p>
    <w:p w14:paraId="523CA2C9" w14:textId="3438C2F7" w:rsidR="008412B4" w:rsidRPr="007C367E" w:rsidRDefault="00FD06CF" w:rsidP="007C367E">
      <w:pPr>
        <w:ind w:left="567"/>
        <w:rPr>
          <w:sz w:val="18"/>
          <w:szCs w:val="18"/>
          <w:u w:val="single"/>
        </w:rPr>
      </w:pPr>
      <w:r>
        <w:rPr>
          <w:sz w:val="18"/>
        </w:rPr>
        <w:t>Nota al pie 2:</w:t>
      </w:r>
      <w:r w:rsidR="00F876C3">
        <w:rPr>
          <w:sz w:val="18"/>
        </w:rPr>
        <w:t xml:space="preserve"> </w:t>
      </w:r>
      <w:r w:rsidR="007C367E" w:rsidRPr="007C367E">
        <w:rPr>
          <w:sz w:val="18"/>
          <w:highlight w:val="lightGray"/>
          <w:u w:val="single"/>
        </w:rPr>
        <w:t>Se entiende por “cruzamiento y selección normal” el cruzamiento de dos o más variedades progenitoras de fenotipo y genotipo distintos para obtener una población segregada con fines de examen y selección</w:t>
      </w:r>
      <w:r w:rsidRPr="007C367E">
        <w:rPr>
          <w:sz w:val="18"/>
          <w:highlight w:val="lightGray"/>
          <w:u w:val="single"/>
        </w:rPr>
        <w:t>.</w:t>
      </w:r>
    </w:p>
    <w:p w14:paraId="7B3DE690" w14:textId="77777777" w:rsidR="008412B4" w:rsidRPr="008A5E0F" w:rsidRDefault="008412B4" w:rsidP="008412B4">
      <w:pPr>
        <w:rPr>
          <w:sz w:val="18"/>
          <w:szCs w:val="18"/>
        </w:rPr>
      </w:pPr>
    </w:p>
    <w:p w14:paraId="10C31196" w14:textId="4128DD36" w:rsidR="008412B4" w:rsidRPr="00DE30B6" w:rsidRDefault="00FD06CF" w:rsidP="007C367E">
      <w:pPr>
        <w:ind w:left="567"/>
        <w:rPr>
          <w:spacing w:val="2"/>
          <w:sz w:val="18"/>
          <w:szCs w:val="18"/>
        </w:rPr>
      </w:pPr>
      <w:r>
        <w:rPr>
          <w:sz w:val="18"/>
        </w:rPr>
        <w:t>Nota al pie 3:</w:t>
      </w:r>
      <w:r w:rsidR="00F876C3">
        <w:rPr>
          <w:sz w:val="18"/>
        </w:rPr>
        <w:t xml:space="preserve"> </w:t>
      </w:r>
      <w:r>
        <w:rPr>
          <w:sz w:val="18"/>
          <w:highlight w:val="lightGray"/>
          <w:u w:val="single"/>
        </w:rPr>
        <w:t>El</w:t>
      </w:r>
      <w:r w:rsidR="00E86E59">
        <w:rPr>
          <w:sz w:val="18"/>
          <w:highlight w:val="lightGray"/>
          <w:u w:val="single"/>
        </w:rPr>
        <w:t xml:space="preserve"> </w:t>
      </w:r>
      <w:r>
        <w:rPr>
          <w:sz w:val="18"/>
          <w:highlight w:val="lightGray"/>
          <w:u w:val="single"/>
        </w:rPr>
        <w:t>“fitomejoramiento convergent</w:t>
      </w:r>
      <w:r w:rsidRPr="007C367E">
        <w:rPr>
          <w:sz w:val="18"/>
          <w:highlight w:val="lightGray"/>
          <w:u w:val="single"/>
        </w:rPr>
        <w:t xml:space="preserve">e” </w:t>
      </w:r>
      <w:r w:rsidR="007C367E" w:rsidRPr="007C367E">
        <w:rPr>
          <w:sz w:val="18"/>
          <w:highlight w:val="lightGray"/>
          <w:u w:val="single"/>
        </w:rPr>
        <w:t>se produce cuando diferentes obtentores seleccionan de forma independiente, dentro de un conjunto de germoplasma, tipos de plantas similares que tienen características comunes (por ejemplo, madurez, estatura, idoneidad para la cosecha mecánica). Como resultado del fitomejoramiento convergente, dos variedades obtenidas del mismo conjunto pueden presentar un alto grado de conformidad</w:t>
      </w:r>
      <w:r w:rsidR="007C367E">
        <w:rPr>
          <w:sz w:val="18"/>
          <w:highlight w:val="lightGray"/>
          <w:u w:val="single"/>
        </w:rPr>
        <w:t xml:space="preserve"> </w:t>
      </w:r>
      <w:r w:rsidR="007C367E" w:rsidRPr="007C367E">
        <w:rPr>
          <w:sz w:val="18"/>
          <w:highlight w:val="lightGray"/>
          <w:u w:val="single"/>
        </w:rPr>
        <w:t>genética aunque ninguna de ellas se haya derivado predominantemente de la otra</w:t>
      </w:r>
      <w:r w:rsidRPr="007C367E">
        <w:rPr>
          <w:sz w:val="18"/>
          <w:highlight w:val="lightGray"/>
          <w:u w:val="single"/>
        </w:rPr>
        <w:t>.</w:t>
      </w:r>
    </w:p>
    <w:p w14:paraId="268650EE" w14:textId="77777777" w:rsidR="00C17E27" w:rsidRPr="00DE30B6" w:rsidRDefault="00C17E27" w:rsidP="00FD06CF">
      <w:pPr>
        <w:rPr>
          <w:spacing w:val="2"/>
          <w:szCs w:val="24"/>
          <w:lang w:eastAsia="ja-JP"/>
        </w:rPr>
      </w:pPr>
    </w:p>
    <w:p w14:paraId="09DB7F19" w14:textId="2DB364C9" w:rsidR="007C1311" w:rsidRPr="00DE30B6" w:rsidRDefault="006E56F0" w:rsidP="007C1311">
      <w:pPr>
        <w:rPr>
          <w:spacing w:val="2"/>
          <w:szCs w:val="24"/>
        </w:rPr>
      </w:pPr>
      <w:r w:rsidRPr="00DE30B6">
        <w:fldChar w:fldCharType="begin"/>
      </w:r>
      <w:r w:rsidRPr="00DE30B6">
        <w:instrText xml:space="preserve"> AUTONUM  </w:instrText>
      </w:r>
      <w:r w:rsidRPr="00DE30B6">
        <w:fldChar w:fldCharType="end"/>
      </w:r>
      <w:r>
        <w:tab/>
        <w:t>La delegación de Suecia solicitó la aclara</w:t>
      </w:r>
      <w:r>
        <w:rPr>
          <w:color w:val="000000"/>
        </w:rPr>
        <w:t xml:space="preserve">ción del término “industrial” en el párrafo 7 del Anexo I </w:t>
      </w:r>
      <w:r>
        <w:t>del documento UPOV/WG-EDV/3/2.</w:t>
      </w:r>
      <w:r w:rsidR="00F876C3">
        <w:t xml:space="preserve"> </w:t>
      </w:r>
      <w:r>
        <w:t>Un representante de la ISF explicó que el término “industrial” es aplicable a los caracteres que se desarrollan con fines industriales, por ejemplo, los caracteres de aceite.</w:t>
      </w:r>
    </w:p>
    <w:p w14:paraId="44A7A43E" w14:textId="77777777" w:rsidR="007C1311" w:rsidRPr="008A5E0F" w:rsidRDefault="007C1311" w:rsidP="006E56F0">
      <w:pPr>
        <w:rPr>
          <w:color w:val="000000"/>
          <w:lang w:eastAsia="ja-JP"/>
        </w:rPr>
      </w:pPr>
    </w:p>
    <w:p w14:paraId="6E54C745" w14:textId="34F6B427" w:rsidR="007C1311" w:rsidRPr="007B785C" w:rsidRDefault="007C1311" w:rsidP="007C1311">
      <w:pPr>
        <w:rPr>
          <w:spacing w:val="-4"/>
          <w:szCs w:val="24"/>
        </w:rPr>
      </w:pPr>
      <w:r w:rsidRPr="007B785C">
        <w:fldChar w:fldCharType="begin"/>
      </w:r>
      <w:r w:rsidRPr="007B785C">
        <w:instrText xml:space="preserve"> AUTONUM  </w:instrText>
      </w:r>
      <w:r w:rsidRPr="007B785C">
        <w:fldChar w:fldCharType="end"/>
      </w:r>
      <w:r>
        <w:tab/>
        <w:t>El WG-EDV convino en solicitar una revisión del párrafo 7 del Anexo I del documento</w:t>
      </w:r>
      <w:r w:rsidR="000B52BF">
        <w:t> </w:t>
      </w:r>
      <w:r>
        <w:t>UPOV/WG</w:t>
      </w:r>
      <w:r w:rsidR="000B52BF">
        <w:noBreakHyphen/>
      </w:r>
      <w:r>
        <w:t>EDV/3/2, en lo que se refiere al término “industrial”:</w:t>
      </w:r>
    </w:p>
    <w:p w14:paraId="456D9FB9" w14:textId="77777777" w:rsidR="006E56F0" w:rsidRPr="007B785C" w:rsidRDefault="006E56F0" w:rsidP="00D22230">
      <w:pPr>
        <w:rPr>
          <w:rFonts w:cs="Arial"/>
        </w:rPr>
      </w:pPr>
    </w:p>
    <w:p w14:paraId="19954737" w14:textId="77777777" w:rsidR="006E56F0" w:rsidRDefault="006E56F0" w:rsidP="00FF4475">
      <w:pPr>
        <w:rPr>
          <w:rFonts w:cs="Arial"/>
        </w:rPr>
      </w:pPr>
      <w:r w:rsidRPr="00C86D0C">
        <w:rPr>
          <w:rFonts w:cs="Arial"/>
        </w:rPr>
        <w:fldChar w:fldCharType="begin"/>
      </w:r>
      <w:r w:rsidRPr="00C86D0C">
        <w:rPr>
          <w:rFonts w:cs="Arial"/>
        </w:rPr>
        <w:instrText xml:space="preserve"> AUTONUM  </w:instrText>
      </w:r>
      <w:r w:rsidRPr="00C86D0C">
        <w:rPr>
          <w:rFonts w:cs="Arial"/>
        </w:rPr>
        <w:fldChar w:fldCharType="end"/>
      </w:r>
      <w:r>
        <w:tab/>
        <w:t>El WG-EDV convino en modificar el párrafo 8 del Anexo I del documento UPOV/WG-EDV/3/2 de la siguiente manera:</w:t>
      </w:r>
    </w:p>
    <w:p w14:paraId="0ED9B5A4" w14:textId="77777777" w:rsidR="00FF4475" w:rsidRPr="00A91607" w:rsidRDefault="00FF4475" w:rsidP="00FF4475">
      <w:pPr>
        <w:rPr>
          <w:rFonts w:cs="Arial"/>
          <w:sz w:val="16"/>
          <w:szCs w:val="18"/>
        </w:rPr>
      </w:pPr>
    </w:p>
    <w:p w14:paraId="511A11F2" w14:textId="77D4AEA3" w:rsidR="00FF4475" w:rsidRPr="007D37E2" w:rsidRDefault="00FF4475" w:rsidP="00FF4475">
      <w:pPr>
        <w:ind w:left="567"/>
        <w:rPr>
          <w:strike/>
          <w:sz w:val="18"/>
          <w:szCs w:val="18"/>
          <w:highlight w:val="lightGray"/>
        </w:rPr>
      </w:pPr>
      <w:r>
        <w:rPr>
          <w:sz w:val="18"/>
        </w:rPr>
        <w:t xml:space="preserve">“Un ‘carácter esencial’ es aquel que </w:t>
      </w:r>
      <w:r>
        <w:rPr>
          <w:sz w:val="18"/>
          <w:highlight w:val="lightGray"/>
          <w:u w:val="single"/>
        </w:rPr>
        <w:t xml:space="preserve">es esencial para la variedad en su </w:t>
      </w:r>
      <w:proofErr w:type="gramStart"/>
      <w:r>
        <w:rPr>
          <w:sz w:val="18"/>
          <w:highlight w:val="lightGray"/>
          <w:u w:val="single"/>
        </w:rPr>
        <w:t>conjunto</w:t>
      </w:r>
      <w:r>
        <w:rPr>
          <w:strike/>
          <w:sz w:val="18"/>
          <w:highlight w:val="lightGray"/>
        </w:rPr>
        <w:t>:</w:t>
      </w:r>
      <w:r>
        <w:rPr>
          <w:sz w:val="18"/>
          <w:u w:val="single"/>
        </w:rPr>
        <w:t>.</w:t>
      </w:r>
      <w:proofErr w:type="gramEnd"/>
      <w:r w:rsidR="00F876C3">
        <w:rPr>
          <w:sz w:val="18"/>
        </w:rPr>
        <w:t xml:space="preserve"> </w:t>
      </w:r>
      <w:r>
        <w:rPr>
          <w:sz w:val="18"/>
          <w:highlight w:val="lightGray"/>
          <w:u w:val="single"/>
        </w:rPr>
        <w:t>Debe contribuir</w:t>
      </w:r>
      <w:r>
        <w:rPr>
          <w:sz w:val="18"/>
        </w:rPr>
        <w:t xml:space="preserve"> </w:t>
      </w:r>
      <w:r>
        <w:rPr>
          <w:strike/>
          <w:sz w:val="18"/>
          <w:highlight w:val="lightGray"/>
        </w:rPr>
        <w:t>i) contribuye</w:t>
      </w:r>
      <w:r>
        <w:rPr>
          <w:sz w:val="18"/>
        </w:rPr>
        <w:t xml:space="preserve"> a los principales rasgos, el rendimiento o el valor </w:t>
      </w:r>
      <w:r>
        <w:rPr>
          <w:sz w:val="18"/>
          <w:highlight w:val="lightGray"/>
          <w:u w:val="single"/>
        </w:rPr>
        <w:t>de uso</w:t>
      </w:r>
      <w:r>
        <w:rPr>
          <w:sz w:val="18"/>
        </w:rPr>
        <w:t xml:space="preserve"> de la variedad</w:t>
      </w:r>
      <w:r>
        <w:rPr>
          <w:strike/>
          <w:sz w:val="18"/>
          <w:highlight w:val="lightGray"/>
        </w:rPr>
        <w:t>;</w:t>
      </w:r>
      <w:r>
        <w:rPr>
          <w:sz w:val="18"/>
        </w:rPr>
        <w:t xml:space="preserve"> y </w:t>
      </w:r>
      <w:r>
        <w:rPr>
          <w:strike/>
          <w:sz w:val="18"/>
          <w:highlight w:val="lightGray"/>
        </w:rPr>
        <w:t>o</w:t>
      </w:r>
      <w:r w:rsidR="00F876C3">
        <w:rPr>
          <w:strike/>
          <w:sz w:val="18"/>
          <w:highlight w:val="lightGray"/>
        </w:rPr>
        <w:t xml:space="preserve"> </w:t>
      </w:r>
      <w:r>
        <w:rPr>
          <w:strike/>
          <w:sz w:val="18"/>
          <w:highlight w:val="lightGray"/>
        </w:rPr>
        <w:t xml:space="preserve">ii) es relevante para </w:t>
      </w:r>
      <w:r>
        <w:rPr>
          <w:sz w:val="18"/>
          <w:highlight w:val="lightGray"/>
          <w:u w:val="single"/>
        </w:rPr>
        <w:t>ser relevante para uno de los actores</w:t>
      </w:r>
      <w:r w:rsidR="00F14E27">
        <w:rPr>
          <w:sz w:val="18"/>
          <w:highlight w:val="lightGray"/>
          <w:u w:val="single"/>
        </w:rPr>
        <w:t xml:space="preserve"> o aspectos</w:t>
      </w:r>
      <w:r>
        <w:rPr>
          <w:sz w:val="18"/>
          <w:highlight w:val="lightGray"/>
          <w:u w:val="single"/>
        </w:rPr>
        <w:t xml:space="preserve"> siguientes</w:t>
      </w:r>
      <w:r w:rsidR="000B52BF">
        <w:rPr>
          <w:sz w:val="18"/>
          <w:u w:val="single"/>
        </w:rPr>
        <w:t>:</w:t>
      </w:r>
      <w:r w:rsidR="00F876C3">
        <w:rPr>
          <w:sz w:val="18"/>
        </w:rPr>
        <w:t xml:space="preserve"> </w:t>
      </w:r>
      <w:r>
        <w:rPr>
          <w:sz w:val="18"/>
        </w:rPr>
        <w:t>quienes producen, venden, suministran, compran, reciben</w:t>
      </w:r>
      <w:r>
        <w:rPr>
          <w:sz w:val="18"/>
          <w:highlight w:val="lightGray"/>
          <w:u w:val="single"/>
        </w:rPr>
        <w:t>,</w:t>
      </w:r>
      <w:r>
        <w:rPr>
          <w:sz w:val="18"/>
        </w:rPr>
        <w:t xml:space="preserve"> </w:t>
      </w:r>
      <w:r w:rsidR="00FD3149">
        <w:rPr>
          <w:strike/>
          <w:sz w:val="18"/>
          <w:highlight w:val="lightGray"/>
        </w:rPr>
        <w:t>o</w:t>
      </w:r>
      <w:r w:rsidRPr="00FD3149">
        <w:rPr>
          <w:sz w:val="18"/>
        </w:rPr>
        <w:t xml:space="preserve"> </w:t>
      </w:r>
      <w:r>
        <w:rPr>
          <w:sz w:val="18"/>
        </w:rPr>
        <w:t xml:space="preserve">utilizan el material de reproducción o multiplicación, el producto de la cosecha, los productos obtenidos directamente </w:t>
      </w:r>
      <w:r>
        <w:rPr>
          <w:sz w:val="18"/>
          <w:highlight w:val="lightGray"/>
          <w:u w:val="single"/>
        </w:rPr>
        <w:t>o la cadena de valor</w:t>
      </w:r>
      <w:proofErr w:type="gramStart"/>
      <w:r>
        <w:rPr>
          <w:sz w:val="18"/>
          <w:highlight w:val="lightGray"/>
          <w:u w:val="single"/>
        </w:rPr>
        <w:t>.</w:t>
      </w:r>
      <w:r>
        <w:rPr>
          <w:sz w:val="18"/>
        </w:rPr>
        <w:t xml:space="preserve"> </w:t>
      </w:r>
      <w:r>
        <w:rPr>
          <w:strike/>
          <w:sz w:val="18"/>
          <w:highlight w:val="lightGray"/>
        </w:rPr>
        <w:t>;</w:t>
      </w:r>
      <w:proofErr w:type="gramEnd"/>
      <w:r>
        <w:rPr>
          <w:strike/>
          <w:sz w:val="18"/>
          <w:highlight w:val="lightGray"/>
        </w:rPr>
        <w:t xml:space="preserve"> o</w:t>
      </w:r>
    </w:p>
    <w:p w14:paraId="702F41AF" w14:textId="77777777" w:rsidR="00FF4475" w:rsidRPr="007D37E2" w:rsidRDefault="00FF4475" w:rsidP="00FF4475">
      <w:pPr>
        <w:rPr>
          <w:strike/>
          <w:sz w:val="18"/>
          <w:szCs w:val="18"/>
          <w:highlight w:val="lightGray"/>
        </w:rPr>
      </w:pPr>
    </w:p>
    <w:p w14:paraId="5FF7CF6F" w14:textId="77777777" w:rsidR="00FF4475" w:rsidRPr="00997638" w:rsidRDefault="00FF4475" w:rsidP="00FF4475">
      <w:pPr>
        <w:pStyle w:val="NormalWeb"/>
        <w:spacing w:before="0" w:beforeAutospacing="0" w:after="0" w:afterAutospacing="0"/>
        <w:ind w:left="567"/>
        <w:jc w:val="both"/>
        <w:textAlignment w:val="baseline"/>
        <w:rPr>
          <w:rFonts w:ascii="Arial" w:eastAsia="+mn-ea" w:hAnsi="Arial"/>
          <w:kern w:val="24"/>
          <w:sz w:val="20"/>
          <w:szCs w:val="20"/>
        </w:rPr>
      </w:pPr>
      <w:r>
        <w:rPr>
          <w:rFonts w:ascii="Arial" w:hAnsi="Arial"/>
          <w:strike/>
          <w:sz w:val="18"/>
          <w:highlight w:val="lightGray"/>
        </w:rPr>
        <w:t>iii)</w:t>
      </w:r>
      <w:r>
        <w:rPr>
          <w:rFonts w:ascii="Arial" w:hAnsi="Arial"/>
          <w:strike/>
          <w:sz w:val="18"/>
          <w:highlight w:val="lightGray"/>
        </w:rPr>
        <w:tab/>
        <w:t>es esencial para la variedad en su conjunto.</w:t>
      </w:r>
      <w:r w:rsidRPr="00F14E27">
        <w:rPr>
          <w:rFonts w:ascii="Arial" w:hAnsi="Arial"/>
          <w:sz w:val="18"/>
        </w:rPr>
        <w:t>”</w:t>
      </w:r>
      <w:r>
        <w:rPr>
          <w:rFonts w:ascii="Arial" w:hAnsi="Arial"/>
          <w:sz w:val="20"/>
        </w:rPr>
        <w:t xml:space="preserve"> </w:t>
      </w:r>
    </w:p>
    <w:p w14:paraId="40DDAEB7" w14:textId="77777777" w:rsidR="00FF4475" w:rsidRPr="00A91607" w:rsidRDefault="00FF4475" w:rsidP="00FF4475">
      <w:pPr>
        <w:pStyle w:val="NormalWeb"/>
        <w:keepNext/>
        <w:tabs>
          <w:tab w:val="left" w:pos="540"/>
        </w:tabs>
        <w:spacing w:before="0" w:beforeAutospacing="0" w:after="0" w:afterAutospacing="0"/>
        <w:jc w:val="both"/>
        <w:rPr>
          <w:rFonts w:ascii="Arial" w:hAnsi="Arial" w:cs="Arial"/>
          <w:kern w:val="24"/>
          <w:sz w:val="18"/>
          <w:szCs w:val="20"/>
        </w:rPr>
      </w:pPr>
    </w:p>
    <w:p w14:paraId="138470B5" w14:textId="04D528E2" w:rsidR="00C86D0C" w:rsidRDefault="00FF4475" w:rsidP="00FF4475">
      <w:pPr>
        <w:pStyle w:val="NormalWeb"/>
        <w:keepNext/>
        <w:tabs>
          <w:tab w:val="left" w:pos="540"/>
        </w:tabs>
        <w:spacing w:before="0" w:beforeAutospacing="0" w:after="0" w:afterAutospacing="0"/>
        <w:jc w:val="both"/>
        <w:rPr>
          <w:rFonts w:ascii="Arial" w:hAnsi="Arial" w:cs="Arial"/>
          <w:spacing w:val="-2"/>
          <w:sz w:val="20"/>
          <w:szCs w:val="20"/>
        </w:rPr>
      </w:pPr>
      <w:r w:rsidRPr="00C86D0C">
        <w:rPr>
          <w:rFonts w:ascii="Arial" w:hAnsi="Arial" w:cs="Arial"/>
          <w:sz w:val="20"/>
        </w:rPr>
        <w:fldChar w:fldCharType="begin"/>
      </w:r>
      <w:r w:rsidRPr="00C86D0C">
        <w:rPr>
          <w:rFonts w:ascii="Arial" w:hAnsi="Arial" w:cs="Arial"/>
          <w:sz w:val="20"/>
        </w:rPr>
        <w:instrText xml:space="preserve"> AUTONUM  </w:instrText>
      </w:r>
      <w:r w:rsidRPr="00C86D0C">
        <w:rPr>
          <w:rFonts w:ascii="Arial" w:hAnsi="Arial" w:cs="Arial"/>
          <w:sz w:val="20"/>
        </w:rPr>
        <w:fldChar w:fldCharType="end"/>
      </w:r>
      <w:r>
        <w:rPr>
          <w:rFonts w:ascii="Arial" w:hAnsi="Arial"/>
          <w:sz w:val="20"/>
        </w:rPr>
        <w:tab/>
        <w:t>El WG-EDV examinó la propuesta formulada por la delegación de México de añadir ejemplos de lo que se puede considerar una contribución a los principales rasgos de la variedad.</w:t>
      </w:r>
      <w:r w:rsidR="00F876C3">
        <w:rPr>
          <w:rFonts w:ascii="Arial" w:hAnsi="Arial"/>
          <w:sz w:val="20"/>
        </w:rPr>
        <w:t xml:space="preserve"> </w:t>
      </w:r>
      <w:r>
        <w:rPr>
          <w:rFonts w:ascii="Arial" w:hAnsi="Arial"/>
          <w:sz w:val="20"/>
        </w:rPr>
        <w:t>El WG-EDV convino en que la</w:t>
      </w:r>
      <w:r w:rsidR="00335CF2">
        <w:rPr>
          <w:rFonts w:ascii="Arial" w:hAnsi="Arial"/>
          <w:sz w:val="20"/>
        </w:rPr>
        <w:t> </w:t>
      </w:r>
      <w:r>
        <w:rPr>
          <w:rFonts w:ascii="Arial" w:hAnsi="Arial"/>
          <w:sz w:val="20"/>
        </w:rPr>
        <w:t>Oficina de la Unión debe analizar</w:t>
      </w:r>
      <w:r w:rsidR="00335CF2">
        <w:rPr>
          <w:rFonts w:ascii="Arial" w:hAnsi="Arial"/>
          <w:sz w:val="20"/>
        </w:rPr>
        <w:t>,</w:t>
      </w:r>
      <w:r>
        <w:rPr>
          <w:rFonts w:ascii="Arial" w:hAnsi="Arial"/>
          <w:sz w:val="20"/>
        </w:rPr>
        <w:t xml:space="preserve"> en colaboración con la delegación de México</w:t>
      </w:r>
      <w:r w:rsidR="00335CF2">
        <w:rPr>
          <w:rFonts w:ascii="Arial" w:hAnsi="Arial"/>
          <w:sz w:val="20"/>
        </w:rPr>
        <w:t>,</w:t>
      </w:r>
      <w:r>
        <w:rPr>
          <w:rFonts w:ascii="Arial" w:hAnsi="Arial"/>
          <w:sz w:val="20"/>
        </w:rPr>
        <w:t xml:space="preserve"> la posibilidad de ofrecer ejemplos, si procede, en una revisión del documento. </w:t>
      </w:r>
    </w:p>
    <w:p w14:paraId="5AE49B81" w14:textId="77777777" w:rsidR="006E56F0" w:rsidRPr="00FF4475" w:rsidRDefault="006E56F0" w:rsidP="00D22230">
      <w:pPr>
        <w:rPr>
          <w:spacing w:val="-4"/>
          <w:szCs w:val="24"/>
          <w:lang w:eastAsia="ja-JP"/>
        </w:rPr>
      </w:pPr>
    </w:p>
    <w:p w14:paraId="0F2E9635" w14:textId="77777777" w:rsidR="00F650BB" w:rsidRDefault="00F650BB" w:rsidP="00D93842">
      <w:pPr>
        <w:rPr>
          <w:rFonts w:cs="Arial"/>
        </w:rPr>
      </w:pPr>
      <w:r w:rsidRPr="00C86D0C">
        <w:rPr>
          <w:rFonts w:cs="Arial"/>
        </w:rPr>
        <w:fldChar w:fldCharType="begin"/>
      </w:r>
      <w:r w:rsidRPr="00C86D0C">
        <w:rPr>
          <w:rFonts w:cs="Arial"/>
        </w:rPr>
        <w:instrText xml:space="preserve"> AUTONUM  </w:instrText>
      </w:r>
      <w:r w:rsidRPr="00C86D0C">
        <w:rPr>
          <w:rFonts w:cs="Arial"/>
        </w:rPr>
        <w:fldChar w:fldCharType="end"/>
      </w:r>
      <w:r>
        <w:tab/>
        <w:t>El WG-EDV convino en modificar el párrafo 9 del Anexo I del documento UPOV/WG-EDV/3/2 de la siguiente manera y, si es posible, simplificar el texto:</w:t>
      </w:r>
    </w:p>
    <w:p w14:paraId="094529C7" w14:textId="77777777" w:rsidR="00D93842" w:rsidRPr="005F27B0" w:rsidRDefault="00D93842" w:rsidP="00D93842">
      <w:pPr>
        <w:rPr>
          <w:rFonts w:cs="Arial"/>
          <w:sz w:val="18"/>
        </w:rPr>
      </w:pPr>
    </w:p>
    <w:p w14:paraId="3D606573" w14:textId="6912F66F" w:rsidR="007D37E2" w:rsidRPr="005F27B0" w:rsidRDefault="00FF4475" w:rsidP="005F27B0">
      <w:pPr>
        <w:pStyle w:val="NormalWeb"/>
        <w:spacing w:before="0" w:beforeAutospacing="0" w:after="0" w:afterAutospacing="0"/>
        <w:ind w:left="562" w:right="562"/>
        <w:jc w:val="both"/>
        <w:textAlignment w:val="baseline"/>
        <w:rPr>
          <w:rFonts w:ascii="Arial" w:eastAsia="+mn-ea" w:hAnsi="Arial" w:cs="Arial"/>
          <w:spacing w:val="-2"/>
          <w:kern w:val="24"/>
          <w:sz w:val="20"/>
          <w:szCs w:val="20"/>
        </w:rPr>
      </w:pPr>
      <w:r>
        <w:rPr>
          <w:rFonts w:ascii="Arial" w:hAnsi="Arial"/>
          <w:sz w:val="18"/>
        </w:rPr>
        <w:t xml:space="preserve">“Un carácter esencial puede o no ser uno de los caracteres utilizados para el examen de la distinción, la homogeneidad y la estabilidad (DHE) o </w:t>
      </w:r>
      <w:r>
        <w:rPr>
          <w:rFonts w:ascii="Arial" w:hAnsi="Arial"/>
          <w:sz w:val="18"/>
          <w:highlight w:val="lightGray"/>
          <w:u w:val="single"/>
        </w:rPr>
        <w:t>el</w:t>
      </w:r>
      <w:r>
        <w:rPr>
          <w:rFonts w:ascii="Arial" w:hAnsi="Arial"/>
          <w:sz w:val="18"/>
        </w:rPr>
        <w:t xml:space="preserve"> valor de cultivo </w:t>
      </w:r>
      <w:r>
        <w:rPr>
          <w:rFonts w:ascii="Arial" w:hAnsi="Arial"/>
          <w:strike/>
          <w:sz w:val="18"/>
          <w:highlight w:val="lightGray"/>
        </w:rPr>
        <w:t>o</w:t>
      </w:r>
      <w:r w:rsidR="00F876C3">
        <w:rPr>
          <w:rFonts w:ascii="Arial" w:hAnsi="Arial"/>
          <w:strike/>
          <w:sz w:val="18"/>
          <w:highlight w:val="lightGray"/>
        </w:rPr>
        <w:t xml:space="preserve"> </w:t>
      </w:r>
      <w:r>
        <w:rPr>
          <w:rFonts w:ascii="Arial" w:hAnsi="Arial"/>
          <w:sz w:val="18"/>
          <w:highlight w:val="lightGray"/>
          <w:u w:val="single"/>
        </w:rPr>
        <w:t>y</w:t>
      </w:r>
      <w:r>
        <w:rPr>
          <w:rFonts w:ascii="Arial" w:hAnsi="Arial"/>
          <w:sz w:val="18"/>
        </w:rPr>
        <w:t xml:space="preserve"> uso (VCU).”</w:t>
      </w:r>
      <w:r>
        <w:rPr>
          <w:rFonts w:ascii="Arial" w:hAnsi="Arial"/>
          <w:sz w:val="20"/>
        </w:rPr>
        <w:t xml:space="preserve"> </w:t>
      </w:r>
    </w:p>
    <w:p w14:paraId="3620C26C" w14:textId="77777777" w:rsidR="00D93842" w:rsidRDefault="00D93842" w:rsidP="00D93842">
      <w:pPr>
        <w:rPr>
          <w:rFonts w:cs="Arial"/>
        </w:rPr>
      </w:pPr>
    </w:p>
    <w:p w14:paraId="21CF7451" w14:textId="5F1415FF" w:rsidR="00F650BB" w:rsidRPr="007B785C" w:rsidRDefault="00CE330D" w:rsidP="008C55BD">
      <w:pPr>
        <w:keepLines/>
        <w:rPr>
          <w:rFonts w:cs="Arial"/>
        </w:rPr>
      </w:pPr>
      <w:r w:rsidRPr="007B785C">
        <w:rPr>
          <w:rFonts w:cs="Arial"/>
        </w:rPr>
        <w:lastRenderedPageBreak/>
        <w:fldChar w:fldCharType="begin"/>
      </w:r>
      <w:r w:rsidRPr="007B785C">
        <w:rPr>
          <w:rFonts w:cs="Arial"/>
        </w:rPr>
        <w:instrText xml:space="preserve"> AUTONUM  </w:instrText>
      </w:r>
      <w:r w:rsidRPr="007B785C">
        <w:rPr>
          <w:rFonts w:cs="Arial"/>
        </w:rPr>
        <w:fldChar w:fldCharType="end"/>
      </w:r>
      <w:r>
        <w:tab/>
        <w:t>El WG-EDV examinó la propuesta formulada por la delegación de México de que sería útil incorporar algunos ejemplos en el párrafo 11 del Anexo I del documento UPOV/WG-EDV/3/2.</w:t>
      </w:r>
      <w:r w:rsidR="00F876C3">
        <w:t xml:space="preserve"> </w:t>
      </w:r>
      <w:r>
        <w:t>El WG-EDV convino en que la Oficina de la Unión debe invitar al WG-EDV a facilitar los ejemplos que se han de incluir, si procede, en la revisión del párrafo 11.</w:t>
      </w:r>
    </w:p>
    <w:p w14:paraId="2EADFB0E" w14:textId="77777777" w:rsidR="00CE330D" w:rsidRPr="00A91607" w:rsidRDefault="00CE330D" w:rsidP="00D22230">
      <w:pPr>
        <w:rPr>
          <w:spacing w:val="-4"/>
          <w:sz w:val="16"/>
          <w:szCs w:val="24"/>
          <w:lang w:eastAsia="ja-JP"/>
        </w:rPr>
      </w:pPr>
    </w:p>
    <w:p w14:paraId="63850154" w14:textId="1DF96FF7" w:rsidR="00CE330D" w:rsidRDefault="00CE330D" w:rsidP="007812DB">
      <w:pPr>
        <w:keepNext/>
        <w:rPr>
          <w:spacing w:val="-4"/>
          <w:szCs w:val="24"/>
        </w:rPr>
      </w:pPr>
      <w:r w:rsidRPr="007B785C">
        <w:rPr>
          <w:rFonts w:cs="Arial"/>
        </w:rPr>
        <w:fldChar w:fldCharType="begin"/>
      </w:r>
      <w:r w:rsidRPr="007B785C">
        <w:rPr>
          <w:rFonts w:cs="Arial"/>
        </w:rPr>
        <w:instrText xml:space="preserve"> AUTONUM  </w:instrText>
      </w:r>
      <w:r w:rsidRPr="007B785C">
        <w:rPr>
          <w:rFonts w:cs="Arial"/>
        </w:rPr>
        <w:fldChar w:fldCharType="end"/>
      </w:r>
      <w:r>
        <w:tab/>
        <w:t>El WG-EDV convino en modificar la primera frase del párrafo 12 del Anexo I del documento</w:t>
      </w:r>
      <w:r w:rsidR="0082140E">
        <w:t> </w:t>
      </w:r>
      <w:r>
        <w:t>UPOV/WG</w:t>
      </w:r>
      <w:r w:rsidR="0082140E">
        <w:noBreakHyphen/>
      </w:r>
      <w:r>
        <w:t xml:space="preserve">EDV/3/2 de la siguiente manera: </w:t>
      </w:r>
    </w:p>
    <w:p w14:paraId="0090EB08" w14:textId="77777777" w:rsidR="00CE330D" w:rsidRPr="005F27B0" w:rsidRDefault="00CE330D" w:rsidP="007812DB">
      <w:pPr>
        <w:keepNext/>
        <w:rPr>
          <w:sz w:val="18"/>
        </w:rPr>
      </w:pPr>
    </w:p>
    <w:p w14:paraId="52953A84" w14:textId="585B6832" w:rsidR="00CE330D" w:rsidRPr="00997638" w:rsidRDefault="00C012D3" w:rsidP="007812DB">
      <w:pPr>
        <w:keepLines/>
        <w:ind w:left="562" w:right="562"/>
        <w:rPr>
          <w:rFonts w:cs="Arial"/>
          <w:color w:val="000000" w:themeColor="text1"/>
        </w:rPr>
      </w:pPr>
      <w:r>
        <w:rPr>
          <w:sz w:val="18"/>
        </w:rPr>
        <w:t>“12.</w:t>
      </w:r>
      <w:r>
        <w:rPr>
          <w:sz w:val="18"/>
        </w:rPr>
        <w:tab/>
        <w:t xml:space="preserve">El grado de </w:t>
      </w:r>
      <w:r w:rsidR="00192FCF">
        <w:rPr>
          <w:sz w:val="18"/>
        </w:rPr>
        <w:t>conformidad</w:t>
      </w:r>
      <w:r>
        <w:rPr>
          <w:sz w:val="18"/>
        </w:rPr>
        <w:t xml:space="preserve"> </w:t>
      </w:r>
      <w:r>
        <w:rPr>
          <w:strike/>
          <w:sz w:val="18"/>
          <w:highlight w:val="lightGray"/>
        </w:rPr>
        <w:t>en la expresión de los caracteres esenciales</w:t>
      </w:r>
      <w:r>
        <w:rPr>
          <w:sz w:val="18"/>
        </w:rPr>
        <w:t xml:space="preserve"> </w:t>
      </w:r>
      <w:r>
        <w:rPr>
          <w:sz w:val="18"/>
          <w:highlight w:val="lightGray"/>
          <w:u w:val="single"/>
        </w:rPr>
        <w:t>entre la presunta variedad esencialmente derivada y la variedad inicial</w:t>
      </w:r>
      <w:r>
        <w:rPr>
          <w:sz w:val="18"/>
        </w:rPr>
        <w:t xml:space="preserve"> debe determinarse teniendo en cuenta la expresión de los caracteres esenciales que provienen del genotipo de la variedad inicial.”</w:t>
      </w:r>
    </w:p>
    <w:p w14:paraId="41F2C507" w14:textId="77777777" w:rsidR="00CE330D" w:rsidRDefault="00CE330D" w:rsidP="00D22230">
      <w:pPr>
        <w:rPr>
          <w:spacing w:val="-4"/>
          <w:szCs w:val="24"/>
          <w:lang w:eastAsia="ja-JP"/>
        </w:rPr>
      </w:pPr>
    </w:p>
    <w:p w14:paraId="197D7224" w14:textId="6FD155EA" w:rsidR="00EF0242" w:rsidRDefault="00D931AB" w:rsidP="00D931AB">
      <w:pPr>
        <w:keepNext/>
        <w:rPr>
          <w:snapToGrid w:val="0"/>
          <w:color w:val="000000" w:themeColor="text1"/>
        </w:rPr>
      </w:pPr>
      <w:r w:rsidRPr="00C86D0C">
        <w:rPr>
          <w:snapToGrid w:val="0"/>
          <w:color w:val="000000" w:themeColor="text1"/>
        </w:rPr>
        <w:fldChar w:fldCharType="begin"/>
      </w:r>
      <w:r w:rsidRPr="00C86D0C">
        <w:rPr>
          <w:snapToGrid w:val="0"/>
          <w:color w:val="000000" w:themeColor="text1"/>
        </w:rPr>
        <w:instrText xml:space="preserve"> AUTONUM  </w:instrText>
      </w:r>
      <w:r w:rsidRPr="00C86D0C">
        <w:rPr>
          <w:snapToGrid w:val="0"/>
          <w:color w:val="000000" w:themeColor="text1"/>
        </w:rPr>
        <w:fldChar w:fldCharType="end"/>
      </w:r>
      <w:r>
        <w:rPr>
          <w:snapToGrid w:val="0"/>
          <w:color w:val="000000" w:themeColor="text1"/>
        </w:rPr>
        <w:tab/>
      </w:r>
      <w:r>
        <w:t>El WG-EDV convino en modificar la primera frase del párrafo 13 del Anexo I del documento</w:t>
      </w:r>
      <w:r w:rsidR="0082140E">
        <w:t> </w:t>
      </w:r>
      <w:r>
        <w:t>UPOV/WG</w:t>
      </w:r>
      <w:r w:rsidR="0082140E">
        <w:noBreakHyphen/>
      </w:r>
      <w:r>
        <w:t>EDV/3/2 de la siguiente manera:</w:t>
      </w:r>
    </w:p>
    <w:p w14:paraId="7C908553" w14:textId="77777777" w:rsidR="00EF0242" w:rsidRPr="005F27B0" w:rsidRDefault="00EF0242" w:rsidP="007812DB">
      <w:pPr>
        <w:keepNext/>
        <w:rPr>
          <w:sz w:val="18"/>
        </w:rPr>
      </w:pPr>
    </w:p>
    <w:p w14:paraId="4F57AE79" w14:textId="70E76B39" w:rsidR="007D37E2" w:rsidRPr="007D37E2" w:rsidRDefault="005F27B0" w:rsidP="007812DB">
      <w:pPr>
        <w:ind w:left="562" w:right="562"/>
        <w:rPr>
          <w:rFonts w:eastAsia="+mn-ea"/>
          <w:color w:val="000000" w:themeColor="text1"/>
          <w:kern w:val="24"/>
          <w:sz w:val="18"/>
          <w:szCs w:val="18"/>
        </w:rPr>
      </w:pPr>
      <w:r>
        <w:rPr>
          <w:sz w:val="18"/>
        </w:rPr>
        <w:t>“13.</w:t>
      </w:r>
      <w:r>
        <w:rPr>
          <w:sz w:val="18"/>
        </w:rPr>
        <w:tab/>
      </w:r>
      <w:r>
        <w:rPr>
          <w:color w:val="000000" w:themeColor="text1"/>
          <w:sz w:val="18"/>
        </w:rPr>
        <w:t xml:space="preserve">En el Artículo </w:t>
      </w:r>
      <w:proofErr w:type="gramStart"/>
      <w:r>
        <w:rPr>
          <w:color w:val="000000" w:themeColor="text1"/>
          <w:sz w:val="18"/>
        </w:rPr>
        <w:t>14.5)b</w:t>
      </w:r>
      <w:proofErr w:type="gramEnd"/>
      <w:r>
        <w:rPr>
          <w:color w:val="000000" w:themeColor="text1"/>
          <w:sz w:val="18"/>
        </w:rPr>
        <w:t xml:space="preserve">)iii) no se establece un límite </w:t>
      </w:r>
      <w:r>
        <w:rPr>
          <w:color w:val="000000" w:themeColor="text1"/>
          <w:sz w:val="18"/>
          <w:highlight w:val="lightGray"/>
          <w:u w:val="single"/>
        </w:rPr>
        <w:t>superior</w:t>
      </w:r>
      <w:r>
        <w:rPr>
          <w:color w:val="000000" w:themeColor="text1"/>
          <w:sz w:val="18"/>
        </w:rPr>
        <w:t xml:space="preserve"> en cuanto al número de diferencias que pueden existir para que una variedad siga considerándose esencialmente derivada.</w:t>
      </w:r>
      <w:r w:rsidR="00F876C3">
        <w:rPr>
          <w:color w:val="000000" w:themeColor="text1"/>
          <w:sz w:val="18"/>
        </w:rPr>
        <w:t xml:space="preserve"> </w:t>
      </w:r>
      <w:r>
        <w:rPr>
          <w:color w:val="000000" w:themeColor="text1"/>
          <w:sz w:val="18"/>
        </w:rPr>
        <w:t xml:space="preserve">De manera que el número de diferencias entre una variedad esencialmente derivada y la variedad inicial no está limitado a una o muy </w:t>
      </w:r>
      <w:proofErr w:type="gramStart"/>
      <w:r>
        <w:rPr>
          <w:color w:val="000000" w:themeColor="text1"/>
          <w:sz w:val="18"/>
        </w:rPr>
        <w:t>pocas</w:t>
      </w:r>
      <w:proofErr w:type="gramEnd"/>
      <w:r>
        <w:rPr>
          <w:color w:val="000000" w:themeColor="text1"/>
          <w:sz w:val="18"/>
        </w:rPr>
        <w:t xml:space="preserve"> sino que puede variar teniendo en cuenta los diferentes métodos de derivación.</w:t>
      </w:r>
      <w:r w:rsidR="00F876C3">
        <w:rPr>
          <w:color w:val="000000" w:themeColor="text1"/>
          <w:sz w:val="18"/>
        </w:rPr>
        <w:t xml:space="preserve"> </w:t>
      </w:r>
      <w:r w:rsidR="00A91607">
        <w:rPr>
          <w:color w:val="000000" w:themeColor="text1"/>
          <w:sz w:val="18"/>
        </w:rPr>
        <w:t>Las </w:t>
      </w:r>
      <w:r>
        <w:rPr>
          <w:color w:val="000000" w:themeColor="text1"/>
          <w:sz w:val="18"/>
        </w:rPr>
        <w:t>diferencias también pueden comprender caracteres esenciales.”</w:t>
      </w:r>
    </w:p>
    <w:p w14:paraId="71CD3265" w14:textId="77777777" w:rsidR="00EF0242" w:rsidRPr="005F27B0" w:rsidRDefault="00EF0242" w:rsidP="005F27B0"/>
    <w:p w14:paraId="68132FBF" w14:textId="1DA7B7BE" w:rsidR="00CE330D" w:rsidRPr="002255F0" w:rsidRDefault="00EF0242" w:rsidP="00D931AB">
      <w:pPr>
        <w:keepNext/>
        <w:rPr>
          <w:snapToGrid w:val="0"/>
          <w:color w:val="000000" w:themeColor="text1"/>
          <w:spacing w:val="-4"/>
        </w:rPr>
      </w:pPr>
      <w:r w:rsidRPr="002255F0">
        <w:rPr>
          <w:snapToGrid w:val="0"/>
          <w:color w:val="000000" w:themeColor="text1"/>
          <w:spacing w:val="-4"/>
        </w:rPr>
        <w:fldChar w:fldCharType="begin"/>
      </w:r>
      <w:r w:rsidRPr="002255F0">
        <w:rPr>
          <w:snapToGrid w:val="0"/>
          <w:color w:val="000000" w:themeColor="text1"/>
          <w:spacing w:val="-4"/>
        </w:rPr>
        <w:instrText xml:space="preserve"> AUTONUM  </w:instrText>
      </w:r>
      <w:r w:rsidRPr="002255F0">
        <w:rPr>
          <w:snapToGrid w:val="0"/>
          <w:color w:val="000000" w:themeColor="text1"/>
          <w:spacing w:val="-4"/>
        </w:rPr>
        <w:fldChar w:fldCharType="end"/>
      </w:r>
      <w:r w:rsidRPr="002255F0">
        <w:rPr>
          <w:snapToGrid w:val="0"/>
          <w:color w:val="000000" w:themeColor="text1"/>
          <w:spacing w:val="-4"/>
        </w:rPr>
        <w:tab/>
        <w:t xml:space="preserve">El WG-EDV tomó nota de que la explicación facilitada en la última frase del párrafo 13 del Anexo I </w:t>
      </w:r>
      <w:r w:rsidRPr="002255F0">
        <w:rPr>
          <w:spacing w:val="-4"/>
        </w:rPr>
        <w:t xml:space="preserve">del documento UPOV/WG-EDV/3/2, </w:t>
      </w:r>
      <w:r w:rsidRPr="002255F0">
        <w:rPr>
          <w:snapToGrid w:val="0"/>
          <w:color w:val="000000" w:themeColor="text1"/>
          <w:spacing w:val="-4"/>
        </w:rPr>
        <w:t xml:space="preserve">ya está recogida en el párrafo 11 del Anexo I </w:t>
      </w:r>
      <w:r w:rsidRPr="002255F0">
        <w:rPr>
          <w:spacing w:val="-4"/>
        </w:rPr>
        <w:t>del documento UPOV/WG</w:t>
      </w:r>
      <w:r w:rsidRPr="002255F0">
        <w:rPr>
          <w:spacing w:val="-4"/>
        </w:rPr>
        <w:noBreakHyphen/>
        <w:t>EDV/3/2</w:t>
      </w:r>
      <w:r w:rsidRPr="002255F0">
        <w:rPr>
          <w:snapToGrid w:val="0"/>
          <w:color w:val="000000" w:themeColor="text1"/>
          <w:spacing w:val="-4"/>
        </w:rPr>
        <w:t>.</w:t>
      </w:r>
      <w:r w:rsidR="00F876C3" w:rsidRPr="002255F0">
        <w:rPr>
          <w:spacing w:val="-4"/>
        </w:rPr>
        <w:t xml:space="preserve"> </w:t>
      </w:r>
      <w:r w:rsidRPr="002255F0">
        <w:rPr>
          <w:snapToGrid w:val="0"/>
          <w:color w:val="000000" w:themeColor="text1"/>
          <w:spacing w:val="-4"/>
        </w:rPr>
        <w:t xml:space="preserve">Sin embargo, se convino en la utilidad de mantener la frase para mayor claridad. </w:t>
      </w:r>
    </w:p>
    <w:p w14:paraId="431B9152" w14:textId="77777777" w:rsidR="00D931AB" w:rsidRDefault="00D931AB" w:rsidP="007812DB">
      <w:pPr>
        <w:rPr>
          <w:snapToGrid w:val="0"/>
          <w:color w:val="000000" w:themeColor="text1"/>
        </w:rPr>
      </w:pPr>
    </w:p>
    <w:p w14:paraId="13A2D5F3" w14:textId="77777777" w:rsidR="0087149F" w:rsidRDefault="0087149F" w:rsidP="007812DB">
      <w:pPr>
        <w:keepNext/>
        <w:rPr>
          <w:spacing w:val="-4"/>
          <w:szCs w:val="24"/>
        </w:rPr>
      </w:pPr>
      <w:r w:rsidRPr="00EF0242">
        <w:rPr>
          <w:rFonts w:cs="Arial"/>
        </w:rPr>
        <w:fldChar w:fldCharType="begin"/>
      </w:r>
      <w:r w:rsidRPr="00EF0242">
        <w:rPr>
          <w:rFonts w:cs="Arial"/>
        </w:rPr>
        <w:instrText xml:space="preserve"> AUTONUM  </w:instrText>
      </w:r>
      <w:r w:rsidRPr="00EF0242">
        <w:rPr>
          <w:rFonts w:cs="Arial"/>
        </w:rPr>
        <w:fldChar w:fldCharType="end"/>
      </w:r>
      <w:r>
        <w:tab/>
        <w:t xml:space="preserve">El WG-EDV examinó las observaciones formuladas por las delegaciones del Brasil, Chile y México para mejorar la claridad del párrafo 14 del Anexo I del documento UPOV/WG-EDV/3/2 y convino en realizar los siguientes cambios: </w:t>
      </w:r>
    </w:p>
    <w:p w14:paraId="68F698FA" w14:textId="77777777" w:rsidR="0087149F" w:rsidRPr="005F27B0" w:rsidRDefault="0087149F" w:rsidP="007812DB">
      <w:pPr>
        <w:keepNext/>
        <w:rPr>
          <w:spacing w:val="-4"/>
          <w:sz w:val="18"/>
          <w:szCs w:val="24"/>
          <w:lang w:eastAsia="ja-JP"/>
        </w:rPr>
      </w:pPr>
    </w:p>
    <w:p w14:paraId="57579685" w14:textId="32C43ECA" w:rsidR="005F27B0" w:rsidRDefault="007D37E2" w:rsidP="005F27B0">
      <w:pPr>
        <w:ind w:left="562" w:right="562"/>
        <w:rPr>
          <w:rFonts w:eastAsia="+mn-ea" w:cs="Arial"/>
          <w:color w:val="000000" w:themeColor="text1"/>
          <w:kern w:val="24"/>
          <w:sz w:val="18"/>
          <w:szCs w:val="18"/>
        </w:rPr>
      </w:pPr>
      <w:r>
        <w:rPr>
          <w:sz w:val="18"/>
        </w:rPr>
        <w:t>“14.</w:t>
      </w:r>
      <w:r>
        <w:rPr>
          <w:sz w:val="18"/>
        </w:rPr>
        <w:tab/>
      </w:r>
      <w:r>
        <w:rPr>
          <w:color w:val="000000" w:themeColor="text1"/>
          <w:sz w:val="18"/>
        </w:rPr>
        <w:t xml:space="preserve">Las </w:t>
      </w:r>
      <w:r w:rsidR="00192FCF" w:rsidRPr="00192FCF">
        <w:rPr>
          <w:color w:val="000000" w:themeColor="text1"/>
          <w:sz w:val="18"/>
        </w:rPr>
        <w:t>diferencias resultantes del acto o los act</w:t>
      </w:r>
      <w:r w:rsidR="00192FCF">
        <w:rPr>
          <w:color w:val="000000" w:themeColor="text1"/>
          <w:sz w:val="18"/>
        </w:rPr>
        <w:t>os de derivación no se tienen</w:t>
      </w:r>
      <w:r>
        <w:rPr>
          <w:color w:val="000000" w:themeColor="text1"/>
          <w:sz w:val="18"/>
        </w:rPr>
        <w:t xml:space="preserve"> en cuenta para determinar la condición de esencialmente derivada de una variedad.</w:t>
      </w:r>
      <w:r w:rsidR="00F876C3">
        <w:rPr>
          <w:color w:val="000000" w:themeColor="text1"/>
          <w:sz w:val="18"/>
        </w:rPr>
        <w:t xml:space="preserve"> </w:t>
      </w:r>
      <w:r>
        <w:rPr>
          <w:color w:val="000000" w:themeColor="text1"/>
          <w:sz w:val="18"/>
        </w:rPr>
        <w:t xml:space="preserve">Al respecto, se ofrece la siguiente aclaración: </w:t>
      </w:r>
    </w:p>
    <w:p w14:paraId="56365524" w14:textId="77777777" w:rsidR="005F27B0" w:rsidRDefault="005F27B0" w:rsidP="007812DB">
      <w:pPr>
        <w:keepNext/>
        <w:ind w:left="562" w:right="562"/>
        <w:rPr>
          <w:rFonts w:eastAsia="+mn-ea" w:cs="Arial"/>
          <w:color w:val="000000" w:themeColor="text1"/>
          <w:kern w:val="24"/>
          <w:sz w:val="18"/>
          <w:szCs w:val="18"/>
        </w:rPr>
      </w:pPr>
    </w:p>
    <w:p w14:paraId="7D6D2456" w14:textId="77777777" w:rsidR="005F27B0" w:rsidRDefault="005F27B0" w:rsidP="005F27B0">
      <w:pPr>
        <w:tabs>
          <w:tab w:val="left" w:pos="1710"/>
        </w:tabs>
        <w:ind w:left="1710" w:right="562" w:hanging="540"/>
        <w:rPr>
          <w:rFonts w:eastAsia="+mn-ea" w:cs="Arial"/>
          <w:color w:val="000000" w:themeColor="text1"/>
          <w:kern w:val="24"/>
          <w:sz w:val="18"/>
          <w:szCs w:val="18"/>
        </w:rPr>
      </w:pPr>
      <w:r>
        <w:rPr>
          <w:sz w:val="18"/>
        </w:rPr>
        <w:t>a)</w:t>
      </w:r>
      <w:r>
        <w:rPr>
          <w:sz w:val="18"/>
        </w:rPr>
        <w:tab/>
        <w:t xml:space="preserve">En el caso de las variedades monoparentales, todas las diferencias son necesariamente consecuencia </w:t>
      </w:r>
      <w:r w:rsidRPr="001B554D">
        <w:rPr>
          <w:sz w:val="18"/>
        </w:rPr>
        <w:t>de</w:t>
      </w:r>
      <w:r w:rsidRPr="002255F0">
        <w:rPr>
          <w:strike/>
          <w:sz w:val="18"/>
          <w:highlight w:val="lightGray"/>
        </w:rPr>
        <w:t>l acto o los actos</w:t>
      </w:r>
      <w:r w:rsidRPr="002255F0">
        <w:rPr>
          <w:sz w:val="18"/>
          <w:highlight w:val="lightGray"/>
        </w:rPr>
        <w:t xml:space="preserve"> </w:t>
      </w:r>
      <w:r w:rsidRPr="002255F0">
        <w:rPr>
          <w:sz w:val="18"/>
          <w:highlight w:val="lightGray"/>
          <w:u w:val="single"/>
        </w:rPr>
        <w:t>uno o más actos</w:t>
      </w:r>
      <w:r>
        <w:rPr>
          <w:sz w:val="18"/>
        </w:rPr>
        <w:t xml:space="preserve"> de derivación, lo que implica que se excluyen todas las diferencias al determinar su condición de esencialmente derivada.</w:t>
      </w:r>
    </w:p>
    <w:p w14:paraId="5F17E469" w14:textId="77777777" w:rsidR="005F27B0" w:rsidRDefault="005F27B0" w:rsidP="005F27B0">
      <w:pPr>
        <w:ind w:left="1134" w:right="562"/>
        <w:rPr>
          <w:rFonts w:eastAsia="+mn-ea" w:cs="Arial"/>
          <w:color w:val="000000" w:themeColor="text1"/>
          <w:kern w:val="24"/>
          <w:sz w:val="18"/>
          <w:szCs w:val="18"/>
        </w:rPr>
      </w:pPr>
    </w:p>
    <w:p w14:paraId="32A28303" w14:textId="6CF49B0D" w:rsidR="0087149F" w:rsidRPr="005F27B0" w:rsidRDefault="005F27B0" w:rsidP="005F27B0">
      <w:pPr>
        <w:ind w:left="1710" w:right="562" w:hanging="540"/>
        <w:rPr>
          <w:rFonts w:eastAsia="+mn-ea" w:cs="Arial"/>
          <w:color w:val="000000" w:themeColor="text1"/>
          <w:kern w:val="24"/>
          <w:sz w:val="18"/>
          <w:szCs w:val="18"/>
        </w:rPr>
      </w:pPr>
      <w:r>
        <w:rPr>
          <w:sz w:val="18"/>
        </w:rPr>
        <w:t>b)</w:t>
      </w:r>
      <w:r>
        <w:rPr>
          <w:sz w:val="18"/>
        </w:rPr>
        <w:tab/>
      </w:r>
      <w:r w:rsidRPr="008C55BD">
        <w:rPr>
          <w:spacing w:val="-2"/>
          <w:sz w:val="18"/>
        </w:rPr>
        <w:t>En el caso de una variedad multiparental, las diferencias entre ella y cualquiera de sus variedades progenitoras puede ser el resultado de un cruzamiento y selección normal o del empleo de uno o más de los métodos de derivación descritos en los párrafos 15 y 16.</w:t>
      </w:r>
      <w:r w:rsidR="00F876C3" w:rsidRPr="008C55BD">
        <w:rPr>
          <w:spacing w:val="-2"/>
          <w:sz w:val="18"/>
        </w:rPr>
        <w:t xml:space="preserve"> </w:t>
      </w:r>
      <w:r w:rsidRPr="008C55BD">
        <w:rPr>
          <w:spacing w:val="-2"/>
          <w:sz w:val="18"/>
        </w:rPr>
        <w:t xml:space="preserve">Por ello, cuando se determina si una variedad multiparental es esencialmente derivada a partir de una de sus variedades progenitoras, es importante comprobar si ha habido uno o </w:t>
      </w:r>
      <w:r w:rsidRPr="008C55BD">
        <w:rPr>
          <w:strike/>
          <w:spacing w:val="-2"/>
          <w:sz w:val="18"/>
          <w:highlight w:val="lightGray"/>
        </w:rPr>
        <w:t>varios</w:t>
      </w:r>
      <w:r w:rsidRPr="008C55BD">
        <w:rPr>
          <w:spacing w:val="-2"/>
          <w:sz w:val="18"/>
        </w:rPr>
        <w:t xml:space="preserve"> </w:t>
      </w:r>
      <w:r w:rsidRPr="008C55BD">
        <w:rPr>
          <w:spacing w:val="-2"/>
          <w:sz w:val="18"/>
          <w:highlight w:val="lightGray"/>
          <w:u w:val="single"/>
        </w:rPr>
        <w:t>más</w:t>
      </w:r>
      <w:r w:rsidRPr="008C55BD">
        <w:rPr>
          <w:spacing w:val="-2"/>
          <w:sz w:val="18"/>
        </w:rPr>
        <w:t xml:space="preserve"> actos de derivación. </w:t>
      </w:r>
      <w:r w:rsidRPr="008C55BD">
        <w:rPr>
          <w:strike/>
          <w:spacing w:val="-2"/>
          <w:sz w:val="18"/>
          <w:highlight w:val="lightGray"/>
        </w:rPr>
        <w:t>En su caso, las diferencias resultantes de este acto o estos actos de derivación no se tienen en cuenta para determinar la condición de esencialmente derivada de la variedad.</w:t>
      </w:r>
      <w:r w:rsidRPr="008C55BD">
        <w:rPr>
          <w:spacing w:val="-2"/>
          <w:sz w:val="18"/>
        </w:rPr>
        <w:t>”</w:t>
      </w:r>
      <w:r>
        <w:rPr>
          <w:snapToGrid w:val="0"/>
          <w:color w:val="000000" w:themeColor="text1"/>
          <w:sz w:val="18"/>
        </w:rPr>
        <w:t xml:space="preserve"> </w:t>
      </w:r>
    </w:p>
    <w:p w14:paraId="1F88CF07" w14:textId="77777777" w:rsidR="00647426" w:rsidRDefault="00647426" w:rsidP="00D22230">
      <w:pPr>
        <w:rPr>
          <w:spacing w:val="-4"/>
          <w:szCs w:val="24"/>
          <w:lang w:eastAsia="ja-JP"/>
        </w:rPr>
      </w:pPr>
    </w:p>
    <w:p w14:paraId="5E7AF737" w14:textId="470E2AE6" w:rsidR="00A96991" w:rsidRDefault="00647426" w:rsidP="00D22230">
      <w:pPr>
        <w:rPr>
          <w:rFonts w:cs="Arial"/>
        </w:rPr>
      </w:pPr>
      <w:r w:rsidRPr="007B785C">
        <w:rPr>
          <w:rFonts w:cs="Arial"/>
        </w:rPr>
        <w:fldChar w:fldCharType="begin"/>
      </w:r>
      <w:r w:rsidRPr="007B785C">
        <w:rPr>
          <w:rFonts w:cs="Arial"/>
        </w:rPr>
        <w:instrText xml:space="preserve"> AUTONUM  </w:instrText>
      </w:r>
      <w:r w:rsidRPr="007B785C">
        <w:rPr>
          <w:rFonts w:cs="Arial"/>
        </w:rPr>
        <w:fldChar w:fldCharType="end"/>
      </w:r>
      <w:r>
        <w:tab/>
        <w:t>En relación con la propuesta formulada por la delegación de Chile de reemplazar “retrocruzamientos” por “retrocruzamientos repetidos” y eliminar la última frase en el párrafo 15 del Anexo I del documento</w:t>
      </w:r>
      <w:r w:rsidR="00FC2E50">
        <w:t> </w:t>
      </w:r>
      <w:r>
        <w:t xml:space="preserve">UPOV/WG-EDV/3/2, el WG-EDV tomó nota de que en la frase del párrafo 15 se ofrecen los ejemplos del Artículo </w:t>
      </w:r>
      <w:proofErr w:type="gramStart"/>
      <w:r>
        <w:t>14.5)</w:t>
      </w:r>
      <w:r>
        <w:rPr>
          <w:i/>
          <w:iCs/>
        </w:rPr>
        <w:t>c</w:t>
      </w:r>
      <w:proofErr w:type="gramEnd"/>
      <w:r>
        <w:rPr>
          <w:i/>
          <w:iCs/>
        </w:rPr>
        <w:t>)</w:t>
      </w:r>
      <w:r>
        <w:t xml:space="preserve"> del Acta de 1991 del Convenio de la UPOV.</w:t>
      </w:r>
      <w:r w:rsidR="00F876C3">
        <w:t xml:space="preserve"> </w:t>
      </w:r>
      <w:r>
        <w:t>Tomó nota además de que, si bien en el texto en inglés del Artículo </w:t>
      </w:r>
      <w:proofErr w:type="gramStart"/>
      <w:r>
        <w:t>14.5)</w:t>
      </w:r>
      <w:r>
        <w:rPr>
          <w:i/>
          <w:iCs/>
        </w:rPr>
        <w:t>c</w:t>
      </w:r>
      <w:proofErr w:type="gramEnd"/>
      <w:r>
        <w:rPr>
          <w:i/>
          <w:iCs/>
        </w:rPr>
        <w:t>)</w:t>
      </w:r>
      <w:r>
        <w:t xml:space="preserve"> el término “</w:t>
      </w:r>
      <w:r>
        <w:rPr>
          <w:i/>
          <w:iCs/>
        </w:rPr>
        <w:t>backcrossing</w:t>
      </w:r>
      <w:r>
        <w:t>” aparece en singular, en los textos en francés y en español el término aparece en plural, “</w:t>
      </w:r>
      <w:r>
        <w:rPr>
          <w:i/>
        </w:rPr>
        <w:t>rétrocroisements”</w:t>
      </w:r>
      <w:r>
        <w:t xml:space="preserve"> y </w:t>
      </w:r>
      <w:r>
        <w:rPr>
          <w:i/>
        </w:rPr>
        <w:t>“retrocruzamientos”</w:t>
      </w:r>
      <w:r>
        <w:t>, respectivamente.</w:t>
      </w:r>
      <w:r w:rsidR="00F876C3">
        <w:t xml:space="preserve"> </w:t>
      </w:r>
    </w:p>
    <w:p w14:paraId="2E6AD13F" w14:textId="77777777" w:rsidR="00A96991" w:rsidRDefault="00A96991" w:rsidP="00D22230">
      <w:pPr>
        <w:rPr>
          <w:rFonts w:cs="Arial"/>
        </w:rPr>
      </w:pPr>
    </w:p>
    <w:p w14:paraId="52EA36AD" w14:textId="17BDEC7E" w:rsidR="00647426" w:rsidRDefault="00A96991" w:rsidP="00D22230">
      <w:pPr>
        <w:rPr>
          <w:rFonts w:cs="Arial"/>
        </w:rPr>
      </w:pPr>
      <w:r>
        <w:rPr>
          <w:rFonts w:cs="Arial"/>
        </w:rPr>
        <w:fldChar w:fldCharType="begin"/>
      </w:r>
      <w:r>
        <w:rPr>
          <w:rFonts w:cs="Arial"/>
        </w:rPr>
        <w:instrText xml:space="preserve"> AUTONUM  </w:instrText>
      </w:r>
      <w:r>
        <w:rPr>
          <w:rFonts w:cs="Arial"/>
        </w:rPr>
        <w:fldChar w:fldCharType="end"/>
      </w:r>
      <w:r>
        <w:tab/>
        <w:t xml:space="preserve">El WG-EDV tomó nota de </w:t>
      </w:r>
      <w:proofErr w:type="gramStart"/>
      <w:r>
        <w:t>que</w:t>
      </w:r>
      <w:proofErr w:type="gramEnd"/>
      <w:r>
        <w:t xml:space="preserve"> en caso de cualquier discrepancia entre los diversos textos del Convenio, prevalece el texto en francés.</w:t>
      </w:r>
      <w:r w:rsidR="00F876C3">
        <w:t xml:space="preserve"> </w:t>
      </w:r>
      <w:r>
        <w:t>El WG-EDV solicita a la Oficina de la Unión que examine el párrafo 15 del Anexo I del documento UPOV/WG-EDV/3/2, para asegurar su coherencia con la redacción del Convenio de la UPOV en diferentes idiomas.</w:t>
      </w:r>
    </w:p>
    <w:p w14:paraId="7E406E0D" w14:textId="77777777" w:rsidR="00647426" w:rsidRDefault="00647426" w:rsidP="00D22230">
      <w:pPr>
        <w:rPr>
          <w:spacing w:val="-4"/>
          <w:szCs w:val="24"/>
          <w:lang w:eastAsia="ja-JP"/>
        </w:rPr>
      </w:pPr>
    </w:p>
    <w:p w14:paraId="08CAD573" w14:textId="77777777" w:rsidR="00647426" w:rsidRDefault="00647426" w:rsidP="00C13AA9">
      <w:pPr>
        <w:keepNext/>
        <w:rPr>
          <w:spacing w:val="-4"/>
          <w:szCs w:val="24"/>
        </w:rPr>
      </w:pPr>
      <w:r w:rsidRPr="00F71140">
        <w:rPr>
          <w:rFonts w:cs="Arial"/>
        </w:rPr>
        <w:fldChar w:fldCharType="begin"/>
      </w:r>
      <w:r w:rsidRPr="00F71140">
        <w:rPr>
          <w:rFonts w:cs="Arial"/>
        </w:rPr>
        <w:instrText xml:space="preserve"> AUTONUM  </w:instrText>
      </w:r>
      <w:r w:rsidRPr="00F71140">
        <w:rPr>
          <w:rFonts w:cs="Arial"/>
        </w:rPr>
        <w:fldChar w:fldCharType="end"/>
      </w:r>
      <w:r>
        <w:tab/>
        <w:t>El WG-EDV examinó las siguientes modificaciones del párrafo 16 del Anexo I del documento UPOV/WG-EDV/3/2, referidas a la propuesta formulada por la delegación de México de que se considere la posibilidad de actualizar el texto con los métodos conocidos en la actualidad:</w:t>
      </w:r>
    </w:p>
    <w:p w14:paraId="686B3F78" w14:textId="77777777" w:rsidR="00647426" w:rsidRPr="00C42996" w:rsidRDefault="00647426" w:rsidP="00C13AA9">
      <w:pPr>
        <w:keepNext/>
        <w:rPr>
          <w:spacing w:val="-4"/>
          <w:sz w:val="18"/>
          <w:szCs w:val="24"/>
          <w:lang w:eastAsia="ja-JP"/>
        </w:rPr>
      </w:pPr>
    </w:p>
    <w:p w14:paraId="756EBC40" w14:textId="21CD54DD" w:rsidR="00647426" w:rsidRPr="00C42996" w:rsidRDefault="003D35F0" w:rsidP="002255F0">
      <w:pPr>
        <w:keepLines/>
        <w:spacing w:after="240"/>
        <w:ind w:left="562" w:right="562"/>
        <w:rPr>
          <w:rFonts w:cs="Arial"/>
          <w:color w:val="000000" w:themeColor="text1"/>
          <w:spacing w:val="-2"/>
          <w:kern w:val="24"/>
          <w:sz w:val="18"/>
          <w:szCs w:val="18"/>
        </w:rPr>
      </w:pPr>
      <w:r>
        <w:rPr>
          <w:sz w:val="18"/>
        </w:rPr>
        <w:t>“16.</w:t>
      </w:r>
      <w:r>
        <w:rPr>
          <w:sz w:val="18"/>
        </w:rPr>
        <w:tab/>
      </w:r>
      <w:r w:rsidR="00C13AA9">
        <w:rPr>
          <w:color w:val="000000" w:themeColor="text1"/>
          <w:sz w:val="18"/>
        </w:rPr>
        <w:t>El uso de las palabras ‘</w:t>
      </w:r>
      <w:r>
        <w:rPr>
          <w:color w:val="000000" w:themeColor="text1"/>
          <w:sz w:val="18"/>
        </w:rPr>
        <w:t xml:space="preserve">por </w:t>
      </w:r>
      <w:r w:rsidRPr="00C42996">
        <w:rPr>
          <w:color w:val="000000" w:themeColor="text1"/>
          <w:sz w:val="18"/>
          <w:szCs w:val="18"/>
        </w:rPr>
        <w:t>ejemplo</w:t>
      </w:r>
      <w:r w:rsidR="00C13AA9">
        <w:rPr>
          <w:color w:val="000000" w:themeColor="text1"/>
          <w:sz w:val="18"/>
          <w:szCs w:val="18"/>
        </w:rPr>
        <w:t>’</w:t>
      </w:r>
      <w:r w:rsidRPr="00C42996">
        <w:rPr>
          <w:color w:val="000000" w:themeColor="text1"/>
          <w:sz w:val="18"/>
          <w:szCs w:val="18"/>
        </w:rPr>
        <w:t xml:space="preserve"> en el Artículo </w:t>
      </w:r>
      <w:proofErr w:type="gramStart"/>
      <w:r w:rsidRPr="00C42996">
        <w:rPr>
          <w:color w:val="000000" w:themeColor="text1"/>
          <w:sz w:val="18"/>
          <w:szCs w:val="18"/>
        </w:rPr>
        <w:t>14.5)</w:t>
      </w:r>
      <w:r w:rsidRPr="00C42996">
        <w:rPr>
          <w:i/>
          <w:iCs/>
          <w:color w:val="000000" w:themeColor="text1"/>
          <w:sz w:val="18"/>
          <w:szCs w:val="18"/>
        </w:rPr>
        <w:t>c</w:t>
      </w:r>
      <w:proofErr w:type="gramEnd"/>
      <w:r w:rsidRPr="00C42996">
        <w:rPr>
          <w:i/>
          <w:iCs/>
          <w:color w:val="000000" w:themeColor="text1"/>
          <w:sz w:val="18"/>
          <w:szCs w:val="18"/>
        </w:rPr>
        <w:t>)</w:t>
      </w:r>
      <w:r w:rsidRPr="00C42996">
        <w:rPr>
          <w:color w:val="000000" w:themeColor="text1"/>
          <w:sz w:val="18"/>
          <w:szCs w:val="18"/>
        </w:rPr>
        <w:t xml:space="preserve"> deja claro que la lista de métodos no es exhaustiva.</w:t>
      </w:r>
      <w:r w:rsidR="00F876C3" w:rsidRPr="00C42996">
        <w:rPr>
          <w:color w:val="000000" w:themeColor="text1"/>
          <w:sz w:val="18"/>
          <w:szCs w:val="18"/>
        </w:rPr>
        <w:t xml:space="preserve"> </w:t>
      </w:r>
      <w:r w:rsidRPr="00C42996">
        <w:rPr>
          <w:color w:val="000000" w:themeColor="text1"/>
          <w:sz w:val="18"/>
          <w:szCs w:val="18"/>
        </w:rPr>
        <w:t>Los ejemplos de métodos proporcionados en el Artículo </w:t>
      </w:r>
      <w:proofErr w:type="gramStart"/>
      <w:r w:rsidRPr="00C42996">
        <w:rPr>
          <w:color w:val="000000" w:themeColor="text1"/>
          <w:sz w:val="18"/>
          <w:szCs w:val="18"/>
        </w:rPr>
        <w:t>14.5)</w:t>
      </w:r>
      <w:r w:rsidRPr="00C42996">
        <w:rPr>
          <w:i/>
          <w:iCs/>
          <w:color w:val="000000" w:themeColor="text1"/>
          <w:sz w:val="18"/>
          <w:szCs w:val="18"/>
        </w:rPr>
        <w:t>c</w:t>
      </w:r>
      <w:proofErr w:type="gramEnd"/>
      <w:r w:rsidRPr="00C42996">
        <w:rPr>
          <w:i/>
          <w:iCs/>
          <w:color w:val="000000" w:themeColor="text1"/>
          <w:sz w:val="18"/>
          <w:szCs w:val="18"/>
        </w:rPr>
        <w:t>)</w:t>
      </w:r>
      <w:r w:rsidRPr="00C42996">
        <w:rPr>
          <w:color w:val="000000" w:themeColor="text1"/>
          <w:sz w:val="18"/>
          <w:szCs w:val="18"/>
        </w:rPr>
        <w:t xml:space="preserve"> corresponden a los métodos que se conocían en 1991.</w:t>
      </w:r>
      <w:r w:rsidR="00F876C3" w:rsidRPr="00C42996">
        <w:rPr>
          <w:color w:val="000000" w:themeColor="text1"/>
          <w:sz w:val="18"/>
          <w:szCs w:val="18"/>
        </w:rPr>
        <w:t xml:space="preserve"> </w:t>
      </w:r>
      <w:r w:rsidRPr="00C42996">
        <w:rPr>
          <w:color w:val="000000" w:themeColor="text1"/>
          <w:sz w:val="18"/>
          <w:szCs w:val="18"/>
        </w:rPr>
        <w:t>Desde entonces</w:t>
      </w:r>
      <w:r w:rsidRPr="00C42996">
        <w:rPr>
          <w:sz w:val="18"/>
          <w:szCs w:val="18"/>
        </w:rPr>
        <w:t xml:space="preserve"> </w:t>
      </w:r>
      <w:r w:rsidRPr="00C42996">
        <w:rPr>
          <w:strike/>
          <w:sz w:val="18"/>
          <w:szCs w:val="18"/>
          <w:highlight w:val="lightGray"/>
        </w:rPr>
        <w:t>han surgido más métodos de mejoramiento</w:t>
      </w:r>
      <w:r w:rsidRPr="00C42996">
        <w:rPr>
          <w:sz w:val="18"/>
          <w:szCs w:val="18"/>
        </w:rPr>
        <w:t xml:space="preserve"> </w:t>
      </w:r>
      <w:r w:rsidRPr="00C42996">
        <w:rPr>
          <w:sz w:val="18"/>
          <w:szCs w:val="18"/>
          <w:highlight w:val="lightGray"/>
          <w:u w:val="single"/>
        </w:rPr>
        <w:t>los métodos de fitomejoramiento han evolucionado y han surgido nuevas técnicas</w:t>
      </w:r>
      <w:r w:rsidRPr="00C42996">
        <w:rPr>
          <w:sz w:val="18"/>
          <w:szCs w:val="18"/>
        </w:rPr>
        <w:t xml:space="preserve">, </w:t>
      </w:r>
      <w:r w:rsidRPr="00C42996">
        <w:rPr>
          <w:color w:val="000000" w:themeColor="text1"/>
          <w:sz w:val="18"/>
          <w:szCs w:val="18"/>
        </w:rPr>
        <w:t xml:space="preserve">tales como la modificación del </w:t>
      </w:r>
      <w:proofErr w:type="gramStart"/>
      <w:r w:rsidRPr="00C42996">
        <w:rPr>
          <w:color w:val="000000" w:themeColor="text1"/>
          <w:sz w:val="18"/>
          <w:szCs w:val="18"/>
        </w:rPr>
        <w:t>genoma</w:t>
      </w:r>
      <w:r w:rsidRPr="00C42996">
        <w:rPr>
          <w:sz w:val="18"/>
          <w:szCs w:val="18"/>
          <w:highlight w:val="lightGray"/>
          <w:u w:val="single"/>
        </w:rPr>
        <w:t>.</w:t>
      </w:r>
      <w:r w:rsidRPr="00C42996">
        <w:rPr>
          <w:strike/>
          <w:sz w:val="18"/>
          <w:szCs w:val="18"/>
          <w:highlight w:val="lightGray"/>
        </w:rPr>
        <w:t>y</w:t>
      </w:r>
      <w:proofErr w:type="gramEnd"/>
      <w:r w:rsidRPr="00C42996">
        <w:rPr>
          <w:strike/>
          <w:sz w:val="18"/>
          <w:szCs w:val="18"/>
          <w:highlight w:val="lightGray"/>
        </w:rPr>
        <w:t xml:space="preserve"> es</w:t>
      </w:r>
      <w:r w:rsidRPr="00C42996">
        <w:rPr>
          <w:sz w:val="18"/>
          <w:szCs w:val="18"/>
        </w:rPr>
        <w:t xml:space="preserve"> </w:t>
      </w:r>
      <w:r w:rsidRPr="00C42996">
        <w:rPr>
          <w:sz w:val="18"/>
          <w:szCs w:val="18"/>
          <w:highlight w:val="lightGray"/>
          <w:u w:val="single"/>
        </w:rPr>
        <w:t>Es</w:t>
      </w:r>
      <w:r w:rsidRPr="00C42996">
        <w:rPr>
          <w:sz w:val="18"/>
          <w:szCs w:val="18"/>
        </w:rPr>
        <w:t xml:space="preserve"> posible que surjan otros métodos de mejoramiento para obtener variedades esencialmente derivadas.</w:t>
      </w:r>
      <w:r w:rsidR="00F876C3" w:rsidRPr="00C42996">
        <w:rPr>
          <w:sz w:val="18"/>
          <w:szCs w:val="18"/>
        </w:rPr>
        <w:t xml:space="preserve"> </w:t>
      </w:r>
      <w:r w:rsidRPr="00C13AA9">
        <w:rPr>
          <w:color w:val="000000" w:themeColor="text1"/>
          <w:sz w:val="18"/>
        </w:rPr>
        <w:t xml:space="preserve">Esos métodos deben tenerse en cuenta </w:t>
      </w:r>
      <w:r w:rsidRPr="00C42996">
        <w:rPr>
          <w:strike/>
          <w:sz w:val="18"/>
          <w:szCs w:val="18"/>
          <w:highlight w:val="lightGray"/>
        </w:rPr>
        <w:t>según corresponda</w:t>
      </w:r>
      <w:r w:rsidRPr="00C42996">
        <w:rPr>
          <w:strike/>
          <w:sz w:val="18"/>
          <w:szCs w:val="18"/>
        </w:rPr>
        <w:t xml:space="preserve"> </w:t>
      </w:r>
      <w:r w:rsidR="00934038" w:rsidRPr="00934038">
        <w:rPr>
          <w:sz w:val="18"/>
          <w:szCs w:val="18"/>
          <w:highlight w:val="lightGray"/>
          <w:u w:val="single"/>
        </w:rPr>
        <w:t xml:space="preserve">si </w:t>
      </w:r>
      <w:r w:rsidR="00934038">
        <w:rPr>
          <w:sz w:val="18"/>
          <w:szCs w:val="18"/>
          <w:highlight w:val="lightGray"/>
          <w:u w:val="single"/>
        </w:rPr>
        <w:t>son</w:t>
      </w:r>
      <w:r w:rsidRPr="00C42996">
        <w:rPr>
          <w:sz w:val="18"/>
          <w:szCs w:val="18"/>
          <w:highlight w:val="lightGray"/>
          <w:u w:val="single"/>
        </w:rPr>
        <w:t xml:space="preserve"> perti</w:t>
      </w:r>
      <w:r w:rsidR="00C42996">
        <w:rPr>
          <w:sz w:val="18"/>
          <w:szCs w:val="18"/>
          <w:highlight w:val="lightGray"/>
          <w:u w:val="single"/>
        </w:rPr>
        <w:t>nente a efectos del Artículo </w:t>
      </w:r>
      <w:proofErr w:type="gramStart"/>
      <w:r w:rsidR="00C42996">
        <w:rPr>
          <w:sz w:val="18"/>
          <w:szCs w:val="18"/>
          <w:highlight w:val="lightGray"/>
          <w:u w:val="single"/>
        </w:rPr>
        <w:t>14.</w:t>
      </w:r>
      <w:r w:rsidRPr="00C42996">
        <w:rPr>
          <w:sz w:val="18"/>
          <w:szCs w:val="18"/>
          <w:highlight w:val="lightGray"/>
          <w:u w:val="single"/>
        </w:rPr>
        <w:t>5)</w:t>
      </w:r>
      <w:r w:rsidRPr="00C42996">
        <w:rPr>
          <w:i/>
          <w:iCs/>
          <w:sz w:val="18"/>
          <w:szCs w:val="18"/>
          <w:highlight w:val="lightGray"/>
          <w:u w:val="single"/>
        </w:rPr>
        <w:t>c</w:t>
      </w:r>
      <w:proofErr w:type="gramEnd"/>
      <w:r w:rsidRPr="00C42996">
        <w:rPr>
          <w:i/>
          <w:iCs/>
          <w:sz w:val="18"/>
          <w:szCs w:val="18"/>
          <w:highlight w:val="lightGray"/>
          <w:u w:val="single"/>
        </w:rPr>
        <w:t>)</w:t>
      </w:r>
      <w:r w:rsidRPr="00C42996">
        <w:rPr>
          <w:sz w:val="18"/>
          <w:szCs w:val="18"/>
          <w:highlight w:val="lightGray"/>
        </w:rPr>
        <w:t>.</w:t>
      </w:r>
      <w:r w:rsidRPr="00934038">
        <w:rPr>
          <w:sz w:val="18"/>
          <w:szCs w:val="18"/>
        </w:rPr>
        <w:t>”</w:t>
      </w:r>
      <w:r w:rsidRPr="00C42996">
        <w:rPr>
          <w:color w:val="000000" w:themeColor="text1"/>
          <w:sz w:val="18"/>
          <w:szCs w:val="18"/>
        </w:rPr>
        <w:t xml:space="preserve"> </w:t>
      </w:r>
    </w:p>
    <w:p w14:paraId="05C56787" w14:textId="7F746291" w:rsidR="00647426" w:rsidRDefault="00385309" w:rsidP="00D22230">
      <w:pPr>
        <w:rPr>
          <w:spacing w:val="-4"/>
          <w:szCs w:val="24"/>
        </w:rPr>
      </w:pPr>
      <w:r>
        <w:lastRenderedPageBreak/>
        <w:fldChar w:fldCharType="begin"/>
      </w:r>
      <w:r>
        <w:instrText xml:space="preserve"> AUTONUM  </w:instrText>
      </w:r>
      <w:r>
        <w:fldChar w:fldCharType="end"/>
      </w:r>
      <w:r>
        <w:tab/>
        <w:t>El WG-EDV convino en solicitar a la Oficina de la Unión que revise el texto del párrafo 16 del Anexo I del documento UPOV/WG-EDV/3/2, teniendo en cuenta los comentarios recibidos, al tiempo que se mantiene la referencia general a las tecnologías existentes y los futuros avances.</w:t>
      </w:r>
      <w:r w:rsidR="00F876C3">
        <w:t xml:space="preserve"> </w:t>
      </w:r>
    </w:p>
    <w:p w14:paraId="012167FC" w14:textId="77777777" w:rsidR="00647426" w:rsidRPr="00C42996" w:rsidRDefault="00647426" w:rsidP="00D22230">
      <w:pPr>
        <w:rPr>
          <w:spacing w:val="-4"/>
          <w:sz w:val="18"/>
          <w:szCs w:val="24"/>
          <w:lang w:eastAsia="ja-JP"/>
        </w:rPr>
      </w:pPr>
    </w:p>
    <w:p w14:paraId="799EDC06" w14:textId="77777777" w:rsidR="00C905E3" w:rsidRDefault="00C905E3" w:rsidP="007812DB">
      <w:pPr>
        <w:keepNext/>
        <w:keepLines/>
      </w:pPr>
      <w:r>
        <w:fldChar w:fldCharType="begin"/>
      </w:r>
      <w:r>
        <w:instrText xml:space="preserve"> AUTONUM  </w:instrText>
      </w:r>
      <w:r>
        <w:fldChar w:fldCharType="end"/>
      </w:r>
      <w:r>
        <w:tab/>
        <w:t xml:space="preserve">El WG-EDV examinó el comentario formulado por la delegación de México sobre la eliminación de la última frase del párrafo 25 del Anexo del documento UPOV/WG-EDV/3/2 y decidió mantener la última frase, dado que ofrece orientación en una cuestión útil, pero convino en revisar el texto de la versión en inglés y en español en aras de la coherencia y la claridad. </w:t>
      </w:r>
    </w:p>
    <w:p w14:paraId="5E6BDC32" w14:textId="77777777" w:rsidR="00CE5090" w:rsidRPr="00C42996" w:rsidRDefault="00CE5090" w:rsidP="007812DB">
      <w:pPr>
        <w:keepNext/>
        <w:rPr>
          <w:sz w:val="16"/>
        </w:rPr>
      </w:pPr>
    </w:p>
    <w:p w14:paraId="6AEB65DE" w14:textId="338B68F4" w:rsidR="00CE5090" w:rsidRPr="00777A60" w:rsidRDefault="00777A60" w:rsidP="00F23170">
      <w:pPr>
        <w:keepLines/>
        <w:ind w:left="567" w:right="459"/>
        <w:rPr>
          <w:sz w:val="18"/>
        </w:rPr>
      </w:pPr>
      <w:r>
        <w:rPr>
          <w:sz w:val="18"/>
        </w:rPr>
        <w:t xml:space="preserve">“25. </w:t>
      </w:r>
      <w:r>
        <w:rPr>
          <w:sz w:val="18"/>
        </w:rPr>
        <w:tab/>
      </w:r>
      <w:r w:rsidR="00F23170" w:rsidRPr="00F23170">
        <w:rPr>
          <w:sz w:val="18"/>
        </w:rPr>
        <w:t>Una vez que expira el derecho de obtentor de la variedad inicial (variedad A), ya no se requiere la</w:t>
      </w:r>
      <w:r w:rsidR="00F23170">
        <w:rPr>
          <w:sz w:val="18"/>
        </w:rPr>
        <w:t xml:space="preserve"> </w:t>
      </w:r>
      <w:r w:rsidR="00F23170" w:rsidRPr="00F23170">
        <w:rPr>
          <w:sz w:val="18"/>
        </w:rPr>
        <w:t>autorización del (de la) titular de la variedad inicial para comercializar la variedad B. En tal circunstancia, y si</w:t>
      </w:r>
      <w:r w:rsidR="00F23170">
        <w:rPr>
          <w:sz w:val="18"/>
        </w:rPr>
        <w:t xml:space="preserve"> </w:t>
      </w:r>
      <w:r w:rsidR="00F23170" w:rsidRPr="00F23170">
        <w:rPr>
          <w:sz w:val="18"/>
        </w:rPr>
        <w:t>el derecho de obtentor de la variedad esencialmente derivada todavía está en vigor, para comercializar la</w:t>
      </w:r>
      <w:r w:rsidR="00F23170">
        <w:rPr>
          <w:sz w:val="18"/>
        </w:rPr>
        <w:t xml:space="preserve"> </w:t>
      </w:r>
      <w:r w:rsidR="00F23170" w:rsidRPr="00F23170">
        <w:rPr>
          <w:sz w:val="18"/>
        </w:rPr>
        <w:t>variedad B sólo se requerirá la autorización del (de la) titular de la variedad esencialmente derivada B. Por</w:t>
      </w:r>
      <w:r w:rsidR="00F23170">
        <w:rPr>
          <w:sz w:val="18"/>
        </w:rPr>
        <w:t> </w:t>
      </w:r>
      <w:r w:rsidR="00F23170" w:rsidRPr="00F23170">
        <w:rPr>
          <w:sz w:val="18"/>
        </w:rPr>
        <w:t>otra parte, si la variedad inicial A nunca ha estado protegida, para comercializar la variedad B sólo se requerirá</w:t>
      </w:r>
      <w:r w:rsidR="00F23170">
        <w:rPr>
          <w:sz w:val="18"/>
        </w:rPr>
        <w:t xml:space="preserve"> </w:t>
      </w:r>
      <w:r w:rsidR="00F23170" w:rsidRPr="00F23170">
        <w:rPr>
          <w:sz w:val="18"/>
        </w:rPr>
        <w:t>la autorización del (de la) titular de la variedad esencialmente derivada B</w:t>
      </w:r>
      <w:r>
        <w:rPr>
          <w:sz w:val="18"/>
        </w:rPr>
        <w:t>.”</w:t>
      </w:r>
    </w:p>
    <w:p w14:paraId="63AFF194" w14:textId="77777777" w:rsidR="00463BA5" w:rsidRPr="00C42996" w:rsidRDefault="00463BA5" w:rsidP="00D22230">
      <w:pPr>
        <w:rPr>
          <w:spacing w:val="-4"/>
          <w:sz w:val="18"/>
          <w:szCs w:val="24"/>
          <w:lang w:eastAsia="ja-JP"/>
        </w:rPr>
      </w:pPr>
    </w:p>
    <w:p w14:paraId="6FD3A563" w14:textId="4733E29C" w:rsidR="00F3574A" w:rsidRDefault="00463BA5" w:rsidP="00F3574A">
      <w:pPr>
        <w:rPr>
          <w:spacing w:val="-4"/>
          <w:szCs w:val="24"/>
        </w:rPr>
      </w:pPr>
      <w:r w:rsidRPr="00751F3B">
        <w:fldChar w:fldCharType="begin"/>
      </w:r>
      <w:r w:rsidRPr="00751F3B">
        <w:instrText xml:space="preserve"> AUTONUM  </w:instrText>
      </w:r>
      <w:r w:rsidRPr="00751F3B">
        <w:fldChar w:fldCharType="end"/>
      </w:r>
      <w:r>
        <w:tab/>
        <w:t>En respuesta al comentario formulado por la delegación del Canadá respecto de las situaciones en que el obtentor de la variedad inicial y el obtentor de la presunta variedad esencialmente derivada sean la misma persona, el presidente recordó que el CAJ ha considerado la cuestión, en el contexto de una solicitud del</w:t>
      </w:r>
      <w:r w:rsidR="004F7CA3">
        <w:t> </w:t>
      </w:r>
      <w:r>
        <w:t xml:space="preserve">Comité Técnico relativa a actividades de fitomejoramiento de especial interés para el sector ornamental (véase el Anexo III del documento CAJ/47/18 </w:t>
      </w:r>
      <w:r w:rsidRPr="00C42996">
        <w:t>“</w:t>
      </w:r>
      <w:r w:rsidR="00C42996">
        <w:t>Informe”</w:t>
      </w:r>
      <w:r>
        <w:t>).</w:t>
      </w:r>
    </w:p>
    <w:p w14:paraId="257CB303" w14:textId="77777777" w:rsidR="00F3574A" w:rsidRPr="00C42996" w:rsidRDefault="00F3574A" w:rsidP="00F3574A">
      <w:pPr>
        <w:rPr>
          <w:spacing w:val="-4"/>
          <w:sz w:val="18"/>
          <w:szCs w:val="24"/>
          <w:lang w:eastAsia="ja-JP"/>
        </w:rPr>
      </w:pPr>
    </w:p>
    <w:p w14:paraId="3BEC513B" w14:textId="77777777" w:rsidR="00F3574A" w:rsidRPr="007812DB" w:rsidRDefault="00F3574A" w:rsidP="00F3574A">
      <w:pPr>
        <w:rPr>
          <w:szCs w:val="24"/>
        </w:rPr>
      </w:pPr>
      <w:r w:rsidRPr="007812DB">
        <w:fldChar w:fldCharType="begin"/>
      </w:r>
      <w:r w:rsidRPr="007812DB">
        <w:instrText xml:space="preserve"> AUTONUM  </w:instrText>
      </w:r>
      <w:r w:rsidRPr="007812DB">
        <w:fldChar w:fldCharType="end"/>
      </w:r>
      <w:r>
        <w:tab/>
        <w:t>El WG-EDV convino en solicitar a la Oficina de la Unión que evalúe si es útil que la orientación que figura en dicho documento se introduzca en las notas explicativas o si el CAJ debe examinar más detenidamente la cuestión por separado.</w:t>
      </w:r>
    </w:p>
    <w:p w14:paraId="73F527C9" w14:textId="77777777" w:rsidR="00463BA5" w:rsidRPr="00C42996" w:rsidRDefault="00463BA5" w:rsidP="00D22230">
      <w:pPr>
        <w:rPr>
          <w:spacing w:val="-4"/>
          <w:sz w:val="18"/>
          <w:szCs w:val="24"/>
          <w:lang w:eastAsia="ja-JP"/>
        </w:rPr>
      </w:pPr>
    </w:p>
    <w:p w14:paraId="1F0444AE" w14:textId="795F151C" w:rsidR="00C80A4E" w:rsidRDefault="00463BA5" w:rsidP="00C80A4E">
      <w:pPr>
        <w:rPr>
          <w:rFonts w:cs="Arial"/>
        </w:rPr>
      </w:pPr>
      <w:r w:rsidRPr="007B785C">
        <w:rPr>
          <w:rFonts w:cs="Arial"/>
        </w:rPr>
        <w:fldChar w:fldCharType="begin"/>
      </w:r>
      <w:r w:rsidRPr="007B785C">
        <w:rPr>
          <w:rFonts w:cs="Arial"/>
        </w:rPr>
        <w:instrText xml:space="preserve"> AUTONUM  </w:instrText>
      </w:r>
      <w:r w:rsidRPr="007B785C">
        <w:rPr>
          <w:rFonts w:cs="Arial"/>
        </w:rPr>
        <w:fldChar w:fldCharType="end"/>
      </w:r>
      <w:r>
        <w:tab/>
        <w:t>El WG-EDV examinó los comentarios formulados por las delegaciones</w:t>
      </w:r>
      <w:r w:rsidR="00C42996">
        <w:t xml:space="preserve"> del Brasil, Chile, los Estados </w:t>
      </w:r>
      <w:r>
        <w:t>Unidos de América y la Unión Europea y convino en revisar las frases segunda y tercera del párrafo 34 del Anexo I del documento UPOV/WG-EDV/3/2, para dar respuesta a las siguientes cuestiones:</w:t>
      </w:r>
    </w:p>
    <w:p w14:paraId="01CB8807" w14:textId="77777777" w:rsidR="00C80A4E" w:rsidRPr="00C42996" w:rsidRDefault="00C80A4E" w:rsidP="00C80A4E">
      <w:pPr>
        <w:rPr>
          <w:rFonts w:cs="Arial"/>
          <w:sz w:val="18"/>
        </w:rPr>
      </w:pPr>
    </w:p>
    <w:p w14:paraId="782E2C96" w14:textId="77777777" w:rsidR="00391FCF" w:rsidRDefault="00391FCF" w:rsidP="00391FCF">
      <w:pPr>
        <w:ind w:left="567"/>
        <w:rPr>
          <w:rFonts w:cs="Arial"/>
        </w:rPr>
      </w:pPr>
      <w:r>
        <w:t>a)</w:t>
      </w:r>
      <w:r>
        <w:tab/>
        <w:t>evitar dar a entender que es necesario recurrir a la autoridad en derechos de obtentor para gestionar y resolver las controversias sobre variedades esencialmente derivadas;</w:t>
      </w:r>
    </w:p>
    <w:p w14:paraId="1E71719B" w14:textId="77777777" w:rsidR="00391FCF" w:rsidRPr="00C42996" w:rsidRDefault="00391FCF" w:rsidP="00391FCF">
      <w:pPr>
        <w:ind w:left="567"/>
        <w:rPr>
          <w:rFonts w:cs="Arial"/>
          <w:sz w:val="18"/>
        </w:rPr>
      </w:pPr>
    </w:p>
    <w:p w14:paraId="011FFC23" w14:textId="77777777" w:rsidR="00391FCF" w:rsidRDefault="00391FCF" w:rsidP="00391FCF">
      <w:pPr>
        <w:ind w:left="567"/>
        <w:rPr>
          <w:rFonts w:cs="Arial"/>
        </w:rPr>
      </w:pPr>
      <w:r>
        <w:t>b)</w:t>
      </w:r>
      <w:r>
        <w:tab/>
        <w:t xml:space="preserve">hacer hincapié en el requisito de “independencia” de los expertos que puedan consultarse en el contexto de controversias sobre variedades esencialmente derivadas; y </w:t>
      </w:r>
    </w:p>
    <w:p w14:paraId="4318805D" w14:textId="77777777" w:rsidR="00391FCF" w:rsidRPr="00C42996" w:rsidRDefault="00391FCF" w:rsidP="00391FCF">
      <w:pPr>
        <w:ind w:left="567"/>
        <w:rPr>
          <w:rFonts w:cs="Arial"/>
          <w:sz w:val="18"/>
        </w:rPr>
      </w:pPr>
    </w:p>
    <w:p w14:paraId="1E014BBA" w14:textId="77777777" w:rsidR="00C80A4E" w:rsidRPr="00391FCF" w:rsidRDefault="00391FCF" w:rsidP="00391FCF">
      <w:pPr>
        <w:ind w:left="567"/>
        <w:rPr>
          <w:rFonts w:cs="Arial"/>
        </w:rPr>
      </w:pPr>
      <w:r>
        <w:t>c)</w:t>
      </w:r>
      <w:r>
        <w:tab/>
        <w:t>facilitar información sobre el modo de encontrar expertos independientes.</w:t>
      </w:r>
    </w:p>
    <w:p w14:paraId="32C2D8A4" w14:textId="77777777" w:rsidR="00C80A4E" w:rsidRPr="00022946" w:rsidRDefault="00C80A4E" w:rsidP="00463BA5">
      <w:pPr>
        <w:rPr>
          <w:rFonts w:cs="Arial"/>
        </w:rPr>
      </w:pPr>
    </w:p>
    <w:p w14:paraId="77FDDCA6" w14:textId="77777777" w:rsidR="00351D95" w:rsidRDefault="00D71075" w:rsidP="00B21EA8">
      <w:pPr>
        <w:keepNext/>
        <w:keepLines/>
        <w:rPr>
          <w:spacing w:val="-4"/>
          <w:szCs w:val="24"/>
        </w:rPr>
      </w:pPr>
      <w:r w:rsidRPr="00022946">
        <w:rPr>
          <w:rFonts w:cs="Arial"/>
        </w:rPr>
        <w:fldChar w:fldCharType="begin"/>
      </w:r>
      <w:r w:rsidRPr="00022946">
        <w:rPr>
          <w:rFonts w:cs="Arial"/>
        </w:rPr>
        <w:instrText xml:space="preserve"> AUTONUM  </w:instrText>
      </w:r>
      <w:r w:rsidRPr="00022946">
        <w:rPr>
          <w:rFonts w:cs="Arial"/>
        </w:rPr>
        <w:fldChar w:fldCharType="end"/>
      </w:r>
      <w:r>
        <w:tab/>
        <w:t>En respuesta a una pregunta de Noruega sobre el fundamento y las consecuencias de la sección III “Opciones para la defensa de los derechos de obtentor respecto de las variedades esencialmente derivadas”, el presidente recordó el texto del párrafo 2 del preámbulo del Anexo I del documento UPOV/WG-EDV/3/2:</w:t>
      </w:r>
    </w:p>
    <w:p w14:paraId="6106BAAC" w14:textId="77777777" w:rsidR="00B21EA8" w:rsidRPr="00C42996" w:rsidRDefault="00B21EA8" w:rsidP="00B21EA8">
      <w:pPr>
        <w:keepNext/>
        <w:keepLines/>
        <w:rPr>
          <w:rFonts w:cs="Arial"/>
          <w:color w:val="000000" w:themeColor="text1"/>
          <w:sz w:val="16"/>
          <w:szCs w:val="18"/>
        </w:rPr>
      </w:pPr>
    </w:p>
    <w:p w14:paraId="5A3447C0" w14:textId="09E40415" w:rsidR="0023528A" w:rsidRPr="0023528A" w:rsidRDefault="0023528A" w:rsidP="00391FCF">
      <w:pPr>
        <w:keepLines/>
        <w:ind w:left="562" w:right="562"/>
        <w:rPr>
          <w:sz w:val="18"/>
        </w:rPr>
      </w:pPr>
      <w:r>
        <w:rPr>
          <w:sz w:val="18"/>
        </w:rPr>
        <w:t>“2.</w:t>
      </w:r>
      <w:r>
        <w:rPr>
          <w:sz w:val="18"/>
        </w:rPr>
        <w:tab/>
        <w:t xml:space="preserve">Estas notas explicativas contienen orientaciones sobre las </w:t>
      </w:r>
      <w:r w:rsidR="00493D3F">
        <w:rPr>
          <w:rFonts w:cs="Arial"/>
          <w:sz w:val="18"/>
        </w:rPr>
        <w:t>‘</w:t>
      </w:r>
      <w:r>
        <w:rPr>
          <w:sz w:val="18"/>
        </w:rPr>
        <w:t>variedades esencialmente derivadas</w:t>
      </w:r>
      <w:r w:rsidR="00493D3F">
        <w:rPr>
          <w:rFonts w:cs="Arial"/>
          <w:sz w:val="18"/>
        </w:rPr>
        <w:t>’</w:t>
      </w:r>
      <w:r>
        <w:rPr>
          <w:sz w:val="18"/>
        </w:rPr>
        <w:t xml:space="preserve"> tal como se contemplan en el Acta de 1991 del Convenio Internacional para la Protección de las Obtenciones Vegetales (Convenio de la UPOV).</w:t>
      </w:r>
      <w:r w:rsidR="00F876C3">
        <w:rPr>
          <w:sz w:val="18"/>
        </w:rPr>
        <w:t xml:space="preserve"> </w:t>
      </w:r>
      <w:r>
        <w:rPr>
          <w:sz w:val="18"/>
        </w:rPr>
        <w:t>La finalidad de estas orientaciones es facilitar a los miembros de la Unión y a los sectores interesados pertinentes el examen de las cuestiones relativas a las variedades esencialmente derivadas.</w:t>
      </w:r>
      <w:r w:rsidR="00F876C3">
        <w:rPr>
          <w:sz w:val="18"/>
        </w:rPr>
        <w:t xml:space="preserve"> </w:t>
      </w:r>
      <w:r>
        <w:rPr>
          <w:sz w:val="18"/>
        </w:rPr>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14:paraId="22B186D7" w14:textId="77777777" w:rsidR="0023528A" w:rsidRPr="00C42996" w:rsidRDefault="0023528A" w:rsidP="00D22230">
      <w:pPr>
        <w:rPr>
          <w:spacing w:val="-4"/>
          <w:sz w:val="18"/>
          <w:szCs w:val="24"/>
          <w:lang w:eastAsia="ja-JP"/>
        </w:rPr>
      </w:pPr>
    </w:p>
    <w:p w14:paraId="0F8EA3C6" w14:textId="3680EBD7" w:rsidR="0023528A" w:rsidRDefault="0023528A" w:rsidP="00D22230">
      <w:pPr>
        <w:rPr>
          <w:color w:val="000000"/>
        </w:rPr>
      </w:pPr>
      <w:r w:rsidRPr="009F1489">
        <w:fldChar w:fldCharType="begin"/>
      </w:r>
      <w:r w:rsidRPr="009F1489">
        <w:instrText xml:space="preserve"> AUTONUM  </w:instrText>
      </w:r>
      <w:r w:rsidRPr="009F1489">
        <w:fldChar w:fldCharType="end"/>
      </w:r>
      <w:r>
        <w:tab/>
        <w:t xml:space="preserve">En opinión de la delegación </w:t>
      </w:r>
      <w:r>
        <w:rPr>
          <w:color w:val="000000"/>
        </w:rPr>
        <w:t>de Australia, se debe evitar que el texto de las notas explicativas no sea acorde a otros enfoques adoptados por los miembros de la Unión.</w:t>
      </w:r>
      <w:r w:rsidR="00F876C3">
        <w:rPr>
          <w:color w:val="000000"/>
        </w:rPr>
        <w:t xml:space="preserve"> </w:t>
      </w:r>
      <w:r>
        <w:rPr>
          <w:color w:val="000000"/>
        </w:rPr>
        <w:t>Con anterioridad Australia se reservó su posición en ese momento e informó que su país emprendería un amplio proceso de consulta con todos los sectores que pudieran estar afectados por los cambios propuestos.</w:t>
      </w:r>
      <w:r w:rsidR="00F876C3">
        <w:rPr>
          <w:color w:val="000000"/>
        </w:rPr>
        <w:t xml:space="preserve"> </w:t>
      </w:r>
    </w:p>
    <w:p w14:paraId="6E2DA936" w14:textId="77777777" w:rsidR="00E34278" w:rsidRPr="00C42996" w:rsidRDefault="00E34278" w:rsidP="00D22230">
      <w:pPr>
        <w:rPr>
          <w:spacing w:val="-4"/>
          <w:sz w:val="18"/>
          <w:szCs w:val="24"/>
          <w:lang w:eastAsia="ja-JP"/>
        </w:rPr>
      </w:pPr>
    </w:p>
    <w:p w14:paraId="68C164FD" w14:textId="49DF01DB" w:rsidR="00E34278" w:rsidRDefault="00351D95" w:rsidP="00D22230">
      <w:pPr>
        <w:rPr>
          <w:rFonts w:cs="Arial"/>
        </w:rPr>
      </w:pPr>
      <w:r w:rsidRPr="006D29C7">
        <w:rPr>
          <w:rFonts w:cs="Arial"/>
        </w:rPr>
        <w:fldChar w:fldCharType="begin"/>
      </w:r>
      <w:r w:rsidRPr="006D29C7">
        <w:rPr>
          <w:rFonts w:cs="Arial"/>
        </w:rPr>
        <w:instrText xml:space="preserve"> AUTONUM  </w:instrText>
      </w:r>
      <w:r w:rsidRPr="006D29C7">
        <w:rPr>
          <w:rFonts w:cs="Arial"/>
        </w:rPr>
        <w:fldChar w:fldCharType="end"/>
      </w:r>
      <w:r>
        <w:tab/>
        <w:t>El WG-EDV convino en introducir los siguientes cambios en el flujograma y solicitó a la Oficina de la</w:t>
      </w:r>
      <w:r w:rsidR="004F7CA3">
        <w:t> </w:t>
      </w:r>
      <w:r>
        <w:t>Unión que los revise a fin de que sean coherentes con el documento:</w:t>
      </w:r>
    </w:p>
    <w:p w14:paraId="5E4C3F29" w14:textId="77777777" w:rsidR="00C9201A" w:rsidRPr="00C42996" w:rsidRDefault="00C9201A" w:rsidP="00D22230">
      <w:pPr>
        <w:rPr>
          <w:rFonts w:cs="Arial"/>
          <w:sz w:val="16"/>
        </w:rPr>
      </w:pPr>
    </w:p>
    <w:p w14:paraId="2E1FEE66" w14:textId="0087D007" w:rsidR="00E34278" w:rsidRPr="004F7CA3" w:rsidRDefault="004F7CA3" w:rsidP="005F2DF5">
      <w:pPr>
        <w:ind w:left="851" w:hanging="491"/>
        <w:jc w:val="left"/>
        <w:rPr>
          <w:rFonts w:cs="Arial"/>
        </w:rPr>
      </w:pPr>
      <w:r>
        <w:t>a)</w:t>
      </w:r>
      <w:r>
        <w:tab/>
      </w:r>
      <w:r w:rsidR="00C9201A">
        <w:t>modificar el primer recuadro de la siguiente manera:</w:t>
      </w:r>
      <w:r w:rsidR="00F876C3">
        <w:t xml:space="preserve"> </w:t>
      </w:r>
      <w:r w:rsidR="00C9201A">
        <w:t>¿</w:t>
      </w:r>
      <w:r w:rsidR="00C9201A" w:rsidRPr="004F7CA3">
        <w:rPr>
          <w:strike/>
          <w:highlight w:val="lightGray"/>
        </w:rPr>
        <w:t>Es</w:t>
      </w:r>
      <w:r w:rsidR="00C9201A">
        <w:t xml:space="preserve"> </w:t>
      </w:r>
      <w:r w:rsidR="00C9201A" w:rsidRPr="004F7CA3">
        <w:rPr>
          <w:highlight w:val="lightGray"/>
          <w:u w:val="single"/>
        </w:rPr>
        <w:t>Se sospecha que</w:t>
      </w:r>
      <w:r w:rsidR="00C9201A">
        <w:t xml:space="preserve"> la variedad X </w:t>
      </w:r>
      <w:r w:rsidR="00C9201A" w:rsidRPr="004F7CA3">
        <w:rPr>
          <w:highlight w:val="lightGray"/>
          <w:u w:val="single"/>
        </w:rPr>
        <w:t>es</w:t>
      </w:r>
      <w:r w:rsidR="00C9201A">
        <w:t xml:space="preserve"> un</w:t>
      </w:r>
      <w:r w:rsidR="00BE3828">
        <w:t xml:space="preserve">a </w:t>
      </w:r>
      <w:r w:rsidR="002D1142">
        <w:t>VED</w:t>
      </w:r>
      <w:r w:rsidR="00BE3828">
        <w:t xml:space="preserve"> de una variedad inicial (</w:t>
      </w:r>
      <w:r w:rsidR="00C9201A">
        <w:t>I</w:t>
      </w:r>
      <w:r w:rsidR="00BE3828">
        <w:t>V</w:t>
      </w:r>
      <w:r w:rsidR="00C9201A">
        <w:t>)?</w:t>
      </w:r>
    </w:p>
    <w:p w14:paraId="1A09851E" w14:textId="77777777" w:rsidR="006D29C7" w:rsidRPr="00C42996" w:rsidRDefault="006D29C7" w:rsidP="005F2DF5">
      <w:pPr>
        <w:ind w:left="851" w:hanging="491"/>
        <w:jc w:val="left"/>
        <w:rPr>
          <w:rFonts w:cs="Arial"/>
          <w:sz w:val="18"/>
        </w:rPr>
      </w:pPr>
    </w:p>
    <w:p w14:paraId="7A447D01" w14:textId="250AE42F" w:rsidR="009A21A4" w:rsidRPr="004F7CA3" w:rsidRDefault="004F7CA3" w:rsidP="005F2DF5">
      <w:pPr>
        <w:ind w:left="851" w:hanging="491"/>
        <w:rPr>
          <w:rFonts w:cs="Arial"/>
        </w:rPr>
      </w:pPr>
      <w:r>
        <w:t>b</w:t>
      </w:r>
      <w:r w:rsidR="005F2DF5">
        <w:t>)</w:t>
      </w:r>
      <w:r w:rsidR="005F2DF5">
        <w:tab/>
      </w:r>
      <w:r w:rsidR="009A21A4">
        <w:t>añadir otro rombo debajo del primero con la siguiente explicación:</w:t>
      </w:r>
      <w:r w:rsidR="00F876C3">
        <w:t xml:space="preserve"> </w:t>
      </w:r>
      <w:r w:rsidR="009A21A4" w:rsidRPr="004F7CA3">
        <w:rPr>
          <w:highlight w:val="lightGray"/>
          <w:u w:val="single"/>
        </w:rPr>
        <w:t>La variedad X no cumple la condición de distinción, no satisface los requisitos a efectos de los derechos de obtentor y queda comprendida en el al</w:t>
      </w:r>
      <w:r w:rsidR="00C42996">
        <w:rPr>
          <w:highlight w:val="lightGray"/>
          <w:u w:val="single"/>
        </w:rPr>
        <w:t xml:space="preserve">cance de la protección de la </w:t>
      </w:r>
      <w:r w:rsidR="00BE3828">
        <w:rPr>
          <w:highlight w:val="lightGray"/>
          <w:u w:val="single"/>
        </w:rPr>
        <w:t>I</w:t>
      </w:r>
      <w:r w:rsidR="00C42996">
        <w:rPr>
          <w:highlight w:val="lightGray"/>
          <w:u w:val="single"/>
        </w:rPr>
        <w:t>V</w:t>
      </w:r>
      <w:r w:rsidR="00C42996" w:rsidRPr="00C42996">
        <w:t>;</w:t>
      </w:r>
    </w:p>
    <w:p w14:paraId="307C768A" w14:textId="77777777" w:rsidR="009A21A4" w:rsidRPr="00C42996" w:rsidRDefault="009A21A4" w:rsidP="009A21A4">
      <w:pPr>
        <w:pStyle w:val="ListParagraph"/>
        <w:rPr>
          <w:rFonts w:cs="Arial"/>
          <w:sz w:val="18"/>
        </w:rPr>
      </w:pPr>
    </w:p>
    <w:p w14:paraId="511B0C06" w14:textId="5D73F667" w:rsidR="00C42996" w:rsidRDefault="005F2DF5" w:rsidP="00C42996">
      <w:pPr>
        <w:ind w:left="851" w:hanging="491"/>
      </w:pPr>
      <w:r>
        <w:t>c)</w:t>
      </w:r>
      <w:r>
        <w:tab/>
      </w:r>
      <w:r w:rsidR="009A21A4">
        <w:t>modificar la nota al pie 2 de la siguiente manera:</w:t>
      </w:r>
      <w:r w:rsidR="00F876C3">
        <w:t xml:space="preserve"> </w:t>
      </w:r>
      <w:r w:rsidR="009A21A4">
        <w:t xml:space="preserve">véanse los párrafos 7 a </w:t>
      </w:r>
      <w:r w:rsidR="009A21A4">
        <w:rPr>
          <w:strike/>
          <w:highlight w:val="lightGray"/>
        </w:rPr>
        <w:t>12</w:t>
      </w:r>
      <w:r w:rsidR="009A21A4">
        <w:rPr>
          <w:highlight w:val="lightGray"/>
        </w:rPr>
        <w:t xml:space="preserve"> </w:t>
      </w:r>
      <w:r w:rsidR="009A21A4">
        <w:rPr>
          <w:highlight w:val="lightGray"/>
          <w:u w:val="single"/>
        </w:rPr>
        <w:t>10</w:t>
      </w:r>
      <w:r w:rsidR="009A21A4">
        <w:t>.</w:t>
      </w:r>
      <w:r w:rsidR="00C42996">
        <w:t xml:space="preserve">  </w:t>
      </w:r>
      <w:r w:rsidR="00C42996">
        <w:br w:type="page"/>
      </w:r>
    </w:p>
    <w:p w14:paraId="59FE1799" w14:textId="77777777" w:rsidR="002F4E98" w:rsidRDefault="00D22230" w:rsidP="002F4E98">
      <w:pPr>
        <w:rPr>
          <w:spacing w:val="-4"/>
          <w:szCs w:val="24"/>
        </w:rPr>
      </w:pPr>
      <w:r w:rsidRPr="00751F3B">
        <w:lastRenderedPageBreak/>
        <w:fldChar w:fldCharType="begin"/>
      </w:r>
      <w:r w:rsidRPr="00751F3B">
        <w:instrText xml:space="preserve"> AUTONUM  </w:instrText>
      </w:r>
      <w:r w:rsidRPr="00751F3B">
        <w:fldChar w:fldCharType="end"/>
      </w:r>
      <w:r>
        <w:tab/>
        <w:t>La delegación del Japón solicitó, además de la información sobre las decisiones judiciales mencionadas en el párrafo 39 del Anexo I del documento UPOV/WG-EDV/3/2, la recopilación de prácticas, ejemplos de contratos y orientación disponible de las organizaciones de obtentores pertinentes para las consideraciones sobre variedades esencialmente derivadas, si fuera posible, cultivo por cultivo.</w:t>
      </w:r>
    </w:p>
    <w:p w14:paraId="03DC2E1D" w14:textId="77777777" w:rsidR="002F4E98" w:rsidRDefault="002F4E98" w:rsidP="002F4E98">
      <w:pPr>
        <w:rPr>
          <w:spacing w:val="-4"/>
          <w:szCs w:val="24"/>
          <w:lang w:eastAsia="ja-JP"/>
        </w:rPr>
      </w:pPr>
    </w:p>
    <w:p w14:paraId="7B0E50FB" w14:textId="77777777" w:rsidR="00914F44" w:rsidRDefault="002F4E98" w:rsidP="007812D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El WG-EDV convino en que la propuesta del Japón debe presentarse al CAJ para disponer de más orientaciones. </w:t>
      </w:r>
    </w:p>
    <w:p w14:paraId="5FF6D6AD" w14:textId="77777777" w:rsidR="00914F44" w:rsidRDefault="00914F44" w:rsidP="007812DB">
      <w:pPr>
        <w:rPr>
          <w:snapToGrid w:val="0"/>
        </w:rPr>
      </w:pPr>
    </w:p>
    <w:p w14:paraId="520CA367" w14:textId="77777777" w:rsidR="00914F44" w:rsidRPr="002852D7" w:rsidRDefault="00914F44" w:rsidP="00914F44">
      <w:pPr>
        <w:rPr>
          <w:snapToGrid w:val="0"/>
          <w:spacing w:val="-4"/>
        </w:rPr>
      </w:pPr>
      <w:r w:rsidRPr="002852D7">
        <w:fldChar w:fldCharType="begin"/>
      </w:r>
      <w:r w:rsidRPr="002852D7">
        <w:instrText xml:space="preserve"> AUTONUM  </w:instrText>
      </w:r>
      <w:r w:rsidRPr="002852D7">
        <w:fldChar w:fldCharType="end"/>
      </w:r>
      <w:r>
        <w:tab/>
      </w:r>
      <w:r>
        <w:rPr>
          <w:snapToGrid w:val="0"/>
        </w:rPr>
        <w:t xml:space="preserve">El WG-EDV convino en </w:t>
      </w:r>
      <w:r>
        <w:t xml:space="preserve">solicitar a </w:t>
      </w:r>
      <w:r>
        <w:rPr>
          <w:snapToGrid w:val="0"/>
        </w:rPr>
        <w:t>la Oficina de la Unión que elabore una revisión del documento UPOV/EXN/EDV/2 (UPOV/EXN/EDV/3 Draft 1), sobre la base del texto que figura en el Anexo I del documento UPOV/WG- EDV/3/2, que incorpore las conclusiones del WG-EDV en su tercera reunión, para que el WG</w:t>
      </w:r>
      <w:r>
        <w:rPr>
          <w:snapToGrid w:val="0"/>
        </w:rPr>
        <w:noBreakHyphen/>
        <w:t>EDV la examine por correspondencia.</w:t>
      </w:r>
    </w:p>
    <w:p w14:paraId="49E5867A" w14:textId="77777777" w:rsidR="00914F44" w:rsidRDefault="00914F44" w:rsidP="00914F44">
      <w:pPr>
        <w:rPr>
          <w:snapToGrid w:val="0"/>
          <w:spacing w:val="-2"/>
        </w:rPr>
      </w:pPr>
    </w:p>
    <w:p w14:paraId="0564CAEB" w14:textId="21F9F539" w:rsidR="00914F44" w:rsidRDefault="00914F44" w:rsidP="00914F44">
      <w:pPr>
        <w:rPr>
          <w:snapToGrid w:val="0"/>
        </w:rPr>
      </w:pPr>
      <w:r>
        <w:rPr>
          <w:snapToGrid w:val="0"/>
        </w:rPr>
        <w:fldChar w:fldCharType="begin"/>
      </w:r>
      <w:r>
        <w:rPr>
          <w:snapToGrid w:val="0"/>
        </w:rPr>
        <w:instrText xml:space="preserve"> AUTONUM  </w:instrText>
      </w:r>
      <w:r>
        <w:rPr>
          <w:snapToGrid w:val="0"/>
        </w:rPr>
        <w:fldChar w:fldCharType="end"/>
      </w:r>
      <w:r>
        <w:rPr>
          <w:snapToGrid w:val="0"/>
        </w:rPr>
        <w:tab/>
        <w:t>El WG-EDV recordó el siguiente calendario acordado en su primera reunión, celebrada el 8 de diciembre de 2020 (véase el párrafo 9 del documento UPOV/WG-EDV/1/</w:t>
      </w:r>
      <w:proofErr w:type="gramStart"/>
      <w:r>
        <w:rPr>
          <w:snapToGrid w:val="0"/>
        </w:rPr>
        <w:t>3 ”Informe</w:t>
      </w:r>
      <w:proofErr w:type="gramEnd"/>
      <w:r>
        <w:rPr>
          <w:snapToGrid w:val="0"/>
        </w:rPr>
        <w:t>”) y convino en que, a partir de los comentarios recibidos sobre el documento UPOV/EXN/EDV/3 Draft 1, la Oficina de la Unión elabore un nuevo proyecto del documento UPOV/EXN/EDV/3 (UPOV/EXN/EDV/3 Draft 2) y posibles recomendaciones del WG-EDV al CAJ, si procede, para que el WG-EDV los examine en su cuarta reunión.</w:t>
      </w:r>
    </w:p>
    <w:p w14:paraId="3907DB7E" w14:textId="77777777" w:rsidR="00914F44" w:rsidRDefault="00914F44" w:rsidP="00914F44">
      <w:pPr>
        <w:rPr>
          <w:snapToGrid w:val="0"/>
          <w:spacing w:val="-2"/>
        </w:rPr>
      </w:pPr>
    </w:p>
    <w:tbl>
      <w:tblPr>
        <w:tblStyle w:val="TableGrid"/>
        <w:tblW w:w="9072" w:type="dxa"/>
        <w:tblInd w:w="562" w:type="dxa"/>
        <w:tblLook w:val="01E0" w:firstRow="1" w:lastRow="1" w:firstColumn="1" w:lastColumn="1" w:noHBand="0" w:noVBand="0"/>
      </w:tblPr>
      <w:tblGrid>
        <w:gridCol w:w="2268"/>
        <w:gridCol w:w="6804"/>
      </w:tblGrid>
      <w:tr w:rsidR="002852D7" w:rsidRPr="00501E67" w14:paraId="769FDD92" w14:textId="77777777" w:rsidTr="00914F44">
        <w:trPr>
          <w:cantSplit/>
        </w:trPr>
        <w:tc>
          <w:tcPr>
            <w:tcW w:w="2268" w:type="dxa"/>
          </w:tcPr>
          <w:p w14:paraId="5B0B3CE3" w14:textId="74004DB7" w:rsidR="002852D7" w:rsidRPr="00EB3E59" w:rsidRDefault="002F4E98" w:rsidP="003A32F0">
            <w:pPr>
              <w:keepNext/>
              <w:rPr>
                <w:u w:val="single"/>
              </w:rPr>
            </w:pPr>
            <w:r>
              <w:rPr>
                <w:snapToGrid w:val="0"/>
              </w:rPr>
              <w:br w:type="page"/>
            </w:r>
            <w:r w:rsidR="002852D7">
              <w:rPr>
                <w:u w:val="single"/>
              </w:rPr>
              <w:t>Junio o julio de 2021</w:t>
            </w:r>
          </w:p>
          <w:p w14:paraId="592BB445" w14:textId="77777777" w:rsidR="002852D7" w:rsidRPr="00EB3E59" w:rsidRDefault="002852D7" w:rsidP="003A32F0">
            <w:pPr>
              <w:keepNext/>
              <w:spacing w:after="120"/>
              <w:jc w:val="left"/>
            </w:pPr>
            <w:r>
              <w:t>[fecha por determinar]</w:t>
            </w:r>
          </w:p>
        </w:tc>
        <w:tc>
          <w:tcPr>
            <w:tcW w:w="6804" w:type="dxa"/>
          </w:tcPr>
          <w:p w14:paraId="7CAF92CE" w14:textId="77777777" w:rsidR="002852D7" w:rsidRPr="00EB3E59" w:rsidRDefault="002852D7" w:rsidP="003A32F0">
            <w:pPr>
              <w:keepNext/>
              <w:spacing w:after="160"/>
              <w:jc w:val="left"/>
              <w:rPr>
                <w:snapToGrid w:val="0"/>
                <w:spacing w:val="-2"/>
              </w:rPr>
            </w:pPr>
            <w:r>
              <w:t>Examen por correspondencia del documento </w:t>
            </w:r>
            <w:r>
              <w:rPr>
                <w:snapToGrid w:val="0"/>
              </w:rPr>
              <w:t>UPOV/EXN/EDV/3/Draft 1</w:t>
            </w:r>
            <w:r>
              <w:rPr>
                <w:snapToGrid w:val="0"/>
              </w:rPr>
              <w:br/>
              <w:t>(6 semanas para formular observaciones)</w:t>
            </w:r>
          </w:p>
        </w:tc>
      </w:tr>
      <w:tr w:rsidR="002852D7" w:rsidRPr="00501E67" w14:paraId="75CAA293" w14:textId="77777777" w:rsidTr="00914F44">
        <w:tblPrEx>
          <w:tblLook w:val="04A0" w:firstRow="1" w:lastRow="0" w:firstColumn="1" w:lastColumn="0" w:noHBand="0" w:noVBand="1"/>
        </w:tblPrEx>
        <w:tc>
          <w:tcPr>
            <w:tcW w:w="2268" w:type="dxa"/>
          </w:tcPr>
          <w:p w14:paraId="6E042A3D" w14:textId="77777777" w:rsidR="002852D7" w:rsidRPr="00EB3E59" w:rsidRDefault="002852D7" w:rsidP="003A32F0">
            <w:pPr>
              <w:keepNext/>
              <w:rPr>
                <w:u w:val="single"/>
              </w:rPr>
            </w:pPr>
            <w:r>
              <w:rPr>
                <w:u w:val="single"/>
              </w:rPr>
              <w:t>Octubre de 2021</w:t>
            </w:r>
          </w:p>
          <w:p w14:paraId="30D55E45" w14:textId="77777777" w:rsidR="002852D7" w:rsidRPr="00EB3E59" w:rsidRDefault="002852D7" w:rsidP="003A32F0">
            <w:pPr>
              <w:keepNext/>
              <w:jc w:val="left"/>
            </w:pPr>
            <w:r>
              <w:t>[fecha por determinar]</w:t>
            </w:r>
          </w:p>
        </w:tc>
        <w:tc>
          <w:tcPr>
            <w:tcW w:w="6804" w:type="dxa"/>
          </w:tcPr>
          <w:p w14:paraId="048E5D81" w14:textId="77777777" w:rsidR="002852D7" w:rsidRPr="00EB3E59" w:rsidRDefault="002852D7" w:rsidP="003A32F0">
            <w:pPr>
              <w:keepNext/>
              <w:jc w:val="left"/>
              <w:rPr>
                <w:spacing w:val="-4"/>
              </w:rPr>
            </w:pPr>
            <w:r>
              <w:t>Cuarta reunión del WG-EDV (paralelamente a la sesión del CAJ)</w:t>
            </w:r>
          </w:p>
          <w:p w14:paraId="64A5C892" w14:textId="77777777" w:rsidR="002852D7" w:rsidRPr="00EB3E59" w:rsidRDefault="002852D7" w:rsidP="003A32F0">
            <w:pPr>
              <w:keepNext/>
              <w:jc w:val="left"/>
            </w:pPr>
          </w:p>
          <w:p w14:paraId="470C7769" w14:textId="77777777" w:rsidR="002852D7" w:rsidRPr="00EB3E59" w:rsidRDefault="002852D7" w:rsidP="003A32F0">
            <w:pPr>
              <w:pStyle w:val="ListParagraph"/>
              <w:keepNext/>
              <w:numPr>
                <w:ilvl w:val="0"/>
                <w:numId w:val="1"/>
              </w:numPr>
              <w:jc w:val="left"/>
            </w:pPr>
            <w:r>
              <w:t xml:space="preserve">examen del documento UPOV/EXN/EDV/3/Draft 2 </w:t>
            </w:r>
          </w:p>
          <w:p w14:paraId="444DBFFA" w14:textId="77777777" w:rsidR="002852D7" w:rsidRPr="00EB3E59" w:rsidRDefault="002852D7" w:rsidP="003A32F0">
            <w:pPr>
              <w:pStyle w:val="ListParagraph"/>
              <w:keepNext/>
              <w:spacing w:after="160"/>
              <w:ind w:left="811"/>
              <w:rPr>
                <w:spacing w:val="-4"/>
              </w:rPr>
            </w:pPr>
            <w:r>
              <w:t>(se publicará en inglés seis semanas antes de la cuarta reunión)</w:t>
            </w:r>
          </w:p>
        </w:tc>
      </w:tr>
    </w:tbl>
    <w:p w14:paraId="79CBC98D" w14:textId="77777777" w:rsidR="002852D7" w:rsidRPr="002852D7" w:rsidRDefault="002852D7" w:rsidP="002852D7"/>
    <w:p w14:paraId="1A0012A6" w14:textId="77777777" w:rsidR="00C9201A" w:rsidRPr="002852D7" w:rsidRDefault="00C9201A" w:rsidP="002852D7"/>
    <w:p w14:paraId="0FD8177D" w14:textId="77777777" w:rsidR="00FE10F0" w:rsidRPr="002852D7" w:rsidRDefault="00FE10F0" w:rsidP="002852D7"/>
    <w:bookmarkEnd w:id="5"/>
    <w:p w14:paraId="7009DE30" w14:textId="77777777" w:rsidR="00581F72" w:rsidRDefault="00581F72" w:rsidP="00581F72">
      <w:pPr>
        <w:pStyle w:val="Heading1"/>
      </w:pPr>
      <w:r>
        <w:t>Fecha y programa de la cuarta reunión</w:t>
      </w:r>
    </w:p>
    <w:p w14:paraId="459DD817" w14:textId="77777777" w:rsidR="00B63582" w:rsidRDefault="00B63582" w:rsidP="009F31C8">
      <w:pPr>
        <w:keepNext/>
        <w:autoSpaceDE w:val="0"/>
        <w:autoSpaceDN w:val="0"/>
        <w:adjustRightInd w:val="0"/>
      </w:pPr>
    </w:p>
    <w:p w14:paraId="5377BF8C" w14:textId="77777777" w:rsidR="009F31C8" w:rsidRDefault="00B63582" w:rsidP="00B63582">
      <w:pPr>
        <w:keepNext/>
        <w:autoSpaceDE w:val="0"/>
        <w:autoSpaceDN w:val="0"/>
        <w:adjustRightInd w:val="0"/>
      </w:pPr>
      <w:r>
        <w:fldChar w:fldCharType="begin"/>
      </w:r>
      <w:r>
        <w:instrText xml:space="preserve"> AUTONUM  </w:instrText>
      </w:r>
      <w:r>
        <w:fldChar w:fldCharType="end"/>
      </w:r>
      <w:r>
        <w:tab/>
        <w:t>El WG-EDV convino en que su cuarta reunión (WG-EDV/4) se celebre el 19 de octubre de 2021, por medios electrónicos y acordó el siguiente programa:</w:t>
      </w:r>
    </w:p>
    <w:p w14:paraId="33FC4BDB" w14:textId="77777777" w:rsidR="00022946" w:rsidRDefault="00022946" w:rsidP="009F31C8">
      <w:pPr>
        <w:keepNext/>
        <w:autoSpaceDE w:val="0"/>
        <w:autoSpaceDN w:val="0"/>
        <w:adjustRightInd w:val="0"/>
      </w:pPr>
    </w:p>
    <w:p w14:paraId="70F6DCE8" w14:textId="77777777" w:rsidR="00022946" w:rsidRDefault="00022946" w:rsidP="00022946">
      <w:pPr>
        <w:keepNext/>
        <w:autoSpaceDE w:val="0"/>
        <w:autoSpaceDN w:val="0"/>
        <w:adjustRightInd w:val="0"/>
        <w:ind w:firstLine="567"/>
      </w:pPr>
      <w:r>
        <w:t>1.</w:t>
      </w:r>
      <w:r>
        <w:tab/>
        <w:t>Apertura de la reunión</w:t>
      </w:r>
    </w:p>
    <w:p w14:paraId="4985B401" w14:textId="77777777" w:rsidR="00022946" w:rsidRDefault="00022946" w:rsidP="00022946">
      <w:pPr>
        <w:keepNext/>
        <w:autoSpaceDE w:val="0"/>
        <w:autoSpaceDN w:val="0"/>
        <w:adjustRightInd w:val="0"/>
      </w:pPr>
    </w:p>
    <w:p w14:paraId="295770CB" w14:textId="77777777" w:rsidR="00022946" w:rsidRDefault="00022946" w:rsidP="00022946">
      <w:pPr>
        <w:keepNext/>
        <w:autoSpaceDE w:val="0"/>
        <w:autoSpaceDN w:val="0"/>
        <w:adjustRightInd w:val="0"/>
        <w:ind w:firstLine="567"/>
      </w:pPr>
      <w:r>
        <w:t>2.</w:t>
      </w:r>
      <w:r>
        <w:tab/>
        <w:t xml:space="preserve">Aprobación del orden del día </w:t>
      </w:r>
    </w:p>
    <w:p w14:paraId="1A8EDAD7" w14:textId="77777777" w:rsidR="00022946" w:rsidRDefault="00022946" w:rsidP="00022946">
      <w:pPr>
        <w:keepNext/>
        <w:autoSpaceDE w:val="0"/>
        <w:autoSpaceDN w:val="0"/>
        <w:adjustRightInd w:val="0"/>
      </w:pPr>
    </w:p>
    <w:p w14:paraId="756E1B55" w14:textId="77777777" w:rsidR="00022946" w:rsidRDefault="00022946" w:rsidP="00022946">
      <w:pPr>
        <w:keepNext/>
        <w:autoSpaceDE w:val="0"/>
        <w:autoSpaceDN w:val="0"/>
        <w:adjustRightInd w:val="0"/>
        <w:ind w:left="1127" w:hanging="560"/>
      </w:pPr>
      <w:r>
        <w:t>3.</w:t>
      </w:r>
      <w:r>
        <w:tab/>
        <w:t xml:space="preserve">Proyecto de revisión de las notas explicativas sobre las variedades esencialmente derivadas con arreglo al Acta de 1991 del Convenio de la UPOV </w:t>
      </w:r>
    </w:p>
    <w:p w14:paraId="1C1B72AF" w14:textId="77777777" w:rsidR="00022946" w:rsidRDefault="00022946" w:rsidP="00022946">
      <w:pPr>
        <w:keepNext/>
        <w:autoSpaceDE w:val="0"/>
        <w:autoSpaceDN w:val="0"/>
        <w:adjustRightInd w:val="0"/>
        <w:ind w:left="1127"/>
      </w:pPr>
      <w:r>
        <w:t>(documentos UPOV/WG-EDV/4/2 y UPOV/EXN/EDV/3 Draft 2)</w:t>
      </w:r>
    </w:p>
    <w:p w14:paraId="640B5F24" w14:textId="77777777" w:rsidR="00022946" w:rsidRDefault="00022946" w:rsidP="00022946">
      <w:pPr>
        <w:keepNext/>
        <w:autoSpaceDE w:val="0"/>
        <w:autoSpaceDN w:val="0"/>
        <w:adjustRightInd w:val="0"/>
      </w:pPr>
    </w:p>
    <w:p w14:paraId="234DD16E" w14:textId="77777777" w:rsidR="00022946" w:rsidRDefault="00022946" w:rsidP="00022946">
      <w:pPr>
        <w:keepNext/>
        <w:autoSpaceDE w:val="0"/>
        <w:autoSpaceDN w:val="0"/>
        <w:adjustRightInd w:val="0"/>
        <w:ind w:left="567"/>
      </w:pPr>
      <w:r>
        <w:t>4.</w:t>
      </w:r>
      <w:r>
        <w:tab/>
        <w:t>Recomendaciones del WG-EDV al CAJ, si procede (documento UPOV/WG-EDV/4/3)</w:t>
      </w:r>
    </w:p>
    <w:p w14:paraId="7B682B45" w14:textId="77777777" w:rsidR="00022946" w:rsidRDefault="00022946" w:rsidP="00022946">
      <w:pPr>
        <w:keepNext/>
        <w:autoSpaceDE w:val="0"/>
        <w:autoSpaceDN w:val="0"/>
        <w:adjustRightInd w:val="0"/>
      </w:pPr>
    </w:p>
    <w:p w14:paraId="6650ECC0" w14:textId="77777777" w:rsidR="00022946" w:rsidRDefault="00022946" w:rsidP="00022946">
      <w:pPr>
        <w:keepNext/>
        <w:autoSpaceDE w:val="0"/>
        <w:autoSpaceDN w:val="0"/>
        <w:adjustRightInd w:val="0"/>
        <w:ind w:firstLine="567"/>
      </w:pPr>
      <w:r>
        <w:t>5.</w:t>
      </w:r>
      <w:r>
        <w:tab/>
        <w:t>Fecha y programa de la quinta reunión, si procede</w:t>
      </w:r>
    </w:p>
    <w:p w14:paraId="4997772A" w14:textId="77777777" w:rsidR="00022946" w:rsidRDefault="00022946" w:rsidP="009F31C8">
      <w:pPr>
        <w:keepNext/>
        <w:autoSpaceDE w:val="0"/>
        <w:autoSpaceDN w:val="0"/>
        <w:adjustRightInd w:val="0"/>
      </w:pPr>
    </w:p>
    <w:p w14:paraId="21E9AA6E" w14:textId="77EAC6AB" w:rsidR="00BC7B70" w:rsidRDefault="00BC7B70" w:rsidP="00BC7B70">
      <w:pPr>
        <w:keepNext/>
        <w:keepLines/>
        <w:tabs>
          <w:tab w:val="left" w:pos="5387"/>
        </w:tabs>
        <w:ind w:left="4820"/>
        <w:rPr>
          <w:rFonts w:eastAsia="MS Mincho"/>
          <w:i/>
        </w:rPr>
      </w:pPr>
      <w:r w:rsidRPr="008F010B">
        <w:rPr>
          <w:rFonts w:eastAsia="MS Mincho"/>
          <w:i/>
        </w:rPr>
        <w:fldChar w:fldCharType="begin"/>
      </w:r>
      <w:r w:rsidRPr="00BC7B70">
        <w:rPr>
          <w:rFonts w:eastAsia="MS Mincho"/>
          <w:i/>
        </w:rPr>
        <w:instrText xml:space="preserve"> AUTONUM  </w:instrText>
      </w:r>
      <w:r w:rsidRPr="008F010B">
        <w:rPr>
          <w:rFonts w:eastAsia="MS Mincho"/>
          <w:i/>
        </w:rPr>
        <w:fldChar w:fldCharType="end"/>
      </w:r>
      <w:r w:rsidRPr="00BC7B70">
        <w:rPr>
          <w:rFonts w:eastAsia="MS Mincho"/>
          <w:i/>
        </w:rPr>
        <w:tab/>
        <w:t>El presente informe fue aprobado por correspondencia.</w:t>
      </w:r>
    </w:p>
    <w:p w14:paraId="04D49812" w14:textId="524F3321" w:rsidR="00BC7B70" w:rsidRDefault="00BC7B70" w:rsidP="00BC7B70">
      <w:pPr>
        <w:rPr>
          <w:rFonts w:eastAsia="MS Mincho"/>
        </w:rPr>
      </w:pPr>
    </w:p>
    <w:p w14:paraId="43694D0F" w14:textId="78073379" w:rsidR="00BC7B70" w:rsidRDefault="00BC7B70" w:rsidP="00BC7B70">
      <w:pPr>
        <w:rPr>
          <w:rFonts w:eastAsia="MS Mincho"/>
        </w:rPr>
      </w:pPr>
    </w:p>
    <w:p w14:paraId="474E930E" w14:textId="77777777" w:rsidR="00BC7B70" w:rsidRPr="00BC7B70" w:rsidRDefault="00BC7B70" w:rsidP="00BC7B70">
      <w:pPr>
        <w:rPr>
          <w:rFonts w:eastAsia="MS Mincho"/>
        </w:rPr>
      </w:pPr>
    </w:p>
    <w:p w14:paraId="54D8482B" w14:textId="5D41FE0A" w:rsidR="00581F72" w:rsidRPr="00BE3828" w:rsidRDefault="00581F72" w:rsidP="00581F72">
      <w:pPr>
        <w:jc w:val="right"/>
      </w:pPr>
      <w:r w:rsidRPr="00BE3828">
        <w:t>[Sigue el Anexo]</w:t>
      </w:r>
    </w:p>
    <w:p w14:paraId="08556DC5" w14:textId="77777777" w:rsidR="00581F72" w:rsidRPr="00BE3828" w:rsidRDefault="00581F72" w:rsidP="00581F72">
      <w:pPr>
        <w:jc w:val="left"/>
      </w:pPr>
    </w:p>
    <w:p w14:paraId="5060D15E" w14:textId="77777777" w:rsidR="00581F72" w:rsidRPr="00BE3828" w:rsidRDefault="00581F72" w:rsidP="00050E16">
      <w:pPr>
        <w:jc w:val="right"/>
        <w:sectPr w:rsidR="00581F72" w:rsidRPr="00BE3828" w:rsidSect="00906DDC">
          <w:headerReference w:type="default" r:id="rId9"/>
          <w:pgSz w:w="11907" w:h="16840" w:code="9"/>
          <w:pgMar w:top="510" w:right="1134" w:bottom="1134" w:left="1134" w:header="510" w:footer="680" w:gutter="0"/>
          <w:cols w:space="720"/>
          <w:titlePg/>
        </w:sectPr>
      </w:pPr>
    </w:p>
    <w:p w14:paraId="5B8B2A7D" w14:textId="77777777" w:rsidR="00745189" w:rsidRPr="00BE3828" w:rsidRDefault="00745189" w:rsidP="00745189">
      <w:pPr>
        <w:jc w:val="center"/>
      </w:pPr>
    </w:p>
    <w:p w14:paraId="367C723F" w14:textId="250F6B11" w:rsidR="00745189" w:rsidRPr="00BE3828" w:rsidRDefault="00745189" w:rsidP="00745189">
      <w:pPr>
        <w:jc w:val="center"/>
      </w:pPr>
      <w:r w:rsidRPr="00BE3828">
        <w:t>LISTE DES PARTICIPANTS / LIST OF PARTICIPANTS / LISTA DE PARTICIPANTES</w:t>
      </w:r>
    </w:p>
    <w:p w14:paraId="5F379A59" w14:textId="77777777" w:rsidR="00745189" w:rsidRPr="00BE3828" w:rsidRDefault="00745189" w:rsidP="00745189">
      <w:pPr>
        <w:jc w:val="center"/>
      </w:pPr>
    </w:p>
    <w:p w14:paraId="732942C3" w14:textId="77777777" w:rsidR="00745189" w:rsidRPr="00BE3828" w:rsidRDefault="00745189" w:rsidP="00745189">
      <w:pPr>
        <w:jc w:val="center"/>
      </w:pPr>
      <w:r w:rsidRPr="00BE3828">
        <w:t>(</w:t>
      </w:r>
      <w:proofErr w:type="spellStart"/>
      <w:r w:rsidRPr="00BE3828">
        <w:t>dans</w:t>
      </w:r>
      <w:proofErr w:type="spellEnd"/>
      <w:r w:rsidRPr="00BE3828">
        <w:t xml:space="preserve"> </w:t>
      </w:r>
      <w:proofErr w:type="spellStart"/>
      <w:r w:rsidRPr="00BE3828">
        <w:t>l’ordre</w:t>
      </w:r>
      <w:proofErr w:type="spellEnd"/>
      <w:r w:rsidRPr="00BE3828">
        <w:t xml:space="preserve"> </w:t>
      </w:r>
      <w:proofErr w:type="spellStart"/>
      <w:r w:rsidRPr="00BE3828">
        <w:t>alphabétique</w:t>
      </w:r>
      <w:proofErr w:type="spellEnd"/>
      <w:r w:rsidRPr="00BE3828">
        <w:t xml:space="preserve"> des </w:t>
      </w:r>
      <w:proofErr w:type="spellStart"/>
      <w:r w:rsidRPr="00BE3828">
        <w:t>noms</w:t>
      </w:r>
      <w:proofErr w:type="spellEnd"/>
      <w:r w:rsidRPr="00BE3828">
        <w:t xml:space="preserve"> </w:t>
      </w:r>
      <w:proofErr w:type="spellStart"/>
      <w:r w:rsidRPr="00BE3828">
        <w:t>français</w:t>
      </w:r>
      <w:proofErr w:type="spellEnd"/>
      <w:r w:rsidRPr="00BE3828">
        <w:t xml:space="preserve"> des </w:t>
      </w:r>
      <w:proofErr w:type="spellStart"/>
      <w:r w:rsidRPr="00BE3828">
        <w:t>membres</w:t>
      </w:r>
      <w:proofErr w:type="spellEnd"/>
      <w:r w:rsidRPr="00BE3828">
        <w:t xml:space="preserve"> /</w:t>
      </w:r>
      <w:r w:rsidRPr="00BE3828">
        <w:br/>
        <w:t xml:space="preserve">in </w:t>
      </w:r>
      <w:proofErr w:type="spellStart"/>
      <w:r w:rsidRPr="00BE3828">
        <w:t>the</w:t>
      </w:r>
      <w:proofErr w:type="spellEnd"/>
      <w:r w:rsidRPr="00BE3828">
        <w:t xml:space="preserve"> </w:t>
      </w:r>
      <w:proofErr w:type="spellStart"/>
      <w:r w:rsidRPr="00BE3828">
        <w:t>alphabetical</w:t>
      </w:r>
      <w:proofErr w:type="spellEnd"/>
      <w:r w:rsidRPr="00BE3828">
        <w:t xml:space="preserve"> </w:t>
      </w:r>
      <w:proofErr w:type="spellStart"/>
      <w:r w:rsidRPr="00BE3828">
        <w:t>order</w:t>
      </w:r>
      <w:proofErr w:type="spellEnd"/>
      <w:r w:rsidRPr="00BE3828">
        <w:t xml:space="preserve"> of </w:t>
      </w:r>
      <w:proofErr w:type="spellStart"/>
      <w:r w:rsidRPr="00BE3828">
        <w:t>the</w:t>
      </w:r>
      <w:proofErr w:type="spellEnd"/>
      <w:r w:rsidRPr="00BE3828">
        <w:t xml:space="preserve"> French </w:t>
      </w:r>
      <w:proofErr w:type="spellStart"/>
      <w:r w:rsidRPr="00BE3828">
        <w:t>names</w:t>
      </w:r>
      <w:proofErr w:type="spellEnd"/>
      <w:r w:rsidRPr="00BE3828">
        <w:t xml:space="preserve"> of </w:t>
      </w:r>
      <w:proofErr w:type="spellStart"/>
      <w:r w:rsidRPr="00BE3828">
        <w:t>the</w:t>
      </w:r>
      <w:proofErr w:type="spellEnd"/>
      <w:r w:rsidRPr="00BE3828">
        <w:t xml:space="preserve"> </w:t>
      </w:r>
      <w:proofErr w:type="spellStart"/>
      <w:r w:rsidRPr="00BE3828">
        <w:t>members</w:t>
      </w:r>
      <w:proofErr w:type="spellEnd"/>
      <w:r w:rsidRPr="00BE3828">
        <w:t xml:space="preserve"> /</w:t>
      </w:r>
      <w:r w:rsidRPr="00BE3828">
        <w:br/>
        <w:t>por orden alfabético de los nombres en francés de los miembros)</w:t>
      </w:r>
    </w:p>
    <w:p w14:paraId="10F32B67" w14:textId="77777777" w:rsidR="00745189" w:rsidRPr="00E422E9" w:rsidRDefault="00745189" w:rsidP="00745189">
      <w:pPr>
        <w:pStyle w:val="plheading"/>
      </w:pPr>
      <w:r w:rsidRPr="00E422E9">
        <w:t>I. MEMBRES / MEMBERS / MIEMBROS</w:t>
      </w:r>
    </w:p>
    <w:p w14:paraId="5BD4CBEF" w14:textId="77777777" w:rsidR="00745189" w:rsidRPr="00580A94" w:rsidRDefault="00745189" w:rsidP="00745189">
      <w:pPr>
        <w:pStyle w:val="plcountry"/>
      </w:pPr>
      <w:r w:rsidRPr="00580A94">
        <w:t>ARGENTINE / ARGENTINA / ARGENTINA</w:t>
      </w:r>
    </w:p>
    <w:p w14:paraId="0DA06E89" w14:textId="77777777" w:rsidR="00745189" w:rsidRDefault="00745189" w:rsidP="00745189">
      <w:pPr>
        <w:pStyle w:val="pldetails"/>
      </w:pPr>
      <w:r w:rsidRPr="00580A94">
        <w:t xml:space="preserve">María Laura VILLAMAYOR (Sra.), Coordinadora de Relaciones Institucionales e Interjurisdiccionales, Instituto Nacional de Semillas (INASE), Ministerio de Agricultura, Ganadería y Pesca, Buenos Aires </w:t>
      </w:r>
      <w:r w:rsidRPr="00580A94">
        <w:br/>
        <w:t xml:space="preserve">(e-mail: </w:t>
      </w:r>
      <w:r w:rsidRPr="00F335C9">
        <w:t>mlvillamayor@inase.gob.ar</w:t>
      </w:r>
      <w:r w:rsidRPr="00580A94">
        <w:t>)</w:t>
      </w:r>
    </w:p>
    <w:p w14:paraId="5EBD4806" w14:textId="77777777" w:rsidR="00745189" w:rsidRDefault="00745189" w:rsidP="00745189">
      <w:pPr>
        <w:pStyle w:val="pldetails"/>
      </w:pPr>
      <w:r w:rsidRPr="00F335C9">
        <w:t>María Lilia</w:t>
      </w:r>
      <w:r>
        <w:t xml:space="preserve"> </w:t>
      </w:r>
      <w:r w:rsidRPr="00F335C9">
        <w:t xml:space="preserve">LOSADA </w:t>
      </w:r>
      <w:r w:rsidRPr="00580A94">
        <w:t xml:space="preserve">(Sra.), </w:t>
      </w:r>
      <w:r w:rsidRPr="00F335C9">
        <w:t>Profesional Técnica</w:t>
      </w:r>
      <w:r>
        <w:t xml:space="preserve">, </w:t>
      </w:r>
      <w:r w:rsidRPr="00F335C9">
        <w:t>Dirección de Registro de Variedades</w:t>
      </w:r>
      <w:r w:rsidRPr="00580A94">
        <w:t xml:space="preserve">, Instituto Nacional de Semillas (INASE), Ministerio de Agricultura, Ganadería y Pesca, Buenos Aires </w:t>
      </w:r>
      <w:r w:rsidRPr="00580A94">
        <w:br/>
        <w:t>(e-mail:</w:t>
      </w:r>
      <w:r w:rsidRPr="00F335C9">
        <w:t xml:space="preserve"> mlosada@inase.gob.ar</w:t>
      </w:r>
      <w:r w:rsidRPr="00580A94">
        <w:t>)</w:t>
      </w:r>
    </w:p>
    <w:p w14:paraId="1E80E83F" w14:textId="77777777" w:rsidR="00745189" w:rsidRPr="00745189" w:rsidRDefault="00745189" w:rsidP="00745189">
      <w:pPr>
        <w:pStyle w:val="plcountry"/>
        <w:rPr>
          <w:lang w:val="en-US"/>
        </w:rPr>
      </w:pPr>
      <w:r w:rsidRPr="00745189">
        <w:rPr>
          <w:lang w:val="en-US"/>
        </w:rPr>
        <w:t>AUSTRALIE / AUSTRALIA / AUSTRALIA</w:t>
      </w:r>
    </w:p>
    <w:p w14:paraId="525A7919" w14:textId="77777777" w:rsidR="00745189" w:rsidRPr="00745189" w:rsidRDefault="00745189" w:rsidP="00745189">
      <w:pPr>
        <w:pStyle w:val="pldetails"/>
        <w:rPr>
          <w:lang w:val="en-US"/>
        </w:rPr>
      </w:pPr>
      <w:r w:rsidRPr="00745189">
        <w:rPr>
          <w:lang w:val="en-US"/>
        </w:rPr>
        <w:t xml:space="preserve">Nik HULSE (Mr.), Chief of Plant Breeders’ Rights, Plant Breeder’s Rights Office, IP Australia, Woden </w:t>
      </w:r>
      <w:r w:rsidRPr="00745189">
        <w:rPr>
          <w:lang w:val="en-US"/>
        </w:rPr>
        <w:br/>
        <w:t>(e-mail: nik.hulse@ipaustralia.gov.au)</w:t>
      </w:r>
    </w:p>
    <w:p w14:paraId="73E4A778" w14:textId="77777777" w:rsidR="00745189" w:rsidRPr="00745189" w:rsidRDefault="00745189" w:rsidP="00745189">
      <w:pPr>
        <w:pStyle w:val="pldetails"/>
        <w:rPr>
          <w:lang w:val="en-US"/>
        </w:rPr>
      </w:pPr>
      <w:r w:rsidRPr="00745189">
        <w:rPr>
          <w:lang w:val="en-US"/>
        </w:rPr>
        <w:t xml:space="preserve">Paul GARDNER (Mr.), Director, Domestic Policy &amp; Legislation, IP Australia, Woden </w:t>
      </w:r>
      <w:r w:rsidRPr="00745189">
        <w:rPr>
          <w:lang w:val="en-US"/>
        </w:rPr>
        <w:br/>
        <w:t>(e-mail: paul.gardner@ipaustralia.gov.au)</w:t>
      </w:r>
    </w:p>
    <w:p w14:paraId="25F99C4F" w14:textId="77777777" w:rsidR="00745189" w:rsidRPr="00745189" w:rsidRDefault="00745189" w:rsidP="00745189">
      <w:pPr>
        <w:pStyle w:val="pldetails"/>
        <w:rPr>
          <w:lang w:val="en-US"/>
        </w:rPr>
      </w:pPr>
      <w:r w:rsidRPr="00745189">
        <w:rPr>
          <w:lang w:val="en-US"/>
        </w:rPr>
        <w:t>Henry BOLTON (Mr.), Assistant Director, International Policy &amp; Cooperation Policy and Stakeholders Group, IP Australia, Woden</w:t>
      </w:r>
      <w:r w:rsidRPr="00745189">
        <w:rPr>
          <w:lang w:val="en-US"/>
        </w:rPr>
        <w:br/>
        <w:t>(e-mail: Henry.Bolton@ipaustralia.gov.au)</w:t>
      </w:r>
    </w:p>
    <w:p w14:paraId="73EE43F5" w14:textId="77777777" w:rsidR="00745189" w:rsidRPr="00745189" w:rsidRDefault="00745189" w:rsidP="00745189">
      <w:pPr>
        <w:pStyle w:val="pldetails"/>
        <w:rPr>
          <w:lang w:val="en-US"/>
        </w:rPr>
      </w:pPr>
      <w:r w:rsidRPr="00745189">
        <w:rPr>
          <w:lang w:val="en-US"/>
        </w:rPr>
        <w:t xml:space="preserve">Edwina VANDINE (Ms.), Senior Examiner, IP Australia, Woden </w:t>
      </w:r>
      <w:r w:rsidRPr="00745189">
        <w:rPr>
          <w:lang w:val="en-US"/>
        </w:rPr>
        <w:br/>
        <w:t xml:space="preserve">(e-mail: Edwina.Vandine@ipaustralia.gov.au) </w:t>
      </w:r>
    </w:p>
    <w:p w14:paraId="16B2163A" w14:textId="77777777" w:rsidR="00745189" w:rsidRPr="00745189" w:rsidRDefault="00745189" w:rsidP="00745189">
      <w:pPr>
        <w:pStyle w:val="pldetails"/>
        <w:rPr>
          <w:lang w:val="en-US"/>
        </w:rPr>
      </w:pPr>
      <w:r w:rsidRPr="00745189">
        <w:rPr>
          <w:lang w:val="en-US"/>
        </w:rPr>
        <w:t xml:space="preserve">Cathy DOUGLAS (Ms.), Senior Examiner, IP Australia, Woden </w:t>
      </w:r>
      <w:r w:rsidRPr="00745189">
        <w:rPr>
          <w:lang w:val="en-US"/>
        </w:rPr>
        <w:br/>
        <w:t>(e-mail: cadouglas@hotmail.com.au)</w:t>
      </w:r>
    </w:p>
    <w:p w14:paraId="490B6B3D" w14:textId="77777777" w:rsidR="00745189" w:rsidRPr="00745189" w:rsidRDefault="00745189" w:rsidP="00745189">
      <w:pPr>
        <w:pStyle w:val="plcountry"/>
        <w:rPr>
          <w:lang w:val="en-US"/>
        </w:rPr>
      </w:pPr>
      <w:r w:rsidRPr="00745189">
        <w:rPr>
          <w:lang w:val="en-US"/>
        </w:rPr>
        <w:t>BRÉSIL / BRAZIL / BRASIL</w:t>
      </w:r>
    </w:p>
    <w:p w14:paraId="561DD787" w14:textId="77777777" w:rsidR="00745189" w:rsidRPr="00745189" w:rsidRDefault="00745189" w:rsidP="00745189">
      <w:pPr>
        <w:pStyle w:val="pldetails"/>
        <w:rPr>
          <w:lang w:val="en-US"/>
        </w:rPr>
      </w:pPr>
      <w:r w:rsidRPr="00745189">
        <w:rPr>
          <w:lang w:val="en-US"/>
        </w:rPr>
        <w:t>Ricardo ZANATTA MACHADO (Mr.), Federal Agricultural Inspector, Coordinator, Serviço Nacional de Proteção de Cultivares (SNPC), Ministry of Agriculture, Livestock and Food Supply, Brasilia D.F.</w:t>
      </w:r>
      <w:r w:rsidRPr="00745189">
        <w:rPr>
          <w:lang w:val="en-US"/>
        </w:rPr>
        <w:br/>
        <w:t>(e-mail: ricardo.machado@agricultura.gov.br)</w:t>
      </w:r>
    </w:p>
    <w:p w14:paraId="51E2441D" w14:textId="77777777" w:rsidR="00745189" w:rsidRPr="00745189" w:rsidRDefault="00745189" w:rsidP="00745189">
      <w:pPr>
        <w:pStyle w:val="plcountry"/>
        <w:rPr>
          <w:lang w:val="en-US"/>
        </w:rPr>
      </w:pPr>
      <w:r w:rsidRPr="00745189">
        <w:rPr>
          <w:lang w:val="en-US"/>
        </w:rPr>
        <w:t>Canada / Canada / Canada</w:t>
      </w:r>
    </w:p>
    <w:p w14:paraId="705BDFDA" w14:textId="77777777" w:rsidR="00745189" w:rsidRPr="00745189" w:rsidRDefault="00745189" w:rsidP="00745189">
      <w:pPr>
        <w:pStyle w:val="pldetails"/>
        <w:rPr>
          <w:lang w:val="en-US"/>
        </w:rPr>
      </w:pPr>
      <w:r w:rsidRPr="00745189">
        <w:rPr>
          <w:lang w:val="en-US"/>
        </w:rPr>
        <w:t>Anthony PARKER (Mr.), Commissioner, Plant Breeders’ Rights Office, Canadian Food Inspection Agency (CFIA), Ottawa</w:t>
      </w:r>
      <w:r w:rsidRPr="00745189">
        <w:rPr>
          <w:lang w:val="en-US"/>
        </w:rPr>
        <w:br/>
        <w:t>(e-mail: anthony.parker@canada.ca)</w:t>
      </w:r>
    </w:p>
    <w:p w14:paraId="0FA7ADCD" w14:textId="77777777" w:rsidR="00745189" w:rsidRPr="00745189" w:rsidRDefault="00745189" w:rsidP="00745189">
      <w:pPr>
        <w:pStyle w:val="pldetails"/>
        <w:rPr>
          <w:lang w:val="en-US"/>
        </w:rPr>
      </w:pPr>
      <w:r w:rsidRPr="00745189">
        <w:rPr>
          <w:lang w:val="en-US"/>
        </w:rPr>
        <w:t>Ashley BALCHIN (Ms.), Examiner, Plant Breeders’ Rights Office, Canadian Food Inspection Agency (CFIA), Ottawa</w:t>
      </w:r>
      <w:r w:rsidRPr="00745189">
        <w:rPr>
          <w:lang w:val="en-US"/>
        </w:rPr>
        <w:br/>
        <w:t>(e-mail: ashley.balchin@canada.ca)</w:t>
      </w:r>
    </w:p>
    <w:p w14:paraId="2EC351D6" w14:textId="77777777" w:rsidR="00745189" w:rsidRPr="00BC7B70" w:rsidRDefault="00745189" w:rsidP="00745189">
      <w:pPr>
        <w:pStyle w:val="plcountry"/>
      </w:pPr>
      <w:r w:rsidRPr="00BC7B70">
        <w:t>CHILI / CHILE / CHILE</w:t>
      </w:r>
    </w:p>
    <w:p w14:paraId="162759B5" w14:textId="77777777" w:rsidR="00745189" w:rsidRPr="00BC7B70" w:rsidRDefault="00745189" w:rsidP="00745189">
      <w:pPr>
        <w:pStyle w:val="pldetails"/>
      </w:pPr>
      <w:r w:rsidRPr="00BC7B70">
        <w:t xml:space="preserve">Manuel Antonio TORO UGALDE (Sr.), Jefe Departamento, Registro de Variedades Protegidas, División Semillas, Servicio Agrícola y Ganadero (SAG), Santiago de Chile </w:t>
      </w:r>
      <w:r w:rsidRPr="00BC7B70">
        <w:br/>
        <w:t xml:space="preserve">(e-mail: manuel.toro@sag.gob.cl) </w:t>
      </w:r>
    </w:p>
    <w:p w14:paraId="7EA93BDB" w14:textId="77777777" w:rsidR="00745189" w:rsidRPr="00745189" w:rsidRDefault="00745189" w:rsidP="00745189">
      <w:pPr>
        <w:pStyle w:val="plcountry"/>
        <w:rPr>
          <w:lang w:val="en-US"/>
        </w:rPr>
      </w:pPr>
      <w:r w:rsidRPr="00745189">
        <w:rPr>
          <w:lang w:val="en-US"/>
        </w:rPr>
        <w:t>CHINE / CHINA / CHINA</w:t>
      </w:r>
    </w:p>
    <w:p w14:paraId="3D6A4F39" w14:textId="77777777" w:rsidR="00745189" w:rsidRPr="00745189" w:rsidRDefault="00745189" w:rsidP="00745189">
      <w:pPr>
        <w:pStyle w:val="pldetails"/>
        <w:rPr>
          <w:lang w:val="en-US"/>
        </w:rPr>
      </w:pPr>
      <w:r w:rsidRPr="00745189">
        <w:rPr>
          <w:lang w:val="en-US"/>
        </w:rPr>
        <w:t xml:space="preserve">Wen WEN (Ms.), Deputy Division Director, Division of New Plant Variety Protection, Development Center of Science and Technology, Ministry of Agriculture and Rural Affairs (MARA), Beijing </w:t>
      </w:r>
      <w:r w:rsidRPr="00745189">
        <w:rPr>
          <w:lang w:val="en-US"/>
        </w:rPr>
        <w:br/>
        <w:t>(e-mail: wenwen@agri.gov.cn)</w:t>
      </w:r>
    </w:p>
    <w:p w14:paraId="326E118E" w14:textId="77777777" w:rsidR="00745189" w:rsidRPr="00745189" w:rsidRDefault="00745189" w:rsidP="00745189">
      <w:pPr>
        <w:pStyle w:val="pldetails"/>
        <w:rPr>
          <w:lang w:val="en-US"/>
        </w:rPr>
      </w:pPr>
      <w:r w:rsidRPr="00745189">
        <w:rPr>
          <w:lang w:val="en-US"/>
        </w:rPr>
        <w:t xml:space="preserve">Xuhong YANG (Ms.), Examiner, Division of DUS Tests, Development Center of Science and Technology, Ministry of Agriculture and Rural Affairs (MARA), Beijing </w:t>
      </w:r>
      <w:r w:rsidRPr="00745189">
        <w:rPr>
          <w:lang w:val="en-US"/>
        </w:rPr>
        <w:br/>
        <w:t xml:space="preserve">(e-mail: yangxuhong@agri.gov.cn) </w:t>
      </w:r>
    </w:p>
    <w:p w14:paraId="43A431E1" w14:textId="77777777" w:rsidR="00745189" w:rsidRPr="00745189" w:rsidRDefault="00745189" w:rsidP="00745189">
      <w:pPr>
        <w:pStyle w:val="pldetails"/>
        <w:rPr>
          <w:lang w:val="en-US"/>
        </w:rPr>
      </w:pPr>
      <w:r w:rsidRPr="00745189">
        <w:rPr>
          <w:lang w:val="en-US"/>
        </w:rPr>
        <w:lastRenderedPageBreak/>
        <w:t xml:space="preserve">YANG Yang (Ms.), Senior Examiner, Division of Plant Variety Protection, Development Center of Science and Technology (DCST), Ministry of Agriculture and Rural Affairs (MARA), Beijing </w:t>
      </w:r>
      <w:r w:rsidRPr="00745189">
        <w:rPr>
          <w:lang w:val="en-US"/>
        </w:rPr>
        <w:br/>
        <w:t>(e-mail: yangyang@agri.gov.cn)</w:t>
      </w:r>
    </w:p>
    <w:p w14:paraId="0D1A4E8C" w14:textId="77777777" w:rsidR="00745189" w:rsidRPr="00745189" w:rsidRDefault="00745189" w:rsidP="00745189">
      <w:pPr>
        <w:pStyle w:val="plcountry"/>
        <w:rPr>
          <w:lang w:val="en-US"/>
        </w:rPr>
      </w:pPr>
      <w:r w:rsidRPr="00745189">
        <w:rPr>
          <w:lang w:val="en-US"/>
        </w:rPr>
        <w:t>ÉGYPTE / EGYPT / EGIPTO</w:t>
      </w:r>
    </w:p>
    <w:p w14:paraId="4544011D" w14:textId="77777777" w:rsidR="00745189" w:rsidRPr="00745189" w:rsidRDefault="00745189" w:rsidP="00745189">
      <w:pPr>
        <w:pStyle w:val="pldetails"/>
        <w:rPr>
          <w:lang w:val="en-US"/>
        </w:rPr>
      </w:pPr>
      <w:r w:rsidRPr="00745189">
        <w:rPr>
          <w:lang w:val="en-US"/>
        </w:rPr>
        <w:t>Shymaa ABOSHOSHA (Ms.), Agronomic Engineer, Plant Variety Protection Office (PVPO), Central Administration for Seed Certification (CASC), Giza</w:t>
      </w:r>
      <w:r w:rsidRPr="00745189">
        <w:rPr>
          <w:lang w:val="en-US"/>
        </w:rPr>
        <w:br/>
        <w:t>(e-mail: mahasen.f.gad@gmail.com)</w:t>
      </w:r>
    </w:p>
    <w:p w14:paraId="5CEB8E79" w14:textId="77777777" w:rsidR="00745189" w:rsidRPr="00580A94" w:rsidRDefault="00745189" w:rsidP="00745189">
      <w:pPr>
        <w:pStyle w:val="plcountry"/>
      </w:pPr>
      <w:r w:rsidRPr="00580A94">
        <w:t>ÉQUATEUR / ECUADOR / ECUADOR</w:t>
      </w:r>
    </w:p>
    <w:p w14:paraId="53C5A919" w14:textId="77777777" w:rsidR="00745189" w:rsidRPr="00580A94" w:rsidRDefault="00745189" w:rsidP="00745189">
      <w:pPr>
        <w:pStyle w:val="pldetails"/>
      </w:pPr>
      <w:r w:rsidRPr="00580A94">
        <w:t xml:space="preserve">Paulina MOSQUERA HIDALGO (Sra.), Directora Nacional de Obtenciones Vegetales y Conocimientos Tradicionales, Servicio Nacional de Derechos Intelectuales (SENADI), Quito </w:t>
      </w:r>
      <w:r w:rsidRPr="00580A94">
        <w:br/>
        <w:t>(e-mail: pcmosquera@senadi.gob.ec)</w:t>
      </w:r>
    </w:p>
    <w:p w14:paraId="60F5088F" w14:textId="77777777" w:rsidR="00745189" w:rsidRPr="00580A94" w:rsidRDefault="00745189" w:rsidP="00745189">
      <w:pPr>
        <w:pStyle w:val="pldetails"/>
      </w:pPr>
      <w:r w:rsidRPr="00580A94">
        <w:t xml:space="preserve">Yadira YACELGA (Sra.), Delegada, Dirección Nacional de Obtenciones Vegetales, Servicio Nacional de Derechos Intelectuales, Quito </w:t>
      </w:r>
      <w:r w:rsidRPr="00580A94">
        <w:br/>
        <w:t>(e-mail: yadiyacelga@gmail.com)</w:t>
      </w:r>
    </w:p>
    <w:p w14:paraId="3356460B" w14:textId="77777777" w:rsidR="00745189" w:rsidRPr="00745189" w:rsidRDefault="00745189" w:rsidP="00745189">
      <w:pPr>
        <w:pStyle w:val="plcountry"/>
        <w:rPr>
          <w:lang w:val="en-US"/>
        </w:rPr>
      </w:pPr>
      <w:r w:rsidRPr="00745189">
        <w:rPr>
          <w:lang w:val="en-US"/>
        </w:rPr>
        <w:t>ÉTATS-UNIS D’AMÉRIQUE / UNITED STATES OF AMERICA / ESTADOS UNIDOS DE AMÉRICA</w:t>
      </w:r>
    </w:p>
    <w:p w14:paraId="0FC9E3A6" w14:textId="77777777" w:rsidR="00745189" w:rsidRPr="00745189" w:rsidRDefault="00745189" w:rsidP="00745189">
      <w:pPr>
        <w:pStyle w:val="pldetails"/>
        <w:rPr>
          <w:lang w:val="en-US"/>
        </w:rPr>
      </w:pPr>
      <w:r w:rsidRPr="00745189">
        <w:rPr>
          <w:lang w:val="en-US"/>
        </w:rPr>
        <w:t xml:space="preserve">Christian HANNON (Mr.), Patent Attorney, Office of Policy and International Affairs (OPIA), U.S. Patent and Trademark Office (USPTO), Department of Commerce, Alexandria </w:t>
      </w:r>
      <w:r w:rsidRPr="00745189">
        <w:rPr>
          <w:lang w:val="en-US"/>
        </w:rPr>
        <w:br/>
        <w:t>(e-mail: christian.hannon@uspto.gov)</w:t>
      </w:r>
    </w:p>
    <w:p w14:paraId="4F2F0E00" w14:textId="77777777" w:rsidR="00745189" w:rsidRPr="00911B6A" w:rsidRDefault="00745189" w:rsidP="00745189">
      <w:pPr>
        <w:pStyle w:val="pldetails"/>
        <w:rPr>
          <w:lang w:val="fr-CH"/>
        </w:rPr>
      </w:pPr>
      <w:r w:rsidRPr="00745189">
        <w:rPr>
          <w:lang w:val="en-US"/>
        </w:rPr>
        <w:t xml:space="preserve">Jeffery HAYNES (Mr.), Commissioner, Plant Variety Protection Office, USDA, AMS, S&amp;T, Washington D.C. </w:t>
      </w:r>
      <w:r w:rsidRPr="00745189">
        <w:rPr>
          <w:lang w:val="en-US"/>
        </w:rPr>
        <w:br/>
      </w:r>
      <w:r w:rsidRPr="00911B6A">
        <w:rPr>
          <w:lang w:val="fr-CH"/>
        </w:rPr>
        <w:t xml:space="preserve">(e-mail: </w:t>
      </w:r>
      <w:hyperlink r:id="rId10" w:history="1">
        <w:r w:rsidRPr="00911B6A">
          <w:rPr>
            <w:lang w:val="fr-CH"/>
          </w:rPr>
          <w:t>Jeffery.Haynes@usda.gov</w:t>
        </w:r>
      </w:hyperlink>
      <w:r w:rsidRPr="00911B6A">
        <w:rPr>
          <w:lang w:val="fr-CH"/>
        </w:rPr>
        <w:t>)</w:t>
      </w:r>
    </w:p>
    <w:p w14:paraId="5B3906C4" w14:textId="77777777" w:rsidR="00745189" w:rsidRPr="00580A94" w:rsidRDefault="00745189" w:rsidP="00745189">
      <w:pPr>
        <w:pStyle w:val="plcountry"/>
        <w:rPr>
          <w:lang w:val="fr-CH"/>
        </w:rPr>
      </w:pPr>
      <w:r w:rsidRPr="00580A94">
        <w:rPr>
          <w:lang w:val="fr-CH"/>
        </w:rPr>
        <w:t>FRANCE / France / FRANCIA</w:t>
      </w:r>
    </w:p>
    <w:p w14:paraId="35C57534" w14:textId="77777777" w:rsidR="00745189" w:rsidRDefault="00745189" w:rsidP="00745189">
      <w:pPr>
        <w:pStyle w:val="pldetails"/>
        <w:rPr>
          <w:rFonts w:eastAsiaTheme="minorEastAsia"/>
          <w:lang w:val="fr-CH"/>
        </w:rPr>
      </w:pPr>
      <w:r w:rsidRPr="00911B6A">
        <w:rPr>
          <w:lang w:val="fr-CH"/>
        </w:rPr>
        <w:t xml:space="preserve">Yvane MERESSE (Mme), Responsable INOV, Groupe d’Étude et de Contrôle des Variétés et des Semences (GEVES), Beaucouzé cedex </w:t>
      </w:r>
      <w:r w:rsidRPr="00911B6A">
        <w:rPr>
          <w:lang w:val="fr-CH"/>
        </w:rPr>
        <w:br/>
        <w:t>(e-mail: yvane.meresse@geves.fr)</w:t>
      </w:r>
      <w:r w:rsidRPr="007410E8">
        <w:rPr>
          <w:rFonts w:eastAsiaTheme="minorEastAsia"/>
          <w:lang w:val="fr-CH"/>
        </w:rPr>
        <w:t xml:space="preserve"> </w:t>
      </w:r>
    </w:p>
    <w:p w14:paraId="732E2A39" w14:textId="77777777" w:rsidR="00745189" w:rsidRPr="007410E8" w:rsidRDefault="00745189" w:rsidP="00745189">
      <w:pPr>
        <w:pStyle w:val="pldetails"/>
        <w:rPr>
          <w:rFonts w:eastAsiaTheme="minorEastAsia"/>
          <w:lang w:val="fr-CH"/>
        </w:rPr>
      </w:pPr>
      <w:r w:rsidRPr="00580A94">
        <w:rPr>
          <w:rFonts w:eastAsiaTheme="minorEastAsia"/>
          <w:lang w:val="fr-CH"/>
        </w:rPr>
        <w:t>Catherine MALATIER (</w:t>
      </w:r>
      <w:r w:rsidRPr="00580A94">
        <w:rPr>
          <w:lang w:val="fr-CH"/>
        </w:rPr>
        <w:t>Mme</w:t>
      </w:r>
      <w:r w:rsidRPr="00580A94">
        <w:rPr>
          <w:rFonts w:eastAsiaTheme="minorEastAsia"/>
          <w:lang w:val="fr-CH"/>
        </w:rPr>
        <w:t>), Assistante INOV, Groupe d</w:t>
      </w:r>
      <w:r>
        <w:rPr>
          <w:rFonts w:eastAsiaTheme="minorEastAsia"/>
          <w:lang w:val="fr-CH"/>
        </w:rPr>
        <w:t>’</w:t>
      </w:r>
      <w:r w:rsidRPr="00580A94">
        <w:rPr>
          <w:rFonts w:eastAsiaTheme="minorEastAsia"/>
          <w:lang w:val="fr-CH"/>
        </w:rPr>
        <w:t xml:space="preserve">étude et de contrôle des variétés et des semences (GEVES), </w:t>
      </w:r>
      <w:r w:rsidRPr="00580A94">
        <w:rPr>
          <w:lang w:val="fr-CH"/>
        </w:rPr>
        <w:t>Beaucouzé cedex</w:t>
      </w:r>
      <w:r w:rsidRPr="00580A94">
        <w:rPr>
          <w:rFonts w:eastAsiaTheme="minorEastAsia"/>
          <w:lang w:val="fr-CH"/>
        </w:rPr>
        <w:br/>
        <w:t xml:space="preserve">(e-mail: catherine.malatier@geves.fr) </w:t>
      </w:r>
    </w:p>
    <w:p w14:paraId="4D16C0D8" w14:textId="77777777" w:rsidR="00745189" w:rsidRPr="00745189" w:rsidRDefault="00745189" w:rsidP="00745189">
      <w:pPr>
        <w:pStyle w:val="plcountry"/>
        <w:rPr>
          <w:lang w:val="en-US"/>
        </w:rPr>
      </w:pPr>
      <w:r w:rsidRPr="00745189">
        <w:rPr>
          <w:lang w:val="en-US"/>
        </w:rPr>
        <w:t>JAPON / JAPAN / JAPÓN</w:t>
      </w:r>
    </w:p>
    <w:p w14:paraId="7CF10D49" w14:textId="77777777" w:rsidR="00745189" w:rsidRPr="00745189" w:rsidRDefault="00745189" w:rsidP="00745189">
      <w:pPr>
        <w:pStyle w:val="pldetails"/>
        <w:rPr>
          <w:lang w:val="en-US"/>
        </w:rPr>
      </w:pPr>
      <w:r w:rsidRPr="00745189">
        <w:rPr>
          <w:lang w:val="en-US"/>
        </w:rPr>
        <w:t xml:space="preserve">Teruhisa MIYAMOTO (Mr.), Deputy Director of Plant Variety Office, Intellectual Propetry Division, Food Industry Affairs Bureau, Ministry of Agriculture, Forestry and Fisheries (MAFF), Tokyo </w:t>
      </w:r>
      <w:r w:rsidRPr="00745189">
        <w:rPr>
          <w:lang w:val="en-US"/>
        </w:rPr>
        <w:br/>
        <w:t>(e-mail: teruhisa_miyamoto170@maff.go.jp)</w:t>
      </w:r>
    </w:p>
    <w:p w14:paraId="46979C29" w14:textId="77777777" w:rsidR="00745189" w:rsidRPr="00745189" w:rsidRDefault="00745189" w:rsidP="00745189">
      <w:pPr>
        <w:pStyle w:val="pldetails"/>
        <w:rPr>
          <w:lang w:val="en-US"/>
        </w:rPr>
      </w:pPr>
      <w:r w:rsidRPr="00745189">
        <w:rPr>
          <w:lang w:val="en-US"/>
        </w:rPr>
        <w:t xml:space="preserve">Takeshi SUGISAWA (Mr.), Senior Examiner, Intellectual Property Division, Food Industry Affairs Bureau, Ministry of Agriculture, Forestry and Fisheries (MAFF), Tokyo </w:t>
      </w:r>
      <w:r w:rsidRPr="00745189">
        <w:rPr>
          <w:lang w:val="en-US"/>
        </w:rPr>
        <w:br/>
        <w:t>(e-mail: takeshi_sugisawa820@maff.go.jp)</w:t>
      </w:r>
    </w:p>
    <w:p w14:paraId="414EA770" w14:textId="77777777" w:rsidR="00745189" w:rsidRPr="00745189" w:rsidRDefault="00745189" w:rsidP="00745189">
      <w:pPr>
        <w:pStyle w:val="pldetails"/>
        <w:rPr>
          <w:lang w:val="en-US"/>
        </w:rPr>
      </w:pPr>
      <w:r w:rsidRPr="00745189">
        <w:rPr>
          <w:lang w:val="en-US"/>
        </w:rPr>
        <w:t xml:space="preserve">Yoshiyuki OHNO (Mr.), Examiner, Intellectual Property Division, Food Industry Affairs Bureau, Ministry of Agriculture, Forestry and Fisheries (MAFF), Tokyo </w:t>
      </w:r>
      <w:r w:rsidRPr="00745189">
        <w:rPr>
          <w:lang w:val="en-US"/>
        </w:rPr>
        <w:br/>
        <w:t>(e-mail: yoshiyuki_ono300@maff.go.jp)</w:t>
      </w:r>
    </w:p>
    <w:p w14:paraId="017A45AA" w14:textId="77777777" w:rsidR="00745189" w:rsidRPr="00745189" w:rsidRDefault="00745189" w:rsidP="00745189">
      <w:pPr>
        <w:pStyle w:val="pldetails"/>
        <w:rPr>
          <w:lang w:val="en-US"/>
        </w:rPr>
      </w:pPr>
      <w:r w:rsidRPr="00745189">
        <w:rPr>
          <w:lang w:val="en-US"/>
        </w:rPr>
        <w:t xml:space="preserve">Michihiro ASAKAWA (Mr.), Examiner, Intellectual Property Division, Food Industry Affairs Bureau, Ministry of Agriculture, Forestry and Fisheries (MAFF), Tokyo </w:t>
      </w:r>
      <w:r w:rsidRPr="00745189">
        <w:rPr>
          <w:lang w:val="en-US"/>
        </w:rPr>
        <w:br/>
        <w:t>(e-mail: michihiro_asakawa290@maff.go.jp)</w:t>
      </w:r>
    </w:p>
    <w:p w14:paraId="4ACF334B" w14:textId="77777777" w:rsidR="00745189" w:rsidRPr="00745189" w:rsidRDefault="00745189" w:rsidP="00745189">
      <w:pPr>
        <w:pStyle w:val="pldetails"/>
        <w:rPr>
          <w:lang w:val="en-US"/>
        </w:rPr>
      </w:pPr>
      <w:r w:rsidRPr="00745189">
        <w:rPr>
          <w:lang w:val="en-US"/>
        </w:rPr>
        <w:t>Daisuke FUJITSUKA</w:t>
      </w:r>
      <w:r w:rsidRPr="00745189">
        <w:rPr>
          <w:b/>
          <w:lang w:val="en-US"/>
        </w:rPr>
        <w:t xml:space="preserve"> </w:t>
      </w:r>
      <w:r w:rsidRPr="00745189">
        <w:rPr>
          <w:lang w:val="en-US"/>
        </w:rPr>
        <w:t xml:space="preserve">(Mr.), Official, PVP Office, Intellectual Property Division, Food Industry Affairs Bureau, Ministry of Agriculture, Forestry and Fisheries (MAFF), Tokyo </w:t>
      </w:r>
      <w:r w:rsidRPr="00745189">
        <w:rPr>
          <w:lang w:val="en-US"/>
        </w:rPr>
        <w:br/>
        <w:t>(e-mail: daisuke_fujitsuka080@maff.go.jp)</w:t>
      </w:r>
    </w:p>
    <w:p w14:paraId="09EFA85B" w14:textId="77777777" w:rsidR="00745189" w:rsidRPr="00745189" w:rsidRDefault="00745189" w:rsidP="00745189">
      <w:pPr>
        <w:pStyle w:val="plcountry"/>
        <w:rPr>
          <w:lang w:val="en-US"/>
        </w:rPr>
      </w:pPr>
      <w:r w:rsidRPr="00745189">
        <w:rPr>
          <w:lang w:val="en-US"/>
        </w:rPr>
        <w:t>KENYA / Kenya / KENYA</w:t>
      </w:r>
    </w:p>
    <w:p w14:paraId="4A1A5D69" w14:textId="77777777" w:rsidR="00745189" w:rsidRPr="00745189" w:rsidRDefault="00745189" w:rsidP="00745189">
      <w:pPr>
        <w:pStyle w:val="pldetails"/>
        <w:rPr>
          <w:lang w:val="en-US"/>
        </w:rPr>
      </w:pPr>
      <w:r w:rsidRPr="00745189">
        <w:rPr>
          <w:lang w:val="en-US"/>
        </w:rPr>
        <w:t xml:space="preserve">Gentrix Nasimiyu JUMA (Ms.), Chief Plant Examiner, Kenya Plant Health Inspectorate Service (KEPHIS), Nairobi </w:t>
      </w:r>
      <w:r w:rsidRPr="00745189">
        <w:rPr>
          <w:lang w:val="en-US"/>
        </w:rPr>
        <w:br/>
        <w:t>(e-mail: gjuma@kephis.org)</w:t>
      </w:r>
    </w:p>
    <w:p w14:paraId="707E6161" w14:textId="77777777" w:rsidR="00745189" w:rsidRPr="00580A94" w:rsidRDefault="00745189" w:rsidP="00745189">
      <w:pPr>
        <w:pStyle w:val="plcountry"/>
      </w:pPr>
      <w:r w:rsidRPr="00580A94">
        <w:lastRenderedPageBreak/>
        <w:t>MEXIQUE / MEXICO / MÉXICO</w:t>
      </w:r>
    </w:p>
    <w:p w14:paraId="3B6AB715" w14:textId="77777777" w:rsidR="00745189" w:rsidRDefault="00745189" w:rsidP="00745189">
      <w:pPr>
        <w:pStyle w:val="pldetails"/>
      </w:pPr>
      <w:r w:rsidRPr="00580A94">
        <w:t>Víctor Manuel VÁSQUEZ NAVARRETE (Sr.), Director de Variedades Vegetales, Servicio Nacional de Inspección y Certificacíon de Semillas (SNICS), Secretaría de Agricutlura y</w:t>
      </w:r>
      <w:r>
        <w:t xml:space="preserve"> Desarrollo </w:t>
      </w:r>
      <w:r w:rsidRPr="00580A94">
        <w:t xml:space="preserve">Rural (SADER), México </w:t>
      </w:r>
      <w:r w:rsidRPr="00580A94">
        <w:br/>
        <w:t xml:space="preserve">(e-mail: </w:t>
      </w:r>
      <w:r w:rsidRPr="003B7299">
        <w:t>victor.vasquez@agricultura.gob.mx</w:t>
      </w:r>
      <w:r w:rsidRPr="00580A94">
        <w:t>)</w:t>
      </w:r>
    </w:p>
    <w:p w14:paraId="07FE6963" w14:textId="77777777" w:rsidR="00745189" w:rsidRPr="00580A94" w:rsidRDefault="00745189" w:rsidP="00745189">
      <w:pPr>
        <w:pStyle w:val="pldetails"/>
      </w:pPr>
      <w:r>
        <w:t xml:space="preserve">Ana Lilia ROJAS SALINAS </w:t>
      </w:r>
      <w:r w:rsidRPr="00580A94">
        <w:t>(Sr</w:t>
      </w:r>
      <w:r>
        <w:t>a</w:t>
      </w:r>
      <w:r w:rsidRPr="00580A94">
        <w:t xml:space="preserve">.), </w:t>
      </w:r>
      <w:r>
        <w:t>Jefa</w:t>
      </w:r>
      <w:r w:rsidRPr="00580A94">
        <w:t xml:space="preserve">, </w:t>
      </w:r>
      <w:r w:rsidRPr="0086153E">
        <w:t xml:space="preserve">Departamento de </w:t>
      </w:r>
      <w:r>
        <w:t xml:space="preserve">Armonización </w:t>
      </w:r>
      <w:r w:rsidRPr="0086153E">
        <w:t>Técnica</w:t>
      </w:r>
      <w:r>
        <w:t xml:space="preserve">, </w:t>
      </w:r>
      <w:r w:rsidRPr="00580A94">
        <w:t xml:space="preserve">Servicio Nacional de Inspección y Certificación de Semillas (SNICS), Secretaría de Agricultura y Desarrollo Rural (SADER), México </w:t>
      </w:r>
      <w:r w:rsidRPr="00580A94">
        <w:br/>
        <w:t xml:space="preserve">(e-mail: </w:t>
      </w:r>
      <w:r w:rsidRPr="0086153E">
        <w:t>ana.rojas@snics.gob.mx</w:t>
      </w:r>
      <w:r w:rsidRPr="00580A94">
        <w:t>)</w:t>
      </w:r>
    </w:p>
    <w:p w14:paraId="461DBCC0" w14:textId="77777777" w:rsidR="00745189" w:rsidRPr="00745189" w:rsidRDefault="00745189" w:rsidP="00745189">
      <w:pPr>
        <w:pStyle w:val="plcountry"/>
        <w:rPr>
          <w:lang w:val="en-US"/>
        </w:rPr>
      </w:pPr>
      <w:r w:rsidRPr="00745189">
        <w:rPr>
          <w:lang w:val="en-US"/>
        </w:rPr>
        <w:t>PAYS-BAS / NETHERLANDS / PAÍSES BAJOS</w:t>
      </w:r>
    </w:p>
    <w:p w14:paraId="7DDEFE05" w14:textId="77777777" w:rsidR="00745189" w:rsidRPr="00745189" w:rsidRDefault="00745189" w:rsidP="00745189">
      <w:pPr>
        <w:pStyle w:val="pldetails"/>
        <w:rPr>
          <w:lang w:val="en-US"/>
        </w:rPr>
      </w:pPr>
      <w:r w:rsidRPr="00745189">
        <w:rPr>
          <w:lang w:val="en-US"/>
        </w:rPr>
        <w:t xml:space="preserve">Kees Jan GROENEWOUD (Mr.), Secretary, Dutch Board for Plant Varieties (Raad voor Plantenrassen), Roelofarendsveen </w:t>
      </w:r>
      <w:r w:rsidRPr="00745189">
        <w:rPr>
          <w:lang w:val="en-US"/>
        </w:rPr>
        <w:br/>
        <w:t>(e-mail: c.j.a.groenewoud@raadvoorplantenrassen.nl)</w:t>
      </w:r>
    </w:p>
    <w:p w14:paraId="6EC3F1B6" w14:textId="77777777" w:rsidR="00745189" w:rsidRPr="00745189" w:rsidRDefault="00745189" w:rsidP="00745189">
      <w:pPr>
        <w:pStyle w:val="plcountry"/>
        <w:rPr>
          <w:lang w:val="en-US"/>
        </w:rPr>
      </w:pPr>
      <w:r w:rsidRPr="00745189">
        <w:rPr>
          <w:lang w:val="en-US"/>
        </w:rPr>
        <w:t>POLOGNE / POLAND / POLONIA</w:t>
      </w:r>
    </w:p>
    <w:p w14:paraId="6E1CC288" w14:textId="77777777" w:rsidR="00745189" w:rsidRPr="00745189" w:rsidRDefault="00745189" w:rsidP="00745189">
      <w:pPr>
        <w:pStyle w:val="pldetails"/>
        <w:rPr>
          <w:lang w:val="en-US"/>
        </w:rPr>
      </w:pPr>
      <w:r w:rsidRPr="00745189">
        <w:rPr>
          <w:lang w:val="en-US"/>
        </w:rPr>
        <w:t>Marcin KRÓL (Mr.), Head, DUS Testing Department, Research Centre for Cultivar Testing (COBORU), Slupia Wielka</w:t>
      </w:r>
      <w:r w:rsidRPr="00745189">
        <w:rPr>
          <w:lang w:val="en-US"/>
        </w:rPr>
        <w:br/>
        <w:t>(e-mail: m.krol@coboru.gov.pl)</w:t>
      </w:r>
    </w:p>
    <w:p w14:paraId="605FDF81" w14:textId="77777777" w:rsidR="00745189" w:rsidRPr="00BC7B70" w:rsidRDefault="00745189" w:rsidP="00745189">
      <w:pPr>
        <w:pStyle w:val="plcountry"/>
      </w:pPr>
      <w:r w:rsidRPr="00BC7B70">
        <w:t>RÉPUBLIQUE Dominicaine / dominican REPUBLIC / REPÚBLICA Dominicana</w:t>
      </w:r>
    </w:p>
    <w:p w14:paraId="590E3AB1" w14:textId="77777777" w:rsidR="00745189" w:rsidRPr="00BC7B70" w:rsidRDefault="00745189" w:rsidP="00745189">
      <w:pPr>
        <w:pStyle w:val="pldetails"/>
      </w:pPr>
      <w:r w:rsidRPr="00BC7B70">
        <w:t xml:space="preserve">María Ayalivis GARCÍA MEDRANO (Sra.), Directora, Oficina para el Registro de Variedades y Obtenciones Vegetales (OREVADO), Santo Domingo </w:t>
      </w:r>
      <w:r w:rsidRPr="00BC7B70">
        <w:br/>
        <w:t>(e-mail: mgarcia@orevado.gob.do)</w:t>
      </w:r>
    </w:p>
    <w:p w14:paraId="11EE888C" w14:textId="77777777" w:rsidR="00745189" w:rsidRPr="00745189" w:rsidRDefault="00745189" w:rsidP="00745189">
      <w:pPr>
        <w:pStyle w:val="plcountry"/>
        <w:rPr>
          <w:lang w:val="en-US"/>
        </w:rPr>
      </w:pPr>
      <w:r w:rsidRPr="00745189">
        <w:rPr>
          <w:lang w:val="en-US"/>
        </w:rPr>
        <w:t>SUÈDE / SWEDEN / SUECIA</w:t>
      </w:r>
    </w:p>
    <w:p w14:paraId="06F91A16" w14:textId="77777777" w:rsidR="00745189" w:rsidRPr="00745189" w:rsidRDefault="00745189" w:rsidP="00745189">
      <w:pPr>
        <w:pStyle w:val="pldetails"/>
        <w:rPr>
          <w:lang w:val="en-US"/>
        </w:rPr>
      </w:pPr>
      <w:r w:rsidRPr="00745189">
        <w:rPr>
          <w:lang w:val="en-US"/>
        </w:rPr>
        <w:t xml:space="preserve">Jens WEIBULL(Mr.), Senior Officer, Swedish Board of Agriculture, Alnarp </w:t>
      </w:r>
      <w:r w:rsidRPr="00745189">
        <w:rPr>
          <w:lang w:val="en-US"/>
        </w:rPr>
        <w:br/>
        <w:t>(e-mail: jens.weibull@jordbruksverket.se)</w:t>
      </w:r>
    </w:p>
    <w:p w14:paraId="1D6A6C73" w14:textId="77777777" w:rsidR="00745189" w:rsidRPr="00580A94" w:rsidRDefault="00745189" w:rsidP="00745189">
      <w:pPr>
        <w:pStyle w:val="plcountry"/>
      </w:pPr>
      <w:r w:rsidRPr="00580A94">
        <w:t>UNION EUROPÉENNE / EUROPEAN UNION / UNIÓN EUROPEA</w:t>
      </w:r>
    </w:p>
    <w:p w14:paraId="16CF42EF" w14:textId="77777777" w:rsidR="00745189" w:rsidRPr="00745189" w:rsidRDefault="00745189" w:rsidP="00745189">
      <w:pPr>
        <w:pStyle w:val="pldetails"/>
        <w:rPr>
          <w:lang w:val="en-US"/>
        </w:rPr>
      </w:pPr>
      <w:r w:rsidRPr="00745189">
        <w:rPr>
          <w:lang w:val="en-US"/>
        </w:rPr>
        <w:t xml:space="preserve">Päivi MANNERKORPI (Ms.), Team Leader - Plant Reproductive Material, Unit G1 Plant Health, Directorate General for Health and Food Safety (DG SANTE), European Commission, Brussels </w:t>
      </w:r>
      <w:r w:rsidRPr="00745189">
        <w:rPr>
          <w:lang w:val="en-US"/>
        </w:rPr>
        <w:br/>
        <w:t xml:space="preserve">(e-mail: paivi.mannerkorpi@ec.europa.eu) </w:t>
      </w:r>
    </w:p>
    <w:p w14:paraId="2847856B" w14:textId="77777777" w:rsidR="00745189" w:rsidRPr="00745189" w:rsidRDefault="00745189" w:rsidP="00745189">
      <w:pPr>
        <w:pStyle w:val="pldetails"/>
        <w:rPr>
          <w:lang w:val="en-US"/>
        </w:rPr>
      </w:pPr>
      <w:r w:rsidRPr="00745189">
        <w:rPr>
          <w:lang w:val="en-US"/>
        </w:rPr>
        <w:t xml:space="preserve">Martin EKVAD (Mr.), President, Community Plant Variety Office (CPVO), Angers </w:t>
      </w:r>
      <w:r w:rsidRPr="00745189">
        <w:rPr>
          <w:lang w:val="en-US"/>
        </w:rPr>
        <w:br/>
        <w:t xml:space="preserve">(e-mail: ekvad@cpvo.europa.eu) </w:t>
      </w:r>
    </w:p>
    <w:p w14:paraId="5AD6355B" w14:textId="77777777" w:rsidR="00745189" w:rsidRPr="00745189" w:rsidRDefault="00745189" w:rsidP="00745189">
      <w:pPr>
        <w:pStyle w:val="pldetails"/>
        <w:rPr>
          <w:lang w:val="en-US"/>
        </w:rPr>
      </w:pPr>
      <w:r w:rsidRPr="00745189">
        <w:rPr>
          <w:lang w:val="en-US"/>
        </w:rPr>
        <w:t xml:space="preserve">Dirk THEOBALD (Mr.), Senior Adviser, Community Plant Variety Office (CPVO), Angers </w:t>
      </w:r>
      <w:r w:rsidRPr="00745189">
        <w:rPr>
          <w:lang w:val="en-US"/>
        </w:rPr>
        <w:br/>
        <w:t>(e-mail: theobald@cpvo.europa.eu)</w:t>
      </w:r>
    </w:p>
    <w:p w14:paraId="66C9DBF1" w14:textId="77777777" w:rsidR="00745189" w:rsidRPr="00745189" w:rsidRDefault="00745189" w:rsidP="00745189">
      <w:pPr>
        <w:pStyle w:val="pldetails"/>
        <w:rPr>
          <w:lang w:val="en-US"/>
        </w:rPr>
      </w:pPr>
      <w:r w:rsidRPr="00745189">
        <w:rPr>
          <w:lang w:val="en-US"/>
        </w:rPr>
        <w:t>Stefan HAFFKE (Mr.), Policy Officer, Directorate General for Health and Food Safety (DG SANTE), Brussels</w:t>
      </w:r>
      <w:r w:rsidRPr="00745189">
        <w:rPr>
          <w:lang w:val="en-US"/>
        </w:rPr>
        <w:br/>
        <w:t>(e-mail: stefan.haffke@ec.europa.eu)</w:t>
      </w:r>
    </w:p>
    <w:p w14:paraId="69079E5D" w14:textId="77777777" w:rsidR="00745189" w:rsidRPr="00745189" w:rsidRDefault="00745189" w:rsidP="00745189">
      <w:pPr>
        <w:pStyle w:val="pldetails"/>
        <w:rPr>
          <w:lang w:val="en-US"/>
        </w:rPr>
      </w:pPr>
      <w:r w:rsidRPr="00745189">
        <w:rPr>
          <w:lang w:val="en-US"/>
        </w:rPr>
        <w:t>Jean MAISON (Mr.), Deputy Head, Technical Unit, Community Plant Variety Office (CPVO), Angers</w:t>
      </w:r>
      <w:r w:rsidRPr="00745189">
        <w:rPr>
          <w:lang w:val="en-US"/>
        </w:rPr>
        <w:br/>
        <w:t>(e-mail: maison@cpvo.europa.eu)</w:t>
      </w:r>
    </w:p>
    <w:p w14:paraId="6453529D" w14:textId="77777777" w:rsidR="00745189" w:rsidRPr="00745189" w:rsidRDefault="00745189" w:rsidP="00745189">
      <w:pPr>
        <w:pStyle w:val="plheading"/>
        <w:rPr>
          <w:lang w:val="en-US"/>
        </w:rPr>
      </w:pPr>
      <w:r w:rsidRPr="00745189">
        <w:rPr>
          <w:lang w:val="en-US"/>
        </w:rPr>
        <w:t>II. ORGANISATIONS / ORGANIZATIONS / ORGANIZACIONES</w:t>
      </w:r>
    </w:p>
    <w:p w14:paraId="6B954266" w14:textId="77777777" w:rsidR="00745189" w:rsidRPr="00745189" w:rsidRDefault="00745189" w:rsidP="00745189">
      <w:pPr>
        <w:pStyle w:val="plcountry"/>
        <w:rPr>
          <w:lang w:val="en-US"/>
        </w:rPr>
      </w:pPr>
      <w:r w:rsidRPr="00745189">
        <w:rPr>
          <w:lang w:val="en-US"/>
        </w:rPr>
        <w:t>CROPLIFE INTERNATIONAL</w:t>
      </w:r>
    </w:p>
    <w:p w14:paraId="58213C70" w14:textId="77777777" w:rsidR="00745189" w:rsidRPr="00745189" w:rsidRDefault="00745189" w:rsidP="00745189">
      <w:pPr>
        <w:pStyle w:val="pldetails"/>
        <w:rPr>
          <w:lang w:val="en-US"/>
        </w:rPr>
      </w:pPr>
      <w:r w:rsidRPr="00745189">
        <w:rPr>
          <w:lang w:val="en-US"/>
        </w:rPr>
        <w:t>Marcel BRUINS (Mr.), Consultant, CropLife International, Bruxelles</w:t>
      </w:r>
      <w:r w:rsidRPr="00745189">
        <w:rPr>
          <w:lang w:val="en-US"/>
        </w:rPr>
        <w:br/>
        <w:t>(e-mail: mbruins1964@gmail.com)</w:t>
      </w:r>
    </w:p>
    <w:p w14:paraId="0E18786C" w14:textId="77777777" w:rsidR="00745189" w:rsidRPr="00745189" w:rsidRDefault="00745189" w:rsidP="00745189">
      <w:pPr>
        <w:pStyle w:val="plcountry"/>
        <w:rPr>
          <w:lang w:val="en-US"/>
        </w:rPr>
      </w:pPr>
      <w:r w:rsidRPr="00745189">
        <w:rPr>
          <w:lang w:val="en-US"/>
        </w:rPr>
        <w:t>INTERNATIONAL SEED FEDERATION (ISF)</w:t>
      </w:r>
    </w:p>
    <w:p w14:paraId="5BD071A4" w14:textId="77777777" w:rsidR="00745189" w:rsidRPr="00745189" w:rsidRDefault="00745189" w:rsidP="00745189">
      <w:pPr>
        <w:pStyle w:val="pldetails"/>
        <w:keepNext/>
        <w:rPr>
          <w:lang w:val="en-US"/>
        </w:rPr>
      </w:pPr>
      <w:r w:rsidRPr="00745189">
        <w:rPr>
          <w:lang w:val="en-US"/>
        </w:rPr>
        <w:t>Hélène KHAN NIAZI (Ms.), International Agriculture Manager, International Seed Federation (ISF), Nyon</w:t>
      </w:r>
      <w:r w:rsidRPr="00745189">
        <w:rPr>
          <w:lang w:val="en-US"/>
        </w:rPr>
        <w:br/>
        <w:t>(e-mail: h.khanniazi@worldseed.org)</w:t>
      </w:r>
    </w:p>
    <w:p w14:paraId="66A4996F" w14:textId="77777777" w:rsidR="00745189" w:rsidRPr="00745189" w:rsidRDefault="00745189" w:rsidP="00745189">
      <w:pPr>
        <w:pStyle w:val="pldetails"/>
        <w:rPr>
          <w:lang w:val="en-US"/>
        </w:rPr>
      </w:pPr>
      <w:r w:rsidRPr="00745189">
        <w:rPr>
          <w:lang w:val="en-US"/>
        </w:rPr>
        <w:t>Magali PLA (Ms.), Head of Industrial Property and Intelligence Technology, Limagrain, Gerzat</w:t>
      </w:r>
      <w:r w:rsidRPr="00745189">
        <w:rPr>
          <w:lang w:val="en-US"/>
        </w:rPr>
        <w:br/>
        <w:t>(e-mail: magali.pla@limagrain.com)</w:t>
      </w:r>
    </w:p>
    <w:p w14:paraId="539F3700" w14:textId="77777777" w:rsidR="00745189" w:rsidRPr="00745189" w:rsidRDefault="00745189" w:rsidP="00745189">
      <w:pPr>
        <w:pStyle w:val="pldetails"/>
        <w:rPr>
          <w:lang w:val="en-US"/>
        </w:rPr>
      </w:pPr>
      <w:r w:rsidRPr="00745189">
        <w:rPr>
          <w:lang w:val="en-US"/>
        </w:rPr>
        <w:t>Judith DE ROOS-BLOKLAND (Ms.), Legal Counsel, Regulatory and Legal Affairs, Plantum NL, Gouda</w:t>
      </w:r>
      <w:r w:rsidRPr="00745189">
        <w:rPr>
          <w:lang w:val="en-US"/>
        </w:rPr>
        <w:br/>
        <w:t>(e-mail: j.deroos@plantum.nl)</w:t>
      </w:r>
    </w:p>
    <w:p w14:paraId="1E0DE89F" w14:textId="77777777" w:rsidR="00745189" w:rsidRPr="00745189" w:rsidRDefault="00745189" w:rsidP="00745189">
      <w:pPr>
        <w:pStyle w:val="pldetails"/>
        <w:rPr>
          <w:lang w:val="en-US"/>
        </w:rPr>
      </w:pPr>
      <w:r w:rsidRPr="00745189">
        <w:rPr>
          <w:lang w:val="en-US"/>
        </w:rPr>
        <w:lastRenderedPageBreak/>
        <w:t xml:space="preserve">Jean DONNENWIRTH (Mr.), Delegate and Global PVP Lead Corteva, CORTEVA agriscience, Aussonne </w:t>
      </w:r>
      <w:r w:rsidRPr="00745189">
        <w:rPr>
          <w:lang w:val="en-US"/>
        </w:rPr>
        <w:br/>
        <w:t>(e-mail: jean.donnenwirth@corteva.com)</w:t>
      </w:r>
    </w:p>
    <w:p w14:paraId="16A1EBA3" w14:textId="77777777" w:rsidR="00745189" w:rsidRPr="00745189" w:rsidRDefault="00745189" w:rsidP="00745189">
      <w:pPr>
        <w:pStyle w:val="pldetails"/>
        <w:rPr>
          <w:lang w:val="en-US"/>
        </w:rPr>
      </w:pPr>
      <w:r w:rsidRPr="00745189">
        <w:rPr>
          <w:lang w:val="en-US"/>
        </w:rPr>
        <w:t xml:space="preserve">John Howard DUESING (Mr.), Consultant, Consulting EDV Project Manager, American Seed Trade Association (ASTA), West Des Moines </w:t>
      </w:r>
      <w:r w:rsidRPr="00745189">
        <w:rPr>
          <w:lang w:val="en-US"/>
        </w:rPr>
        <w:br/>
        <w:t>(e-mail: jhd3@mchsi.com)</w:t>
      </w:r>
    </w:p>
    <w:p w14:paraId="5CD997D1" w14:textId="77777777" w:rsidR="00745189" w:rsidRPr="00745189" w:rsidRDefault="00745189" w:rsidP="00745189">
      <w:pPr>
        <w:pStyle w:val="pldetails"/>
        <w:rPr>
          <w:lang w:val="en-US"/>
        </w:rPr>
      </w:pPr>
      <w:r w:rsidRPr="00745189">
        <w:rPr>
          <w:lang w:val="en-US"/>
        </w:rPr>
        <w:t>Justin J. RAKOTOARISAONA (Mr.), Secretary General, African Seed Trade Association (AFSTA), Nairobi</w:t>
      </w:r>
      <w:r w:rsidRPr="00745189">
        <w:rPr>
          <w:lang w:val="en-US"/>
        </w:rPr>
        <w:br/>
        <w:t>(e-mail: justin@afsta.org)</w:t>
      </w:r>
    </w:p>
    <w:p w14:paraId="22A21155" w14:textId="77777777" w:rsidR="00745189" w:rsidRPr="00745189" w:rsidRDefault="00745189" w:rsidP="00745189">
      <w:pPr>
        <w:pStyle w:val="plcountry"/>
        <w:rPr>
          <w:lang w:val="en-US"/>
        </w:rPr>
      </w:pPr>
      <w:r w:rsidRPr="00745189">
        <w:rPr>
          <w:lang w:val="en-US"/>
        </w:rPr>
        <w:t>EUROSEEDS</w:t>
      </w:r>
    </w:p>
    <w:p w14:paraId="3E7FACA4" w14:textId="77777777" w:rsidR="00745189" w:rsidRPr="00745189" w:rsidRDefault="00745189" w:rsidP="00745189">
      <w:pPr>
        <w:pStyle w:val="pldetails"/>
        <w:rPr>
          <w:lang w:val="en-US"/>
        </w:rPr>
      </w:pPr>
      <w:r w:rsidRPr="00745189">
        <w:rPr>
          <w:lang w:val="en-US"/>
        </w:rPr>
        <w:t>Szonja CSÖRGÖ (Ms.), Director, Intellectual Property &amp; Legal Affairs, Euroseeds, Bruxelles</w:t>
      </w:r>
      <w:r w:rsidRPr="00745189">
        <w:rPr>
          <w:lang w:val="en-US"/>
        </w:rPr>
        <w:br/>
        <w:t>(e-mail: szonjacsorgo@euroseeds.eu)</w:t>
      </w:r>
    </w:p>
    <w:p w14:paraId="430EE359" w14:textId="77777777" w:rsidR="00745189" w:rsidRPr="00745189" w:rsidRDefault="00745189" w:rsidP="00745189">
      <w:pPr>
        <w:pStyle w:val="plcountry"/>
        <w:rPr>
          <w:lang w:val="en-US"/>
        </w:rPr>
      </w:pPr>
      <w:r w:rsidRPr="00745189">
        <w:rPr>
          <w:lang w:val="en-US"/>
        </w:rPr>
        <w:t>ASSOCIATION FOR PLANT BREEDING FOR THE BENEFIT OF SOCIETY (APBREBES)</w:t>
      </w:r>
    </w:p>
    <w:p w14:paraId="2D34AA05" w14:textId="77777777" w:rsidR="00745189" w:rsidRPr="00745189" w:rsidRDefault="00745189" w:rsidP="00745189">
      <w:pPr>
        <w:pStyle w:val="pldetails"/>
        <w:rPr>
          <w:lang w:val="en-US"/>
        </w:rPr>
      </w:pPr>
      <w:r w:rsidRPr="00745189">
        <w:rPr>
          <w:lang w:val="en-US"/>
        </w:rPr>
        <w:t>Sangeeta SHASHIKANT (Ms.), President, Association for Plant Breeding for the Benefit of Society (APBREBES), Lausanne</w:t>
      </w:r>
      <w:r w:rsidRPr="00745189">
        <w:rPr>
          <w:lang w:val="en-US"/>
        </w:rPr>
        <w:br/>
        <w:t>(e-mail: sangeeta@twnetwork.org)</w:t>
      </w:r>
    </w:p>
    <w:p w14:paraId="586B4FBE" w14:textId="77777777" w:rsidR="00745189" w:rsidRPr="00BE3828" w:rsidRDefault="00745189" w:rsidP="00745189">
      <w:pPr>
        <w:pStyle w:val="plcountry"/>
        <w:rPr>
          <w:lang w:val="en-US"/>
        </w:rPr>
      </w:pPr>
      <w:r w:rsidRPr="00BE3828">
        <w:rPr>
          <w:lang w:val="en-US"/>
        </w:rPr>
        <w:t xml:space="preserve">COMMUNAUTÉ INTERNATIONALE DES OBTENTEURS DE PLANTES HORTICOLES À REPRODUCTION ASEXUÉE (CIOPORA) / </w:t>
      </w:r>
      <w:r w:rsidRPr="00BE3828">
        <w:rPr>
          <w:lang w:val="en-US"/>
        </w:rPr>
        <w:br/>
        <w:t xml:space="preserve">INTERNATIONAL COMMUNITY OF BREEDERS OF ASEXUALLY REPRODUCED HORTICULTURAL PLANTS (CIOPORA) / </w:t>
      </w:r>
      <w:r w:rsidRPr="00BE3828">
        <w:rPr>
          <w:lang w:val="en-US"/>
        </w:rPr>
        <w:br/>
        <w:t>Comunidad Internacional de Obtentores de Plantas Hortícolas de Reproducción Asexuada (CIOPORA)</w:t>
      </w:r>
    </w:p>
    <w:p w14:paraId="27DF0245" w14:textId="77777777" w:rsidR="00745189" w:rsidRPr="00745189" w:rsidRDefault="00745189" w:rsidP="00745189">
      <w:pPr>
        <w:pStyle w:val="pldetails"/>
        <w:rPr>
          <w:lang w:val="en-US"/>
        </w:rPr>
      </w:pPr>
      <w:r w:rsidRPr="00745189">
        <w:rPr>
          <w:lang w:val="en-US"/>
        </w:rPr>
        <w:t xml:space="preserve">Edgar KRIEGER (Mr.), Secretary General, International Community of Breeders of Asexually Reproduced Horticultural Plants (CIOPORA), Hamburg </w:t>
      </w:r>
      <w:r w:rsidRPr="00745189">
        <w:rPr>
          <w:lang w:val="en-US"/>
        </w:rPr>
        <w:br/>
        <w:t>(e-mail: edgar.krieger@ciopora.org)</w:t>
      </w:r>
    </w:p>
    <w:p w14:paraId="3166C72A" w14:textId="77777777" w:rsidR="00745189" w:rsidRPr="00745189" w:rsidRDefault="00745189" w:rsidP="00745189">
      <w:pPr>
        <w:pStyle w:val="pldetails"/>
        <w:rPr>
          <w:lang w:val="en-US"/>
        </w:rPr>
      </w:pPr>
      <w:r w:rsidRPr="00745189">
        <w:rPr>
          <w:lang w:val="en-US"/>
        </w:rPr>
        <w:t>Jan DE RIEK (Mr.), Molecular Genetics &amp; Breeding - Group Leader and CIOPORA co-vice president, Plant sciences unit, ILVO-Plant, Flanders research institute for agriculture, fisheries and food, Melle</w:t>
      </w:r>
      <w:r w:rsidRPr="00745189">
        <w:rPr>
          <w:lang w:val="en-US"/>
        </w:rPr>
        <w:br/>
        <w:t>(e-mail: jan.deriek@ilvo.vlaanderen.be)</w:t>
      </w:r>
    </w:p>
    <w:p w14:paraId="4EF375A4" w14:textId="77777777" w:rsidR="00745189" w:rsidRPr="00745189" w:rsidRDefault="00745189" w:rsidP="00745189">
      <w:pPr>
        <w:pStyle w:val="plcountry"/>
        <w:rPr>
          <w:lang w:val="en-US"/>
        </w:rPr>
      </w:pPr>
      <w:r w:rsidRPr="00745189">
        <w:rPr>
          <w:lang w:val="en-US"/>
        </w:rPr>
        <w:t>SEED ASSOCIATION OF THE AMERICAS (SAA)</w:t>
      </w:r>
    </w:p>
    <w:p w14:paraId="6CF4F72E" w14:textId="77777777" w:rsidR="00745189" w:rsidRPr="00745189" w:rsidRDefault="00745189" w:rsidP="00745189">
      <w:pPr>
        <w:pStyle w:val="pldetails"/>
        <w:rPr>
          <w:lang w:val="en-US"/>
        </w:rPr>
      </w:pPr>
      <w:r w:rsidRPr="00745189">
        <w:rPr>
          <w:lang w:val="en-US"/>
        </w:rPr>
        <w:t>Diego A. RISSO (Mr.), Director Ejecutivo, Seed Association of the Americas (SAA), Montevideo</w:t>
      </w:r>
      <w:r w:rsidRPr="00745189">
        <w:rPr>
          <w:lang w:val="en-US"/>
        </w:rPr>
        <w:br/>
        <w:t>(e-mail: drisso@saaseed.org)</w:t>
      </w:r>
    </w:p>
    <w:p w14:paraId="0CBBA16A" w14:textId="77777777" w:rsidR="00745189" w:rsidRPr="00745189" w:rsidRDefault="00745189" w:rsidP="00745189">
      <w:pPr>
        <w:pStyle w:val="pldetails"/>
        <w:rPr>
          <w:lang w:val="en-US"/>
        </w:rPr>
      </w:pPr>
      <w:r w:rsidRPr="00745189">
        <w:rPr>
          <w:lang w:val="en-US"/>
        </w:rPr>
        <w:t xml:space="preserve">Stevan MADJARAC (Mr.), Germplasm IP Lead, Bayer Crop Science, Ankeny </w:t>
      </w:r>
      <w:r w:rsidRPr="00745189">
        <w:rPr>
          <w:lang w:val="en-US"/>
        </w:rPr>
        <w:br/>
        <w:t>(e-mail: stevan.madjarac@bayer.com)</w:t>
      </w:r>
    </w:p>
    <w:p w14:paraId="152C232C" w14:textId="77777777" w:rsidR="00745189" w:rsidRPr="00BE3828" w:rsidRDefault="00745189" w:rsidP="00745189">
      <w:pPr>
        <w:pStyle w:val="pldetails"/>
        <w:rPr>
          <w:lang w:val="en-US"/>
        </w:rPr>
      </w:pPr>
      <w:r w:rsidRPr="00BE3828">
        <w:rPr>
          <w:lang w:val="en-US"/>
        </w:rPr>
        <w:t xml:space="preserve">Marymar BUTRUILLE (Ms.), Germplasm IP Scientist Lead, Bayer Crop Science, Ankeny </w:t>
      </w:r>
      <w:r w:rsidRPr="00BE3828">
        <w:rPr>
          <w:lang w:val="en-US"/>
        </w:rPr>
        <w:br/>
        <w:t>(e-mail: marymar.butruille@bayer.com)</w:t>
      </w:r>
    </w:p>
    <w:p w14:paraId="594E0348" w14:textId="77777777" w:rsidR="00745189" w:rsidRPr="00745189" w:rsidRDefault="00745189" w:rsidP="00745189">
      <w:pPr>
        <w:pStyle w:val="pldetails"/>
        <w:rPr>
          <w:lang w:val="en-US"/>
        </w:rPr>
      </w:pPr>
      <w:r w:rsidRPr="00745189">
        <w:rPr>
          <w:lang w:val="en-US"/>
        </w:rPr>
        <w:t xml:space="preserve">Mirta ANTONGIOVANNI (Ms.), Manager Global of Regulatory Affair and Register of Varieties, GDM Seeds, Buenos Aires </w:t>
      </w:r>
      <w:r w:rsidRPr="00745189">
        <w:rPr>
          <w:lang w:val="en-US"/>
        </w:rPr>
        <w:br/>
        <w:t>(e-mail: mantongiovanni@gdmseeds.com)</w:t>
      </w:r>
    </w:p>
    <w:p w14:paraId="20E0D91E" w14:textId="77777777" w:rsidR="00745189" w:rsidRPr="00745189" w:rsidRDefault="00745189" w:rsidP="00745189">
      <w:pPr>
        <w:pStyle w:val="plcountry"/>
        <w:rPr>
          <w:lang w:val="en-US"/>
        </w:rPr>
      </w:pPr>
      <w:r w:rsidRPr="00745189">
        <w:rPr>
          <w:lang w:val="en-US"/>
        </w:rPr>
        <w:t>ASIA AND PACIFIC SEED ASSOCIATION (APSA)</w:t>
      </w:r>
    </w:p>
    <w:p w14:paraId="6CF62651" w14:textId="77777777" w:rsidR="00745189" w:rsidRPr="00745189" w:rsidRDefault="00745189" w:rsidP="00745189">
      <w:pPr>
        <w:pStyle w:val="pldetails"/>
        <w:rPr>
          <w:lang w:val="en-US"/>
        </w:rPr>
      </w:pPr>
      <w:r w:rsidRPr="00745189">
        <w:rPr>
          <w:lang w:val="en-US"/>
        </w:rPr>
        <w:t>Kanokwan CHODCHOEY (Ms.), Executive Director, Asia and Pacific Seed Association (APSA), Bangkok</w:t>
      </w:r>
      <w:r w:rsidRPr="00745189">
        <w:rPr>
          <w:lang w:val="en-US"/>
        </w:rPr>
        <w:br/>
        <w:t>(e-mail: may@apsaseed.org)</w:t>
      </w:r>
    </w:p>
    <w:p w14:paraId="3A28EA23" w14:textId="77777777" w:rsidR="00745189" w:rsidRPr="00BE3828" w:rsidRDefault="00745189" w:rsidP="00745189">
      <w:pPr>
        <w:pStyle w:val="plheading"/>
        <w:rPr>
          <w:rFonts w:cs="Arial"/>
          <w:lang w:val="en-US"/>
        </w:rPr>
      </w:pPr>
      <w:r w:rsidRPr="00BE3828">
        <w:rPr>
          <w:rFonts w:cs="Arial"/>
          <w:lang w:val="en-US"/>
        </w:rPr>
        <w:t>III. BUREAU / OFFICER / OFICINA</w:t>
      </w:r>
    </w:p>
    <w:p w14:paraId="4EAB0C2B" w14:textId="77777777" w:rsidR="00745189" w:rsidRPr="00745189" w:rsidRDefault="00745189" w:rsidP="00745189">
      <w:pPr>
        <w:pStyle w:val="pldetails"/>
        <w:rPr>
          <w:lang w:val="en-US"/>
        </w:rPr>
      </w:pPr>
      <w:r w:rsidRPr="00745189">
        <w:rPr>
          <w:lang w:val="en-US"/>
        </w:rPr>
        <w:t>Peter BUTTON (Mr.), Chair</w:t>
      </w:r>
    </w:p>
    <w:p w14:paraId="12FEA417" w14:textId="77777777" w:rsidR="00745189" w:rsidRPr="00BC7B70" w:rsidRDefault="00745189" w:rsidP="00745189">
      <w:pPr>
        <w:pStyle w:val="plheading"/>
        <w:keepLines/>
        <w:rPr>
          <w:rFonts w:cs="Arial"/>
          <w:lang w:val="en-US"/>
        </w:rPr>
      </w:pPr>
      <w:r w:rsidRPr="00BC7B70">
        <w:rPr>
          <w:rFonts w:cs="Arial"/>
          <w:lang w:val="en-US"/>
        </w:rPr>
        <w:lastRenderedPageBreak/>
        <w:t>IV. BUREAU DE L’UPOV / OFFICE OF UPOV / OFICINA DE LA UPOV</w:t>
      </w:r>
    </w:p>
    <w:p w14:paraId="4DE9D15C" w14:textId="77777777" w:rsidR="00745189" w:rsidRPr="00745189" w:rsidRDefault="00745189" w:rsidP="00745189">
      <w:pPr>
        <w:pStyle w:val="pldetails"/>
        <w:keepNext/>
        <w:rPr>
          <w:lang w:val="en-US"/>
        </w:rPr>
      </w:pPr>
      <w:r w:rsidRPr="00745189">
        <w:rPr>
          <w:lang w:val="en-US"/>
        </w:rPr>
        <w:t>Peter BUTTON (Mr.), Vice Secretary-General</w:t>
      </w:r>
    </w:p>
    <w:p w14:paraId="1E118972" w14:textId="77777777" w:rsidR="00745189" w:rsidRPr="00745189" w:rsidRDefault="00745189" w:rsidP="00745189">
      <w:pPr>
        <w:pStyle w:val="pldetails"/>
        <w:keepNext/>
        <w:rPr>
          <w:lang w:val="en-US"/>
        </w:rPr>
      </w:pPr>
      <w:r w:rsidRPr="00745189">
        <w:rPr>
          <w:lang w:val="en-US"/>
        </w:rPr>
        <w:t>Yolanda HUERTA (Ms.), Legal Counsel and Director of Training and Assistance</w:t>
      </w:r>
    </w:p>
    <w:p w14:paraId="21D297C8" w14:textId="77777777" w:rsidR="00745189" w:rsidRPr="00745189" w:rsidRDefault="00745189" w:rsidP="00745189">
      <w:pPr>
        <w:pStyle w:val="pldetails"/>
        <w:keepNext/>
        <w:rPr>
          <w:lang w:val="en-US"/>
        </w:rPr>
      </w:pPr>
      <w:r w:rsidRPr="00745189">
        <w:rPr>
          <w:lang w:val="en-US"/>
        </w:rPr>
        <w:t>Ben RIVOIRE (Mr.), Head of Seed Sector Cooperation and Regional Development (Africa, Arab Countries)</w:t>
      </w:r>
    </w:p>
    <w:p w14:paraId="2715A46E" w14:textId="77777777" w:rsidR="00745189" w:rsidRPr="00745189" w:rsidRDefault="00745189" w:rsidP="00745189">
      <w:pPr>
        <w:pStyle w:val="pldetails"/>
        <w:keepNext/>
        <w:rPr>
          <w:lang w:val="en-US"/>
        </w:rPr>
      </w:pPr>
      <w:r w:rsidRPr="00745189">
        <w:rPr>
          <w:lang w:val="en-US"/>
        </w:rPr>
        <w:t>Leontino TAVEIRA (Mr.), Head of Technical Affairs and Regional Development (Latin America, Caribbean)</w:t>
      </w:r>
    </w:p>
    <w:p w14:paraId="0451E276" w14:textId="77777777" w:rsidR="00745189" w:rsidRPr="00745189" w:rsidRDefault="00745189" w:rsidP="00745189">
      <w:pPr>
        <w:pStyle w:val="pldetails"/>
        <w:keepNext/>
        <w:rPr>
          <w:lang w:val="en-US"/>
        </w:rPr>
      </w:pPr>
      <w:r w:rsidRPr="00745189">
        <w:rPr>
          <w:lang w:val="en-US"/>
        </w:rPr>
        <w:t>Manabu SUZUKI (Mr.), Technical/Regional Officer (Asia)</w:t>
      </w:r>
    </w:p>
    <w:p w14:paraId="54697BD1" w14:textId="77777777" w:rsidR="00745189" w:rsidRPr="00745189" w:rsidRDefault="00745189" w:rsidP="00745189">
      <w:pPr>
        <w:pStyle w:val="pldetails"/>
        <w:keepNext/>
        <w:keepLines w:val="0"/>
        <w:rPr>
          <w:lang w:val="en-US"/>
        </w:rPr>
      </w:pPr>
      <w:r w:rsidRPr="00745189">
        <w:rPr>
          <w:lang w:val="en-US"/>
        </w:rPr>
        <w:t>Caroline ROVERE (Ms.), Communication and Events Officer</w:t>
      </w:r>
    </w:p>
    <w:p w14:paraId="6DBFEE8B" w14:textId="77777777" w:rsidR="00745189" w:rsidRPr="00745189" w:rsidRDefault="00745189" w:rsidP="00745189">
      <w:pPr>
        <w:rPr>
          <w:lang w:val="en-US"/>
        </w:rPr>
      </w:pPr>
    </w:p>
    <w:p w14:paraId="772F40BB" w14:textId="77777777" w:rsidR="00745189" w:rsidRPr="00745189" w:rsidRDefault="00745189" w:rsidP="00745189">
      <w:pPr>
        <w:rPr>
          <w:lang w:val="en-US"/>
        </w:rPr>
      </w:pPr>
    </w:p>
    <w:p w14:paraId="6AD3380C" w14:textId="77777777" w:rsidR="00745189" w:rsidRPr="002416E8" w:rsidRDefault="00745189" w:rsidP="00745189">
      <w:pPr>
        <w:keepNext/>
        <w:jc w:val="right"/>
        <w:rPr>
          <w:rFonts w:cs="Arial"/>
          <w:lang w:val="fr-CH" w:eastAsia="zh-CN"/>
        </w:rPr>
      </w:pPr>
      <w:r w:rsidRPr="002416E8">
        <w:rPr>
          <w:rFonts w:cs="Arial"/>
          <w:lang w:val="fr-CH"/>
        </w:rPr>
        <w:t xml:space="preserve">[Fin </w:t>
      </w:r>
      <w:r>
        <w:rPr>
          <w:rFonts w:cs="Arial"/>
          <w:lang w:val="fr-CH"/>
        </w:rPr>
        <w:t xml:space="preserve">de l’annexe et </w:t>
      </w:r>
      <w:r w:rsidRPr="002416E8">
        <w:rPr>
          <w:rFonts w:cs="Arial"/>
          <w:lang w:val="fr-CH"/>
        </w:rPr>
        <w:t>du document/</w:t>
      </w:r>
      <w:r w:rsidRPr="002416E8">
        <w:rPr>
          <w:rFonts w:cs="Arial"/>
          <w:lang w:val="fr-CH"/>
        </w:rPr>
        <w:br/>
      </w:r>
      <w:r>
        <w:rPr>
          <w:rFonts w:cs="Arial"/>
          <w:lang w:val="fr-CH"/>
        </w:rPr>
        <w:t xml:space="preserve">End of </w:t>
      </w:r>
      <w:proofErr w:type="spellStart"/>
      <w:r>
        <w:rPr>
          <w:rFonts w:cs="Arial"/>
          <w:lang w:val="fr-CH"/>
        </w:rPr>
        <w:t>Annex</w:t>
      </w:r>
      <w:proofErr w:type="spellEnd"/>
      <w:r>
        <w:rPr>
          <w:rFonts w:cs="Arial"/>
          <w:lang w:val="fr-CH"/>
        </w:rPr>
        <w:t xml:space="preserve"> and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Anexo</w:t>
      </w:r>
      <w:proofErr w:type="spellEnd"/>
      <w:r>
        <w:rPr>
          <w:rFonts w:cs="Arial"/>
          <w:lang w:val="fr-CH"/>
        </w:rPr>
        <w:t xml:space="preserve"> y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441A16C6" w14:textId="77777777" w:rsidR="00745189" w:rsidRPr="005D7F85" w:rsidRDefault="00745189" w:rsidP="00745189">
      <w:pPr>
        <w:rPr>
          <w:lang w:val="fr-CH"/>
        </w:rPr>
      </w:pPr>
    </w:p>
    <w:p w14:paraId="37E891DB" w14:textId="77777777" w:rsidR="00745189" w:rsidRPr="00581F72" w:rsidRDefault="00745189" w:rsidP="00745189">
      <w:pPr>
        <w:jc w:val="center"/>
        <w:rPr>
          <w:lang w:val="fr-CH"/>
        </w:rPr>
      </w:pPr>
    </w:p>
    <w:p w14:paraId="2D4CE2D5" w14:textId="77777777" w:rsidR="009B440E" w:rsidRPr="00745189" w:rsidRDefault="009B440E" w:rsidP="00581F72">
      <w:pPr>
        <w:tabs>
          <w:tab w:val="left" w:pos="5710"/>
        </w:tabs>
        <w:jc w:val="center"/>
        <w:rPr>
          <w:lang w:val="fr-CH"/>
        </w:rPr>
      </w:pPr>
    </w:p>
    <w:sectPr w:rsidR="009B440E" w:rsidRPr="00745189" w:rsidSect="00751F3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DB80" w14:textId="77777777" w:rsidR="00CC1FA7" w:rsidRDefault="00CC1FA7" w:rsidP="006655D3">
      <w:r>
        <w:separator/>
      </w:r>
    </w:p>
    <w:p w14:paraId="192F9BEA" w14:textId="77777777" w:rsidR="00CC1FA7" w:rsidRDefault="00CC1FA7" w:rsidP="006655D3"/>
    <w:p w14:paraId="527D0E63" w14:textId="77777777" w:rsidR="00CC1FA7" w:rsidRDefault="00CC1FA7" w:rsidP="006655D3"/>
  </w:endnote>
  <w:endnote w:type="continuationSeparator" w:id="0">
    <w:p w14:paraId="1C3B44AC" w14:textId="77777777" w:rsidR="00CC1FA7" w:rsidRDefault="00CC1FA7" w:rsidP="006655D3">
      <w:r>
        <w:separator/>
      </w:r>
    </w:p>
    <w:p w14:paraId="28C62F3C" w14:textId="77777777" w:rsidR="00CC1FA7" w:rsidRPr="00294751" w:rsidRDefault="00CC1FA7">
      <w:pPr>
        <w:pStyle w:val="Footer"/>
        <w:spacing w:after="60"/>
        <w:rPr>
          <w:sz w:val="18"/>
          <w:lang w:val="fr-FR"/>
        </w:rPr>
      </w:pPr>
      <w:r w:rsidRPr="00294751">
        <w:rPr>
          <w:sz w:val="18"/>
          <w:lang w:val="fr-FR"/>
        </w:rPr>
        <w:t>[Suite de la note de la page précédente]</w:t>
      </w:r>
    </w:p>
    <w:p w14:paraId="560EE5D7" w14:textId="77777777" w:rsidR="00CC1FA7" w:rsidRPr="00294751" w:rsidRDefault="00CC1FA7" w:rsidP="006655D3">
      <w:pPr>
        <w:rPr>
          <w:lang w:val="fr-FR"/>
        </w:rPr>
      </w:pPr>
    </w:p>
    <w:p w14:paraId="1494492B" w14:textId="77777777" w:rsidR="00CC1FA7" w:rsidRPr="00294751" w:rsidRDefault="00CC1FA7" w:rsidP="006655D3">
      <w:pPr>
        <w:rPr>
          <w:lang w:val="fr-FR"/>
        </w:rPr>
      </w:pPr>
    </w:p>
  </w:endnote>
  <w:endnote w:type="continuationNotice" w:id="1">
    <w:p w14:paraId="610C1BCE" w14:textId="77777777" w:rsidR="00CC1FA7" w:rsidRPr="00294751" w:rsidRDefault="00CC1FA7" w:rsidP="006655D3">
      <w:pPr>
        <w:rPr>
          <w:lang w:val="fr-FR"/>
        </w:rPr>
      </w:pPr>
      <w:r w:rsidRPr="00294751">
        <w:rPr>
          <w:lang w:val="fr-FR"/>
        </w:rPr>
        <w:t>[Suite de la note page suivante]</w:t>
      </w:r>
    </w:p>
    <w:p w14:paraId="28939B28" w14:textId="77777777" w:rsidR="00CC1FA7" w:rsidRPr="00294751" w:rsidRDefault="00CC1FA7" w:rsidP="006655D3">
      <w:pPr>
        <w:rPr>
          <w:lang w:val="fr-FR"/>
        </w:rPr>
      </w:pPr>
    </w:p>
    <w:p w14:paraId="41B427E5" w14:textId="77777777" w:rsidR="00CC1FA7" w:rsidRPr="00294751" w:rsidRDefault="00CC1F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5C9C" w14:textId="77777777" w:rsidR="00CC1FA7" w:rsidRDefault="00CC1FA7" w:rsidP="006655D3">
      <w:r>
        <w:separator/>
      </w:r>
    </w:p>
  </w:footnote>
  <w:footnote w:type="continuationSeparator" w:id="0">
    <w:p w14:paraId="07ED6840" w14:textId="77777777" w:rsidR="00CC1FA7" w:rsidRDefault="00CC1FA7" w:rsidP="006655D3">
      <w:r>
        <w:separator/>
      </w:r>
    </w:p>
  </w:footnote>
  <w:footnote w:type="continuationNotice" w:id="1">
    <w:p w14:paraId="5A520563" w14:textId="77777777" w:rsidR="00CC1FA7" w:rsidRPr="00AB530F" w:rsidRDefault="00CC1FA7" w:rsidP="00AB530F">
      <w:pPr>
        <w:pStyle w:val="Footer"/>
      </w:pPr>
    </w:p>
  </w:footnote>
  <w:footnote w:id="2">
    <w:p w14:paraId="0BB1FA94" w14:textId="6A809102" w:rsidR="001B554D" w:rsidRPr="008E4328" w:rsidRDefault="001B554D">
      <w:pPr>
        <w:pStyle w:val="FootnoteText"/>
      </w:pPr>
      <w:r>
        <w:rPr>
          <w:rStyle w:val="FootnoteReference"/>
        </w:rPr>
        <w:footnoteRef/>
      </w:r>
      <w:r>
        <w:t xml:space="preserve"> </w:t>
      </w:r>
      <w:r w:rsidR="001C4756">
        <w:tab/>
      </w:r>
      <w:bookmarkStart w:id="6" w:name="_GoBack"/>
      <w:bookmarkEnd w:id="6"/>
      <w:r w:rsidRPr="001B554D">
        <w:rPr>
          <w:color w:val="000000" w:themeColor="text1"/>
        </w:rPr>
        <w:t>La modificación en inglés “</w:t>
      </w:r>
      <w:proofErr w:type="spellStart"/>
      <w:r w:rsidRPr="009D0816">
        <w:rPr>
          <w:i/>
          <w:strike/>
          <w:color w:val="000000"/>
          <w:highlight w:val="lightGray"/>
        </w:rPr>
        <w:t>means</w:t>
      </w:r>
      <w:proofErr w:type="spellEnd"/>
      <w:r w:rsidRPr="009D0816">
        <w:rPr>
          <w:i/>
          <w:color w:val="000000"/>
          <w:highlight w:val="lightGray"/>
        </w:rPr>
        <w:t xml:space="preserve"> </w:t>
      </w:r>
      <w:proofErr w:type="spellStart"/>
      <w:r w:rsidRPr="009D0816">
        <w:rPr>
          <w:i/>
          <w:color w:val="000000"/>
          <w:highlight w:val="lightGray"/>
          <w:u w:val="single"/>
        </w:rPr>
        <w:t>implies</w:t>
      </w:r>
      <w:proofErr w:type="spellEnd"/>
      <w:r w:rsidRPr="008E4328">
        <w:rPr>
          <w:color w:val="000000"/>
          <w:highlight w:val="lightGray"/>
          <w:u w:val="single"/>
        </w:rPr>
        <w:t>”</w:t>
      </w:r>
      <w:r w:rsidRPr="001B554D">
        <w:rPr>
          <w:color w:val="000000"/>
        </w:rPr>
        <w:t xml:space="preserve"> ya está incorporada en la versión en español.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EBB5" w14:textId="700BBACC" w:rsidR="007C1311" w:rsidRPr="00F0001A" w:rsidRDefault="00DD655E" w:rsidP="00F06564">
    <w:pPr>
      <w:pStyle w:val="Header"/>
      <w:rPr>
        <w:rStyle w:val="PageNumber"/>
      </w:rPr>
    </w:pPr>
    <w:r>
      <w:rPr>
        <w:rStyle w:val="PageNumber"/>
      </w:rPr>
      <w:t>UPOV/WG-EDV/3/3</w:t>
    </w:r>
  </w:p>
  <w:p w14:paraId="78F93AEB" w14:textId="2B200F5E" w:rsidR="007C1311" w:rsidRPr="00F0001A" w:rsidRDefault="007C1311" w:rsidP="00F06564">
    <w:pPr>
      <w:pStyle w:val="Header"/>
    </w:pPr>
    <w:r>
      <w:t xml:space="preserve">página </w:t>
    </w:r>
    <w:r w:rsidRPr="00C5280D">
      <w:rPr>
        <w:rStyle w:val="PageNumber"/>
      </w:rPr>
      <w:fldChar w:fldCharType="begin"/>
    </w:r>
    <w:r w:rsidRPr="00F0001A">
      <w:rPr>
        <w:rStyle w:val="PageNumber"/>
      </w:rPr>
      <w:instrText xml:space="preserve"> PAGE </w:instrText>
    </w:r>
    <w:r w:rsidRPr="00C5280D">
      <w:rPr>
        <w:rStyle w:val="PageNumber"/>
      </w:rPr>
      <w:fldChar w:fldCharType="separate"/>
    </w:r>
    <w:r w:rsidR="001C4756">
      <w:rPr>
        <w:rStyle w:val="PageNumber"/>
        <w:noProof/>
      </w:rPr>
      <w:t>5</w:t>
    </w:r>
    <w:r w:rsidRPr="00C5280D">
      <w:rPr>
        <w:rStyle w:val="PageNumber"/>
      </w:rPr>
      <w:fldChar w:fldCharType="end"/>
    </w:r>
  </w:p>
  <w:p w14:paraId="0C56441B" w14:textId="77777777" w:rsidR="007C1311" w:rsidRPr="00F0001A" w:rsidRDefault="007C1311" w:rsidP="00F0656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55EC" w14:textId="77777777" w:rsidR="007C1311" w:rsidRPr="00401FEA" w:rsidRDefault="00911B6A" w:rsidP="00F06564">
    <w:pPr>
      <w:pStyle w:val="Header"/>
      <w:rPr>
        <w:rStyle w:val="PageNumber"/>
        <w:lang w:val="pt-PT"/>
      </w:rPr>
    </w:pPr>
    <w:r>
      <w:rPr>
        <w:rStyle w:val="PageNumber"/>
        <w:lang w:val="pt-PT"/>
      </w:rPr>
      <w:t>UPOV/WG-EDV/3</w:t>
    </w:r>
    <w:r w:rsidR="00745189">
      <w:rPr>
        <w:rStyle w:val="PageNumber"/>
        <w:lang w:val="pt-PT"/>
      </w:rPr>
      <w:t>/3</w:t>
    </w:r>
  </w:p>
  <w:p w14:paraId="095D36FF" w14:textId="77777777" w:rsidR="007C1311" w:rsidRPr="00DB67FC" w:rsidRDefault="007C1311" w:rsidP="00751F3B">
    <w:pPr>
      <w:jc w:val="center"/>
      <w:rPr>
        <w:lang w:val="pt-PT"/>
      </w:rPr>
    </w:pPr>
    <w:r>
      <w:rPr>
        <w:lang w:val="pt-PT"/>
      </w:rPr>
      <w:t>Annexe / Annex / Anexo</w:t>
    </w:r>
  </w:p>
  <w:p w14:paraId="58139CA4" w14:textId="6597EDA6" w:rsidR="007C1311" w:rsidRPr="00DB67FC" w:rsidRDefault="007C1311" w:rsidP="00751F3B">
    <w:pPr>
      <w:jc w:val="center"/>
      <w:rPr>
        <w:rFonts w:cs="Arial"/>
        <w:lang w:val="pt-PT"/>
      </w:rPr>
    </w:pPr>
    <w:r w:rsidRPr="00DB67FC">
      <w:rPr>
        <w:rFonts w:cs="Arial"/>
        <w:lang w:val="pt-PT"/>
      </w:rPr>
      <w:t xml:space="preserve">page </w:t>
    </w:r>
    <w:r>
      <w:rPr>
        <w:rFonts w:cs="Arial"/>
      </w:rPr>
      <w:fldChar w:fldCharType="begin"/>
    </w:r>
    <w:r w:rsidRPr="00401FEA">
      <w:rPr>
        <w:rFonts w:cs="Arial"/>
        <w:lang w:val="pt-PT"/>
      </w:rPr>
      <w:instrText xml:space="preserve"> PAGE  </w:instrText>
    </w:r>
    <w:r>
      <w:rPr>
        <w:rFonts w:cs="Arial"/>
      </w:rPr>
      <w:fldChar w:fldCharType="separate"/>
    </w:r>
    <w:r w:rsidR="001C4756">
      <w:rPr>
        <w:rFonts w:cs="Arial"/>
        <w:noProof/>
        <w:lang w:val="pt-PT"/>
      </w:rPr>
      <w:t>5</w:t>
    </w:r>
    <w:r>
      <w:rPr>
        <w:rFonts w:cs="Arial"/>
      </w:rPr>
      <w:fldChar w:fldCharType="end"/>
    </w:r>
    <w:r w:rsidRPr="00DB67FC">
      <w:rPr>
        <w:rFonts w:cs="Arial"/>
        <w:lang w:val="pt-PT"/>
      </w:rPr>
      <w:t xml:space="preserve"> / Seite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1C4756">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1C4756">
      <w:rPr>
        <w:rFonts w:cs="Arial"/>
        <w:noProof/>
        <w:lang w:val="pt-PT"/>
      </w:rPr>
      <w:t>5</w:t>
    </w:r>
    <w:r w:rsidRPr="00DB67FC">
      <w:rPr>
        <w:rFonts w:cs="Arial"/>
      </w:rPr>
      <w:fldChar w:fldCharType="end"/>
    </w:r>
  </w:p>
  <w:p w14:paraId="036D2EC7" w14:textId="77777777" w:rsidR="007C1311" w:rsidRPr="00401FEA" w:rsidRDefault="007C1311" w:rsidP="00F0656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3B9" w14:textId="77777777" w:rsidR="007C1311" w:rsidRPr="00DB67FC" w:rsidRDefault="007C1311" w:rsidP="00581F72">
    <w:pPr>
      <w:jc w:val="center"/>
      <w:rPr>
        <w:rFonts w:cs="Arial"/>
        <w:lang w:val="pt-PT"/>
      </w:rPr>
    </w:pPr>
    <w:r>
      <w:rPr>
        <w:rFonts w:cs="Arial"/>
        <w:lang w:val="pt-PT"/>
      </w:rPr>
      <w:t>UPOV/WG-EDV/3</w:t>
    </w:r>
    <w:r w:rsidRPr="00DB67FC">
      <w:rPr>
        <w:rFonts w:cs="Arial"/>
        <w:lang w:val="pt-PT"/>
      </w:rPr>
      <w:t>/</w:t>
    </w:r>
    <w:r w:rsidR="00745189">
      <w:rPr>
        <w:rFonts w:cs="Arial"/>
        <w:lang w:val="pt-PT"/>
      </w:rPr>
      <w:t>3</w:t>
    </w:r>
  </w:p>
  <w:p w14:paraId="46509C7A" w14:textId="77777777" w:rsidR="007C1311" w:rsidRDefault="007C1311" w:rsidP="00581F72">
    <w:pPr>
      <w:jc w:val="center"/>
      <w:rPr>
        <w:lang w:val="pt-PT"/>
      </w:rPr>
    </w:pPr>
  </w:p>
  <w:p w14:paraId="1D8FE038" w14:textId="77777777" w:rsidR="007C1311" w:rsidRPr="00DB67FC" w:rsidRDefault="007C1311" w:rsidP="00581F72">
    <w:pPr>
      <w:jc w:val="center"/>
      <w:rPr>
        <w:lang w:val="pt-PT"/>
      </w:rPr>
    </w:pPr>
    <w:r>
      <w:rPr>
        <w:lang w:val="pt-PT"/>
      </w:rPr>
      <w:t>ANNEXE / ANNEX / ANEXO</w:t>
    </w:r>
  </w:p>
  <w:p w14:paraId="33998D66" w14:textId="77777777" w:rsidR="007C1311" w:rsidRPr="00B24E50" w:rsidRDefault="007C1311" w:rsidP="00581F7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BC5"/>
    <w:multiLevelType w:val="hybridMultilevel"/>
    <w:tmpl w:val="B868101C"/>
    <w:lvl w:ilvl="0" w:tplc="C63475E0">
      <w:start w:val="1"/>
      <w:numFmt w:val="lowerLetter"/>
      <w:lvlText w:val="(%1)"/>
      <w:lvlJc w:val="left"/>
      <w:pPr>
        <w:ind w:left="3150" w:hanging="360"/>
      </w:pPr>
      <w:rPr>
        <w:rFonts w:eastAsia="Times New Roman" w:cs="Times New Roman" w:hint="default"/>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15:restartNumberingAfterBreak="0">
    <w:nsid w:val="1FCF73D4"/>
    <w:multiLevelType w:val="hybridMultilevel"/>
    <w:tmpl w:val="B0C4CADC"/>
    <w:lvl w:ilvl="0" w:tplc="C5447804">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C00182C"/>
    <w:multiLevelType w:val="hybridMultilevel"/>
    <w:tmpl w:val="E5D4B1C4"/>
    <w:lvl w:ilvl="0" w:tplc="4406F1E6">
      <w:start w:val="1"/>
      <w:numFmt w:val="bullet"/>
      <w:lvlText w:val="-"/>
      <w:lvlJc w:val="left"/>
      <w:pPr>
        <w:tabs>
          <w:tab w:val="num" w:pos="720"/>
        </w:tabs>
        <w:ind w:left="720" w:hanging="360"/>
      </w:pPr>
      <w:rPr>
        <w:rFonts w:ascii="Arial" w:hAnsi="Arial" w:hint="default"/>
      </w:rPr>
    </w:lvl>
    <w:lvl w:ilvl="1" w:tplc="B5F2883A" w:tentative="1">
      <w:start w:val="1"/>
      <w:numFmt w:val="bullet"/>
      <w:lvlText w:val="-"/>
      <w:lvlJc w:val="left"/>
      <w:pPr>
        <w:tabs>
          <w:tab w:val="num" w:pos="1440"/>
        </w:tabs>
        <w:ind w:left="1440" w:hanging="360"/>
      </w:pPr>
      <w:rPr>
        <w:rFonts w:ascii="Arial" w:hAnsi="Arial" w:hint="default"/>
      </w:rPr>
    </w:lvl>
    <w:lvl w:ilvl="2" w:tplc="AAC60708" w:tentative="1">
      <w:start w:val="1"/>
      <w:numFmt w:val="bullet"/>
      <w:lvlText w:val="-"/>
      <w:lvlJc w:val="left"/>
      <w:pPr>
        <w:tabs>
          <w:tab w:val="num" w:pos="2160"/>
        </w:tabs>
        <w:ind w:left="2160" w:hanging="360"/>
      </w:pPr>
      <w:rPr>
        <w:rFonts w:ascii="Arial" w:hAnsi="Arial" w:hint="default"/>
      </w:rPr>
    </w:lvl>
    <w:lvl w:ilvl="3" w:tplc="17BCE37C" w:tentative="1">
      <w:start w:val="1"/>
      <w:numFmt w:val="bullet"/>
      <w:lvlText w:val="-"/>
      <w:lvlJc w:val="left"/>
      <w:pPr>
        <w:tabs>
          <w:tab w:val="num" w:pos="2880"/>
        </w:tabs>
        <w:ind w:left="2880" w:hanging="360"/>
      </w:pPr>
      <w:rPr>
        <w:rFonts w:ascii="Arial" w:hAnsi="Arial" w:hint="default"/>
      </w:rPr>
    </w:lvl>
    <w:lvl w:ilvl="4" w:tplc="8788F4F6" w:tentative="1">
      <w:start w:val="1"/>
      <w:numFmt w:val="bullet"/>
      <w:lvlText w:val="-"/>
      <w:lvlJc w:val="left"/>
      <w:pPr>
        <w:tabs>
          <w:tab w:val="num" w:pos="3600"/>
        </w:tabs>
        <w:ind w:left="3600" w:hanging="360"/>
      </w:pPr>
      <w:rPr>
        <w:rFonts w:ascii="Arial" w:hAnsi="Arial" w:hint="default"/>
      </w:rPr>
    </w:lvl>
    <w:lvl w:ilvl="5" w:tplc="0972BFA0" w:tentative="1">
      <w:start w:val="1"/>
      <w:numFmt w:val="bullet"/>
      <w:lvlText w:val="-"/>
      <w:lvlJc w:val="left"/>
      <w:pPr>
        <w:tabs>
          <w:tab w:val="num" w:pos="4320"/>
        </w:tabs>
        <w:ind w:left="4320" w:hanging="360"/>
      </w:pPr>
      <w:rPr>
        <w:rFonts w:ascii="Arial" w:hAnsi="Arial" w:hint="default"/>
      </w:rPr>
    </w:lvl>
    <w:lvl w:ilvl="6" w:tplc="F7B43EF0" w:tentative="1">
      <w:start w:val="1"/>
      <w:numFmt w:val="bullet"/>
      <w:lvlText w:val="-"/>
      <w:lvlJc w:val="left"/>
      <w:pPr>
        <w:tabs>
          <w:tab w:val="num" w:pos="5040"/>
        </w:tabs>
        <w:ind w:left="5040" w:hanging="360"/>
      </w:pPr>
      <w:rPr>
        <w:rFonts w:ascii="Arial" w:hAnsi="Arial" w:hint="default"/>
      </w:rPr>
    </w:lvl>
    <w:lvl w:ilvl="7" w:tplc="F19C7E20" w:tentative="1">
      <w:start w:val="1"/>
      <w:numFmt w:val="bullet"/>
      <w:lvlText w:val="-"/>
      <w:lvlJc w:val="left"/>
      <w:pPr>
        <w:tabs>
          <w:tab w:val="num" w:pos="5760"/>
        </w:tabs>
        <w:ind w:left="5760" w:hanging="360"/>
      </w:pPr>
      <w:rPr>
        <w:rFonts w:ascii="Arial" w:hAnsi="Arial" w:hint="default"/>
      </w:rPr>
    </w:lvl>
    <w:lvl w:ilvl="8" w:tplc="197AE1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8C44DA"/>
    <w:multiLevelType w:val="hybridMultilevel"/>
    <w:tmpl w:val="2126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444AA"/>
    <w:multiLevelType w:val="hybridMultilevel"/>
    <w:tmpl w:val="F984FA44"/>
    <w:lvl w:ilvl="0" w:tplc="E39EB2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00ED3"/>
    <w:multiLevelType w:val="hybridMultilevel"/>
    <w:tmpl w:val="E3A609BC"/>
    <w:lvl w:ilvl="0" w:tplc="F3DE4A28">
      <w:start w:val="1"/>
      <w:numFmt w:val="bullet"/>
      <w:lvlText w:val="-"/>
      <w:lvlJc w:val="left"/>
      <w:pPr>
        <w:tabs>
          <w:tab w:val="num" w:pos="720"/>
        </w:tabs>
        <w:ind w:left="720" w:hanging="360"/>
      </w:pPr>
      <w:rPr>
        <w:rFonts w:ascii="Arial" w:hAnsi="Arial" w:hint="default"/>
      </w:rPr>
    </w:lvl>
    <w:lvl w:ilvl="1" w:tplc="6382FF12" w:tentative="1">
      <w:start w:val="1"/>
      <w:numFmt w:val="bullet"/>
      <w:lvlText w:val="-"/>
      <w:lvlJc w:val="left"/>
      <w:pPr>
        <w:tabs>
          <w:tab w:val="num" w:pos="1440"/>
        </w:tabs>
        <w:ind w:left="1440" w:hanging="360"/>
      </w:pPr>
      <w:rPr>
        <w:rFonts w:ascii="Arial" w:hAnsi="Arial" w:hint="default"/>
      </w:rPr>
    </w:lvl>
    <w:lvl w:ilvl="2" w:tplc="1AEACF44" w:tentative="1">
      <w:start w:val="1"/>
      <w:numFmt w:val="bullet"/>
      <w:lvlText w:val="-"/>
      <w:lvlJc w:val="left"/>
      <w:pPr>
        <w:tabs>
          <w:tab w:val="num" w:pos="2160"/>
        </w:tabs>
        <w:ind w:left="2160" w:hanging="360"/>
      </w:pPr>
      <w:rPr>
        <w:rFonts w:ascii="Arial" w:hAnsi="Arial" w:hint="default"/>
      </w:rPr>
    </w:lvl>
    <w:lvl w:ilvl="3" w:tplc="D9FAF4B8" w:tentative="1">
      <w:start w:val="1"/>
      <w:numFmt w:val="bullet"/>
      <w:lvlText w:val="-"/>
      <w:lvlJc w:val="left"/>
      <w:pPr>
        <w:tabs>
          <w:tab w:val="num" w:pos="2880"/>
        </w:tabs>
        <w:ind w:left="2880" w:hanging="360"/>
      </w:pPr>
      <w:rPr>
        <w:rFonts w:ascii="Arial" w:hAnsi="Arial" w:hint="default"/>
      </w:rPr>
    </w:lvl>
    <w:lvl w:ilvl="4" w:tplc="E6247E74" w:tentative="1">
      <w:start w:val="1"/>
      <w:numFmt w:val="bullet"/>
      <w:lvlText w:val="-"/>
      <w:lvlJc w:val="left"/>
      <w:pPr>
        <w:tabs>
          <w:tab w:val="num" w:pos="3600"/>
        </w:tabs>
        <w:ind w:left="3600" w:hanging="360"/>
      </w:pPr>
      <w:rPr>
        <w:rFonts w:ascii="Arial" w:hAnsi="Arial" w:hint="default"/>
      </w:rPr>
    </w:lvl>
    <w:lvl w:ilvl="5" w:tplc="9DE018CE" w:tentative="1">
      <w:start w:val="1"/>
      <w:numFmt w:val="bullet"/>
      <w:lvlText w:val="-"/>
      <w:lvlJc w:val="left"/>
      <w:pPr>
        <w:tabs>
          <w:tab w:val="num" w:pos="4320"/>
        </w:tabs>
        <w:ind w:left="4320" w:hanging="360"/>
      </w:pPr>
      <w:rPr>
        <w:rFonts w:ascii="Arial" w:hAnsi="Arial" w:hint="default"/>
      </w:rPr>
    </w:lvl>
    <w:lvl w:ilvl="6" w:tplc="E06AC802" w:tentative="1">
      <w:start w:val="1"/>
      <w:numFmt w:val="bullet"/>
      <w:lvlText w:val="-"/>
      <w:lvlJc w:val="left"/>
      <w:pPr>
        <w:tabs>
          <w:tab w:val="num" w:pos="5040"/>
        </w:tabs>
        <w:ind w:left="5040" w:hanging="360"/>
      </w:pPr>
      <w:rPr>
        <w:rFonts w:ascii="Arial" w:hAnsi="Arial" w:hint="default"/>
      </w:rPr>
    </w:lvl>
    <w:lvl w:ilvl="7" w:tplc="849CE51E" w:tentative="1">
      <w:start w:val="1"/>
      <w:numFmt w:val="bullet"/>
      <w:lvlText w:val="-"/>
      <w:lvlJc w:val="left"/>
      <w:pPr>
        <w:tabs>
          <w:tab w:val="num" w:pos="5760"/>
        </w:tabs>
        <w:ind w:left="5760" w:hanging="360"/>
      </w:pPr>
      <w:rPr>
        <w:rFonts w:ascii="Arial" w:hAnsi="Arial" w:hint="default"/>
      </w:rPr>
    </w:lvl>
    <w:lvl w:ilvl="8" w:tplc="54A6B4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0498F"/>
    <w:multiLevelType w:val="hybridMultilevel"/>
    <w:tmpl w:val="0CC0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81AA5"/>
    <w:multiLevelType w:val="hybridMultilevel"/>
    <w:tmpl w:val="2772BFD6"/>
    <w:lvl w:ilvl="0" w:tplc="F3E2D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45C2B"/>
    <w:multiLevelType w:val="hybridMultilevel"/>
    <w:tmpl w:val="51AA3A28"/>
    <w:lvl w:ilvl="0" w:tplc="9F6EAF32">
      <w:start w:val="1"/>
      <w:numFmt w:val="bullet"/>
      <w:lvlText w:val="-"/>
      <w:lvlJc w:val="left"/>
      <w:pPr>
        <w:tabs>
          <w:tab w:val="num" w:pos="720"/>
        </w:tabs>
        <w:ind w:left="720" w:hanging="360"/>
      </w:pPr>
      <w:rPr>
        <w:rFonts w:ascii="Arial" w:hAnsi="Arial" w:hint="default"/>
      </w:rPr>
    </w:lvl>
    <w:lvl w:ilvl="1" w:tplc="B2120230" w:tentative="1">
      <w:start w:val="1"/>
      <w:numFmt w:val="bullet"/>
      <w:lvlText w:val="-"/>
      <w:lvlJc w:val="left"/>
      <w:pPr>
        <w:tabs>
          <w:tab w:val="num" w:pos="1440"/>
        </w:tabs>
        <w:ind w:left="1440" w:hanging="360"/>
      </w:pPr>
      <w:rPr>
        <w:rFonts w:ascii="Arial" w:hAnsi="Arial" w:hint="default"/>
      </w:rPr>
    </w:lvl>
    <w:lvl w:ilvl="2" w:tplc="498C0890" w:tentative="1">
      <w:start w:val="1"/>
      <w:numFmt w:val="bullet"/>
      <w:lvlText w:val="-"/>
      <w:lvlJc w:val="left"/>
      <w:pPr>
        <w:tabs>
          <w:tab w:val="num" w:pos="2160"/>
        </w:tabs>
        <w:ind w:left="2160" w:hanging="360"/>
      </w:pPr>
      <w:rPr>
        <w:rFonts w:ascii="Arial" w:hAnsi="Arial" w:hint="default"/>
      </w:rPr>
    </w:lvl>
    <w:lvl w:ilvl="3" w:tplc="C06C86B2" w:tentative="1">
      <w:start w:val="1"/>
      <w:numFmt w:val="bullet"/>
      <w:lvlText w:val="-"/>
      <w:lvlJc w:val="left"/>
      <w:pPr>
        <w:tabs>
          <w:tab w:val="num" w:pos="2880"/>
        </w:tabs>
        <w:ind w:left="2880" w:hanging="360"/>
      </w:pPr>
      <w:rPr>
        <w:rFonts w:ascii="Arial" w:hAnsi="Arial" w:hint="default"/>
      </w:rPr>
    </w:lvl>
    <w:lvl w:ilvl="4" w:tplc="DF705C10" w:tentative="1">
      <w:start w:val="1"/>
      <w:numFmt w:val="bullet"/>
      <w:lvlText w:val="-"/>
      <w:lvlJc w:val="left"/>
      <w:pPr>
        <w:tabs>
          <w:tab w:val="num" w:pos="3600"/>
        </w:tabs>
        <w:ind w:left="3600" w:hanging="360"/>
      </w:pPr>
      <w:rPr>
        <w:rFonts w:ascii="Arial" w:hAnsi="Arial" w:hint="default"/>
      </w:rPr>
    </w:lvl>
    <w:lvl w:ilvl="5" w:tplc="4F96805A" w:tentative="1">
      <w:start w:val="1"/>
      <w:numFmt w:val="bullet"/>
      <w:lvlText w:val="-"/>
      <w:lvlJc w:val="left"/>
      <w:pPr>
        <w:tabs>
          <w:tab w:val="num" w:pos="4320"/>
        </w:tabs>
        <w:ind w:left="4320" w:hanging="360"/>
      </w:pPr>
      <w:rPr>
        <w:rFonts w:ascii="Arial" w:hAnsi="Arial" w:hint="default"/>
      </w:rPr>
    </w:lvl>
    <w:lvl w:ilvl="6" w:tplc="A0DEF0E4" w:tentative="1">
      <w:start w:val="1"/>
      <w:numFmt w:val="bullet"/>
      <w:lvlText w:val="-"/>
      <w:lvlJc w:val="left"/>
      <w:pPr>
        <w:tabs>
          <w:tab w:val="num" w:pos="5040"/>
        </w:tabs>
        <w:ind w:left="5040" w:hanging="360"/>
      </w:pPr>
      <w:rPr>
        <w:rFonts w:ascii="Arial" w:hAnsi="Arial" w:hint="default"/>
      </w:rPr>
    </w:lvl>
    <w:lvl w:ilvl="7" w:tplc="0DC0BCF2" w:tentative="1">
      <w:start w:val="1"/>
      <w:numFmt w:val="bullet"/>
      <w:lvlText w:val="-"/>
      <w:lvlJc w:val="left"/>
      <w:pPr>
        <w:tabs>
          <w:tab w:val="num" w:pos="5760"/>
        </w:tabs>
        <w:ind w:left="5760" w:hanging="360"/>
      </w:pPr>
      <w:rPr>
        <w:rFonts w:ascii="Arial" w:hAnsi="Arial" w:hint="default"/>
      </w:rPr>
    </w:lvl>
    <w:lvl w:ilvl="8" w:tplc="358CA9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10"/>
  </w:num>
  <w:num w:numId="4">
    <w:abstractNumId w:val="5"/>
  </w:num>
  <w:num w:numId="5">
    <w:abstractNumId w:val="9"/>
  </w:num>
  <w:num w:numId="6">
    <w:abstractNumId w:val="2"/>
  </w:num>
  <w:num w:numId="7">
    <w:abstractNumId w:val="0"/>
  </w:num>
  <w:num w:numId="8">
    <w:abstractNumId w:val="6"/>
  </w:num>
  <w:num w:numId="9">
    <w:abstractNumId w:val="11"/>
  </w:num>
  <w:num w:numId="10">
    <w:abstractNumId w:val="7"/>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DB"/>
    <w:rsid w:val="00000085"/>
    <w:rsid w:val="00010CF3"/>
    <w:rsid w:val="00011E27"/>
    <w:rsid w:val="000148BC"/>
    <w:rsid w:val="0002029D"/>
    <w:rsid w:val="00022946"/>
    <w:rsid w:val="00024AB8"/>
    <w:rsid w:val="00030197"/>
    <w:rsid w:val="00030854"/>
    <w:rsid w:val="00034C0E"/>
    <w:rsid w:val="00036028"/>
    <w:rsid w:val="00044642"/>
    <w:rsid w:val="000446B9"/>
    <w:rsid w:val="00047E21"/>
    <w:rsid w:val="00050E16"/>
    <w:rsid w:val="000544B5"/>
    <w:rsid w:val="00062F66"/>
    <w:rsid w:val="00075B73"/>
    <w:rsid w:val="00085505"/>
    <w:rsid w:val="000B52BF"/>
    <w:rsid w:val="000C4E25"/>
    <w:rsid w:val="000C7021"/>
    <w:rsid w:val="000D5258"/>
    <w:rsid w:val="000D6BBC"/>
    <w:rsid w:val="000D7780"/>
    <w:rsid w:val="000E636A"/>
    <w:rsid w:val="000F13B8"/>
    <w:rsid w:val="000F2F11"/>
    <w:rsid w:val="000F5541"/>
    <w:rsid w:val="00105929"/>
    <w:rsid w:val="00106617"/>
    <w:rsid w:val="00110AC5"/>
    <w:rsid w:val="00110BED"/>
    <w:rsid w:val="00110C36"/>
    <w:rsid w:val="001131D5"/>
    <w:rsid w:val="00141DB8"/>
    <w:rsid w:val="00162B59"/>
    <w:rsid w:val="001661C3"/>
    <w:rsid w:val="00172084"/>
    <w:rsid w:val="0017474A"/>
    <w:rsid w:val="001758C6"/>
    <w:rsid w:val="00182B99"/>
    <w:rsid w:val="00190259"/>
    <w:rsid w:val="00191C07"/>
    <w:rsid w:val="00192FCF"/>
    <w:rsid w:val="00194305"/>
    <w:rsid w:val="001B554D"/>
    <w:rsid w:val="001C1525"/>
    <w:rsid w:val="001C4756"/>
    <w:rsid w:val="001D15CE"/>
    <w:rsid w:val="001D3D68"/>
    <w:rsid w:val="001E2974"/>
    <w:rsid w:val="001E4CA2"/>
    <w:rsid w:val="001F2B4F"/>
    <w:rsid w:val="001F4548"/>
    <w:rsid w:val="00200289"/>
    <w:rsid w:val="0021332C"/>
    <w:rsid w:val="00213982"/>
    <w:rsid w:val="002255F0"/>
    <w:rsid w:val="00227A4B"/>
    <w:rsid w:val="0023480A"/>
    <w:rsid w:val="0023528A"/>
    <w:rsid w:val="00242A29"/>
    <w:rsid w:val="0024416D"/>
    <w:rsid w:val="00262D30"/>
    <w:rsid w:val="00271191"/>
    <w:rsid w:val="00271911"/>
    <w:rsid w:val="002800A0"/>
    <w:rsid w:val="002801B3"/>
    <w:rsid w:val="00281060"/>
    <w:rsid w:val="002852D7"/>
    <w:rsid w:val="0029037A"/>
    <w:rsid w:val="002940E8"/>
    <w:rsid w:val="00294751"/>
    <w:rsid w:val="002A6E50"/>
    <w:rsid w:val="002B1E27"/>
    <w:rsid w:val="002B4298"/>
    <w:rsid w:val="002B625B"/>
    <w:rsid w:val="002B7A36"/>
    <w:rsid w:val="002C1EE0"/>
    <w:rsid w:val="002C256A"/>
    <w:rsid w:val="002D1142"/>
    <w:rsid w:val="002F4E98"/>
    <w:rsid w:val="00305A7F"/>
    <w:rsid w:val="003152FE"/>
    <w:rsid w:val="00327436"/>
    <w:rsid w:val="003279C1"/>
    <w:rsid w:val="00335CF2"/>
    <w:rsid w:val="0034259B"/>
    <w:rsid w:val="00344BD6"/>
    <w:rsid w:val="00351D95"/>
    <w:rsid w:val="0035528D"/>
    <w:rsid w:val="00361821"/>
    <w:rsid w:val="00361E9E"/>
    <w:rsid w:val="00365B42"/>
    <w:rsid w:val="00373896"/>
    <w:rsid w:val="00383036"/>
    <w:rsid w:val="00385309"/>
    <w:rsid w:val="003879FA"/>
    <w:rsid w:val="00390B29"/>
    <w:rsid w:val="00391FCF"/>
    <w:rsid w:val="003A3A0A"/>
    <w:rsid w:val="003A5AAF"/>
    <w:rsid w:val="003C7FBE"/>
    <w:rsid w:val="003D21EE"/>
    <w:rsid w:val="003D227C"/>
    <w:rsid w:val="003D2718"/>
    <w:rsid w:val="003D2B4D"/>
    <w:rsid w:val="003D35F0"/>
    <w:rsid w:val="003E14B3"/>
    <w:rsid w:val="003E33BD"/>
    <w:rsid w:val="003E5697"/>
    <w:rsid w:val="003E5AB9"/>
    <w:rsid w:val="00400FB2"/>
    <w:rsid w:val="00401FEA"/>
    <w:rsid w:val="004376B7"/>
    <w:rsid w:val="00444A88"/>
    <w:rsid w:val="00463BA5"/>
    <w:rsid w:val="00474DA4"/>
    <w:rsid w:val="00476B4D"/>
    <w:rsid w:val="00477A0C"/>
    <w:rsid w:val="004805FA"/>
    <w:rsid w:val="00491237"/>
    <w:rsid w:val="004935D2"/>
    <w:rsid w:val="00493D3F"/>
    <w:rsid w:val="004B1215"/>
    <w:rsid w:val="004C326B"/>
    <w:rsid w:val="004D047D"/>
    <w:rsid w:val="004E5673"/>
    <w:rsid w:val="004F1E9E"/>
    <w:rsid w:val="004F305A"/>
    <w:rsid w:val="004F3FA9"/>
    <w:rsid w:val="004F7CA3"/>
    <w:rsid w:val="00512164"/>
    <w:rsid w:val="00520297"/>
    <w:rsid w:val="0052717A"/>
    <w:rsid w:val="00531CF1"/>
    <w:rsid w:val="005335E3"/>
    <w:rsid w:val="005338F9"/>
    <w:rsid w:val="00540FDB"/>
    <w:rsid w:val="0054281C"/>
    <w:rsid w:val="00544581"/>
    <w:rsid w:val="0055268D"/>
    <w:rsid w:val="005675B5"/>
    <w:rsid w:val="00576BE4"/>
    <w:rsid w:val="005779DB"/>
    <w:rsid w:val="00581F72"/>
    <w:rsid w:val="00586429"/>
    <w:rsid w:val="005A400A"/>
    <w:rsid w:val="005B0397"/>
    <w:rsid w:val="005D6C61"/>
    <w:rsid w:val="005D7E99"/>
    <w:rsid w:val="005E174E"/>
    <w:rsid w:val="005F27B0"/>
    <w:rsid w:val="005F2DF5"/>
    <w:rsid w:val="005F36FE"/>
    <w:rsid w:val="005F7B92"/>
    <w:rsid w:val="00606A3A"/>
    <w:rsid w:val="0061092B"/>
    <w:rsid w:val="00612379"/>
    <w:rsid w:val="006153B6"/>
    <w:rsid w:val="0061555F"/>
    <w:rsid w:val="0062347E"/>
    <w:rsid w:val="00625910"/>
    <w:rsid w:val="00636CA6"/>
    <w:rsid w:val="00641200"/>
    <w:rsid w:val="00645CA8"/>
    <w:rsid w:val="0064729B"/>
    <w:rsid w:val="00647426"/>
    <w:rsid w:val="00662402"/>
    <w:rsid w:val="006655D3"/>
    <w:rsid w:val="00667404"/>
    <w:rsid w:val="00687E74"/>
    <w:rsid w:val="00687EB4"/>
    <w:rsid w:val="006940D7"/>
    <w:rsid w:val="00695C56"/>
    <w:rsid w:val="006970BB"/>
    <w:rsid w:val="006A5CDE"/>
    <w:rsid w:val="006A644A"/>
    <w:rsid w:val="006B17D2"/>
    <w:rsid w:val="006B1BF4"/>
    <w:rsid w:val="006B7F93"/>
    <w:rsid w:val="006C1E5E"/>
    <w:rsid w:val="006C224E"/>
    <w:rsid w:val="006C71EE"/>
    <w:rsid w:val="006D1D2B"/>
    <w:rsid w:val="006D29C7"/>
    <w:rsid w:val="006D3405"/>
    <w:rsid w:val="006D780A"/>
    <w:rsid w:val="006E56F0"/>
    <w:rsid w:val="0071271E"/>
    <w:rsid w:val="00732DEC"/>
    <w:rsid w:val="00735BD5"/>
    <w:rsid w:val="007440D7"/>
    <w:rsid w:val="00745189"/>
    <w:rsid w:val="007451EC"/>
    <w:rsid w:val="00751613"/>
    <w:rsid w:val="00751F3B"/>
    <w:rsid w:val="00753EE9"/>
    <w:rsid w:val="007556F6"/>
    <w:rsid w:val="00760EEF"/>
    <w:rsid w:val="00777A60"/>
    <w:rsid w:val="00777EE5"/>
    <w:rsid w:val="007812DB"/>
    <w:rsid w:val="00784836"/>
    <w:rsid w:val="0079023E"/>
    <w:rsid w:val="007A2854"/>
    <w:rsid w:val="007B1438"/>
    <w:rsid w:val="007B785C"/>
    <w:rsid w:val="007C1311"/>
    <w:rsid w:val="007C1D92"/>
    <w:rsid w:val="007C367E"/>
    <w:rsid w:val="007C4CB9"/>
    <w:rsid w:val="007D0B9D"/>
    <w:rsid w:val="007D0CDD"/>
    <w:rsid w:val="007D1501"/>
    <w:rsid w:val="007D19B0"/>
    <w:rsid w:val="007D37E2"/>
    <w:rsid w:val="007F498F"/>
    <w:rsid w:val="007F5AF7"/>
    <w:rsid w:val="0080679D"/>
    <w:rsid w:val="008108B0"/>
    <w:rsid w:val="00811B20"/>
    <w:rsid w:val="00812609"/>
    <w:rsid w:val="008134E5"/>
    <w:rsid w:val="008211B5"/>
    <w:rsid w:val="0082140E"/>
    <w:rsid w:val="0082296E"/>
    <w:rsid w:val="00824099"/>
    <w:rsid w:val="008412B4"/>
    <w:rsid w:val="0084195D"/>
    <w:rsid w:val="00846D7C"/>
    <w:rsid w:val="00861ACF"/>
    <w:rsid w:val="00863D52"/>
    <w:rsid w:val="00867AC1"/>
    <w:rsid w:val="0087149F"/>
    <w:rsid w:val="00875D33"/>
    <w:rsid w:val="008878AD"/>
    <w:rsid w:val="00890DF8"/>
    <w:rsid w:val="008A059F"/>
    <w:rsid w:val="008A5E0F"/>
    <w:rsid w:val="008A743F"/>
    <w:rsid w:val="008A7FA9"/>
    <w:rsid w:val="008B663C"/>
    <w:rsid w:val="008C0970"/>
    <w:rsid w:val="008C55BD"/>
    <w:rsid w:val="008D0BC5"/>
    <w:rsid w:val="008D2CF7"/>
    <w:rsid w:val="008E4328"/>
    <w:rsid w:val="00900C26"/>
    <w:rsid w:val="0090197F"/>
    <w:rsid w:val="0090250D"/>
    <w:rsid w:val="00903264"/>
    <w:rsid w:val="00906DDC"/>
    <w:rsid w:val="00911B6A"/>
    <w:rsid w:val="00914F44"/>
    <w:rsid w:val="0092539D"/>
    <w:rsid w:val="00926644"/>
    <w:rsid w:val="00934038"/>
    <w:rsid w:val="00934E09"/>
    <w:rsid w:val="00936253"/>
    <w:rsid w:val="00940D46"/>
    <w:rsid w:val="00952DD4"/>
    <w:rsid w:val="00954679"/>
    <w:rsid w:val="00960D52"/>
    <w:rsid w:val="00965AE7"/>
    <w:rsid w:val="009674CE"/>
    <w:rsid w:val="00970FED"/>
    <w:rsid w:val="00987D1C"/>
    <w:rsid w:val="00992D82"/>
    <w:rsid w:val="00997029"/>
    <w:rsid w:val="009A21A4"/>
    <w:rsid w:val="009A7339"/>
    <w:rsid w:val="009A7DBB"/>
    <w:rsid w:val="009B440E"/>
    <w:rsid w:val="009C56BA"/>
    <w:rsid w:val="009D0816"/>
    <w:rsid w:val="009D0DE7"/>
    <w:rsid w:val="009D690D"/>
    <w:rsid w:val="009E65B6"/>
    <w:rsid w:val="009F31C8"/>
    <w:rsid w:val="009F77CF"/>
    <w:rsid w:val="00A21257"/>
    <w:rsid w:val="00A24C10"/>
    <w:rsid w:val="00A42AC3"/>
    <w:rsid w:val="00A430CF"/>
    <w:rsid w:val="00A54309"/>
    <w:rsid w:val="00A57F8A"/>
    <w:rsid w:val="00A61677"/>
    <w:rsid w:val="00A67A1C"/>
    <w:rsid w:val="00A80F2A"/>
    <w:rsid w:val="00A91607"/>
    <w:rsid w:val="00A96991"/>
    <w:rsid w:val="00AA4F98"/>
    <w:rsid w:val="00AB1FBB"/>
    <w:rsid w:val="00AB2B93"/>
    <w:rsid w:val="00AB3F2B"/>
    <w:rsid w:val="00AB530F"/>
    <w:rsid w:val="00AB7530"/>
    <w:rsid w:val="00AB7E5B"/>
    <w:rsid w:val="00AC2883"/>
    <w:rsid w:val="00AC7A32"/>
    <w:rsid w:val="00AD0735"/>
    <w:rsid w:val="00AD198B"/>
    <w:rsid w:val="00AD54A7"/>
    <w:rsid w:val="00AE0EF1"/>
    <w:rsid w:val="00AE217A"/>
    <w:rsid w:val="00AE2937"/>
    <w:rsid w:val="00AE387F"/>
    <w:rsid w:val="00B01FAE"/>
    <w:rsid w:val="00B06E74"/>
    <w:rsid w:val="00B07301"/>
    <w:rsid w:val="00B11F3E"/>
    <w:rsid w:val="00B21EA8"/>
    <w:rsid w:val="00B224DE"/>
    <w:rsid w:val="00B324D4"/>
    <w:rsid w:val="00B4170B"/>
    <w:rsid w:val="00B46575"/>
    <w:rsid w:val="00B55DF6"/>
    <w:rsid w:val="00B61777"/>
    <w:rsid w:val="00B622E6"/>
    <w:rsid w:val="00B63582"/>
    <w:rsid w:val="00B7308D"/>
    <w:rsid w:val="00B7653D"/>
    <w:rsid w:val="00B84BBD"/>
    <w:rsid w:val="00BA43FB"/>
    <w:rsid w:val="00BC106F"/>
    <w:rsid w:val="00BC127D"/>
    <w:rsid w:val="00BC1FE6"/>
    <w:rsid w:val="00BC65B3"/>
    <w:rsid w:val="00BC7B70"/>
    <w:rsid w:val="00BE00BD"/>
    <w:rsid w:val="00BE3828"/>
    <w:rsid w:val="00BF1CE3"/>
    <w:rsid w:val="00C012D3"/>
    <w:rsid w:val="00C061B6"/>
    <w:rsid w:val="00C13AA9"/>
    <w:rsid w:val="00C147D8"/>
    <w:rsid w:val="00C17E27"/>
    <w:rsid w:val="00C2446C"/>
    <w:rsid w:val="00C36AE5"/>
    <w:rsid w:val="00C41F17"/>
    <w:rsid w:val="00C42996"/>
    <w:rsid w:val="00C46EA1"/>
    <w:rsid w:val="00C527FA"/>
    <w:rsid w:val="00C5280D"/>
    <w:rsid w:val="00C53EB3"/>
    <w:rsid w:val="00C5717C"/>
    <w:rsid w:val="00C5791C"/>
    <w:rsid w:val="00C6492B"/>
    <w:rsid w:val="00C66290"/>
    <w:rsid w:val="00C672BB"/>
    <w:rsid w:val="00C72B7A"/>
    <w:rsid w:val="00C80A4E"/>
    <w:rsid w:val="00C86D0C"/>
    <w:rsid w:val="00C905E3"/>
    <w:rsid w:val="00C9201A"/>
    <w:rsid w:val="00C93B8B"/>
    <w:rsid w:val="00C973F2"/>
    <w:rsid w:val="00CA304C"/>
    <w:rsid w:val="00CA47EF"/>
    <w:rsid w:val="00CA6309"/>
    <w:rsid w:val="00CA774A"/>
    <w:rsid w:val="00CB77E2"/>
    <w:rsid w:val="00CC11B0"/>
    <w:rsid w:val="00CC1FA7"/>
    <w:rsid w:val="00CC2841"/>
    <w:rsid w:val="00CE0BFA"/>
    <w:rsid w:val="00CE330D"/>
    <w:rsid w:val="00CE5090"/>
    <w:rsid w:val="00CE6AE5"/>
    <w:rsid w:val="00CF1330"/>
    <w:rsid w:val="00CF741E"/>
    <w:rsid w:val="00CF7E36"/>
    <w:rsid w:val="00D07281"/>
    <w:rsid w:val="00D22230"/>
    <w:rsid w:val="00D22468"/>
    <w:rsid w:val="00D3708D"/>
    <w:rsid w:val="00D40426"/>
    <w:rsid w:val="00D47850"/>
    <w:rsid w:val="00D57C96"/>
    <w:rsid w:val="00D57CE2"/>
    <w:rsid w:val="00D57D18"/>
    <w:rsid w:val="00D71075"/>
    <w:rsid w:val="00D91203"/>
    <w:rsid w:val="00D931AB"/>
    <w:rsid w:val="00D93842"/>
    <w:rsid w:val="00D95174"/>
    <w:rsid w:val="00DA01D2"/>
    <w:rsid w:val="00DA4973"/>
    <w:rsid w:val="00DA6F36"/>
    <w:rsid w:val="00DB596E"/>
    <w:rsid w:val="00DB7773"/>
    <w:rsid w:val="00DC00EA"/>
    <w:rsid w:val="00DC3802"/>
    <w:rsid w:val="00DC7CFF"/>
    <w:rsid w:val="00DD0AC5"/>
    <w:rsid w:val="00DD5255"/>
    <w:rsid w:val="00DD6208"/>
    <w:rsid w:val="00DD655E"/>
    <w:rsid w:val="00DE30B6"/>
    <w:rsid w:val="00E07D87"/>
    <w:rsid w:val="00E249C8"/>
    <w:rsid w:val="00E32F7E"/>
    <w:rsid w:val="00E33C1F"/>
    <w:rsid w:val="00E34278"/>
    <w:rsid w:val="00E3629F"/>
    <w:rsid w:val="00E50EC2"/>
    <w:rsid w:val="00E5267B"/>
    <w:rsid w:val="00E54F65"/>
    <w:rsid w:val="00E559F0"/>
    <w:rsid w:val="00E63C0E"/>
    <w:rsid w:val="00E70A85"/>
    <w:rsid w:val="00E72D49"/>
    <w:rsid w:val="00E73564"/>
    <w:rsid w:val="00E7593C"/>
    <w:rsid w:val="00E7678A"/>
    <w:rsid w:val="00E86E59"/>
    <w:rsid w:val="00E87912"/>
    <w:rsid w:val="00E935F1"/>
    <w:rsid w:val="00E94A81"/>
    <w:rsid w:val="00EA1FFB"/>
    <w:rsid w:val="00EA63C7"/>
    <w:rsid w:val="00EA73AD"/>
    <w:rsid w:val="00EB048E"/>
    <w:rsid w:val="00EB2920"/>
    <w:rsid w:val="00EB4E9C"/>
    <w:rsid w:val="00EB66A9"/>
    <w:rsid w:val="00EE068A"/>
    <w:rsid w:val="00EE34DF"/>
    <w:rsid w:val="00EF0242"/>
    <w:rsid w:val="00EF2F89"/>
    <w:rsid w:val="00F0001A"/>
    <w:rsid w:val="00F03E98"/>
    <w:rsid w:val="00F06564"/>
    <w:rsid w:val="00F1237A"/>
    <w:rsid w:val="00F14E27"/>
    <w:rsid w:val="00F22CBD"/>
    <w:rsid w:val="00F23170"/>
    <w:rsid w:val="00F272F1"/>
    <w:rsid w:val="00F31412"/>
    <w:rsid w:val="00F3574A"/>
    <w:rsid w:val="00F45372"/>
    <w:rsid w:val="00F46A58"/>
    <w:rsid w:val="00F560F7"/>
    <w:rsid w:val="00F6334D"/>
    <w:rsid w:val="00F63599"/>
    <w:rsid w:val="00F650BB"/>
    <w:rsid w:val="00F71140"/>
    <w:rsid w:val="00F85F3C"/>
    <w:rsid w:val="00F876C3"/>
    <w:rsid w:val="00FA13CD"/>
    <w:rsid w:val="00FA49AB"/>
    <w:rsid w:val="00FB6F57"/>
    <w:rsid w:val="00FC2E50"/>
    <w:rsid w:val="00FD06CF"/>
    <w:rsid w:val="00FD3149"/>
    <w:rsid w:val="00FD4336"/>
    <w:rsid w:val="00FE10F0"/>
    <w:rsid w:val="00FE39C7"/>
    <w:rsid w:val="00FF447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98E748"/>
  <w15:docId w15:val="{087E18FE-E86A-49DE-891E-111E42F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E2"/>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06564"/>
    <w:rPr>
      <w:rFonts w:ascii="Arial" w:hAnsi="Arial"/>
      <w:lang w:val="es-ES"/>
    </w:rPr>
  </w:style>
  <w:style w:type="paragraph" w:styleId="ListParagraph">
    <w:name w:val="List Paragraph"/>
    <w:aliases w:val="auto_list_(i),List Paragraph1"/>
    <w:basedOn w:val="Normal"/>
    <w:link w:val="ListParagraphChar"/>
    <w:uiPriority w:val="34"/>
    <w:qFormat/>
    <w:rsid w:val="00581F72"/>
    <w:pPr>
      <w:ind w:left="720"/>
      <w:contextualSpacing/>
    </w:pPr>
  </w:style>
  <w:style w:type="character" w:customStyle="1" w:styleId="Heading1Char">
    <w:name w:val="Heading 1 Char"/>
    <w:basedOn w:val="DefaultParagraphFont"/>
    <w:link w:val="Heading1"/>
    <w:rsid w:val="00581F72"/>
    <w:rPr>
      <w:rFonts w:ascii="Arial" w:hAnsi="Arial"/>
      <w:caps/>
    </w:rPr>
  </w:style>
  <w:style w:type="table" w:styleId="TableGrid">
    <w:name w:val="Table Grid"/>
    <w:basedOn w:val="TableNormal"/>
    <w:rsid w:val="00581F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ountryChar">
    <w:name w:val="plcountry Char"/>
    <w:basedOn w:val="DefaultParagraphFont"/>
    <w:link w:val="plcountry"/>
    <w:locked/>
    <w:rsid w:val="009A7DBB"/>
    <w:rPr>
      <w:rFonts w:ascii="Arial" w:hAnsi="Arial"/>
      <w:caps/>
      <w:noProof/>
      <w:snapToGrid w:val="0"/>
      <w:u w:val="single"/>
    </w:rPr>
  </w:style>
  <w:style w:type="character" w:customStyle="1" w:styleId="pldetailsChar">
    <w:name w:val="pldetails Char"/>
    <w:link w:val="pldetails"/>
    <w:locked/>
    <w:rsid w:val="009A7DBB"/>
    <w:rPr>
      <w:rFonts w:ascii="Arial" w:hAnsi="Arial"/>
      <w:noProof/>
      <w:snapToGrid w:val="0"/>
    </w:rPr>
  </w:style>
  <w:style w:type="character" w:customStyle="1" w:styleId="ListParagraphChar">
    <w:name w:val="List Paragraph Char"/>
    <w:aliases w:val="auto_list_(i) Char,List Paragraph1 Char"/>
    <w:basedOn w:val="DefaultParagraphFont"/>
    <w:link w:val="ListParagraph"/>
    <w:uiPriority w:val="34"/>
    <w:locked/>
    <w:rsid w:val="00062F66"/>
    <w:rPr>
      <w:rFonts w:ascii="Arial" w:hAnsi="Arial"/>
    </w:rPr>
  </w:style>
  <w:style w:type="character" w:customStyle="1" w:styleId="EndnoteTextChar">
    <w:name w:val="Endnote Text Char"/>
    <w:basedOn w:val="DefaultParagraphFont"/>
    <w:link w:val="EndnoteText"/>
    <w:rsid w:val="00D22230"/>
    <w:rPr>
      <w:rFonts w:ascii="Arial" w:hAnsi="Arial"/>
    </w:rPr>
  </w:style>
  <w:style w:type="paragraph" w:styleId="NormalWeb">
    <w:name w:val="Normal (Web)"/>
    <w:basedOn w:val="Normal"/>
    <w:uiPriority w:val="99"/>
    <w:unhideWhenUsed/>
    <w:rsid w:val="00F650BB"/>
    <w:pPr>
      <w:spacing w:before="100" w:beforeAutospacing="1" w:after="100" w:afterAutospacing="1"/>
      <w:jc w:val="left"/>
    </w:pPr>
    <w:rPr>
      <w:rFonts w:ascii="Times New Roman" w:hAnsi="Times New Roman"/>
      <w:sz w:val="24"/>
      <w:szCs w:val="24"/>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5942">
      <w:bodyDiv w:val="1"/>
      <w:marLeft w:val="0"/>
      <w:marRight w:val="0"/>
      <w:marTop w:val="0"/>
      <w:marBottom w:val="0"/>
      <w:divBdr>
        <w:top w:val="none" w:sz="0" w:space="0" w:color="auto"/>
        <w:left w:val="none" w:sz="0" w:space="0" w:color="auto"/>
        <w:bottom w:val="none" w:sz="0" w:space="0" w:color="auto"/>
        <w:right w:val="none" w:sz="0" w:space="0" w:color="auto"/>
      </w:divBdr>
      <w:divsChild>
        <w:div w:id="985085426">
          <w:marLeft w:val="547"/>
          <w:marRight w:val="0"/>
          <w:marTop w:val="0"/>
          <w:marBottom w:val="160"/>
          <w:divBdr>
            <w:top w:val="none" w:sz="0" w:space="0" w:color="auto"/>
            <w:left w:val="none" w:sz="0" w:space="0" w:color="auto"/>
            <w:bottom w:val="none" w:sz="0" w:space="0" w:color="auto"/>
            <w:right w:val="none" w:sz="0" w:space="0" w:color="auto"/>
          </w:divBdr>
        </w:div>
        <w:div w:id="1143230138">
          <w:marLeft w:val="547"/>
          <w:marRight w:val="0"/>
          <w:marTop w:val="0"/>
          <w:marBottom w:val="0"/>
          <w:divBdr>
            <w:top w:val="none" w:sz="0" w:space="0" w:color="auto"/>
            <w:left w:val="none" w:sz="0" w:space="0" w:color="auto"/>
            <w:bottom w:val="none" w:sz="0" w:space="0" w:color="auto"/>
            <w:right w:val="none" w:sz="0" w:space="0" w:color="auto"/>
          </w:divBdr>
        </w:div>
        <w:div w:id="692222278">
          <w:marLeft w:val="547"/>
          <w:marRight w:val="0"/>
          <w:marTop w:val="0"/>
          <w:marBottom w:val="0"/>
          <w:divBdr>
            <w:top w:val="none" w:sz="0" w:space="0" w:color="auto"/>
            <w:left w:val="none" w:sz="0" w:space="0" w:color="auto"/>
            <w:bottom w:val="none" w:sz="0" w:space="0" w:color="auto"/>
            <w:right w:val="none" w:sz="0" w:space="0" w:color="auto"/>
          </w:divBdr>
        </w:div>
      </w:divsChild>
    </w:div>
    <w:div w:id="1764373900">
      <w:bodyDiv w:val="1"/>
      <w:marLeft w:val="0"/>
      <w:marRight w:val="0"/>
      <w:marTop w:val="0"/>
      <w:marBottom w:val="0"/>
      <w:divBdr>
        <w:top w:val="none" w:sz="0" w:space="0" w:color="auto"/>
        <w:left w:val="none" w:sz="0" w:space="0" w:color="auto"/>
        <w:bottom w:val="none" w:sz="0" w:space="0" w:color="auto"/>
        <w:right w:val="none" w:sz="0" w:space="0" w:color="auto"/>
      </w:divBdr>
      <w:divsChild>
        <w:div w:id="1878085216">
          <w:marLeft w:val="547"/>
          <w:marRight w:val="0"/>
          <w:marTop w:val="0"/>
          <w:marBottom w:val="160"/>
          <w:divBdr>
            <w:top w:val="none" w:sz="0" w:space="0" w:color="auto"/>
            <w:left w:val="none" w:sz="0" w:space="0" w:color="auto"/>
            <w:bottom w:val="none" w:sz="0" w:space="0" w:color="auto"/>
            <w:right w:val="none" w:sz="0" w:space="0" w:color="auto"/>
          </w:divBdr>
        </w:div>
        <w:div w:id="2099594381">
          <w:marLeft w:val="547"/>
          <w:marRight w:val="0"/>
          <w:marTop w:val="0"/>
          <w:marBottom w:val="0"/>
          <w:divBdr>
            <w:top w:val="none" w:sz="0" w:space="0" w:color="auto"/>
            <w:left w:val="none" w:sz="0" w:space="0" w:color="auto"/>
            <w:bottom w:val="none" w:sz="0" w:space="0" w:color="auto"/>
            <w:right w:val="none" w:sz="0" w:space="0" w:color="auto"/>
          </w:divBdr>
        </w:div>
        <w:div w:id="828247499">
          <w:marLeft w:val="547"/>
          <w:marRight w:val="0"/>
          <w:marTop w:val="0"/>
          <w:marBottom w:val="0"/>
          <w:divBdr>
            <w:top w:val="none" w:sz="0" w:space="0" w:color="auto"/>
            <w:left w:val="none" w:sz="0" w:space="0" w:color="auto"/>
            <w:bottom w:val="none" w:sz="0" w:space="0" w:color="auto"/>
            <w:right w:val="none" w:sz="0" w:space="0" w:color="auto"/>
          </w:divBdr>
        </w:div>
      </w:divsChild>
    </w:div>
    <w:div w:id="17903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Jeffery.Haynes@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A01B-4E25-4C0D-9341-9E0ACA1E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4366</Words>
  <Characters>26230</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WG-EDV/2</vt:lpstr>
      <vt:lpstr>WG-EDV/2</vt:lpstr>
    </vt:vector>
  </TitlesOfParts>
  <Company>UPOV</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WG-EDV/2</dc:title>
  <dc:creator>SANTOS Carla Marina</dc:creator>
  <cp:lastModifiedBy>SANTOS Carla Marina</cp:lastModifiedBy>
  <cp:revision>16</cp:revision>
  <cp:lastPrinted>2016-11-22T15:41:00Z</cp:lastPrinted>
  <dcterms:created xsi:type="dcterms:W3CDTF">2021-07-29T15:08:00Z</dcterms:created>
  <dcterms:modified xsi:type="dcterms:W3CDTF">2021-08-26T14:54:00Z</dcterms:modified>
</cp:coreProperties>
</file>